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0C7B" w14:textId="77777777" w:rsidR="00DD6C68" w:rsidRPr="00CC5607" w:rsidRDefault="00DD6C68" w:rsidP="00DD6C68">
      <w:pPr>
        <w:keepNext/>
        <w:keepLines/>
        <w:spacing w:before="0" w:after="360" w:line="240" w:lineRule="auto"/>
        <w:ind w:left="788"/>
        <w:jc w:val="center"/>
        <w:outlineLvl w:val="0"/>
        <w:rPr>
          <w:rFonts w:ascii="Arial" w:hAnsi="Arial" w:cs="Arial"/>
          <w:b/>
          <w:bCs/>
          <w:color w:val="000080"/>
          <w:sz w:val="36"/>
          <w:szCs w:val="36"/>
        </w:rPr>
      </w:pPr>
      <w:r w:rsidRPr="00F268B7">
        <w:rPr>
          <w:rFonts w:ascii="Arial" w:eastAsiaTheme="majorEastAsia" w:hAnsi="Arial" w:cs="Arial"/>
          <w:b/>
          <w:bCs/>
          <w:color w:val="000080"/>
          <w:sz w:val="36"/>
          <w:szCs w:val="36"/>
        </w:rPr>
        <w:t>Medical Services Advisory Committee (MSAC)</w:t>
      </w:r>
      <w:r w:rsidRPr="00F268B7">
        <w:rPr>
          <w:rFonts w:ascii="Arial" w:eastAsiaTheme="majorEastAsia" w:hAnsi="Arial" w:cs="Arial"/>
          <w:b/>
          <w:bCs/>
          <w:color w:val="000080"/>
          <w:sz w:val="36"/>
          <w:szCs w:val="36"/>
        </w:rPr>
        <w:br/>
      </w:r>
      <w:r w:rsidRPr="00F76D74">
        <w:rPr>
          <w:rFonts w:ascii="Arial" w:hAnsi="Arial" w:cs="Arial"/>
          <w:b/>
          <w:bCs/>
          <w:color w:val="000080"/>
          <w:sz w:val="36"/>
          <w:szCs w:val="36"/>
        </w:rPr>
        <w:t>Public Summary Document</w:t>
      </w:r>
    </w:p>
    <w:p w14:paraId="7A128FDE" w14:textId="466CC062" w:rsidR="00772829" w:rsidRPr="00CE28E3" w:rsidRDefault="00772829" w:rsidP="008B30FF">
      <w:pPr>
        <w:pStyle w:val="Subtitle"/>
      </w:pPr>
      <w:r w:rsidRPr="00CE28E3">
        <w:t xml:space="preserve">Application No. </w:t>
      </w:r>
      <w:r w:rsidR="00030A9C" w:rsidRPr="00030A9C">
        <w:t>1593.</w:t>
      </w:r>
      <w:r w:rsidR="00030A9C" w:rsidRPr="00AE2EEE">
        <w:t>2</w:t>
      </w:r>
      <w:r w:rsidR="00AE2EEE">
        <w:t xml:space="preserve"> </w:t>
      </w:r>
      <w:r w:rsidRPr="00AE2EEE">
        <w:rPr>
          <w:i w:val="0"/>
          <w:iCs/>
        </w:rPr>
        <w:t>–</w:t>
      </w:r>
      <w:r w:rsidR="00AE2EEE">
        <w:t xml:space="preserve"> </w:t>
      </w:r>
      <w:proofErr w:type="spellStart"/>
      <w:r w:rsidR="00AE2EEE">
        <w:t>B</w:t>
      </w:r>
      <w:r w:rsidR="00E52600" w:rsidRPr="00E52600">
        <w:t>ioinductive</w:t>
      </w:r>
      <w:proofErr w:type="spellEnd"/>
      <w:r w:rsidR="00E52600" w:rsidRPr="00E52600">
        <w:t xml:space="preserve"> implant for the repair of rotator cuff tear</w:t>
      </w:r>
    </w:p>
    <w:p w14:paraId="35263561" w14:textId="53B03598" w:rsidR="00772829" w:rsidRPr="00CE28E3" w:rsidRDefault="00772829" w:rsidP="00F050BC">
      <w:pPr>
        <w:tabs>
          <w:tab w:val="left" w:pos="3686"/>
        </w:tabs>
        <w:spacing w:after="240"/>
        <w:rPr>
          <w:rFonts w:ascii="Arial" w:hAnsi="Arial" w:cs="Arial"/>
          <w:b/>
          <w:szCs w:val="24"/>
        </w:rPr>
      </w:pPr>
      <w:r w:rsidRPr="00CE28E3">
        <w:rPr>
          <w:rFonts w:ascii="Arial" w:hAnsi="Arial" w:cs="Arial"/>
          <w:b/>
          <w:szCs w:val="24"/>
        </w:rPr>
        <w:t>Applicant:</w:t>
      </w:r>
      <w:r w:rsidRPr="00CE28E3">
        <w:rPr>
          <w:rFonts w:ascii="Arial" w:hAnsi="Arial" w:cs="Arial"/>
          <w:b/>
          <w:szCs w:val="24"/>
        </w:rPr>
        <w:tab/>
      </w:r>
      <w:r w:rsidR="00F050BC" w:rsidRPr="00F050BC">
        <w:rPr>
          <w:rFonts w:ascii="Arial" w:hAnsi="Arial" w:cs="Arial"/>
          <w:b/>
          <w:szCs w:val="24"/>
        </w:rPr>
        <w:t>Smith &amp; Nephew Pty Limited</w:t>
      </w:r>
      <w:r w:rsidR="00F050BC" w:rsidRPr="00F050BC">
        <w:rPr>
          <w:rFonts w:ascii="Arial" w:hAnsi="Arial" w:cs="Arial"/>
          <w:b/>
          <w:szCs w:val="24"/>
          <w:highlight w:val="cyan"/>
        </w:rPr>
        <w:t xml:space="preserve"> </w:t>
      </w:r>
    </w:p>
    <w:p w14:paraId="15DA9C4A" w14:textId="1585C5B4" w:rsidR="009A3778" w:rsidRDefault="00772829" w:rsidP="00772829">
      <w:pPr>
        <w:tabs>
          <w:tab w:val="left" w:pos="3686"/>
        </w:tabs>
        <w:spacing w:after="360"/>
        <w:rPr>
          <w:rFonts w:ascii="Arial" w:hAnsi="Arial" w:cs="Arial"/>
          <w:b/>
          <w:szCs w:val="24"/>
        </w:rPr>
      </w:pPr>
      <w:r w:rsidRPr="00CE28E3">
        <w:rPr>
          <w:rFonts w:ascii="Arial" w:hAnsi="Arial" w:cs="Arial"/>
          <w:b/>
          <w:szCs w:val="24"/>
        </w:rPr>
        <w:t xml:space="preserve">Date of </w:t>
      </w:r>
      <w:r w:rsidR="00DD6C68">
        <w:rPr>
          <w:rFonts w:ascii="Arial" w:hAnsi="Arial" w:cs="Arial"/>
          <w:b/>
          <w:szCs w:val="24"/>
        </w:rPr>
        <w:t>MSAC</w:t>
      </w:r>
      <w:r w:rsidRPr="00CE28E3">
        <w:rPr>
          <w:rFonts w:ascii="Arial" w:hAnsi="Arial" w:cs="Arial"/>
          <w:b/>
          <w:szCs w:val="24"/>
        </w:rPr>
        <w:t xml:space="preserve"> consideration:</w:t>
      </w:r>
      <w:r w:rsidRPr="00CE28E3">
        <w:rPr>
          <w:rFonts w:ascii="Arial" w:hAnsi="Arial" w:cs="Arial"/>
          <w:b/>
          <w:szCs w:val="24"/>
        </w:rPr>
        <w:tab/>
      </w:r>
      <w:r w:rsidR="00DD6C68">
        <w:rPr>
          <w:rFonts w:ascii="Arial" w:hAnsi="Arial" w:cs="Arial"/>
          <w:b/>
          <w:szCs w:val="24"/>
        </w:rPr>
        <w:t>31 July</w:t>
      </w:r>
      <w:r w:rsidR="008B30FF">
        <w:rPr>
          <w:rFonts w:ascii="Arial" w:hAnsi="Arial" w:cs="Arial"/>
          <w:b/>
          <w:szCs w:val="24"/>
        </w:rPr>
        <w:t xml:space="preserve"> 2025</w:t>
      </w:r>
    </w:p>
    <w:p w14:paraId="2848432E" w14:textId="77777777" w:rsidR="00DD6C68" w:rsidRPr="00333EDF" w:rsidRDefault="00DD6C68" w:rsidP="00DD6C68">
      <w:pPr>
        <w:spacing w:after="240"/>
        <w:rPr>
          <w:color w:val="0000FF"/>
          <w:u w:val="single"/>
        </w:rPr>
      </w:pPr>
      <w:bookmarkStart w:id="0" w:name="_Hlk194308493"/>
      <w:r w:rsidRPr="00333EDF">
        <w:t xml:space="preserve">Context for decision: MSAC makes its advice in accordance with its Terms of Reference, </w:t>
      </w:r>
      <w:hyperlink r:id="rId8" w:tooltip="Link to Medical Services Advisory Committee website" w:history="1">
        <w:r w:rsidRPr="000D2098">
          <w:rPr>
            <w:rStyle w:val="Hyperlink"/>
            <w:color w:val="007BB8"/>
          </w:rPr>
          <w:t>visit the MSAC website</w:t>
        </w:r>
      </w:hyperlink>
    </w:p>
    <w:p w14:paraId="7EAA7262" w14:textId="61F56AD7" w:rsidR="00772829" w:rsidRPr="00CE28E3" w:rsidRDefault="00772829" w:rsidP="003126F5">
      <w:pPr>
        <w:pStyle w:val="Heading2"/>
        <w:numPr>
          <w:ilvl w:val="0"/>
          <w:numId w:val="16"/>
        </w:numPr>
        <w:ind w:hanging="720"/>
      </w:pPr>
      <w:bookmarkStart w:id="1" w:name="_Toc69491415"/>
      <w:bookmarkEnd w:id="0"/>
      <w:r w:rsidRPr="00CE28E3">
        <w:t xml:space="preserve">Purpose </w:t>
      </w:r>
      <w:r w:rsidRPr="00CE28E3">
        <w:rPr>
          <w:szCs w:val="32"/>
        </w:rPr>
        <w:t>of</w:t>
      </w:r>
      <w:r w:rsidRPr="00CE28E3">
        <w:t xml:space="preserve"> application</w:t>
      </w:r>
      <w:bookmarkEnd w:id="1"/>
    </w:p>
    <w:p w14:paraId="1305F83B" w14:textId="66A63DBA" w:rsidR="00772829" w:rsidRDefault="00860B40" w:rsidP="00A64B3F">
      <w:pPr>
        <w:spacing w:after="240"/>
      </w:pPr>
      <w:bookmarkStart w:id="2" w:name="_Hlk69734469"/>
      <w:r>
        <w:t>A re</w:t>
      </w:r>
      <w:r w:rsidR="00A64B3F">
        <w:t>-</w:t>
      </w:r>
      <w:r w:rsidR="00577378">
        <w:t xml:space="preserve">application requesting listing </w:t>
      </w:r>
      <w:r w:rsidR="004720FA">
        <w:t xml:space="preserve">of REGENETEN </w:t>
      </w:r>
      <w:proofErr w:type="spellStart"/>
      <w:r w:rsidR="004720FA">
        <w:t>bioinductive</w:t>
      </w:r>
      <w:proofErr w:type="spellEnd"/>
      <w:r w:rsidR="004720FA">
        <w:t xml:space="preserve"> collagen implant (BCI) </w:t>
      </w:r>
      <w:r w:rsidR="00577378">
        <w:t>on the Prescribed List of Medical Devices and Human Tissue Products (PL) for the repair of rotator cuff tear was received from Smith &amp; Nephew Pty Ltd by the Department of Health</w:t>
      </w:r>
      <w:r w:rsidR="00DD6C68">
        <w:t>, Disability</w:t>
      </w:r>
      <w:r w:rsidR="00577378">
        <w:t xml:space="preserve"> and Age</w:t>
      </w:r>
      <w:r w:rsidR="00DD6C68">
        <w:t>ing</w:t>
      </w:r>
      <w:r w:rsidR="00371ED9">
        <w:t xml:space="preserve"> (the department)</w:t>
      </w:r>
      <w:r w:rsidR="00577378">
        <w:t>. Th</w:t>
      </w:r>
      <w:r w:rsidR="00002DE3">
        <w:t>e</w:t>
      </w:r>
      <w:r w:rsidR="005E01AF">
        <w:t xml:space="preserve"> </w:t>
      </w:r>
      <w:r w:rsidR="00577378">
        <w:t xml:space="preserve">application was linked to </w:t>
      </w:r>
      <w:r w:rsidR="2BEA2E3E">
        <w:t>a</w:t>
      </w:r>
      <w:r w:rsidR="1F4B9B0B">
        <w:t>n</w:t>
      </w:r>
      <w:r w:rsidR="74C57E64">
        <w:t xml:space="preserve"> </w:t>
      </w:r>
      <w:r w:rsidR="00AD0694">
        <w:t xml:space="preserve">application requesting </w:t>
      </w:r>
      <w:r w:rsidR="00577378">
        <w:t xml:space="preserve">PL listing of BCI to be used in surgical repair of rotator cuff tears in conjunction with existing Medicare Benefits Schedule (MBS) items. </w:t>
      </w:r>
      <w:r w:rsidR="00883886">
        <w:t>The Prosth</w:t>
      </w:r>
      <w:r w:rsidR="00783105">
        <w:t xml:space="preserve">eses List Advisory Committee (PLAC), now the Medical Devices and Human Tissue Advisory Committee </w:t>
      </w:r>
      <w:r w:rsidR="08B95D07">
        <w:t>(</w:t>
      </w:r>
      <w:r w:rsidR="00783105">
        <w:t>MDHTAC)</w:t>
      </w:r>
      <w:r w:rsidR="007353DD">
        <w:t>,</w:t>
      </w:r>
      <w:r w:rsidR="00783105">
        <w:t xml:space="preserve"> referred the application to MSAC for health technology assessment to determine the comparative clinical and cost effectiveness of BCI.</w:t>
      </w:r>
      <w:r w:rsidR="00577378">
        <w:t xml:space="preserve"> </w:t>
      </w:r>
    </w:p>
    <w:p w14:paraId="4835563D" w14:textId="625E7EEE" w:rsidR="00DD6C68" w:rsidRPr="00D155C0" w:rsidRDefault="00DD6C68" w:rsidP="003126F5">
      <w:pPr>
        <w:pStyle w:val="Heading2"/>
        <w:numPr>
          <w:ilvl w:val="0"/>
          <w:numId w:val="16"/>
        </w:numPr>
        <w:ind w:hanging="720"/>
      </w:pPr>
      <w:bookmarkStart w:id="3" w:name="_Hlk193982496"/>
      <w:bookmarkStart w:id="4" w:name="_Hlk194308564"/>
      <w:r w:rsidRPr="00D155C0">
        <w:t>MSAC’s advice to the Minister</w:t>
      </w:r>
    </w:p>
    <w:p w14:paraId="6DBE4D9B" w14:textId="4E724CFE" w:rsidR="000B02E2" w:rsidRDefault="000B02E2" w:rsidP="000B02E2">
      <w:r w:rsidRPr="00333EDF">
        <w:t>After considering the strength of the available evidence in relation to comparative safety, clinical effectiveness, cost-effectiveness and total cost</w:t>
      </w:r>
      <w:r>
        <w:t xml:space="preserve">, </w:t>
      </w:r>
      <w:r w:rsidRPr="00333EDF">
        <w:rPr>
          <w:rFonts w:eastAsia="Franklin Gothic Book"/>
        </w:rPr>
        <w:t>MSAC</w:t>
      </w:r>
      <w:r>
        <w:t xml:space="preserve"> did not support REGENETEN™ </w:t>
      </w:r>
      <w:proofErr w:type="spellStart"/>
      <w:r>
        <w:t>Bioinductive</w:t>
      </w:r>
      <w:proofErr w:type="spellEnd"/>
      <w:r>
        <w:t xml:space="preserve"> Implant (BCI) for funding through the Prescribed List as an adjunct for the repair </w:t>
      </w:r>
      <w:r w:rsidR="003D12A7">
        <w:t xml:space="preserve">of </w:t>
      </w:r>
      <w:r>
        <w:t xml:space="preserve">full-thickness rotator cuff tears (FTRCT) in patients with symptomatic FTRCT where there is no substantial loss of tissue who have failed at least </w:t>
      </w:r>
      <w:r w:rsidR="00850617">
        <w:t xml:space="preserve">3 </w:t>
      </w:r>
      <w:r>
        <w:t>months of conservative medical management</w:t>
      </w:r>
      <w:r w:rsidR="001F39A3">
        <w:t xml:space="preserve"> (CMM)</w:t>
      </w:r>
      <w:r>
        <w:t xml:space="preserve">. MSAC considered the updated clinical evidence from the key randomised controlled trial (RCT) demonstrated that surgical repair of FTRCT using BCI did not improve functional outcomes compared with standard surgical repair. MSAC considered functional outcomes, or patient-reported outcome measures (PROMs), the most relevant outcomes because they measure patients’ pain and shoulder function. MSAC noted the clinical claim that surgical repair with BCI has superior effectiveness </w:t>
      </w:r>
      <w:r w:rsidR="000B03D1">
        <w:t xml:space="preserve">to surgical repair was </w:t>
      </w:r>
      <w:r>
        <w:t xml:space="preserve">based on a reduction in retear rate on radiographic imaging. Although a relationship between retear rates on imaging and functional outcomes is clinically plausible, MSAC considered this </w:t>
      </w:r>
      <w:r w:rsidR="000B03D1">
        <w:t xml:space="preserve">claim </w:t>
      </w:r>
      <w:r>
        <w:t xml:space="preserve">was not supported because </w:t>
      </w:r>
      <w:r w:rsidR="001D03F0">
        <w:t xml:space="preserve">although </w:t>
      </w:r>
      <w:r>
        <w:t xml:space="preserve">the trial showed that surgery with BCI had a lower retear rate on imaging, functional outcomes were similar between patients who had surgery with BCI </w:t>
      </w:r>
      <w:r w:rsidR="001D03F0">
        <w:t xml:space="preserve">and patients who had </w:t>
      </w:r>
      <w:r>
        <w:t>surgery</w:t>
      </w:r>
      <w:r w:rsidR="001D03F0">
        <w:t xml:space="preserve"> without BCI</w:t>
      </w:r>
      <w:r>
        <w:t>. MSAC considered that standard surgical repair with BCI was likely to have non-inferior safety compared to standard surgical repair alone and safety was likely to remain non-inferior over the long term as the implant is resorbed in the months following surgery. MSAC considered surgical repair of FTRCT using BCI was not cost effective as it had similar clinical effectiveness to standard surgical repair but was more costly due to the cost of the implant.</w:t>
      </w:r>
    </w:p>
    <w:p w14:paraId="700BB577" w14:textId="41F5E39B" w:rsidR="00DD6C68" w:rsidRPr="007B1391" w:rsidRDefault="000B02E2" w:rsidP="007B1391">
      <w:pPr>
        <w:spacing w:after="240"/>
        <w:rPr>
          <w:rFonts w:eastAsia="Franklin Gothic Book"/>
          <w:color w:val="FF0000"/>
        </w:rPr>
      </w:pPr>
      <w:r>
        <w:lastRenderedPageBreak/>
        <w:t>MSAC advised the Medical Devices and Human Tissue Advisory Committee (MDHTAC) it considered the evidence did not support the claim that surgical repair of FTRCT using BCI as an adjunct to standard surgical repair has superior clinical effectiveness compared with standard surgical repair alone as there was no difference in functional outcomes in the key trial. MSAC considered surgical repair of FTRCT using BCI was not cost effective as it had similar clinical effectiveness to standard surgical repair but was more costly due to the cost of the implant. MSAC considered any re-application suitable for reconsideration by MSAC would need to include evidence demonstrating superior functional outcomes in patients who receive BCI compared to standard surgical repair.</w:t>
      </w:r>
    </w:p>
    <w:tbl>
      <w:tblPr>
        <w:tblStyle w:val="Section3-footno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onsumer summary of MSAC consideration"/>
      </w:tblPr>
      <w:tblGrid>
        <w:gridCol w:w="9016"/>
      </w:tblGrid>
      <w:tr w:rsidR="00DD6C68" w:rsidRPr="00F91D6E" w14:paraId="3056C25E" w14:textId="77777777" w:rsidTr="6A456BF0">
        <w:trPr>
          <w:tblHeader/>
        </w:trPr>
        <w:tc>
          <w:tcPr>
            <w:tcW w:w="9016" w:type="dxa"/>
          </w:tcPr>
          <w:p w14:paraId="0C3D8CFF" w14:textId="77777777" w:rsidR="00DD6C68" w:rsidRPr="00F91D6E" w:rsidRDefault="00DD6C68" w:rsidP="00C96FEB">
            <w:pPr>
              <w:keepNext/>
              <w:keepLines/>
              <w:spacing w:after="120" w:line="259" w:lineRule="auto"/>
              <w:rPr>
                <w:rFonts w:eastAsia="Calibri"/>
                <w:b/>
                <w:bCs/>
              </w:rPr>
            </w:pPr>
            <w:r w:rsidRPr="00F91D6E">
              <w:rPr>
                <w:b/>
                <w:bCs/>
              </w:rPr>
              <w:t>Consumer summary</w:t>
            </w:r>
          </w:p>
        </w:tc>
      </w:tr>
      <w:tr w:rsidR="00DD6C68" w:rsidRPr="00F91D6E" w14:paraId="3F97A6ED" w14:textId="77777777" w:rsidTr="6A456BF0">
        <w:tc>
          <w:tcPr>
            <w:tcW w:w="9016" w:type="dxa"/>
          </w:tcPr>
          <w:p w14:paraId="5439F780" w14:textId="7C0D217B" w:rsidR="00854BE2" w:rsidRDefault="00854BE2" w:rsidP="00854BE2">
            <w:r w:rsidRPr="00AF46D8">
              <w:t xml:space="preserve">This is a </w:t>
            </w:r>
            <w:r>
              <w:t>re</w:t>
            </w:r>
            <w:r w:rsidRPr="00AF46D8">
              <w:t xml:space="preserve">application from </w:t>
            </w:r>
            <w:r>
              <w:t>Smith &amp; Nephew Pty Limited</w:t>
            </w:r>
            <w:r w:rsidRPr="00AF46D8">
              <w:t xml:space="preserve"> requesting </w:t>
            </w:r>
            <w:r>
              <w:t xml:space="preserve">listing of </w:t>
            </w:r>
            <w:r w:rsidR="004B3D42">
              <w:t xml:space="preserve">REGENETEN™ </w:t>
            </w:r>
            <w:proofErr w:type="spellStart"/>
            <w:r w:rsidR="004B3D42">
              <w:t>Bioinductive</w:t>
            </w:r>
            <w:proofErr w:type="spellEnd"/>
            <w:r w:rsidR="004B3D42">
              <w:t xml:space="preserve"> Implant (</w:t>
            </w:r>
            <w:r w:rsidR="006D2E7F">
              <w:t>BCI</w:t>
            </w:r>
            <w:r w:rsidR="004B3D42">
              <w:t>)</w:t>
            </w:r>
            <w:r w:rsidR="00B22DF9">
              <w:t xml:space="preserve"> </w:t>
            </w:r>
            <w:r>
              <w:t xml:space="preserve">on the </w:t>
            </w:r>
            <w:r w:rsidDel="006D2E7F">
              <w:t xml:space="preserve">Prescribed List </w:t>
            </w:r>
            <w:r w:rsidR="0099018E">
              <w:t xml:space="preserve">of Medical Devices and Human Tissue Products </w:t>
            </w:r>
            <w:r w:rsidDel="006D2E7F">
              <w:t>(</w:t>
            </w:r>
            <w:r>
              <w:t>PL</w:t>
            </w:r>
            <w:r w:rsidDel="006D2E7F">
              <w:t>)</w:t>
            </w:r>
            <w:r>
              <w:t xml:space="preserve"> for use in the surgical repair of </w:t>
            </w:r>
            <w:r w:rsidR="00001EF0">
              <w:t>f</w:t>
            </w:r>
            <w:r w:rsidR="00A279DD">
              <w:t>ull thickness rotator cuff tear (F</w:t>
            </w:r>
            <w:r w:rsidR="00DF70F3">
              <w:t>TRCT</w:t>
            </w:r>
            <w:r w:rsidR="00A279DD">
              <w:t>)</w:t>
            </w:r>
            <w:r w:rsidR="00DF70F3">
              <w:t xml:space="preserve"> </w:t>
            </w:r>
            <w:r>
              <w:t xml:space="preserve">in conjunction with existing </w:t>
            </w:r>
            <w:r w:rsidRPr="00AF46D8">
              <w:t xml:space="preserve">Medicare Benefits Schedule (MBS) </w:t>
            </w:r>
            <w:r>
              <w:t>item </w:t>
            </w:r>
            <w:hyperlink r:id="rId9">
              <w:r w:rsidR="4F0CF9E1" w:rsidRPr="4309F3E6">
                <w:rPr>
                  <w:rStyle w:val="Hyperlink"/>
                </w:rPr>
                <w:t>48960</w:t>
              </w:r>
            </w:hyperlink>
            <w:r>
              <w:t>.</w:t>
            </w:r>
            <w:r w:rsidR="00ED3E30">
              <w:t xml:space="preserve"> </w:t>
            </w:r>
          </w:p>
          <w:p w14:paraId="4ED8BC5F" w14:textId="3EDFEB6E" w:rsidR="00854BE2" w:rsidRDefault="00854BE2" w:rsidP="00854BE2">
            <w:r>
              <w:t xml:space="preserve">The rotator cuff is a common name for the group of 4 muscles and their tendons in the shoulder. The rotator cuff starts on the shoulder blade and extends over the shoulder, with the tendons anchoring on the upper arm bone (humerus) and surrounding the ball of the shoulder like a cuff (hence the term ‘rotator cuff’). The rotator cuff muscles are known as stabilising muscles because they hold the ball of the shoulder in the socket when a person moves their arm. Damage to the rotator cuff, such as from a torn tendon, can cause symptoms such as pain and weakness. Rotator cuff tears can happen during an acute injury or trauma (such as a fall on the arm while running), or can occur gradually, which is called a chronic tear. Chronic tears are </w:t>
            </w:r>
            <w:r w:rsidR="00DF67E8">
              <w:t xml:space="preserve">increasingly </w:t>
            </w:r>
            <w:r>
              <w:t>common as people age because the tendons can degenerate and fray. Sometimes, tears do not cause any symptoms at all.</w:t>
            </w:r>
          </w:p>
          <w:p w14:paraId="01185909" w14:textId="53D9C3DE" w:rsidR="00DD08EA" w:rsidRPr="004026B6" w:rsidRDefault="00DD08EA" w:rsidP="00854BE2">
            <w:r w:rsidRPr="004026B6">
              <w:t xml:space="preserve">BCI is </w:t>
            </w:r>
            <w:r w:rsidR="007B574A" w:rsidRPr="004026B6">
              <w:t xml:space="preserve">a </w:t>
            </w:r>
            <w:r w:rsidR="00F51C6D" w:rsidRPr="00CD5E62">
              <w:t xml:space="preserve">bovine </w:t>
            </w:r>
            <w:r w:rsidR="007B574A" w:rsidRPr="004026B6">
              <w:t xml:space="preserve">collagen implant </w:t>
            </w:r>
            <w:r w:rsidR="00625F0A" w:rsidRPr="004026B6">
              <w:t>that is placed over an injured tendon during shoulder surgery</w:t>
            </w:r>
            <w:r w:rsidR="00FC69FF" w:rsidRPr="00CD5E62">
              <w:t xml:space="preserve">. It is intended </w:t>
            </w:r>
            <w:r w:rsidR="00625F0A" w:rsidRPr="004026B6">
              <w:t>to provide a base on which the body can grow new tissue to repair the tendon.</w:t>
            </w:r>
          </w:p>
          <w:p w14:paraId="6BBF5E4D" w14:textId="0ED2420D" w:rsidR="00854BE2" w:rsidRDefault="72275430" w:rsidP="00854BE2">
            <w:r>
              <w:t>This application was for the use of BCI</w:t>
            </w:r>
            <w:r w:rsidR="34500C71">
              <w:t xml:space="preserve"> </w:t>
            </w:r>
            <w:r w:rsidR="714430F1">
              <w:t xml:space="preserve">as an adjunct </w:t>
            </w:r>
            <w:r>
              <w:t xml:space="preserve">during surgical repair of rotator cuff tears classified as ‘full thickness’ in people who continue to have symptoms after 3 months of </w:t>
            </w:r>
            <w:r w:rsidR="001F39A3">
              <w:t>conservative medical management (</w:t>
            </w:r>
            <w:r w:rsidR="01AC7CE8">
              <w:t>C</w:t>
            </w:r>
            <w:r w:rsidR="6A8A368A">
              <w:t>M</w:t>
            </w:r>
            <w:r w:rsidR="01AC7CE8">
              <w:t>M</w:t>
            </w:r>
            <w:r w:rsidR="001F39A3">
              <w:t>)</w:t>
            </w:r>
            <w:r w:rsidR="01AC7CE8">
              <w:t xml:space="preserve"> </w:t>
            </w:r>
            <w:r>
              <w:t xml:space="preserve">(for example, pain relief medications, physiotherapy). </w:t>
            </w:r>
            <w:r w:rsidR="5ABAB505">
              <w:t xml:space="preserve">FTRCT </w:t>
            </w:r>
            <w:r>
              <w:t xml:space="preserve">are when there is </w:t>
            </w:r>
            <w:r w:rsidR="75B2BE49">
              <w:t xml:space="preserve">a </w:t>
            </w:r>
            <w:r w:rsidR="5ABAB505">
              <w:t xml:space="preserve">complete </w:t>
            </w:r>
            <w:r>
              <w:t xml:space="preserve">detachment of the tendon that attaches the </w:t>
            </w:r>
            <w:r w:rsidR="367CD729">
              <w:t xml:space="preserve">4 </w:t>
            </w:r>
            <w:r>
              <w:t>muscles from the shoulder blade to the head of the humerus.</w:t>
            </w:r>
          </w:p>
          <w:p w14:paraId="6CBB730C" w14:textId="646ED43E" w:rsidR="00A342AB" w:rsidRDefault="00E6607D" w:rsidP="00C96FEB">
            <w:pPr>
              <w:spacing w:after="240"/>
            </w:pPr>
            <w:r>
              <w:t>M</w:t>
            </w:r>
            <w:r w:rsidR="00854BE2">
              <w:t>SAC considered that BCI was likely as safe as standard surgery alone</w:t>
            </w:r>
            <w:r w:rsidR="002050B6">
              <w:t xml:space="preserve"> and </w:t>
            </w:r>
            <w:r w:rsidR="00260983">
              <w:t>expected</w:t>
            </w:r>
            <w:r w:rsidR="002050B6">
              <w:t xml:space="preserve"> this was likely to </w:t>
            </w:r>
            <w:r w:rsidR="00260983">
              <w:t>continue over t</w:t>
            </w:r>
            <w:r w:rsidR="003C68ED">
              <w:t>ime as BCI dissolves in the months following surgery and most complications are more likely to occur shortly after the operation</w:t>
            </w:r>
            <w:r w:rsidR="005C2028">
              <w:t xml:space="preserve">. </w:t>
            </w:r>
          </w:p>
          <w:p w14:paraId="2F0DB207" w14:textId="7B86FEE6" w:rsidR="00EF2501" w:rsidRDefault="00E145FE" w:rsidP="00FD066B">
            <w:pPr>
              <w:spacing w:after="240"/>
            </w:pPr>
            <w:r>
              <w:t xml:space="preserve">MSAC noted that the results of </w:t>
            </w:r>
            <w:r w:rsidR="00716B62">
              <w:t>the main</w:t>
            </w:r>
            <w:r>
              <w:t xml:space="preserve"> clinical study</w:t>
            </w:r>
            <w:r w:rsidR="003630FB">
              <w:t>,</w:t>
            </w:r>
            <w:r>
              <w:t xml:space="preserve"> Ruiz </w:t>
            </w:r>
            <w:proofErr w:type="spellStart"/>
            <w:r>
              <w:t>Ibán</w:t>
            </w:r>
            <w:proofErr w:type="spellEnd"/>
            <w:r>
              <w:t xml:space="preserve"> et al. 2025</w:t>
            </w:r>
            <w:r w:rsidR="003630FB">
              <w:t>,</w:t>
            </w:r>
            <w:r>
              <w:t xml:space="preserve"> showed</w:t>
            </w:r>
            <w:r w:rsidR="00A00BEC">
              <w:t xml:space="preserve"> that </w:t>
            </w:r>
            <w:r w:rsidR="0015736E">
              <w:t>after 2 years follow up</w:t>
            </w:r>
            <w:r w:rsidR="00253563">
              <w:t>,</w:t>
            </w:r>
            <w:r>
              <w:t xml:space="preserve"> fewer people in the group who had surgery with BCI had evidence of a tendon re-tear (of any size) on their follow-up shoulder scans than people who had surgery without BCI.</w:t>
            </w:r>
            <w:r w:rsidR="00EC2F59">
              <w:t xml:space="preserve"> </w:t>
            </w:r>
            <w:r w:rsidR="0007540F">
              <w:t>However, the</w:t>
            </w:r>
            <w:r>
              <w:t xml:space="preserve"> functional outcome</w:t>
            </w:r>
            <w:r w:rsidR="0007540F">
              <w:t xml:space="preserve">s </w:t>
            </w:r>
            <w:r>
              <w:t xml:space="preserve">(measured as </w:t>
            </w:r>
            <w:r w:rsidR="00B36921">
              <w:t>p</w:t>
            </w:r>
            <w:r>
              <w:t xml:space="preserve">atient </w:t>
            </w:r>
            <w:r w:rsidR="00B36921">
              <w:t>r</w:t>
            </w:r>
            <w:r>
              <w:t xml:space="preserve">eported </w:t>
            </w:r>
            <w:r w:rsidR="00B36921">
              <w:t>o</w:t>
            </w:r>
            <w:r>
              <w:t xml:space="preserve">utcomes </w:t>
            </w:r>
            <w:r w:rsidR="00B36921">
              <w:t>m</w:t>
            </w:r>
            <w:r>
              <w:t>easures, or PROMs</w:t>
            </w:r>
            <w:r w:rsidR="0007540F">
              <w:t>, including pain, function, range of movement and strength</w:t>
            </w:r>
            <w:r>
              <w:t>)</w:t>
            </w:r>
            <w:r w:rsidR="0007540F">
              <w:t>,</w:t>
            </w:r>
            <w:r>
              <w:t xml:space="preserve"> between the group of people who had surgery with BCI and the group of people who had standard surgery,</w:t>
            </w:r>
            <w:r w:rsidR="0007540F">
              <w:t xml:space="preserve"> improved </w:t>
            </w:r>
            <w:r w:rsidR="00A72E53">
              <w:t xml:space="preserve">in both groups </w:t>
            </w:r>
            <w:r w:rsidR="0007540F">
              <w:t xml:space="preserve">over the follow up period, and the improvement was not </w:t>
            </w:r>
            <w:r w:rsidR="0068241E">
              <w:t>better in one group than the other</w:t>
            </w:r>
            <w:r w:rsidR="00B02118">
              <w:t xml:space="preserve"> at 2 years</w:t>
            </w:r>
            <w:r w:rsidR="0007540F">
              <w:t xml:space="preserve">. </w:t>
            </w:r>
            <w:r>
              <w:t xml:space="preserve">MSAC considered that PROMs are the most important outcomes because they reflect a patient’s quality of life, symptoms or function. </w:t>
            </w:r>
          </w:p>
          <w:p w14:paraId="130F2405" w14:textId="4BA90ABC" w:rsidR="00FD066B" w:rsidRPr="00FD066B" w:rsidRDefault="00FD066B" w:rsidP="00FD066B">
            <w:pPr>
              <w:spacing w:after="240"/>
            </w:pPr>
            <w:r w:rsidRPr="00FD066B">
              <w:t xml:space="preserve">MSAC also had concerns about the economic evaluation which did not rely directly on the </w:t>
            </w:r>
            <w:proofErr w:type="gramStart"/>
            <w:r w:rsidRPr="00FD066B">
              <w:t>quality of life</w:t>
            </w:r>
            <w:proofErr w:type="gramEnd"/>
            <w:r w:rsidRPr="00FD066B">
              <w:t xml:space="preserve"> outcomes as they were measured in the main clinical </w:t>
            </w:r>
            <w:proofErr w:type="gramStart"/>
            <w:r w:rsidRPr="00FD066B">
              <w:t>study, but</w:t>
            </w:r>
            <w:proofErr w:type="gramEnd"/>
            <w:r w:rsidRPr="00FD066B">
              <w:t xml:space="preserve"> instead </w:t>
            </w:r>
            <w:proofErr w:type="gramStart"/>
            <w:r w:rsidRPr="00FD066B">
              <w:t>made an assumption</w:t>
            </w:r>
            <w:proofErr w:type="gramEnd"/>
            <w:r w:rsidRPr="00FD066B">
              <w:t xml:space="preserve"> (that was not supported by the data) that lower re</w:t>
            </w:r>
            <w:r w:rsidR="00DC346A">
              <w:t>-</w:t>
            </w:r>
            <w:r w:rsidRPr="00FD066B">
              <w:t xml:space="preserve">tear rates in patients who received a BCI would be associated with improved quality of life. MSAC considered surgical repair of </w:t>
            </w:r>
            <w:r w:rsidR="004A66F5">
              <w:t>FTRCT</w:t>
            </w:r>
            <w:r w:rsidRPr="00FD066B">
              <w:t xml:space="preserve"> using BCI was not good value for money because it is associated with similar </w:t>
            </w:r>
            <w:r w:rsidRPr="00FD066B">
              <w:lastRenderedPageBreak/>
              <w:t>functional outcomes as standard surgical repai</w:t>
            </w:r>
            <w:r w:rsidR="0000666A">
              <w:t>r</w:t>
            </w:r>
            <w:r w:rsidRPr="00FD066B">
              <w:t xml:space="preserve"> but is more costly than standard surgical repair. </w:t>
            </w:r>
          </w:p>
          <w:p w14:paraId="70D53F12" w14:textId="112B4A7B" w:rsidR="00696A49" w:rsidRPr="00630AA9" w:rsidRDefault="00854BE2" w:rsidP="00C96FEB">
            <w:pPr>
              <w:spacing w:after="120" w:line="259" w:lineRule="auto"/>
              <w:rPr>
                <w:b/>
                <w:sz w:val="24"/>
                <w:szCs w:val="24"/>
              </w:rPr>
            </w:pPr>
            <w:r w:rsidRPr="00630AA9">
              <w:rPr>
                <w:rFonts w:eastAsiaTheme="majorEastAsia" w:cstheme="majorBidi"/>
                <w:b/>
                <w:sz w:val="24"/>
                <w:szCs w:val="24"/>
              </w:rPr>
              <w:t>MSAC’s advice to the</w:t>
            </w:r>
            <w:r w:rsidRPr="00630AA9">
              <w:rPr>
                <w:b/>
                <w:sz w:val="24"/>
                <w:szCs w:val="24"/>
              </w:rPr>
              <w:t xml:space="preserve"> </w:t>
            </w:r>
            <w:r w:rsidR="00A142F2" w:rsidRPr="00630AA9">
              <w:rPr>
                <w:rFonts w:eastAsiaTheme="majorEastAsia" w:cstheme="majorBidi"/>
                <w:b/>
                <w:sz w:val="24"/>
                <w:szCs w:val="24"/>
              </w:rPr>
              <w:t>Medical Devices and Human Tissue Advisory Committee</w:t>
            </w:r>
            <w:r w:rsidR="00A142F2" w:rsidRPr="00630AA9" w:rsidDel="00A142F2">
              <w:rPr>
                <w:b/>
                <w:sz w:val="24"/>
                <w:szCs w:val="24"/>
              </w:rPr>
              <w:t xml:space="preserve"> </w:t>
            </w:r>
          </w:p>
          <w:p w14:paraId="13A51808" w14:textId="0E01287E" w:rsidR="00DD6C68" w:rsidRPr="00F91D6E" w:rsidRDefault="00854BE2" w:rsidP="00C96FEB">
            <w:pPr>
              <w:spacing w:after="120" w:line="259" w:lineRule="auto"/>
            </w:pPr>
            <w:r w:rsidRPr="00AF46D8">
              <w:t>MSAC did not support</w:t>
            </w:r>
            <w:r>
              <w:t xml:space="preserve"> </w:t>
            </w:r>
            <w:r w:rsidR="00947340">
              <w:t xml:space="preserve">funding of </w:t>
            </w:r>
            <w:r w:rsidR="004026B6">
              <w:t xml:space="preserve">REGENETEN™ </w:t>
            </w:r>
            <w:proofErr w:type="spellStart"/>
            <w:r w:rsidR="004026B6">
              <w:t>Bioinductive</w:t>
            </w:r>
            <w:proofErr w:type="spellEnd"/>
            <w:r w:rsidR="004026B6">
              <w:t xml:space="preserve"> Implant (BCI)</w:t>
            </w:r>
            <w:r>
              <w:t xml:space="preserve"> on the </w:t>
            </w:r>
            <w:r w:rsidR="00136EF2" w:rsidRPr="0000666A">
              <w:t>Pr</w:t>
            </w:r>
            <w:r w:rsidR="0042596D" w:rsidRPr="00135C72">
              <w:t>escribed</w:t>
            </w:r>
            <w:r w:rsidR="00136EF2">
              <w:t xml:space="preserve"> List</w:t>
            </w:r>
            <w:r w:rsidR="0099018E">
              <w:t xml:space="preserve"> </w:t>
            </w:r>
            <w:r w:rsidR="0000666A">
              <w:t xml:space="preserve">of Medical Devices and Human Tissue Products </w:t>
            </w:r>
            <w:r>
              <w:t xml:space="preserve">for use in the surgical repair of </w:t>
            </w:r>
            <w:r w:rsidR="00D55173">
              <w:t>full thickness rotator cuff tear</w:t>
            </w:r>
            <w:r w:rsidR="00946A0D">
              <w:t xml:space="preserve"> </w:t>
            </w:r>
            <w:r>
              <w:t xml:space="preserve">in conjunction with existing MBS item 48960. MSAC considered that </w:t>
            </w:r>
            <w:r w:rsidR="005B6704">
              <w:t xml:space="preserve">while </w:t>
            </w:r>
            <w:r>
              <w:t xml:space="preserve">BCI was likely as safe as standard surgery alone, </w:t>
            </w:r>
            <w:r w:rsidR="00B225D0">
              <w:t xml:space="preserve">the evidence did not support that BCI </w:t>
            </w:r>
            <w:r w:rsidR="006C7E7E">
              <w:t xml:space="preserve">as an adjunct to surgical repair </w:t>
            </w:r>
            <w:r w:rsidR="00B225D0">
              <w:t>was more effective than standard surgical repair</w:t>
            </w:r>
            <w:r>
              <w:t xml:space="preserve"> </w:t>
            </w:r>
            <w:r w:rsidR="0097337B">
              <w:t>alone</w:t>
            </w:r>
            <w:r>
              <w:t>.</w:t>
            </w:r>
          </w:p>
        </w:tc>
      </w:tr>
    </w:tbl>
    <w:p w14:paraId="2A964DB4" w14:textId="45315528" w:rsidR="00841E9A" w:rsidRPr="00D155C0" w:rsidRDefault="00841E9A" w:rsidP="001F53AF">
      <w:pPr>
        <w:pStyle w:val="Heading2"/>
        <w:numPr>
          <w:ilvl w:val="0"/>
          <w:numId w:val="16"/>
        </w:numPr>
        <w:ind w:left="284"/>
      </w:pPr>
      <w:r w:rsidRPr="00841E9A">
        <w:lastRenderedPageBreak/>
        <w:t>Summary of consideration and rationale for MSAC’s advice</w:t>
      </w:r>
    </w:p>
    <w:p w14:paraId="7CB616A5" w14:textId="08998F9D" w:rsidR="00FE1C8B" w:rsidRDefault="00FE1C8B" w:rsidP="00FE1C8B">
      <w:r w:rsidRPr="00516D4E">
        <w:t>MSAC</w:t>
      </w:r>
      <w:r>
        <w:t xml:space="preserve"> noted that this was a reapplication from Smith &amp; Nephew Pty Limited requesting listing of </w:t>
      </w:r>
      <w:r w:rsidR="00E618A9">
        <w:t xml:space="preserve">REGENETEN™ </w:t>
      </w:r>
      <w:proofErr w:type="spellStart"/>
      <w:r w:rsidR="00E618A9">
        <w:t>Bioinductive</w:t>
      </w:r>
      <w:proofErr w:type="spellEnd"/>
      <w:r w:rsidR="00E618A9">
        <w:t xml:space="preserve"> Implant (</w:t>
      </w:r>
      <w:r>
        <w:t>BCI</w:t>
      </w:r>
      <w:r w:rsidR="00E618A9">
        <w:t>)</w:t>
      </w:r>
      <w:r>
        <w:t xml:space="preserve"> on the </w:t>
      </w:r>
      <w:r w:rsidR="00E618A9" w:rsidRPr="0000666A">
        <w:t>Pr</w:t>
      </w:r>
      <w:r w:rsidR="00E618A9" w:rsidRPr="00BB05DE">
        <w:t>escribed</w:t>
      </w:r>
      <w:r w:rsidR="00E618A9">
        <w:t xml:space="preserve"> List of Medical Devices and Human Tissue Products (</w:t>
      </w:r>
      <w:r>
        <w:t>PL</w:t>
      </w:r>
      <w:r w:rsidR="00E618A9">
        <w:t>)</w:t>
      </w:r>
      <w:r>
        <w:t xml:space="preserve"> for use in the surgical repair of </w:t>
      </w:r>
      <w:r w:rsidR="00E618A9">
        <w:t>full thickness rotator cuff tear (</w:t>
      </w:r>
      <w:r>
        <w:t>FTRCT</w:t>
      </w:r>
      <w:r w:rsidR="00E618A9">
        <w:t>)</w:t>
      </w:r>
      <w:r>
        <w:t xml:space="preserve"> in conjunction with an existing MBS item (</w:t>
      </w:r>
      <w:hyperlink r:id="rId10" w:history="1">
        <w:r w:rsidRPr="00EA0AF5">
          <w:rPr>
            <w:rStyle w:val="Hyperlink"/>
          </w:rPr>
          <w:t>MBS item 48960</w:t>
        </w:r>
      </w:hyperlink>
      <w:r>
        <w:t>).</w:t>
      </w:r>
    </w:p>
    <w:p w14:paraId="563EC240" w14:textId="30413867" w:rsidR="00FE1C8B" w:rsidRDefault="00FE1C8B" w:rsidP="00FE1C8B">
      <w:r>
        <w:t xml:space="preserve">MSAC noted that </w:t>
      </w:r>
      <w:r w:rsidR="00DA1295">
        <w:t xml:space="preserve">rotator cuff tears </w:t>
      </w:r>
      <w:r>
        <w:t xml:space="preserve">are </w:t>
      </w:r>
      <w:r w:rsidR="00BC5552">
        <w:t xml:space="preserve">increasingly </w:t>
      </w:r>
      <w:r>
        <w:t xml:space="preserve">common with age. The clinical need claim </w:t>
      </w:r>
      <w:r w:rsidR="00BE3C51">
        <w:t>was</w:t>
      </w:r>
      <w:r>
        <w:t xml:space="preserve"> that standard surgical repair (standard suture or anchor repair, an established procedure in Australia) has a high failure rate due to frayed or retracted tendons. The eligible population are those patients </w:t>
      </w:r>
      <w:r w:rsidR="002817D1">
        <w:t xml:space="preserve">with FTRCT </w:t>
      </w:r>
      <w:r>
        <w:t xml:space="preserve">who fail 3 months of </w:t>
      </w:r>
      <w:r w:rsidR="001A57E1">
        <w:t>conservative medical management (CMM)</w:t>
      </w:r>
      <w:r>
        <w:t xml:space="preserve">. The intervention is </w:t>
      </w:r>
      <w:r w:rsidR="000674DC">
        <w:t xml:space="preserve">BCI as an adjunct to </w:t>
      </w:r>
      <w:r>
        <w:t>arthroscopic or mini-arthrotomy repair of the tendon performed by an orthopaedic surgeon and requires an arthroscopic theatre and an anaesthetist.</w:t>
      </w:r>
    </w:p>
    <w:p w14:paraId="40AF00AB" w14:textId="1AFE8756" w:rsidR="00FE1C8B" w:rsidRDefault="00FE1C8B" w:rsidP="00FE1C8B">
      <w:r>
        <w:t xml:space="preserve">The applicant </w:t>
      </w:r>
      <w:r w:rsidR="00F94FE9">
        <w:t>was</w:t>
      </w:r>
      <w:r>
        <w:t xml:space="preserve"> granted a hearing </w:t>
      </w:r>
      <w:r w:rsidR="00413F1A">
        <w:t>at</w:t>
      </w:r>
      <w:r>
        <w:t xml:space="preserve"> the </w:t>
      </w:r>
      <w:r w:rsidR="00452D51">
        <w:t xml:space="preserve">MSAC </w:t>
      </w:r>
      <w:r>
        <w:t>meeting. At this hearing, representatives of the applicant advised that tendon healing was a focus of the reapplication as it is a key challenge and determinant of success in rotat</w:t>
      </w:r>
      <w:r w:rsidR="00452D51">
        <w:t>or</w:t>
      </w:r>
      <w:r>
        <w:t xml:space="preserve"> cuff repair. The representatives reiterated that published literature, which aligns with </w:t>
      </w:r>
      <w:r w:rsidR="00F721BB">
        <w:t xml:space="preserve">the American Academy of Orthopaedic Surgeons </w:t>
      </w:r>
      <w:r w:rsidR="003F5DD4">
        <w:t xml:space="preserve">(AAOS) </w:t>
      </w:r>
      <w:r>
        <w:t>guidelines</w:t>
      </w:r>
      <w:r w:rsidR="00630B79">
        <w:t xml:space="preserve"> (2019)</w:t>
      </w:r>
      <w:r>
        <w:t xml:space="preserve">, </w:t>
      </w:r>
      <w:r w:rsidR="00413F1A">
        <w:t xml:space="preserve">supports </w:t>
      </w:r>
      <w:r>
        <w:t xml:space="preserve">the link between tendon healing and improved patient outcomes. Additionally, the </w:t>
      </w:r>
      <w:r w:rsidR="00866157">
        <w:t xml:space="preserve">representatives considered that the </w:t>
      </w:r>
      <w:r>
        <w:t xml:space="preserve">economic model and financial analysis presented </w:t>
      </w:r>
      <w:r w:rsidR="00A74AF2">
        <w:t xml:space="preserve">were </w:t>
      </w:r>
      <w:r>
        <w:t xml:space="preserve">conservative and align with clinical </w:t>
      </w:r>
      <w:r w:rsidR="2FF0F888">
        <w:t>experience</w:t>
      </w:r>
      <w:r>
        <w:t xml:space="preserve">. </w:t>
      </w:r>
      <w:r w:rsidR="00DA4C4D">
        <w:t>MSAC noted that an applicant-sponsored 2022 multicentre RCT (</w:t>
      </w:r>
      <w:r w:rsidR="00DA4C4D" w:rsidRPr="00467DBC">
        <w:t>NCT04450342</w:t>
      </w:r>
      <w:r w:rsidR="00DA4C4D">
        <w:t>)</w:t>
      </w:r>
      <w:r w:rsidR="00DA4C4D">
        <w:rPr>
          <w:rStyle w:val="FootnoteReference"/>
        </w:rPr>
        <w:footnoteReference w:id="2"/>
      </w:r>
      <w:r w:rsidR="00DA4C4D">
        <w:t xml:space="preserve"> had been terminated by the applicant. At the hearing, representatives of the applicant advised that the RCT had been terminated because the trial study design was based on early experience with BCI and had enrolled participants with various risk factors for retear, the number and variability of which </w:t>
      </w:r>
      <w:r w:rsidR="00DA4C4D" w:rsidRPr="005D321D">
        <w:t>made it impractical to achieve a sample size necessary to statistically account for all risk factors and evaluate the influence of augmentation</w:t>
      </w:r>
      <w:r w:rsidR="00DA4C4D">
        <w:t xml:space="preserve">. </w:t>
      </w:r>
      <w:r w:rsidR="006F055E">
        <w:t>MSA</w:t>
      </w:r>
      <w:r w:rsidR="000733BB">
        <w:t xml:space="preserve">C acknowledged </w:t>
      </w:r>
      <w:r w:rsidR="00B71BCB">
        <w:t>the</w:t>
      </w:r>
      <w:r>
        <w:t xml:space="preserve"> representative</w:t>
      </w:r>
      <w:r w:rsidR="000733BB">
        <w:t>s</w:t>
      </w:r>
      <w:r w:rsidR="00205356">
        <w:t>’</w:t>
      </w:r>
      <w:r w:rsidR="000733BB">
        <w:t xml:space="preserve"> concerns</w:t>
      </w:r>
      <w:r w:rsidR="0063388D">
        <w:t>,</w:t>
      </w:r>
      <w:r>
        <w:t xml:space="preserve"> also</w:t>
      </w:r>
      <w:r w:rsidR="000733BB">
        <w:t xml:space="preserve"> made in</w:t>
      </w:r>
      <w:r>
        <w:t xml:space="preserve"> the pre-MSAC response</w:t>
      </w:r>
      <w:r w:rsidR="0063388D">
        <w:t>,</w:t>
      </w:r>
      <w:r>
        <w:t xml:space="preserve"> regarding </w:t>
      </w:r>
      <w:r w:rsidR="0068241E">
        <w:t xml:space="preserve">what they interpreted as </w:t>
      </w:r>
      <w:r>
        <w:t>errors of fact in the ESC report</w:t>
      </w:r>
      <w:r w:rsidR="00AE42E3">
        <w:t xml:space="preserve"> and </w:t>
      </w:r>
      <w:r w:rsidR="007E23C6">
        <w:t xml:space="preserve">potential </w:t>
      </w:r>
      <w:r w:rsidR="00560980">
        <w:t>mis</w:t>
      </w:r>
      <w:r>
        <w:t>representation</w:t>
      </w:r>
      <w:r w:rsidR="00AE42E3">
        <w:t xml:space="preserve"> and emp</w:t>
      </w:r>
      <w:r w:rsidR="00560980">
        <w:t>hasis</w:t>
      </w:r>
      <w:r>
        <w:t xml:space="preserve"> of public consultation input.</w:t>
      </w:r>
      <w:r w:rsidR="002866E0">
        <w:t xml:space="preserve"> MSAC </w:t>
      </w:r>
      <w:r w:rsidR="00D81EA0">
        <w:t>agreed</w:t>
      </w:r>
      <w:r w:rsidR="00D4684A">
        <w:t xml:space="preserve"> the omission </w:t>
      </w:r>
      <w:r w:rsidR="00F45053">
        <w:t xml:space="preserve">of </w:t>
      </w:r>
      <w:r w:rsidR="00E06C5A">
        <w:t xml:space="preserve">reference </w:t>
      </w:r>
      <w:r w:rsidR="00377D67">
        <w:t>to the published article</w:t>
      </w:r>
      <w:r w:rsidR="00F45053">
        <w:t xml:space="preserve"> in the commentary </w:t>
      </w:r>
      <w:r w:rsidR="00D81EA0">
        <w:t>was an error of fact</w:t>
      </w:r>
      <w:r w:rsidR="0042602E">
        <w:t xml:space="preserve"> </w:t>
      </w:r>
      <w:r w:rsidR="0016132A">
        <w:t xml:space="preserve">and </w:t>
      </w:r>
      <w:r w:rsidR="0042602E">
        <w:t>would be corrected in the PSD</w:t>
      </w:r>
      <w:r w:rsidR="0016132A">
        <w:t xml:space="preserve">. MSAC considered that </w:t>
      </w:r>
      <w:r w:rsidR="00CF1158">
        <w:t>no</w:t>
      </w:r>
      <w:r w:rsidR="00BA0A20">
        <w:t>ne of the other matters raised in the</w:t>
      </w:r>
      <w:r w:rsidR="00EF6DF1">
        <w:t xml:space="preserve"> hearing or pre-MSAC response </w:t>
      </w:r>
      <w:r w:rsidR="000A7A68">
        <w:t xml:space="preserve">constituted </w:t>
      </w:r>
      <w:r w:rsidR="0068241E">
        <w:t xml:space="preserve">materially important </w:t>
      </w:r>
      <w:r w:rsidR="007C2A77">
        <w:t>error</w:t>
      </w:r>
      <w:r w:rsidR="0068241E">
        <w:t>s</w:t>
      </w:r>
      <w:r w:rsidR="007C2A77">
        <w:t xml:space="preserve"> of fact</w:t>
      </w:r>
      <w:r w:rsidR="00ED3942">
        <w:t>. The</w:t>
      </w:r>
      <w:r w:rsidR="00394DC2">
        <w:t xml:space="preserve"> concerns are addressed throughout </w:t>
      </w:r>
      <w:r w:rsidR="00EC57DA">
        <w:t>the PSD</w:t>
      </w:r>
      <w:r w:rsidR="00AE644B">
        <w:t>.</w:t>
      </w:r>
    </w:p>
    <w:p w14:paraId="14B97DC9" w14:textId="3DD2292B" w:rsidR="00FE1C8B" w:rsidRDefault="00FE1C8B" w:rsidP="00FE1C8B">
      <w:r>
        <w:t>MSAC noted that feedback was received from</w:t>
      </w:r>
      <w:r w:rsidR="0063388D">
        <w:t xml:space="preserve"> 24 clinic</w:t>
      </w:r>
      <w:r w:rsidR="0087608C">
        <w:t>i</w:t>
      </w:r>
      <w:r w:rsidR="0063388D">
        <w:t xml:space="preserve">ans and </w:t>
      </w:r>
      <w:r>
        <w:t>5 consumers</w:t>
      </w:r>
      <w:r w:rsidR="002F1A69" w:rsidRPr="002F1A69">
        <w:t xml:space="preserve">. As the closing date for MSAC consultation fell during the ESC meeting, only feedback received </w:t>
      </w:r>
      <w:r w:rsidR="002F1A69" w:rsidRPr="002F1A69">
        <w:rPr>
          <w:i/>
          <w:iCs/>
        </w:rPr>
        <w:t>prior</w:t>
      </w:r>
      <w:r w:rsidR="002F1A69" w:rsidRPr="002F1A69">
        <w:t xml:space="preserve"> to ESC was considered by ESC and described in the ESC Report</w:t>
      </w:r>
      <w:r w:rsidR="00DC01A2">
        <w:t>.</w:t>
      </w:r>
      <w:r w:rsidR="009F4946">
        <w:t xml:space="preserve"> </w:t>
      </w:r>
      <w:r w:rsidR="002F1A69" w:rsidRPr="002F1A69">
        <w:t xml:space="preserve">However, all feedback was considered by </w:t>
      </w:r>
      <w:r w:rsidR="002F1A69" w:rsidRPr="002F1A69">
        <w:lastRenderedPageBreak/>
        <w:t>MSAC</w:t>
      </w:r>
      <w:r w:rsidR="008E48DE">
        <w:t>.</w:t>
      </w:r>
      <w:r w:rsidR="00AF34CF">
        <w:t xml:space="preserve"> </w:t>
      </w:r>
      <w:r w:rsidR="008E48DE">
        <w:t>MSAC noted</w:t>
      </w:r>
      <w:r w:rsidR="00CB12A9">
        <w:t xml:space="preserve"> 3 of the consumers</w:t>
      </w:r>
      <w:r w:rsidR="00904460">
        <w:t xml:space="preserve"> </w:t>
      </w:r>
      <w:r>
        <w:t xml:space="preserve">had experienced rotator cuff tears </w:t>
      </w:r>
      <w:r w:rsidR="00DF20B6">
        <w:t xml:space="preserve">and </w:t>
      </w:r>
      <w:r>
        <w:t xml:space="preserve">2 </w:t>
      </w:r>
      <w:r w:rsidR="00C95367">
        <w:t xml:space="preserve">of those </w:t>
      </w:r>
      <w:r>
        <w:t xml:space="preserve">had received BCI. </w:t>
      </w:r>
    </w:p>
    <w:p w14:paraId="2B1B3D72" w14:textId="61883EA1" w:rsidR="00FE1C8B" w:rsidRDefault="00FE1C8B" w:rsidP="00FE1C8B">
      <w:r>
        <w:t xml:space="preserve">MSAC noted the pre-MSAC response regarding the reference to the Ruiz </w:t>
      </w:r>
      <w:proofErr w:type="spellStart"/>
      <w:r>
        <w:t>Ibán</w:t>
      </w:r>
      <w:proofErr w:type="spellEnd"/>
      <w:r>
        <w:t xml:space="preserve"> et al. 2025 RCT in the </w:t>
      </w:r>
      <w:r w:rsidR="000B4574">
        <w:t>commentary</w:t>
      </w:r>
      <w:r>
        <w:t xml:space="preserve"> as ‘unpublished’. MSAC acknowledged that this study had been published </w:t>
      </w:r>
      <w:r w:rsidR="002F1A69">
        <w:t>just prior to</w:t>
      </w:r>
      <w:r>
        <w:t xml:space="preserve"> ESC’s</w:t>
      </w:r>
      <w:r w:rsidR="000B4574">
        <w:t xml:space="preserve"> consideration</w:t>
      </w:r>
      <w:r>
        <w:t xml:space="preserve">. MSAC also accepted the Ruiz </w:t>
      </w:r>
      <w:proofErr w:type="spellStart"/>
      <w:r>
        <w:t>Ibán</w:t>
      </w:r>
      <w:proofErr w:type="spellEnd"/>
      <w:r>
        <w:t xml:space="preserve"> et al. 2025 RCT as the primary source of clinical evidence for the FTRCT population. However, MSAC </w:t>
      </w:r>
      <w:r w:rsidR="00ED2D89">
        <w:t xml:space="preserve">did not agree </w:t>
      </w:r>
      <w:r>
        <w:t xml:space="preserve">with the pre-MSAC response </w:t>
      </w:r>
      <w:r w:rsidR="00A4221C">
        <w:t>characterising</w:t>
      </w:r>
      <w:r>
        <w:t xml:space="preserve"> RCTs </w:t>
      </w:r>
      <w:r w:rsidR="00E03EFD">
        <w:t>as</w:t>
      </w:r>
      <w:r>
        <w:t xml:space="preserve"> </w:t>
      </w:r>
      <w:r w:rsidR="002F1A69">
        <w:t>‘</w:t>
      </w:r>
      <w:r>
        <w:t>Level 1 evidence</w:t>
      </w:r>
      <w:r w:rsidR="002F1A69">
        <w:t>’</w:t>
      </w:r>
      <w:r>
        <w:t xml:space="preserve"> as </w:t>
      </w:r>
      <w:r w:rsidR="00ED332E">
        <w:t xml:space="preserve">RCTs </w:t>
      </w:r>
      <w:r>
        <w:t xml:space="preserve">are Level 2 evidence according to the </w:t>
      </w:r>
      <w:r w:rsidRPr="007B1711">
        <w:t>Australian National Health and Medical Research Council (NHMRC)</w:t>
      </w:r>
      <w:r>
        <w:t xml:space="preserve"> framework </w:t>
      </w:r>
      <w:r w:rsidR="00C22C34">
        <w:t xml:space="preserve">with </w:t>
      </w:r>
      <w:r>
        <w:t xml:space="preserve">Level 1 evidence </w:t>
      </w:r>
      <w:r w:rsidR="00C22C34">
        <w:t xml:space="preserve">being </w:t>
      </w:r>
      <w:r>
        <w:t>derived from a systematic review</w:t>
      </w:r>
      <w:r w:rsidR="008F2F05">
        <w:t xml:space="preserve"> of RCTs</w:t>
      </w:r>
      <w:r w:rsidR="00C94031">
        <w:rPr>
          <w:rStyle w:val="FootnoteReference"/>
        </w:rPr>
        <w:footnoteReference w:id="3"/>
      </w:r>
      <w:r w:rsidR="00C94031" w:rsidRPr="001F53AF">
        <w:rPr>
          <w:vertAlign w:val="superscript"/>
        </w:rPr>
        <w:t>,</w:t>
      </w:r>
      <w:r w:rsidR="00C22C34">
        <w:rPr>
          <w:rStyle w:val="FootnoteReference"/>
        </w:rPr>
        <w:footnoteReference w:id="4"/>
      </w:r>
      <w:r w:rsidR="00DE0214">
        <w:rPr>
          <w:vertAlign w:val="superscript"/>
        </w:rPr>
        <w:t>.</w:t>
      </w:r>
    </w:p>
    <w:p w14:paraId="505D84F9" w14:textId="510EAAF4" w:rsidR="004B5BC8" w:rsidRDefault="00FE1C8B" w:rsidP="00FE1C8B">
      <w:r>
        <w:t xml:space="preserve">MSAC </w:t>
      </w:r>
      <w:r w:rsidR="00822B15">
        <w:t>considered that</w:t>
      </w:r>
      <w:r>
        <w:t xml:space="preserve"> the safety of BCI was likely to be non-inferior to standard surgery alone</w:t>
      </w:r>
      <w:r w:rsidR="00A57181">
        <w:t>. MSAC considered surgery with BCI</w:t>
      </w:r>
      <w:r w:rsidR="00AF114F">
        <w:t xml:space="preserve"> </w:t>
      </w:r>
      <w:r>
        <w:t xml:space="preserve">was likely to </w:t>
      </w:r>
      <w:r w:rsidR="003A58C0">
        <w:t xml:space="preserve">have </w:t>
      </w:r>
      <w:r w:rsidR="005D3454">
        <w:t xml:space="preserve">non-inferior </w:t>
      </w:r>
      <w:r w:rsidR="003A58C0">
        <w:t xml:space="preserve">safety </w:t>
      </w:r>
      <w:r w:rsidR="00A57181">
        <w:t>to standard surgery</w:t>
      </w:r>
      <w:r w:rsidR="005D3454">
        <w:t xml:space="preserve"> </w:t>
      </w:r>
      <w:r w:rsidR="00A57181">
        <w:t>in the</w:t>
      </w:r>
      <w:r w:rsidR="005D3454">
        <w:t xml:space="preserve"> </w:t>
      </w:r>
      <w:r>
        <w:t>longer term as the BCI graft is absorbed within 6 months.</w:t>
      </w:r>
    </w:p>
    <w:p w14:paraId="39BFD07F" w14:textId="29A61BCC" w:rsidR="00657105" w:rsidRDefault="00811C52" w:rsidP="00FE1C8B">
      <w:r>
        <w:t>MSAC noted the clinical claim that surgical repair with BCI has superior effectiveness</w:t>
      </w:r>
      <w:r w:rsidR="00445FBA">
        <w:t>,</w:t>
      </w:r>
      <w:r>
        <w:t xml:space="preserve"> based on a reduction in retear rate on radiographic imaging</w:t>
      </w:r>
      <w:r w:rsidR="00610643">
        <w:t>.</w:t>
      </w:r>
      <w:r>
        <w:t xml:space="preserve"> </w:t>
      </w:r>
      <w:r w:rsidR="00FE1C8B">
        <w:t xml:space="preserve">MSAC </w:t>
      </w:r>
      <w:r w:rsidR="00EA7F96">
        <w:t xml:space="preserve">recalled its previous concerns regarding the reliance on radiological differences such as a reduction in retear rate </w:t>
      </w:r>
      <w:r w:rsidR="00A74A97">
        <w:t>to support</w:t>
      </w:r>
      <w:r w:rsidR="00A50EB0">
        <w:t xml:space="preserve"> the claim</w:t>
      </w:r>
      <w:r w:rsidR="00EA7F96">
        <w:t xml:space="preserve"> of superior effectiveness for BCI (see PSD for </w:t>
      </w:r>
      <w:r w:rsidR="009000BB">
        <w:t xml:space="preserve">Application </w:t>
      </w:r>
      <w:r w:rsidR="00EA7F96">
        <w:t xml:space="preserve">1593.1). MSAC </w:t>
      </w:r>
      <w:r w:rsidR="00C0652D">
        <w:t xml:space="preserve">considered functional outcomes </w:t>
      </w:r>
      <w:r w:rsidR="00E1686D">
        <w:t>(</w:t>
      </w:r>
      <w:r w:rsidR="00A82450">
        <w:t xml:space="preserve">also known as </w:t>
      </w:r>
      <w:r w:rsidR="00E1686D">
        <w:t>P</w:t>
      </w:r>
      <w:r w:rsidR="00EA7F96">
        <w:t>atient-</w:t>
      </w:r>
      <w:r w:rsidR="00E1686D">
        <w:t>R</w:t>
      </w:r>
      <w:r w:rsidR="00EA7F96">
        <w:t xml:space="preserve">eported </w:t>
      </w:r>
      <w:r w:rsidR="00E1686D">
        <w:t>O</w:t>
      </w:r>
      <w:r w:rsidR="00EA7F96">
        <w:t xml:space="preserve">utcome </w:t>
      </w:r>
      <w:r w:rsidR="00E1686D">
        <w:t>M</w:t>
      </w:r>
      <w:r w:rsidR="00EA7F96">
        <w:t>easure</w:t>
      </w:r>
      <w:r w:rsidR="00E1686D">
        <w:t>s</w:t>
      </w:r>
      <w:r w:rsidR="000F1A14">
        <w:t xml:space="preserve"> </w:t>
      </w:r>
      <w:r w:rsidR="002C1B6F">
        <w:t xml:space="preserve">or </w:t>
      </w:r>
      <w:r w:rsidR="000F1A14">
        <w:t>PROMS</w:t>
      </w:r>
      <w:r w:rsidR="00E1686D">
        <w:t>)</w:t>
      </w:r>
      <w:r w:rsidR="00C0652D">
        <w:t xml:space="preserve"> that measure a patient’s pain</w:t>
      </w:r>
      <w:r w:rsidR="007B026F">
        <w:t>, activities of daily living</w:t>
      </w:r>
      <w:r w:rsidR="00C0652D">
        <w:t xml:space="preserve"> and </w:t>
      </w:r>
      <w:r w:rsidR="007B026F">
        <w:t>shoulder function are the most relevant outcomes for assessing whether BCI provides better outcomes</w:t>
      </w:r>
      <w:r w:rsidR="00AF55D4">
        <w:t xml:space="preserve"> than standard surgical care</w:t>
      </w:r>
      <w:r w:rsidR="007B026F">
        <w:t>. MSAC noted</w:t>
      </w:r>
      <w:r w:rsidR="00F65C70">
        <w:t xml:space="preserve"> that Ruiz </w:t>
      </w:r>
      <w:proofErr w:type="spellStart"/>
      <w:r w:rsidR="00F65C70">
        <w:t>Ibán</w:t>
      </w:r>
      <w:proofErr w:type="spellEnd"/>
      <w:r w:rsidR="00F65C70">
        <w:t xml:space="preserve"> et al. 2025 </w:t>
      </w:r>
      <w:r w:rsidR="00E4177D">
        <w:t xml:space="preserve">included </w:t>
      </w:r>
      <w:r w:rsidR="0091531A">
        <w:t>the</w:t>
      </w:r>
      <w:r w:rsidR="00E4177D">
        <w:t xml:space="preserve"> </w:t>
      </w:r>
      <w:r w:rsidR="001F738F" w:rsidRPr="004C77E9">
        <w:t>C</w:t>
      </w:r>
      <w:r w:rsidR="005D25C4" w:rsidRPr="004A22CC">
        <w:t xml:space="preserve">onstant </w:t>
      </w:r>
      <w:r w:rsidR="001F738F" w:rsidRPr="004C77E9">
        <w:t>M</w:t>
      </w:r>
      <w:r w:rsidR="005D25C4" w:rsidRPr="004A22CC">
        <w:t xml:space="preserve">urley </w:t>
      </w:r>
      <w:r w:rsidR="001F738F" w:rsidRPr="004C77E9">
        <w:t>S</w:t>
      </w:r>
      <w:r w:rsidR="005D25C4" w:rsidRPr="004A22CC">
        <w:t>core (CMS)</w:t>
      </w:r>
      <w:r w:rsidR="001F738F" w:rsidRPr="004C77E9">
        <w:t xml:space="preserve"> and </w:t>
      </w:r>
      <w:r w:rsidR="00D367B1" w:rsidRPr="004C77E9">
        <w:t>the American Shoulder and Elbow Society (ASES) score</w:t>
      </w:r>
      <w:r w:rsidR="00D367B1" w:rsidRPr="004C77E9" w:rsidDel="00D367B1">
        <w:t xml:space="preserve"> </w:t>
      </w:r>
      <w:r w:rsidR="001F738F">
        <w:t>as functional outcomes</w:t>
      </w:r>
      <w:r w:rsidR="00A2317A">
        <w:t xml:space="preserve">, and that neither measure </w:t>
      </w:r>
      <w:r w:rsidR="002F132E">
        <w:t xml:space="preserve">demonstrated </w:t>
      </w:r>
      <w:r w:rsidR="00A2317A">
        <w:t xml:space="preserve">a </w:t>
      </w:r>
      <w:r w:rsidR="007B696E">
        <w:t>difference at any time point between the BCI and standard surgical care groups</w:t>
      </w:r>
      <w:r w:rsidR="001F738F">
        <w:t>.</w:t>
      </w:r>
      <w:r w:rsidR="00175C89">
        <w:t xml:space="preserve"> </w:t>
      </w:r>
      <w:r w:rsidR="0068241E">
        <w:t xml:space="preserve">MSAC noted that this was consistent with the authors’ own conclusions in that there was a lack of “clear difference in clinical outcomes between groups at 2-year follow up”. </w:t>
      </w:r>
      <w:r w:rsidR="006B1A4F">
        <w:t xml:space="preserve">MSAC noted the discussion in Ruiz </w:t>
      </w:r>
      <w:proofErr w:type="spellStart"/>
      <w:r w:rsidR="006B1A4F">
        <w:t>Ibán</w:t>
      </w:r>
      <w:proofErr w:type="spellEnd"/>
      <w:r w:rsidR="006B1A4F">
        <w:t xml:space="preserve"> et al. 2025 hypothesised that longer-term follow-up of the subjects would be required to observe any between-group differences in clinical outcomes.</w:t>
      </w:r>
    </w:p>
    <w:p w14:paraId="43AF2624" w14:textId="0E0B07F8" w:rsidR="0020704B" w:rsidRDefault="0063108F" w:rsidP="00FE1C8B">
      <w:r>
        <w:t>At the hearing, representatives of the applicant reiterated that BCI results in clinically meaningful higher rates of tendon healing than standard surgical repair</w:t>
      </w:r>
      <w:r w:rsidR="00F45648">
        <w:t xml:space="preserve">. The applicant </w:t>
      </w:r>
      <w:r w:rsidR="00952ECE">
        <w:t xml:space="preserve">highlighted </w:t>
      </w:r>
      <w:r w:rsidR="008E256A">
        <w:t>a</w:t>
      </w:r>
      <w:r w:rsidR="00636116">
        <w:t xml:space="preserve"> </w:t>
      </w:r>
      <w:r w:rsidR="00CC4B6F">
        <w:t xml:space="preserve">post hoc </w:t>
      </w:r>
      <w:r w:rsidR="00636116">
        <w:t>an</w:t>
      </w:r>
      <w:r w:rsidR="002A5429">
        <w:t>alysis</w:t>
      </w:r>
      <w:r w:rsidR="00DE4E54">
        <w:t xml:space="preserve"> </w:t>
      </w:r>
      <w:r w:rsidR="009318D1">
        <w:t xml:space="preserve">that combined the </w:t>
      </w:r>
      <w:r w:rsidR="00DE4E54">
        <w:t xml:space="preserve">Ruiz </w:t>
      </w:r>
      <w:proofErr w:type="spellStart"/>
      <w:r w:rsidR="00DE4E54">
        <w:t>Ibán</w:t>
      </w:r>
      <w:proofErr w:type="spellEnd"/>
      <w:r w:rsidR="00DE4E54">
        <w:t xml:space="preserve"> et al. 2025 </w:t>
      </w:r>
      <w:r w:rsidR="00FE5CEB">
        <w:t>participants</w:t>
      </w:r>
      <w:r w:rsidR="009318D1">
        <w:t>. This analysis</w:t>
      </w:r>
      <w:r w:rsidR="00FE5CEB">
        <w:t xml:space="preserve"> </w:t>
      </w:r>
      <w:r w:rsidR="003869FE">
        <w:t xml:space="preserve">reported that </w:t>
      </w:r>
      <w:r w:rsidR="001C4640">
        <w:t xml:space="preserve">people with </w:t>
      </w:r>
      <w:r>
        <w:t>healed tendons</w:t>
      </w:r>
      <w:r w:rsidR="00C279F9">
        <w:t xml:space="preserve"> </w:t>
      </w:r>
      <w:r>
        <w:t xml:space="preserve">had better outcomes after 2 years compared to </w:t>
      </w:r>
      <w:r w:rsidR="001C4640">
        <w:t xml:space="preserve">those with </w:t>
      </w:r>
      <w:r>
        <w:t>tendons that fail to heal</w:t>
      </w:r>
      <w:r w:rsidR="0074329E">
        <w:t>, irrespective of treatment group</w:t>
      </w:r>
      <w:r w:rsidR="00AC36B4">
        <w:t>.</w:t>
      </w:r>
      <w:r w:rsidR="00822B15">
        <w:t xml:space="preserve"> </w:t>
      </w:r>
      <w:r w:rsidR="0020704B">
        <w:t xml:space="preserve">MSAC considered this </w:t>
      </w:r>
      <w:r w:rsidR="00CC4B6F">
        <w:t xml:space="preserve">post hoc </w:t>
      </w:r>
      <w:r w:rsidR="0020704B" w:rsidRPr="00897117">
        <w:t>analys</w:t>
      </w:r>
      <w:r w:rsidR="009F068E">
        <w:t>is</w:t>
      </w:r>
      <w:r w:rsidR="0020704B" w:rsidRPr="00897117">
        <w:t xml:space="preserve"> of </w:t>
      </w:r>
      <w:r w:rsidR="0016148F">
        <w:t>trial</w:t>
      </w:r>
      <w:r w:rsidR="0020704B">
        <w:t xml:space="preserve"> participants</w:t>
      </w:r>
      <w:r w:rsidR="00CF1089">
        <w:t xml:space="preserve"> </w:t>
      </w:r>
      <w:r w:rsidR="00A84E5E">
        <w:t xml:space="preserve">from Ruiz </w:t>
      </w:r>
      <w:proofErr w:type="spellStart"/>
      <w:r w:rsidR="00A84E5E">
        <w:t>Ibán</w:t>
      </w:r>
      <w:proofErr w:type="spellEnd"/>
      <w:r w:rsidR="00A84E5E">
        <w:t xml:space="preserve"> et al. 2025 </w:t>
      </w:r>
      <w:r w:rsidR="00FA52D7">
        <w:t>was a lower level of evidence than the</w:t>
      </w:r>
      <w:r w:rsidR="004B08D2">
        <w:t xml:space="preserve"> comparison of </w:t>
      </w:r>
      <w:r w:rsidR="00851897">
        <w:t>PROM</w:t>
      </w:r>
      <w:r w:rsidR="00BD2A40">
        <w:t>s</w:t>
      </w:r>
      <w:r w:rsidR="00851897">
        <w:t xml:space="preserve"> between the randomised groups. MSAC considered this </w:t>
      </w:r>
      <w:r w:rsidR="00C70B08">
        <w:t xml:space="preserve">post hoc </w:t>
      </w:r>
      <w:r w:rsidR="00851897">
        <w:t xml:space="preserve">analysis </w:t>
      </w:r>
      <w:r w:rsidR="00A84E5E">
        <w:t xml:space="preserve">has a </w:t>
      </w:r>
      <w:r w:rsidR="0020704B">
        <w:t xml:space="preserve">higher risk of bias </w:t>
      </w:r>
      <w:r w:rsidR="002B3F8E">
        <w:t>because it was no</w:t>
      </w:r>
      <w:r w:rsidR="00D028CA">
        <w:t xml:space="preserve"> </w:t>
      </w:r>
      <w:r w:rsidR="002B3F8E">
        <w:t xml:space="preserve">longer </w:t>
      </w:r>
      <w:r w:rsidR="00DC0D21">
        <w:t xml:space="preserve">making a comparison </w:t>
      </w:r>
      <w:r w:rsidR="008433AD">
        <w:t>between</w:t>
      </w:r>
      <w:r w:rsidR="0020704B">
        <w:t xml:space="preserve"> </w:t>
      </w:r>
      <w:r w:rsidR="00D028CA">
        <w:t xml:space="preserve">randomised groups. </w:t>
      </w:r>
      <w:r w:rsidR="0020704B">
        <w:t xml:space="preserve"> </w:t>
      </w:r>
    </w:p>
    <w:p w14:paraId="74D6F2F2" w14:textId="47AC9A7A" w:rsidR="00657105" w:rsidRDefault="00822B15" w:rsidP="00FE1C8B">
      <w:r>
        <w:t xml:space="preserve">MSAC noted </w:t>
      </w:r>
      <w:r w:rsidR="0074329E">
        <w:t xml:space="preserve">the applicant-developed assessment report (ADAR) </w:t>
      </w:r>
      <w:r>
        <w:t>did include functional outcomes</w:t>
      </w:r>
      <w:r w:rsidR="00F343FC">
        <w:t xml:space="preserve"> and included a list, but not an analysis, of observational and experimental evidence to support the claims of tendon regeneration (mostly histology studies), reduction of retear risk (mix of observational and clinical studies) and improvement in functional outcomes (mix of observational and clinical studies).</w:t>
      </w:r>
      <w:r w:rsidR="00F0020C">
        <w:t xml:space="preserve"> </w:t>
      </w:r>
    </w:p>
    <w:p w14:paraId="664420F2" w14:textId="551DC339" w:rsidR="006B1A4F" w:rsidRDefault="00F0020C" w:rsidP="00FE1C8B">
      <w:r>
        <w:t>MSAC considered</w:t>
      </w:r>
      <w:r w:rsidR="00822B15">
        <w:t xml:space="preserve"> </w:t>
      </w:r>
      <w:r w:rsidR="00730D2B">
        <w:t>the ADAR</w:t>
      </w:r>
      <w:r w:rsidR="0074329E">
        <w:t xml:space="preserve"> </w:t>
      </w:r>
      <w:r w:rsidR="00745B54">
        <w:t>did not</w:t>
      </w:r>
      <w:r w:rsidR="00822B15">
        <w:t xml:space="preserve"> establish that either radiographic retears (which may or may not be symptomatic) or tendon regeneration are surrogate outcomes for longer-term functional </w:t>
      </w:r>
      <w:r w:rsidR="00822B15">
        <w:lastRenderedPageBreak/>
        <w:t xml:space="preserve">outcomes, as per the </w:t>
      </w:r>
      <w:r w:rsidR="002B6C86">
        <w:t>MSAC Guidelines</w:t>
      </w:r>
      <w:r w:rsidR="002B6C86">
        <w:rPr>
          <w:rStyle w:val="FootnoteReference"/>
        </w:rPr>
        <w:footnoteReference w:id="5"/>
      </w:r>
      <w:r w:rsidR="00822B15">
        <w:t>.</w:t>
      </w:r>
      <w:r w:rsidR="004B3073">
        <w:t xml:space="preserve"> </w:t>
      </w:r>
      <w:r w:rsidR="00FE1C8B">
        <w:t xml:space="preserve">MSAC noted </w:t>
      </w:r>
      <w:r w:rsidR="0024092E">
        <w:t xml:space="preserve">that </w:t>
      </w:r>
      <w:r w:rsidR="00FF49BF">
        <w:t>although retear rates for the BCI graft</w:t>
      </w:r>
      <w:r w:rsidR="006D26CE">
        <w:t xml:space="preserve"> at </w:t>
      </w:r>
      <w:r w:rsidR="008F0C4D">
        <w:t>24 months</w:t>
      </w:r>
      <w:r w:rsidR="00FF49BF">
        <w:t xml:space="preserve"> </w:t>
      </w:r>
      <w:r w:rsidR="008023E0">
        <w:t xml:space="preserve">were </w:t>
      </w:r>
      <w:r w:rsidR="00FF49BF">
        <w:t>12</w:t>
      </w:r>
      <w:r w:rsidR="008023E0">
        <w:t>%</w:t>
      </w:r>
      <w:r w:rsidR="001E340F">
        <w:t xml:space="preserve"> compared to </w:t>
      </w:r>
      <w:r w:rsidR="008023E0">
        <w:t>35% for the standard treatment group,</w:t>
      </w:r>
      <w:r w:rsidR="00FF49BF">
        <w:t xml:space="preserve"> </w:t>
      </w:r>
      <w:r w:rsidR="00FE1C8B">
        <w:t>the PROMs were not significantly different between groups at 6, 12 or 24 months</w:t>
      </w:r>
      <w:r w:rsidR="00FF49BF">
        <w:t>.</w:t>
      </w:r>
      <w:r w:rsidR="00F156EC">
        <w:t xml:space="preserve"> </w:t>
      </w:r>
      <w:r w:rsidR="00FE1C8B">
        <w:t xml:space="preserve">MSAC also noted that </w:t>
      </w:r>
      <w:r w:rsidR="009F006C">
        <w:t>there was no d</w:t>
      </w:r>
      <w:r w:rsidR="004B595C">
        <w:t>ifference</w:t>
      </w:r>
      <w:r w:rsidR="00FE1C8B">
        <w:t xml:space="preserve"> </w:t>
      </w:r>
      <w:r w:rsidR="00433115">
        <w:t xml:space="preserve">in </w:t>
      </w:r>
      <w:r w:rsidR="002E2BF1">
        <w:t xml:space="preserve">CMS </w:t>
      </w:r>
      <w:r w:rsidR="00433115">
        <w:t>pain</w:t>
      </w:r>
      <w:r w:rsidR="00EA63BF">
        <w:t xml:space="preserve"> domain</w:t>
      </w:r>
      <w:r w:rsidR="00433115">
        <w:t xml:space="preserve"> </w:t>
      </w:r>
      <w:r w:rsidR="002E2BF1">
        <w:t>score</w:t>
      </w:r>
      <w:r w:rsidR="008D470E">
        <w:t xml:space="preserve"> </w:t>
      </w:r>
      <w:r w:rsidR="00433115">
        <w:t>at any time point</w:t>
      </w:r>
      <w:r w:rsidR="00FE1C8B">
        <w:t xml:space="preserve"> </w:t>
      </w:r>
      <w:r w:rsidR="00FF49BF">
        <w:t>between</w:t>
      </w:r>
      <w:r w:rsidR="00D053C0">
        <w:t xml:space="preserve"> </w:t>
      </w:r>
      <w:r w:rsidR="00FB6594">
        <w:t xml:space="preserve">the BCI and standard surgical repair </w:t>
      </w:r>
      <w:r w:rsidR="00D053C0">
        <w:t>groups</w:t>
      </w:r>
      <w:r w:rsidR="00412A27">
        <w:t xml:space="preserve">. </w:t>
      </w:r>
    </w:p>
    <w:p w14:paraId="79BFB6DA" w14:textId="0687C4D9" w:rsidR="006D30C9" w:rsidRDefault="00657105" w:rsidP="00FE1C8B">
      <w:r>
        <w:t xml:space="preserve">Overall, </w:t>
      </w:r>
      <w:r w:rsidR="0003265F" w:rsidRPr="0003265F">
        <w:t xml:space="preserve">MSAC considered </w:t>
      </w:r>
      <w:r w:rsidR="003E16D3">
        <w:t xml:space="preserve">that a relationship between retear rates on imaging and functional outcomes </w:t>
      </w:r>
      <w:r w:rsidR="0003265F" w:rsidRPr="0003265F">
        <w:t xml:space="preserve">was not supported because </w:t>
      </w:r>
      <w:r w:rsidR="00303017">
        <w:t>higher quality</w:t>
      </w:r>
      <w:r w:rsidR="00471D34">
        <w:t>, direct</w:t>
      </w:r>
      <w:r w:rsidR="00303017">
        <w:t xml:space="preserve"> evidence from </w:t>
      </w:r>
      <w:r w:rsidR="0003265F" w:rsidRPr="0003265F">
        <w:t xml:space="preserve">the </w:t>
      </w:r>
      <w:r w:rsidR="00303017" w:rsidRPr="00303017">
        <w:t xml:space="preserve">Ruiz </w:t>
      </w:r>
      <w:proofErr w:type="spellStart"/>
      <w:r w:rsidR="00303017" w:rsidRPr="00303017">
        <w:t>Ibán</w:t>
      </w:r>
      <w:proofErr w:type="spellEnd"/>
      <w:r w:rsidR="00303017" w:rsidRPr="00303017">
        <w:t xml:space="preserve"> et al. 2025</w:t>
      </w:r>
      <w:r w:rsidR="0003265F" w:rsidRPr="0003265F">
        <w:t xml:space="preserve"> </w:t>
      </w:r>
      <w:r w:rsidR="008E2E92">
        <w:t xml:space="preserve">randomised </w:t>
      </w:r>
      <w:r w:rsidR="0003265F" w:rsidRPr="0003265F">
        <w:t xml:space="preserve">trial showed that </w:t>
      </w:r>
      <w:r w:rsidR="00180291">
        <w:t xml:space="preserve">while </w:t>
      </w:r>
      <w:r w:rsidR="0003265F" w:rsidRPr="0003265F">
        <w:t>surgery with BCI had a lower retear rate on imaging, functional outcomes were similar between patients who had surgery with BCI or standard surgery.</w:t>
      </w:r>
    </w:p>
    <w:p w14:paraId="58F4C8C4" w14:textId="32A22C93" w:rsidR="005D66E8" w:rsidRDefault="00FE1C8B" w:rsidP="005D66E8">
      <w:r>
        <w:t xml:space="preserve">MSAC noted that the economic evaluation </w:t>
      </w:r>
      <w:r w:rsidR="009F2A21">
        <w:t>included both a cost-effectiveness analysis (CEA) and</w:t>
      </w:r>
      <w:r>
        <w:t xml:space="preserve"> a cost-utility analysis </w:t>
      </w:r>
      <w:r w:rsidR="006F36C8">
        <w:t xml:space="preserve">(CUA) </w:t>
      </w:r>
      <w:r>
        <w:t>based on CMS outcomes</w:t>
      </w:r>
      <w:r w:rsidR="00843C0A">
        <w:t xml:space="preserve"> </w:t>
      </w:r>
      <w:r w:rsidR="006540BA">
        <w:t>with</w:t>
      </w:r>
      <w:r>
        <w:t xml:space="preserve"> BCI </w:t>
      </w:r>
      <w:r w:rsidR="00730D2B">
        <w:t xml:space="preserve">claimed </w:t>
      </w:r>
      <w:r>
        <w:t xml:space="preserve">to be cost-effective based on healing and an average minimal clinically important difference (MCID) of 10.4 points for CMS. </w:t>
      </w:r>
      <w:r w:rsidR="00721653">
        <w:t xml:space="preserve"> </w:t>
      </w:r>
      <w:r w:rsidR="005D66E8">
        <w:t xml:space="preserve">MSAC noted that the model assumes that a proportion of patients with retears will undergo revision or reverse total shoulder arthroplasty regardless of whether the tears are symptomatic or not, and it is unclear whether this would occur in practice. </w:t>
      </w:r>
      <w:r w:rsidR="00336ED7">
        <w:t xml:space="preserve">MSAC noted there was no information provided </w:t>
      </w:r>
      <w:r w:rsidR="00B32398">
        <w:t xml:space="preserve">in the ADAR </w:t>
      </w:r>
      <w:r w:rsidR="00336ED7">
        <w:t>on the proportions of</w:t>
      </w:r>
      <w:r w:rsidR="005B6C2A">
        <w:t xml:space="preserve"> radiographically </w:t>
      </w:r>
      <w:r w:rsidR="003260CC">
        <w:t>detected retears</w:t>
      </w:r>
      <w:r w:rsidR="0041500D">
        <w:t xml:space="preserve"> </w:t>
      </w:r>
      <w:r w:rsidR="001D6975">
        <w:t>i</w:t>
      </w:r>
      <w:r w:rsidR="001D6975" w:rsidRPr="001D6975">
        <w:t xml:space="preserve">n Ruiz </w:t>
      </w:r>
      <w:proofErr w:type="spellStart"/>
      <w:r w:rsidR="001D6975" w:rsidRPr="001D6975">
        <w:t>Ibán</w:t>
      </w:r>
      <w:proofErr w:type="spellEnd"/>
      <w:r w:rsidR="001D6975" w:rsidRPr="001D6975">
        <w:t xml:space="preserve"> et al. 2025 </w:t>
      </w:r>
      <w:r w:rsidR="00336ED7">
        <w:t>that</w:t>
      </w:r>
      <w:r w:rsidR="00F312AE">
        <w:t xml:space="preserve"> were symptomatic.</w:t>
      </w:r>
    </w:p>
    <w:p w14:paraId="7BE75496" w14:textId="423A6263" w:rsidR="00FE1C8B" w:rsidRDefault="00FE1C8B" w:rsidP="00FE1C8B">
      <w:r>
        <w:t xml:space="preserve">The QALYs derived in the model </w:t>
      </w:r>
      <w:r w:rsidR="000577AD">
        <w:t>were</w:t>
      </w:r>
      <w:r>
        <w:t xml:space="preserve"> based on a post-hoc analysis of 112 </w:t>
      </w:r>
      <w:r w:rsidR="00BD46C2">
        <w:t xml:space="preserve">participants </w:t>
      </w:r>
      <w:r>
        <w:t xml:space="preserve">from the Ruiz </w:t>
      </w:r>
      <w:proofErr w:type="spellStart"/>
      <w:r>
        <w:t>Ibán</w:t>
      </w:r>
      <w:proofErr w:type="spellEnd"/>
      <w:r>
        <w:t xml:space="preserve"> et al. 2025 RCT that claim</w:t>
      </w:r>
      <w:r w:rsidR="000577AD">
        <w:t>ed</w:t>
      </w:r>
      <w:r>
        <w:t xml:space="preserve"> a relationship between radiographically detected retears and lower CMS, and unvalidated transformations of the EQ-5D Visual Analogue Scale (VAS) scores to derive </w:t>
      </w:r>
      <w:r w:rsidR="00ED226B">
        <w:t xml:space="preserve">values that were used as </w:t>
      </w:r>
      <w:r>
        <w:t>utility weights</w:t>
      </w:r>
      <w:r w:rsidR="00ED226B">
        <w:t>.</w:t>
      </w:r>
      <w:r>
        <w:t xml:space="preserve"> </w:t>
      </w:r>
      <w:r w:rsidR="006A661B">
        <w:t>MSAC noted that t</w:t>
      </w:r>
      <w:r w:rsidR="00350150">
        <w:t>he</w:t>
      </w:r>
      <w:r>
        <w:t xml:space="preserve"> Ruiz </w:t>
      </w:r>
      <w:proofErr w:type="spellStart"/>
      <w:r>
        <w:t>Ibán</w:t>
      </w:r>
      <w:proofErr w:type="spellEnd"/>
      <w:r>
        <w:t xml:space="preserve"> et al. 2025 RCT </w:t>
      </w:r>
      <w:r w:rsidR="00350150">
        <w:t xml:space="preserve">collected </w:t>
      </w:r>
      <w:r>
        <w:t xml:space="preserve">EQ-5D-5L descriptive scores </w:t>
      </w:r>
      <w:r w:rsidR="006A661B">
        <w:t xml:space="preserve">but that </w:t>
      </w:r>
      <w:r w:rsidR="00056E00">
        <w:t>these were not used to derive utility values.</w:t>
      </w:r>
      <w:r>
        <w:t xml:space="preserve"> </w:t>
      </w:r>
      <w:r w:rsidR="00E85355">
        <w:t xml:space="preserve">MSAC considered the EQ-5D-5L results </w:t>
      </w:r>
      <w:r w:rsidR="00AD433F">
        <w:t>from the trial</w:t>
      </w:r>
      <w:r w:rsidR="00E85355">
        <w:t xml:space="preserve"> </w:t>
      </w:r>
      <w:r w:rsidR="00BD426D">
        <w:t xml:space="preserve">could have been </w:t>
      </w:r>
      <w:r w:rsidR="00674F9E">
        <w:t>used to derive utility weights</w:t>
      </w:r>
      <w:r w:rsidR="005A7C65">
        <w:t xml:space="preserve"> </w:t>
      </w:r>
      <w:r>
        <w:t>(</w:t>
      </w:r>
      <w:r w:rsidR="005A7C65">
        <w:t>using</w:t>
      </w:r>
      <w:r>
        <w:t xml:space="preserve"> an Australian value set</w:t>
      </w:r>
      <w:r w:rsidR="005A7C65">
        <w:t xml:space="preserve">). </w:t>
      </w:r>
      <w:r w:rsidR="00CC0E8D">
        <w:t xml:space="preserve">MSAC considered this </w:t>
      </w:r>
      <w:r w:rsidR="00BE50AD">
        <w:t xml:space="preserve">would be </w:t>
      </w:r>
      <w:r w:rsidR="00945DC9">
        <w:t>the</w:t>
      </w:r>
      <w:r w:rsidR="00BE50AD">
        <w:t xml:space="preserve"> standard approach </w:t>
      </w:r>
      <w:r w:rsidR="00322528">
        <w:t xml:space="preserve">to derive </w:t>
      </w:r>
      <w:r w:rsidR="00945DC9">
        <w:t xml:space="preserve">trial-based </w:t>
      </w:r>
      <w:r w:rsidR="00322528">
        <w:t>utility values</w:t>
      </w:r>
      <w:r w:rsidR="00126803">
        <w:t>, and</w:t>
      </w:r>
      <w:r w:rsidR="005A7C65">
        <w:t xml:space="preserve"> </w:t>
      </w:r>
      <w:r w:rsidR="00A7131A">
        <w:t>consistent with</w:t>
      </w:r>
      <w:r w:rsidR="005A7C65">
        <w:t xml:space="preserve"> </w:t>
      </w:r>
      <w:r w:rsidR="00A7131A">
        <w:t>recommended</w:t>
      </w:r>
      <w:r>
        <w:t xml:space="preserve"> method</w:t>
      </w:r>
      <w:r w:rsidR="00A7131A">
        <w:t>s</w:t>
      </w:r>
      <w:r>
        <w:t xml:space="preserve"> for deriving utility weights, according to the MSAC Guidelines</w:t>
      </w:r>
      <w:r w:rsidR="00A04035">
        <w:rPr>
          <w:rStyle w:val="FootnoteReference"/>
        </w:rPr>
        <w:footnoteReference w:id="6"/>
      </w:r>
      <w:r>
        <w:t xml:space="preserve">. The use of EQ-5D VAS scores </w:t>
      </w:r>
      <w:r w:rsidR="007B2720">
        <w:t>to derive</w:t>
      </w:r>
      <w:r>
        <w:t xml:space="preserve"> utility weights </w:t>
      </w:r>
      <w:r w:rsidR="00F312AE">
        <w:t xml:space="preserve">was </w:t>
      </w:r>
      <w:r>
        <w:t xml:space="preserve">not an accepted use of the </w:t>
      </w:r>
      <w:r w:rsidR="00174790">
        <w:t xml:space="preserve">VAS </w:t>
      </w:r>
      <w:r>
        <w:t>scores, and the use of these scores was neither explained nor justified in the ADAR. MSAC considered the ‘transformations’ of the EQ-5D VAS scores assume</w:t>
      </w:r>
      <w:r w:rsidR="004A1EEA">
        <w:t>d</w:t>
      </w:r>
      <w:r w:rsidR="00BB2468">
        <w:t xml:space="preserve"> without justification that</w:t>
      </w:r>
      <w:r>
        <w:t>:</w:t>
      </w:r>
    </w:p>
    <w:p w14:paraId="74A4E837" w14:textId="77777777" w:rsidR="00FE1C8B" w:rsidRDefault="00FE1C8B" w:rsidP="00FE1C8B">
      <w:pPr>
        <w:pStyle w:val="ListParagraph"/>
        <w:numPr>
          <w:ilvl w:val="0"/>
          <w:numId w:val="20"/>
        </w:numPr>
        <w:spacing w:before="0" w:after="0" w:line="240" w:lineRule="auto"/>
      </w:pPr>
      <w:r>
        <w:t>VAS scores can simply be divided by 100 to make them ‘utility weights’</w:t>
      </w:r>
    </w:p>
    <w:p w14:paraId="756D6B35" w14:textId="7A3A06EF" w:rsidR="00FE1C8B" w:rsidRDefault="00FE1C8B" w:rsidP="00FE1C8B">
      <w:pPr>
        <w:pStyle w:val="ListParagraph"/>
        <w:numPr>
          <w:ilvl w:val="0"/>
          <w:numId w:val="20"/>
        </w:numPr>
        <w:spacing w:before="0" w:after="0" w:line="240" w:lineRule="auto"/>
      </w:pPr>
      <w:r>
        <w:t xml:space="preserve">a linear correlation </w:t>
      </w:r>
      <w:r w:rsidR="00126803">
        <w:t xml:space="preserve">exists </w:t>
      </w:r>
      <w:r>
        <w:t>between CMS and VAS scores</w:t>
      </w:r>
    </w:p>
    <w:p w14:paraId="01B6B962" w14:textId="524878D9" w:rsidR="00FE1C8B" w:rsidRDefault="00FE1C8B" w:rsidP="00FE1C8B">
      <w:pPr>
        <w:pStyle w:val="ListParagraph"/>
        <w:numPr>
          <w:ilvl w:val="0"/>
          <w:numId w:val="20"/>
        </w:numPr>
        <w:spacing w:before="0" w:after="0" w:line="240" w:lineRule="auto"/>
      </w:pPr>
      <w:r>
        <w:t>the average utility can be apportioned equally based on the CMS.</w:t>
      </w:r>
    </w:p>
    <w:p w14:paraId="59F29215" w14:textId="3A5DBC2C" w:rsidR="00FE1C8B" w:rsidRDefault="00FE1C8B" w:rsidP="00FE1C8B">
      <w:r>
        <w:t xml:space="preserve">MSAC also considered that use of the EQ-5D-5L descriptive score </w:t>
      </w:r>
      <w:r w:rsidR="00F312AE">
        <w:t xml:space="preserve">was </w:t>
      </w:r>
      <w:r>
        <w:t xml:space="preserve">well suited for the target population with FTRCT, as the </w:t>
      </w:r>
      <w:r w:rsidR="00126803">
        <w:t xml:space="preserve">5 domains of this </w:t>
      </w:r>
      <w:r>
        <w:t xml:space="preserve">multi-attribute utility instrument </w:t>
      </w:r>
      <w:r w:rsidR="00502E85">
        <w:t xml:space="preserve">(MAUI) </w:t>
      </w:r>
      <w:r w:rsidR="00126803">
        <w:t>are highly relevant to the patient population with FTRCT</w:t>
      </w:r>
      <w:r>
        <w:t xml:space="preserve">: mobility, self-care, usual activities, pain and discomfort, and anxiety and depression. </w:t>
      </w:r>
      <w:r w:rsidR="005837C4">
        <w:t xml:space="preserve">MSAC noted there was </w:t>
      </w:r>
      <w:r>
        <w:t xml:space="preserve">no between-group statistical difference in the EQ-5D-5L </w:t>
      </w:r>
      <w:r w:rsidR="00FC6A58">
        <w:t xml:space="preserve">VAS </w:t>
      </w:r>
      <w:r>
        <w:t xml:space="preserve">at any time point in the Ruiz </w:t>
      </w:r>
      <w:proofErr w:type="spellStart"/>
      <w:r>
        <w:t>Ibán</w:t>
      </w:r>
      <w:proofErr w:type="spellEnd"/>
      <w:r>
        <w:t xml:space="preserve"> et al. </w:t>
      </w:r>
      <w:r w:rsidR="006A4F82">
        <w:t xml:space="preserve">2025 </w:t>
      </w:r>
      <w:r>
        <w:t>RCT</w:t>
      </w:r>
      <w:r w:rsidR="00770966">
        <w:t>.</w:t>
      </w:r>
      <w:r w:rsidR="00255B97">
        <w:t xml:space="preserve"> </w:t>
      </w:r>
      <w:r>
        <w:t xml:space="preserve"> </w:t>
      </w:r>
    </w:p>
    <w:p w14:paraId="6AD4B4A0" w14:textId="095129A5" w:rsidR="009954A0" w:rsidRPr="009954A0" w:rsidRDefault="00FE1C8B" w:rsidP="009954A0">
      <w:r>
        <w:t xml:space="preserve">MSAC noted that the pre-MSAC response argued that the ‘MCID methodology’ used </w:t>
      </w:r>
      <w:r w:rsidR="00C26C17">
        <w:t xml:space="preserve">in the ADAR </w:t>
      </w:r>
      <w:r>
        <w:t xml:space="preserve">was based on ‘ESC’s own methodology’ from Application 1593.1. However, MSAC recalled that, in its consideration of Application 1593.1, </w:t>
      </w:r>
      <w:r w:rsidR="00C26C17">
        <w:t>MSAC</w:t>
      </w:r>
      <w:r>
        <w:t xml:space="preserve"> had considered that a more meaningful measure would be the incremental cost per responder</w:t>
      </w:r>
      <w:r w:rsidR="00A92CA1">
        <w:t xml:space="preserve"> who achieved a MCID difference in </w:t>
      </w:r>
      <w:r w:rsidR="00725212">
        <w:t xml:space="preserve">one or more </w:t>
      </w:r>
      <w:r w:rsidR="00A92CA1">
        <w:t>functional outcomes</w:t>
      </w:r>
      <w:r w:rsidR="00725212">
        <w:t>, also known as a ‘responder analysis’</w:t>
      </w:r>
      <w:r>
        <w:t xml:space="preserve">. MSAC noted that the </w:t>
      </w:r>
      <w:r w:rsidR="001F3A75">
        <w:t xml:space="preserve">ADAR </w:t>
      </w:r>
      <w:r>
        <w:t xml:space="preserve">did </w:t>
      </w:r>
      <w:r>
        <w:lastRenderedPageBreak/>
        <w:t xml:space="preserve">not describe </w:t>
      </w:r>
      <w:r w:rsidR="00725212">
        <w:t xml:space="preserve">such </w:t>
      </w:r>
      <w:r>
        <w:t>a responder analysis</w:t>
      </w:r>
      <w:r w:rsidR="009954A0">
        <w:t xml:space="preserve"> </w:t>
      </w:r>
      <w:r w:rsidR="009954A0" w:rsidRPr="009954A0">
        <w:t xml:space="preserve">for the main Ruiz </w:t>
      </w:r>
      <w:proofErr w:type="spellStart"/>
      <w:r w:rsidR="009954A0" w:rsidRPr="009954A0">
        <w:t>Ibán</w:t>
      </w:r>
      <w:proofErr w:type="spellEnd"/>
      <w:r w:rsidR="009954A0" w:rsidRPr="009954A0">
        <w:t xml:space="preserve"> et al. 2025 RCT, despite providing responder analyses from the Camacho-Chacón 2024 RCT (based on the functional outcomes of CMS (ADAR table 37) and ASES (ADAR table 35)). MSAC considered that the ‘MCID analysis’ of Ruiz </w:t>
      </w:r>
      <w:proofErr w:type="spellStart"/>
      <w:r w:rsidR="009954A0" w:rsidRPr="009954A0">
        <w:t>Ibán</w:t>
      </w:r>
      <w:proofErr w:type="spellEnd"/>
      <w:r w:rsidR="009954A0" w:rsidRPr="009954A0">
        <w:t xml:space="preserve"> et al. 2025 that was provided in the ADAR as the basis of a CEA was not informative.</w:t>
      </w:r>
    </w:p>
    <w:p w14:paraId="4C7ED6CB" w14:textId="58275406" w:rsidR="00D7035A" w:rsidRDefault="00D7035A" w:rsidP="00343CDF">
      <w:r>
        <w:t>MSAC</w:t>
      </w:r>
      <w:r w:rsidR="00711BBC">
        <w:t xml:space="preserve"> noted</w:t>
      </w:r>
      <w:r>
        <w:t xml:space="preserve"> the incremental cost-effectiveness ratio (ICER</w:t>
      </w:r>
      <w:r w:rsidR="00F63B5A">
        <w:t xml:space="preserve">) </w:t>
      </w:r>
      <w:r w:rsidR="00B135B4">
        <w:t xml:space="preserve">from the </w:t>
      </w:r>
      <w:r w:rsidR="00105B1A">
        <w:t>CUA</w:t>
      </w:r>
      <w:r w:rsidR="00B135B4">
        <w:t xml:space="preserve"> </w:t>
      </w:r>
      <w:r w:rsidR="00F63B5A">
        <w:t>ranged from</w:t>
      </w:r>
      <w:r>
        <w:t xml:space="preserve"> </w:t>
      </w:r>
      <w:r w:rsidR="00A816B8">
        <w:t>$</w:t>
      </w:r>
      <w:r w:rsidR="002F173E" w:rsidRPr="00AA60DA">
        <w:rPr>
          <w:b/>
          <w:bCs/>
          <w:color w:val="000000" w:themeColor="text1"/>
        </w:rPr>
        <w:t>redacted</w:t>
      </w:r>
      <w:r w:rsidR="00F63B5A">
        <w:t xml:space="preserve"> per quality-adjusted life year </w:t>
      </w:r>
      <w:r w:rsidR="00B135B4">
        <w:t>(</w:t>
      </w:r>
      <w:r w:rsidR="00F63B5A">
        <w:t>QALY</w:t>
      </w:r>
      <w:r w:rsidR="00B135B4">
        <w:t>)</w:t>
      </w:r>
      <w:r w:rsidR="00F63B5A">
        <w:t xml:space="preserve"> gained</w:t>
      </w:r>
      <w:r w:rsidR="000C1AA9">
        <w:t xml:space="preserve"> in the base-case analysis</w:t>
      </w:r>
      <w:r>
        <w:t xml:space="preserve"> </w:t>
      </w:r>
      <w:r w:rsidR="003F66A5">
        <w:t xml:space="preserve">up </w:t>
      </w:r>
      <w:r>
        <w:t xml:space="preserve">to </w:t>
      </w:r>
      <w:r w:rsidR="00A816B8">
        <w:t>$</w:t>
      </w:r>
      <w:r w:rsidR="002F173E" w:rsidRPr="00DF46A3">
        <w:rPr>
          <w:b/>
          <w:bCs/>
          <w:color w:val="000000" w:themeColor="text1"/>
        </w:rPr>
        <w:t>redacted</w:t>
      </w:r>
      <w:r w:rsidR="002F173E" w:rsidDel="002F173E">
        <w:t xml:space="preserve"> </w:t>
      </w:r>
      <w:r w:rsidR="005A0C5F">
        <w:t>per QALY gained</w:t>
      </w:r>
      <w:r w:rsidR="003F66A5">
        <w:t xml:space="preserve"> in</w:t>
      </w:r>
      <w:r w:rsidR="00006B67">
        <w:t xml:space="preserve"> sensitivity </w:t>
      </w:r>
      <w:r w:rsidR="00AF0DFC">
        <w:t>analys</w:t>
      </w:r>
      <w:r w:rsidR="003F66A5">
        <w:t>es</w:t>
      </w:r>
      <w:r w:rsidR="005A0C5F">
        <w:t>.</w:t>
      </w:r>
      <w:r w:rsidR="00DB10E8" w:rsidDel="00DB10E8">
        <w:t xml:space="preserve"> </w:t>
      </w:r>
      <w:r w:rsidR="006E6F2F" w:rsidRPr="006E6F2F">
        <w:t>MSAC considered the economic model was unreliable because it was based on a</w:t>
      </w:r>
      <w:r w:rsidR="00FC6A58">
        <w:t xml:space="preserve"> claim</w:t>
      </w:r>
      <w:r w:rsidR="006E6F2F" w:rsidRPr="006E6F2F">
        <w:t xml:space="preserve"> of superior clinical effectiveness that was not </w:t>
      </w:r>
      <w:r w:rsidR="00FC6A58">
        <w:t>supported</w:t>
      </w:r>
      <w:r w:rsidR="00FC6A58" w:rsidRPr="006E6F2F">
        <w:t xml:space="preserve"> </w:t>
      </w:r>
      <w:r w:rsidR="006E6F2F" w:rsidRPr="006E6F2F">
        <w:t>with the evidence provide</w:t>
      </w:r>
      <w:r w:rsidR="005C18BF">
        <w:t>d</w:t>
      </w:r>
      <w:r w:rsidR="006E6F2F" w:rsidRPr="006E6F2F">
        <w:t>.</w:t>
      </w:r>
    </w:p>
    <w:p w14:paraId="62CF3C11" w14:textId="68B2D36F" w:rsidR="00FE1C8B" w:rsidRDefault="00FE1C8B" w:rsidP="00FE1C8B">
      <w:r>
        <w:t xml:space="preserve">MSAC noted </w:t>
      </w:r>
      <w:r w:rsidR="006E6F2F">
        <w:t xml:space="preserve">the </w:t>
      </w:r>
      <w:r>
        <w:t xml:space="preserve">utilisation </w:t>
      </w:r>
      <w:r w:rsidR="0091205E">
        <w:t xml:space="preserve">of BCI </w:t>
      </w:r>
      <w:r>
        <w:t xml:space="preserve">was estimated to be </w:t>
      </w:r>
      <w:r w:rsidR="004B58D9">
        <w:rPr>
          <w:b/>
          <w:bCs/>
        </w:rPr>
        <w:t>redacted</w:t>
      </w:r>
      <w:r>
        <w:t xml:space="preserve"> in year 1 (</w:t>
      </w:r>
      <w:r w:rsidR="004B58D9" w:rsidRPr="004B58D9">
        <w:rPr>
          <w:b/>
          <w:bCs/>
        </w:rPr>
        <w:t>redacted</w:t>
      </w:r>
      <w:r>
        <w:t xml:space="preserve">% of the population with FTRCT being eligible) to </w:t>
      </w:r>
      <w:r w:rsidR="004B58D9">
        <w:rPr>
          <w:b/>
          <w:bCs/>
        </w:rPr>
        <w:t>redacted</w:t>
      </w:r>
      <w:r>
        <w:t xml:space="preserve"> in year 6 (</w:t>
      </w:r>
      <w:r w:rsidR="004B58D9">
        <w:rPr>
          <w:b/>
          <w:bCs/>
        </w:rPr>
        <w:t>redacted</w:t>
      </w:r>
      <w:r>
        <w:t>% of the population with FTRCT being eligible). Utilisation is affected by the age of the population with tear (</w:t>
      </w:r>
      <w:r w:rsidR="00D50BD8">
        <w:t xml:space="preserve">due to </w:t>
      </w:r>
      <w:r>
        <w:t xml:space="preserve">higher prevalence with increasing age) and the proportion of patients with private health insurance, with MBS service volumes anticipated to remain the same as they are currently. </w:t>
      </w:r>
      <w:r w:rsidR="0091205E">
        <w:t>In the ADAR, t</w:t>
      </w:r>
      <w:r>
        <w:t xml:space="preserve">he </w:t>
      </w:r>
      <w:r w:rsidR="00DB658C">
        <w:t xml:space="preserve">net </w:t>
      </w:r>
      <w:r>
        <w:t xml:space="preserve">cost of </w:t>
      </w:r>
      <w:r w:rsidR="00730052">
        <w:t>listing</w:t>
      </w:r>
      <w:r w:rsidR="00D50BD8">
        <w:t xml:space="preserve"> BCI on the PL</w:t>
      </w:r>
      <w:r>
        <w:t xml:space="preserve"> to private health insurance </w:t>
      </w:r>
      <w:r w:rsidR="00185B0E">
        <w:t>wa</w:t>
      </w:r>
      <w:r>
        <w:t xml:space="preserve">s estimated at </w:t>
      </w:r>
      <w:r w:rsidR="00A816B8">
        <w:t>$</w:t>
      </w:r>
      <w:r w:rsidR="00BD03B1" w:rsidRPr="00DF46A3">
        <w:rPr>
          <w:b/>
          <w:bCs/>
          <w:color w:val="000000" w:themeColor="text1"/>
        </w:rPr>
        <w:t>redacted</w:t>
      </w:r>
      <w:r w:rsidR="00BD03B1" w:rsidDel="00BD03B1">
        <w:t xml:space="preserve"> </w:t>
      </w:r>
      <w:r>
        <w:t xml:space="preserve">in year 1 to </w:t>
      </w:r>
      <w:r w:rsidR="00A816B8">
        <w:t>$</w:t>
      </w:r>
      <w:r w:rsidR="00BD03B1" w:rsidRPr="00DF46A3">
        <w:rPr>
          <w:b/>
          <w:bCs/>
          <w:color w:val="000000" w:themeColor="text1"/>
        </w:rPr>
        <w:t>redacted</w:t>
      </w:r>
      <w:r w:rsidR="00BD03B1" w:rsidDel="00BD03B1">
        <w:t xml:space="preserve"> </w:t>
      </w:r>
      <w:r>
        <w:t xml:space="preserve">in year 6. MSAC considered the estimated utilisation to be reasonable, based on the pre-MSAC response and utilisation data from Japan that showed that uptake </w:t>
      </w:r>
      <w:r w:rsidR="00B677D0">
        <w:t xml:space="preserve">of BCI </w:t>
      </w:r>
      <w:r>
        <w:t xml:space="preserve">stabilised after approximately 12 months of availability. However, MSAC considered that there </w:t>
      </w:r>
      <w:r w:rsidR="00EE756F">
        <w:t>remained a risk</w:t>
      </w:r>
      <w:r>
        <w:t xml:space="preserve"> for leakage </w:t>
      </w:r>
      <w:r w:rsidR="008C7F2A">
        <w:t>beyond</w:t>
      </w:r>
      <w:r>
        <w:t xml:space="preserve"> the </w:t>
      </w:r>
      <w:r w:rsidR="008C7F2A">
        <w:t>F</w:t>
      </w:r>
      <w:r>
        <w:t>TRCT population</w:t>
      </w:r>
      <w:r w:rsidR="00EE756F">
        <w:t xml:space="preserve"> as the TGA indication is broader than the proposed</w:t>
      </w:r>
      <w:r w:rsidR="000C06F1">
        <w:t xml:space="preserve"> </w:t>
      </w:r>
      <w:r w:rsidR="00D27413">
        <w:t xml:space="preserve">FTRCT </w:t>
      </w:r>
      <w:r w:rsidR="00EE756F">
        <w:t>population</w:t>
      </w:r>
      <w:r>
        <w:t>.</w:t>
      </w:r>
    </w:p>
    <w:p w14:paraId="43403204" w14:textId="0C3AC4A1" w:rsidR="00FE1C8B" w:rsidRDefault="00FE1C8B" w:rsidP="00FE1C8B">
      <w:r>
        <w:t xml:space="preserve">MSAC noted the claim that the </w:t>
      </w:r>
      <w:r w:rsidR="00255EAC">
        <w:t>use of BCI</w:t>
      </w:r>
      <w:r>
        <w:t xml:space="preserve"> w</w:t>
      </w:r>
      <w:r w:rsidR="000178B6">
        <w:t>ould</w:t>
      </w:r>
      <w:r>
        <w:t xml:space="preserve"> </w:t>
      </w:r>
      <w:r w:rsidR="000178B6">
        <w:t xml:space="preserve">result in </w:t>
      </w:r>
      <w:r>
        <w:t>a cost savings to the MBS of $0.2 million in year 1 to $1.3 million in year 6</w:t>
      </w:r>
      <w:r w:rsidR="00FF6501">
        <w:t>, resulting from cost offsets from reduced revision surgery due to the use of BCI</w:t>
      </w:r>
      <w:r>
        <w:t xml:space="preserve">. </w:t>
      </w:r>
      <w:r w:rsidRPr="007E1786">
        <w:t>MSAC noted that there w</w:t>
      </w:r>
      <w:r w:rsidR="00176B39" w:rsidRPr="007E1786">
        <w:t>ould be</w:t>
      </w:r>
      <w:r w:rsidRPr="007E1786">
        <w:t xml:space="preserve"> cost savings only if BCI was successful in reducing arthroplasty and rehabilitation costs, which MSAC considered to be uncertain.</w:t>
      </w:r>
    </w:p>
    <w:p w14:paraId="3FE706CF" w14:textId="77A0242B" w:rsidR="002D08B0" w:rsidRDefault="002D08B0" w:rsidP="00FE1C8B">
      <w:r>
        <w:t xml:space="preserve">MSAC noted that the proposed fee for MBS item 48960 was unchanged with the addition of BCI.  However, the price of the BCI kit was </w:t>
      </w:r>
      <w:r w:rsidR="00EE48AA">
        <w:t>$</w:t>
      </w:r>
      <w:r w:rsidR="002C43A3" w:rsidRPr="00DF46A3">
        <w:rPr>
          <w:b/>
          <w:bCs/>
          <w:color w:val="000000" w:themeColor="text1"/>
        </w:rPr>
        <w:t>redacted</w:t>
      </w:r>
      <w:r>
        <w:t xml:space="preserve">, which would likely be paid by private health insurance. MSAC considered that there was a risk of patient out-of-pocket costs in the private sector for uninsured patients. </w:t>
      </w:r>
    </w:p>
    <w:p w14:paraId="10CB9521" w14:textId="61985053" w:rsidR="00FE1C8B" w:rsidRPr="000F40B3" w:rsidRDefault="009F2A21" w:rsidP="00FE1C8B">
      <w:r w:rsidRPr="000F40B3">
        <w:t xml:space="preserve">MSAC advised the MDHTAC </w:t>
      </w:r>
      <w:r w:rsidR="000D3A46" w:rsidRPr="000F40B3">
        <w:t xml:space="preserve">the safety of </w:t>
      </w:r>
      <w:r w:rsidRPr="000F40B3">
        <w:t>BCI</w:t>
      </w:r>
      <w:r w:rsidR="000D3A46" w:rsidRPr="000F40B3">
        <w:t xml:space="preserve"> with surgery was likely to be non-inferior to standard surgery alone</w:t>
      </w:r>
      <w:r w:rsidR="00FE1C8B" w:rsidRPr="000F40B3">
        <w:t xml:space="preserve"> </w:t>
      </w:r>
      <w:r w:rsidR="000D3A46" w:rsidRPr="000F40B3">
        <w:t xml:space="preserve">in FTRCT however the </w:t>
      </w:r>
      <w:r w:rsidR="00FE1C8B" w:rsidRPr="000F40B3">
        <w:t xml:space="preserve">claim of superior effectiveness of BCI </w:t>
      </w:r>
      <w:r w:rsidR="00EB3EFD" w:rsidRPr="000F40B3">
        <w:t xml:space="preserve">plus </w:t>
      </w:r>
      <w:r w:rsidR="00FE1C8B" w:rsidRPr="000F40B3">
        <w:t xml:space="preserve">surgical repair </w:t>
      </w:r>
      <w:r w:rsidR="004D32A7" w:rsidRPr="000F40B3">
        <w:t xml:space="preserve">in FTRCT </w:t>
      </w:r>
      <w:r w:rsidR="00BE72FF" w:rsidRPr="000F40B3">
        <w:t xml:space="preserve">compared to </w:t>
      </w:r>
      <w:r w:rsidR="00FE1C8B" w:rsidRPr="000F40B3">
        <w:t>surgical repair alone</w:t>
      </w:r>
      <w:r w:rsidR="000D3A46" w:rsidRPr="000F40B3">
        <w:t xml:space="preserve"> was not supported due to the lack of difference in functional outcomes</w:t>
      </w:r>
      <w:r w:rsidR="009029C4" w:rsidRPr="000F40B3">
        <w:t xml:space="preserve"> at any timepoint in the main RCT</w:t>
      </w:r>
      <w:r w:rsidR="00FE1C8B" w:rsidRPr="000F40B3">
        <w:t xml:space="preserve">. Additionally, </w:t>
      </w:r>
      <w:r w:rsidR="003A0CB7" w:rsidRPr="000F40B3">
        <w:t xml:space="preserve">MSAC considered </w:t>
      </w:r>
      <w:r w:rsidR="00FE1C8B" w:rsidRPr="000F40B3">
        <w:t xml:space="preserve">the economic evaluation </w:t>
      </w:r>
      <w:r w:rsidR="00EB3EFD" w:rsidRPr="000F40B3">
        <w:t xml:space="preserve">was </w:t>
      </w:r>
      <w:r w:rsidR="009029C4" w:rsidRPr="000F40B3">
        <w:t xml:space="preserve">not suitable for decision-making as it was </w:t>
      </w:r>
      <w:r w:rsidR="00FE1C8B" w:rsidRPr="000F40B3">
        <w:t>not based on functional outcomes</w:t>
      </w:r>
      <w:r w:rsidR="00383C10" w:rsidRPr="000F40B3">
        <w:t xml:space="preserve"> (PROMs)</w:t>
      </w:r>
      <w:r w:rsidR="00FE1C8B" w:rsidRPr="000F40B3">
        <w:t xml:space="preserve"> but on the unproven surrogate measure of radiographically detected retears, </w:t>
      </w:r>
      <w:r w:rsidR="009029C4" w:rsidRPr="000F40B3">
        <w:t xml:space="preserve">and </w:t>
      </w:r>
      <w:r w:rsidR="00FE1C8B" w:rsidRPr="000F40B3">
        <w:t>us</w:t>
      </w:r>
      <w:r w:rsidR="009029C4" w:rsidRPr="000F40B3">
        <w:t>ed</w:t>
      </w:r>
      <w:r w:rsidR="00FE1C8B" w:rsidRPr="000F40B3">
        <w:t xml:space="preserve"> a non-standard and unjustified derivation of utility weights to derive QALYs.</w:t>
      </w:r>
    </w:p>
    <w:p w14:paraId="0A874FE4" w14:textId="4A86CB30" w:rsidR="00DD6C68" w:rsidRPr="00FE1C8B" w:rsidRDefault="00FE1C8B" w:rsidP="001F53AF">
      <w:r w:rsidRPr="000F40B3">
        <w:t xml:space="preserve">MSAC considered that </w:t>
      </w:r>
      <w:r w:rsidR="00C536ED" w:rsidRPr="000F40B3">
        <w:t>to be</w:t>
      </w:r>
      <w:r w:rsidRPr="000F40B3">
        <w:t xml:space="preserve"> </w:t>
      </w:r>
      <w:r w:rsidR="005007BD" w:rsidRPr="000F40B3">
        <w:t xml:space="preserve">suitable for </w:t>
      </w:r>
      <w:r w:rsidR="00C536ED" w:rsidRPr="000F40B3">
        <w:t>re</w:t>
      </w:r>
      <w:r w:rsidR="008D3483" w:rsidRPr="000F40B3">
        <w:t>consideration by MSAC</w:t>
      </w:r>
      <w:r w:rsidR="006D3386" w:rsidRPr="000F40B3">
        <w:t>,</w:t>
      </w:r>
      <w:r w:rsidR="009F2A21" w:rsidRPr="000F40B3">
        <w:t xml:space="preserve"> any new application</w:t>
      </w:r>
      <w:r w:rsidR="008D3483" w:rsidRPr="000F40B3">
        <w:t xml:space="preserve"> </w:t>
      </w:r>
      <w:r w:rsidRPr="000F40B3">
        <w:t>would need to</w:t>
      </w:r>
      <w:r w:rsidR="00DB7153" w:rsidRPr="000F40B3">
        <w:t xml:space="preserve"> provide</w:t>
      </w:r>
      <w:r w:rsidR="009F2A21" w:rsidRPr="000F40B3">
        <w:t xml:space="preserve"> </w:t>
      </w:r>
      <w:r w:rsidR="003C23AC" w:rsidRPr="000F40B3">
        <w:t xml:space="preserve">RCT data </w:t>
      </w:r>
      <w:r w:rsidR="00121496" w:rsidRPr="000F40B3">
        <w:t xml:space="preserve">that </w:t>
      </w:r>
      <w:r w:rsidRPr="000F40B3">
        <w:t>demonstrate</w:t>
      </w:r>
      <w:r w:rsidR="000D3A46" w:rsidRPr="000F40B3">
        <w:t>d</w:t>
      </w:r>
      <w:r w:rsidRPr="000F40B3">
        <w:t xml:space="preserve"> BCI </w:t>
      </w:r>
      <w:r w:rsidR="00892011" w:rsidRPr="000F40B3">
        <w:t xml:space="preserve">plus </w:t>
      </w:r>
      <w:r w:rsidRPr="000F40B3">
        <w:t>surgical repair ha</w:t>
      </w:r>
      <w:r w:rsidR="000D3A46" w:rsidRPr="000F40B3">
        <w:t>d</w:t>
      </w:r>
      <w:r w:rsidRPr="000F40B3">
        <w:t xml:space="preserve"> superior effectiveness </w:t>
      </w:r>
      <w:r w:rsidR="00121496" w:rsidRPr="000F40B3">
        <w:t xml:space="preserve">(based on functional outcomes) </w:t>
      </w:r>
      <w:r w:rsidR="00892011" w:rsidRPr="000F40B3">
        <w:t xml:space="preserve">compared </w:t>
      </w:r>
      <w:r w:rsidRPr="000F40B3">
        <w:t>to surgical repair alone</w:t>
      </w:r>
      <w:r w:rsidR="00892011" w:rsidRPr="000F40B3">
        <w:t>,</w:t>
      </w:r>
      <w:r w:rsidR="0028489D" w:rsidRPr="000F40B3">
        <w:t xml:space="preserve"> including over the longer-term</w:t>
      </w:r>
      <w:r w:rsidRPr="000F40B3">
        <w:t>.</w:t>
      </w:r>
      <w:bookmarkEnd w:id="3"/>
      <w:bookmarkEnd w:id="4"/>
    </w:p>
    <w:p w14:paraId="6710B69D" w14:textId="6D423AB3" w:rsidR="00772829" w:rsidRPr="00CE28E3" w:rsidRDefault="00772829" w:rsidP="003126F5">
      <w:pPr>
        <w:pStyle w:val="Heading2"/>
        <w:numPr>
          <w:ilvl w:val="0"/>
          <w:numId w:val="16"/>
        </w:numPr>
        <w:ind w:hanging="720"/>
      </w:pPr>
      <w:bookmarkStart w:id="5" w:name="_Toc69491416"/>
      <w:bookmarkEnd w:id="2"/>
      <w:r w:rsidRPr="00CE28E3">
        <w:t>Background</w:t>
      </w:r>
      <w:bookmarkEnd w:id="5"/>
    </w:p>
    <w:p w14:paraId="2448A7EF" w14:textId="6F4FE42A" w:rsidR="00D80BF3" w:rsidRDefault="00D80BF3" w:rsidP="00C141B0">
      <w:bookmarkStart w:id="6" w:name="_Hlk69734494"/>
      <w:r>
        <w:t>The MSAC previously considered BCI</w:t>
      </w:r>
      <w:r w:rsidRPr="00395D92">
        <w:t xml:space="preserve"> for the repair of rotator cuff tear</w:t>
      </w:r>
      <w:r>
        <w:t xml:space="preserve"> in July 2020</w:t>
      </w:r>
      <w:r w:rsidR="001222F0">
        <w:t xml:space="preserve"> (</w:t>
      </w:r>
      <w:hyperlink r:id="rId11" w:history="1">
        <w:r w:rsidR="008C32D8">
          <w:rPr>
            <w:rStyle w:val="Hyperlink"/>
          </w:rPr>
          <w:t>A</w:t>
        </w:r>
        <w:r w:rsidR="00DE62F2" w:rsidRPr="00C2521B">
          <w:rPr>
            <w:rStyle w:val="Hyperlink"/>
          </w:rPr>
          <w:t>pplication 1593</w:t>
        </w:r>
      </w:hyperlink>
      <w:r w:rsidR="001222F0">
        <w:t>)</w:t>
      </w:r>
      <w:r w:rsidR="004A107B">
        <w:t>, and August 2024</w:t>
      </w:r>
      <w:r w:rsidR="001222F0">
        <w:t xml:space="preserve"> (</w:t>
      </w:r>
      <w:hyperlink r:id="rId12" w:history="1">
        <w:r w:rsidR="008C32D8">
          <w:rPr>
            <w:rStyle w:val="Hyperlink"/>
          </w:rPr>
          <w:t>A</w:t>
        </w:r>
        <w:r w:rsidR="00DE62F2" w:rsidRPr="00F8285B">
          <w:rPr>
            <w:rStyle w:val="Hyperlink"/>
          </w:rPr>
          <w:t>pplication 1593.1</w:t>
        </w:r>
      </w:hyperlink>
      <w:r w:rsidR="001222F0">
        <w:t>)</w:t>
      </w:r>
      <w:r>
        <w:t>.</w:t>
      </w:r>
      <w:r w:rsidRPr="00395D92">
        <w:t xml:space="preserve"> </w:t>
      </w:r>
      <w:r>
        <w:t xml:space="preserve">MSAC did not support funding for BCI for the repair of rotator cuff tear in the </w:t>
      </w:r>
      <w:r w:rsidR="0062073C">
        <w:t xml:space="preserve">two </w:t>
      </w:r>
      <w:r>
        <w:t xml:space="preserve">previous </w:t>
      </w:r>
      <w:r w:rsidR="0062073C">
        <w:t>applications</w:t>
      </w:r>
      <w:r>
        <w:t>.</w:t>
      </w:r>
      <w:r w:rsidR="007D572E">
        <w:t xml:space="preserve"> For </w:t>
      </w:r>
      <w:r w:rsidR="008C32D8">
        <w:t>A</w:t>
      </w:r>
      <w:r w:rsidR="007D572E">
        <w:t>pplication 1593,</w:t>
      </w:r>
      <w:r>
        <w:t xml:space="preserve"> MSAC advised the </w:t>
      </w:r>
      <w:r w:rsidR="00804F9F">
        <w:t>PLAC</w:t>
      </w:r>
      <w:r w:rsidR="000D2900">
        <w:t>,</w:t>
      </w:r>
      <w:r w:rsidR="00300054">
        <w:t xml:space="preserve"> now MDHTAC</w:t>
      </w:r>
      <w:r w:rsidR="000D2900">
        <w:t>,</w:t>
      </w:r>
      <w:r>
        <w:t xml:space="preserve"> that the evidence for comparative safety, effectiveness and </w:t>
      </w:r>
      <w:r>
        <w:lastRenderedPageBreak/>
        <w:t xml:space="preserve">cost-effectiveness was highly uncertain relative to standard surgical repair in both subpopulations (i.e., Population 1: </w:t>
      </w:r>
      <w:r w:rsidRPr="00907B5D">
        <w:t xml:space="preserve">patients with </w:t>
      </w:r>
      <w:r>
        <w:t>P</w:t>
      </w:r>
      <w:r w:rsidRPr="00907B5D">
        <w:t>TRCT</w:t>
      </w:r>
      <w:r>
        <w:t xml:space="preserve"> and Population 2: </w:t>
      </w:r>
      <w:r w:rsidRPr="004E52F6">
        <w:rPr>
          <w:rFonts w:eastAsia="Calibri"/>
          <w:snapToGrid w:val="0"/>
        </w:rPr>
        <w:t>patients with FTRCT</w:t>
      </w:r>
      <w:r>
        <w:rPr>
          <w:rStyle w:val="FootnoteReference"/>
        </w:rPr>
        <w:footnoteReference w:id="7"/>
      </w:r>
      <w:r w:rsidR="001B1BAA">
        <w:rPr>
          <w:rFonts w:eastAsia="Calibri"/>
          <w:snapToGrid w:val="0"/>
        </w:rPr>
        <w:t>)</w:t>
      </w:r>
      <w:r>
        <w:t xml:space="preserve">. </w:t>
      </w:r>
    </w:p>
    <w:p w14:paraId="2C527706" w14:textId="70AFC6AE" w:rsidR="00F57885" w:rsidRPr="00310C3F" w:rsidRDefault="00921B9B" w:rsidP="00C141B0">
      <w:r>
        <w:t xml:space="preserve">For </w:t>
      </w:r>
      <w:r w:rsidR="008C32D8">
        <w:t>A</w:t>
      </w:r>
      <w:r>
        <w:t>pplication 1539.1</w:t>
      </w:r>
      <w:r w:rsidR="00C141B0">
        <w:t xml:space="preserve">, </w:t>
      </w:r>
      <w:r w:rsidRPr="00921B9B">
        <w:t>MSAC did not support funding for BCI for rotator cuff tears due to limited and uncertain evidence. While two new RCT</w:t>
      </w:r>
      <w:r w:rsidR="009029C4">
        <w:t>s</w:t>
      </w:r>
      <w:r w:rsidRPr="00921B9B">
        <w:t xml:space="preserve"> for </w:t>
      </w:r>
      <w:r w:rsidR="00294813">
        <w:t>FTRCT</w:t>
      </w:r>
      <w:r w:rsidRPr="00921B9B">
        <w:t xml:space="preserve"> were deemed more reliable than previous data, concerns about long-term effectiveness, cost-effectiveness, and underestimated uptake persisted. For </w:t>
      </w:r>
      <w:r w:rsidR="00294813">
        <w:t>PTRCT</w:t>
      </w:r>
      <w:r w:rsidRPr="00921B9B">
        <w:t xml:space="preserve">, </w:t>
      </w:r>
      <w:r w:rsidR="009029C4">
        <w:t xml:space="preserve">MSAC considered the </w:t>
      </w:r>
      <w:r w:rsidRPr="00921B9B">
        <w:t xml:space="preserve">evidence was weak, with only one small trial and no comparison against </w:t>
      </w:r>
      <w:r w:rsidR="00294813">
        <w:t>CM</w:t>
      </w:r>
      <w:r w:rsidR="00491A5D">
        <w:t>M</w:t>
      </w:r>
      <w:r w:rsidR="00B561CD">
        <w:rPr>
          <w:rStyle w:val="FootnoteReference"/>
        </w:rPr>
        <w:footnoteReference w:id="8"/>
      </w:r>
      <w:r w:rsidR="00404FA3">
        <w:t>.</w:t>
      </w:r>
      <w:r w:rsidR="00C141B0" w:rsidRPr="00C141B0">
        <w:t xml:space="preserve"> </w:t>
      </w:r>
      <w:r w:rsidR="00FA452A">
        <w:t xml:space="preserve">MSAC advised MDHTAC on these findings. </w:t>
      </w:r>
      <w:r w:rsidR="00C141B0">
        <w:t>The key matters of concern from the previous MSAC consideration</w:t>
      </w:r>
      <w:r w:rsidR="00294813">
        <w:t xml:space="preserve"> of Application 1593.1</w:t>
      </w:r>
      <w:r w:rsidR="00C141B0">
        <w:t xml:space="preserve"> </w:t>
      </w:r>
      <w:r w:rsidR="009029C4">
        <w:t>a</w:t>
      </w:r>
      <w:r w:rsidR="00C141B0">
        <w:t xml:space="preserve">re provided in </w:t>
      </w:r>
      <w:r w:rsidR="0000109A">
        <w:fldChar w:fldCharType="begin"/>
      </w:r>
      <w:r w:rsidR="0000109A">
        <w:instrText xml:space="preserve"> REF _Ref69480768 \h </w:instrText>
      </w:r>
      <w:r w:rsidR="00C141B0">
        <w:instrText xml:space="preserve"> \* MERGEFORMAT </w:instrText>
      </w:r>
      <w:r w:rsidR="0000109A">
        <w:fldChar w:fldCharType="separate"/>
      </w:r>
      <w:r w:rsidR="002D4CF2" w:rsidRPr="00CE28E3">
        <w:t>Table</w:t>
      </w:r>
      <w:r w:rsidR="002D4CF2">
        <w:t> 1</w:t>
      </w:r>
      <w:r w:rsidR="0000109A">
        <w:fldChar w:fldCharType="end"/>
      </w:r>
      <w:r w:rsidR="00C141B0">
        <w:t>.</w:t>
      </w:r>
    </w:p>
    <w:p w14:paraId="6EC12EDF" w14:textId="6F9B4A5D" w:rsidR="0068682C" w:rsidRDefault="0068682C" w:rsidP="0068682C">
      <w:pPr>
        <w:pStyle w:val="Caption"/>
      </w:pPr>
      <w:bookmarkStart w:id="7" w:name="_Ref69480768"/>
      <w:bookmarkStart w:id="8" w:name="_Hlk69734557"/>
      <w:bookmarkEnd w:id="6"/>
      <w:r w:rsidRPr="00CE28E3">
        <w:t>Table</w:t>
      </w:r>
      <w:r w:rsidR="004A4FDF">
        <w:t> </w:t>
      </w:r>
      <w:r w:rsidR="004B28A6">
        <w:fldChar w:fldCharType="begin"/>
      </w:r>
      <w:r w:rsidR="004B28A6">
        <w:instrText xml:space="preserve"> SEQ Table \* ARABIC </w:instrText>
      </w:r>
      <w:r w:rsidR="004B28A6">
        <w:fldChar w:fldCharType="separate"/>
      </w:r>
      <w:r w:rsidR="00564C3F">
        <w:rPr>
          <w:noProof/>
        </w:rPr>
        <w:t>1</w:t>
      </w:r>
      <w:r w:rsidR="004B28A6">
        <w:rPr>
          <w:noProof/>
        </w:rPr>
        <w:fldChar w:fldCharType="end"/>
      </w:r>
      <w:bookmarkEnd w:id="7"/>
      <w:r w:rsidRPr="00CE28E3">
        <w:tab/>
        <w:t>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3518"/>
        <w:gridCol w:w="3520"/>
      </w:tblGrid>
      <w:tr w:rsidR="00F57885" w:rsidRPr="00CE28E3" w14:paraId="2BDCC27B" w14:textId="77777777" w:rsidTr="00DE3A3B">
        <w:trPr>
          <w:cantSplit/>
          <w:tblHeader/>
        </w:trPr>
        <w:tc>
          <w:tcPr>
            <w:tcW w:w="1097" w:type="pct"/>
          </w:tcPr>
          <w:p w14:paraId="58F6A808" w14:textId="77777777" w:rsidR="00F57885" w:rsidRPr="00CE28E3" w:rsidRDefault="00F57885" w:rsidP="00824458">
            <w:pPr>
              <w:pStyle w:val="In-tableHeading"/>
            </w:pPr>
            <w:bookmarkStart w:id="9" w:name="ColumnTitle_Table1"/>
            <w:bookmarkStart w:id="10" w:name="_Hlk68275590"/>
            <w:bookmarkEnd w:id="9"/>
            <w:r w:rsidRPr="00CE28E3">
              <w:t>Component</w:t>
            </w:r>
          </w:p>
        </w:tc>
        <w:tc>
          <w:tcPr>
            <w:tcW w:w="1951" w:type="pct"/>
          </w:tcPr>
          <w:p w14:paraId="09992FB9" w14:textId="77777777" w:rsidR="00F57885" w:rsidRPr="00CE28E3" w:rsidRDefault="00F57885" w:rsidP="00824458">
            <w:pPr>
              <w:pStyle w:val="In-tableHeading"/>
            </w:pPr>
            <w:r w:rsidRPr="00CE28E3">
              <w:t>Matter of concern</w:t>
            </w:r>
          </w:p>
        </w:tc>
        <w:tc>
          <w:tcPr>
            <w:tcW w:w="1952" w:type="pct"/>
          </w:tcPr>
          <w:p w14:paraId="54C88680" w14:textId="31085D91" w:rsidR="00F57885" w:rsidRPr="00CE28E3" w:rsidRDefault="00F57885" w:rsidP="00824458">
            <w:pPr>
              <w:pStyle w:val="In-tableHeading"/>
            </w:pPr>
            <w:r w:rsidRPr="00CE28E3">
              <w:t xml:space="preserve">How the current </w:t>
            </w:r>
            <w:r w:rsidR="00CC19AF">
              <w:t xml:space="preserve">ADAR </w:t>
            </w:r>
            <w:r w:rsidRPr="00CE28E3">
              <w:t>addresses it</w:t>
            </w:r>
          </w:p>
        </w:tc>
      </w:tr>
      <w:tr w:rsidR="00F57885" w:rsidRPr="00CE28E3" w14:paraId="4C3B6A2C" w14:textId="77777777" w:rsidTr="00DE3A3B">
        <w:trPr>
          <w:cantSplit/>
        </w:trPr>
        <w:tc>
          <w:tcPr>
            <w:tcW w:w="1097" w:type="pct"/>
          </w:tcPr>
          <w:p w14:paraId="3ADC1FC4" w14:textId="77777777" w:rsidR="00F57885" w:rsidRPr="00CE28E3" w:rsidRDefault="00F57885" w:rsidP="00824458">
            <w:pPr>
              <w:pStyle w:val="TableText"/>
            </w:pPr>
            <w:r w:rsidRPr="00CE28E3">
              <w:t>Clinical place in therapy</w:t>
            </w:r>
          </w:p>
        </w:tc>
        <w:tc>
          <w:tcPr>
            <w:tcW w:w="1951" w:type="pct"/>
          </w:tcPr>
          <w:p w14:paraId="29BB6916" w14:textId="066324BD" w:rsidR="00F57885" w:rsidRPr="00CE28E3" w:rsidRDefault="00F57885" w:rsidP="00576DC1">
            <w:pPr>
              <w:pStyle w:val="TableText"/>
              <w:rPr>
                <w:rFonts w:eastAsia="Times New Roman" w:cs="Arial"/>
                <w:snapToGrid w:val="0"/>
                <w:szCs w:val="20"/>
              </w:rPr>
            </w:pPr>
            <w:r w:rsidRPr="00CE28E3">
              <w:rPr>
                <w:rFonts w:eastAsia="Times New Roman" w:cs="Arial"/>
                <w:snapToGrid w:val="0"/>
                <w:szCs w:val="20"/>
              </w:rPr>
              <w:t xml:space="preserve">MSAC </w:t>
            </w:r>
            <w:r w:rsidR="0043289B">
              <w:rPr>
                <w:rFonts w:eastAsia="Times New Roman" w:cs="Arial"/>
                <w:snapToGrid w:val="0"/>
                <w:szCs w:val="20"/>
              </w:rPr>
              <w:t xml:space="preserve">highlighted numerous issues with the comparative safety and efficacy </w:t>
            </w:r>
            <w:r w:rsidR="0016662A">
              <w:rPr>
                <w:rFonts w:eastAsia="Times New Roman" w:cs="Arial"/>
                <w:snapToGrid w:val="0"/>
                <w:szCs w:val="20"/>
              </w:rPr>
              <w:t xml:space="preserve">of </w:t>
            </w:r>
            <w:r w:rsidR="00D221A8">
              <w:rPr>
                <w:rFonts w:eastAsia="Times New Roman" w:cs="Arial"/>
                <w:snapToGrid w:val="0"/>
                <w:szCs w:val="20"/>
              </w:rPr>
              <w:t>BCI</w:t>
            </w:r>
            <w:r w:rsidR="0016662A">
              <w:rPr>
                <w:rFonts w:eastAsia="Times New Roman" w:cs="Arial"/>
                <w:snapToGrid w:val="0"/>
                <w:szCs w:val="20"/>
              </w:rPr>
              <w:t xml:space="preserve"> in PTRCT.</w:t>
            </w:r>
            <w:r w:rsidR="00576DC1">
              <w:rPr>
                <w:rFonts w:eastAsia="Times New Roman" w:cs="Arial"/>
                <w:snapToGrid w:val="0"/>
                <w:szCs w:val="20"/>
              </w:rPr>
              <w:t xml:space="preserve"> </w:t>
            </w:r>
            <w:r w:rsidR="00576DC1" w:rsidRPr="00576DC1">
              <w:rPr>
                <w:rFonts w:eastAsia="Times New Roman" w:cs="Arial"/>
                <w:snapToGrid w:val="0"/>
                <w:szCs w:val="20"/>
              </w:rPr>
              <w:t>MSAC also noted the applicant had expressed a willingness to discuss restricting the use of REGENETEN to a narrower patient population</w:t>
            </w:r>
            <w:r w:rsidR="009164CA">
              <w:rPr>
                <w:rFonts w:eastAsia="Times New Roman" w:cs="Arial"/>
                <w:snapToGrid w:val="0"/>
                <w:szCs w:val="20"/>
              </w:rPr>
              <w:t xml:space="preserve"> </w:t>
            </w:r>
            <w:r w:rsidR="009164CA">
              <w:rPr>
                <w:rFonts w:eastAsia="Calibri" w:cstheme="minorHAnsi"/>
                <w:snapToGrid w:val="0"/>
              </w:rPr>
              <w:t>(pg</w:t>
            </w:r>
            <w:r w:rsidR="003C4EA0">
              <w:rPr>
                <w:rFonts w:eastAsia="Calibri" w:cstheme="minorHAnsi"/>
                <w:snapToGrid w:val="0"/>
              </w:rPr>
              <w:t>3</w:t>
            </w:r>
            <w:r w:rsidR="006E7E8C">
              <w:rPr>
                <w:rFonts w:eastAsia="Calibri" w:cstheme="minorHAnsi"/>
                <w:snapToGrid w:val="0"/>
              </w:rPr>
              <w:t>-</w:t>
            </w:r>
            <w:r w:rsidR="003C4EA0">
              <w:rPr>
                <w:rFonts w:eastAsia="Calibri" w:cstheme="minorHAnsi"/>
                <w:snapToGrid w:val="0"/>
              </w:rPr>
              <w:t>5</w:t>
            </w:r>
            <w:r w:rsidR="009164CA">
              <w:rPr>
                <w:rFonts w:eastAsia="Calibri" w:cstheme="minorHAnsi"/>
                <w:snapToGrid w:val="0"/>
              </w:rPr>
              <w:t>, PSD for MSAC application 1593</w:t>
            </w:r>
            <w:r w:rsidR="006E7E8C">
              <w:rPr>
                <w:rFonts w:eastAsia="Calibri" w:cstheme="minorHAnsi"/>
                <w:snapToGrid w:val="0"/>
              </w:rPr>
              <w:t>.1</w:t>
            </w:r>
            <w:r w:rsidR="009164CA">
              <w:rPr>
                <w:rFonts w:eastAsia="Calibri" w:cstheme="minorHAnsi"/>
                <w:snapToGrid w:val="0"/>
              </w:rPr>
              <w:t xml:space="preserve">, </w:t>
            </w:r>
            <w:r w:rsidR="006E7E8C">
              <w:rPr>
                <w:rFonts w:eastAsia="Calibri" w:cstheme="minorHAnsi"/>
                <w:snapToGrid w:val="0"/>
              </w:rPr>
              <w:t>Aug</w:t>
            </w:r>
            <w:r w:rsidR="009164CA">
              <w:rPr>
                <w:rFonts w:eastAsia="Calibri" w:cstheme="minorHAnsi"/>
                <w:snapToGrid w:val="0"/>
              </w:rPr>
              <w:t xml:space="preserve"> 202</w:t>
            </w:r>
            <w:r w:rsidR="006E7E8C">
              <w:rPr>
                <w:rFonts w:eastAsia="Calibri" w:cstheme="minorHAnsi"/>
                <w:snapToGrid w:val="0"/>
              </w:rPr>
              <w:t>4</w:t>
            </w:r>
            <w:r w:rsidR="009164CA">
              <w:rPr>
                <w:rFonts w:eastAsia="Calibri" w:cstheme="minorHAnsi"/>
                <w:snapToGrid w:val="0"/>
              </w:rPr>
              <w:t xml:space="preserve"> MSAC meeting).</w:t>
            </w:r>
          </w:p>
        </w:tc>
        <w:tc>
          <w:tcPr>
            <w:tcW w:w="1952" w:type="pct"/>
          </w:tcPr>
          <w:p w14:paraId="15BB4464" w14:textId="584397B2" w:rsidR="00F57885" w:rsidRPr="00CE28E3" w:rsidRDefault="00F57885" w:rsidP="00824458">
            <w:pPr>
              <w:pStyle w:val="TableText"/>
              <w:rPr>
                <w:rFonts w:eastAsia="Times New Roman" w:cs="Arial"/>
                <w:bCs/>
                <w:snapToGrid w:val="0"/>
                <w:szCs w:val="20"/>
              </w:rPr>
            </w:pPr>
            <w:r w:rsidRPr="00CE28E3">
              <w:rPr>
                <w:rFonts w:eastAsia="Times New Roman" w:cs="Arial"/>
                <w:snapToGrid w:val="0"/>
                <w:szCs w:val="20"/>
              </w:rPr>
              <w:t xml:space="preserve">Addressed. </w:t>
            </w:r>
            <w:r w:rsidRPr="00CE28E3">
              <w:rPr>
                <w:rFonts w:eastAsia="Times New Roman" w:cs="Arial"/>
                <w:snapToGrid w:val="0"/>
                <w:szCs w:val="20"/>
              </w:rPr>
              <w:br/>
            </w:r>
            <w:r w:rsidR="0016662A">
              <w:rPr>
                <w:rFonts w:eastAsia="Times New Roman" w:cs="Arial"/>
                <w:snapToGrid w:val="0"/>
                <w:szCs w:val="20"/>
              </w:rPr>
              <w:t>PTRCT has been removed from the proposal for public funding.</w:t>
            </w:r>
          </w:p>
        </w:tc>
      </w:tr>
      <w:tr w:rsidR="00F57885" w:rsidRPr="00CE28E3" w14:paraId="3B9AD9C3" w14:textId="77777777" w:rsidTr="00DE3A3B">
        <w:trPr>
          <w:cantSplit/>
        </w:trPr>
        <w:tc>
          <w:tcPr>
            <w:tcW w:w="1097" w:type="pct"/>
          </w:tcPr>
          <w:p w14:paraId="23382853" w14:textId="219E6E92" w:rsidR="00F57885" w:rsidRPr="00CE28E3" w:rsidRDefault="00F57885" w:rsidP="00824458">
            <w:pPr>
              <w:pStyle w:val="TableText"/>
            </w:pPr>
            <w:r w:rsidRPr="00CE28E3">
              <w:t xml:space="preserve">Clinical </w:t>
            </w:r>
            <w:r w:rsidR="00C475AA">
              <w:t>safety</w:t>
            </w:r>
          </w:p>
        </w:tc>
        <w:tc>
          <w:tcPr>
            <w:tcW w:w="1951" w:type="pct"/>
          </w:tcPr>
          <w:p w14:paraId="3C6FBFDC" w14:textId="1C2AAB16" w:rsidR="00F57885" w:rsidRPr="00CE28E3" w:rsidRDefault="00E7434F" w:rsidP="00824458">
            <w:pPr>
              <w:pStyle w:val="TableText"/>
            </w:pPr>
            <w:r w:rsidRPr="00E7434F">
              <w:rPr>
                <w:rFonts w:eastAsia="Times New Roman" w:cs="Arial"/>
                <w:snapToGrid w:val="0"/>
                <w:szCs w:val="20"/>
              </w:rPr>
              <w:t>MSAC considered that the claim of non-inferiority in comparative safety was likely but uncertain due to limited long-term safety data.</w:t>
            </w:r>
            <w:r w:rsidR="006E7E8C">
              <w:rPr>
                <w:rFonts w:eastAsia="Calibri" w:cstheme="minorHAnsi"/>
                <w:snapToGrid w:val="0"/>
              </w:rPr>
              <w:t xml:space="preserve"> (pg4, PSD for MSAC application 1593.1, Aug 2024 MSAC meeting).</w:t>
            </w:r>
          </w:p>
        </w:tc>
        <w:tc>
          <w:tcPr>
            <w:tcW w:w="1952" w:type="pct"/>
          </w:tcPr>
          <w:p w14:paraId="26202E3E" w14:textId="28FA43F7" w:rsidR="00F57885" w:rsidRPr="00CE28E3" w:rsidRDefault="00F57885" w:rsidP="00824458">
            <w:pPr>
              <w:pStyle w:val="TableText"/>
              <w:rPr>
                <w:rFonts w:eastAsia="Times New Roman" w:cs="Arial"/>
                <w:bCs/>
                <w:snapToGrid w:val="0"/>
                <w:szCs w:val="20"/>
              </w:rPr>
            </w:pPr>
            <w:r w:rsidRPr="00CE28E3">
              <w:rPr>
                <w:rFonts w:eastAsia="Times New Roman" w:cs="Arial"/>
                <w:snapToGrid w:val="0"/>
                <w:szCs w:val="20"/>
              </w:rPr>
              <w:t xml:space="preserve">Addressed. </w:t>
            </w:r>
            <w:r w:rsidRPr="00CE28E3">
              <w:rPr>
                <w:rFonts w:eastAsia="Times New Roman" w:cs="Arial"/>
                <w:snapToGrid w:val="0"/>
                <w:szCs w:val="20"/>
              </w:rPr>
              <w:br/>
            </w:r>
            <w:r w:rsidR="0016662A" w:rsidRPr="0016662A">
              <w:rPr>
                <w:rFonts w:eastAsia="Times New Roman" w:cs="Arial"/>
                <w:snapToGrid w:val="0"/>
                <w:szCs w:val="20"/>
              </w:rPr>
              <w:t xml:space="preserve">The ADAR presented longer term </w:t>
            </w:r>
            <w:r w:rsidR="0016662A">
              <w:rPr>
                <w:rFonts w:eastAsia="Times New Roman" w:cs="Arial"/>
                <w:snapToGrid w:val="0"/>
                <w:szCs w:val="20"/>
              </w:rPr>
              <w:t xml:space="preserve">(2 year) </w:t>
            </w:r>
            <w:r w:rsidR="0016662A" w:rsidRPr="0016662A">
              <w:rPr>
                <w:rFonts w:eastAsia="Times New Roman" w:cs="Arial"/>
                <w:snapToGrid w:val="0"/>
                <w:szCs w:val="20"/>
              </w:rPr>
              <w:t xml:space="preserve">follow up from Ruiz </w:t>
            </w:r>
            <w:proofErr w:type="spellStart"/>
            <w:r w:rsidR="0091327B" w:rsidRPr="00BB05DE">
              <w:t>Ibán</w:t>
            </w:r>
            <w:proofErr w:type="spellEnd"/>
            <w:r w:rsidR="0016662A" w:rsidRPr="0016662A">
              <w:rPr>
                <w:rFonts w:eastAsia="Times New Roman" w:cs="Arial"/>
                <w:snapToGrid w:val="0"/>
                <w:szCs w:val="20"/>
              </w:rPr>
              <w:t xml:space="preserve"> (</w:t>
            </w:r>
            <w:r w:rsidR="0016662A" w:rsidRPr="0016662A" w:rsidDel="00294813">
              <w:rPr>
                <w:rFonts w:eastAsia="Times New Roman" w:cs="Arial"/>
                <w:snapToGrid w:val="0"/>
                <w:szCs w:val="20"/>
              </w:rPr>
              <w:t>2023</w:t>
            </w:r>
            <w:r w:rsidR="0016662A" w:rsidRPr="0016662A">
              <w:rPr>
                <w:rFonts w:eastAsia="Times New Roman" w:cs="Arial"/>
                <w:snapToGrid w:val="0"/>
                <w:szCs w:val="20"/>
              </w:rPr>
              <w:t>)</w:t>
            </w:r>
          </w:p>
        </w:tc>
      </w:tr>
      <w:tr w:rsidR="0041169F" w:rsidRPr="00CE28E3" w14:paraId="7BB72139" w14:textId="77777777" w:rsidTr="00DE3A3B">
        <w:trPr>
          <w:cantSplit/>
        </w:trPr>
        <w:tc>
          <w:tcPr>
            <w:tcW w:w="1097" w:type="pct"/>
            <w:vMerge w:val="restart"/>
          </w:tcPr>
          <w:p w14:paraId="6A4AEBD4" w14:textId="77777777" w:rsidR="0041169F" w:rsidRPr="00CE28E3" w:rsidRDefault="0041169F" w:rsidP="00824458">
            <w:pPr>
              <w:pStyle w:val="TableText"/>
            </w:pPr>
            <w:r>
              <w:t>Clinical effectiveness</w:t>
            </w:r>
          </w:p>
          <w:p w14:paraId="7F7DE319" w14:textId="574619BA" w:rsidR="0041169F" w:rsidRPr="00CE28E3" w:rsidRDefault="0041169F" w:rsidP="00824458">
            <w:pPr>
              <w:pStyle w:val="TableText"/>
            </w:pPr>
            <w:r>
              <w:t xml:space="preserve"> </w:t>
            </w:r>
          </w:p>
        </w:tc>
        <w:tc>
          <w:tcPr>
            <w:tcW w:w="1951" w:type="pct"/>
          </w:tcPr>
          <w:p w14:paraId="075BFD2B" w14:textId="240E2EBA" w:rsidR="0041169F" w:rsidRPr="00EC7A14" w:rsidRDefault="0041169F" w:rsidP="00EC7A14">
            <w:pPr>
              <w:pStyle w:val="TableText"/>
              <w:rPr>
                <w:rFonts w:eastAsia="Times New Roman" w:cs="Arial"/>
                <w:snapToGrid w:val="0"/>
                <w:szCs w:val="20"/>
              </w:rPr>
            </w:pPr>
            <w:r w:rsidRPr="00DE4DD5">
              <w:rPr>
                <w:rFonts w:eastAsia="Times New Roman" w:cs="Arial"/>
                <w:snapToGrid w:val="0"/>
                <w:szCs w:val="20"/>
              </w:rPr>
              <w:t xml:space="preserve">MSAC noted the Ruiz </w:t>
            </w:r>
            <w:proofErr w:type="spellStart"/>
            <w:r w:rsidR="0091327B" w:rsidRPr="00BB05DE">
              <w:t>Ibán</w:t>
            </w:r>
            <w:proofErr w:type="spellEnd"/>
            <w:r w:rsidRPr="00DE4DD5">
              <w:rPr>
                <w:rFonts w:eastAsia="Times New Roman" w:cs="Arial"/>
                <w:snapToGrid w:val="0"/>
                <w:szCs w:val="20"/>
              </w:rPr>
              <w:t xml:space="preserve"> (2023) trial showed superiority in imaging-based outcomes such as retear rates but no significant differences in patient-reported outcomes (PROs) compared to standard of care (surgery without augmentation).</w:t>
            </w:r>
            <w:r>
              <w:rPr>
                <w:rFonts w:eastAsia="Times New Roman" w:cs="Arial"/>
                <w:snapToGrid w:val="0"/>
                <w:szCs w:val="20"/>
              </w:rPr>
              <w:t xml:space="preserve"> </w:t>
            </w:r>
            <w:r>
              <w:rPr>
                <w:rFonts w:eastAsia="Calibri" w:cstheme="minorHAnsi"/>
                <w:snapToGrid w:val="0"/>
              </w:rPr>
              <w:t>(pg4, PSD for MSAC application 1593.1, Aug 2024 MSAC meeting).</w:t>
            </w:r>
          </w:p>
          <w:p w14:paraId="1B7E34B7" w14:textId="77F6ACC2" w:rsidR="0041169F" w:rsidRPr="00CE28E3" w:rsidRDefault="0041169F" w:rsidP="00EC7A14">
            <w:pPr>
              <w:pStyle w:val="TableText"/>
              <w:rPr>
                <w:rFonts w:eastAsia="Times New Roman" w:cs="Arial"/>
                <w:snapToGrid w:val="0"/>
                <w:szCs w:val="20"/>
              </w:rPr>
            </w:pPr>
            <w:r w:rsidRPr="005254C8">
              <w:rPr>
                <w:rFonts w:eastAsia="Times New Roman" w:cs="Arial"/>
                <w:snapToGrid w:val="0"/>
                <w:szCs w:val="20"/>
              </w:rPr>
              <w:t xml:space="preserve">MSAC considered </w:t>
            </w:r>
            <w:r>
              <w:rPr>
                <w:rFonts w:eastAsia="Times New Roman" w:cs="Arial"/>
                <w:snapToGrid w:val="0"/>
                <w:szCs w:val="20"/>
              </w:rPr>
              <w:t>an updated ADAR should p</w:t>
            </w:r>
            <w:r w:rsidRPr="00EC7A14">
              <w:rPr>
                <w:rFonts w:eastAsia="Times New Roman" w:cs="Arial"/>
                <w:snapToGrid w:val="0"/>
                <w:szCs w:val="20"/>
              </w:rPr>
              <w:t xml:space="preserve">rovide RCT evidence with non-radiological measures as primary outcomes. </w:t>
            </w:r>
            <w:r>
              <w:rPr>
                <w:rFonts w:eastAsia="Calibri" w:cstheme="minorHAnsi"/>
                <w:snapToGrid w:val="0"/>
              </w:rPr>
              <w:t>(pg4-5, PSD for MSAC application 1593.1, Aug 2024 MSAC meeting).</w:t>
            </w:r>
          </w:p>
        </w:tc>
        <w:tc>
          <w:tcPr>
            <w:tcW w:w="1952" w:type="pct"/>
          </w:tcPr>
          <w:p w14:paraId="017A593B" w14:textId="4F2360CC" w:rsidR="0041169F" w:rsidRDefault="005776E5" w:rsidP="00824458">
            <w:pPr>
              <w:pStyle w:val="TableText"/>
              <w:rPr>
                <w:rFonts w:eastAsia="Times New Roman" w:cs="Arial"/>
                <w:snapToGrid w:val="0"/>
                <w:szCs w:val="20"/>
              </w:rPr>
            </w:pPr>
            <w:r>
              <w:rPr>
                <w:rFonts w:eastAsia="Times New Roman" w:cs="Arial"/>
                <w:snapToGrid w:val="0"/>
                <w:szCs w:val="20"/>
              </w:rPr>
              <w:t xml:space="preserve">Not adequately </w:t>
            </w:r>
            <w:r w:rsidR="00294813">
              <w:rPr>
                <w:rFonts w:eastAsia="Times New Roman" w:cs="Arial"/>
                <w:snapToGrid w:val="0"/>
                <w:szCs w:val="20"/>
              </w:rPr>
              <w:t>a</w:t>
            </w:r>
            <w:r w:rsidR="0041169F">
              <w:rPr>
                <w:rFonts w:eastAsia="Times New Roman" w:cs="Arial"/>
                <w:snapToGrid w:val="0"/>
                <w:szCs w:val="20"/>
              </w:rPr>
              <w:t>ddressed</w:t>
            </w:r>
            <w:r w:rsidR="008A7D6C">
              <w:rPr>
                <w:rFonts w:eastAsia="Times New Roman" w:cs="Arial"/>
                <w:snapToGrid w:val="0"/>
                <w:szCs w:val="20"/>
              </w:rPr>
              <w:t>.</w:t>
            </w:r>
          </w:p>
          <w:p w14:paraId="5316D72D" w14:textId="1B455A0A" w:rsidR="0041169F" w:rsidRDefault="0041169F" w:rsidP="00824458">
            <w:pPr>
              <w:pStyle w:val="TableText"/>
              <w:rPr>
                <w:rFonts w:eastAsia="Times New Roman" w:cs="Arial"/>
                <w:snapToGrid w:val="0"/>
                <w:szCs w:val="20"/>
              </w:rPr>
            </w:pPr>
            <w:r>
              <w:rPr>
                <w:rFonts w:eastAsia="Times New Roman" w:cs="Arial"/>
                <w:snapToGrid w:val="0"/>
                <w:szCs w:val="20"/>
              </w:rPr>
              <w:t xml:space="preserve">The ADAR presented longer term follow up from </w:t>
            </w:r>
            <w:r w:rsidRPr="00DE4DD5">
              <w:rPr>
                <w:rFonts w:eastAsia="Times New Roman" w:cs="Arial"/>
                <w:snapToGrid w:val="0"/>
                <w:szCs w:val="20"/>
              </w:rPr>
              <w:t xml:space="preserve">Ruiz </w:t>
            </w:r>
            <w:proofErr w:type="spellStart"/>
            <w:r w:rsidR="0091327B" w:rsidRPr="00BB05DE">
              <w:t>Ibán</w:t>
            </w:r>
            <w:proofErr w:type="spellEnd"/>
            <w:r w:rsidRPr="00DE4DD5">
              <w:rPr>
                <w:rFonts w:eastAsia="Times New Roman" w:cs="Arial"/>
                <w:snapToGrid w:val="0"/>
                <w:szCs w:val="20"/>
              </w:rPr>
              <w:t xml:space="preserve"> (202</w:t>
            </w:r>
            <w:r w:rsidRPr="00DE4DD5" w:rsidDel="00294813">
              <w:rPr>
                <w:rFonts w:eastAsia="Times New Roman" w:cs="Arial"/>
                <w:snapToGrid w:val="0"/>
                <w:szCs w:val="20"/>
              </w:rPr>
              <w:t>3</w:t>
            </w:r>
            <w:r w:rsidRPr="00DE4DD5">
              <w:rPr>
                <w:rFonts w:eastAsia="Times New Roman" w:cs="Arial"/>
                <w:snapToGrid w:val="0"/>
                <w:szCs w:val="20"/>
              </w:rPr>
              <w:t>)</w:t>
            </w:r>
            <w:r>
              <w:rPr>
                <w:rFonts w:eastAsia="Times New Roman" w:cs="Arial"/>
                <w:snapToGrid w:val="0"/>
                <w:szCs w:val="20"/>
              </w:rPr>
              <w:t xml:space="preserve">, </w:t>
            </w:r>
            <w:r w:rsidR="00975EE7">
              <w:rPr>
                <w:rFonts w:eastAsia="Times New Roman" w:cs="Arial"/>
                <w:snapToGrid w:val="0"/>
                <w:szCs w:val="20"/>
              </w:rPr>
              <w:t xml:space="preserve">which </w:t>
            </w:r>
            <w:r>
              <w:rPr>
                <w:rFonts w:eastAsia="Times New Roman" w:cs="Arial"/>
                <w:snapToGrid w:val="0"/>
                <w:szCs w:val="20"/>
              </w:rPr>
              <w:t>maintained the retear rates as the primary outcome</w:t>
            </w:r>
            <w:r w:rsidR="00294813">
              <w:rPr>
                <w:rFonts w:eastAsia="Times New Roman" w:cs="Arial"/>
                <w:snapToGrid w:val="0"/>
                <w:szCs w:val="20"/>
              </w:rPr>
              <w:t xml:space="preserve"> and </w:t>
            </w:r>
            <w:r>
              <w:rPr>
                <w:rFonts w:eastAsia="Times New Roman" w:cs="Arial"/>
                <w:snapToGrid w:val="0"/>
                <w:szCs w:val="20"/>
              </w:rPr>
              <w:t>no</w:t>
            </w:r>
            <w:r w:rsidR="00B5795C">
              <w:rPr>
                <w:rFonts w:eastAsia="Times New Roman" w:cs="Arial"/>
                <w:snapToGrid w:val="0"/>
                <w:szCs w:val="20"/>
              </w:rPr>
              <w:t xml:space="preserve"> stat</w:t>
            </w:r>
            <w:r w:rsidR="00785014">
              <w:rPr>
                <w:rFonts w:eastAsia="Times New Roman" w:cs="Arial"/>
                <w:snapToGrid w:val="0"/>
                <w:szCs w:val="20"/>
              </w:rPr>
              <w:t>istically significant</w:t>
            </w:r>
            <w:r>
              <w:rPr>
                <w:rFonts w:eastAsia="Times New Roman" w:cs="Arial"/>
                <w:snapToGrid w:val="0"/>
                <w:szCs w:val="20"/>
              </w:rPr>
              <w:t xml:space="preserve"> difference</w:t>
            </w:r>
            <w:r w:rsidR="00785014">
              <w:rPr>
                <w:rFonts w:eastAsia="Times New Roman" w:cs="Arial"/>
                <w:snapToGrid w:val="0"/>
                <w:szCs w:val="20"/>
              </w:rPr>
              <w:t>s</w:t>
            </w:r>
            <w:r w:rsidR="00E9596B">
              <w:rPr>
                <w:rFonts w:eastAsia="Times New Roman" w:cs="Arial"/>
                <w:snapToGrid w:val="0"/>
                <w:szCs w:val="20"/>
              </w:rPr>
              <w:t xml:space="preserve"> </w:t>
            </w:r>
            <w:r>
              <w:rPr>
                <w:rFonts w:eastAsia="Times New Roman" w:cs="Arial"/>
                <w:snapToGrid w:val="0"/>
                <w:szCs w:val="20"/>
              </w:rPr>
              <w:t xml:space="preserve">in </w:t>
            </w:r>
            <w:r w:rsidR="00E9596B" w:rsidDel="00294813">
              <w:rPr>
                <w:rFonts w:eastAsia="Times New Roman" w:cs="Arial"/>
                <w:snapToGrid w:val="0"/>
                <w:szCs w:val="20"/>
              </w:rPr>
              <w:t>patient-</w:t>
            </w:r>
            <w:r w:rsidDel="00294813">
              <w:rPr>
                <w:rFonts w:eastAsia="Times New Roman" w:cs="Arial"/>
                <w:snapToGrid w:val="0"/>
                <w:szCs w:val="20"/>
              </w:rPr>
              <w:t>reported outcomes</w:t>
            </w:r>
            <w:r w:rsidR="00294813">
              <w:rPr>
                <w:rFonts w:eastAsia="Times New Roman" w:cs="Arial"/>
                <w:snapToGrid w:val="0"/>
                <w:szCs w:val="20"/>
              </w:rPr>
              <w:t xml:space="preserve"> </w:t>
            </w:r>
            <w:r>
              <w:rPr>
                <w:rFonts w:eastAsia="Times New Roman" w:cs="Arial"/>
                <w:snapToGrid w:val="0"/>
                <w:szCs w:val="20"/>
              </w:rPr>
              <w:t>were noted.</w:t>
            </w:r>
            <w:r w:rsidR="008629AF">
              <w:rPr>
                <w:rFonts w:eastAsia="Times New Roman" w:cs="Arial"/>
                <w:snapToGrid w:val="0"/>
                <w:szCs w:val="20"/>
              </w:rPr>
              <w:t xml:space="preserve"> </w:t>
            </w:r>
            <w:r w:rsidDel="00294813">
              <w:rPr>
                <w:rFonts w:eastAsia="Times New Roman" w:cs="Arial"/>
                <w:snapToGrid w:val="0"/>
                <w:szCs w:val="20"/>
              </w:rPr>
              <w:t xml:space="preserve">The ADAR presented long term follow up from </w:t>
            </w:r>
            <w:r w:rsidRPr="00281196" w:rsidDel="00294813">
              <w:rPr>
                <w:rFonts w:eastAsia="Times New Roman" w:cs="Arial"/>
                <w:snapToGrid w:val="0"/>
                <w:szCs w:val="20"/>
              </w:rPr>
              <w:t xml:space="preserve">Camacho-Chacon </w:t>
            </w:r>
            <w:r w:rsidR="00813607" w:rsidDel="00294813">
              <w:rPr>
                <w:rFonts w:eastAsia="Times New Roman" w:cs="Arial"/>
                <w:snapToGrid w:val="0"/>
                <w:szCs w:val="20"/>
              </w:rPr>
              <w:t>(</w:t>
            </w:r>
            <w:r w:rsidRPr="00281196" w:rsidDel="00294813">
              <w:rPr>
                <w:rFonts w:eastAsia="Times New Roman" w:cs="Arial"/>
                <w:snapToGrid w:val="0"/>
                <w:szCs w:val="20"/>
              </w:rPr>
              <w:t>2023</w:t>
            </w:r>
            <w:r w:rsidR="00813607" w:rsidDel="00294813">
              <w:rPr>
                <w:rFonts w:eastAsia="Times New Roman" w:cs="Arial"/>
                <w:snapToGrid w:val="0"/>
                <w:szCs w:val="20"/>
              </w:rPr>
              <w:t>)</w:t>
            </w:r>
            <w:r w:rsidDel="00294813">
              <w:rPr>
                <w:rFonts w:eastAsia="Times New Roman" w:cs="Arial"/>
                <w:snapToGrid w:val="0"/>
                <w:szCs w:val="20"/>
              </w:rPr>
              <w:t xml:space="preserve"> which demonstrated </w:t>
            </w:r>
            <w:r w:rsidR="00871E13" w:rsidDel="00294813">
              <w:rPr>
                <w:rFonts w:eastAsia="Times New Roman" w:cs="Arial"/>
                <w:snapToGrid w:val="0"/>
                <w:szCs w:val="20"/>
              </w:rPr>
              <w:t xml:space="preserve">statistically significant </w:t>
            </w:r>
            <w:r w:rsidDel="00294813">
              <w:rPr>
                <w:rFonts w:eastAsia="Times New Roman" w:cs="Arial"/>
                <w:snapToGrid w:val="0"/>
                <w:szCs w:val="20"/>
              </w:rPr>
              <w:t>differences in ASES and CMS</w:t>
            </w:r>
            <w:r w:rsidR="00871E13" w:rsidDel="00294813">
              <w:rPr>
                <w:rFonts w:eastAsia="Times New Roman" w:cs="Arial"/>
                <w:snapToGrid w:val="0"/>
                <w:szCs w:val="20"/>
              </w:rPr>
              <w:t>.</w:t>
            </w:r>
          </w:p>
          <w:p w14:paraId="53B9030E" w14:textId="4E9BE2A3" w:rsidR="0041169F" w:rsidRPr="00CE28E3" w:rsidRDefault="0041169F" w:rsidP="00824458">
            <w:pPr>
              <w:pStyle w:val="TableText"/>
              <w:rPr>
                <w:rFonts w:eastAsia="Times New Roman" w:cs="Arial"/>
                <w:snapToGrid w:val="0"/>
                <w:szCs w:val="20"/>
              </w:rPr>
            </w:pPr>
            <w:r>
              <w:rPr>
                <w:rFonts w:eastAsia="Times New Roman" w:cs="Arial"/>
                <w:snapToGrid w:val="0"/>
                <w:szCs w:val="20"/>
              </w:rPr>
              <w:t>The ADAR argued that</w:t>
            </w:r>
            <w:r w:rsidR="006B2331">
              <w:rPr>
                <w:rFonts w:eastAsia="Times New Roman" w:cs="Arial"/>
                <w:snapToGrid w:val="0"/>
                <w:szCs w:val="20"/>
              </w:rPr>
              <w:t xml:space="preserve"> ‘</w:t>
            </w:r>
            <w:r w:rsidRPr="00F76B74">
              <w:rPr>
                <w:rFonts w:eastAsia="Times New Roman" w:cs="Arial"/>
                <w:snapToGrid w:val="0"/>
                <w:szCs w:val="20"/>
              </w:rPr>
              <w:t xml:space="preserve">Radiographic retears, while considered a surrogate outcome, are strongly supported by a robust body of evidence underscoring their significant clinical relevance. The concerns raised by MSAC are addressable, especially when considering the robust combined evidence from RCTs outlined in the literature alongside the updated two-year Ruiz </w:t>
            </w:r>
            <w:proofErr w:type="spellStart"/>
            <w:r w:rsidR="0091327B" w:rsidRPr="00BB05DE">
              <w:t>Ibán</w:t>
            </w:r>
            <w:proofErr w:type="spellEnd"/>
            <w:r w:rsidRPr="00F76B74">
              <w:rPr>
                <w:rFonts w:eastAsia="Times New Roman" w:cs="Arial"/>
                <w:snapToGrid w:val="0"/>
                <w:szCs w:val="20"/>
              </w:rPr>
              <w:t xml:space="preserve"> data</w:t>
            </w:r>
            <w:r w:rsidR="005776E5">
              <w:rPr>
                <w:rFonts w:eastAsia="Times New Roman" w:cs="Arial"/>
                <w:snapToGrid w:val="0"/>
                <w:szCs w:val="20"/>
              </w:rPr>
              <w:t xml:space="preserve"> </w:t>
            </w:r>
            <w:r w:rsidRPr="00F76B74" w:rsidDel="00294813">
              <w:rPr>
                <w:rFonts w:eastAsia="Times New Roman" w:cs="Arial"/>
                <w:snapToGrid w:val="0"/>
                <w:szCs w:val="20"/>
              </w:rPr>
              <w:t>(available in the CSR and submitted manuscript)</w:t>
            </w:r>
            <w:r w:rsidRPr="00F76B74">
              <w:rPr>
                <w:rFonts w:eastAsia="Times New Roman" w:cs="Arial"/>
                <w:snapToGrid w:val="0"/>
                <w:szCs w:val="20"/>
              </w:rPr>
              <w:t>, which strengthens the case for this outcome's clinical significance.</w:t>
            </w:r>
            <w:r w:rsidR="008F54D1">
              <w:rPr>
                <w:rFonts w:eastAsia="Times New Roman" w:cs="Arial"/>
                <w:snapToGrid w:val="0"/>
                <w:szCs w:val="20"/>
              </w:rPr>
              <w:t>’</w:t>
            </w:r>
          </w:p>
        </w:tc>
      </w:tr>
      <w:tr w:rsidR="0041169F" w:rsidRPr="00CE28E3" w14:paraId="05720EB9" w14:textId="77777777" w:rsidTr="00DE3A3B">
        <w:trPr>
          <w:cantSplit/>
        </w:trPr>
        <w:tc>
          <w:tcPr>
            <w:tcW w:w="1097" w:type="pct"/>
            <w:vMerge/>
          </w:tcPr>
          <w:p w14:paraId="69FFE7B9" w14:textId="665475B1" w:rsidR="0041169F" w:rsidRPr="00CE28E3" w:rsidRDefault="0041169F" w:rsidP="00824458">
            <w:pPr>
              <w:pStyle w:val="TableText"/>
            </w:pPr>
          </w:p>
        </w:tc>
        <w:tc>
          <w:tcPr>
            <w:tcW w:w="1951" w:type="pct"/>
          </w:tcPr>
          <w:p w14:paraId="1969A2C3" w14:textId="48CDF687" w:rsidR="0041169F" w:rsidRPr="00CE28E3" w:rsidRDefault="0041169F" w:rsidP="008E5AF7">
            <w:pPr>
              <w:pStyle w:val="TableText"/>
              <w:rPr>
                <w:rFonts w:eastAsia="Times New Roman" w:cs="Arial"/>
                <w:snapToGrid w:val="0"/>
                <w:szCs w:val="20"/>
              </w:rPr>
            </w:pPr>
            <w:r>
              <w:rPr>
                <w:rFonts w:eastAsia="Times New Roman" w:cs="Arial"/>
                <w:snapToGrid w:val="0"/>
                <w:szCs w:val="20"/>
              </w:rPr>
              <w:t>MSAC considered that the updated ADAR should c</w:t>
            </w:r>
            <w:r w:rsidRPr="008E5AF7">
              <w:rPr>
                <w:rFonts w:eastAsia="Times New Roman" w:cs="Arial"/>
                <w:snapToGrid w:val="0"/>
                <w:szCs w:val="20"/>
              </w:rPr>
              <w:t>onsider a focus on the clinical claim that REGEN</w:t>
            </w:r>
            <w:r w:rsidR="002259C9">
              <w:rPr>
                <w:rFonts w:eastAsia="Times New Roman" w:cs="Arial"/>
                <w:snapToGrid w:val="0"/>
                <w:szCs w:val="20"/>
              </w:rPr>
              <w:t>E</w:t>
            </w:r>
            <w:r w:rsidRPr="008E5AF7">
              <w:rPr>
                <w:rFonts w:eastAsia="Times New Roman" w:cs="Arial"/>
                <w:snapToGrid w:val="0"/>
                <w:szCs w:val="20"/>
              </w:rPr>
              <w:t xml:space="preserve">TEN reduces time to recovery </w:t>
            </w:r>
            <w:r>
              <w:rPr>
                <w:rFonts w:eastAsia="Calibri" w:cstheme="minorHAnsi"/>
                <w:snapToGrid w:val="0"/>
              </w:rPr>
              <w:t>(pg5, PSD for MSAC application 1593.1, Aug 2024 MSAC meeting).</w:t>
            </w:r>
          </w:p>
        </w:tc>
        <w:tc>
          <w:tcPr>
            <w:tcW w:w="1952" w:type="pct"/>
          </w:tcPr>
          <w:p w14:paraId="0495E4AA" w14:textId="4AE46AE5" w:rsidR="0041169F" w:rsidRPr="00CE28E3" w:rsidRDefault="0041169F" w:rsidP="00824458">
            <w:pPr>
              <w:pStyle w:val="TableText"/>
              <w:rPr>
                <w:rFonts w:eastAsia="Times New Roman" w:cs="Arial"/>
                <w:snapToGrid w:val="0"/>
                <w:szCs w:val="20"/>
              </w:rPr>
            </w:pPr>
            <w:r>
              <w:rPr>
                <w:rFonts w:eastAsia="Times New Roman" w:cs="Arial"/>
                <w:snapToGrid w:val="0"/>
                <w:szCs w:val="20"/>
              </w:rPr>
              <w:t>Not addressed</w:t>
            </w:r>
            <w:r w:rsidR="00294813">
              <w:rPr>
                <w:rFonts w:eastAsia="Times New Roman" w:cs="Arial"/>
                <w:snapToGrid w:val="0"/>
                <w:szCs w:val="20"/>
              </w:rPr>
              <w:t>.</w:t>
            </w:r>
            <w:r w:rsidR="00FE7CA0">
              <w:rPr>
                <w:rFonts w:eastAsia="Times New Roman" w:cs="Arial"/>
                <w:snapToGrid w:val="0"/>
                <w:szCs w:val="20"/>
              </w:rPr>
              <w:t xml:space="preserve"> </w:t>
            </w:r>
            <w:r w:rsidR="00E655BF">
              <w:rPr>
                <w:rFonts w:eastAsia="Times New Roman" w:cs="Arial"/>
                <w:snapToGrid w:val="0"/>
                <w:szCs w:val="20"/>
              </w:rPr>
              <w:t>The a</w:t>
            </w:r>
            <w:r w:rsidR="00FE7CA0">
              <w:rPr>
                <w:rFonts w:eastAsia="Times New Roman" w:cs="Arial"/>
                <w:snapToGrid w:val="0"/>
                <w:szCs w:val="20"/>
              </w:rPr>
              <w:t>pplicant</w:t>
            </w:r>
            <w:r w:rsidR="00E566EA">
              <w:rPr>
                <w:rFonts w:eastAsia="Times New Roman" w:cs="Arial"/>
                <w:snapToGrid w:val="0"/>
                <w:szCs w:val="20"/>
              </w:rPr>
              <w:t xml:space="preserve"> did not</w:t>
            </w:r>
            <w:r w:rsidR="00FE7CA0">
              <w:rPr>
                <w:rFonts w:eastAsia="Times New Roman" w:cs="Arial"/>
                <w:snapToGrid w:val="0"/>
                <w:szCs w:val="20"/>
              </w:rPr>
              <w:t xml:space="preserve"> consider that changes in time to recovery </w:t>
            </w:r>
            <w:r w:rsidR="00905D06">
              <w:rPr>
                <w:rFonts w:eastAsia="Times New Roman" w:cs="Arial"/>
                <w:snapToGrid w:val="0"/>
                <w:szCs w:val="20"/>
              </w:rPr>
              <w:t>were</w:t>
            </w:r>
            <w:r w:rsidR="00FE7CA0">
              <w:rPr>
                <w:rFonts w:eastAsia="Times New Roman" w:cs="Arial"/>
                <w:snapToGrid w:val="0"/>
                <w:szCs w:val="20"/>
              </w:rPr>
              <w:t xml:space="preserve"> relevant to the </w:t>
            </w:r>
            <w:r w:rsidR="002D39B8">
              <w:rPr>
                <w:rFonts w:eastAsia="Times New Roman" w:cs="Arial"/>
                <w:snapToGrid w:val="0"/>
                <w:szCs w:val="20"/>
              </w:rPr>
              <w:t>FTRCT population</w:t>
            </w:r>
            <w:r w:rsidR="00FE7CA0">
              <w:rPr>
                <w:rFonts w:eastAsia="Times New Roman" w:cs="Arial"/>
                <w:snapToGrid w:val="0"/>
                <w:szCs w:val="20"/>
              </w:rPr>
              <w:t xml:space="preserve">. </w:t>
            </w:r>
          </w:p>
        </w:tc>
      </w:tr>
      <w:tr w:rsidR="0041169F" w:rsidRPr="00CE28E3" w14:paraId="60AA8E07" w14:textId="77777777" w:rsidTr="00DE3A3B">
        <w:trPr>
          <w:cantSplit/>
        </w:trPr>
        <w:tc>
          <w:tcPr>
            <w:tcW w:w="1097" w:type="pct"/>
            <w:vMerge w:val="restart"/>
          </w:tcPr>
          <w:p w14:paraId="4B31B7C9" w14:textId="2A8CB6EF" w:rsidR="0041169F" w:rsidRPr="00CE28E3" w:rsidRDefault="0041169F" w:rsidP="00824458">
            <w:pPr>
              <w:pStyle w:val="TableText"/>
            </w:pPr>
            <w:r>
              <w:t>Economic Evaluation</w:t>
            </w:r>
          </w:p>
        </w:tc>
        <w:tc>
          <w:tcPr>
            <w:tcW w:w="1951" w:type="pct"/>
          </w:tcPr>
          <w:p w14:paraId="4D647BD7" w14:textId="2C490274" w:rsidR="0041169F" w:rsidRPr="00CE28E3" w:rsidRDefault="0041169F" w:rsidP="00824458">
            <w:pPr>
              <w:pStyle w:val="TableText"/>
              <w:rPr>
                <w:rFonts w:eastAsia="Times New Roman" w:cs="Arial"/>
                <w:snapToGrid w:val="0"/>
                <w:szCs w:val="20"/>
              </w:rPr>
            </w:pPr>
            <w:r>
              <w:rPr>
                <w:rFonts w:eastAsia="Times New Roman" w:cs="Arial"/>
                <w:snapToGrid w:val="0"/>
                <w:szCs w:val="20"/>
              </w:rPr>
              <w:t>MSAC considered that the updated ADAR should c</w:t>
            </w:r>
            <w:r w:rsidRPr="00CE12BA">
              <w:rPr>
                <w:rFonts w:eastAsia="Times New Roman" w:cs="Arial"/>
                <w:snapToGrid w:val="0"/>
                <w:szCs w:val="20"/>
              </w:rPr>
              <w:t>onsider respecifying the economic evaluation for FTR</w:t>
            </w:r>
            <w:r w:rsidR="00A1662A">
              <w:rPr>
                <w:rFonts w:eastAsia="Times New Roman" w:cs="Arial"/>
                <w:snapToGrid w:val="0"/>
                <w:szCs w:val="20"/>
              </w:rPr>
              <w:t>C</w:t>
            </w:r>
            <w:r w:rsidRPr="00CE12BA">
              <w:rPr>
                <w:rFonts w:eastAsia="Times New Roman" w:cs="Arial"/>
                <w:snapToGrid w:val="0"/>
                <w:szCs w:val="20"/>
              </w:rPr>
              <w:t>T with the inclusion of appropriate downstream costs, use of trial-based or time trade-off utility weights and shortening the time horizon to 1 year (as retear rates were only available at 12 months).</w:t>
            </w:r>
          </w:p>
        </w:tc>
        <w:tc>
          <w:tcPr>
            <w:tcW w:w="1952" w:type="pct"/>
          </w:tcPr>
          <w:p w14:paraId="0CAB6203" w14:textId="645FEF49" w:rsidR="0041169F" w:rsidRDefault="005776E5" w:rsidP="00824458">
            <w:pPr>
              <w:pStyle w:val="TableText"/>
              <w:rPr>
                <w:rFonts w:eastAsia="Times New Roman" w:cs="Arial"/>
                <w:snapToGrid w:val="0"/>
                <w:szCs w:val="20"/>
              </w:rPr>
            </w:pPr>
            <w:r>
              <w:rPr>
                <w:rFonts w:eastAsia="Times New Roman" w:cs="Arial"/>
                <w:snapToGrid w:val="0"/>
                <w:szCs w:val="20"/>
              </w:rPr>
              <w:t xml:space="preserve">Not adequately </w:t>
            </w:r>
            <w:r w:rsidR="0041169F">
              <w:rPr>
                <w:rFonts w:eastAsia="Times New Roman" w:cs="Arial"/>
                <w:snapToGrid w:val="0"/>
                <w:szCs w:val="20"/>
              </w:rPr>
              <w:t>addressed</w:t>
            </w:r>
            <w:r w:rsidR="00294813">
              <w:rPr>
                <w:rFonts w:eastAsia="Times New Roman" w:cs="Arial"/>
                <w:snapToGrid w:val="0"/>
                <w:szCs w:val="20"/>
              </w:rPr>
              <w:t>.</w:t>
            </w:r>
          </w:p>
          <w:p w14:paraId="3BCE9FE5" w14:textId="19BDDBB3" w:rsidR="0041169F" w:rsidRDefault="0041169F" w:rsidP="00824458">
            <w:pPr>
              <w:pStyle w:val="TableText"/>
              <w:rPr>
                <w:rFonts w:eastAsia="Times New Roman" w:cs="Arial"/>
                <w:snapToGrid w:val="0"/>
                <w:szCs w:val="20"/>
              </w:rPr>
            </w:pPr>
            <w:r>
              <w:rPr>
                <w:rFonts w:eastAsia="Times New Roman" w:cs="Arial"/>
                <w:snapToGrid w:val="0"/>
                <w:szCs w:val="20"/>
              </w:rPr>
              <w:t>The economic evaluation maintained a two-year time horizon; however, this was supported by longer trial follow up</w:t>
            </w:r>
            <w:r w:rsidR="009C59E7">
              <w:rPr>
                <w:rFonts w:eastAsia="Times New Roman" w:cs="Arial"/>
                <w:snapToGrid w:val="0"/>
                <w:szCs w:val="20"/>
              </w:rPr>
              <w:t>.</w:t>
            </w:r>
            <w:r>
              <w:rPr>
                <w:rFonts w:eastAsia="Times New Roman" w:cs="Arial"/>
                <w:snapToGrid w:val="0"/>
                <w:szCs w:val="20"/>
              </w:rPr>
              <w:t xml:space="preserve"> </w:t>
            </w:r>
          </w:p>
          <w:p w14:paraId="22EFB2C9" w14:textId="3E811A57" w:rsidR="0041169F" w:rsidRPr="00CE28E3" w:rsidRDefault="0041169F" w:rsidP="00824458">
            <w:pPr>
              <w:pStyle w:val="TableText"/>
              <w:rPr>
                <w:rFonts w:eastAsia="Times New Roman" w:cs="Arial"/>
                <w:snapToGrid w:val="0"/>
                <w:szCs w:val="20"/>
              </w:rPr>
            </w:pPr>
            <w:r>
              <w:rPr>
                <w:rFonts w:eastAsia="Times New Roman" w:cs="Arial"/>
                <w:snapToGrid w:val="0"/>
                <w:szCs w:val="20"/>
              </w:rPr>
              <w:t xml:space="preserve">The utilities were updated based on VAS results from </w:t>
            </w:r>
            <w:r w:rsidDel="00294813">
              <w:rPr>
                <w:rFonts w:eastAsia="Times New Roman" w:cs="Arial"/>
                <w:snapToGrid w:val="0"/>
                <w:szCs w:val="20"/>
              </w:rPr>
              <w:t>the pivotal trial</w:t>
            </w:r>
            <w:r>
              <w:rPr>
                <w:rFonts w:eastAsia="Times New Roman" w:cs="Arial"/>
                <w:snapToGrid w:val="0"/>
                <w:szCs w:val="20"/>
              </w:rPr>
              <w:t xml:space="preserve">, however, the method in which they were utilised may not have been appropriate. </w:t>
            </w:r>
          </w:p>
        </w:tc>
      </w:tr>
      <w:tr w:rsidR="0041169F" w:rsidRPr="00CE28E3" w14:paraId="18D719EF" w14:textId="77777777" w:rsidTr="00DE3A3B">
        <w:trPr>
          <w:cantSplit/>
        </w:trPr>
        <w:tc>
          <w:tcPr>
            <w:tcW w:w="1097" w:type="pct"/>
            <w:vMerge/>
          </w:tcPr>
          <w:p w14:paraId="33CED7B7" w14:textId="77777777" w:rsidR="0041169F" w:rsidRDefault="0041169F" w:rsidP="00824458">
            <w:pPr>
              <w:pStyle w:val="TableText"/>
            </w:pPr>
          </w:p>
        </w:tc>
        <w:tc>
          <w:tcPr>
            <w:tcW w:w="1951" w:type="pct"/>
          </w:tcPr>
          <w:p w14:paraId="21364A3E" w14:textId="0BEC0490" w:rsidR="0041169F" w:rsidRDefault="0041169F" w:rsidP="00824458">
            <w:pPr>
              <w:pStyle w:val="TableText"/>
              <w:rPr>
                <w:rFonts w:eastAsia="Times New Roman" w:cs="Arial"/>
                <w:snapToGrid w:val="0"/>
                <w:szCs w:val="20"/>
              </w:rPr>
            </w:pPr>
            <w:r w:rsidRPr="004E6D70">
              <w:rPr>
                <w:rFonts w:eastAsia="Times New Roman" w:cs="Arial"/>
                <w:snapToGrid w:val="0"/>
                <w:szCs w:val="20"/>
              </w:rPr>
              <w:t>MSAC considered it inappropriate that the ADAR model relied heavily on imaging outcomes (pg3, PSD for MSAC application 1593, July 2020 MSAC meeting).</w:t>
            </w:r>
          </w:p>
        </w:tc>
        <w:tc>
          <w:tcPr>
            <w:tcW w:w="1952" w:type="pct"/>
          </w:tcPr>
          <w:p w14:paraId="4A455D0D" w14:textId="204D11C5" w:rsidR="0041169F" w:rsidRDefault="005776E5" w:rsidP="00824458">
            <w:pPr>
              <w:pStyle w:val="TableText"/>
              <w:rPr>
                <w:rFonts w:eastAsia="Times New Roman" w:cs="Arial"/>
                <w:snapToGrid w:val="0"/>
                <w:szCs w:val="20"/>
              </w:rPr>
            </w:pPr>
            <w:r>
              <w:rPr>
                <w:rFonts w:eastAsia="Times New Roman" w:cs="Arial"/>
                <w:snapToGrid w:val="0"/>
                <w:szCs w:val="20"/>
              </w:rPr>
              <w:t>Not adequately</w:t>
            </w:r>
            <w:r w:rsidR="0041169F">
              <w:rPr>
                <w:rFonts w:eastAsia="Times New Roman" w:cs="Arial"/>
                <w:snapToGrid w:val="0"/>
                <w:szCs w:val="20"/>
              </w:rPr>
              <w:t xml:space="preserve"> addressed</w:t>
            </w:r>
            <w:r w:rsidR="00294813">
              <w:rPr>
                <w:rFonts w:eastAsia="Times New Roman" w:cs="Arial"/>
                <w:snapToGrid w:val="0"/>
                <w:szCs w:val="20"/>
              </w:rPr>
              <w:t>.</w:t>
            </w:r>
          </w:p>
          <w:p w14:paraId="3ACB004B" w14:textId="5B0DF30C" w:rsidR="0041169F" w:rsidRDefault="5B9079AC" w:rsidP="103F8650">
            <w:pPr>
              <w:pStyle w:val="TableText"/>
              <w:rPr>
                <w:rFonts w:eastAsia="Times New Roman" w:cs="Arial"/>
                <w:snapToGrid w:val="0"/>
              </w:rPr>
            </w:pPr>
            <w:r w:rsidRPr="103F8650">
              <w:rPr>
                <w:rFonts w:eastAsia="Times New Roman" w:cs="Arial"/>
                <w:snapToGrid w:val="0"/>
              </w:rPr>
              <w:t xml:space="preserve">The ADAR provided an additional </w:t>
            </w:r>
            <w:r w:rsidR="000C5F11">
              <w:rPr>
                <w:rFonts w:eastAsia="Times New Roman" w:cs="Arial"/>
                <w:snapToGrid w:val="0"/>
              </w:rPr>
              <w:t>CEA</w:t>
            </w:r>
            <w:r w:rsidRPr="103F8650">
              <w:rPr>
                <w:rFonts w:eastAsia="Times New Roman" w:cs="Arial"/>
                <w:snapToGrid w:val="0"/>
              </w:rPr>
              <w:t xml:space="preserve"> that utilised MCID for CMS. However, the method used to calculate the difference in MCID may not have been appropriate. </w:t>
            </w:r>
          </w:p>
        </w:tc>
      </w:tr>
      <w:tr w:rsidR="00DE4DD5" w:rsidRPr="00CE28E3" w14:paraId="5DD2FB15" w14:textId="77777777" w:rsidTr="00DE3A3B">
        <w:trPr>
          <w:cantSplit/>
        </w:trPr>
        <w:tc>
          <w:tcPr>
            <w:tcW w:w="1097" w:type="pct"/>
          </w:tcPr>
          <w:p w14:paraId="2A96C97A" w14:textId="5E53D1A6" w:rsidR="00DE4DD5" w:rsidRPr="00CE28E3" w:rsidRDefault="00DA3F41" w:rsidP="00824458">
            <w:pPr>
              <w:pStyle w:val="TableText"/>
            </w:pPr>
            <w:r>
              <w:t>Financial impact</w:t>
            </w:r>
          </w:p>
        </w:tc>
        <w:tc>
          <w:tcPr>
            <w:tcW w:w="1951" w:type="pct"/>
          </w:tcPr>
          <w:p w14:paraId="75BC16BF" w14:textId="57353F6E" w:rsidR="00DE4DD5" w:rsidRPr="00CE28E3" w:rsidRDefault="00DA3F41" w:rsidP="00824458">
            <w:pPr>
              <w:pStyle w:val="TableText"/>
              <w:rPr>
                <w:rFonts w:eastAsia="Times New Roman" w:cs="Arial"/>
                <w:snapToGrid w:val="0"/>
                <w:szCs w:val="20"/>
              </w:rPr>
            </w:pPr>
            <w:r w:rsidRPr="00DA3F41">
              <w:rPr>
                <w:rFonts w:eastAsia="Times New Roman" w:cs="Arial"/>
                <w:snapToGrid w:val="0"/>
                <w:szCs w:val="20"/>
              </w:rPr>
              <w:t>MSAC considered that the financial estimates were uncertain and that the likely uptake and utilisation of BCI was significantly underestimated.</w:t>
            </w:r>
          </w:p>
        </w:tc>
        <w:tc>
          <w:tcPr>
            <w:tcW w:w="1952" w:type="pct"/>
          </w:tcPr>
          <w:p w14:paraId="4BC19DE3" w14:textId="07371EF1" w:rsidR="00DE4DD5" w:rsidRPr="00CE28E3" w:rsidRDefault="005776E5" w:rsidP="00824458">
            <w:pPr>
              <w:pStyle w:val="TableText"/>
              <w:rPr>
                <w:rFonts w:eastAsia="Times New Roman" w:cs="Arial"/>
                <w:snapToGrid w:val="0"/>
                <w:szCs w:val="20"/>
              </w:rPr>
            </w:pPr>
            <w:r>
              <w:rPr>
                <w:rFonts w:eastAsia="Times New Roman" w:cs="Arial"/>
                <w:snapToGrid w:val="0"/>
                <w:szCs w:val="20"/>
              </w:rPr>
              <w:t>Partially</w:t>
            </w:r>
            <w:r w:rsidR="00DA3F41">
              <w:rPr>
                <w:rFonts w:eastAsia="Times New Roman" w:cs="Arial"/>
                <w:snapToGrid w:val="0"/>
                <w:szCs w:val="20"/>
              </w:rPr>
              <w:t xml:space="preserve"> addressed</w:t>
            </w:r>
            <w:r w:rsidR="00294813">
              <w:rPr>
                <w:rFonts w:eastAsia="Times New Roman" w:cs="Arial"/>
                <w:snapToGrid w:val="0"/>
                <w:szCs w:val="20"/>
              </w:rPr>
              <w:t>.</w:t>
            </w:r>
          </w:p>
        </w:tc>
      </w:tr>
    </w:tbl>
    <w:p w14:paraId="36F2ADD2" w14:textId="77777777" w:rsidR="00281196" w:rsidRDefault="00281196" w:rsidP="00281196">
      <w:pPr>
        <w:pStyle w:val="TableFooter"/>
      </w:pPr>
      <w:bookmarkStart w:id="11" w:name="_Hlk68275617"/>
      <w:bookmarkEnd w:id="10"/>
      <w:r w:rsidRPr="00281196">
        <w:t xml:space="preserve">Source: </w:t>
      </w:r>
      <w:r>
        <w:t>C</w:t>
      </w:r>
      <w:r w:rsidRPr="00281196">
        <w:t xml:space="preserve">ompiled during evaluation. </w:t>
      </w:r>
    </w:p>
    <w:p w14:paraId="3EA0F47E" w14:textId="401D6A31" w:rsidR="00F57885" w:rsidRPr="00281196" w:rsidRDefault="00281196" w:rsidP="00281196">
      <w:pPr>
        <w:pStyle w:val="TableFooter"/>
      </w:pPr>
      <w:r w:rsidRPr="00281196">
        <w:t xml:space="preserve">Abbreviations: </w:t>
      </w:r>
      <w:r w:rsidR="00CC042C">
        <w:t xml:space="preserve">ADAR = applicant developed assessment report; </w:t>
      </w:r>
      <w:r w:rsidRPr="00281196">
        <w:t xml:space="preserve">ASES = American Shoulder and Elbow Society; CMS = Constant Murley Score; </w:t>
      </w:r>
      <w:r w:rsidR="00D44CD3">
        <w:t xml:space="preserve">FTRCT = </w:t>
      </w:r>
      <w:r w:rsidR="00C11985">
        <w:t>full-</w:t>
      </w:r>
      <w:r w:rsidR="00D44CD3">
        <w:t>thickness rotator cuff tear</w:t>
      </w:r>
      <w:r w:rsidR="00296769">
        <w:t>s</w:t>
      </w:r>
      <w:r w:rsidR="00D44CD3">
        <w:t xml:space="preserve">; </w:t>
      </w:r>
      <w:r w:rsidR="00B90A5C">
        <w:t xml:space="preserve">MCID = </w:t>
      </w:r>
      <w:r w:rsidR="00E16E77">
        <w:t xml:space="preserve">Minimal Clinical Important Difference; </w:t>
      </w:r>
      <w:r w:rsidR="00F57885" w:rsidRPr="00CE28E3">
        <w:t>MSAC = Medical Services Advisory Committee; PSD = Public Summary Document</w:t>
      </w:r>
      <w:r w:rsidR="00A9008B">
        <w:t xml:space="preserve">; </w:t>
      </w:r>
      <w:r w:rsidR="00A9008B">
        <w:rPr>
          <w:snapToGrid w:val="0"/>
        </w:rPr>
        <w:t>PTRCT =</w:t>
      </w:r>
      <w:r w:rsidR="00A9008B" w:rsidRPr="00A9008B">
        <w:t xml:space="preserve"> </w:t>
      </w:r>
      <w:r w:rsidR="00A9008B" w:rsidRPr="00A9008B">
        <w:rPr>
          <w:snapToGrid w:val="0"/>
        </w:rPr>
        <w:t>partial-thickness rotator cuff tears</w:t>
      </w:r>
      <w:r>
        <w:t>.</w:t>
      </w:r>
    </w:p>
    <w:p w14:paraId="6F52500A" w14:textId="0A0F6862" w:rsidR="00772829" w:rsidRPr="00CE28E3" w:rsidRDefault="00772829" w:rsidP="003126F5">
      <w:pPr>
        <w:pStyle w:val="Heading2"/>
        <w:numPr>
          <w:ilvl w:val="0"/>
          <w:numId w:val="16"/>
        </w:numPr>
        <w:ind w:hanging="720"/>
      </w:pPr>
      <w:bookmarkStart w:id="12" w:name="_Toc69491417"/>
      <w:bookmarkEnd w:id="8"/>
      <w:bookmarkEnd w:id="11"/>
      <w:r w:rsidRPr="00CE28E3">
        <w:t>Prerequisites to implementation of any funding advice</w:t>
      </w:r>
      <w:bookmarkEnd w:id="12"/>
    </w:p>
    <w:p w14:paraId="0C158591" w14:textId="6DC39E24" w:rsidR="00526E64" w:rsidRDefault="413AE7DE">
      <w:r>
        <w:t xml:space="preserve">The REGENETEN </w:t>
      </w:r>
      <w:proofErr w:type="spellStart"/>
      <w:r>
        <w:t>bioinductive</w:t>
      </w:r>
      <w:proofErr w:type="spellEnd"/>
      <w:r>
        <w:t xml:space="preserve"> implant </w:t>
      </w:r>
      <w:r w:rsidR="34312E08">
        <w:t xml:space="preserve">was included in the </w:t>
      </w:r>
      <w:r w:rsidR="155C1A20">
        <w:t>Australian Register of Therapeutic Goods (ARTG)</w:t>
      </w:r>
      <w:r>
        <w:t xml:space="preserve"> </w:t>
      </w:r>
      <w:r w:rsidR="65EEA6F0">
        <w:t xml:space="preserve">by the </w:t>
      </w:r>
      <w:r>
        <w:t xml:space="preserve">Therapeutic Goods Administration (TGA) </w:t>
      </w:r>
      <w:r w:rsidR="6CB71F1B">
        <w:t xml:space="preserve">as </w:t>
      </w:r>
      <w:r>
        <w:t xml:space="preserve">Class III Medical Device </w:t>
      </w:r>
      <w:r w:rsidR="5DFF777E">
        <w:t xml:space="preserve">in </w:t>
      </w:r>
      <w:r>
        <w:t xml:space="preserve">July 2020. </w:t>
      </w:r>
      <w:r w:rsidR="17022CE5">
        <w:t xml:space="preserve">There have been some variations from </w:t>
      </w:r>
      <w:r w:rsidR="00190190">
        <w:t>application</w:t>
      </w:r>
      <w:r w:rsidR="00E607EC">
        <w:t xml:space="preserve"> 1593.1</w:t>
      </w:r>
      <w:r w:rsidR="00C77031">
        <w:t xml:space="preserve"> which</w:t>
      </w:r>
      <w:r w:rsidR="06172507">
        <w:t xml:space="preserve"> were not highlighted in the </w:t>
      </w:r>
      <w:r w:rsidR="00E607EC">
        <w:t xml:space="preserve">1593.2 </w:t>
      </w:r>
      <w:r w:rsidR="06172507">
        <w:t>ADAR</w:t>
      </w:r>
      <w:r w:rsidR="63845C79">
        <w:t xml:space="preserve">. ARTG ID 340095 and 340096 were </w:t>
      </w:r>
      <w:r w:rsidR="72593A39">
        <w:t>cancelled</w:t>
      </w:r>
      <w:r w:rsidR="63845C79">
        <w:t xml:space="preserve"> under </w:t>
      </w:r>
      <w:r w:rsidR="72593A39">
        <w:t>Section 41GL(d) of the Act</w:t>
      </w:r>
      <w:r w:rsidR="46794766">
        <w:t xml:space="preserve"> - Cancellation by sponsor</w:t>
      </w:r>
      <w:r w:rsidR="6FAF20B9">
        <w:t>.</w:t>
      </w:r>
      <w:r w:rsidR="22587540">
        <w:t xml:space="preserve"> The intended purpose for the above </w:t>
      </w:r>
      <w:r w:rsidR="5F36B20E">
        <w:t xml:space="preserve">inclusion </w:t>
      </w:r>
      <w:r w:rsidR="22587540">
        <w:t>was for “the management and protection of tendon injuries”.</w:t>
      </w:r>
    </w:p>
    <w:p w14:paraId="138C8AA5" w14:textId="64E2000D" w:rsidR="00D02445" w:rsidRDefault="769FC141" w:rsidP="0090658F">
      <w:r>
        <w:t xml:space="preserve">The remaining </w:t>
      </w:r>
      <w:r w:rsidR="6FAF20B9">
        <w:t>ARTG</w:t>
      </w:r>
      <w:r w:rsidR="37C46A2F">
        <w:t xml:space="preserve"> entry</w:t>
      </w:r>
      <w:r w:rsidR="6FAF20B9">
        <w:t xml:space="preserve"> </w:t>
      </w:r>
      <w:r w:rsidR="14D336E2">
        <w:t>384118</w:t>
      </w:r>
      <w:r w:rsidR="413AE7DE">
        <w:t xml:space="preserve"> for REGENETEN</w:t>
      </w:r>
      <w:r w:rsidR="0063422A" w:rsidDel="413AE7DE">
        <w:t xml:space="preserve"> </w:t>
      </w:r>
      <w:proofErr w:type="spellStart"/>
      <w:r w:rsidR="17022CE5">
        <w:t>Bioinductive</w:t>
      </w:r>
      <w:proofErr w:type="spellEnd"/>
      <w:r w:rsidR="17022CE5">
        <w:t xml:space="preserve"> Implant with Arthroscopic Delivery System, effective date 2 May 2024</w:t>
      </w:r>
      <w:r w:rsidR="461AB8EA">
        <w:t xml:space="preserve">, has </w:t>
      </w:r>
      <w:r w:rsidR="00037A9B">
        <w:t xml:space="preserve">the </w:t>
      </w:r>
      <w:r w:rsidR="461AB8EA">
        <w:t>intended purpose</w:t>
      </w:r>
      <w:r w:rsidR="17022CE5">
        <w:t>:</w:t>
      </w:r>
    </w:p>
    <w:p w14:paraId="11AF86BB" w14:textId="77777777" w:rsidR="00D02445" w:rsidRDefault="00D02445" w:rsidP="00FA2ABF">
      <w:pPr>
        <w:pStyle w:val="ListParagraph"/>
        <w:numPr>
          <w:ilvl w:val="0"/>
          <w:numId w:val="10"/>
        </w:numPr>
      </w:pPr>
      <w:r>
        <w:t xml:space="preserve">The REGENETEN </w:t>
      </w:r>
      <w:proofErr w:type="spellStart"/>
      <w:r>
        <w:t>Bioinductive</w:t>
      </w:r>
      <w:proofErr w:type="spellEnd"/>
      <w:r>
        <w:t xml:space="preserve"> Implant is a medical device intended for the management and protection of tendon injuries.</w:t>
      </w:r>
    </w:p>
    <w:p w14:paraId="15D05C8C" w14:textId="3F6C1394" w:rsidR="00D02445" w:rsidRDefault="00D02445" w:rsidP="00FA2ABF">
      <w:pPr>
        <w:pStyle w:val="ListParagraph"/>
        <w:numPr>
          <w:ilvl w:val="0"/>
          <w:numId w:val="10"/>
        </w:numPr>
      </w:pPr>
      <w:r>
        <w:t xml:space="preserve">The REGENETEN </w:t>
      </w:r>
      <w:proofErr w:type="spellStart"/>
      <w:r>
        <w:t>Bioinductive</w:t>
      </w:r>
      <w:proofErr w:type="spellEnd"/>
      <w:r>
        <w:t xml:space="preserve"> Implant is indicated for the management and protection of rotator cuff tendon injuries in which there has been no substantial loss of tendon tissue.</w:t>
      </w:r>
    </w:p>
    <w:p w14:paraId="166ED525" w14:textId="40A1EC24" w:rsidR="00C53241" w:rsidRDefault="00C53241" w:rsidP="0090658F">
      <w:r w:rsidRPr="00C53241">
        <w:t xml:space="preserve">The TGA indication is </w:t>
      </w:r>
      <w:r w:rsidR="004C116F">
        <w:t>broader than</w:t>
      </w:r>
      <w:r w:rsidRPr="00C53241">
        <w:t xml:space="preserve"> the proposed </w:t>
      </w:r>
      <w:r w:rsidR="00ED5F52">
        <w:t xml:space="preserve">FTRCT </w:t>
      </w:r>
      <w:r w:rsidRPr="00C53241">
        <w:t xml:space="preserve">population and </w:t>
      </w:r>
      <w:r w:rsidR="00E95CA6">
        <w:t xml:space="preserve">may </w:t>
      </w:r>
      <w:r w:rsidR="00AF502E">
        <w:t>provide</w:t>
      </w:r>
      <w:r w:rsidR="00AF502E" w:rsidRPr="00C53241">
        <w:t xml:space="preserve"> </w:t>
      </w:r>
      <w:r w:rsidRPr="00C53241">
        <w:t xml:space="preserve">potential for leakage outside of the </w:t>
      </w:r>
      <w:r w:rsidR="00E607EC">
        <w:t>FTRCT</w:t>
      </w:r>
      <w:r w:rsidR="00E607EC" w:rsidRPr="00C53241">
        <w:t xml:space="preserve"> </w:t>
      </w:r>
      <w:r w:rsidRPr="00C53241">
        <w:t>population.</w:t>
      </w:r>
    </w:p>
    <w:p w14:paraId="27ED0E1B" w14:textId="4A82C93C" w:rsidR="00D02445" w:rsidRDefault="0063422A" w:rsidP="0090658F">
      <w:r w:rsidRPr="008D7BF4">
        <w:t>The device is currently available in Australia.</w:t>
      </w:r>
    </w:p>
    <w:p w14:paraId="44C3B242" w14:textId="3E288AD6" w:rsidR="00772829" w:rsidRPr="00CE28E3" w:rsidRDefault="00772829" w:rsidP="003126F5">
      <w:pPr>
        <w:pStyle w:val="Heading2"/>
        <w:numPr>
          <w:ilvl w:val="0"/>
          <w:numId w:val="16"/>
        </w:numPr>
        <w:ind w:hanging="720"/>
      </w:pPr>
      <w:bookmarkStart w:id="13" w:name="_Toc69491418"/>
      <w:r w:rsidRPr="00CE28E3">
        <w:lastRenderedPageBreak/>
        <w:t>Proposal for public funding</w:t>
      </w:r>
      <w:bookmarkEnd w:id="13"/>
    </w:p>
    <w:p w14:paraId="4176D03E" w14:textId="280ABEB5" w:rsidR="00A30719" w:rsidRDefault="61221F2E" w:rsidP="002B20A1">
      <w:r>
        <w:t xml:space="preserve">This </w:t>
      </w:r>
      <w:r w:rsidR="00AF502E">
        <w:t>a</w:t>
      </w:r>
      <w:r>
        <w:t xml:space="preserve">pplication is </w:t>
      </w:r>
      <w:r w:rsidR="23FBF41A">
        <w:t xml:space="preserve">seeking </w:t>
      </w:r>
      <w:r w:rsidR="009C29A6">
        <w:t xml:space="preserve">funding on the PL for </w:t>
      </w:r>
      <w:r w:rsidR="00AF502E">
        <w:t xml:space="preserve">BCI </w:t>
      </w:r>
      <w:r w:rsidR="005A63C1">
        <w:t>use</w:t>
      </w:r>
      <w:r>
        <w:t xml:space="preserve"> </w:t>
      </w:r>
      <w:r w:rsidR="00905E62">
        <w:t xml:space="preserve">as an adjunct </w:t>
      </w:r>
      <w:r>
        <w:t xml:space="preserve">in the surgical repair of </w:t>
      </w:r>
      <w:r w:rsidR="00BF4D12">
        <w:t>FTRCT</w:t>
      </w:r>
      <w:r>
        <w:t xml:space="preserve">. </w:t>
      </w:r>
      <w:r w:rsidR="001E0199">
        <w:t xml:space="preserve">This application also reduced the requested PL benefit for the BCI kit to </w:t>
      </w:r>
      <w:r w:rsidR="00A32F96">
        <w:t>$</w:t>
      </w:r>
      <w:r w:rsidR="001E0199" w:rsidRPr="00614AAC">
        <w:rPr>
          <w:b/>
          <w:bCs/>
        </w:rPr>
        <w:t>redacted</w:t>
      </w:r>
      <w:r w:rsidR="001E0199">
        <w:t xml:space="preserve"> (previously </w:t>
      </w:r>
      <w:r w:rsidR="00A32F96">
        <w:t>$</w:t>
      </w:r>
      <w:r w:rsidR="001E0199" w:rsidRPr="00A9283C">
        <w:rPr>
          <w:b/>
          <w:bCs/>
        </w:rPr>
        <w:t>redacted</w:t>
      </w:r>
      <w:r w:rsidR="00A9283C">
        <w:t xml:space="preserve"> in Application 1593.1</w:t>
      </w:r>
      <w:r w:rsidR="00614AAC">
        <w:t>)</w:t>
      </w:r>
      <w:r w:rsidR="00A9283C">
        <w:t xml:space="preserve">. </w:t>
      </w:r>
    </w:p>
    <w:p w14:paraId="4BD975DA" w14:textId="02DFD456" w:rsidR="002B20A1" w:rsidRDefault="52E1DD92" w:rsidP="002B20A1">
      <w:r>
        <w:t xml:space="preserve">This application does not seek a new MBS item or to amend an existing MBS item number as </w:t>
      </w:r>
      <w:r w:rsidR="2901D390">
        <w:t xml:space="preserve">there are already relevant and clinically appropriate MBS items available that allow the use of </w:t>
      </w:r>
      <w:r w:rsidR="006A42F1">
        <w:t>BCI</w:t>
      </w:r>
      <w:r w:rsidR="00B52C09">
        <w:t xml:space="preserve"> in the </w:t>
      </w:r>
      <w:r w:rsidR="00690209">
        <w:t>surgical repair of FTRCT</w:t>
      </w:r>
      <w:r w:rsidR="3E9C211C">
        <w:t>.</w:t>
      </w:r>
      <w:r w:rsidR="2901D390">
        <w:t xml:space="preserve"> </w:t>
      </w:r>
    </w:p>
    <w:p w14:paraId="15993AD2" w14:textId="0102D3ED" w:rsidR="00C50211" w:rsidRDefault="00012F78" w:rsidP="002B20A1">
      <w:r>
        <w:t xml:space="preserve">The </w:t>
      </w:r>
      <w:r w:rsidR="08CA6D67">
        <w:t>PICO</w:t>
      </w:r>
      <w:r>
        <w:t xml:space="preserve"> Advisory Sub-Committee (PASC) identified MBS item 48960 as the most suitable option for arthroscopic rotator cuff repair, which is more commonly performed than the mini-open technique. Although both techniques attract the same MBS fee under item 48960, evidence indicates arthroscopy is costlier and takes more time than the mini-open approach. Orthopaedic surgeons, already trained in these procedures, do not require additional training to use </w:t>
      </w:r>
      <w:r w:rsidR="00B15CB1">
        <w:t xml:space="preserve">BCI </w:t>
      </w:r>
      <w:r>
        <w:t>for appropriate patients.</w:t>
      </w:r>
      <w:r w:rsidR="00034D26">
        <w:t xml:space="preserve"> </w:t>
      </w:r>
    </w:p>
    <w:p w14:paraId="25852058" w14:textId="0946677C" w:rsidR="00AF474F" w:rsidRDefault="00856948" w:rsidP="002B20A1">
      <w:r>
        <w:t xml:space="preserve">The existing MBS items relevant for this application are MBS item 48960 for shoulder surgical repair and </w:t>
      </w:r>
      <w:r w:rsidR="002E638D">
        <w:t xml:space="preserve">MBS items </w:t>
      </w:r>
      <w:r>
        <w:t>17610</w:t>
      </w:r>
      <w:r w:rsidR="00EF3C6C">
        <w:t>, 21622 and 17615</w:t>
      </w:r>
      <w:r w:rsidR="002E638D">
        <w:t xml:space="preserve"> for the use of anaesthesia. </w:t>
      </w:r>
      <w:r w:rsidR="00706886">
        <w:t xml:space="preserve">MBS item 48960 is not restricted to services comprising FTRCT repairs. </w:t>
      </w:r>
      <w:r w:rsidR="00323E4B">
        <w:t xml:space="preserve">The department developed a </w:t>
      </w:r>
      <w:r w:rsidR="00706886">
        <w:t xml:space="preserve">potential </w:t>
      </w:r>
      <w:r w:rsidR="00323E4B">
        <w:t xml:space="preserve">new MBS item </w:t>
      </w:r>
      <w:r w:rsidR="00912A7F">
        <w:t>(489</w:t>
      </w:r>
      <w:proofErr w:type="gramStart"/>
      <w:r w:rsidR="00912A7F">
        <w:t>XY(</w:t>
      </w:r>
      <w:proofErr w:type="gramEnd"/>
      <w:r w:rsidR="00912A7F">
        <w:t>3))</w:t>
      </w:r>
      <w:r w:rsidR="007256D6">
        <w:t xml:space="preserve"> for the repair of a FTRCT using BCI</w:t>
      </w:r>
      <w:r w:rsidR="0006684D">
        <w:t xml:space="preserve"> with a frequency limitation of one service per shoulder per lifetime</w:t>
      </w:r>
      <w:r w:rsidR="3C6E5E7C">
        <w:t>. This was done at the request of ESC to provide an option</w:t>
      </w:r>
      <w:r w:rsidR="008629AF">
        <w:t xml:space="preserve"> for MSAC consideration</w:t>
      </w:r>
      <w:r w:rsidR="3C6E5E7C">
        <w:t xml:space="preserve"> to address </w:t>
      </w:r>
      <w:r w:rsidR="07D9BAB4">
        <w:t xml:space="preserve">the specific concerns about </w:t>
      </w:r>
      <w:r w:rsidR="3C6E5E7C">
        <w:t>potential leakage</w:t>
      </w:r>
      <w:r w:rsidR="0006684D">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F474F" w:rsidRPr="00DD044D" w14:paraId="6AD32D45" w14:textId="77777777" w:rsidTr="00FA150F">
        <w:tc>
          <w:tcPr>
            <w:tcW w:w="9016" w:type="dxa"/>
          </w:tcPr>
          <w:p w14:paraId="7F368D2E" w14:textId="77777777" w:rsidR="00AF474F" w:rsidRPr="00DD044D" w:rsidRDefault="00AF474F">
            <w:pPr>
              <w:tabs>
                <w:tab w:val="num" w:pos="426"/>
              </w:tabs>
              <w:rPr>
                <w:bCs/>
              </w:rPr>
            </w:pPr>
            <w:r>
              <w:rPr>
                <w:b/>
              </w:rPr>
              <w:t>Category 3 – Therapeutic Procedures</w:t>
            </w:r>
          </w:p>
        </w:tc>
      </w:tr>
      <w:tr w:rsidR="00AF474F" w:rsidRPr="00DD044D" w14:paraId="1DF2AEE4" w14:textId="77777777" w:rsidTr="00FA150F">
        <w:tc>
          <w:tcPr>
            <w:tcW w:w="9016" w:type="dxa"/>
          </w:tcPr>
          <w:p w14:paraId="427CB12B" w14:textId="77777777" w:rsidR="00AF474F" w:rsidRDefault="00AF474F">
            <w:pPr>
              <w:tabs>
                <w:tab w:val="num" w:pos="426"/>
              </w:tabs>
              <w:rPr>
                <w:b/>
                <w:bCs/>
              </w:rPr>
            </w:pPr>
            <w:r w:rsidRPr="0077319F">
              <w:rPr>
                <w:b/>
                <w:bCs/>
              </w:rPr>
              <w:t>489</w:t>
            </w:r>
            <w:proofErr w:type="gramStart"/>
            <w:r w:rsidRPr="0077319F">
              <w:rPr>
                <w:b/>
                <w:bCs/>
              </w:rPr>
              <w:t>XY(</w:t>
            </w:r>
            <w:proofErr w:type="gramEnd"/>
            <w:r w:rsidRPr="0077319F">
              <w:rPr>
                <w:b/>
                <w:bCs/>
              </w:rPr>
              <w:t>3)</w:t>
            </w:r>
          </w:p>
          <w:p w14:paraId="44A59743" w14:textId="77777777" w:rsidR="00AF474F" w:rsidRPr="0077319F" w:rsidRDefault="00AF474F">
            <w:pPr>
              <w:tabs>
                <w:tab w:val="num" w:pos="426"/>
              </w:tabs>
              <w:rPr>
                <w:bCs/>
              </w:rPr>
            </w:pPr>
            <w:r w:rsidRPr="0077319F">
              <w:rPr>
                <w:bCs/>
              </w:rPr>
              <w:t xml:space="preserve">Shoulder, repair of rotator cuff with insertion of implant, by </w:t>
            </w:r>
            <w:r>
              <w:rPr>
                <w:bCs/>
              </w:rPr>
              <w:t>open</w:t>
            </w:r>
            <w:r w:rsidRPr="0077319F">
              <w:rPr>
                <w:bCs/>
              </w:rPr>
              <w:t xml:space="preserve">, arthroscopic, arthroscopic assisted or mini open means </w:t>
            </w:r>
            <w:proofErr w:type="gramStart"/>
            <w:r w:rsidRPr="0077319F">
              <w:rPr>
                <w:bCs/>
              </w:rPr>
              <w:t>if;</w:t>
            </w:r>
            <w:proofErr w:type="gramEnd"/>
          </w:p>
          <w:p w14:paraId="1FA8BA9C" w14:textId="77777777" w:rsidR="00AF474F" w:rsidRPr="0077319F" w:rsidRDefault="00AF474F" w:rsidP="00AF474F">
            <w:pPr>
              <w:numPr>
                <w:ilvl w:val="0"/>
                <w:numId w:val="24"/>
              </w:numPr>
              <w:tabs>
                <w:tab w:val="num" w:pos="426"/>
              </w:tabs>
              <w:spacing w:before="0"/>
              <w:rPr>
                <w:bCs/>
              </w:rPr>
            </w:pPr>
            <w:r w:rsidRPr="0077319F">
              <w:rPr>
                <w:bCs/>
              </w:rPr>
              <w:t>a full-thickness rotator cuff tear with no substantial loss of tissue is demonstrated on imaging; and</w:t>
            </w:r>
          </w:p>
          <w:p w14:paraId="270BC146" w14:textId="77777777" w:rsidR="00AF474F" w:rsidRPr="0077319F" w:rsidRDefault="00AF474F" w:rsidP="00AF474F">
            <w:pPr>
              <w:numPr>
                <w:ilvl w:val="0"/>
                <w:numId w:val="24"/>
              </w:numPr>
              <w:tabs>
                <w:tab w:val="num" w:pos="426"/>
              </w:tabs>
              <w:spacing w:before="0"/>
              <w:rPr>
                <w:bCs/>
              </w:rPr>
            </w:pPr>
            <w:r w:rsidRPr="0077319F">
              <w:rPr>
                <w:bCs/>
              </w:rPr>
              <w:t>the patient has completed at least three months of conservative medical management; and</w:t>
            </w:r>
          </w:p>
          <w:p w14:paraId="090262AA" w14:textId="77777777" w:rsidR="00AF474F" w:rsidRPr="0077319F" w:rsidRDefault="00AF474F" w:rsidP="00AF474F">
            <w:pPr>
              <w:numPr>
                <w:ilvl w:val="0"/>
                <w:numId w:val="24"/>
              </w:numPr>
              <w:tabs>
                <w:tab w:val="num" w:pos="426"/>
              </w:tabs>
              <w:spacing w:before="0"/>
              <w:rPr>
                <w:bCs/>
              </w:rPr>
            </w:pPr>
            <w:r w:rsidRPr="0077319F">
              <w:rPr>
                <w:bCs/>
              </w:rPr>
              <w:t>the patient remains symptomatic after conservative medical management; and</w:t>
            </w:r>
          </w:p>
          <w:p w14:paraId="3B8FCB21" w14:textId="77777777" w:rsidR="00AF474F" w:rsidRPr="0077319F" w:rsidRDefault="00AF474F" w:rsidP="00AF474F">
            <w:pPr>
              <w:numPr>
                <w:ilvl w:val="0"/>
                <w:numId w:val="24"/>
              </w:numPr>
              <w:tabs>
                <w:tab w:val="num" w:pos="426"/>
              </w:tabs>
              <w:spacing w:before="0"/>
              <w:rPr>
                <w:bCs/>
              </w:rPr>
            </w:pPr>
            <w:r w:rsidRPr="0077319F">
              <w:rPr>
                <w:bCs/>
              </w:rPr>
              <w:t>the implant is included on the prescribed list of medical devices and human tissue; and</w:t>
            </w:r>
          </w:p>
          <w:p w14:paraId="167093BF" w14:textId="77777777" w:rsidR="00AF474F" w:rsidRPr="0077319F" w:rsidRDefault="00AF474F" w:rsidP="00AF474F">
            <w:pPr>
              <w:numPr>
                <w:ilvl w:val="0"/>
                <w:numId w:val="24"/>
              </w:numPr>
              <w:tabs>
                <w:tab w:val="num" w:pos="426"/>
              </w:tabs>
              <w:spacing w:before="0"/>
              <w:rPr>
                <w:bCs/>
              </w:rPr>
            </w:pPr>
            <w:r w:rsidRPr="0077319F">
              <w:rPr>
                <w:bCs/>
              </w:rPr>
              <w:t>including any of the following (if performed):</w:t>
            </w:r>
          </w:p>
          <w:p w14:paraId="77E0C94B" w14:textId="77777777" w:rsidR="00AF474F" w:rsidRPr="0077319F" w:rsidRDefault="00AF474F">
            <w:pPr>
              <w:tabs>
                <w:tab w:val="num" w:pos="426"/>
              </w:tabs>
              <w:rPr>
                <w:bCs/>
              </w:rPr>
            </w:pPr>
            <w:r>
              <w:rPr>
                <w:bCs/>
              </w:rPr>
              <w:t xml:space="preserve">  </w:t>
            </w:r>
            <w:r>
              <w:rPr>
                <w:bCs/>
              </w:rPr>
              <w:tab/>
              <w:t xml:space="preserve">     </w:t>
            </w:r>
            <w:proofErr w:type="spellStart"/>
            <w:r w:rsidRPr="0077319F">
              <w:rPr>
                <w:bCs/>
              </w:rPr>
              <w:t>i</w:t>
            </w:r>
            <w:proofErr w:type="spellEnd"/>
            <w:r w:rsidRPr="0077319F">
              <w:rPr>
                <w:bCs/>
              </w:rPr>
              <w:t xml:space="preserve">)    decompression of subacromial space by </w:t>
            </w:r>
            <w:proofErr w:type="gramStart"/>
            <w:r w:rsidRPr="0077319F">
              <w:rPr>
                <w:bCs/>
              </w:rPr>
              <w:t>acromioplasty;</w:t>
            </w:r>
            <w:proofErr w:type="gramEnd"/>
          </w:p>
          <w:p w14:paraId="05974A52" w14:textId="77777777" w:rsidR="00AF474F" w:rsidRPr="0077319F" w:rsidRDefault="00AF474F">
            <w:pPr>
              <w:tabs>
                <w:tab w:val="num" w:pos="426"/>
              </w:tabs>
              <w:rPr>
                <w:bCs/>
              </w:rPr>
            </w:pPr>
            <w:r>
              <w:rPr>
                <w:bCs/>
              </w:rPr>
              <w:tab/>
              <w:t xml:space="preserve">     </w:t>
            </w:r>
            <w:r w:rsidRPr="0077319F">
              <w:rPr>
                <w:bCs/>
              </w:rPr>
              <w:t xml:space="preserve">ii)   excision of </w:t>
            </w:r>
            <w:proofErr w:type="spellStart"/>
            <w:r w:rsidRPr="0077319F">
              <w:rPr>
                <w:bCs/>
              </w:rPr>
              <w:t>coraco</w:t>
            </w:r>
            <w:proofErr w:type="spellEnd"/>
            <w:r w:rsidRPr="0077319F">
              <w:rPr>
                <w:bCs/>
              </w:rPr>
              <w:t xml:space="preserve">-acromial ligament, distal clavicle and acromioclavicular </w:t>
            </w:r>
            <w:proofErr w:type="gramStart"/>
            <w:r w:rsidRPr="0077319F">
              <w:rPr>
                <w:bCs/>
              </w:rPr>
              <w:t>joint;</w:t>
            </w:r>
            <w:proofErr w:type="gramEnd"/>
          </w:p>
          <w:p w14:paraId="180AD9DF" w14:textId="77777777" w:rsidR="00AF474F" w:rsidRPr="0077319F" w:rsidRDefault="00AF474F">
            <w:pPr>
              <w:tabs>
                <w:tab w:val="num" w:pos="426"/>
              </w:tabs>
              <w:rPr>
                <w:bCs/>
              </w:rPr>
            </w:pPr>
            <w:r>
              <w:rPr>
                <w:bCs/>
              </w:rPr>
              <w:tab/>
              <w:t xml:space="preserve">     </w:t>
            </w:r>
            <w:r w:rsidRPr="0077319F">
              <w:rPr>
                <w:bCs/>
              </w:rPr>
              <w:t xml:space="preserve">iii)  excision of the </w:t>
            </w:r>
            <w:proofErr w:type="gramStart"/>
            <w:r w:rsidRPr="0077319F">
              <w:rPr>
                <w:bCs/>
              </w:rPr>
              <w:t>bursa;</w:t>
            </w:r>
            <w:proofErr w:type="gramEnd"/>
          </w:p>
          <w:p w14:paraId="73550EAF" w14:textId="77777777" w:rsidR="00AF474F" w:rsidRPr="0077319F" w:rsidRDefault="00AF474F">
            <w:pPr>
              <w:tabs>
                <w:tab w:val="num" w:pos="426"/>
              </w:tabs>
              <w:rPr>
                <w:bCs/>
              </w:rPr>
            </w:pPr>
            <w:r>
              <w:rPr>
                <w:bCs/>
              </w:rPr>
              <w:tab/>
              <w:t xml:space="preserve">     </w:t>
            </w:r>
            <w:r w:rsidRPr="0077319F">
              <w:rPr>
                <w:bCs/>
              </w:rPr>
              <w:t xml:space="preserve">iv)   biceps </w:t>
            </w:r>
            <w:proofErr w:type="gramStart"/>
            <w:r w:rsidRPr="0077319F">
              <w:rPr>
                <w:bCs/>
              </w:rPr>
              <w:t>tenodesis;</w:t>
            </w:r>
            <w:proofErr w:type="gramEnd"/>
          </w:p>
          <w:p w14:paraId="21214524" w14:textId="77777777" w:rsidR="00AF474F" w:rsidRDefault="00AF474F">
            <w:pPr>
              <w:tabs>
                <w:tab w:val="num" w:pos="426"/>
              </w:tabs>
              <w:rPr>
                <w:bCs/>
              </w:rPr>
            </w:pPr>
            <w:r w:rsidRPr="0077319F">
              <w:rPr>
                <w:bCs/>
              </w:rPr>
              <w:t>other than a service associated with a service to which any open or arthroscopic procedure of the same shoulder applies</w:t>
            </w:r>
            <w:r w:rsidRPr="0077319F">
              <w:rPr>
                <w:bCs/>
              </w:rPr>
              <w:br/>
              <w:t>Applicable only once per shoulder per lifetime</w:t>
            </w:r>
            <w:r>
              <w:rPr>
                <w:bCs/>
              </w:rPr>
              <w:t xml:space="preserve"> </w:t>
            </w:r>
            <w:r w:rsidRPr="0077319F">
              <w:rPr>
                <w:bCs/>
              </w:rPr>
              <w:t>(H)</w:t>
            </w:r>
          </w:p>
          <w:p w14:paraId="14662968" w14:textId="77777777" w:rsidR="00AF474F" w:rsidRDefault="00AF474F">
            <w:pPr>
              <w:tabs>
                <w:tab w:val="num" w:pos="426"/>
              </w:tabs>
              <w:rPr>
                <w:bCs/>
              </w:rPr>
            </w:pPr>
          </w:p>
          <w:p w14:paraId="2E4F3E85" w14:textId="77777777" w:rsidR="00AF474F" w:rsidRDefault="00AF474F">
            <w:pPr>
              <w:tabs>
                <w:tab w:val="num" w:pos="426"/>
              </w:tabs>
              <w:rPr>
                <w:bCs/>
              </w:rPr>
            </w:pPr>
            <w:r w:rsidRPr="0077319F">
              <w:rPr>
                <w:bCs/>
              </w:rPr>
              <w:t>(Anaes.) (Assist.)</w:t>
            </w:r>
          </w:p>
          <w:p w14:paraId="6E145AF7" w14:textId="394C2335" w:rsidR="00AF474F" w:rsidRPr="00DD044D" w:rsidRDefault="00AF474F" w:rsidP="006B20F5">
            <w:pPr>
              <w:tabs>
                <w:tab w:val="num" w:pos="426"/>
              </w:tabs>
              <w:spacing w:after="120"/>
              <w:rPr>
                <w:bCs/>
              </w:rPr>
            </w:pPr>
            <w:r w:rsidRPr="005706D7">
              <w:t>Fee:</w:t>
            </w:r>
            <w:r w:rsidRPr="00A66B5D">
              <w:t> $1,098.25 </w:t>
            </w:r>
            <w:r w:rsidRPr="005706D7">
              <w:t>Benefit:</w:t>
            </w:r>
            <w:r w:rsidRPr="00A66B5D">
              <w:t> 75</w:t>
            </w:r>
            <w:r w:rsidRPr="00A66B5D">
              <w:rPr>
                <w:bCs/>
              </w:rPr>
              <w:t>% = $823.70</w:t>
            </w:r>
          </w:p>
        </w:tc>
      </w:tr>
    </w:tbl>
    <w:p w14:paraId="47052EB8" w14:textId="757D6463" w:rsidR="00C54863" w:rsidRPr="005D5378" w:rsidRDefault="00C54863" w:rsidP="006B20F5">
      <w:pPr>
        <w:keepNext/>
        <w:keepLines/>
        <w:rPr>
          <w:rStyle w:val="IntenseEmphasis"/>
          <w:i w:val="0"/>
          <w:iCs w:val="0"/>
          <w:color w:val="auto"/>
        </w:rPr>
      </w:pPr>
      <w:r>
        <w:lastRenderedPageBreak/>
        <w:t>The ADAR included MBS item 17615 based on the procedure time of 15-30</w:t>
      </w:r>
      <w:r w:rsidR="00DD4FF1">
        <w:t xml:space="preserve"> minutes</w:t>
      </w:r>
      <w:r>
        <w:t>.</w:t>
      </w:r>
      <w:r w:rsidR="00C35C07">
        <w:t xml:space="preserve"> In ADAR 1593.1</w:t>
      </w:r>
      <w:r w:rsidR="008759D4">
        <w:t>,</w:t>
      </w:r>
      <w:r>
        <w:t xml:space="preserve"> ESC considered that both anaesthesia consultation (MBS item 17615) and anaesthesia items (MBS 23010, 23025, 23035) may be associated with the surgical repair. </w:t>
      </w:r>
      <w:r w:rsidR="00C35C07">
        <w:t>T</w:t>
      </w:r>
      <w:r>
        <w:t xml:space="preserve">hese items were not directly used in the economic evaluation </w:t>
      </w:r>
      <w:r w:rsidR="00DE74A4">
        <w:t xml:space="preserve">in </w:t>
      </w:r>
      <w:r w:rsidR="001A076F">
        <w:t xml:space="preserve">Application </w:t>
      </w:r>
      <w:r w:rsidR="00DE74A4">
        <w:t>1593.1 or 1593.2</w:t>
      </w:r>
      <w:r>
        <w:t>.</w:t>
      </w:r>
      <w:r w:rsidRPr="00812E03">
        <w:t xml:space="preserve"> </w:t>
      </w:r>
      <w:r w:rsidR="00DE74A4">
        <w:t xml:space="preserve">In addition, </w:t>
      </w:r>
      <w:r w:rsidRPr="005D5378">
        <w:rPr>
          <w:rStyle w:val="IntenseEmphasis"/>
          <w:i w:val="0"/>
          <w:iCs w:val="0"/>
          <w:color w:val="auto"/>
        </w:rPr>
        <w:t>MBS item 51303</w:t>
      </w:r>
      <w:r w:rsidRPr="007F2E78">
        <w:rPr>
          <w:rStyle w:val="IntenseEmphasis"/>
          <w:i w:val="0"/>
          <w:iCs w:val="0"/>
          <w:color w:val="auto"/>
        </w:rPr>
        <w:t xml:space="preserve">, </w:t>
      </w:r>
      <w:r w:rsidR="00691EBD">
        <w:rPr>
          <w:rStyle w:val="IntenseEmphasis"/>
          <w:i w:val="0"/>
          <w:iCs w:val="0"/>
          <w:color w:val="auto"/>
        </w:rPr>
        <w:t>s</w:t>
      </w:r>
      <w:r w:rsidRPr="007F2E78">
        <w:rPr>
          <w:rStyle w:val="IntenseEmphasis"/>
          <w:i w:val="0"/>
          <w:iCs w:val="0"/>
          <w:color w:val="auto"/>
        </w:rPr>
        <w:t>urgical assistant,</w:t>
      </w:r>
      <w:r w:rsidRPr="005D5378">
        <w:rPr>
          <w:rStyle w:val="IntenseEmphasis"/>
          <w:i w:val="0"/>
          <w:iCs w:val="0"/>
          <w:color w:val="auto"/>
        </w:rPr>
        <w:t xml:space="preserve"> has not been included in </w:t>
      </w:r>
      <w:r w:rsidR="00494EA1">
        <w:rPr>
          <w:rStyle w:val="IntenseEmphasis"/>
          <w:i w:val="0"/>
          <w:iCs w:val="0"/>
          <w:color w:val="auto"/>
        </w:rPr>
        <w:t>this application</w:t>
      </w:r>
      <w:r w:rsidR="00083EEA">
        <w:rPr>
          <w:rStyle w:val="IntenseEmphasis"/>
          <w:i w:val="0"/>
          <w:iCs w:val="0"/>
          <w:color w:val="auto"/>
        </w:rPr>
        <w:t xml:space="preserve"> with</w:t>
      </w:r>
      <w:r>
        <w:rPr>
          <w:rStyle w:val="IntenseEmphasis"/>
          <w:i w:val="0"/>
          <w:iCs w:val="0"/>
          <w:color w:val="auto"/>
        </w:rPr>
        <w:t xml:space="preserve"> </w:t>
      </w:r>
      <w:r w:rsidRPr="005D5378">
        <w:rPr>
          <w:rStyle w:val="IntenseEmphasis"/>
          <w:i w:val="0"/>
          <w:iCs w:val="0"/>
          <w:color w:val="auto"/>
        </w:rPr>
        <w:t>no reason given.</w:t>
      </w:r>
    </w:p>
    <w:p w14:paraId="21944EC1" w14:textId="6F7F2E7A" w:rsidR="00812E03" w:rsidRDefault="009D2F7F" w:rsidP="006B20F5">
      <w:pPr>
        <w:keepNext/>
        <w:keepLines/>
      </w:pPr>
      <w:r w:rsidRPr="009D2F7F">
        <w:t>The MSAC previously expressed concern (PSD for MSAC 1593) that device insertion could occur multiple times</w:t>
      </w:r>
      <w:r w:rsidR="00684519">
        <w:t xml:space="preserve"> despite the</w:t>
      </w:r>
      <w:r w:rsidRPr="009D2F7F">
        <w:t xml:space="preserve"> device </w:t>
      </w:r>
      <w:r w:rsidR="00684519">
        <w:t>being</w:t>
      </w:r>
      <w:r w:rsidR="00684519" w:rsidRPr="009D2F7F">
        <w:t xml:space="preserve"> </w:t>
      </w:r>
      <w:r w:rsidRPr="009D2F7F">
        <w:t>designed for single-use only</w:t>
      </w:r>
      <w:r>
        <w:t xml:space="preserve"> and the intervention of device</w:t>
      </w:r>
      <w:r w:rsidR="002F694B">
        <w:t xml:space="preserve"> insertion to occur once</w:t>
      </w:r>
      <w:r w:rsidR="00B05A81">
        <w:t xml:space="preserve"> per shoulder</w:t>
      </w:r>
      <w:r w:rsidR="00812E03" w:rsidRPr="00812E03">
        <w:t xml:space="preserve">. </w:t>
      </w:r>
      <w:r w:rsidR="00836EA5">
        <w:t>C</w:t>
      </w:r>
      <w:r w:rsidR="00F3606F">
        <w:t>ommentary</w:t>
      </w:r>
      <w:r w:rsidR="008F02FE">
        <w:t xml:space="preserve"> for </w:t>
      </w:r>
      <w:r w:rsidR="006100DC">
        <w:t>A</w:t>
      </w:r>
      <w:r w:rsidR="00083EEA">
        <w:t xml:space="preserve">pplication </w:t>
      </w:r>
      <w:r w:rsidR="008F02FE">
        <w:t>1593</w:t>
      </w:r>
      <w:r w:rsidR="00812E03" w:rsidRPr="00812E03">
        <w:t xml:space="preserve"> suggested that private health insurers could address this potential misuse by implementing restrictions, such as a lifetime usage limit. </w:t>
      </w:r>
      <w:r w:rsidR="0015542A">
        <w:t>In</w:t>
      </w:r>
      <w:r w:rsidR="00EB770A">
        <w:t xml:space="preserve"> the</w:t>
      </w:r>
      <w:r w:rsidR="00255E7F">
        <w:t xml:space="preserve"> </w:t>
      </w:r>
      <w:r w:rsidR="00684519">
        <w:t xml:space="preserve">Application </w:t>
      </w:r>
      <w:r w:rsidR="00836EA5">
        <w:t xml:space="preserve">1593.1 </w:t>
      </w:r>
      <w:r w:rsidR="00255E7F">
        <w:t>ADAR</w:t>
      </w:r>
      <w:r w:rsidR="00684519">
        <w:t>,</w:t>
      </w:r>
      <w:r w:rsidR="00255E7F">
        <w:t xml:space="preserve"> </w:t>
      </w:r>
      <w:r w:rsidR="00EB770A">
        <w:t>it was stated that BCI</w:t>
      </w:r>
      <w:r w:rsidR="00EB770A" w:rsidRPr="00797754">
        <w:t xml:space="preserve"> </w:t>
      </w:r>
      <w:proofErr w:type="gramStart"/>
      <w:r w:rsidR="00EB770A">
        <w:t>was</w:t>
      </w:r>
      <w:r w:rsidR="00EB770A" w:rsidRPr="00797754">
        <w:t xml:space="preserve"> considered to be</w:t>
      </w:r>
      <w:proofErr w:type="gramEnd"/>
      <w:r w:rsidR="00EB770A" w:rsidRPr="00797754">
        <w:t xml:space="preserve"> a ‘once-only’ procedure per tendon</w:t>
      </w:r>
      <w:r w:rsidR="00EB770A">
        <w:t xml:space="preserve"> </w:t>
      </w:r>
      <w:r w:rsidR="00684519">
        <w:t xml:space="preserve">with </w:t>
      </w:r>
      <w:r w:rsidR="00AF26BE" w:rsidRPr="00AF26BE">
        <w:t>PASC not</w:t>
      </w:r>
      <w:r w:rsidR="00684519">
        <w:t>ing that</w:t>
      </w:r>
      <w:r w:rsidR="00AF26BE" w:rsidRPr="00AF26BE">
        <w:t xml:space="preserve"> the applicant stat</w:t>
      </w:r>
      <w:r w:rsidR="001C3148">
        <w:t>ed</w:t>
      </w:r>
      <w:r w:rsidR="00AF26BE" w:rsidRPr="00AF26BE">
        <w:t xml:space="preserve"> its willingness to work with the relevant authorities to ensure a “once-per-shoulder” restriction (MSAC 1593.1 Ratified PICO Confirmation, pg10-11).</w:t>
      </w:r>
      <w:r w:rsidR="00AF26BE">
        <w:t xml:space="preserve"> </w:t>
      </w:r>
      <w:r w:rsidR="00797754">
        <w:t xml:space="preserve">In the current </w:t>
      </w:r>
      <w:r w:rsidR="000955D8">
        <w:t xml:space="preserve">ADAR, </w:t>
      </w:r>
      <w:r w:rsidR="00F332CD" w:rsidRPr="00F332CD">
        <w:t>the applicant</w:t>
      </w:r>
      <w:r w:rsidR="00681FB7">
        <w:t xml:space="preserve"> confirmed and </w:t>
      </w:r>
      <w:r w:rsidR="004D3AE0">
        <w:t xml:space="preserve">agreed that </w:t>
      </w:r>
      <w:r w:rsidR="00F332CD" w:rsidRPr="00F332CD">
        <w:t>limiting the intervention to one use per shoulder per lifetime</w:t>
      </w:r>
      <w:r w:rsidR="004D3AE0">
        <w:t xml:space="preserve"> was appropriate</w:t>
      </w:r>
      <w:r w:rsidR="00F332CD" w:rsidRPr="00F332CD">
        <w:t>.</w:t>
      </w:r>
      <w:r w:rsidR="004D3AE0">
        <w:t xml:space="preserve"> </w:t>
      </w:r>
    </w:p>
    <w:p w14:paraId="34E0B08F" w14:textId="4828DE6E" w:rsidR="00772829" w:rsidRPr="00CE28E3" w:rsidRDefault="00772829" w:rsidP="003126F5">
      <w:pPr>
        <w:pStyle w:val="Heading2"/>
        <w:numPr>
          <w:ilvl w:val="0"/>
          <w:numId w:val="16"/>
        </w:numPr>
        <w:ind w:hanging="720"/>
      </w:pPr>
      <w:bookmarkStart w:id="14" w:name="_Toc69491419"/>
      <w:r w:rsidRPr="00CE28E3">
        <w:t>Population</w:t>
      </w:r>
      <w:bookmarkEnd w:id="14"/>
      <w:r w:rsidRPr="00CE28E3">
        <w:t xml:space="preserve"> </w:t>
      </w:r>
    </w:p>
    <w:p w14:paraId="5D7CC0D9" w14:textId="53909620" w:rsidR="00547D85" w:rsidRDefault="00591CFC" w:rsidP="00547D85">
      <w:r>
        <w:t>T</w:t>
      </w:r>
      <w:r w:rsidR="00365ADC">
        <w:t xml:space="preserve">he population is patients with symptomatic FTRCT where there is no substantial loss of tendon tissue and who have failed at least </w:t>
      </w:r>
      <w:r w:rsidR="000B1354">
        <w:t>3</w:t>
      </w:r>
      <w:r w:rsidR="00365ADC">
        <w:t xml:space="preserve"> months of C</w:t>
      </w:r>
      <w:r w:rsidR="00330698">
        <w:t>M</w:t>
      </w:r>
      <w:r w:rsidR="00365ADC">
        <w:t>M and are considered eligible for (or indicated for) surgical repair.</w:t>
      </w:r>
      <w:r w:rsidR="00574BB9">
        <w:t xml:space="preserve"> </w:t>
      </w:r>
      <w:r w:rsidR="00F47F05">
        <w:t xml:space="preserve"> </w:t>
      </w:r>
      <w:r w:rsidR="00570175">
        <w:t xml:space="preserve"> </w:t>
      </w:r>
    </w:p>
    <w:p w14:paraId="1D758EAB" w14:textId="56462703" w:rsidR="004876F5" w:rsidRDefault="004876F5" w:rsidP="00547D85">
      <w:r>
        <w:t>Patients with symptomatic FTRCT should fail C</w:t>
      </w:r>
      <w:r w:rsidR="0028381F">
        <w:t>M</w:t>
      </w:r>
      <w:r>
        <w:t xml:space="preserve">M (i.e., pain relief, modified daily activities, and physical therapy) for at least </w:t>
      </w:r>
      <w:r w:rsidR="001927D3">
        <w:t xml:space="preserve">3 </w:t>
      </w:r>
      <w:r>
        <w:t xml:space="preserve">months to become eligible for surgery. PASC noted that, according to clinician advice, the time from the onset of symptoms to presentation to an orthopaedic surgeon is highly variable. However, the time frame of a minimum of </w:t>
      </w:r>
      <w:r w:rsidR="001927D3">
        <w:t xml:space="preserve">3 </w:t>
      </w:r>
      <w:r>
        <w:t>months of C</w:t>
      </w:r>
      <w:r w:rsidR="0028381F">
        <w:t>M</w:t>
      </w:r>
      <w:r>
        <w:t>M was deemed reasonable given the nature of rotator cuff tears.</w:t>
      </w:r>
    </w:p>
    <w:p w14:paraId="42B3C486" w14:textId="7E95692F" w:rsidR="00591CFC" w:rsidRDefault="00591CFC" w:rsidP="103F8650">
      <w:pPr>
        <w:pStyle w:val="Guidelinescross-ref"/>
        <w:rPr>
          <w:b w:val="0"/>
          <w:color w:val="auto"/>
          <w:sz w:val="22"/>
        </w:rPr>
      </w:pPr>
      <w:r w:rsidRPr="103F8650">
        <w:rPr>
          <w:b w:val="0"/>
          <w:color w:val="auto"/>
          <w:sz w:val="22"/>
        </w:rPr>
        <w:t xml:space="preserve">The commentary highlighted that the ADAR included amended current and proposed clinical management algorithms, which </w:t>
      </w:r>
      <w:r w:rsidR="00ED5F52">
        <w:rPr>
          <w:b w:val="0"/>
          <w:color w:val="auto"/>
          <w:sz w:val="22"/>
        </w:rPr>
        <w:t>were different</w:t>
      </w:r>
      <w:r w:rsidR="00ED5F52" w:rsidRPr="103F8650">
        <w:rPr>
          <w:b w:val="0"/>
          <w:color w:val="auto"/>
          <w:sz w:val="22"/>
        </w:rPr>
        <w:t xml:space="preserve"> </w:t>
      </w:r>
      <w:r w:rsidRPr="103F8650">
        <w:rPr>
          <w:b w:val="0"/>
          <w:color w:val="auto"/>
          <w:sz w:val="22"/>
        </w:rPr>
        <w:t xml:space="preserve">from both the previous </w:t>
      </w:r>
      <w:r w:rsidR="0028381F">
        <w:rPr>
          <w:b w:val="0"/>
          <w:color w:val="auto"/>
          <w:sz w:val="22"/>
        </w:rPr>
        <w:t xml:space="preserve">1593.1 </w:t>
      </w:r>
      <w:r w:rsidRPr="103F8650">
        <w:rPr>
          <w:b w:val="0"/>
          <w:color w:val="auto"/>
          <w:sz w:val="22"/>
        </w:rPr>
        <w:t xml:space="preserve">ADAR (removal of PTRCT) and the PASC-recommended algorithm (PICO 1593.1). The revised algorithm is more consistent with the </w:t>
      </w:r>
      <w:r w:rsidR="00B05A81">
        <w:rPr>
          <w:b w:val="0"/>
          <w:color w:val="auto"/>
          <w:sz w:val="22"/>
        </w:rPr>
        <w:t>previous</w:t>
      </w:r>
      <w:r w:rsidR="00B05A81" w:rsidRPr="103F8650">
        <w:rPr>
          <w:b w:val="0"/>
          <w:color w:val="auto"/>
          <w:sz w:val="22"/>
        </w:rPr>
        <w:t xml:space="preserve"> </w:t>
      </w:r>
      <w:r w:rsidRPr="103F8650">
        <w:rPr>
          <w:b w:val="0"/>
          <w:color w:val="auto"/>
          <w:sz w:val="22"/>
        </w:rPr>
        <w:t xml:space="preserve">ADAR than with the PICO algorithm, yet the same issues raised in the </w:t>
      </w:r>
      <w:r w:rsidR="00B05A81">
        <w:rPr>
          <w:b w:val="0"/>
          <w:color w:val="auto"/>
          <w:sz w:val="22"/>
        </w:rPr>
        <w:t>previous</w:t>
      </w:r>
      <w:r w:rsidR="00B05A81" w:rsidRPr="103F8650">
        <w:rPr>
          <w:b w:val="0"/>
          <w:color w:val="auto"/>
          <w:sz w:val="22"/>
        </w:rPr>
        <w:t xml:space="preserve"> </w:t>
      </w:r>
      <w:r w:rsidRPr="103F8650">
        <w:rPr>
          <w:b w:val="0"/>
          <w:color w:val="auto"/>
          <w:sz w:val="22"/>
        </w:rPr>
        <w:t>commentary persist in this ADAR. The PASC algorithm suggested that patients in the "no surgery" group would eventually undergo arthroscopic surgery. Conversely, the ADAR argued that it would be unrealistic for patients initially opting for "no surgery" to later proceed with arthroscopic or mini-open surgery (with or without BCI). The ADAR proposed that the clinical management algorithm failed to consider cases where patients improve after C</w:t>
      </w:r>
      <w:r w:rsidR="00272652">
        <w:rPr>
          <w:b w:val="0"/>
          <w:color w:val="auto"/>
          <w:sz w:val="22"/>
        </w:rPr>
        <w:t>M</w:t>
      </w:r>
      <w:r w:rsidRPr="103F8650">
        <w:rPr>
          <w:b w:val="0"/>
          <w:color w:val="auto"/>
          <w:sz w:val="22"/>
        </w:rPr>
        <w:t xml:space="preserve">M, relapse, and re-enter the treatment pathway. However, the </w:t>
      </w:r>
      <w:r w:rsidR="00901EAE">
        <w:rPr>
          <w:b w:val="0"/>
          <w:color w:val="auto"/>
          <w:sz w:val="22"/>
        </w:rPr>
        <w:t xml:space="preserve">Application </w:t>
      </w:r>
      <w:r w:rsidR="0028381F">
        <w:rPr>
          <w:b w:val="0"/>
          <w:color w:val="auto"/>
          <w:sz w:val="22"/>
        </w:rPr>
        <w:t xml:space="preserve">1593.1 </w:t>
      </w:r>
      <w:r w:rsidR="007279B0">
        <w:rPr>
          <w:b w:val="0"/>
          <w:color w:val="auto"/>
          <w:sz w:val="22"/>
        </w:rPr>
        <w:t>and current</w:t>
      </w:r>
      <w:r w:rsidRPr="103F8650">
        <w:rPr>
          <w:b w:val="0"/>
          <w:color w:val="auto"/>
          <w:sz w:val="22"/>
        </w:rPr>
        <w:t xml:space="preserve"> commentary noted that the PASC algorithm already accounted for this by including a treatment arm for relapsed C</w:t>
      </w:r>
      <w:r w:rsidR="00272652">
        <w:rPr>
          <w:b w:val="0"/>
          <w:color w:val="auto"/>
          <w:sz w:val="22"/>
        </w:rPr>
        <w:t>M</w:t>
      </w:r>
      <w:r w:rsidRPr="103F8650">
        <w:rPr>
          <w:b w:val="0"/>
          <w:color w:val="auto"/>
          <w:sz w:val="22"/>
        </w:rPr>
        <w:t>M patients, whereas the amended algorithm reset the treatment pathway entirely. Additionally, relapsed C</w:t>
      </w:r>
      <w:r w:rsidR="00272652">
        <w:rPr>
          <w:b w:val="0"/>
          <w:color w:val="auto"/>
          <w:sz w:val="22"/>
        </w:rPr>
        <w:t>M</w:t>
      </w:r>
      <w:r w:rsidRPr="103F8650">
        <w:rPr>
          <w:b w:val="0"/>
          <w:color w:val="auto"/>
          <w:sz w:val="22"/>
        </w:rPr>
        <w:t>M patients were not viewed as needing re-establishment of cuff disease, reinforcing the appropriateness of the PASC algorithm.</w:t>
      </w:r>
    </w:p>
    <w:p w14:paraId="66BDFCC1" w14:textId="5AF96C67" w:rsidR="00772829" w:rsidRPr="00CE28E3" w:rsidRDefault="00772829" w:rsidP="003126F5">
      <w:pPr>
        <w:pStyle w:val="Heading2"/>
        <w:numPr>
          <w:ilvl w:val="0"/>
          <w:numId w:val="16"/>
        </w:numPr>
        <w:ind w:hanging="720"/>
      </w:pPr>
      <w:bookmarkStart w:id="15" w:name="_Toc69491420"/>
      <w:r w:rsidRPr="00CE28E3">
        <w:t>Comparator</w:t>
      </w:r>
      <w:bookmarkEnd w:id="15"/>
    </w:p>
    <w:p w14:paraId="04F4BC47" w14:textId="61E3675E" w:rsidR="006322B6" w:rsidRDefault="007437E8" w:rsidP="006322B6">
      <w:r w:rsidRPr="007437E8">
        <w:t xml:space="preserve">The ADAR identified standard surgical repair (take-down and repair, using suture anchors alone) as the comparator. This approach represents the current standard of care for patients who have not responded to </w:t>
      </w:r>
      <w:r w:rsidR="00F920E9">
        <w:t>3</w:t>
      </w:r>
      <w:r w:rsidR="00F920E9" w:rsidRPr="007437E8">
        <w:t xml:space="preserve"> </w:t>
      </w:r>
      <w:r w:rsidRPr="007437E8">
        <w:t>months of C</w:t>
      </w:r>
      <w:r w:rsidR="008B11A7">
        <w:t>M</w:t>
      </w:r>
      <w:r w:rsidRPr="007437E8">
        <w:t xml:space="preserve">M, including pain relief, modified daily activities, and physical therapy, and are eligible for surgical intervention. The comparator is already funded through the </w:t>
      </w:r>
      <w:r w:rsidRPr="007437E8">
        <w:lastRenderedPageBreak/>
        <w:t xml:space="preserve">MBS. (Refer to </w:t>
      </w:r>
      <w:r w:rsidR="00AD4047">
        <w:t>Section 5</w:t>
      </w:r>
      <w:r w:rsidR="0049421F">
        <w:t xml:space="preserve"> </w:t>
      </w:r>
      <w:r w:rsidRPr="007437E8">
        <w:t>for the relevant MBS item applicable to both the comparator and the intervention</w:t>
      </w:r>
      <w:r w:rsidR="00EA78A9">
        <w:t>)</w:t>
      </w:r>
      <w:r w:rsidRPr="007437E8">
        <w:t xml:space="preserve">. </w:t>
      </w:r>
    </w:p>
    <w:p w14:paraId="11B1D5B5" w14:textId="6D001F85" w:rsidR="00DD6C68" w:rsidRPr="00D155C0" w:rsidRDefault="00DD6C68" w:rsidP="003126F5">
      <w:pPr>
        <w:pStyle w:val="Heading2"/>
        <w:numPr>
          <w:ilvl w:val="0"/>
          <w:numId w:val="16"/>
        </w:numPr>
        <w:ind w:hanging="720"/>
      </w:pPr>
      <w:bookmarkStart w:id="16" w:name="_Toc69491421"/>
      <w:bookmarkStart w:id="17" w:name="_Hlk193982804"/>
      <w:r w:rsidRPr="003A793E">
        <w:t>Summary of public consultation input</w:t>
      </w:r>
      <w:bookmarkEnd w:id="16"/>
    </w:p>
    <w:bookmarkEnd w:id="17"/>
    <w:p w14:paraId="769389F6" w14:textId="458FE34A" w:rsidR="00DD6C68" w:rsidRDefault="000D3A46" w:rsidP="00DD6C68">
      <w:pPr>
        <w:tabs>
          <w:tab w:val="left" w:pos="3686"/>
        </w:tabs>
        <w:spacing w:line="256" w:lineRule="auto"/>
        <w:rPr>
          <w:rFonts w:eastAsia="Franklin Gothic Book" w:cs="Franklin Gothic Book"/>
        </w:rPr>
      </w:pPr>
      <w:r>
        <w:rPr>
          <w:rFonts w:eastAsia="Franklin Gothic Book" w:cs="Franklin Gothic Book"/>
        </w:rPr>
        <w:t xml:space="preserve">At the time of ESC consideration, feedback had been received from 15 health professionals and 3 consumers </w:t>
      </w:r>
      <w:r w:rsidR="00764784">
        <w:rPr>
          <w:rFonts w:eastAsia="Franklin Gothic Book" w:cs="Franklin Gothic Book"/>
        </w:rPr>
        <w:t>h</w:t>
      </w:r>
      <w:r w:rsidR="00764784" w:rsidRPr="002F1A69">
        <w:t>owever, all feedback was considered by MSAC.</w:t>
      </w:r>
      <w:r>
        <w:rPr>
          <w:rFonts w:eastAsia="Franklin Gothic Book" w:cs="Franklin Gothic Book"/>
        </w:rPr>
        <w:t xml:space="preserve"> Total c</w:t>
      </w:r>
      <w:r w:rsidR="00DD6C68" w:rsidRPr="00DD6C68">
        <w:rPr>
          <w:rFonts w:eastAsia="Franklin Gothic Book" w:cs="Franklin Gothic Book"/>
        </w:rPr>
        <w:t>onsultation input was welcomed from</w:t>
      </w:r>
      <w:r w:rsidR="00DD6C68">
        <w:rPr>
          <w:rFonts w:eastAsia="Franklin Gothic Book" w:cs="Franklin Gothic Book"/>
        </w:rPr>
        <w:t>:</w:t>
      </w:r>
    </w:p>
    <w:tbl>
      <w:tblPr>
        <w:tblW w:w="9020" w:type="dxa"/>
        <w:tblLook w:val="04A0" w:firstRow="1" w:lastRow="0" w:firstColumn="1" w:lastColumn="0" w:noHBand="0" w:noVBand="1"/>
      </w:tblPr>
      <w:tblGrid>
        <w:gridCol w:w="7800"/>
        <w:gridCol w:w="1220"/>
      </w:tblGrid>
      <w:tr w:rsidR="00DD6C68" w:rsidRPr="00DD6C68" w14:paraId="0FF6284B" w14:textId="77777777" w:rsidTr="0062012F">
        <w:trPr>
          <w:trHeight w:val="626"/>
        </w:trPr>
        <w:tc>
          <w:tcPr>
            <w:tcW w:w="7800" w:type="dxa"/>
            <w:tcBorders>
              <w:top w:val="single" w:sz="4" w:space="0" w:color="000000" w:themeColor="text1"/>
              <w:left w:val="single" w:sz="4" w:space="0" w:color="000000" w:themeColor="text1"/>
              <w:bottom w:val="single" w:sz="8" w:space="0" w:color="auto"/>
              <w:right w:val="single" w:sz="8" w:space="0" w:color="auto"/>
            </w:tcBorders>
            <w:shd w:val="clear" w:color="auto" w:fill="D1D1D1"/>
            <w:vAlign w:val="center"/>
            <w:hideMark/>
          </w:tcPr>
          <w:p w14:paraId="4A163EEF" w14:textId="77777777" w:rsidR="00DD6C68" w:rsidRPr="00DD6C68" w:rsidRDefault="00DD6C68" w:rsidP="00DD6C68">
            <w:pPr>
              <w:spacing w:before="0" w:after="0" w:line="240" w:lineRule="auto"/>
              <w:rPr>
                <w:rFonts w:ascii="Arial Narrow" w:eastAsia="Franklin Gothic Book" w:hAnsi="Arial Narrow" w:cs="Franklin Gothic Book"/>
                <w:b/>
                <w:bCs/>
                <w:color w:val="000000"/>
                <w:sz w:val="20"/>
                <w:szCs w:val="20"/>
                <w:lang w:eastAsia="en-AU"/>
              </w:rPr>
            </w:pPr>
            <w:r w:rsidRPr="00DD6C68">
              <w:rPr>
                <w:rFonts w:ascii="Arial Narrow" w:eastAsia="Franklin Gothic Book" w:hAnsi="Arial Narrow" w:cs="Franklin Gothic Book"/>
                <w:b/>
                <w:bCs/>
                <w:color w:val="000000" w:themeColor="text1"/>
                <w:sz w:val="20"/>
                <w:szCs w:val="20"/>
                <w:lang w:eastAsia="en-AU"/>
              </w:rPr>
              <w:t xml:space="preserve">1593.2 – </w:t>
            </w:r>
            <w:proofErr w:type="spellStart"/>
            <w:r w:rsidRPr="00DD6C68">
              <w:rPr>
                <w:rFonts w:ascii="Arial Narrow" w:eastAsia="Franklin Gothic Book" w:hAnsi="Arial Narrow" w:cs="Franklin Gothic Book"/>
                <w:b/>
                <w:bCs/>
                <w:color w:val="000000" w:themeColor="text1"/>
                <w:sz w:val="20"/>
                <w:szCs w:val="20"/>
                <w:lang w:eastAsia="en-AU"/>
              </w:rPr>
              <w:t>Bioinductive</w:t>
            </w:r>
            <w:proofErr w:type="spellEnd"/>
            <w:r w:rsidRPr="00DD6C68">
              <w:rPr>
                <w:rFonts w:ascii="Arial Narrow" w:eastAsia="Franklin Gothic Book" w:hAnsi="Arial Narrow" w:cs="Franklin Gothic Book"/>
                <w:b/>
                <w:bCs/>
                <w:color w:val="000000" w:themeColor="text1"/>
                <w:sz w:val="20"/>
                <w:szCs w:val="20"/>
                <w:lang w:eastAsia="en-AU"/>
              </w:rPr>
              <w:t xml:space="preserve"> implant for the repair of rotator cuff tear (Smith &amp; Nephew Pty Ltd)</w:t>
            </w:r>
          </w:p>
        </w:tc>
        <w:tc>
          <w:tcPr>
            <w:tcW w:w="1220" w:type="dxa"/>
            <w:tcBorders>
              <w:top w:val="single" w:sz="4" w:space="0" w:color="000000" w:themeColor="text1"/>
              <w:left w:val="nil"/>
              <w:bottom w:val="single" w:sz="8" w:space="0" w:color="auto"/>
              <w:right w:val="single" w:sz="4" w:space="0" w:color="000000" w:themeColor="text1"/>
            </w:tcBorders>
            <w:shd w:val="clear" w:color="auto" w:fill="D1D1D1"/>
            <w:vAlign w:val="center"/>
            <w:hideMark/>
          </w:tcPr>
          <w:p w14:paraId="52793BC0" w14:textId="77777777" w:rsidR="00DD6C68" w:rsidRPr="00DD6C68" w:rsidRDefault="00DD6C68" w:rsidP="00DD6C68">
            <w:pPr>
              <w:spacing w:before="0" w:after="0" w:line="240" w:lineRule="auto"/>
              <w:jc w:val="center"/>
              <w:rPr>
                <w:rFonts w:ascii="Arial Narrow" w:eastAsia="Franklin Gothic Book" w:hAnsi="Arial Narrow" w:cs="Franklin Gothic Book"/>
                <w:b/>
                <w:bCs/>
                <w:color w:val="000000"/>
                <w:sz w:val="20"/>
                <w:szCs w:val="20"/>
                <w:lang w:eastAsia="en-AU"/>
              </w:rPr>
            </w:pPr>
            <w:r w:rsidRPr="00DD6C68">
              <w:rPr>
                <w:rFonts w:ascii="Arial Narrow" w:eastAsia="Franklin Gothic Book" w:hAnsi="Arial Narrow" w:cs="Franklin Gothic Book"/>
                <w:b/>
                <w:bCs/>
                <w:color w:val="000000" w:themeColor="text1"/>
                <w:sz w:val="20"/>
                <w:szCs w:val="20"/>
                <w:lang w:eastAsia="en-AU"/>
              </w:rPr>
              <w:t>No. of Inputs Received</w:t>
            </w:r>
            <w:r w:rsidRPr="00DD6C68">
              <w:rPr>
                <w:rFonts w:ascii="Arial Narrow" w:eastAsia="Franklin Gothic Book" w:hAnsi="Arial Narrow" w:cs="Franklin Gothic Book"/>
                <w:color w:val="000000" w:themeColor="text1"/>
                <w:sz w:val="20"/>
                <w:szCs w:val="20"/>
                <w:lang w:eastAsia="en-AU"/>
              </w:rPr>
              <w:t> </w:t>
            </w:r>
          </w:p>
        </w:tc>
      </w:tr>
      <w:tr w:rsidR="00DD6C68" w:rsidRPr="00DD6C68" w14:paraId="072346C5" w14:textId="77777777">
        <w:trPr>
          <w:trHeight w:val="300"/>
        </w:trPr>
        <w:tc>
          <w:tcPr>
            <w:tcW w:w="9020" w:type="dxa"/>
            <w:gridSpan w:val="2"/>
            <w:tcBorders>
              <w:top w:val="single" w:sz="8" w:space="0" w:color="auto"/>
              <w:left w:val="single" w:sz="4" w:space="0" w:color="000000" w:themeColor="text1"/>
              <w:bottom w:val="single" w:sz="8" w:space="0" w:color="auto"/>
              <w:right w:val="single" w:sz="4" w:space="0" w:color="000000" w:themeColor="text1"/>
            </w:tcBorders>
            <w:shd w:val="clear" w:color="auto" w:fill="E8E8E8"/>
            <w:vAlign w:val="center"/>
            <w:hideMark/>
          </w:tcPr>
          <w:p w14:paraId="4E2BF358" w14:textId="77777777" w:rsidR="00DD6C68" w:rsidRPr="00DD6C68" w:rsidRDefault="00DD6C68" w:rsidP="00DD6C68">
            <w:pPr>
              <w:spacing w:before="0" w:after="0" w:line="240" w:lineRule="auto"/>
              <w:rPr>
                <w:rFonts w:ascii="Arial Narrow" w:eastAsia="Franklin Gothic Book" w:hAnsi="Arial Narrow" w:cs="Franklin Gothic Book"/>
                <w:b/>
                <w:bCs/>
                <w:color w:val="000000"/>
                <w:sz w:val="20"/>
                <w:szCs w:val="20"/>
                <w:lang w:eastAsia="en-AU"/>
              </w:rPr>
            </w:pPr>
            <w:r w:rsidRPr="00DD6C68">
              <w:rPr>
                <w:rFonts w:ascii="Arial Narrow" w:eastAsia="Franklin Gothic Book" w:hAnsi="Arial Narrow" w:cs="Franklin Gothic Book"/>
                <w:b/>
                <w:bCs/>
                <w:color w:val="000000" w:themeColor="text1"/>
                <w:sz w:val="20"/>
                <w:szCs w:val="20"/>
                <w:lang w:eastAsia="en-AU"/>
              </w:rPr>
              <w:t>Health Professionals (24)</w:t>
            </w:r>
            <w:r w:rsidRPr="00DD6C68">
              <w:rPr>
                <w:rFonts w:ascii="Arial Narrow" w:eastAsia="Franklin Gothic Book" w:hAnsi="Arial Narrow" w:cs="Franklin Gothic Book"/>
                <w:color w:val="000000" w:themeColor="text1"/>
                <w:sz w:val="20"/>
                <w:szCs w:val="20"/>
                <w:lang w:eastAsia="en-AU"/>
              </w:rPr>
              <w:t> </w:t>
            </w:r>
          </w:p>
        </w:tc>
      </w:tr>
      <w:tr w:rsidR="00DD6C68" w:rsidRPr="00DD6C68" w14:paraId="25AA8C8D" w14:textId="77777777" w:rsidTr="00FF03B0">
        <w:trPr>
          <w:trHeight w:val="300"/>
        </w:trPr>
        <w:tc>
          <w:tcPr>
            <w:tcW w:w="7800" w:type="dxa"/>
            <w:tcBorders>
              <w:top w:val="nil"/>
              <w:left w:val="single" w:sz="4" w:space="0" w:color="000000" w:themeColor="text1"/>
              <w:bottom w:val="single" w:sz="8" w:space="0" w:color="auto"/>
              <w:right w:val="single" w:sz="8" w:space="0" w:color="auto"/>
            </w:tcBorders>
            <w:vAlign w:val="center"/>
            <w:hideMark/>
          </w:tcPr>
          <w:p w14:paraId="6F5EB833" w14:textId="77777777" w:rsidR="00DD6C68" w:rsidRPr="00DD6C68" w:rsidRDefault="00DD6C68" w:rsidP="00DD6C68">
            <w:pPr>
              <w:spacing w:before="0" w:after="0" w:line="240" w:lineRule="auto"/>
              <w:rPr>
                <w:rFonts w:ascii="Arial Narrow" w:eastAsia="Franklin Gothic Book" w:hAnsi="Arial Narrow" w:cs="Franklin Gothic Book"/>
                <w:sz w:val="20"/>
                <w:szCs w:val="20"/>
                <w:lang w:eastAsia="en-AU"/>
              </w:rPr>
            </w:pPr>
            <w:r w:rsidRPr="00DD6C68">
              <w:rPr>
                <w:rFonts w:ascii="Arial Narrow" w:eastAsia="Franklin Gothic Book" w:hAnsi="Arial Narrow" w:cs="Franklin Gothic Book"/>
                <w:sz w:val="20"/>
                <w:szCs w:val="20"/>
                <w:lang w:eastAsia="en-AU"/>
              </w:rPr>
              <w:t>I am a health professional or health academic working in the area. </w:t>
            </w:r>
          </w:p>
        </w:tc>
        <w:tc>
          <w:tcPr>
            <w:tcW w:w="1220" w:type="dxa"/>
            <w:tcBorders>
              <w:top w:val="nil"/>
              <w:left w:val="nil"/>
              <w:bottom w:val="single" w:sz="8" w:space="0" w:color="auto"/>
              <w:right w:val="single" w:sz="4" w:space="0" w:color="000000" w:themeColor="text1"/>
            </w:tcBorders>
            <w:vAlign w:val="center"/>
            <w:hideMark/>
          </w:tcPr>
          <w:p w14:paraId="1FCD650E" w14:textId="77777777" w:rsidR="00DD6C68" w:rsidRPr="00DD6C68" w:rsidRDefault="00DD6C68" w:rsidP="00DD6C68">
            <w:pPr>
              <w:spacing w:before="0" w:after="0" w:line="240" w:lineRule="auto"/>
              <w:jc w:val="center"/>
              <w:rPr>
                <w:rFonts w:ascii="Arial Narrow" w:eastAsia="Franklin Gothic Book" w:hAnsi="Arial Narrow" w:cs="Franklin Gothic Book"/>
                <w:sz w:val="20"/>
                <w:szCs w:val="20"/>
                <w:lang w:eastAsia="en-AU"/>
              </w:rPr>
            </w:pPr>
            <w:r w:rsidRPr="00DD6C68">
              <w:rPr>
                <w:rFonts w:ascii="Arial Narrow" w:eastAsia="Franklin Gothic Book" w:hAnsi="Arial Narrow" w:cs="Franklin Gothic Book"/>
                <w:sz w:val="20"/>
                <w:szCs w:val="20"/>
                <w:lang w:eastAsia="en-AU"/>
              </w:rPr>
              <w:t>24</w:t>
            </w:r>
          </w:p>
        </w:tc>
      </w:tr>
      <w:tr w:rsidR="00DD6C68" w:rsidRPr="00DD6C68" w14:paraId="6CD72D11" w14:textId="77777777">
        <w:trPr>
          <w:trHeight w:val="300"/>
        </w:trPr>
        <w:tc>
          <w:tcPr>
            <w:tcW w:w="9020" w:type="dxa"/>
            <w:gridSpan w:val="2"/>
            <w:tcBorders>
              <w:top w:val="single" w:sz="8" w:space="0" w:color="auto"/>
              <w:left w:val="single" w:sz="4" w:space="0" w:color="000000" w:themeColor="text1"/>
              <w:bottom w:val="single" w:sz="8" w:space="0" w:color="auto"/>
              <w:right w:val="single" w:sz="4" w:space="0" w:color="000000" w:themeColor="text1"/>
            </w:tcBorders>
            <w:shd w:val="clear" w:color="auto" w:fill="E8E8E8"/>
            <w:vAlign w:val="center"/>
            <w:hideMark/>
          </w:tcPr>
          <w:p w14:paraId="1ADEB51F" w14:textId="77777777" w:rsidR="00DD6C68" w:rsidRPr="00DD6C68" w:rsidRDefault="00DD6C68" w:rsidP="00DD6C68">
            <w:pPr>
              <w:spacing w:before="0" w:after="0" w:line="240" w:lineRule="auto"/>
              <w:rPr>
                <w:rFonts w:ascii="Arial Narrow" w:eastAsia="Franklin Gothic Book" w:hAnsi="Arial Narrow" w:cs="Franklin Gothic Book"/>
                <w:b/>
                <w:bCs/>
                <w:color w:val="000000"/>
                <w:sz w:val="20"/>
                <w:szCs w:val="20"/>
                <w:lang w:eastAsia="en-AU"/>
              </w:rPr>
            </w:pPr>
            <w:r w:rsidRPr="00DD6C68">
              <w:rPr>
                <w:rFonts w:ascii="Arial Narrow" w:eastAsia="Franklin Gothic Book" w:hAnsi="Arial Narrow" w:cs="Franklin Gothic Book"/>
                <w:b/>
                <w:bCs/>
                <w:color w:val="000000" w:themeColor="text1"/>
                <w:sz w:val="20"/>
                <w:szCs w:val="20"/>
                <w:lang w:eastAsia="en-AU"/>
              </w:rPr>
              <w:t>Consumers (5)</w:t>
            </w:r>
            <w:r w:rsidRPr="00DD6C68">
              <w:rPr>
                <w:rFonts w:ascii="Arial Narrow" w:eastAsia="Franklin Gothic Book" w:hAnsi="Arial Narrow" w:cs="Franklin Gothic Book"/>
                <w:color w:val="000000" w:themeColor="text1"/>
                <w:sz w:val="20"/>
                <w:szCs w:val="20"/>
                <w:lang w:eastAsia="en-AU"/>
              </w:rPr>
              <w:t> </w:t>
            </w:r>
          </w:p>
        </w:tc>
      </w:tr>
      <w:tr w:rsidR="00DD6C68" w:rsidRPr="00DD6C68" w14:paraId="682C389A" w14:textId="77777777" w:rsidTr="00FF03B0">
        <w:trPr>
          <w:trHeight w:val="300"/>
        </w:trPr>
        <w:tc>
          <w:tcPr>
            <w:tcW w:w="7800" w:type="dxa"/>
            <w:tcBorders>
              <w:top w:val="nil"/>
              <w:left w:val="single" w:sz="4" w:space="0" w:color="000000" w:themeColor="text1"/>
              <w:bottom w:val="single" w:sz="8" w:space="0" w:color="auto"/>
              <w:right w:val="single" w:sz="8" w:space="0" w:color="auto"/>
            </w:tcBorders>
            <w:vAlign w:val="center"/>
            <w:hideMark/>
          </w:tcPr>
          <w:p w14:paraId="15E8D7F8" w14:textId="77777777" w:rsidR="00DD6C68" w:rsidRPr="00DD6C68" w:rsidRDefault="00DD6C68" w:rsidP="00DD6C68">
            <w:pPr>
              <w:spacing w:before="0" w:after="0" w:line="240" w:lineRule="auto"/>
              <w:rPr>
                <w:rFonts w:ascii="Arial Narrow" w:eastAsia="Franklin Gothic Book" w:hAnsi="Arial Narrow" w:cs="Franklin Gothic Book"/>
                <w:sz w:val="20"/>
                <w:szCs w:val="20"/>
                <w:lang w:eastAsia="en-AU"/>
              </w:rPr>
            </w:pPr>
            <w:r w:rsidRPr="00DD6C68">
              <w:rPr>
                <w:rFonts w:ascii="Arial Narrow" w:eastAsia="Franklin Gothic Book" w:hAnsi="Arial Narrow" w:cs="Franklin Gothic Book"/>
                <w:sz w:val="20"/>
                <w:szCs w:val="20"/>
                <w:lang w:eastAsia="en-AU"/>
              </w:rPr>
              <w:t>I have the health condition that this health service or technology is for. </w:t>
            </w:r>
          </w:p>
        </w:tc>
        <w:tc>
          <w:tcPr>
            <w:tcW w:w="1220" w:type="dxa"/>
            <w:tcBorders>
              <w:top w:val="nil"/>
              <w:left w:val="nil"/>
              <w:bottom w:val="single" w:sz="8" w:space="0" w:color="auto"/>
              <w:right w:val="single" w:sz="4" w:space="0" w:color="000000" w:themeColor="text1"/>
            </w:tcBorders>
            <w:vAlign w:val="center"/>
            <w:hideMark/>
          </w:tcPr>
          <w:p w14:paraId="20B20310" w14:textId="77777777" w:rsidR="00DD6C68" w:rsidRPr="00DD6C68" w:rsidRDefault="00DD6C68" w:rsidP="00DD6C68">
            <w:pPr>
              <w:spacing w:before="0" w:after="0" w:line="240" w:lineRule="auto"/>
              <w:jc w:val="center"/>
              <w:rPr>
                <w:rFonts w:ascii="Arial Narrow" w:eastAsia="Franklin Gothic Book" w:hAnsi="Arial Narrow" w:cs="Franklin Gothic Book"/>
                <w:sz w:val="20"/>
                <w:szCs w:val="20"/>
                <w:lang w:eastAsia="en-AU"/>
              </w:rPr>
            </w:pPr>
            <w:r w:rsidRPr="00DD6C68">
              <w:rPr>
                <w:rFonts w:ascii="Arial Narrow" w:eastAsia="Franklin Gothic Book" w:hAnsi="Arial Narrow" w:cs="Franklin Gothic Book"/>
                <w:sz w:val="20"/>
                <w:szCs w:val="20"/>
                <w:lang w:eastAsia="en-AU"/>
              </w:rPr>
              <w:t>1</w:t>
            </w:r>
          </w:p>
        </w:tc>
      </w:tr>
      <w:tr w:rsidR="00DD6C68" w:rsidRPr="00DD6C68" w14:paraId="17D8C38E" w14:textId="77777777" w:rsidTr="00FF03B0">
        <w:trPr>
          <w:trHeight w:val="510"/>
        </w:trPr>
        <w:tc>
          <w:tcPr>
            <w:tcW w:w="7800" w:type="dxa"/>
            <w:tcBorders>
              <w:top w:val="nil"/>
              <w:left w:val="single" w:sz="4" w:space="0" w:color="000000" w:themeColor="text1"/>
              <w:bottom w:val="single" w:sz="8" w:space="0" w:color="auto"/>
              <w:right w:val="single" w:sz="8" w:space="0" w:color="auto"/>
            </w:tcBorders>
            <w:vAlign w:val="center"/>
            <w:hideMark/>
          </w:tcPr>
          <w:p w14:paraId="03846A34" w14:textId="77777777" w:rsidR="00DD6C68" w:rsidRPr="00DD6C68" w:rsidRDefault="00DD6C68" w:rsidP="00DD6C68">
            <w:pPr>
              <w:spacing w:before="0" w:after="0" w:line="240" w:lineRule="auto"/>
              <w:rPr>
                <w:rFonts w:ascii="Arial Narrow" w:eastAsia="Franklin Gothic Book" w:hAnsi="Arial Narrow" w:cs="Franklin Gothic Book"/>
                <w:sz w:val="20"/>
                <w:szCs w:val="20"/>
                <w:lang w:eastAsia="en-AU"/>
              </w:rPr>
            </w:pPr>
            <w:r w:rsidRPr="00DD6C68">
              <w:rPr>
                <w:rFonts w:ascii="Arial Narrow" w:eastAsia="Franklin Gothic Book" w:hAnsi="Arial Narrow" w:cs="Franklin Gothic Book"/>
                <w:sz w:val="20"/>
                <w:szCs w:val="20"/>
                <w:lang w:eastAsia="en-AU"/>
              </w:rPr>
              <w:t>I have the health condition that this health service or technology is for and have experience with the proposed health service or technology. </w:t>
            </w:r>
          </w:p>
        </w:tc>
        <w:tc>
          <w:tcPr>
            <w:tcW w:w="1220" w:type="dxa"/>
            <w:tcBorders>
              <w:top w:val="nil"/>
              <w:left w:val="nil"/>
              <w:bottom w:val="single" w:sz="8" w:space="0" w:color="auto"/>
              <w:right w:val="single" w:sz="4" w:space="0" w:color="000000" w:themeColor="text1"/>
            </w:tcBorders>
            <w:vAlign w:val="center"/>
            <w:hideMark/>
          </w:tcPr>
          <w:p w14:paraId="09EB02D8" w14:textId="77777777" w:rsidR="00DD6C68" w:rsidRPr="00DD6C68" w:rsidRDefault="00DD6C68" w:rsidP="00DD6C68">
            <w:pPr>
              <w:spacing w:before="0" w:after="0" w:line="240" w:lineRule="auto"/>
              <w:jc w:val="center"/>
              <w:rPr>
                <w:rFonts w:ascii="Arial Narrow" w:eastAsia="Franklin Gothic Book" w:hAnsi="Arial Narrow" w:cs="Franklin Gothic Book"/>
                <w:sz w:val="20"/>
                <w:szCs w:val="20"/>
                <w:lang w:eastAsia="en-AU"/>
              </w:rPr>
            </w:pPr>
            <w:r w:rsidRPr="00DD6C68">
              <w:rPr>
                <w:rFonts w:ascii="Arial Narrow" w:eastAsia="Franklin Gothic Book" w:hAnsi="Arial Narrow" w:cs="Franklin Gothic Book"/>
                <w:sz w:val="20"/>
                <w:szCs w:val="20"/>
                <w:lang w:eastAsia="en-AU"/>
              </w:rPr>
              <w:t>2</w:t>
            </w:r>
          </w:p>
        </w:tc>
      </w:tr>
      <w:tr w:rsidR="00DD6C68" w:rsidRPr="00DD6C68" w14:paraId="2BD130B1" w14:textId="77777777" w:rsidTr="0062012F">
        <w:trPr>
          <w:trHeight w:val="302"/>
        </w:trPr>
        <w:tc>
          <w:tcPr>
            <w:tcW w:w="7800" w:type="dxa"/>
            <w:tcBorders>
              <w:top w:val="nil"/>
              <w:left w:val="single" w:sz="4" w:space="0" w:color="000000" w:themeColor="text1"/>
              <w:bottom w:val="single" w:sz="8" w:space="0" w:color="auto"/>
              <w:right w:val="single" w:sz="8" w:space="0" w:color="auto"/>
            </w:tcBorders>
            <w:vAlign w:val="center"/>
            <w:hideMark/>
          </w:tcPr>
          <w:p w14:paraId="71D2E311" w14:textId="77777777" w:rsidR="00DD6C68" w:rsidRPr="00DD6C68" w:rsidRDefault="00DD6C68" w:rsidP="00DD6C68">
            <w:pPr>
              <w:spacing w:before="0" w:after="0" w:line="240" w:lineRule="auto"/>
              <w:rPr>
                <w:rFonts w:ascii="Arial Narrow" w:eastAsia="Franklin Gothic Book" w:hAnsi="Arial Narrow" w:cs="Franklin Gothic Book"/>
                <w:sz w:val="20"/>
                <w:szCs w:val="20"/>
                <w:lang w:eastAsia="en-AU"/>
              </w:rPr>
            </w:pPr>
            <w:r w:rsidRPr="00DD6C68">
              <w:rPr>
                <w:rFonts w:ascii="Arial Narrow" w:eastAsia="Franklin Gothic Book" w:hAnsi="Arial Narrow" w:cs="Franklin Gothic Book"/>
                <w:sz w:val="20"/>
                <w:szCs w:val="20"/>
                <w:lang w:eastAsia="en-AU"/>
              </w:rPr>
              <w:t>I am a parent, partner or another person caring for someone from the above two groups. </w:t>
            </w:r>
          </w:p>
        </w:tc>
        <w:tc>
          <w:tcPr>
            <w:tcW w:w="1220" w:type="dxa"/>
            <w:tcBorders>
              <w:top w:val="nil"/>
              <w:left w:val="nil"/>
              <w:bottom w:val="single" w:sz="8" w:space="0" w:color="auto"/>
              <w:right w:val="single" w:sz="4" w:space="0" w:color="000000" w:themeColor="text1"/>
            </w:tcBorders>
            <w:vAlign w:val="center"/>
            <w:hideMark/>
          </w:tcPr>
          <w:p w14:paraId="425E0421" w14:textId="77777777" w:rsidR="00DD6C68" w:rsidRPr="00DD6C68" w:rsidRDefault="00DD6C68" w:rsidP="00DD6C68">
            <w:pPr>
              <w:spacing w:before="0" w:after="0" w:line="240" w:lineRule="auto"/>
              <w:jc w:val="center"/>
              <w:rPr>
                <w:rFonts w:ascii="Arial Narrow" w:eastAsia="Franklin Gothic Book" w:hAnsi="Arial Narrow" w:cs="Franklin Gothic Book"/>
                <w:sz w:val="20"/>
                <w:szCs w:val="20"/>
                <w:lang w:eastAsia="en-AU"/>
              </w:rPr>
            </w:pPr>
            <w:r w:rsidRPr="00DD6C68">
              <w:rPr>
                <w:rFonts w:ascii="Arial Narrow" w:eastAsia="Franklin Gothic Book" w:hAnsi="Arial Narrow" w:cs="Franklin Gothic Book"/>
                <w:sz w:val="20"/>
                <w:szCs w:val="20"/>
                <w:lang w:eastAsia="en-AU"/>
              </w:rPr>
              <w:t>2</w:t>
            </w:r>
          </w:p>
        </w:tc>
      </w:tr>
      <w:tr w:rsidR="00DD6C68" w:rsidRPr="00DD6C68" w14:paraId="4E6FB887" w14:textId="77777777" w:rsidTr="00FF03B0">
        <w:trPr>
          <w:trHeight w:val="290"/>
        </w:trPr>
        <w:tc>
          <w:tcPr>
            <w:tcW w:w="7800" w:type="dxa"/>
            <w:tcBorders>
              <w:top w:val="nil"/>
              <w:left w:val="single" w:sz="4" w:space="0" w:color="000000" w:themeColor="text1"/>
              <w:bottom w:val="single" w:sz="4" w:space="0" w:color="000000" w:themeColor="text1"/>
              <w:right w:val="single" w:sz="8" w:space="0" w:color="auto"/>
            </w:tcBorders>
            <w:vAlign w:val="center"/>
            <w:hideMark/>
          </w:tcPr>
          <w:p w14:paraId="206DC664" w14:textId="77777777" w:rsidR="00DD6C68" w:rsidRPr="00DD6C68" w:rsidRDefault="00DD6C68" w:rsidP="00DD6C68">
            <w:pPr>
              <w:spacing w:before="0" w:after="0" w:line="240" w:lineRule="auto"/>
              <w:rPr>
                <w:rFonts w:ascii="Arial Narrow" w:eastAsia="Franklin Gothic Book" w:hAnsi="Arial Narrow" w:cs="Franklin Gothic Book"/>
                <w:b/>
                <w:bCs/>
                <w:sz w:val="20"/>
                <w:szCs w:val="20"/>
                <w:lang w:eastAsia="en-AU"/>
              </w:rPr>
            </w:pPr>
            <w:r w:rsidRPr="00DD6C68">
              <w:rPr>
                <w:rFonts w:ascii="Arial Narrow" w:eastAsia="Franklin Gothic Book" w:hAnsi="Arial Narrow" w:cs="Franklin Gothic Book"/>
                <w:b/>
                <w:bCs/>
                <w:sz w:val="20"/>
                <w:szCs w:val="20"/>
                <w:lang w:eastAsia="en-AU"/>
              </w:rPr>
              <w:t>Grand Total</w:t>
            </w:r>
            <w:r w:rsidRPr="00DD6C68">
              <w:rPr>
                <w:rFonts w:ascii="Arial Narrow" w:eastAsia="Franklin Gothic Book" w:hAnsi="Arial Narrow" w:cs="Franklin Gothic Book"/>
                <w:sz w:val="20"/>
                <w:szCs w:val="20"/>
                <w:lang w:eastAsia="en-AU"/>
              </w:rPr>
              <w:t> </w:t>
            </w:r>
          </w:p>
        </w:tc>
        <w:tc>
          <w:tcPr>
            <w:tcW w:w="1220" w:type="dxa"/>
            <w:tcBorders>
              <w:top w:val="nil"/>
              <w:left w:val="nil"/>
              <w:bottom w:val="single" w:sz="4" w:space="0" w:color="000000" w:themeColor="text1"/>
              <w:right w:val="single" w:sz="4" w:space="0" w:color="000000" w:themeColor="text1"/>
            </w:tcBorders>
            <w:vAlign w:val="center"/>
            <w:hideMark/>
          </w:tcPr>
          <w:p w14:paraId="2E60B0E9" w14:textId="77777777" w:rsidR="00DD6C68" w:rsidRPr="00DD6C68" w:rsidRDefault="00DD6C68" w:rsidP="00DD6C68">
            <w:pPr>
              <w:spacing w:before="0" w:after="0" w:line="240" w:lineRule="auto"/>
              <w:jc w:val="center"/>
              <w:rPr>
                <w:rFonts w:ascii="Arial Narrow" w:eastAsia="Franklin Gothic Book" w:hAnsi="Arial Narrow" w:cs="Franklin Gothic Book"/>
                <w:b/>
                <w:bCs/>
                <w:sz w:val="20"/>
                <w:szCs w:val="20"/>
                <w:lang w:eastAsia="en-AU"/>
              </w:rPr>
            </w:pPr>
            <w:r w:rsidRPr="00DD6C68">
              <w:rPr>
                <w:rFonts w:ascii="Arial Narrow" w:eastAsia="Franklin Gothic Book" w:hAnsi="Arial Narrow" w:cs="Franklin Gothic Book"/>
                <w:b/>
                <w:bCs/>
                <w:sz w:val="20"/>
                <w:szCs w:val="20"/>
                <w:lang w:eastAsia="en-AU"/>
              </w:rPr>
              <w:t>29</w:t>
            </w:r>
          </w:p>
        </w:tc>
      </w:tr>
    </w:tbl>
    <w:p w14:paraId="3979E8A0" w14:textId="78D9F99D" w:rsidR="00DD6C68" w:rsidRPr="00DD6C68" w:rsidRDefault="00DD6C68" w:rsidP="00DD6C68">
      <w:pPr>
        <w:pStyle w:val="Heading4"/>
      </w:pPr>
      <w:r w:rsidRPr="00DD6C68">
        <w:t xml:space="preserve">Level of support for public funding </w:t>
      </w:r>
    </w:p>
    <w:p w14:paraId="2976124C" w14:textId="71797D76" w:rsidR="00DD6C68" w:rsidRDefault="00DD6C68" w:rsidP="00DD6C68">
      <w:pPr>
        <w:tabs>
          <w:tab w:val="left" w:pos="3686"/>
        </w:tabs>
        <w:spacing w:line="256" w:lineRule="auto"/>
        <w:rPr>
          <w:rFonts w:eastAsia="Franklin Gothic Book" w:cs="Franklin Gothic Book"/>
        </w:rPr>
      </w:pPr>
      <w:r>
        <w:rPr>
          <w:rFonts w:eastAsia="Franklin Gothic Book" w:cs="Franklin Gothic Book"/>
        </w:rPr>
        <w:t>All consumers who provided input were supportive of this application. Of the health professionals who provided input, 23 provided their support for its funding, with one noting they did not support the application due to a lack of evidence</w:t>
      </w:r>
      <w:r w:rsidR="00AB46AD">
        <w:rPr>
          <w:rFonts w:eastAsia="Franklin Gothic Book" w:cs="Franklin Gothic Book"/>
        </w:rPr>
        <w:t xml:space="preserve"> to support that BCI is more effective than standard repair</w:t>
      </w:r>
      <w:r>
        <w:rPr>
          <w:rFonts w:eastAsia="Franklin Gothic Book" w:cs="Franklin Gothic Book"/>
        </w:rPr>
        <w:t>.</w:t>
      </w:r>
    </w:p>
    <w:p w14:paraId="31A8C580" w14:textId="77777777" w:rsidR="00DD6C68" w:rsidRPr="00DD6C68" w:rsidRDefault="00DD6C68" w:rsidP="00DD6C68">
      <w:pPr>
        <w:pStyle w:val="Heading4"/>
        <w:spacing w:before="0" w:after="120"/>
      </w:pPr>
      <w:r w:rsidRPr="00DD6C68">
        <w:t xml:space="preserve">Comments on PICO </w:t>
      </w:r>
    </w:p>
    <w:p w14:paraId="32AD9BD0" w14:textId="5CCF0ABB" w:rsidR="00DD6C68" w:rsidRDefault="00DD6C68" w:rsidP="003126F5">
      <w:pPr>
        <w:pStyle w:val="ListParagraph"/>
        <w:numPr>
          <w:ilvl w:val="0"/>
          <w:numId w:val="18"/>
        </w:numPr>
        <w:spacing w:before="0"/>
        <w:rPr>
          <w:rFonts w:eastAsia="Franklin Gothic Book" w:cs="Franklin Gothic Book"/>
        </w:rPr>
      </w:pPr>
      <w:r>
        <w:rPr>
          <w:rFonts w:eastAsia="Franklin Gothic Book" w:cs="Franklin Gothic Book"/>
        </w:rPr>
        <w:t>Many health professionals described the proposed population as appropriate and aligning with clinical practice. One health professional noted there was no mention of</w:t>
      </w:r>
      <w:r w:rsidR="00845EA0">
        <w:rPr>
          <w:rFonts w:eastAsia="Franklin Gothic Book" w:cs="Franklin Gothic Book"/>
        </w:rPr>
        <w:t xml:space="preserve"> use of BCI in</w:t>
      </w:r>
      <w:r>
        <w:rPr>
          <w:rFonts w:eastAsia="Franklin Gothic Book" w:cs="Franklin Gothic Book"/>
        </w:rPr>
        <w:t xml:space="preserve"> revision surgery in the application and noted this is an area where the technology may be most useful.</w:t>
      </w:r>
    </w:p>
    <w:p w14:paraId="0EA5CEEA" w14:textId="7B0294BD" w:rsidR="00C06F26" w:rsidRPr="00370121" w:rsidRDefault="00DD6C68" w:rsidP="00704075">
      <w:pPr>
        <w:pStyle w:val="ListParagraph"/>
        <w:numPr>
          <w:ilvl w:val="0"/>
          <w:numId w:val="18"/>
        </w:numPr>
        <w:spacing w:before="0"/>
        <w:rPr>
          <w:rFonts w:eastAsia="Franklin Gothic Book" w:cs="Franklin Gothic Book"/>
        </w:rPr>
      </w:pPr>
      <w:r>
        <w:rPr>
          <w:rFonts w:eastAsia="Franklin Gothic Book" w:cs="Franklin Gothic Book"/>
        </w:rPr>
        <w:t xml:space="preserve">Many health professionals agreed with the proposed approach, noting it reflected standard methods for rotator cuff repair surgery in Australia. </w:t>
      </w:r>
      <w:r w:rsidR="006019A0">
        <w:rPr>
          <w:rFonts w:eastAsia="Franklin Gothic Book" w:cs="Franklin Gothic Book"/>
        </w:rPr>
        <w:t xml:space="preserve">Two health professionals </w:t>
      </w:r>
      <w:r w:rsidRPr="1A0B4A32">
        <w:rPr>
          <w:rFonts w:eastAsia="Franklin Gothic Book" w:cs="Franklin Gothic Book"/>
        </w:rPr>
        <w:t>suggested</w:t>
      </w:r>
      <w:r>
        <w:rPr>
          <w:rFonts w:eastAsia="Franklin Gothic Book" w:cs="Franklin Gothic Book"/>
        </w:rPr>
        <w:t xml:space="preserve"> the technology would not be required for patients with small to medium tendon tears with good quality tissue, small one-tendon F</w:t>
      </w:r>
      <w:r w:rsidR="008322B9">
        <w:rPr>
          <w:rFonts w:eastAsia="Franklin Gothic Book" w:cs="Franklin Gothic Book"/>
        </w:rPr>
        <w:t>T</w:t>
      </w:r>
      <w:r>
        <w:rPr>
          <w:rFonts w:eastAsia="Franklin Gothic Book" w:cs="Franklin Gothic Book"/>
        </w:rPr>
        <w:t>RCTs, or P</w:t>
      </w:r>
      <w:r w:rsidR="008322B9">
        <w:rPr>
          <w:rFonts w:eastAsia="Franklin Gothic Book" w:cs="Franklin Gothic Book"/>
        </w:rPr>
        <w:t>T</w:t>
      </w:r>
      <w:r>
        <w:rPr>
          <w:rFonts w:eastAsia="Franklin Gothic Book" w:cs="Franklin Gothic Book"/>
        </w:rPr>
        <w:t>RCTs.</w:t>
      </w:r>
      <w:r w:rsidR="005B170C">
        <w:rPr>
          <w:rFonts w:eastAsia="Franklin Gothic Book" w:cs="Franklin Gothic Book"/>
        </w:rPr>
        <w:t xml:space="preserve"> </w:t>
      </w:r>
      <w:r w:rsidR="00C06F26" w:rsidRPr="00B562D6">
        <w:rPr>
          <w:rFonts w:eastAsia="Franklin Gothic Book" w:cs="Franklin Gothic Book"/>
        </w:rPr>
        <w:t xml:space="preserve">One health professional noted they rely on intraoperative findings and patient-specific factors to guide </w:t>
      </w:r>
      <w:r w:rsidR="00D96233">
        <w:rPr>
          <w:rFonts w:eastAsia="Franklin Gothic Book" w:cs="Franklin Gothic Book"/>
        </w:rPr>
        <w:t xml:space="preserve">the </w:t>
      </w:r>
      <w:r w:rsidR="00C06F26" w:rsidRPr="00B562D6">
        <w:rPr>
          <w:rFonts w:eastAsia="Franklin Gothic Book" w:cs="Franklin Gothic Book"/>
        </w:rPr>
        <w:t>use</w:t>
      </w:r>
      <w:r w:rsidR="00915DDA">
        <w:rPr>
          <w:rFonts w:eastAsia="Franklin Gothic Book" w:cs="Franklin Gothic Book"/>
        </w:rPr>
        <w:t xml:space="preserve"> of </w:t>
      </w:r>
      <w:r w:rsidR="004A0DEC">
        <w:rPr>
          <w:rFonts w:eastAsia="Franklin Gothic Book" w:cs="Franklin Gothic Book"/>
        </w:rPr>
        <w:t>BCI</w:t>
      </w:r>
      <w:r w:rsidR="00C06F26" w:rsidRPr="00B562D6">
        <w:rPr>
          <w:rFonts w:eastAsia="Franklin Gothic Book" w:cs="Franklin Gothic Book"/>
        </w:rPr>
        <w:t>.</w:t>
      </w:r>
    </w:p>
    <w:p w14:paraId="1C53D394" w14:textId="0DDB934F" w:rsidR="00DD6C68" w:rsidRDefault="00DD6C68" w:rsidP="003126F5">
      <w:pPr>
        <w:pStyle w:val="ListParagraph"/>
        <w:numPr>
          <w:ilvl w:val="0"/>
          <w:numId w:val="18"/>
        </w:numPr>
        <w:spacing w:before="0"/>
        <w:rPr>
          <w:rFonts w:eastAsia="Franklin Gothic Book" w:cs="Franklin Gothic Book"/>
        </w:rPr>
      </w:pPr>
      <w:r>
        <w:rPr>
          <w:rFonts w:eastAsia="Franklin Gothic Book" w:cs="Franklin Gothic Book"/>
        </w:rPr>
        <w:t xml:space="preserve">Many health professionals described the comparator as appropriate and reflective of Australian clinical practice. </w:t>
      </w:r>
    </w:p>
    <w:p w14:paraId="56E888FD" w14:textId="07E6E8B9" w:rsidR="00DD6C68" w:rsidRDefault="00DD6C68" w:rsidP="003126F5">
      <w:pPr>
        <w:pStyle w:val="ListParagraph"/>
        <w:numPr>
          <w:ilvl w:val="0"/>
          <w:numId w:val="18"/>
        </w:numPr>
        <w:spacing w:before="0"/>
        <w:rPr>
          <w:rFonts w:eastAsia="Franklin Gothic Book" w:cs="Franklin Gothic Book"/>
        </w:rPr>
      </w:pPr>
      <w:r>
        <w:rPr>
          <w:rFonts w:eastAsia="Franklin Gothic Book" w:cs="Franklin Gothic Book"/>
        </w:rPr>
        <w:t>Many health professionals agreed with the proposed outcomes, with many noting they reflect the real-world benefits observed in practice, as well as align</w:t>
      </w:r>
      <w:r w:rsidR="00E524EB">
        <w:rPr>
          <w:rFonts w:eastAsia="Franklin Gothic Book" w:cs="Franklin Gothic Book"/>
        </w:rPr>
        <w:t>ing</w:t>
      </w:r>
      <w:r>
        <w:rPr>
          <w:rFonts w:eastAsia="Franklin Gothic Book" w:cs="Franklin Gothic Book"/>
        </w:rPr>
        <w:t xml:space="preserve"> with the ‘growing body’ of international evidence. </w:t>
      </w:r>
    </w:p>
    <w:p w14:paraId="31DC42E7" w14:textId="003F7D13" w:rsidR="00DD6C68" w:rsidRDefault="00DD6C68" w:rsidP="003126F5">
      <w:pPr>
        <w:pStyle w:val="ListParagraph"/>
        <w:numPr>
          <w:ilvl w:val="0"/>
          <w:numId w:val="18"/>
        </w:numPr>
        <w:spacing w:before="0"/>
        <w:rPr>
          <w:rFonts w:eastAsia="Franklin Gothic Book" w:cs="Franklin Gothic Book"/>
        </w:rPr>
      </w:pPr>
      <w:r>
        <w:rPr>
          <w:rFonts w:eastAsia="Franklin Gothic Book" w:cs="Franklin Gothic Book"/>
        </w:rPr>
        <w:t>One health professional expressed concerns over the evidence provided in the application, noting ‘not one randomised control trial (RCT) is published on this topic’.</w:t>
      </w:r>
      <w:r w:rsidR="00C229C6">
        <w:rPr>
          <w:rFonts w:eastAsia="Franklin Gothic Book" w:cs="Franklin Gothic Book"/>
        </w:rPr>
        <w:t xml:space="preserve"> </w:t>
      </w:r>
      <w:r w:rsidR="00673718">
        <w:rPr>
          <w:rFonts w:eastAsia="Franklin Gothic Book" w:cs="Franklin Gothic Book"/>
        </w:rPr>
        <w:t xml:space="preserve">Both </w:t>
      </w:r>
      <w:r w:rsidR="005C7BA4">
        <w:t xml:space="preserve">Ruiz </w:t>
      </w:r>
      <w:proofErr w:type="spellStart"/>
      <w:r w:rsidR="005C7BA4">
        <w:t>Ibán</w:t>
      </w:r>
      <w:proofErr w:type="spellEnd"/>
      <w:r w:rsidR="005C7BA4">
        <w:t xml:space="preserve"> et al. 2025 </w:t>
      </w:r>
      <w:r w:rsidR="00B82841">
        <w:t xml:space="preserve">and </w:t>
      </w:r>
      <w:r w:rsidR="00E524EB" w:rsidRPr="004A4C80">
        <w:t>Camacho-Chacón</w:t>
      </w:r>
      <w:r w:rsidR="00E524EB">
        <w:t xml:space="preserve"> </w:t>
      </w:r>
      <w:r w:rsidR="00692C0A">
        <w:rPr>
          <w:rFonts w:eastAsia="Franklin Gothic Book" w:cs="Franklin Gothic Book"/>
        </w:rPr>
        <w:t>202</w:t>
      </w:r>
      <w:r w:rsidR="00E524EB">
        <w:rPr>
          <w:rFonts w:eastAsia="Franklin Gothic Book" w:cs="Franklin Gothic Book"/>
        </w:rPr>
        <w:t>4</w:t>
      </w:r>
      <w:r w:rsidR="00692C0A">
        <w:rPr>
          <w:rFonts w:eastAsia="Franklin Gothic Book" w:cs="Franklin Gothic Book"/>
        </w:rPr>
        <w:t xml:space="preserve"> are published RCTs.</w:t>
      </w:r>
      <w:r>
        <w:rPr>
          <w:rFonts w:eastAsia="Franklin Gothic Book" w:cs="Franklin Gothic Book"/>
        </w:rPr>
        <w:t xml:space="preserve"> Other health professionals referred to RCTs conducted in Europe, and noted the data is ‘long-term’ and providing ‘clinical and radiological certainty confidence’ that patients who undergo treatment with the technology maintain positive outcomes over time.</w:t>
      </w:r>
    </w:p>
    <w:p w14:paraId="69FF6E75" w14:textId="77777777" w:rsidR="00DD6C68" w:rsidRDefault="00DD6C68" w:rsidP="003126F5">
      <w:pPr>
        <w:pStyle w:val="ListParagraph"/>
        <w:numPr>
          <w:ilvl w:val="0"/>
          <w:numId w:val="18"/>
        </w:numPr>
        <w:spacing w:before="0"/>
        <w:rPr>
          <w:rFonts w:eastAsia="Franklin Gothic Book" w:cs="Franklin Gothic Book"/>
        </w:rPr>
      </w:pPr>
      <w:r>
        <w:rPr>
          <w:rFonts w:eastAsia="Franklin Gothic Book" w:cs="Franklin Gothic Book"/>
        </w:rPr>
        <w:lastRenderedPageBreak/>
        <w:t xml:space="preserve">Some health professionals </w:t>
      </w:r>
      <w:r w:rsidRPr="00C15D16">
        <w:rPr>
          <w:rFonts w:eastAsia="Franklin Gothic Book" w:cs="Franklin Gothic Book"/>
        </w:rPr>
        <w:t xml:space="preserve">suggested the procedure would need </w:t>
      </w:r>
      <w:r>
        <w:rPr>
          <w:rFonts w:eastAsia="Franklin Gothic Book" w:cs="Franklin Gothic Book"/>
        </w:rPr>
        <w:t>its own</w:t>
      </w:r>
      <w:r w:rsidRPr="00C15D16">
        <w:rPr>
          <w:rFonts w:eastAsia="Franklin Gothic Book" w:cs="Franklin Gothic Book"/>
        </w:rPr>
        <w:t xml:space="preserve"> MBS number to analyse use and need for revision surgery more easily</w:t>
      </w:r>
      <w:r>
        <w:rPr>
          <w:rFonts w:eastAsia="Franklin Gothic Book" w:cs="Franklin Gothic Book"/>
        </w:rPr>
        <w:t>, as well as to facilitate a different fee for the increased time and expertise required in its implementation</w:t>
      </w:r>
      <w:r w:rsidRPr="00C15D16">
        <w:rPr>
          <w:rFonts w:eastAsia="Franklin Gothic Book" w:cs="Franklin Gothic Book"/>
        </w:rPr>
        <w:t>.</w:t>
      </w:r>
      <w:r>
        <w:rPr>
          <w:rFonts w:eastAsia="Franklin Gothic Book" w:cs="Franklin Gothic Book"/>
        </w:rPr>
        <w:t xml:space="preserve"> Others stated the application would use an existing MBS item descriptor, noting the technology will often be used to supplement complex or massive repairs. </w:t>
      </w:r>
    </w:p>
    <w:p w14:paraId="073D76D8" w14:textId="3BAEFC57" w:rsidR="00DD6C68" w:rsidRPr="00C15D16" w:rsidRDefault="00DD6C68" w:rsidP="003126F5">
      <w:pPr>
        <w:pStyle w:val="ListParagraph"/>
        <w:numPr>
          <w:ilvl w:val="0"/>
          <w:numId w:val="18"/>
        </w:numPr>
        <w:spacing w:before="0"/>
        <w:rPr>
          <w:rFonts w:eastAsia="Franklin Gothic Book" w:cs="Franklin Gothic Book"/>
        </w:rPr>
      </w:pPr>
      <w:r>
        <w:rPr>
          <w:rFonts w:eastAsia="Franklin Gothic Book" w:cs="Franklin Gothic Book"/>
        </w:rPr>
        <w:t>Some health professionals stated they had not seen information about the fees in the application. Many stat</w:t>
      </w:r>
      <w:r w:rsidR="0046424B">
        <w:rPr>
          <w:rFonts w:eastAsia="Franklin Gothic Book" w:cs="Franklin Gothic Book"/>
        </w:rPr>
        <w:t>ed</w:t>
      </w:r>
      <w:r>
        <w:rPr>
          <w:rFonts w:eastAsia="Franklin Gothic Book" w:cs="Franklin Gothic Book"/>
        </w:rPr>
        <w:t xml:space="preserve"> they would support a fee that appropriately reflects the value of the technology, as well as the additional clinical judgment and intraoperative decision-making required for its proper use. Others said they agreed with the fee, noting it will provide greater accessibility for a wider variety of patients. </w:t>
      </w:r>
    </w:p>
    <w:p w14:paraId="5C04E501" w14:textId="77777777" w:rsidR="00DD6C68" w:rsidRPr="0062012F" w:rsidRDefault="00DD6C68" w:rsidP="0062012F">
      <w:pPr>
        <w:pStyle w:val="Heading4"/>
        <w:spacing w:before="0" w:after="120"/>
      </w:pPr>
      <w:r w:rsidRPr="0062012F">
        <w:t xml:space="preserve">Perceived Advantages </w:t>
      </w:r>
    </w:p>
    <w:p w14:paraId="1EA2DE8F" w14:textId="0F5F6037" w:rsidR="00214537" w:rsidRDefault="00DD6C68" w:rsidP="001023B9">
      <w:pPr>
        <w:pStyle w:val="ListParagraph"/>
        <w:numPr>
          <w:ilvl w:val="0"/>
          <w:numId w:val="18"/>
        </w:numPr>
        <w:tabs>
          <w:tab w:val="left" w:pos="3686"/>
        </w:tabs>
        <w:spacing w:line="256" w:lineRule="auto"/>
        <w:rPr>
          <w:rFonts w:eastAsia="Franklin Gothic Book" w:cs="Franklin Gothic Book"/>
        </w:rPr>
      </w:pPr>
      <w:r>
        <w:rPr>
          <w:rFonts w:eastAsia="Franklin Gothic Book" w:cs="Franklin Gothic Book"/>
        </w:rPr>
        <w:t xml:space="preserve">Consumers </w:t>
      </w:r>
      <w:r w:rsidR="00D43C43">
        <w:rPr>
          <w:rFonts w:eastAsia="Franklin Gothic Book" w:cs="Franklin Gothic Book"/>
        </w:rPr>
        <w:t>who had experience with the technology</w:t>
      </w:r>
      <w:r w:rsidR="00696259">
        <w:rPr>
          <w:rFonts w:eastAsia="Franklin Gothic Book" w:cs="Franklin Gothic Book"/>
        </w:rPr>
        <w:t xml:space="preserve"> </w:t>
      </w:r>
      <w:r w:rsidR="00862907">
        <w:rPr>
          <w:rFonts w:eastAsia="Franklin Gothic Book" w:cs="Franklin Gothic Book"/>
        </w:rPr>
        <w:t>expressed that they were pleased with the outcome</w:t>
      </w:r>
      <w:r w:rsidR="00DC1DFE">
        <w:rPr>
          <w:rFonts w:eastAsia="Franklin Gothic Book" w:cs="Franklin Gothic Book"/>
        </w:rPr>
        <w:t xml:space="preserve"> of their surgery with BCI</w:t>
      </w:r>
      <w:r w:rsidR="00862907">
        <w:rPr>
          <w:rFonts w:eastAsia="Franklin Gothic Book" w:cs="Franklin Gothic Book"/>
        </w:rPr>
        <w:t xml:space="preserve">. One </w:t>
      </w:r>
      <w:r w:rsidR="00684C95">
        <w:rPr>
          <w:rFonts w:eastAsia="Franklin Gothic Book" w:cs="Franklin Gothic Book"/>
        </w:rPr>
        <w:t xml:space="preserve">consumer </w:t>
      </w:r>
      <w:r>
        <w:rPr>
          <w:rFonts w:eastAsia="Franklin Gothic Book" w:cs="Franklin Gothic Book"/>
        </w:rPr>
        <w:t xml:space="preserve">described </w:t>
      </w:r>
      <w:r w:rsidR="00BF07C6">
        <w:rPr>
          <w:rFonts w:eastAsia="Franklin Gothic Book" w:cs="Franklin Gothic Book"/>
        </w:rPr>
        <w:t xml:space="preserve">their outcomes had </w:t>
      </w:r>
      <w:r w:rsidR="00F33F5A">
        <w:rPr>
          <w:rFonts w:eastAsia="Franklin Gothic Book" w:cs="Franklin Gothic Book"/>
        </w:rPr>
        <w:t>exceeded their expectations</w:t>
      </w:r>
      <w:r>
        <w:rPr>
          <w:rFonts w:eastAsia="Franklin Gothic Book" w:cs="Franklin Gothic Book"/>
        </w:rPr>
        <w:t xml:space="preserve">, including: </w:t>
      </w:r>
      <w:r w:rsidR="006F0270">
        <w:rPr>
          <w:rFonts w:eastAsia="Franklin Gothic Book" w:cs="Franklin Gothic Book"/>
        </w:rPr>
        <w:t xml:space="preserve">full </w:t>
      </w:r>
      <w:r>
        <w:rPr>
          <w:rFonts w:eastAsia="Franklin Gothic Book" w:cs="Franklin Gothic Book"/>
        </w:rPr>
        <w:t>range of movement</w:t>
      </w:r>
      <w:r w:rsidR="001A0202">
        <w:rPr>
          <w:rFonts w:eastAsia="Franklin Gothic Book" w:cs="Franklin Gothic Book"/>
        </w:rPr>
        <w:t>; a</w:t>
      </w:r>
      <w:r w:rsidR="00BD04D4">
        <w:rPr>
          <w:rFonts w:eastAsia="Franklin Gothic Book" w:cs="Franklin Gothic Book"/>
        </w:rPr>
        <w:t xml:space="preserve"> </w:t>
      </w:r>
      <w:r w:rsidR="00807F95">
        <w:rPr>
          <w:rFonts w:eastAsia="Franklin Gothic Book" w:cs="Franklin Gothic Book"/>
        </w:rPr>
        <w:t>return to sports,</w:t>
      </w:r>
      <w:r w:rsidR="009B349F">
        <w:rPr>
          <w:rFonts w:eastAsia="Franklin Gothic Book" w:cs="Franklin Gothic Book"/>
        </w:rPr>
        <w:t xml:space="preserve"> </w:t>
      </w:r>
      <w:r>
        <w:rPr>
          <w:rFonts w:eastAsia="Franklin Gothic Book" w:cs="Franklin Gothic Book"/>
        </w:rPr>
        <w:t xml:space="preserve">outdoor </w:t>
      </w:r>
      <w:r w:rsidR="004434E8">
        <w:rPr>
          <w:rFonts w:eastAsia="Franklin Gothic Book" w:cs="Franklin Gothic Book"/>
        </w:rPr>
        <w:t xml:space="preserve">and family </w:t>
      </w:r>
      <w:r>
        <w:rPr>
          <w:rFonts w:eastAsia="Franklin Gothic Book" w:cs="Franklin Gothic Book"/>
        </w:rPr>
        <w:t>activities</w:t>
      </w:r>
      <w:r w:rsidR="00214537">
        <w:rPr>
          <w:rFonts w:eastAsia="Franklin Gothic Book" w:cs="Franklin Gothic Book"/>
        </w:rPr>
        <w:t xml:space="preserve"> without restrictions</w:t>
      </w:r>
      <w:r w:rsidR="001A0202">
        <w:rPr>
          <w:rFonts w:eastAsia="Franklin Gothic Book" w:cs="Franklin Gothic Book"/>
        </w:rPr>
        <w:t xml:space="preserve">; </w:t>
      </w:r>
      <w:r w:rsidR="00AF6FEF">
        <w:rPr>
          <w:rFonts w:eastAsia="Franklin Gothic Book" w:cs="Franklin Gothic Book"/>
        </w:rPr>
        <w:t xml:space="preserve">faster </w:t>
      </w:r>
      <w:r w:rsidR="009B349F">
        <w:rPr>
          <w:rFonts w:eastAsia="Franklin Gothic Book" w:cs="Franklin Gothic Book"/>
        </w:rPr>
        <w:t>regain</w:t>
      </w:r>
      <w:r w:rsidR="00AF6FEF">
        <w:rPr>
          <w:rFonts w:eastAsia="Franklin Gothic Book" w:cs="Franklin Gothic Book"/>
        </w:rPr>
        <w:t>ing of</w:t>
      </w:r>
      <w:r w:rsidR="009B349F">
        <w:rPr>
          <w:rFonts w:eastAsia="Franklin Gothic Book" w:cs="Franklin Gothic Book"/>
        </w:rPr>
        <w:t xml:space="preserve"> function and strength</w:t>
      </w:r>
      <w:r>
        <w:rPr>
          <w:rFonts w:eastAsia="Franklin Gothic Book" w:cs="Franklin Gothic Book"/>
        </w:rPr>
        <w:t xml:space="preserve">. </w:t>
      </w:r>
    </w:p>
    <w:p w14:paraId="2A3C9CC6" w14:textId="45487F8C" w:rsidR="008B7BFA" w:rsidRPr="001F53AF" w:rsidRDefault="00F33F5A" w:rsidP="001023B9">
      <w:pPr>
        <w:pStyle w:val="ListParagraph"/>
        <w:numPr>
          <w:ilvl w:val="0"/>
          <w:numId w:val="18"/>
        </w:numPr>
        <w:tabs>
          <w:tab w:val="left" w:pos="3686"/>
        </w:tabs>
        <w:spacing w:line="256" w:lineRule="auto"/>
        <w:rPr>
          <w:rFonts w:eastAsia="Franklin Gothic Book" w:cs="Franklin Gothic Book"/>
        </w:rPr>
      </w:pPr>
      <w:r>
        <w:rPr>
          <w:rFonts w:eastAsia="Franklin Gothic Book" w:cs="Franklin Gothic Book"/>
        </w:rPr>
        <w:t xml:space="preserve">Consumers </w:t>
      </w:r>
      <w:r w:rsidR="00214537">
        <w:rPr>
          <w:rFonts w:eastAsia="Franklin Gothic Book" w:cs="Franklin Gothic Book"/>
        </w:rPr>
        <w:t xml:space="preserve">who had </w:t>
      </w:r>
      <w:r w:rsidR="00B67DCD">
        <w:rPr>
          <w:rFonts w:eastAsia="Franklin Gothic Book" w:cs="Franklin Gothic Book"/>
        </w:rPr>
        <w:t xml:space="preserve">discussed the technology with their surgeon or </w:t>
      </w:r>
      <w:r w:rsidR="00214537">
        <w:rPr>
          <w:rFonts w:eastAsia="Franklin Gothic Book" w:cs="Franklin Gothic Book"/>
        </w:rPr>
        <w:t xml:space="preserve">conducted their own research </w:t>
      </w:r>
      <w:r>
        <w:rPr>
          <w:rFonts w:eastAsia="Franklin Gothic Book" w:cs="Franklin Gothic Book"/>
        </w:rPr>
        <w:t xml:space="preserve">described </w:t>
      </w:r>
      <w:r w:rsidR="00AF7381">
        <w:rPr>
          <w:rFonts w:eastAsia="Franklin Gothic Book" w:cs="Franklin Gothic Book"/>
        </w:rPr>
        <w:t xml:space="preserve">perceived </w:t>
      </w:r>
      <w:r>
        <w:rPr>
          <w:rFonts w:eastAsia="Franklin Gothic Book" w:cs="Franklin Gothic Book"/>
        </w:rPr>
        <w:t>advantages of the technology</w:t>
      </w:r>
      <w:r w:rsidR="002622D0">
        <w:rPr>
          <w:rFonts w:eastAsia="Franklin Gothic Book" w:cs="Franklin Gothic Book"/>
        </w:rPr>
        <w:t>,</w:t>
      </w:r>
      <w:r w:rsidR="00B67DCD">
        <w:rPr>
          <w:rFonts w:eastAsia="Franklin Gothic Book" w:cs="Franklin Gothic Book"/>
        </w:rPr>
        <w:t xml:space="preserve"> </w:t>
      </w:r>
      <w:proofErr w:type="gramStart"/>
      <w:r w:rsidR="00683BD7">
        <w:rPr>
          <w:rFonts w:eastAsia="Franklin Gothic Book" w:cs="Franklin Gothic Book"/>
        </w:rPr>
        <w:t>including;</w:t>
      </w:r>
      <w:proofErr w:type="gramEnd"/>
      <w:r w:rsidR="00683BD7">
        <w:rPr>
          <w:rFonts w:eastAsia="Franklin Gothic Book" w:cs="Franklin Gothic Book"/>
        </w:rPr>
        <w:t xml:space="preserve"> assisting the body’s natural healing process; </w:t>
      </w:r>
      <w:r w:rsidR="00A64EAC">
        <w:rPr>
          <w:rFonts w:eastAsia="Franklin Gothic Book" w:cs="Franklin Gothic Book"/>
        </w:rPr>
        <w:t>speeding up recovery time;</w:t>
      </w:r>
      <w:r w:rsidR="00A64EAC" w:rsidRPr="00A64EAC">
        <w:rPr>
          <w:rFonts w:eastAsia="Franklin Gothic Book" w:cs="Franklin Gothic Book"/>
        </w:rPr>
        <w:t xml:space="preserve"> </w:t>
      </w:r>
      <w:r w:rsidR="00A64EAC">
        <w:rPr>
          <w:rFonts w:eastAsia="Franklin Gothic Book" w:cs="Franklin Gothic Book"/>
        </w:rPr>
        <w:t>reducing and potentially eliminating pain; reducing dependence on others; reducing medical appointments and hospitalisations; improving self-esteem</w:t>
      </w:r>
      <w:r w:rsidR="00B67DCD">
        <w:rPr>
          <w:rFonts w:eastAsia="Franklin Gothic Book" w:cs="Franklin Gothic Book"/>
        </w:rPr>
        <w:t>; continuation of sport and outdoor activities.</w:t>
      </w:r>
    </w:p>
    <w:p w14:paraId="38AB3DB9" w14:textId="39F3211F" w:rsidR="00DD6C68" w:rsidRPr="0062012F" w:rsidRDefault="00DD6C68" w:rsidP="003126F5">
      <w:pPr>
        <w:pStyle w:val="ListParagraph"/>
        <w:numPr>
          <w:ilvl w:val="0"/>
          <w:numId w:val="18"/>
        </w:numPr>
        <w:tabs>
          <w:tab w:val="left" w:pos="3686"/>
        </w:tabs>
        <w:spacing w:line="256" w:lineRule="auto"/>
        <w:rPr>
          <w:rFonts w:eastAsia="Franklin Gothic Book" w:cs="Franklin Gothic Book"/>
        </w:rPr>
      </w:pPr>
      <w:r>
        <w:rPr>
          <w:rFonts w:eastAsia="Franklin Gothic Book" w:cs="Franklin Gothic Book"/>
        </w:rPr>
        <w:t>Health professionals mentioned many of the same advantages as consumers, as well as additional benefits of the technology, including: improved healing rates documented in those whom the technology is used versus those who only have a surgical repair; improved clinical and imaging outcomes in patients; preservation of the shoulder and improved tendon quality; reduced need for future surgeries; easy and efficient use, only adding an extra 10-20 minutes to surgery; improved flexibility in surgery, allowing for a real-time assessment about whether the implant is needed; and reduced post-operative pain for patients.</w:t>
      </w:r>
    </w:p>
    <w:p w14:paraId="1C6BBD66" w14:textId="77777777" w:rsidR="00DD6C68" w:rsidRPr="0062012F" w:rsidRDefault="00DD6C68" w:rsidP="0062012F">
      <w:pPr>
        <w:pStyle w:val="Heading4"/>
        <w:spacing w:before="0" w:after="120"/>
      </w:pPr>
      <w:r w:rsidRPr="0062012F">
        <w:t>Perceived Disadvantages</w:t>
      </w:r>
    </w:p>
    <w:p w14:paraId="5563473E" w14:textId="03EAFC48" w:rsidR="00257DEB" w:rsidRDefault="00DD6C68" w:rsidP="00D5516C">
      <w:pPr>
        <w:pStyle w:val="ListParagraph"/>
        <w:numPr>
          <w:ilvl w:val="0"/>
          <w:numId w:val="17"/>
        </w:numPr>
        <w:spacing w:before="0"/>
        <w:rPr>
          <w:rFonts w:eastAsia="Franklin Gothic Book" w:cs="Franklin Gothic Book"/>
        </w:rPr>
      </w:pPr>
      <w:r w:rsidRPr="00D5516C">
        <w:rPr>
          <w:rFonts w:eastAsia="Franklin Gothic Book" w:cs="Franklin Gothic Book"/>
        </w:rPr>
        <w:t xml:space="preserve">Both consumers and health professionals noted the current costs of the technology as prohibitive. </w:t>
      </w:r>
    </w:p>
    <w:p w14:paraId="7A278053" w14:textId="77777777" w:rsidR="00DD6C68" w:rsidRPr="001F53AF" w:rsidRDefault="00DD6C68" w:rsidP="007C5D02">
      <w:pPr>
        <w:pStyle w:val="ListParagraph"/>
        <w:numPr>
          <w:ilvl w:val="0"/>
          <w:numId w:val="17"/>
        </w:numPr>
        <w:spacing w:before="0"/>
        <w:rPr>
          <w:rFonts w:eastAsia="Franklin Gothic Book" w:cs="Franklin Gothic Book"/>
        </w:rPr>
      </w:pPr>
      <w:r w:rsidRPr="001F53AF">
        <w:rPr>
          <w:rFonts w:eastAsia="Franklin Gothic Book" w:cs="Franklin Gothic Book"/>
        </w:rPr>
        <w:t>Some health professionals noted the cost of the technology will be offset downstream through selective use of the technology, as well as by the faster recovery rates, reduced rehabilitation needs, and potentially lowered re-tear or revision rates associated with its use.</w:t>
      </w:r>
    </w:p>
    <w:p w14:paraId="2CD3DA31" w14:textId="77777777" w:rsidR="00DD6C68" w:rsidRPr="0062012F" w:rsidRDefault="00DD6C68" w:rsidP="0062012F">
      <w:pPr>
        <w:pStyle w:val="Heading4"/>
        <w:spacing w:before="0" w:after="120"/>
      </w:pPr>
      <w:r w:rsidRPr="0062012F">
        <w:t xml:space="preserve">Support for Implementation and Issues </w:t>
      </w:r>
    </w:p>
    <w:p w14:paraId="5666624A" w14:textId="77777777" w:rsidR="00DD6C68" w:rsidRDefault="00DD6C68" w:rsidP="003126F5">
      <w:pPr>
        <w:pStyle w:val="ListParagraph"/>
        <w:numPr>
          <w:ilvl w:val="0"/>
          <w:numId w:val="17"/>
        </w:numPr>
        <w:spacing w:before="0"/>
        <w:rPr>
          <w:rFonts w:eastAsia="Franklin Gothic Book" w:cs="Franklin Gothic Book"/>
        </w:rPr>
      </w:pPr>
      <w:r>
        <w:rPr>
          <w:rFonts w:eastAsia="Franklin Gothic Book" w:cs="Franklin Gothic Book"/>
        </w:rPr>
        <w:t>Consumers noted the need for physiotherapy or appropriate exercises to assist in recovery.</w:t>
      </w:r>
    </w:p>
    <w:p w14:paraId="30D59E94" w14:textId="77777777" w:rsidR="00DD6C68" w:rsidRDefault="00DD6C68" w:rsidP="003126F5">
      <w:pPr>
        <w:pStyle w:val="ListParagraph"/>
        <w:numPr>
          <w:ilvl w:val="0"/>
          <w:numId w:val="17"/>
        </w:numPr>
        <w:spacing w:before="0"/>
        <w:rPr>
          <w:rFonts w:eastAsia="Franklin Gothic Book" w:cs="Franklin Gothic Book"/>
        </w:rPr>
      </w:pPr>
      <w:r>
        <w:rPr>
          <w:rFonts w:eastAsia="Franklin Gothic Book" w:cs="Franklin Gothic Book"/>
        </w:rPr>
        <w:t>Many health professionals stated they already use this technology in practice, noting current costs restrict its use to only those willing to self-fund or participate in clinical studies. Many expressed a willingness to use it once publicly funded.</w:t>
      </w:r>
    </w:p>
    <w:p w14:paraId="0E316A9C" w14:textId="77777777" w:rsidR="00DD6C68" w:rsidRDefault="00DD6C68" w:rsidP="003126F5">
      <w:pPr>
        <w:pStyle w:val="ListParagraph"/>
        <w:numPr>
          <w:ilvl w:val="0"/>
          <w:numId w:val="17"/>
        </w:numPr>
        <w:spacing w:before="0"/>
        <w:rPr>
          <w:rFonts w:eastAsia="Franklin Gothic Book" w:cs="Franklin Gothic Book"/>
        </w:rPr>
      </w:pPr>
      <w:r>
        <w:rPr>
          <w:rFonts w:eastAsia="Franklin Gothic Book" w:cs="Franklin Gothic Book"/>
        </w:rPr>
        <w:t>One health professional noted the need for</w:t>
      </w:r>
      <w:r w:rsidRPr="00C6244B">
        <w:rPr>
          <w:rFonts w:eastAsia="Franklin Gothic Book" w:cs="Franklin Gothic Book"/>
        </w:rPr>
        <w:t xml:space="preserve"> training programs to ensure </w:t>
      </w:r>
      <w:r>
        <w:rPr>
          <w:rFonts w:eastAsia="Franklin Gothic Book" w:cs="Franklin Gothic Book"/>
        </w:rPr>
        <w:t>surgeons</w:t>
      </w:r>
      <w:r w:rsidRPr="00C6244B">
        <w:rPr>
          <w:rFonts w:eastAsia="Franklin Gothic Book" w:cs="Franklin Gothic Book"/>
        </w:rPr>
        <w:t xml:space="preserve"> are proficient in using the implant effectively</w:t>
      </w:r>
      <w:r>
        <w:rPr>
          <w:rFonts w:eastAsia="Franklin Gothic Book" w:cs="Franklin Gothic Book"/>
        </w:rPr>
        <w:t xml:space="preserve">, as well as adequate hospital and clinic support to ensure adequate provision of the service. Another </w:t>
      </w:r>
      <w:r w:rsidRPr="00AE4764">
        <w:rPr>
          <w:rFonts w:eastAsia="Franklin Gothic Book" w:cs="Franklin Gothic Book"/>
        </w:rPr>
        <w:t xml:space="preserve">noted the utilisation </w:t>
      </w:r>
      <w:r>
        <w:rPr>
          <w:rFonts w:eastAsia="Franklin Gothic Book" w:cs="Franklin Gothic Book"/>
        </w:rPr>
        <w:t xml:space="preserve">of this technology </w:t>
      </w:r>
      <w:r w:rsidRPr="00AE4764">
        <w:rPr>
          <w:rFonts w:eastAsia="Franklin Gothic Book" w:cs="Franklin Gothic Book"/>
        </w:rPr>
        <w:t>should be limited to surgeons trained in its use.</w:t>
      </w:r>
    </w:p>
    <w:p w14:paraId="34112B2B" w14:textId="0367409D" w:rsidR="00DD6C68" w:rsidRPr="0062012F" w:rsidRDefault="00DD6C68" w:rsidP="003126F5">
      <w:pPr>
        <w:pStyle w:val="ListParagraph"/>
        <w:numPr>
          <w:ilvl w:val="0"/>
          <w:numId w:val="17"/>
        </w:numPr>
        <w:spacing w:before="0"/>
        <w:rPr>
          <w:rFonts w:eastAsia="Franklin Gothic Book" w:cs="Franklin Gothic Book"/>
        </w:rPr>
      </w:pPr>
      <w:r>
        <w:rPr>
          <w:rFonts w:eastAsia="Franklin Gothic Book" w:cs="Franklin Gothic Book"/>
        </w:rPr>
        <w:t xml:space="preserve">Another health professional noted the need for clear clinical guidelines to support appropriate patient selection, as well as </w:t>
      </w:r>
      <w:r w:rsidR="00A74511">
        <w:rPr>
          <w:rFonts w:eastAsia="Franklin Gothic Book" w:cs="Franklin Gothic Book"/>
        </w:rPr>
        <w:t xml:space="preserve">to </w:t>
      </w:r>
      <w:r>
        <w:rPr>
          <w:rFonts w:eastAsia="Franklin Gothic Book" w:cs="Franklin Gothic Book"/>
        </w:rPr>
        <w:t>ensure consistent, evidence-based use.</w:t>
      </w:r>
    </w:p>
    <w:p w14:paraId="03C7A1F1" w14:textId="74348C13" w:rsidR="00772829" w:rsidRPr="00CE28E3" w:rsidRDefault="00772829" w:rsidP="003126F5">
      <w:pPr>
        <w:pStyle w:val="Heading2"/>
        <w:numPr>
          <w:ilvl w:val="0"/>
          <w:numId w:val="16"/>
        </w:numPr>
        <w:ind w:hanging="720"/>
      </w:pPr>
      <w:bookmarkStart w:id="18" w:name="_Toc69491422"/>
      <w:r w:rsidRPr="00CE28E3">
        <w:lastRenderedPageBreak/>
        <w:t>Characteristics of the evidence base</w:t>
      </w:r>
      <w:bookmarkEnd w:id="18"/>
    </w:p>
    <w:p w14:paraId="507B2952" w14:textId="06A2D1D9" w:rsidR="00282483" w:rsidRDefault="00CD6005" w:rsidP="00FB1FE3">
      <w:r>
        <w:t>T</w:t>
      </w:r>
      <w:r w:rsidR="00CF077B" w:rsidRPr="00CF077B">
        <w:t>he ADAR</w:t>
      </w:r>
      <w:r w:rsidR="008B3EFE">
        <w:t xml:space="preserve"> </w:t>
      </w:r>
      <w:r w:rsidR="007279B0">
        <w:t>provided</w:t>
      </w:r>
      <w:r w:rsidR="008B3EFE">
        <w:t xml:space="preserve"> </w:t>
      </w:r>
      <w:r w:rsidR="00CF077B" w:rsidRPr="00CF077B">
        <w:t xml:space="preserve">evidence for using BCI </w:t>
      </w:r>
      <w:r w:rsidR="00A27936">
        <w:t>in the</w:t>
      </w:r>
      <w:r w:rsidR="00CF077B" w:rsidRPr="00CF077B">
        <w:t xml:space="preserve"> repair</w:t>
      </w:r>
      <w:r w:rsidR="00A27936">
        <w:t xml:space="preserve"> of</w:t>
      </w:r>
      <w:r w:rsidR="00CF077B" w:rsidRPr="00CF077B">
        <w:t xml:space="preserve"> FTRCT based on RCTs identified through a systematic literature search, and </w:t>
      </w:r>
      <w:r w:rsidR="007279B0">
        <w:t>included</w:t>
      </w:r>
      <w:r w:rsidR="00CF077B" w:rsidRPr="00CF077B">
        <w:t xml:space="preserve"> literature made available by the manufacturer or lead investigator</w:t>
      </w:r>
      <w:r w:rsidR="007279B0">
        <w:t xml:space="preserve"> to the applicant</w:t>
      </w:r>
      <w:r w:rsidR="00964CEF">
        <w:t xml:space="preserve"> as it was unpublished at the time of ADAR</w:t>
      </w:r>
      <w:r w:rsidR="00D72D93">
        <w:t xml:space="preserve"> lodgement</w:t>
      </w:r>
      <w:r w:rsidR="00964CEF">
        <w:t xml:space="preserve"> but has since been published</w:t>
      </w:r>
      <w:r w:rsidR="00CF077B" w:rsidRPr="00CF077B">
        <w:t xml:space="preserve">. </w:t>
      </w:r>
      <w:r w:rsidR="00B43AC0">
        <w:t>The ADAR provided evidence related to F</w:t>
      </w:r>
      <w:r w:rsidR="00B43AC0" w:rsidRPr="004077A8">
        <w:t>TRC</w:t>
      </w:r>
      <w:r w:rsidR="00B43AC0">
        <w:t>T</w:t>
      </w:r>
      <w:r w:rsidR="00B43AC0" w:rsidRPr="004077A8">
        <w:t xml:space="preserve"> </w:t>
      </w:r>
      <w:r w:rsidR="00B43AC0">
        <w:t xml:space="preserve">based on two RCTs </w:t>
      </w:r>
      <w:r w:rsidR="00B43AC0" w:rsidRPr="004077A8">
        <w:t xml:space="preserve">(Ruiz </w:t>
      </w:r>
      <w:proofErr w:type="spellStart"/>
      <w:r w:rsidR="0007621D">
        <w:t>Ibán</w:t>
      </w:r>
      <w:proofErr w:type="spellEnd"/>
      <w:r w:rsidR="00B43AC0" w:rsidRPr="004077A8">
        <w:t xml:space="preserve"> et al.,202</w:t>
      </w:r>
      <w:r w:rsidR="00B43AC0">
        <w:t>5</w:t>
      </w:r>
      <w:r w:rsidR="00B43AC0">
        <w:rPr>
          <w:rStyle w:val="FootnoteReference"/>
        </w:rPr>
        <w:footnoteReference w:id="9"/>
      </w:r>
      <w:r w:rsidR="00B43AC0">
        <w:t>,</w:t>
      </w:r>
      <w:r w:rsidR="00B43AC0">
        <w:rPr>
          <w:rStyle w:val="FootnoteReference"/>
        </w:rPr>
        <w:footnoteReference w:id="10"/>
      </w:r>
      <w:r w:rsidR="00B43AC0">
        <w:t xml:space="preserve"> </w:t>
      </w:r>
      <w:r w:rsidR="00B43AC0" w:rsidRPr="004077A8">
        <w:t>and Camacho-Chacon et al.,202</w:t>
      </w:r>
      <w:r w:rsidR="00192AF8">
        <w:t>4</w:t>
      </w:r>
      <w:r w:rsidR="00B43AC0">
        <w:rPr>
          <w:rStyle w:val="FootnoteReference"/>
        </w:rPr>
        <w:footnoteReference w:id="11"/>
      </w:r>
      <w:r w:rsidR="00117B8F">
        <w:t>,</w:t>
      </w:r>
      <w:r w:rsidR="00117B8F">
        <w:rPr>
          <w:rStyle w:val="FootnoteReference"/>
        </w:rPr>
        <w:footnoteReference w:id="12"/>
      </w:r>
      <w:r w:rsidR="00B43AC0" w:rsidRPr="004077A8">
        <w:t>) and</w:t>
      </w:r>
      <w:r w:rsidR="008B3EFE">
        <w:t xml:space="preserve"> stated that </w:t>
      </w:r>
      <w:r w:rsidR="00B43AC0">
        <w:t>supplementary evidence to</w:t>
      </w:r>
      <w:r>
        <w:t xml:space="preserve"> support </w:t>
      </w:r>
      <w:r w:rsidR="00202D97">
        <w:t>safety claim</w:t>
      </w:r>
      <w:r w:rsidR="008B3EFE">
        <w:t xml:space="preserve"> was provided</w:t>
      </w:r>
      <w:r w:rsidR="00B43AC0">
        <w:t xml:space="preserve"> </w:t>
      </w:r>
      <w:r w:rsidR="00202D97">
        <w:t xml:space="preserve">based </w:t>
      </w:r>
      <w:r w:rsidR="00B43AC0">
        <w:t>on one</w:t>
      </w:r>
      <w:r w:rsidR="00202D97">
        <w:t xml:space="preserve"> Australian P</w:t>
      </w:r>
      <w:r w:rsidR="00202D97" w:rsidRPr="004077A8">
        <w:t>TRCT</w:t>
      </w:r>
      <w:r w:rsidR="00B43AC0">
        <w:t xml:space="preserve"> RCT </w:t>
      </w:r>
      <w:r w:rsidR="00B43AC0" w:rsidRPr="004077A8">
        <w:t>(Wang et al.,</w:t>
      </w:r>
      <w:r w:rsidR="003A7A63">
        <w:t xml:space="preserve"> </w:t>
      </w:r>
      <w:r w:rsidR="00B43AC0" w:rsidRPr="004077A8">
        <w:t>2023</w:t>
      </w:r>
      <w:r w:rsidR="00B43AC0">
        <w:rPr>
          <w:rStyle w:val="FootnoteReference"/>
        </w:rPr>
        <w:footnoteReference w:id="13"/>
      </w:r>
      <w:r w:rsidR="00B43AC0" w:rsidRPr="004077A8">
        <w:t>).</w:t>
      </w:r>
      <w:r w:rsidR="00D01D76">
        <w:t xml:space="preserve"> </w:t>
      </w:r>
      <w:r w:rsidR="00D36123">
        <w:t>However, n</w:t>
      </w:r>
      <w:r w:rsidR="00C565A8">
        <w:t xml:space="preserve">o data from </w:t>
      </w:r>
      <w:r w:rsidR="00D01D76" w:rsidRPr="004077A8">
        <w:t xml:space="preserve">Wang </w:t>
      </w:r>
      <w:r w:rsidR="003A7A63" w:rsidRPr="004077A8">
        <w:t>et al.,</w:t>
      </w:r>
      <w:r w:rsidR="003A7A63">
        <w:t xml:space="preserve"> (</w:t>
      </w:r>
      <w:r w:rsidR="00D01D76" w:rsidRPr="004077A8">
        <w:t>2023</w:t>
      </w:r>
      <w:r w:rsidR="00D01D76">
        <w:t xml:space="preserve">) </w:t>
      </w:r>
      <w:r w:rsidR="008B3EFE">
        <w:t>was presented in the ADAR</w:t>
      </w:r>
      <w:r w:rsidR="009362B3">
        <w:t>, nor was the CSR report</w:t>
      </w:r>
      <w:r w:rsidR="008B3EFE">
        <w:t>.</w:t>
      </w:r>
      <w:r w:rsidR="00282483">
        <w:t xml:space="preserve"> </w:t>
      </w:r>
      <w:r w:rsidR="00A6263C">
        <w:fldChar w:fldCharType="begin"/>
      </w:r>
      <w:r w:rsidR="00A6263C">
        <w:instrText xml:space="preserve"> REF _Ref214891447 \h </w:instrText>
      </w:r>
      <w:r w:rsidR="00A6263C">
        <w:fldChar w:fldCharType="separate"/>
      </w:r>
      <w:r w:rsidR="00A6263C">
        <w:t xml:space="preserve">Table </w:t>
      </w:r>
      <w:r w:rsidR="00A6263C">
        <w:rPr>
          <w:noProof/>
        </w:rPr>
        <w:t>2</w:t>
      </w:r>
      <w:r w:rsidR="00A6263C">
        <w:fldChar w:fldCharType="end"/>
      </w:r>
      <w:r w:rsidR="004A4FDF">
        <w:t xml:space="preserve"> </w:t>
      </w:r>
      <w:r w:rsidR="00282483" w:rsidRPr="00282483">
        <w:t>summarised the key features of the included evidence based on RCTs.</w:t>
      </w:r>
    </w:p>
    <w:p w14:paraId="692BCA4B" w14:textId="6EED29F0" w:rsidR="00956ACE" w:rsidRDefault="00F7698D" w:rsidP="00F7698D">
      <w:pPr>
        <w:pStyle w:val="Caption"/>
        <w:rPr>
          <w:color w:val="258221"/>
        </w:rPr>
      </w:pPr>
      <w:bookmarkStart w:id="19" w:name="_Ref214891447"/>
      <w:r>
        <w:t xml:space="preserve">Table </w:t>
      </w:r>
      <w:r>
        <w:fldChar w:fldCharType="begin"/>
      </w:r>
      <w:r>
        <w:instrText xml:space="preserve"> SEQ Table \* ARABIC </w:instrText>
      </w:r>
      <w:r>
        <w:fldChar w:fldCharType="separate"/>
      </w:r>
      <w:r w:rsidR="00564C3F">
        <w:rPr>
          <w:noProof/>
        </w:rPr>
        <w:t>2</w:t>
      </w:r>
      <w:r>
        <w:fldChar w:fldCharType="end"/>
      </w:r>
      <w:bookmarkEnd w:id="19"/>
      <w:r>
        <w:tab/>
      </w:r>
      <w:r w:rsidR="00956ACE" w:rsidRPr="00CE28E3">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77"/>
        <w:gridCol w:w="330"/>
        <w:gridCol w:w="1205"/>
        <w:gridCol w:w="463"/>
        <w:gridCol w:w="1417"/>
        <w:gridCol w:w="1414"/>
        <w:gridCol w:w="1134"/>
        <w:gridCol w:w="1149"/>
        <w:gridCol w:w="927"/>
      </w:tblGrid>
      <w:tr w:rsidR="00CF3D18" w:rsidRPr="00CE28E3" w14:paraId="0C7B8E03" w14:textId="77777777">
        <w:trPr>
          <w:cantSplit/>
          <w:tblHeader/>
        </w:trPr>
        <w:tc>
          <w:tcPr>
            <w:tcW w:w="542" w:type="pct"/>
            <w:vAlign w:val="center"/>
          </w:tcPr>
          <w:p w14:paraId="10B9EC00" w14:textId="77777777" w:rsidR="00CF3D18" w:rsidRPr="00CE28E3" w:rsidRDefault="00CF3D18">
            <w:pPr>
              <w:pStyle w:val="In-tableHeading"/>
              <w:jc w:val="center"/>
            </w:pPr>
            <w:r w:rsidRPr="00CE28E3">
              <w:t>References</w:t>
            </w:r>
          </w:p>
        </w:tc>
        <w:tc>
          <w:tcPr>
            <w:tcW w:w="183" w:type="pct"/>
            <w:vAlign w:val="center"/>
          </w:tcPr>
          <w:p w14:paraId="479F7B50" w14:textId="77777777" w:rsidR="00CF3D18" w:rsidRPr="00CE28E3" w:rsidRDefault="00CF3D18">
            <w:pPr>
              <w:pStyle w:val="In-tableHeading"/>
              <w:jc w:val="center"/>
            </w:pPr>
            <w:r w:rsidRPr="00CE28E3">
              <w:t>N</w:t>
            </w:r>
          </w:p>
        </w:tc>
        <w:tc>
          <w:tcPr>
            <w:tcW w:w="668" w:type="pct"/>
            <w:vAlign w:val="center"/>
          </w:tcPr>
          <w:p w14:paraId="4C4A988F" w14:textId="77777777" w:rsidR="00CF3D18" w:rsidRDefault="00CF3D18">
            <w:pPr>
              <w:pStyle w:val="In-tableHeading"/>
              <w:jc w:val="center"/>
            </w:pPr>
            <w:r w:rsidRPr="00CE28E3">
              <w:t>Design/</w:t>
            </w:r>
          </w:p>
          <w:p w14:paraId="64CB8063" w14:textId="77777777" w:rsidR="00CF3D18" w:rsidRPr="00CE28E3" w:rsidRDefault="00CF3D18">
            <w:pPr>
              <w:pStyle w:val="In-tableHeading"/>
              <w:jc w:val="center"/>
            </w:pPr>
            <w:r w:rsidRPr="00CE28E3">
              <w:t>duration</w:t>
            </w:r>
          </w:p>
        </w:tc>
        <w:tc>
          <w:tcPr>
            <w:tcW w:w="257" w:type="pct"/>
            <w:vAlign w:val="center"/>
          </w:tcPr>
          <w:p w14:paraId="6E093904" w14:textId="77777777" w:rsidR="00CF3D18" w:rsidRPr="00CE28E3" w:rsidRDefault="00CF3D18">
            <w:pPr>
              <w:pStyle w:val="In-tableHeading"/>
              <w:jc w:val="center"/>
            </w:pPr>
            <w:r w:rsidRPr="00CE28E3">
              <w:t>Risk of bias</w:t>
            </w:r>
            <w:r>
              <w:t>*</w:t>
            </w:r>
          </w:p>
        </w:tc>
        <w:tc>
          <w:tcPr>
            <w:tcW w:w="786" w:type="pct"/>
            <w:vAlign w:val="center"/>
          </w:tcPr>
          <w:p w14:paraId="72DD5399" w14:textId="77777777" w:rsidR="00CF3D18" w:rsidRPr="00CE28E3" w:rsidRDefault="00CF3D18">
            <w:pPr>
              <w:pStyle w:val="In-tableHeading"/>
              <w:jc w:val="center"/>
            </w:pPr>
            <w:r w:rsidRPr="00CE28E3">
              <w:t>Patient population</w:t>
            </w:r>
          </w:p>
        </w:tc>
        <w:tc>
          <w:tcPr>
            <w:tcW w:w="784" w:type="pct"/>
            <w:vAlign w:val="center"/>
          </w:tcPr>
          <w:p w14:paraId="2FDD0C3E" w14:textId="77777777" w:rsidR="00CF3D18" w:rsidRPr="00CE28E3" w:rsidRDefault="00CF3D18">
            <w:pPr>
              <w:pStyle w:val="In-tableHeading"/>
              <w:jc w:val="center"/>
            </w:pPr>
            <w:r w:rsidRPr="00CE28E3">
              <w:t>Outcome(s)</w:t>
            </w:r>
          </w:p>
        </w:tc>
        <w:tc>
          <w:tcPr>
            <w:tcW w:w="629" w:type="pct"/>
            <w:vAlign w:val="center"/>
          </w:tcPr>
          <w:p w14:paraId="4E2B8382" w14:textId="77777777" w:rsidR="00CF3D18" w:rsidRDefault="00CF3D18">
            <w:pPr>
              <w:pStyle w:val="In-tableHeading"/>
              <w:jc w:val="center"/>
            </w:pPr>
            <w:r>
              <w:t>Intervention</w:t>
            </w:r>
          </w:p>
        </w:tc>
        <w:tc>
          <w:tcPr>
            <w:tcW w:w="637" w:type="pct"/>
            <w:vAlign w:val="center"/>
          </w:tcPr>
          <w:p w14:paraId="7660FC06" w14:textId="77777777" w:rsidR="00CF3D18" w:rsidRPr="00CE28E3" w:rsidRDefault="00CF3D18">
            <w:pPr>
              <w:pStyle w:val="In-tableHeading"/>
              <w:jc w:val="center"/>
            </w:pPr>
            <w:r>
              <w:t>Comparator</w:t>
            </w:r>
          </w:p>
        </w:tc>
        <w:tc>
          <w:tcPr>
            <w:tcW w:w="514" w:type="pct"/>
            <w:vAlign w:val="center"/>
          </w:tcPr>
          <w:p w14:paraId="01B15E4E" w14:textId="77777777" w:rsidR="00CF3D18" w:rsidRPr="00CE28E3" w:rsidRDefault="00CF3D18">
            <w:pPr>
              <w:pStyle w:val="In-tableHeading"/>
              <w:jc w:val="center"/>
            </w:pPr>
            <w:r w:rsidRPr="00CE28E3">
              <w:t xml:space="preserve">Use in </w:t>
            </w:r>
            <w:r>
              <w:t>economic</w:t>
            </w:r>
            <w:r w:rsidRPr="00CE28E3">
              <w:t xml:space="preserve"> evaluation</w:t>
            </w:r>
          </w:p>
        </w:tc>
      </w:tr>
      <w:tr w:rsidR="00C0261A" w:rsidRPr="00CE28E3" w14:paraId="6642374F" w14:textId="77777777">
        <w:trPr>
          <w:cantSplit/>
        </w:trPr>
        <w:tc>
          <w:tcPr>
            <w:tcW w:w="542" w:type="pct"/>
            <w:vAlign w:val="center"/>
          </w:tcPr>
          <w:p w14:paraId="2D96F0C0" w14:textId="3AEAF7F5" w:rsidR="00C0261A" w:rsidRDefault="00C0261A">
            <w:pPr>
              <w:pStyle w:val="TableText"/>
              <w:rPr>
                <w:lang w:val="en-US"/>
              </w:rPr>
            </w:pPr>
            <w:r>
              <w:rPr>
                <w:lang w:val="en-US"/>
              </w:rPr>
              <w:t xml:space="preserve">Ruiz </w:t>
            </w:r>
            <w:proofErr w:type="spellStart"/>
            <w:r w:rsidR="0091327B" w:rsidRPr="00BB05DE">
              <w:t>Ibán</w:t>
            </w:r>
            <w:proofErr w:type="spellEnd"/>
            <w:r>
              <w:rPr>
                <w:lang w:val="en-US"/>
              </w:rPr>
              <w:t xml:space="preserve"> et al. (2023)</w:t>
            </w:r>
            <w:r w:rsidR="004F4347">
              <w:rPr>
                <w:lang w:val="en-US"/>
              </w:rPr>
              <w:t xml:space="preserve">; and </w:t>
            </w:r>
            <w:r w:rsidR="004F4347" w:rsidRPr="004F4347">
              <w:rPr>
                <w:lang w:val="en-US"/>
              </w:rPr>
              <w:t xml:space="preserve">(Ruiz </w:t>
            </w:r>
            <w:proofErr w:type="spellStart"/>
            <w:r w:rsidR="0091327B" w:rsidRPr="00BB05DE">
              <w:t>Ibán</w:t>
            </w:r>
            <w:proofErr w:type="spellEnd"/>
            <w:r w:rsidR="004F4347" w:rsidRPr="004F4347">
              <w:rPr>
                <w:lang w:val="en-US"/>
              </w:rPr>
              <w:t xml:space="preserve"> et al., 2025 (CSR)</w:t>
            </w:r>
          </w:p>
        </w:tc>
        <w:tc>
          <w:tcPr>
            <w:tcW w:w="183" w:type="pct"/>
            <w:vAlign w:val="center"/>
          </w:tcPr>
          <w:p w14:paraId="129EC0AE" w14:textId="77777777" w:rsidR="00C0261A" w:rsidRPr="00CE28E3" w:rsidRDefault="00C0261A">
            <w:pPr>
              <w:pStyle w:val="TableText"/>
              <w:jc w:val="center"/>
              <w:rPr>
                <w:lang w:val="en-US"/>
              </w:rPr>
            </w:pPr>
            <w:r>
              <w:rPr>
                <w:lang w:val="en-US"/>
              </w:rPr>
              <w:t>120</w:t>
            </w:r>
          </w:p>
        </w:tc>
        <w:tc>
          <w:tcPr>
            <w:tcW w:w="668" w:type="pct"/>
            <w:vAlign w:val="center"/>
          </w:tcPr>
          <w:p w14:paraId="6F529F43" w14:textId="77777777" w:rsidR="00C0261A" w:rsidRPr="00CE28E3" w:rsidRDefault="00C0261A">
            <w:pPr>
              <w:pStyle w:val="TableText"/>
              <w:jc w:val="center"/>
              <w:rPr>
                <w:lang w:val="en-US"/>
              </w:rPr>
            </w:pPr>
            <w:r w:rsidRPr="0071679C">
              <w:rPr>
                <w:lang w:val="en-US"/>
              </w:rPr>
              <w:t xml:space="preserve">Prospective, </w:t>
            </w:r>
            <w:r>
              <w:rPr>
                <w:lang w:val="en-US"/>
              </w:rPr>
              <w:t>MC</w:t>
            </w:r>
            <w:r w:rsidRPr="0071679C">
              <w:rPr>
                <w:lang w:val="en-US"/>
              </w:rPr>
              <w:t xml:space="preserve">, triple blinded </w:t>
            </w:r>
            <w:r>
              <w:rPr>
                <w:lang w:val="en-US"/>
              </w:rPr>
              <w:t>RCT</w:t>
            </w:r>
            <w:r w:rsidRPr="0071679C">
              <w:rPr>
                <w:lang w:val="en-US"/>
              </w:rPr>
              <w:t xml:space="preserve"> of one year’s duration.</w:t>
            </w:r>
          </w:p>
        </w:tc>
        <w:tc>
          <w:tcPr>
            <w:tcW w:w="257" w:type="pct"/>
            <w:vAlign w:val="center"/>
          </w:tcPr>
          <w:p w14:paraId="4FB4B531" w14:textId="77777777" w:rsidR="00C0261A" w:rsidRPr="00CE28E3" w:rsidRDefault="00C0261A">
            <w:pPr>
              <w:pStyle w:val="TableText"/>
              <w:jc w:val="center"/>
              <w:rPr>
                <w:lang w:val="en-US"/>
              </w:rPr>
            </w:pPr>
            <w:r>
              <w:rPr>
                <w:lang w:val="en-US"/>
              </w:rPr>
              <w:t>Low</w:t>
            </w:r>
          </w:p>
        </w:tc>
        <w:tc>
          <w:tcPr>
            <w:tcW w:w="786" w:type="pct"/>
            <w:vAlign w:val="center"/>
          </w:tcPr>
          <w:p w14:paraId="6297E959" w14:textId="77777777" w:rsidR="00C0261A" w:rsidRPr="00CE28E3" w:rsidRDefault="00C0261A">
            <w:pPr>
              <w:pStyle w:val="TableText"/>
              <w:jc w:val="center"/>
              <w:rPr>
                <w:lang w:val="en-US"/>
              </w:rPr>
            </w:pPr>
            <w:r w:rsidRPr="0071679C">
              <w:rPr>
                <w:lang w:val="en-US"/>
              </w:rPr>
              <w:t xml:space="preserve">Non-acute symptomatic (&gt;3 months) posterosuperior </w:t>
            </w:r>
            <w:r>
              <w:rPr>
                <w:lang w:val="en-US"/>
              </w:rPr>
              <w:t>FTRCT</w:t>
            </w:r>
            <w:r w:rsidRPr="0071679C">
              <w:rPr>
                <w:lang w:val="en-US"/>
              </w:rPr>
              <w:t xml:space="preserve"> with anteroposterior size between 1 and 4 cm</w:t>
            </w:r>
          </w:p>
        </w:tc>
        <w:tc>
          <w:tcPr>
            <w:tcW w:w="784" w:type="pct"/>
            <w:vAlign w:val="center"/>
          </w:tcPr>
          <w:p w14:paraId="78DFDF49" w14:textId="77777777" w:rsidR="00C0261A" w:rsidRPr="00CE28E3" w:rsidRDefault="00C0261A">
            <w:pPr>
              <w:pStyle w:val="TableText"/>
              <w:jc w:val="center"/>
              <w:rPr>
                <w:lang w:val="en-US"/>
              </w:rPr>
            </w:pPr>
            <w:r w:rsidRPr="0071679C">
              <w:rPr>
                <w:lang w:val="en-US"/>
              </w:rPr>
              <w:t xml:space="preserve">CMS; ASES Score; EQ-5D-5L; Brief Pain Inventory; MRI – integrity of repaired tendon using the </w:t>
            </w:r>
            <w:r>
              <w:rPr>
                <w:lang w:val="en-US"/>
              </w:rPr>
              <w:t>S</w:t>
            </w:r>
            <w:r w:rsidRPr="0071679C">
              <w:rPr>
                <w:lang w:val="en-US"/>
              </w:rPr>
              <w:t>ugaya score; AEs</w:t>
            </w:r>
          </w:p>
        </w:tc>
        <w:tc>
          <w:tcPr>
            <w:tcW w:w="629" w:type="pct"/>
          </w:tcPr>
          <w:p w14:paraId="3F85D933" w14:textId="58B69863" w:rsidR="00C0261A" w:rsidRDefault="00B123A9">
            <w:pPr>
              <w:pStyle w:val="TableText"/>
              <w:jc w:val="center"/>
              <w:rPr>
                <w:lang w:val="en-US"/>
              </w:rPr>
            </w:pPr>
            <w:proofErr w:type="spellStart"/>
            <w:r w:rsidRPr="00B123A9">
              <w:rPr>
                <w:lang w:val="en-US"/>
              </w:rPr>
              <w:t>Transosseous</w:t>
            </w:r>
            <w:proofErr w:type="spellEnd"/>
            <w:r w:rsidRPr="00B123A9">
              <w:rPr>
                <w:lang w:val="en-US"/>
              </w:rPr>
              <w:t xml:space="preserve">-equivalent full-thickness tendon repair with </w:t>
            </w:r>
            <w:proofErr w:type="spellStart"/>
            <w:r w:rsidR="00C0261A" w:rsidRPr="0026014A">
              <w:rPr>
                <w:lang w:val="en-US"/>
              </w:rPr>
              <w:t>Bioinductive</w:t>
            </w:r>
            <w:proofErr w:type="spellEnd"/>
            <w:r w:rsidR="00C0261A" w:rsidRPr="0026014A">
              <w:rPr>
                <w:lang w:val="en-US"/>
              </w:rPr>
              <w:t xml:space="preserve"> Implant</w:t>
            </w:r>
          </w:p>
        </w:tc>
        <w:tc>
          <w:tcPr>
            <w:tcW w:w="637" w:type="pct"/>
          </w:tcPr>
          <w:p w14:paraId="0CEA3FBD" w14:textId="757BB932" w:rsidR="00C0261A" w:rsidRDefault="00C0261A">
            <w:pPr>
              <w:pStyle w:val="TableText"/>
              <w:jc w:val="center"/>
              <w:rPr>
                <w:lang w:val="en-US"/>
              </w:rPr>
            </w:pPr>
            <w:r>
              <w:rPr>
                <w:lang w:val="en-US"/>
              </w:rPr>
              <w:t>Surgical procedure only</w:t>
            </w:r>
            <w:r w:rsidR="00B63AA5">
              <w:rPr>
                <w:lang w:val="en-US"/>
              </w:rPr>
              <w:t>:</w:t>
            </w:r>
          </w:p>
          <w:p w14:paraId="119BF0B5" w14:textId="24F03C16" w:rsidR="00C0261A" w:rsidRDefault="00B63AA5">
            <w:pPr>
              <w:pStyle w:val="TableText"/>
              <w:jc w:val="center"/>
              <w:rPr>
                <w:lang w:val="en-US"/>
              </w:rPr>
            </w:pPr>
            <w:proofErr w:type="spellStart"/>
            <w:r w:rsidRPr="00B63AA5">
              <w:rPr>
                <w:lang w:val="en-US"/>
              </w:rPr>
              <w:t>transosseous</w:t>
            </w:r>
            <w:proofErr w:type="spellEnd"/>
            <w:r w:rsidRPr="00B63AA5">
              <w:rPr>
                <w:lang w:val="en-US"/>
              </w:rPr>
              <w:t xml:space="preserve"> equivalent repair without augmentation</w:t>
            </w:r>
          </w:p>
        </w:tc>
        <w:tc>
          <w:tcPr>
            <w:tcW w:w="514" w:type="pct"/>
            <w:vAlign w:val="center"/>
          </w:tcPr>
          <w:p w14:paraId="266E0854" w14:textId="77777777" w:rsidR="00C0261A" w:rsidRPr="00CE28E3" w:rsidRDefault="00C0261A">
            <w:pPr>
              <w:pStyle w:val="TableText"/>
              <w:jc w:val="center"/>
              <w:rPr>
                <w:lang w:val="en-US"/>
              </w:rPr>
            </w:pPr>
            <w:r>
              <w:rPr>
                <w:lang w:val="en-US"/>
              </w:rPr>
              <w:t>Yes</w:t>
            </w:r>
          </w:p>
        </w:tc>
      </w:tr>
      <w:tr w:rsidR="00CF3D18" w:rsidRPr="00CE28E3" w14:paraId="341F21F8" w14:textId="77777777">
        <w:trPr>
          <w:cantSplit/>
        </w:trPr>
        <w:tc>
          <w:tcPr>
            <w:tcW w:w="542" w:type="pct"/>
            <w:vAlign w:val="center"/>
          </w:tcPr>
          <w:p w14:paraId="46C72AF9" w14:textId="17CCC91C" w:rsidR="00CF3D18" w:rsidRDefault="00454CA1">
            <w:pPr>
              <w:pStyle w:val="TableText"/>
              <w:rPr>
                <w:lang w:val="en-US"/>
              </w:rPr>
            </w:pPr>
            <w:r w:rsidRPr="000C3D59">
              <w:rPr>
                <w:lang w:val="en-US"/>
              </w:rPr>
              <w:t>Camacho</w:t>
            </w:r>
            <w:r w:rsidR="000C3D59" w:rsidRPr="000C3D59">
              <w:rPr>
                <w:lang w:val="en-US"/>
              </w:rPr>
              <w:t xml:space="preserve">-Chacon et al., </w:t>
            </w:r>
            <w:r w:rsidR="004F4347">
              <w:rPr>
                <w:lang w:val="en-US"/>
              </w:rPr>
              <w:t>(</w:t>
            </w:r>
            <w:r w:rsidR="000C3D59" w:rsidRPr="000C3D59">
              <w:rPr>
                <w:lang w:val="en-US"/>
              </w:rPr>
              <w:t>202</w:t>
            </w:r>
            <w:r w:rsidR="006526AA">
              <w:rPr>
                <w:lang w:val="en-US"/>
              </w:rPr>
              <w:t>4</w:t>
            </w:r>
            <w:r w:rsidR="004F4347">
              <w:rPr>
                <w:lang w:val="en-US"/>
              </w:rPr>
              <w:t>)</w:t>
            </w:r>
          </w:p>
        </w:tc>
        <w:tc>
          <w:tcPr>
            <w:tcW w:w="183" w:type="pct"/>
            <w:vAlign w:val="center"/>
          </w:tcPr>
          <w:p w14:paraId="61C8663A" w14:textId="77777777" w:rsidR="00CF3D18" w:rsidRPr="00CE28E3" w:rsidRDefault="00CF3D18">
            <w:pPr>
              <w:pStyle w:val="TableText"/>
              <w:jc w:val="center"/>
              <w:rPr>
                <w:lang w:val="en-US"/>
              </w:rPr>
            </w:pPr>
            <w:r>
              <w:rPr>
                <w:lang w:val="en-US"/>
              </w:rPr>
              <w:t>60</w:t>
            </w:r>
          </w:p>
        </w:tc>
        <w:tc>
          <w:tcPr>
            <w:tcW w:w="668" w:type="pct"/>
            <w:vAlign w:val="center"/>
          </w:tcPr>
          <w:p w14:paraId="60069BC1" w14:textId="77777777" w:rsidR="00CF3D18" w:rsidRPr="0071679C" w:rsidRDefault="00CF3D18">
            <w:pPr>
              <w:pStyle w:val="TableText"/>
              <w:jc w:val="center"/>
              <w:rPr>
                <w:lang w:val="en-US"/>
              </w:rPr>
            </w:pPr>
            <w:r w:rsidRPr="0071679C">
              <w:rPr>
                <w:lang w:val="en-US"/>
              </w:rPr>
              <w:t xml:space="preserve">Prospective, </w:t>
            </w:r>
            <w:r>
              <w:rPr>
                <w:lang w:val="en-US"/>
              </w:rPr>
              <w:t>patient-</w:t>
            </w:r>
            <w:proofErr w:type="gramStart"/>
            <w:r w:rsidRPr="0071679C">
              <w:rPr>
                <w:lang w:val="en-US"/>
              </w:rPr>
              <w:t>blinded</w:t>
            </w:r>
            <w:proofErr w:type="gramEnd"/>
            <w:r w:rsidRPr="0071679C">
              <w:rPr>
                <w:lang w:val="en-US"/>
              </w:rPr>
              <w:t xml:space="preserve">, single surgeon </w:t>
            </w:r>
            <w:r>
              <w:rPr>
                <w:lang w:val="en-US"/>
              </w:rPr>
              <w:t>RCT</w:t>
            </w:r>
            <w:r w:rsidRPr="0071679C">
              <w:rPr>
                <w:lang w:val="en-US"/>
              </w:rPr>
              <w:t xml:space="preserve"> of two-year duration.</w:t>
            </w:r>
          </w:p>
        </w:tc>
        <w:tc>
          <w:tcPr>
            <w:tcW w:w="257" w:type="pct"/>
            <w:vAlign w:val="center"/>
          </w:tcPr>
          <w:p w14:paraId="78922F66" w14:textId="77777777" w:rsidR="00CF3D18" w:rsidRPr="0071679C" w:rsidRDefault="00CF3D18">
            <w:pPr>
              <w:pStyle w:val="TableText"/>
              <w:jc w:val="center"/>
              <w:rPr>
                <w:highlight w:val="yellow"/>
                <w:lang w:val="en-US"/>
              </w:rPr>
            </w:pPr>
            <w:r w:rsidRPr="00333B11">
              <w:rPr>
                <w:lang w:val="en-US"/>
              </w:rPr>
              <w:t>L</w:t>
            </w:r>
            <w:r>
              <w:rPr>
                <w:lang w:val="en-US"/>
              </w:rPr>
              <w:t>ow</w:t>
            </w:r>
          </w:p>
        </w:tc>
        <w:tc>
          <w:tcPr>
            <w:tcW w:w="786" w:type="pct"/>
            <w:vAlign w:val="center"/>
          </w:tcPr>
          <w:p w14:paraId="1B3158AA" w14:textId="20EECC80" w:rsidR="00CF3D18" w:rsidRPr="0071679C" w:rsidRDefault="005067A7">
            <w:pPr>
              <w:pStyle w:val="TableText"/>
              <w:jc w:val="center"/>
              <w:rPr>
                <w:lang w:val="en-US"/>
              </w:rPr>
            </w:pPr>
            <w:r w:rsidRPr="005067A7">
              <w:rPr>
                <w:lang w:val="en-US"/>
              </w:rPr>
              <w:t>Patients presenting with a small to medium size posterosuperior rotator cuff tear confirmed by MRI</w:t>
            </w:r>
          </w:p>
        </w:tc>
        <w:tc>
          <w:tcPr>
            <w:tcW w:w="784" w:type="pct"/>
            <w:vAlign w:val="center"/>
          </w:tcPr>
          <w:p w14:paraId="4F2327EE" w14:textId="77777777" w:rsidR="00CF3D18" w:rsidRPr="0071679C" w:rsidRDefault="00CF3D18">
            <w:pPr>
              <w:pStyle w:val="TableText"/>
              <w:jc w:val="center"/>
              <w:rPr>
                <w:lang w:val="en-US"/>
              </w:rPr>
            </w:pPr>
            <w:r w:rsidRPr="0071679C">
              <w:rPr>
                <w:lang w:val="en-US"/>
              </w:rPr>
              <w:t>ASES Score; VAS; CMS; Biopsy; MRI; Satisfaction; Work Status; AEs</w:t>
            </w:r>
          </w:p>
        </w:tc>
        <w:tc>
          <w:tcPr>
            <w:tcW w:w="629" w:type="pct"/>
          </w:tcPr>
          <w:p w14:paraId="12BFBBD1" w14:textId="75954D14" w:rsidR="00CF3D18" w:rsidRDefault="00E50A4C">
            <w:pPr>
              <w:pStyle w:val="TableText"/>
              <w:jc w:val="center"/>
              <w:rPr>
                <w:lang w:val="en-US"/>
              </w:rPr>
            </w:pPr>
            <w:bookmarkStart w:id="20" w:name="_Hlk195014736"/>
            <w:r w:rsidRPr="00E50A4C">
              <w:rPr>
                <w:lang w:val="en-US"/>
              </w:rPr>
              <w:t xml:space="preserve">Isolated </w:t>
            </w:r>
            <w:proofErr w:type="spellStart"/>
            <w:r w:rsidRPr="00E50A4C">
              <w:rPr>
                <w:lang w:val="en-US"/>
              </w:rPr>
              <w:t>Bioinductive</w:t>
            </w:r>
            <w:proofErr w:type="spellEnd"/>
            <w:r w:rsidRPr="00E50A4C">
              <w:rPr>
                <w:lang w:val="en-US"/>
              </w:rPr>
              <w:t xml:space="preserve"> </w:t>
            </w:r>
            <w:bookmarkEnd w:id="20"/>
            <w:r w:rsidR="00B97220">
              <w:rPr>
                <w:lang w:val="en-US"/>
              </w:rPr>
              <w:t>implant</w:t>
            </w:r>
          </w:p>
        </w:tc>
        <w:tc>
          <w:tcPr>
            <w:tcW w:w="637" w:type="pct"/>
          </w:tcPr>
          <w:p w14:paraId="6A89E637" w14:textId="77777777" w:rsidR="003D31A6" w:rsidRDefault="003D31A6" w:rsidP="003D31A6">
            <w:pPr>
              <w:pStyle w:val="TableText"/>
              <w:jc w:val="center"/>
              <w:rPr>
                <w:lang w:val="en-US"/>
              </w:rPr>
            </w:pPr>
            <w:r>
              <w:rPr>
                <w:lang w:val="en-US"/>
              </w:rPr>
              <w:t>Surgical procedure only:</w:t>
            </w:r>
          </w:p>
          <w:p w14:paraId="6094F90C" w14:textId="4751B315" w:rsidR="00CF3D18" w:rsidRDefault="003D31A6" w:rsidP="003D31A6">
            <w:pPr>
              <w:pStyle w:val="TableText"/>
              <w:jc w:val="center"/>
              <w:rPr>
                <w:lang w:val="en-US"/>
              </w:rPr>
            </w:pPr>
            <w:proofErr w:type="spellStart"/>
            <w:r w:rsidRPr="00B63AA5">
              <w:rPr>
                <w:lang w:val="en-US"/>
              </w:rPr>
              <w:t>transosseous</w:t>
            </w:r>
            <w:proofErr w:type="spellEnd"/>
            <w:r w:rsidRPr="00B63AA5">
              <w:rPr>
                <w:lang w:val="en-US"/>
              </w:rPr>
              <w:t xml:space="preserve"> equivalent repair without augmentation</w:t>
            </w:r>
          </w:p>
        </w:tc>
        <w:tc>
          <w:tcPr>
            <w:tcW w:w="514" w:type="pct"/>
            <w:vAlign w:val="center"/>
          </w:tcPr>
          <w:p w14:paraId="4E231D12" w14:textId="6801A591" w:rsidR="00CF3D18" w:rsidRDefault="00567B5D">
            <w:pPr>
              <w:pStyle w:val="TableText"/>
              <w:jc w:val="center"/>
              <w:rPr>
                <w:lang w:val="en-US"/>
              </w:rPr>
            </w:pPr>
            <w:r>
              <w:rPr>
                <w:lang w:val="en-US"/>
              </w:rPr>
              <w:t>No</w:t>
            </w:r>
          </w:p>
        </w:tc>
      </w:tr>
    </w:tbl>
    <w:p w14:paraId="4437D97A" w14:textId="7A860360" w:rsidR="000B4603" w:rsidRDefault="008C7D78" w:rsidP="00E12E59">
      <w:pPr>
        <w:pStyle w:val="TableFooter"/>
      </w:pPr>
      <w:r>
        <w:t xml:space="preserve">Source: </w:t>
      </w:r>
      <w:r w:rsidR="0009295C">
        <w:t xml:space="preserve">Table 17 p </w:t>
      </w:r>
      <w:proofErr w:type="gramStart"/>
      <w:r w:rsidR="0009295C">
        <w:t>8</w:t>
      </w:r>
      <w:r w:rsidR="00DD4E46">
        <w:t>1</w:t>
      </w:r>
      <w:r w:rsidR="0009295C">
        <w:t xml:space="preserve"> </w:t>
      </w:r>
      <w:r w:rsidR="009E60A0">
        <w:t>,</w:t>
      </w:r>
      <w:proofErr w:type="gramEnd"/>
      <w:r w:rsidR="009E60A0">
        <w:t xml:space="preserve"> Table 21 p</w:t>
      </w:r>
      <w:r w:rsidR="00DD4E46">
        <w:t xml:space="preserve"> </w:t>
      </w:r>
      <w:r w:rsidR="00AB6B98">
        <w:t xml:space="preserve">90 </w:t>
      </w:r>
      <w:r w:rsidR="0009295C">
        <w:t xml:space="preserve">and </w:t>
      </w:r>
      <w:r w:rsidR="00AB6B98">
        <w:t>t</w:t>
      </w:r>
      <w:r w:rsidR="00FB1FE3">
        <w:t xml:space="preserve">ext </w:t>
      </w:r>
      <w:r w:rsidR="00E02353">
        <w:t>of the ADAR.</w:t>
      </w:r>
      <w:r w:rsidR="0009295C">
        <w:t xml:space="preserve"> </w:t>
      </w:r>
    </w:p>
    <w:p w14:paraId="1163DA81" w14:textId="348EB127" w:rsidR="00CF3D18" w:rsidRDefault="000B4603" w:rsidP="00E12E59">
      <w:pPr>
        <w:pStyle w:val="TableFooter"/>
      </w:pPr>
      <w:r w:rsidRPr="000B4603">
        <w:t xml:space="preserve">Abbreviations: </w:t>
      </w:r>
      <w:r w:rsidR="00E12E59" w:rsidRPr="00F06018">
        <w:t>AEs</w:t>
      </w:r>
      <w:r w:rsidR="00E12E59">
        <w:t xml:space="preserve"> =</w:t>
      </w:r>
      <w:r w:rsidR="00E12E59" w:rsidRPr="00F06018">
        <w:t xml:space="preserve"> Adverse Events’</w:t>
      </w:r>
      <w:r w:rsidR="001144A1">
        <w:t xml:space="preserve">; </w:t>
      </w:r>
      <w:r w:rsidR="00F06018" w:rsidRPr="00F06018">
        <w:t>ASES</w:t>
      </w:r>
      <w:r w:rsidR="00A24852">
        <w:t xml:space="preserve"> =</w:t>
      </w:r>
      <w:r w:rsidR="00F06018" w:rsidRPr="00F06018">
        <w:t xml:space="preserve"> American Shoulder and Elbow Society Score; </w:t>
      </w:r>
      <w:r w:rsidR="00E12E59" w:rsidRPr="00F06018">
        <w:t>CMS</w:t>
      </w:r>
      <w:r w:rsidR="00E12E59">
        <w:t xml:space="preserve"> =</w:t>
      </w:r>
      <w:r w:rsidR="00E12E59" w:rsidRPr="00F06018">
        <w:t xml:space="preserve"> Constant-Murley Score;</w:t>
      </w:r>
      <w:r w:rsidR="00E12E59">
        <w:t xml:space="preserve"> </w:t>
      </w:r>
      <w:r w:rsidR="001144A1" w:rsidRPr="00F06018">
        <w:t>GRC</w:t>
      </w:r>
      <w:r w:rsidR="001144A1">
        <w:t xml:space="preserve"> =</w:t>
      </w:r>
      <w:r w:rsidR="001144A1" w:rsidRPr="00F06018">
        <w:t xml:space="preserve"> Global Rating of Change Scale; MRI</w:t>
      </w:r>
      <w:r w:rsidR="001144A1">
        <w:t xml:space="preserve"> =</w:t>
      </w:r>
      <w:r w:rsidR="001144A1" w:rsidRPr="00F06018">
        <w:t xml:space="preserve"> Magnetic Resonance Imaging; </w:t>
      </w:r>
      <w:r w:rsidR="001144A1" w:rsidRPr="00CE28E3">
        <w:t>MC = multicentre;</w:t>
      </w:r>
      <w:r w:rsidR="001144A1">
        <w:t xml:space="preserve"> RCT = randomised control trial;</w:t>
      </w:r>
      <w:r w:rsidR="001144A1" w:rsidRPr="00CE28E3">
        <w:t xml:space="preserve"> </w:t>
      </w:r>
      <w:r w:rsidR="00F06018" w:rsidRPr="00F06018">
        <w:t>SANE</w:t>
      </w:r>
      <w:r w:rsidR="00A24852">
        <w:t xml:space="preserve"> =</w:t>
      </w:r>
      <w:r w:rsidR="00F06018" w:rsidRPr="00F06018">
        <w:t xml:space="preserve"> Single Assessment Numeric Evaluation Score;</w:t>
      </w:r>
      <w:r w:rsidR="00761660">
        <w:t xml:space="preserve"> </w:t>
      </w:r>
      <w:r w:rsidR="00761660" w:rsidRPr="00761660">
        <w:t xml:space="preserve">VR-12 </w:t>
      </w:r>
      <w:r w:rsidR="00761660">
        <w:t xml:space="preserve">= </w:t>
      </w:r>
      <w:r w:rsidR="00761660" w:rsidRPr="00761660">
        <w:t>Veterans Rand – 12 score</w:t>
      </w:r>
    </w:p>
    <w:p w14:paraId="293DCD89" w14:textId="7DB82924" w:rsidR="00FB1FE3" w:rsidRPr="005420AE" w:rsidRDefault="00FB1FE3" w:rsidP="00FB1FE3">
      <w:bookmarkStart w:id="21" w:name="_Ref69725659"/>
      <w:r w:rsidRPr="005420AE">
        <w:t xml:space="preserve">Ruiz </w:t>
      </w:r>
      <w:proofErr w:type="spellStart"/>
      <w:r w:rsidR="0007621D">
        <w:t>Ibán</w:t>
      </w:r>
      <w:proofErr w:type="spellEnd"/>
      <w:r w:rsidR="0007621D" w:rsidRPr="005420AE" w:rsidDel="0007621D">
        <w:t xml:space="preserve"> </w:t>
      </w:r>
      <w:r w:rsidRPr="005420AE">
        <w:t>et al.,202</w:t>
      </w:r>
      <w:r w:rsidRPr="005420AE" w:rsidDel="005420AE">
        <w:t>3</w:t>
      </w:r>
      <w:r w:rsidRPr="005420AE">
        <w:t xml:space="preserve"> and Wang et al.,2023 were provided sponsorship by the applicant – the ADAR stated, “</w:t>
      </w:r>
      <w:r w:rsidRPr="001F53AF">
        <w:rPr>
          <w:rFonts w:cstheme="minorHAnsi"/>
        </w:rPr>
        <w:t>While they may obtain some level of support they have been independently designed, derived and maintained by the researcher”.</w:t>
      </w:r>
      <w:r w:rsidRPr="005420AE">
        <w:t xml:space="preserve"> Ruiz </w:t>
      </w:r>
      <w:proofErr w:type="spellStart"/>
      <w:r w:rsidR="0007621D">
        <w:t>Ibán</w:t>
      </w:r>
      <w:proofErr w:type="spellEnd"/>
      <w:r w:rsidR="002755F5">
        <w:t xml:space="preserve"> et al</w:t>
      </w:r>
      <w:r w:rsidRPr="005420AE">
        <w:t>.</w:t>
      </w:r>
      <w:r w:rsidR="003E1908">
        <w:t>,</w:t>
      </w:r>
      <w:r w:rsidRPr="005420AE">
        <w:t xml:space="preserve"> (2025) </w:t>
      </w:r>
      <w:r w:rsidR="00B932EE">
        <w:t>was</w:t>
      </w:r>
      <w:r w:rsidRPr="005420AE">
        <w:t xml:space="preserve"> unpublished </w:t>
      </w:r>
      <w:r w:rsidR="008679D3" w:rsidRPr="005420AE">
        <w:t xml:space="preserve">at the time of </w:t>
      </w:r>
      <w:r w:rsidR="00CF5A9A">
        <w:t>ADAR lodgement</w:t>
      </w:r>
      <w:r w:rsidR="008679D3" w:rsidRPr="005420AE">
        <w:t xml:space="preserve"> and</w:t>
      </w:r>
      <w:r w:rsidRPr="005420AE">
        <w:t xml:space="preserve"> made available by the lead investigator upon the applicant’s request. Camacho-Chacon et al., 202</w:t>
      </w:r>
      <w:r w:rsidR="00281E04">
        <w:t>4</w:t>
      </w:r>
      <w:r w:rsidRPr="005420AE">
        <w:t xml:space="preserve"> and Ruiz </w:t>
      </w:r>
      <w:proofErr w:type="spellStart"/>
      <w:r w:rsidR="0007621D">
        <w:t>Ibán</w:t>
      </w:r>
      <w:proofErr w:type="spellEnd"/>
      <w:r w:rsidR="0007621D" w:rsidRPr="005420AE" w:rsidDel="0007621D">
        <w:t xml:space="preserve"> </w:t>
      </w:r>
      <w:r w:rsidRPr="005420AE">
        <w:t>et al., 202</w:t>
      </w:r>
      <w:r w:rsidR="00FE682B">
        <w:t>5</w:t>
      </w:r>
      <w:r w:rsidRPr="005420AE">
        <w:t xml:space="preserve"> were conducted in Spain.</w:t>
      </w:r>
      <w:r w:rsidR="00776125" w:rsidRPr="005420AE">
        <w:t xml:space="preserve"> </w:t>
      </w:r>
      <w:r w:rsidR="0035273E">
        <w:t xml:space="preserve">Both RCTs are now published. </w:t>
      </w:r>
    </w:p>
    <w:p w14:paraId="4A2DED1E" w14:textId="34F0CCEA" w:rsidR="0061120E" w:rsidRDefault="00454CA1" w:rsidP="0061120E">
      <w:r w:rsidRPr="00454CA1">
        <w:t>Camacho-Chacon, (</w:t>
      </w:r>
      <w:r w:rsidRPr="00454CA1" w:rsidDel="00B306BB">
        <w:t>2023</w:t>
      </w:r>
      <w:r w:rsidRPr="00454CA1">
        <w:t xml:space="preserve">); and Camacho-Chacon </w:t>
      </w:r>
      <w:r w:rsidRPr="00454CA1">
        <w:rPr>
          <w:i/>
          <w:iCs/>
        </w:rPr>
        <w:t>et al.,</w:t>
      </w:r>
      <w:r w:rsidRPr="00454CA1">
        <w:t xml:space="preserve"> (2022)</w:t>
      </w:r>
      <w:r>
        <w:t xml:space="preserve"> were included in the previous ADAR in support for PTRCT as the </w:t>
      </w:r>
      <w:r w:rsidR="000328C6" w:rsidRPr="000328C6">
        <w:t xml:space="preserve">Isolated </w:t>
      </w:r>
      <w:proofErr w:type="spellStart"/>
      <w:r w:rsidR="000328C6" w:rsidRPr="000328C6">
        <w:t>Bioinductive</w:t>
      </w:r>
      <w:proofErr w:type="spellEnd"/>
      <w:r w:rsidR="000328C6" w:rsidRPr="000328C6">
        <w:t xml:space="preserve"> </w:t>
      </w:r>
      <w:r w:rsidR="000328C6">
        <w:t xml:space="preserve">repair </w:t>
      </w:r>
      <w:r>
        <w:t>technique</w:t>
      </w:r>
      <w:r w:rsidR="000328C6" w:rsidRPr="000328C6">
        <w:t xml:space="preserve"> does not use sutures </w:t>
      </w:r>
      <w:r w:rsidR="000328C6" w:rsidRPr="000328C6">
        <w:lastRenderedPageBreak/>
        <w:t xml:space="preserve">and anchors and therefore this procedure </w:t>
      </w:r>
      <w:r w:rsidR="008351A2">
        <w:t xml:space="preserve">is </w:t>
      </w:r>
      <w:r w:rsidR="000328C6" w:rsidRPr="000328C6">
        <w:t xml:space="preserve">more </w:t>
      </w:r>
      <w:r w:rsidR="008351A2" w:rsidRPr="000328C6">
        <w:t>like</w:t>
      </w:r>
      <w:r w:rsidR="000328C6" w:rsidRPr="000328C6">
        <w:t xml:space="preserve"> the PTRCT procedure. However, the patient population in </w:t>
      </w:r>
      <w:r w:rsidR="008351A2">
        <w:t>the</w:t>
      </w:r>
      <w:r w:rsidR="000328C6" w:rsidRPr="000328C6">
        <w:t xml:space="preserve"> RCT </w:t>
      </w:r>
      <w:r w:rsidR="008351A2">
        <w:t>wa</w:t>
      </w:r>
      <w:r w:rsidR="000328C6" w:rsidRPr="000328C6">
        <w:t xml:space="preserve">s FTRCT and </w:t>
      </w:r>
      <w:r w:rsidR="00DA6673">
        <w:t xml:space="preserve">the ADAR provided this </w:t>
      </w:r>
      <w:r w:rsidR="000328C6" w:rsidRPr="000328C6">
        <w:t xml:space="preserve">evidence </w:t>
      </w:r>
      <w:r w:rsidR="00DA6673">
        <w:t>in support of their claim.</w:t>
      </w:r>
      <w:r w:rsidR="00276CBA" w:rsidRPr="00276CBA">
        <w:t xml:space="preserve"> </w:t>
      </w:r>
      <w:r w:rsidR="00276CBA">
        <w:t xml:space="preserve">The </w:t>
      </w:r>
      <w:r w:rsidR="00276CBA" w:rsidRPr="00276CBA">
        <w:t xml:space="preserve">Camacho-Chacon </w:t>
      </w:r>
      <w:r w:rsidR="00F70B6C">
        <w:t xml:space="preserve">trial </w:t>
      </w:r>
      <w:r w:rsidR="00276CBA" w:rsidRPr="00276CBA">
        <w:t>was a single-surgeon, patient blinded RCT designed to evaluate tendon integrity following surgical treatment for FTRCT.</w:t>
      </w:r>
      <w:r w:rsidR="00F70B6C" w:rsidRPr="00F70B6C">
        <w:t xml:space="preserve"> </w:t>
      </w:r>
      <w:r w:rsidR="00F70B6C">
        <w:t>Participants in Camacho-Chacon trial had small-to-medium size posterosuperior FTRCT confirmed by MRI</w:t>
      </w:r>
      <w:r w:rsidR="0061120E">
        <w:t xml:space="preserve"> (</w:t>
      </w:r>
      <w:r w:rsidR="0061120E" w:rsidRPr="00276CBA">
        <w:t xml:space="preserve">supraspinatus full-thickness tear </w:t>
      </w:r>
      <w:r w:rsidR="0061120E">
        <w:t>(</w:t>
      </w:r>
      <w:r w:rsidR="0061120E" w:rsidRPr="00276CBA">
        <w:t>either small (&lt;1cm) or medium (1-3cm)</w:t>
      </w:r>
      <w:r w:rsidR="0061120E">
        <w:t>)</w:t>
      </w:r>
      <w:r w:rsidR="0061120E" w:rsidRPr="00276CBA">
        <w:t xml:space="preserve"> based on Cofield Classification</w:t>
      </w:r>
      <w:r w:rsidR="0061120E">
        <w:t>)</w:t>
      </w:r>
      <w:r w:rsidR="00F70B6C">
        <w:t xml:space="preserve">. In the previous ADAR the applicant argued that the trial was more in line with PTRCT then FTRCT as the procedure </w:t>
      </w:r>
      <w:r w:rsidR="00F70B6C" w:rsidRPr="00276CBA">
        <w:t xml:space="preserve">used REGENETEN without underlying suture anchors </w:t>
      </w:r>
      <w:r w:rsidR="00F70B6C">
        <w:t xml:space="preserve">which was </w:t>
      </w:r>
      <w:proofErr w:type="gramStart"/>
      <w:r w:rsidR="00F70B6C" w:rsidRPr="00276CBA">
        <w:t>similar to</w:t>
      </w:r>
      <w:proofErr w:type="gramEnd"/>
      <w:r w:rsidR="00F70B6C" w:rsidRPr="00276CBA">
        <w:t xml:space="preserve"> the procedure used to repair PTRCT</w:t>
      </w:r>
      <w:r w:rsidR="00F70B6C">
        <w:t>.</w:t>
      </w:r>
      <w:r w:rsidR="00F70B6C" w:rsidRPr="00F70B6C">
        <w:t xml:space="preserve"> </w:t>
      </w:r>
      <w:r w:rsidR="00F70B6C" w:rsidRPr="00276CBA">
        <w:t>The Camacho-Chacon trial was a single surgeon trial, and therefore, the use of PTRCT technique to repair FTRCT might not reflect actual practice in the clinical setting. Thus, the</w:t>
      </w:r>
      <w:r w:rsidR="0061120E">
        <w:t xml:space="preserve"> previous</w:t>
      </w:r>
      <w:r w:rsidR="00F70B6C" w:rsidRPr="00276CBA">
        <w:t xml:space="preserve"> commentary considered the study population in the Camacho-Chacon 2023 trial was in line with FTRCT.</w:t>
      </w:r>
      <w:r w:rsidR="0061120E">
        <w:t xml:space="preserve"> </w:t>
      </w:r>
    </w:p>
    <w:p w14:paraId="7E44BECB" w14:textId="45F872F1" w:rsidR="00DA6673" w:rsidRDefault="007D47A9" w:rsidP="00FB1FE3">
      <w:r>
        <w:t>The comparator arms for the RCTs are similar and in line with</w:t>
      </w:r>
      <w:r w:rsidR="003D6D9D">
        <w:t xml:space="preserve"> the PICO -</w:t>
      </w:r>
      <w:r>
        <w:t xml:space="preserve"> </w:t>
      </w:r>
      <w:r w:rsidR="003D6D9D" w:rsidRPr="003D6D9D">
        <w:t xml:space="preserve">standard surgical repair performed without </w:t>
      </w:r>
      <w:r w:rsidR="004E2B68">
        <w:t>BCI</w:t>
      </w:r>
      <w:r w:rsidR="003D6D9D" w:rsidRPr="003D6D9D">
        <w:t>, using standard sutures and anchors via arthroscopic or ‘mini-open’ approaches.</w:t>
      </w:r>
    </w:p>
    <w:p w14:paraId="6B8A46C6" w14:textId="1B9553CA" w:rsidR="00F76F1A" w:rsidRDefault="009F0DDC" w:rsidP="00F76F1A">
      <w:bookmarkStart w:id="22" w:name="_Toc69491423"/>
      <w:bookmarkEnd w:id="21"/>
      <w:r w:rsidRPr="009F0DDC">
        <w:t xml:space="preserve">Alongside the evidence presented in the RCTs, the ADAR reported the combined incidence of adverse events exclusively for the </w:t>
      </w:r>
      <w:r w:rsidR="004E2B68">
        <w:t>BCI</w:t>
      </w:r>
      <w:r w:rsidR="00893B53">
        <w:t xml:space="preserve"> </w:t>
      </w:r>
      <w:r w:rsidR="00893B53" w:rsidRPr="009F0DDC">
        <w:t>group</w:t>
      </w:r>
      <w:r w:rsidRPr="009F0DDC">
        <w:t xml:space="preserve">. This involved integrating data from single-arm trials and RCTs, although the ADAR did not clearly detail the implementation process. Additionally, single-arm studies lacked comparative evidence for safety outcomes between the </w:t>
      </w:r>
      <w:r w:rsidR="00981666">
        <w:t>BCI</w:t>
      </w:r>
      <w:r w:rsidRPr="009F0DDC">
        <w:t xml:space="preserve"> and control groups. </w:t>
      </w:r>
      <w:r w:rsidR="00B52816">
        <w:t>The commentary noted</w:t>
      </w:r>
      <w:r w:rsidR="00535385">
        <w:t xml:space="preserve"> that</w:t>
      </w:r>
      <w:r w:rsidRPr="009F0DDC">
        <w:t xml:space="preserve"> the safety outcomes in the re</w:t>
      </w:r>
      <w:r w:rsidR="002A23E3">
        <w:t>application</w:t>
      </w:r>
      <w:r w:rsidRPr="009F0DDC">
        <w:t xml:space="preserve"> ADAR were derived from studies with a relatively short follow-up duration of less than two years</w:t>
      </w:r>
      <w:r w:rsidR="00886153">
        <w:t xml:space="preserve"> (this was </w:t>
      </w:r>
      <w:r w:rsidR="00F3224E">
        <w:t>in line</w:t>
      </w:r>
      <w:r w:rsidR="00886153">
        <w:t xml:space="preserve"> with the two previous </w:t>
      </w:r>
      <w:r w:rsidR="00F3224E">
        <w:t>assessment reports).</w:t>
      </w:r>
      <w:r w:rsidRPr="009F0DDC">
        <w:t xml:space="preserve"> </w:t>
      </w:r>
    </w:p>
    <w:p w14:paraId="1BBB39A0" w14:textId="02E39182" w:rsidR="00F76F1A" w:rsidRDefault="00F76F1A" w:rsidP="009B4AC9">
      <w:r w:rsidRPr="0036391C">
        <w:t xml:space="preserve">The ADAR </w:t>
      </w:r>
      <w:r>
        <w:t xml:space="preserve">also </w:t>
      </w:r>
      <w:r w:rsidRPr="0036391C">
        <w:t xml:space="preserve">presented data from two systematic reviews examining studies on </w:t>
      </w:r>
      <w:proofErr w:type="spellStart"/>
      <w:r w:rsidR="00611C7A">
        <w:t>bioinductive</w:t>
      </w:r>
      <w:proofErr w:type="spellEnd"/>
      <w:r w:rsidR="00611C7A">
        <w:t xml:space="preserve"> collagen </w:t>
      </w:r>
      <w:r w:rsidR="00893B53">
        <w:t xml:space="preserve">implant </w:t>
      </w:r>
      <w:r w:rsidR="00893B53" w:rsidRPr="0036391C">
        <w:t>Warren</w:t>
      </w:r>
      <w:r w:rsidRPr="0036391C">
        <w:t xml:space="preserve"> et al (2024)</w:t>
      </w:r>
      <w:r w:rsidRPr="0036391C">
        <w:rPr>
          <w:rStyle w:val="FootnoteReference"/>
        </w:rPr>
        <w:footnoteReference w:id="14"/>
      </w:r>
      <w:r w:rsidRPr="0036391C">
        <w:t xml:space="preserve"> and Hurley et al (2025)</w:t>
      </w:r>
      <w:r w:rsidRPr="0036391C">
        <w:rPr>
          <w:rStyle w:val="FootnoteReference"/>
        </w:rPr>
        <w:footnoteReference w:id="15"/>
      </w:r>
      <w:r>
        <w:t xml:space="preserve"> to support the safety profile. </w:t>
      </w:r>
      <w:r w:rsidR="00B85BCF">
        <w:t>All the FTRCT studies in</w:t>
      </w:r>
      <w:r w:rsidRPr="0036391C">
        <w:t xml:space="preserve"> </w:t>
      </w:r>
      <w:r w:rsidR="00B85BCF" w:rsidRPr="0036391C">
        <w:t>Hurley et al (2025)</w:t>
      </w:r>
      <w:r w:rsidR="00B85BCF">
        <w:t xml:space="preserve"> were </w:t>
      </w:r>
      <w:r w:rsidR="0077708B">
        <w:t xml:space="preserve">also </w:t>
      </w:r>
      <w:r w:rsidR="00B85BCF">
        <w:t xml:space="preserve">included in the </w:t>
      </w:r>
      <w:r w:rsidR="0077708B">
        <w:t xml:space="preserve">ADARs commentary and added nothing more to the data. </w:t>
      </w:r>
      <w:r w:rsidRPr="0036391C">
        <w:t>Warren et al (2024)</w:t>
      </w:r>
      <w:r>
        <w:t xml:space="preserve"> </w:t>
      </w:r>
      <w:r w:rsidR="00E571C0">
        <w:t xml:space="preserve">also included the same studies, however, the authors conducted </w:t>
      </w:r>
      <w:r w:rsidR="00800EDA">
        <w:t>meta-analyses</w:t>
      </w:r>
      <w:r w:rsidR="00E571C0">
        <w:t xml:space="preserve"> for </w:t>
      </w:r>
      <w:r w:rsidR="001A4612">
        <w:t xml:space="preserve">complications and retear rates. In </w:t>
      </w:r>
      <w:r w:rsidR="00800EDA">
        <w:t>addition,</w:t>
      </w:r>
      <w:r w:rsidR="001A4612">
        <w:t xml:space="preserve"> the authors presented a </w:t>
      </w:r>
      <w:r w:rsidR="009B4AC9">
        <w:t>naïve</w:t>
      </w:r>
      <w:r w:rsidR="001A4612">
        <w:t xml:space="preserve"> </w:t>
      </w:r>
      <w:r w:rsidR="009B4AC9">
        <w:t>comparison for Complication rate, Retear rate, Revision surgery, and Shoulder stiffness in FTRCT repair. Th</w:t>
      </w:r>
      <w:r w:rsidR="00167F47">
        <w:t xml:space="preserve">e commentary </w:t>
      </w:r>
      <w:r w:rsidR="009B4AC9">
        <w:t>considered</w:t>
      </w:r>
      <w:r w:rsidR="001A109E">
        <w:t xml:space="preserve"> this comparison</w:t>
      </w:r>
      <w:r w:rsidR="009B4AC9">
        <w:t xml:space="preserve"> to have a high risk of bias</w:t>
      </w:r>
      <w:r w:rsidR="001A109E">
        <w:t xml:space="preserve">, </w:t>
      </w:r>
      <w:r w:rsidR="009B4AC9">
        <w:t>as</w:t>
      </w:r>
      <w:r w:rsidR="001A109E">
        <w:t xml:space="preserve"> the meta-analysis for </w:t>
      </w:r>
      <w:r w:rsidR="00223A24">
        <w:t>complication and retear rate had high heterogeneity and there was no information provided as to how the studies</w:t>
      </w:r>
      <w:r w:rsidR="009B4AC9">
        <w:t xml:space="preserve"> </w:t>
      </w:r>
      <w:r w:rsidR="00FA79F2">
        <w:t xml:space="preserve">for the standard repair arm were </w:t>
      </w:r>
      <w:r w:rsidR="008B656A">
        <w:t xml:space="preserve">identified. </w:t>
      </w:r>
    </w:p>
    <w:p w14:paraId="3B9FC2AD" w14:textId="32382683" w:rsidR="00772829" w:rsidRPr="00CE28E3" w:rsidRDefault="00772829" w:rsidP="003126F5">
      <w:pPr>
        <w:pStyle w:val="Heading2"/>
        <w:numPr>
          <w:ilvl w:val="0"/>
          <w:numId w:val="16"/>
        </w:numPr>
        <w:ind w:hanging="720"/>
      </w:pPr>
      <w:r w:rsidRPr="00CE28E3">
        <w:t>Comparative safety</w:t>
      </w:r>
      <w:bookmarkEnd w:id="22"/>
    </w:p>
    <w:p w14:paraId="468D3EAE" w14:textId="77777777" w:rsidR="00A85BC6" w:rsidRPr="0062012F" w:rsidRDefault="00A85BC6" w:rsidP="0062012F">
      <w:pPr>
        <w:pStyle w:val="Heading4"/>
        <w:spacing w:before="0" w:after="120"/>
      </w:pPr>
      <w:r w:rsidRPr="0062012F">
        <w:t>Key evidence</w:t>
      </w:r>
    </w:p>
    <w:p w14:paraId="180C22BA" w14:textId="4115667E" w:rsidR="004C1A28" w:rsidRDefault="00FA34CD" w:rsidP="00745474">
      <w:r>
        <w:t xml:space="preserve">The ADAR provided extended </w:t>
      </w:r>
      <w:r w:rsidR="002106D5">
        <w:t xml:space="preserve">follow up for </w:t>
      </w:r>
      <w:r w:rsidR="00BD3F51" w:rsidRPr="00BD3F51">
        <w:t xml:space="preserve">Ruiz </w:t>
      </w:r>
      <w:proofErr w:type="spellStart"/>
      <w:r w:rsidR="0007621D">
        <w:t>Ibán</w:t>
      </w:r>
      <w:proofErr w:type="spellEnd"/>
      <w:r w:rsidR="00BD3F51" w:rsidRPr="00BD3F51">
        <w:t xml:space="preserve"> (CSR), 2025 and Camacho-Chacon</w:t>
      </w:r>
      <w:r w:rsidR="009E36D2">
        <w:t>,</w:t>
      </w:r>
      <w:r w:rsidR="00BD3F51" w:rsidRPr="00BD3F51">
        <w:t xml:space="preserve"> 202</w:t>
      </w:r>
      <w:r w:rsidR="005D3976">
        <w:t>4</w:t>
      </w:r>
      <w:r w:rsidR="00AB30D0">
        <w:t xml:space="preserve"> as the key comparative </w:t>
      </w:r>
      <w:r w:rsidR="0064277F">
        <w:t xml:space="preserve">safety </w:t>
      </w:r>
      <w:r w:rsidR="00F666E8">
        <w:t>data</w:t>
      </w:r>
      <w:r w:rsidR="0064277F">
        <w:t xml:space="preserve"> </w:t>
      </w:r>
      <w:r w:rsidR="00AB30D0">
        <w:t>for</w:t>
      </w:r>
      <w:r w:rsidR="00D510E8" w:rsidRPr="00D510E8">
        <w:t xml:space="preserve"> </w:t>
      </w:r>
      <w:r w:rsidR="00456AE2">
        <w:t>BCI</w:t>
      </w:r>
      <w:r w:rsidR="0064277F">
        <w:t xml:space="preserve"> in FTRCT</w:t>
      </w:r>
      <w:r w:rsidR="00B978F3">
        <w:t xml:space="preserve"> compared to standard surgical care</w:t>
      </w:r>
      <w:r w:rsidR="0064277F">
        <w:t>.  I</w:t>
      </w:r>
      <w:r w:rsidR="002106D5">
        <w:t xml:space="preserve">n the </w:t>
      </w:r>
      <w:r w:rsidR="00940A97" w:rsidRPr="00BD6D20">
        <w:t>update</w:t>
      </w:r>
      <w:r w:rsidR="0064277F">
        <w:t>d</w:t>
      </w:r>
      <w:r w:rsidR="002106D5">
        <w:t xml:space="preserve"> evidence</w:t>
      </w:r>
      <w:r w:rsidR="00456AE2">
        <w:t>,</w:t>
      </w:r>
      <w:r w:rsidR="002106D5">
        <w:t xml:space="preserve"> n</w:t>
      </w:r>
      <w:r w:rsidR="0017291E">
        <w:t>o patients presented any further complication in the second year of follow-up.</w:t>
      </w:r>
      <w:r w:rsidR="009C0D46">
        <w:t xml:space="preserve"> </w:t>
      </w:r>
    </w:p>
    <w:p w14:paraId="3A26CD36" w14:textId="5FAE6EC7" w:rsidR="007E38DB" w:rsidRDefault="007E38DB" w:rsidP="00745474">
      <w:r>
        <w:t xml:space="preserve">The main safety outcomes presented were adhesive capsulitis, symptomatic re-tear/failure to heal, infection (deep/superficial), death, superficial skin issues (burn), mass (defined as an 8x2x4mm mass on one-year MRI) and extrusion of anchor. </w:t>
      </w:r>
    </w:p>
    <w:p w14:paraId="4EF3B4CE" w14:textId="40E2F657" w:rsidR="007E38DB" w:rsidRDefault="007E38DB" w:rsidP="00745474">
      <w:r>
        <w:lastRenderedPageBreak/>
        <w:t xml:space="preserve">The results from Ruiz </w:t>
      </w:r>
      <w:proofErr w:type="spellStart"/>
      <w:r w:rsidR="009C5152">
        <w:t>Ibán</w:t>
      </w:r>
      <w:proofErr w:type="spellEnd"/>
      <w:r w:rsidR="009C5152" w:rsidDel="009C5152">
        <w:t xml:space="preserve"> </w:t>
      </w:r>
      <w:r>
        <w:t xml:space="preserve">et al., </w:t>
      </w:r>
      <w:r w:rsidR="00790C4E">
        <w:t xml:space="preserve">2025 </w:t>
      </w:r>
      <w:r>
        <w:t xml:space="preserve">indicated that there was no difference in incidence of safety outcomes in the intervention and control groups. The ADAR claimed that </w:t>
      </w:r>
      <w:r w:rsidR="001C0C06">
        <w:t>BCI</w:t>
      </w:r>
      <w:r w:rsidR="00893B53">
        <w:t xml:space="preserve"> was</w:t>
      </w:r>
      <w:r>
        <w:t xml:space="preserve"> deemed to be no less safe than standard of care rotator cuff repair based on the Ruiz </w:t>
      </w:r>
      <w:proofErr w:type="spellStart"/>
      <w:r w:rsidR="009C5152">
        <w:t>Ibán</w:t>
      </w:r>
      <w:proofErr w:type="spellEnd"/>
      <w:r>
        <w:t xml:space="preserve"> et al., </w:t>
      </w:r>
      <w:r w:rsidR="00790C4E">
        <w:t xml:space="preserve">2025 </w:t>
      </w:r>
      <w:r>
        <w:t xml:space="preserve">trial. </w:t>
      </w:r>
      <w:r w:rsidR="00EF0125">
        <w:t xml:space="preserve">Overall, the commentary noted that the approach to </w:t>
      </w:r>
      <w:r w:rsidR="00EF0125" w:rsidRPr="00EF0125">
        <w:t>comparative safety seems reasonable</w:t>
      </w:r>
      <w:r w:rsidR="00214CB8">
        <w:t>;</w:t>
      </w:r>
      <w:r w:rsidR="00EF0125" w:rsidRPr="00EF0125">
        <w:t xml:space="preserve"> however, no attempt was made to conduct statistical analysis in the ADAR</w:t>
      </w:r>
      <w:r w:rsidR="00214CB8">
        <w:t xml:space="preserve"> </w:t>
      </w:r>
      <w:r w:rsidR="000B2CDE">
        <w:t xml:space="preserve">(comparative analyses was conducted during </w:t>
      </w:r>
      <w:r w:rsidR="00A85BC6">
        <w:t xml:space="preserve">commentary </w:t>
      </w:r>
      <w:r w:rsidR="000B2CDE">
        <w:t xml:space="preserve">evaluation) </w:t>
      </w:r>
      <w:r w:rsidR="00214CB8">
        <w:t xml:space="preserve">and incidence rates were low, making it difficult to draw </w:t>
      </w:r>
      <w:r w:rsidR="00745474">
        <w:t>comparative conclusions.</w:t>
      </w:r>
    </w:p>
    <w:p w14:paraId="3A631C5E" w14:textId="1A146436" w:rsidR="007D4AB7" w:rsidRPr="007D4AB7" w:rsidRDefault="005432D1" w:rsidP="005432D1">
      <w:pPr>
        <w:pStyle w:val="Caption"/>
      </w:pPr>
      <w:r>
        <w:t xml:space="preserve">Table </w:t>
      </w:r>
      <w:r>
        <w:fldChar w:fldCharType="begin"/>
      </w:r>
      <w:r>
        <w:instrText xml:space="preserve"> SEQ Table \* ARABIC </w:instrText>
      </w:r>
      <w:r>
        <w:fldChar w:fldCharType="separate"/>
      </w:r>
      <w:r w:rsidR="00564C3F">
        <w:rPr>
          <w:noProof/>
        </w:rPr>
        <w:t>3</w:t>
      </w:r>
      <w:r>
        <w:fldChar w:fldCharType="end"/>
      </w:r>
      <w:r>
        <w:tab/>
      </w:r>
      <w:r w:rsidR="003C1F51" w:rsidRPr="00CB4580">
        <w:t xml:space="preserve">Comparative </w:t>
      </w:r>
      <w:r w:rsidR="005C362A">
        <w:t>s</w:t>
      </w:r>
      <w:r w:rsidR="003C1F51" w:rsidRPr="00CB4580">
        <w:t>afety</w:t>
      </w:r>
      <w:r w:rsidR="003C1F51">
        <w:t xml:space="preserve"> of</w:t>
      </w:r>
      <w:r w:rsidR="003C1F51" w:rsidRPr="00CB4580">
        <w:t xml:space="preserve"> </w:t>
      </w:r>
      <w:r w:rsidR="005C362A">
        <w:t>BCI</w:t>
      </w:r>
      <w:r w:rsidR="003C1F51" w:rsidRPr="00CB4580">
        <w:t xml:space="preserve"> vs Standard of Care</w:t>
      </w:r>
      <w:r w:rsidR="00840C1B">
        <w:t>.</w:t>
      </w:r>
    </w:p>
    <w:tbl>
      <w:tblPr>
        <w:tblStyle w:val="TableGrid"/>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1545"/>
        <w:gridCol w:w="1574"/>
        <w:gridCol w:w="1640"/>
        <w:gridCol w:w="1285"/>
      </w:tblGrid>
      <w:tr w:rsidR="00215CBC" w:rsidRPr="0062012F" w14:paraId="09BF085F" w14:textId="71C6007C" w:rsidTr="00FA150F">
        <w:trPr>
          <w:trHeight w:val="47"/>
        </w:trPr>
        <w:tc>
          <w:tcPr>
            <w:tcW w:w="1413" w:type="dxa"/>
            <w:shd w:val="clear" w:color="auto" w:fill="DBDBDB" w:themeFill="accent3" w:themeFillTint="66"/>
          </w:tcPr>
          <w:p w14:paraId="7754BD2A" w14:textId="77777777" w:rsidR="00634F79" w:rsidRPr="0062012F" w:rsidRDefault="00634F79" w:rsidP="00284521">
            <w:pPr>
              <w:pStyle w:val="Tabletext0"/>
              <w:rPr>
                <w:b/>
                <w:bCs/>
              </w:rPr>
            </w:pPr>
            <w:r w:rsidRPr="0062012F">
              <w:rPr>
                <w:b/>
                <w:bCs/>
              </w:rPr>
              <w:t>Complication</w:t>
            </w:r>
          </w:p>
        </w:tc>
        <w:tc>
          <w:tcPr>
            <w:tcW w:w="1559" w:type="dxa"/>
            <w:shd w:val="clear" w:color="auto" w:fill="DBDBDB" w:themeFill="accent3" w:themeFillTint="66"/>
            <w:vAlign w:val="center"/>
          </w:tcPr>
          <w:p w14:paraId="08E9F91C" w14:textId="42F71065" w:rsidR="00634F79" w:rsidRPr="0062012F" w:rsidRDefault="00215CBC" w:rsidP="00722CB4">
            <w:pPr>
              <w:pStyle w:val="Tabletext0"/>
              <w:jc w:val="center"/>
              <w:rPr>
                <w:b/>
                <w:bCs/>
              </w:rPr>
            </w:pPr>
            <w:r w:rsidRPr="0062012F">
              <w:rPr>
                <w:b/>
                <w:bCs/>
              </w:rPr>
              <w:t>I</w:t>
            </w:r>
            <w:r w:rsidR="00634F79" w:rsidRPr="0062012F">
              <w:rPr>
                <w:b/>
                <w:bCs/>
              </w:rPr>
              <w:t>ntervention Groups</w:t>
            </w:r>
            <w:r w:rsidR="00722CB4" w:rsidRPr="0062012F">
              <w:rPr>
                <w:b/>
                <w:bCs/>
              </w:rPr>
              <w:t>;</w:t>
            </w:r>
            <w:r w:rsidRPr="0062012F">
              <w:rPr>
                <w:b/>
                <w:bCs/>
              </w:rPr>
              <w:t xml:space="preserve"> % (n/N)</w:t>
            </w:r>
          </w:p>
        </w:tc>
        <w:tc>
          <w:tcPr>
            <w:tcW w:w="1545" w:type="dxa"/>
            <w:shd w:val="clear" w:color="auto" w:fill="DBDBDB" w:themeFill="accent3" w:themeFillTint="66"/>
            <w:vAlign w:val="center"/>
          </w:tcPr>
          <w:p w14:paraId="46602B1A" w14:textId="72625152" w:rsidR="00722CB4" w:rsidRPr="0062012F" w:rsidRDefault="00634F79" w:rsidP="00722CB4">
            <w:pPr>
              <w:pStyle w:val="Tabletext0"/>
              <w:jc w:val="center"/>
              <w:rPr>
                <w:b/>
                <w:bCs/>
              </w:rPr>
            </w:pPr>
            <w:r w:rsidRPr="0062012F">
              <w:rPr>
                <w:b/>
                <w:bCs/>
              </w:rPr>
              <w:t>Control</w:t>
            </w:r>
          </w:p>
          <w:p w14:paraId="13065C99" w14:textId="3E4A6060" w:rsidR="00634F79" w:rsidRPr="0062012F" w:rsidRDefault="00634F79" w:rsidP="00722CB4">
            <w:pPr>
              <w:pStyle w:val="Tabletext0"/>
              <w:jc w:val="center"/>
              <w:rPr>
                <w:b/>
                <w:bCs/>
              </w:rPr>
            </w:pPr>
            <w:r w:rsidRPr="0062012F">
              <w:rPr>
                <w:b/>
                <w:bCs/>
              </w:rPr>
              <w:t>Groups</w:t>
            </w:r>
            <w:r w:rsidR="00215CBC" w:rsidRPr="0062012F">
              <w:rPr>
                <w:b/>
                <w:bCs/>
              </w:rPr>
              <w:t>; % (n/N)</w:t>
            </w:r>
          </w:p>
        </w:tc>
        <w:tc>
          <w:tcPr>
            <w:tcW w:w="1574" w:type="dxa"/>
            <w:shd w:val="clear" w:color="auto" w:fill="DBDBDB" w:themeFill="accent3" w:themeFillTint="66"/>
            <w:vAlign w:val="center"/>
          </w:tcPr>
          <w:p w14:paraId="761B209C" w14:textId="2077DD2F" w:rsidR="00634F79" w:rsidRPr="0062012F" w:rsidRDefault="00634F79" w:rsidP="00722CB4">
            <w:pPr>
              <w:pStyle w:val="Tabletext0"/>
              <w:jc w:val="center"/>
              <w:rPr>
                <w:b/>
                <w:bCs/>
              </w:rPr>
            </w:pPr>
            <w:r w:rsidRPr="0062012F">
              <w:rPr>
                <w:b/>
                <w:bCs/>
              </w:rPr>
              <w:t>RR (95 CI%)</w:t>
            </w:r>
          </w:p>
        </w:tc>
        <w:tc>
          <w:tcPr>
            <w:tcW w:w="1640" w:type="dxa"/>
            <w:shd w:val="clear" w:color="auto" w:fill="DBDBDB" w:themeFill="accent3" w:themeFillTint="66"/>
            <w:vAlign w:val="center"/>
          </w:tcPr>
          <w:p w14:paraId="6A6F02DE" w14:textId="45E1F0AB" w:rsidR="00634F79" w:rsidRPr="0062012F" w:rsidRDefault="00634F79" w:rsidP="00722CB4">
            <w:pPr>
              <w:pStyle w:val="Tabletext0"/>
              <w:jc w:val="center"/>
              <w:rPr>
                <w:b/>
                <w:bCs/>
              </w:rPr>
            </w:pPr>
            <w:r w:rsidRPr="0062012F">
              <w:rPr>
                <w:b/>
                <w:bCs/>
              </w:rPr>
              <w:t>Study</w:t>
            </w:r>
          </w:p>
        </w:tc>
        <w:tc>
          <w:tcPr>
            <w:tcW w:w="1285" w:type="dxa"/>
            <w:shd w:val="clear" w:color="auto" w:fill="DBDBDB" w:themeFill="accent3" w:themeFillTint="66"/>
            <w:vAlign w:val="center"/>
          </w:tcPr>
          <w:p w14:paraId="540D7D33" w14:textId="76CEEB02" w:rsidR="00634F79" w:rsidRPr="0062012F" w:rsidRDefault="00634F79" w:rsidP="00722CB4">
            <w:pPr>
              <w:pStyle w:val="Tabletext0"/>
              <w:jc w:val="center"/>
              <w:rPr>
                <w:b/>
                <w:bCs/>
              </w:rPr>
            </w:pPr>
            <w:proofErr w:type="spellStart"/>
            <w:r w:rsidRPr="0062012F">
              <w:rPr>
                <w:b/>
                <w:bCs/>
              </w:rPr>
              <w:t>Quality</w:t>
            </w:r>
            <w:r w:rsidR="005C1425" w:rsidRPr="0062012F">
              <w:rPr>
                <w:b/>
                <w:bCs/>
                <w:vertAlign w:val="superscript"/>
              </w:rPr>
              <w:t>a</w:t>
            </w:r>
            <w:proofErr w:type="spellEnd"/>
          </w:p>
        </w:tc>
      </w:tr>
      <w:tr w:rsidR="00634F79" w:rsidRPr="0062012F" w14:paraId="4049EEB1" w14:textId="4E7647EC" w:rsidTr="00FA150F">
        <w:trPr>
          <w:trHeight w:val="152"/>
        </w:trPr>
        <w:tc>
          <w:tcPr>
            <w:tcW w:w="1413" w:type="dxa"/>
            <w:shd w:val="clear" w:color="auto" w:fill="FFFFFF" w:themeFill="background1"/>
          </w:tcPr>
          <w:p w14:paraId="00B0D632" w14:textId="77777777" w:rsidR="00634F79" w:rsidRPr="0062012F" w:rsidRDefault="00634F79" w:rsidP="00634F79">
            <w:pPr>
              <w:pStyle w:val="NoSpacing"/>
              <w:rPr>
                <w:rFonts w:ascii="Arial Narrow" w:hAnsi="Arial Narrow" w:cstheme="minorHAnsi"/>
                <w:b/>
                <w:bCs/>
                <w:sz w:val="20"/>
                <w:szCs w:val="20"/>
              </w:rPr>
            </w:pPr>
            <w:r w:rsidRPr="0062012F">
              <w:rPr>
                <w:rFonts w:ascii="Arial Narrow" w:hAnsi="Arial Narrow" w:cstheme="minorHAnsi"/>
                <w:b/>
                <w:bCs/>
                <w:sz w:val="20"/>
                <w:szCs w:val="20"/>
              </w:rPr>
              <w:t>Adhesive capsulitis</w:t>
            </w:r>
          </w:p>
        </w:tc>
        <w:tc>
          <w:tcPr>
            <w:tcW w:w="1559" w:type="dxa"/>
            <w:vAlign w:val="center"/>
          </w:tcPr>
          <w:p w14:paraId="1B15D9B0" w14:textId="77777777" w:rsidR="00634F79" w:rsidRPr="0062012F" w:rsidRDefault="00634F79"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3.3% (1/30)</w:t>
            </w:r>
          </w:p>
        </w:tc>
        <w:tc>
          <w:tcPr>
            <w:tcW w:w="1545" w:type="dxa"/>
            <w:vAlign w:val="center"/>
          </w:tcPr>
          <w:p w14:paraId="304CFE25" w14:textId="77777777" w:rsidR="00634F79" w:rsidRPr="0062012F" w:rsidRDefault="00634F79"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6.7% (2/30)</w:t>
            </w:r>
          </w:p>
        </w:tc>
        <w:tc>
          <w:tcPr>
            <w:tcW w:w="1574" w:type="dxa"/>
            <w:vAlign w:val="center"/>
          </w:tcPr>
          <w:p w14:paraId="70607A8A" w14:textId="74BB8248" w:rsidR="00634F79" w:rsidRPr="0062012F" w:rsidRDefault="00634F79" w:rsidP="00722CB4">
            <w:pPr>
              <w:pStyle w:val="Tablenotes0"/>
              <w:jc w:val="center"/>
              <w:rPr>
                <w:rFonts w:cstheme="minorHAnsi"/>
                <w:sz w:val="20"/>
                <w:szCs w:val="20"/>
              </w:rPr>
            </w:pPr>
            <w:r w:rsidRPr="0062012F">
              <w:rPr>
                <w:sz w:val="20"/>
                <w:szCs w:val="20"/>
              </w:rPr>
              <w:t>0.50 (0.02,5.22)</w:t>
            </w:r>
          </w:p>
        </w:tc>
        <w:tc>
          <w:tcPr>
            <w:tcW w:w="1640" w:type="dxa"/>
            <w:vAlign w:val="center"/>
          </w:tcPr>
          <w:p w14:paraId="5E90D7A5" w14:textId="751BE814" w:rsidR="00634F79" w:rsidRPr="0062012F" w:rsidRDefault="00130069" w:rsidP="00722CB4">
            <w:pPr>
              <w:pStyle w:val="NoSpacing"/>
              <w:rPr>
                <w:rFonts w:ascii="Arial Narrow" w:hAnsi="Arial Narrow" w:cstheme="minorHAnsi"/>
                <w:sz w:val="20"/>
                <w:szCs w:val="20"/>
              </w:rPr>
            </w:pPr>
            <w:r w:rsidRPr="0062012F">
              <w:rPr>
                <w:rFonts w:ascii="Arial Narrow" w:hAnsi="Arial Narrow" w:cstheme="minorHAnsi"/>
                <w:sz w:val="20"/>
                <w:szCs w:val="20"/>
              </w:rPr>
              <w:t>Camacho-Chacon,</w:t>
            </w:r>
            <w:r w:rsidR="006604C1">
              <w:rPr>
                <w:rFonts w:ascii="Arial Narrow" w:hAnsi="Arial Narrow" w:cstheme="minorHAnsi"/>
                <w:sz w:val="20"/>
                <w:szCs w:val="20"/>
              </w:rPr>
              <w:t xml:space="preserve"> </w:t>
            </w:r>
            <w:r w:rsidRPr="0062012F">
              <w:rPr>
                <w:rFonts w:ascii="Arial Narrow" w:hAnsi="Arial Narrow" w:cstheme="minorHAnsi"/>
                <w:sz w:val="20"/>
                <w:szCs w:val="20"/>
              </w:rPr>
              <w:t>2023</w:t>
            </w:r>
          </w:p>
        </w:tc>
        <w:tc>
          <w:tcPr>
            <w:tcW w:w="1285" w:type="dxa"/>
            <w:vAlign w:val="center"/>
          </w:tcPr>
          <w:p w14:paraId="2AB219BA" w14:textId="119E6E87" w:rsidR="00634F79" w:rsidRPr="0062012F" w:rsidRDefault="00634F79" w:rsidP="00722CB4">
            <w:pPr>
              <w:pStyle w:val="NoSpacing"/>
              <w:jc w:val="center"/>
              <w:rPr>
                <w:rFonts w:ascii="Arial Narrow" w:hAnsi="Arial Narrow" w:cstheme="minorHAnsi"/>
                <w:sz w:val="20"/>
                <w:szCs w:val="20"/>
              </w:rPr>
            </w:pPr>
            <w:r w:rsidRPr="0062012F">
              <w:rPr>
                <w:rFonts w:ascii="Cambria Math" w:hAnsi="Cambria Math" w:cs="Cambria Math"/>
                <w:color w:val="388600"/>
                <w:sz w:val="20"/>
                <w:szCs w:val="20"/>
              </w:rPr>
              <w:t>⨁⨁⨁</w:t>
            </w:r>
            <w:r w:rsidRPr="0062012F">
              <w:rPr>
                <w:rFonts w:ascii="Cambria Math" w:hAnsi="Cambria Math" w:cs="Cambria Math"/>
                <w:color w:val="C00000"/>
                <w:sz w:val="20"/>
                <w:szCs w:val="20"/>
              </w:rPr>
              <w:t>⨀</w:t>
            </w:r>
            <w:r w:rsidRPr="0062012F">
              <w:rPr>
                <w:rFonts w:ascii="Arial Narrow" w:hAnsi="Arial Narrow"/>
                <w:sz w:val="20"/>
                <w:szCs w:val="20"/>
              </w:rPr>
              <w:t xml:space="preserve"> MODERATE</w:t>
            </w:r>
          </w:p>
        </w:tc>
      </w:tr>
      <w:tr w:rsidR="00D5133B" w:rsidRPr="0062012F" w14:paraId="20E3B79E" w14:textId="3BEFEF20" w:rsidTr="00FA150F">
        <w:trPr>
          <w:trHeight w:val="20"/>
        </w:trPr>
        <w:tc>
          <w:tcPr>
            <w:tcW w:w="1413" w:type="dxa"/>
            <w:shd w:val="clear" w:color="auto" w:fill="FFFFFF" w:themeFill="background1"/>
          </w:tcPr>
          <w:p w14:paraId="6F56C368" w14:textId="77777777" w:rsidR="00D5133B" w:rsidRPr="0062012F" w:rsidRDefault="00D5133B" w:rsidP="00D5133B">
            <w:pPr>
              <w:pStyle w:val="NoSpacing"/>
              <w:rPr>
                <w:rFonts w:ascii="Arial Narrow" w:hAnsi="Arial Narrow" w:cstheme="minorHAnsi"/>
                <w:b/>
                <w:bCs/>
                <w:sz w:val="20"/>
                <w:szCs w:val="20"/>
              </w:rPr>
            </w:pPr>
            <w:r w:rsidRPr="0062012F">
              <w:rPr>
                <w:rFonts w:ascii="Arial Narrow" w:hAnsi="Arial Narrow" w:cstheme="minorHAnsi"/>
                <w:b/>
                <w:bCs/>
                <w:sz w:val="20"/>
                <w:szCs w:val="20"/>
              </w:rPr>
              <w:t>Symptomatic retear/failure to heal</w:t>
            </w:r>
          </w:p>
        </w:tc>
        <w:tc>
          <w:tcPr>
            <w:tcW w:w="1559" w:type="dxa"/>
            <w:vAlign w:val="center"/>
          </w:tcPr>
          <w:p w14:paraId="6E935514" w14:textId="2DE512A2" w:rsidR="00D5133B" w:rsidRPr="0062012F" w:rsidRDefault="00D5133B"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0% (0/</w:t>
            </w:r>
            <w:proofErr w:type="gramStart"/>
            <w:r w:rsidRPr="0062012F">
              <w:rPr>
                <w:rFonts w:ascii="Arial Narrow" w:hAnsi="Arial Narrow" w:cstheme="minorHAnsi"/>
                <w:sz w:val="20"/>
                <w:szCs w:val="20"/>
              </w:rPr>
              <w:t>61)</w:t>
            </w:r>
            <w:r w:rsidR="004F5A3A" w:rsidRPr="0062012F">
              <w:rPr>
                <w:rFonts w:ascii="Arial Narrow" w:hAnsi="Arial Narrow" w:cstheme="minorHAnsi"/>
                <w:sz w:val="20"/>
                <w:szCs w:val="20"/>
              </w:rPr>
              <w:t>*</w:t>
            </w:r>
            <w:proofErr w:type="gramEnd"/>
          </w:p>
        </w:tc>
        <w:tc>
          <w:tcPr>
            <w:tcW w:w="1545" w:type="dxa"/>
            <w:vAlign w:val="center"/>
          </w:tcPr>
          <w:p w14:paraId="2533DA7A" w14:textId="77777777" w:rsidR="00D5133B" w:rsidRPr="0062012F" w:rsidRDefault="00D5133B"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3.2% (2/63)</w:t>
            </w:r>
          </w:p>
        </w:tc>
        <w:tc>
          <w:tcPr>
            <w:tcW w:w="1574" w:type="dxa"/>
            <w:vAlign w:val="center"/>
          </w:tcPr>
          <w:p w14:paraId="33D22BB6" w14:textId="404B4B33" w:rsidR="00D5133B" w:rsidRPr="0062012F" w:rsidRDefault="00D5133B" w:rsidP="00722CB4">
            <w:pPr>
              <w:pStyle w:val="Tablenotes0"/>
              <w:jc w:val="center"/>
              <w:rPr>
                <w:rFonts w:cstheme="minorHAnsi"/>
                <w:sz w:val="20"/>
                <w:szCs w:val="20"/>
                <w:lang w:val="es-CO"/>
              </w:rPr>
            </w:pPr>
            <w:r w:rsidRPr="0062012F">
              <w:rPr>
                <w:rFonts w:cstheme="minorHAnsi"/>
                <w:sz w:val="20"/>
                <w:szCs w:val="20"/>
              </w:rPr>
              <w:t>0.21 (0.01, 4.28)</w:t>
            </w:r>
          </w:p>
        </w:tc>
        <w:tc>
          <w:tcPr>
            <w:tcW w:w="1640" w:type="dxa"/>
            <w:vAlign w:val="center"/>
          </w:tcPr>
          <w:p w14:paraId="4E5E959E" w14:textId="594CAFF2" w:rsidR="00D5133B" w:rsidRPr="0062012F" w:rsidRDefault="00D5133B" w:rsidP="00722CB4">
            <w:pPr>
              <w:pStyle w:val="NoSpacing"/>
              <w:rPr>
                <w:rFonts w:ascii="Arial Narrow" w:hAnsi="Arial Narrow" w:cstheme="minorHAnsi"/>
                <w:sz w:val="20"/>
                <w:szCs w:val="20"/>
              </w:rPr>
            </w:pPr>
            <w:r w:rsidRPr="0062012F">
              <w:rPr>
                <w:rFonts w:ascii="Arial Narrow" w:hAnsi="Arial Narrow" w:cstheme="minorHAnsi"/>
                <w:sz w:val="20"/>
                <w:szCs w:val="20"/>
              </w:rPr>
              <w:t xml:space="preserve">Ruiz </w:t>
            </w:r>
            <w:proofErr w:type="spellStart"/>
            <w:r w:rsidR="0091327B" w:rsidRPr="00A23DAD">
              <w:rPr>
                <w:rFonts w:ascii="Arial Narrow" w:hAnsi="Arial Narrow"/>
                <w:sz w:val="20"/>
                <w:szCs w:val="20"/>
              </w:rPr>
              <w:t>Ibán</w:t>
            </w:r>
            <w:proofErr w:type="spellEnd"/>
            <w:r w:rsidRPr="0062012F">
              <w:rPr>
                <w:rFonts w:ascii="Arial Narrow" w:hAnsi="Arial Narrow" w:cstheme="minorHAnsi"/>
                <w:sz w:val="20"/>
                <w:szCs w:val="20"/>
              </w:rPr>
              <w:t xml:space="preserve"> (CSR), 2023</w:t>
            </w:r>
          </w:p>
        </w:tc>
        <w:tc>
          <w:tcPr>
            <w:tcW w:w="1285" w:type="dxa"/>
            <w:vAlign w:val="center"/>
          </w:tcPr>
          <w:p w14:paraId="7EB582BA" w14:textId="0602EC9D" w:rsidR="00D5133B" w:rsidRPr="0062012F" w:rsidRDefault="00D5133B" w:rsidP="00722CB4">
            <w:pPr>
              <w:pStyle w:val="NoSpacing"/>
              <w:jc w:val="center"/>
              <w:rPr>
                <w:rFonts w:ascii="Arial Narrow" w:hAnsi="Arial Narrow" w:cstheme="minorHAnsi"/>
                <w:sz w:val="20"/>
                <w:szCs w:val="20"/>
              </w:rPr>
            </w:pPr>
            <w:r w:rsidRPr="0062012F">
              <w:rPr>
                <w:rFonts w:ascii="Cambria Math" w:hAnsi="Cambria Math" w:cs="Cambria Math"/>
                <w:color w:val="388600"/>
                <w:sz w:val="20"/>
                <w:szCs w:val="20"/>
              </w:rPr>
              <w:t>⨁⨁⨁</w:t>
            </w:r>
            <w:r w:rsidRPr="0062012F">
              <w:rPr>
                <w:rFonts w:ascii="Cambria Math" w:hAnsi="Cambria Math" w:cs="Cambria Math"/>
                <w:color w:val="C00000"/>
                <w:sz w:val="20"/>
                <w:szCs w:val="20"/>
              </w:rPr>
              <w:t>⨀</w:t>
            </w:r>
            <w:r w:rsidRPr="0062012F">
              <w:rPr>
                <w:rFonts w:ascii="Arial Narrow" w:hAnsi="Arial Narrow"/>
                <w:sz w:val="20"/>
                <w:szCs w:val="20"/>
              </w:rPr>
              <w:t xml:space="preserve"> MODERATE</w:t>
            </w:r>
          </w:p>
        </w:tc>
      </w:tr>
      <w:tr w:rsidR="00D5133B" w:rsidRPr="0062012F" w14:paraId="408F2F09" w14:textId="37C45993" w:rsidTr="00FA150F">
        <w:trPr>
          <w:trHeight w:val="20"/>
        </w:trPr>
        <w:tc>
          <w:tcPr>
            <w:tcW w:w="1413" w:type="dxa"/>
            <w:shd w:val="clear" w:color="auto" w:fill="FFFFFF" w:themeFill="background1"/>
          </w:tcPr>
          <w:p w14:paraId="5B07DB59" w14:textId="77777777" w:rsidR="00D5133B" w:rsidRPr="0062012F" w:rsidRDefault="00D5133B" w:rsidP="00D5133B">
            <w:pPr>
              <w:pStyle w:val="NoSpacing"/>
              <w:rPr>
                <w:rFonts w:ascii="Arial Narrow" w:hAnsi="Arial Narrow" w:cstheme="minorHAnsi"/>
                <w:b/>
                <w:bCs/>
                <w:sz w:val="20"/>
                <w:szCs w:val="20"/>
              </w:rPr>
            </w:pPr>
            <w:r w:rsidRPr="0062012F">
              <w:rPr>
                <w:rFonts w:ascii="Arial Narrow" w:hAnsi="Arial Narrow" w:cstheme="minorHAnsi"/>
                <w:b/>
                <w:bCs/>
                <w:sz w:val="20"/>
                <w:szCs w:val="20"/>
              </w:rPr>
              <w:t>Deep Infection</w:t>
            </w:r>
          </w:p>
        </w:tc>
        <w:tc>
          <w:tcPr>
            <w:tcW w:w="1559" w:type="dxa"/>
            <w:vAlign w:val="center"/>
          </w:tcPr>
          <w:p w14:paraId="5776D2F3" w14:textId="77777777" w:rsidR="00D5133B" w:rsidRPr="0062012F" w:rsidRDefault="00D5133B"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1.6% (1/61)</w:t>
            </w:r>
          </w:p>
        </w:tc>
        <w:tc>
          <w:tcPr>
            <w:tcW w:w="1545" w:type="dxa"/>
            <w:vAlign w:val="center"/>
          </w:tcPr>
          <w:p w14:paraId="0487AA85" w14:textId="77777777" w:rsidR="00D5133B" w:rsidRPr="0062012F" w:rsidRDefault="00D5133B"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1.6% (1/63)</w:t>
            </w:r>
          </w:p>
        </w:tc>
        <w:tc>
          <w:tcPr>
            <w:tcW w:w="1574" w:type="dxa"/>
            <w:vAlign w:val="center"/>
          </w:tcPr>
          <w:p w14:paraId="58D00CFD" w14:textId="2A6D347F" w:rsidR="00D5133B" w:rsidRPr="0062012F" w:rsidRDefault="00D5133B" w:rsidP="00722CB4">
            <w:pPr>
              <w:pStyle w:val="Tablenotes0"/>
              <w:jc w:val="center"/>
              <w:rPr>
                <w:rFonts w:cstheme="minorHAnsi"/>
                <w:sz w:val="20"/>
                <w:szCs w:val="20"/>
                <w:lang w:val="es-CO"/>
              </w:rPr>
            </w:pPr>
            <w:r w:rsidRPr="0062012F">
              <w:rPr>
                <w:rFonts w:cs="Calibri"/>
                <w:sz w:val="20"/>
                <w:szCs w:val="20"/>
              </w:rPr>
              <w:t>1.03 (0.07, 16.1)</w:t>
            </w:r>
          </w:p>
        </w:tc>
        <w:tc>
          <w:tcPr>
            <w:tcW w:w="1640" w:type="dxa"/>
            <w:vAlign w:val="center"/>
          </w:tcPr>
          <w:p w14:paraId="6D41E57D" w14:textId="64536BB5" w:rsidR="00D5133B" w:rsidRPr="0062012F" w:rsidRDefault="00D5133B" w:rsidP="00722CB4">
            <w:pPr>
              <w:pStyle w:val="NoSpacing"/>
              <w:rPr>
                <w:rFonts w:ascii="Arial Narrow" w:hAnsi="Arial Narrow" w:cstheme="minorHAnsi"/>
                <w:sz w:val="20"/>
                <w:szCs w:val="20"/>
              </w:rPr>
            </w:pPr>
            <w:r w:rsidRPr="0062012F">
              <w:rPr>
                <w:rFonts w:ascii="Arial Narrow" w:hAnsi="Arial Narrow" w:cstheme="minorHAnsi"/>
                <w:sz w:val="20"/>
                <w:szCs w:val="20"/>
              </w:rPr>
              <w:t xml:space="preserve">Ruiz </w:t>
            </w:r>
            <w:proofErr w:type="spellStart"/>
            <w:r w:rsidR="0091327B" w:rsidRPr="00BB05DE">
              <w:rPr>
                <w:rFonts w:ascii="Arial Narrow" w:hAnsi="Arial Narrow"/>
                <w:sz w:val="20"/>
                <w:szCs w:val="20"/>
              </w:rPr>
              <w:t>Ibán</w:t>
            </w:r>
            <w:proofErr w:type="spellEnd"/>
            <w:r w:rsidRPr="0062012F">
              <w:rPr>
                <w:rFonts w:ascii="Arial Narrow" w:hAnsi="Arial Narrow" w:cstheme="minorHAnsi"/>
                <w:sz w:val="20"/>
                <w:szCs w:val="20"/>
              </w:rPr>
              <w:t xml:space="preserve"> (CSR), 2023</w:t>
            </w:r>
          </w:p>
        </w:tc>
        <w:tc>
          <w:tcPr>
            <w:tcW w:w="1285" w:type="dxa"/>
            <w:vAlign w:val="center"/>
          </w:tcPr>
          <w:p w14:paraId="02AD344C" w14:textId="393C0606" w:rsidR="00D5133B" w:rsidRPr="0062012F" w:rsidRDefault="00D5133B" w:rsidP="00722CB4">
            <w:pPr>
              <w:pStyle w:val="NoSpacing"/>
              <w:jc w:val="center"/>
              <w:rPr>
                <w:rFonts w:ascii="Arial Narrow" w:hAnsi="Arial Narrow" w:cstheme="minorHAnsi"/>
                <w:sz w:val="20"/>
                <w:szCs w:val="20"/>
              </w:rPr>
            </w:pPr>
            <w:r w:rsidRPr="0062012F">
              <w:rPr>
                <w:rFonts w:ascii="Cambria Math" w:hAnsi="Cambria Math" w:cs="Cambria Math"/>
                <w:color w:val="388600"/>
                <w:sz w:val="20"/>
                <w:szCs w:val="20"/>
              </w:rPr>
              <w:t>⨁⨁⨁</w:t>
            </w:r>
            <w:r w:rsidRPr="0062012F">
              <w:rPr>
                <w:rFonts w:ascii="Cambria Math" w:hAnsi="Cambria Math" w:cs="Cambria Math"/>
                <w:color w:val="C00000"/>
                <w:sz w:val="20"/>
                <w:szCs w:val="20"/>
              </w:rPr>
              <w:t>⨀</w:t>
            </w:r>
            <w:r w:rsidRPr="0062012F">
              <w:rPr>
                <w:rFonts w:ascii="Arial Narrow" w:hAnsi="Arial Narrow"/>
                <w:sz w:val="20"/>
                <w:szCs w:val="20"/>
              </w:rPr>
              <w:t xml:space="preserve"> MODERATE</w:t>
            </w:r>
          </w:p>
        </w:tc>
      </w:tr>
      <w:tr w:rsidR="00D5133B" w:rsidRPr="0062012F" w14:paraId="589A0DB7" w14:textId="7D49AC8A" w:rsidTr="00FA150F">
        <w:trPr>
          <w:trHeight w:val="20"/>
        </w:trPr>
        <w:tc>
          <w:tcPr>
            <w:tcW w:w="1413" w:type="dxa"/>
            <w:shd w:val="clear" w:color="auto" w:fill="FFFFFF" w:themeFill="background1"/>
          </w:tcPr>
          <w:p w14:paraId="500C400A" w14:textId="77777777" w:rsidR="00D5133B" w:rsidRPr="0062012F" w:rsidRDefault="00D5133B" w:rsidP="00D5133B">
            <w:pPr>
              <w:pStyle w:val="NoSpacing"/>
              <w:rPr>
                <w:rFonts w:ascii="Arial Narrow" w:hAnsi="Arial Narrow" w:cstheme="minorHAnsi"/>
                <w:b/>
                <w:bCs/>
                <w:sz w:val="20"/>
                <w:szCs w:val="20"/>
              </w:rPr>
            </w:pPr>
            <w:r w:rsidRPr="0062012F">
              <w:rPr>
                <w:rFonts w:ascii="Arial Narrow" w:hAnsi="Arial Narrow" w:cstheme="minorHAnsi"/>
                <w:b/>
                <w:bCs/>
                <w:sz w:val="20"/>
                <w:szCs w:val="20"/>
              </w:rPr>
              <w:t>Superficial Infection</w:t>
            </w:r>
          </w:p>
        </w:tc>
        <w:tc>
          <w:tcPr>
            <w:tcW w:w="1559" w:type="dxa"/>
            <w:vAlign w:val="center"/>
          </w:tcPr>
          <w:p w14:paraId="01019C53" w14:textId="77777777" w:rsidR="00D5133B" w:rsidRPr="0062012F" w:rsidRDefault="00D5133B"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1.6% (1/61)</w:t>
            </w:r>
          </w:p>
        </w:tc>
        <w:tc>
          <w:tcPr>
            <w:tcW w:w="1545" w:type="dxa"/>
            <w:vAlign w:val="center"/>
          </w:tcPr>
          <w:p w14:paraId="35D6C3B7" w14:textId="77777777" w:rsidR="00D5133B" w:rsidRPr="0062012F" w:rsidRDefault="00D5133B"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1.6% (1/63)</w:t>
            </w:r>
          </w:p>
        </w:tc>
        <w:tc>
          <w:tcPr>
            <w:tcW w:w="1574" w:type="dxa"/>
            <w:vAlign w:val="center"/>
          </w:tcPr>
          <w:p w14:paraId="432AB622" w14:textId="23ACCEBD" w:rsidR="00D5133B" w:rsidRPr="0062012F" w:rsidRDefault="00D5133B" w:rsidP="00722CB4">
            <w:pPr>
              <w:pStyle w:val="Tablenotes0"/>
              <w:jc w:val="center"/>
              <w:rPr>
                <w:rFonts w:cstheme="minorHAnsi"/>
                <w:sz w:val="20"/>
                <w:szCs w:val="20"/>
                <w:lang w:val="es-CO"/>
              </w:rPr>
            </w:pPr>
            <w:r w:rsidRPr="0062012F">
              <w:rPr>
                <w:rFonts w:cs="Calibri"/>
                <w:sz w:val="20"/>
                <w:szCs w:val="20"/>
              </w:rPr>
              <w:t>1.03 (0.07, 16.1)</w:t>
            </w:r>
          </w:p>
        </w:tc>
        <w:tc>
          <w:tcPr>
            <w:tcW w:w="1640" w:type="dxa"/>
            <w:vAlign w:val="center"/>
          </w:tcPr>
          <w:p w14:paraId="0170E639" w14:textId="247135CB" w:rsidR="00D5133B" w:rsidRPr="0062012F" w:rsidRDefault="00D5133B" w:rsidP="00722CB4">
            <w:pPr>
              <w:pStyle w:val="NoSpacing"/>
              <w:rPr>
                <w:rFonts w:ascii="Arial Narrow" w:hAnsi="Arial Narrow" w:cstheme="minorHAnsi"/>
                <w:sz w:val="20"/>
                <w:szCs w:val="20"/>
              </w:rPr>
            </w:pPr>
            <w:r w:rsidRPr="0062012F">
              <w:rPr>
                <w:rFonts w:ascii="Arial Narrow" w:hAnsi="Arial Narrow" w:cstheme="minorHAnsi"/>
                <w:sz w:val="20"/>
                <w:szCs w:val="20"/>
              </w:rPr>
              <w:t xml:space="preserve">Ruiz </w:t>
            </w:r>
            <w:proofErr w:type="spellStart"/>
            <w:r w:rsidR="0091327B" w:rsidRPr="00BB05DE">
              <w:rPr>
                <w:rFonts w:ascii="Arial Narrow" w:hAnsi="Arial Narrow"/>
                <w:sz w:val="20"/>
                <w:szCs w:val="20"/>
              </w:rPr>
              <w:t>Ibán</w:t>
            </w:r>
            <w:proofErr w:type="spellEnd"/>
            <w:r w:rsidRPr="0062012F">
              <w:rPr>
                <w:rFonts w:ascii="Arial Narrow" w:hAnsi="Arial Narrow" w:cstheme="minorHAnsi"/>
                <w:sz w:val="20"/>
                <w:szCs w:val="20"/>
              </w:rPr>
              <w:t xml:space="preserve"> (CSR), 2023</w:t>
            </w:r>
          </w:p>
        </w:tc>
        <w:tc>
          <w:tcPr>
            <w:tcW w:w="1285" w:type="dxa"/>
            <w:vAlign w:val="center"/>
          </w:tcPr>
          <w:p w14:paraId="0E6D2205" w14:textId="4EBFD67E" w:rsidR="00D5133B" w:rsidRPr="0062012F" w:rsidRDefault="00D5133B" w:rsidP="00722CB4">
            <w:pPr>
              <w:pStyle w:val="NoSpacing"/>
              <w:jc w:val="center"/>
              <w:rPr>
                <w:rFonts w:ascii="Arial Narrow" w:hAnsi="Arial Narrow" w:cstheme="minorHAnsi"/>
                <w:sz w:val="20"/>
                <w:szCs w:val="20"/>
              </w:rPr>
            </w:pPr>
            <w:r w:rsidRPr="0062012F">
              <w:rPr>
                <w:rFonts w:ascii="Cambria Math" w:hAnsi="Cambria Math" w:cs="Cambria Math"/>
                <w:color w:val="388600"/>
                <w:sz w:val="20"/>
                <w:szCs w:val="20"/>
              </w:rPr>
              <w:t>⨁⨁⨁</w:t>
            </w:r>
            <w:r w:rsidRPr="0062012F">
              <w:rPr>
                <w:rFonts w:ascii="Cambria Math" w:hAnsi="Cambria Math" w:cs="Cambria Math"/>
                <w:color w:val="C00000"/>
                <w:sz w:val="20"/>
                <w:szCs w:val="20"/>
              </w:rPr>
              <w:t>⨀</w:t>
            </w:r>
            <w:r w:rsidRPr="0062012F">
              <w:rPr>
                <w:rFonts w:ascii="Arial Narrow" w:hAnsi="Arial Narrow"/>
                <w:sz w:val="20"/>
                <w:szCs w:val="20"/>
              </w:rPr>
              <w:t xml:space="preserve"> MODERATE</w:t>
            </w:r>
          </w:p>
        </w:tc>
      </w:tr>
      <w:tr w:rsidR="00D5133B" w:rsidRPr="0062012F" w14:paraId="061511D4" w14:textId="662D78C5" w:rsidTr="00FA150F">
        <w:trPr>
          <w:trHeight w:val="20"/>
        </w:trPr>
        <w:tc>
          <w:tcPr>
            <w:tcW w:w="1413" w:type="dxa"/>
            <w:shd w:val="clear" w:color="auto" w:fill="FFFFFF" w:themeFill="background1"/>
          </w:tcPr>
          <w:p w14:paraId="290D1DBE" w14:textId="77777777" w:rsidR="00D5133B" w:rsidRPr="0062012F" w:rsidRDefault="00D5133B" w:rsidP="00D5133B">
            <w:pPr>
              <w:pStyle w:val="NoSpacing"/>
              <w:rPr>
                <w:rFonts w:ascii="Arial Narrow" w:hAnsi="Arial Narrow" w:cstheme="minorHAnsi"/>
                <w:b/>
                <w:bCs/>
                <w:sz w:val="20"/>
                <w:szCs w:val="20"/>
              </w:rPr>
            </w:pPr>
            <w:r w:rsidRPr="0062012F">
              <w:rPr>
                <w:rFonts w:ascii="Arial Narrow" w:hAnsi="Arial Narrow" w:cstheme="minorHAnsi"/>
                <w:b/>
                <w:bCs/>
                <w:sz w:val="20"/>
                <w:szCs w:val="20"/>
              </w:rPr>
              <w:t>Death**</w:t>
            </w:r>
          </w:p>
        </w:tc>
        <w:tc>
          <w:tcPr>
            <w:tcW w:w="1559" w:type="dxa"/>
            <w:vAlign w:val="center"/>
          </w:tcPr>
          <w:p w14:paraId="773AC9F4" w14:textId="77777777" w:rsidR="00D5133B" w:rsidRPr="0062012F" w:rsidRDefault="00D5133B"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1.6% (1/61)</w:t>
            </w:r>
          </w:p>
        </w:tc>
        <w:tc>
          <w:tcPr>
            <w:tcW w:w="1545" w:type="dxa"/>
            <w:vAlign w:val="center"/>
          </w:tcPr>
          <w:p w14:paraId="25627DDE" w14:textId="49A00AC4" w:rsidR="00D5133B" w:rsidRPr="0062012F" w:rsidRDefault="00D5133B"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0% (0/</w:t>
            </w:r>
            <w:proofErr w:type="gramStart"/>
            <w:r w:rsidRPr="0062012F">
              <w:rPr>
                <w:rFonts w:ascii="Arial Narrow" w:hAnsi="Arial Narrow" w:cstheme="minorHAnsi"/>
                <w:sz w:val="20"/>
                <w:szCs w:val="20"/>
              </w:rPr>
              <w:t>63)</w:t>
            </w:r>
            <w:r w:rsidR="004F5A3A" w:rsidRPr="0062012F">
              <w:rPr>
                <w:rFonts w:ascii="Arial Narrow" w:hAnsi="Arial Narrow" w:cstheme="minorHAnsi"/>
                <w:sz w:val="20"/>
                <w:szCs w:val="20"/>
              </w:rPr>
              <w:t>*</w:t>
            </w:r>
            <w:proofErr w:type="gramEnd"/>
          </w:p>
        </w:tc>
        <w:tc>
          <w:tcPr>
            <w:tcW w:w="1574" w:type="dxa"/>
            <w:vAlign w:val="center"/>
          </w:tcPr>
          <w:p w14:paraId="25032E54" w14:textId="4D98C3FD" w:rsidR="00D5133B" w:rsidRPr="0062012F" w:rsidRDefault="00D5133B" w:rsidP="00722CB4">
            <w:pPr>
              <w:pStyle w:val="Tablenotes0"/>
              <w:jc w:val="center"/>
              <w:rPr>
                <w:rFonts w:cstheme="minorHAnsi"/>
                <w:sz w:val="20"/>
                <w:szCs w:val="20"/>
                <w:lang w:val="es-CO"/>
              </w:rPr>
            </w:pPr>
            <w:r w:rsidRPr="0062012F">
              <w:rPr>
                <w:rFonts w:cs="Calibri"/>
                <w:sz w:val="20"/>
                <w:szCs w:val="20"/>
              </w:rPr>
              <w:t>3.10 (0.13, 74.6)</w:t>
            </w:r>
          </w:p>
        </w:tc>
        <w:tc>
          <w:tcPr>
            <w:tcW w:w="1640" w:type="dxa"/>
            <w:vAlign w:val="center"/>
          </w:tcPr>
          <w:p w14:paraId="66B1A6D9" w14:textId="1832D437" w:rsidR="00D5133B" w:rsidRPr="0062012F" w:rsidRDefault="00D5133B" w:rsidP="00722CB4">
            <w:pPr>
              <w:pStyle w:val="NoSpacing"/>
              <w:rPr>
                <w:rFonts w:ascii="Arial Narrow" w:hAnsi="Arial Narrow" w:cstheme="minorHAnsi"/>
                <w:sz w:val="20"/>
                <w:szCs w:val="20"/>
              </w:rPr>
            </w:pPr>
            <w:r w:rsidRPr="0062012F">
              <w:rPr>
                <w:rFonts w:ascii="Arial Narrow" w:hAnsi="Arial Narrow" w:cstheme="minorHAnsi"/>
                <w:sz w:val="20"/>
                <w:szCs w:val="20"/>
              </w:rPr>
              <w:t xml:space="preserve">Ruiz </w:t>
            </w:r>
            <w:proofErr w:type="spellStart"/>
            <w:r w:rsidR="0091327B" w:rsidRPr="00BB05DE">
              <w:rPr>
                <w:rFonts w:ascii="Arial Narrow" w:hAnsi="Arial Narrow"/>
                <w:sz w:val="20"/>
                <w:szCs w:val="20"/>
              </w:rPr>
              <w:t>Ibán</w:t>
            </w:r>
            <w:proofErr w:type="spellEnd"/>
            <w:r w:rsidRPr="0062012F">
              <w:rPr>
                <w:rFonts w:ascii="Arial Narrow" w:hAnsi="Arial Narrow" w:cstheme="minorHAnsi"/>
                <w:sz w:val="20"/>
                <w:szCs w:val="20"/>
              </w:rPr>
              <w:t xml:space="preserve"> (CSR), 2023</w:t>
            </w:r>
          </w:p>
        </w:tc>
        <w:tc>
          <w:tcPr>
            <w:tcW w:w="1285" w:type="dxa"/>
            <w:vAlign w:val="center"/>
          </w:tcPr>
          <w:p w14:paraId="797F16F2" w14:textId="30947019" w:rsidR="00D5133B" w:rsidRPr="0062012F" w:rsidRDefault="00D5133B" w:rsidP="00722CB4">
            <w:pPr>
              <w:pStyle w:val="NoSpacing"/>
              <w:jc w:val="center"/>
              <w:rPr>
                <w:rFonts w:ascii="Arial Narrow" w:hAnsi="Arial Narrow" w:cstheme="minorHAnsi"/>
                <w:sz w:val="20"/>
                <w:szCs w:val="20"/>
              </w:rPr>
            </w:pPr>
            <w:r w:rsidRPr="0062012F">
              <w:rPr>
                <w:rFonts w:ascii="Cambria Math" w:hAnsi="Cambria Math" w:cs="Cambria Math"/>
                <w:color w:val="388600"/>
                <w:sz w:val="20"/>
                <w:szCs w:val="20"/>
              </w:rPr>
              <w:t>⨁⨁⨁</w:t>
            </w:r>
            <w:r w:rsidRPr="0062012F">
              <w:rPr>
                <w:rFonts w:ascii="Cambria Math" w:hAnsi="Cambria Math" w:cs="Cambria Math"/>
                <w:color w:val="C00000"/>
                <w:sz w:val="20"/>
                <w:szCs w:val="20"/>
              </w:rPr>
              <w:t>⨀</w:t>
            </w:r>
            <w:r w:rsidRPr="0062012F">
              <w:rPr>
                <w:rFonts w:ascii="Arial Narrow" w:hAnsi="Arial Narrow"/>
                <w:sz w:val="20"/>
                <w:szCs w:val="20"/>
              </w:rPr>
              <w:t xml:space="preserve"> MODERATE</w:t>
            </w:r>
          </w:p>
        </w:tc>
      </w:tr>
      <w:tr w:rsidR="00D5133B" w:rsidRPr="0062012F" w14:paraId="2B6B5D05" w14:textId="1E2C15DE" w:rsidTr="00FA150F">
        <w:trPr>
          <w:trHeight w:val="20"/>
        </w:trPr>
        <w:tc>
          <w:tcPr>
            <w:tcW w:w="1413" w:type="dxa"/>
            <w:shd w:val="clear" w:color="auto" w:fill="FFFFFF" w:themeFill="background1"/>
          </w:tcPr>
          <w:p w14:paraId="7159A62A" w14:textId="77777777" w:rsidR="00D5133B" w:rsidRPr="0062012F" w:rsidRDefault="00D5133B" w:rsidP="00D5133B">
            <w:pPr>
              <w:pStyle w:val="NoSpacing"/>
              <w:rPr>
                <w:rFonts w:ascii="Arial Narrow" w:hAnsi="Arial Narrow" w:cstheme="minorHAnsi"/>
                <w:b/>
                <w:bCs/>
                <w:sz w:val="20"/>
                <w:szCs w:val="20"/>
              </w:rPr>
            </w:pPr>
            <w:r w:rsidRPr="0062012F">
              <w:rPr>
                <w:rFonts w:ascii="Arial Narrow" w:hAnsi="Arial Narrow" w:cstheme="minorHAnsi"/>
                <w:b/>
                <w:bCs/>
                <w:sz w:val="20"/>
                <w:szCs w:val="20"/>
              </w:rPr>
              <w:t>Superficial Skin issues (burn)</w:t>
            </w:r>
          </w:p>
        </w:tc>
        <w:tc>
          <w:tcPr>
            <w:tcW w:w="1559" w:type="dxa"/>
            <w:vAlign w:val="center"/>
          </w:tcPr>
          <w:p w14:paraId="17488349" w14:textId="0E85940A" w:rsidR="00D5133B" w:rsidRPr="0062012F" w:rsidRDefault="00D5133B"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0% (0/</w:t>
            </w:r>
            <w:proofErr w:type="gramStart"/>
            <w:r w:rsidRPr="0062012F">
              <w:rPr>
                <w:rFonts w:ascii="Arial Narrow" w:hAnsi="Arial Narrow" w:cstheme="minorHAnsi"/>
                <w:sz w:val="20"/>
                <w:szCs w:val="20"/>
              </w:rPr>
              <w:t>61)</w:t>
            </w:r>
            <w:r w:rsidR="004F5A3A" w:rsidRPr="0062012F">
              <w:rPr>
                <w:rFonts w:ascii="Arial Narrow" w:hAnsi="Arial Narrow" w:cstheme="minorHAnsi"/>
                <w:sz w:val="20"/>
                <w:szCs w:val="20"/>
              </w:rPr>
              <w:t>*</w:t>
            </w:r>
            <w:proofErr w:type="gramEnd"/>
          </w:p>
        </w:tc>
        <w:tc>
          <w:tcPr>
            <w:tcW w:w="1545" w:type="dxa"/>
            <w:vAlign w:val="center"/>
          </w:tcPr>
          <w:p w14:paraId="53E13BE5" w14:textId="77777777" w:rsidR="00D5133B" w:rsidRPr="0062012F" w:rsidRDefault="00D5133B"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1.6% (1/63)</w:t>
            </w:r>
          </w:p>
        </w:tc>
        <w:tc>
          <w:tcPr>
            <w:tcW w:w="1574" w:type="dxa"/>
            <w:vAlign w:val="center"/>
          </w:tcPr>
          <w:p w14:paraId="24C818C7" w14:textId="09D0288B" w:rsidR="00D5133B" w:rsidRPr="0062012F" w:rsidRDefault="00D5133B" w:rsidP="00722CB4">
            <w:pPr>
              <w:pStyle w:val="Tablenotes0"/>
              <w:jc w:val="center"/>
              <w:rPr>
                <w:rFonts w:cstheme="minorHAnsi"/>
                <w:sz w:val="20"/>
                <w:szCs w:val="20"/>
                <w:lang w:val="es-CO"/>
              </w:rPr>
            </w:pPr>
            <w:r w:rsidRPr="0062012F">
              <w:rPr>
                <w:rFonts w:cs="Calibri"/>
                <w:sz w:val="20"/>
                <w:szCs w:val="20"/>
              </w:rPr>
              <w:t>0.34 (0.01, 8.29)</w:t>
            </w:r>
          </w:p>
        </w:tc>
        <w:tc>
          <w:tcPr>
            <w:tcW w:w="1640" w:type="dxa"/>
            <w:vAlign w:val="center"/>
          </w:tcPr>
          <w:p w14:paraId="23C6D42E" w14:textId="2BF1587E" w:rsidR="00D5133B" w:rsidRPr="0062012F" w:rsidRDefault="00D5133B" w:rsidP="00722CB4">
            <w:pPr>
              <w:pStyle w:val="NoSpacing"/>
              <w:rPr>
                <w:rFonts w:ascii="Arial Narrow" w:hAnsi="Arial Narrow" w:cstheme="minorHAnsi"/>
                <w:sz w:val="20"/>
                <w:szCs w:val="20"/>
              </w:rPr>
            </w:pPr>
            <w:r w:rsidRPr="0062012F">
              <w:rPr>
                <w:rFonts w:ascii="Arial Narrow" w:hAnsi="Arial Narrow" w:cstheme="minorHAnsi"/>
                <w:sz w:val="20"/>
                <w:szCs w:val="20"/>
              </w:rPr>
              <w:t xml:space="preserve">Ruiz </w:t>
            </w:r>
            <w:proofErr w:type="spellStart"/>
            <w:r w:rsidR="0091327B" w:rsidRPr="00BB05DE">
              <w:rPr>
                <w:rFonts w:ascii="Arial Narrow" w:hAnsi="Arial Narrow"/>
                <w:sz w:val="20"/>
                <w:szCs w:val="20"/>
              </w:rPr>
              <w:t>Ibán</w:t>
            </w:r>
            <w:proofErr w:type="spellEnd"/>
            <w:r w:rsidRPr="0062012F">
              <w:rPr>
                <w:rFonts w:ascii="Arial Narrow" w:hAnsi="Arial Narrow" w:cstheme="minorHAnsi"/>
                <w:sz w:val="20"/>
                <w:szCs w:val="20"/>
              </w:rPr>
              <w:t xml:space="preserve"> (CSR), 2023</w:t>
            </w:r>
          </w:p>
        </w:tc>
        <w:tc>
          <w:tcPr>
            <w:tcW w:w="1285" w:type="dxa"/>
            <w:vAlign w:val="center"/>
          </w:tcPr>
          <w:p w14:paraId="1C4FBAFF" w14:textId="499D3E22" w:rsidR="00D5133B" w:rsidRPr="0062012F" w:rsidRDefault="00D5133B" w:rsidP="00722CB4">
            <w:pPr>
              <w:pStyle w:val="NoSpacing"/>
              <w:jc w:val="center"/>
              <w:rPr>
                <w:rFonts w:ascii="Arial Narrow" w:hAnsi="Arial Narrow" w:cstheme="minorHAnsi"/>
                <w:sz w:val="20"/>
                <w:szCs w:val="20"/>
              </w:rPr>
            </w:pPr>
            <w:r w:rsidRPr="0062012F">
              <w:rPr>
                <w:rFonts w:ascii="Cambria Math" w:hAnsi="Cambria Math" w:cs="Cambria Math"/>
                <w:color w:val="388600"/>
                <w:sz w:val="20"/>
                <w:szCs w:val="20"/>
              </w:rPr>
              <w:t>⨁⨁⨁</w:t>
            </w:r>
            <w:r w:rsidRPr="0062012F">
              <w:rPr>
                <w:rFonts w:ascii="Cambria Math" w:hAnsi="Cambria Math" w:cs="Cambria Math"/>
                <w:color w:val="C00000"/>
                <w:sz w:val="20"/>
                <w:szCs w:val="20"/>
              </w:rPr>
              <w:t>⨀</w:t>
            </w:r>
            <w:r w:rsidRPr="0062012F">
              <w:rPr>
                <w:rFonts w:ascii="Arial Narrow" w:hAnsi="Arial Narrow"/>
                <w:sz w:val="20"/>
                <w:szCs w:val="20"/>
              </w:rPr>
              <w:t xml:space="preserve"> MODERATE</w:t>
            </w:r>
          </w:p>
        </w:tc>
      </w:tr>
      <w:tr w:rsidR="00D5133B" w:rsidRPr="0062012F" w14:paraId="6E445D2B" w14:textId="1B79D4E1" w:rsidTr="00FA150F">
        <w:trPr>
          <w:trHeight w:val="20"/>
        </w:trPr>
        <w:tc>
          <w:tcPr>
            <w:tcW w:w="1413" w:type="dxa"/>
            <w:shd w:val="clear" w:color="auto" w:fill="FFFFFF" w:themeFill="background1"/>
          </w:tcPr>
          <w:p w14:paraId="50DC4150" w14:textId="77777777" w:rsidR="00D5133B" w:rsidRPr="0062012F" w:rsidRDefault="00D5133B" w:rsidP="00D5133B">
            <w:pPr>
              <w:pStyle w:val="NoSpacing"/>
              <w:rPr>
                <w:rFonts w:ascii="Arial Narrow" w:hAnsi="Arial Narrow" w:cstheme="minorHAnsi"/>
                <w:b/>
                <w:bCs/>
                <w:sz w:val="20"/>
                <w:szCs w:val="20"/>
              </w:rPr>
            </w:pPr>
            <w:r w:rsidRPr="0062012F">
              <w:rPr>
                <w:rFonts w:ascii="Arial Narrow" w:hAnsi="Arial Narrow" w:cstheme="minorHAnsi"/>
                <w:b/>
                <w:bCs/>
                <w:sz w:val="20"/>
                <w:szCs w:val="20"/>
              </w:rPr>
              <w:t>Mass</w:t>
            </w:r>
          </w:p>
        </w:tc>
        <w:tc>
          <w:tcPr>
            <w:tcW w:w="1559" w:type="dxa"/>
            <w:vAlign w:val="center"/>
          </w:tcPr>
          <w:p w14:paraId="2CC27241" w14:textId="77777777" w:rsidR="00D5133B" w:rsidRPr="0062012F" w:rsidRDefault="00D5133B"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1.6% (1/61)</w:t>
            </w:r>
          </w:p>
        </w:tc>
        <w:tc>
          <w:tcPr>
            <w:tcW w:w="1545" w:type="dxa"/>
            <w:vAlign w:val="center"/>
          </w:tcPr>
          <w:p w14:paraId="3AA5F970" w14:textId="54C40EDC" w:rsidR="00D5133B" w:rsidRPr="0062012F" w:rsidRDefault="00D5133B"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0% (0/</w:t>
            </w:r>
            <w:proofErr w:type="gramStart"/>
            <w:r w:rsidRPr="0062012F">
              <w:rPr>
                <w:rFonts w:ascii="Arial Narrow" w:hAnsi="Arial Narrow" w:cstheme="minorHAnsi"/>
                <w:sz w:val="20"/>
                <w:szCs w:val="20"/>
              </w:rPr>
              <w:t>63)</w:t>
            </w:r>
            <w:r w:rsidR="004F5A3A" w:rsidRPr="0062012F">
              <w:rPr>
                <w:rFonts w:ascii="Arial Narrow" w:hAnsi="Arial Narrow" w:cstheme="minorHAnsi"/>
                <w:sz w:val="20"/>
                <w:szCs w:val="20"/>
              </w:rPr>
              <w:t>*</w:t>
            </w:r>
            <w:proofErr w:type="gramEnd"/>
          </w:p>
        </w:tc>
        <w:tc>
          <w:tcPr>
            <w:tcW w:w="1574" w:type="dxa"/>
            <w:vAlign w:val="center"/>
          </w:tcPr>
          <w:p w14:paraId="335C12A7" w14:textId="5C8E1038" w:rsidR="00D5133B" w:rsidRPr="0062012F" w:rsidRDefault="00D5133B" w:rsidP="00722CB4">
            <w:pPr>
              <w:pStyle w:val="Tablenotes0"/>
              <w:jc w:val="center"/>
              <w:rPr>
                <w:rFonts w:cstheme="minorHAnsi"/>
                <w:sz w:val="20"/>
                <w:szCs w:val="20"/>
                <w:lang w:val="es-CO"/>
              </w:rPr>
            </w:pPr>
            <w:r w:rsidRPr="0062012F">
              <w:rPr>
                <w:rFonts w:cs="Calibri"/>
                <w:sz w:val="20"/>
                <w:szCs w:val="20"/>
              </w:rPr>
              <w:t>3.10 (0.13, 74.6)</w:t>
            </w:r>
          </w:p>
        </w:tc>
        <w:tc>
          <w:tcPr>
            <w:tcW w:w="1640" w:type="dxa"/>
            <w:vAlign w:val="center"/>
          </w:tcPr>
          <w:p w14:paraId="299AA1AF" w14:textId="1581D93D" w:rsidR="00D5133B" w:rsidRPr="0062012F" w:rsidRDefault="00D5133B" w:rsidP="00722CB4">
            <w:pPr>
              <w:pStyle w:val="NoSpacing"/>
              <w:rPr>
                <w:rFonts w:ascii="Arial Narrow" w:hAnsi="Arial Narrow" w:cstheme="minorHAnsi"/>
                <w:sz w:val="20"/>
                <w:szCs w:val="20"/>
              </w:rPr>
            </w:pPr>
            <w:r w:rsidRPr="0062012F">
              <w:rPr>
                <w:rFonts w:ascii="Arial Narrow" w:hAnsi="Arial Narrow" w:cstheme="minorHAnsi"/>
                <w:sz w:val="20"/>
                <w:szCs w:val="20"/>
              </w:rPr>
              <w:t xml:space="preserve">Ruiz </w:t>
            </w:r>
            <w:proofErr w:type="spellStart"/>
            <w:r w:rsidR="0091327B" w:rsidRPr="00BB05DE">
              <w:rPr>
                <w:rFonts w:ascii="Arial Narrow" w:hAnsi="Arial Narrow"/>
                <w:sz w:val="20"/>
                <w:szCs w:val="20"/>
              </w:rPr>
              <w:t>Ibán</w:t>
            </w:r>
            <w:proofErr w:type="spellEnd"/>
            <w:r w:rsidRPr="0062012F">
              <w:rPr>
                <w:rFonts w:ascii="Arial Narrow" w:hAnsi="Arial Narrow" w:cstheme="minorHAnsi"/>
                <w:sz w:val="20"/>
                <w:szCs w:val="20"/>
              </w:rPr>
              <w:t xml:space="preserve"> (CSR), 2023</w:t>
            </w:r>
          </w:p>
        </w:tc>
        <w:tc>
          <w:tcPr>
            <w:tcW w:w="1285" w:type="dxa"/>
            <w:vAlign w:val="center"/>
          </w:tcPr>
          <w:p w14:paraId="2BE8749C" w14:textId="30656A08" w:rsidR="00D5133B" w:rsidRPr="0062012F" w:rsidRDefault="00D5133B" w:rsidP="00722CB4">
            <w:pPr>
              <w:pStyle w:val="NoSpacing"/>
              <w:jc w:val="center"/>
              <w:rPr>
                <w:rFonts w:ascii="Arial Narrow" w:hAnsi="Arial Narrow" w:cstheme="minorHAnsi"/>
                <w:sz w:val="20"/>
                <w:szCs w:val="20"/>
              </w:rPr>
            </w:pPr>
            <w:r w:rsidRPr="0062012F">
              <w:rPr>
                <w:rFonts w:ascii="Cambria Math" w:hAnsi="Cambria Math" w:cs="Cambria Math"/>
                <w:color w:val="388600"/>
                <w:sz w:val="20"/>
                <w:szCs w:val="20"/>
              </w:rPr>
              <w:t>⨁⨁⨁</w:t>
            </w:r>
            <w:r w:rsidRPr="0062012F">
              <w:rPr>
                <w:rFonts w:ascii="Cambria Math" w:hAnsi="Cambria Math" w:cs="Cambria Math"/>
                <w:color w:val="C00000"/>
                <w:sz w:val="20"/>
                <w:szCs w:val="20"/>
              </w:rPr>
              <w:t>⨀</w:t>
            </w:r>
            <w:r w:rsidRPr="0062012F">
              <w:rPr>
                <w:rFonts w:ascii="Arial Narrow" w:hAnsi="Arial Narrow"/>
                <w:sz w:val="20"/>
                <w:szCs w:val="20"/>
              </w:rPr>
              <w:t xml:space="preserve"> MODERATE</w:t>
            </w:r>
          </w:p>
        </w:tc>
      </w:tr>
      <w:tr w:rsidR="00D5133B" w:rsidRPr="0062012F" w14:paraId="60277372" w14:textId="7465EE45" w:rsidTr="00FA150F">
        <w:trPr>
          <w:trHeight w:val="20"/>
        </w:trPr>
        <w:tc>
          <w:tcPr>
            <w:tcW w:w="1413" w:type="dxa"/>
            <w:shd w:val="clear" w:color="auto" w:fill="FFFFFF" w:themeFill="background1"/>
          </w:tcPr>
          <w:p w14:paraId="4FB725EB" w14:textId="77777777" w:rsidR="00D5133B" w:rsidRPr="0062012F" w:rsidRDefault="00D5133B" w:rsidP="00D5133B">
            <w:pPr>
              <w:pStyle w:val="NoSpacing"/>
              <w:rPr>
                <w:rFonts w:ascii="Arial Narrow" w:hAnsi="Arial Narrow" w:cstheme="minorHAnsi"/>
                <w:b/>
                <w:bCs/>
                <w:sz w:val="20"/>
                <w:szCs w:val="20"/>
              </w:rPr>
            </w:pPr>
            <w:r w:rsidRPr="0062012F">
              <w:rPr>
                <w:rFonts w:ascii="Arial Narrow" w:hAnsi="Arial Narrow" w:cstheme="minorHAnsi"/>
                <w:b/>
                <w:bCs/>
                <w:sz w:val="20"/>
                <w:szCs w:val="20"/>
              </w:rPr>
              <w:t>Extrusion of anchor</w:t>
            </w:r>
          </w:p>
        </w:tc>
        <w:tc>
          <w:tcPr>
            <w:tcW w:w="1559" w:type="dxa"/>
            <w:vAlign w:val="center"/>
          </w:tcPr>
          <w:p w14:paraId="40368668" w14:textId="05277915" w:rsidR="00D5133B" w:rsidRPr="0062012F" w:rsidRDefault="00D5133B"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0% (0/</w:t>
            </w:r>
            <w:proofErr w:type="gramStart"/>
            <w:r w:rsidRPr="0062012F">
              <w:rPr>
                <w:rFonts w:ascii="Arial Narrow" w:hAnsi="Arial Narrow" w:cstheme="minorHAnsi"/>
                <w:sz w:val="20"/>
                <w:szCs w:val="20"/>
              </w:rPr>
              <w:t>61)</w:t>
            </w:r>
            <w:r w:rsidR="004F5A3A" w:rsidRPr="0062012F">
              <w:rPr>
                <w:rFonts w:ascii="Arial Narrow" w:hAnsi="Arial Narrow" w:cstheme="minorHAnsi"/>
                <w:sz w:val="20"/>
                <w:szCs w:val="20"/>
              </w:rPr>
              <w:t>*</w:t>
            </w:r>
            <w:proofErr w:type="gramEnd"/>
          </w:p>
        </w:tc>
        <w:tc>
          <w:tcPr>
            <w:tcW w:w="1545" w:type="dxa"/>
            <w:vAlign w:val="center"/>
          </w:tcPr>
          <w:p w14:paraId="06CF1C0D" w14:textId="77777777" w:rsidR="00D5133B" w:rsidRPr="0062012F" w:rsidRDefault="00D5133B" w:rsidP="00722CB4">
            <w:pPr>
              <w:pStyle w:val="NoSpacing"/>
              <w:jc w:val="center"/>
              <w:rPr>
                <w:rFonts w:ascii="Arial Narrow" w:hAnsi="Arial Narrow" w:cstheme="minorHAnsi"/>
                <w:sz w:val="20"/>
                <w:szCs w:val="20"/>
              </w:rPr>
            </w:pPr>
            <w:r w:rsidRPr="0062012F">
              <w:rPr>
                <w:rFonts w:ascii="Arial Narrow" w:hAnsi="Arial Narrow" w:cstheme="minorHAnsi"/>
                <w:sz w:val="20"/>
                <w:szCs w:val="20"/>
              </w:rPr>
              <w:t>1.6% (1/63)</w:t>
            </w:r>
          </w:p>
        </w:tc>
        <w:tc>
          <w:tcPr>
            <w:tcW w:w="1574" w:type="dxa"/>
            <w:vAlign w:val="center"/>
          </w:tcPr>
          <w:p w14:paraId="402B8203" w14:textId="4ED48510" w:rsidR="00D5133B" w:rsidRPr="0062012F" w:rsidRDefault="00D5133B" w:rsidP="00722CB4">
            <w:pPr>
              <w:pStyle w:val="Tablenotes0"/>
              <w:jc w:val="center"/>
              <w:rPr>
                <w:rFonts w:cstheme="minorHAnsi"/>
                <w:sz w:val="20"/>
                <w:szCs w:val="20"/>
                <w:lang w:val="es-CO"/>
              </w:rPr>
            </w:pPr>
            <w:r w:rsidRPr="0062012F">
              <w:rPr>
                <w:rFonts w:cs="Calibri"/>
                <w:sz w:val="20"/>
                <w:szCs w:val="20"/>
              </w:rPr>
              <w:t>0.34 (0.01, 8.29)</w:t>
            </w:r>
          </w:p>
        </w:tc>
        <w:tc>
          <w:tcPr>
            <w:tcW w:w="1640" w:type="dxa"/>
            <w:vAlign w:val="center"/>
          </w:tcPr>
          <w:p w14:paraId="39058FCF" w14:textId="6B08A004" w:rsidR="00D5133B" w:rsidRPr="0062012F" w:rsidRDefault="00D5133B" w:rsidP="00722CB4">
            <w:pPr>
              <w:pStyle w:val="NoSpacing"/>
              <w:rPr>
                <w:rFonts w:ascii="Arial Narrow" w:hAnsi="Arial Narrow" w:cstheme="minorHAnsi"/>
                <w:sz w:val="20"/>
                <w:szCs w:val="20"/>
              </w:rPr>
            </w:pPr>
            <w:r w:rsidRPr="0062012F">
              <w:rPr>
                <w:rFonts w:ascii="Arial Narrow" w:hAnsi="Arial Narrow" w:cstheme="minorHAnsi"/>
                <w:sz w:val="20"/>
                <w:szCs w:val="20"/>
              </w:rPr>
              <w:t xml:space="preserve">Ruiz </w:t>
            </w:r>
            <w:proofErr w:type="spellStart"/>
            <w:r w:rsidR="0091327B" w:rsidRPr="00BB05DE">
              <w:rPr>
                <w:rFonts w:ascii="Arial Narrow" w:hAnsi="Arial Narrow"/>
                <w:sz w:val="20"/>
                <w:szCs w:val="20"/>
              </w:rPr>
              <w:t>Ibán</w:t>
            </w:r>
            <w:proofErr w:type="spellEnd"/>
            <w:r w:rsidRPr="0062012F">
              <w:rPr>
                <w:rFonts w:ascii="Arial Narrow" w:hAnsi="Arial Narrow" w:cstheme="minorHAnsi"/>
                <w:sz w:val="20"/>
                <w:szCs w:val="20"/>
              </w:rPr>
              <w:t xml:space="preserve"> (CSR), 2023</w:t>
            </w:r>
          </w:p>
        </w:tc>
        <w:tc>
          <w:tcPr>
            <w:tcW w:w="1285" w:type="dxa"/>
            <w:vAlign w:val="center"/>
          </w:tcPr>
          <w:p w14:paraId="0572CE2C" w14:textId="3DA179EA" w:rsidR="00D5133B" w:rsidRPr="0062012F" w:rsidRDefault="00D5133B" w:rsidP="00722CB4">
            <w:pPr>
              <w:pStyle w:val="NoSpacing"/>
              <w:jc w:val="center"/>
              <w:rPr>
                <w:rFonts w:ascii="Arial Narrow" w:hAnsi="Arial Narrow" w:cstheme="minorHAnsi"/>
                <w:sz w:val="20"/>
                <w:szCs w:val="20"/>
              </w:rPr>
            </w:pPr>
            <w:r w:rsidRPr="0062012F">
              <w:rPr>
                <w:rFonts w:ascii="Cambria Math" w:hAnsi="Cambria Math" w:cs="Cambria Math"/>
                <w:color w:val="388600"/>
                <w:sz w:val="20"/>
                <w:szCs w:val="20"/>
              </w:rPr>
              <w:t>⨁⨁⨁</w:t>
            </w:r>
            <w:r w:rsidRPr="0062012F">
              <w:rPr>
                <w:rFonts w:ascii="Cambria Math" w:hAnsi="Cambria Math" w:cs="Cambria Math"/>
                <w:color w:val="C00000"/>
                <w:sz w:val="20"/>
                <w:szCs w:val="20"/>
              </w:rPr>
              <w:t>⨀</w:t>
            </w:r>
            <w:r w:rsidRPr="0062012F">
              <w:rPr>
                <w:rFonts w:ascii="Arial Narrow" w:hAnsi="Arial Narrow"/>
                <w:sz w:val="20"/>
                <w:szCs w:val="20"/>
              </w:rPr>
              <w:t xml:space="preserve"> MODERATE</w:t>
            </w:r>
          </w:p>
        </w:tc>
      </w:tr>
    </w:tbl>
    <w:p w14:paraId="45B13182" w14:textId="3743AD0C" w:rsidR="00C36DAA" w:rsidRDefault="003C1F51" w:rsidP="002972E4">
      <w:pPr>
        <w:pStyle w:val="TableFooter"/>
      </w:pPr>
      <w:r>
        <w:t>Source: Table 41 p 118 of the ADAR</w:t>
      </w:r>
      <w:r w:rsidR="00197D64">
        <w:t xml:space="preserve">, </w:t>
      </w:r>
      <w:r w:rsidR="00F97ADA">
        <w:t>Commentary Table 1 p12</w:t>
      </w:r>
      <w:r w:rsidR="00E72902">
        <w:t>9</w:t>
      </w:r>
      <w:r w:rsidR="00F97ADA">
        <w:t>,</w:t>
      </w:r>
      <w:r w:rsidR="004838D8">
        <w:t xml:space="preserve"> of</w:t>
      </w:r>
      <w:r w:rsidR="00F97ADA">
        <w:t xml:space="preserve"> </w:t>
      </w:r>
      <w:r w:rsidR="004838D8">
        <w:t>MSAC 1593.1 – ADAR + in-line commentary</w:t>
      </w:r>
      <w:r w:rsidR="00197D64">
        <w:t xml:space="preserve"> and compiled during evaluation</w:t>
      </w:r>
    </w:p>
    <w:p w14:paraId="65E40305" w14:textId="72741514" w:rsidR="008100FD" w:rsidRDefault="00C36DAA" w:rsidP="002972E4">
      <w:pPr>
        <w:pStyle w:val="TableFooter"/>
      </w:pPr>
      <w:r w:rsidRPr="00C36DAA">
        <w:t>Abbreviations: CSR = Clinical Study Report;</w:t>
      </w:r>
      <w:r w:rsidR="00C91E15">
        <w:t xml:space="preserve"> n = number of cases; N = total number;</w:t>
      </w:r>
      <w:r w:rsidRPr="00C36DAA">
        <w:t xml:space="preserve"> RR = relative risk</w:t>
      </w:r>
    </w:p>
    <w:p w14:paraId="294C58EF" w14:textId="732859DB" w:rsidR="00B21F5A" w:rsidRDefault="00EF6C1F" w:rsidP="00EF6C1F">
      <w:pPr>
        <w:pStyle w:val="TableFooter"/>
      </w:pPr>
      <w:r w:rsidRPr="00EF6C1F">
        <w:t>*</w:t>
      </w:r>
      <w:r>
        <w:t xml:space="preserve"> </w:t>
      </w:r>
      <w:proofErr w:type="gramStart"/>
      <w:r>
        <w:t>relative</w:t>
      </w:r>
      <w:proofErr w:type="gramEnd"/>
      <w:r>
        <w:t xml:space="preserve"> risk estimated using</w:t>
      </w:r>
      <w:r w:rsidR="00647D16">
        <w:t xml:space="preserve"> a </w:t>
      </w:r>
      <w:r w:rsidR="004F5A3A" w:rsidRPr="004F5A3A">
        <w:t>continuity correction</w:t>
      </w:r>
      <w:r w:rsidR="004F5A3A">
        <w:t xml:space="preserve"> of </w:t>
      </w:r>
      <w:r w:rsidR="004F5A3A" w:rsidRPr="004F5A3A">
        <w:t>0.5</w:t>
      </w:r>
      <w:r w:rsidR="00B21F5A">
        <w:t>.</w:t>
      </w:r>
    </w:p>
    <w:p w14:paraId="542E06FF" w14:textId="35FF96E3" w:rsidR="005C1425" w:rsidRDefault="002972E4" w:rsidP="00EF6C1F">
      <w:pPr>
        <w:pStyle w:val="TableFooter"/>
      </w:pPr>
      <w:r w:rsidRPr="002972E4">
        <w:t>** Patient died due to unrelated cardiac episode eight months after index procedure</w:t>
      </w:r>
      <w:r w:rsidR="00455C28">
        <w:t>.</w:t>
      </w:r>
    </w:p>
    <w:p w14:paraId="0FF8C22E" w14:textId="117DE1D5" w:rsidR="002972E4" w:rsidRDefault="005C1425" w:rsidP="002972E4">
      <w:pPr>
        <w:pStyle w:val="TableFooter"/>
      </w:pPr>
      <w:r w:rsidRPr="005C1425">
        <w:rPr>
          <w:rFonts w:ascii="Cambria Math" w:hAnsi="Cambria Math" w:cs="Cambria Math"/>
          <w:vertAlign w:val="superscript"/>
        </w:rPr>
        <w:t>a</w:t>
      </w:r>
      <w:r>
        <w:rPr>
          <w:rFonts w:ascii="Cambria Math" w:hAnsi="Cambria Math" w:cs="Cambria Math"/>
          <w:vertAlign w:val="superscript"/>
        </w:rPr>
        <w:t xml:space="preserve"> </w:t>
      </w:r>
      <w:r w:rsidR="00455C28" w:rsidRPr="003A6C00">
        <w:rPr>
          <w:rFonts w:ascii="Cambria Math" w:hAnsi="Cambria Math" w:cs="Cambria Math"/>
          <w:color w:val="388600"/>
        </w:rPr>
        <w:t>⨁⨁⨁⨁</w:t>
      </w:r>
      <w:r w:rsidR="00455C28" w:rsidRPr="00455C28">
        <w:t xml:space="preserve"> High quality: Very confident that the true effect lies close to that of the estimate of effect. </w:t>
      </w:r>
      <w:r w:rsidR="00455C28" w:rsidRPr="003A6C00">
        <w:rPr>
          <w:rFonts w:ascii="Cambria Math" w:hAnsi="Cambria Math" w:cs="Cambria Math"/>
          <w:color w:val="388600"/>
        </w:rPr>
        <w:t>⨁⨁⨁</w:t>
      </w:r>
      <w:r w:rsidR="00455C28" w:rsidRPr="005C1425">
        <w:rPr>
          <w:rFonts w:ascii="Cambria Math" w:hAnsi="Cambria Math" w:cs="Cambria Math"/>
          <w:color w:val="C00000"/>
        </w:rPr>
        <w:t>⨀</w:t>
      </w:r>
      <w:r w:rsidR="00455C28" w:rsidRPr="00455C28">
        <w:t xml:space="preserve"> Moderate quality: Moderately confident in the effect estimate: The true effect is likely to be close to the estimate of the effect, but there is a possibility that it is substantially different. </w:t>
      </w:r>
      <w:r w:rsidR="00455C28" w:rsidRPr="003A6C00">
        <w:rPr>
          <w:rFonts w:ascii="Cambria Math" w:hAnsi="Cambria Math" w:cs="Cambria Math"/>
          <w:color w:val="388600"/>
        </w:rPr>
        <w:t>⨁⨁</w:t>
      </w:r>
      <w:r w:rsidR="00455C28" w:rsidRPr="005C1425">
        <w:rPr>
          <w:rFonts w:ascii="Cambria Math" w:hAnsi="Cambria Math" w:cs="Cambria Math"/>
          <w:color w:val="C00000"/>
        </w:rPr>
        <w:t>⨀⨀</w:t>
      </w:r>
      <w:r w:rsidR="00455C28" w:rsidRPr="00455C28">
        <w:t xml:space="preserve"> Low quality: Confidence in the effect estimate is limited: The true effect may be substantially different from the estimate of the effect. </w:t>
      </w:r>
      <w:r w:rsidR="00455C28" w:rsidRPr="003A6C00">
        <w:rPr>
          <w:rFonts w:ascii="Cambria Math" w:hAnsi="Cambria Math" w:cs="Cambria Math"/>
          <w:color w:val="388600"/>
        </w:rPr>
        <w:t>⨁</w:t>
      </w:r>
      <w:r w:rsidR="00455C28" w:rsidRPr="005C1425">
        <w:rPr>
          <w:rFonts w:ascii="Cambria Math" w:hAnsi="Cambria Math" w:cs="Cambria Math"/>
          <w:color w:val="C00000"/>
        </w:rPr>
        <w:t>⨀⨀⨀</w:t>
      </w:r>
      <w:r w:rsidR="00455C28" w:rsidRPr="00455C28">
        <w:t xml:space="preserve"> Very low quality: Very little confidence in the effect estimates: The true effect is likely to be substantially different from the estimate of effect.</w:t>
      </w:r>
    </w:p>
    <w:p w14:paraId="135234B1" w14:textId="77777777" w:rsidR="00A85BC6" w:rsidRPr="0062012F" w:rsidRDefault="00A85BC6" w:rsidP="0062012F">
      <w:pPr>
        <w:pStyle w:val="Heading4"/>
        <w:spacing w:before="0" w:after="120"/>
      </w:pPr>
      <w:r w:rsidRPr="0062012F">
        <w:t>Supplementary Evidence</w:t>
      </w:r>
    </w:p>
    <w:p w14:paraId="533B73E3" w14:textId="7950D7B3" w:rsidR="003031FC" w:rsidRDefault="00A51FA7" w:rsidP="00A51FA7">
      <w:r>
        <w:t>The ADAR presented supplementary evidence for FTRCT in the form of a systematic review and meta-analysis (</w:t>
      </w:r>
      <w:r w:rsidRPr="0036391C">
        <w:t>Warren et al</w:t>
      </w:r>
      <w:r w:rsidR="00EC4409">
        <w:t>.,</w:t>
      </w:r>
      <w:r w:rsidRPr="0036391C">
        <w:t xml:space="preserve"> (2024)</w:t>
      </w:r>
      <w:r>
        <w:t>) and single arm studies</w:t>
      </w:r>
      <w:r w:rsidR="00EC4409">
        <w:t xml:space="preserve">. In </w:t>
      </w:r>
      <w:r w:rsidR="00693631">
        <w:t>addition,</w:t>
      </w:r>
      <w:r w:rsidR="00EC4409">
        <w:t xml:space="preserve"> the </w:t>
      </w:r>
      <w:r w:rsidR="00693631">
        <w:t>ADAR</w:t>
      </w:r>
      <w:r>
        <w:t xml:space="preserve"> provid</w:t>
      </w:r>
      <w:r w:rsidR="00693631">
        <w:t>ed</w:t>
      </w:r>
      <w:r>
        <w:t xml:space="preserve"> single arm studies for PTRCT and a systematic review that combined both FTRCT and PTRCT (</w:t>
      </w:r>
      <w:r w:rsidRPr="0004467B">
        <w:t>Hurley et al., 2025</w:t>
      </w:r>
      <w:r>
        <w:t xml:space="preserve">). </w:t>
      </w:r>
      <w:r w:rsidR="00693631" w:rsidRPr="0004467B">
        <w:t>Hurley et al., 2025</w:t>
      </w:r>
      <w:r w:rsidR="00693631">
        <w:t xml:space="preserve"> included all studies that were identified by the </w:t>
      </w:r>
      <w:r>
        <w:t xml:space="preserve">ADAR </w:t>
      </w:r>
      <w:r w:rsidR="00154203">
        <w:t>and has not been expanded on here</w:t>
      </w:r>
      <w:r>
        <w:t>. Only FTRCT evidence is presented below.</w:t>
      </w:r>
      <w:r w:rsidR="00983E96">
        <w:t xml:space="preserve"> </w:t>
      </w:r>
      <w:r w:rsidR="003B7E77">
        <w:fldChar w:fldCharType="begin"/>
      </w:r>
      <w:r w:rsidR="003B7E77">
        <w:instrText xml:space="preserve"> REF _Ref214891518 \h </w:instrText>
      </w:r>
      <w:r w:rsidR="003B7E77">
        <w:fldChar w:fldCharType="separate"/>
      </w:r>
      <w:r w:rsidR="003B7E77">
        <w:t xml:space="preserve">Table </w:t>
      </w:r>
      <w:r w:rsidR="003B7E77">
        <w:rPr>
          <w:noProof/>
        </w:rPr>
        <w:t>4</w:t>
      </w:r>
      <w:r w:rsidR="003B7E77">
        <w:fldChar w:fldCharType="end"/>
      </w:r>
      <w:r w:rsidR="003031FC">
        <w:t xml:space="preserve"> presents the comparative </w:t>
      </w:r>
      <w:r w:rsidR="008A202B">
        <w:t>analysis presented in Warren et al (2024).</w:t>
      </w:r>
    </w:p>
    <w:p w14:paraId="2F76CEEC" w14:textId="4A733861" w:rsidR="00FF0805" w:rsidRDefault="00C0475B" w:rsidP="00C0475B">
      <w:pPr>
        <w:pStyle w:val="Caption"/>
      </w:pPr>
      <w:bookmarkStart w:id="23" w:name="_Ref214891518"/>
      <w:r>
        <w:lastRenderedPageBreak/>
        <w:t xml:space="preserve">Table </w:t>
      </w:r>
      <w:r>
        <w:fldChar w:fldCharType="begin"/>
      </w:r>
      <w:r>
        <w:instrText xml:space="preserve"> SEQ Table \* ARABIC </w:instrText>
      </w:r>
      <w:r>
        <w:fldChar w:fldCharType="separate"/>
      </w:r>
      <w:r w:rsidR="00564C3F">
        <w:rPr>
          <w:noProof/>
        </w:rPr>
        <w:t>4</w:t>
      </w:r>
      <w:r>
        <w:fldChar w:fldCharType="end"/>
      </w:r>
      <w:bookmarkEnd w:id="23"/>
      <w:r>
        <w:tab/>
      </w:r>
      <w:r w:rsidR="00FF0805" w:rsidRPr="00522754">
        <w:t xml:space="preserve">Overall complication rate adapted from (Warren et al., 2024) for FTRCT patients vs standard </w:t>
      </w:r>
      <w:r w:rsidR="00911C16" w:rsidRPr="00911C16">
        <w:t xml:space="preserve">rotator cuff repair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3192"/>
        <w:gridCol w:w="2659"/>
      </w:tblGrid>
      <w:tr w:rsidR="00FF0805" w:rsidRPr="0062012F" w14:paraId="168385DF" w14:textId="77777777" w:rsidTr="00FA150F">
        <w:tc>
          <w:tcPr>
            <w:tcW w:w="3165" w:type="dxa"/>
            <w:shd w:val="clear" w:color="auto" w:fill="DBDBDB" w:themeFill="accent3" w:themeFillTint="66"/>
          </w:tcPr>
          <w:p w14:paraId="2013685D" w14:textId="77777777" w:rsidR="00FF0805" w:rsidRPr="0062012F" w:rsidRDefault="00FF0805" w:rsidP="0062012F">
            <w:pPr>
              <w:keepNext/>
              <w:keepLines/>
              <w:rPr>
                <w:rFonts w:ascii="Arial Narrow" w:hAnsi="Arial Narrow" w:cstheme="minorHAnsi"/>
                <w:sz w:val="20"/>
                <w:szCs w:val="20"/>
              </w:rPr>
            </w:pPr>
            <w:r w:rsidRPr="0062012F">
              <w:rPr>
                <w:rFonts w:ascii="Arial Narrow" w:hAnsi="Arial Narrow" w:cstheme="minorHAnsi"/>
                <w:sz w:val="20"/>
                <w:szCs w:val="20"/>
              </w:rPr>
              <w:t>Complication type</w:t>
            </w:r>
          </w:p>
        </w:tc>
        <w:tc>
          <w:tcPr>
            <w:tcW w:w="3192" w:type="dxa"/>
            <w:shd w:val="clear" w:color="auto" w:fill="DBDBDB" w:themeFill="accent3" w:themeFillTint="66"/>
          </w:tcPr>
          <w:p w14:paraId="2397850A" w14:textId="2BC5289A" w:rsidR="00FF0805" w:rsidRPr="0062012F" w:rsidRDefault="00611C7A" w:rsidP="0062012F">
            <w:pPr>
              <w:keepNext/>
              <w:keepLines/>
              <w:rPr>
                <w:rFonts w:ascii="Arial Narrow" w:hAnsi="Arial Narrow" w:cstheme="minorHAnsi"/>
                <w:sz w:val="20"/>
                <w:szCs w:val="20"/>
              </w:rPr>
            </w:pPr>
            <w:proofErr w:type="spellStart"/>
            <w:r w:rsidRPr="0062012F">
              <w:rPr>
                <w:rFonts w:ascii="Arial Narrow" w:hAnsi="Arial Narrow" w:cstheme="minorHAnsi"/>
                <w:sz w:val="20"/>
                <w:szCs w:val="20"/>
              </w:rPr>
              <w:t>Bioinductive</w:t>
            </w:r>
            <w:proofErr w:type="spellEnd"/>
            <w:r w:rsidRPr="0062012F">
              <w:rPr>
                <w:rFonts w:ascii="Arial Narrow" w:hAnsi="Arial Narrow" w:cstheme="minorHAnsi"/>
                <w:sz w:val="20"/>
                <w:szCs w:val="20"/>
              </w:rPr>
              <w:t xml:space="preserve"> collagen implant </w:t>
            </w:r>
          </w:p>
        </w:tc>
        <w:tc>
          <w:tcPr>
            <w:tcW w:w="2659" w:type="dxa"/>
            <w:shd w:val="clear" w:color="auto" w:fill="DBDBDB" w:themeFill="accent3" w:themeFillTint="66"/>
          </w:tcPr>
          <w:p w14:paraId="06D78E87" w14:textId="3B4B9BCC" w:rsidR="00FF0805" w:rsidRPr="0062012F" w:rsidRDefault="00B10341" w:rsidP="0062012F">
            <w:pPr>
              <w:keepNext/>
              <w:keepLines/>
              <w:rPr>
                <w:rFonts w:ascii="Arial Narrow" w:hAnsi="Arial Narrow" w:cstheme="minorHAnsi"/>
                <w:sz w:val="20"/>
                <w:szCs w:val="20"/>
              </w:rPr>
            </w:pPr>
            <w:r w:rsidRPr="0062012F">
              <w:rPr>
                <w:rFonts w:ascii="Arial Narrow" w:hAnsi="Arial Narrow" w:cstheme="minorHAnsi"/>
                <w:sz w:val="20"/>
                <w:szCs w:val="20"/>
              </w:rPr>
              <w:t>S</w:t>
            </w:r>
            <w:r w:rsidR="000413A8" w:rsidRPr="0062012F">
              <w:rPr>
                <w:rFonts w:ascii="Arial Narrow" w:hAnsi="Arial Narrow" w:cstheme="minorHAnsi"/>
                <w:sz w:val="20"/>
                <w:szCs w:val="20"/>
              </w:rPr>
              <w:t>tandard surgical repair</w:t>
            </w:r>
          </w:p>
        </w:tc>
      </w:tr>
      <w:tr w:rsidR="00FF0805" w:rsidRPr="0062012F" w14:paraId="2E7426EC" w14:textId="77777777" w:rsidTr="00FA150F">
        <w:tc>
          <w:tcPr>
            <w:tcW w:w="3165" w:type="dxa"/>
          </w:tcPr>
          <w:p w14:paraId="4EB371A9" w14:textId="77777777" w:rsidR="00FF0805" w:rsidRPr="0062012F" w:rsidRDefault="00FF0805" w:rsidP="0062012F">
            <w:pPr>
              <w:keepNext/>
              <w:keepLines/>
              <w:rPr>
                <w:rFonts w:ascii="Arial Narrow" w:hAnsi="Arial Narrow" w:cstheme="minorHAnsi"/>
                <w:sz w:val="20"/>
                <w:szCs w:val="20"/>
              </w:rPr>
            </w:pPr>
            <w:r w:rsidRPr="0062012F">
              <w:rPr>
                <w:rFonts w:ascii="Arial Narrow" w:hAnsi="Arial Narrow" w:cstheme="minorHAnsi"/>
                <w:sz w:val="20"/>
                <w:szCs w:val="20"/>
              </w:rPr>
              <w:t>Complication rate</w:t>
            </w:r>
          </w:p>
        </w:tc>
        <w:tc>
          <w:tcPr>
            <w:tcW w:w="3192" w:type="dxa"/>
          </w:tcPr>
          <w:p w14:paraId="551C3C55" w14:textId="77777777" w:rsidR="00FF0805" w:rsidRPr="0062012F" w:rsidRDefault="00FF0805" w:rsidP="0062012F">
            <w:pPr>
              <w:keepNext/>
              <w:keepLines/>
              <w:rPr>
                <w:rFonts w:ascii="Arial Narrow" w:hAnsi="Arial Narrow" w:cstheme="minorHAnsi"/>
                <w:sz w:val="20"/>
                <w:szCs w:val="20"/>
              </w:rPr>
            </w:pPr>
            <w:r w:rsidRPr="0062012F">
              <w:rPr>
                <w:rFonts w:ascii="Arial Narrow" w:hAnsi="Arial Narrow" w:cstheme="minorHAnsi"/>
                <w:sz w:val="20"/>
                <w:szCs w:val="20"/>
              </w:rPr>
              <w:t>15.5%*</w:t>
            </w:r>
          </w:p>
        </w:tc>
        <w:tc>
          <w:tcPr>
            <w:tcW w:w="2659" w:type="dxa"/>
          </w:tcPr>
          <w:p w14:paraId="37435DD9" w14:textId="77777777" w:rsidR="00FF0805" w:rsidRPr="0062012F" w:rsidRDefault="00FF0805" w:rsidP="0062012F">
            <w:pPr>
              <w:keepNext/>
              <w:keepLines/>
              <w:rPr>
                <w:rFonts w:ascii="Arial Narrow" w:hAnsi="Arial Narrow" w:cstheme="minorHAnsi"/>
                <w:sz w:val="20"/>
                <w:szCs w:val="20"/>
              </w:rPr>
            </w:pPr>
            <w:r w:rsidRPr="0062012F">
              <w:rPr>
                <w:rFonts w:ascii="Arial Narrow" w:hAnsi="Arial Narrow" w:cstheme="minorHAnsi"/>
                <w:sz w:val="20"/>
                <w:szCs w:val="20"/>
              </w:rPr>
              <w:t>15.8%†</w:t>
            </w:r>
          </w:p>
        </w:tc>
      </w:tr>
      <w:tr w:rsidR="00FF0805" w:rsidRPr="0062012F" w14:paraId="72567C6D" w14:textId="77777777" w:rsidTr="00FA150F">
        <w:tc>
          <w:tcPr>
            <w:tcW w:w="3165" w:type="dxa"/>
          </w:tcPr>
          <w:p w14:paraId="39060473" w14:textId="77777777" w:rsidR="00FF0805" w:rsidRPr="0062012F" w:rsidRDefault="00FF0805" w:rsidP="0062012F">
            <w:pPr>
              <w:keepNext/>
              <w:keepLines/>
              <w:rPr>
                <w:rFonts w:ascii="Arial Narrow" w:hAnsi="Arial Narrow" w:cstheme="minorHAnsi"/>
                <w:sz w:val="20"/>
                <w:szCs w:val="20"/>
              </w:rPr>
            </w:pPr>
            <w:r w:rsidRPr="0062012F">
              <w:rPr>
                <w:rFonts w:ascii="Arial Narrow" w:hAnsi="Arial Narrow" w:cstheme="minorHAnsi"/>
                <w:sz w:val="20"/>
                <w:szCs w:val="20"/>
              </w:rPr>
              <w:t xml:space="preserve">Retear rate </w:t>
            </w:r>
          </w:p>
        </w:tc>
        <w:tc>
          <w:tcPr>
            <w:tcW w:w="3192" w:type="dxa"/>
          </w:tcPr>
          <w:p w14:paraId="36E58C04" w14:textId="77777777" w:rsidR="00FF0805" w:rsidRPr="0062012F" w:rsidRDefault="00FF0805" w:rsidP="0062012F">
            <w:pPr>
              <w:keepNext/>
              <w:keepLines/>
              <w:rPr>
                <w:rFonts w:ascii="Arial Narrow" w:hAnsi="Arial Narrow" w:cstheme="minorHAnsi"/>
                <w:sz w:val="20"/>
                <w:szCs w:val="20"/>
              </w:rPr>
            </w:pPr>
            <w:r w:rsidRPr="0062012F">
              <w:rPr>
                <w:rFonts w:ascii="Arial Narrow" w:hAnsi="Arial Narrow" w:cstheme="minorHAnsi"/>
                <w:sz w:val="20"/>
                <w:szCs w:val="20"/>
              </w:rPr>
              <w:t>8.3%*</w:t>
            </w:r>
          </w:p>
        </w:tc>
        <w:tc>
          <w:tcPr>
            <w:tcW w:w="2659" w:type="dxa"/>
          </w:tcPr>
          <w:p w14:paraId="1F393FEF" w14:textId="77777777" w:rsidR="00FF0805" w:rsidRPr="0062012F" w:rsidRDefault="00FF0805" w:rsidP="0062012F">
            <w:pPr>
              <w:keepNext/>
              <w:keepLines/>
              <w:rPr>
                <w:rFonts w:ascii="Arial Narrow" w:hAnsi="Arial Narrow" w:cstheme="minorHAnsi"/>
                <w:sz w:val="20"/>
                <w:szCs w:val="20"/>
              </w:rPr>
            </w:pPr>
            <w:r w:rsidRPr="0062012F">
              <w:rPr>
                <w:rFonts w:ascii="Arial Narrow" w:hAnsi="Arial Narrow" w:cstheme="minorHAnsi"/>
                <w:sz w:val="20"/>
                <w:szCs w:val="20"/>
              </w:rPr>
              <w:t>21%</w:t>
            </w:r>
            <w:r w:rsidRPr="0062012F">
              <w:rPr>
                <w:rFonts w:ascii="Arial" w:hAnsi="Arial" w:cs="Arial"/>
                <w:sz w:val="20"/>
                <w:szCs w:val="20"/>
              </w:rPr>
              <w:t>ɸ</w:t>
            </w:r>
          </w:p>
        </w:tc>
      </w:tr>
      <w:tr w:rsidR="00FF0805" w:rsidRPr="0062012F" w14:paraId="51BEBD90" w14:textId="77777777" w:rsidTr="00FA150F">
        <w:tc>
          <w:tcPr>
            <w:tcW w:w="3165" w:type="dxa"/>
          </w:tcPr>
          <w:p w14:paraId="7AF0622C" w14:textId="77777777" w:rsidR="00FF0805" w:rsidRPr="0062012F" w:rsidRDefault="00FF0805" w:rsidP="0062012F">
            <w:pPr>
              <w:keepNext/>
              <w:keepLines/>
              <w:rPr>
                <w:rFonts w:ascii="Arial Narrow" w:hAnsi="Arial Narrow" w:cstheme="minorHAnsi"/>
                <w:sz w:val="20"/>
                <w:szCs w:val="20"/>
              </w:rPr>
            </w:pPr>
            <w:r w:rsidRPr="0062012F">
              <w:rPr>
                <w:rFonts w:ascii="Arial Narrow" w:hAnsi="Arial Narrow" w:cstheme="minorHAnsi"/>
                <w:sz w:val="20"/>
                <w:szCs w:val="20"/>
              </w:rPr>
              <w:t>Revision surgery</w:t>
            </w:r>
          </w:p>
        </w:tc>
        <w:tc>
          <w:tcPr>
            <w:tcW w:w="3192" w:type="dxa"/>
          </w:tcPr>
          <w:p w14:paraId="72F3267F" w14:textId="77777777" w:rsidR="00FF0805" w:rsidRPr="0062012F" w:rsidRDefault="00FF0805" w:rsidP="0062012F">
            <w:pPr>
              <w:keepNext/>
              <w:keepLines/>
              <w:rPr>
                <w:rFonts w:ascii="Arial Narrow" w:hAnsi="Arial Narrow" w:cstheme="minorHAnsi"/>
                <w:sz w:val="20"/>
                <w:szCs w:val="20"/>
              </w:rPr>
            </w:pPr>
            <w:r w:rsidRPr="0062012F">
              <w:rPr>
                <w:rFonts w:ascii="Arial Narrow" w:hAnsi="Arial Narrow" w:cstheme="minorHAnsi"/>
                <w:sz w:val="20"/>
                <w:szCs w:val="20"/>
              </w:rPr>
              <w:t>8.5%</w:t>
            </w:r>
          </w:p>
        </w:tc>
        <w:tc>
          <w:tcPr>
            <w:tcW w:w="2659" w:type="dxa"/>
          </w:tcPr>
          <w:p w14:paraId="7518C15B" w14:textId="77777777" w:rsidR="00FF0805" w:rsidRPr="0062012F" w:rsidRDefault="00FF0805" w:rsidP="0062012F">
            <w:pPr>
              <w:keepNext/>
              <w:keepLines/>
              <w:rPr>
                <w:rFonts w:ascii="Arial Narrow" w:hAnsi="Arial Narrow" w:cstheme="minorHAnsi"/>
                <w:sz w:val="20"/>
                <w:szCs w:val="20"/>
              </w:rPr>
            </w:pPr>
            <w:r w:rsidRPr="0062012F">
              <w:rPr>
                <w:rFonts w:ascii="Arial Narrow" w:hAnsi="Arial Narrow" w:cstheme="minorHAnsi"/>
                <w:sz w:val="20"/>
                <w:szCs w:val="20"/>
              </w:rPr>
              <w:t>9.6%β</w:t>
            </w:r>
          </w:p>
        </w:tc>
      </w:tr>
      <w:tr w:rsidR="00FF0805" w:rsidRPr="0062012F" w14:paraId="22F84151" w14:textId="77777777" w:rsidTr="00FA150F">
        <w:tc>
          <w:tcPr>
            <w:tcW w:w="3165" w:type="dxa"/>
          </w:tcPr>
          <w:p w14:paraId="1D7B20BF" w14:textId="77777777" w:rsidR="00FF0805" w:rsidRPr="0062012F" w:rsidRDefault="00FF0805" w:rsidP="0062012F">
            <w:pPr>
              <w:keepNext/>
              <w:keepLines/>
              <w:rPr>
                <w:rFonts w:ascii="Arial Narrow" w:hAnsi="Arial Narrow" w:cstheme="minorHAnsi"/>
                <w:sz w:val="20"/>
                <w:szCs w:val="20"/>
              </w:rPr>
            </w:pPr>
            <w:r w:rsidRPr="0062012F">
              <w:rPr>
                <w:rFonts w:ascii="Arial Narrow" w:hAnsi="Arial Narrow" w:cstheme="minorHAnsi"/>
                <w:sz w:val="20"/>
                <w:szCs w:val="20"/>
              </w:rPr>
              <w:t xml:space="preserve">Shoulder stiffness </w:t>
            </w:r>
          </w:p>
        </w:tc>
        <w:tc>
          <w:tcPr>
            <w:tcW w:w="3192" w:type="dxa"/>
          </w:tcPr>
          <w:p w14:paraId="17A3F44A" w14:textId="77777777" w:rsidR="00FF0805" w:rsidRPr="0062012F" w:rsidRDefault="00FF0805" w:rsidP="0062012F">
            <w:pPr>
              <w:keepNext/>
              <w:keepLines/>
              <w:rPr>
                <w:rFonts w:ascii="Arial Narrow" w:hAnsi="Arial Narrow" w:cstheme="minorHAnsi"/>
                <w:sz w:val="20"/>
                <w:szCs w:val="20"/>
              </w:rPr>
            </w:pPr>
            <w:r w:rsidRPr="0062012F">
              <w:rPr>
                <w:rFonts w:ascii="Arial Narrow" w:hAnsi="Arial Narrow" w:cstheme="minorHAnsi"/>
                <w:sz w:val="20"/>
                <w:szCs w:val="20"/>
              </w:rPr>
              <w:t>1.8%</w:t>
            </w:r>
          </w:p>
        </w:tc>
        <w:tc>
          <w:tcPr>
            <w:tcW w:w="2659" w:type="dxa"/>
          </w:tcPr>
          <w:p w14:paraId="07DF7781" w14:textId="77777777" w:rsidR="00FF0805" w:rsidRPr="0062012F" w:rsidRDefault="00FF0805" w:rsidP="0062012F">
            <w:pPr>
              <w:keepNext/>
              <w:keepLines/>
              <w:rPr>
                <w:rFonts w:ascii="Arial Narrow" w:hAnsi="Arial Narrow" w:cstheme="minorHAnsi"/>
                <w:sz w:val="20"/>
                <w:szCs w:val="20"/>
              </w:rPr>
            </w:pPr>
            <w:r w:rsidRPr="0062012F">
              <w:rPr>
                <w:rFonts w:ascii="Arial Narrow" w:hAnsi="Arial Narrow" w:cstheme="minorHAnsi"/>
                <w:sz w:val="20"/>
                <w:szCs w:val="20"/>
              </w:rPr>
              <w:t>7.6%†</w:t>
            </w:r>
          </w:p>
        </w:tc>
      </w:tr>
    </w:tbl>
    <w:p w14:paraId="47FF2213" w14:textId="4AF39F24" w:rsidR="00FF0805" w:rsidRPr="0062012F" w:rsidRDefault="00FF0805" w:rsidP="0062012F">
      <w:pPr>
        <w:pStyle w:val="CaptionFootnote"/>
        <w:keepNext/>
        <w:keepLines/>
        <w:rPr>
          <w:rFonts w:ascii="Arial Narrow" w:hAnsi="Arial Narrow"/>
          <w:sz w:val="18"/>
          <w:szCs w:val="18"/>
        </w:rPr>
      </w:pPr>
      <w:r w:rsidRPr="0062012F">
        <w:rPr>
          <w:rFonts w:ascii="Arial Narrow" w:hAnsi="Arial Narrow"/>
          <w:sz w:val="18"/>
          <w:szCs w:val="18"/>
        </w:rPr>
        <w:t xml:space="preserve">Source: Table </w:t>
      </w:r>
      <w:r w:rsidR="00156D20" w:rsidRPr="0062012F">
        <w:rPr>
          <w:rFonts w:ascii="Arial Narrow" w:hAnsi="Arial Narrow"/>
          <w:sz w:val="18"/>
          <w:szCs w:val="18"/>
        </w:rPr>
        <w:t>45 p 122 of the ADAR</w:t>
      </w:r>
    </w:p>
    <w:p w14:paraId="04EE4F9F" w14:textId="77777777" w:rsidR="00FF0805" w:rsidRPr="0062012F" w:rsidRDefault="00FF0805" w:rsidP="0062012F">
      <w:pPr>
        <w:pStyle w:val="CaptionFootnote"/>
        <w:keepNext/>
        <w:keepLines/>
        <w:rPr>
          <w:rFonts w:ascii="Arial Narrow" w:hAnsi="Arial Narrow"/>
          <w:sz w:val="18"/>
          <w:szCs w:val="18"/>
        </w:rPr>
      </w:pPr>
      <w:r w:rsidRPr="0062012F">
        <w:rPr>
          <w:rFonts w:ascii="Arial Narrow" w:hAnsi="Arial Narrow"/>
          <w:sz w:val="18"/>
          <w:szCs w:val="18"/>
        </w:rPr>
        <w:t xml:space="preserve">* Results of meta-analysis. </w:t>
      </w:r>
    </w:p>
    <w:p w14:paraId="45714999" w14:textId="2A7FB885" w:rsidR="00FF0805" w:rsidRPr="0062012F" w:rsidRDefault="00FF0805" w:rsidP="0062012F">
      <w:pPr>
        <w:pStyle w:val="CaptionFootnote"/>
        <w:keepNext/>
        <w:keepLines/>
        <w:rPr>
          <w:rFonts w:ascii="Arial Narrow" w:hAnsi="Arial Narrow"/>
          <w:sz w:val="18"/>
          <w:szCs w:val="18"/>
        </w:rPr>
      </w:pPr>
      <w:r w:rsidRPr="0062012F">
        <w:rPr>
          <w:rFonts w:ascii="Arial Narrow" w:hAnsi="Arial Narrow" w:cstheme="minorHAnsi"/>
          <w:sz w:val="18"/>
          <w:szCs w:val="18"/>
        </w:rPr>
        <w:t>†</w:t>
      </w:r>
      <w:r w:rsidRPr="0062012F">
        <w:rPr>
          <w:rFonts w:ascii="Arial Narrow" w:hAnsi="Arial Narrow"/>
          <w:sz w:val="18"/>
          <w:szCs w:val="18"/>
        </w:rPr>
        <w:t xml:space="preserve"> Registry of 1661 rotator cuff repairs</w:t>
      </w:r>
    </w:p>
    <w:p w14:paraId="26214D52" w14:textId="40B49F47" w:rsidR="00FF0805" w:rsidRPr="0062012F" w:rsidRDefault="00FF0805" w:rsidP="0062012F">
      <w:pPr>
        <w:pStyle w:val="CaptionFootnote"/>
        <w:keepNext/>
        <w:keepLines/>
        <w:rPr>
          <w:rFonts w:ascii="Arial Narrow" w:hAnsi="Arial Narrow"/>
          <w:sz w:val="18"/>
          <w:szCs w:val="18"/>
        </w:rPr>
      </w:pPr>
      <w:r w:rsidRPr="0062012F">
        <w:rPr>
          <w:rFonts w:ascii="Arial" w:hAnsi="Arial" w:cs="Arial"/>
          <w:sz w:val="18"/>
          <w:szCs w:val="18"/>
        </w:rPr>
        <w:t>ɸ</w:t>
      </w:r>
      <w:r w:rsidR="00125FE9" w:rsidRPr="0062012F">
        <w:rPr>
          <w:rFonts w:ascii="Arial Narrow" w:hAnsi="Arial Narrow" w:cstheme="minorHAnsi"/>
          <w:sz w:val="18"/>
          <w:szCs w:val="18"/>
        </w:rPr>
        <w:t xml:space="preserve"> </w:t>
      </w:r>
      <w:r w:rsidRPr="0062012F">
        <w:rPr>
          <w:rFonts w:ascii="Arial Narrow" w:hAnsi="Arial Narrow"/>
          <w:sz w:val="18"/>
          <w:szCs w:val="18"/>
        </w:rPr>
        <w:t xml:space="preserve">Level II meta-analysis. </w:t>
      </w:r>
    </w:p>
    <w:p w14:paraId="66A01B5A" w14:textId="43A2AC1A" w:rsidR="00FF0805" w:rsidRPr="0062012F" w:rsidRDefault="00FF0805" w:rsidP="0062012F">
      <w:pPr>
        <w:pStyle w:val="CaptionFootnote"/>
        <w:keepNext/>
        <w:keepLines/>
        <w:rPr>
          <w:rFonts w:ascii="Arial Narrow" w:hAnsi="Arial Narrow"/>
          <w:sz w:val="18"/>
          <w:szCs w:val="18"/>
        </w:rPr>
      </w:pPr>
      <w:r w:rsidRPr="0062012F">
        <w:rPr>
          <w:rFonts w:ascii="Arial Narrow" w:hAnsi="Arial Narrow" w:cstheme="minorHAnsi"/>
          <w:sz w:val="18"/>
          <w:szCs w:val="18"/>
        </w:rPr>
        <w:t>β</w:t>
      </w:r>
      <w:r w:rsidRPr="0062012F">
        <w:rPr>
          <w:rFonts w:ascii="Arial Narrow" w:hAnsi="Arial Narrow"/>
          <w:sz w:val="18"/>
          <w:szCs w:val="18"/>
        </w:rPr>
        <w:t xml:space="preserve"> Humana insurance claims database. </w:t>
      </w:r>
    </w:p>
    <w:p w14:paraId="3C950EF6" w14:textId="77777777" w:rsidR="007317DD" w:rsidRDefault="00525BB1" w:rsidP="00CD4B62">
      <w:r>
        <w:t xml:space="preserve">Overall, the commentary noted that the </w:t>
      </w:r>
      <w:r w:rsidR="003031FC">
        <w:t xml:space="preserve">data from Warren et al (2024) was difficult to interpret due to the high risk of bias and the variability across the study designs. </w:t>
      </w:r>
    </w:p>
    <w:p w14:paraId="7AC51A48" w14:textId="7B743308" w:rsidR="00154203" w:rsidRDefault="00B141D0" w:rsidP="00CD4B62">
      <w:r>
        <w:fldChar w:fldCharType="begin"/>
      </w:r>
      <w:r>
        <w:instrText xml:space="preserve"> REF _Ref197514633 \h </w:instrText>
      </w:r>
      <w:r>
        <w:fldChar w:fldCharType="separate"/>
      </w:r>
      <w:r w:rsidR="00397B59">
        <w:fldChar w:fldCharType="begin"/>
      </w:r>
      <w:r w:rsidR="00397B59">
        <w:instrText xml:space="preserve"> REF _Ref214891563 \h </w:instrText>
      </w:r>
      <w:r w:rsidR="00397B59">
        <w:fldChar w:fldCharType="separate"/>
      </w:r>
      <w:r w:rsidR="00397B59">
        <w:t xml:space="preserve">Table </w:t>
      </w:r>
      <w:r w:rsidR="00397B59">
        <w:rPr>
          <w:noProof/>
        </w:rPr>
        <w:t>5</w:t>
      </w:r>
      <w:r w:rsidR="00397B59">
        <w:fldChar w:fldCharType="end"/>
      </w:r>
      <w:r>
        <w:fldChar w:fldCharType="end"/>
      </w:r>
      <w:r>
        <w:t xml:space="preserve"> </w:t>
      </w:r>
      <w:r w:rsidR="00154203">
        <w:t xml:space="preserve">presents the </w:t>
      </w:r>
      <w:r w:rsidR="00341702">
        <w:t>single arm evidence provided by the ADAR</w:t>
      </w:r>
      <w:r>
        <w:t xml:space="preserve"> and modified during </w:t>
      </w:r>
      <w:r w:rsidR="003C5DC5">
        <w:t>commentary evaluation</w:t>
      </w:r>
      <w:r w:rsidR="00154203">
        <w:t>.</w:t>
      </w:r>
      <w:r w:rsidR="003C5DC5">
        <w:t xml:space="preserve"> The commentary noted that</w:t>
      </w:r>
      <w:r w:rsidR="003C5DC5" w:rsidRPr="0014721F">
        <w:t xml:space="preserve"> the approach used </w:t>
      </w:r>
      <w:r w:rsidR="003C5DC5">
        <w:t xml:space="preserve">by the ADAR </w:t>
      </w:r>
      <w:r w:rsidR="003C5DC5" w:rsidRPr="0014721F">
        <w:t>to combine</w:t>
      </w:r>
      <w:r w:rsidR="003C5DC5">
        <w:t xml:space="preserve"> study</w:t>
      </w:r>
      <w:r w:rsidR="003C5DC5" w:rsidRPr="0014721F">
        <w:t xml:space="preserve"> results</w:t>
      </w:r>
      <w:r w:rsidR="003C5DC5">
        <w:t xml:space="preserve"> to form a point estimate</w:t>
      </w:r>
      <w:r w:rsidR="003C5DC5" w:rsidRPr="0014721F">
        <w:t xml:space="preserve"> was</w:t>
      </w:r>
      <w:r w:rsidR="003C5DC5">
        <w:t xml:space="preserve"> not stated in the evidence presented</w:t>
      </w:r>
      <w:r w:rsidR="00060ECA">
        <w:t xml:space="preserve"> and could not be replicated; </w:t>
      </w:r>
      <w:r w:rsidR="005A789B">
        <w:t>therefore,</w:t>
      </w:r>
      <w:r w:rsidR="00060ECA">
        <w:t xml:space="preserve"> the following table includes the raw data from the </w:t>
      </w:r>
      <w:r w:rsidR="009A64C4">
        <w:t>clinical studies.</w:t>
      </w:r>
    </w:p>
    <w:p w14:paraId="3C1926D4" w14:textId="5412008A" w:rsidR="00FA2426" w:rsidRDefault="00C0475B" w:rsidP="00C0475B">
      <w:pPr>
        <w:pStyle w:val="Caption"/>
      </w:pPr>
      <w:bookmarkStart w:id="24" w:name="_Ref214891563"/>
      <w:r>
        <w:lastRenderedPageBreak/>
        <w:t xml:space="preserve">Table </w:t>
      </w:r>
      <w:r>
        <w:fldChar w:fldCharType="begin"/>
      </w:r>
      <w:r>
        <w:instrText xml:space="preserve"> SEQ Table \* ARABIC </w:instrText>
      </w:r>
      <w:r>
        <w:fldChar w:fldCharType="separate"/>
      </w:r>
      <w:r w:rsidR="00564C3F">
        <w:rPr>
          <w:noProof/>
        </w:rPr>
        <w:t>5</w:t>
      </w:r>
      <w:r>
        <w:fldChar w:fldCharType="end"/>
      </w:r>
      <w:bookmarkEnd w:id="24"/>
      <w:r>
        <w:tab/>
      </w:r>
      <w:r w:rsidR="00FA2426" w:rsidRPr="00076B4D">
        <w:t>Overall complication rate adapted from</w:t>
      </w:r>
      <w:r w:rsidR="009432AE">
        <w:t xml:space="preserve"> the single arm studies (and </w:t>
      </w:r>
      <w:r w:rsidR="006920CF">
        <w:t xml:space="preserve">the </w:t>
      </w:r>
      <w:proofErr w:type="spellStart"/>
      <w:r w:rsidR="006920CF">
        <w:t>bioinductive</w:t>
      </w:r>
      <w:proofErr w:type="spellEnd"/>
      <w:r w:rsidR="006920CF">
        <w:t xml:space="preserve"> repair arm of Ruiz </w:t>
      </w:r>
      <w:proofErr w:type="spellStart"/>
      <w:r w:rsidR="009C5152">
        <w:t>Ibán</w:t>
      </w:r>
      <w:proofErr w:type="spellEnd"/>
      <w:r w:rsidR="006920CF">
        <w:t xml:space="preserve"> (CSR) 2023)</w:t>
      </w:r>
      <w:r w:rsidR="005C7B5A">
        <w:t xml:space="preserve"> presented in the ADAR</w:t>
      </w:r>
      <w:r w:rsidR="006920CF">
        <w:t xml:space="preserve"> </w:t>
      </w:r>
      <w:r w:rsidR="00FA2426" w:rsidRPr="00076B4D">
        <w:t xml:space="preserv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5722"/>
      </w:tblGrid>
      <w:tr w:rsidR="00B141D0" w:rsidRPr="0062012F" w14:paraId="6FB261BB" w14:textId="77777777" w:rsidTr="00FA150F">
        <w:trPr>
          <w:trHeight w:val="47"/>
        </w:trPr>
        <w:tc>
          <w:tcPr>
            <w:tcW w:w="1827" w:type="pct"/>
            <w:shd w:val="clear" w:color="auto" w:fill="D9D9D9" w:themeFill="background1" w:themeFillShade="D9"/>
          </w:tcPr>
          <w:p w14:paraId="70ECD828" w14:textId="77777777" w:rsidR="00B141D0" w:rsidRPr="0062012F" w:rsidRDefault="00B141D0" w:rsidP="00865ECD">
            <w:pPr>
              <w:keepNext/>
              <w:keepLines/>
              <w:spacing w:before="0"/>
              <w:rPr>
                <w:rFonts w:ascii="Arial Narrow" w:eastAsia="Aptos" w:hAnsi="Arial Narrow"/>
                <w:b/>
                <w:bCs/>
                <w:sz w:val="20"/>
                <w:szCs w:val="20"/>
              </w:rPr>
            </w:pPr>
            <w:r w:rsidRPr="0062012F">
              <w:rPr>
                <w:rFonts w:ascii="Arial Narrow" w:eastAsia="Aptos" w:hAnsi="Arial Narrow"/>
                <w:b/>
                <w:bCs/>
                <w:sz w:val="20"/>
                <w:szCs w:val="20"/>
              </w:rPr>
              <w:t>Complication</w:t>
            </w:r>
            <w:r w:rsidRPr="0062012F">
              <w:rPr>
                <w:rFonts w:ascii="Arial Narrow" w:eastAsia="Aptos" w:hAnsi="Arial Narrow"/>
                <w:b/>
                <w:bCs/>
                <w:sz w:val="20"/>
                <w:szCs w:val="20"/>
              </w:rPr>
              <w:tab/>
            </w:r>
            <w:r w:rsidRPr="0062012F">
              <w:rPr>
                <w:rFonts w:ascii="Arial Narrow" w:eastAsia="Aptos" w:hAnsi="Arial Narrow"/>
                <w:b/>
                <w:bCs/>
                <w:sz w:val="20"/>
                <w:szCs w:val="20"/>
              </w:rPr>
              <w:tab/>
            </w:r>
            <w:r w:rsidRPr="0062012F">
              <w:rPr>
                <w:rFonts w:ascii="Arial Narrow" w:eastAsia="Aptos" w:hAnsi="Arial Narrow"/>
                <w:b/>
                <w:bCs/>
                <w:sz w:val="20"/>
                <w:szCs w:val="20"/>
              </w:rPr>
              <w:tab/>
            </w:r>
          </w:p>
        </w:tc>
        <w:tc>
          <w:tcPr>
            <w:tcW w:w="3173" w:type="pct"/>
            <w:shd w:val="clear" w:color="auto" w:fill="D9D9D9" w:themeFill="background1" w:themeFillShade="D9"/>
          </w:tcPr>
          <w:p w14:paraId="492D7370" w14:textId="1D5044AB" w:rsidR="00B141D0" w:rsidRPr="0062012F" w:rsidRDefault="00B141D0" w:rsidP="00865ECD">
            <w:pPr>
              <w:keepNext/>
              <w:keepLines/>
              <w:spacing w:before="0"/>
              <w:rPr>
                <w:rFonts w:ascii="Arial Narrow" w:eastAsia="Aptos" w:hAnsi="Arial Narrow"/>
                <w:b/>
                <w:bCs/>
                <w:sz w:val="20"/>
                <w:szCs w:val="20"/>
              </w:rPr>
            </w:pPr>
            <w:r w:rsidRPr="0062012F">
              <w:rPr>
                <w:rFonts w:ascii="Arial Narrow" w:eastAsia="Aptos" w:hAnsi="Arial Narrow"/>
                <w:b/>
                <w:bCs/>
                <w:sz w:val="20"/>
                <w:szCs w:val="20"/>
              </w:rPr>
              <w:t>Publications reporting complication (n/N)</w:t>
            </w:r>
          </w:p>
        </w:tc>
      </w:tr>
      <w:tr w:rsidR="00B141D0" w:rsidRPr="0062012F" w14:paraId="68D63D1E" w14:textId="77777777" w:rsidTr="00FA150F">
        <w:trPr>
          <w:trHeight w:val="152"/>
        </w:trPr>
        <w:tc>
          <w:tcPr>
            <w:tcW w:w="1827" w:type="pct"/>
            <w:shd w:val="clear" w:color="auto" w:fill="FFFFFF" w:themeFill="background1"/>
          </w:tcPr>
          <w:p w14:paraId="295C3F2B" w14:textId="77777777"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sz w:val="20"/>
                <w:szCs w:val="20"/>
              </w:rPr>
              <w:t>Symptomatic retear/failure to heal</w:t>
            </w:r>
          </w:p>
        </w:tc>
        <w:tc>
          <w:tcPr>
            <w:tcW w:w="3173" w:type="pct"/>
          </w:tcPr>
          <w:p w14:paraId="52F00E64" w14:textId="781F1787"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noProof/>
                <w:sz w:val="20"/>
                <w:szCs w:val="20"/>
              </w:rPr>
              <w:t>Thon et al., 2019 (</w:t>
            </w:r>
            <w:r w:rsidRPr="0062012F">
              <w:rPr>
                <w:rFonts w:ascii="Arial Narrow" w:eastAsia="Aptos" w:hAnsi="Arial Narrow"/>
                <w:sz w:val="20"/>
                <w:szCs w:val="20"/>
              </w:rPr>
              <w:t>1/23)</w:t>
            </w:r>
            <w:r w:rsidR="005D61BF" w:rsidRPr="0062012F">
              <w:rPr>
                <w:rStyle w:val="FootnoteReference"/>
                <w:rFonts w:ascii="Arial Narrow" w:eastAsia="Aptos" w:hAnsi="Arial Narrow"/>
                <w:sz w:val="20"/>
                <w:szCs w:val="20"/>
              </w:rPr>
              <w:footnoteReference w:id="16"/>
            </w:r>
          </w:p>
          <w:p w14:paraId="5E64EDE4" w14:textId="539AD094"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noProof/>
                <w:sz w:val="20"/>
                <w:szCs w:val="20"/>
              </w:rPr>
              <w:t>McIntyre et al., 2021 (</w:t>
            </w:r>
            <w:r w:rsidRPr="0062012F">
              <w:rPr>
                <w:rFonts w:ascii="Arial Narrow" w:eastAsia="Aptos" w:hAnsi="Arial Narrow"/>
                <w:sz w:val="20"/>
                <w:szCs w:val="20"/>
              </w:rPr>
              <w:t>11/192)</w:t>
            </w:r>
            <w:r w:rsidR="000716CB" w:rsidRPr="0062012F">
              <w:rPr>
                <w:rFonts w:ascii="Arial Narrow" w:eastAsia="Aptos" w:hAnsi="Arial Narrow"/>
                <w:sz w:val="20"/>
                <w:szCs w:val="20"/>
              </w:rPr>
              <w:t xml:space="preserve"> </w:t>
            </w:r>
            <w:r w:rsidR="000716CB" w:rsidRPr="0062012F">
              <w:rPr>
                <w:rStyle w:val="FootnoteReference"/>
                <w:rFonts w:ascii="Arial Narrow" w:eastAsia="Aptos" w:hAnsi="Arial Narrow"/>
                <w:sz w:val="20"/>
                <w:szCs w:val="20"/>
              </w:rPr>
              <w:footnoteReference w:id="17"/>
            </w:r>
          </w:p>
          <w:p w14:paraId="61071C51" w14:textId="75505AF8"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noProof/>
                <w:sz w:val="20"/>
                <w:szCs w:val="20"/>
              </w:rPr>
              <w:t>Bushnell et al., 2021 (</w:t>
            </w:r>
            <w:r w:rsidRPr="0062012F">
              <w:rPr>
                <w:rFonts w:ascii="Arial Narrow" w:eastAsia="Aptos" w:hAnsi="Arial Narrow"/>
                <w:sz w:val="20"/>
                <w:szCs w:val="20"/>
              </w:rPr>
              <w:t>7/115)</w:t>
            </w:r>
            <w:r w:rsidR="0096560D" w:rsidRPr="0062012F">
              <w:rPr>
                <w:rFonts w:ascii="Arial Narrow" w:eastAsia="Aptos" w:hAnsi="Arial Narrow"/>
                <w:sz w:val="20"/>
                <w:szCs w:val="20"/>
              </w:rPr>
              <w:t xml:space="preserve"> </w:t>
            </w:r>
            <w:r w:rsidR="0096560D" w:rsidRPr="0062012F">
              <w:rPr>
                <w:rStyle w:val="FootnoteReference"/>
                <w:rFonts w:ascii="Arial Narrow" w:eastAsia="Aptos" w:hAnsi="Arial Narrow"/>
                <w:sz w:val="20"/>
                <w:szCs w:val="20"/>
              </w:rPr>
              <w:footnoteReference w:id="18"/>
            </w:r>
          </w:p>
        </w:tc>
      </w:tr>
      <w:tr w:rsidR="00B141D0" w:rsidRPr="0062012F" w14:paraId="508E2EF2" w14:textId="77777777" w:rsidTr="00FA150F">
        <w:trPr>
          <w:trHeight w:val="20"/>
        </w:trPr>
        <w:tc>
          <w:tcPr>
            <w:tcW w:w="1827" w:type="pct"/>
            <w:shd w:val="clear" w:color="auto" w:fill="FFFFFF" w:themeFill="background1"/>
          </w:tcPr>
          <w:p w14:paraId="7DF3A51A" w14:textId="77777777"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sz w:val="20"/>
                <w:szCs w:val="20"/>
              </w:rPr>
              <w:t>Adhesive capsulitis</w:t>
            </w:r>
          </w:p>
        </w:tc>
        <w:tc>
          <w:tcPr>
            <w:tcW w:w="3173" w:type="pct"/>
          </w:tcPr>
          <w:p w14:paraId="0711C44B" w14:textId="2A9BD5F3" w:rsidR="00B141D0" w:rsidRPr="0062012F" w:rsidRDefault="00B141D0" w:rsidP="00865ECD">
            <w:pPr>
              <w:keepNext/>
              <w:keepLines/>
              <w:spacing w:before="0"/>
              <w:ind w:left="34"/>
              <w:rPr>
                <w:rFonts w:ascii="Arial Narrow" w:eastAsia="Aptos" w:hAnsi="Arial Narrow"/>
                <w:sz w:val="20"/>
                <w:szCs w:val="20"/>
                <w:lang w:val="es-CO"/>
              </w:rPr>
            </w:pPr>
            <w:r w:rsidRPr="0062012F">
              <w:rPr>
                <w:rFonts w:ascii="Arial Narrow" w:eastAsia="Aptos" w:hAnsi="Arial Narrow"/>
                <w:noProof/>
                <w:sz w:val="20"/>
                <w:szCs w:val="20"/>
              </w:rPr>
              <w:t>Bokor et al., 2015</w:t>
            </w:r>
            <w:r w:rsidRPr="0062012F">
              <w:rPr>
                <w:rFonts w:ascii="Arial Narrow" w:eastAsia="Aptos" w:hAnsi="Arial Narrow"/>
                <w:sz w:val="20"/>
                <w:szCs w:val="20"/>
                <w:lang w:val="es-CO"/>
              </w:rPr>
              <w:t xml:space="preserve"> (1/9)</w:t>
            </w:r>
            <w:r w:rsidR="00BD4440" w:rsidRPr="0062012F">
              <w:rPr>
                <w:rFonts w:ascii="Arial Narrow" w:eastAsia="Aptos" w:hAnsi="Arial Narrow"/>
                <w:sz w:val="20"/>
                <w:szCs w:val="20"/>
                <w:lang w:val="es-CO"/>
              </w:rPr>
              <w:t xml:space="preserve"> </w:t>
            </w:r>
            <w:r w:rsidR="00BD4440" w:rsidRPr="0062012F">
              <w:rPr>
                <w:rStyle w:val="FootnoteReference"/>
                <w:rFonts w:ascii="Arial Narrow" w:eastAsia="Aptos" w:hAnsi="Arial Narrow"/>
                <w:sz w:val="20"/>
                <w:szCs w:val="20"/>
                <w:lang w:val="es-CO"/>
              </w:rPr>
              <w:footnoteReference w:id="19"/>
            </w:r>
          </w:p>
          <w:p w14:paraId="4FA42FD0" w14:textId="239856F0" w:rsidR="00B141D0" w:rsidRPr="0062012F" w:rsidRDefault="00B141D0" w:rsidP="00865ECD">
            <w:pPr>
              <w:keepNext/>
              <w:keepLines/>
              <w:spacing w:before="0"/>
              <w:ind w:left="34"/>
              <w:rPr>
                <w:rFonts w:ascii="Arial Narrow" w:eastAsia="Aptos" w:hAnsi="Arial Narrow"/>
                <w:sz w:val="20"/>
                <w:szCs w:val="20"/>
                <w:lang w:val="es-CO"/>
              </w:rPr>
            </w:pPr>
            <w:r w:rsidRPr="0062012F">
              <w:rPr>
                <w:rFonts w:ascii="Arial Narrow" w:eastAsia="Aptos" w:hAnsi="Arial Narrow"/>
                <w:noProof/>
                <w:sz w:val="20"/>
                <w:szCs w:val="20"/>
                <w:lang w:val="es-CO"/>
              </w:rPr>
              <w:t xml:space="preserve">Bokor et al., 2019 </w:t>
            </w:r>
            <w:r w:rsidRPr="0062012F">
              <w:rPr>
                <w:rFonts w:ascii="Arial Narrow" w:eastAsia="Aptos" w:hAnsi="Arial Narrow"/>
                <w:sz w:val="20"/>
                <w:szCs w:val="20"/>
                <w:lang w:val="es-CO"/>
              </w:rPr>
              <w:t>(1/11)</w:t>
            </w:r>
            <w:r w:rsidR="00F9631F" w:rsidRPr="0062012F">
              <w:rPr>
                <w:rFonts w:ascii="Arial Narrow" w:eastAsia="Aptos" w:hAnsi="Arial Narrow"/>
                <w:sz w:val="20"/>
                <w:szCs w:val="20"/>
                <w:lang w:val="es-CO"/>
              </w:rPr>
              <w:t xml:space="preserve"> </w:t>
            </w:r>
            <w:r w:rsidR="00F9631F" w:rsidRPr="0062012F">
              <w:rPr>
                <w:rStyle w:val="FootnoteReference"/>
                <w:rFonts w:ascii="Arial Narrow" w:eastAsia="Aptos" w:hAnsi="Arial Narrow"/>
                <w:sz w:val="20"/>
                <w:szCs w:val="20"/>
                <w:lang w:val="es-CO"/>
              </w:rPr>
              <w:footnoteReference w:id="20"/>
            </w:r>
          </w:p>
          <w:p w14:paraId="68CB0BBD" w14:textId="77777777" w:rsidR="00B141D0" w:rsidRPr="0062012F" w:rsidRDefault="00B141D0" w:rsidP="00865ECD">
            <w:pPr>
              <w:keepNext/>
              <w:keepLines/>
              <w:spacing w:before="0"/>
              <w:ind w:left="34"/>
              <w:rPr>
                <w:rFonts w:ascii="Arial Narrow" w:eastAsia="Aptos" w:hAnsi="Arial Narrow"/>
                <w:sz w:val="20"/>
                <w:szCs w:val="20"/>
              </w:rPr>
            </w:pPr>
            <w:r w:rsidRPr="0062012F">
              <w:rPr>
                <w:rFonts w:ascii="Arial Narrow" w:eastAsia="Aptos" w:hAnsi="Arial Narrow"/>
                <w:noProof/>
                <w:sz w:val="20"/>
                <w:szCs w:val="20"/>
              </w:rPr>
              <w:t>McIntyre et al., 2021</w:t>
            </w:r>
            <w:r w:rsidRPr="0062012F">
              <w:rPr>
                <w:rFonts w:ascii="Arial Narrow" w:eastAsia="Aptos" w:hAnsi="Arial Narrow"/>
                <w:sz w:val="20"/>
                <w:szCs w:val="20"/>
              </w:rPr>
              <w:t xml:space="preserve"> (3/192)</w:t>
            </w:r>
          </w:p>
        </w:tc>
      </w:tr>
      <w:tr w:rsidR="00B141D0" w:rsidRPr="0062012F" w14:paraId="78CFE50A" w14:textId="77777777" w:rsidTr="00FA150F">
        <w:trPr>
          <w:trHeight w:val="20"/>
        </w:trPr>
        <w:tc>
          <w:tcPr>
            <w:tcW w:w="1827" w:type="pct"/>
            <w:shd w:val="clear" w:color="auto" w:fill="FFFFFF" w:themeFill="background1"/>
          </w:tcPr>
          <w:p w14:paraId="79ABD938" w14:textId="77777777"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sz w:val="20"/>
                <w:szCs w:val="20"/>
              </w:rPr>
              <w:t>Bursitis/swelling</w:t>
            </w:r>
          </w:p>
        </w:tc>
        <w:tc>
          <w:tcPr>
            <w:tcW w:w="3173" w:type="pct"/>
          </w:tcPr>
          <w:p w14:paraId="50B93B58" w14:textId="77777777" w:rsidR="00B141D0" w:rsidRPr="0062012F" w:rsidRDefault="00B141D0" w:rsidP="00865ECD">
            <w:pPr>
              <w:keepNext/>
              <w:keepLines/>
              <w:spacing w:before="0"/>
              <w:ind w:left="34"/>
              <w:rPr>
                <w:rFonts w:ascii="Arial Narrow" w:eastAsia="Aptos" w:hAnsi="Arial Narrow"/>
                <w:sz w:val="20"/>
                <w:szCs w:val="20"/>
              </w:rPr>
            </w:pPr>
            <w:r w:rsidRPr="0062012F">
              <w:rPr>
                <w:rFonts w:ascii="Arial Narrow" w:eastAsia="Aptos" w:hAnsi="Arial Narrow"/>
                <w:noProof/>
                <w:sz w:val="20"/>
                <w:szCs w:val="20"/>
              </w:rPr>
              <w:t>McIntyre et al., 2021 (</w:t>
            </w:r>
            <w:r w:rsidRPr="0062012F">
              <w:rPr>
                <w:rFonts w:ascii="Arial Narrow" w:eastAsia="Aptos" w:hAnsi="Arial Narrow"/>
                <w:sz w:val="20"/>
                <w:szCs w:val="20"/>
              </w:rPr>
              <w:t>1/192)</w:t>
            </w:r>
          </w:p>
          <w:p w14:paraId="6D267E80" w14:textId="77777777" w:rsidR="00B141D0" w:rsidRPr="0062012F" w:rsidRDefault="00B141D0" w:rsidP="00865ECD">
            <w:pPr>
              <w:keepNext/>
              <w:keepLines/>
              <w:spacing w:before="0"/>
              <w:ind w:left="34"/>
              <w:rPr>
                <w:rFonts w:ascii="Arial Narrow" w:eastAsia="Aptos" w:hAnsi="Arial Narrow"/>
                <w:sz w:val="20"/>
                <w:szCs w:val="20"/>
              </w:rPr>
            </w:pPr>
            <w:r w:rsidRPr="0062012F">
              <w:rPr>
                <w:rFonts w:ascii="Arial Narrow" w:eastAsia="Aptos" w:hAnsi="Arial Narrow"/>
                <w:noProof/>
                <w:sz w:val="20"/>
                <w:szCs w:val="20"/>
              </w:rPr>
              <w:t>Bushnell et al., 2021</w:t>
            </w:r>
            <w:r w:rsidRPr="0062012F">
              <w:rPr>
                <w:rFonts w:ascii="Arial Narrow" w:eastAsia="Aptos" w:hAnsi="Arial Narrow"/>
                <w:sz w:val="20"/>
                <w:szCs w:val="20"/>
              </w:rPr>
              <w:t xml:space="preserve"> (1/115)</w:t>
            </w:r>
          </w:p>
        </w:tc>
      </w:tr>
      <w:tr w:rsidR="00B141D0" w:rsidRPr="0062012F" w14:paraId="7507DC63" w14:textId="77777777" w:rsidTr="00FA150F">
        <w:trPr>
          <w:trHeight w:val="20"/>
        </w:trPr>
        <w:tc>
          <w:tcPr>
            <w:tcW w:w="1827" w:type="pct"/>
            <w:shd w:val="clear" w:color="auto" w:fill="FFFFFF" w:themeFill="background1"/>
          </w:tcPr>
          <w:p w14:paraId="5A92AA3D" w14:textId="77777777"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sz w:val="20"/>
                <w:szCs w:val="20"/>
              </w:rPr>
              <w:t>Bicep tendinitis</w:t>
            </w:r>
          </w:p>
        </w:tc>
        <w:tc>
          <w:tcPr>
            <w:tcW w:w="3173" w:type="pct"/>
          </w:tcPr>
          <w:p w14:paraId="4799DEDF" w14:textId="77777777" w:rsidR="00B141D0" w:rsidRPr="0062012F" w:rsidRDefault="00B141D0" w:rsidP="00865ECD">
            <w:pPr>
              <w:keepNext/>
              <w:keepLines/>
              <w:spacing w:before="0"/>
              <w:ind w:left="34"/>
              <w:rPr>
                <w:rFonts w:ascii="Arial Narrow" w:eastAsia="Aptos" w:hAnsi="Arial Narrow"/>
                <w:sz w:val="20"/>
                <w:szCs w:val="20"/>
              </w:rPr>
            </w:pPr>
            <w:r w:rsidRPr="0062012F">
              <w:rPr>
                <w:rFonts w:ascii="Arial Narrow" w:eastAsia="Aptos" w:hAnsi="Arial Narrow"/>
                <w:noProof/>
                <w:sz w:val="20"/>
                <w:szCs w:val="20"/>
              </w:rPr>
              <w:t xml:space="preserve">Micheloni et al., 2020 </w:t>
            </w:r>
            <w:r w:rsidRPr="0062012F">
              <w:rPr>
                <w:rFonts w:ascii="Arial Narrow" w:eastAsia="Aptos" w:hAnsi="Arial Narrow"/>
                <w:sz w:val="20"/>
                <w:szCs w:val="20"/>
              </w:rPr>
              <w:t>(4/4)</w:t>
            </w:r>
          </w:p>
        </w:tc>
      </w:tr>
      <w:tr w:rsidR="00B141D0" w:rsidRPr="0062012F" w14:paraId="1BF78A99" w14:textId="77777777" w:rsidTr="00FA150F">
        <w:trPr>
          <w:trHeight w:val="20"/>
        </w:trPr>
        <w:tc>
          <w:tcPr>
            <w:tcW w:w="1827" w:type="pct"/>
            <w:shd w:val="clear" w:color="auto" w:fill="FFFFFF" w:themeFill="background1"/>
          </w:tcPr>
          <w:p w14:paraId="499EB7D4" w14:textId="77777777"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sz w:val="20"/>
                <w:szCs w:val="20"/>
              </w:rPr>
              <w:t>Postoperative stiffness</w:t>
            </w:r>
          </w:p>
        </w:tc>
        <w:tc>
          <w:tcPr>
            <w:tcW w:w="3173" w:type="pct"/>
          </w:tcPr>
          <w:p w14:paraId="68FF0F36" w14:textId="77777777" w:rsidR="00B141D0" w:rsidRPr="0062012F" w:rsidRDefault="00B141D0" w:rsidP="00865ECD">
            <w:pPr>
              <w:keepNext/>
              <w:keepLines/>
              <w:spacing w:before="0"/>
              <w:ind w:left="34"/>
              <w:rPr>
                <w:rFonts w:ascii="Arial Narrow" w:eastAsia="Aptos" w:hAnsi="Arial Narrow"/>
                <w:sz w:val="20"/>
                <w:szCs w:val="20"/>
              </w:rPr>
            </w:pPr>
            <w:r w:rsidRPr="0062012F">
              <w:rPr>
                <w:rFonts w:ascii="Arial Narrow" w:eastAsia="Aptos" w:hAnsi="Arial Narrow"/>
                <w:noProof/>
                <w:sz w:val="20"/>
                <w:szCs w:val="20"/>
              </w:rPr>
              <w:t>McIntyre et al., 2021</w:t>
            </w:r>
            <w:r w:rsidRPr="0062012F">
              <w:rPr>
                <w:rFonts w:ascii="Arial Narrow" w:eastAsia="Aptos" w:hAnsi="Arial Narrow"/>
                <w:sz w:val="20"/>
                <w:szCs w:val="20"/>
              </w:rPr>
              <w:t xml:space="preserve"> (1/192)</w:t>
            </w:r>
          </w:p>
        </w:tc>
      </w:tr>
      <w:tr w:rsidR="00B141D0" w:rsidRPr="0062012F" w14:paraId="6DA4B309" w14:textId="77777777" w:rsidTr="00FA150F">
        <w:trPr>
          <w:trHeight w:val="20"/>
        </w:trPr>
        <w:tc>
          <w:tcPr>
            <w:tcW w:w="1827" w:type="pct"/>
            <w:shd w:val="clear" w:color="auto" w:fill="FFFFFF" w:themeFill="background1"/>
          </w:tcPr>
          <w:p w14:paraId="028CCC5A" w14:textId="77777777"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sz w:val="20"/>
                <w:szCs w:val="20"/>
              </w:rPr>
              <w:t>Postoperative pain</w:t>
            </w:r>
          </w:p>
        </w:tc>
        <w:tc>
          <w:tcPr>
            <w:tcW w:w="3173" w:type="pct"/>
          </w:tcPr>
          <w:p w14:paraId="6E885815" w14:textId="77777777" w:rsidR="00B141D0" w:rsidRPr="0062012F" w:rsidRDefault="00B141D0" w:rsidP="00865ECD">
            <w:pPr>
              <w:keepNext/>
              <w:keepLines/>
              <w:spacing w:before="0"/>
              <w:ind w:left="37"/>
              <w:rPr>
                <w:rFonts w:ascii="Arial Narrow" w:eastAsia="Aptos" w:hAnsi="Arial Narrow"/>
                <w:sz w:val="20"/>
                <w:szCs w:val="20"/>
              </w:rPr>
            </w:pPr>
            <w:r w:rsidRPr="0062012F">
              <w:rPr>
                <w:rFonts w:ascii="Arial Narrow" w:eastAsia="Aptos" w:hAnsi="Arial Narrow"/>
                <w:noProof/>
                <w:sz w:val="20"/>
                <w:szCs w:val="20"/>
              </w:rPr>
              <w:t>Bushnell et al., 2021 (</w:t>
            </w:r>
            <w:r w:rsidRPr="0062012F">
              <w:rPr>
                <w:rFonts w:ascii="Arial Narrow" w:eastAsia="Aptos" w:hAnsi="Arial Narrow"/>
                <w:sz w:val="20"/>
                <w:szCs w:val="20"/>
              </w:rPr>
              <w:t>1/115)</w:t>
            </w:r>
          </w:p>
          <w:p w14:paraId="7FA81118" w14:textId="615232D2" w:rsidR="00B141D0" w:rsidRPr="0062012F" w:rsidRDefault="00B141D0" w:rsidP="00865ECD">
            <w:pPr>
              <w:keepNext/>
              <w:keepLines/>
              <w:spacing w:before="0"/>
              <w:ind w:left="37"/>
              <w:rPr>
                <w:rFonts w:ascii="Arial Narrow" w:eastAsia="Aptos" w:hAnsi="Arial Narrow"/>
                <w:sz w:val="20"/>
                <w:szCs w:val="20"/>
              </w:rPr>
            </w:pPr>
            <w:r w:rsidRPr="0062012F">
              <w:rPr>
                <w:rFonts w:ascii="Arial Narrow" w:eastAsia="Aptos" w:hAnsi="Arial Narrow"/>
                <w:noProof/>
                <w:sz w:val="20"/>
                <w:szCs w:val="20"/>
              </w:rPr>
              <w:t xml:space="preserve">Micheloni et al., </w:t>
            </w:r>
            <w:r w:rsidR="00B27BA1" w:rsidRPr="0062012F">
              <w:rPr>
                <w:rFonts w:ascii="Arial Narrow" w:eastAsia="Aptos" w:hAnsi="Arial Narrow"/>
                <w:noProof/>
                <w:sz w:val="20"/>
                <w:szCs w:val="20"/>
              </w:rPr>
              <w:t>2020</w:t>
            </w:r>
            <w:r w:rsidR="00B27BA1" w:rsidRPr="0062012F">
              <w:rPr>
                <w:rFonts w:ascii="Arial Narrow" w:eastAsia="Aptos" w:hAnsi="Arial Narrow"/>
                <w:sz w:val="20"/>
                <w:szCs w:val="20"/>
              </w:rPr>
              <w:t xml:space="preserve"> (</w:t>
            </w:r>
            <w:r w:rsidRPr="0062012F">
              <w:rPr>
                <w:rFonts w:ascii="Arial Narrow" w:eastAsia="Aptos" w:hAnsi="Arial Narrow"/>
                <w:sz w:val="20"/>
                <w:szCs w:val="20"/>
              </w:rPr>
              <w:t>4/4)</w:t>
            </w:r>
          </w:p>
        </w:tc>
      </w:tr>
      <w:tr w:rsidR="00B141D0" w:rsidRPr="0062012F" w14:paraId="15B3CFE0" w14:textId="77777777" w:rsidTr="00FA150F">
        <w:trPr>
          <w:trHeight w:val="20"/>
        </w:trPr>
        <w:tc>
          <w:tcPr>
            <w:tcW w:w="1827" w:type="pct"/>
            <w:shd w:val="clear" w:color="auto" w:fill="FFFFFF" w:themeFill="background1"/>
          </w:tcPr>
          <w:p w14:paraId="62756112" w14:textId="77777777"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sz w:val="20"/>
                <w:szCs w:val="20"/>
              </w:rPr>
              <w:t>Serious non-implant related adverse event</w:t>
            </w:r>
          </w:p>
        </w:tc>
        <w:tc>
          <w:tcPr>
            <w:tcW w:w="3173" w:type="pct"/>
          </w:tcPr>
          <w:p w14:paraId="4C19D2AB" w14:textId="7FFE44E8"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noProof/>
                <w:sz w:val="20"/>
                <w:szCs w:val="20"/>
              </w:rPr>
              <w:t xml:space="preserve">Ruiz </w:t>
            </w:r>
            <w:proofErr w:type="spellStart"/>
            <w:r w:rsidR="0091327B" w:rsidRPr="00BB05DE">
              <w:rPr>
                <w:rFonts w:ascii="Arial Narrow" w:hAnsi="Arial Narrow"/>
                <w:sz w:val="20"/>
                <w:szCs w:val="20"/>
              </w:rPr>
              <w:t>Ibán</w:t>
            </w:r>
            <w:proofErr w:type="spellEnd"/>
            <w:r w:rsidRPr="0062012F">
              <w:rPr>
                <w:rFonts w:ascii="Arial Narrow" w:eastAsia="Aptos" w:hAnsi="Arial Narrow"/>
                <w:noProof/>
                <w:sz w:val="20"/>
                <w:szCs w:val="20"/>
              </w:rPr>
              <w:t xml:space="preserve"> (CSR), 2023 </w:t>
            </w:r>
            <w:r w:rsidRPr="0062012F">
              <w:rPr>
                <w:rFonts w:ascii="Arial Narrow" w:eastAsia="Aptos" w:hAnsi="Arial Narrow"/>
                <w:sz w:val="20"/>
                <w:szCs w:val="20"/>
              </w:rPr>
              <w:t>(1/30)</w:t>
            </w:r>
          </w:p>
        </w:tc>
      </w:tr>
      <w:tr w:rsidR="00B141D0" w:rsidRPr="0062012F" w14:paraId="53950834" w14:textId="77777777" w:rsidTr="00FA150F">
        <w:trPr>
          <w:trHeight w:val="20"/>
        </w:trPr>
        <w:tc>
          <w:tcPr>
            <w:tcW w:w="1827" w:type="pct"/>
            <w:shd w:val="clear" w:color="auto" w:fill="FFFFFF" w:themeFill="background1"/>
          </w:tcPr>
          <w:p w14:paraId="2E3A917A" w14:textId="77777777"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sz w:val="20"/>
                <w:szCs w:val="20"/>
              </w:rPr>
              <w:t>Postoperative deep infection</w:t>
            </w:r>
          </w:p>
        </w:tc>
        <w:tc>
          <w:tcPr>
            <w:tcW w:w="3173" w:type="pct"/>
          </w:tcPr>
          <w:p w14:paraId="17EBCBA4" w14:textId="77777777"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noProof/>
                <w:sz w:val="20"/>
                <w:szCs w:val="20"/>
              </w:rPr>
              <w:t>McIntyre et al., 2021)</w:t>
            </w:r>
            <w:r w:rsidRPr="0062012F">
              <w:rPr>
                <w:rFonts w:ascii="Arial Narrow" w:eastAsia="Aptos" w:hAnsi="Arial Narrow"/>
                <w:sz w:val="20"/>
                <w:szCs w:val="20"/>
              </w:rPr>
              <w:t xml:space="preserve"> (3/192)</w:t>
            </w:r>
          </w:p>
          <w:p w14:paraId="4BF00FA5" w14:textId="7D6B783E"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noProof/>
                <w:sz w:val="20"/>
                <w:szCs w:val="20"/>
              </w:rPr>
              <w:t xml:space="preserve">Ruiz </w:t>
            </w:r>
            <w:proofErr w:type="spellStart"/>
            <w:r w:rsidR="0091327B" w:rsidRPr="00BB05DE">
              <w:rPr>
                <w:rFonts w:ascii="Arial Narrow" w:hAnsi="Arial Narrow"/>
                <w:sz w:val="20"/>
                <w:szCs w:val="20"/>
              </w:rPr>
              <w:t>Ibán</w:t>
            </w:r>
            <w:proofErr w:type="spellEnd"/>
            <w:r w:rsidRPr="0062012F">
              <w:rPr>
                <w:rFonts w:ascii="Arial Narrow" w:eastAsia="Aptos" w:hAnsi="Arial Narrow"/>
                <w:noProof/>
                <w:sz w:val="20"/>
                <w:szCs w:val="20"/>
              </w:rPr>
              <w:t xml:space="preserve"> (CSR), 2023 </w:t>
            </w:r>
            <w:r w:rsidRPr="0062012F">
              <w:rPr>
                <w:rFonts w:ascii="Arial Narrow" w:eastAsia="Aptos" w:hAnsi="Arial Narrow"/>
                <w:sz w:val="20"/>
                <w:szCs w:val="20"/>
              </w:rPr>
              <w:t>(1/30)</w:t>
            </w:r>
          </w:p>
        </w:tc>
      </w:tr>
      <w:tr w:rsidR="00B141D0" w:rsidRPr="0062012F" w14:paraId="1AE4915D" w14:textId="77777777" w:rsidTr="00FA150F">
        <w:trPr>
          <w:trHeight w:val="20"/>
        </w:trPr>
        <w:tc>
          <w:tcPr>
            <w:tcW w:w="1827" w:type="pct"/>
            <w:shd w:val="clear" w:color="auto" w:fill="FFFFFF" w:themeFill="background1"/>
          </w:tcPr>
          <w:p w14:paraId="176895E0" w14:textId="77777777"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sz w:val="20"/>
                <w:szCs w:val="20"/>
              </w:rPr>
              <w:t>Superficial Infection</w:t>
            </w:r>
          </w:p>
        </w:tc>
        <w:tc>
          <w:tcPr>
            <w:tcW w:w="3173" w:type="pct"/>
          </w:tcPr>
          <w:p w14:paraId="224A63D4" w14:textId="2F0E767E"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noProof/>
                <w:sz w:val="20"/>
                <w:szCs w:val="20"/>
              </w:rPr>
              <w:t xml:space="preserve">Ruiz </w:t>
            </w:r>
            <w:proofErr w:type="spellStart"/>
            <w:r w:rsidR="0091327B" w:rsidRPr="00BB05DE">
              <w:rPr>
                <w:rFonts w:ascii="Arial Narrow" w:hAnsi="Arial Narrow"/>
                <w:sz w:val="20"/>
                <w:szCs w:val="20"/>
              </w:rPr>
              <w:t>Ibán</w:t>
            </w:r>
            <w:proofErr w:type="spellEnd"/>
            <w:r w:rsidRPr="0062012F">
              <w:rPr>
                <w:rFonts w:ascii="Arial Narrow" w:eastAsia="Aptos" w:hAnsi="Arial Narrow"/>
                <w:noProof/>
                <w:sz w:val="20"/>
                <w:szCs w:val="20"/>
              </w:rPr>
              <w:t xml:space="preserve"> (CSR), 2023 </w:t>
            </w:r>
            <w:r w:rsidRPr="0062012F">
              <w:rPr>
                <w:rFonts w:ascii="Arial Narrow" w:eastAsia="Aptos" w:hAnsi="Arial Narrow"/>
                <w:sz w:val="20"/>
                <w:szCs w:val="20"/>
              </w:rPr>
              <w:t>(1/30)</w:t>
            </w:r>
          </w:p>
        </w:tc>
      </w:tr>
      <w:tr w:rsidR="00B141D0" w:rsidRPr="0062012F" w14:paraId="735574B5" w14:textId="77777777" w:rsidTr="00FA150F">
        <w:trPr>
          <w:trHeight w:val="20"/>
        </w:trPr>
        <w:tc>
          <w:tcPr>
            <w:tcW w:w="1827" w:type="pct"/>
            <w:shd w:val="clear" w:color="auto" w:fill="FFFFFF" w:themeFill="background1"/>
          </w:tcPr>
          <w:p w14:paraId="4DA94BFD" w14:textId="77777777"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sz w:val="20"/>
                <w:szCs w:val="20"/>
              </w:rPr>
              <w:t>Mass</w:t>
            </w:r>
          </w:p>
        </w:tc>
        <w:tc>
          <w:tcPr>
            <w:tcW w:w="3173" w:type="pct"/>
          </w:tcPr>
          <w:p w14:paraId="72D51361" w14:textId="65AB4E46" w:rsidR="00B141D0" w:rsidRPr="0062012F" w:rsidRDefault="00B141D0" w:rsidP="00865ECD">
            <w:pPr>
              <w:keepNext/>
              <w:keepLines/>
              <w:spacing w:before="0"/>
              <w:rPr>
                <w:rFonts w:ascii="Arial Narrow" w:eastAsia="Aptos" w:hAnsi="Arial Narrow"/>
                <w:sz w:val="20"/>
                <w:szCs w:val="20"/>
              </w:rPr>
            </w:pPr>
            <w:r w:rsidRPr="0062012F">
              <w:rPr>
                <w:rFonts w:ascii="Arial Narrow" w:eastAsia="Aptos" w:hAnsi="Arial Narrow"/>
                <w:noProof/>
                <w:sz w:val="20"/>
                <w:szCs w:val="20"/>
              </w:rPr>
              <w:t xml:space="preserve">Ruiz </w:t>
            </w:r>
            <w:proofErr w:type="spellStart"/>
            <w:r w:rsidR="0091327B" w:rsidRPr="00BB05DE">
              <w:rPr>
                <w:rFonts w:ascii="Arial Narrow" w:hAnsi="Arial Narrow"/>
                <w:sz w:val="20"/>
                <w:szCs w:val="20"/>
              </w:rPr>
              <w:t>Ibán</w:t>
            </w:r>
            <w:proofErr w:type="spellEnd"/>
            <w:r w:rsidRPr="0062012F">
              <w:rPr>
                <w:rFonts w:ascii="Arial Narrow" w:eastAsia="Aptos" w:hAnsi="Arial Narrow"/>
                <w:noProof/>
                <w:sz w:val="20"/>
                <w:szCs w:val="20"/>
              </w:rPr>
              <w:t xml:space="preserve"> (CSR), 2023 </w:t>
            </w:r>
            <w:r w:rsidRPr="0062012F">
              <w:rPr>
                <w:rFonts w:ascii="Arial Narrow" w:eastAsia="Aptos" w:hAnsi="Arial Narrow"/>
                <w:sz w:val="20"/>
                <w:szCs w:val="20"/>
              </w:rPr>
              <w:t>(1/30)</w:t>
            </w:r>
          </w:p>
        </w:tc>
      </w:tr>
    </w:tbl>
    <w:p w14:paraId="62124127" w14:textId="79E32893" w:rsidR="00B141D0" w:rsidRDefault="00B141D0" w:rsidP="00865ECD">
      <w:pPr>
        <w:pStyle w:val="TableFigureFooter"/>
        <w:keepNext/>
        <w:keepLines/>
        <w:spacing w:after="0"/>
      </w:pPr>
      <w:r>
        <w:t>Source: Table 43, p 12</w:t>
      </w:r>
      <w:r w:rsidR="009A0EE7">
        <w:t>0</w:t>
      </w:r>
      <w:r>
        <w:t xml:space="preserve"> of the ADAR </w:t>
      </w:r>
      <w:r w:rsidR="009A0EE7">
        <w:t xml:space="preserve">+ in-line commentary </w:t>
      </w:r>
      <w:r>
        <w:t xml:space="preserve">and compiled during commentary. </w:t>
      </w:r>
    </w:p>
    <w:p w14:paraId="0330BE7B" w14:textId="3689DDE4" w:rsidR="00B141D0" w:rsidRDefault="00B141D0" w:rsidP="00865ECD">
      <w:pPr>
        <w:pStyle w:val="TableFigureFooter"/>
        <w:keepNext/>
        <w:keepLines/>
        <w:spacing w:before="0" w:after="0"/>
      </w:pPr>
      <w:r w:rsidRPr="00C36DAA">
        <w:t>Abbreviations: CSR = Clinical Study Report;</w:t>
      </w:r>
      <w:r>
        <w:t xml:space="preserve"> n = number of cases; N = total number;</w:t>
      </w:r>
      <w:r w:rsidRPr="00C36DAA">
        <w:t xml:space="preserve"> RR = relative risk</w:t>
      </w:r>
    </w:p>
    <w:p w14:paraId="5D5E4928" w14:textId="3128AF31" w:rsidR="00F278E5" w:rsidRDefault="009612C2" w:rsidP="008A202B">
      <w:r>
        <w:t>Overall,</w:t>
      </w:r>
      <w:r w:rsidR="00A51FA7">
        <w:t xml:space="preserve"> the </w:t>
      </w:r>
      <w:r w:rsidR="00A61133">
        <w:t xml:space="preserve">single arm </w:t>
      </w:r>
      <w:r w:rsidR="00A51FA7">
        <w:t xml:space="preserve">evidence was considered by the commentary to have a high risk of bias and added little to the comparative safety of </w:t>
      </w:r>
      <w:proofErr w:type="spellStart"/>
      <w:r w:rsidR="00A51FA7">
        <w:t>bioinductive</w:t>
      </w:r>
      <w:proofErr w:type="spellEnd"/>
      <w:r w:rsidR="00A51FA7">
        <w:t xml:space="preserve"> collagen implant versus standard of care.</w:t>
      </w:r>
    </w:p>
    <w:p w14:paraId="3717AA01" w14:textId="2FAE646B" w:rsidR="00772829" w:rsidRPr="00CE28E3" w:rsidRDefault="00772829" w:rsidP="003126F5">
      <w:pPr>
        <w:pStyle w:val="Heading2"/>
        <w:numPr>
          <w:ilvl w:val="0"/>
          <w:numId w:val="16"/>
        </w:numPr>
        <w:ind w:hanging="720"/>
      </w:pPr>
      <w:bookmarkStart w:id="25" w:name="_Toc69491424"/>
      <w:r w:rsidRPr="00CE28E3">
        <w:t>Comparative effectiveness</w:t>
      </w:r>
      <w:bookmarkEnd w:id="25"/>
    </w:p>
    <w:p w14:paraId="757AB9DB" w14:textId="458409CB" w:rsidR="009E310A" w:rsidRDefault="00510D92" w:rsidP="009E310A">
      <w:r w:rsidRPr="00366F65">
        <w:t>The ADAR provided the effectiveness evidence fo</w:t>
      </w:r>
      <w:r>
        <w:t xml:space="preserve">r FTRCT </w:t>
      </w:r>
      <w:r w:rsidRPr="00366F65">
        <w:t xml:space="preserve">based on </w:t>
      </w:r>
      <w:r w:rsidR="00236116">
        <w:t xml:space="preserve">two </w:t>
      </w:r>
      <w:r w:rsidR="00F910A5">
        <w:t>RCTs</w:t>
      </w:r>
      <w:r w:rsidR="00B348BC">
        <w:t>;</w:t>
      </w:r>
      <w:r w:rsidR="00F83620">
        <w:t xml:space="preserve"> the</w:t>
      </w:r>
      <w:r w:rsidR="00F910A5">
        <w:t xml:space="preserve"> Ruiz</w:t>
      </w:r>
      <w:r w:rsidRPr="009C7DED">
        <w:t xml:space="preserve"> </w:t>
      </w:r>
      <w:proofErr w:type="spellStart"/>
      <w:r w:rsidR="009C5152">
        <w:t>Ibán</w:t>
      </w:r>
      <w:proofErr w:type="spellEnd"/>
      <w:r w:rsidRPr="009C7DED">
        <w:t xml:space="preserve"> </w:t>
      </w:r>
      <w:r>
        <w:t>et al., 2023</w:t>
      </w:r>
      <w:r w:rsidR="00236116">
        <w:t xml:space="preserve"> (and updated CSR 2025) trial and the </w:t>
      </w:r>
      <w:r w:rsidR="00321EE7" w:rsidRPr="00321EE7">
        <w:t>Camacho-Chacon et al</w:t>
      </w:r>
      <w:r w:rsidR="00321EE7">
        <w:t xml:space="preserve"> 202</w:t>
      </w:r>
      <w:r w:rsidR="006C4942">
        <w:t>4</w:t>
      </w:r>
      <w:r w:rsidR="00321EE7">
        <w:t xml:space="preserve"> trial</w:t>
      </w:r>
      <w:r w:rsidR="00083FFB">
        <w:t xml:space="preserve">. </w:t>
      </w:r>
      <w:r w:rsidR="00687D30">
        <w:fldChar w:fldCharType="begin"/>
      </w:r>
      <w:r w:rsidR="00687D30">
        <w:instrText xml:space="preserve"> REF _Ref214891695 \h </w:instrText>
      </w:r>
      <w:r w:rsidR="00687D30">
        <w:fldChar w:fldCharType="separate"/>
      </w:r>
      <w:r w:rsidR="00687D30">
        <w:t xml:space="preserve">Table </w:t>
      </w:r>
      <w:r w:rsidR="00687D30">
        <w:rPr>
          <w:noProof/>
        </w:rPr>
        <w:t>6</w:t>
      </w:r>
      <w:r w:rsidR="00687D30">
        <w:fldChar w:fldCharType="end"/>
      </w:r>
      <w:r w:rsidR="00687D30">
        <w:t xml:space="preserve"> </w:t>
      </w:r>
      <w:r w:rsidR="00046ED4" w:rsidRPr="00F83620">
        <w:t>pr</w:t>
      </w:r>
      <w:r w:rsidR="00046ED4" w:rsidRPr="00125FE9">
        <w:t>esents</w:t>
      </w:r>
      <w:r w:rsidR="00046ED4">
        <w:t xml:space="preserve"> </w:t>
      </w:r>
      <w:r w:rsidR="00C77466">
        <w:t>the</w:t>
      </w:r>
      <w:r w:rsidR="00046ED4">
        <w:t xml:space="preserve"> data where both studies measured the same outcomes</w:t>
      </w:r>
      <w:r w:rsidR="00C45313">
        <w:t>.</w:t>
      </w:r>
      <w:r w:rsidR="00C77466">
        <w:t xml:space="preserve"> </w:t>
      </w:r>
      <w:r w:rsidR="00C45313">
        <w:t>B</w:t>
      </w:r>
      <w:r w:rsidR="009E310A" w:rsidRPr="009E310A">
        <w:t xml:space="preserve">oth Ruiz </w:t>
      </w:r>
      <w:proofErr w:type="spellStart"/>
      <w:r w:rsidR="009C5152">
        <w:t>Ibán</w:t>
      </w:r>
      <w:proofErr w:type="spellEnd"/>
      <w:r w:rsidR="009E310A" w:rsidRPr="009E310A">
        <w:t xml:space="preserve"> (2025) and Camacho-Chacon (202</w:t>
      </w:r>
      <w:r w:rsidR="006C4942">
        <w:t>4</w:t>
      </w:r>
      <w:r w:rsidR="009E310A" w:rsidRPr="009E310A">
        <w:t xml:space="preserve">) reported a </w:t>
      </w:r>
      <w:r w:rsidR="005B70F4">
        <w:t xml:space="preserve">statistically </w:t>
      </w:r>
      <w:r w:rsidR="009E310A" w:rsidRPr="009E310A">
        <w:t>significant improvement in the</w:t>
      </w:r>
      <w:r w:rsidR="00E743B5">
        <w:t xml:space="preserve"> following</w:t>
      </w:r>
      <w:r w:rsidR="009E310A" w:rsidRPr="009E310A">
        <w:t xml:space="preserve"> outcomes</w:t>
      </w:r>
      <w:r w:rsidR="005B70F4">
        <w:t xml:space="preserve"> from baseline to post intervention in both </w:t>
      </w:r>
      <w:r w:rsidR="00D77E32">
        <w:t>trial arms</w:t>
      </w:r>
      <w:r w:rsidR="009E310A" w:rsidRPr="009E310A">
        <w:t>; pain scores, CMS, ASES score and tendon thickness.</w:t>
      </w:r>
      <w:r w:rsidR="00614D17">
        <w:t xml:space="preserve"> </w:t>
      </w:r>
      <w:r w:rsidR="009E310A" w:rsidRPr="009E310A">
        <w:t xml:space="preserve">Ruiz </w:t>
      </w:r>
      <w:proofErr w:type="spellStart"/>
      <w:r w:rsidR="009C5152">
        <w:t>Ibán</w:t>
      </w:r>
      <w:proofErr w:type="spellEnd"/>
      <w:r w:rsidR="009E310A" w:rsidRPr="009E310A">
        <w:t xml:space="preserve"> (2025) demonstrated no </w:t>
      </w:r>
      <w:r w:rsidR="00A83F29">
        <w:t xml:space="preserve">statistically </w:t>
      </w:r>
      <w:r w:rsidR="009E310A" w:rsidRPr="009E310A">
        <w:t xml:space="preserve">significant differences </w:t>
      </w:r>
      <w:r w:rsidR="00890F6D">
        <w:t xml:space="preserve">(in improvement) </w:t>
      </w:r>
      <w:r w:rsidR="009E310A" w:rsidRPr="009E310A">
        <w:t xml:space="preserve">between </w:t>
      </w:r>
      <w:r w:rsidR="00372636">
        <w:t>BCI</w:t>
      </w:r>
      <w:r w:rsidR="009E310A" w:rsidRPr="009E310A">
        <w:t xml:space="preserve"> and the control group in those outcomes at any timepoint</w:t>
      </w:r>
      <w:r w:rsidR="00D77E32">
        <w:t xml:space="preserve">. </w:t>
      </w:r>
      <w:r w:rsidR="00614D17" w:rsidRPr="009E310A">
        <w:t>However</w:t>
      </w:r>
      <w:r w:rsidR="00DE2864">
        <w:t>,</w:t>
      </w:r>
      <w:r w:rsidR="009E310A" w:rsidRPr="009E310A">
        <w:t xml:space="preserve"> Camacho-Chacon (</w:t>
      </w:r>
      <w:r w:rsidR="009E310A" w:rsidRPr="009E310A" w:rsidDel="00E56C57">
        <w:t>202</w:t>
      </w:r>
      <w:r w:rsidR="006C4942">
        <w:t>4</w:t>
      </w:r>
      <w:r w:rsidR="009E310A" w:rsidRPr="009E310A">
        <w:t xml:space="preserve">) demonstrated a significant difference between groups in </w:t>
      </w:r>
      <w:r w:rsidR="000F543B" w:rsidRPr="000F543B">
        <w:t xml:space="preserve">CMS, ASES score and tendon thickness </w:t>
      </w:r>
      <w:r w:rsidR="00DE2864">
        <w:t xml:space="preserve">at </w:t>
      </w:r>
      <w:r w:rsidR="000F543B">
        <w:t>all timepoints post intervention</w:t>
      </w:r>
      <w:r w:rsidR="009E310A" w:rsidRPr="009E310A">
        <w:t xml:space="preserve">.  </w:t>
      </w:r>
    </w:p>
    <w:p w14:paraId="1626F589" w14:textId="17E63A0C" w:rsidR="004C31B4" w:rsidRDefault="00AC7834" w:rsidP="00AC7834">
      <w:pPr>
        <w:pStyle w:val="Caption"/>
        <w:rPr>
          <w:b w:val="0"/>
          <w:bCs w:val="0"/>
        </w:rPr>
      </w:pPr>
      <w:bookmarkStart w:id="26" w:name="_Ref214891695"/>
      <w:bookmarkStart w:id="27" w:name="_Ref165987374"/>
      <w:r>
        <w:lastRenderedPageBreak/>
        <w:t xml:space="preserve">Table </w:t>
      </w:r>
      <w:r>
        <w:fldChar w:fldCharType="begin"/>
      </w:r>
      <w:r>
        <w:instrText xml:space="preserve"> SEQ Table \* ARABIC </w:instrText>
      </w:r>
      <w:r>
        <w:fldChar w:fldCharType="separate"/>
      </w:r>
      <w:r w:rsidR="00564C3F">
        <w:rPr>
          <w:noProof/>
        </w:rPr>
        <w:t>6</w:t>
      </w:r>
      <w:r>
        <w:fldChar w:fldCharType="end"/>
      </w:r>
      <w:bookmarkEnd w:id="26"/>
      <w:r>
        <w:tab/>
      </w:r>
      <w:r w:rsidR="00510D92">
        <w:t xml:space="preserve">Comparative efficacy results of </w:t>
      </w:r>
      <w:r w:rsidR="00A31687">
        <w:t>BCI</w:t>
      </w:r>
      <w:r w:rsidR="00611C7A">
        <w:t xml:space="preserve"> </w:t>
      </w:r>
      <w:r w:rsidR="00510D92">
        <w:t>vs</w:t>
      </w:r>
      <w:r w:rsidR="00510D92" w:rsidRPr="00ED54EE">
        <w:t xml:space="preserve">. </w:t>
      </w:r>
      <w:bookmarkEnd w:id="27"/>
      <w:r w:rsidR="00ED54EE" w:rsidRPr="00ED54EE">
        <w:rPr>
          <w:rFonts w:cstheme="minorHAnsi"/>
          <w:color w:val="000000"/>
          <w:lang w:eastAsia="en-AU"/>
        </w:rPr>
        <w:t>SSR</w:t>
      </w:r>
      <w:r w:rsidR="00ED54EE" w:rsidRPr="00ED54EE">
        <w:t xml:space="preserve"> </w:t>
      </w:r>
      <w:r w:rsidR="00E4615F" w:rsidRPr="00ED54EE">
        <w:t>in</w:t>
      </w:r>
      <w:r w:rsidR="00E4615F">
        <w:t xml:space="preserve"> both randomised control trials</w:t>
      </w:r>
    </w:p>
    <w:tbl>
      <w:tblPr>
        <w:tblW w:w="5000" w:type="pct"/>
        <w:tblLayout w:type="fixed"/>
        <w:tblLook w:val="04A0" w:firstRow="1" w:lastRow="0" w:firstColumn="1" w:lastColumn="0" w:noHBand="0" w:noVBand="1"/>
      </w:tblPr>
      <w:tblGrid>
        <w:gridCol w:w="1181"/>
        <w:gridCol w:w="1219"/>
        <w:gridCol w:w="850"/>
        <w:gridCol w:w="710"/>
        <w:gridCol w:w="708"/>
        <w:gridCol w:w="852"/>
        <w:gridCol w:w="884"/>
        <w:gridCol w:w="674"/>
        <w:gridCol w:w="991"/>
        <w:gridCol w:w="937"/>
      </w:tblGrid>
      <w:tr w:rsidR="00FC1D86" w:rsidRPr="0062012F" w14:paraId="73E0922B" w14:textId="77777777" w:rsidTr="006B614B">
        <w:trPr>
          <w:trHeight w:val="296"/>
          <w:tblHeader/>
        </w:trPr>
        <w:tc>
          <w:tcPr>
            <w:tcW w:w="656" w:type="pct"/>
            <w:vMerge w:val="restart"/>
            <w:tcBorders>
              <w:top w:val="single" w:sz="8" w:space="0" w:color="auto"/>
              <w:left w:val="single" w:sz="8" w:space="0" w:color="auto"/>
              <w:bottom w:val="single" w:sz="4" w:space="0" w:color="000000"/>
              <w:right w:val="single" w:sz="4" w:space="0" w:color="000000"/>
            </w:tcBorders>
            <w:shd w:val="clear" w:color="000000" w:fill="E7E6E6"/>
            <w:noWrap/>
            <w:vAlign w:val="bottom"/>
            <w:hideMark/>
          </w:tcPr>
          <w:p w14:paraId="2FF98570" w14:textId="77777777" w:rsidR="004C31B4" w:rsidRPr="0062012F" w:rsidRDefault="004C31B4" w:rsidP="004F52BE">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 </w:t>
            </w:r>
          </w:p>
        </w:tc>
        <w:tc>
          <w:tcPr>
            <w:tcW w:w="2409" w:type="pct"/>
            <w:gridSpan w:val="5"/>
            <w:tcBorders>
              <w:top w:val="single" w:sz="8" w:space="0" w:color="auto"/>
              <w:left w:val="nil"/>
              <w:bottom w:val="single" w:sz="4" w:space="0" w:color="auto"/>
              <w:right w:val="single" w:sz="8" w:space="0" w:color="000000"/>
            </w:tcBorders>
            <w:shd w:val="clear" w:color="000000" w:fill="E7E6E6"/>
            <w:noWrap/>
            <w:vAlign w:val="bottom"/>
            <w:hideMark/>
          </w:tcPr>
          <w:p w14:paraId="1280DF73" w14:textId="102B8D16" w:rsidR="004C31B4" w:rsidRPr="0062012F" w:rsidRDefault="004C31B4" w:rsidP="004F52BE">
            <w:pPr>
              <w:keepNext/>
              <w:keepLines/>
              <w:spacing w:before="0" w:after="0" w:line="240" w:lineRule="auto"/>
              <w:jc w:val="center"/>
              <w:rPr>
                <w:rFonts w:ascii="Arial Narrow" w:eastAsia="Times New Roman" w:hAnsi="Arial Narrow" w:cstheme="minorHAnsi"/>
                <w:b/>
                <w:bCs/>
                <w:color w:val="000000"/>
                <w:sz w:val="20"/>
                <w:szCs w:val="20"/>
                <w:lang w:val="es-CO" w:eastAsia="en-AU"/>
              </w:rPr>
            </w:pPr>
            <w:bookmarkStart w:id="28" w:name="_Hlk195051140"/>
            <w:r w:rsidRPr="0062012F">
              <w:rPr>
                <w:rFonts w:ascii="Arial Narrow" w:eastAsia="Times New Roman" w:hAnsi="Arial Narrow" w:cstheme="minorHAnsi"/>
                <w:b/>
                <w:bCs/>
                <w:color w:val="000000"/>
                <w:sz w:val="20"/>
                <w:szCs w:val="20"/>
                <w:lang w:val="es-CO" w:eastAsia="en-AU"/>
              </w:rPr>
              <w:t>Camacho-</w:t>
            </w:r>
            <w:proofErr w:type="spellStart"/>
            <w:r w:rsidRPr="0062012F">
              <w:rPr>
                <w:rFonts w:ascii="Arial Narrow" w:eastAsia="Times New Roman" w:hAnsi="Arial Narrow" w:cstheme="minorHAnsi"/>
                <w:b/>
                <w:bCs/>
                <w:color w:val="000000"/>
                <w:sz w:val="20"/>
                <w:szCs w:val="20"/>
                <w:lang w:val="es-CO" w:eastAsia="en-AU"/>
              </w:rPr>
              <w:t>Chacon</w:t>
            </w:r>
            <w:proofErr w:type="spellEnd"/>
            <w:r w:rsidR="009108EA" w:rsidRPr="0062012F">
              <w:rPr>
                <w:rFonts w:ascii="Arial Narrow" w:eastAsia="Times New Roman" w:hAnsi="Arial Narrow" w:cstheme="minorHAnsi"/>
                <w:b/>
                <w:bCs/>
                <w:color w:val="000000"/>
                <w:sz w:val="20"/>
                <w:szCs w:val="20"/>
                <w:lang w:val="es-CO" w:eastAsia="en-AU"/>
              </w:rPr>
              <w:t xml:space="preserve"> </w:t>
            </w:r>
            <w:bookmarkEnd w:id="28"/>
            <w:r w:rsidR="009108EA" w:rsidRPr="0062012F">
              <w:rPr>
                <w:rFonts w:ascii="Arial Narrow" w:eastAsia="Times New Roman" w:hAnsi="Arial Narrow" w:cstheme="minorHAnsi"/>
                <w:b/>
                <w:bCs/>
                <w:color w:val="000000"/>
                <w:sz w:val="20"/>
                <w:szCs w:val="20"/>
                <w:lang w:val="es-CO" w:eastAsia="en-AU"/>
              </w:rPr>
              <w:t>(N=60)</w:t>
            </w:r>
          </w:p>
        </w:tc>
        <w:tc>
          <w:tcPr>
            <w:tcW w:w="1935" w:type="pct"/>
            <w:gridSpan w:val="4"/>
            <w:tcBorders>
              <w:top w:val="single" w:sz="8" w:space="0" w:color="auto"/>
              <w:left w:val="nil"/>
              <w:bottom w:val="single" w:sz="4" w:space="0" w:color="auto"/>
              <w:right w:val="single" w:sz="8" w:space="0" w:color="000000"/>
            </w:tcBorders>
            <w:shd w:val="clear" w:color="000000" w:fill="E7E6E6"/>
          </w:tcPr>
          <w:p w14:paraId="7508F65F" w14:textId="5F66AFA0" w:rsidR="004C31B4" w:rsidRPr="0062012F" w:rsidRDefault="004C31B4" w:rsidP="004F52BE">
            <w:pPr>
              <w:keepNext/>
              <w:keepLines/>
              <w:spacing w:before="0" w:after="0" w:line="240" w:lineRule="auto"/>
              <w:jc w:val="center"/>
              <w:rPr>
                <w:rFonts w:ascii="Arial Narrow" w:eastAsia="Times New Roman" w:hAnsi="Arial Narrow" w:cstheme="minorHAnsi"/>
                <w:b/>
                <w:bCs/>
                <w:color w:val="000000"/>
                <w:sz w:val="20"/>
                <w:szCs w:val="20"/>
                <w:lang w:val="es-CO" w:eastAsia="en-AU"/>
              </w:rPr>
            </w:pPr>
            <w:r w:rsidRPr="0062012F">
              <w:rPr>
                <w:rFonts w:ascii="Arial Narrow" w:eastAsia="Times New Roman" w:hAnsi="Arial Narrow" w:cstheme="minorHAnsi"/>
                <w:b/>
                <w:bCs/>
                <w:color w:val="000000"/>
                <w:sz w:val="20"/>
                <w:szCs w:val="20"/>
                <w:lang w:eastAsia="en-AU"/>
              </w:rPr>
              <w:t xml:space="preserve">Ruiz </w:t>
            </w:r>
            <w:proofErr w:type="spellStart"/>
            <w:r w:rsidR="0091327B" w:rsidRPr="00A23DAD">
              <w:rPr>
                <w:rFonts w:ascii="Arial Narrow" w:hAnsi="Arial Narrow"/>
                <w:b/>
                <w:bCs/>
                <w:sz w:val="20"/>
                <w:szCs w:val="20"/>
              </w:rPr>
              <w:t>Ibán</w:t>
            </w:r>
            <w:proofErr w:type="spellEnd"/>
            <w:r w:rsidR="00F31E3A" w:rsidRPr="0062012F">
              <w:rPr>
                <w:rFonts w:ascii="Arial Narrow" w:eastAsia="Times New Roman" w:hAnsi="Arial Narrow" w:cstheme="minorHAnsi"/>
                <w:b/>
                <w:bCs/>
                <w:color w:val="000000"/>
                <w:sz w:val="20"/>
                <w:szCs w:val="20"/>
                <w:lang w:eastAsia="en-AU"/>
              </w:rPr>
              <w:t xml:space="preserve"> (N=124)</w:t>
            </w:r>
          </w:p>
        </w:tc>
      </w:tr>
      <w:tr w:rsidR="0016562F" w:rsidRPr="0062012F" w14:paraId="57542FA4" w14:textId="77777777" w:rsidTr="00A24603">
        <w:trPr>
          <w:trHeight w:val="296"/>
          <w:tblHeader/>
        </w:trPr>
        <w:tc>
          <w:tcPr>
            <w:tcW w:w="656" w:type="pct"/>
            <w:vMerge/>
            <w:tcBorders>
              <w:top w:val="single" w:sz="8" w:space="0" w:color="auto"/>
              <w:left w:val="single" w:sz="8" w:space="0" w:color="auto"/>
              <w:bottom w:val="single" w:sz="4" w:space="0" w:color="000000"/>
              <w:right w:val="single" w:sz="4" w:space="0" w:color="000000"/>
            </w:tcBorders>
            <w:vAlign w:val="center"/>
            <w:hideMark/>
          </w:tcPr>
          <w:p w14:paraId="09547EF9" w14:textId="77777777" w:rsidR="000413A8" w:rsidRPr="0062012F" w:rsidRDefault="000413A8" w:rsidP="004F52BE">
            <w:pPr>
              <w:keepNext/>
              <w:keepLines/>
              <w:spacing w:before="0" w:after="0" w:line="240" w:lineRule="auto"/>
              <w:rPr>
                <w:rFonts w:ascii="Arial Narrow" w:eastAsia="Times New Roman" w:hAnsi="Arial Narrow" w:cstheme="minorHAnsi"/>
                <w:color w:val="000000"/>
                <w:sz w:val="20"/>
                <w:szCs w:val="20"/>
                <w:lang w:eastAsia="en-AU"/>
              </w:rPr>
            </w:pPr>
          </w:p>
        </w:tc>
        <w:tc>
          <w:tcPr>
            <w:tcW w:w="677" w:type="pct"/>
            <w:tcBorders>
              <w:top w:val="nil"/>
              <w:left w:val="single" w:sz="4" w:space="0" w:color="auto"/>
              <w:bottom w:val="single" w:sz="4" w:space="0" w:color="auto"/>
              <w:right w:val="single" w:sz="4" w:space="0" w:color="auto"/>
            </w:tcBorders>
            <w:shd w:val="clear" w:color="000000" w:fill="E7E6E6"/>
            <w:vAlign w:val="center"/>
            <w:hideMark/>
          </w:tcPr>
          <w:p w14:paraId="3D225D36" w14:textId="074B9D7A" w:rsidR="000413A8" w:rsidRPr="0062012F" w:rsidRDefault="000413A8"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p>
        </w:tc>
        <w:tc>
          <w:tcPr>
            <w:tcW w:w="472" w:type="pct"/>
            <w:tcBorders>
              <w:top w:val="nil"/>
              <w:left w:val="single" w:sz="4" w:space="0" w:color="auto"/>
              <w:bottom w:val="single" w:sz="4" w:space="0" w:color="auto"/>
              <w:right w:val="single" w:sz="4" w:space="0" w:color="auto"/>
            </w:tcBorders>
            <w:shd w:val="clear" w:color="000000" w:fill="E7E6E6"/>
            <w:vAlign w:val="center"/>
          </w:tcPr>
          <w:p w14:paraId="0997D9F9" w14:textId="061653FA" w:rsidR="000413A8" w:rsidRPr="0062012F" w:rsidRDefault="000413A8"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de-DE"/>
              </w:rPr>
              <w:t>Base</w:t>
            </w:r>
          </w:p>
        </w:tc>
        <w:tc>
          <w:tcPr>
            <w:tcW w:w="394" w:type="pct"/>
            <w:tcBorders>
              <w:top w:val="nil"/>
              <w:left w:val="nil"/>
              <w:bottom w:val="single" w:sz="4" w:space="0" w:color="auto"/>
              <w:right w:val="single" w:sz="4" w:space="0" w:color="auto"/>
            </w:tcBorders>
            <w:shd w:val="clear" w:color="000000" w:fill="E7E6E6"/>
            <w:vAlign w:val="center"/>
            <w:hideMark/>
          </w:tcPr>
          <w:p w14:paraId="2191CBD3" w14:textId="77777777" w:rsidR="000413A8" w:rsidRPr="0062012F" w:rsidRDefault="000413A8"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6M</w:t>
            </w:r>
          </w:p>
        </w:tc>
        <w:tc>
          <w:tcPr>
            <w:tcW w:w="393" w:type="pct"/>
            <w:tcBorders>
              <w:top w:val="nil"/>
              <w:left w:val="nil"/>
              <w:bottom w:val="single" w:sz="4" w:space="0" w:color="auto"/>
              <w:right w:val="single" w:sz="4" w:space="0" w:color="auto"/>
            </w:tcBorders>
            <w:shd w:val="clear" w:color="000000" w:fill="E7E6E6"/>
            <w:vAlign w:val="center"/>
            <w:hideMark/>
          </w:tcPr>
          <w:p w14:paraId="71451120" w14:textId="77777777" w:rsidR="000413A8" w:rsidRPr="0062012F" w:rsidRDefault="000413A8"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12M</w:t>
            </w:r>
          </w:p>
        </w:tc>
        <w:tc>
          <w:tcPr>
            <w:tcW w:w="473" w:type="pct"/>
            <w:tcBorders>
              <w:top w:val="nil"/>
              <w:left w:val="nil"/>
              <w:bottom w:val="single" w:sz="4" w:space="0" w:color="auto"/>
              <w:right w:val="single" w:sz="8" w:space="0" w:color="auto"/>
            </w:tcBorders>
            <w:shd w:val="clear" w:color="000000" w:fill="E7E6E6"/>
            <w:vAlign w:val="center"/>
            <w:hideMark/>
          </w:tcPr>
          <w:p w14:paraId="01AEF0AA" w14:textId="77777777" w:rsidR="000413A8" w:rsidRPr="0062012F" w:rsidRDefault="000413A8"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24M</w:t>
            </w:r>
          </w:p>
        </w:tc>
        <w:tc>
          <w:tcPr>
            <w:tcW w:w="491" w:type="pct"/>
            <w:tcBorders>
              <w:top w:val="nil"/>
              <w:left w:val="nil"/>
              <w:bottom w:val="single" w:sz="4" w:space="0" w:color="auto"/>
              <w:right w:val="single" w:sz="8" w:space="0" w:color="auto"/>
            </w:tcBorders>
            <w:shd w:val="clear" w:color="000000" w:fill="E7E6E6"/>
            <w:vAlign w:val="center"/>
          </w:tcPr>
          <w:p w14:paraId="2F535CEF" w14:textId="77777777" w:rsidR="000413A8" w:rsidRPr="0062012F" w:rsidRDefault="000413A8"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3M</w:t>
            </w:r>
          </w:p>
        </w:tc>
        <w:tc>
          <w:tcPr>
            <w:tcW w:w="374" w:type="pct"/>
            <w:tcBorders>
              <w:top w:val="nil"/>
              <w:left w:val="nil"/>
              <w:bottom w:val="single" w:sz="4" w:space="0" w:color="auto"/>
              <w:right w:val="single" w:sz="8" w:space="0" w:color="auto"/>
            </w:tcBorders>
            <w:shd w:val="clear" w:color="000000" w:fill="E7E6E6"/>
            <w:vAlign w:val="center"/>
          </w:tcPr>
          <w:p w14:paraId="2C2118FD" w14:textId="77777777" w:rsidR="000413A8" w:rsidRPr="0062012F" w:rsidRDefault="000413A8"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6M</w:t>
            </w:r>
          </w:p>
        </w:tc>
        <w:tc>
          <w:tcPr>
            <w:tcW w:w="550" w:type="pct"/>
            <w:tcBorders>
              <w:top w:val="nil"/>
              <w:left w:val="nil"/>
              <w:bottom w:val="single" w:sz="4" w:space="0" w:color="auto"/>
              <w:right w:val="single" w:sz="8" w:space="0" w:color="auto"/>
            </w:tcBorders>
            <w:shd w:val="clear" w:color="000000" w:fill="E7E6E6"/>
            <w:vAlign w:val="center"/>
          </w:tcPr>
          <w:p w14:paraId="0CC87C6D" w14:textId="77777777" w:rsidR="000413A8" w:rsidRPr="0062012F" w:rsidRDefault="000413A8"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12M</w:t>
            </w:r>
          </w:p>
        </w:tc>
        <w:tc>
          <w:tcPr>
            <w:tcW w:w="520" w:type="pct"/>
            <w:tcBorders>
              <w:top w:val="nil"/>
              <w:left w:val="nil"/>
              <w:bottom w:val="single" w:sz="4" w:space="0" w:color="auto"/>
              <w:right w:val="single" w:sz="8" w:space="0" w:color="auto"/>
            </w:tcBorders>
            <w:shd w:val="clear" w:color="000000" w:fill="E7E6E6"/>
            <w:vAlign w:val="center"/>
          </w:tcPr>
          <w:p w14:paraId="025A2543" w14:textId="77777777" w:rsidR="000413A8" w:rsidRPr="0062012F" w:rsidRDefault="000413A8"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24m</w:t>
            </w:r>
          </w:p>
        </w:tc>
      </w:tr>
      <w:tr w:rsidR="00A24603" w:rsidRPr="0062012F" w14:paraId="0CDC92DC" w14:textId="77777777" w:rsidTr="002B1330">
        <w:trPr>
          <w:trHeight w:val="358"/>
        </w:trPr>
        <w:tc>
          <w:tcPr>
            <w:tcW w:w="656" w:type="pct"/>
            <w:vMerge w:val="restart"/>
            <w:tcBorders>
              <w:top w:val="nil"/>
              <w:left w:val="single" w:sz="8" w:space="0" w:color="auto"/>
              <w:right w:val="single" w:sz="4" w:space="0" w:color="auto"/>
            </w:tcBorders>
            <w:shd w:val="clear" w:color="auto" w:fill="FFFFFF" w:themeFill="background1"/>
            <w:vAlign w:val="center"/>
            <w:hideMark/>
          </w:tcPr>
          <w:p w14:paraId="4D733FC5" w14:textId="435C51DE" w:rsidR="009B4BA1" w:rsidRPr="0062012F" w:rsidRDefault="009B4BA1"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ASES</w:t>
            </w:r>
            <w:r w:rsidRPr="0062012F">
              <w:rPr>
                <w:rFonts w:ascii="Arial Narrow" w:eastAsia="Times New Roman" w:hAnsi="Arial Narrow" w:cstheme="minorHAnsi"/>
                <w:b/>
                <w:bCs/>
                <w:color w:val="000000"/>
                <w:sz w:val="20"/>
                <w:szCs w:val="20"/>
                <w:lang w:eastAsia="en-AU"/>
              </w:rPr>
              <w:br/>
              <w:t>score (SD)</w:t>
            </w:r>
          </w:p>
        </w:tc>
        <w:tc>
          <w:tcPr>
            <w:tcW w:w="677" w:type="pct"/>
            <w:tcBorders>
              <w:top w:val="nil"/>
              <w:left w:val="nil"/>
              <w:bottom w:val="single" w:sz="4" w:space="0" w:color="auto"/>
              <w:right w:val="single" w:sz="4" w:space="0" w:color="auto"/>
            </w:tcBorders>
            <w:shd w:val="clear" w:color="auto" w:fill="FFFFFF" w:themeFill="background1"/>
            <w:noWrap/>
            <w:vAlign w:val="center"/>
            <w:hideMark/>
          </w:tcPr>
          <w:p w14:paraId="59625835" w14:textId="6D30CF96" w:rsidR="009B4BA1" w:rsidRPr="0062012F" w:rsidRDefault="00D221A8" w:rsidP="004F52BE">
            <w:pPr>
              <w:keepNext/>
              <w:keepLines/>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BCI</w:t>
            </w:r>
          </w:p>
        </w:tc>
        <w:tc>
          <w:tcPr>
            <w:tcW w:w="472" w:type="pct"/>
            <w:tcBorders>
              <w:top w:val="nil"/>
              <w:left w:val="single" w:sz="4" w:space="0" w:color="auto"/>
              <w:bottom w:val="single" w:sz="4" w:space="0" w:color="auto"/>
              <w:right w:val="single" w:sz="4" w:space="0" w:color="auto"/>
            </w:tcBorders>
            <w:vAlign w:val="center"/>
            <w:hideMark/>
          </w:tcPr>
          <w:p w14:paraId="2CDEDBD2" w14:textId="1ABBE551"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49.0 (4.0)</w:t>
            </w:r>
          </w:p>
        </w:tc>
        <w:tc>
          <w:tcPr>
            <w:tcW w:w="394" w:type="pct"/>
            <w:tcBorders>
              <w:top w:val="nil"/>
              <w:left w:val="nil"/>
              <w:bottom w:val="single" w:sz="4" w:space="0" w:color="auto"/>
              <w:right w:val="single" w:sz="4" w:space="0" w:color="auto"/>
            </w:tcBorders>
            <w:vAlign w:val="center"/>
            <w:hideMark/>
          </w:tcPr>
          <w:p w14:paraId="7CA3D6B6" w14:textId="5AB64D2B"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82.0 (5.0)</w:t>
            </w:r>
          </w:p>
        </w:tc>
        <w:tc>
          <w:tcPr>
            <w:tcW w:w="393" w:type="pct"/>
            <w:tcBorders>
              <w:top w:val="nil"/>
              <w:left w:val="nil"/>
              <w:bottom w:val="single" w:sz="4" w:space="0" w:color="auto"/>
              <w:right w:val="single" w:sz="4" w:space="0" w:color="auto"/>
            </w:tcBorders>
            <w:vAlign w:val="center"/>
            <w:hideMark/>
          </w:tcPr>
          <w:p w14:paraId="3470F2A3" w14:textId="32F9C8A8"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87.0 (5.0)</w:t>
            </w:r>
          </w:p>
        </w:tc>
        <w:tc>
          <w:tcPr>
            <w:tcW w:w="473" w:type="pct"/>
            <w:tcBorders>
              <w:top w:val="nil"/>
              <w:left w:val="nil"/>
              <w:bottom w:val="single" w:sz="4" w:space="0" w:color="auto"/>
              <w:right w:val="single" w:sz="8" w:space="0" w:color="auto"/>
            </w:tcBorders>
            <w:vAlign w:val="center"/>
            <w:hideMark/>
          </w:tcPr>
          <w:p w14:paraId="6C192E0E" w14:textId="2954BD95"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88.0 (5.0)</w:t>
            </w:r>
          </w:p>
        </w:tc>
        <w:tc>
          <w:tcPr>
            <w:tcW w:w="491" w:type="pct"/>
            <w:tcBorders>
              <w:top w:val="nil"/>
              <w:left w:val="nil"/>
              <w:bottom w:val="single" w:sz="4" w:space="0" w:color="auto"/>
              <w:right w:val="single" w:sz="8" w:space="0" w:color="auto"/>
            </w:tcBorders>
            <w:vAlign w:val="center"/>
          </w:tcPr>
          <w:p w14:paraId="1D08BCEF" w14:textId="1EBB4DC1"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Times New Roman" w:hAnsi="Arial Narrow" w:cstheme="minorHAnsi"/>
                <w:sz w:val="20"/>
                <w:szCs w:val="20"/>
                <w:lang w:eastAsia="en-AU"/>
              </w:rPr>
              <w:t>53.0 (18.0)</w:t>
            </w:r>
          </w:p>
        </w:tc>
        <w:tc>
          <w:tcPr>
            <w:tcW w:w="374" w:type="pct"/>
            <w:tcBorders>
              <w:top w:val="nil"/>
              <w:left w:val="nil"/>
              <w:bottom w:val="single" w:sz="4" w:space="0" w:color="auto"/>
              <w:right w:val="single" w:sz="8" w:space="0" w:color="auto"/>
            </w:tcBorders>
            <w:vAlign w:val="center"/>
          </w:tcPr>
          <w:p w14:paraId="7344DB63" w14:textId="0B17AAED"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Times New Roman" w:hAnsi="Arial Narrow" w:cstheme="minorHAnsi"/>
                <w:sz w:val="20"/>
                <w:szCs w:val="20"/>
                <w:lang w:eastAsia="en-AU"/>
              </w:rPr>
              <w:t>71.0 (20.8)</w:t>
            </w:r>
          </w:p>
        </w:tc>
        <w:tc>
          <w:tcPr>
            <w:tcW w:w="550" w:type="pct"/>
            <w:tcBorders>
              <w:top w:val="nil"/>
              <w:left w:val="nil"/>
              <w:bottom w:val="single" w:sz="4" w:space="0" w:color="auto"/>
              <w:right w:val="single" w:sz="8" w:space="0" w:color="auto"/>
            </w:tcBorders>
            <w:vAlign w:val="center"/>
          </w:tcPr>
          <w:p w14:paraId="33A15881" w14:textId="3B4CAF7A"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78.4 (23.0)</w:t>
            </w:r>
          </w:p>
        </w:tc>
        <w:tc>
          <w:tcPr>
            <w:tcW w:w="520" w:type="pct"/>
            <w:tcBorders>
              <w:top w:val="nil"/>
              <w:left w:val="nil"/>
              <w:bottom w:val="single" w:sz="4" w:space="0" w:color="auto"/>
              <w:right w:val="single" w:sz="8" w:space="0" w:color="auto"/>
            </w:tcBorders>
            <w:vAlign w:val="center"/>
          </w:tcPr>
          <w:p w14:paraId="4FCD2A4C" w14:textId="18ECD1A1"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hAnsi="Arial Narrow" w:cstheme="minorHAnsi"/>
                <w:sz w:val="20"/>
                <w:szCs w:val="20"/>
              </w:rPr>
              <w:t>84.2 (21.7)</w:t>
            </w:r>
          </w:p>
        </w:tc>
      </w:tr>
      <w:tr w:rsidR="00A24603" w:rsidRPr="0062012F" w14:paraId="1D5DE00E" w14:textId="77777777" w:rsidTr="002B1330">
        <w:trPr>
          <w:trHeight w:val="370"/>
        </w:trPr>
        <w:tc>
          <w:tcPr>
            <w:tcW w:w="656" w:type="pct"/>
            <w:vMerge/>
            <w:tcBorders>
              <w:left w:val="single" w:sz="8" w:space="0" w:color="auto"/>
              <w:right w:val="single" w:sz="4" w:space="0" w:color="auto"/>
            </w:tcBorders>
            <w:shd w:val="clear" w:color="auto" w:fill="FFFFFF" w:themeFill="background1"/>
            <w:vAlign w:val="center"/>
            <w:hideMark/>
          </w:tcPr>
          <w:p w14:paraId="04FAAEF5" w14:textId="77777777" w:rsidR="009B4BA1" w:rsidRPr="0062012F" w:rsidRDefault="009B4BA1"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p>
        </w:tc>
        <w:tc>
          <w:tcPr>
            <w:tcW w:w="677" w:type="pct"/>
            <w:tcBorders>
              <w:top w:val="nil"/>
              <w:left w:val="nil"/>
              <w:bottom w:val="single" w:sz="4" w:space="0" w:color="auto"/>
              <w:right w:val="single" w:sz="4" w:space="0" w:color="auto"/>
            </w:tcBorders>
            <w:shd w:val="clear" w:color="auto" w:fill="FFFFFF" w:themeFill="background1"/>
            <w:noWrap/>
            <w:vAlign w:val="center"/>
            <w:hideMark/>
          </w:tcPr>
          <w:p w14:paraId="2016A6DA" w14:textId="1EB6C4E4" w:rsidR="009B4BA1" w:rsidRPr="0062012F" w:rsidRDefault="009B4BA1" w:rsidP="004F52BE">
            <w:pPr>
              <w:keepNext/>
              <w:keepLines/>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SSR</w:t>
            </w:r>
          </w:p>
        </w:tc>
        <w:tc>
          <w:tcPr>
            <w:tcW w:w="472" w:type="pct"/>
            <w:tcBorders>
              <w:top w:val="nil"/>
              <w:left w:val="single" w:sz="4" w:space="0" w:color="auto"/>
              <w:bottom w:val="single" w:sz="4" w:space="0" w:color="auto"/>
              <w:right w:val="single" w:sz="4" w:space="0" w:color="auto"/>
            </w:tcBorders>
            <w:vAlign w:val="center"/>
            <w:hideMark/>
          </w:tcPr>
          <w:p w14:paraId="200BB55D" w14:textId="34C1ACE2"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48.0 (2.0)</w:t>
            </w:r>
          </w:p>
        </w:tc>
        <w:tc>
          <w:tcPr>
            <w:tcW w:w="394" w:type="pct"/>
            <w:tcBorders>
              <w:top w:val="nil"/>
              <w:left w:val="nil"/>
              <w:bottom w:val="single" w:sz="4" w:space="0" w:color="auto"/>
              <w:right w:val="single" w:sz="4" w:space="0" w:color="auto"/>
            </w:tcBorders>
            <w:vAlign w:val="center"/>
            <w:hideMark/>
          </w:tcPr>
          <w:p w14:paraId="7C398527" w14:textId="4FBB2CE6"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68.0 (5.0)</w:t>
            </w:r>
          </w:p>
        </w:tc>
        <w:tc>
          <w:tcPr>
            <w:tcW w:w="393" w:type="pct"/>
            <w:tcBorders>
              <w:top w:val="nil"/>
              <w:left w:val="nil"/>
              <w:bottom w:val="single" w:sz="4" w:space="0" w:color="auto"/>
              <w:right w:val="single" w:sz="4" w:space="0" w:color="auto"/>
            </w:tcBorders>
            <w:vAlign w:val="center"/>
            <w:hideMark/>
          </w:tcPr>
          <w:p w14:paraId="45B6173D" w14:textId="3393B278"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75.0 (2.0)</w:t>
            </w:r>
          </w:p>
        </w:tc>
        <w:tc>
          <w:tcPr>
            <w:tcW w:w="473" w:type="pct"/>
            <w:tcBorders>
              <w:top w:val="nil"/>
              <w:left w:val="nil"/>
              <w:bottom w:val="single" w:sz="4" w:space="0" w:color="auto"/>
              <w:right w:val="single" w:sz="8" w:space="0" w:color="auto"/>
            </w:tcBorders>
            <w:vAlign w:val="center"/>
            <w:hideMark/>
          </w:tcPr>
          <w:p w14:paraId="75A6528D" w14:textId="3AF6CE4A"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80.0 (5.0)</w:t>
            </w:r>
          </w:p>
        </w:tc>
        <w:tc>
          <w:tcPr>
            <w:tcW w:w="491" w:type="pct"/>
            <w:tcBorders>
              <w:top w:val="nil"/>
              <w:left w:val="nil"/>
              <w:bottom w:val="single" w:sz="4" w:space="0" w:color="auto"/>
              <w:right w:val="single" w:sz="8" w:space="0" w:color="auto"/>
            </w:tcBorders>
            <w:vAlign w:val="center"/>
          </w:tcPr>
          <w:p w14:paraId="08B9F1CC" w14:textId="12A2A481"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Times New Roman" w:hAnsi="Arial Narrow" w:cstheme="minorHAnsi"/>
                <w:sz w:val="20"/>
                <w:szCs w:val="20"/>
                <w:lang w:eastAsia="en-AU"/>
              </w:rPr>
              <w:t>53.9 (18.9)</w:t>
            </w:r>
          </w:p>
        </w:tc>
        <w:tc>
          <w:tcPr>
            <w:tcW w:w="374" w:type="pct"/>
            <w:tcBorders>
              <w:top w:val="nil"/>
              <w:left w:val="nil"/>
              <w:bottom w:val="single" w:sz="4" w:space="0" w:color="auto"/>
              <w:right w:val="single" w:sz="8" w:space="0" w:color="auto"/>
            </w:tcBorders>
            <w:vAlign w:val="center"/>
          </w:tcPr>
          <w:p w14:paraId="607DDB46" w14:textId="4E3DDD3E"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Times New Roman" w:hAnsi="Arial Narrow" w:cstheme="minorHAnsi"/>
                <w:sz w:val="20"/>
                <w:szCs w:val="20"/>
                <w:lang w:eastAsia="en-AU"/>
              </w:rPr>
              <w:t>70.8 (20.8)</w:t>
            </w:r>
          </w:p>
        </w:tc>
        <w:tc>
          <w:tcPr>
            <w:tcW w:w="550" w:type="pct"/>
            <w:tcBorders>
              <w:top w:val="nil"/>
              <w:left w:val="nil"/>
              <w:bottom w:val="single" w:sz="4" w:space="0" w:color="auto"/>
              <w:right w:val="single" w:sz="8" w:space="0" w:color="auto"/>
            </w:tcBorders>
            <w:vAlign w:val="center"/>
          </w:tcPr>
          <w:p w14:paraId="57520729" w14:textId="07F4A6B4"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78.7 (24.5)</w:t>
            </w:r>
          </w:p>
        </w:tc>
        <w:tc>
          <w:tcPr>
            <w:tcW w:w="520" w:type="pct"/>
            <w:tcBorders>
              <w:top w:val="nil"/>
              <w:left w:val="nil"/>
              <w:bottom w:val="single" w:sz="4" w:space="0" w:color="auto"/>
              <w:right w:val="single" w:sz="8" w:space="0" w:color="auto"/>
            </w:tcBorders>
            <w:vAlign w:val="center"/>
          </w:tcPr>
          <w:p w14:paraId="00E99DF8" w14:textId="64AF84B7"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hAnsi="Arial Narrow" w:cstheme="minorHAnsi"/>
                <w:sz w:val="20"/>
                <w:szCs w:val="20"/>
              </w:rPr>
              <w:t>81.9 (24.4)</w:t>
            </w:r>
          </w:p>
        </w:tc>
      </w:tr>
      <w:tr w:rsidR="00A24603" w:rsidRPr="0062012F" w14:paraId="28CEEDF7" w14:textId="77777777" w:rsidTr="002B1330">
        <w:trPr>
          <w:trHeight w:val="296"/>
        </w:trPr>
        <w:tc>
          <w:tcPr>
            <w:tcW w:w="656" w:type="pct"/>
            <w:vMerge/>
            <w:tcBorders>
              <w:left w:val="single" w:sz="8" w:space="0" w:color="auto"/>
              <w:bottom w:val="single" w:sz="4" w:space="0" w:color="auto"/>
              <w:right w:val="single" w:sz="4" w:space="0" w:color="auto"/>
            </w:tcBorders>
            <w:shd w:val="clear" w:color="auto" w:fill="FFFFFF" w:themeFill="background1"/>
            <w:vAlign w:val="center"/>
          </w:tcPr>
          <w:p w14:paraId="30C21E25" w14:textId="77777777" w:rsidR="009B4BA1" w:rsidRPr="0062012F" w:rsidRDefault="009B4BA1"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p>
        </w:tc>
        <w:tc>
          <w:tcPr>
            <w:tcW w:w="677" w:type="pct"/>
            <w:tcBorders>
              <w:top w:val="nil"/>
              <w:left w:val="nil"/>
              <w:bottom w:val="single" w:sz="4" w:space="0" w:color="auto"/>
              <w:right w:val="single" w:sz="4" w:space="0" w:color="auto"/>
            </w:tcBorders>
            <w:shd w:val="clear" w:color="auto" w:fill="FFFFFF" w:themeFill="background1"/>
            <w:noWrap/>
            <w:vAlign w:val="center"/>
          </w:tcPr>
          <w:p w14:paraId="220B3A20" w14:textId="3E0BB752" w:rsidR="009B4BA1" w:rsidRPr="0062012F" w:rsidRDefault="00F21846" w:rsidP="004F52BE">
            <w:pPr>
              <w:keepNext/>
              <w:keepLines/>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p-value</w:t>
            </w:r>
            <w:r w:rsidR="00331BA8" w:rsidRPr="0062012F">
              <w:rPr>
                <w:rFonts w:ascii="Arial Narrow" w:eastAsia="Times New Roman" w:hAnsi="Arial Narrow" w:cstheme="minorHAnsi"/>
                <w:color w:val="000000"/>
                <w:sz w:val="20"/>
                <w:szCs w:val="20"/>
                <w:lang w:eastAsia="en-AU"/>
              </w:rPr>
              <w:t xml:space="preserve"> for </w:t>
            </w:r>
            <w:proofErr w:type="spellStart"/>
            <w:r w:rsidR="009B4BA1" w:rsidRPr="0062012F">
              <w:rPr>
                <w:rFonts w:ascii="Arial Narrow" w:eastAsia="Times New Roman" w:hAnsi="Arial Narrow" w:cstheme="minorHAnsi"/>
                <w:color w:val="000000"/>
                <w:sz w:val="20"/>
                <w:szCs w:val="20"/>
                <w:lang w:eastAsia="en-AU"/>
              </w:rPr>
              <w:t>Dif</w:t>
            </w:r>
            <w:proofErr w:type="spellEnd"/>
            <w:r w:rsidR="00331BA8" w:rsidRPr="0062012F">
              <w:rPr>
                <w:rFonts w:ascii="Arial Narrow" w:eastAsia="Times New Roman" w:hAnsi="Arial Narrow" w:cstheme="minorHAnsi"/>
                <w:color w:val="000000"/>
                <w:sz w:val="20"/>
                <w:szCs w:val="20"/>
                <w:lang w:eastAsia="en-AU"/>
              </w:rPr>
              <w:t>*</w:t>
            </w:r>
          </w:p>
        </w:tc>
        <w:tc>
          <w:tcPr>
            <w:tcW w:w="472" w:type="pct"/>
            <w:tcBorders>
              <w:top w:val="nil"/>
              <w:left w:val="nil"/>
              <w:bottom w:val="single" w:sz="4" w:space="0" w:color="auto"/>
              <w:right w:val="single" w:sz="4" w:space="0" w:color="auto"/>
            </w:tcBorders>
            <w:vAlign w:val="center"/>
          </w:tcPr>
          <w:p w14:paraId="23C19872" w14:textId="77777777"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p>
        </w:tc>
        <w:tc>
          <w:tcPr>
            <w:tcW w:w="394" w:type="pct"/>
            <w:tcBorders>
              <w:top w:val="nil"/>
              <w:left w:val="nil"/>
              <w:bottom w:val="single" w:sz="4" w:space="0" w:color="auto"/>
              <w:right w:val="single" w:sz="4" w:space="0" w:color="auto"/>
            </w:tcBorders>
            <w:vAlign w:val="center"/>
          </w:tcPr>
          <w:p w14:paraId="55021771" w14:textId="63A754C9"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b/>
                <w:bCs/>
                <w:sz w:val="20"/>
                <w:szCs w:val="20"/>
                <w:lang w:eastAsia="en-AU"/>
              </w:rPr>
              <w:t>&lt;0.0001</w:t>
            </w:r>
          </w:p>
        </w:tc>
        <w:tc>
          <w:tcPr>
            <w:tcW w:w="393" w:type="pct"/>
            <w:tcBorders>
              <w:top w:val="nil"/>
              <w:left w:val="nil"/>
              <w:bottom w:val="single" w:sz="4" w:space="0" w:color="auto"/>
              <w:right w:val="single" w:sz="4" w:space="0" w:color="auto"/>
            </w:tcBorders>
            <w:vAlign w:val="center"/>
          </w:tcPr>
          <w:p w14:paraId="4C4A3593" w14:textId="256C925D"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b/>
                <w:bCs/>
                <w:sz w:val="20"/>
                <w:szCs w:val="20"/>
                <w:lang w:eastAsia="en-AU"/>
              </w:rPr>
              <w:t>&lt;0.0001</w:t>
            </w:r>
          </w:p>
        </w:tc>
        <w:tc>
          <w:tcPr>
            <w:tcW w:w="473" w:type="pct"/>
            <w:tcBorders>
              <w:top w:val="nil"/>
              <w:left w:val="nil"/>
              <w:bottom w:val="single" w:sz="4" w:space="0" w:color="auto"/>
              <w:right w:val="single" w:sz="8" w:space="0" w:color="auto"/>
            </w:tcBorders>
            <w:vAlign w:val="center"/>
          </w:tcPr>
          <w:p w14:paraId="55F614FA" w14:textId="5137D07A"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b/>
                <w:bCs/>
                <w:sz w:val="20"/>
                <w:szCs w:val="20"/>
                <w:lang w:eastAsia="en-AU"/>
              </w:rPr>
              <w:t>&lt;0.0001</w:t>
            </w:r>
          </w:p>
        </w:tc>
        <w:tc>
          <w:tcPr>
            <w:tcW w:w="491" w:type="pct"/>
            <w:tcBorders>
              <w:top w:val="nil"/>
              <w:left w:val="single" w:sz="8" w:space="0" w:color="auto"/>
              <w:bottom w:val="single" w:sz="4" w:space="0" w:color="auto"/>
              <w:right w:val="single" w:sz="8" w:space="0" w:color="auto"/>
            </w:tcBorders>
            <w:vAlign w:val="center"/>
          </w:tcPr>
          <w:p w14:paraId="5C8FAD16" w14:textId="00188455" w:rsidR="009B4BA1" w:rsidRPr="0062012F" w:rsidRDefault="009B4BA1" w:rsidP="004F52BE">
            <w:pPr>
              <w:keepNext/>
              <w:keepLines/>
              <w:spacing w:before="0" w:after="0" w:line="240" w:lineRule="auto"/>
              <w:jc w:val="center"/>
              <w:rPr>
                <w:rFonts w:ascii="Arial Narrow" w:hAnsi="Arial Narrow" w:cstheme="minorHAnsi"/>
                <w:sz w:val="20"/>
                <w:szCs w:val="20"/>
              </w:rPr>
            </w:pPr>
            <w:r w:rsidRPr="0062012F">
              <w:rPr>
                <w:rFonts w:ascii="Arial Narrow" w:hAnsi="Arial Narrow" w:cstheme="minorHAnsi"/>
                <w:sz w:val="20"/>
                <w:szCs w:val="20"/>
              </w:rPr>
              <w:t>None</w:t>
            </w:r>
          </w:p>
        </w:tc>
        <w:tc>
          <w:tcPr>
            <w:tcW w:w="374" w:type="pct"/>
            <w:tcBorders>
              <w:top w:val="nil"/>
              <w:left w:val="single" w:sz="8" w:space="0" w:color="auto"/>
              <w:bottom w:val="single" w:sz="4" w:space="0" w:color="auto"/>
              <w:right w:val="single" w:sz="8" w:space="0" w:color="auto"/>
            </w:tcBorders>
            <w:vAlign w:val="center"/>
          </w:tcPr>
          <w:p w14:paraId="0EEFFEE9" w14:textId="4444270D" w:rsidR="009B4BA1" w:rsidRPr="0062012F" w:rsidRDefault="009B4BA1" w:rsidP="004F52BE">
            <w:pPr>
              <w:keepNext/>
              <w:keepLines/>
              <w:spacing w:before="0" w:after="0" w:line="240" w:lineRule="auto"/>
              <w:jc w:val="center"/>
              <w:rPr>
                <w:rFonts w:ascii="Arial Narrow" w:hAnsi="Arial Narrow" w:cstheme="minorHAnsi"/>
                <w:b/>
                <w:bCs/>
                <w:sz w:val="20"/>
                <w:szCs w:val="20"/>
              </w:rPr>
            </w:pPr>
            <w:r w:rsidRPr="0062012F">
              <w:rPr>
                <w:rFonts w:ascii="Arial Narrow" w:hAnsi="Arial Narrow" w:cstheme="minorHAnsi"/>
                <w:sz w:val="20"/>
                <w:szCs w:val="20"/>
              </w:rPr>
              <w:t>None</w:t>
            </w:r>
          </w:p>
        </w:tc>
        <w:tc>
          <w:tcPr>
            <w:tcW w:w="550" w:type="pct"/>
            <w:tcBorders>
              <w:top w:val="nil"/>
              <w:left w:val="single" w:sz="8" w:space="0" w:color="auto"/>
              <w:bottom w:val="single" w:sz="4" w:space="0" w:color="auto"/>
              <w:right w:val="single" w:sz="8" w:space="0" w:color="auto"/>
            </w:tcBorders>
            <w:vAlign w:val="center"/>
          </w:tcPr>
          <w:p w14:paraId="2812E2EC" w14:textId="2D59E539"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hAnsi="Arial Narrow" w:cstheme="minorHAnsi"/>
                <w:sz w:val="20"/>
                <w:szCs w:val="20"/>
              </w:rPr>
              <w:t>None</w:t>
            </w:r>
          </w:p>
        </w:tc>
        <w:tc>
          <w:tcPr>
            <w:tcW w:w="520" w:type="pct"/>
            <w:tcBorders>
              <w:top w:val="nil"/>
              <w:left w:val="single" w:sz="8" w:space="0" w:color="auto"/>
              <w:bottom w:val="single" w:sz="4" w:space="0" w:color="auto"/>
              <w:right w:val="single" w:sz="8" w:space="0" w:color="auto"/>
            </w:tcBorders>
            <w:vAlign w:val="center"/>
          </w:tcPr>
          <w:p w14:paraId="77984D00" w14:textId="331AC888" w:rsidR="009B4BA1" w:rsidRPr="0062012F" w:rsidRDefault="009B4BA1" w:rsidP="004F52BE">
            <w:pPr>
              <w:keepNext/>
              <w:keepLines/>
              <w:spacing w:before="0" w:after="0" w:line="240" w:lineRule="auto"/>
              <w:jc w:val="center"/>
              <w:rPr>
                <w:rFonts w:ascii="Arial Narrow" w:hAnsi="Arial Narrow" w:cstheme="minorHAnsi"/>
                <w:b/>
                <w:bCs/>
                <w:sz w:val="20"/>
                <w:szCs w:val="20"/>
              </w:rPr>
            </w:pPr>
            <w:r w:rsidRPr="0062012F">
              <w:rPr>
                <w:rFonts w:ascii="Arial Narrow" w:hAnsi="Arial Narrow" w:cstheme="minorHAnsi"/>
                <w:sz w:val="20"/>
                <w:szCs w:val="20"/>
              </w:rPr>
              <w:t>None</w:t>
            </w:r>
          </w:p>
        </w:tc>
      </w:tr>
      <w:tr w:rsidR="00A24603" w:rsidRPr="0062012F" w14:paraId="7A152200" w14:textId="77777777" w:rsidTr="002B1330">
        <w:trPr>
          <w:trHeight w:val="296"/>
        </w:trPr>
        <w:tc>
          <w:tcPr>
            <w:tcW w:w="656" w:type="pct"/>
            <w:vMerge w:val="restart"/>
            <w:tcBorders>
              <w:top w:val="nil"/>
              <w:left w:val="single" w:sz="8" w:space="0" w:color="auto"/>
              <w:right w:val="single" w:sz="4" w:space="0" w:color="auto"/>
            </w:tcBorders>
            <w:shd w:val="clear" w:color="auto" w:fill="FFFFFF" w:themeFill="background1"/>
            <w:vAlign w:val="center"/>
            <w:hideMark/>
          </w:tcPr>
          <w:p w14:paraId="35692BF7" w14:textId="54AE37CA" w:rsidR="009B4BA1" w:rsidRPr="0062012F" w:rsidRDefault="009B4BA1"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CMS</w:t>
            </w:r>
            <w:r w:rsidRPr="0062012F">
              <w:rPr>
                <w:rFonts w:ascii="Arial Narrow" w:eastAsia="Times New Roman" w:hAnsi="Arial Narrow" w:cstheme="minorHAnsi"/>
                <w:b/>
                <w:bCs/>
                <w:color w:val="000000"/>
                <w:sz w:val="20"/>
                <w:szCs w:val="20"/>
                <w:lang w:eastAsia="en-AU"/>
              </w:rPr>
              <w:br/>
              <w:t>score (SD)</w:t>
            </w:r>
          </w:p>
        </w:tc>
        <w:tc>
          <w:tcPr>
            <w:tcW w:w="677" w:type="pct"/>
            <w:tcBorders>
              <w:top w:val="nil"/>
              <w:left w:val="nil"/>
              <w:bottom w:val="single" w:sz="4" w:space="0" w:color="auto"/>
              <w:right w:val="single" w:sz="4" w:space="0" w:color="auto"/>
            </w:tcBorders>
            <w:shd w:val="clear" w:color="auto" w:fill="FFFFFF" w:themeFill="background1"/>
            <w:noWrap/>
            <w:vAlign w:val="center"/>
            <w:hideMark/>
          </w:tcPr>
          <w:p w14:paraId="1EC86E86" w14:textId="6D585959" w:rsidR="009B4BA1" w:rsidRPr="0062012F" w:rsidRDefault="00D221A8" w:rsidP="004F52BE">
            <w:pPr>
              <w:keepNext/>
              <w:keepLines/>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BCI</w:t>
            </w:r>
          </w:p>
        </w:tc>
        <w:tc>
          <w:tcPr>
            <w:tcW w:w="472" w:type="pct"/>
            <w:tcBorders>
              <w:top w:val="nil"/>
              <w:left w:val="nil"/>
              <w:bottom w:val="single" w:sz="4" w:space="0" w:color="auto"/>
              <w:right w:val="single" w:sz="4" w:space="0" w:color="auto"/>
            </w:tcBorders>
            <w:vAlign w:val="center"/>
            <w:hideMark/>
          </w:tcPr>
          <w:p w14:paraId="0A44C6ED" w14:textId="051224A9"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59.0 (2.0)</w:t>
            </w:r>
          </w:p>
        </w:tc>
        <w:tc>
          <w:tcPr>
            <w:tcW w:w="394" w:type="pct"/>
            <w:tcBorders>
              <w:top w:val="nil"/>
              <w:left w:val="nil"/>
              <w:bottom w:val="single" w:sz="4" w:space="0" w:color="auto"/>
              <w:right w:val="single" w:sz="4" w:space="0" w:color="auto"/>
            </w:tcBorders>
            <w:vAlign w:val="center"/>
            <w:hideMark/>
          </w:tcPr>
          <w:p w14:paraId="0B902713" w14:textId="5516334E"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76.0 (4.0)</w:t>
            </w:r>
          </w:p>
        </w:tc>
        <w:tc>
          <w:tcPr>
            <w:tcW w:w="393" w:type="pct"/>
            <w:tcBorders>
              <w:top w:val="nil"/>
              <w:left w:val="nil"/>
              <w:bottom w:val="single" w:sz="4" w:space="0" w:color="auto"/>
              <w:right w:val="single" w:sz="4" w:space="0" w:color="auto"/>
            </w:tcBorders>
            <w:vAlign w:val="center"/>
            <w:hideMark/>
          </w:tcPr>
          <w:p w14:paraId="3437C77D" w14:textId="44326C7A"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86.0 (5.0)</w:t>
            </w:r>
          </w:p>
        </w:tc>
        <w:tc>
          <w:tcPr>
            <w:tcW w:w="473" w:type="pct"/>
            <w:tcBorders>
              <w:top w:val="nil"/>
              <w:left w:val="nil"/>
              <w:bottom w:val="single" w:sz="4" w:space="0" w:color="auto"/>
              <w:right w:val="single" w:sz="8" w:space="0" w:color="auto"/>
            </w:tcBorders>
            <w:vAlign w:val="center"/>
            <w:hideMark/>
          </w:tcPr>
          <w:p w14:paraId="5AECDA1B" w14:textId="3DDAD12B"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88.0 (2.0)</w:t>
            </w:r>
          </w:p>
        </w:tc>
        <w:tc>
          <w:tcPr>
            <w:tcW w:w="491" w:type="pct"/>
            <w:tcBorders>
              <w:top w:val="nil"/>
              <w:left w:val="single" w:sz="8" w:space="0" w:color="auto"/>
              <w:bottom w:val="single" w:sz="4" w:space="0" w:color="auto"/>
              <w:right w:val="single" w:sz="8" w:space="0" w:color="auto"/>
            </w:tcBorders>
            <w:vAlign w:val="center"/>
          </w:tcPr>
          <w:p w14:paraId="4B781387" w14:textId="048DB5F8"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44.6 (16.5)</w:t>
            </w:r>
          </w:p>
        </w:tc>
        <w:tc>
          <w:tcPr>
            <w:tcW w:w="374" w:type="pct"/>
            <w:tcBorders>
              <w:top w:val="nil"/>
              <w:left w:val="single" w:sz="8" w:space="0" w:color="auto"/>
              <w:bottom w:val="single" w:sz="4" w:space="0" w:color="auto"/>
              <w:right w:val="single" w:sz="8" w:space="0" w:color="auto"/>
            </w:tcBorders>
            <w:vAlign w:val="center"/>
          </w:tcPr>
          <w:p w14:paraId="5891F417" w14:textId="365D7DFF"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65.3 (18.9)</w:t>
            </w:r>
          </w:p>
        </w:tc>
        <w:tc>
          <w:tcPr>
            <w:tcW w:w="550" w:type="pct"/>
            <w:tcBorders>
              <w:top w:val="nil"/>
              <w:left w:val="single" w:sz="8" w:space="0" w:color="auto"/>
              <w:bottom w:val="single" w:sz="4" w:space="0" w:color="auto"/>
              <w:right w:val="single" w:sz="8" w:space="0" w:color="auto"/>
            </w:tcBorders>
            <w:vAlign w:val="center"/>
          </w:tcPr>
          <w:p w14:paraId="724DEC38" w14:textId="4FABF087"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75.8 (20.2)</w:t>
            </w:r>
          </w:p>
        </w:tc>
        <w:tc>
          <w:tcPr>
            <w:tcW w:w="520" w:type="pct"/>
            <w:tcBorders>
              <w:top w:val="nil"/>
              <w:left w:val="single" w:sz="8" w:space="0" w:color="auto"/>
              <w:bottom w:val="single" w:sz="4" w:space="0" w:color="auto"/>
              <w:right w:val="single" w:sz="8" w:space="0" w:color="auto"/>
            </w:tcBorders>
            <w:vAlign w:val="center"/>
          </w:tcPr>
          <w:p w14:paraId="326C26B1" w14:textId="00A21295"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hAnsi="Arial Narrow" w:cstheme="minorHAnsi"/>
                <w:sz w:val="20"/>
                <w:szCs w:val="20"/>
              </w:rPr>
              <w:t>80.5 (19.8)</w:t>
            </w:r>
          </w:p>
        </w:tc>
      </w:tr>
      <w:tr w:rsidR="00A24603" w:rsidRPr="0062012F" w14:paraId="0CE6F529" w14:textId="77777777" w:rsidTr="002B1330">
        <w:trPr>
          <w:trHeight w:val="296"/>
        </w:trPr>
        <w:tc>
          <w:tcPr>
            <w:tcW w:w="656" w:type="pct"/>
            <w:vMerge/>
            <w:tcBorders>
              <w:left w:val="single" w:sz="8" w:space="0" w:color="auto"/>
              <w:right w:val="single" w:sz="4" w:space="0" w:color="auto"/>
            </w:tcBorders>
            <w:shd w:val="clear" w:color="auto" w:fill="FFFFFF" w:themeFill="background1"/>
            <w:vAlign w:val="center"/>
            <w:hideMark/>
          </w:tcPr>
          <w:p w14:paraId="17C641B4" w14:textId="77777777" w:rsidR="009B4BA1" w:rsidRPr="0062012F" w:rsidRDefault="009B4BA1"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p>
        </w:tc>
        <w:tc>
          <w:tcPr>
            <w:tcW w:w="677" w:type="pct"/>
            <w:tcBorders>
              <w:top w:val="nil"/>
              <w:left w:val="nil"/>
              <w:bottom w:val="single" w:sz="4" w:space="0" w:color="auto"/>
              <w:right w:val="single" w:sz="4" w:space="0" w:color="auto"/>
            </w:tcBorders>
            <w:shd w:val="clear" w:color="auto" w:fill="FFFFFF" w:themeFill="background1"/>
            <w:noWrap/>
            <w:vAlign w:val="center"/>
            <w:hideMark/>
          </w:tcPr>
          <w:p w14:paraId="2BD358DB" w14:textId="1CFE1F0A" w:rsidR="009B4BA1" w:rsidRPr="0062012F" w:rsidRDefault="009B4BA1" w:rsidP="004F52BE">
            <w:pPr>
              <w:keepNext/>
              <w:keepLines/>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SSR</w:t>
            </w:r>
          </w:p>
        </w:tc>
        <w:tc>
          <w:tcPr>
            <w:tcW w:w="472" w:type="pct"/>
            <w:tcBorders>
              <w:top w:val="nil"/>
              <w:left w:val="nil"/>
              <w:bottom w:val="single" w:sz="4" w:space="0" w:color="auto"/>
              <w:right w:val="single" w:sz="4" w:space="0" w:color="auto"/>
            </w:tcBorders>
            <w:vAlign w:val="center"/>
            <w:hideMark/>
          </w:tcPr>
          <w:p w14:paraId="66048174" w14:textId="56CA89F1"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57.0</w:t>
            </w:r>
            <w:r w:rsidR="00041254" w:rsidRPr="0062012F">
              <w:rPr>
                <w:rFonts w:ascii="Arial Narrow" w:eastAsia="Calibri" w:hAnsi="Arial Narrow" w:cstheme="minorHAnsi"/>
                <w:sz w:val="20"/>
                <w:szCs w:val="20"/>
                <w:lang w:eastAsia="en-AU"/>
              </w:rPr>
              <w:t xml:space="preserve"> </w:t>
            </w:r>
            <w:r w:rsidRPr="0062012F">
              <w:rPr>
                <w:rFonts w:ascii="Arial Narrow" w:eastAsia="Calibri" w:hAnsi="Arial Narrow" w:cstheme="minorHAnsi"/>
                <w:sz w:val="20"/>
                <w:szCs w:val="20"/>
                <w:lang w:eastAsia="en-AU"/>
              </w:rPr>
              <w:t>(4.0)</w:t>
            </w:r>
          </w:p>
        </w:tc>
        <w:tc>
          <w:tcPr>
            <w:tcW w:w="394" w:type="pct"/>
            <w:tcBorders>
              <w:top w:val="nil"/>
              <w:left w:val="nil"/>
              <w:bottom w:val="single" w:sz="4" w:space="0" w:color="auto"/>
              <w:right w:val="single" w:sz="4" w:space="0" w:color="auto"/>
            </w:tcBorders>
            <w:vAlign w:val="center"/>
            <w:hideMark/>
          </w:tcPr>
          <w:p w14:paraId="55E72C4F" w14:textId="1F3F290A"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63.0 (5.0)</w:t>
            </w:r>
          </w:p>
        </w:tc>
        <w:tc>
          <w:tcPr>
            <w:tcW w:w="393" w:type="pct"/>
            <w:tcBorders>
              <w:top w:val="nil"/>
              <w:left w:val="nil"/>
              <w:bottom w:val="single" w:sz="4" w:space="0" w:color="auto"/>
              <w:right w:val="single" w:sz="4" w:space="0" w:color="auto"/>
            </w:tcBorders>
            <w:vAlign w:val="center"/>
            <w:hideMark/>
          </w:tcPr>
          <w:p w14:paraId="209BC57E" w14:textId="5D7857B7"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72.0 (4.0)</w:t>
            </w:r>
          </w:p>
        </w:tc>
        <w:tc>
          <w:tcPr>
            <w:tcW w:w="473" w:type="pct"/>
            <w:tcBorders>
              <w:top w:val="nil"/>
              <w:left w:val="nil"/>
              <w:bottom w:val="single" w:sz="4" w:space="0" w:color="auto"/>
              <w:right w:val="single" w:sz="8" w:space="0" w:color="auto"/>
            </w:tcBorders>
            <w:vAlign w:val="center"/>
            <w:hideMark/>
          </w:tcPr>
          <w:p w14:paraId="12F430BE" w14:textId="523B0926"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72.0 (3.0)</w:t>
            </w:r>
          </w:p>
        </w:tc>
        <w:tc>
          <w:tcPr>
            <w:tcW w:w="491" w:type="pct"/>
            <w:tcBorders>
              <w:top w:val="nil"/>
              <w:left w:val="single" w:sz="8" w:space="0" w:color="auto"/>
              <w:bottom w:val="single" w:sz="4" w:space="0" w:color="auto"/>
              <w:right w:val="single" w:sz="8" w:space="0" w:color="auto"/>
            </w:tcBorders>
            <w:vAlign w:val="center"/>
          </w:tcPr>
          <w:p w14:paraId="3CFEA4D1" w14:textId="66BD66A5"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46.3 (16.0)</w:t>
            </w:r>
          </w:p>
        </w:tc>
        <w:tc>
          <w:tcPr>
            <w:tcW w:w="374" w:type="pct"/>
            <w:tcBorders>
              <w:top w:val="nil"/>
              <w:left w:val="single" w:sz="8" w:space="0" w:color="auto"/>
              <w:bottom w:val="single" w:sz="4" w:space="0" w:color="auto"/>
              <w:right w:val="single" w:sz="8" w:space="0" w:color="auto"/>
            </w:tcBorders>
            <w:vAlign w:val="center"/>
          </w:tcPr>
          <w:p w14:paraId="1005BDD2" w14:textId="3F45936E"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64.7 (19.0)</w:t>
            </w:r>
          </w:p>
        </w:tc>
        <w:tc>
          <w:tcPr>
            <w:tcW w:w="550" w:type="pct"/>
            <w:tcBorders>
              <w:top w:val="nil"/>
              <w:left w:val="single" w:sz="8" w:space="0" w:color="auto"/>
              <w:bottom w:val="single" w:sz="4" w:space="0" w:color="auto"/>
              <w:right w:val="single" w:sz="8" w:space="0" w:color="auto"/>
            </w:tcBorders>
            <w:vAlign w:val="center"/>
          </w:tcPr>
          <w:p w14:paraId="474FD73D" w14:textId="12373A2C"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77.2 (18.5)</w:t>
            </w:r>
          </w:p>
        </w:tc>
        <w:tc>
          <w:tcPr>
            <w:tcW w:w="520" w:type="pct"/>
            <w:tcBorders>
              <w:top w:val="nil"/>
              <w:left w:val="single" w:sz="8" w:space="0" w:color="auto"/>
              <w:bottom w:val="single" w:sz="4" w:space="0" w:color="auto"/>
              <w:right w:val="single" w:sz="8" w:space="0" w:color="auto"/>
            </w:tcBorders>
            <w:vAlign w:val="center"/>
          </w:tcPr>
          <w:p w14:paraId="5D01109B" w14:textId="40839C58"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hAnsi="Arial Narrow" w:cstheme="minorHAnsi"/>
                <w:sz w:val="20"/>
                <w:szCs w:val="20"/>
              </w:rPr>
              <w:t>76.2 (21.2)</w:t>
            </w:r>
          </w:p>
        </w:tc>
      </w:tr>
      <w:tr w:rsidR="00A24603" w:rsidRPr="0062012F" w14:paraId="42BF6A48" w14:textId="77777777" w:rsidTr="00A24603">
        <w:trPr>
          <w:trHeight w:val="296"/>
        </w:trPr>
        <w:tc>
          <w:tcPr>
            <w:tcW w:w="656" w:type="pct"/>
            <w:vMerge/>
            <w:tcBorders>
              <w:left w:val="single" w:sz="8" w:space="0" w:color="auto"/>
              <w:bottom w:val="single" w:sz="4" w:space="0" w:color="auto"/>
              <w:right w:val="single" w:sz="4" w:space="0" w:color="auto"/>
            </w:tcBorders>
            <w:shd w:val="clear" w:color="auto" w:fill="FFFFFF" w:themeFill="background1"/>
            <w:vAlign w:val="center"/>
          </w:tcPr>
          <w:p w14:paraId="27BB16B4" w14:textId="77777777" w:rsidR="009B4BA1" w:rsidRPr="0062012F" w:rsidRDefault="009B4BA1"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bottom"/>
          </w:tcPr>
          <w:p w14:paraId="4F62B79B" w14:textId="6284A302" w:rsidR="00331BA8" w:rsidRPr="0062012F" w:rsidRDefault="00F21846" w:rsidP="004F52BE">
            <w:pPr>
              <w:keepNext/>
              <w:keepLines/>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p-value</w:t>
            </w:r>
            <w:r w:rsidR="00331BA8" w:rsidRPr="0062012F">
              <w:rPr>
                <w:rFonts w:ascii="Arial Narrow" w:eastAsia="Times New Roman" w:hAnsi="Arial Narrow" w:cstheme="minorHAnsi"/>
                <w:color w:val="000000"/>
                <w:sz w:val="20"/>
                <w:szCs w:val="20"/>
                <w:lang w:eastAsia="en-AU"/>
              </w:rPr>
              <w:t xml:space="preserve"> for Diff*</w:t>
            </w:r>
          </w:p>
        </w:tc>
        <w:tc>
          <w:tcPr>
            <w:tcW w:w="472" w:type="pct"/>
            <w:tcBorders>
              <w:top w:val="single" w:sz="4" w:space="0" w:color="auto"/>
              <w:left w:val="single" w:sz="4" w:space="0" w:color="auto"/>
              <w:bottom w:val="single" w:sz="4" w:space="0" w:color="auto"/>
              <w:right w:val="single" w:sz="4" w:space="0" w:color="auto"/>
            </w:tcBorders>
            <w:vAlign w:val="center"/>
          </w:tcPr>
          <w:p w14:paraId="192A8256" w14:textId="5D84C3C1" w:rsidR="009B4BA1" w:rsidRPr="0062012F" w:rsidRDefault="0016562F" w:rsidP="004F52BE">
            <w:pPr>
              <w:keepNext/>
              <w:keepLines/>
              <w:spacing w:before="0" w:after="0" w:line="240" w:lineRule="auto"/>
              <w:jc w:val="center"/>
              <w:rPr>
                <w:rFonts w:ascii="Arial Narrow" w:eastAsia="Calibri" w:hAnsi="Arial Narrow" w:cstheme="minorHAnsi"/>
                <w:b/>
                <w:bCs/>
                <w:sz w:val="20"/>
                <w:szCs w:val="20"/>
                <w:lang w:eastAsia="en-AU"/>
              </w:rPr>
            </w:pPr>
            <w:r w:rsidRPr="0062012F">
              <w:rPr>
                <w:rFonts w:ascii="Arial Narrow" w:eastAsia="Calibri" w:hAnsi="Arial Narrow" w:cstheme="minorHAnsi"/>
                <w:b/>
                <w:bCs/>
                <w:sz w:val="20"/>
                <w:szCs w:val="20"/>
                <w:lang w:eastAsia="en-AU"/>
              </w:rPr>
              <w:t>0.0013</w:t>
            </w:r>
            <w:r w:rsidRPr="0062012F">
              <w:rPr>
                <w:rFonts w:ascii="Arial Narrow" w:hAnsi="Arial Narrow" w:cstheme="minorHAnsi"/>
                <w:sz w:val="20"/>
                <w:szCs w:val="20"/>
                <w:vertAlign w:val="superscript"/>
              </w:rPr>
              <w:t>†</w:t>
            </w:r>
          </w:p>
        </w:tc>
        <w:tc>
          <w:tcPr>
            <w:tcW w:w="394" w:type="pct"/>
            <w:tcBorders>
              <w:top w:val="nil"/>
              <w:left w:val="nil"/>
              <w:bottom w:val="single" w:sz="4" w:space="0" w:color="auto"/>
              <w:right w:val="single" w:sz="4" w:space="0" w:color="auto"/>
            </w:tcBorders>
            <w:vAlign w:val="center"/>
          </w:tcPr>
          <w:p w14:paraId="0ED6EC98" w14:textId="676AE1FE"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b/>
                <w:bCs/>
                <w:sz w:val="20"/>
                <w:szCs w:val="20"/>
                <w:lang w:eastAsia="en-AU"/>
              </w:rPr>
              <w:t>&lt;0.0001</w:t>
            </w:r>
          </w:p>
        </w:tc>
        <w:tc>
          <w:tcPr>
            <w:tcW w:w="393" w:type="pct"/>
            <w:tcBorders>
              <w:top w:val="nil"/>
              <w:left w:val="nil"/>
              <w:bottom w:val="single" w:sz="4" w:space="0" w:color="auto"/>
              <w:right w:val="single" w:sz="4" w:space="0" w:color="auto"/>
            </w:tcBorders>
            <w:vAlign w:val="center"/>
          </w:tcPr>
          <w:p w14:paraId="663F4468" w14:textId="0A6CBA4C"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b/>
                <w:bCs/>
                <w:sz w:val="20"/>
                <w:szCs w:val="20"/>
                <w:lang w:eastAsia="en-AU"/>
              </w:rPr>
              <w:t>&lt;0.0001</w:t>
            </w:r>
          </w:p>
        </w:tc>
        <w:tc>
          <w:tcPr>
            <w:tcW w:w="473" w:type="pct"/>
            <w:tcBorders>
              <w:top w:val="nil"/>
              <w:left w:val="nil"/>
              <w:bottom w:val="single" w:sz="4" w:space="0" w:color="auto"/>
              <w:right w:val="single" w:sz="8" w:space="0" w:color="auto"/>
            </w:tcBorders>
            <w:vAlign w:val="center"/>
          </w:tcPr>
          <w:p w14:paraId="243024AC" w14:textId="0833B41A"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b/>
                <w:bCs/>
                <w:sz w:val="20"/>
                <w:szCs w:val="20"/>
                <w:lang w:eastAsia="en-AU"/>
              </w:rPr>
              <w:t>&lt;0.0001</w:t>
            </w:r>
          </w:p>
        </w:tc>
        <w:tc>
          <w:tcPr>
            <w:tcW w:w="491" w:type="pct"/>
            <w:tcBorders>
              <w:top w:val="single" w:sz="4" w:space="0" w:color="auto"/>
              <w:left w:val="single" w:sz="4" w:space="0" w:color="auto"/>
              <w:bottom w:val="single" w:sz="4" w:space="0" w:color="auto"/>
              <w:right w:val="single" w:sz="4" w:space="0" w:color="auto"/>
            </w:tcBorders>
            <w:vAlign w:val="center"/>
          </w:tcPr>
          <w:p w14:paraId="65FB9A9F" w14:textId="77C83973"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None</w:t>
            </w:r>
          </w:p>
        </w:tc>
        <w:tc>
          <w:tcPr>
            <w:tcW w:w="374" w:type="pct"/>
            <w:tcBorders>
              <w:top w:val="single" w:sz="4" w:space="0" w:color="auto"/>
              <w:left w:val="single" w:sz="4" w:space="0" w:color="auto"/>
              <w:bottom w:val="single" w:sz="4" w:space="0" w:color="auto"/>
              <w:right w:val="single" w:sz="4" w:space="0" w:color="auto"/>
            </w:tcBorders>
            <w:vAlign w:val="center"/>
          </w:tcPr>
          <w:p w14:paraId="0067B230" w14:textId="537C6A12" w:rsidR="009B4BA1" w:rsidRPr="0062012F" w:rsidRDefault="009B4BA1"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None</w:t>
            </w:r>
          </w:p>
        </w:tc>
        <w:tc>
          <w:tcPr>
            <w:tcW w:w="550" w:type="pct"/>
            <w:tcBorders>
              <w:top w:val="single" w:sz="4" w:space="0" w:color="auto"/>
              <w:left w:val="single" w:sz="4" w:space="0" w:color="auto"/>
              <w:bottom w:val="single" w:sz="4" w:space="0" w:color="auto"/>
              <w:right w:val="single" w:sz="4" w:space="0" w:color="auto"/>
            </w:tcBorders>
            <w:vAlign w:val="center"/>
          </w:tcPr>
          <w:p w14:paraId="252B888C" w14:textId="3C2F88C3"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hAnsi="Arial Narrow" w:cstheme="minorHAnsi"/>
                <w:sz w:val="20"/>
                <w:szCs w:val="20"/>
              </w:rPr>
              <w:t>None</w:t>
            </w:r>
          </w:p>
        </w:tc>
        <w:tc>
          <w:tcPr>
            <w:tcW w:w="520" w:type="pct"/>
            <w:tcBorders>
              <w:top w:val="single" w:sz="4" w:space="0" w:color="auto"/>
              <w:left w:val="single" w:sz="4" w:space="0" w:color="auto"/>
              <w:bottom w:val="single" w:sz="4" w:space="0" w:color="auto"/>
              <w:right w:val="single" w:sz="4" w:space="0" w:color="auto"/>
            </w:tcBorders>
            <w:vAlign w:val="center"/>
          </w:tcPr>
          <w:p w14:paraId="122223AD" w14:textId="258BC50D" w:rsidR="009B4BA1" w:rsidRPr="0062012F" w:rsidRDefault="009B4BA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hAnsi="Arial Narrow" w:cstheme="minorHAnsi"/>
                <w:sz w:val="20"/>
                <w:szCs w:val="20"/>
              </w:rPr>
              <w:t>None</w:t>
            </w:r>
          </w:p>
        </w:tc>
      </w:tr>
      <w:tr w:rsidR="00A24603" w:rsidRPr="0062012F" w14:paraId="4CE505F9" w14:textId="77777777" w:rsidTr="002B1330">
        <w:trPr>
          <w:trHeight w:val="296"/>
        </w:trPr>
        <w:tc>
          <w:tcPr>
            <w:tcW w:w="656" w:type="pct"/>
            <w:vMerge w:val="restart"/>
            <w:tcBorders>
              <w:top w:val="single" w:sz="4" w:space="0" w:color="auto"/>
              <w:left w:val="single" w:sz="4" w:space="0" w:color="auto"/>
              <w:right w:val="single" w:sz="4" w:space="0" w:color="auto"/>
            </w:tcBorders>
            <w:shd w:val="clear" w:color="auto" w:fill="FFFFFF" w:themeFill="background1"/>
            <w:vAlign w:val="center"/>
          </w:tcPr>
          <w:p w14:paraId="51D5F711" w14:textId="77777777" w:rsidR="003C618D" w:rsidRPr="0062012F" w:rsidRDefault="003C618D" w:rsidP="004F52BE">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Tendon Thickness by Group (mm)</w:t>
            </w: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center"/>
          </w:tcPr>
          <w:p w14:paraId="18741AE0" w14:textId="532B4AE6" w:rsidR="003C618D" w:rsidRPr="0062012F" w:rsidRDefault="00D221A8" w:rsidP="004F52BE">
            <w:pPr>
              <w:keepNext/>
              <w:keepLines/>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BCI</w:t>
            </w:r>
          </w:p>
        </w:tc>
        <w:tc>
          <w:tcPr>
            <w:tcW w:w="472" w:type="pct"/>
            <w:tcBorders>
              <w:top w:val="single" w:sz="4" w:space="0" w:color="auto"/>
              <w:left w:val="single" w:sz="4" w:space="0" w:color="auto"/>
              <w:bottom w:val="single" w:sz="4" w:space="0" w:color="auto"/>
              <w:right w:val="single" w:sz="4" w:space="0" w:color="auto"/>
            </w:tcBorders>
            <w:vAlign w:val="center"/>
          </w:tcPr>
          <w:p w14:paraId="3937B2BB" w14:textId="572AE066" w:rsidR="003C618D" w:rsidRPr="0062012F" w:rsidRDefault="003C618D"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sz w:val="20"/>
                <w:szCs w:val="20"/>
                <w:lang w:eastAsia="en-AU"/>
              </w:rPr>
              <w:t>4.19 (0.03)</w:t>
            </w:r>
          </w:p>
        </w:tc>
        <w:tc>
          <w:tcPr>
            <w:tcW w:w="394" w:type="pct"/>
            <w:tcBorders>
              <w:top w:val="single" w:sz="4" w:space="0" w:color="auto"/>
              <w:left w:val="single" w:sz="4" w:space="0" w:color="auto"/>
              <w:bottom w:val="single" w:sz="4" w:space="0" w:color="auto"/>
              <w:right w:val="single" w:sz="4" w:space="0" w:color="auto"/>
            </w:tcBorders>
            <w:vAlign w:val="center"/>
          </w:tcPr>
          <w:p w14:paraId="28D081FB" w14:textId="18CA2D79" w:rsidR="003C618D" w:rsidRPr="0062012F" w:rsidRDefault="003C618D"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sz w:val="20"/>
                <w:szCs w:val="20"/>
                <w:lang w:eastAsia="en-AU"/>
              </w:rPr>
              <w:t>6.21 (0.32)</w:t>
            </w:r>
          </w:p>
        </w:tc>
        <w:tc>
          <w:tcPr>
            <w:tcW w:w="393" w:type="pct"/>
            <w:tcBorders>
              <w:top w:val="single" w:sz="4" w:space="0" w:color="auto"/>
              <w:left w:val="single" w:sz="4" w:space="0" w:color="auto"/>
              <w:bottom w:val="single" w:sz="4" w:space="0" w:color="auto"/>
              <w:right w:val="single" w:sz="4" w:space="0" w:color="auto"/>
            </w:tcBorders>
            <w:vAlign w:val="center"/>
          </w:tcPr>
          <w:p w14:paraId="6217500D" w14:textId="6CC9E7B0" w:rsidR="003C618D" w:rsidRPr="0062012F" w:rsidRDefault="003C618D"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sz w:val="20"/>
                <w:szCs w:val="20"/>
                <w:lang w:eastAsia="en-AU"/>
              </w:rPr>
              <w:t>6.28 (0.29)</w:t>
            </w:r>
          </w:p>
        </w:tc>
        <w:tc>
          <w:tcPr>
            <w:tcW w:w="473" w:type="pct"/>
            <w:tcBorders>
              <w:top w:val="single" w:sz="4" w:space="0" w:color="auto"/>
              <w:left w:val="single" w:sz="4" w:space="0" w:color="auto"/>
              <w:bottom w:val="single" w:sz="4" w:space="0" w:color="auto"/>
              <w:right w:val="single" w:sz="8" w:space="0" w:color="auto"/>
            </w:tcBorders>
            <w:vAlign w:val="center"/>
          </w:tcPr>
          <w:p w14:paraId="3366E2B5" w14:textId="4E7AA5E4" w:rsidR="003C618D" w:rsidRPr="0062012F" w:rsidRDefault="003C618D"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sz w:val="20"/>
                <w:szCs w:val="20"/>
                <w:lang w:eastAsia="en-AU"/>
              </w:rPr>
              <w:t>6.25 (0.25)</w:t>
            </w:r>
          </w:p>
        </w:tc>
        <w:tc>
          <w:tcPr>
            <w:tcW w:w="491" w:type="pct"/>
            <w:tcBorders>
              <w:top w:val="single" w:sz="4" w:space="0" w:color="auto"/>
              <w:left w:val="single" w:sz="4" w:space="0" w:color="auto"/>
              <w:bottom w:val="single" w:sz="4" w:space="0" w:color="auto"/>
              <w:right w:val="single" w:sz="4" w:space="0" w:color="auto"/>
            </w:tcBorders>
            <w:vAlign w:val="center"/>
          </w:tcPr>
          <w:p w14:paraId="0D140762" w14:textId="38162F66" w:rsidR="003C618D" w:rsidRPr="0062012F" w:rsidRDefault="003C618D"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NR</w:t>
            </w:r>
          </w:p>
        </w:tc>
        <w:tc>
          <w:tcPr>
            <w:tcW w:w="374" w:type="pct"/>
            <w:tcBorders>
              <w:top w:val="single" w:sz="4" w:space="0" w:color="auto"/>
              <w:left w:val="single" w:sz="4" w:space="0" w:color="auto"/>
              <w:bottom w:val="single" w:sz="4" w:space="0" w:color="auto"/>
              <w:right w:val="single" w:sz="4" w:space="0" w:color="auto"/>
            </w:tcBorders>
            <w:vAlign w:val="center"/>
          </w:tcPr>
          <w:p w14:paraId="546BF4F8" w14:textId="19302ACB" w:rsidR="003C618D" w:rsidRPr="0062012F" w:rsidRDefault="003C618D"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NR</w:t>
            </w:r>
          </w:p>
        </w:tc>
        <w:tc>
          <w:tcPr>
            <w:tcW w:w="550" w:type="pct"/>
            <w:tcBorders>
              <w:top w:val="single" w:sz="4" w:space="0" w:color="auto"/>
              <w:left w:val="single" w:sz="4" w:space="0" w:color="auto"/>
              <w:bottom w:val="single" w:sz="4" w:space="0" w:color="auto"/>
              <w:right w:val="single" w:sz="4" w:space="0" w:color="auto"/>
            </w:tcBorders>
            <w:vAlign w:val="center"/>
          </w:tcPr>
          <w:p w14:paraId="283154A6" w14:textId="42CEBB42" w:rsidR="003C618D" w:rsidRPr="0062012F" w:rsidRDefault="003C618D"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Times New Roman" w:hAnsi="Arial Narrow" w:cstheme="minorHAnsi"/>
                <w:sz w:val="20"/>
                <w:szCs w:val="20"/>
                <w:lang w:eastAsia="en-AU"/>
              </w:rPr>
              <w:t>Footprint: 4.52</w:t>
            </w:r>
          </w:p>
        </w:tc>
        <w:tc>
          <w:tcPr>
            <w:tcW w:w="520" w:type="pct"/>
            <w:tcBorders>
              <w:top w:val="single" w:sz="4" w:space="0" w:color="auto"/>
              <w:left w:val="single" w:sz="4" w:space="0" w:color="auto"/>
              <w:bottom w:val="single" w:sz="4" w:space="0" w:color="auto"/>
              <w:right w:val="single" w:sz="4" w:space="0" w:color="auto"/>
            </w:tcBorders>
            <w:vAlign w:val="center"/>
          </w:tcPr>
          <w:p w14:paraId="77A69668" w14:textId="48576F0D" w:rsidR="003C618D" w:rsidRPr="0062012F" w:rsidRDefault="003C618D"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Times New Roman" w:hAnsi="Arial Narrow" w:cstheme="minorHAnsi"/>
                <w:sz w:val="20"/>
                <w:szCs w:val="20"/>
                <w:lang w:eastAsia="en-AU"/>
              </w:rPr>
              <w:t>Footprint: 3.92</w:t>
            </w:r>
          </w:p>
        </w:tc>
      </w:tr>
      <w:tr w:rsidR="00A24603" w:rsidRPr="0062012F" w14:paraId="26118793" w14:textId="77777777" w:rsidTr="002B1330">
        <w:trPr>
          <w:trHeight w:val="296"/>
        </w:trPr>
        <w:tc>
          <w:tcPr>
            <w:tcW w:w="656" w:type="pct"/>
            <w:vMerge/>
            <w:tcBorders>
              <w:left w:val="single" w:sz="4" w:space="0" w:color="auto"/>
              <w:right w:val="single" w:sz="4" w:space="0" w:color="auto"/>
            </w:tcBorders>
            <w:shd w:val="clear" w:color="auto" w:fill="FFFFFF" w:themeFill="background1"/>
            <w:vAlign w:val="center"/>
          </w:tcPr>
          <w:p w14:paraId="0922F468" w14:textId="77777777" w:rsidR="003C618D" w:rsidRPr="0062012F" w:rsidRDefault="003C618D" w:rsidP="004F52BE">
            <w:pPr>
              <w:keepNext/>
              <w:keepLines/>
              <w:spacing w:before="0" w:after="0" w:line="240" w:lineRule="auto"/>
              <w:rPr>
                <w:rFonts w:ascii="Arial Narrow" w:eastAsia="Times New Roman" w:hAnsi="Arial Narrow" w:cstheme="minorHAnsi"/>
                <w:b/>
                <w:bCs/>
                <w:color w:val="000000"/>
                <w:sz w:val="20"/>
                <w:szCs w:val="20"/>
                <w:lang w:eastAsia="en-AU"/>
              </w:rPr>
            </w:pP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center"/>
          </w:tcPr>
          <w:p w14:paraId="1D06F02F" w14:textId="7B4D04C9" w:rsidR="003C618D" w:rsidRPr="0062012F" w:rsidRDefault="003C618D" w:rsidP="004F52BE">
            <w:pPr>
              <w:keepNext/>
              <w:keepLines/>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SSR</w:t>
            </w:r>
          </w:p>
        </w:tc>
        <w:tc>
          <w:tcPr>
            <w:tcW w:w="472" w:type="pct"/>
            <w:tcBorders>
              <w:top w:val="single" w:sz="4" w:space="0" w:color="auto"/>
              <w:left w:val="single" w:sz="4" w:space="0" w:color="auto"/>
              <w:bottom w:val="single" w:sz="4" w:space="0" w:color="auto"/>
              <w:right w:val="single" w:sz="4" w:space="0" w:color="auto"/>
            </w:tcBorders>
            <w:vAlign w:val="center"/>
          </w:tcPr>
          <w:p w14:paraId="2E38E99B" w14:textId="22EF9DF2" w:rsidR="003C618D" w:rsidRPr="0062012F" w:rsidRDefault="003C618D"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sz w:val="20"/>
                <w:szCs w:val="20"/>
                <w:lang w:eastAsia="en-AU"/>
              </w:rPr>
              <w:t>4.18 (0.03)</w:t>
            </w:r>
          </w:p>
        </w:tc>
        <w:tc>
          <w:tcPr>
            <w:tcW w:w="394" w:type="pct"/>
            <w:tcBorders>
              <w:top w:val="single" w:sz="4" w:space="0" w:color="auto"/>
              <w:left w:val="single" w:sz="4" w:space="0" w:color="auto"/>
              <w:bottom w:val="single" w:sz="4" w:space="0" w:color="auto"/>
              <w:right w:val="single" w:sz="4" w:space="0" w:color="auto"/>
            </w:tcBorders>
            <w:vAlign w:val="center"/>
          </w:tcPr>
          <w:p w14:paraId="5866B16E" w14:textId="5D8B0E2D" w:rsidR="003C618D" w:rsidRPr="0062012F" w:rsidRDefault="003C618D"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sz w:val="20"/>
                <w:szCs w:val="20"/>
                <w:lang w:eastAsia="en-AU"/>
              </w:rPr>
              <w:t>5.01 (0.22)</w:t>
            </w:r>
          </w:p>
        </w:tc>
        <w:tc>
          <w:tcPr>
            <w:tcW w:w="393" w:type="pct"/>
            <w:tcBorders>
              <w:top w:val="single" w:sz="4" w:space="0" w:color="auto"/>
              <w:left w:val="single" w:sz="4" w:space="0" w:color="auto"/>
              <w:bottom w:val="single" w:sz="4" w:space="0" w:color="auto"/>
              <w:right w:val="single" w:sz="4" w:space="0" w:color="auto"/>
            </w:tcBorders>
            <w:vAlign w:val="center"/>
          </w:tcPr>
          <w:p w14:paraId="76B1A5CB" w14:textId="555BD590" w:rsidR="003C618D" w:rsidRPr="0062012F" w:rsidRDefault="003C618D"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sz w:val="20"/>
                <w:szCs w:val="20"/>
                <w:lang w:eastAsia="en-AU"/>
              </w:rPr>
              <w:t>5.04 (0.14)</w:t>
            </w:r>
          </w:p>
        </w:tc>
        <w:tc>
          <w:tcPr>
            <w:tcW w:w="473" w:type="pct"/>
            <w:tcBorders>
              <w:top w:val="single" w:sz="4" w:space="0" w:color="auto"/>
              <w:left w:val="single" w:sz="4" w:space="0" w:color="auto"/>
              <w:bottom w:val="single" w:sz="4" w:space="0" w:color="auto"/>
              <w:right w:val="single" w:sz="8" w:space="0" w:color="auto"/>
            </w:tcBorders>
            <w:vAlign w:val="center"/>
          </w:tcPr>
          <w:p w14:paraId="18325EF9" w14:textId="3F1CC9E8" w:rsidR="003C618D" w:rsidRPr="0062012F" w:rsidRDefault="003C618D"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sz w:val="20"/>
                <w:szCs w:val="20"/>
                <w:lang w:eastAsia="en-AU"/>
              </w:rPr>
              <w:t>5.04 (0.15)</w:t>
            </w:r>
          </w:p>
        </w:tc>
        <w:tc>
          <w:tcPr>
            <w:tcW w:w="491" w:type="pct"/>
            <w:tcBorders>
              <w:top w:val="single" w:sz="4" w:space="0" w:color="auto"/>
              <w:left w:val="single" w:sz="4" w:space="0" w:color="auto"/>
              <w:bottom w:val="single" w:sz="4" w:space="0" w:color="auto"/>
              <w:right w:val="single" w:sz="4" w:space="0" w:color="auto"/>
            </w:tcBorders>
            <w:vAlign w:val="center"/>
          </w:tcPr>
          <w:p w14:paraId="5F72449B" w14:textId="4399865B" w:rsidR="003C618D" w:rsidRPr="0062012F" w:rsidRDefault="003C618D"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NR</w:t>
            </w:r>
          </w:p>
        </w:tc>
        <w:tc>
          <w:tcPr>
            <w:tcW w:w="374" w:type="pct"/>
            <w:tcBorders>
              <w:top w:val="single" w:sz="4" w:space="0" w:color="auto"/>
              <w:left w:val="single" w:sz="4" w:space="0" w:color="auto"/>
              <w:bottom w:val="single" w:sz="4" w:space="0" w:color="auto"/>
              <w:right w:val="single" w:sz="4" w:space="0" w:color="auto"/>
            </w:tcBorders>
            <w:vAlign w:val="center"/>
          </w:tcPr>
          <w:p w14:paraId="3DBED975" w14:textId="47D109AD" w:rsidR="003C618D" w:rsidRPr="0062012F" w:rsidRDefault="003C618D"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NR</w:t>
            </w:r>
          </w:p>
        </w:tc>
        <w:tc>
          <w:tcPr>
            <w:tcW w:w="550" w:type="pct"/>
            <w:tcBorders>
              <w:top w:val="single" w:sz="4" w:space="0" w:color="auto"/>
              <w:left w:val="single" w:sz="4" w:space="0" w:color="auto"/>
              <w:bottom w:val="single" w:sz="4" w:space="0" w:color="auto"/>
              <w:right w:val="single" w:sz="4" w:space="0" w:color="auto"/>
            </w:tcBorders>
            <w:vAlign w:val="center"/>
          </w:tcPr>
          <w:p w14:paraId="3E474D74" w14:textId="0BCAAB47" w:rsidR="003C618D" w:rsidRPr="0062012F" w:rsidRDefault="003C618D"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Times New Roman" w:hAnsi="Arial Narrow" w:cstheme="minorHAnsi"/>
                <w:sz w:val="20"/>
                <w:szCs w:val="20"/>
                <w:lang w:eastAsia="en-AU"/>
              </w:rPr>
              <w:t>Footprint: 3.9</w:t>
            </w:r>
          </w:p>
        </w:tc>
        <w:tc>
          <w:tcPr>
            <w:tcW w:w="520" w:type="pct"/>
            <w:tcBorders>
              <w:top w:val="single" w:sz="4" w:space="0" w:color="auto"/>
              <w:left w:val="single" w:sz="4" w:space="0" w:color="auto"/>
              <w:bottom w:val="single" w:sz="4" w:space="0" w:color="auto"/>
              <w:right w:val="single" w:sz="4" w:space="0" w:color="auto"/>
            </w:tcBorders>
            <w:vAlign w:val="center"/>
          </w:tcPr>
          <w:p w14:paraId="6E7F55F5" w14:textId="4DC38FE5" w:rsidR="003C618D" w:rsidRPr="0062012F" w:rsidRDefault="003C618D"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Times New Roman" w:hAnsi="Arial Narrow" w:cstheme="minorHAnsi"/>
                <w:sz w:val="20"/>
                <w:szCs w:val="20"/>
                <w:lang w:eastAsia="en-AU"/>
              </w:rPr>
              <w:t>Footprint: 3.5</w:t>
            </w:r>
          </w:p>
        </w:tc>
      </w:tr>
      <w:tr w:rsidR="00A24603" w:rsidRPr="0062012F" w14:paraId="2EC67F95" w14:textId="77777777" w:rsidTr="002B1330">
        <w:trPr>
          <w:trHeight w:val="296"/>
        </w:trPr>
        <w:tc>
          <w:tcPr>
            <w:tcW w:w="656" w:type="pct"/>
            <w:vMerge/>
            <w:tcBorders>
              <w:left w:val="single" w:sz="4" w:space="0" w:color="auto"/>
              <w:bottom w:val="single" w:sz="4" w:space="0" w:color="auto"/>
              <w:right w:val="single" w:sz="4" w:space="0" w:color="auto"/>
            </w:tcBorders>
            <w:shd w:val="clear" w:color="auto" w:fill="FFFFFF" w:themeFill="background1"/>
            <w:vAlign w:val="center"/>
          </w:tcPr>
          <w:p w14:paraId="774980E9" w14:textId="77777777" w:rsidR="0034759A" w:rsidRPr="0062012F" w:rsidRDefault="0034759A" w:rsidP="004F52BE">
            <w:pPr>
              <w:keepNext/>
              <w:keepLines/>
              <w:spacing w:before="0" w:after="0" w:line="240" w:lineRule="auto"/>
              <w:rPr>
                <w:rFonts w:ascii="Arial Narrow" w:eastAsia="Times New Roman" w:hAnsi="Arial Narrow" w:cstheme="minorHAnsi"/>
                <w:b/>
                <w:bCs/>
                <w:color w:val="000000"/>
                <w:sz w:val="20"/>
                <w:szCs w:val="20"/>
                <w:lang w:eastAsia="en-AU"/>
              </w:rPr>
            </w:pPr>
          </w:p>
        </w:tc>
        <w:tc>
          <w:tcPr>
            <w:tcW w:w="677" w:type="pct"/>
            <w:tcBorders>
              <w:top w:val="single" w:sz="4" w:space="0" w:color="auto"/>
              <w:left w:val="nil"/>
              <w:bottom w:val="single" w:sz="4" w:space="0" w:color="auto"/>
              <w:right w:val="single" w:sz="4" w:space="0" w:color="auto"/>
            </w:tcBorders>
            <w:shd w:val="clear" w:color="auto" w:fill="FFFFFF" w:themeFill="background1"/>
            <w:noWrap/>
            <w:vAlign w:val="center"/>
          </w:tcPr>
          <w:p w14:paraId="59E35CC2" w14:textId="156E808F" w:rsidR="0034759A" w:rsidRPr="0062012F" w:rsidRDefault="00F21846" w:rsidP="004F52BE">
            <w:pPr>
              <w:keepNext/>
              <w:keepLines/>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p-value</w:t>
            </w:r>
            <w:r w:rsidR="00331BA8" w:rsidRPr="0062012F">
              <w:rPr>
                <w:rFonts w:ascii="Arial Narrow" w:eastAsia="Times New Roman" w:hAnsi="Arial Narrow" w:cstheme="minorHAnsi"/>
                <w:color w:val="000000"/>
                <w:sz w:val="20"/>
                <w:szCs w:val="20"/>
                <w:lang w:eastAsia="en-AU"/>
              </w:rPr>
              <w:t xml:space="preserve"> for Diff*</w:t>
            </w:r>
          </w:p>
        </w:tc>
        <w:tc>
          <w:tcPr>
            <w:tcW w:w="472" w:type="pct"/>
            <w:tcBorders>
              <w:top w:val="single" w:sz="4" w:space="0" w:color="auto"/>
              <w:left w:val="single" w:sz="4" w:space="0" w:color="auto"/>
              <w:bottom w:val="single" w:sz="4" w:space="0" w:color="auto"/>
              <w:right w:val="single" w:sz="4" w:space="0" w:color="auto"/>
            </w:tcBorders>
            <w:vAlign w:val="center"/>
          </w:tcPr>
          <w:p w14:paraId="026A70E5" w14:textId="77777777" w:rsidR="0034759A" w:rsidRPr="0062012F" w:rsidRDefault="0034759A" w:rsidP="004F52BE">
            <w:pPr>
              <w:keepNext/>
              <w:keepLines/>
              <w:spacing w:before="0" w:after="0" w:line="240" w:lineRule="auto"/>
              <w:jc w:val="center"/>
              <w:rPr>
                <w:rFonts w:ascii="Arial Narrow" w:eastAsia="Calibri" w:hAnsi="Arial Narrow" w:cstheme="minorHAnsi"/>
                <w:sz w:val="20"/>
                <w:szCs w:val="20"/>
                <w:lang w:eastAsia="en-AU"/>
              </w:rPr>
            </w:pPr>
          </w:p>
        </w:tc>
        <w:tc>
          <w:tcPr>
            <w:tcW w:w="394" w:type="pct"/>
            <w:tcBorders>
              <w:top w:val="single" w:sz="4" w:space="0" w:color="auto"/>
              <w:left w:val="single" w:sz="4" w:space="0" w:color="auto"/>
              <w:bottom w:val="single" w:sz="4" w:space="0" w:color="auto"/>
              <w:right w:val="single" w:sz="4" w:space="0" w:color="auto"/>
            </w:tcBorders>
            <w:vAlign w:val="center"/>
          </w:tcPr>
          <w:p w14:paraId="4879C2AE" w14:textId="1B607B2C" w:rsidR="0034759A" w:rsidRPr="0062012F" w:rsidRDefault="0034759A" w:rsidP="004F52BE">
            <w:pPr>
              <w:keepNext/>
              <w:keepLines/>
              <w:spacing w:before="0" w:after="0" w:line="240" w:lineRule="auto"/>
              <w:jc w:val="center"/>
              <w:rPr>
                <w:rFonts w:ascii="Arial Narrow" w:eastAsia="Calibri" w:hAnsi="Arial Narrow" w:cstheme="minorHAnsi"/>
                <w:b/>
                <w:bCs/>
                <w:sz w:val="20"/>
                <w:szCs w:val="20"/>
                <w:lang w:eastAsia="en-AU"/>
              </w:rPr>
            </w:pPr>
            <w:r w:rsidRPr="0062012F">
              <w:rPr>
                <w:rFonts w:ascii="Arial Narrow" w:eastAsia="Calibri" w:hAnsi="Arial Narrow" w:cstheme="minorHAnsi"/>
                <w:b/>
                <w:bCs/>
                <w:sz w:val="20"/>
                <w:szCs w:val="20"/>
                <w:lang w:eastAsia="en-AU"/>
              </w:rPr>
              <w:t>&lt;0.0001</w:t>
            </w:r>
          </w:p>
        </w:tc>
        <w:tc>
          <w:tcPr>
            <w:tcW w:w="393" w:type="pct"/>
            <w:tcBorders>
              <w:top w:val="single" w:sz="4" w:space="0" w:color="auto"/>
              <w:left w:val="single" w:sz="4" w:space="0" w:color="auto"/>
              <w:bottom w:val="single" w:sz="4" w:space="0" w:color="auto"/>
              <w:right w:val="single" w:sz="4" w:space="0" w:color="auto"/>
            </w:tcBorders>
            <w:vAlign w:val="center"/>
          </w:tcPr>
          <w:p w14:paraId="022E5D9E" w14:textId="69FCFFEC" w:rsidR="0034759A" w:rsidRPr="0062012F" w:rsidRDefault="0034759A" w:rsidP="004F52BE">
            <w:pPr>
              <w:keepNext/>
              <w:keepLines/>
              <w:spacing w:before="0" w:after="0" w:line="240" w:lineRule="auto"/>
              <w:jc w:val="center"/>
              <w:rPr>
                <w:rFonts w:ascii="Arial Narrow" w:eastAsia="Calibri" w:hAnsi="Arial Narrow" w:cstheme="minorHAnsi"/>
                <w:b/>
                <w:bCs/>
                <w:sz w:val="20"/>
                <w:szCs w:val="20"/>
                <w:lang w:eastAsia="en-AU"/>
              </w:rPr>
            </w:pPr>
            <w:r w:rsidRPr="0062012F">
              <w:rPr>
                <w:rFonts w:ascii="Arial Narrow" w:eastAsia="Calibri" w:hAnsi="Arial Narrow" w:cstheme="minorHAnsi"/>
                <w:b/>
                <w:bCs/>
                <w:sz w:val="20"/>
                <w:szCs w:val="20"/>
                <w:lang w:eastAsia="en-AU"/>
              </w:rPr>
              <w:t>&lt;0.0001</w:t>
            </w:r>
          </w:p>
        </w:tc>
        <w:tc>
          <w:tcPr>
            <w:tcW w:w="473" w:type="pct"/>
            <w:tcBorders>
              <w:top w:val="single" w:sz="4" w:space="0" w:color="auto"/>
              <w:left w:val="single" w:sz="4" w:space="0" w:color="auto"/>
              <w:bottom w:val="single" w:sz="4" w:space="0" w:color="auto"/>
              <w:right w:val="single" w:sz="8" w:space="0" w:color="auto"/>
            </w:tcBorders>
            <w:vAlign w:val="center"/>
          </w:tcPr>
          <w:p w14:paraId="47CA16B1" w14:textId="15DB93B5" w:rsidR="0034759A" w:rsidRPr="0062012F" w:rsidRDefault="0034759A" w:rsidP="004F52BE">
            <w:pPr>
              <w:keepNext/>
              <w:keepLines/>
              <w:spacing w:before="0" w:after="0" w:line="240" w:lineRule="auto"/>
              <w:jc w:val="center"/>
              <w:rPr>
                <w:rFonts w:ascii="Arial Narrow" w:eastAsia="Calibri" w:hAnsi="Arial Narrow" w:cstheme="minorHAnsi"/>
                <w:b/>
                <w:bCs/>
                <w:sz w:val="20"/>
                <w:szCs w:val="20"/>
                <w:lang w:eastAsia="en-AU"/>
              </w:rPr>
            </w:pPr>
            <w:r w:rsidRPr="0062012F">
              <w:rPr>
                <w:rFonts w:ascii="Arial Narrow" w:eastAsia="Calibri" w:hAnsi="Arial Narrow" w:cstheme="minorHAnsi"/>
                <w:b/>
                <w:bCs/>
                <w:sz w:val="20"/>
                <w:szCs w:val="20"/>
                <w:lang w:eastAsia="en-AU"/>
              </w:rPr>
              <w:t>&lt;0.0001</w:t>
            </w:r>
          </w:p>
        </w:tc>
        <w:tc>
          <w:tcPr>
            <w:tcW w:w="491" w:type="pct"/>
            <w:tcBorders>
              <w:top w:val="single" w:sz="4" w:space="0" w:color="auto"/>
              <w:left w:val="single" w:sz="4" w:space="0" w:color="auto"/>
              <w:bottom w:val="single" w:sz="4" w:space="0" w:color="auto"/>
              <w:right w:val="single" w:sz="4" w:space="0" w:color="auto"/>
            </w:tcBorders>
            <w:vAlign w:val="center"/>
          </w:tcPr>
          <w:p w14:paraId="2ED56928" w14:textId="03D3B28D" w:rsidR="0034759A" w:rsidRPr="0062012F" w:rsidRDefault="0034759A"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NR</w:t>
            </w:r>
          </w:p>
        </w:tc>
        <w:tc>
          <w:tcPr>
            <w:tcW w:w="374" w:type="pct"/>
            <w:tcBorders>
              <w:top w:val="single" w:sz="4" w:space="0" w:color="auto"/>
              <w:left w:val="single" w:sz="4" w:space="0" w:color="auto"/>
              <w:bottom w:val="single" w:sz="4" w:space="0" w:color="auto"/>
              <w:right w:val="single" w:sz="4" w:space="0" w:color="auto"/>
            </w:tcBorders>
            <w:vAlign w:val="center"/>
          </w:tcPr>
          <w:p w14:paraId="4C3000BE" w14:textId="144B590F" w:rsidR="0034759A" w:rsidRPr="0062012F" w:rsidRDefault="0034759A" w:rsidP="004F52BE">
            <w:pPr>
              <w:keepNext/>
              <w:keepLines/>
              <w:spacing w:before="0" w:after="0" w:line="240" w:lineRule="auto"/>
              <w:jc w:val="center"/>
              <w:rPr>
                <w:rFonts w:ascii="Arial Narrow" w:eastAsia="Calibri" w:hAnsi="Arial Narrow" w:cstheme="minorHAnsi"/>
                <w:sz w:val="20"/>
                <w:szCs w:val="20"/>
                <w:lang w:eastAsia="en-AU"/>
              </w:rPr>
            </w:pPr>
            <w:r w:rsidRPr="0062012F">
              <w:rPr>
                <w:rFonts w:ascii="Arial Narrow" w:hAnsi="Arial Narrow" w:cstheme="minorHAnsi"/>
                <w:sz w:val="20"/>
                <w:szCs w:val="20"/>
              </w:rPr>
              <w:t>NR</w:t>
            </w:r>
          </w:p>
        </w:tc>
        <w:tc>
          <w:tcPr>
            <w:tcW w:w="550" w:type="pct"/>
            <w:tcBorders>
              <w:top w:val="single" w:sz="4" w:space="0" w:color="auto"/>
              <w:left w:val="single" w:sz="4" w:space="0" w:color="auto"/>
              <w:bottom w:val="single" w:sz="4" w:space="0" w:color="auto"/>
              <w:right w:val="single" w:sz="4" w:space="0" w:color="auto"/>
            </w:tcBorders>
            <w:vAlign w:val="center"/>
          </w:tcPr>
          <w:p w14:paraId="6899515D" w14:textId="4B46B8F4" w:rsidR="0034759A" w:rsidRPr="0062012F" w:rsidRDefault="00332771" w:rsidP="004F52BE">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Times New Roman" w:hAnsi="Arial Narrow" w:cstheme="minorHAnsi"/>
                <w:b/>
                <w:bCs/>
                <w:sz w:val="20"/>
                <w:szCs w:val="20"/>
                <w:lang w:eastAsia="en-AU"/>
              </w:rPr>
              <w:t>0.024</w:t>
            </w:r>
          </w:p>
        </w:tc>
        <w:tc>
          <w:tcPr>
            <w:tcW w:w="520" w:type="pct"/>
            <w:tcBorders>
              <w:top w:val="single" w:sz="4" w:space="0" w:color="auto"/>
              <w:left w:val="single" w:sz="4" w:space="0" w:color="auto"/>
              <w:bottom w:val="single" w:sz="4" w:space="0" w:color="auto"/>
              <w:right w:val="single" w:sz="4" w:space="0" w:color="auto"/>
            </w:tcBorders>
            <w:vAlign w:val="center"/>
          </w:tcPr>
          <w:p w14:paraId="5CD33C8B" w14:textId="73323BA9" w:rsidR="0034759A" w:rsidRPr="0062012F" w:rsidRDefault="0034759A" w:rsidP="004F52BE">
            <w:pPr>
              <w:keepNext/>
              <w:keepLines/>
              <w:spacing w:before="0" w:after="0" w:line="240" w:lineRule="auto"/>
              <w:jc w:val="center"/>
              <w:rPr>
                <w:rFonts w:ascii="Arial Narrow" w:eastAsia="Times New Roman" w:hAnsi="Arial Narrow" w:cstheme="minorHAnsi"/>
                <w:b/>
                <w:bCs/>
                <w:sz w:val="20"/>
                <w:szCs w:val="20"/>
                <w:lang w:eastAsia="en-AU"/>
              </w:rPr>
            </w:pPr>
            <w:r w:rsidRPr="0062012F">
              <w:rPr>
                <w:rFonts w:ascii="Arial Narrow" w:hAnsi="Arial Narrow" w:cstheme="minorHAnsi"/>
                <w:b/>
                <w:bCs/>
                <w:sz w:val="20"/>
                <w:szCs w:val="20"/>
              </w:rPr>
              <w:t>0.035</w:t>
            </w:r>
          </w:p>
        </w:tc>
      </w:tr>
    </w:tbl>
    <w:p w14:paraId="5BD007DD" w14:textId="4211C5DC" w:rsidR="00041254" w:rsidRDefault="00F80505" w:rsidP="004F52BE">
      <w:pPr>
        <w:pStyle w:val="TableFooter"/>
        <w:keepNext/>
        <w:keepLines/>
      </w:pPr>
      <w:bookmarkStart w:id="29" w:name="_Hlk195048470"/>
      <w:r>
        <w:t xml:space="preserve">Source: </w:t>
      </w:r>
      <w:r w:rsidR="00041254">
        <w:t>Table 20 p 89 of the ADAR</w:t>
      </w:r>
      <w:r w:rsidR="00343ABB">
        <w:t xml:space="preserve"> </w:t>
      </w:r>
      <w:r w:rsidR="00E93605">
        <w:t>+</w:t>
      </w:r>
      <w:r w:rsidR="00343ABB">
        <w:t xml:space="preserve"> </w:t>
      </w:r>
      <w:r w:rsidR="00E93605">
        <w:t xml:space="preserve">in-line </w:t>
      </w:r>
      <w:r w:rsidR="00633A6E">
        <w:t>commentary.</w:t>
      </w:r>
      <w:r w:rsidR="006E6FF1">
        <w:t xml:space="preserve">, </w:t>
      </w:r>
      <w:r w:rsidR="00332771">
        <w:t>Figure 4</w:t>
      </w:r>
      <w:r w:rsidR="008E657D">
        <w:t xml:space="preserve">, p 8 of Ruiz </w:t>
      </w:r>
      <w:proofErr w:type="spellStart"/>
      <w:r w:rsidR="0091327B" w:rsidRPr="00A23DAD">
        <w:rPr>
          <w:szCs w:val="18"/>
        </w:rPr>
        <w:t>Ibán</w:t>
      </w:r>
      <w:proofErr w:type="spellEnd"/>
      <w:r w:rsidR="008E657D">
        <w:t xml:space="preserve"> (CSR) 2023, </w:t>
      </w:r>
      <w:r w:rsidR="006E6FF1">
        <w:t xml:space="preserve">Figure 4, p 16 of Ruiz </w:t>
      </w:r>
      <w:proofErr w:type="spellStart"/>
      <w:r w:rsidR="0091327B" w:rsidRPr="00BB05DE">
        <w:rPr>
          <w:szCs w:val="18"/>
        </w:rPr>
        <w:t>Ibán</w:t>
      </w:r>
      <w:proofErr w:type="spellEnd"/>
      <w:r w:rsidR="008E657D">
        <w:t xml:space="preserve"> </w:t>
      </w:r>
      <w:r w:rsidR="00A440F6">
        <w:t>(CSR) 2025</w:t>
      </w:r>
      <w:r w:rsidR="008E657D">
        <w:t>,</w:t>
      </w:r>
      <w:r w:rsidR="00041254">
        <w:t xml:space="preserve"> and compiled during evaluation. </w:t>
      </w:r>
    </w:p>
    <w:p w14:paraId="2CAC8A13" w14:textId="307120D7" w:rsidR="00A55578" w:rsidRDefault="000E1F64" w:rsidP="004F52BE">
      <w:pPr>
        <w:pStyle w:val="TableFooter"/>
        <w:keepNext/>
        <w:keepLines/>
      </w:pPr>
      <w:r>
        <w:t xml:space="preserve">Abbreviations: </w:t>
      </w:r>
      <w:r w:rsidR="00DC6644" w:rsidRPr="00A55578">
        <w:t xml:space="preserve">ASES = American Shoulder and Elbow Society; </w:t>
      </w:r>
      <w:r w:rsidR="00D221A8">
        <w:t>BCI</w:t>
      </w:r>
      <w:r w:rsidR="00E84711">
        <w:t xml:space="preserve"> = </w:t>
      </w:r>
      <w:proofErr w:type="spellStart"/>
      <w:r w:rsidR="00611C7A">
        <w:t>Bioinductive</w:t>
      </w:r>
      <w:proofErr w:type="spellEnd"/>
      <w:r w:rsidR="00611C7A">
        <w:t xml:space="preserve"> collagen implant</w:t>
      </w:r>
      <w:r w:rsidR="00E84711">
        <w:t xml:space="preserve">; </w:t>
      </w:r>
      <w:r w:rsidR="00DC6644" w:rsidRPr="00A55578">
        <w:t xml:space="preserve">CMS = Constant Murley Score; </w:t>
      </w:r>
      <w:proofErr w:type="spellStart"/>
      <w:r w:rsidR="00853536">
        <w:rPr>
          <w:rFonts w:asciiTheme="minorHAnsi" w:hAnsiTheme="minorHAnsi" w:cstheme="minorHAnsi"/>
          <w:color w:val="000000"/>
          <w:sz w:val="20"/>
          <w:lang w:eastAsia="en-AU"/>
        </w:rPr>
        <w:t>Dif</w:t>
      </w:r>
      <w:proofErr w:type="spellEnd"/>
      <w:r w:rsidR="00853536" w:rsidRPr="00A55578">
        <w:t xml:space="preserve"> </w:t>
      </w:r>
      <w:r w:rsidR="00853536">
        <w:t>= difference between groups</w:t>
      </w:r>
      <w:r w:rsidR="008535F4">
        <w:t xml:space="preserve">; </w:t>
      </w:r>
      <w:r w:rsidR="00DC6644" w:rsidRPr="00A55578">
        <w:t xml:space="preserve">GRC = Global Rating of Change Scale; mm = Millimetre; M = Months; </w:t>
      </w:r>
      <w:r w:rsidR="00DC6644">
        <w:t xml:space="preserve">NR = not reported; </w:t>
      </w:r>
      <w:r w:rsidR="00DC6644" w:rsidRPr="00A55578">
        <w:t xml:space="preserve">SD = Standard Deviation; </w:t>
      </w:r>
      <w:r w:rsidR="00E84711">
        <w:t xml:space="preserve">SSR = </w:t>
      </w:r>
      <w:r w:rsidR="00E84711" w:rsidRPr="00E84711">
        <w:t xml:space="preserve">standard surgical </w:t>
      </w:r>
      <w:proofErr w:type="gramStart"/>
      <w:r w:rsidR="00E84711" w:rsidRPr="00E84711">
        <w:t>repair</w:t>
      </w:r>
      <w:r w:rsidR="00DC6644">
        <w:t>;</w:t>
      </w:r>
      <w:proofErr w:type="gramEnd"/>
      <w:r w:rsidR="00A55578" w:rsidRPr="00A55578">
        <w:t xml:space="preserve"> </w:t>
      </w:r>
    </w:p>
    <w:p w14:paraId="42F4A8DE" w14:textId="57C71E34" w:rsidR="00331BA8" w:rsidRDefault="008B51EF" w:rsidP="004F52BE">
      <w:pPr>
        <w:pStyle w:val="TableFooter"/>
        <w:keepNext/>
        <w:keepLines/>
      </w:pPr>
      <w:r w:rsidRPr="008B51EF">
        <w:t>*</w:t>
      </w:r>
      <w:r>
        <w:t xml:space="preserve"> The p value for difference relates to the comparison </w:t>
      </w:r>
      <w:r w:rsidR="00AD6134">
        <w:t>of the groups</w:t>
      </w:r>
      <w:r w:rsidR="00AE6C77">
        <w:t xml:space="preserve"> at the difference time points, i.e. a p value of &lt;0.05 </w:t>
      </w:r>
      <w:r w:rsidR="00862C29">
        <w:t>demonstrates that at that time point there is a significant difference between the BCI arm and the control arm.</w:t>
      </w:r>
    </w:p>
    <w:p w14:paraId="3E35C618" w14:textId="13453BC2" w:rsidR="0016562F" w:rsidRDefault="0016562F" w:rsidP="00C71BD3">
      <w:pPr>
        <w:pStyle w:val="TableFooter"/>
      </w:pPr>
      <w:r w:rsidRPr="0036263E">
        <w:rPr>
          <w:rFonts w:cstheme="minorHAnsi"/>
          <w:vertAlign w:val="superscript"/>
        </w:rPr>
        <w:t>†</w:t>
      </w:r>
      <w:r w:rsidR="00C71BD3">
        <w:rPr>
          <w:rFonts w:cstheme="minorHAnsi"/>
          <w:vertAlign w:val="superscript"/>
        </w:rPr>
        <w:t xml:space="preserve"> </w:t>
      </w:r>
      <w:r w:rsidR="002F2867">
        <w:t>Regardless of the significant difference in CMS scores at baseline, the</w:t>
      </w:r>
      <w:r w:rsidR="00C71BD3">
        <w:t>re was a statistically significant improvement</w:t>
      </w:r>
      <w:r w:rsidR="002F2867">
        <w:t xml:space="preserve"> in CMS scores </w:t>
      </w:r>
      <w:r w:rsidR="00C71BD3">
        <w:t>at each time point in the BCI arm.</w:t>
      </w:r>
    </w:p>
    <w:bookmarkEnd w:id="29"/>
    <w:p w14:paraId="567EF8C6" w14:textId="17308901" w:rsidR="004C31B4" w:rsidRDefault="00A55578" w:rsidP="007B5E36">
      <w:pPr>
        <w:pStyle w:val="TableFooter"/>
      </w:pPr>
      <w:r w:rsidRPr="00A55578">
        <w:t xml:space="preserve">Numbers in </w:t>
      </w:r>
      <w:r w:rsidRPr="006823F0">
        <w:rPr>
          <w:b/>
          <w:bCs/>
        </w:rPr>
        <w:t>bold</w:t>
      </w:r>
      <w:r w:rsidRPr="00A55578">
        <w:t xml:space="preserve"> indicate </w:t>
      </w:r>
      <w:r w:rsidR="007B5E36">
        <w:t xml:space="preserve">statistical significance between the two arms. </w:t>
      </w:r>
    </w:p>
    <w:p w14:paraId="356D2B12" w14:textId="294BFE00" w:rsidR="009E310A" w:rsidRPr="00280982" w:rsidRDefault="00B226A1" w:rsidP="00AB471D">
      <w:bookmarkStart w:id="30" w:name="_Ref195051082"/>
      <w:r>
        <w:t xml:space="preserve">In addition, </w:t>
      </w:r>
      <w:r w:rsidRPr="00280982">
        <w:t xml:space="preserve">Ruiz </w:t>
      </w:r>
      <w:proofErr w:type="spellStart"/>
      <w:r w:rsidR="009C5152">
        <w:t>Ibán</w:t>
      </w:r>
      <w:proofErr w:type="spellEnd"/>
      <w:r>
        <w:t xml:space="preserve"> (2025)</w:t>
      </w:r>
      <w:r w:rsidRPr="00280982">
        <w:t xml:space="preserve"> </w:t>
      </w:r>
      <w:r w:rsidRPr="00B65E7A">
        <w:t xml:space="preserve">reported a significant improvement in </w:t>
      </w:r>
      <w:proofErr w:type="spellStart"/>
      <w:r w:rsidRPr="008F00A5">
        <w:t>EuroQol</w:t>
      </w:r>
      <w:proofErr w:type="spellEnd"/>
      <w:r w:rsidRPr="008F00A5">
        <w:t>-</w:t>
      </w:r>
      <w:r w:rsidR="0046301E" w:rsidRPr="008F00A5">
        <w:t>five-dimension</w:t>
      </w:r>
      <w:r w:rsidRPr="008F00A5">
        <w:t xml:space="preserve"> scale (EQ-5D-5L) from baseline in the intervention and control groups</w:t>
      </w:r>
      <w:r>
        <w:t xml:space="preserve">, again with no difference between groups. </w:t>
      </w:r>
      <w:r w:rsidR="009E310A">
        <w:fldChar w:fldCharType="begin"/>
      </w:r>
      <w:r w:rsidR="009E310A">
        <w:instrText xml:space="preserve"> REF _Ref195109644 \h </w:instrText>
      </w:r>
      <w:r w:rsidR="009E310A">
        <w:fldChar w:fldCharType="separate"/>
      </w:r>
      <w:r w:rsidR="00687D30">
        <w:fldChar w:fldCharType="begin"/>
      </w:r>
      <w:r w:rsidR="00687D30">
        <w:instrText xml:space="preserve"> REF _Ref214891741 \h </w:instrText>
      </w:r>
      <w:r w:rsidR="00687D30">
        <w:fldChar w:fldCharType="separate"/>
      </w:r>
      <w:r w:rsidR="00687D30">
        <w:t xml:space="preserve">Table </w:t>
      </w:r>
      <w:r w:rsidR="00687D30">
        <w:rPr>
          <w:noProof/>
        </w:rPr>
        <w:t>7</w:t>
      </w:r>
      <w:r w:rsidR="00687D30">
        <w:fldChar w:fldCharType="end"/>
      </w:r>
      <w:r w:rsidR="009E310A">
        <w:fldChar w:fldCharType="end"/>
      </w:r>
      <w:r w:rsidR="009E310A">
        <w:t xml:space="preserve"> </w:t>
      </w:r>
      <w:r w:rsidR="009E310A" w:rsidRPr="009E310A">
        <w:t>present</w:t>
      </w:r>
      <w:r w:rsidR="00B60764">
        <w:t>s</w:t>
      </w:r>
      <w:r w:rsidR="009E310A" w:rsidRPr="009E310A">
        <w:t xml:space="preserve"> the data on outcomes presented in Ruiz </w:t>
      </w:r>
      <w:proofErr w:type="spellStart"/>
      <w:r w:rsidR="009C5152">
        <w:t>Ibán</w:t>
      </w:r>
      <w:proofErr w:type="spellEnd"/>
      <w:r w:rsidR="009E310A" w:rsidRPr="009E310A">
        <w:t xml:space="preserve"> (2025).  The retear rates from Ruiz </w:t>
      </w:r>
      <w:proofErr w:type="spellStart"/>
      <w:r w:rsidR="009C5152">
        <w:t>Ibán</w:t>
      </w:r>
      <w:proofErr w:type="spellEnd"/>
      <w:r w:rsidR="009E310A" w:rsidRPr="009E310A">
        <w:t xml:space="preserve"> (2025) trial were used in the economic evaluation.</w:t>
      </w:r>
    </w:p>
    <w:p w14:paraId="4A620972" w14:textId="4C0D513D" w:rsidR="00B10341" w:rsidRDefault="00D95515" w:rsidP="00D95515">
      <w:pPr>
        <w:pStyle w:val="Caption"/>
      </w:pPr>
      <w:bookmarkStart w:id="31" w:name="_Ref214891741"/>
      <w:bookmarkEnd w:id="30"/>
      <w:r>
        <w:lastRenderedPageBreak/>
        <w:t xml:space="preserve">Table </w:t>
      </w:r>
      <w:r>
        <w:fldChar w:fldCharType="begin"/>
      </w:r>
      <w:r>
        <w:instrText xml:space="preserve"> SEQ Table \* ARABIC </w:instrText>
      </w:r>
      <w:r>
        <w:fldChar w:fldCharType="separate"/>
      </w:r>
      <w:r w:rsidR="00564C3F">
        <w:rPr>
          <w:noProof/>
        </w:rPr>
        <w:t>7</w:t>
      </w:r>
      <w:r>
        <w:fldChar w:fldCharType="end"/>
      </w:r>
      <w:bookmarkEnd w:id="31"/>
      <w:r>
        <w:tab/>
      </w:r>
      <w:r w:rsidR="00B10341" w:rsidRPr="009A1D4A">
        <w:t xml:space="preserve">Comparative efficacy results of </w:t>
      </w:r>
      <w:r w:rsidR="00A31687">
        <w:t>BCI</w:t>
      </w:r>
      <w:r w:rsidR="002A4A3B" w:rsidRPr="00B25254">
        <w:t xml:space="preserve"> </w:t>
      </w:r>
      <w:r w:rsidR="00B10341" w:rsidRPr="009A1D4A">
        <w:t xml:space="preserve">vs. </w:t>
      </w:r>
      <w:r w:rsidR="00ED54EE" w:rsidRPr="001335A4">
        <w:rPr>
          <w:rFonts w:cstheme="minorHAnsi"/>
          <w:color w:val="000000"/>
          <w:lang w:eastAsia="en-AU"/>
        </w:rPr>
        <w:t>SSR</w:t>
      </w:r>
      <w:r w:rsidR="00ED54EE" w:rsidRPr="009A1D4A">
        <w:t xml:space="preserve"> </w:t>
      </w:r>
      <w:r w:rsidR="00B10341" w:rsidRPr="009A1D4A">
        <w:t xml:space="preserve">in </w:t>
      </w:r>
      <w:r w:rsidR="00B10341">
        <w:t xml:space="preserve">Ruiz </w:t>
      </w:r>
      <w:proofErr w:type="spellStart"/>
      <w:r w:rsidR="009C5152">
        <w:t>Ibán</w:t>
      </w:r>
      <w:proofErr w:type="spellEnd"/>
      <w:r w:rsidR="00B10341">
        <w:t xml:space="preserve">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562"/>
        <w:gridCol w:w="1477"/>
        <w:gridCol w:w="1416"/>
        <w:gridCol w:w="1700"/>
        <w:gridCol w:w="1650"/>
      </w:tblGrid>
      <w:tr w:rsidR="00987A44" w:rsidRPr="0062012F" w14:paraId="74A1B4E5" w14:textId="77777777" w:rsidTr="00DE3A3B">
        <w:trPr>
          <w:trHeight w:val="296"/>
          <w:tblHeader/>
        </w:trPr>
        <w:tc>
          <w:tcPr>
            <w:tcW w:w="672" w:type="pct"/>
            <w:vMerge w:val="restart"/>
            <w:shd w:val="clear" w:color="000000" w:fill="E7E6E6"/>
            <w:noWrap/>
            <w:vAlign w:val="bottom"/>
            <w:hideMark/>
          </w:tcPr>
          <w:p w14:paraId="6AFB08A1" w14:textId="77777777" w:rsidR="00987A44" w:rsidRPr="0062012F" w:rsidRDefault="00987A44"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 </w:t>
            </w:r>
          </w:p>
        </w:tc>
        <w:tc>
          <w:tcPr>
            <w:tcW w:w="866" w:type="pct"/>
            <w:shd w:val="clear" w:color="000000" w:fill="E7E6E6"/>
          </w:tcPr>
          <w:p w14:paraId="3F2CF5AD" w14:textId="77777777" w:rsidR="00987A44" w:rsidRPr="0062012F" w:rsidRDefault="00987A44" w:rsidP="00865ECD">
            <w:pPr>
              <w:keepNext/>
              <w:keepLines/>
              <w:spacing w:before="0" w:after="0" w:line="240" w:lineRule="auto"/>
              <w:jc w:val="center"/>
              <w:rPr>
                <w:rFonts w:ascii="Arial Narrow" w:eastAsia="Times New Roman" w:hAnsi="Arial Narrow" w:cstheme="minorHAnsi"/>
                <w:b/>
                <w:bCs/>
                <w:color w:val="000000"/>
                <w:sz w:val="20"/>
                <w:szCs w:val="20"/>
                <w:lang w:val="es-CO" w:eastAsia="en-AU"/>
              </w:rPr>
            </w:pPr>
          </w:p>
        </w:tc>
        <w:tc>
          <w:tcPr>
            <w:tcW w:w="3462" w:type="pct"/>
            <w:gridSpan w:val="4"/>
            <w:shd w:val="clear" w:color="000000" w:fill="E7E6E6"/>
          </w:tcPr>
          <w:p w14:paraId="44BBD330" w14:textId="58F6016F" w:rsidR="00987A44" w:rsidRPr="0062012F" w:rsidRDefault="00987A44" w:rsidP="00865ECD">
            <w:pPr>
              <w:keepNext/>
              <w:keepLines/>
              <w:spacing w:before="0" w:after="0" w:line="240" w:lineRule="auto"/>
              <w:jc w:val="center"/>
              <w:rPr>
                <w:rFonts w:ascii="Arial Narrow" w:eastAsia="Times New Roman" w:hAnsi="Arial Narrow" w:cstheme="minorHAnsi"/>
                <w:b/>
                <w:bCs/>
                <w:color w:val="000000"/>
                <w:sz w:val="20"/>
                <w:szCs w:val="20"/>
                <w:lang w:val="es-CO" w:eastAsia="en-AU"/>
              </w:rPr>
            </w:pPr>
            <w:r w:rsidRPr="0062012F">
              <w:rPr>
                <w:rFonts w:ascii="Arial Narrow" w:eastAsia="Times New Roman" w:hAnsi="Arial Narrow" w:cstheme="minorHAnsi"/>
                <w:b/>
                <w:bCs/>
                <w:color w:val="000000"/>
                <w:sz w:val="20"/>
                <w:szCs w:val="20"/>
                <w:lang w:val="es-CO" w:eastAsia="en-AU"/>
              </w:rPr>
              <w:t xml:space="preserve"> </w:t>
            </w:r>
            <w:r w:rsidRPr="0062012F">
              <w:rPr>
                <w:rFonts w:ascii="Arial Narrow" w:eastAsia="Times New Roman" w:hAnsi="Arial Narrow" w:cstheme="minorHAnsi"/>
                <w:b/>
                <w:bCs/>
                <w:color w:val="000000"/>
                <w:sz w:val="20"/>
                <w:szCs w:val="20"/>
                <w:lang w:eastAsia="en-AU"/>
              </w:rPr>
              <w:t xml:space="preserve">Ruiz </w:t>
            </w:r>
            <w:proofErr w:type="spellStart"/>
            <w:r w:rsidR="009C5152" w:rsidRPr="00A23DAD">
              <w:rPr>
                <w:rFonts w:ascii="Arial Narrow" w:hAnsi="Arial Narrow"/>
                <w:b/>
                <w:bCs/>
              </w:rPr>
              <w:t>Ibán</w:t>
            </w:r>
            <w:proofErr w:type="spellEnd"/>
            <w:r w:rsidR="00041254" w:rsidRPr="0062012F">
              <w:rPr>
                <w:rFonts w:ascii="Arial Narrow" w:eastAsia="Times New Roman" w:hAnsi="Arial Narrow" w:cstheme="minorHAnsi"/>
                <w:b/>
                <w:bCs/>
                <w:color w:val="000000"/>
                <w:sz w:val="20"/>
                <w:szCs w:val="20"/>
                <w:lang w:eastAsia="en-AU"/>
              </w:rPr>
              <w:t xml:space="preserve"> (N=124)</w:t>
            </w:r>
          </w:p>
        </w:tc>
      </w:tr>
      <w:tr w:rsidR="00987A44" w:rsidRPr="0062012F" w14:paraId="0B80591C" w14:textId="77777777" w:rsidTr="00DE3A3B">
        <w:trPr>
          <w:trHeight w:val="296"/>
          <w:tblHeader/>
        </w:trPr>
        <w:tc>
          <w:tcPr>
            <w:tcW w:w="672" w:type="pct"/>
            <w:vMerge/>
            <w:vAlign w:val="center"/>
            <w:hideMark/>
          </w:tcPr>
          <w:p w14:paraId="7AA5BAEF" w14:textId="77777777" w:rsidR="00987A44" w:rsidRPr="0062012F" w:rsidRDefault="00987A44" w:rsidP="00865ECD">
            <w:pPr>
              <w:keepNext/>
              <w:keepLines/>
              <w:spacing w:before="0" w:after="0" w:line="240" w:lineRule="auto"/>
              <w:rPr>
                <w:rFonts w:ascii="Arial Narrow" w:eastAsia="Times New Roman" w:hAnsi="Arial Narrow" w:cstheme="minorHAnsi"/>
                <w:color w:val="000000"/>
                <w:sz w:val="20"/>
                <w:szCs w:val="20"/>
                <w:lang w:eastAsia="en-AU"/>
              </w:rPr>
            </w:pPr>
          </w:p>
        </w:tc>
        <w:tc>
          <w:tcPr>
            <w:tcW w:w="866" w:type="pct"/>
            <w:shd w:val="clear" w:color="000000" w:fill="E7E6E6"/>
          </w:tcPr>
          <w:p w14:paraId="3F0E8680" w14:textId="77777777" w:rsidR="00987A44" w:rsidRPr="0062012F" w:rsidRDefault="00987A44"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p>
        </w:tc>
        <w:tc>
          <w:tcPr>
            <w:tcW w:w="819" w:type="pct"/>
            <w:shd w:val="clear" w:color="000000" w:fill="E7E6E6"/>
          </w:tcPr>
          <w:p w14:paraId="011D8E29" w14:textId="399C5FA8" w:rsidR="00987A44" w:rsidRPr="0062012F" w:rsidRDefault="00987A44"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3M</w:t>
            </w:r>
          </w:p>
        </w:tc>
        <w:tc>
          <w:tcPr>
            <w:tcW w:w="785" w:type="pct"/>
            <w:shd w:val="clear" w:color="000000" w:fill="E7E6E6"/>
          </w:tcPr>
          <w:p w14:paraId="65E374D0" w14:textId="77777777" w:rsidR="00987A44" w:rsidRPr="0062012F" w:rsidRDefault="00987A44"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6M</w:t>
            </w:r>
          </w:p>
        </w:tc>
        <w:tc>
          <w:tcPr>
            <w:tcW w:w="943" w:type="pct"/>
            <w:shd w:val="clear" w:color="000000" w:fill="E7E6E6"/>
            <w:vAlign w:val="center"/>
          </w:tcPr>
          <w:p w14:paraId="62053910" w14:textId="77777777" w:rsidR="00987A44" w:rsidRPr="0062012F" w:rsidRDefault="00987A44"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12M</w:t>
            </w:r>
          </w:p>
        </w:tc>
        <w:tc>
          <w:tcPr>
            <w:tcW w:w="915" w:type="pct"/>
            <w:shd w:val="clear" w:color="000000" w:fill="E7E6E6"/>
          </w:tcPr>
          <w:p w14:paraId="7D6AF685" w14:textId="77777777" w:rsidR="00987A44" w:rsidRPr="0062012F" w:rsidRDefault="00987A44"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24m</w:t>
            </w:r>
          </w:p>
        </w:tc>
      </w:tr>
      <w:tr w:rsidR="008535F4" w:rsidRPr="0062012F" w14:paraId="137DDF97" w14:textId="77777777" w:rsidTr="00DE3A3B">
        <w:trPr>
          <w:trHeight w:val="296"/>
        </w:trPr>
        <w:tc>
          <w:tcPr>
            <w:tcW w:w="672" w:type="pct"/>
            <w:vMerge w:val="restart"/>
            <w:shd w:val="clear" w:color="auto" w:fill="FFFFFF" w:themeFill="background1"/>
            <w:vAlign w:val="center"/>
            <w:hideMark/>
          </w:tcPr>
          <w:p w14:paraId="6E3A047A" w14:textId="1F8848AA" w:rsidR="008535F4" w:rsidRPr="0062012F" w:rsidRDefault="008535F4"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Retear Rates</w:t>
            </w:r>
            <w:r w:rsidRPr="0062012F">
              <w:rPr>
                <w:rFonts w:ascii="Arial Narrow" w:eastAsia="Times New Roman" w:hAnsi="Arial Narrow" w:cstheme="minorHAnsi"/>
                <w:b/>
                <w:bCs/>
                <w:color w:val="000000"/>
                <w:sz w:val="20"/>
                <w:szCs w:val="20"/>
                <w:lang w:eastAsia="en-AU"/>
              </w:rPr>
              <w:br/>
              <w:t>n/N (%)</w:t>
            </w:r>
          </w:p>
        </w:tc>
        <w:tc>
          <w:tcPr>
            <w:tcW w:w="866" w:type="pct"/>
            <w:vAlign w:val="center"/>
          </w:tcPr>
          <w:p w14:paraId="5DC5BB26" w14:textId="2683B340" w:rsidR="008535F4" w:rsidRPr="0062012F" w:rsidRDefault="00D221A8" w:rsidP="00865ECD">
            <w:pPr>
              <w:keepNext/>
              <w:keepLines/>
              <w:spacing w:before="0" w:after="0" w:line="240" w:lineRule="auto"/>
              <w:rPr>
                <w:rFonts w:ascii="Arial Narrow" w:eastAsia="Calibri"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BCI</w:t>
            </w:r>
          </w:p>
        </w:tc>
        <w:tc>
          <w:tcPr>
            <w:tcW w:w="819" w:type="pct"/>
          </w:tcPr>
          <w:p w14:paraId="0194304D" w14:textId="67D57D45" w:rsidR="008535F4" w:rsidRPr="0062012F" w:rsidRDefault="008535F4"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sz w:val="20"/>
                <w:szCs w:val="20"/>
              </w:rPr>
              <w:t xml:space="preserve">NR </w:t>
            </w:r>
          </w:p>
        </w:tc>
        <w:tc>
          <w:tcPr>
            <w:tcW w:w="785" w:type="pct"/>
          </w:tcPr>
          <w:p w14:paraId="2D0DB804" w14:textId="716183B1" w:rsidR="008535F4" w:rsidRPr="0062012F" w:rsidRDefault="008535F4"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sz w:val="20"/>
                <w:szCs w:val="20"/>
              </w:rPr>
              <w:t xml:space="preserve">NR </w:t>
            </w:r>
          </w:p>
        </w:tc>
        <w:tc>
          <w:tcPr>
            <w:tcW w:w="943" w:type="pct"/>
            <w:vAlign w:val="center"/>
          </w:tcPr>
          <w:p w14:paraId="02593438" w14:textId="77777777" w:rsidR="008535F4" w:rsidRPr="0062012F" w:rsidRDefault="008535F4" w:rsidP="00865ECD">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Times New Roman" w:hAnsi="Arial Narrow" w:cstheme="minorHAnsi"/>
                <w:sz w:val="20"/>
                <w:szCs w:val="20"/>
                <w:lang w:eastAsia="en-AU"/>
              </w:rPr>
              <w:t>5/60/8.3%</w:t>
            </w:r>
          </w:p>
        </w:tc>
        <w:tc>
          <w:tcPr>
            <w:tcW w:w="915" w:type="pct"/>
            <w:vAlign w:val="center"/>
          </w:tcPr>
          <w:p w14:paraId="33350141" w14:textId="77777777" w:rsidR="008535F4" w:rsidRPr="0062012F" w:rsidRDefault="008535F4" w:rsidP="00865ECD">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Times New Roman" w:hAnsi="Arial Narrow" w:cstheme="minorHAnsi"/>
                <w:sz w:val="20"/>
                <w:szCs w:val="20"/>
                <w:lang w:eastAsia="en-AU"/>
              </w:rPr>
              <w:t>12.3%</w:t>
            </w:r>
          </w:p>
        </w:tc>
      </w:tr>
      <w:tr w:rsidR="008535F4" w:rsidRPr="0062012F" w14:paraId="25A3F766" w14:textId="77777777" w:rsidTr="00DE3A3B">
        <w:trPr>
          <w:trHeight w:val="296"/>
        </w:trPr>
        <w:tc>
          <w:tcPr>
            <w:tcW w:w="672" w:type="pct"/>
            <w:vMerge/>
            <w:shd w:val="clear" w:color="auto" w:fill="FFFFFF" w:themeFill="background1"/>
            <w:vAlign w:val="center"/>
            <w:hideMark/>
          </w:tcPr>
          <w:p w14:paraId="5EF762D5" w14:textId="77777777" w:rsidR="008535F4" w:rsidRPr="0062012F" w:rsidRDefault="008535F4"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p>
        </w:tc>
        <w:tc>
          <w:tcPr>
            <w:tcW w:w="866" w:type="pct"/>
            <w:vAlign w:val="center"/>
          </w:tcPr>
          <w:p w14:paraId="084EDD2D" w14:textId="1190527A" w:rsidR="008535F4" w:rsidRPr="0062012F" w:rsidRDefault="008535F4" w:rsidP="00865ECD">
            <w:pPr>
              <w:keepNext/>
              <w:keepLines/>
              <w:spacing w:before="0" w:after="0" w:line="240" w:lineRule="auto"/>
              <w:rPr>
                <w:rFonts w:ascii="Arial Narrow" w:eastAsia="Calibri"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SSR</w:t>
            </w:r>
          </w:p>
        </w:tc>
        <w:tc>
          <w:tcPr>
            <w:tcW w:w="819" w:type="pct"/>
          </w:tcPr>
          <w:p w14:paraId="3BFFD576" w14:textId="4E8C7DF2" w:rsidR="008535F4" w:rsidRPr="0062012F" w:rsidRDefault="008535F4"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sz w:val="20"/>
                <w:szCs w:val="20"/>
              </w:rPr>
              <w:t xml:space="preserve">NR </w:t>
            </w:r>
          </w:p>
        </w:tc>
        <w:tc>
          <w:tcPr>
            <w:tcW w:w="785" w:type="pct"/>
          </w:tcPr>
          <w:p w14:paraId="60ACF0D3" w14:textId="14DAC44E" w:rsidR="008535F4" w:rsidRPr="0062012F" w:rsidRDefault="008535F4"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sz w:val="20"/>
                <w:szCs w:val="20"/>
              </w:rPr>
              <w:t xml:space="preserve">NR </w:t>
            </w:r>
          </w:p>
        </w:tc>
        <w:tc>
          <w:tcPr>
            <w:tcW w:w="943" w:type="pct"/>
            <w:vAlign w:val="center"/>
          </w:tcPr>
          <w:p w14:paraId="659FAA23" w14:textId="77777777" w:rsidR="008535F4" w:rsidRPr="0062012F" w:rsidRDefault="008535F4" w:rsidP="00865ECD">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Times New Roman" w:hAnsi="Arial Narrow" w:cstheme="minorHAnsi"/>
                <w:sz w:val="20"/>
                <w:szCs w:val="20"/>
                <w:lang w:eastAsia="en-AU"/>
              </w:rPr>
              <w:t>16/62/25.8%</w:t>
            </w:r>
          </w:p>
        </w:tc>
        <w:tc>
          <w:tcPr>
            <w:tcW w:w="915" w:type="pct"/>
            <w:vAlign w:val="center"/>
          </w:tcPr>
          <w:p w14:paraId="394EF89A" w14:textId="77777777" w:rsidR="008535F4" w:rsidRPr="0062012F" w:rsidRDefault="008535F4" w:rsidP="00865ECD">
            <w:pPr>
              <w:keepNext/>
              <w:keepLines/>
              <w:spacing w:before="0" w:after="0" w:line="240" w:lineRule="auto"/>
              <w:jc w:val="center"/>
              <w:rPr>
                <w:rFonts w:ascii="Arial Narrow" w:eastAsia="Times New Roman" w:hAnsi="Arial Narrow" w:cstheme="minorHAnsi"/>
                <w:sz w:val="20"/>
                <w:szCs w:val="20"/>
                <w:lang w:eastAsia="en-AU"/>
              </w:rPr>
            </w:pPr>
            <w:r w:rsidRPr="0062012F">
              <w:rPr>
                <w:rFonts w:ascii="Arial Narrow" w:eastAsia="Times New Roman" w:hAnsi="Arial Narrow" w:cstheme="minorHAnsi"/>
                <w:sz w:val="20"/>
                <w:szCs w:val="20"/>
                <w:lang w:eastAsia="en-AU"/>
              </w:rPr>
              <w:t>35.1%</w:t>
            </w:r>
          </w:p>
        </w:tc>
      </w:tr>
      <w:tr w:rsidR="00987A44" w:rsidRPr="0062012F" w14:paraId="0678FA89" w14:textId="77777777" w:rsidTr="00DE3A3B">
        <w:trPr>
          <w:trHeight w:val="296"/>
        </w:trPr>
        <w:tc>
          <w:tcPr>
            <w:tcW w:w="672" w:type="pct"/>
            <w:vMerge/>
            <w:shd w:val="clear" w:color="auto" w:fill="FFFFFF" w:themeFill="background1"/>
            <w:vAlign w:val="center"/>
          </w:tcPr>
          <w:p w14:paraId="740734C3" w14:textId="6DF4A3CE" w:rsidR="00987A44" w:rsidRPr="0062012F" w:rsidRDefault="00987A44"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p>
        </w:tc>
        <w:tc>
          <w:tcPr>
            <w:tcW w:w="866" w:type="pct"/>
            <w:vAlign w:val="center"/>
          </w:tcPr>
          <w:p w14:paraId="56A92807" w14:textId="5D3CF8D1" w:rsidR="00987A44" w:rsidRPr="0062012F" w:rsidRDefault="00987A44" w:rsidP="00865ECD">
            <w:pPr>
              <w:keepNext/>
              <w:keepLines/>
              <w:spacing w:before="0" w:after="0" w:line="240" w:lineRule="auto"/>
              <w:rPr>
                <w:rFonts w:ascii="Arial Narrow" w:eastAsia="Calibri"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Relative retear risk</w:t>
            </w:r>
            <w:r w:rsidRPr="0062012F">
              <w:rPr>
                <w:rFonts w:ascii="Arial Narrow" w:eastAsia="Times New Roman" w:hAnsi="Arial Narrow" w:cstheme="minorHAnsi"/>
                <w:color w:val="FF0000"/>
                <w:sz w:val="20"/>
                <w:szCs w:val="20"/>
                <w:lang w:eastAsia="en-AU"/>
              </w:rPr>
              <w:t xml:space="preserve"> </w:t>
            </w:r>
            <w:r w:rsidRPr="0062012F">
              <w:rPr>
                <w:rFonts w:ascii="Arial Narrow" w:eastAsia="Times New Roman" w:hAnsi="Arial Narrow" w:cstheme="minorHAnsi"/>
                <w:sz w:val="20"/>
                <w:szCs w:val="20"/>
                <w:lang w:eastAsia="en-AU"/>
              </w:rPr>
              <w:t>(95% CI)</w:t>
            </w:r>
          </w:p>
        </w:tc>
        <w:tc>
          <w:tcPr>
            <w:tcW w:w="819" w:type="pct"/>
          </w:tcPr>
          <w:p w14:paraId="53801CF7" w14:textId="2277529D" w:rsidR="00987A44" w:rsidRPr="0062012F" w:rsidRDefault="00987A44" w:rsidP="00865ECD">
            <w:pPr>
              <w:keepNext/>
              <w:keepLines/>
              <w:spacing w:before="0" w:after="0" w:line="240" w:lineRule="auto"/>
              <w:jc w:val="center"/>
              <w:rPr>
                <w:rFonts w:ascii="Arial Narrow" w:eastAsia="Calibri" w:hAnsi="Arial Narrow" w:cstheme="minorHAnsi"/>
                <w:color w:val="000000"/>
                <w:sz w:val="20"/>
                <w:szCs w:val="20"/>
                <w:lang w:eastAsia="en-AU"/>
              </w:rPr>
            </w:pPr>
          </w:p>
        </w:tc>
        <w:tc>
          <w:tcPr>
            <w:tcW w:w="785" w:type="pct"/>
          </w:tcPr>
          <w:p w14:paraId="74E420F2" w14:textId="77777777" w:rsidR="00987A44" w:rsidRPr="0062012F" w:rsidRDefault="00987A44" w:rsidP="00865ECD">
            <w:pPr>
              <w:keepNext/>
              <w:keepLines/>
              <w:spacing w:before="0" w:after="0" w:line="240" w:lineRule="auto"/>
              <w:jc w:val="center"/>
              <w:rPr>
                <w:rFonts w:ascii="Arial Narrow" w:eastAsia="Calibri" w:hAnsi="Arial Narrow" w:cstheme="minorHAnsi"/>
                <w:color w:val="000000"/>
                <w:sz w:val="20"/>
                <w:szCs w:val="20"/>
                <w:lang w:eastAsia="en-AU"/>
              </w:rPr>
            </w:pPr>
          </w:p>
        </w:tc>
        <w:tc>
          <w:tcPr>
            <w:tcW w:w="943" w:type="pct"/>
            <w:vAlign w:val="center"/>
          </w:tcPr>
          <w:p w14:paraId="6ED0CF5C" w14:textId="46EC095B" w:rsidR="00987A44" w:rsidRPr="0062012F" w:rsidRDefault="00987A44" w:rsidP="00865ECD">
            <w:pPr>
              <w:keepNext/>
              <w:keepLines/>
              <w:spacing w:before="0" w:after="0" w:line="240" w:lineRule="auto"/>
              <w:jc w:val="center"/>
              <w:rPr>
                <w:rFonts w:ascii="Arial Narrow" w:eastAsia="Times New Roman" w:hAnsi="Arial Narrow" w:cstheme="minorHAnsi"/>
                <w:b/>
                <w:bCs/>
                <w:sz w:val="20"/>
                <w:szCs w:val="20"/>
                <w:lang w:eastAsia="en-AU"/>
              </w:rPr>
            </w:pPr>
            <w:r w:rsidRPr="0062012F">
              <w:rPr>
                <w:rFonts w:ascii="Arial Narrow" w:eastAsia="Times New Roman" w:hAnsi="Arial Narrow" w:cstheme="minorHAnsi"/>
                <w:b/>
                <w:bCs/>
                <w:sz w:val="20"/>
                <w:szCs w:val="20"/>
                <w:lang w:eastAsia="en-AU"/>
              </w:rPr>
              <w:t>0.32 (0.13 -0.83)</w:t>
            </w:r>
          </w:p>
        </w:tc>
        <w:tc>
          <w:tcPr>
            <w:tcW w:w="915" w:type="pct"/>
            <w:vAlign w:val="center"/>
          </w:tcPr>
          <w:p w14:paraId="5BAFE88B" w14:textId="744B024C" w:rsidR="00987A44" w:rsidRPr="0062012F" w:rsidRDefault="00987A44" w:rsidP="00865ECD">
            <w:pPr>
              <w:keepNext/>
              <w:keepLines/>
              <w:spacing w:before="0" w:after="0" w:line="240" w:lineRule="auto"/>
              <w:jc w:val="center"/>
              <w:rPr>
                <w:rFonts w:ascii="Arial Narrow" w:eastAsia="Times New Roman" w:hAnsi="Arial Narrow" w:cstheme="minorHAnsi"/>
                <w:b/>
                <w:bCs/>
                <w:sz w:val="20"/>
                <w:szCs w:val="20"/>
                <w:lang w:eastAsia="en-AU"/>
              </w:rPr>
            </w:pPr>
            <w:r w:rsidRPr="0062012F">
              <w:rPr>
                <w:rFonts w:ascii="Arial Narrow" w:eastAsia="Times New Roman" w:hAnsi="Arial Narrow" w:cstheme="minorHAnsi"/>
                <w:b/>
                <w:bCs/>
                <w:sz w:val="20"/>
                <w:szCs w:val="20"/>
                <w:lang w:eastAsia="en-AU"/>
              </w:rPr>
              <w:t>0.35 (0.16 - 0.76)</w:t>
            </w:r>
          </w:p>
        </w:tc>
      </w:tr>
      <w:tr w:rsidR="0049643E" w:rsidRPr="0062012F" w14:paraId="503717EB" w14:textId="77777777" w:rsidTr="00DE3A3B">
        <w:trPr>
          <w:trHeight w:val="296"/>
        </w:trPr>
        <w:tc>
          <w:tcPr>
            <w:tcW w:w="672" w:type="pct"/>
            <w:vMerge w:val="restart"/>
            <w:shd w:val="clear" w:color="auto" w:fill="FFFFFF" w:themeFill="background1"/>
            <w:vAlign w:val="center"/>
            <w:hideMark/>
          </w:tcPr>
          <w:p w14:paraId="1E56DA86" w14:textId="5D4E5F4F" w:rsidR="0049643E" w:rsidRPr="0062012F" w:rsidRDefault="0049643E"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Pain Progression mean (SD)</w:t>
            </w:r>
          </w:p>
        </w:tc>
        <w:tc>
          <w:tcPr>
            <w:tcW w:w="866" w:type="pct"/>
            <w:vAlign w:val="center"/>
          </w:tcPr>
          <w:p w14:paraId="40D0778D" w14:textId="47F9F0AA" w:rsidR="0049643E" w:rsidRPr="0062012F" w:rsidRDefault="00D221A8" w:rsidP="00865ECD">
            <w:pPr>
              <w:keepNext/>
              <w:keepLines/>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BCI</w:t>
            </w:r>
          </w:p>
        </w:tc>
        <w:tc>
          <w:tcPr>
            <w:tcW w:w="819" w:type="pct"/>
          </w:tcPr>
          <w:p w14:paraId="4632668D" w14:textId="5F406FF3"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sz w:val="20"/>
                <w:szCs w:val="20"/>
              </w:rPr>
              <w:t>NR</w:t>
            </w:r>
          </w:p>
        </w:tc>
        <w:tc>
          <w:tcPr>
            <w:tcW w:w="785" w:type="pct"/>
          </w:tcPr>
          <w:p w14:paraId="1694F6EF" w14:textId="3692E7CB"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sz w:val="20"/>
                <w:szCs w:val="20"/>
              </w:rPr>
              <w:t xml:space="preserve">NR </w:t>
            </w:r>
          </w:p>
        </w:tc>
        <w:tc>
          <w:tcPr>
            <w:tcW w:w="943" w:type="pct"/>
            <w:vAlign w:val="center"/>
          </w:tcPr>
          <w:p w14:paraId="6BD1DBC7" w14:textId="7C85E03C"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1.50 (2.07)</w:t>
            </w:r>
          </w:p>
        </w:tc>
        <w:tc>
          <w:tcPr>
            <w:tcW w:w="915" w:type="pct"/>
          </w:tcPr>
          <w:p w14:paraId="6CE960E5" w14:textId="25F2AA07"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sz w:val="20"/>
                <w:szCs w:val="20"/>
              </w:rPr>
              <w:t xml:space="preserve">NR </w:t>
            </w:r>
          </w:p>
        </w:tc>
      </w:tr>
      <w:tr w:rsidR="0049643E" w:rsidRPr="0062012F" w14:paraId="1FFAF7AE" w14:textId="77777777" w:rsidTr="00DE3A3B">
        <w:trPr>
          <w:trHeight w:val="56"/>
        </w:trPr>
        <w:tc>
          <w:tcPr>
            <w:tcW w:w="672" w:type="pct"/>
            <w:vMerge/>
            <w:shd w:val="clear" w:color="auto" w:fill="FFFFFF" w:themeFill="background1"/>
            <w:vAlign w:val="center"/>
            <w:hideMark/>
          </w:tcPr>
          <w:p w14:paraId="6C9D6D68" w14:textId="77777777" w:rsidR="0049643E" w:rsidRPr="0062012F" w:rsidRDefault="0049643E"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p>
        </w:tc>
        <w:tc>
          <w:tcPr>
            <w:tcW w:w="866" w:type="pct"/>
            <w:vAlign w:val="center"/>
          </w:tcPr>
          <w:p w14:paraId="62F36482" w14:textId="1D20D61A" w:rsidR="0049643E" w:rsidRPr="0062012F" w:rsidRDefault="0049643E" w:rsidP="00865ECD">
            <w:pPr>
              <w:keepNext/>
              <w:keepLines/>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SSR</w:t>
            </w:r>
          </w:p>
        </w:tc>
        <w:tc>
          <w:tcPr>
            <w:tcW w:w="819" w:type="pct"/>
          </w:tcPr>
          <w:p w14:paraId="31067AEF" w14:textId="2CE67722"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sz w:val="20"/>
                <w:szCs w:val="20"/>
              </w:rPr>
              <w:t>NR</w:t>
            </w:r>
          </w:p>
        </w:tc>
        <w:tc>
          <w:tcPr>
            <w:tcW w:w="785" w:type="pct"/>
          </w:tcPr>
          <w:p w14:paraId="60A6E3C9" w14:textId="3CD31B28"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sz w:val="20"/>
                <w:szCs w:val="20"/>
              </w:rPr>
              <w:t xml:space="preserve">NR </w:t>
            </w:r>
          </w:p>
        </w:tc>
        <w:tc>
          <w:tcPr>
            <w:tcW w:w="943" w:type="pct"/>
          </w:tcPr>
          <w:p w14:paraId="7D7D825D" w14:textId="31430299"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1.52 (2.27)</w:t>
            </w:r>
          </w:p>
        </w:tc>
        <w:tc>
          <w:tcPr>
            <w:tcW w:w="915" w:type="pct"/>
          </w:tcPr>
          <w:p w14:paraId="52FF1CA6" w14:textId="697187C9"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sz w:val="20"/>
                <w:szCs w:val="20"/>
              </w:rPr>
              <w:t xml:space="preserve">NR </w:t>
            </w:r>
          </w:p>
        </w:tc>
      </w:tr>
      <w:tr w:rsidR="0049643E" w:rsidRPr="0062012F" w14:paraId="6666421C" w14:textId="77777777" w:rsidTr="00DE3A3B">
        <w:trPr>
          <w:trHeight w:val="56"/>
        </w:trPr>
        <w:tc>
          <w:tcPr>
            <w:tcW w:w="672" w:type="pct"/>
            <w:vMerge/>
            <w:shd w:val="clear" w:color="auto" w:fill="FFFFFF" w:themeFill="background1"/>
            <w:vAlign w:val="center"/>
          </w:tcPr>
          <w:p w14:paraId="6451A059" w14:textId="77777777" w:rsidR="0049643E" w:rsidRPr="0062012F" w:rsidRDefault="0049643E"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p>
        </w:tc>
        <w:tc>
          <w:tcPr>
            <w:tcW w:w="866" w:type="pct"/>
            <w:vAlign w:val="center"/>
          </w:tcPr>
          <w:p w14:paraId="2A817569" w14:textId="522E3C79" w:rsidR="0049643E" w:rsidRPr="0062012F" w:rsidRDefault="0049643E" w:rsidP="00865ECD">
            <w:pPr>
              <w:keepNext/>
              <w:keepLines/>
              <w:spacing w:before="0" w:after="0" w:line="240" w:lineRule="auto"/>
              <w:rPr>
                <w:rFonts w:ascii="Arial Narrow" w:eastAsia="Times New Roman" w:hAnsi="Arial Narrow" w:cstheme="minorHAnsi"/>
                <w:color w:val="000000"/>
                <w:sz w:val="20"/>
                <w:szCs w:val="20"/>
                <w:lang w:eastAsia="en-AU"/>
              </w:rPr>
            </w:pPr>
            <w:proofErr w:type="spellStart"/>
            <w:r w:rsidRPr="0062012F">
              <w:rPr>
                <w:rFonts w:ascii="Arial Narrow" w:eastAsia="Times New Roman" w:hAnsi="Arial Narrow" w:cstheme="minorHAnsi"/>
                <w:color w:val="000000"/>
                <w:sz w:val="20"/>
                <w:szCs w:val="20"/>
                <w:lang w:eastAsia="en-AU"/>
              </w:rPr>
              <w:t>Dif</w:t>
            </w:r>
            <w:proofErr w:type="spellEnd"/>
          </w:p>
        </w:tc>
        <w:tc>
          <w:tcPr>
            <w:tcW w:w="819" w:type="pct"/>
            <w:vAlign w:val="center"/>
          </w:tcPr>
          <w:p w14:paraId="43821962" w14:textId="1E8BC6A0"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None</w:t>
            </w:r>
          </w:p>
        </w:tc>
        <w:tc>
          <w:tcPr>
            <w:tcW w:w="785" w:type="pct"/>
            <w:vAlign w:val="center"/>
          </w:tcPr>
          <w:p w14:paraId="71148F14" w14:textId="734F9E26"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None</w:t>
            </w:r>
          </w:p>
        </w:tc>
        <w:tc>
          <w:tcPr>
            <w:tcW w:w="943" w:type="pct"/>
            <w:vAlign w:val="center"/>
          </w:tcPr>
          <w:p w14:paraId="3CC1E13C" w14:textId="50730739"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None</w:t>
            </w:r>
          </w:p>
        </w:tc>
        <w:tc>
          <w:tcPr>
            <w:tcW w:w="915" w:type="pct"/>
            <w:vAlign w:val="center"/>
          </w:tcPr>
          <w:p w14:paraId="74EA9515" w14:textId="67E8F371"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 xml:space="preserve">None </w:t>
            </w:r>
          </w:p>
        </w:tc>
      </w:tr>
      <w:tr w:rsidR="0049643E" w:rsidRPr="0062012F" w14:paraId="13B0028A" w14:textId="77777777" w:rsidTr="00DE3A3B">
        <w:trPr>
          <w:trHeight w:val="296"/>
        </w:trPr>
        <w:tc>
          <w:tcPr>
            <w:tcW w:w="672" w:type="pct"/>
            <w:vMerge w:val="restart"/>
            <w:shd w:val="clear" w:color="auto" w:fill="FFFFFF" w:themeFill="background1"/>
            <w:vAlign w:val="center"/>
            <w:hideMark/>
          </w:tcPr>
          <w:p w14:paraId="68B45B56" w14:textId="3694069F" w:rsidR="0049643E" w:rsidRPr="0062012F" w:rsidRDefault="0049643E"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TTO EQ-5D-5L (SD)</w:t>
            </w:r>
          </w:p>
        </w:tc>
        <w:tc>
          <w:tcPr>
            <w:tcW w:w="866" w:type="pct"/>
            <w:vAlign w:val="center"/>
          </w:tcPr>
          <w:p w14:paraId="03414FAC" w14:textId="40230986" w:rsidR="0049643E" w:rsidRPr="0062012F" w:rsidRDefault="00D221A8" w:rsidP="00865ECD">
            <w:pPr>
              <w:keepNext/>
              <w:keepLines/>
              <w:spacing w:before="0" w:after="0" w:line="240" w:lineRule="auto"/>
              <w:rPr>
                <w:rFonts w:ascii="Arial Narrow" w:hAnsi="Arial Narrow" w:cstheme="minorHAnsi"/>
                <w:sz w:val="20"/>
                <w:szCs w:val="20"/>
              </w:rPr>
            </w:pPr>
            <w:r w:rsidRPr="0062012F">
              <w:rPr>
                <w:rFonts w:ascii="Arial Narrow" w:eastAsia="Times New Roman" w:hAnsi="Arial Narrow" w:cstheme="minorHAnsi"/>
                <w:color w:val="000000"/>
                <w:sz w:val="20"/>
                <w:szCs w:val="20"/>
                <w:lang w:eastAsia="en-AU"/>
              </w:rPr>
              <w:t>BCI</w:t>
            </w:r>
          </w:p>
        </w:tc>
        <w:tc>
          <w:tcPr>
            <w:tcW w:w="819" w:type="pct"/>
          </w:tcPr>
          <w:p w14:paraId="4832094B" w14:textId="36871209"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2.1 (0.7)</w:t>
            </w:r>
          </w:p>
        </w:tc>
        <w:tc>
          <w:tcPr>
            <w:tcW w:w="785" w:type="pct"/>
          </w:tcPr>
          <w:p w14:paraId="429B5425" w14:textId="6908B3D1"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1.8 (0.6)</w:t>
            </w:r>
          </w:p>
        </w:tc>
        <w:tc>
          <w:tcPr>
            <w:tcW w:w="943" w:type="pct"/>
          </w:tcPr>
          <w:p w14:paraId="5BF7D75F" w14:textId="3DD7EF6C"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1.6 (0.6)</w:t>
            </w:r>
          </w:p>
        </w:tc>
        <w:tc>
          <w:tcPr>
            <w:tcW w:w="915" w:type="pct"/>
          </w:tcPr>
          <w:p w14:paraId="4E0E3FBD" w14:textId="185E97CF" w:rsidR="0049643E" w:rsidRPr="0062012F" w:rsidRDefault="0049643E" w:rsidP="00865ECD">
            <w:pPr>
              <w:keepNext/>
              <w:keepLines/>
              <w:spacing w:before="0" w:after="0" w:line="240" w:lineRule="auto"/>
              <w:jc w:val="center"/>
              <w:rPr>
                <w:rFonts w:ascii="Arial Narrow" w:hAnsi="Arial Narrow" w:cstheme="minorHAnsi"/>
                <w:sz w:val="20"/>
                <w:szCs w:val="20"/>
              </w:rPr>
            </w:pPr>
            <w:r w:rsidRPr="0062012F">
              <w:rPr>
                <w:rFonts w:ascii="Arial Narrow" w:hAnsi="Arial Narrow" w:cstheme="minorHAnsi"/>
                <w:sz w:val="20"/>
                <w:szCs w:val="20"/>
              </w:rPr>
              <w:t>1.5 (0.5)</w:t>
            </w:r>
          </w:p>
        </w:tc>
      </w:tr>
      <w:tr w:rsidR="0049643E" w:rsidRPr="0062012F" w14:paraId="6D605CF6" w14:textId="77777777" w:rsidTr="00DE3A3B">
        <w:trPr>
          <w:trHeight w:val="296"/>
        </w:trPr>
        <w:tc>
          <w:tcPr>
            <w:tcW w:w="672" w:type="pct"/>
            <w:vMerge/>
            <w:shd w:val="clear" w:color="auto" w:fill="FFFFFF" w:themeFill="background1"/>
            <w:vAlign w:val="center"/>
            <w:hideMark/>
          </w:tcPr>
          <w:p w14:paraId="625E298B" w14:textId="77777777" w:rsidR="0049643E" w:rsidRPr="0062012F" w:rsidRDefault="0049643E"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p>
        </w:tc>
        <w:tc>
          <w:tcPr>
            <w:tcW w:w="866" w:type="pct"/>
            <w:vAlign w:val="center"/>
          </w:tcPr>
          <w:p w14:paraId="75469FAB" w14:textId="6578B28E" w:rsidR="0049643E" w:rsidRPr="0062012F" w:rsidRDefault="0049643E" w:rsidP="00865ECD">
            <w:pPr>
              <w:keepNext/>
              <w:keepLines/>
              <w:spacing w:before="0" w:after="0" w:line="240" w:lineRule="auto"/>
              <w:rPr>
                <w:rFonts w:ascii="Arial Narrow" w:hAnsi="Arial Narrow" w:cstheme="minorHAnsi"/>
                <w:sz w:val="20"/>
                <w:szCs w:val="20"/>
              </w:rPr>
            </w:pPr>
            <w:r w:rsidRPr="0062012F">
              <w:rPr>
                <w:rFonts w:ascii="Arial Narrow" w:eastAsia="Times New Roman" w:hAnsi="Arial Narrow" w:cstheme="minorHAnsi"/>
                <w:color w:val="000000"/>
                <w:sz w:val="20"/>
                <w:szCs w:val="20"/>
                <w:lang w:eastAsia="en-AU"/>
              </w:rPr>
              <w:t>SSR</w:t>
            </w:r>
          </w:p>
        </w:tc>
        <w:tc>
          <w:tcPr>
            <w:tcW w:w="819" w:type="pct"/>
          </w:tcPr>
          <w:p w14:paraId="52921735" w14:textId="76CBB3D0"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2.1 (0.6)</w:t>
            </w:r>
          </w:p>
        </w:tc>
        <w:tc>
          <w:tcPr>
            <w:tcW w:w="785" w:type="pct"/>
          </w:tcPr>
          <w:p w14:paraId="499138E6" w14:textId="0DE75875"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1.8 (0.7)</w:t>
            </w:r>
          </w:p>
        </w:tc>
        <w:tc>
          <w:tcPr>
            <w:tcW w:w="943" w:type="pct"/>
          </w:tcPr>
          <w:p w14:paraId="6340B7EE" w14:textId="2008C752"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1.6 (0.6)</w:t>
            </w:r>
          </w:p>
        </w:tc>
        <w:tc>
          <w:tcPr>
            <w:tcW w:w="915" w:type="pct"/>
          </w:tcPr>
          <w:p w14:paraId="44DD0046" w14:textId="7FF295FF" w:rsidR="0049643E" w:rsidRPr="0062012F" w:rsidRDefault="0049643E" w:rsidP="00865ECD">
            <w:pPr>
              <w:keepNext/>
              <w:keepLines/>
              <w:spacing w:before="0" w:after="0" w:line="240" w:lineRule="auto"/>
              <w:jc w:val="center"/>
              <w:rPr>
                <w:rFonts w:ascii="Arial Narrow" w:hAnsi="Arial Narrow" w:cstheme="minorHAnsi"/>
                <w:sz w:val="20"/>
                <w:szCs w:val="20"/>
              </w:rPr>
            </w:pPr>
            <w:r w:rsidRPr="0062012F">
              <w:rPr>
                <w:rFonts w:ascii="Arial Narrow" w:hAnsi="Arial Narrow" w:cstheme="minorHAnsi"/>
                <w:sz w:val="20"/>
                <w:szCs w:val="20"/>
              </w:rPr>
              <w:t>1.6 (0.7)</w:t>
            </w:r>
          </w:p>
        </w:tc>
      </w:tr>
      <w:tr w:rsidR="0049643E" w:rsidRPr="0062012F" w14:paraId="261E453A" w14:textId="77777777" w:rsidTr="00DE3A3B">
        <w:trPr>
          <w:trHeight w:val="296"/>
        </w:trPr>
        <w:tc>
          <w:tcPr>
            <w:tcW w:w="672" w:type="pct"/>
            <w:vMerge/>
            <w:shd w:val="clear" w:color="auto" w:fill="FFFFFF" w:themeFill="background1"/>
            <w:vAlign w:val="center"/>
          </w:tcPr>
          <w:p w14:paraId="5E86C6CB" w14:textId="77777777" w:rsidR="0049643E" w:rsidRPr="0062012F" w:rsidRDefault="0049643E"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p>
        </w:tc>
        <w:tc>
          <w:tcPr>
            <w:tcW w:w="866" w:type="pct"/>
            <w:vAlign w:val="center"/>
          </w:tcPr>
          <w:p w14:paraId="73853215" w14:textId="3A32BB30" w:rsidR="0049643E" w:rsidRPr="0062012F" w:rsidRDefault="0049643E" w:rsidP="00865ECD">
            <w:pPr>
              <w:keepNext/>
              <w:keepLines/>
              <w:spacing w:before="0" w:after="0" w:line="240" w:lineRule="auto"/>
              <w:rPr>
                <w:rFonts w:ascii="Arial Narrow" w:eastAsia="Times New Roman" w:hAnsi="Arial Narrow" w:cstheme="minorHAnsi"/>
                <w:color w:val="000000"/>
                <w:sz w:val="20"/>
                <w:szCs w:val="20"/>
                <w:lang w:eastAsia="en-AU"/>
              </w:rPr>
            </w:pPr>
            <w:proofErr w:type="spellStart"/>
            <w:r w:rsidRPr="0062012F">
              <w:rPr>
                <w:rFonts w:ascii="Arial Narrow" w:eastAsia="Times New Roman" w:hAnsi="Arial Narrow" w:cstheme="minorHAnsi"/>
                <w:color w:val="000000"/>
                <w:sz w:val="20"/>
                <w:szCs w:val="20"/>
                <w:lang w:eastAsia="en-AU"/>
              </w:rPr>
              <w:t>Dif</w:t>
            </w:r>
            <w:proofErr w:type="spellEnd"/>
          </w:p>
        </w:tc>
        <w:tc>
          <w:tcPr>
            <w:tcW w:w="819" w:type="pct"/>
            <w:vAlign w:val="center"/>
          </w:tcPr>
          <w:p w14:paraId="57DF55C0" w14:textId="1AFFFC54" w:rsidR="0049643E" w:rsidRPr="0062012F" w:rsidRDefault="0049643E" w:rsidP="00865ECD">
            <w:pPr>
              <w:keepNext/>
              <w:keepLines/>
              <w:spacing w:before="0" w:after="0" w:line="240" w:lineRule="auto"/>
              <w:jc w:val="center"/>
              <w:rPr>
                <w:rFonts w:ascii="Arial Narrow" w:hAnsi="Arial Narrow" w:cstheme="minorHAnsi"/>
                <w:sz w:val="20"/>
                <w:szCs w:val="20"/>
              </w:rPr>
            </w:pPr>
            <w:r w:rsidRPr="0062012F">
              <w:rPr>
                <w:rFonts w:ascii="Arial Narrow" w:hAnsi="Arial Narrow" w:cstheme="minorHAnsi"/>
                <w:sz w:val="20"/>
                <w:szCs w:val="20"/>
              </w:rPr>
              <w:t>None</w:t>
            </w:r>
          </w:p>
        </w:tc>
        <w:tc>
          <w:tcPr>
            <w:tcW w:w="785" w:type="pct"/>
            <w:vAlign w:val="center"/>
          </w:tcPr>
          <w:p w14:paraId="2DE985FC" w14:textId="697FDCF5" w:rsidR="0049643E" w:rsidRPr="0062012F" w:rsidRDefault="0049643E" w:rsidP="00865ECD">
            <w:pPr>
              <w:keepNext/>
              <w:keepLines/>
              <w:spacing w:before="0" w:after="0" w:line="240" w:lineRule="auto"/>
              <w:jc w:val="center"/>
              <w:rPr>
                <w:rFonts w:ascii="Arial Narrow" w:hAnsi="Arial Narrow" w:cstheme="minorHAnsi"/>
                <w:sz w:val="20"/>
                <w:szCs w:val="20"/>
              </w:rPr>
            </w:pPr>
            <w:r w:rsidRPr="0062012F">
              <w:rPr>
                <w:rFonts w:ascii="Arial Narrow" w:hAnsi="Arial Narrow" w:cstheme="minorHAnsi"/>
                <w:sz w:val="20"/>
                <w:szCs w:val="20"/>
              </w:rPr>
              <w:t>None</w:t>
            </w:r>
          </w:p>
        </w:tc>
        <w:tc>
          <w:tcPr>
            <w:tcW w:w="943" w:type="pct"/>
            <w:vAlign w:val="center"/>
          </w:tcPr>
          <w:p w14:paraId="72C5E937" w14:textId="694C96EA" w:rsidR="0049643E" w:rsidRPr="0062012F" w:rsidRDefault="0049643E" w:rsidP="00865ECD">
            <w:pPr>
              <w:keepNext/>
              <w:keepLines/>
              <w:spacing w:before="0" w:after="0" w:line="240" w:lineRule="auto"/>
              <w:jc w:val="center"/>
              <w:rPr>
                <w:rFonts w:ascii="Arial Narrow" w:hAnsi="Arial Narrow" w:cstheme="minorHAnsi"/>
                <w:sz w:val="20"/>
                <w:szCs w:val="20"/>
              </w:rPr>
            </w:pPr>
            <w:r w:rsidRPr="0062012F">
              <w:rPr>
                <w:rFonts w:ascii="Arial Narrow" w:hAnsi="Arial Narrow" w:cstheme="minorHAnsi"/>
                <w:sz w:val="20"/>
                <w:szCs w:val="20"/>
              </w:rPr>
              <w:t>None</w:t>
            </w:r>
          </w:p>
        </w:tc>
        <w:tc>
          <w:tcPr>
            <w:tcW w:w="915" w:type="pct"/>
            <w:vAlign w:val="center"/>
          </w:tcPr>
          <w:p w14:paraId="2D90C690" w14:textId="3A468F23" w:rsidR="0049643E" w:rsidRPr="0062012F" w:rsidRDefault="0049643E" w:rsidP="00865ECD">
            <w:pPr>
              <w:keepNext/>
              <w:keepLines/>
              <w:spacing w:before="0" w:after="0" w:line="240" w:lineRule="auto"/>
              <w:jc w:val="center"/>
              <w:rPr>
                <w:rFonts w:ascii="Arial Narrow" w:hAnsi="Arial Narrow" w:cstheme="minorHAnsi"/>
                <w:sz w:val="20"/>
                <w:szCs w:val="20"/>
              </w:rPr>
            </w:pPr>
            <w:r w:rsidRPr="0062012F">
              <w:rPr>
                <w:rFonts w:ascii="Arial Narrow" w:hAnsi="Arial Narrow" w:cstheme="minorHAnsi"/>
                <w:sz w:val="20"/>
                <w:szCs w:val="20"/>
              </w:rPr>
              <w:t xml:space="preserve">None </w:t>
            </w:r>
          </w:p>
        </w:tc>
      </w:tr>
      <w:tr w:rsidR="0049643E" w:rsidRPr="0062012F" w14:paraId="36103A28" w14:textId="77777777" w:rsidTr="00DE3A3B">
        <w:trPr>
          <w:trHeight w:val="296"/>
        </w:trPr>
        <w:tc>
          <w:tcPr>
            <w:tcW w:w="672" w:type="pct"/>
            <w:vMerge w:val="restart"/>
            <w:shd w:val="clear" w:color="auto" w:fill="FFFFFF" w:themeFill="background1"/>
            <w:vAlign w:val="center"/>
          </w:tcPr>
          <w:p w14:paraId="094972E5" w14:textId="6A46BDA4" w:rsidR="0049643E" w:rsidRPr="0062012F" w:rsidRDefault="0049643E"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VAS EQ-5D-5L (SD)</w:t>
            </w:r>
          </w:p>
        </w:tc>
        <w:tc>
          <w:tcPr>
            <w:tcW w:w="866" w:type="pct"/>
            <w:vAlign w:val="center"/>
          </w:tcPr>
          <w:p w14:paraId="1E9FC0A8" w14:textId="4989A760" w:rsidR="0049643E" w:rsidRPr="0062012F" w:rsidRDefault="00D221A8" w:rsidP="00865ECD">
            <w:pPr>
              <w:keepNext/>
              <w:keepLines/>
              <w:spacing w:before="0" w:after="0" w:line="240" w:lineRule="auto"/>
              <w:rPr>
                <w:rFonts w:ascii="Arial Narrow" w:hAnsi="Arial Narrow" w:cstheme="minorHAnsi"/>
                <w:sz w:val="20"/>
                <w:szCs w:val="20"/>
              </w:rPr>
            </w:pPr>
            <w:r w:rsidRPr="0062012F">
              <w:rPr>
                <w:rFonts w:ascii="Arial Narrow" w:eastAsia="Times New Roman" w:hAnsi="Arial Narrow" w:cstheme="minorHAnsi"/>
                <w:color w:val="000000"/>
                <w:sz w:val="20"/>
                <w:szCs w:val="20"/>
                <w:lang w:eastAsia="en-AU"/>
              </w:rPr>
              <w:t>BCI</w:t>
            </w:r>
          </w:p>
        </w:tc>
        <w:tc>
          <w:tcPr>
            <w:tcW w:w="819" w:type="pct"/>
          </w:tcPr>
          <w:p w14:paraId="64FE97C3" w14:textId="7FBE3CE0"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73.2 (15.2)</w:t>
            </w:r>
          </w:p>
        </w:tc>
        <w:tc>
          <w:tcPr>
            <w:tcW w:w="785" w:type="pct"/>
          </w:tcPr>
          <w:p w14:paraId="1610F759" w14:textId="7F3939D2"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77.0 (16.9)</w:t>
            </w:r>
          </w:p>
        </w:tc>
        <w:tc>
          <w:tcPr>
            <w:tcW w:w="943" w:type="pct"/>
            <w:vAlign w:val="bottom"/>
          </w:tcPr>
          <w:p w14:paraId="23EDCD34" w14:textId="0BD35A67"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78.1 (16.5)</w:t>
            </w:r>
          </w:p>
        </w:tc>
        <w:tc>
          <w:tcPr>
            <w:tcW w:w="915" w:type="pct"/>
          </w:tcPr>
          <w:p w14:paraId="74E5FC62" w14:textId="18714183" w:rsidR="0049643E" w:rsidRPr="0062012F" w:rsidRDefault="0049643E" w:rsidP="00865ECD">
            <w:pPr>
              <w:keepNext/>
              <w:keepLines/>
              <w:spacing w:before="0" w:after="0" w:line="240" w:lineRule="auto"/>
              <w:jc w:val="center"/>
              <w:rPr>
                <w:rFonts w:ascii="Arial Narrow" w:hAnsi="Arial Narrow" w:cstheme="minorHAnsi"/>
                <w:sz w:val="20"/>
                <w:szCs w:val="20"/>
              </w:rPr>
            </w:pPr>
            <w:r w:rsidRPr="0062012F">
              <w:rPr>
                <w:rFonts w:ascii="Arial Narrow" w:hAnsi="Arial Narrow" w:cstheme="minorHAnsi"/>
                <w:sz w:val="20"/>
                <w:szCs w:val="20"/>
              </w:rPr>
              <w:t>78.8 (18.6)</w:t>
            </w:r>
          </w:p>
        </w:tc>
      </w:tr>
      <w:tr w:rsidR="0049643E" w:rsidRPr="0062012F" w14:paraId="19E01A08" w14:textId="77777777" w:rsidTr="00DE3A3B">
        <w:trPr>
          <w:trHeight w:val="296"/>
        </w:trPr>
        <w:tc>
          <w:tcPr>
            <w:tcW w:w="672" w:type="pct"/>
            <w:vMerge/>
            <w:shd w:val="clear" w:color="auto" w:fill="FFFFFF" w:themeFill="background1"/>
            <w:vAlign w:val="center"/>
          </w:tcPr>
          <w:p w14:paraId="2793E26E" w14:textId="77777777" w:rsidR="0049643E" w:rsidRPr="0062012F" w:rsidRDefault="0049643E"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p>
        </w:tc>
        <w:tc>
          <w:tcPr>
            <w:tcW w:w="866" w:type="pct"/>
            <w:vAlign w:val="center"/>
          </w:tcPr>
          <w:p w14:paraId="0C5A879E" w14:textId="33170968" w:rsidR="0049643E" w:rsidRPr="0062012F" w:rsidRDefault="0049643E" w:rsidP="00865ECD">
            <w:pPr>
              <w:keepNext/>
              <w:keepLines/>
              <w:spacing w:before="0" w:after="0" w:line="240" w:lineRule="auto"/>
              <w:rPr>
                <w:rFonts w:ascii="Arial Narrow" w:hAnsi="Arial Narrow" w:cstheme="minorHAnsi"/>
                <w:sz w:val="20"/>
                <w:szCs w:val="20"/>
              </w:rPr>
            </w:pPr>
            <w:r w:rsidRPr="0062012F">
              <w:rPr>
                <w:rFonts w:ascii="Arial Narrow" w:eastAsia="Times New Roman" w:hAnsi="Arial Narrow" w:cstheme="minorHAnsi"/>
                <w:color w:val="000000"/>
                <w:sz w:val="20"/>
                <w:szCs w:val="20"/>
                <w:lang w:eastAsia="en-AU"/>
              </w:rPr>
              <w:t>SSR</w:t>
            </w:r>
          </w:p>
        </w:tc>
        <w:tc>
          <w:tcPr>
            <w:tcW w:w="819" w:type="pct"/>
          </w:tcPr>
          <w:p w14:paraId="3BC79B18" w14:textId="40326991"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68.0 (17.5)</w:t>
            </w:r>
          </w:p>
        </w:tc>
        <w:tc>
          <w:tcPr>
            <w:tcW w:w="785" w:type="pct"/>
          </w:tcPr>
          <w:p w14:paraId="7395C980" w14:textId="516C2BC4"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74.2 (17.3)</w:t>
            </w:r>
          </w:p>
        </w:tc>
        <w:tc>
          <w:tcPr>
            <w:tcW w:w="943" w:type="pct"/>
            <w:vAlign w:val="bottom"/>
          </w:tcPr>
          <w:p w14:paraId="54601A60" w14:textId="463FCB14" w:rsidR="0049643E" w:rsidRPr="0062012F" w:rsidRDefault="0049643E" w:rsidP="00865ECD">
            <w:pPr>
              <w:keepNext/>
              <w:keepLines/>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hAnsi="Arial Narrow" w:cstheme="minorHAnsi"/>
                <w:sz w:val="20"/>
                <w:szCs w:val="20"/>
              </w:rPr>
              <w:t>74.9 (20.8)</w:t>
            </w:r>
          </w:p>
        </w:tc>
        <w:tc>
          <w:tcPr>
            <w:tcW w:w="915" w:type="pct"/>
          </w:tcPr>
          <w:p w14:paraId="05E0BDDA" w14:textId="4BEB0B64" w:rsidR="0049643E" w:rsidRPr="0062012F" w:rsidRDefault="0049643E" w:rsidP="00865ECD">
            <w:pPr>
              <w:keepNext/>
              <w:keepLines/>
              <w:spacing w:before="0" w:after="0" w:line="240" w:lineRule="auto"/>
              <w:jc w:val="center"/>
              <w:rPr>
                <w:rFonts w:ascii="Arial Narrow" w:hAnsi="Arial Narrow" w:cstheme="minorHAnsi"/>
                <w:sz w:val="20"/>
                <w:szCs w:val="20"/>
              </w:rPr>
            </w:pPr>
            <w:r w:rsidRPr="0062012F">
              <w:rPr>
                <w:rFonts w:ascii="Arial Narrow" w:hAnsi="Arial Narrow" w:cstheme="minorHAnsi"/>
                <w:sz w:val="20"/>
                <w:szCs w:val="20"/>
              </w:rPr>
              <w:t>73.9 (21.8)</w:t>
            </w:r>
          </w:p>
        </w:tc>
      </w:tr>
      <w:tr w:rsidR="0049643E" w:rsidRPr="0062012F" w14:paraId="6FEC48AB" w14:textId="77777777" w:rsidTr="00DE3A3B">
        <w:trPr>
          <w:trHeight w:val="296"/>
        </w:trPr>
        <w:tc>
          <w:tcPr>
            <w:tcW w:w="672" w:type="pct"/>
            <w:vMerge/>
            <w:shd w:val="clear" w:color="auto" w:fill="FFFFFF" w:themeFill="background1"/>
            <w:vAlign w:val="center"/>
          </w:tcPr>
          <w:p w14:paraId="42EA913A" w14:textId="77777777" w:rsidR="0049643E" w:rsidRPr="0062012F" w:rsidRDefault="0049643E"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p>
        </w:tc>
        <w:tc>
          <w:tcPr>
            <w:tcW w:w="866" w:type="pct"/>
            <w:vAlign w:val="center"/>
          </w:tcPr>
          <w:p w14:paraId="3BD22720" w14:textId="4743F914" w:rsidR="0049643E" w:rsidRPr="0062012F" w:rsidRDefault="0049643E" w:rsidP="00865ECD">
            <w:pPr>
              <w:keepNext/>
              <w:keepLines/>
              <w:spacing w:before="0" w:after="0" w:line="240" w:lineRule="auto"/>
              <w:rPr>
                <w:rFonts w:ascii="Arial Narrow" w:eastAsia="Times New Roman" w:hAnsi="Arial Narrow" w:cstheme="minorHAnsi"/>
                <w:color w:val="000000"/>
                <w:sz w:val="20"/>
                <w:szCs w:val="20"/>
                <w:lang w:eastAsia="en-AU"/>
              </w:rPr>
            </w:pPr>
            <w:proofErr w:type="spellStart"/>
            <w:r w:rsidRPr="0062012F">
              <w:rPr>
                <w:rFonts w:ascii="Arial Narrow" w:eastAsia="Times New Roman" w:hAnsi="Arial Narrow" w:cstheme="minorHAnsi"/>
                <w:color w:val="000000"/>
                <w:sz w:val="20"/>
                <w:szCs w:val="20"/>
                <w:lang w:eastAsia="en-AU"/>
              </w:rPr>
              <w:t>Dif</w:t>
            </w:r>
            <w:proofErr w:type="spellEnd"/>
          </w:p>
        </w:tc>
        <w:tc>
          <w:tcPr>
            <w:tcW w:w="819" w:type="pct"/>
            <w:vAlign w:val="center"/>
          </w:tcPr>
          <w:p w14:paraId="0833D44A" w14:textId="5AF92D44" w:rsidR="0049643E" w:rsidRPr="0062012F" w:rsidRDefault="0049643E" w:rsidP="00865ECD">
            <w:pPr>
              <w:keepNext/>
              <w:keepLines/>
              <w:spacing w:before="0" w:after="0" w:line="240" w:lineRule="auto"/>
              <w:jc w:val="center"/>
              <w:rPr>
                <w:rFonts w:ascii="Arial Narrow" w:hAnsi="Arial Narrow" w:cstheme="minorHAnsi"/>
                <w:sz w:val="20"/>
                <w:szCs w:val="20"/>
              </w:rPr>
            </w:pPr>
            <w:r w:rsidRPr="0062012F">
              <w:rPr>
                <w:rFonts w:ascii="Arial Narrow" w:hAnsi="Arial Narrow" w:cstheme="minorHAnsi"/>
                <w:sz w:val="20"/>
                <w:szCs w:val="20"/>
              </w:rPr>
              <w:t>None</w:t>
            </w:r>
          </w:p>
        </w:tc>
        <w:tc>
          <w:tcPr>
            <w:tcW w:w="785" w:type="pct"/>
            <w:vAlign w:val="center"/>
          </w:tcPr>
          <w:p w14:paraId="4763D04E" w14:textId="244A6172" w:rsidR="0049643E" w:rsidRPr="0062012F" w:rsidRDefault="0049643E" w:rsidP="00865ECD">
            <w:pPr>
              <w:keepNext/>
              <w:keepLines/>
              <w:spacing w:before="0" w:after="0" w:line="240" w:lineRule="auto"/>
              <w:jc w:val="center"/>
              <w:rPr>
                <w:rFonts w:ascii="Arial Narrow" w:hAnsi="Arial Narrow" w:cstheme="minorHAnsi"/>
                <w:b/>
                <w:bCs/>
                <w:sz w:val="20"/>
                <w:szCs w:val="20"/>
              </w:rPr>
            </w:pPr>
            <w:r w:rsidRPr="0062012F">
              <w:rPr>
                <w:rFonts w:ascii="Arial Narrow" w:hAnsi="Arial Narrow" w:cstheme="minorHAnsi"/>
                <w:sz w:val="20"/>
                <w:szCs w:val="20"/>
              </w:rPr>
              <w:t>None</w:t>
            </w:r>
          </w:p>
        </w:tc>
        <w:tc>
          <w:tcPr>
            <w:tcW w:w="943" w:type="pct"/>
            <w:vAlign w:val="center"/>
          </w:tcPr>
          <w:p w14:paraId="5B3B2DBB" w14:textId="548920CA" w:rsidR="0049643E" w:rsidRPr="0062012F" w:rsidRDefault="0049643E" w:rsidP="00865ECD">
            <w:pPr>
              <w:keepNext/>
              <w:keepLines/>
              <w:spacing w:before="0" w:after="0" w:line="240" w:lineRule="auto"/>
              <w:jc w:val="center"/>
              <w:rPr>
                <w:rFonts w:ascii="Arial Narrow" w:hAnsi="Arial Narrow" w:cstheme="minorHAnsi"/>
                <w:b/>
                <w:bCs/>
                <w:sz w:val="20"/>
                <w:szCs w:val="20"/>
              </w:rPr>
            </w:pPr>
            <w:r w:rsidRPr="0062012F">
              <w:rPr>
                <w:rFonts w:ascii="Arial Narrow" w:hAnsi="Arial Narrow" w:cstheme="minorHAnsi"/>
                <w:sz w:val="20"/>
                <w:szCs w:val="20"/>
              </w:rPr>
              <w:t>None</w:t>
            </w:r>
          </w:p>
        </w:tc>
        <w:tc>
          <w:tcPr>
            <w:tcW w:w="915" w:type="pct"/>
            <w:vAlign w:val="center"/>
          </w:tcPr>
          <w:p w14:paraId="08564045" w14:textId="2BBBBF13" w:rsidR="0049643E" w:rsidRPr="0062012F" w:rsidRDefault="0049643E" w:rsidP="00865ECD">
            <w:pPr>
              <w:keepNext/>
              <w:keepLines/>
              <w:spacing w:before="0" w:after="0" w:line="240" w:lineRule="auto"/>
              <w:jc w:val="center"/>
              <w:rPr>
                <w:rFonts w:ascii="Arial Narrow" w:hAnsi="Arial Narrow" w:cstheme="minorHAnsi"/>
                <w:b/>
                <w:bCs/>
                <w:sz w:val="20"/>
                <w:szCs w:val="20"/>
              </w:rPr>
            </w:pPr>
            <w:r w:rsidRPr="0062012F">
              <w:rPr>
                <w:rFonts w:ascii="Arial Narrow" w:hAnsi="Arial Narrow" w:cstheme="minorHAnsi"/>
                <w:sz w:val="20"/>
                <w:szCs w:val="20"/>
              </w:rPr>
              <w:t xml:space="preserve">None </w:t>
            </w:r>
          </w:p>
        </w:tc>
      </w:tr>
    </w:tbl>
    <w:p w14:paraId="7234676F" w14:textId="4865A53B" w:rsidR="00B10341" w:rsidRDefault="00B10341" w:rsidP="00865ECD">
      <w:pPr>
        <w:pStyle w:val="TableFooter"/>
        <w:keepNext/>
        <w:keepLines/>
      </w:pPr>
      <w:r>
        <w:t>Source: Table 20 p 89 of the ADAR</w:t>
      </w:r>
      <w:r w:rsidR="00343ABB">
        <w:t xml:space="preserve"> </w:t>
      </w:r>
      <w:r w:rsidR="00E93605">
        <w:t>+</w:t>
      </w:r>
      <w:r w:rsidR="00343ABB">
        <w:t xml:space="preserve"> </w:t>
      </w:r>
      <w:r w:rsidR="00E93605">
        <w:t>in-line commentary</w:t>
      </w:r>
      <w:r>
        <w:t xml:space="preserve"> and compiled during evaluation. </w:t>
      </w:r>
    </w:p>
    <w:p w14:paraId="18F72735" w14:textId="5450F2F0" w:rsidR="00D62EEA" w:rsidRDefault="008535F4" w:rsidP="00865ECD">
      <w:pPr>
        <w:pStyle w:val="TableFooter"/>
        <w:keepNext/>
        <w:keepLines/>
        <w:rPr>
          <w:rStyle w:val="normaltextrun"/>
          <w:rFonts w:asciiTheme="minorHAnsi" w:hAnsiTheme="minorHAnsi" w:cstheme="minorHAnsi"/>
          <w:color w:val="000000"/>
          <w:shd w:val="clear" w:color="auto" w:fill="FFFFFF"/>
        </w:rPr>
      </w:pPr>
      <w:r w:rsidRPr="008535F4">
        <w:t xml:space="preserve">Abbreviations: </w:t>
      </w:r>
      <w:r w:rsidR="00D221A8">
        <w:t>BCI</w:t>
      </w:r>
      <w:r w:rsidRPr="008535F4">
        <w:t xml:space="preserve"> = </w:t>
      </w:r>
      <w:proofErr w:type="spellStart"/>
      <w:r w:rsidR="00611C7A">
        <w:t>Bioinductive</w:t>
      </w:r>
      <w:proofErr w:type="spellEnd"/>
      <w:r w:rsidR="00611C7A">
        <w:t xml:space="preserve"> collagen implant</w:t>
      </w:r>
      <w:r w:rsidRPr="008535F4">
        <w:t xml:space="preserve">; </w:t>
      </w:r>
      <w:proofErr w:type="spellStart"/>
      <w:r w:rsidRPr="008535F4">
        <w:t>Dif</w:t>
      </w:r>
      <w:proofErr w:type="spellEnd"/>
      <w:r w:rsidRPr="008535F4">
        <w:t xml:space="preserve"> = difference between groups; </w:t>
      </w:r>
      <w:r w:rsidR="007D1B30" w:rsidRPr="007D1B30">
        <w:t>EQ-5D-5L</w:t>
      </w:r>
      <w:r w:rsidR="007D1B30">
        <w:t xml:space="preserve"> = </w:t>
      </w:r>
      <w:proofErr w:type="spellStart"/>
      <w:r w:rsidR="007D1B30" w:rsidRPr="00363127">
        <w:t>EuroQol</w:t>
      </w:r>
      <w:proofErr w:type="spellEnd"/>
      <w:r w:rsidR="007D1B30" w:rsidRPr="00363127">
        <w:t>-</w:t>
      </w:r>
      <w:r w:rsidR="0049643E" w:rsidRPr="00363127">
        <w:t>five-dimension</w:t>
      </w:r>
      <w:r w:rsidR="007D1B30" w:rsidRPr="00363127">
        <w:t xml:space="preserve"> scale</w:t>
      </w:r>
      <w:r w:rsidR="007D1B30">
        <w:t xml:space="preserve">-five level; </w:t>
      </w:r>
      <w:r w:rsidRPr="008535F4">
        <w:t xml:space="preserve">M = Months; </w:t>
      </w:r>
      <w:r w:rsidR="00696752">
        <w:t>N = number of participants; n = number with an event</w:t>
      </w:r>
      <w:r w:rsidR="0049643E">
        <w:t xml:space="preserve">; </w:t>
      </w:r>
      <w:r w:rsidRPr="008535F4">
        <w:t>NR = not reported; SD = Standard Deviation; SSR = standard surgical repair;</w:t>
      </w:r>
      <w:r w:rsidR="0049643E">
        <w:t xml:space="preserve"> TTO = time trade off</w:t>
      </w:r>
      <w:r w:rsidR="00A5428F" w:rsidRPr="00B1275F">
        <w:rPr>
          <w:rStyle w:val="normaltextrun"/>
          <w:rFonts w:asciiTheme="minorHAnsi" w:hAnsiTheme="minorHAnsi" w:cstheme="minorHAnsi"/>
          <w:color w:val="000000"/>
          <w:shd w:val="clear" w:color="auto" w:fill="FFFFFF"/>
        </w:rPr>
        <w:t xml:space="preserve">; </w:t>
      </w:r>
      <w:r w:rsidR="00A5428F" w:rsidRPr="004A7094">
        <w:rPr>
          <w:rStyle w:val="normaltextrun"/>
          <w:rFonts w:cstheme="minorHAnsi"/>
          <w:color w:val="000000"/>
          <w:shd w:val="clear" w:color="auto" w:fill="FFFFFF"/>
        </w:rPr>
        <w:t>VAS = Visual Analogue Scale</w:t>
      </w:r>
      <w:r w:rsidR="0049643E" w:rsidRPr="004A7094">
        <w:rPr>
          <w:rStyle w:val="normaltextrun"/>
          <w:rFonts w:cstheme="minorHAnsi"/>
          <w:color w:val="000000"/>
          <w:shd w:val="clear" w:color="auto" w:fill="FFFFFF"/>
        </w:rPr>
        <w:t>.</w:t>
      </w:r>
    </w:p>
    <w:p w14:paraId="053694CC" w14:textId="19F6FC07" w:rsidR="0092726A" w:rsidRDefault="0092726A" w:rsidP="00865ECD">
      <w:pPr>
        <w:pStyle w:val="TableFooter"/>
        <w:keepNext/>
        <w:keepLines/>
      </w:pPr>
      <w:r w:rsidRPr="00FA0E56">
        <w:t>Notes:</w:t>
      </w:r>
      <w:r>
        <w:rPr>
          <w:b/>
          <w:bCs/>
        </w:rPr>
        <w:t xml:space="preserve"> </w:t>
      </w:r>
      <w:r w:rsidRPr="00B25254">
        <w:rPr>
          <w:b/>
          <w:bCs/>
        </w:rPr>
        <w:t>Bold</w:t>
      </w:r>
      <w:r w:rsidRPr="00CF0841">
        <w:t xml:space="preserve"> indicate</w:t>
      </w:r>
      <w:r>
        <w:t>s</w:t>
      </w:r>
      <w:r w:rsidRPr="00CF0841">
        <w:t xml:space="preserve"> significant differences </w:t>
      </w:r>
      <w:r w:rsidRPr="00FA0E56">
        <w:t>between groups</w:t>
      </w:r>
    </w:p>
    <w:p w14:paraId="5EFB9BD1" w14:textId="3CBA5B10" w:rsidR="00D62EEA" w:rsidRDefault="00B226A1" w:rsidP="00393FC7">
      <w:pPr>
        <w:rPr>
          <w:rFonts w:eastAsia="Times New Roman" w:cs="Times New Roman"/>
          <w:b/>
          <w:bCs/>
          <w:szCs w:val="20"/>
        </w:rPr>
      </w:pPr>
      <w:bookmarkStart w:id="32" w:name="_Hlk162864931"/>
      <w:r w:rsidRPr="005F4ABA">
        <w:t xml:space="preserve">In terms of </w:t>
      </w:r>
      <w:r w:rsidR="00693B30" w:rsidRPr="005F4ABA">
        <w:t>imaging-based</w:t>
      </w:r>
      <w:r w:rsidRPr="005F4ABA">
        <w:t xml:space="preserve"> outcomes, Ruiz </w:t>
      </w:r>
      <w:proofErr w:type="spellStart"/>
      <w:r w:rsidR="009C5152">
        <w:t>Ibán</w:t>
      </w:r>
      <w:proofErr w:type="spellEnd"/>
      <w:r w:rsidR="009C5152" w:rsidRPr="005F4ABA" w:rsidDel="009C5152">
        <w:t xml:space="preserve"> </w:t>
      </w:r>
      <w:r>
        <w:t>(</w:t>
      </w:r>
      <w:r w:rsidRPr="005F4ABA">
        <w:t>202</w:t>
      </w:r>
      <w:r>
        <w:t>5)</w:t>
      </w:r>
      <w:r w:rsidRPr="005F4ABA">
        <w:t xml:space="preserve"> reported a significantly lower retear rate (8.3 vs 25.8%; p=0.01), a three times lower risk of re-tear (</w:t>
      </w:r>
      <w:r>
        <w:t>Relative risk (</w:t>
      </w:r>
      <w:r w:rsidRPr="005F4ABA">
        <w:t>RR</w:t>
      </w:r>
      <w:r>
        <w:t>)</w:t>
      </w:r>
      <w:r w:rsidRPr="005F4ABA">
        <w:t>=0.32; 95% CI:0.13–0.83)</w:t>
      </w:r>
      <w:r w:rsidR="00393FC7">
        <w:t>.</w:t>
      </w:r>
      <w:bookmarkEnd w:id="32"/>
      <w:r w:rsidR="00A97B9F">
        <w:t xml:space="preserve"> </w:t>
      </w:r>
      <w:r w:rsidR="001710DB" w:rsidRPr="001710DB">
        <w:t xml:space="preserve">The commentary noted that the improvement in the imaging-based outcomes in Ruiz </w:t>
      </w:r>
      <w:proofErr w:type="spellStart"/>
      <w:r w:rsidR="00F61561">
        <w:t>Ibán</w:t>
      </w:r>
      <w:proofErr w:type="spellEnd"/>
      <w:r w:rsidR="00F61561" w:rsidRPr="001710DB" w:rsidDel="009C5152">
        <w:t xml:space="preserve"> </w:t>
      </w:r>
      <w:r w:rsidR="00F61561" w:rsidRPr="001710DB">
        <w:t>(</w:t>
      </w:r>
      <w:r w:rsidR="001710DB" w:rsidRPr="001710DB">
        <w:t>2025)</w:t>
      </w:r>
      <w:r w:rsidR="001710DB">
        <w:t xml:space="preserve"> for </w:t>
      </w:r>
      <w:r w:rsidR="00A31687">
        <w:t>BCI</w:t>
      </w:r>
      <w:r w:rsidR="001710DB">
        <w:t xml:space="preserve"> </w:t>
      </w:r>
      <w:r w:rsidR="001710DB" w:rsidRPr="001710DB">
        <w:t xml:space="preserve">did not result in an improvement in </w:t>
      </w:r>
      <w:r w:rsidR="00E56C57">
        <w:t>PROMs</w:t>
      </w:r>
      <w:r w:rsidR="001710DB">
        <w:t xml:space="preserve">. However, </w:t>
      </w:r>
      <w:r w:rsidR="001F60EA">
        <w:t>as noted in</w:t>
      </w:r>
      <w:r w:rsidR="001F60EA" w:rsidRPr="0018249E">
        <w:t xml:space="preserve"> Camacho-Chacon (</w:t>
      </w:r>
      <w:r w:rsidR="001F60EA" w:rsidRPr="0018249E" w:rsidDel="00E56C57">
        <w:t>2023</w:t>
      </w:r>
      <w:r w:rsidR="001F60EA" w:rsidRPr="0018249E">
        <w:t>)</w:t>
      </w:r>
      <w:r w:rsidR="001F60EA">
        <w:t xml:space="preserve"> (</w:t>
      </w:r>
      <w:r w:rsidR="00F25D39">
        <w:fldChar w:fldCharType="begin"/>
      </w:r>
      <w:r w:rsidR="00F25D39">
        <w:instrText xml:space="preserve"> REF _Ref214891797 \h </w:instrText>
      </w:r>
      <w:r w:rsidR="00F25D39">
        <w:fldChar w:fldCharType="separate"/>
      </w:r>
      <w:r w:rsidR="00F25D39">
        <w:t xml:space="preserve">Table </w:t>
      </w:r>
      <w:r w:rsidR="00F25D39">
        <w:rPr>
          <w:noProof/>
        </w:rPr>
        <w:t>8</w:t>
      </w:r>
      <w:r w:rsidR="00F25D39">
        <w:fldChar w:fldCharType="end"/>
      </w:r>
      <w:r w:rsidR="001F60EA">
        <w:fldChar w:fldCharType="begin"/>
      </w:r>
      <w:r w:rsidR="001F60EA">
        <w:instrText xml:space="preserve"> REF _Ref195051055 \h </w:instrText>
      </w:r>
      <w:r w:rsidR="001F60EA">
        <w:fldChar w:fldCharType="separate"/>
      </w:r>
      <w:r w:rsidR="001F60EA">
        <w:fldChar w:fldCharType="end"/>
      </w:r>
      <w:r w:rsidR="001F60EA">
        <w:t xml:space="preserve">), </w:t>
      </w:r>
      <w:r w:rsidR="001710DB">
        <w:t xml:space="preserve">there was </w:t>
      </w:r>
      <w:r w:rsidR="00256AFD">
        <w:t xml:space="preserve">a </w:t>
      </w:r>
      <w:r w:rsidR="001710DB">
        <w:t>s</w:t>
      </w:r>
      <w:r w:rsidR="00256AFD">
        <w:t xml:space="preserve">tatistically significant difference </w:t>
      </w:r>
      <w:r w:rsidR="000C2B3F">
        <w:t xml:space="preserve">in </w:t>
      </w:r>
      <w:r w:rsidR="008A3897">
        <w:t>p</w:t>
      </w:r>
      <w:r w:rsidR="000C2B3F">
        <w:t xml:space="preserve">ain </w:t>
      </w:r>
      <w:r w:rsidR="00256AFD">
        <w:t xml:space="preserve">at </w:t>
      </w:r>
      <w:r w:rsidR="001B0A58">
        <w:t>6</w:t>
      </w:r>
      <w:r w:rsidR="000C2B3F">
        <w:t xml:space="preserve"> and </w:t>
      </w:r>
      <w:r w:rsidR="001B0A58">
        <w:t xml:space="preserve">12 months, but not 24 months. There </w:t>
      </w:r>
      <w:r w:rsidR="00AA6B76">
        <w:t xml:space="preserve">was a statistically significant difference in </w:t>
      </w:r>
      <w:r w:rsidR="000C2B3F">
        <w:t xml:space="preserve">satisfaction </w:t>
      </w:r>
      <w:r w:rsidR="00AA6B76">
        <w:t>at 12 and 24 months</w:t>
      </w:r>
      <w:r w:rsidR="001F60EA">
        <w:t>.</w:t>
      </w:r>
    </w:p>
    <w:p w14:paraId="0BEC5D3A" w14:textId="4F56AF06" w:rsidR="00FC31E3" w:rsidRDefault="00E9267D" w:rsidP="00E9267D">
      <w:pPr>
        <w:pStyle w:val="Caption"/>
      </w:pPr>
      <w:bookmarkStart w:id="33" w:name="_Ref214891797"/>
      <w:r>
        <w:t xml:space="preserve">Table </w:t>
      </w:r>
      <w:r>
        <w:fldChar w:fldCharType="begin"/>
      </w:r>
      <w:r>
        <w:instrText xml:space="preserve"> SEQ Table \* ARABIC </w:instrText>
      </w:r>
      <w:r>
        <w:fldChar w:fldCharType="separate"/>
      </w:r>
      <w:r w:rsidR="00564C3F">
        <w:rPr>
          <w:noProof/>
        </w:rPr>
        <w:t>8</w:t>
      </w:r>
      <w:r>
        <w:fldChar w:fldCharType="end"/>
      </w:r>
      <w:bookmarkEnd w:id="33"/>
      <w:r>
        <w:tab/>
      </w:r>
      <w:r w:rsidR="00FC31E3" w:rsidRPr="00870FF0">
        <w:t xml:space="preserve">Comparative efficacy results of </w:t>
      </w:r>
      <w:r w:rsidR="00A31687">
        <w:t>BCI</w:t>
      </w:r>
      <w:r w:rsidR="009D39F1">
        <w:t xml:space="preserve"> </w:t>
      </w:r>
      <w:r w:rsidR="009D39F1" w:rsidRPr="002A4A3B">
        <w:t>vs.</w:t>
      </w:r>
      <w:r w:rsidR="00FC31E3" w:rsidRPr="00870FF0">
        <w:t xml:space="preserve"> </w:t>
      </w:r>
      <w:r w:rsidR="00ED54EE" w:rsidRPr="001335A4">
        <w:rPr>
          <w:rFonts w:cstheme="minorHAnsi"/>
          <w:color w:val="000000"/>
          <w:lang w:eastAsia="en-AU"/>
        </w:rPr>
        <w:t>SSR</w:t>
      </w:r>
      <w:r w:rsidR="00ED54EE" w:rsidRPr="00870FF0">
        <w:t xml:space="preserve"> </w:t>
      </w:r>
      <w:r w:rsidR="00FC31E3" w:rsidRPr="00870FF0">
        <w:t>in Camacho</w:t>
      </w:r>
      <w:r w:rsidR="00FC31E3" w:rsidRPr="001335A4">
        <w:rPr>
          <w:rFonts w:cstheme="minorHAnsi"/>
          <w:color w:val="000000"/>
          <w:lang w:val="es-CO" w:eastAsia="en-AU"/>
        </w:rPr>
        <w:t>-</w:t>
      </w:r>
      <w:proofErr w:type="spellStart"/>
      <w:r w:rsidR="0018249E" w:rsidRPr="001335A4">
        <w:rPr>
          <w:rFonts w:cstheme="minorHAnsi"/>
          <w:color w:val="000000"/>
          <w:lang w:val="es-CO" w:eastAsia="en-AU"/>
        </w:rPr>
        <w:t>Chacon</w:t>
      </w:r>
      <w:proofErr w:type="spellEnd"/>
      <w:r w:rsidR="0018249E" w:rsidRPr="001335A4">
        <w:rPr>
          <w:rFonts w:cstheme="minorHAnsi"/>
          <w:color w:val="000000"/>
          <w:lang w:val="es-CO" w:eastAsia="en-AU"/>
        </w:rPr>
        <w:t xml:space="preserve"> </w:t>
      </w:r>
      <w:r w:rsidR="0018249E">
        <w:rPr>
          <w:rFonts w:asciiTheme="minorHAnsi" w:hAnsiTheme="minorHAnsi" w:cstheme="minorHAnsi"/>
          <w:b w:val="0"/>
          <w:bCs w:val="0"/>
          <w:color w:val="000000"/>
          <w:lang w:val="es-CO" w:eastAsia="en-AU"/>
        </w:rPr>
        <w:t>(</w:t>
      </w:r>
      <w:r w:rsidR="00FC31E3" w:rsidRPr="00870FF0" w:rsidDel="00E56C57">
        <w:t>202</w:t>
      </w:r>
      <w:r w:rsidR="00FC31E3">
        <w:t>3</w:t>
      </w:r>
      <w:r w:rsidR="00FC31E3" w:rsidRPr="00870FF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008"/>
        <w:gridCol w:w="1417"/>
        <w:gridCol w:w="1417"/>
        <w:gridCol w:w="1417"/>
        <w:gridCol w:w="1540"/>
      </w:tblGrid>
      <w:tr w:rsidR="002A53F7" w:rsidRPr="0062012F" w14:paraId="240E6E9F" w14:textId="77777777" w:rsidTr="00DE3A3B">
        <w:trPr>
          <w:trHeight w:val="296"/>
          <w:tblHeader/>
        </w:trPr>
        <w:tc>
          <w:tcPr>
            <w:tcW w:w="1229" w:type="pct"/>
            <w:vMerge w:val="restart"/>
            <w:shd w:val="clear" w:color="000000" w:fill="E7E6E6"/>
            <w:noWrap/>
            <w:vAlign w:val="bottom"/>
            <w:hideMark/>
          </w:tcPr>
          <w:p w14:paraId="31A26C0B" w14:textId="77777777" w:rsidR="002A53F7" w:rsidRPr="0062012F" w:rsidRDefault="002A53F7">
            <w:pPr>
              <w:spacing w:before="0" w:after="0" w:line="240" w:lineRule="auto"/>
              <w:jc w:val="center"/>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 </w:t>
            </w:r>
          </w:p>
        </w:tc>
        <w:tc>
          <w:tcPr>
            <w:tcW w:w="3771" w:type="pct"/>
            <w:gridSpan w:val="5"/>
            <w:shd w:val="clear" w:color="000000" w:fill="E7E6E6"/>
            <w:noWrap/>
            <w:vAlign w:val="bottom"/>
            <w:hideMark/>
          </w:tcPr>
          <w:p w14:paraId="3F17BE15" w14:textId="675AD174" w:rsidR="002A53F7" w:rsidRPr="0062012F" w:rsidRDefault="002A53F7">
            <w:pPr>
              <w:spacing w:before="0" w:after="0" w:line="240" w:lineRule="auto"/>
              <w:jc w:val="center"/>
              <w:rPr>
                <w:rFonts w:ascii="Arial Narrow" w:eastAsia="Times New Roman" w:hAnsi="Arial Narrow" w:cstheme="minorHAnsi"/>
                <w:b/>
                <w:bCs/>
                <w:color w:val="000000"/>
                <w:sz w:val="20"/>
                <w:szCs w:val="20"/>
                <w:lang w:val="es-CO" w:eastAsia="en-AU"/>
              </w:rPr>
            </w:pPr>
            <w:r w:rsidRPr="0062012F">
              <w:rPr>
                <w:rFonts w:ascii="Arial Narrow" w:eastAsia="Times New Roman" w:hAnsi="Arial Narrow" w:cstheme="minorHAnsi"/>
                <w:b/>
                <w:bCs/>
                <w:color w:val="000000"/>
                <w:sz w:val="20"/>
                <w:szCs w:val="20"/>
                <w:lang w:val="es-CO" w:eastAsia="en-AU"/>
              </w:rPr>
              <w:t>Camacho-</w:t>
            </w:r>
            <w:proofErr w:type="spellStart"/>
            <w:proofErr w:type="gramStart"/>
            <w:r w:rsidRPr="0062012F">
              <w:rPr>
                <w:rFonts w:ascii="Arial Narrow" w:eastAsia="Times New Roman" w:hAnsi="Arial Narrow" w:cstheme="minorHAnsi"/>
                <w:b/>
                <w:bCs/>
                <w:color w:val="000000"/>
                <w:sz w:val="20"/>
                <w:szCs w:val="20"/>
                <w:lang w:val="es-CO" w:eastAsia="en-AU"/>
              </w:rPr>
              <w:t>Chacon</w:t>
            </w:r>
            <w:proofErr w:type="spellEnd"/>
            <w:r w:rsidRPr="0062012F">
              <w:rPr>
                <w:rFonts w:ascii="Arial Narrow" w:eastAsia="Times New Roman" w:hAnsi="Arial Narrow" w:cstheme="minorHAnsi"/>
                <w:b/>
                <w:bCs/>
                <w:color w:val="000000"/>
                <w:sz w:val="20"/>
                <w:szCs w:val="20"/>
                <w:lang w:val="es-CO" w:eastAsia="en-AU"/>
              </w:rPr>
              <w:t xml:space="preserve"> </w:t>
            </w:r>
            <w:r w:rsidR="00FC31E3" w:rsidRPr="0062012F">
              <w:rPr>
                <w:rFonts w:ascii="Arial Narrow" w:eastAsia="Times New Roman" w:hAnsi="Arial Narrow" w:cstheme="minorHAnsi"/>
                <w:b/>
                <w:bCs/>
                <w:color w:val="000000"/>
                <w:sz w:val="20"/>
                <w:szCs w:val="20"/>
                <w:lang w:val="es-CO" w:eastAsia="en-AU"/>
              </w:rPr>
              <w:t xml:space="preserve"> (</w:t>
            </w:r>
            <w:proofErr w:type="gramEnd"/>
            <w:r w:rsidR="00FC31E3" w:rsidRPr="0062012F">
              <w:rPr>
                <w:rFonts w:ascii="Arial Narrow" w:eastAsia="Times New Roman" w:hAnsi="Arial Narrow" w:cstheme="minorHAnsi"/>
                <w:b/>
                <w:bCs/>
                <w:color w:val="000000"/>
                <w:sz w:val="20"/>
                <w:szCs w:val="20"/>
                <w:lang w:val="es-CO" w:eastAsia="en-AU"/>
              </w:rPr>
              <w:t>N=60)</w:t>
            </w:r>
          </w:p>
        </w:tc>
      </w:tr>
      <w:tr w:rsidR="002A53F7" w:rsidRPr="0062012F" w14:paraId="0AA9B516" w14:textId="77777777" w:rsidTr="00DE3A3B">
        <w:trPr>
          <w:trHeight w:val="296"/>
          <w:tblHeader/>
        </w:trPr>
        <w:tc>
          <w:tcPr>
            <w:tcW w:w="1229" w:type="pct"/>
            <w:vMerge/>
            <w:vAlign w:val="center"/>
            <w:hideMark/>
          </w:tcPr>
          <w:p w14:paraId="58B67CDD" w14:textId="77777777" w:rsidR="002A53F7" w:rsidRPr="0062012F" w:rsidRDefault="002A53F7">
            <w:pPr>
              <w:spacing w:before="0" w:after="0" w:line="240" w:lineRule="auto"/>
              <w:rPr>
                <w:rFonts w:ascii="Arial Narrow" w:eastAsia="Times New Roman" w:hAnsi="Arial Narrow" w:cstheme="minorHAnsi"/>
                <w:color w:val="000000"/>
                <w:sz w:val="20"/>
                <w:szCs w:val="20"/>
                <w:lang w:eastAsia="en-AU"/>
              </w:rPr>
            </w:pPr>
          </w:p>
        </w:tc>
        <w:tc>
          <w:tcPr>
            <w:tcW w:w="1345" w:type="pct"/>
            <w:gridSpan w:val="2"/>
            <w:shd w:val="clear" w:color="000000" w:fill="E7E6E6"/>
            <w:vAlign w:val="center"/>
            <w:hideMark/>
          </w:tcPr>
          <w:p w14:paraId="6BE0FF7A" w14:textId="77777777" w:rsidR="002A53F7" w:rsidRPr="0062012F" w:rsidRDefault="002A53F7">
            <w:pPr>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de-DE"/>
              </w:rPr>
              <w:t>Baseline</w:t>
            </w:r>
          </w:p>
        </w:tc>
        <w:tc>
          <w:tcPr>
            <w:tcW w:w="786" w:type="pct"/>
            <w:shd w:val="clear" w:color="000000" w:fill="E7E6E6"/>
            <w:vAlign w:val="center"/>
            <w:hideMark/>
          </w:tcPr>
          <w:p w14:paraId="31B5D951" w14:textId="77777777" w:rsidR="002A53F7" w:rsidRPr="0062012F" w:rsidRDefault="002A53F7">
            <w:pPr>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6M</w:t>
            </w:r>
          </w:p>
        </w:tc>
        <w:tc>
          <w:tcPr>
            <w:tcW w:w="786" w:type="pct"/>
            <w:shd w:val="clear" w:color="000000" w:fill="E7E6E6"/>
            <w:vAlign w:val="center"/>
            <w:hideMark/>
          </w:tcPr>
          <w:p w14:paraId="285EC4C8" w14:textId="77777777" w:rsidR="002A53F7" w:rsidRPr="0062012F" w:rsidRDefault="002A53F7">
            <w:pPr>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12M</w:t>
            </w:r>
          </w:p>
        </w:tc>
        <w:tc>
          <w:tcPr>
            <w:tcW w:w="854" w:type="pct"/>
            <w:shd w:val="clear" w:color="000000" w:fill="E7E6E6"/>
            <w:vAlign w:val="center"/>
            <w:hideMark/>
          </w:tcPr>
          <w:p w14:paraId="56AFE3A7" w14:textId="77777777" w:rsidR="002A53F7" w:rsidRPr="0062012F" w:rsidRDefault="002A53F7">
            <w:pPr>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24M</w:t>
            </w:r>
          </w:p>
        </w:tc>
      </w:tr>
      <w:tr w:rsidR="00150C2C" w:rsidRPr="0062012F" w14:paraId="6457C3BF" w14:textId="77777777" w:rsidTr="00DE3A3B">
        <w:trPr>
          <w:trHeight w:val="296"/>
        </w:trPr>
        <w:tc>
          <w:tcPr>
            <w:tcW w:w="1229" w:type="pct"/>
            <w:vMerge w:val="restart"/>
            <w:shd w:val="clear" w:color="000000" w:fill="E7E6E6"/>
            <w:vAlign w:val="center"/>
            <w:hideMark/>
          </w:tcPr>
          <w:p w14:paraId="32E5EC3E" w14:textId="5D8D636A" w:rsidR="00150C2C" w:rsidRPr="0062012F" w:rsidRDefault="00150C2C" w:rsidP="00150C2C">
            <w:pPr>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VAS</w:t>
            </w:r>
            <w:r w:rsidR="0092726A" w:rsidRPr="0062012F">
              <w:rPr>
                <w:rFonts w:ascii="Arial Narrow" w:eastAsia="Times New Roman" w:hAnsi="Arial Narrow" w:cstheme="minorHAnsi"/>
                <w:b/>
                <w:bCs/>
                <w:color w:val="000000"/>
                <w:sz w:val="20"/>
                <w:szCs w:val="20"/>
                <w:lang w:eastAsia="en-AU"/>
              </w:rPr>
              <w:t xml:space="preserve"> </w:t>
            </w:r>
            <w:r w:rsidR="000C2B3F" w:rsidRPr="0062012F">
              <w:rPr>
                <w:rFonts w:ascii="Arial Narrow" w:eastAsia="Calibri" w:hAnsi="Arial Narrow" w:cs="Calibri"/>
                <w:b/>
                <w:bCs/>
                <w:sz w:val="20"/>
                <w:szCs w:val="20"/>
              </w:rPr>
              <w:t>Pain</w:t>
            </w:r>
            <w:r w:rsidR="000C2B3F" w:rsidRPr="0062012F">
              <w:rPr>
                <w:rFonts w:ascii="Arial Narrow" w:eastAsia="Times New Roman" w:hAnsi="Arial Narrow" w:cstheme="minorHAnsi"/>
                <w:b/>
                <w:bCs/>
                <w:color w:val="000000"/>
                <w:sz w:val="20"/>
                <w:szCs w:val="20"/>
                <w:lang w:eastAsia="en-AU"/>
              </w:rPr>
              <w:t xml:space="preserve"> </w:t>
            </w:r>
            <w:r w:rsidR="0092726A" w:rsidRPr="0062012F">
              <w:rPr>
                <w:rFonts w:ascii="Arial Narrow" w:eastAsia="Times New Roman" w:hAnsi="Arial Narrow" w:cstheme="minorHAnsi"/>
                <w:b/>
                <w:bCs/>
                <w:color w:val="000000"/>
                <w:sz w:val="20"/>
                <w:szCs w:val="20"/>
                <w:lang w:eastAsia="en-AU"/>
              </w:rPr>
              <w:t>(SD)</w:t>
            </w:r>
          </w:p>
        </w:tc>
        <w:tc>
          <w:tcPr>
            <w:tcW w:w="559" w:type="pct"/>
            <w:noWrap/>
            <w:vAlign w:val="bottom"/>
            <w:hideMark/>
          </w:tcPr>
          <w:p w14:paraId="39A4CC35" w14:textId="1BF18A6B" w:rsidR="00150C2C" w:rsidRPr="0062012F" w:rsidRDefault="00D221A8" w:rsidP="00150C2C">
            <w:pPr>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BCI</w:t>
            </w:r>
          </w:p>
        </w:tc>
        <w:tc>
          <w:tcPr>
            <w:tcW w:w="786" w:type="pct"/>
            <w:vAlign w:val="center"/>
            <w:hideMark/>
          </w:tcPr>
          <w:p w14:paraId="023AE440" w14:textId="248E4E4E" w:rsidR="00150C2C" w:rsidRPr="0062012F" w:rsidRDefault="00150C2C" w:rsidP="00150C2C">
            <w:pPr>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7.0 (1.0)</w:t>
            </w:r>
          </w:p>
        </w:tc>
        <w:tc>
          <w:tcPr>
            <w:tcW w:w="786" w:type="pct"/>
            <w:vAlign w:val="center"/>
            <w:hideMark/>
          </w:tcPr>
          <w:p w14:paraId="28531A4F" w14:textId="4B7AFC81" w:rsidR="00150C2C" w:rsidRPr="0062012F" w:rsidRDefault="00150C2C" w:rsidP="00150C2C">
            <w:pPr>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0.0 (0.0)</w:t>
            </w:r>
          </w:p>
        </w:tc>
        <w:tc>
          <w:tcPr>
            <w:tcW w:w="786" w:type="pct"/>
            <w:vAlign w:val="center"/>
            <w:hideMark/>
          </w:tcPr>
          <w:p w14:paraId="1724FEE1" w14:textId="4835CB2D" w:rsidR="00150C2C" w:rsidRPr="0062012F" w:rsidRDefault="00150C2C" w:rsidP="00150C2C">
            <w:pPr>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0.0 (0.0)</w:t>
            </w:r>
          </w:p>
        </w:tc>
        <w:tc>
          <w:tcPr>
            <w:tcW w:w="854" w:type="pct"/>
            <w:vAlign w:val="center"/>
            <w:hideMark/>
          </w:tcPr>
          <w:p w14:paraId="0152AE5F" w14:textId="77E828C7" w:rsidR="00150C2C" w:rsidRPr="0062012F" w:rsidRDefault="00150C2C" w:rsidP="00150C2C">
            <w:pPr>
              <w:spacing w:before="0" w:after="0" w:line="240" w:lineRule="auto"/>
              <w:jc w:val="center"/>
              <w:rPr>
                <w:rFonts w:ascii="Arial Narrow" w:eastAsia="Times New Roman" w:hAnsi="Arial Narrow" w:cstheme="minorHAnsi"/>
                <w:sz w:val="20"/>
                <w:szCs w:val="20"/>
                <w:lang w:eastAsia="en-AU"/>
              </w:rPr>
            </w:pPr>
            <w:r w:rsidRPr="0062012F">
              <w:rPr>
                <w:rFonts w:ascii="Arial Narrow" w:eastAsia="Times New Roman" w:hAnsi="Arial Narrow" w:cstheme="minorHAnsi"/>
                <w:sz w:val="20"/>
                <w:szCs w:val="20"/>
                <w:lang w:eastAsia="en-AU"/>
              </w:rPr>
              <w:t>0.0 (0.0)</w:t>
            </w:r>
          </w:p>
        </w:tc>
      </w:tr>
      <w:tr w:rsidR="00150C2C" w:rsidRPr="0062012F" w14:paraId="2EAD7ACB" w14:textId="77777777" w:rsidTr="00DE3A3B">
        <w:trPr>
          <w:trHeight w:val="296"/>
        </w:trPr>
        <w:tc>
          <w:tcPr>
            <w:tcW w:w="1229" w:type="pct"/>
            <w:vMerge/>
            <w:vAlign w:val="center"/>
            <w:hideMark/>
          </w:tcPr>
          <w:p w14:paraId="15FD6FC6" w14:textId="77777777" w:rsidR="00150C2C" w:rsidRPr="0062012F" w:rsidRDefault="00150C2C" w:rsidP="00150C2C">
            <w:pPr>
              <w:spacing w:before="0" w:after="0" w:line="240" w:lineRule="auto"/>
              <w:jc w:val="center"/>
              <w:rPr>
                <w:rFonts w:ascii="Arial Narrow" w:eastAsia="Times New Roman" w:hAnsi="Arial Narrow" w:cstheme="minorHAnsi"/>
                <w:b/>
                <w:bCs/>
                <w:color w:val="000000"/>
                <w:sz w:val="20"/>
                <w:szCs w:val="20"/>
                <w:lang w:eastAsia="en-AU"/>
              </w:rPr>
            </w:pPr>
          </w:p>
        </w:tc>
        <w:tc>
          <w:tcPr>
            <w:tcW w:w="559" w:type="pct"/>
            <w:noWrap/>
            <w:vAlign w:val="bottom"/>
            <w:hideMark/>
          </w:tcPr>
          <w:p w14:paraId="36B5BC4C" w14:textId="317DD3C2" w:rsidR="00150C2C" w:rsidRPr="0062012F" w:rsidRDefault="00150C2C" w:rsidP="00150C2C">
            <w:pPr>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SSR</w:t>
            </w:r>
          </w:p>
        </w:tc>
        <w:tc>
          <w:tcPr>
            <w:tcW w:w="786" w:type="pct"/>
            <w:vAlign w:val="center"/>
            <w:hideMark/>
          </w:tcPr>
          <w:p w14:paraId="75058061" w14:textId="025EC282" w:rsidR="00150C2C" w:rsidRPr="0062012F" w:rsidRDefault="00150C2C" w:rsidP="00150C2C">
            <w:pPr>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6.5 (1.0)</w:t>
            </w:r>
          </w:p>
        </w:tc>
        <w:tc>
          <w:tcPr>
            <w:tcW w:w="786" w:type="pct"/>
            <w:vAlign w:val="center"/>
            <w:hideMark/>
          </w:tcPr>
          <w:p w14:paraId="6F1B0218" w14:textId="0858A33C" w:rsidR="00150C2C" w:rsidRPr="0062012F" w:rsidRDefault="00150C2C" w:rsidP="00150C2C">
            <w:pPr>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1.0 (1.0)</w:t>
            </w:r>
          </w:p>
        </w:tc>
        <w:tc>
          <w:tcPr>
            <w:tcW w:w="786" w:type="pct"/>
            <w:vAlign w:val="center"/>
            <w:hideMark/>
          </w:tcPr>
          <w:p w14:paraId="7A2C5278" w14:textId="52C06499" w:rsidR="00150C2C" w:rsidRPr="0062012F" w:rsidRDefault="00150C2C" w:rsidP="00150C2C">
            <w:pPr>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1.0 (1.0)</w:t>
            </w:r>
          </w:p>
        </w:tc>
        <w:tc>
          <w:tcPr>
            <w:tcW w:w="854" w:type="pct"/>
            <w:vAlign w:val="center"/>
            <w:hideMark/>
          </w:tcPr>
          <w:p w14:paraId="1164BA43" w14:textId="678BAEA3" w:rsidR="00150C2C" w:rsidRPr="0062012F" w:rsidRDefault="00150C2C" w:rsidP="00150C2C">
            <w:pPr>
              <w:spacing w:before="0" w:after="0" w:line="240" w:lineRule="auto"/>
              <w:jc w:val="center"/>
              <w:rPr>
                <w:rFonts w:ascii="Arial Narrow" w:eastAsia="Times New Roman" w:hAnsi="Arial Narrow" w:cstheme="minorHAnsi"/>
                <w:sz w:val="20"/>
                <w:szCs w:val="20"/>
                <w:lang w:eastAsia="en-AU"/>
              </w:rPr>
            </w:pPr>
            <w:r w:rsidRPr="0062012F">
              <w:rPr>
                <w:rFonts w:ascii="Arial Narrow" w:eastAsia="Calibri" w:hAnsi="Arial Narrow" w:cstheme="minorHAnsi"/>
                <w:sz w:val="20"/>
                <w:szCs w:val="20"/>
                <w:lang w:eastAsia="en-AU"/>
              </w:rPr>
              <w:t>0.0 (0.0)</w:t>
            </w:r>
          </w:p>
        </w:tc>
      </w:tr>
      <w:tr w:rsidR="00150C2C" w:rsidRPr="0062012F" w14:paraId="50E30EB6" w14:textId="77777777" w:rsidTr="00DE3A3B">
        <w:trPr>
          <w:trHeight w:val="296"/>
        </w:trPr>
        <w:tc>
          <w:tcPr>
            <w:tcW w:w="1229" w:type="pct"/>
            <w:vMerge/>
            <w:vAlign w:val="center"/>
          </w:tcPr>
          <w:p w14:paraId="081779F6" w14:textId="77777777" w:rsidR="00150C2C" w:rsidRPr="0062012F" w:rsidRDefault="00150C2C" w:rsidP="00150C2C">
            <w:pPr>
              <w:spacing w:before="0" w:after="0" w:line="240" w:lineRule="auto"/>
              <w:jc w:val="center"/>
              <w:rPr>
                <w:rFonts w:ascii="Arial Narrow" w:eastAsia="Times New Roman" w:hAnsi="Arial Narrow" w:cstheme="minorHAnsi"/>
                <w:b/>
                <w:bCs/>
                <w:color w:val="000000"/>
                <w:sz w:val="20"/>
                <w:szCs w:val="20"/>
                <w:lang w:eastAsia="en-AU"/>
              </w:rPr>
            </w:pPr>
          </w:p>
        </w:tc>
        <w:tc>
          <w:tcPr>
            <w:tcW w:w="559" w:type="pct"/>
            <w:shd w:val="clear" w:color="000000" w:fill="E7E6E6"/>
            <w:noWrap/>
            <w:vAlign w:val="bottom"/>
          </w:tcPr>
          <w:p w14:paraId="07AE9A14" w14:textId="477CED1B" w:rsidR="00150C2C" w:rsidRPr="0062012F" w:rsidRDefault="00150C2C" w:rsidP="00150C2C">
            <w:pPr>
              <w:spacing w:before="0" w:after="0" w:line="240" w:lineRule="auto"/>
              <w:rPr>
                <w:rFonts w:ascii="Arial Narrow" w:eastAsia="Times New Roman" w:hAnsi="Arial Narrow" w:cstheme="minorHAnsi"/>
                <w:color w:val="000000"/>
                <w:sz w:val="20"/>
                <w:szCs w:val="20"/>
                <w:lang w:eastAsia="en-AU"/>
              </w:rPr>
            </w:pPr>
            <w:proofErr w:type="spellStart"/>
            <w:r w:rsidRPr="0062012F">
              <w:rPr>
                <w:rFonts w:ascii="Arial Narrow" w:eastAsia="Times New Roman" w:hAnsi="Arial Narrow" w:cstheme="minorHAnsi"/>
                <w:color w:val="000000"/>
                <w:sz w:val="20"/>
                <w:szCs w:val="20"/>
                <w:lang w:eastAsia="en-AU"/>
              </w:rPr>
              <w:t>Dif</w:t>
            </w:r>
            <w:proofErr w:type="spellEnd"/>
          </w:p>
        </w:tc>
        <w:tc>
          <w:tcPr>
            <w:tcW w:w="786" w:type="pct"/>
            <w:vAlign w:val="center"/>
          </w:tcPr>
          <w:p w14:paraId="50599E39" w14:textId="77777777" w:rsidR="00150C2C" w:rsidRPr="0062012F" w:rsidRDefault="00150C2C" w:rsidP="00150C2C">
            <w:pPr>
              <w:spacing w:before="0" w:after="0" w:line="240" w:lineRule="auto"/>
              <w:jc w:val="center"/>
              <w:rPr>
                <w:rFonts w:ascii="Arial Narrow" w:eastAsia="Calibri" w:hAnsi="Arial Narrow" w:cstheme="minorHAnsi"/>
                <w:sz w:val="20"/>
                <w:szCs w:val="20"/>
                <w:lang w:eastAsia="en-AU"/>
              </w:rPr>
            </w:pPr>
          </w:p>
        </w:tc>
        <w:tc>
          <w:tcPr>
            <w:tcW w:w="786" w:type="pct"/>
            <w:vAlign w:val="center"/>
          </w:tcPr>
          <w:p w14:paraId="1917C9F3" w14:textId="0C12204A" w:rsidR="00150C2C" w:rsidRPr="0062012F" w:rsidRDefault="00150C2C" w:rsidP="00150C2C">
            <w:pPr>
              <w:spacing w:before="0" w:after="0" w:line="240" w:lineRule="auto"/>
              <w:jc w:val="center"/>
              <w:rPr>
                <w:rFonts w:ascii="Arial Narrow" w:eastAsia="Calibri" w:hAnsi="Arial Narrow" w:cstheme="minorHAnsi"/>
                <w:b/>
                <w:bCs/>
                <w:sz w:val="20"/>
                <w:szCs w:val="20"/>
                <w:lang w:eastAsia="en-AU"/>
              </w:rPr>
            </w:pPr>
            <w:r w:rsidRPr="0062012F">
              <w:rPr>
                <w:rFonts w:ascii="Arial Narrow" w:eastAsia="Calibri" w:hAnsi="Arial Narrow" w:cstheme="minorHAnsi"/>
                <w:b/>
                <w:bCs/>
                <w:sz w:val="20"/>
                <w:szCs w:val="20"/>
                <w:lang w:eastAsia="en-AU"/>
              </w:rPr>
              <w:t>&lt;0.0001</w:t>
            </w:r>
          </w:p>
        </w:tc>
        <w:tc>
          <w:tcPr>
            <w:tcW w:w="786" w:type="pct"/>
            <w:vAlign w:val="center"/>
          </w:tcPr>
          <w:p w14:paraId="40AB2F91" w14:textId="38061837" w:rsidR="00150C2C" w:rsidRPr="0062012F" w:rsidRDefault="00150C2C" w:rsidP="00150C2C">
            <w:pPr>
              <w:spacing w:before="0" w:after="0" w:line="240" w:lineRule="auto"/>
              <w:jc w:val="center"/>
              <w:rPr>
                <w:rFonts w:ascii="Arial Narrow" w:eastAsia="Calibri" w:hAnsi="Arial Narrow" w:cstheme="minorHAnsi"/>
                <w:b/>
                <w:bCs/>
                <w:sz w:val="20"/>
                <w:szCs w:val="20"/>
                <w:lang w:eastAsia="en-AU"/>
              </w:rPr>
            </w:pPr>
            <w:r w:rsidRPr="0062012F">
              <w:rPr>
                <w:rFonts w:ascii="Arial Narrow" w:eastAsia="Calibri" w:hAnsi="Arial Narrow" w:cstheme="minorHAnsi"/>
                <w:b/>
                <w:bCs/>
                <w:sz w:val="20"/>
                <w:szCs w:val="20"/>
                <w:lang w:eastAsia="en-AU"/>
              </w:rPr>
              <w:t>0.0003</w:t>
            </w:r>
          </w:p>
        </w:tc>
        <w:tc>
          <w:tcPr>
            <w:tcW w:w="854" w:type="pct"/>
            <w:vAlign w:val="center"/>
          </w:tcPr>
          <w:p w14:paraId="024CA1AD" w14:textId="364F47D2" w:rsidR="00150C2C" w:rsidRPr="0062012F" w:rsidRDefault="00150C2C" w:rsidP="00150C2C">
            <w:pPr>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sz w:val="20"/>
                <w:szCs w:val="20"/>
                <w:lang w:eastAsia="en-AU"/>
              </w:rPr>
              <w:t>0.1346</w:t>
            </w:r>
          </w:p>
        </w:tc>
      </w:tr>
      <w:tr w:rsidR="001335A4" w:rsidRPr="0062012F" w14:paraId="7CBA5638" w14:textId="77777777" w:rsidTr="00DE3A3B">
        <w:trPr>
          <w:trHeight w:val="296"/>
        </w:trPr>
        <w:tc>
          <w:tcPr>
            <w:tcW w:w="1229" w:type="pct"/>
            <w:vMerge w:val="restart"/>
            <w:vAlign w:val="center"/>
          </w:tcPr>
          <w:p w14:paraId="504C8407" w14:textId="77777777" w:rsidR="001335A4" w:rsidRPr="0062012F" w:rsidRDefault="001335A4" w:rsidP="001335A4">
            <w:pPr>
              <w:spacing w:before="0" w:after="0" w:line="240" w:lineRule="auto"/>
              <w:jc w:val="center"/>
              <w:rPr>
                <w:rFonts w:ascii="Arial Narrow" w:eastAsia="Times New Roman" w:hAnsi="Arial Narrow" w:cstheme="minorHAnsi"/>
                <w:b/>
                <w:bCs/>
                <w:sz w:val="20"/>
                <w:szCs w:val="20"/>
                <w:lang w:eastAsia="en-AU"/>
              </w:rPr>
            </w:pPr>
            <w:r w:rsidRPr="0062012F">
              <w:rPr>
                <w:rFonts w:ascii="Arial Narrow" w:eastAsia="Times New Roman" w:hAnsi="Arial Narrow" w:cstheme="minorHAnsi"/>
                <w:b/>
                <w:bCs/>
                <w:color w:val="000000"/>
                <w:sz w:val="20"/>
                <w:szCs w:val="20"/>
                <w:lang w:eastAsia="en-AU"/>
              </w:rPr>
              <w:t>S</w:t>
            </w:r>
            <w:r w:rsidRPr="0062012F">
              <w:rPr>
                <w:rFonts w:ascii="Arial Narrow" w:eastAsia="Times New Roman" w:hAnsi="Arial Narrow" w:cstheme="minorHAnsi"/>
                <w:b/>
                <w:bCs/>
                <w:sz w:val="20"/>
                <w:szCs w:val="20"/>
                <w:lang w:eastAsia="en-AU"/>
              </w:rPr>
              <w:t>atisfaction*</w:t>
            </w:r>
          </w:p>
          <w:p w14:paraId="2271E8EC" w14:textId="168F0082" w:rsidR="001335A4" w:rsidRPr="0062012F" w:rsidRDefault="001335A4" w:rsidP="001335A4">
            <w:pPr>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sz w:val="20"/>
                <w:szCs w:val="20"/>
                <w:lang w:eastAsia="en-AU"/>
              </w:rPr>
              <w:t>(N</w:t>
            </w:r>
            <w:r w:rsidR="0092726A" w:rsidRPr="0062012F">
              <w:rPr>
                <w:rFonts w:ascii="Arial Narrow" w:eastAsia="Times New Roman" w:hAnsi="Arial Narrow" w:cstheme="minorHAnsi"/>
                <w:b/>
                <w:bCs/>
                <w:sz w:val="20"/>
                <w:szCs w:val="20"/>
                <w:lang w:eastAsia="en-AU"/>
              </w:rPr>
              <w:t>eu</w:t>
            </w:r>
            <w:r w:rsidRPr="0062012F">
              <w:rPr>
                <w:rFonts w:ascii="Arial Narrow" w:eastAsia="Times New Roman" w:hAnsi="Arial Narrow" w:cstheme="minorHAnsi"/>
                <w:b/>
                <w:bCs/>
                <w:sz w:val="20"/>
                <w:szCs w:val="20"/>
                <w:lang w:eastAsia="en-AU"/>
              </w:rPr>
              <w:t>/S/VS)</w:t>
            </w:r>
          </w:p>
        </w:tc>
        <w:tc>
          <w:tcPr>
            <w:tcW w:w="559" w:type="pct"/>
            <w:noWrap/>
            <w:vAlign w:val="bottom"/>
          </w:tcPr>
          <w:p w14:paraId="07015A30" w14:textId="72306B8B" w:rsidR="001335A4" w:rsidRPr="0062012F" w:rsidRDefault="00D221A8" w:rsidP="001335A4">
            <w:pPr>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BCI</w:t>
            </w:r>
          </w:p>
        </w:tc>
        <w:tc>
          <w:tcPr>
            <w:tcW w:w="786" w:type="pct"/>
          </w:tcPr>
          <w:p w14:paraId="59ED9C9B" w14:textId="4161651F" w:rsidR="001335A4" w:rsidRPr="0062012F" w:rsidRDefault="001335A4" w:rsidP="001335A4">
            <w:pPr>
              <w:spacing w:before="0" w:after="0" w:line="240" w:lineRule="auto"/>
              <w:jc w:val="center"/>
              <w:rPr>
                <w:rFonts w:ascii="Arial Narrow" w:eastAsia="Calibri" w:hAnsi="Arial Narrow" w:cstheme="minorHAnsi"/>
                <w:sz w:val="20"/>
                <w:szCs w:val="20"/>
                <w:lang w:eastAsia="en-AU"/>
              </w:rPr>
            </w:pPr>
            <w:r w:rsidRPr="0062012F">
              <w:rPr>
                <w:rFonts w:ascii="Arial Narrow" w:hAnsi="Arial Narrow"/>
                <w:sz w:val="20"/>
                <w:szCs w:val="20"/>
              </w:rPr>
              <w:t>NR</w:t>
            </w:r>
          </w:p>
        </w:tc>
        <w:tc>
          <w:tcPr>
            <w:tcW w:w="786" w:type="pct"/>
          </w:tcPr>
          <w:p w14:paraId="0B9DD6DB" w14:textId="598D9610" w:rsidR="001335A4" w:rsidRPr="0062012F" w:rsidRDefault="001335A4" w:rsidP="001335A4">
            <w:pPr>
              <w:spacing w:before="0" w:after="0" w:line="240" w:lineRule="auto"/>
              <w:jc w:val="center"/>
              <w:rPr>
                <w:rFonts w:ascii="Arial Narrow" w:eastAsia="Calibri" w:hAnsi="Arial Narrow" w:cstheme="minorHAnsi"/>
                <w:b/>
                <w:bCs/>
                <w:sz w:val="20"/>
                <w:szCs w:val="20"/>
                <w:lang w:eastAsia="en-AU"/>
              </w:rPr>
            </w:pPr>
            <w:r w:rsidRPr="0062012F">
              <w:rPr>
                <w:rFonts w:ascii="Arial Narrow" w:hAnsi="Arial Narrow"/>
                <w:sz w:val="20"/>
                <w:szCs w:val="20"/>
              </w:rPr>
              <w:t>NR</w:t>
            </w:r>
          </w:p>
        </w:tc>
        <w:tc>
          <w:tcPr>
            <w:tcW w:w="786" w:type="pct"/>
            <w:vAlign w:val="center"/>
          </w:tcPr>
          <w:p w14:paraId="41483C4B" w14:textId="3FA43263" w:rsidR="001335A4" w:rsidRPr="0062012F" w:rsidRDefault="001335A4" w:rsidP="001335A4">
            <w:pPr>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sz w:val="20"/>
                <w:szCs w:val="20"/>
                <w:lang w:eastAsia="en-AU"/>
              </w:rPr>
              <w:t>0/3/27</w:t>
            </w:r>
          </w:p>
        </w:tc>
        <w:tc>
          <w:tcPr>
            <w:tcW w:w="854" w:type="pct"/>
            <w:vAlign w:val="center"/>
          </w:tcPr>
          <w:p w14:paraId="0B3DCD96" w14:textId="77777777" w:rsidR="001335A4" w:rsidRPr="0062012F" w:rsidRDefault="001335A4" w:rsidP="001335A4">
            <w:pPr>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sz w:val="20"/>
                <w:szCs w:val="20"/>
                <w:lang w:eastAsia="en-AU"/>
              </w:rPr>
              <w:t>0/3/27</w:t>
            </w:r>
          </w:p>
        </w:tc>
      </w:tr>
      <w:tr w:rsidR="001335A4" w:rsidRPr="0062012F" w14:paraId="30AE5326" w14:textId="77777777" w:rsidTr="00DE3A3B">
        <w:trPr>
          <w:trHeight w:val="296"/>
        </w:trPr>
        <w:tc>
          <w:tcPr>
            <w:tcW w:w="1229" w:type="pct"/>
            <w:vMerge/>
            <w:vAlign w:val="center"/>
          </w:tcPr>
          <w:p w14:paraId="138AA911" w14:textId="77777777" w:rsidR="001335A4" w:rsidRPr="0062012F" w:rsidRDefault="001335A4" w:rsidP="001335A4">
            <w:pPr>
              <w:spacing w:before="0" w:after="0" w:line="240" w:lineRule="auto"/>
              <w:jc w:val="center"/>
              <w:rPr>
                <w:rFonts w:ascii="Arial Narrow" w:eastAsia="Times New Roman" w:hAnsi="Arial Narrow" w:cstheme="minorHAnsi"/>
                <w:b/>
                <w:bCs/>
                <w:color w:val="000000"/>
                <w:sz w:val="20"/>
                <w:szCs w:val="20"/>
                <w:lang w:eastAsia="en-AU"/>
              </w:rPr>
            </w:pPr>
          </w:p>
        </w:tc>
        <w:tc>
          <w:tcPr>
            <w:tcW w:w="559" w:type="pct"/>
            <w:noWrap/>
            <w:vAlign w:val="bottom"/>
          </w:tcPr>
          <w:p w14:paraId="4984BB6E" w14:textId="072C2DC5" w:rsidR="001335A4" w:rsidRPr="0062012F" w:rsidRDefault="001335A4" w:rsidP="001335A4">
            <w:pPr>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SSR</w:t>
            </w:r>
          </w:p>
        </w:tc>
        <w:tc>
          <w:tcPr>
            <w:tcW w:w="786" w:type="pct"/>
          </w:tcPr>
          <w:p w14:paraId="04174507" w14:textId="22BF1691" w:rsidR="001335A4" w:rsidRPr="0062012F" w:rsidRDefault="001335A4" w:rsidP="001335A4">
            <w:pPr>
              <w:spacing w:before="0" w:after="0" w:line="240" w:lineRule="auto"/>
              <w:jc w:val="center"/>
              <w:rPr>
                <w:rFonts w:ascii="Arial Narrow" w:eastAsia="Calibri" w:hAnsi="Arial Narrow" w:cstheme="minorHAnsi"/>
                <w:sz w:val="20"/>
                <w:szCs w:val="20"/>
                <w:lang w:eastAsia="en-AU"/>
              </w:rPr>
            </w:pPr>
            <w:r w:rsidRPr="0062012F">
              <w:rPr>
                <w:rFonts w:ascii="Arial Narrow" w:hAnsi="Arial Narrow"/>
                <w:sz w:val="20"/>
                <w:szCs w:val="20"/>
              </w:rPr>
              <w:t>NR</w:t>
            </w:r>
          </w:p>
        </w:tc>
        <w:tc>
          <w:tcPr>
            <w:tcW w:w="786" w:type="pct"/>
          </w:tcPr>
          <w:p w14:paraId="0BBFDDC3" w14:textId="74460919" w:rsidR="001335A4" w:rsidRPr="0062012F" w:rsidRDefault="001335A4" w:rsidP="001335A4">
            <w:pPr>
              <w:spacing w:before="0" w:after="0" w:line="240" w:lineRule="auto"/>
              <w:jc w:val="center"/>
              <w:rPr>
                <w:rFonts w:ascii="Arial Narrow" w:eastAsia="Calibri" w:hAnsi="Arial Narrow" w:cstheme="minorHAnsi"/>
                <w:b/>
                <w:bCs/>
                <w:sz w:val="20"/>
                <w:szCs w:val="20"/>
                <w:lang w:eastAsia="en-AU"/>
              </w:rPr>
            </w:pPr>
            <w:r w:rsidRPr="0062012F">
              <w:rPr>
                <w:rFonts w:ascii="Arial Narrow" w:hAnsi="Arial Narrow"/>
                <w:sz w:val="20"/>
                <w:szCs w:val="20"/>
              </w:rPr>
              <w:t>NR</w:t>
            </w:r>
          </w:p>
        </w:tc>
        <w:tc>
          <w:tcPr>
            <w:tcW w:w="786" w:type="pct"/>
            <w:vAlign w:val="center"/>
          </w:tcPr>
          <w:p w14:paraId="5AAB2880" w14:textId="0DEA1272" w:rsidR="001335A4" w:rsidRPr="0062012F" w:rsidRDefault="001335A4" w:rsidP="001335A4">
            <w:pPr>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sz w:val="20"/>
                <w:szCs w:val="20"/>
                <w:lang w:eastAsia="en-AU"/>
              </w:rPr>
              <w:t>2/22/6</w:t>
            </w:r>
          </w:p>
        </w:tc>
        <w:tc>
          <w:tcPr>
            <w:tcW w:w="854" w:type="pct"/>
            <w:vAlign w:val="center"/>
          </w:tcPr>
          <w:p w14:paraId="733DAC36" w14:textId="77777777" w:rsidR="001335A4" w:rsidRPr="0062012F" w:rsidRDefault="001335A4" w:rsidP="001335A4">
            <w:pPr>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sz w:val="20"/>
                <w:szCs w:val="20"/>
                <w:lang w:eastAsia="en-AU"/>
              </w:rPr>
              <w:t>0/19/11</w:t>
            </w:r>
          </w:p>
        </w:tc>
      </w:tr>
      <w:tr w:rsidR="00150C2C" w:rsidRPr="0062012F" w14:paraId="2207DDB7" w14:textId="77777777" w:rsidTr="00DE3A3B">
        <w:trPr>
          <w:trHeight w:val="296"/>
        </w:trPr>
        <w:tc>
          <w:tcPr>
            <w:tcW w:w="1229" w:type="pct"/>
            <w:vMerge/>
            <w:vAlign w:val="center"/>
          </w:tcPr>
          <w:p w14:paraId="06A1E373" w14:textId="77777777" w:rsidR="00150C2C" w:rsidRPr="0062012F" w:rsidRDefault="00150C2C" w:rsidP="00150C2C">
            <w:pPr>
              <w:spacing w:before="0" w:after="0" w:line="240" w:lineRule="auto"/>
              <w:jc w:val="center"/>
              <w:rPr>
                <w:rFonts w:ascii="Arial Narrow" w:eastAsia="Times New Roman" w:hAnsi="Arial Narrow" w:cstheme="minorHAnsi"/>
                <w:b/>
                <w:bCs/>
                <w:color w:val="000000"/>
                <w:sz w:val="20"/>
                <w:szCs w:val="20"/>
                <w:lang w:eastAsia="en-AU"/>
              </w:rPr>
            </w:pPr>
          </w:p>
        </w:tc>
        <w:tc>
          <w:tcPr>
            <w:tcW w:w="559" w:type="pct"/>
            <w:shd w:val="clear" w:color="000000" w:fill="E7E6E6"/>
            <w:noWrap/>
            <w:vAlign w:val="bottom"/>
          </w:tcPr>
          <w:p w14:paraId="0B9F5CBE" w14:textId="1EA10864" w:rsidR="00150C2C" w:rsidRPr="0062012F" w:rsidRDefault="00150C2C" w:rsidP="00150C2C">
            <w:pPr>
              <w:spacing w:before="0" w:after="0" w:line="240" w:lineRule="auto"/>
              <w:rPr>
                <w:rFonts w:ascii="Arial Narrow" w:eastAsia="Times New Roman" w:hAnsi="Arial Narrow" w:cstheme="minorHAnsi"/>
                <w:color w:val="000000"/>
                <w:sz w:val="20"/>
                <w:szCs w:val="20"/>
                <w:lang w:eastAsia="en-AU"/>
              </w:rPr>
            </w:pPr>
            <w:proofErr w:type="spellStart"/>
            <w:r w:rsidRPr="0062012F">
              <w:rPr>
                <w:rFonts w:ascii="Arial Narrow" w:eastAsia="Times New Roman" w:hAnsi="Arial Narrow" w:cstheme="minorHAnsi"/>
                <w:color w:val="000000"/>
                <w:sz w:val="20"/>
                <w:szCs w:val="20"/>
                <w:lang w:eastAsia="en-AU"/>
              </w:rPr>
              <w:t>Dif</w:t>
            </w:r>
            <w:proofErr w:type="spellEnd"/>
          </w:p>
        </w:tc>
        <w:tc>
          <w:tcPr>
            <w:tcW w:w="786" w:type="pct"/>
            <w:vAlign w:val="center"/>
          </w:tcPr>
          <w:p w14:paraId="7BB58DB5" w14:textId="77777777" w:rsidR="00150C2C" w:rsidRPr="0062012F" w:rsidRDefault="00150C2C" w:rsidP="00150C2C">
            <w:pPr>
              <w:spacing w:before="0" w:after="0" w:line="240" w:lineRule="auto"/>
              <w:jc w:val="center"/>
              <w:rPr>
                <w:rFonts w:ascii="Arial Narrow" w:eastAsia="Calibri" w:hAnsi="Arial Narrow" w:cstheme="minorHAnsi"/>
                <w:sz w:val="20"/>
                <w:szCs w:val="20"/>
                <w:lang w:eastAsia="en-AU"/>
              </w:rPr>
            </w:pPr>
          </w:p>
        </w:tc>
        <w:tc>
          <w:tcPr>
            <w:tcW w:w="786" w:type="pct"/>
            <w:vAlign w:val="center"/>
          </w:tcPr>
          <w:p w14:paraId="7F0A4ACB" w14:textId="77777777" w:rsidR="00150C2C" w:rsidRPr="0062012F" w:rsidRDefault="00150C2C" w:rsidP="00150C2C">
            <w:pPr>
              <w:spacing w:before="0" w:after="0" w:line="240" w:lineRule="auto"/>
              <w:jc w:val="center"/>
              <w:rPr>
                <w:rFonts w:ascii="Arial Narrow" w:eastAsia="Calibri" w:hAnsi="Arial Narrow" w:cstheme="minorHAnsi"/>
                <w:b/>
                <w:bCs/>
                <w:sz w:val="20"/>
                <w:szCs w:val="20"/>
                <w:lang w:eastAsia="en-AU"/>
              </w:rPr>
            </w:pPr>
          </w:p>
        </w:tc>
        <w:tc>
          <w:tcPr>
            <w:tcW w:w="786" w:type="pct"/>
            <w:vAlign w:val="center"/>
          </w:tcPr>
          <w:p w14:paraId="48E43945" w14:textId="56F0F1BD" w:rsidR="00150C2C" w:rsidRPr="0062012F" w:rsidRDefault="00150C2C" w:rsidP="00150C2C">
            <w:pPr>
              <w:spacing w:before="0" w:after="0" w:line="240" w:lineRule="auto"/>
              <w:jc w:val="center"/>
              <w:rPr>
                <w:rFonts w:ascii="Arial Narrow" w:eastAsia="Calibri" w:hAnsi="Arial Narrow" w:cstheme="minorHAnsi"/>
                <w:sz w:val="20"/>
                <w:szCs w:val="20"/>
                <w:lang w:eastAsia="en-AU"/>
              </w:rPr>
            </w:pPr>
            <w:r w:rsidRPr="0062012F">
              <w:rPr>
                <w:rFonts w:ascii="Arial Narrow" w:eastAsia="Calibri" w:hAnsi="Arial Narrow" w:cstheme="minorHAnsi"/>
                <w:b/>
                <w:bCs/>
                <w:sz w:val="20"/>
                <w:szCs w:val="20"/>
                <w:lang w:eastAsia="en-AU"/>
              </w:rPr>
              <w:t>&lt;0.0001</w:t>
            </w:r>
          </w:p>
        </w:tc>
        <w:tc>
          <w:tcPr>
            <w:tcW w:w="854" w:type="pct"/>
            <w:vAlign w:val="center"/>
          </w:tcPr>
          <w:p w14:paraId="7675D8B7" w14:textId="7476D31F" w:rsidR="00150C2C" w:rsidRPr="0062012F" w:rsidRDefault="00150C2C" w:rsidP="00150C2C">
            <w:pPr>
              <w:spacing w:before="0" w:after="0" w:line="240" w:lineRule="auto"/>
              <w:jc w:val="center"/>
              <w:rPr>
                <w:rFonts w:ascii="Arial Narrow" w:eastAsia="Calibri" w:hAnsi="Arial Narrow" w:cstheme="minorHAnsi"/>
                <w:b/>
                <w:bCs/>
                <w:sz w:val="20"/>
                <w:szCs w:val="20"/>
                <w:lang w:eastAsia="en-AU"/>
              </w:rPr>
            </w:pPr>
            <w:r w:rsidRPr="0062012F">
              <w:rPr>
                <w:rFonts w:ascii="Arial Narrow" w:eastAsia="Calibri" w:hAnsi="Arial Narrow" w:cstheme="minorHAnsi"/>
                <w:b/>
                <w:bCs/>
                <w:sz w:val="20"/>
                <w:szCs w:val="20"/>
                <w:lang w:eastAsia="en-AU"/>
              </w:rPr>
              <w:t>&lt;0.0001</w:t>
            </w:r>
          </w:p>
        </w:tc>
      </w:tr>
    </w:tbl>
    <w:p w14:paraId="01A5D5EF" w14:textId="0B6C1D89" w:rsidR="00A62C55" w:rsidRDefault="001335A4" w:rsidP="0092726A">
      <w:pPr>
        <w:pStyle w:val="Tablenotes"/>
        <w:jc w:val="both"/>
        <w:rPr>
          <w:rFonts w:cs="Times New Roman"/>
          <w:b/>
          <w:bCs/>
        </w:rPr>
      </w:pPr>
      <w:r w:rsidRPr="00C44C41">
        <w:t>Source: Table 2</w:t>
      </w:r>
      <w:r>
        <w:t>0</w:t>
      </w:r>
      <w:r w:rsidRPr="00C44C41">
        <w:t xml:space="preserve">, </w:t>
      </w:r>
      <w:r>
        <w:t>p8</w:t>
      </w:r>
      <w:r w:rsidR="0092726A">
        <w:t xml:space="preserve">9 </w:t>
      </w:r>
      <w:r w:rsidRPr="00C44C41">
        <w:t>of the ADAR</w:t>
      </w:r>
      <w:r w:rsidR="00343ABB">
        <w:t xml:space="preserve"> + in-line commentary</w:t>
      </w:r>
      <w:r w:rsidR="00172E09" w:rsidRPr="00BD4DA8">
        <w:rPr>
          <w:sz w:val="16"/>
          <w:szCs w:val="16"/>
        </w:rPr>
        <w:t xml:space="preserve"> </w:t>
      </w:r>
      <w:r w:rsidR="002A4A3B">
        <w:t>and compiled during evaluation.</w:t>
      </w:r>
    </w:p>
    <w:p w14:paraId="704D3801" w14:textId="4084BD20" w:rsidR="00510D92" w:rsidRDefault="00510D92" w:rsidP="00510D92">
      <w:pPr>
        <w:pStyle w:val="Tablenotes"/>
        <w:jc w:val="both"/>
      </w:pPr>
      <w:r>
        <w:t xml:space="preserve">Abbreviations: </w:t>
      </w:r>
      <w:r w:rsidR="00D221A8">
        <w:t>BCI</w:t>
      </w:r>
      <w:r w:rsidR="0092726A" w:rsidRPr="008535F4">
        <w:t xml:space="preserve"> = </w:t>
      </w:r>
      <w:proofErr w:type="spellStart"/>
      <w:r w:rsidR="00611C7A">
        <w:t>Bioinductive</w:t>
      </w:r>
      <w:proofErr w:type="spellEnd"/>
      <w:r w:rsidR="00611C7A">
        <w:t xml:space="preserve"> collagen implant</w:t>
      </w:r>
      <w:r w:rsidR="0092726A" w:rsidRPr="008535F4">
        <w:t xml:space="preserve">; </w:t>
      </w:r>
      <w:proofErr w:type="spellStart"/>
      <w:r w:rsidR="0092726A" w:rsidRPr="008535F4">
        <w:t>Dif</w:t>
      </w:r>
      <w:proofErr w:type="spellEnd"/>
      <w:r w:rsidR="0092726A" w:rsidRPr="008535F4">
        <w:t xml:space="preserve"> = difference between groups; </w:t>
      </w:r>
      <w:r w:rsidR="0092726A">
        <w:t>N = number of participants</w:t>
      </w:r>
      <w:r w:rsidR="0092726A">
        <w:rPr>
          <w:sz w:val="16"/>
          <w:szCs w:val="16"/>
        </w:rPr>
        <w:t xml:space="preserve">; </w:t>
      </w:r>
      <w:r w:rsidR="0092726A" w:rsidRPr="00BD4DA8">
        <w:rPr>
          <w:sz w:val="16"/>
          <w:szCs w:val="16"/>
        </w:rPr>
        <w:t>N</w:t>
      </w:r>
      <w:r w:rsidR="0092726A">
        <w:rPr>
          <w:sz w:val="16"/>
          <w:szCs w:val="16"/>
        </w:rPr>
        <w:t>eu</w:t>
      </w:r>
      <w:r w:rsidR="0092726A" w:rsidRPr="00BD4DA8">
        <w:rPr>
          <w:sz w:val="16"/>
          <w:szCs w:val="16"/>
        </w:rPr>
        <w:t xml:space="preserve"> = neutral; S = Satisfied; </w:t>
      </w:r>
      <w:r>
        <w:t xml:space="preserve">SD = Standard deviation; </w:t>
      </w:r>
      <w:r w:rsidR="0092726A" w:rsidRPr="008535F4">
        <w:t>SSR = standard surgical repair;</w:t>
      </w:r>
      <w:r w:rsidR="0092726A">
        <w:t xml:space="preserve"> </w:t>
      </w:r>
      <w:r w:rsidRPr="00CF0841">
        <w:t>VAS = Visual Analogue Scale</w:t>
      </w:r>
      <w:r w:rsidR="0092726A">
        <w:t>;</w:t>
      </w:r>
      <w:r w:rsidR="0092726A" w:rsidRPr="0092726A">
        <w:rPr>
          <w:sz w:val="16"/>
          <w:szCs w:val="16"/>
        </w:rPr>
        <w:t xml:space="preserve"> </w:t>
      </w:r>
      <w:r w:rsidR="0092726A" w:rsidRPr="00BD4DA8">
        <w:rPr>
          <w:sz w:val="16"/>
          <w:szCs w:val="16"/>
        </w:rPr>
        <w:t>VS = Very Satisfied</w:t>
      </w:r>
    </w:p>
    <w:p w14:paraId="5D6A61A4" w14:textId="77777777" w:rsidR="00510D92" w:rsidRPr="00C44C41" w:rsidRDefault="00510D92" w:rsidP="00510D92">
      <w:pPr>
        <w:pStyle w:val="Tablenotes"/>
        <w:jc w:val="both"/>
      </w:pPr>
      <w:r w:rsidRPr="00FA0E56">
        <w:t>Notes:</w:t>
      </w:r>
      <w:r>
        <w:rPr>
          <w:b/>
          <w:bCs/>
        </w:rPr>
        <w:t xml:space="preserve"> </w:t>
      </w:r>
      <w:r w:rsidRPr="00B25254">
        <w:rPr>
          <w:b/>
          <w:bCs/>
        </w:rPr>
        <w:t>Bold</w:t>
      </w:r>
      <w:r w:rsidRPr="00CF0841">
        <w:t xml:space="preserve"> indicate</w:t>
      </w:r>
      <w:r>
        <w:t>s</w:t>
      </w:r>
      <w:r w:rsidRPr="00CF0841">
        <w:t xml:space="preserve"> significant differences </w:t>
      </w:r>
      <w:r w:rsidRPr="00FA0E56">
        <w:t>between groups</w:t>
      </w:r>
      <w:r w:rsidRPr="00CF0841">
        <w:t>.</w:t>
      </w:r>
    </w:p>
    <w:p w14:paraId="12B0E64E" w14:textId="5239BADC" w:rsidR="00393FC7" w:rsidRDefault="008A2FD5" w:rsidP="00E76AE0">
      <w:pPr>
        <w:pStyle w:val="Instructionaltext"/>
        <w:rPr>
          <w:color w:val="auto"/>
        </w:rPr>
      </w:pPr>
      <w:r w:rsidRPr="008A2FD5">
        <w:rPr>
          <w:color w:val="auto"/>
        </w:rPr>
        <w:t xml:space="preserve">In addition to the effectiveness evidence from the Ruiz </w:t>
      </w:r>
      <w:proofErr w:type="spellStart"/>
      <w:r w:rsidR="00241CBA" w:rsidRPr="00A23DAD">
        <w:rPr>
          <w:color w:val="auto"/>
        </w:rPr>
        <w:t>Ibán</w:t>
      </w:r>
      <w:proofErr w:type="spellEnd"/>
      <w:r w:rsidRPr="008A2FD5">
        <w:rPr>
          <w:color w:val="auto"/>
        </w:rPr>
        <w:t xml:space="preserve"> (2025) and Camacho-Chacon (</w:t>
      </w:r>
      <w:r w:rsidRPr="008A2FD5" w:rsidDel="00780EE3">
        <w:rPr>
          <w:color w:val="auto"/>
        </w:rPr>
        <w:t>2023</w:t>
      </w:r>
      <w:r w:rsidRPr="008A2FD5">
        <w:rPr>
          <w:color w:val="auto"/>
        </w:rPr>
        <w:t xml:space="preserve">) trials, the ADAR presented data from single-arm studies indicating improved tendon integrity and thickness, reduced retear rates, and enhanced quality of life (QoL) with </w:t>
      </w:r>
      <w:r w:rsidR="00A31687">
        <w:rPr>
          <w:color w:val="auto"/>
        </w:rPr>
        <w:t>BCI</w:t>
      </w:r>
      <w:r w:rsidR="009D39F1">
        <w:rPr>
          <w:color w:val="auto"/>
        </w:rPr>
        <w:t>.</w:t>
      </w:r>
      <w:r w:rsidRPr="008A2FD5">
        <w:rPr>
          <w:color w:val="auto"/>
        </w:rPr>
        <w:t xml:space="preserve"> However, the commentary observed that, apart from the Ferreira Barros (2022) trial, which reported interim findings, single-arm studies did not offer comparative evidence between the </w:t>
      </w:r>
      <w:r w:rsidR="00A31687">
        <w:rPr>
          <w:color w:val="auto"/>
        </w:rPr>
        <w:t>BCI</w:t>
      </w:r>
      <w:r w:rsidR="009D39F1">
        <w:rPr>
          <w:color w:val="auto"/>
        </w:rPr>
        <w:t xml:space="preserve"> </w:t>
      </w:r>
      <w:r w:rsidR="009D39F1" w:rsidRPr="008A2FD5">
        <w:rPr>
          <w:color w:val="auto"/>
        </w:rPr>
        <w:t>and</w:t>
      </w:r>
      <w:r w:rsidRPr="008A2FD5">
        <w:rPr>
          <w:color w:val="auto"/>
        </w:rPr>
        <w:t xml:space="preserve"> control groups.</w:t>
      </w:r>
    </w:p>
    <w:p w14:paraId="485A8C28" w14:textId="0B14D3C9" w:rsidR="00C71BD3" w:rsidRPr="0062012F" w:rsidRDefault="0068278D" w:rsidP="0062012F">
      <w:pPr>
        <w:pStyle w:val="Heading4"/>
        <w:spacing w:before="0" w:after="120"/>
      </w:pPr>
      <w:r w:rsidRPr="0062012F">
        <w:lastRenderedPageBreak/>
        <w:t>Minimal clinical important difference (</w:t>
      </w:r>
      <w:r w:rsidR="003A2C17" w:rsidRPr="0062012F">
        <w:t>MCID</w:t>
      </w:r>
      <w:r w:rsidRPr="0062012F">
        <w:t>)</w:t>
      </w:r>
      <w:r w:rsidR="003A2C17" w:rsidRPr="0062012F">
        <w:t xml:space="preserve"> for CMS</w:t>
      </w:r>
    </w:p>
    <w:p w14:paraId="334CBD31" w14:textId="456B2477" w:rsidR="00687A5D" w:rsidRDefault="00035AFE" w:rsidP="00E76AE0">
      <w:pPr>
        <w:pStyle w:val="Instructionaltext"/>
        <w:rPr>
          <w:color w:val="auto"/>
        </w:rPr>
      </w:pPr>
      <w:r w:rsidRPr="0010673C">
        <w:rPr>
          <w:color w:val="auto"/>
        </w:rPr>
        <w:t>To calculate the difference in MCID between the groups, the ADAR used the MCID score for CMS from Kukkonen et al (2013)</w:t>
      </w:r>
      <w:r w:rsidR="00C822FA" w:rsidRPr="0010673C">
        <w:rPr>
          <w:rStyle w:val="FootnoteReference"/>
          <w:color w:val="auto"/>
        </w:rPr>
        <w:footnoteReference w:id="21"/>
      </w:r>
      <w:r w:rsidRPr="0010673C">
        <w:rPr>
          <w:color w:val="auto"/>
        </w:rPr>
        <w:t xml:space="preserve"> of a change in CMS of 10.4 representing a MCID. The ADAR calculated the mean change in CMS from baseline </w:t>
      </w:r>
      <w:r w:rsidR="00581F08">
        <w:rPr>
          <w:color w:val="auto"/>
        </w:rPr>
        <w:t>to</w:t>
      </w:r>
      <w:r w:rsidRPr="0010673C">
        <w:rPr>
          <w:color w:val="auto"/>
        </w:rPr>
        <w:t xml:space="preserve"> 24 months from the Ruiz </w:t>
      </w:r>
      <w:proofErr w:type="spellStart"/>
      <w:r w:rsidRPr="0010673C">
        <w:rPr>
          <w:color w:val="auto"/>
        </w:rPr>
        <w:t>Ibán</w:t>
      </w:r>
      <w:proofErr w:type="spellEnd"/>
      <w:r w:rsidRPr="0010673C">
        <w:rPr>
          <w:color w:val="auto"/>
        </w:rPr>
        <w:t xml:space="preserve"> (2025) trial. The ADAR then divide this mean change by 10.4 to calculate the mean change in MCID. This led to a mean </w:t>
      </w:r>
      <w:r w:rsidR="00AE51CA" w:rsidRPr="0010673C">
        <w:rPr>
          <w:color w:val="auto"/>
        </w:rPr>
        <w:t xml:space="preserve">change in </w:t>
      </w:r>
      <w:r w:rsidRPr="0010673C">
        <w:rPr>
          <w:color w:val="auto"/>
        </w:rPr>
        <w:t xml:space="preserve">MCID of 0.3971. The commentary considered that this approach was unreasonable </w:t>
      </w:r>
      <w:r w:rsidR="007942FA">
        <w:rPr>
          <w:color w:val="auto"/>
        </w:rPr>
        <w:t>as</w:t>
      </w:r>
      <w:r w:rsidRPr="0010673C">
        <w:rPr>
          <w:color w:val="auto"/>
        </w:rPr>
        <w:t xml:space="preserve">, the average change in CMS is not clinically meaningful as a change in MCID, as the change in MCID is an individual patient approach. A more appropriate method would be to calculate the patients achieving an MCID change in CMS </w:t>
      </w:r>
      <w:r w:rsidR="00EC65C2">
        <w:rPr>
          <w:color w:val="auto"/>
        </w:rPr>
        <w:t xml:space="preserve">(i.e. A ‘responder analysis’) </w:t>
      </w:r>
      <w:r w:rsidRPr="0010673C">
        <w:rPr>
          <w:color w:val="auto"/>
        </w:rPr>
        <w:t xml:space="preserve">and compare those results across treatment arms. </w:t>
      </w:r>
      <w:r w:rsidR="007632E6" w:rsidRPr="0010673C">
        <w:rPr>
          <w:color w:val="auto"/>
        </w:rPr>
        <w:t xml:space="preserve">The number of patients </w:t>
      </w:r>
      <w:r w:rsidR="00555C4E" w:rsidRPr="0010673C">
        <w:rPr>
          <w:color w:val="auto"/>
        </w:rPr>
        <w:t>achieving</w:t>
      </w:r>
      <w:r w:rsidR="007632E6" w:rsidRPr="0010673C">
        <w:rPr>
          <w:color w:val="auto"/>
        </w:rPr>
        <w:t xml:space="preserve"> a MCID in CMS</w:t>
      </w:r>
      <w:r w:rsidR="00EC65C2">
        <w:rPr>
          <w:color w:val="auto"/>
        </w:rPr>
        <w:t xml:space="preserve"> in the Ruiz </w:t>
      </w:r>
      <w:proofErr w:type="spellStart"/>
      <w:r w:rsidR="0091327B" w:rsidRPr="00AA38B3">
        <w:rPr>
          <w:color w:val="auto"/>
        </w:rPr>
        <w:t>Ibán</w:t>
      </w:r>
      <w:proofErr w:type="spellEnd"/>
      <w:r w:rsidR="00EC65C2">
        <w:rPr>
          <w:color w:val="auto"/>
        </w:rPr>
        <w:t xml:space="preserve"> 2025 RCT</w:t>
      </w:r>
      <w:r w:rsidR="007632E6" w:rsidRPr="0010673C">
        <w:rPr>
          <w:color w:val="auto"/>
        </w:rPr>
        <w:t xml:space="preserve"> was not available in the clinical evidence provided.</w:t>
      </w:r>
    </w:p>
    <w:p w14:paraId="60FA1621" w14:textId="77777777" w:rsidR="00F32A4E" w:rsidRPr="002D221E" w:rsidRDefault="00F32A4E" w:rsidP="00F32A4E">
      <w:pPr>
        <w:pStyle w:val="Heading4"/>
        <w:spacing w:before="0" w:after="120"/>
      </w:pPr>
      <w:bookmarkStart w:id="34" w:name="_Patient_reported_outcomes"/>
      <w:bookmarkEnd w:id="34"/>
      <w:r w:rsidRPr="002D221E">
        <w:rPr>
          <w:iCs/>
        </w:rPr>
        <w:t xml:space="preserve">Patient reported outcomes between healed and retorn tendons at 24 months </w:t>
      </w:r>
    </w:p>
    <w:p w14:paraId="4A860054" w14:textId="150149D7" w:rsidR="00F32A4E" w:rsidRPr="00F25D39" w:rsidRDefault="00F32A4E" w:rsidP="00F32A4E">
      <w:pPr>
        <w:pStyle w:val="Instructionaltext"/>
        <w:rPr>
          <w:color w:val="auto"/>
        </w:rPr>
      </w:pPr>
      <w:r>
        <w:rPr>
          <w:color w:val="auto"/>
        </w:rPr>
        <w:t xml:space="preserve">The ADAR included a </w:t>
      </w:r>
      <w:r w:rsidR="000B4C23">
        <w:rPr>
          <w:color w:val="auto"/>
        </w:rPr>
        <w:t>post hoc analysis</w:t>
      </w:r>
      <w:r>
        <w:rPr>
          <w:color w:val="auto"/>
        </w:rPr>
        <w:t xml:space="preserve"> of ASES and CMS score between healed and retorn tendons at 24 months from </w:t>
      </w:r>
      <w:r w:rsidR="000B4C23" w:rsidRPr="007E0FD1">
        <w:rPr>
          <w:color w:val="auto"/>
        </w:rPr>
        <w:t xml:space="preserve">Ruiz </w:t>
      </w:r>
      <w:proofErr w:type="spellStart"/>
      <w:r w:rsidR="000B4C23" w:rsidRPr="007E0FD1">
        <w:rPr>
          <w:color w:val="auto"/>
        </w:rPr>
        <w:t>Ibán</w:t>
      </w:r>
      <w:proofErr w:type="spellEnd"/>
      <w:r w:rsidR="000B4C23" w:rsidRPr="007E0FD1">
        <w:rPr>
          <w:color w:val="auto"/>
        </w:rPr>
        <w:t xml:space="preserve"> et al. 2025</w:t>
      </w:r>
      <w:r w:rsidRPr="0010673C">
        <w:rPr>
          <w:color w:val="auto"/>
        </w:rPr>
        <w:t xml:space="preserve"> </w:t>
      </w:r>
      <w:r w:rsidR="006D20EA">
        <w:rPr>
          <w:color w:val="auto"/>
        </w:rPr>
        <w:t xml:space="preserve">participants </w:t>
      </w:r>
      <w:r>
        <w:rPr>
          <w:color w:val="auto"/>
        </w:rPr>
        <w:t xml:space="preserve">as shown </w:t>
      </w:r>
      <w:r w:rsidR="00A079FA">
        <w:rPr>
          <w:color w:val="auto"/>
        </w:rPr>
        <w:t xml:space="preserve">below </w:t>
      </w:r>
      <w:r w:rsidRPr="00F25D39">
        <w:rPr>
          <w:color w:val="auto"/>
        </w:rPr>
        <w:t>in</w:t>
      </w:r>
      <w:r w:rsidR="00F25D39" w:rsidRPr="00F25D39">
        <w:rPr>
          <w:color w:val="auto"/>
        </w:rPr>
        <w:t xml:space="preserve"> </w:t>
      </w:r>
      <w:r w:rsidR="00F25D39" w:rsidRPr="00F25D39">
        <w:rPr>
          <w:color w:val="auto"/>
        </w:rPr>
        <w:fldChar w:fldCharType="begin"/>
      </w:r>
      <w:r w:rsidR="00F25D39" w:rsidRPr="00F25D39">
        <w:rPr>
          <w:color w:val="auto"/>
        </w:rPr>
        <w:instrText xml:space="preserve"> REF _Ref214891852 \h </w:instrText>
      </w:r>
      <w:r w:rsidR="00F25D39" w:rsidRPr="00F25D39">
        <w:rPr>
          <w:color w:val="auto"/>
        </w:rPr>
      </w:r>
      <w:r w:rsidR="00F25D39" w:rsidRPr="00F25D39">
        <w:rPr>
          <w:color w:val="auto"/>
        </w:rPr>
        <w:fldChar w:fldCharType="separate"/>
      </w:r>
      <w:r w:rsidR="00F25D39" w:rsidRPr="00F25D39">
        <w:rPr>
          <w:color w:val="auto"/>
        </w:rPr>
        <w:t xml:space="preserve">Table </w:t>
      </w:r>
      <w:r w:rsidR="00F25D39" w:rsidRPr="00F25D39">
        <w:rPr>
          <w:noProof/>
          <w:color w:val="auto"/>
        </w:rPr>
        <w:t>9</w:t>
      </w:r>
      <w:r w:rsidR="00F25D39" w:rsidRPr="00F25D39">
        <w:rPr>
          <w:color w:val="auto"/>
        </w:rPr>
        <w:fldChar w:fldCharType="end"/>
      </w:r>
      <w:r w:rsidRPr="00F25D39">
        <w:rPr>
          <w:color w:val="auto"/>
        </w:rPr>
        <w:t xml:space="preserve">. </w:t>
      </w:r>
    </w:p>
    <w:p w14:paraId="15CF6B83" w14:textId="76173F7D" w:rsidR="004D72CE" w:rsidRPr="002D592C" w:rsidRDefault="00505355" w:rsidP="00505355">
      <w:pPr>
        <w:pStyle w:val="Caption"/>
        <w:rPr>
          <w:b w:val="0"/>
          <w:bCs w:val="0"/>
        </w:rPr>
      </w:pPr>
      <w:bookmarkStart w:id="35" w:name="_Ref214891852"/>
      <w:r>
        <w:t xml:space="preserve">Table </w:t>
      </w:r>
      <w:r>
        <w:fldChar w:fldCharType="begin"/>
      </w:r>
      <w:r>
        <w:instrText xml:space="preserve"> SEQ Table \* ARABIC </w:instrText>
      </w:r>
      <w:r>
        <w:fldChar w:fldCharType="separate"/>
      </w:r>
      <w:r w:rsidR="00564C3F">
        <w:rPr>
          <w:noProof/>
        </w:rPr>
        <w:t>9</w:t>
      </w:r>
      <w:r>
        <w:fldChar w:fldCharType="end"/>
      </w:r>
      <w:bookmarkEnd w:id="35"/>
      <w:r>
        <w:tab/>
      </w:r>
      <w:r w:rsidR="004D72CE" w:rsidRPr="002D592C">
        <w:t>Outcome comparison between healed and retorn tendons at 24 months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2"/>
        <w:gridCol w:w="1663"/>
        <w:gridCol w:w="1663"/>
        <w:gridCol w:w="1615"/>
        <w:gridCol w:w="2025"/>
      </w:tblGrid>
      <w:tr w:rsidR="004D72CE" w:rsidRPr="00441350" w14:paraId="5E765E52" w14:textId="77777777">
        <w:trPr>
          <w:trHeight w:val="370"/>
        </w:trPr>
        <w:tc>
          <w:tcPr>
            <w:tcW w:w="2382" w:type="dxa"/>
            <w:tcBorders>
              <w:top w:val="single" w:sz="6" w:space="0" w:color="auto"/>
              <w:left w:val="single" w:sz="6" w:space="0" w:color="auto"/>
              <w:bottom w:val="single" w:sz="6" w:space="0" w:color="auto"/>
              <w:right w:val="single" w:sz="6" w:space="0" w:color="auto"/>
            </w:tcBorders>
            <w:shd w:val="clear" w:color="auto" w:fill="BFBFBF"/>
            <w:hideMark/>
          </w:tcPr>
          <w:p w14:paraId="515C3DCE"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 </w:t>
            </w:r>
          </w:p>
        </w:tc>
        <w:tc>
          <w:tcPr>
            <w:tcW w:w="166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ABBF109"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Healed </w:t>
            </w:r>
          </w:p>
        </w:tc>
        <w:tc>
          <w:tcPr>
            <w:tcW w:w="166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71AC101"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Retear </w:t>
            </w:r>
          </w:p>
        </w:tc>
        <w:tc>
          <w:tcPr>
            <w:tcW w:w="161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86B424A"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p-value </w:t>
            </w:r>
          </w:p>
        </w:tc>
        <w:tc>
          <w:tcPr>
            <w:tcW w:w="202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5DB05B3"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MCID (Harris et al., 2023) </w:t>
            </w:r>
          </w:p>
        </w:tc>
      </w:tr>
      <w:tr w:rsidR="004D72CE" w:rsidRPr="00441350" w14:paraId="0EE571B8" w14:textId="77777777">
        <w:trPr>
          <w:trHeight w:val="300"/>
        </w:trPr>
        <w:tc>
          <w:tcPr>
            <w:tcW w:w="23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0D55C3"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Number of patients </w:t>
            </w:r>
          </w:p>
        </w:tc>
        <w:tc>
          <w:tcPr>
            <w:tcW w:w="166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A02235"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87 </w:t>
            </w:r>
          </w:p>
        </w:tc>
        <w:tc>
          <w:tcPr>
            <w:tcW w:w="166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4D3B91"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25 </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F33497"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357C11"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 </w:t>
            </w:r>
          </w:p>
        </w:tc>
      </w:tr>
      <w:tr w:rsidR="004D72CE" w:rsidRPr="00441350" w14:paraId="0CA249E4" w14:textId="77777777" w:rsidTr="00631922">
        <w:trPr>
          <w:trHeight w:val="300"/>
        </w:trPr>
        <w:tc>
          <w:tcPr>
            <w:tcW w:w="2382" w:type="dxa"/>
            <w:tcBorders>
              <w:top w:val="single" w:sz="6" w:space="0" w:color="auto"/>
              <w:left w:val="single" w:sz="6" w:space="0" w:color="auto"/>
              <w:bottom w:val="single" w:sz="6" w:space="0" w:color="auto"/>
              <w:right w:val="single" w:sz="6" w:space="0" w:color="auto"/>
            </w:tcBorders>
            <w:vAlign w:val="center"/>
            <w:hideMark/>
          </w:tcPr>
          <w:p w14:paraId="134855A5"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ASES </w:t>
            </w:r>
          </w:p>
        </w:tc>
        <w:tc>
          <w:tcPr>
            <w:tcW w:w="1663" w:type="dxa"/>
            <w:tcBorders>
              <w:top w:val="single" w:sz="6" w:space="0" w:color="auto"/>
              <w:left w:val="single" w:sz="6" w:space="0" w:color="auto"/>
              <w:bottom w:val="single" w:sz="6" w:space="0" w:color="auto"/>
              <w:right w:val="single" w:sz="6" w:space="0" w:color="auto"/>
            </w:tcBorders>
            <w:vAlign w:val="center"/>
            <w:hideMark/>
          </w:tcPr>
          <w:p w14:paraId="590A5E73"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84.4±21.1 </w:t>
            </w:r>
          </w:p>
        </w:tc>
        <w:tc>
          <w:tcPr>
            <w:tcW w:w="1663" w:type="dxa"/>
            <w:tcBorders>
              <w:top w:val="single" w:sz="6" w:space="0" w:color="auto"/>
              <w:left w:val="single" w:sz="6" w:space="0" w:color="auto"/>
              <w:bottom w:val="single" w:sz="6" w:space="0" w:color="auto"/>
              <w:right w:val="single" w:sz="6" w:space="0" w:color="auto"/>
            </w:tcBorders>
            <w:vAlign w:val="center"/>
            <w:hideMark/>
          </w:tcPr>
          <w:p w14:paraId="7DD654DD"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71.7±30.2 </w:t>
            </w:r>
          </w:p>
        </w:tc>
        <w:tc>
          <w:tcPr>
            <w:tcW w:w="1615" w:type="dxa"/>
            <w:tcBorders>
              <w:top w:val="single" w:sz="6" w:space="0" w:color="auto"/>
              <w:left w:val="single" w:sz="6" w:space="0" w:color="auto"/>
              <w:bottom w:val="single" w:sz="6" w:space="0" w:color="auto"/>
              <w:right w:val="single" w:sz="6" w:space="0" w:color="auto"/>
            </w:tcBorders>
            <w:vAlign w:val="center"/>
            <w:hideMark/>
          </w:tcPr>
          <w:p w14:paraId="2282A27D"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0.0069 </w:t>
            </w:r>
          </w:p>
        </w:tc>
        <w:tc>
          <w:tcPr>
            <w:tcW w:w="2025" w:type="dxa"/>
            <w:tcBorders>
              <w:top w:val="single" w:sz="6" w:space="0" w:color="auto"/>
              <w:left w:val="single" w:sz="6" w:space="0" w:color="auto"/>
              <w:bottom w:val="single" w:sz="6" w:space="0" w:color="auto"/>
              <w:right w:val="single" w:sz="6" w:space="0" w:color="auto"/>
            </w:tcBorders>
            <w:vAlign w:val="center"/>
            <w:hideMark/>
          </w:tcPr>
          <w:p w14:paraId="08A06729"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12.8 </w:t>
            </w:r>
          </w:p>
        </w:tc>
      </w:tr>
      <w:tr w:rsidR="004D72CE" w:rsidRPr="00441350" w14:paraId="46D6D9C7" w14:textId="77777777" w:rsidTr="00631922">
        <w:trPr>
          <w:trHeight w:val="300"/>
        </w:trPr>
        <w:tc>
          <w:tcPr>
            <w:tcW w:w="2382" w:type="dxa"/>
            <w:tcBorders>
              <w:top w:val="single" w:sz="6" w:space="0" w:color="auto"/>
              <w:left w:val="single" w:sz="6" w:space="0" w:color="auto"/>
              <w:bottom w:val="single" w:sz="6" w:space="0" w:color="auto"/>
              <w:right w:val="single" w:sz="6" w:space="0" w:color="auto"/>
            </w:tcBorders>
            <w:vAlign w:val="center"/>
            <w:hideMark/>
          </w:tcPr>
          <w:p w14:paraId="48F979EF"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Constant Murley </w:t>
            </w:r>
          </w:p>
        </w:tc>
        <w:tc>
          <w:tcPr>
            <w:tcW w:w="1663" w:type="dxa"/>
            <w:tcBorders>
              <w:top w:val="single" w:sz="6" w:space="0" w:color="auto"/>
              <w:left w:val="single" w:sz="6" w:space="0" w:color="auto"/>
              <w:bottom w:val="single" w:sz="6" w:space="0" w:color="auto"/>
              <w:right w:val="single" w:sz="6" w:space="0" w:color="auto"/>
            </w:tcBorders>
            <w:vAlign w:val="center"/>
            <w:hideMark/>
          </w:tcPr>
          <w:p w14:paraId="25C791F4"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80.2±19.0 </w:t>
            </w:r>
          </w:p>
        </w:tc>
        <w:tc>
          <w:tcPr>
            <w:tcW w:w="1663" w:type="dxa"/>
            <w:tcBorders>
              <w:top w:val="single" w:sz="6" w:space="0" w:color="auto"/>
              <w:left w:val="single" w:sz="6" w:space="0" w:color="auto"/>
              <w:bottom w:val="single" w:sz="6" w:space="0" w:color="auto"/>
              <w:right w:val="single" w:sz="6" w:space="0" w:color="auto"/>
            </w:tcBorders>
            <w:vAlign w:val="center"/>
            <w:hideMark/>
          </w:tcPr>
          <w:p w14:paraId="74370618"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66.2±27.6 </w:t>
            </w:r>
          </w:p>
        </w:tc>
        <w:tc>
          <w:tcPr>
            <w:tcW w:w="1615" w:type="dxa"/>
            <w:tcBorders>
              <w:top w:val="single" w:sz="6" w:space="0" w:color="auto"/>
              <w:left w:val="single" w:sz="6" w:space="0" w:color="auto"/>
              <w:bottom w:val="single" w:sz="6" w:space="0" w:color="auto"/>
              <w:right w:val="single" w:sz="6" w:space="0" w:color="auto"/>
            </w:tcBorders>
            <w:vAlign w:val="center"/>
            <w:hideMark/>
          </w:tcPr>
          <w:p w14:paraId="7DF1B95B"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0.0150 </w:t>
            </w:r>
          </w:p>
        </w:tc>
        <w:tc>
          <w:tcPr>
            <w:tcW w:w="2025" w:type="dxa"/>
            <w:tcBorders>
              <w:top w:val="single" w:sz="6" w:space="0" w:color="auto"/>
              <w:left w:val="single" w:sz="6" w:space="0" w:color="auto"/>
              <w:bottom w:val="single" w:sz="6" w:space="0" w:color="auto"/>
              <w:right w:val="single" w:sz="6" w:space="0" w:color="auto"/>
            </w:tcBorders>
            <w:vAlign w:val="center"/>
            <w:hideMark/>
          </w:tcPr>
          <w:p w14:paraId="3D60D4F7" w14:textId="77777777" w:rsidR="004D72CE" w:rsidRPr="002D592C" w:rsidRDefault="004D72CE">
            <w:pPr>
              <w:pStyle w:val="Instructionaltext"/>
              <w:rPr>
                <w:rFonts w:ascii="Arial Narrow" w:hAnsi="Arial Narrow"/>
                <w:color w:val="auto"/>
                <w:sz w:val="20"/>
                <w:szCs w:val="20"/>
              </w:rPr>
            </w:pPr>
            <w:r w:rsidRPr="002D592C">
              <w:rPr>
                <w:rFonts w:ascii="Arial Narrow" w:hAnsi="Arial Narrow"/>
                <w:color w:val="auto"/>
                <w:sz w:val="20"/>
                <w:szCs w:val="20"/>
              </w:rPr>
              <w:t>11.2 </w:t>
            </w:r>
          </w:p>
        </w:tc>
      </w:tr>
    </w:tbl>
    <w:p w14:paraId="3B6D7D29" w14:textId="77777777" w:rsidR="004D72CE" w:rsidRDefault="004D72CE" w:rsidP="004D72CE">
      <w:pPr>
        <w:pStyle w:val="Instructionaltext"/>
        <w:spacing w:before="0" w:after="0" w:line="240" w:lineRule="auto"/>
        <w:rPr>
          <w:rFonts w:ascii="Arial Narrow" w:hAnsi="Arial Narrow"/>
          <w:color w:val="auto"/>
          <w:sz w:val="18"/>
          <w:szCs w:val="18"/>
        </w:rPr>
      </w:pPr>
      <w:r w:rsidRPr="002D592C">
        <w:rPr>
          <w:rFonts w:ascii="Arial Narrow" w:hAnsi="Arial Narrow"/>
          <w:color w:val="auto"/>
          <w:sz w:val="18"/>
          <w:szCs w:val="18"/>
        </w:rPr>
        <w:t>The values are given as mean ± standard deviation. ASES = American Shoulder and Elbow Society. MCID = Minimally clinical important difference. P-value represents significant difference between healed and retorn tendons. </w:t>
      </w:r>
    </w:p>
    <w:p w14:paraId="72676DE0" w14:textId="10A2C4A3" w:rsidR="004D72CE" w:rsidRPr="002D592C" w:rsidRDefault="004D72CE" w:rsidP="004D72CE">
      <w:pPr>
        <w:pStyle w:val="Instructionaltext"/>
        <w:spacing w:before="0" w:after="0" w:line="240" w:lineRule="auto"/>
        <w:rPr>
          <w:rFonts w:ascii="Arial Narrow" w:hAnsi="Arial Narrow"/>
          <w:color w:val="auto"/>
          <w:sz w:val="18"/>
          <w:szCs w:val="18"/>
        </w:rPr>
      </w:pPr>
      <w:r w:rsidRPr="002D592C">
        <w:rPr>
          <w:rFonts w:ascii="Arial Narrow" w:hAnsi="Arial Narrow"/>
          <w:color w:val="auto"/>
          <w:sz w:val="18"/>
          <w:szCs w:val="18"/>
        </w:rPr>
        <w:t xml:space="preserve">Source: </w:t>
      </w:r>
      <w:r w:rsidR="00EE7E33" w:rsidRPr="00660253">
        <w:rPr>
          <w:rFonts w:ascii="Arial Narrow" w:hAnsi="Arial Narrow"/>
          <w:color w:val="auto"/>
          <w:sz w:val="18"/>
          <w:szCs w:val="18"/>
        </w:rPr>
        <w:t>Table 25, p</w:t>
      </w:r>
      <w:r w:rsidR="003A5C5C" w:rsidRPr="00660253">
        <w:rPr>
          <w:rFonts w:ascii="Arial Narrow" w:hAnsi="Arial Narrow"/>
          <w:color w:val="auto"/>
          <w:sz w:val="18"/>
          <w:szCs w:val="18"/>
        </w:rPr>
        <w:t xml:space="preserve"> </w:t>
      </w:r>
      <w:r w:rsidR="00D45338" w:rsidRPr="00660253">
        <w:rPr>
          <w:rFonts w:ascii="Arial Narrow" w:hAnsi="Arial Narrow"/>
          <w:color w:val="auto"/>
          <w:sz w:val="18"/>
          <w:szCs w:val="18"/>
        </w:rPr>
        <w:t>94 of the ADAR</w:t>
      </w:r>
      <w:r w:rsidR="00EE7E33" w:rsidRPr="00660253">
        <w:rPr>
          <w:rFonts w:ascii="Arial Narrow" w:hAnsi="Arial Narrow"/>
          <w:color w:val="auto"/>
          <w:sz w:val="18"/>
          <w:szCs w:val="18"/>
        </w:rPr>
        <w:t xml:space="preserve"> </w:t>
      </w:r>
      <w:r w:rsidR="00006EF0" w:rsidRPr="00660253">
        <w:rPr>
          <w:rFonts w:ascii="Arial Narrow" w:hAnsi="Arial Narrow"/>
          <w:color w:val="auto"/>
          <w:sz w:val="18"/>
          <w:szCs w:val="18"/>
        </w:rPr>
        <w:fldChar w:fldCharType="begin"/>
      </w:r>
      <w:r w:rsidR="00006EF0" w:rsidRPr="00660253">
        <w:rPr>
          <w:rFonts w:ascii="Arial Narrow" w:hAnsi="Arial Narrow"/>
          <w:color w:val="auto"/>
          <w:sz w:val="18"/>
          <w:szCs w:val="18"/>
        </w:rPr>
        <w:instrText xml:space="preserve"> ADDIN EN.CITE &lt;EndNote&gt;&lt;Cite&gt;&lt;Author&gt;Ruiz Iban et al.&lt;/Author&gt;&lt;Year&gt;2025 (CSR)&lt;/Year&gt;&lt;RecNum&gt;150&lt;/RecNum&gt;&lt;DisplayText&gt;(Ruiz Iban et al., 2025 (CSR))&lt;/DisplayText&gt;&lt;record&gt;&lt;rec-number&gt;150&lt;/rec-number&gt;&lt;foreign-keys&gt;&lt;key app="EN" db-id="eseerzsf3dstfledw5yv2dxywzeeasdr9def" timestamp="1737508340"&gt;150&lt;/key&gt;&lt;/foreign-keys&gt;&lt;ref-type name="Unpublished Work"&gt;34&lt;/ref-type&gt;&lt;contributors&gt;&lt;authors&gt;&lt;author&gt;Ruiz Iban et al.,&lt;/author&gt;&lt;/authors&gt;&lt;/contributors&gt;&lt;titles&gt;&lt;title&gt;Clinical Activity Report: Final Analysis. Clinical Trial on the Effect of REGENETEN Bioinductive Implant in the Supraspinatus Tendon Repair&lt;/title&gt;&lt;/titles&gt;&lt;dates&gt;&lt;year&gt;2025 (CSR)&lt;/year&gt;&lt;/dates&gt;&lt;publisher&gt;Smith &amp;amp; Nephew&lt;/publisher&gt;&lt;urls&gt;&lt;/urls&gt;&lt;/record&gt;&lt;/Cite&gt;&lt;/EndNote&gt;</w:instrText>
      </w:r>
      <w:r w:rsidR="00006EF0" w:rsidRPr="00660253">
        <w:rPr>
          <w:rFonts w:ascii="Arial Narrow" w:hAnsi="Arial Narrow"/>
          <w:color w:val="auto"/>
          <w:sz w:val="18"/>
          <w:szCs w:val="18"/>
        </w:rPr>
        <w:fldChar w:fldCharType="separate"/>
      </w:r>
      <w:r w:rsidR="00006EF0" w:rsidRPr="00660253">
        <w:rPr>
          <w:rFonts w:ascii="Arial Narrow" w:hAnsi="Arial Narrow"/>
          <w:noProof/>
          <w:color w:val="auto"/>
          <w:sz w:val="18"/>
          <w:szCs w:val="18"/>
        </w:rPr>
        <w:t>(Ruiz Iban et al., 2025 (CSR))</w:t>
      </w:r>
      <w:r w:rsidR="00006EF0" w:rsidRPr="00660253">
        <w:rPr>
          <w:rFonts w:ascii="Arial Narrow" w:hAnsi="Arial Narrow"/>
          <w:color w:val="auto"/>
          <w:sz w:val="18"/>
          <w:szCs w:val="18"/>
        </w:rPr>
        <w:fldChar w:fldCharType="end"/>
      </w:r>
      <w:r w:rsidR="00006EF0" w:rsidRPr="00660253">
        <w:rPr>
          <w:rFonts w:ascii="Arial Narrow" w:hAnsi="Arial Narrow"/>
          <w:color w:val="auto"/>
          <w:sz w:val="18"/>
          <w:szCs w:val="18"/>
        </w:rPr>
        <w:t xml:space="preserve"> </w:t>
      </w:r>
    </w:p>
    <w:p w14:paraId="0F1DFF9A" w14:textId="1D0E3891" w:rsidR="00EE7E33" w:rsidRDefault="00EE7E33" w:rsidP="00F32A4E">
      <w:pPr>
        <w:pStyle w:val="Instructionaltext"/>
        <w:rPr>
          <w:color w:val="auto"/>
        </w:rPr>
      </w:pPr>
      <w:r>
        <w:rPr>
          <w:color w:val="auto"/>
        </w:rPr>
        <w:t xml:space="preserve">In their pre-MSAC response, the applicant claimed the statistically significant improvements in ASES and CMS at 24 months for healed tendons compared to those with retears, and the fact that the MCID threshold had been exceeded, supported the claim that imaging-confirm healing is a valid and relevant surrogate marker for patient benefit. </w:t>
      </w:r>
    </w:p>
    <w:p w14:paraId="122CB0B7" w14:textId="67F7239C" w:rsidR="00F32A4E" w:rsidRPr="00185F7F" w:rsidRDefault="00584048" w:rsidP="00F32A4E">
      <w:pPr>
        <w:pStyle w:val="Instructionaltext"/>
        <w:rPr>
          <w:b/>
          <w:bCs/>
        </w:rPr>
      </w:pPr>
      <w:r>
        <w:rPr>
          <w:color w:val="auto"/>
        </w:rPr>
        <w:t xml:space="preserve">MSAC </w:t>
      </w:r>
      <w:r w:rsidR="00736663">
        <w:rPr>
          <w:color w:val="auto"/>
        </w:rPr>
        <w:t xml:space="preserve">considered that </w:t>
      </w:r>
      <w:r w:rsidR="009E283A">
        <w:rPr>
          <w:color w:val="auto"/>
        </w:rPr>
        <w:t xml:space="preserve">this post hoc analysis of trial participants from </w:t>
      </w:r>
      <w:r w:rsidR="009E283A" w:rsidRPr="00185F7F">
        <w:rPr>
          <w:color w:val="auto"/>
        </w:rPr>
        <w:t xml:space="preserve">Ruiz </w:t>
      </w:r>
      <w:proofErr w:type="spellStart"/>
      <w:r w:rsidR="009E283A" w:rsidRPr="00185F7F">
        <w:rPr>
          <w:color w:val="auto"/>
        </w:rPr>
        <w:t>Ibán</w:t>
      </w:r>
      <w:proofErr w:type="spellEnd"/>
      <w:r w:rsidR="009E283A" w:rsidRPr="00185F7F">
        <w:rPr>
          <w:color w:val="auto"/>
        </w:rPr>
        <w:t xml:space="preserve"> et al. 2025 </w:t>
      </w:r>
      <w:r w:rsidR="000B4C23" w:rsidRPr="00185F7F">
        <w:rPr>
          <w:color w:val="auto"/>
        </w:rPr>
        <w:t>was a lower level of evidence with a higher risk of bias because it was no longer making a comparison between</w:t>
      </w:r>
      <w:r w:rsidR="00AD0E5C">
        <w:rPr>
          <w:color w:val="auto"/>
        </w:rPr>
        <w:t xml:space="preserve"> the</w:t>
      </w:r>
      <w:r w:rsidR="000B4C23" w:rsidRPr="00185F7F">
        <w:rPr>
          <w:color w:val="auto"/>
        </w:rPr>
        <w:t xml:space="preserve"> </w:t>
      </w:r>
      <w:r w:rsidR="00AD0E5C" w:rsidRPr="00185F7F">
        <w:rPr>
          <w:color w:val="auto"/>
        </w:rPr>
        <w:t>BCI and standard surgical repair groups</w:t>
      </w:r>
      <w:r w:rsidR="00AD0E5C">
        <w:rPr>
          <w:color w:val="auto"/>
        </w:rPr>
        <w:t xml:space="preserve"> in the randomised trial</w:t>
      </w:r>
      <w:r w:rsidR="000B4C23" w:rsidRPr="00185F7F">
        <w:rPr>
          <w:color w:val="auto"/>
        </w:rPr>
        <w:t xml:space="preserve">. MSAC considered a relationship between retear rates on imaging and functional outcomes was not supported because higher quality, direct evidence from the Ruiz </w:t>
      </w:r>
      <w:proofErr w:type="spellStart"/>
      <w:r w:rsidR="000B4C23" w:rsidRPr="00185F7F">
        <w:rPr>
          <w:color w:val="auto"/>
        </w:rPr>
        <w:t>Ibán</w:t>
      </w:r>
      <w:proofErr w:type="spellEnd"/>
      <w:r w:rsidR="000B4C23" w:rsidRPr="00185F7F">
        <w:rPr>
          <w:color w:val="auto"/>
        </w:rPr>
        <w:t xml:space="preserve"> et al. 2025 randomised trial showed that while surgery with BCI had a lower retear rate on imaging, functional outcomes were similar between patients who had surgery with BCI or standard surgery.</w:t>
      </w:r>
    </w:p>
    <w:p w14:paraId="213924C6" w14:textId="11D5654C" w:rsidR="00772829" w:rsidRPr="0062012F" w:rsidRDefault="00772829" w:rsidP="0062012F">
      <w:pPr>
        <w:pStyle w:val="Heading4"/>
        <w:spacing w:before="0" w:after="120"/>
      </w:pPr>
      <w:r w:rsidRPr="0062012F">
        <w:t>Clinical claim</w:t>
      </w:r>
    </w:p>
    <w:p w14:paraId="47C68498" w14:textId="4D8F7F97" w:rsidR="00386E03" w:rsidRDefault="00386E03" w:rsidP="00621F31">
      <w:bookmarkStart w:id="36" w:name="_Toc69491425"/>
      <w:r w:rsidRPr="009B4DB6">
        <w:t xml:space="preserve">The clinical claim is that </w:t>
      </w:r>
      <w:r>
        <w:t>t</w:t>
      </w:r>
      <w:r w:rsidRPr="00B1275F">
        <w:t xml:space="preserve">he </w:t>
      </w:r>
      <w:r w:rsidR="00A31687">
        <w:t>BCI</w:t>
      </w:r>
      <w:r w:rsidR="009D39F1">
        <w:t xml:space="preserve"> </w:t>
      </w:r>
      <w:r w:rsidR="009D39F1" w:rsidRPr="00B1275F">
        <w:t>results</w:t>
      </w:r>
      <w:r w:rsidRPr="00B1275F">
        <w:t xml:space="preserve"> in superior health outcomes for patients with </w:t>
      </w:r>
      <w:r w:rsidR="00A31687">
        <w:t>FTRCT</w:t>
      </w:r>
      <w:r w:rsidRPr="00B1275F">
        <w:t xml:space="preserve"> through improved efficacy and non-inferior safety in comparison standard surgical repair.</w:t>
      </w:r>
      <w:r w:rsidRPr="008F2269">
        <w:t xml:space="preserve"> </w:t>
      </w:r>
    </w:p>
    <w:p w14:paraId="23BAAC55" w14:textId="3302C326" w:rsidR="00896A98" w:rsidRPr="00896A98" w:rsidDel="00744255" w:rsidRDefault="00896A98" w:rsidP="00383E57">
      <w:pPr>
        <w:widowControl w:val="0"/>
        <w:spacing w:line="256" w:lineRule="auto"/>
        <w:rPr>
          <w:rFonts w:asciiTheme="minorHAnsi" w:hAnsiTheme="minorHAnsi" w:cstheme="minorHAnsi"/>
        </w:rPr>
      </w:pPr>
      <w:r w:rsidDel="00744255">
        <w:t xml:space="preserve">The commentary considered the clinical claim of noninferior safety reasonable with safety outcome data available for up to 24 months post-surgery. </w:t>
      </w:r>
      <w:r w:rsidDel="00D80FA8">
        <w:t xml:space="preserve">However, adverse event incidence </w:t>
      </w:r>
      <w:r w:rsidDel="00D80FA8">
        <w:lastRenderedPageBreak/>
        <w:t xml:space="preserve">rates were low, leading to large confidence intervals in the comparative analysis. </w:t>
      </w:r>
    </w:p>
    <w:p w14:paraId="25D990DD" w14:textId="5923C33B" w:rsidR="00386E03" w:rsidRDefault="00386E03" w:rsidP="00386E03">
      <w:r>
        <w:t>The</w:t>
      </w:r>
      <w:r w:rsidR="00896A98">
        <w:t xml:space="preserve"> commentary considered the</w:t>
      </w:r>
      <w:r>
        <w:t xml:space="preserve"> clinical claim of </w:t>
      </w:r>
      <w:r>
        <w:rPr>
          <w:bCs/>
        </w:rPr>
        <w:t xml:space="preserve">superior effectiveness </w:t>
      </w:r>
      <w:r w:rsidR="00896A98">
        <w:rPr>
          <w:bCs/>
        </w:rPr>
        <w:t xml:space="preserve">was </w:t>
      </w:r>
      <w:r>
        <w:t>uncertain because:</w:t>
      </w:r>
    </w:p>
    <w:p w14:paraId="31DFB619" w14:textId="6DA08058" w:rsidR="009D54F0" w:rsidRDefault="00386E03" w:rsidP="00FA2ABF">
      <w:pPr>
        <w:pStyle w:val="ListParagraph"/>
        <w:widowControl w:val="0"/>
        <w:numPr>
          <w:ilvl w:val="0"/>
          <w:numId w:val="11"/>
        </w:numPr>
        <w:spacing w:line="256" w:lineRule="auto"/>
      </w:pPr>
      <w:r>
        <w:t xml:space="preserve">The results from the main trial, Ruiz </w:t>
      </w:r>
      <w:proofErr w:type="spellStart"/>
      <w:r w:rsidR="00241CBA" w:rsidRPr="00BB05DE">
        <w:t>Ibán</w:t>
      </w:r>
      <w:proofErr w:type="spellEnd"/>
      <w:r>
        <w:t xml:space="preserve"> </w:t>
      </w:r>
      <w:r w:rsidR="00FA23E6">
        <w:t>(</w:t>
      </w:r>
      <w:r>
        <w:t>202</w:t>
      </w:r>
      <w:r w:rsidR="00FA23E6">
        <w:t>5)</w:t>
      </w:r>
      <w:r>
        <w:t xml:space="preserve">, showed superiority </w:t>
      </w:r>
      <w:r w:rsidR="00F14FCD">
        <w:t xml:space="preserve">only </w:t>
      </w:r>
      <w:r>
        <w:t xml:space="preserve">in imaging-based outcomes such as retear rates. </w:t>
      </w:r>
      <w:r w:rsidR="0011262A">
        <w:t>T</w:t>
      </w:r>
      <w:r w:rsidR="00A97B9F" w:rsidRPr="00A97B9F">
        <w:t>he</w:t>
      </w:r>
      <w:r w:rsidR="00A97B9F">
        <w:t xml:space="preserve"> </w:t>
      </w:r>
      <w:r w:rsidR="00A97B9F" w:rsidRPr="00A97B9F">
        <w:t>ADAR argued that</w:t>
      </w:r>
      <w:r w:rsidR="00CD756A">
        <w:t xml:space="preserve"> </w:t>
      </w:r>
      <w:r w:rsidR="0011262A">
        <w:t>‘</w:t>
      </w:r>
      <w:r w:rsidR="00A97B9F" w:rsidRPr="00A97B9F">
        <w:t xml:space="preserve">The concerns </w:t>
      </w:r>
      <w:r w:rsidR="0011262A">
        <w:t>(</w:t>
      </w:r>
      <w:r w:rsidR="00A97B9F">
        <w:t xml:space="preserve">around </w:t>
      </w:r>
      <w:r w:rsidR="005E71E7">
        <w:t xml:space="preserve">imaging outcomes and PROs </w:t>
      </w:r>
      <w:r w:rsidR="00A97B9F" w:rsidRPr="00A97B9F">
        <w:t>raised</w:t>
      </w:r>
      <w:r w:rsidR="0011262A">
        <w:t>)</w:t>
      </w:r>
      <w:r w:rsidR="00A97B9F" w:rsidRPr="00A97B9F">
        <w:t xml:space="preserve"> by MSAC </w:t>
      </w:r>
      <w:r w:rsidR="004D43C1">
        <w:t xml:space="preserve">previously </w:t>
      </w:r>
      <w:r w:rsidR="00A97B9F" w:rsidRPr="00A97B9F">
        <w:t xml:space="preserve">are addressable, especially when considering the robust combined evidence from RCTs outlined in the literature alongside the updated two-year Ruiz </w:t>
      </w:r>
      <w:proofErr w:type="spellStart"/>
      <w:r w:rsidR="0091327B" w:rsidRPr="00BB05DE">
        <w:t>Ibán</w:t>
      </w:r>
      <w:proofErr w:type="spellEnd"/>
      <w:r w:rsidR="00A97B9F" w:rsidRPr="00A97B9F">
        <w:t xml:space="preserve"> data, which strengthens the case for this outcome's clinical significance.</w:t>
      </w:r>
      <w:r w:rsidR="00CD756A">
        <w:t>’</w:t>
      </w:r>
    </w:p>
    <w:p w14:paraId="315E5D7A" w14:textId="629524AA" w:rsidR="00292E5C" w:rsidRDefault="007573A1" w:rsidP="00FA2ABF">
      <w:pPr>
        <w:pStyle w:val="ListParagraph"/>
        <w:widowControl w:val="0"/>
        <w:numPr>
          <w:ilvl w:val="0"/>
          <w:numId w:val="11"/>
        </w:numPr>
        <w:spacing w:line="256" w:lineRule="auto"/>
      </w:pPr>
      <w:r>
        <w:t xml:space="preserve">The ADAR </w:t>
      </w:r>
      <w:r w:rsidR="004F3D57">
        <w:t>stated that r</w:t>
      </w:r>
      <w:r w:rsidR="00A97B9F" w:rsidRPr="00A97B9F">
        <w:t>adiographic retears</w:t>
      </w:r>
      <w:r w:rsidR="00A97B9F">
        <w:t xml:space="preserve"> </w:t>
      </w:r>
      <w:r w:rsidR="00A97B9F" w:rsidRPr="00A97B9F">
        <w:t>are strongly supported by a robust body of evidence underscoring their significant clinical relevance</w:t>
      </w:r>
      <w:r w:rsidR="004F3D57">
        <w:t xml:space="preserve">, although no evidence was presented </w:t>
      </w:r>
      <w:r w:rsidR="00205F3C">
        <w:t xml:space="preserve">in the ADAR </w:t>
      </w:r>
      <w:r w:rsidR="004F3D57">
        <w:t>to support</w:t>
      </w:r>
      <w:r w:rsidR="002B5011">
        <w:t xml:space="preserve"> th</w:t>
      </w:r>
      <w:r w:rsidR="00D80FA8">
        <w:t>is</w:t>
      </w:r>
      <w:r w:rsidR="002B5011">
        <w:t xml:space="preserve"> statement</w:t>
      </w:r>
      <w:r w:rsidR="00A97B9F" w:rsidRPr="00A97B9F">
        <w:t xml:space="preserve">. </w:t>
      </w:r>
      <w:r w:rsidR="00F14FCD">
        <w:t>I</w:t>
      </w:r>
      <w:r w:rsidR="000706DA">
        <w:t xml:space="preserve">n </w:t>
      </w:r>
      <w:r w:rsidR="00D80FA8">
        <w:t xml:space="preserve">Ruiz </w:t>
      </w:r>
      <w:proofErr w:type="spellStart"/>
      <w:r w:rsidR="00241CBA" w:rsidRPr="00BB05DE">
        <w:t>Ibán</w:t>
      </w:r>
      <w:proofErr w:type="spellEnd"/>
      <w:r w:rsidR="00D80FA8">
        <w:t xml:space="preserve"> (2025)</w:t>
      </w:r>
      <w:r w:rsidR="000706DA">
        <w:t xml:space="preserve"> </w:t>
      </w:r>
      <w:r w:rsidR="00386E03">
        <w:t xml:space="preserve">no significant differences were reported in </w:t>
      </w:r>
      <w:r w:rsidR="000706DA">
        <w:t>PROs</w:t>
      </w:r>
      <w:r w:rsidR="00FA23E6">
        <w:t xml:space="preserve"> </w:t>
      </w:r>
      <w:r w:rsidR="00386E03">
        <w:t xml:space="preserve">compared to standard of care </w:t>
      </w:r>
      <w:r w:rsidR="00386E03">
        <w:rPr>
          <w:rFonts w:eastAsiaTheme="majorEastAsia"/>
        </w:rPr>
        <w:t xml:space="preserve">(e.g., </w:t>
      </w:r>
      <w:r w:rsidR="00386E03">
        <w:t>the CMS, ASES score or EQ-5D-5L).</w:t>
      </w:r>
      <w:r w:rsidR="00A97B9F" w:rsidRPr="00A97B9F">
        <w:t xml:space="preserve"> </w:t>
      </w:r>
    </w:p>
    <w:p w14:paraId="2697395D" w14:textId="0F12B440" w:rsidR="00386E03" w:rsidDel="00D80FA8" w:rsidRDefault="00292E5C" w:rsidP="00FA2ABF">
      <w:pPr>
        <w:pStyle w:val="ListParagraph"/>
        <w:widowControl w:val="0"/>
        <w:numPr>
          <w:ilvl w:val="0"/>
          <w:numId w:val="11"/>
        </w:numPr>
        <w:spacing w:line="256" w:lineRule="auto"/>
      </w:pPr>
      <w:r w:rsidDel="00D80FA8">
        <w:t>There were differences between the two trials, with</w:t>
      </w:r>
      <w:r w:rsidRPr="00292E5C" w:rsidDel="00D80FA8">
        <w:t xml:space="preserve"> Camacho-Chacon (</w:t>
      </w:r>
      <w:r w:rsidRPr="00292E5C">
        <w:t>2023</w:t>
      </w:r>
      <w:r w:rsidRPr="00292E5C" w:rsidDel="00D80FA8">
        <w:t>)</w:t>
      </w:r>
      <w:r w:rsidDel="00D80FA8">
        <w:t xml:space="preserve"> demonstrating </w:t>
      </w:r>
      <w:r w:rsidR="0053250E" w:rsidDel="00D80FA8">
        <w:t>significant differences in outcomes where</w:t>
      </w:r>
      <w:r w:rsidR="00386E03" w:rsidDel="00D80FA8">
        <w:t xml:space="preserve"> </w:t>
      </w:r>
      <w:r w:rsidR="0053250E" w:rsidDel="00D80FA8">
        <w:t xml:space="preserve">Ruiz </w:t>
      </w:r>
      <w:proofErr w:type="spellStart"/>
      <w:r w:rsidR="00241CBA" w:rsidRPr="00BB05DE">
        <w:t>Ibán</w:t>
      </w:r>
      <w:proofErr w:type="spellEnd"/>
      <w:r w:rsidR="0053250E" w:rsidDel="00D80FA8">
        <w:t xml:space="preserve"> (2025) did not, suggesting that there may be some issues with the sample sizes</w:t>
      </w:r>
      <w:r w:rsidR="00C16AAC" w:rsidDel="00D80FA8">
        <w:t xml:space="preserve"> and the different surgical approaches in the two trials</w:t>
      </w:r>
      <w:r w:rsidR="0053250E" w:rsidDel="00D80FA8">
        <w:t>.</w:t>
      </w:r>
    </w:p>
    <w:p w14:paraId="73BBA9F0" w14:textId="429B71D9" w:rsidR="005B5094" w:rsidRDefault="00C65A2C" w:rsidP="00FA2ABF">
      <w:pPr>
        <w:pStyle w:val="ListParagraph"/>
        <w:widowControl w:val="0"/>
        <w:numPr>
          <w:ilvl w:val="0"/>
          <w:numId w:val="11"/>
        </w:numPr>
        <w:spacing w:line="256" w:lineRule="auto"/>
      </w:pPr>
      <w:r>
        <w:t>There was no significant difference in the MCID of CMS between the treatment groups.</w:t>
      </w:r>
    </w:p>
    <w:p w14:paraId="0D09C9E4" w14:textId="3868EF9C" w:rsidR="00772829" w:rsidRPr="00CE28E3" w:rsidRDefault="00772829" w:rsidP="003126F5">
      <w:pPr>
        <w:pStyle w:val="Heading2"/>
        <w:numPr>
          <w:ilvl w:val="0"/>
          <w:numId w:val="16"/>
        </w:numPr>
        <w:ind w:hanging="720"/>
      </w:pPr>
      <w:r w:rsidRPr="00CE28E3">
        <w:t>Economic evaluation</w:t>
      </w:r>
      <w:bookmarkEnd w:id="36"/>
    </w:p>
    <w:p w14:paraId="15391B96" w14:textId="17338D68" w:rsidR="00FA3114" w:rsidRDefault="00FA3114" w:rsidP="00FA3114">
      <w:r>
        <w:t>The ADAR included an economic evaluation utili</w:t>
      </w:r>
      <w:r w:rsidR="001F1CFC">
        <w:t>s</w:t>
      </w:r>
      <w:r>
        <w:t>ing a decision tree model with a two-year time horizon. A CUA and CEA was performed by integrating retear rates from clinical literature and assigning utility values to patients with successful treatment outcomes and those experiencing retears. The ADAR justified the two-year time horizon as adequate to account for most retears and the associated treatment costs.</w:t>
      </w:r>
    </w:p>
    <w:p w14:paraId="3BA2A18F" w14:textId="56A41CDA" w:rsidR="00D86DA1" w:rsidRDefault="009768E0" w:rsidP="00F8298D">
      <w:r>
        <w:fldChar w:fldCharType="begin"/>
      </w:r>
      <w:r>
        <w:instrText xml:space="preserve"> REF _Ref214891994 \h </w:instrText>
      </w:r>
      <w:r>
        <w:fldChar w:fldCharType="separate"/>
      </w:r>
      <w:r>
        <w:t xml:space="preserve">Table </w:t>
      </w:r>
      <w:r>
        <w:rPr>
          <w:noProof/>
        </w:rPr>
        <w:t>10</w:t>
      </w:r>
      <w:r>
        <w:fldChar w:fldCharType="end"/>
      </w:r>
      <w:r w:rsidR="00D86DA1" w:rsidRPr="00D86DA1">
        <w:t xml:space="preserve"> summarised the economic evaluation presented in the</w:t>
      </w:r>
      <w:r w:rsidR="009C4620">
        <w:t xml:space="preserve"> current ADAR</w:t>
      </w:r>
      <w:r w:rsidR="00D86DA1" w:rsidRPr="00D86DA1">
        <w:t xml:space="preserve">. </w:t>
      </w:r>
    </w:p>
    <w:p w14:paraId="7832FEBA" w14:textId="10F9BCA9" w:rsidR="00C107C3" w:rsidRDefault="00610038" w:rsidP="00610038">
      <w:pPr>
        <w:pStyle w:val="Caption"/>
      </w:pPr>
      <w:bookmarkStart w:id="37" w:name="_Ref214891994"/>
      <w:r>
        <w:lastRenderedPageBreak/>
        <w:t xml:space="preserve">Table </w:t>
      </w:r>
      <w:r>
        <w:fldChar w:fldCharType="begin"/>
      </w:r>
      <w:r>
        <w:instrText xml:space="preserve"> SEQ Table \* ARABIC </w:instrText>
      </w:r>
      <w:r>
        <w:fldChar w:fldCharType="separate"/>
      </w:r>
      <w:r w:rsidR="00564C3F">
        <w:rPr>
          <w:noProof/>
        </w:rPr>
        <w:t>10</w:t>
      </w:r>
      <w:r>
        <w:fldChar w:fldCharType="end"/>
      </w:r>
      <w:bookmarkEnd w:id="37"/>
      <w:r>
        <w:tab/>
      </w:r>
      <w:r w:rsidR="00C107C3" w:rsidRPr="00CE28E3">
        <w:t xml:space="preserve">Summary of the economic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6699"/>
      </w:tblGrid>
      <w:tr w:rsidR="006E5FC1" w:rsidRPr="0062012F" w14:paraId="550EA889" w14:textId="77777777" w:rsidTr="00DE3A3B">
        <w:trPr>
          <w:tblHeader/>
        </w:trPr>
        <w:tc>
          <w:tcPr>
            <w:tcW w:w="1285" w:type="pct"/>
            <w:shd w:val="clear" w:color="auto" w:fill="D9D9D9" w:themeFill="background1" w:themeFillShade="D9"/>
          </w:tcPr>
          <w:p w14:paraId="44841A39" w14:textId="77777777" w:rsidR="006E5FC1" w:rsidRPr="0062012F" w:rsidRDefault="006E5FC1">
            <w:pPr>
              <w:pStyle w:val="TableHeading"/>
              <w:rPr>
                <w:rFonts w:cstheme="minorHAnsi"/>
                <w:szCs w:val="20"/>
              </w:rPr>
            </w:pPr>
          </w:p>
        </w:tc>
        <w:tc>
          <w:tcPr>
            <w:tcW w:w="3715" w:type="pct"/>
            <w:shd w:val="clear" w:color="auto" w:fill="D9D9D9" w:themeFill="background1" w:themeFillShade="D9"/>
          </w:tcPr>
          <w:p w14:paraId="1AEEC52A" w14:textId="77777777" w:rsidR="006E5FC1" w:rsidRPr="0062012F" w:rsidRDefault="006E5FC1">
            <w:pPr>
              <w:pStyle w:val="TableHeading"/>
              <w:rPr>
                <w:rFonts w:cstheme="minorHAnsi"/>
                <w:szCs w:val="20"/>
              </w:rPr>
            </w:pPr>
            <w:r w:rsidRPr="0062012F">
              <w:rPr>
                <w:rFonts w:cstheme="minorHAnsi"/>
                <w:szCs w:val="20"/>
              </w:rPr>
              <w:t>Description</w:t>
            </w:r>
          </w:p>
        </w:tc>
      </w:tr>
      <w:tr w:rsidR="006E5FC1" w:rsidRPr="0062012F" w14:paraId="6B609D63" w14:textId="77777777" w:rsidTr="00DE3A3B">
        <w:tc>
          <w:tcPr>
            <w:tcW w:w="1285" w:type="pct"/>
          </w:tcPr>
          <w:p w14:paraId="2E64662A" w14:textId="77777777" w:rsidR="006E5FC1" w:rsidRPr="0062012F" w:rsidRDefault="006E5FC1">
            <w:pPr>
              <w:pStyle w:val="TableText"/>
              <w:keepNext/>
              <w:rPr>
                <w:rFonts w:cstheme="minorHAnsi"/>
                <w:szCs w:val="20"/>
              </w:rPr>
            </w:pPr>
            <w:r w:rsidRPr="0062012F">
              <w:rPr>
                <w:rFonts w:cstheme="minorHAnsi"/>
                <w:szCs w:val="20"/>
              </w:rPr>
              <w:t>Perspective</w:t>
            </w:r>
          </w:p>
        </w:tc>
        <w:tc>
          <w:tcPr>
            <w:tcW w:w="3715" w:type="pct"/>
          </w:tcPr>
          <w:p w14:paraId="5CB01D4B" w14:textId="2FC4822F" w:rsidR="006E5FC1" w:rsidRPr="0062012F" w:rsidRDefault="006E5FC1">
            <w:pPr>
              <w:pStyle w:val="TableText"/>
              <w:keepNext/>
              <w:rPr>
                <w:rFonts w:cstheme="minorHAnsi"/>
                <w:szCs w:val="20"/>
              </w:rPr>
            </w:pPr>
            <w:r w:rsidRPr="0062012F">
              <w:rPr>
                <w:rFonts w:cstheme="minorHAnsi"/>
                <w:szCs w:val="20"/>
              </w:rPr>
              <w:t xml:space="preserve">Australian </w:t>
            </w:r>
            <w:r w:rsidR="007A7182">
              <w:rPr>
                <w:rFonts w:cstheme="minorHAnsi"/>
                <w:szCs w:val="20"/>
              </w:rPr>
              <w:t>h</w:t>
            </w:r>
            <w:r w:rsidRPr="0062012F">
              <w:rPr>
                <w:rFonts w:cstheme="minorHAnsi"/>
                <w:szCs w:val="20"/>
              </w:rPr>
              <w:t>ealth care system perspective</w:t>
            </w:r>
          </w:p>
        </w:tc>
      </w:tr>
      <w:tr w:rsidR="006E5FC1" w:rsidRPr="0062012F" w14:paraId="6F8E048B" w14:textId="77777777" w:rsidTr="00DE3A3B">
        <w:trPr>
          <w:tblHeader/>
        </w:trPr>
        <w:tc>
          <w:tcPr>
            <w:tcW w:w="1285" w:type="pct"/>
          </w:tcPr>
          <w:p w14:paraId="7482C251" w14:textId="77777777" w:rsidR="006E5FC1" w:rsidRPr="0062012F" w:rsidRDefault="006E5FC1">
            <w:pPr>
              <w:pStyle w:val="TableText"/>
              <w:keepNext/>
              <w:rPr>
                <w:rFonts w:cstheme="minorHAnsi"/>
                <w:szCs w:val="20"/>
              </w:rPr>
            </w:pPr>
            <w:r w:rsidRPr="0062012F">
              <w:rPr>
                <w:rFonts w:cstheme="minorHAnsi"/>
                <w:szCs w:val="20"/>
              </w:rPr>
              <w:t>Population</w:t>
            </w:r>
          </w:p>
        </w:tc>
        <w:tc>
          <w:tcPr>
            <w:tcW w:w="3715" w:type="pct"/>
          </w:tcPr>
          <w:p w14:paraId="5765983B" w14:textId="1A4C9DFB" w:rsidR="006E5FC1" w:rsidRPr="0062012F" w:rsidRDefault="006E5FC1">
            <w:pPr>
              <w:pStyle w:val="TableText"/>
              <w:keepNext/>
              <w:rPr>
                <w:rFonts w:cstheme="minorHAnsi"/>
                <w:color w:val="258221"/>
                <w:szCs w:val="20"/>
              </w:rPr>
            </w:pPr>
            <w:r w:rsidRPr="0062012F">
              <w:rPr>
                <w:rFonts w:cstheme="minorHAnsi"/>
                <w:szCs w:val="20"/>
              </w:rPr>
              <w:t>Patients with diagnosed symptomatic FTRCT</w:t>
            </w:r>
            <w:r w:rsidR="00006EF0">
              <w:rPr>
                <w:rFonts w:cstheme="minorHAnsi"/>
                <w:szCs w:val="20"/>
              </w:rPr>
              <w:t xml:space="preserve"> </w:t>
            </w:r>
            <w:r w:rsidRPr="0062012F">
              <w:rPr>
                <w:rFonts w:cstheme="minorHAnsi"/>
                <w:szCs w:val="20"/>
              </w:rPr>
              <w:t>where there is no substantial loss of tendon tissue: that have failed at least 3 months of conservative management (not responded to pain relief, modified daily activities and physical therapy); and considered eligible for (or indicated for) surgical repair.</w:t>
            </w:r>
          </w:p>
        </w:tc>
      </w:tr>
      <w:tr w:rsidR="006E5FC1" w:rsidRPr="0062012F" w14:paraId="1F6B4385" w14:textId="77777777" w:rsidTr="00DE3A3B">
        <w:tc>
          <w:tcPr>
            <w:tcW w:w="1285" w:type="pct"/>
          </w:tcPr>
          <w:p w14:paraId="36514507" w14:textId="77777777" w:rsidR="006E5FC1" w:rsidRPr="0062012F" w:rsidRDefault="006E5FC1">
            <w:pPr>
              <w:pStyle w:val="TableText"/>
              <w:keepNext/>
              <w:rPr>
                <w:rFonts w:cstheme="minorHAnsi"/>
                <w:szCs w:val="20"/>
              </w:rPr>
            </w:pPr>
            <w:r w:rsidRPr="0062012F">
              <w:rPr>
                <w:rFonts w:cstheme="minorHAnsi"/>
                <w:szCs w:val="20"/>
              </w:rPr>
              <w:t>Comparator</w:t>
            </w:r>
          </w:p>
        </w:tc>
        <w:tc>
          <w:tcPr>
            <w:tcW w:w="3715" w:type="pct"/>
          </w:tcPr>
          <w:p w14:paraId="66D1F32F" w14:textId="3BE106B0" w:rsidR="006E5FC1" w:rsidRPr="0062012F" w:rsidRDefault="006E5FC1">
            <w:pPr>
              <w:pStyle w:val="TableText"/>
              <w:keepNext/>
              <w:rPr>
                <w:rFonts w:cstheme="minorHAnsi"/>
                <w:szCs w:val="20"/>
              </w:rPr>
            </w:pPr>
            <w:r w:rsidRPr="0062012F">
              <w:rPr>
                <w:rFonts w:cstheme="minorHAnsi"/>
                <w:szCs w:val="20"/>
              </w:rPr>
              <w:t xml:space="preserve">Standard surgical repair (without </w:t>
            </w:r>
            <w:r w:rsidR="001F1CFC">
              <w:rPr>
                <w:rFonts w:cstheme="minorHAnsi"/>
                <w:szCs w:val="20"/>
              </w:rPr>
              <w:t>BCI</w:t>
            </w:r>
            <w:r w:rsidRPr="0062012F">
              <w:rPr>
                <w:rFonts w:cstheme="minorHAnsi"/>
                <w:szCs w:val="20"/>
              </w:rPr>
              <w:t>), with repair performed using standard sutures or anchors, performed arthroscopically or with ‘mini-open’ approach</w:t>
            </w:r>
          </w:p>
        </w:tc>
      </w:tr>
      <w:tr w:rsidR="006E5FC1" w:rsidRPr="0062012F" w14:paraId="6658970A" w14:textId="77777777" w:rsidTr="00DE3A3B">
        <w:tc>
          <w:tcPr>
            <w:tcW w:w="1285" w:type="pct"/>
          </w:tcPr>
          <w:p w14:paraId="7109F8F0" w14:textId="77777777" w:rsidR="006E5FC1" w:rsidRPr="0062012F" w:rsidRDefault="006E5FC1">
            <w:pPr>
              <w:pStyle w:val="TableText"/>
              <w:keepNext/>
              <w:rPr>
                <w:rFonts w:cstheme="minorHAnsi"/>
                <w:szCs w:val="20"/>
              </w:rPr>
            </w:pPr>
            <w:r w:rsidRPr="0062012F">
              <w:rPr>
                <w:rFonts w:cstheme="minorHAnsi"/>
                <w:szCs w:val="20"/>
              </w:rPr>
              <w:t>Type(s) of analysis</w:t>
            </w:r>
          </w:p>
        </w:tc>
        <w:tc>
          <w:tcPr>
            <w:tcW w:w="3715" w:type="pct"/>
          </w:tcPr>
          <w:p w14:paraId="26A01529" w14:textId="77777777" w:rsidR="006E5FC1" w:rsidRPr="0062012F" w:rsidRDefault="006E5FC1">
            <w:pPr>
              <w:pStyle w:val="TableText"/>
              <w:keepNext/>
              <w:rPr>
                <w:rFonts w:cstheme="minorHAnsi"/>
                <w:szCs w:val="20"/>
              </w:rPr>
            </w:pPr>
            <w:r w:rsidRPr="0062012F">
              <w:rPr>
                <w:rFonts w:cstheme="minorHAnsi"/>
                <w:szCs w:val="20"/>
              </w:rPr>
              <w:t>Cost-utility analysis (CUA), Cost-effectiveness analysis (CEA)</w:t>
            </w:r>
          </w:p>
        </w:tc>
      </w:tr>
      <w:tr w:rsidR="006E5FC1" w:rsidRPr="0062012F" w14:paraId="0C12E2D4" w14:textId="77777777" w:rsidTr="00DE3A3B">
        <w:tc>
          <w:tcPr>
            <w:tcW w:w="1285" w:type="pct"/>
          </w:tcPr>
          <w:p w14:paraId="6FA74FF8" w14:textId="77777777" w:rsidR="006E5FC1" w:rsidRPr="0062012F" w:rsidRDefault="006E5FC1">
            <w:pPr>
              <w:pStyle w:val="TableText"/>
              <w:keepNext/>
              <w:rPr>
                <w:rFonts w:cstheme="minorHAnsi"/>
                <w:szCs w:val="20"/>
              </w:rPr>
            </w:pPr>
            <w:r w:rsidRPr="0062012F">
              <w:rPr>
                <w:rFonts w:cstheme="minorHAnsi"/>
                <w:szCs w:val="20"/>
              </w:rPr>
              <w:t>Outcomes</w:t>
            </w:r>
          </w:p>
        </w:tc>
        <w:tc>
          <w:tcPr>
            <w:tcW w:w="3715" w:type="pct"/>
          </w:tcPr>
          <w:p w14:paraId="00B3C82C" w14:textId="10AD5D97" w:rsidR="006E5FC1" w:rsidRPr="0062012F" w:rsidRDefault="006E5FC1">
            <w:pPr>
              <w:pStyle w:val="TableText"/>
              <w:keepNext/>
              <w:rPr>
                <w:szCs w:val="20"/>
              </w:rPr>
            </w:pPr>
            <w:r w:rsidRPr="0062012F">
              <w:rPr>
                <w:szCs w:val="20"/>
              </w:rPr>
              <w:t xml:space="preserve">Quality-adjusted life years (QALYs) and cost per healed tear, minimal clinically </w:t>
            </w:r>
            <w:bookmarkStart w:id="38" w:name="_Int_eY7ZORsk"/>
            <w:r w:rsidRPr="0062012F">
              <w:rPr>
                <w:szCs w:val="20"/>
              </w:rPr>
              <w:t>important difference</w:t>
            </w:r>
            <w:bookmarkEnd w:id="38"/>
            <w:r w:rsidRPr="0062012F">
              <w:rPr>
                <w:szCs w:val="20"/>
              </w:rPr>
              <w:t xml:space="preserve"> (MCID) </w:t>
            </w:r>
          </w:p>
        </w:tc>
      </w:tr>
      <w:tr w:rsidR="006E5FC1" w:rsidRPr="0062012F" w14:paraId="388DDC14" w14:textId="77777777" w:rsidTr="00DE3A3B">
        <w:tc>
          <w:tcPr>
            <w:tcW w:w="1285" w:type="pct"/>
          </w:tcPr>
          <w:p w14:paraId="4B94A440" w14:textId="77777777" w:rsidR="006E5FC1" w:rsidRPr="0062012F" w:rsidRDefault="006E5FC1">
            <w:pPr>
              <w:pStyle w:val="TableText"/>
              <w:keepNext/>
              <w:rPr>
                <w:rFonts w:cstheme="minorHAnsi"/>
                <w:szCs w:val="20"/>
              </w:rPr>
            </w:pPr>
            <w:r w:rsidRPr="0062012F">
              <w:rPr>
                <w:rFonts w:cstheme="minorHAnsi"/>
                <w:szCs w:val="20"/>
              </w:rPr>
              <w:t>Time horizon</w:t>
            </w:r>
          </w:p>
        </w:tc>
        <w:tc>
          <w:tcPr>
            <w:tcW w:w="3715" w:type="pct"/>
          </w:tcPr>
          <w:p w14:paraId="206E0A4C" w14:textId="77777777" w:rsidR="006E5FC1" w:rsidRPr="0062012F" w:rsidRDefault="006E5FC1">
            <w:pPr>
              <w:pStyle w:val="TableText"/>
              <w:keepNext/>
              <w:rPr>
                <w:rFonts w:cstheme="minorHAnsi"/>
                <w:szCs w:val="20"/>
              </w:rPr>
            </w:pPr>
            <w:r w:rsidRPr="0062012F">
              <w:rPr>
                <w:rFonts w:cstheme="minorHAnsi"/>
                <w:szCs w:val="20"/>
              </w:rPr>
              <w:t>2 years</w:t>
            </w:r>
          </w:p>
        </w:tc>
      </w:tr>
      <w:tr w:rsidR="006E5FC1" w:rsidRPr="0062012F" w14:paraId="42E357B9" w14:textId="77777777" w:rsidTr="00DE3A3B">
        <w:tc>
          <w:tcPr>
            <w:tcW w:w="1285" w:type="pct"/>
          </w:tcPr>
          <w:p w14:paraId="3540B645" w14:textId="77777777" w:rsidR="006E5FC1" w:rsidRPr="0062012F" w:rsidRDefault="006E5FC1">
            <w:pPr>
              <w:pStyle w:val="TableText"/>
              <w:keepNext/>
              <w:rPr>
                <w:rFonts w:cstheme="minorHAnsi"/>
                <w:szCs w:val="20"/>
              </w:rPr>
            </w:pPr>
            <w:r w:rsidRPr="0062012F">
              <w:rPr>
                <w:rFonts w:cstheme="minorHAnsi"/>
                <w:szCs w:val="20"/>
              </w:rPr>
              <w:t>Computational method</w:t>
            </w:r>
          </w:p>
        </w:tc>
        <w:tc>
          <w:tcPr>
            <w:tcW w:w="3715" w:type="pct"/>
          </w:tcPr>
          <w:p w14:paraId="0E9D4817" w14:textId="77777777" w:rsidR="006E5FC1" w:rsidRPr="0062012F" w:rsidRDefault="006E5FC1">
            <w:pPr>
              <w:pStyle w:val="TableText"/>
              <w:keepNext/>
              <w:rPr>
                <w:rFonts w:cstheme="minorHAnsi"/>
                <w:szCs w:val="20"/>
              </w:rPr>
            </w:pPr>
            <w:r w:rsidRPr="0062012F">
              <w:rPr>
                <w:rFonts w:cstheme="minorHAnsi"/>
                <w:szCs w:val="20"/>
              </w:rPr>
              <w:t>Decision tree</w:t>
            </w:r>
          </w:p>
        </w:tc>
      </w:tr>
      <w:tr w:rsidR="006E5FC1" w:rsidRPr="0062012F" w14:paraId="0F548387" w14:textId="77777777" w:rsidTr="00DE3A3B">
        <w:tc>
          <w:tcPr>
            <w:tcW w:w="1285" w:type="pct"/>
          </w:tcPr>
          <w:p w14:paraId="26A924FB" w14:textId="77777777" w:rsidR="006E5FC1" w:rsidRPr="0062012F" w:rsidRDefault="006E5FC1">
            <w:pPr>
              <w:pStyle w:val="TableText"/>
              <w:keepNext/>
              <w:rPr>
                <w:rFonts w:cstheme="minorHAnsi"/>
                <w:szCs w:val="20"/>
              </w:rPr>
            </w:pPr>
            <w:r w:rsidRPr="0062012F">
              <w:rPr>
                <w:rFonts w:cstheme="minorHAnsi"/>
                <w:szCs w:val="20"/>
              </w:rPr>
              <w:t>Generation of the base case</w:t>
            </w:r>
          </w:p>
        </w:tc>
        <w:tc>
          <w:tcPr>
            <w:tcW w:w="3715" w:type="pct"/>
          </w:tcPr>
          <w:p w14:paraId="41FC83AE" w14:textId="77777777" w:rsidR="006E5FC1" w:rsidRPr="0062012F" w:rsidRDefault="006E5FC1">
            <w:pPr>
              <w:pStyle w:val="TableText"/>
              <w:keepNext/>
              <w:rPr>
                <w:rFonts w:cstheme="minorHAnsi"/>
                <w:szCs w:val="20"/>
              </w:rPr>
            </w:pPr>
            <w:r w:rsidRPr="0062012F">
              <w:rPr>
                <w:rFonts w:cstheme="minorHAnsi"/>
                <w:szCs w:val="20"/>
              </w:rPr>
              <w:t>Modelled</w:t>
            </w:r>
          </w:p>
        </w:tc>
      </w:tr>
      <w:tr w:rsidR="006E5FC1" w:rsidRPr="0062012F" w14:paraId="7919CF90" w14:textId="77777777" w:rsidTr="00DE3A3B">
        <w:tc>
          <w:tcPr>
            <w:tcW w:w="1285" w:type="pct"/>
          </w:tcPr>
          <w:p w14:paraId="3846994D" w14:textId="77777777" w:rsidR="006E5FC1" w:rsidRPr="0062012F" w:rsidRDefault="006E5FC1">
            <w:pPr>
              <w:pStyle w:val="TableText"/>
              <w:keepNext/>
              <w:rPr>
                <w:rFonts w:cstheme="minorHAnsi"/>
                <w:szCs w:val="20"/>
              </w:rPr>
            </w:pPr>
            <w:r w:rsidRPr="0062012F">
              <w:rPr>
                <w:rFonts w:cstheme="minorHAnsi"/>
                <w:szCs w:val="20"/>
              </w:rPr>
              <w:t>Health states</w:t>
            </w:r>
          </w:p>
        </w:tc>
        <w:tc>
          <w:tcPr>
            <w:tcW w:w="3715" w:type="pct"/>
          </w:tcPr>
          <w:p w14:paraId="0773EEDA" w14:textId="77777777" w:rsidR="006E5FC1" w:rsidRPr="0062012F" w:rsidRDefault="006E5FC1" w:rsidP="00FA2ABF">
            <w:pPr>
              <w:pStyle w:val="TableText"/>
              <w:keepNext/>
              <w:numPr>
                <w:ilvl w:val="0"/>
                <w:numId w:val="12"/>
              </w:numPr>
              <w:spacing w:before="0" w:after="0"/>
              <w:rPr>
                <w:rFonts w:cstheme="minorHAnsi"/>
                <w:szCs w:val="20"/>
              </w:rPr>
            </w:pPr>
            <w:r w:rsidRPr="0062012F">
              <w:rPr>
                <w:rFonts w:cstheme="minorHAnsi"/>
                <w:szCs w:val="20"/>
              </w:rPr>
              <w:t>Tear heals</w:t>
            </w:r>
          </w:p>
          <w:p w14:paraId="059EC670" w14:textId="77777777" w:rsidR="006E5FC1" w:rsidRPr="0062012F" w:rsidRDefault="006E5FC1" w:rsidP="00FA2ABF">
            <w:pPr>
              <w:pStyle w:val="TableText"/>
              <w:keepNext/>
              <w:numPr>
                <w:ilvl w:val="0"/>
                <w:numId w:val="12"/>
              </w:numPr>
              <w:spacing w:before="0" w:after="0"/>
              <w:rPr>
                <w:rFonts w:cstheme="minorHAnsi"/>
                <w:szCs w:val="20"/>
              </w:rPr>
            </w:pPr>
            <w:r w:rsidRPr="0062012F">
              <w:rPr>
                <w:rFonts w:cstheme="minorHAnsi"/>
                <w:szCs w:val="20"/>
              </w:rPr>
              <w:t xml:space="preserve">Tear fails to heal </w:t>
            </w:r>
          </w:p>
          <w:p w14:paraId="372F74BB" w14:textId="77777777" w:rsidR="006E5FC1" w:rsidRPr="0062012F" w:rsidRDefault="006E5FC1" w:rsidP="00FA2ABF">
            <w:pPr>
              <w:pStyle w:val="TableText"/>
              <w:keepNext/>
              <w:numPr>
                <w:ilvl w:val="1"/>
                <w:numId w:val="12"/>
              </w:numPr>
              <w:spacing w:before="0" w:after="0"/>
              <w:rPr>
                <w:rFonts w:cstheme="minorHAnsi"/>
                <w:szCs w:val="20"/>
              </w:rPr>
            </w:pPr>
            <w:r w:rsidRPr="0062012F">
              <w:rPr>
                <w:rFonts w:cstheme="minorHAnsi"/>
                <w:szCs w:val="20"/>
              </w:rPr>
              <w:t>Revision surgery</w:t>
            </w:r>
          </w:p>
          <w:p w14:paraId="329DECB2" w14:textId="77777777" w:rsidR="006E5FC1" w:rsidRPr="0062012F" w:rsidRDefault="006E5FC1" w:rsidP="00FA2ABF">
            <w:pPr>
              <w:pStyle w:val="TableText"/>
              <w:keepNext/>
              <w:numPr>
                <w:ilvl w:val="2"/>
                <w:numId w:val="12"/>
              </w:numPr>
              <w:spacing w:before="0" w:after="0"/>
              <w:rPr>
                <w:rFonts w:cstheme="minorHAnsi"/>
                <w:szCs w:val="20"/>
              </w:rPr>
            </w:pPr>
            <w:r w:rsidRPr="0062012F">
              <w:rPr>
                <w:rFonts w:cstheme="minorHAnsi"/>
                <w:szCs w:val="20"/>
              </w:rPr>
              <w:t>Tear heals</w:t>
            </w:r>
          </w:p>
          <w:p w14:paraId="6F8E3C6E" w14:textId="77777777" w:rsidR="006E5FC1" w:rsidRPr="0062012F" w:rsidRDefault="006E5FC1" w:rsidP="00FA2ABF">
            <w:pPr>
              <w:pStyle w:val="TableText"/>
              <w:keepNext/>
              <w:numPr>
                <w:ilvl w:val="2"/>
                <w:numId w:val="12"/>
              </w:numPr>
              <w:spacing w:before="0" w:after="0"/>
              <w:rPr>
                <w:rFonts w:cstheme="minorHAnsi"/>
                <w:szCs w:val="20"/>
              </w:rPr>
            </w:pPr>
            <w:r w:rsidRPr="0062012F">
              <w:rPr>
                <w:rFonts w:cstheme="minorHAnsi"/>
                <w:szCs w:val="20"/>
              </w:rPr>
              <w:t>Tear fails to heal</w:t>
            </w:r>
          </w:p>
          <w:p w14:paraId="3EB14B03" w14:textId="77777777" w:rsidR="006E5FC1" w:rsidRPr="0062012F" w:rsidRDefault="006E5FC1" w:rsidP="00FA2ABF">
            <w:pPr>
              <w:pStyle w:val="TableText"/>
              <w:keepNext/>
              <w:numPr>
                <w:ilvl w:val="1"/>
                <w:numId w:val="12"/>
              </w:numPr>
              <w:spacing w:before="0" w:after="0"/>
              <w:rPr>
                <w:rFonts w:cstheme="minorHAnsi"/>
                <w:szCs w:val="20"/>
              </w:rPr>
            </w:pPr>
            <w:r w:rsidRPr="0062012F">
              <w:rPr>
                <w:rFonts w:cstheme="minorHAnsi"/>
                <w:szCs w:val="20"/>
              </w:rPr>
              <w:t>Reverse total shoulder arthroplasty</w:t>
            </w:r>
          </w:p>
          <w:p w14:paraId="32978017" w14:textId="77777777" w:rsidR="006E5FC1" w:rsidRPr="0062012F" w:rsidRDefault="006E5FC1" w:rsidP="00FA2ABF">
            <w:pPr>
              <w:pStyle w:val="TableText"/>
              <w:keepNext/>
              <w:numPr>
                <w:ilvl w:val="1"/>
                <w:numId w:val="12"/>
              </w:numPr>
              <w:spacing w:before="0" w:after="0"/>
              <w:rPr>
                <w:rFonts w:cstheme="minorHAnsi"/>
                <w:szCs w:val="20"/>
              </w:rPr>
            </w:pPr>
            <w:r w:rsidRPr="0062012F">
              <w:rPr>
                <w:rFonts w:cstheme="minorHAnsi"/>
                <w:szCs w:val="20"/>
              </w:rPr>
              <w:t>Conservative management</w:t>
            </w:r>
          </w:p>
        </w:tc>
      </w:tr>
      <w:tr w:rsidR="006E5FC1" w:rsidRPr="0062012F" w14:paraId="14D841A6" w14:textId="77777777" w:rsidTr="00DE3A3B">
        <w:tc>
          <w:tcPr>
            <w:tcW w:w="1285" w:type="pct"/>
          </w:tcPr>
          <w:p w14:paraId="6E3CC604" w14:textId="77777777" w:rsidR="006E5FC1" w:rsidRPr="0062012F" w:rsidRDefault="006E5FC1">
            <w:pPr>
              <w:pStyle w:val="TableText"/>
              <w:keepNext/>
              <w:rPr>
                <w:rFonts w:cstheme="minorHAnsi"/>
                <w:szCs w:val="20"/>
              </w:rPr>
            </w:pPr>
            <w:r w:rsidRPr="0062012F">
              <w:rPr>
                <w:rFonts w:cstheme="minorHAnsi"/>
                <w:szCs w:val="20"/>
              </w:rPr>
              <w:t>Cycle length</w:t>
            </w:r>
          </w:p>
        </w:tc>
        <w:tc>
          <w:tcPr>
            <w:tcW w:w="3715" w:type="pct"/>
          </w:tcPr>
          <w:p w14:paraId="2C85674A" w14:textId="77777777" w:rsidR="006E5FC1" w:rsidRPr="0062012F" w:rsidRDefault="006E5FC1">
            <w:pPr>
              <w:pStyle w:val="TableText"/>
              <w:keepNext/>
              <w:rPr>
                <w:rFonts w:cstheme="minorHAnsi"/>
                <w:szCs w:val="20"/>
              </w:rPr>
            </w:pPr>
            <w:r w:rsidRPr="0062012F">
              <w:rPr>
                <w:rFonts w:cstheme="minorHAnsi"/>
                <w:szCs w:val="20"/>
              </w:rPr>
              <w:t>Not applicable (decision tree model)</w:t>
            </w:r>
          </w:p>
        </w:tc>
      </w:tr>
      <w:tr w:rsidR="006E5FC1" w:rsidRPr="0062012F" w14:paraId="0FCD87A7" w14:textId="77777777" w:rsidTr="00DE3A3B">
        <w:tc>
          <w:tcPr>
            <w:tcW w:w="1285" w:type="pct"/>
          </w:tcPr>
          <w:p w14:paraId="475B46E2" w14:textId="77777777" w:rsidR="006E5FC1" w:rsidRPr="0062012F" w:rsidRDefault="006E5FC1">
            <w:pPr>
              <w:pStyle w:val="TableText"/>
              <w:keepNext/>
              <w:rPr>
                <w:rFonts w:cstheme="minorHAnsi"/>
                <w:szCs w:val="20"/>
              </w:rPr>
            </w:pPr>
            <w:r w:rsidRPr="0062012F">
              <w:rPr>
                <w:rFonts w:cstheme="minorHAnsi"/>
                <w:szCs w:val="20"/>
              </w:rPr>
              <w:t>Discount rate</w:t>
            </w:r>
          </w:p>
        </w:tc>
        <w:tc>
          <w:tcPr>
            <w:tcW w:w="3715" w:type="pct"/>
          </w:tcPr>
          <w:p w14:paraId="13BB342E" w14:textId="77777777" w:rsidR="006E5FC1" w:rsidRPr="0062012F" w:rsidRDefault="006E5FC1">
            <w:pPr>
              <w:pStyle w:val="TableText"/>
              <w:keepNext/>
              <w:rPr>
                <w:rFonts w:cstheme="minorHAnsi"/>
                <w:szCs w:val="20"/>
              </w:rPr>
            </w:pPr>
            <w:r w:rsidRPr="0062012F">
              <w:rPr>
                <w:rFonts w:cstheme="minorHAnsi"/>
                <w:szCs w:val="20"/>
              </w:rPr>
              <w:t>5% for both costs and outcomes</w:t>
            </w:r>
          </w:p>
        </w:tc>
      </w:tr>
      <w:tr w:rsidR="006E5FC1" w:rsidRPr="0062012F" w14:paraId="42621790" w14:textId="77777777" w:rsidTr="00DE3A3B">
        <w:tc>
          <w:tcPr>
            <w:tcW w:w="1285" w:type="pct"/>
          </w:tcPr>
          <w:p w14:paraId="5AD9DB52" w14:textId="77777777" w:rsidR="006E5FC1" w:rsidRPr="0062012F" w:rsidRDefault="006E5FC1">
            <w:pPr>
              <w:pStyle w:val="TableText"/>
              <w:keepNext/>
              <w:rPr>
                <w:rFonts w:cstheme="minorHAnsi"/>
                <w:szCs w:val="20"/>
              </w:rPr>
            </w:pPr>
            <w:r w:rsidRPr="0062012F">
              <w:rPr>
                <w:rFonts w:cstheme="minorHAnsi"/>
                <w:szCs w:val="20"/>
              </w:rPr>
              <w:t>Software</w:t>
            </w:r>
          </w:p>
        </w:tc>
        <w:tc>
          <w:tcPr>
            <w:tcW w:w="3715" w:type="pct"/>
          </w:tcPr>
          <w:p w14:paraId="72BFC7D4" w14:textId="77777777" w:rsidR="006E5FC1" w:rsidRPr="0062012F" w:rsidRDefault="006E5FC1">
            <w:pPr>
              <w:pStyle w:val="TableText"/>
              <w:keepNext/>
              <w:rPr>
                <w:rFonts w:cstheme="minorHAnsi"/>
                <w:szCs w:val="20"/>
              </w:rPr>
            </w:pPr>
            <w:r w:rsidRPr="0062012F">
              <w:rPr>
                <w:rFonts w:cstheme="minorHAnsi"/>
                <w:szCs w:val="20"/>
              </w:rPr>
              <w:t>Microsoft Excel</w:t>
            </w:r>
          </w:p>
        </w:tc>
      </w:tr>
    </w:tbl>
    <w:p w14:paraId="26448C1B" w14:textId="062E4F2E" w:rsidR="006C2DDD" w:rsidRDefault="00FA3114" w:rsidP="00B2777E">
      <w:r>
        <w:t xml:space="preserve">The model structure was derived from </w:t>
      </w:r>
      <w:r w:rsidR="00F13FA9" w:rsidRPr="008D28E8">
        <w:t>McIntyre et al.,</w:t>
      </w:r>
      <w:r w:rsidR="00F13FA9">
        <w:t xml:space="preserve"> (</w:t>
      </w:r>
      <w:r w:rsidR="00F13FA9" w:rsidRPr="008D28E8">
        <w:t>2023</w:t>
      </w:r>
      <w:r w:rsidR="00F13FA9">
        <w:t>)</w:t>
      </w:r>
      <w:r w:rsidR="00F13FA9">
        <w:rPr>
          <w:rStyle w:val="FootnoteReference"/>
          <w:rFonts w:cstheme="minorHAnsi"/>
        </w:rPr>
        <w:footnoteReference w:id="22"/>
      </w:r>
      <w:r>
        <w:t xml:space="preserve">, an applicant-sponsored study that assessed the cost-effectiveness of adding resorbable </w:t>
      </w:r>
      <w:r w:rsidR="004D0D72">
        <w:t>BCI</w:t>
      </w:r>
      <w:r w:rsidR="009D39F1">
        <w:t xml:space="preserve"> to</w:t>
      </w:r>
      <w:r>
        <w:t xml:space="preserve"> conventional rotator cuff repair (RCR), compared to RCR alone, in treating FTRCT over a one-year time horizon.</w:t>
      </w:r>
      <w:r w:rsidR="00B2777E">
        <w:t xml:space="preserve"> </w:t>
      </w:r>
      <w:r w:rsidR="00B2777E">
        <w:rPr>
          <w:rFonts w:eastAsia="Times New Roman" w:cs="Arial"/>
        </w:rPr>
        <w:fldChar w:fldCharType="begin"/>
      </w:r>
      <w:r w:rsidR="00B2777E">
        <w:rPr>
          <w:rFonts w:eastAsia="Times New Roman" w:cs="Arial"/>
        </w:rPr>
        <w:instrText xml:space="preserve"> REF _Ref166028973 \h </w:instrText>
      </w:r>
      <w:r w:rsidR="00B2777E">
        <w:rPr>
          <w:rFonts w:eastAsia="Times New Roman" w:cs="Arial"/>
        </w:rPr>
      </w:r>
      <w:r w:rsidR="00B2777E">
        <w:rPr>
          <w:rFonts w:eastAsia="Times New Roman" w:cs="Arial"/>
        </w:rPr>
        <w:fldChar w:fldCharType="separate"/>
      </w:r>
      <w:r w:rsidR="002D4CF2">
        <w:t xml:space="preserve">Figure </w:t>
      </w:r>
      <w:r w:rsidR="002D4CF2">
        <w:rPr>
          <w:noProof/>
        </w:rPr>
        <w:t>1</w:t>
      </w:r>
      <w:r w:rsidR="00B2777E">
        <w:rPr>
          <w:rFonts w:eastAsia="Times New Roman" w:cs="Arial"/>
        </w:rPr>
        <w:fldChar w:fldCharType="end"/>
      </w:r>
      <w:r>
        <w:t xml:space="preserve"> illustrate</w:t>
      </w:r>
      <w:r w:rsidR="00B2777E">
        <w:t>s</w:t>
      </w:r>
      <w:r>
        <w:t xml:space="preserve"> the decision tree structure used in the economic evaluation. The decision tree model aligned with the economic model in McIntyre et al. (2023), except for differences in the retear rates following revision surgery</w:t>
      </w:r>
      <w:r w:rsidR="006C2DDD">
        <w:rPr>
          <w:rFonts w:eastAsia="Times New Roman" w:cs="Arial"/>
        </w:rPr>
        <w:t xml:space="preserve"> provided the </w:t>
      </w:r>
      <w:r w:rsidR="006C2DDD">
        <w:t>structure of the decision tree for the economic evaluation</w:t>
      </w:r>
      <w:r w:rsidR="007E1302">
        <w:t>.</w:t>
      </w:r>
    </w:p>
    <w:p w14:paraId="01109F4D" w14:textId="3A4FF1AE" w:rsidR="00330312" w:rsidRDefault="00E51F34" w:rsidP="00F61981">
      <w:pPr>
        <w:rPr>
          <w:noProof/>
        </w:rPr>
      </w:pPr>
      <w:r>
        <w:t xml:space="preserve">The ADAR used the pivotal trial by </w:t>
      </w:r>
      <w:r w:rsidR="004F09EF" w:rsidRPr="004F09EF">
        <w:t xml:space="preserve">Ruiz </w:t>
      </w:r>
      <w:proofErr w:type="spellStart"/>
      <w:r w:rsidR="00241CBA" w:rsidRPr="00BB05DE">
        <w:t>Ibán</w:t>
      </w:r>
      <w:proofErr w:type="spellEnd"/>
      <w:r w:rsidR="004F09EF" w:rsidRPr="004F09EF">
        <w:t xml:space="preserve"> </w:t>
      </w:r>
      <w:r w:rsidR="004F09EF">
        <w:t>(</w:t>
      </w:r>
      <w:r w:rsidR="004F09EF" w:rsidRPr="004F09EF">
        <w:t>202</w:t>
      </w:r>
      <w:r w:rsidR="004F09EF">
        <w:t xml:space="preserve">5) to drive the clinical parameters in the model. </w:t>
      </w:r>
      <w:r w:rsidR="00B9172B">
        <w:t xml:space="preserve">Patient characteristics, </w:t>
      </w:r>
      <w:r w:rsidR="004D0D72">
        <w:t>e</w:t>
      </w:r>
      <w:r w:rsidR="00B9172B">
        <w:t xml:space="preserve">mployment status, </w:t>
      </w:r>
      <w:r w:rsidR="004D0D72">
        <w:t>r</w:t>
      </w:r>
      <w:r w:rsidR="00B9172B">
        <w:t>etear rates (transition probabilities to the health states, “tear fails to heal” and “tear heal”) as well as utility values</w:t>
      </w:r>
      <w:r w:rsidR="00642DF2">
        <w:t xml:space="preserve"> and </w:t>
      </w:r>
      <w:r w:rsidR="00642DF2" w:rsidRPr="00642DF2">
        <w:t>MCID change in the CMS score</w:t>
      </w:r>
      <w:r w:rsidR="00B9172B">
        <w:t xml:space="preserve"> were all sourced from </w:t>
      </w:r>
      <w:r w:rsidR="00B9172B" w:rsidRPr="004F09EF">
        <w:t xml:space="preserve">Ruiz </w:t>
      </w:r>
      <w:proofErr w:type="spellStart"/>
      <w:r w:rsidR="00241CBA" w:rsidRPr="00BB05DE">
        <w:t>Ibán</w:t>
      </w:r>
      <w:proofErr w:type="spellEnd"/>
      <w:r w:rsidR="00B9172B" w:rsidRPr="004F09EF">
        <w:t xml:space="preserve"> </w:t>
      </w:r>
      <w:r w:rsidR="00B9172B">
        <w:t>(</w:t>
      </w:r>
      <w:r w:rsidR="00B9172B" w:rsidRPr="004F09EF">
        <w:t>202</w:t>
      </w:r>
      <w:r w:rsidR="00B9172B">
        <w:t>5).</w:t>
      </w:r>
      <w:r w:rsidR="00847916">
        <w:t xml:space="preserve"> Transition probabilities for </w:t>
      </w:r>
      <w:r w:rsidR="0054690A">
        <w:t>post-surgical</w:t>
      </w:r>
      <w:r w:rsidR="00847916">
        <w:t xml:space="preserve"> tear</w:t>
      </w:r>
      <w:r w:rsidR="0054690A">
        <w:t xml:space="preserve"> repair/management </w:t>
      </w:r>
      <w:r w:rsidR="00654CD0">
        <w:t xml:space="preserve">were taken from multiple sources, as </w:t>
      </w:r>
      <w:r w:rsidR="00A019EB">
        <w:t>they</w:t>
      </w:r>
      <w:r w:rsidR="00654CD0">
        <w:t xml:space="preserve"> were not available in the trial. </w:t>
      </w:r>
      <w:r w:rsidR="00F61981" w:rsidRPr="00F61981">
        <w:t xml:space="preserve">As Ruiz </w:t>
      </w:r>
      <w:proofErr w:type="spellStart"/>
      <w:r w:rsidR="00241CBA" w:rsidRPr="00BB05DE">
        <w:t>Ibán</w:t>
      </w:r>
      <w:proofErr w:type="spellEnd"/>
      <w:r w:rsidR="00F61981" w:rsidRPr="00F61981">
        <w:t xml:space="preserve"> et al. (</w:t>
      </w:r>
      <w:r w:rsidR="00F61981" w:rsidRPr="00F61981" w:rsidDel="004D0D72">
        <w:t>2023</w:t>
      </w:r>
      <w:r w:rsidR="00F61981" w:rsidRPr="00F61981">
        <w:t xml:space="preserve">) did not report the mean time to retear, the ADAR applied an assumed average time to retear of </w:t>
      </w:r>
      <w:r w:rsidR="004D0D72">
        <w:t>6</w:t>
      </w:r>
      <w:r w:rsidR="004D0D72" w:rsidRPr="00F61981">
        <w:t xml:space="preserve"> </w:t>
      </w:r>
      <w:r w:rsidR="00F61981" w:rsidRPr="00F61981">
        <w:t>months within the model. This assumption was derived from the Bushnell et al. (2022)</w:t>
      </w:r>
      <w:r w:rsidR="00255C5A">
        <w:t xml:space="preserve"> </w:t>
      </w:r>
      <w:r w:rsidR="00255C5A">
        <w:rPr>
          <w:rStyle w:val="FootnoteReference"/>
        </w:rPr>
        <w:footnoteReference w:id="23"/>
      </w:r>
      <w:r w:rsidR="00F61981" w:rsidRPr="00F61981">
        <w:rPr>
          <w:rStyle w:val="FootnoteReference"/>
          <w:noProof/>
        </w:rPr>
        <w:t xml:space="preserve"> </w:t>
      </w:r>
      <w:r w:rsidR="00F61981" w:rsidRPr="00F61981">
        <w:t>study, which focused on the double-row repair technique and observed that patients typically experienced a retear midway through their follow-up period. Bushnell et al. (2022) was a multicentre cohort study providing two-year outcomes for a BCI</w:t>
      </w:r>
      <w:r w:rsidR="00121BA7">
        <w:t xml:space="preserve"> </w:t>
      </w:r>
      <w:r w:rsidR="00F61981" w:rsidRPr="00F61981">
        <w:t>utili</w:t>
      </w:r>
      <w:r w:rsidR="004D0D72">
        <w:t>s</w:t>
      </w:r>
      <w:r w:rsidR="00F61981" w:rsidRPr="00F61981">
        <w:t>ed in the repair of FTRCT</w:t>
      </w:r>
      <w:r w:rsidR="00F61981">
        <w:t>.</w:t>
      </w:r>
    </w:p>
    <w:p w14:paraId="2EBFB762" w14:textId="6DB0E00B" w:rsidR="006C2DDD" w:rsidRDefault="006C2DDD" w:rsidP="006C2DDD">
      <w:pPr>
        <w:pStyle w:val="Caption"/>
        <w:rPr>
          <w:color w:val="258221"/>
        </w:rPr>
      </w:pPr>
      <w:bookmarkStart w:id="39" w:name="_Ref166028973"/>
      <w:r>
        <w:lastRenderedPageBreak/>
        <w:t xml:space="preserve">Figure </w:t>
      </w:r>
      <w:r w:rsidR="002D4CF2">
        <w:fldChar w:fldCharType="begin"/>
      </w:r>
      <w:r w:rsidR="002D4CF2">
        <w:instrText xml:space="preserve"> SEQ Figure \* ARABIC </w:instrText>
      </w:r>
      <w:r w:rsidR="002D4CF2">
        <w:fldChar w:fldCharType="separate"/>
      </w:r>
      <w:r w:rsidR="002D4CF2">
        <w:rPr>
          <w:noProof/>
        </w:rPr>
        <w:t>1</w:t>
      </w:r>
      <w:r w:rsidR="002D4CF2">
        <w:rPr>
          <w:noProof/>
        </w:rPr>
        <w:fldChar w:fldCharType="end"/>
      </w:r>
      <w:bookmarkEnd w:id="39"/>
      <w:r>
        <w:t xml:space="preserve">: </w:t>
      </w:r>
      <w:r w:rsidRPr="00453108">
        <w:t xml:space="preserve">Decision tree structure of the economic evaluation for </w:t>
      </w:r>
      <w:r>
        <w:t>F</w:t>
      </w:r>
      <w:r w:rsidRPr="00453108">
        <w:t>TRCT</w:t>
      </w:r>
    </w:p>
    <w:p w14:paraId="0BEB00B3" w14:textId="79BC19AD" w:rsidR="006C2DDD" w:rsidRDefault="00C20204" w:rsidP="006C2DDD">
      <w:pPr>
        <w:pStyle w:val="TableFigureFooter"/>
        <w:keepNext/>
        <w:spacing w:after="0"/>
      </w:pPr>
      <w:r w:rsidRPr="00445708">
        <w:rPr>
          <w:noProof/>
        </w:rPr>
        <w:drawing>
          <wp:inline distT="0" distB="0" distL="0" distR="0" wp14:anchorId="4031FD8E" wp14:editId="3F9973A0">
            <wp:extent cx="5391150" cy="3347220"/>
            <wp:effectExtent l="0" t="0" r="0" b="5715"/>
            <wp:docPr id="585829578" name="Picture 585829578" descr="Figure 1: Decision tree structure of the economic evaluation for FTR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29578" name="Picture 585829578" descr="Figure 1: Decision tree structure of the economic evaluation for FTRCT"/>
                    <pic:cNvPicPr/>
                  </pic:nvPicPr>
                  <pic:blipFill>
                    <a:blip r:embed="rId13"/>
                    <a:stretch>
                      <a:fillRect/>
                    </a:stretch>
                  </pic:blipFill>
                  <pic:spPr>
                    <a:xfrm>
                      <a:off x="0" y="0"/>
                      <a:ext cx="5396135" cy="3350315"/>
                    </a:xfrm>
                    <a:prstGeom prst="rect">
                      <a:avLst/>
                    </a:prstGeom>
                  </pic:spPr>
                </pic:pic>
              </a:graphicData>
            </a:graphic>
          </wp:inline>
        </w:drawing>
      </w:r>
    </w:p>
    <w:p w14:paraId="51867B30" w14:textId="4216EAD2" w:rsidR="006C2DDD" w:rsidRDefault="006C2DDD" w:rsidP="006C2DDD">
      <w:pPr>
        <w:pStyle w:val="Tablenotes"/>
      </w:pPr>
      <w:r>
        <w:t>Source: Figure 1</w:t>
      </w:r>
      <w:r w:rsidR="00C20204">
        <w:t>3</w:t>
      </w:r>
      <w:r>
        <w:t>, p1</w:t>
      </w:r>
      <w:r w:rsidR="00C20204">
        <w:t>32</w:t>
      </w:r>
      <w:r>
        <w:t xml:space="preserve"> of the ADAR</w:t>
      </w:r>
    </w:p>
    <w:p w14:paraId="2F30C811" w14:textId="539FF980" w:rsidR="006C2DDD" w:rsidRDefault="006C2DDD" w:rsidP="006C2DDD">
      <w:pPr>
        <w:pStyle w:val="Tablenotes"/>
      </w:pPr>
      <w:r>
        <w:t>Abbreviations: FTT = Full-thickness tear</w:t>
      </w:r>
      <w:r w:rsidR="00C642F4">
        <w:t>.</w:t>
      </w:r>
    </w:p>
    <w:p w14:paraId="7EC57A28" w14:textId="6CE62F1C" w:rsidR="00697E23" w:rsidRDefault="00F36518" w:rsidP="003852F8">
      <w:r w:rsidRPr="00F36518">
        <w:t>Following a retear, patients may undergo revision RCR, reverse shoulder arthroplasty, or C</w:t>
      </w:r>
      <w:r w:rsidR="00A467A6">
        <w:t>M</w:t>
      </w:r>
      <w:r w:rsidRPr="00F36518">
        <w:t xml:space="preserve">M. As </w:t>
      </w:r>
      <w:r w:rsidR="005F47F4">
        <w:t xml:space="preserve">neither trial nor </w:t>
      </w:r>
      <w:r w:rsidRPr="00F36518">
        <w:t>Australian-specific data on treatment distribution is available, the ADAR used probabilities</w:t>
      </w:r>
      <w:r w:rsidR="003F7840">
        <w:t xml:space="preserve"> </w:t>
      </w:r>
      <w:r w:rsidR="004B6ADA">
        <w:t xml:space="preserve">from </w:t>
      </w:r>
      <w:proofErr w:type="gramStart"/>
      <w:r w:rsidR="003F7840">
        <w:t>a number of</w:t>
      </w:r>
      <w:proofErr w:type="gramEnd"/>
      <w:r w:rsidR="003F7840">
        <w:t xml:space="preserve"> sources. </w:t>
      </w:r>
      <w:r w:rsidR="00697E23">
        <w:t xml:space="preserve">The </w:t>
      </w:r>
      <w:proofErr w:type="spellStart"/>
      <w:r w:rsidR="00697E23">
        <w:t>PearlDiver</w:t>
      </w:r>
      <w:proofErr w:type="spellEnd"/>
      <w:r w:rsidR="00697E23">
        <w:t xml:space="preserve"> Mariner dataset </w:t>
      </w:r>
      <w:r w:rsidR="00CC1455">
        <w:t>(</w:t>
      </w:r>
      <w:r w:rsidR="00CC1455" w:rsidRPr="00CC1455">
        <w:t xml:space="preserve">Truong et al. </w:t>
      </w:r>
      <w:r w:rsidR="00B15058">
        <w:t>2021)</w:t>
      </w:r>
      <w:r w:rsidR="001A7F6B">
        <w:rPr>
          <w:rStyle w:val="FootnoteReference"/>
        </w:rPr>
        <w:footnoteReference w:id="24"/>
      </w:r>
      <w:r w:rsidR="00B15058">
        <w:t xml:space="preserve"> </w:t>
      </w:r>
      <w:r w:rsidR="00697E23">
        <w:t>was used to query</w:t>
      </w:r>
      <w:r w:rsidR="00B15058">
        <w:t xml:space="preserve"> </w:t>
      </w:r>
      <w:r w:rsidR="003852F8">
        <w:t xml:space="preserve">the revision surgery and reverse total shoulder arthroplasty rates. This was achieved by </w:t>
      </w:r>
      <w:r w:rsidR="00BF40C2">
        <w:t xml:space="preserve">using the unhealed rate from </w:t>
      </w:r>
      <w:r w:rsidR="00DA53F3" w:rsidRPr="00DA53F3">
        <w:t xml:space="preserve">Ruiz </w:t>
      </w:r>
      <w:proofErr w:type="spellStart"/>
      <w:r w:rsidR="00241CBA" w:rsidRPr="00BB05DE">
        <w:t>Ibán</w:t>
      </w:r>
      <w:proofErr w:type="spellEnd"/>
      <w:r w:rsidR="00DA53F3">
        <w:t xml:space="preserve"> (2025)</w:t>
      </w:r>
      <w:r w:rsidR="00A00356">
        <w:t xml:space="preserve"> and the cohort from Truong et al (2021). </w:t>
      </w:r>
      <w:r w:rsidR="0060140E">
        <w:t>I</w:t>
      </w:r>
      <w:r w:rsidR="0056526B">
        <w:t>n</w:t>
      </w:r>
      <w:r w:rsidR="0060140E">
        <w:t xml:space="preserve"> the paucity of data this may be the only way of </w:t>
      </w:r>
      <w:r w:rsidR="0056526B">
        <w:t>achieving</w:t>
      </w:r>
      <w:r w:rsidR="0060140E">
        <w:t xml:space="preserve"> these probabilities; however, the commentary notes that the </w:t>
      </w:r>
      <w:r w:rsidR="003A48F4">
        <w:t xml:space="preserve">unhealed rate in </w:t>
      </w:r>
      <w:r w:rsidR="003A48F4" w:rsidRPr="003A48F4">
        <w:t xml:space="preserve">Ruiz </w:t>
      </w:r>
      <w:proofErr w:type="spellStart"/>
      <w:r w:rsidR="00241CBA" w:rsidRPr="00BB05DE">
        <w:t>Ibán</w:t>
      </w:r>
      <w:proofErr w:type="spellEnd"/>
      <w:r w:rsidR="003A48F4" w:rsidRPr="003A48F4">
        <w:t xml:space="preserve"> (2025) </w:t>
      </w:r>
      <w:r w:rsidR="003A48F4">
        <w:t xml:space="preserve">may be substantially different to that in </w:t>
      </w:r>
      <w:r w:rsidR="003A48F4" w:rsidRPr="003A48F4">
        <w:t>Truong et al (2021).</w:t>
      </w:r>
    </w:p>
    <w:p w14:paraId="0A80C1E3" w14:textId="77777777" w:rsidR="00DE0650" w:rsidRPr="0062012F" w:rsidRDefault="00DE0650" w:rsidP="0062012F">
      <w:pPr>
        <w:pStyle w:val="Heading4"/>
        <w:spacing w:before="0" w:after="120"/>
      </w:pPr>
      <w:r w:rsidRPr="0062012F">
        <w:t xml:space="preserve">Health Outcomes </w:t>
      </w:r>
    </w:p>
    <w:p w14:paraId="7337BDE5" w14:textId="1B0F9EC9" w:rsidR="008D5D6A" w:rsidRDefault="007E61A4" w:rsidP="00995277">
      <w:r w:rsidRPr="007E61A4">
        <w:t>In response to feedback from MSAC (MSAC PSD 1593.1 p32)</w:t>
      </w:r>
      <w:r w:rsidR="00E12420">
        <w:t>, t</w:t>
      </w:r>
      <w:r w:rsidR="00DE0650" w:rsidRPr="00487AE4">
        <w:t xml:space="preserve">he </w:t>
      </w:r>
      <w:r w:rsidR="00DE0650">
        <w:t xml:space="preserve">ADAR for </w:t>
      </w:r>
      <w:r w:rsidR="00CD5DD9">
        <w:t>1593.2</w:t>
      </w:r>
      <w:r w:rsidR="005C1447">
        <w:t xml:space="preserve"> </w:t>
      </w:r>
      <w:r w:rsidR="00F9230B">
        <w:t xml:space="preserve">changed the approach to utilities </w:t>
      </w:r>
      <w:r w:rsidR="00640E31">
        <w:t xml:space="preserve">by incorporating the </w:t>
      </w:r>
      <w:r w:rsidR="009A7275" w:rsidRPr="009A7275">
        <w:t xml:space="preserve">health related QoL data collected alongside the Ruiz </w:t>
      </w:r>
      <w:proofErr w:type="spellStart"/>
      <w:r w:rsidR="009A7275" w:rsidRPr="009A7275">
        <w:t>Ibán</w:t>
      </w:r>
      <w:proofErr w:type="spellEnd"/>
      <w:r w:rsidR="009A7275" w:rsidRPr="009A7275">
        <w:t xml:space="preserve"> </w:t>
      </w:r>
      <w:r w:rsidR="009A7275">
        <w:t>(</w:t>
      </w:r>
      <w:r w:rsidR="009A7275" w:rsidRPr="009A7275">
        <w:t>202</w:t>
      </w:r>
      <w:r w:rsidR="009A7275">
        <w:t>5)</w:t>
      </w:r>
      <w:r w:rsidR="009A7275" w:rsidRPr="009A7275">
        <w:t xml:space="preserve"> trial in the economic evaluation</w:t>
      </w:r>
      <w:r w:rsidR="009A7275">
        <w:t xml:space="preserve">. However, rather than </w:t>
      </w:r>
      <w:r w:rsidR="00FC4152">
        <w:t xml:space="preserve">using </w:t>
      </w:r>
      <w:r w:rsidR="00FC4152" w:rsidRPr="00FC4152">
        <w:t xml:space="preserve">the </w:t>
      </w:r>
      <w:r w:rsidR="000C6386" w:rsidRPr="000C6386">
        <w:t>EQ</w:t>
      </w:r>
      <w:r w:rsidR="00AA38B3">
        <w:t>-</w:t>
      </w:r>
      <w:r w:rsidR="000C6386" w:rsidRPr="000C6386">
        <w:t xml:space="preserve">5D-5L descriptive scores from </w:t>
      </w:r>
      <w:r w:rsidR="00FC4152" w:rsidRPr="00FC4152">
        <w:t xml:space="preserve">different time points to </w:t>
      </w:r>
      <w:r w:rsidR="0010235C">
        <w:t>“</w:t>
      </w:r>
      <w:r w:rsidR="00FC4152" w:rsidRPr="00FC4152">
        <w:t>tear heals</w:t>
      </w:r>
      <w:r w:rsidR="0010235C">
        <w:t>”</w:t>
      </w:r>
      <w:r w:rsidR="00FC4152" w:rsidRPr="00FC4152">
        <w:t xml:space="preserve"> and </w:t>
      </w:r>
      <w:r w:rsidR="0010235C">
        <w:t>“</w:t>
      </w:r>
      <w:r w:rsidR="00FC4152" w:rsidRPr="00FC4152">
        <w:t>tear fail to heal</w:t>
      </w:r>
      <w:r w:rsidR="0010235C">
        <w:t>”</w:t>
      </w:r>
      <w:r w:rsidR="00FC4152" w:rsidRPr="00FC4152">
        <w:t xml:space="preserve"> </w:t>
      </w:r>
      <w:r w:rsidR="000C6386">
        <w:t>in</w:t>
      </w:r>
      <w:r w:rsidR="00DE0650" w:rsidRPr="00487AE4">
        <w:t xml:space="preserve"> </w:t>
      </w:r>
      <w:r w:rsidR="00B21EF8">
        <w:t>the trial, the</w:t>
      </w:r>
      <w:r w:rsidR="0010235C">
        <w:t xml:space="preserve"> ADAR</w:t>
      </w:r>
      <w:r w:rsidR="00B21EF8">
        <w:t xml:space="preserve"> developed an approach that adjusted the trial </w:t>
      </w:r>
      <w:r w:rsidR="006C673C" w:rsidRPr="006C673C">
        <w:t>EQ</w:t>
      </w:r>
      <w:r w:rsidR="001822BE">
        <w:t>-</w:t>
      </w:r>
      <w:r w:rsidR="006C673C" w:rsidRPr="006C673C">
        <w:t xml:space="preserve">5D-5L VAS scores and applied these to </w:t>
      </w:r>
      <w:r w:rsidR="004320DE">
        <w:t>the CMS.</w:t>
      </w:r>
      <w:r w:rsidR="00161E44">
        <w:t xml:space="preserve"> </w:t>
      </w:r>
    </w:p>
    <w:p w14:paraId="4ABC6CC4" w14:textId="41300517" w:rsidR="00E52226" w:rsidRDefault="00161E44" w:rsidP="00AB3F6B">
      <w:r>
        <w:t>Using the EQ</w:t>
      </w:r>
      <w:r w:rsidR="00AC785B">
        <w:t>-</w:t>
      </w:r>
      <w:r>
        <w:t xml:space="preserve">5D-5L VAS the ADAR calculated </w:t>
      </w:r>
      <w:r w:rsidR="006C673C">
        <w:t>‘</w:t>
      </w:r>
      <w:r w:rsidR="00E6394E">
        <w:t>adjusted VAS</w:t>
      </w:r>
      <w:r w:rsidR="006C673C">
        <w:t xml:space="preserve"> scores</w:t>
      </w:r>
      <w:r w:rsidR="00E2135A">
        <w:t>’ and applied these as</w:t>
      </w:r>
      <w:r w:rsidR="00F31816">
        <w:t xml:space="preserve"> different </w:t>
      </w:r>
      <w:r w:rsidR="00FE6BAD">
        <w:t xml:space="preserve">utility </w:t>
      </w:r>
      <w:r w:rsidR="00E2135A">
        <w:t xml:space="preserve">weights </w:t>
      </w:r>
      <w:r w:rsidR="00FE6BAD">
        <w:t xml:space="preserve">healed and unhealed patients in </w:t>
      </w:r>
      <w:r w:rsidR="00BD7A00">
        <w:t>Y</w:t>
      </w:r>
      <w:r w:rsidR="00FE6BAD">
        <w:t xml:space="preserve">ear 1 and </w:t>
      </w:r>
      <w:r w:rsidR="00BD7A00">
        <w:t>Y</w:t>
      </w:r>
      <w:r w:rsidR="00FE6BAD">
        <w:t xml:space="preserve">ear 2 of the model. </w:t>
      </w:r>
      <w:r w:rsidR="00A82555">
        <w:t>For each individual year</w:t>
      </w:r>
      <w:r w:rsidR="005308A2">
        <w:t>,</w:t>
      </w:r>
      <w:r w:rsidR="003635F7">
        <w:t xml:space="preserve"> the</w:t>
      </w:r>
      <w:r w:rsidR="00A82555">
        <w:t xml:space="preserve"> ADAR</w:t>
      </w:r>
      <w:r w:rsidR="003635F7">
        <w:t xml:space="preserve"> calculated </w:t>
      </w:r>
      <w:r w:rsidR="00121546">
        <w:t xml:space="preserve">an </w:t>
      </w:r>
      <w:r w:rsidR="00995277">
        <w:t>“</w:t>
      </w:r>
      <w:r w:rsidR="00121546">
        <w:t>average CMS</w:t>
      </w:r>
      <w:r w:rsidR="00995277">
        <w:t>”</w:t>
      </w:r>
      <w:r w:rsidR="00121546">
        <w:t xml:space="preserve"> </w:t>
      </w:r>
      <w:r w:rsidR="005308A2">
        <w:t xml:space="preserve">using the combined </w:t>
      </w:r>
      <w:r w:rsidR="00336238">
        <w:t xml:space="preserve">treatment </w:t>
      </w:r>
      <w:r w:rsidR="005308A2">
        <w:t>population</w:t>
      </w:r>
      <w:r w:rsidR="00336238">
        <w:t>s</w:t>
      </w:r>
      <w:r w:rsidR="005308A2">
        <w:t xml:space="preserve"> = </w:t>
      </w:r>
      <w:r w:rsidR="005308A2" w:rsidRPr="005308A2">
        <w:t>(% Healed</w:t>
      </w:r>
      <w:r w:rsidR="00BA3A72">
        <w:t xml:space="preserve"> </w:t>
      </w:r>
      <w:r w:rsidR="00783CFA">
        <w:t>for that</w:t>
      </w:r>
      <w:r w:rsidR="00BA3A72">
        <w:t xml:space="preserve"> year</w:t>
      </w:r>
      <w:r w:rsidR="005308A2" w:rsidRPr="005308A2">
        <w:t xml:space="preserve"> × CMS</w:t>
      </w:r>
      <w:r w:rsidR="00BA3A72">
        <w:t xml:space="preserve"> for a </w:t>
      </w:r>
      <w:r w:rsidR="005308A2" w:rsidRPr="005308A2">
        <w:t xml:space="preserve">healed </w:t>
      </w:r>
      <w:r w:rsidR="00BA3A72">
        <w:t>patient</w:t>
      </w:r>
      <w:r w:rsidR="005308A2" w:rsidRPr="005308A2">
        <w:t>)</w:t>
      </w:r>
      <w:r w:rsidR="008D5D6A">
        <w:t xml:space="preserve"> </w:t>
      </w:r>
      <w:r w:rsidR="005308A2" w:rsidRPr="005308A2">
        <w:t xml:space="preserve">+ (% Unhealed </w:t>
      </w:r>
      <w:r w:rsidR="00BA3A72">
        <w:t xml:space="preserve">for that year </w:t>
      </w:r>
      <w:r w:rsidR="005308A2" w:rsidRPr="005308A2">
        <w:t>× CMS unhealed)</w:t>
      </w:r>
      <w:r w:rsidR="00783CFA">
        <w:t xml:space="preserve">. </w:t>
      </w:r>
      <w:r w:rsidR="0023579B">
        <w:t xml:space="preserve">The calculation estimated that the average CMS </w:t>
      </w:r>
      <w:r w:rsidR="00E908BD">
        <w:t xml:space="preserve">in </w:t>
      </w:r>
      <w:r w:rsidR="00BD7A00">
        <w:t>Y</w:t>
      </w:r>
      <w:r w:rsidR="00E908BD">
        <w:t xml:space="preserve">ear 1 </w:t>
      </w:r>
      <w:r w:rsidR="00432231">
        <w:t xml:space="preserve">for both populations combined </w:t>
      </w:r>
      <w:r w:rsidR="00E908BD">
        <w:t xml:space="preserve">was </w:t>
      </w:r>
      <w:r w:rsidR="00E908BD" w:rsidRPr="00E908BD">
        <w:t>0.77813</w:t>
      </w:r>
      <w:r w:rsidR="00432231">
        <w:t xml:space="preserve">. </w:t>
      </w:r>
      <w:r w:rsidR="00E908BD" w:rsidRPr="00E908BD">
        <w:t xml:space="preserve"> </w:t>
      </w:r>
      <w:r w:rsidR="006F1ED9">
        <w:t>Then th</w:t>
      </w:r>
      <w:r w:rsidR="001B4041">
        <w:t xml:space="preserve">e ADAR calculated an adjusted VAS for the different </w:t>
      </w:r>
      <w:r w:rsidR="001E3D24">
        <w:t xml:space="preserve">populations </w:t>
      </w:r>
      <w:r w:rsidR="001E3D24">
        <w:lastRenderedPageBreak/>
        <w:t xml:space="preserve">(healed and unhealed). This was done as follows - </w:t>
      </w:r>
      <w:r w:rsidR="008421BC" w:rsidRPr="008421BC">
        <w:t>Adjusted VAS=Initial VAS × (</w:t>
      </w:r>
      <w:r w:rsidR="00995277" w:rsidRPr="00995277">
        <w:t>average CMS</w:t>
      </w:r>
      <w:r w:rsidR="00074CCB">
        <w:t xml:space="preserve"> score</w:t>
      </w:r>
      <w:r w:rsidR="00532399">
        <w:t xml:space="preserve"> (for the grouped</w:t>
      </w:r>
      <w:r w:rsidR="00CF7FE6">
        <w:t xml:space="preserve"> e.g. healed)</w:t>
      </w:r>
      <w:r w:rsidR="008421BC" w:rsidRPr="008421BC">
        <w:t>/Average CMS</w:t>
      </w:r>
      <w:r w:rsidR="00FD6AE9">
        <w:t xml:space="preserve"> </w:t>
      </w:r>
      <w:r w:rsidR="00CF7FE6">
        <w:t>(for the year)</w:t>
      </w:r>
      <w:r w:rsidR="008421BC" w:rsidRPr="008421BC">
        <w:t>)</w:t>
      </w:r>
      <w:r w:rsidR="00432231">
        <w:t xml:space="preserve">. </w:t>
      </w:r>
    </w:p>
    <w:p w14:paraId="65EA688F" w14:textId="7498C902" w:rsidR="00CA0E67" w:rsidRDefault="00594E37" w:rsidP="00AB3F6B">
      <w:r>
        <w:t xml:space="preserve">The commentary noted that this </w:t>
      </w:r>
      <w:r w:rsidR="00AB3F6B">
        <w:t>approach may not be appropriate as there is no mapping of utility to health state, and the ADAR assumed that the overall average utility could be apportion</w:t>
      </w:r>
      <w:r w:rsidR="004F1D36">
        <w:t>ed</w:t>
      </w:r>
      <w:r w:rsidR="00AB3F6B">
        <w:t xml:space="preserve"> equally based on the CMS score. For this to be true, there needs to be an assumption that there is a linear correlation between CMS score and quality of life. There is no justification provided by the ADAR for this and the commentary noted that this assumption is unlikely to be true. </w:t>
      </w:r>
      <w:r w:rsidR="009C7FA7">
        <w:t>In addition, the ADAR did not present the</w:t>
      </w:r>
      <w:r w:rsidR="00033C6A">
        <w:t xml:space="preserve"> utility value</w:t>
      </w:r>
      <w:r w:rsidR="00D63A98">
        <w:t xml:space="preserve"> results</w:t>
      </w:r>
      <w:r w:rsidR="00033C6A">
        <w:t xml:space="preserve"> for the </w:t>
      </w:r>
      <w:r w:rsidR="0078482A">
        <w:t>EQ</w:t>
      </w:r>
      <w:r w:rsidR="00D63A98">
        <w:t>-</w:t>
      </w:r>
      <w:r w:rsidR="0078482A">
        <w:t xml:space="preserve">5D-5L </w:t>
      </w:r>
      <w:r w:rsidR="006444C1">
        <w:t xml:space="preserve">(VAS) </w:t>
      </w:r>
      <w:r w:rsidR="00033C6A">
        <w:t xml:space="preserve">(or </w:t>
      </w:r>
      <w:r w:rsidR="00D63A98">
        <w:t>TTO)</w:t>
      </w:r>
      <w:r w:rsidR="00E55FF8">
        <w:t xml:space="preserve">, </w:t>
      </w:r>
      <w:r w:rsidR="00177430">
        <w:t>making it difficult to interpret the results presented in the ADAR</w:t>
      </w:r>
      <w:r w:rsidR="003B2C4E">
        <w:t xml:space="preserve"> and whether the difference in QALY gained in the model is appropriate. </w:t>
      </w:r>
      <w:r w:rsidR="008A35FD">
        <w:t xml:space="preserve">With the available data </w:t>
      </w:r>
      <w:r w:rsidR="003B2C4E">
        <w:t xml:space="preserve">from </w:t>
      </w:r>
      <w:r w:rsidR="00B23DD1">
        <w:t xml:space="preserve">the Ruiz </w:t>
      </w:r>
      <w:proofErr w:type="spellStart"/>
      <w:r w:rsidR="00B23DD1">
        <w:t>Ibán</w:t>
      </w:r>
      <w:proofErr w:type="spellEnd"/>
      <w:r w:rsidR="00B23DD1">
        <w:t xml:space="preserve"> (2025) trial </w:t>
      </w:r>
      <w:r w:rsidR="007320D9">
        <w:t xml:space="preserve">the commentary considered that it </w:t>
      </w:r>
      <w:r w:rsidR="00B23DD1">
        <w:t>would be possible to determine the utilit</w:t>
      </w:r>
      <w:r w:rsidR="007320D9">
        <w:t>ies of the different health states and to compare across trial arms.</w:t>
      </w:r>
      <w:r w:rsidR="002B1626">
        <w:t xml:space="preserve"> The approach taken by the ADAR is likely to favour the intervention, given that there was no statistical difference noted between treatment arms in the clinical trial. </w:t>
      </w:r>
    </w:p>
    <w:p w14:paraId="63C78A92" w14:textId="3D24CA70" w:rsidR="00831B3F" w:rsidRDefault="006B5904" w:rsidP="00DE0650">
      <w:r>
        <w:t xml:space="preserve">The ADAR used a disutility of 0.03 for </w:t>
      </w:r>
      <w:r w:rsidR="00E2394A" w:rsidRPr="00E2394A">
        <w:t xml:space="preserve">revision surgery and reverse arthroplasty </w:t>
      </w:r>
      <w:r w:rsidR="00E2394A">
        <w:t>citing that it was based on the Dornan et al (2017)</w:t>
      </w:r>
      <w:r w:rsidR="00F874FE">
        <w:rPr>
          <w:rStyle w:val="FootnoteReference"/>
        </w:rPr>
        <w:footnoteReference w:id="25"/>
      </w:r>
      <w:r w:rsidR="00E2394A">
        <w:t>. This disutility</w:t>
      </w:r>
      <w:r w:rsidR="00DC749E">
        <w:t xml:space="preserve"> calculation in </w:t>
      </w:r>
      <w:r w:rsidR="00DC749E" w:rsidRPr="00DC749E">
        <w:t>Dornan et al (2017)</w:t>
      </w:r>
      <w:r w:rsidR="00E2394A">
        <w:t xml:space="preserve"> </w:t>
      </w:r>
      <w:r w:rsidR="00DC749E">
        <w:t>assumed</w:t>
      </w:r>
      <w:r w:rsidR="00DA7F44">
        <w:t xml:space="preserve"> that revision surgery </w:t>
      </w:r>
      <w:r w:rsidR="004E6967">
        <w:t>would have a disutility of</w:t>
      </w:r>
      <w:r w:rsidR="002B1626">
        <w:t xml:space="preserve"> </w:t>
      </w:r>
      <w:r w:rsidR="004E6967">
        <w:t xml:space="preserve">1.5 times that of </w:t>
      </w:r>
      <w:r w:rsidR="004E6967" w:rsidRPr="004E6967">
        <w:t>arthroscopic rotator cuff repair</w:t>
      </w:r>
      <w:r w:rsidR="00DC749E">
        <w:t xml:space="preserve"> with the disutility </w:t>
      </w:r>
      <w:r w:rsidR="00754E62">
        <w:t xml:space="preserve">of </w:t>
      </w:r>
      <w:r w:rsidR="00754E62" w:rsidRPr="00754E62">
        <w:t xml:space="preserve">arthroscopic rotator cuff repair </w:t>
      </w:r>
      <w:r w:rsidR="00A915BE">
        <w:t xml:space="preserve">coming from </w:t>
      </w:r>
      <w:r w:rsidR="009B6A03">
        <w:t>Mat</w:t>
      </w:r>
      <w:r w:rsidR="00BE78E8">
        <w:t>h</w:t>
      </w:r>
      <w:r w:rsidR="009B6A03">
        <w:t>er et al (2013)</w:t>
      </w:r>
      <w:r w:rsidR="004E6967">
        <w:t xml:space="preserve">. </w:t>
      </w:r>
      <w:r w:rsidR="00831B3F">
        <w:t>It is unclear from Mat</w:t>
      </w:r>
      <w:r w:rsidR="00BE78E8">
        <w:t>h</w:t>
      </w:r>
      <w:r w:rsidR="00831B3F">
        <w:t xml:space="preserve">er et al (2013) whether this disutility was </w:t>
      </w:r>
      <w:r w:rsidR="00C4515B">
        <w:t>assumed or based on patient data.</w:t>
      </w:r>
      <w:r w:rsidR="00A52718">
        <w:t xml:space="preserve"> A higher disutility </w:t>
      </w:r>
      <w:r w:rsidR="002B1626">
        <w:t xml:space="preserve">would favour the intervention. </w:t>
      </w:r>
    </w:p>
    <w:p w14:paraId="7EFD81E3" w14:textId="425C5214" w:rsidR="00C4515B" w:rsidRDefault="00AA4167" w:rsidP="00CF21E9">
      <w:r>
        <w:t xml:space="preserve">The ADAR model also presents cost effectiveness data for </w:t>
      </w:r>
      <w:r w:rsidR="00851B67">
        <w:t>cost per healed tear and cost per MCID.</w:t>
      </w:r>
      <w:r w:rsidR="0007304B">
        <w:t xml:space="preserve"> The approach of using the average change in CMS</w:t>
      </w:r>
      <w:r w:rsidR="001A2D36">
        <w:t xml:space="preserve"> for the total population as a change in MCID</w:t>
      </w:r>
      <w:r w:rsidR="0007304B">
        <w:t xml:space="preserve"> </w:t>
      </w:r>
      <w:r w:rsidR="00090A88">
        <w:t>was</w:t>
      </w:r>
      <w:r w:rsidR="0007304B">
        <w:t xml:space="preserve"> not </w:t>
      </w:r>
      <w:r w:rsidR="00BC2CE8">
        <w:t xml:space="preserve">considered </w:t>
      </w:r>
      <w:r w:rsidR="00090A88">
        <w:t>reasonable</w:t>
      </w:r>
      <w:r w:rsidR="00BC2CE8">
        <w:t xml:space="preserve"> by the </w:t>
      </w:r>
      <w:r w:rsidR="00F66A07">
        <w:t>commentary</w:t>
      </w:r>
      <w:r w:rsidR="001A2D36">
        <w:t>.</w:t>
      </w:r>
      <w:r w:rsidR="00090A88">
        <w:t xml:space="preserve"> The commentary considered that this approach was unreasonable for two key reasons</w:t>
      </w:r>
      <w:r w:rsidR="002215DA">
        <w:t>.</w:t>
      </w:r>
      <w:r w:rsidR="004702F1">
        <w:t xml:space="preserve"> </w:t>
      </w:r>
      <w:r w:rsidR="002215DA">
        <w:t>F</w:t>
      </w:r>
      <w:r w:rsidR="00090A88">
        <w:t>irstly, there was no statistical difference in the change of CMS between the treatment arms, therefore it is likely that there is no statistical difference between the mean MCID. Secondly, t</w:t>
      </w:r>
      <w:r w:rsidR="0007304B">
        <w:t xml:space="preserve">he change in MCID </w:t>
      </w:r>
      <w:r w:rsidR="001A2D36">
        <w:t xml:space="preserve">should be applied as the number of patients </w:t>
      </w:r>
      <w:r w:rsidR="0007304B">
        <w:t xml:space="preserve">achieving an MCID change in CMS and compare those results across treatment arms. </w:t>
      </w:r>
      <w:r w:rsidR="007525AB">
        <w:t>The</w:t>
      </w:r>
      <w:r w:rsidR="00702866">
        <w:t xml:space="preserve"> appropriate</w:t>
      </w:r>
      <w:r w:rsidR="007525AB">
        <w:t xml:space="preserve"> approach should be to calculate the number of patients </w:t>
      </w:r>
      <w:r w:rsidR="002C280A">
        <w:t>achieving</w:t>
      </w:r>
      <w:r w:rsidR="007525AB">
        <w:t xml:space="preserve"> a</w:t>
      </w:r>
      <w:r w:rsidR="00246525">
        <w:t xml:space="preserve"> MCID of </w:t>
      </w:r>
      <w:r w:rsidR="002C280A">
        <w:t>10.4 for CMS.</w:t>
      </w:r>
      <w:r w:rsidR="007525AB">
        <w:t xml:space="preserve"> </w:t>
      </w:r>
      <w:r w:rsidR="00766ACE">
        <w:t xml:space="preserve">The health data for healed tear </w:t>
      </w:r>
      <w:r w:rsidR="005E53E9">
        <w:t>were taken directly f</w:t>
      </w:r>
      <w:r w:rsidR="00F23F77">
        <w:t>ro</w:t>
      </w:r>
      <w:r w:rsidR="005E53E9">
        <w:t xml:space="preserve">m the Ruiz </w:t>
      </w:r>
      <w:proofErr w:type="spellStart"/>
      <w:r w:rsidR="005E53E9">
        <w:t>Ibán</w:t>
      </w:r>
      <w:proofErr w:type="spellEnd"/>
      <w:r w:rsidR="005E53E9">
        <w:t xml:space="preserve"> (2025) trial</w:t>
      </w:r>
      <w:r w:rsidR="002215DA">
        <w:t>. T</w:t>
      </w:r>
      <w:r w:rsidR="005E53E9">
        <w:t xml:space="preserve">his was considered appropriate by the commentary. </w:t>
      </w:r>
    </w:p>
    <w:p w14:paraId="0C15787A" w14:textId="77777777" w:rsidR="00DE0650" w:rsidRPr="0062012F" w:rsidRDefault="00DE0650" w:rsidP="0062012F">
      <w:pPr>
        <w:pStyle w:val="Heading4"/>
        <w:spacing w:before="0" w:after="120"/>
      </w:pPr>
      <w:r w:rsidRPr="0062012F">
        <w:t>Health care resource use and costs</w:t>
      </w:r>
    </w:p>
    <w:p w14:paraId="2EBB9898" w14:textId="7A828247" w:rsidR="00DE0650" w:rsidRDefault="00DE0650" w:rsidP="00DE0650">
      <w:r w:rsidRPr="006561B4">
        <w:t xml:space="preserve">The </w:t>
      </w:r>
      <w:r>
        <w:t>ADAR</w:t>
      </w:r>
      <w:r w:rsidRPr="006561B4">
        <w:t xml:space="preserve"> included relevant device and material costs in both intervention and comparator </w:t>
      </w:r>
      <w:proofErr w:type="gramStart"/>
      <w:r w:rsidRPr="006561B4">
        <w:t>arms</w:t>
      </w:r>
      <w:proofErr w:type="gramEnd"/>
      <w:r w:rsidRPr="006561B4">
        <w:t xml:space="preserve"> and the commentary considered these costs appropriate. The </w:t>
      </w:r>
      <w:r>
        <w:t>ADAR</w:t>
      </w:r>
      <w:r w:rsidRPr="006561B4">
        <w:t xml:space="preserve"> did not include cost for the</w:t>
      </w:r>
      <w:r w:rsidRPr="006561B4">
        <w:rPr>
          <w:rFonts w:cstheme="minorHAnsi"/>
        </w:rPr>
        <w:t xml:space="preserve"> standard suture anchor repair in </w:t>
      </w:r>
      <w:r>
        <w:rPr>
          <w:rFonts w:cstheme="minorHAnsi"/>
        </w:rPr>
        <w:t>either</w:t>
      </w:r>
      <w:r w:rsidRPr="006561B4">
        <w:rPr>
          <w:rFonts w:cstheme="minorHAnsi"/>
        </w:rPr>
        <w:t xml:space="preserve"> arm as the use of </w:t>
      </w:r>
      <w:r w:rsidR="007C546A">
        <w:rPr>
          <w:rFonts w:cstheme="minorHAnsi"/>
        </w:rPr>
        <w:t>BCI</w:t>
      </w:r>
      <w:r w:rsidR="00F874FE">
        <w:rPr>
          <w:rFonts w:cstheme="minorHAnsi"/>
        </w:rPr>
        <w:t xml:space="preserve"> </w:t>
      </w:r>
      <w:r w:rsidR="00F874FE" w:rsidRPr="006561B4">
        <w:rPr>
          <w:rFonts w:cstheme="minorHAnsi"/>
        </w:rPr>
        <w:t>was</w:t>
      </w:r>
      <w:r w:rsidRPr="006561B4">
        <w:rPr>
          <w:rFonts w:cstheme="minorHAnsi"/>
        </w:rPr>
        <w:t xml:space="preserve"> additional to the standard suture anchor repair in </w:t>
      </w:r>
      <w:r>
        <w:rPr>
          <w:rFonts w:cstheme="minorHAnsi"/>
        </w:rPr>
        <w:t xml:space="preserve">the </w:t>
      </w:r>
      <w:r w:rsidRPr="006561B4">
        <w:rPr>
          <w:rFonts w:cstheme="minorHAnsi"/>
        </w:rPr>
        <w:t xml:space="preserve">FTRCT population. </w:t>
      </w:r>
      <w:r w:rsidRPr="006561B4">
        <w:t>The main costs for the FTRCT population were associated with the management of patients following a retear. Patients c</w:t>
      </w:r>
      <w:r>
        <w:t>ould</w:t>
      </w:r>
      <w:r w:rsidRPr="006561B4">
        <w:t xml:space="preserve"> undergo a rotator cuff tear revision or reverse total shoulder replacement (RTSP), or stay in </w:t>
      </w:r>
      <w:r w:rsidR="00107601">
        <w:t>conservative management</w:t>
      </w:r>
      <w:r w:rsidRPr="006561B4">
        <w:t xml:space="preserve"> (e.g., physiotherapy session, pain medication, etc.). The </w:t>
      </w:r>
      <w:r>
        <w:t>ADAR</w:t>
      </w:r>
      <w:r w:rsidRPr="006561B4">
        <w:t xml:space="preserve"> sourced these cost data from different sources</w:t>
      </w:r>
      <w:r w:rsidR="002D4CF2">
        <w:t xml:space="preserve"> (</w:t>
      </w:r>
      <w:r w:rsidR="002D4CF2">
        <w:fldChar w:fldCharType="begin"/>
      </w:r>
      <w:r w:rsidR="002D4CF2">
        <w:instrText xml:space="preserve"> REF _Ref197521092 \h </w:instrText>
      </w:r>
      <w:r w:rsidR="002D4CF2">
        <w:fldChar w:fldCharType="separate"/>
      </w:r>
      <w:r w:rsidR="002D4CF2">
        <w:t>Table</w:t>
      </w:r>
      <w:r w:rsidR="00D125A3">
        <w:t xml:space="preserve"> 1</w:t>
      </w:r>
      <w:r w:rsidR="00800758">
        <w:t>1</w:t>
      </w:r>
      <w:r w:rsidR="002D4CF2">
        <w:t xml:space="preserve"> </w:t>
      </w:r>
      <w:r w:rsidR="002D4CF2">
        <w:fldChar w:fldCharType="end"/>
      </w:r>
      <w:r w:rsidR="002D4CF2">
        <w:t>)</w:t>
      </w:r>
      <w:r w:rsidRPr="006561B4">
        <w:t xml:space="preserve">. </w:t>
      </w:r>
      <w:r w:rsidR="00A2425C">
        <w:t>Overall,</w:t>
      </w:r>
      <w:r w:rsidR="00107601">
        <w:t xml:space="preserve"> the commentary considered </w:t>
      </w:r>
      <w:proofErr w:type="gramStart"/>
      <w:r w:rsidR="00107601">
        <w:t>the majority of</w:t>
      </w:r>
      <w:proofErr w:type="gramEnd"/>
      <w:r w:rsidR="00107601">
        <w:t xml:space="preserve"> sources to be appropriate. </w:t>
      </w:r>
    </w:p>
    <w:p w14:paraId="12C108BA" w14:textId="7794802F" w:rsidR="004E3F14" w:rsidRDefault="004E3F14" w:rsidP="004E3F14">
      <w:pPr>
        <w:pStyle w:val="Caption"/>
      </w:pPr>
      <w:bookmarkStart w:id="40" w:name="_Ref197521092"/>
      <w:r>
        <w:lastRenderedPageBreak/>
        <w:t xml:space="preserve">Table </w:t>
      </w:r>
      <w:r w:rsidR="004B28A6">
        <w:fldChar w:fldCharType="begin"/>
      </w:r>
      <w:r w:rsidR="004B28A6">
        <w:instrText xml:space="preserve"> SEQ Table \* ARABIC </w:instrText>
      </w:r>
      <w:r w:rsidR="004B28A6">
        <w:fldChar w:fldCharType="separate"/>
      </w:r>
      <w:r w:rsidR="00564C3F">
        <w:rPr>
          <w:noProof/>
        </w:rPr>
        <w:t>11</w:t>
      </w:r>
      <w:r w:rsidR="004B28A6">
        <w:rPr>
          <w:noProof/>
        </w:rPr>
        <w:fldChar w:fldCharType="end"/>
      </w:r>
      <w:bookmarkEnd w:id="40"/>
      <w:r>
        <w:t xml:space="preserve"> </w:t>
      </w:r>
      <w:r w:rsidRPr="00345115">
        <w:t>Inputs used in the economic evaluation for FTRCT</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792"/>
        <w:gridCol w:w="4533"/>
      </w:tblGrid>
      <w:tr w:rsidR="004A7553" w:rsidRPr="0062012F" w14:paraId="552E7190" w14:textId="77777777" w:rsidTr="00D56BF2">
        <w:trPr>
          <w:cnfStyle w:val="100000000000" w:firstRow="1" w:lastRow="0" w:firstColumn="0" w:lastColumn="0" w:oddVBand="0" w:evenVBand="0" w:oddHBand="0" w:evenHBand="0" w:firstRowFirstColumn="0" w:firstRowLastColumn="0" w:lastRowFirstColumn="0" w:lastRowLastColumn="0"/>
          <w:tblHeader/>
        </w:trPr>
        <w:tc>
          <w:tcPr>
            <w:tcW w:w="2691" w:type="dxa"/>
            <w:shd w:val="clear" w:color="auto" w:fill="D9D9D9" w:themeFill="background1" w:themeFillShade="D9"/>
          </w:tcPr>
          <w:p w14:paraId="075B9643" w14:textId="77777777" w:rsidR="004A7553" w:rsidRPr="0062012F" w:rsidRDefault="004A7553">
            <w:pPr>
              <w:pStyle w:val="TableText"/>
              <w:keepNext/>
              <w:rPr>
                <w:rFonts w:cstheme="minorHAnsi"/>
              </w:rPr>
            </w:pPr>
            <w:r w:rsidRPr="0062012F">
              <w:rPr>
                <w:rFonts w:cstheme="minorHAnsi"/>
                <w:b/>
                <w:bCs/>
              </w:rPr>
              <w:t>Parameter</w:t>
            </w:r>
          </w:p>
        </w:tc>
        <w:tc>
          <w:tcPr>
            <w:tcW w:w="1792" w:type="dxa"/>
            <w:shd w:val="clear" w:color="auto" w:fill="D9D9D9" w:themeFill="background1" w:themeFillShade="D9"/>
          </w:tcPr>
          <w:p w14:paraId="5FA038AB" w14:textId="77777777" w:rsidR="004A7553" w:rsidRPr="0062012F" w:rsidRDefault="004A7553">
            <w:pPr>
              <w:pStyle w:val="TableText"/>
              <w:keepNext/>
              <w:jc w:val="center"/>
              <w:rPr>
                <w:rFonts w:cstheme="minorHAnsi"/>
              </w:rPr>
            </w:pPr>
            <w:r w:rsidRPr="0062012F">
              <w:rPr>
                <w:rFonts w:cstheme="minorHAnsi"/>
                <w:b/>
                <w:bCs/>
              </w:rPr>
              <w:t>Value</w:t>
            </w:r>
          </w:p>
        </w:tc>
        <w:tc>
          <w:tcPr>
            <w:tcW w:w="4533" w:type="dxa"/>
            <w:shd w:val="clear" w:color="auto" w:fill="D9D9D9" w:themeFill="background1" w:themeFillShade="D9"/>
          </w:tcPr>
          <w:p w14:paraId="20AAD808" w14:textId="77777777" w:rsidR="004A7553" w:rsidRPr="0062012F" w:rsidRDefault="004A7553">
            <w:pPr>
              <w:pStyle w:val="TableText"/>
              <w:keepNext/>
              <w:rPr>
                <w:rFonts w:cstheme="minorHAnsi"/>
              </w:rPr>
            </w:pPr>
            <w:r w:rsidRPr="0062012F">
              <w:rPr>
                <w:rFonts w:cstheme="minorHAnsi"/>
                <w:b/>
                <w:bCs/>
              </w:rPr>
              <w:t>Source</w:t>
            </w:r>
          </w:p>
        </w:tc>
      </w:tr>
      <w:tr w:rsidR="004A7553" w:rsidRPr="0062012F" w14:paraId="0E72E5D5" w14:textId="77777777" w:rsidTr="00D56BF2">
        <w:tc>
          <w:tcPr>
            <w:tcW w:w="9016" w:type="dxa"/>
            <w:gridSpan w:val="3"/>
          </w:tcPr>
          <w:p w14:paraId="71C7862A" w14:textId="77777777" w:rsidR="004A7553" w:rsidRPr="0062012F" w:rsidRDefault="004A7553">
            <w:pPr>
              <w:pStyle w:val="TableText"/>
              <w:keepNext/>
              <w:rPr>
                <w:rFonts w:cstheme="minorHAnsi"/>
              </w:rPr>
            </w:pPr>
            <w:r w:rsidRPr="0062012F">
              <w:rPr>
                <w:rFonts w:cstheme="minorHAnsi"/>
                <w:b/>
                <w:bCs/>
              </w:rPr>
              <w:t>Unit Costs</w:t>
            </w:r>
          </w:p>
        </w:tc>
      </w:tr>
      <w:tr w:rsidR="004A7553" w:rsidRPr="0062012F" w14:paraId="6300578F" w14:textId="77777777" w:rsidTr="00D56BF2">
        <w:tc>
          <w:tcPr>
            <w:tcW w:w="2691" w:type="dxa"/>
          </w:tcPr>
          <w:p w14:paraId="68E7D77F" w14:textId="205A280D" w:rsidR="004A7553" w:rsidRPr="0062012F" w:rsidRDefault="007C546A">
            <w:pPr>
              <w:pStyle w:val="TableText"/>
              <w:keepNext/>
              <w:rPr>
                <w:rFonts w:cstheme="minorHAnsi"/>
              </w:rPr>
            </w:pPr>
            <w:r>
              <w:rPr>
                <w:rFonts w:cstheme="minorHAnsi"/>
              </w:rPr>
              <w:t>BCI</w:t>
            </w:r>
            <w:r w:rsidR="004A7553" w:rsidRPr="0062012F">
              <w:rPr>
                <w:rFonts w:cstheme="minorHAnsi"/>
              </w:rPr>
              <w:t xml:space="preserve">   </w:t>
            </w:r>
          </w:p>
        </w:tc>
        <w:tc>
          <w:tcPr>
            <w:tcW w:w="1792" w:type="dxa"/>
          </w:tcPr>
          <w:p w14:paraId="2143090B" w14:textId="65D9E1E1" w:rsidR="004A7553" w:rsidRPr="0062012F" w:rsidRDefault="00393639">
            <w:pPr>
              <w:pStyle w:val="TableText"/>
              <w:keepNext/>
              <w:jc w:val="center"/>
              <w:rPr>
                <w:rFonts w:cstheme="minorHAnsi"/>
              </w:rPr>
            </w:pPr>
            <w:r>
              <w:rPr>
                <w:rFonts w:cstheme="minorHAnsi"/>
              </w:rPr>
              <w:t>$</w:t>
            </w:r>
            <w:r w:rsidR="00F028AB" w:rsidRPr="006D64FB">
              <w:rPr>
                <w:rFonts w:cstheme="minorHAnsi"/>
                <w:b/>
                <w:bCs/>
              </w:rPr>
              <w:t>re</w:t>
            </w:r>
            <w:r w:rsidR="009E1480" w:rsidRPr="006D64FB">
              <w:rPr>
                <w:rFonts w:cstheme="minorHAnsi"/>
                <w:b/>
                <w:bCs/>
              </w:rPr>
              <w:t>dacted</w:t>
            </w:r>
          </w:p>
        </w:tc>
        <w:tc>
          <w:tcPr>
            <w:tcW w:w="4533" w:type="dxa"/>
          </w:tcPr>
          <w:p w14:paraId="23BE9FAC" w14:textId="77777777" w:rsidR="004A7553" w:rsidRPr="0062012F" w:rsidRDefault="004A7553">
            <w:pPr>
              <w:pStyle w:val="TableText"/>
              <w:keepNext/>
              <w:rPr>
                <w:rFonts w:cstheme="minorHAnsi"/>
              </w:rPr>
            </w:pPr>
            <w:r w:rsidRPr="0062012F">
              <w:rPr>
                <w:rFonts w:cstheme="minorHAnsi"/>
              </w:rPr>
              <w:t>Proposed benefit from S+N</w:t>
            </w:r>
          </w:p>
        </w:tc>
      </w:tr>
      <w:tr w:rsidR="004A7553" w:rsidRPr="0062012F" w14:paraId="66D7B59A" w14:textId="77777777" w:rsidTr="00D56BF2">
        <w:tc>
          <w:tcPr>
            <w:tcW w:w="2691" w:type="dxa"/>
          </w:tcPr>
          <w:p w14:paraId="1F2BED21" w14:textId="77777777" w:rsidR="004A7553" w:rsidRPr="0062012F" w:rsidRDefault="004A7553">
            <w:pPr>
              <w:pStyle w:val="TableText"/>
              <w:keepNext/>
              <w:rPr>
                <w:rFonts w:cstheme="minorHAnsi"/>
              </w:rPr>
            </w:pPr>
            <w:r w:rsidRPr="0062012F">
              <w:rPr>
                <w:rFonts w:cstheme="minorHAnsi"/>
              </w:rPr>
              <w:t>Workers’ compensation payout per week</w:t>
            </w:r>
          </w:p>
        </w:tc>
        <w:tc>
          <w:tcPr>
            <w:tcW w:w="1792" w:type="dxa"/>
          </w:tcPr>
          <w:p w14:paraId="7334DF34" w14:textId="77777777" w:rsidR="004A7553" w:rsidRPr="0062012F" w:rsidRDefault="004A7553">
            <w:pPr>
              <w:pStyle w:val="TableText"/>
              <w:keepNext/>
              <w:jc w:val="center"/>
              <w:rPr>
                <w:rFonts w:cstheme="minorHAnsi"/>
              </w:rPr>
            </w:pPr>
            <w:r w:rsidRPr="0062012F">
              <w:rPr>
                <w:rFonts w:cstheme="minorHAnsi"/>
              </w:rPr>
              <w:t>$1,399</w:t>
            </w:r>
          </w:p>
        </w:tc>
        <w:tc>
          <w:tcPr>
            <w:tcW w:w="4533" w:type="dxa"/>
          </w:tcPr>
          <w:p w14:paraId="4E63D463" w14:textId="77777777" w:rsidR="004A7553" w:rsidRPr="0062012F" w:rsidRDefault="004A7553">
            <w:pPr>
              <w:pStyle w:val="TableText"/>
              <w:keepNext/>
              <w:rPr>
                <w:rFonts w:cstheme="minorHAnsi"/>
              </w:rPr>
            </w:pPr>
            <w:r w:rsidRPr="0062012F">
              <w:rPr>
                <w:rFonts w:cstheme="minorHAnsi"/>
              </w:rPr>
              <w:t>ABS: Average weekly earnings Australia (May 2023)</w:t>
            </w:r>
          </w:p>
        </w:tc>
      </w:tr>
      <w:tr w:rsidR="004A7553" w:rsidRPr="0062012F" w14:paraId="2F9D0C9B" w14:textId="77777777" w:rsidTr="00D56BF2">
        <w:tc>
          <w:tcPr>
            <w:tcW w:w="2691" w:type="dxa"/>
          </w:tcPr>
          <w:p w14:paraId="7C5EB467" w14:textId="77777777" w:rsidR="004A7553" w:rsidRPr="0062012F" w:rsidRDefault="004A7553">
            <w:pPr>
              <w:pStyle w:val="TableText"/>
              <w:keepNext/>
              <w:rPr>
                <w:rFonts w:cstheme="minorHAnsi"/>
              </w:rPr>
            </w:pPr>
            <w:r w:rsidRPr="0062012F">
              <w:rPr>
                <w:rFonts w:cstheme="minorHAnsi"/>
              </w:rPr>
              <w:t>Cost of physiotherapy sessions</w:t>
            </w:r>
          </w:p>
        </w:tc>
        <w:tc>
          <w:tcPr>
            <w:tcW w:w="1792" w:type="dxa"/>
          </w:tcPr>
          <w:p w14:paraId="583BBCFE" w14:textId="77777777" w:rsidR="004A7553" w:rsidRPr="0062012F" w:rsidRDefault="004A7553">
            <w:pPr>
              <w:pStyle w:val="TableText"/>
              <w:keepNext/>
              <w:jc w:val="center"/>
              <w:rPr>
                <w:rFonts w:cstheme="minorHAnsi"/>
              </w:rPr>
            </w:pPr>
            <w:r w:rsidRPr="0062012F">
              <w:rPr>
                <w:rFonts w:cstheme="minorHAnsi"/>
              </w:rPr>
              <w:t>$110</w:t>
            </w:r>
          </w:p>
        </w:tc>
        <w:tc>
          <w:tcPr>
            <w:tcW w:w="4533" w:type="dxa"/>
          </w:tcPr>
          <w:p w14:paraId="06CE3392" w14:textId="77777777" w:rsidR="004A7553" w:rsidRPr="0062012F" w:rsidRDefault="004A7553">
            <w:pPr>
              <w:pStyle w:val="TableText"/>
              <w:keepNext/>
              <w:rPr>
                <w:rFonts w:cstheme="minorHAnsi"/>
              </w:rPr>
            </w:pPr>
            <w:proofErr w:type="spellStart"/>
            <w:r w:rsidRPr="0062012F">
              <w:rPr>
                <w:rFonts w:cstheme="minorHAnsi"/>
              </w:rPr>
              <w:t>Oneflare</w:t>
            </w:r>
            <w:proofErr w:type="spellEnd"/>
            <w:r w:rsidRPr="0062012F">
              <w:rPr>
                <w:rFonts w:cstheme="minorHAnsi"/>
              </w:rPr>
              <w:t>, sourced from; &lt; https://www. oneflare.com.au/costs/physiotherapist&gt;</w:t>
            </w:r>
          </w:p>
        </w:tc>
      </w:tr>
      <w:tr w:rsidR="004A7553" w:rsidRPr="0062012F" w14:paraId="423D5BD4" w14:textId="77777777" w:rsidTr="00D56BF2">
        <w:tc>
          <w:tcPr>
            <w:tcW w:w="2691" w:type="dxa"/>
          </w:tcPr>
          <w:p w14:paraId="36F9625D" w14:textId="77777777" w:rsidR="004A7553" w:rsidRPr="0062012F" w:rsidRDefault="004A7553">
            <w:pPr>
              <w:pStyle w:val="TableText"/>
              <w:keepNext/>
              <w:rPr>
                <w:rFonts w:cstheme="minorHAnsi"/>
              </w:rPr>
            </w:pPr>
            <w:r w:rsidRPr="0062012F">
              <w:rPr>
                <w:rFonts w:cstheme="minorHAnsi"/>
              </w:rPr>
              <w:t>Cost of corticosteroid injection</w:t>
            </w:r>
          </w:p>
        </w:tc>
        <w:tc>
          <w:tcPr>
            <w:tcW w:w="1792" w:type="dxa"/>
          </w:tcPr>
          <w:p w14:paraId="183F4B46" w14:textId="77777777" w:rsidR="004A7553" w:rsidRPr="0062012F" w:rsidRDefault="004A7553">
            <w:pPr>
              <w:pStyle w:val="TableText"/>
              <w:keepNext/>
              <w:jc w:val="center"/>
              <w:rPr>
                <w:rFonts w:cstheme="minorHAnsi"/>
              </w:rPr>
            </w:pPr>
            <w:r w:rsidRPr="0062012F">
              <w:rPr>
                <w:rFonts w:cstheme="minorHAnsi"/>
              </w:rPr>
              <w:t>$65</w:t>
            </w:r>
          </w:p>
        </w:tc>
        <w:tc>
          <w:tcPr>
            <w:tcW w:w="4533" w:type="dxa"/>
          </w:tcPr>
          <w:p w14:paraId="4F378CD4" w14:textId="77777777" w:rsidR="004A7553" w:rsidRPr="0062012F" w:rsidRDefault="004A7553">
            <w:pPr>
              <w:pStyle w:val="TableText"/>
              <w:keepNext/>
              <w:rPr>
                <w:rFonts w:cstheme="minorHAnsi"/>
              </w:rPr>
            </w:pPr>
            <w:r w:rsidRPr="0062012F">
              <w:rPr>
                <w:rFonts w:cstheme="minorHAnsi"/>
              </w:rPr>
              <w:t xml:space="preserve">Green Square Health, sourced from: &lt; </w:t>
            </w:r>
          </w:p>
          <w:p w14:paraId="21227709" w14:textId="77777777" w:rsidR="004A7553" w:rsidRPr="0062012F" w:rsidRDefault="004A7553">
            <w:pPr>
              <w:pStyle w:val="TableText"/>
              <w:keepNext/>
              <w:rPr>
                <w:rFonts w:cstheme="minorHAnsi"/>
              </w:rPr>
            </w:pPr>
            <w:r w:rsidRPr="0062012F">
              <w:rPr>
                <w:rFonts w:cstheme="minorHAnsi"/>
              </w:rPr>
              <w:t>https://gshealth.com.au/service/surgical-procedures/corticosteroid-injections&gt;</w:t>
            </w:r>
          </w:p>
        </w:tc>
      </w:tr>
      <w:tr w:rsidR="004A7553" w:rsidRPr="0062012F" w14:paraId="0BFB3187" w14:textId="77777777" w:rsidTr="00D56BF2">
        <w:tc>
          <w:tcPr>
            <w:tcW w:w="2691" w:type="dxa"/>
          </w:tcPr>
          <w:p w14:paraId="46F89966" w14:textId="77777777" w:rsidR="004A7553" w:rsidRPr="0062012F" w:rsidRDefault="004A7553">
            <w:pPr>
              <w:pStyle w:val="TableText"/>
              <w:keepNext/>
              <w:rPr>
                <w:rFonts w:cstheme="minorHAnsi"/>
              </w:rPr>
            </w:pPr>
            <w:r w:rsidRPr="0062012F">
              <w:rPr>
                <w:rFonts w:cstheme="minorHAnsi"/>
              </w:rPr>
              <w:t>Shoulder MRI</w:t>
            </w:r>
          </w:p>
        </w:tc>
        <w:tc>
          <w:tcPr>
            <w:tcW w:w="1792" w:type="dxa"/>
          </w:tcPr>
          <w:p w14:paraId="4A21BF89" w14:textId="77777777" w:rsidR="004A7553" w:rsidRPr="0062012F" w:rsidRDefault="004A7553">
            <w:pPr>
              <w:pStyle w:val="TableText"/>
              <w:keepNext/>
              <w:jc w:val="center"/>
              <w:rPr>
                <w:rFonts w:cstheme="minorHAnsi"/>
              </w:rPr>
            </w:pPr>
            <w:r w:rsidRPr="0062012F">
              <w:rPr>
                <w:rFonts w:cstheme="minorHAnsi"/>
              </w:rPr>
              <w:t>$331.10</w:t>
            </w:r>
          </w:p>
        </w:tc>
        <w:tc>
          <w:tcPr>
            <w:tcW w:w="4533" w:type="dxa"/>
          </w:tcPr>
          <w:p w14:paraId="0BBDD0AD" w14:textId="77777777" w:rsidR="004A7553" w:rsidRPr="0062012F" w:rsidRDefault="004A7553">
            <w:pPr>
              <w:pStyle w:val="TableText"/>
              <w:keepNext/>
              <w:rPr>
                <w:rFonts w:cstheme="minorHAnsi"/>
              </w:rPr>
            </w:pPr>
            <w:r w:rsidRPr="0062012F">
              <w:rPr>
                <w:rFonts w:cstheme="minorHAnsi"/>
              </w:rPr>
              <w:t>Shoulder MRI, MBS item #63325 (Benefit 75%)</w:t>
            </w:r>
          </w:p>
        </w:tc>
      </w:tr>
      <w:tr w:rsidR="004A7553" w:rsidRPr="0062012F" w14:paraId="420E634B" w14:textId="77777777" w:rsidTr="00D56BF2">
        <w:tc>
          <w:tcPr>
            <w:tcW w:w="9016" w:type="dxa"/>
            <w:gridSpan w:val="3"/>
          </w:tcPr>
          <w:p w14:paraId="3EA7AFC1" w14:textId="77777777" w:rsidR="004A7553" w:rsidRPr="0062012F" w:rsidRDefault="004A7553">
            <w:pPr>
              <w:pStyle w:val="TableText"/>
              <w:keepNext/>
              <w:rPr>
                <w:rFonts w:cstheme="minorHAnsi"/>
                <w:b/>
                <w:bCs/>
              </w:rPr>
            </w:pPr>
            <w:r w:rsidRPr="0062012F">
              <w:rPr>
                <w:rFonts w:cstheme="minorHAnsi"/>
                <w:b/>
                <w:bCs/>
              </w:rPr>
              <w:t>Total cost of revision surgery after tear fails to heal</w:t>
            </w:r>
          </w:p>
        </w:tc>
      </w:tr>
      <w:tr w:rsidR="004A7553" w:rsidRPr="0062012F" w14:paraId="5F0932D2" w14:textId="77777777" w:rsidTr="00D56BF2">
        <w:tc>
          <w:tcPr>
            <w:tcW w:w="2691" w:type="dxa"/>
          </w:tcPr>
          <w:p w14:paraId="3D040877" w14:textId="77777777" w:rsidR="004A7553" w:rsidRPr="0062012F" w:rsidRDefault="004A7553">
            <w:pPr>
              <w:pStyle w:val="TableText"/>
              <w:keepNext/>
              <w:rPr>
                <w:rFonts w:cstheme="minorHAnsi"/>
              </w:rPr>
            </w:pPr>
            <w:r w:rsidRPr="0062012F">
              <w:rPr>
                <w:rFonts w:cstheme="minorHAnsi"/>
              </w:rPr>
              <w:t>Surgery revision</w:t>
            </w:r>
          </w:p>
        </w:tc>
        <w:tc>
          <w:tcPr>
            <w:tcW w:w="1792" w:type="dxa"/>
          </w:tcPr>
          <w:p w14:paraId="173EBFDE" w14:textId="77777777" w:rsidR="004A7553" w:rsidRPr="0062012F" w:rsidRDefault="004A7553">
            <w:pPr>
              <w:pStyle w:val="TableText"/>
              <w:keepNext/>
              <w:jc w:val="center"/>
              <w:rPr>
                <w:rFonts w:cstheme="minorHAnsi"/>
              </w:rPr>
            </w:pPr>
            <w:r w:rsidRPr="0062012F">
              <w:rPr>
                <w:rFonts w:cstheme="minorHAnsi"/>
              </w:rPr>
              <w:t>$9,798</w:t>
            </w:r>
          </w:p>
          <w:p w14:paraId="5EC59D5D" w14:textId="0216880B" w:rsidR="00F37E1B" w:rsidRPr="0062012F" w:rsidRDefault="00F37E1B">
            <w:pPr>
              <w:pStyle w:val="TableText"/>
              <w:keepNext/>
              <w:jc w:val="center"/>
              <w:rPr>
                <w:rFonts w:cstheme="minorHAnsi"/>
                <w:i/>
                <w:iCs/>
              </w:rPr>
            </w:pPr>
            <w:r w:rsidRPr="0062012F">
              <w:rPr>
                <w:rFonts w:cstheme="minorHAnsi"/>
                <w:i/>
                <w:iCs/>
              </w:rPr>
              <w:t>$</w:t>
            </w:r>
            <w:r w:rsidR="007E627F" w:rsidRPr="0062012F">
              <w:rPr>
                <w:rFonts w:cstheme="minorHAnsi"/>
                <w:i/>
                <w:iCs/>
              </w:rPr>
              <w:t>12</w:t>
            </w:r>
            <w:r w:rsidR="00DB611A" w:rsidRPr="0062012F">
              <w:rPr>
                <w:rFonts w:cstheme="minorHAnsi"/>
                <w:i/>
                <w:iCs/>
              </w:rPr>
              <w:t>,290</w:t>
            </w:r>
            <w:r w:rsidR="00027E53" w:rsidRPr="0062012F">
              <w:rPr>
                <w:rFonts w:cstheme="minorHAnsi"/>
                <w:i/>
                <w:iCs/>
                <w:vertAlign w:val="superscript"/>
              </w:rPr>
              <w:t>#</w:t>
            </w:r>
          </w:p>
        </w:tc>
        <w:tc>
          <w:tcPr>
            <w:tcW w:w="4533" w:type="dxa"/>
          </w:tcPr>
          <w:p w14:paraId="63B751B5" w14:textId="77777777" w:rsidR="004A7553" w:rsidRPr="0062012F" w:rsidRDefault="004A7553">
            <w:pPr>
              <w:pStyle w:val="TableText"/>
              <w:keepNext/>
              <w:rPr>
                <w:rFonts w:cstheme="minorHAnsi"/>
              </w:rPr>
            </w:pPr>
            <w:r w:rsidRPr="0062012F">
              <w:rPr>
                <w:rFonts w:cstheme="minorHAnsi"/>
              </w:rPr>
              <w:t>Private Health Insurance Medibank, sourced from: &lt; https:// www.medibank.com.au/health-support/hospital-assist/costs/rotator-cuff-repair/ &gt;</w:t>
            </w:r>
          </w:p>
          <w:p w14:paraId="5E32D459" w14:textId="2C91F503" w:rsidR="00641621" w:rsidRPr="0062012F" w:rsidRDefault="00641621">
            <w:pPr>
              <w:pStyle w:val="TableText"/>
              <w:keepNext/>
              <w:rPr>
                <w:rFonts w:cstheme="minorHAnsi"/>
                <w:i/>
                <w:iCs/>
              </w:rPr>
            </w:pPr>
            <w:r w:rsidRPr="0062012F">
              <w:rPr>
                <w:rFonts w:cstheme="minorHAnsi"/>
                <w:i/>
                <w:iCs/>
              </w:rPr>
              <w:t>Department of Health and Aged Care. Medical Cost Finder “Shoulder reconstruction or repair including rotator cuff repair”. 2022-2023</w:t>
            </w:r>
          </w:p>
        </w:tc>
      </w:tr>
      <w:tr w:rsidR="004A7553" w:rsidRPr="0062012F" w14:paraId="2F0955DA" w14:textId="77777777" w:rsidTr="00D56BF2">
        <w:tc>
          <w:tcPr>
            <w:tcW w:w="2691" w:type="dxa"/>
          </w:tcPr>
          <w:p w14:paraId="7EEF8FFB" w14:textId="77777777" w:rsidR="004A7553" w:rsidRPr="0062012F" w:rsidRDefault="004A7553">
            <w:pPr>
              <w:pStyle w:val="TableText"/>
              <w:keepNext/>
              <w:rPr>
                <w:rFonts w:cstheme="minorHAnsi"/>
              </w:rPr>
            </w:pPr>
            <w:r w:rsidRPr="0062012F">
              <w:rPr>
                <w:rFonts w:cstheme="minorHAnsi"/>
              </w:rPr>
              <w:t>Cost of physiotherapy sessions for rehabilitation</w:t>
            </w:r>
          </w:p>
        </w:tc>
        <w:tc>
          <w:tcPr>
            <w:tcW w:w="1792" w:type="dxa"/>
          </w:tcPr>
          <w:p w14:paraId="47738D63" w14:textId="77777777" w:rsidR="004A7553" w:rsidRPr="0062012F" w:rsidRDefault="004A7553">
            <w:pPr>
              <w:pStyle w:val="TableText"/>
              <w:keepNext/>
              <w:jc w:val="center"/>
              <w:rPr>
                <w:rFonts w:cstheme="minorHAnsi"/>
              </w:rPr>
            </w:pPr>
            <w:r w:rsidRPr="0062012F">
              <w:rPr>
                <w:rFonts w:cstheme="minorHAnsi"/>
              </w:rPr>
              <w:t>$1,980</w:t>
            </w:r>
          </w:p>
        </w:tc>
        <w:tc>
          <w:tcPr>
            <w:tcW w:w="4533" w:type="dxa"/>
          </w:tcPr>
          <w:p w14:paraId="3703FCE3" w14:textId="77777777" w:rsidR="004A7553" w:rsidRPr="0062012F" w:rsidRDefault="004A7553">
            <w:pPr>
              <w:pStyle w:val="TableText"/>
              <w:keepNext/>
              <w:rPr>
                <w:rFonts w:cstheme="minorHAnsi"/>
              </w:rPr>
            </w:pPr>
            <w:r w:rsidRPr="0062012F">
              <w:rPr>
                <w:rFonts w:cstheme="minorHAnsi"/>
              </w:rPr>
              <w:t>Calculation based on 18 physiotherapy sessions</w:t>
            </w:r>
          </w:p>
        </w:tc>
      </w:tr>
      <w:tr w:rsidR="004A7553" w:rsidRPr="0062012F" w14:paraId="0003CEB9" w14:textId="77777777" w:rsidTr="00D56BF2">
        <w:tc>
          <w:tcPr>
            <w:tcW w:w="2691" w:type="dxa"/>
          </w:tcPr>
          <w:p w14:paraId="142F4751" w14:textId="77777777" w:rsidR="004A7553" w:rsidRPr="0062012F" w:rsidRDefault="004A7553">
            <w:pPr>
              <w:pStyle w:val="TableText"/>
              <w:keepNext/>
              <w:rPr>
                <w:rFonts w:cstheme="minorHAnsi"/>
              </w:rPr>
            </w:pPr>
            <w:r w:rsidRPr="0062012F">
              <w:rPr>
                <w:rFonts w:cstheme="minorHAnsi"/>
              </w:rPr>
              <w:t>Total cost of revision</w:t>
            </w:r>
          </w:p>
        </w:tc>
        <w:tc>
          <w:tcPr>
            <w:tcW w:w="1792" w:type="dxa"/>
          </w:tcPr>
          <w:p w14:paraId="2FF9DE9E" w14:textId="04AFD1ED" w:rsidR="004A7553" w:rsidRPr="0062012F" w:rsidRDefault="004A7553">
            <w:pPr>
              <w:pStyle w:val="TableText"/>
              <w:keepNext/>
              <w:jc w:val="center"/>
              <w:rPr>
                <w:rFonts w:cstheme="minorHAnsi"/>
              </w:rPr>
            </w:pPr>
            <w:r w:rsidRPr="0062012F">
              <w:rPr>
                <w:rFonts w:cstheme="minorHAnsi"/>
              </w:rPr>
              <w:t>$11,590</w:t>
            </w:r>
          </w:p>
          <w:p w14:paraId="74CFADF6" w14:textId="635EAB6E" w:rsidR="00027E53" w:rsidRPr="0062012F" w:rsidRDefault="006F4F95">
            <w:pPr>
              <w:pStyle w:val="TableText"/>
              <w:keepNext/>
              <w:jc w:val="center"/>
              <w:rPr>
                <w:rFonts w:cstheme="minorHAnsi"/>
                <w:i/>
                <w:iCs/>
              </w:rPr>
            </w:pPr>
            <w:r w:rsidRPr="0062012F">
              <w:rPr>
                <w:rFonts w:cstheme="minorHAnsi"/>
                <w:i/>
                <w:iCs/>
              </w:rPr>
              <w:t>$14,270</w:t>
            </w:r>
            <w:r w:rsidRPr="0062012F">
              <w:rPr>
                <w:rFonts w:cstheme="minorHAnsi"/>
                <w:i/>
                <w:iCs/>
                <w:vertAlign w:val="superscript"/>
              </w:rPr>
              <w:t>#</w:t>
            </w:r>
          </w:p>
        </w:tc>
        <w:tc>
          <w:tcPr>
            <w:tcW w:w="4533" w:type="dxa"/>
          </w:tcPr>
          <w:p w14:paraId="5E51B7C4" w14:textId="77777777" w:rsidR="004A7553" w:rsidRPr="0062012F" w:rsidRDefault="004A7553">
            <w:pPr>
              <w:pStyle w:val="TableText"/>
              <w:keepNext/>
              <w:rPr>
                <w:rFonts w:cstheme="minorHAnsi"/>
              </w:rPr>
            </w:pPr>
            <w:r w:rsidRPr="0062012F">
              <w:rPr>
                <w:rFonts w:cstheme="minorHAnsi"/>
              </w:rPr>
              <w:t>Sum of two cost items above</w:t>
            </w:r>
          </w:p>
        </w:tc>
      </w:tr>
      <w:tr w:rsidR="004A7553" w:rsidRPr="0062012F" w14:paraId="79C94996" w14:textId="77777777" w:rsidTr="00D56BF2">
        <w:tc>
          <w:tcPr>
            <w:tcW w:w="9016" w:type="dxa"/>
            <w:gridSpan w:val="3"/>
          </w:tcPr>
          <w:p w14:paraId="2D1E2DA1" w14:textId="77777777" w:rsidR="004A7553" w:rsidRPr="0062012F" w:rsidRDefault="004A7553">
            <w:pPr>
              <w:pStyle w:val="TableText"/>
              <w:keepNext/>
              <w:rPr>
                <w:rFonts w:cstheme="minorHAnsi"/>
                <w:b/>
                <w:bCs/>
              </w:rPr>
            </w:pPr>
            <w:r w:rsidRPr="0062012F">
              <w:rPr>
                <w:rFonts w:cstheme="minorHAnsi"/>
                <w:b/>
                <w:bCs/>
              </w:rPr>
              <w:t>Total cost of reverse total shoulder replacement after tear fails to heal</w:t>
            </w:r>
          </w:p>
        </w:tc>
      </w:tr>
      <w:tr w:rsidR="004A7553" w:rsidRPr="0062012F" w14:paraId="6AF4308D" w14:textId="77777777" w:rsidTr="00D56BF2">
        <w:tc>
          <w:tcPr>
            <w:tcW w:w="2691" w:type="dxa"/>
          </w:tcPr>
          <w:p w14:paraId="3A18EDD3" w14:textId="77777777" w:rsidR="004A7553" w:rsidRPr="0062012F" w:rsidRDefault="004A7553">
            <w:pPr>
              <w:pStyle w:val="TableText"/>
              <w:keepNext/>
              <w:rPr>
                <w:rFonts w:cstheme="minorHAnsi"/>
              </w:rPr>
            </w:pPr>
            <w:r w:rsidRPr="0062012F">
              <w:rPr>
                <w:rFonts w:cstheme="minorHAnsi"/>
              </w:rPr>
              <w:t>Reverse total shoulder replacement</w:t>
            </w:r>
          </w:p>
        </w:tc>
        <w:tc>
          <w:tcPr>
            <w:tcW w:w="1792" w:type="dxa"/>
          </w:tcPr>
          <w:p w14:paraId="7A0B6711" w14:textId="68151FED" w:rsidR="004A7553" w:rsidRPr="0062012F" w:rsidRDefault="004A7553">
            <w:pPr>
              <w:pStyle w:val="TableText"/>
              <w:keepNext/>
              <w:jc w:val="center"/>
              <w:rPr>
                <w:rFonts w:cstheme="minorHAnsi"/>
              </w:rPr>
            </w:pPr>
            <w:r w:rsidRPr="0062012F">
              <w:rPr>
                <w:rFonts w:cstheme="minorHAnsi"/>
              </w:rPr>
              <w:t>$26,656</w:t>
            </w:r>
          </w:p>
          <w:p w14:paraId="6968904A" w14:textId="2864D463" w:rsidR="006F4F95" w:rsidRPr="0062012F" w:rsidRDefault="006F4F95">
            <w:pPr>
              <w:pStyle w:val="TableText"/>
              <w:keepNext/>
              <w:jc w:val="center"/>
              <w:rPr>
                <w:rFonts w:cstheme="minorHAnsi"/>
                <w:i/>
                <w:iCs/>
              </w:rPr>
            </w:pPr>
            <w:r w:rsidRPr="0062012F">
              <w:rPr>
                <w:rFonts w:cstheme="minorHAnsi"/>
                <w:i/>
                <w:iCs/>
              </w:rPr>
              <w:t>$</w:t>
            </w:r>
            <w:r w:rsidR="00BF6CAB" w:rsidRPr="0062012F">
              <w:rPr>
                <w:rFonts w:cstheme="minorHAnsi"/>
                <w:i/>
                <w:iCs/>
              </w:rPr>
              <w:t>28,700</w:t>
            </w:r>
            <w:r w:rsidR="00591BE4" w:rsidRPr="0062012F">
              <w:rPr>
                <w:rFonts w:cstheme="minorHAnsi"/>
                <w:i/>
                <w:iCs/>
                <w:vertAlign w:val="superscript"/>
              </w:rPr>
              <w:t>#</w:t>
            </w:r>
          </w:p>
        </w:tc>
        <w:tc>
          <w:tcPr>
            <w:tcW w:w="4533" w:type="dxa"/>
          </w:tcPr>
          <w:p w14:paraId="2E9BBDCB" w14:textId="77777777" w:rsidR="004A7553" w:rsidRPr="0062012F" w:rsidRDefault="004A7553">
            <w:pPr>
              <w:pStyle w:val="TableText"/>
              <w:keepNext/>
              <w:rPr>
                <w:rFonts w:cstheme="minorHAnsi"/>
              </w:rPr>
            </w:pPr>
            <w:r w:rsidRPr="0062012F">
              <w:rPr>
                <w:rFonts w:cstheme="minorHAnsi"/>
              </w:rPr>
              <w:t>Private Health Insurance Medibank, sourced from: &lt; https:// www.medibank.com.au/health-support/hospital-assist/costs/shoulder-replacement/ &gt;</w:t>
            </w:r>
          </w:p>
          <w:p w14:paraId="6B746283" w14:textId="2D7B90B9" w:rsidR="00641621" w:rsidRPr="0062012F" w:rsidRDefault="00641621">
            <w:pPr>
              <w:pStyle w:val="TableText"/>
              <w:keepNext/>
              <w:rPr>
                <w:rFonts w:cstheme="minorHAnsi"/>
              </w:rPr>
            </w:pPr>
            <w:r w:rsidRPr="0062012F">
              <w:rPr>
                <w:rFonts w:cstheme="minorHAnsi"/>
              </w:rPr>
              <w:t>Department of Health and Aged Care. Medical Cost Finder “Shoulder reconstruction or repair including rotator cuff repair”. 2022-2023</w:t>
            </w:r>
          </w:p>
        </w:tc>
      </w:tr>
      <w:tr w:rsidR="004A7553" w:rsidRPr="0062012F" w14:paraId="2BFC552D" w14:textId="77777777" w:rsidTr="00D56BF2">
        <w:tc>
          <w:tcPr>
            <w:tcW w:w="2691" w:type="dxa"/>
          </w:tcPr>
          <w:p w14:paraId="34F77FE5" w14:textId="77777777" w:rsidR="004A7553" w:rsidRPr="0062012F" w:rsidRDefault="004A7553">
            <w:pPr>
              <w:pStyle w:val="TableText"/>
              <w:keepNext/>
              <w:rPr>
                <w:rFonts w:cstheme="minorHAnsi"/>
              </w:rPr>
            </w:pPr>
            <w:r w:rsidRPr="0062012F">
              <w:rPr>
                <w:rFonts w:cstheme="minorHAnsi"/>
              </w:rPr>
              <w:t>Cost of physiotherapy sessions for rehabilitation</w:t>
            </w:r>
          </w:p>
        </w:tc>
        <w:tc>
          <w:tcPr>
            <w:tcW w:w="1792" w:type="dxa"/>
          </w:tcPr>
          <w:p w14:paraId="15F2329C" w14:textId="77777777" w:rsidR="004A7553" w:rsidRPr="0062012F" w:rsidRDefault="004A7553">
            <w:pPr>
              <w:pStyle w:val="TableText"/>
              <w:keepNext/>
              <w:jc w:val="center"/>
              <w:rPr>
                <w:rFonts w:cstheme="minorHAnsi"/>
              </w:rPr>
            </w:pPr>
            <w:r w:rsidRPr="0062012F">
              <w:rPr>
                <w:rFonts w:cstheme="minorHAnsi"/>
              </w:rPr>
              <w:t>$1,980</w:t>
            </w:r>
          </w:p>
        </w:tc>
        <w:tc>
          <w:tcPr>
            <w:tcW w:w="4533" w:type="dxa"/>
          </w:tcPr>
          <w:p w14:paraId="078C49EA" w14:textId="77777777" w:rsidR="004A7553" w:rsidRPr="0062012F" w:rsidRDefault="004A7553">
            <w:pPr>
              <w:pStyle w:val="TableText"/>
              <w:keepNext/>
              <w:rPr>
                <w:rFonts w:cstheme="minorHAnsi"/>
              </w:rPr>
            </w:pPr>
            <w:r w:rsidRPr="0062012F">
              <w:rPr>
                <w:rFonts w:cstheme="minorHAnsi"/>
              </w:rPr>
              <w:t>Calculation based on 18 physiotherapy sessions</w:t>
            </w:r>
          </w:p>
        </w:tc>
      </w:tr>
      <w:tr w:rsidR="004A7553" w:rsidRPr="0062012F" w14:paraId="22606E7F" w14:textId="77777777" w:rsidTr="00D56BF2">
        <w:tc>
          <w:tcPr>
            <w:tcW w:w="2691" w:type="dxa"/>
          </w:tcPr>
          <w:p w14:paraId="0A5C578C" w14:textId="3DBF46C6" w:rsidR="004A7553" w:rsidRPr="0062012F" w:rsidRDefault="004A7553">
            <w:pPr>
              <w:pStyle w:val="TableText"/>
              <w:keepNext/>
              <w:rPr>
                <w:rFonts w:cstheme="minorHAnsi"/>
              </w:rPr>
            </w:pPr>
            <w:r w:rsidRPr="0062012F">
              <w:rPr>
                <w:rFonts w:cstheme="minorHAnsi"/>
              </w:rPr>
              <w:t xml:space="preserve">Total cost of </w:t>
            </w:r>
            <w:r w:rsidR="007C546A">
              <w:rPr>
                <w:rFonts w:cstheme="minorHAnsi"/>
              </w:rPr>
              <w:t>r</w:t>
            </w:r>
            <w:r w:rsidRPr="0062012F">
              <w:rPr>
                <w:rFonts w:cstheme="minorHAnsi"/>
              </w:rPr>
              <w:t>everse total shoulder replacement</w:t>
            </w:r>
          </w:p>
        </w:tc>
        <w:tc>
          <w:tcPr>
            <w:tcW w:w="1792" w:type="dxa"/>
          </w:tcPr>
          <w:p w14:paraId="636503DE" w14:textId="77777777" w:rsidR="004A7553" w:rsidRPr="0062012F" w:rsidRDefault="004A7553">
            <w:pPr>
              <w:pStyle w:val="TableText"/>
              <w:keepNext/>
              <w:jc w:val="center"/>
              <w:rPr>
                <w:rFonts w:cstheme="minorHAnsi"/>
              </w:rPr>
            </w:pPr>
            <w:r w:rsidRPr="0062012F">
              <w:rPr>
                <w:rFonts w:cstheme="minorHAnsi"/>
              </w:rPr>
              <w:t>$28,636</w:t>
            </w:r>
          </w:p>
          <w:p w14:paraId="1397522E" w14:textId="78871455" w:rsidR="002D3D65" w:rsidRPr="0062012F" w:rsidRDefault="002D3D65">
            <w:pPr>
              <w:pStyle w:val="TableText"/>
              <w:keepNext/>
              <w:jc w:val="center"/>
              <w:rPr>
                <w:rFonts w:cstheme="minorHAnsi"/>
                <w:i/>
                <w:iCs/>
              </w:rPr>
            </w:pPr>
            <w:r w:rsidRPr="0062012F">
              <w:rPr>
                <w:rFonts w:cstheme="minorHAnsi"/>
                <w:i/>
                <w:iCs/>
              </w:rPr>
              <w:t>$30,</w:t>
            </w:r>
            <w:r w:rsidR="000943AD" w:rsidRPr="0062012F">
              <w:rPr>
                <w:rFonts w:cstheme="minorHAnsi"/>
                <w:i/>
                <w:iCs/>
              </w:rPr>
              <w:t>680</w:t>
            </w:r>
            <w:r w:rsidR="000943AD" w:rsidRPr="0062012F">
              <w:rPr>
                <w:rFonts w:cstheme="minorHAnsi"/>
                <w:i/>
                <w:iCs/>
                <w:vertAlign w:val="superscript"/>
              </w:rPr>
              <w:t>#</w:t>
            </w:r>
          </w:p>
        </w:tc>
        <w:tc>
          <w:tcPr>
            <w:tcW w:w="4533" w:type="dxa"/>
          </w:tcPr>
          <w:p w14:paraId="2F386AA8" w14:textId="77777777" w:rsidR="004A7553" w:rsidRPr="0062012F" w:rsidRDefault="004A7553">
            <w:pPr>
              <w:pStyle w:val="TableText"/>
              <w:keepNext/>
              <w:rPr>
                <w:rFonts w:cstheme="minorHAnsi"/>
              </w:rPr>
            </w:pPr>
            <w:r w:rsidRPr="0062012F">
              <w:rPr>
                <w:rFonts w:cstheme="minorHAnsi"/>
              </w:rPr>
              <w:t>Sum of two cost items above</w:t>
            </w:r>
          </w:p>
        </w:tc>
      </w:tr>
      <w:tr w:rsidR="004A7553" w:rsidRPr="0062012F" w14:paraId="713C0D73" w14:textId="77777777" w:rsidTr="00D56BF2">
        <w:tc>
          <w:tcPr>
            <w:tcW w:w="9016" w:type="dxa"/>
            <w:gridSpan w:val="3"/>
          </w:tcPr>
          <w:p w14:paraId="687BD234" w14:textId="77777777" w:rsidR="004A7553" w:rsidRPr="0062012F" w:rsidRDefault="004A7553">
            <w:pPr>
              <w:pStyle w:val="TableText"/>
              <w:keepNext/>
              <w:rPr>
                <w:rFonts w:cstheme="minorHAnsi"/>
                <w:b/>
                <w:bCs/>
              </w:rPr>
            </w:pPr>
            <w:r w:rsidRPr="0062012F">
              <w:rPr>
                <w:rFonts w:cstheme="minorHAnsi"/>
                <w:b/>
                <w:bCs/>
              </w:rPr>
              <w:t>Total cost of clinical management per year</w:t>
            </w:r>
          </w:p>
        </w:tc>
      </w:tr>
      <w:tr w:rsidR="004A7553" w:rsidRPr="0062012F" w14:paraId="09C85FA8" w14:textId="77777777" w:rsidTr="00D56BF2">
        <w:tc>
          <w:tcPr>
            <w:tcW w:w="2691" w:type="dxa"/>
          </w:tcPr>
          <w:p w14:paraId="27DCD895" w14:textId="77777777" w:rsidR="004A7553" w:rsidRPr="0062012F" w:rsidRDefault="004A7553">
            <w:pPr>
              <w:pStyle w:val="TableText"/>
              <w:keepNext/>
              <w:rPr>
                <w:rFonts w:cstheme="minorHAnsi"/>
              </w:rPr>
            </w:pPr>
            <w:r w:rsidRPr="0062012F">
              <w:rPr>
                <w:rFonts w:cstheme="minorHAnsi"/>
              </w:rPr>
              <w:t>Clinical management costs per year</w:t>
            </w:r>
          </w:p>
        </w:tc>
        <w:tc>
          <w:tcPr>
            <w:tcW w:w="1792" w:type="dxa"/>
          </w:tcPr>
          <w:p w14:paraId="5E6DA3DE" w14:textId="77777777" w:rsidR="004A7553" w:rsidRPr="0062012F" w:rsidRDefault="004A7553">
            <w:pPr>
              <w:pStyle w:val="TableText"/>
              <w:keepNext/>
              <w:jc w:val="center"/>
              <w:rPr>
                <w:rFonts w:cstheme="minorHAnsi"/>
              </w:rPr>
            </w:pPr>
            <w:r w:rsidRPr="0062012F">
              <w:rPr>
                <w:rFonts w:cstheme="minorHAnsi"/>
              </w:rPr>
              <w:t>$1,311</w:t>
            </w:r>
          </w:p>
        </w:tc>
        <w:tc>
          <w:tcPr>
            <w:tcW w:w="4533" w:type="dxa"/>
          </w:tcPr>
          <w:p w14:paraId="2F347063" w14:textId="77777777" w:rsidR="004A7553" w:rsidRPr="0062012F" w:rsidRDefault="004A7553">
            <w:pPr>
              <w:pStyle w:val="TableText"/>
              <w:keepNext/>
              <w:rPr>
                <w:rFonts w:cstheme="minorHAnsi"/>
              </w:rPr>
            </w:pPr>
            <w:r w:rsidRPr="0062012F">
              <w:rPr>
                <w:rFonts w:cstheme="minorHAnsi"/>
              </w:rPr>
              <w:t>MSAC: Review of MBS items for subacromial decompression</w:t>
            </w:r>
          </w:p>
        </w:tc>
      </w:tr>
      <w:tr w:rsidR="004A7553" w:rsidRPr="0062012F" w14:paraId="5EF4B923" w14:textId="77777777" w:rsidTr="00D56BF2">
        <w:tc>
          <w:tcPr>
            <w:tcW w:w="2691" w:type="dxa"/>
          </w:tcPr>
          <w:p w14:paraId="670A73C4" w14:textId="77777777" w:rsidR="004A7553" w:rsidRPr="0062012F" w:rsidRDefault="004A7553">
            <w:pPr>
              <w:pStyle w:val="TableText"/>
              <w:keepNext/>
              <w:rPr>
                <w:rFonts w:cstheme="minorHAnsi"/>
              </w:rPr>
            </w:pPr>
            <w:r w:rsidRPr="0062012F">
              <w:rPr>
                <w:rFonts w:cstheme="minorHAnsi"/>
              </w:rPr>
              <w:t>Cost of physiotherapy sessions for rehabilitation per year</w:t>
            </w:r>
          </w:p>
        </w:tc>
        <w:tc>
          <w:tcPr>
            <w:tcW w:w="1792" w:type="dxa"/>
          </w:tcPr>
          <w:p w14:paraId="170807D6" w14:textId="77777777" w:rsidR="004A7553" w:rsidRPr="0062012F" w:rsidRDefault="004A7553">
            <w:pPr>
              <w:pStyle w:val="TableText"/>
              <w:keepNext/>
              <w:jc w:val="center"/>
              <w:rPr>
                <w:rFonts w:cstheme="minorHAnsi"/>
              </w:rPr>
            </w:pPr>
            <w:r w:rsidRPr="0062012F">
              <w:rPr>
                <w:rFonts w:cstheme="minorHAnsi"/>
              </w:rPr>
              <w:t>$1,320</w:t>
            </w:r>
          </w:p>
        </w:tc>
        <w:tc>
          <w:tcPr>
            <w:tcW w:w="4533" w:type="dxa"/>
          </w:tcPr>
          <w:p w14:paraId="2A216A38" w14:textId="3D9E3E35" w:rsidR="004A7553" w:rsidRPr="0062012F" w:rsidRDefault="00C0749C">
            <w:pPr>
              <w:pStyle w:val="TableText"/>
              <w:keepNext/>
              <w:rPr>
                <w:rFonts w:cstheme="minorHAnsi"/>
              </w:rPr>
            </w:pPr>
            <w:r w:rsidRPr="0062012F">
              <w:rPr>
                <w:rFonts w:cstheme="minorHAnsi"/>
              </w:rPr>
              <w:t>Calculation based on the cost of 12 physiotherapy sessions per year (number of physiotherapy session sourced from Cederqvist et al. (2021))</w:t>
            </w:r>
          </w:p>
        </w:tc>
      </w:tr>
      <w:tr w:rsidR="004A7553" w:rsidRPr="0062012F" w14:paraId="35CBE941" w14:textId="77777777" w:rsidTr="00D56BF2">
        <w:tc>
          <w:tcPr>
            <w:tcW w:w="2691" w:type="dxa"/>
          </w:tcPr>
          <w:p w14:paraId="6D6F68E6" w14:textId="77777777" w:rsidR="004A7553" w:rsidRPr="0062012F" w:rsidRDefault="004A7553">
            <w:pPr>
              <w:pStyle w:val="TableText"/>
              <w:keepNext/>
              <w:rPr>
                <w:rFonts w:cstheme="minorHAnsi"/>
              </w:rPr>
            </w:pPr>
            <w:r w:rsidRPr="0062012F">
              <w:rPr>
                <w:rFonts w:cstheme="minorHAnsi"/>
              </w:rPr>
              <w:t>Cost of corticosteroid injection per year</w:t>
            </w:r>
          </w:p>
        </w:tc>
        <w:tc>
          <w:tcPr>
            <w:tcW w:w="1792" w:type="dxa"/>
          </w:tcPr>
          <w:p w14:paraId="6618430D" w14:textId="77777777" w:rsidR="004A7553" w:rsidRPr="0062012F" w:rsidRDefault="004A7553">
            <w:pPr>
              <w:pStyle w:val="TableText"/>
              <w:keepNext/>
              <w:jc w:val="center"/>
              <w:rPr>
                <w:rFonts w:cstheme="minorHAnsi"/>
              </w:rPr>
            </w:pPr>
            <w:r w:rsidRPr="0062012F">
              <w:rPr>
                <w:rFonts w:cstheme="minorHAnsi"/>
              </w:rPr>
              <w:t>$390</w:t>
            </w:r>
          </w:p>
        </w:tc>
        <w:tc>
          <w:tcPr>
            <w:tcW w:w="4533" w:type="dxa"/>
          </w:tcPr>
          <w:p w14:paraId="4BD14188" w14:textId="3BB31579" w:rsidR="004A7553" w:rsidRPr="0062012F" w:rsidRDefault="00C0749C">
            <w:pPr>
              <w:pStyle w:val="TableText"/>
              <w:keepNext/>
              <w:rPr>
                <w:rFonts w:cstheme="minorHAnsi"/>
              </w:rPr>
            </w:pPr>
            <w:r w:rsidRPr="0062012F">
              <w:rPr>
                <w:rFonts w:cstheme="minorHAnsi"/>
              </w:rPr>
              <w:t>Calculation based on the cost of 6 corticosteroid injections per year (number of corticosteroid injections sourced from Cederqvist et al. (2021))</w:t>
            </w:r>
          </w:p>
        </w:tc>
      </w:tr>
      <w:tr w:rsidR="004A7553" w:rsidRPr="0062012F" w14:paraId="7FC02BF7" w14:textId="77777777" w:rsidTr="00D56BF2">
        <w:tc>
          <w:tcPr>
            <w:tcW w:w="2691" w:type="dxa"/>
          </w:tcPr>
          <w:p w14:paraId="6AC03D33" w14:textId="77777777" w:rsidR="004A7553" w:rsidRPr="0062012F" w:rsidRDefault="004A7553">
            <w:pPr>
              <w:pStyle w:val="TableText"/>
              <w:keepNext/>
              <w:rPr>
                <w:rFonts w:cstheme="minorHAnsi"/>
              </w:rPr>
            </w:pPr>
            <w:r w:rsidRPr="0062012F">
              <w:rPr>
                <w:rFonts w:cstheme="minorHAnsi"/>
              </w:rPr>
              <w:t>Total cost of Clinical management (per year)</w:t>
            </w:r>
          </w:p>
        </w:tc>
        <w:tc>
          <w:tcPr>
            <w:tcW w:w="1792" w:type="dxa"/>
          </w:tcPr>
          <w:p w14:paraId="6BF8BE84" w14:textId="77777777" w:rsidR="004A7553" w:rsidRPr="0062012F" w:rsidRDefault="004A7553">
            <w:pPr>
              <w:pStyle w:val="TableText"/>
              <w:keepNext/>
              <w:jc w:val="center"/>
              <w:rPr>
                <w:rFonts w:cstheme="minorHAnsi"/>
              </w:rPr>
            </w:pPr>
            <w:r w:rsidRPr="0062012F">
              <w:rPr>
                <w:rFonts w:cstheme="minorHAnsi"/>
              </w:rPr>
              <w:t>$3,021</w:t>
            </w:r>
          </w:p>
        </w:tc>
        <w:tc>
          <w:tcPr>
            <w:tcW w:w="4533" w:type="dxa"/>
          </w:tcPr>
          <w:p w14:paraId="40B1CADC" w14:textId="77777777" w:rsidR="004A7553" w:rsidRPr="0062012F" w:rsidRDefault="004A7553">
            <w:pPr>
              <w:pStyle w:val="TableText"/>
              <w:keepNext/>
              <w:rPr>
                <w:rFonts w:cstheme="minorHAnsi"/>
              </w:rPr>
            </w:pPr>
            <w:r w:rsidRPr="0062012F">
              <w:rPr>
                <w:rFonts w:cstheme="minorHAnsi"/>
              </w:rPr>
              <w:t>Sum of the three cost items above</w:t>
            </w:r>
          </w:p>
        </w:tc>
      </w:tr>
    </w:tbl>
    <w:p w14:paraId="353A0FFB" w14:textId="17246ED1" w:rsidR="00F60197" w:rsidRPr="0062012F" w:rsidRDefault="00F60197" w:rsidP="00F60197">
      <w:pPr>
        <w:pStyle w:val="Tablenotes0"/>
      </w:pPr>
      <w:r w:rsidRPr="0062012F">
        <w:t xml:space="preserve">Source: Table 54, p 144 of the </w:t>
      </w:r>
      <w:r w:rsidR="00FE7603" w:rsidRPr="0062012F">
        <w:t>ADAR.</w:t>
      </w:r>
    </w:p>
    <w:p w14:paraId="00A7B26B" w14:textId="7CBD4D1B" w:rsidR="002D4CF2" w:rsidRPr="0062012F" w:rsidRDefault="002D4CF2" w:rsidP="006B614B">
      <w:pPr>
        <w:pStyle w:val="Tablenotes0"/>
        <w:rPr>
          <w:rFonts w:cstheme="minorHAnsi"/>
          <w:szCs w:val="18"/>
        </w:rPr>
      </w:pPr>
      <w:r w:rsidRPr="0062012F">
        <w:rPr>
          <w:rFonts w:cstheme="minorHAnsi"/>
          <w:szCs w:val="18"/>
        </w:rPr>
        <w:t xml:space="preserve">Abbreviations: MBS = Medicare Benefits </w:t>
      </w:r>
      <w:r w:rsidRPr="0062012F">
        <w:rPr>
          <w:rFonts w:cstheme="minorHAnsi"/>
        </w:rPr>
        <w:t>Schedule</w:t>
      </w:r>
      <w:r w:rsidRPr="0062012F">
        <w:rPr>
          <w:rFonts w:cstheme="minorHAnsi"/>
          <w:szCs w:val="18"/>
        </w:rPr>
        <w:t>, MRI</w:t>
      </w:r>
      <w:r w:rsidR="00F60197" w:rsidRPr="0062012F">
        <w:rPr>
          <w:rFonts w:cstheme="minorHAnsi"/>
          <w:szCs w:val="18"/>
        </w:rPr>
        <w:t xml:space="preserve"> = Magnetic Resonance </w:t>
      </w:r>
      <w:r w:rsidR="00FE7603" w:rsidRPr="0062012F">
        <w:rPr>
          <w:rFonts w:cstheme="minorHAnsi"/>
          <w:szCs w:val="18"/>
        </w:rPr>
        <w:t>Imaging; MSAC</w:t>
      </w:r>
      <w:r w:rsidRPr="0062012F">
        <w:rPr>
          <w:rFonts w:cstheme="minorHAnsi"/>
          <w:szCs w:val="18"/>
        </w:rPr>
        <w:t xml:space="preserve"> = Medical Services Advisory Committee</w:t>
      </w:r>
    </w:p>
    <w:p w14:paraId="0779578C" w14:textId="6BBC1FB5" w:rsidR="001D7E8E" w:rsidRPr="0062012F" w:rsidRDefault="001D7E8E" w:rsidP="006B614B">
      <w:pPr>
        <w:pStyle w:val="Tablenotes0"/>
      </w:pPr>
      <w:r w:rsidRPr="0062012F">
        <w:rPr>
          <w:rFonts w:cstheme="minorHAnsi"/>
          <w:i/>
          <w:iCs/>
          <w:szCs w:val="18"/>
          <w:vertAlign w:val="superscript"/>
        </w:rPr>
        <w:t>#</w:t>
      </w:r>
      <w:r w:rsidRPr="0062012F">
        <w:rPr>
          <w:rFonts w:cstheme="minorHAnsi"/>
          <w:szCs w:val="18"/>
        </w:rPr>
        <w:t xml:space="preserve"> </w:t>
      </w:r>
      <w:r w:rsidR="00B33C3D">
        <w:rPr>
          <w:rFonts w:cstheme="minorHAnsi"/>
          <w:szCs w:val="18"/>
        </w:rPr>
        <w:t>ESC</w:t>
      </w:r>
      <w:r w:rsidR="00A70BA3" w:rsidRPr="0062012F">
        <w:rPr>
          <w:rFonts w:cstheme="minorHAnsi"/>
          <w:szCs w:val="18"/>
        </w:rPr>
        <w:t xml:space="preserve"> noted misalignment in costs </w:t>
      </w:r>
      <w:r w:rsidR="001B0419" w:rsidRPr="0062012F">
        <w:rPr>
          <w:rFonts w:cstheme="minorHAnsi"/>
          <w:szCs w:val="18"/>
        </w:rPr>
        <w:t>inputs</w:t>
      </w:r>
      <w:r w:rsidR="00E51F7E" w:rsidRPr="0062012F">
        <w:rPr>
          <w:rFonts w:cstheme="minorHAnsi"/>
          <w:szCs w:val="18"/>
        </w:rPr>
        <w:t xml:space="preserve"> presented in Table</w:t>
      </w:r>
      <w:r w:rsidR="00043888">
        <w:rPr>
          <w:rFonts w:cstheme="minorHAnsi"/>
          <w:szCs w:val="18"/>
        </w:rPr>
        <w:t xml:space="preserve"> 11</w:t>
      </w:r>
      <w:r w:rsidR="00E51F7E" w:rsidRPr="0062012F">
        <w:rPr>
          <w:rFonts w:cstheme="minorHAnsi"/>
          <w:szCs w:val="18"/>
        </w:rPr>
        <w:t xml:space="preserve">. </w:t>
      </w:r>
      <w:r w:rsidR="005111AD" w:rsidRPr="0062012F">
        <w:rPr>
          <w:rFonts w:cstheme="minorHAnsi"/>
          <w:szCs w:val="18"/>
        </w:rPr>
        <w:t xml:space="preserve">Costs in </w:t>
      </w:r>
      <w:r w:rsidR="005111AD" w:rsidRPr="0062012F">
        <w:rPr>
          <w:rFonts w:cstheme="minorHAnsi"/>
          <w:i/>
          <w:iCs/>
          <w:szCs w:val="18"/>
        </w:rPr>
        <w:t xml:space="preserve">italics </w:t>
      </w:r>
      <w:r w:rsidR="005111AD" w:rsidRPr="0062012F">
        <w:rPr>
          <w:rFonts w:cstheme="minorHAnsi"/>
          <w:szCs w:val="18"/>
        </w:rPr>
        <w:t xml:space="preserve">used in the model </w:t>
      </w:r>
      <w:r w:rsidR="00000D6A" w:rsidRPr="0062012F">
        <w:rPr>
          <w:rFonts w:cstheme="minorHAnsi"/>
          <w:szCs w:val="18"/>
        </w:rPr>
        <w:t>and</w:t>
      </w:r>
      <w:r w:rsidR="00AF43A8" w:rsidRPr="0062012F">
        <w:rPr>
          <w:rFonts w:cstheme="minorHAnsi"/>
          <w:szCs w:val="18"/>
        </w:rPr>
        <w:t xml:space="preserve"> results of the economic </w:t>
      </w:r>
      <w:r w:rsidR="0080439D" w:rsidRPr="0062012F">
        <w:rPr>
          <w:rFonts w:cstheme="minorHAnsi"/>
          <w:szCs w:val="18"/>
        </w:rPr>
        <w:t xml:space="preserve">evaluation. </w:t>
      </w:r>
      <w:r w:rsidR="008949B8" w:rsidRPr="0062012F">
        <w:rPr>
          <w:rFonts w:cstheme="minorHAnsi"/>
          <w:szCs w:val="18"/>
        </w:rPr>
        <w:t xml:space="preserve">These costs </w:t>
      </w:r>
      <w:proofErr w:type="gramStart"/>
      <w:r w:rsidR="008949B8" w:rsidRPr="0062012F">
        <w:rPr>
          <w:rFonts w:cstheme="minorHAnsi"/>
          <w:szCs w:val="18"/>
        </w:rPr>
        <w:t>were not able to</w:t>
      </w:r>
      <w:proofErr w:type="gramEnd"/>
      <w:r w:rsidR="008949B8" w:rsidRPr="0062012F">
        <w:rPr>
          <w:rFonts w:cstheme="minorHAnsi"/>
          <w:szCs w:val="18"/>
        </w:rPr>
        <w:t xml:space="preserve"> be independently </w:t>
      </w:r>
      <w:r w:rsidR="0009094F" w:rsidRPr="0062012F">
        <w:rPr>
          <w:rFonts w:cstheme="minorHAnsi"/>
          <w:szCs w:val="18"/>
        </w:rPr>
        <w:t>verified.</w:t>
      </w:r>
    </w:p>
    <w:p w14:paraId="6CA2ACDC" w14:textId="6B877E99" w:rsidR="00AB77C9" w:rsidRDefault="00DE0650" w:rsidP="004A7553">
      <w:r>
        <w:lastRenderedPageBreak/>
        <w:t>In addition to the cost estimated by MSAC for C</w:t>
      </w:r>
      <w:r w:rsidR="00F066DE">
        <w:t>M</w:t>
      </w:r>
      <w:r>
        <w:t>M</w:t>
      </w:r>
      <w:r w:rsidR="00F066DE">
        <w:t xml:space="preserve"> </w:t>
      </w:r>
      <w:r w:rsidR="0026481E">
        <w:rPr>
          <w:rStyle w:val="FootnoteReference"/>
        </w:rPr>
        <w:footnoteReference w:id="26"/>
      </w:r>
      <w:r>
        <w:t>, the ADAR claimed that</w:t>
      </w:r>
      <w:r w:rsidR="00FE7603">
        <w:t xml:space="preserve"> an additional</w:t>
      </w:r>
      <w:r>
        <w:t xml:space="preserve"> 12 physiotherapy sessions and 6 corticosteroid injections </w:t>
      </w:r>
      <w:r w:rsidR="00417789">
        <w:t xml:space="preserve">were needed </w:t>
      </w:r>
      <w:r>
        <w:t xml:space="preserve">per year </w:t>
      </w:r>
      <w:r w:rsidR="00417789">
        <w:t xml:space="preserve">and </w:t>
      </w:r>
      <w:r>
        <w:t>were added to CM in both arms</w:t>
      </w:r>
      <w:r w:rsidR="00417789">
        <w:t xml:space="preserve">. This was based on </w:t>
      </w:r>
      <w:bookmarkStart w:id="41" w:name="_Hlk163603266"/>
      <w:bookmarkStart w:id="42" w:name="_Hlk163604100"/>
      <w:r w:rsidR="00AB77C9" w:rsidRPr="00AB77C9">
        <w:t>The ShoulderStudy.com</w:t>
      </w:r>
      <w:r w:rsidR="006F419F">
        <w:t>. H</w:t>
      </w:r>
      <w:r w:rsidR="00462520">
        <w:t>owever,</w:t>
      </w:r>
      <w:r w:rsidR="00873FDF">
        <w:t xml:space="preserve"> this </w:t>
      </w:r>
      <w:r w:rsidR="00AB77C9" w:rsidRPr="00AB77C9">
        <w:t xml:space="preserve">relates to the non-operative protocol </w:t>
      </w:r>
      <w:r w:rsidR="00AB77C9">
        <w:t>of a</w:t>
      </w:r>
      <w:r w:rsidR="00AB77C9" w:rsidRPr="00AB77C9">
        <w:t xml:space="preserve"> USA based study</w:t>
      </w:r>
      <w:r w:rsidR="00FD1CFF">
        <w:t xml:space="preserve"> and </w:t>
      </w:r>
      <w:r w:rsidR="00873FDF">
        <w:t xml:space="preserve">was </w:t>
      </w:r>
      <w:r w:rsidR="00FD1CFF">
        <w:t>not related to post operative care</w:t>
      </w:r>
      <w:r w:rsidR="00873FDF">
        <w:t>, so may not be applicable in this setting</w:t>
      </w:r>
      <w:r w:rsidR="00FD1CFF">
        <w:t xml:space="preserve">. </w:t>
      </w:r>
      <w:r w:rsidR="00B42363">
        <w:t xml:space="preserve">In addition, </w:t>
      </w:r>
      <w:r w:rsidR="00B42363" w:rsidRPr="00981041">
        <w:t>Cederqvist et al.</w:t>
      </w:r>
      <w:r w:rsidR="00B42363">
        <w:t xml:space="preserve">, (2021) </w:t>
      </w:r>
      <w:r w:rsidR="00B42363">
        <w:rPr>
          <w:rStyle w:val="FootnoteReference"/>
        </w:rPr>
        <w:footnoteReference w:id="27"/>
      </w:r>
      <w:r w:rsidR="00B42363">
        <w:t xml:space="preserve"> </w:t>
      </w:r>
      <w:r w:rsidR="00AB77C9" w:rsidRPr="00AB77C9">
        <w:t xml:space="preserve">is a Finish study, </w:t>
      </w:r>
      <w:r w:rsidR="0072787A">
        <w:t xml:space="preserve">and </w:t>
      </w:r>
      <w:r w:rsidR="00AB77C9" w:rsidRPr="00AB77C9">
        <w:t>the commentary could not confirm</w:t>
      </w:r>
      <w:r w:rsidR="00866C4B">
        <w:t xml:space="preserve"> where </w:t>
      </w:r>
      <w:r w:rsidR="0072787A">
        <w:t>the ADAR estimates (</w:t>
      </w:r>
      <w:r w:rsidR="00AB77C9" w:rsidRPr="00AB77C9">
        <w:t>12 physiotherapy sessions and 6 corticosteroid injections</w:t>
      </w:r>
      <w:r w:rsidR="0072787A">
        <w:t>)</w:t>
      </w:r>
      <w:r w:rsidR="00AB77C9" w:rsidRPr="00AB77C9">
        <w:t xml:space="preserve"> </w:t>
      </w:r>
      <w:r w:rsidR="00866C4B">
        <w:t>were in this study as t</w:t>
      </w:r>
      <w:r w:rsidR="00AB77C9" w:rsidRPr="00AB77C9">
        <w:t xml:space="preserve">he study protocol </w:t>
      </w:r>
      <w:r w:rsidR="00866C4B">
        <w:t xml:space="preserve">had only </w:t>
      </w:r>
      <w:r w:rsidR="006E42EE">
        <w:t xml:space="preserve">four visits over five </w:t>
      </w:r>
      <w:r w:rsidR="008E6C2E">
        <w:t>years</w:t>
      </w:r>
      <w:r w:rsidR="006E42EE">
        <w:t xml:space="preserve"> (</w:t>
      </w:r>
      <w:r w:rsidR="00AB77C9" w:rsidRPr="00AB77C9">
        <w:t>3, 6, 12, 24 months, and 5 years</w:t>
      </w:r>
      <w:r w:rsidR="006E42EE">
        <w:t>)</w:t>
      </w:r>
      <w:r w:rsidR="008E6C2E">
        <w:t xml:space="preserve">, </w:t>
      </w:r>
      <w:r w:rsidR="00FD1CFF">
        <w:t>and</w:t>
      </w:r>
      <w:r w:rsidR="008E6C2E">
        <w:t xml:space="preserve"> </w:t>
      </w:r>
      <w:r w:rsidR="00AB77C9" w:rsidRPr="00AB77C9">
        <w:t>only 8%</w:t>
      </w:r>
      <w:r w:rsidR="008E6C2E">
        <w:t xml:space="preserve"> of patients</w:t>
      </w:r>
      <w:r w:rsidR="00AB77C9" w:rsidRPr="00AB77C9">
        <w:t xml:space="preserve"> received corticosteroid injections. The true rate of physiotherapy and corticosteroid injections</w:t>
      </w:r>
      <w:r w:rsidR="00FD1CFF">
        <w:t xml:space="preserve"> for both these health states </w:t>
      </w:r>
      <w:r w:rsidR="00AB77C9" w:rsidRPr="00AB77C9">
        <w:t xml:space="preserve">is unknown for Australia. While the associated costs are assumed to be identical by the ADAR, as the control arm has a higher percentage of tear fail to heal patients any overestimation in the costs of treating these patients will favour </w:t>
      </w:r>
      <w:r w:rsidR="007C546A">
        <w:t>BCI</w:t>
      </w:r>
      <w:r w:rsidR="00F874FE">
        <w:t>.</w:t>
      </w:r>
    </w:p>
    <w:bookmarkEnd w:id="41"/>
    <w:bookmarkEnd w:id="42"/>
    <w:p w14:paraId="5607AD0C" w14:textId="77777777" w:rsidR="00DE0650" w:rsidRPr="006F15B1" w:rsidRDefault="00DE0650" w:rsidP="0062012F">
      <w:pPr>
        <w:pStyle w:val="Heading4"/>
        <w:spacing w:before="0" w:after="120"/>
      </w:pPr>
      <w:r w:rsidRPr="006F15B1">
        <w:t>Results of the economic evaluation</w:t>
      </w:r>
    </w:p>
    <w:p w14:paraId="779A4EB2" w14:textId="1F68E73E" w:rsidR="00FC5603" w:rsidRPr="003251C2" w:rsidRDefault="004A4FDF" w:rsidP="006A3D40">
      <w:r>
        <w:fldChar w:fldCharType="begin"/>
      </w:r>
      <w:r>
        <w:instrText xml:space="preserve"> REF _Ref69725870 \h </w:instrText>
      </w:r>
      <w:r w:rsidR="006A3D40">
        <w:instrText xml:space="preserve"> \* MERGEFORMAT </w:instrText>
      </w:r>
      <w:r>
        <w:fldChar w:fldCharType="separate"/>
      </w:r>
      <w:r w:rsidR="002D4CF2" w:rsidRPr="00CE28E3">
        <w:t>Table</w:t>
      </w:r>
      <w:r w:rsidR="002D4CF2">
        <w:t> 1</w:t>
      </w:r>
      <w:r w:rsidR="00043888">
        <w:t>2</w:t>
      </w:r>
      <w:r>
        <w:fldChar w:fldCharType="end"/>
      </w:r>
      <w:r>
        <w:t xml:space="preserve"> </w:t>
      </w:r>
      <w:r w:rsidR="00FF0859" w:rsidRPr="00FF0859">
        <w:t xml:space="preserve">summarised the </w:t>
      </w:r>
      <w:r w:rsidR="00FF0859">
        <w:t xml:space="preserve">base-case results for the </w:t>
      </w:r>
      <w:r w:rsidR="006A3D40">
        <w:t xml:space="preserve">economic evaluation of the </w:t>
      </w:r>
      <w:r w:rsidR="0095464D">
        <w:t xml:space="preserve">3 </w:t>
      </w:r>
      <w:r w:rsidR="006A3D40">
        <w:t>outcomes (cost per tear healed, cost per MCID, and cost per QALY)</w:t>
      </w:r>
    </w:p>
    <w:p w14:paraId="3650A475" w14:textId="7E993734" w:rsidR="00FC5603" w:rsidRPr="00CE28E3" w:rsidRDefault="00FC5603" w:rsidP="00FC5603">
      <w:pPr>
        <w:pStyle w:val="Caption"/>
      </w:pPr>
      <w:bookmarkStart w:id="43" w:name="_Ref69725870"/>
      <w:r w:rsidRPr="00CE28E3">
        <w:t>Table</w:t>
      </w:r>
      <w:r w:rsidR="004A4FDF">
        <w:t> </w:t>
      </w:r>
      <w:r w:rsidRPr="00CE28E3">
        <w:rPr>
          <w:noProof/>
        </w:rPr>
        <w:fldChar w:fldCharType="begin"/>
      </w:r>
      <w:r w:rsidRPr="00CE28E3">
        <w:rPr>
          <w:noProof/>
        </w:rPr>
        <w:instrText xml:space="preserve"> SEQ Table \* ARABIC </w:instrText>
      </w:r>
      <w:r w:rsidRPr="00CE28E3">
        <w:rPr>
          <w:noProof/>
        </w:rPr>
        <w:fldChar w:fldCharType="separate"/>
      </w:r>
      <w:r w:rsidR="00564C3F">
        <w:rPr>
          <w:noProof/>
        </w:rPr>
        <w:t>12</w:t>
      </w:r>
      <w:r w:rsidRPr="00CE28E3">
        <w:rPr>
          <w:noProof/>
        </w:rPr>
        <w:fldChar w:fldCharType="end"/>
      </w:r>
      <w:bookmarkEnd w:id="43"/>
      <w:r w:rsidRPr="00CE28E3">
        <w:t xml:space="preserve"> </w:t>
      </w:r>
      <w:r w:rsidRPr="00CE28E3">
        <w:tab/>
        <w:t xml:space="preserve">Results of the stepped economic analysis </w:t>
      </w: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sults of the stepped economic analyses"/>
      </w:tblPr>
      <w:tblGrid>
        <w:gridCol w:w="3539"/>
        <w:gridCol w:w="1323"/>
        <w:gridCol w:w="1324"/>
        <w:gridCol w:w="1324"/>
        <w:gridCol w:w="1506"/>
      </w:tblGrid>
      <w:tr w:rsidR="00A74226" w:rsidRPr="00CE28E3" w14:paraId="74A67C2B" w14:textId="77777777" w:rsidTr="00D56BF2">
        <w:trPr>
          <w:cnfStyle w:val="100000000000" w:firstRow="1" w:lastRow="0" w:firstColumn="0" w:lastColumn="0" w:oddVBand="0" w:evenVBand="0" w:oddHBand="0" w:evenHBand="0" w:firstRowFirstColumn="0" w:firstRowLastColumn="0" w:lastRowFirstColumn="0" w:lastRowLastColumn="0"/>
          <w:cantSplit/>
          <w:trHeight w:val="300"/>
          <w:tblHeader/>
        </w:trPr>
        <w:tc>
          <w:tcPr>
            <w:tcW w:w="1963" w:type="pct"/>
            <w:noWrap/>
            <w:hideMark/>
          </w:tcPr>
          <w:p w14:paraId="69924570" w14:textId="4A3FE106" w:rsidR="00A74226" w:rsidRPr="00CE28E3" w:rsidRDefault="00A74226" w:rsidP="005D2304">
            <w:pPr>
              <w:pStyle w:val="TableHeading"/>
            </w:pPr>
            <w:bookmarkStart w:id="44" w:name="Title_Table6"/>
            <w:bookmarkStart w:id="45" w:name="_Hlk68276518"/>
            <w:bookmarkEnd w:id="44"/>
            <w:r>
              <w:t>Step</w:t>
            </w:r>
          </w:p>
        </w:tc>
        <w:tc>
          <w:tcPr>
            <w:tcW w:w="734" w:type="pct"/>
            <w:noWrap/>
            <w:hideMark/>
          </w:tcPr>
          <w:p w14:paraId="2B7EDBFD" w14:textId="48DFAE70" w:rsidR="00A74226" w:rsidRPr="00CE28E3" w:rsidRDefault="007C546A" w:rsidP="005D2304">
            <w:pPr>
              <w:pStyle w:val="TableHeading"/>
              <w:jc w:val="center"/>
            </w:pPr>
            <w:r>
              <w:t>BCI</w:t>
            </w:r>
            <w:r w:rsidR="00611C7A">
              <w:t xml:space="preserve"> </w:t>
            </w:r>
          </w:p>
        </w:tc>
        <w:tc>
          <w:tcPr>
            <w:tcW w:w="734" w:type="pct"/>
            <w:noWrap/>
            <w:hideMark/>
          </w:tcPr>
          <w:p w14:paraId="3CCA4DE1" w14:textId="0B138337" w:rsidR="00A74226" w:rsidRPr="00CE28E3" w:rsidRDefault="00716C93" w:rsidP="005D2304">
            <w:pPr>
              <w:pStyle w:val="TableHeading"/>
              <w:jc w:val="center"/>
            </w:pPr>
            <w:r>
              <w:t>Standard of care</w:t>
            </w:r>
          </w:p>
        </w:tc>
        <w:tc>
          <w:tcPr>
            <w:tcW w:w="734" w:type="pct"/>
            <w:noWrap/>
            <w:hideMark/>
          </w:tcPr>
          <w:p w14:paraId="381A89D4" w14:textId="77777777" w:rsidR="00A74226" w:rsidRPr="00CE28E3" w:rsidRDefault="00A74226" w:rsidP="005D2304">
            <w:pPr>
              <w:pStyle w:val="TableHeading"/>
              <w:jc w:val="center"/>
            </w:pPr>
            <w:r w:rsidRPr="009E23EC">
              <w:t>Increment</w:t>
            </w:r>
          </w:p>
        </w:tc>
        <w:tc>
          <w:tcPr>
            <w:tcW w:w="835" w:type="pct"/>
          </w:tcPr>
          <w:p w14:paraId="6D2662BA" w14:textId="77777777" w:rsidR="00A74226" w:rsidRPr="00CE28E3" w:rsidRDefault="00A74226" w:rsidP="005D2304">
            <w:pPr>
              <w:pStyle w:val="TableHeading"/>
              <w:jc w:val="center"/>
            </w:pPr>
            <w:r w:rsidRPr="00CE28E3">
              <w:t>ICER</w:t>
            </w:r>
          </w:p>
        </w:tc>
      </w:tr>
      <w:tr w:rsidR="00A74226" w:rsidRPr="00CE28E3" w14:paraId="55FB73C8" w14:textId="77777777" w:rsidTr="00D56BF2">
        <w:trPr>
          <w:cantSplit/>
          <w:trHeight w:val="300"/>
        </w:trPr>
        <w:tc>
          <w:tcPr>
            <w:tcW w:w="5000" w:type="pct"/>
            <w:gridSpan w:val="5"/>
            <w:noWrap/>
            <w:hideMark/>
          </w:tcPr>
          <w:p w14:paraId="31F66E8A" w14:textId="27811A60" w:rsidR="00A74226" w:rsidRPr="00CE28E3" w:rsidRDefault="008C03B2" w:rsidP="005D2304">
            <w:pPr>
              <w:pStyle w:val="Tabletext0"/>
              <w:jc w:val="left"/>
            </w:pPr>
            <w:r w:rsidRPr="008C03B2">
              <w:t xml:space="preserve">Base-case </w:t>
            </w:r>
            <w:r w:rsidR="00571B00" w:rsidRPr="00571B00">
              <w:t xml:space="preserve">results of the model </w:t>
            </w:r>
            <w:r w:rsidR="007C546A">
              <w:t xml:space="preserve">- </w:t>
            </w:r>
            <w:r w:rsidR="00571B00" w:rsidRPr="00571B00">
              <w:t xml:space="preserve">Cost </w:t>
            </w:r>
            <w:r w:rsidR="007C546A">
              <w:t>e</w:t>
            </w:r>
            <w:r w:rsidR="007C546A" w:rsidRPr="00571B00">
              <w:t xml:space="preserve">ffectiveness </w:t>
            </w:r>
            <w:r w:rsidR="00571B00" w:rsidRPr="00571B00">
              <w:t>analysis</w:t>
            </w:r>
            <w:r w:rsidR="00FE06D5">
              <w:t xml:space="preserve"> for tears healed.</w:t>
            </w:r>
            <w:r w:rsidR="00571B00" w:rsidRPr="00571B00">
              <w:t xml:space="preserve"> </w:t>
            </w:r>
            <w:r w:rsidR="00A74226" w:rsidRPr="00CE28E3">
              <w:t>Time horizon: </w:t>
            </w:r>
            <w:r w:rsidR="00571B00">
              <w:t>2 years</w:t>
            </w:r>
          </w:p>
        </w:tc>
      </w:tr>
      <w:tr w:rsidR="00F81F07" w:rsidRPr="00CE28E3" w14:paraId="6313908E" w14:textId="77777777" w:rsidTr="00D56BF2">
        <w:trPr>
          <w:cantSplit/>
          <w:trHeight w:val="300"/>
        </w:trPr>
        <w:tc>
          <w:tcPr>
            <w:tcW w:w="1963" w:type="pct"/>
            <w:noWrap/>
          </w:tcPr>
          <w:p w14:paraId="2A959CB8" w14:textId="77777777" w:rsidR="00F81F07" w:rsidRPr="00CE28E3" w:rsidRDefault="00F81F07" w:rsidP="00F81F07">
            <w:pPr>
              <w:pStyle w:val="Tabletext0"/>
            </w:pPr>
            <w:r>
              <w:t>Costs</w:t>
            </w:r>
          </w:p>
        </w:tc>
        <w:tc>
          <w:tcPr>
            <w:tcW w:w="734" w:type="pct"/>
            <w:noWrap/>
          </w:tcPr>
          <w:p w14:paraId="48AA093F" w14:textId="2312765F" w:rsidR="00F81F07" w:rsidRPr="00CE28E3" w:rsidRDefault="00016C42" w:rsidP="00F81F07">
            <w:pPr>
              <w:pStyle w:val="Tabletext0"/>
              <w:jc w:val="right"/>
            </w:pPr>
            <w:r>
              <w:rPr>
                <w:b/>
                <w:bCs/>
                <w:color w:val="000000" w:themeColor="text1"/>
              </w:rPr>
              <w:t>$</w:t>
            </w:r>
            <w:r w:rsidR="00F81F07" w:rsidRPr="00292260">
              <w:rPr>
                <w:b/>
                <w:bCs/>
                <w:color w:val="000000" w:themeColor="text1"/>
              </w:rPr>
              <w:t>redacted</w:t>
            </w:r>
          </w:p>
        </w:tc>
        <w:tc>
          <w:tcPr>
            <w:tcW w:w="734" w:type="pct"/>
            <w:noWrap/>
          </w:tcPr>
          <w:p w14:paraId="3E319DE3" w14:textId="2BD11705" w:rsidR="00F81F07" w:rsidRPr="00CE28E3" w:rsidRDefault="00F81F07" w:rsidP="00F81F07">
            <w:pPr>
              <w:pStyle w:val="Tabletext0"/>
              <w:jc w:val="right"/>
            </w:pPr>
            <w:r w:rsidRPr="005D2F24">
              <w:t>$3,037</w:t>
            </w:r>
          </w:p>
        </w:tc>
        <w:tc>
          <w:tcPr>
            <w:tcW w:w="734" w:type="pct"/>
            <w:noWrap/>
          </w:tcPr>
          <w:p w14:paraId="1082EBCE" w14:textId="0F2A4584" w:rsidR="00F81F07" w:rsidRPr="00CE28E3" w:rsidRDefault="00016C42" w:rsidP="00F81F07">
            <w:pPr>
              <w:pStyle w:val="Tabletext0"/>
              <w:jc w:val="right"/>
            </w:pPr>
            <w:r>
              <w:rPr>
                <w:b/>
                <w:bCs/>
                <w:color w:val="000000" w:themeColor="text1"/>
              </w:rPr>
              <w:t>$</w:t>
            </w:r>
            <w:r w:rsidR="00F81F07" w:rsidRPr="00292260">
              <w:rPr>
                <w:b/>
                <w:bCs/>
                <w:color w:val="000000" w:themeColor="text1"/>
              </w:rPr>
              <w:t>redacted</w:t>
            </w:r>
          </w:p>
        </w:tc>
        <w:tc>
          <w:tcPr>
            <w:tcW w:w="835" w:type="pct"/>
          </w:tcPr>
          <w:p w14:paraId="099CE540" w14:textId="5116A43C" w:rsidR="00F81F07" w:rsidRPr="00CE28E3" w:rsidRDefault="00F81F07" w:rsidP="00F81F07">
            <w:pPr>
              <w:pStyle w:val="Tabletext0"/>
              <w:jc w:val="right"/>
            </w:pPr>
          </w:p>
        </w:tc>
      </w:tr>
      <w:tr w:rsidR="00F81F07" w:rsidRPr="00CE28E3" w14:paraId="74A5D67F" w14:textId="77777777" w:rsidTr="00D56BF2">
        <w:trPr>
          <w:cantSplit/>
          <w:trHeight w:val="300"/>
        </w:trPr>
        <w:tc>
          <w:tcPr>
            <w:tcW w:w="1963" w:type="pct"/>
            <w:noWrap/>
          </w:tcPr>
          <w:p w14:paraId="009D7C4B" w14:textId="714B7E4E" w:rsidR="00F81F07" w:rsidRDefault="00F81F07" w:rsidP="00F81F07">
            <w:pPr>
              <w:pStyle w:val="Tabletext0"/>
            </w:pPr>
            <w:r>
              <w:t>Outcome 1 (tears healed)</w:t>
            </w:r>
          </w:p>
        </w:tc>
        <w:tc>
          <w:tcPr>
            <w:tcW w:w="734" w:type="pct"/>
            <w:noWrap/>
          </w:tcPr>
          <w:p w14:paraId="34B60185" w14:textId="3435E2B3" w:rsidR="00F81F07" w:rsidRPr="00CE28E3" w:rsidRDefault="00F81F07" w:rsidP="00F81F07">
            <w:pPr>
              <w:pStyle w:val="Tabletext0"/>
              <w:jc w:val="right"/>
            </w:pPr>
            <w:r w:rsidRPr="008B3AE8">
              <w:t>0.877</w:t>
            </w:r>
          </w:p>
        </w:tc>
        <w:tc>
          <w:tcPr>
            <w:tcW w:w="734" w:type="pct"/>
            <w:noWrap/>
          </w:tcPr>
          <w:p w14:paraId="45650E9A" w14:textId="09401574" w:rsidR="00F81F07" w:rsidRPr="00CE28E3" w:rsidRDefault="00F81F07" w:rsidP="00F81F07">
            <w:pPr>
              <w:pStyle w:val="Tabletext0"/>
              <w:jc w:val="right"/>
            </w:pPr>
            <w:r w:rsidRPr="00642897">
              <w:t>0.649</w:t>
            </w:r>
          </w:p>
        </w:tc>
        <w:tc>
          <w:tcPr>
            <w:tcW w:w="734" w:type="pct"/>
            <w:noWrap/>
          </w:tcPr>
          <w:p w14:paraId="50EE13A2" w14:textId="1441AECB" w:rsidR="00F81F07" w:rsidRPr="00CE28E3" w:rsidRDefault="00F81F07" w:rsidP="00F81F07">
            <w:pPr>
              <w:pStyle w:val="Tabletext0"/>
              <w:jc w:val="right"/>
            </w:pPr>
            <w:r w:rsidRPr="00F57A2D">
              <w:t>0.228</w:t>
            </w:r>
          </w:p>
        </w:tc>
        <w:tc>
          <w:tcPr>
            <w:tcW w:w="835" w:type="pct"/>
          </w:tcPr>
          <w:p w14:paraId="5873FC60" w14:textId="1D5743E5" w:rsidR="00F81F07" w:rsidRPr="00CE28E3" w:rsidRDefault="007E5871" w:rsidP="00F81F07">
            <w:pPr>
              <w:pStyle w:val="Tabletext0"/>
              <w:jc w:val="right"/>
            </w:pPr>
            <w:r>
              <w:rPr>
                <w:b/>
                <w:bCs/>
                <w:color w:val="000000" w:themeColor="text1"/>
              </w:rPr>
              <w:t>$</w:t>
            </w:r>
            <w:r w:rsidR="00F81F07" w:rsidRPr="00292260">
              <w:rPr>
                <w:b/>
                <w:bCs/>
                <w:color w:val="000000" w:themeColor="text1"/>
              </w:rPr>
              <w:t>redacted</w:t>
            </w:r>
          </w:p>
        </w:tc>
      </w:tr>
      <w:tr w:rsidR="00A74226" w:rsidRPr="00CE28E3" w14:paraId="67535B96" w14:textId="77777777" w:rsidTr="00D56BF2">
        <w:trPr>
          <w:cantSplit/>
          <w:trHeight w:val="300"/>
        </w:trPr>
        <w:tc>
          <w:tcPr>
            <w:tcW w:w="5000" w:type="pct"/>
            <w:gridSpan w:val="5"/>
            <w:noWrap/>
            <w:hideMark/>
          </w:tcPr>
          <w:p w14:paraId="1922CE5C" w14:textId="000E042D" w:rsidR="00A74226" w:rsidRPr="00CE28E3" w:rsidRDefault="008C03B2" w:rsidP="005D2304">
            <w:pPr>
              <w:pStyle w:val="Tabletext0"/>
              <w:jc w:val="left"/>
            </w:pPr>
            <w:r w:rsidRPr="008C03B2">
              <w:t>Base-case results of the model</w:t>
            </w:r>
            <w:r w:rsidR="007C546A">
              <w:t xml:space="preserve"> </w:t>
            </w:r>
            <w:r w:rsidRPr="008C03B2">
              <w:t>- Cost per MCID</w:t>
            </w:r>
            <w:r w:rsidR="00AF62CD">
              <w:t xml:space="preserve"> in CMS</w:t>
            </w:r>
          </w:p>
        </w:tc>
      </w:tr>
      <w:tr w:rsidR="00F81F07" w:rsidRPr="00CE28E3" w14:paraId="153612A0" w14:textId="77777777" w:rsidTr="00D56BF2">
        <w:trPr>
          <w:cantSplit/>
          <w:trHeight w:val="300"/>
        </w:trPr>
        <w:tc>
          <w:tcPr>
            <w:tcW w:w="1963" w:type="pct"/>
            <w:noWrap/>
          </w:tcPr>
          <w:p w14:paraId="03ED843B" w14:textId="77777777" w:rsidR="00F81F07" w:rsidRPr="00CE28E3" w:rsidRDefault="00F81F07" w:rsidP="00F81F07">
            <w:pPr>
              <w:pStyle w:val="Tabletext0"/>
            </w:pPr>
            <w:r>
              <w:t>Costs</w:t>
            </w:r>
          </w:p>
        </w:tc>
        <w:tc>
          <w:tcPr>
            <w:tcW w:w="734" w:type="pct"/>
            <w:noWrap/>
          </w:tcPr>
          <w:p w14:paraId="49F66CC7" w14:textId="2B39A935" w:rsidR="00F81F07" w:rsidRPr="00CE28E3" w:rsidRDefault="00016C42" w:rsidP="00F81F07">
            <w:pPr>
              <w:pStyle w:val="Tabletext0"/>
              <w:jc w:val="right"/>
            </w:pPr>
            <w:r>
              <w:rPr>
                <w:b/>
                <w:bCs/>
                <w:color w:val="000000" w:themeColor="text1"/>
              </w:rPr>
              <w:t>$</w:t>
            </w:r>
            <w:r w:rsidR="00F81F07" w:rsidRPr="00912090">
              <w:rPr>
                <w:b/>
                <w:bCs/>
                <w:color w:val="000000" w:themeColor="text1"/>
              </w:rPr>
              <w:t>redacted</w:t>
            </w:r>
          </w:p>
        </w:tc>
        <w:tc>
          <w:tcPr>
            <w:tcW w:w="734" w:type="pct"/>
            <w:noWrap/>
          </w:tcPr>
          <w:p w14:paraId="0DB7E19E" w14:textId="186E619C" w:rsidR="00F81F07" w:rsidRPr="00CE28E3" w:rsidRDefault="00F81F07" w:rsidP="00F81F07">
            <w:pPr>
              <w:pStyle w:val="Tabletext0"/>
              <w:jc w:val="right"/>
            </w:pPr>
            <w:r w:rsidRPr="005D2F24">
              <w:t>$3,037</w:t>
            </w:r>
          </w:p>
        </w:tc>
        <w:tc>
          <w:tcPr>
            <w:tcW w:w="734" w:type="pct"/>
            <w:noWrap/>
          </w:tcPr>
          <w:p w14:paraId="62571D46" w14:textId="51874567" w:rsidR="00F81F07" w:rsidRPr="00CE28E3" w:rsidRDefault="00016C42" w:rsidP="00F81F07">
            <w:pPr>
              <w:pStyle w:val="Tabletext0"/>
              <w:jc w:val="right"/>
            </w:pPr>
            <w:r>
              <w:rPr>
                <w:b/>
                <w:bCs/>
                <w:color w:val="000000" w:themeColor="text1"/>
              </w:rPr>
              <w:t>$</w:t>
            </w:r>
            <w:r w:rsidR="00F81F07" w:rsidRPr="00912090">
              <w:rPr>
                <w:b/>
                <w:bCs/>
                <w:color w:val="000000" w:themeColor="text1"/>
              </w:rPr>
              <w:t>redacted</w:t>
            </w:r>
          </w:p>
        </w:tc>
        <w:tc>
          <w:tcPr>
            <w:tcW w:w="835" w:type="pct"/>
          </w:tcPr>
          <w:p w14:paraId="430AED15" w14:textId="67C67471" w:rsidR="00F81F07" w:rsidRPr="00CE28E3" w:rsidRDefault="00F81F07" w:rsidP="00F81F07">
            <w:pPr>
              <w:pStyle w:val="Tabletext0"/>
              <w:jc w:val="right"/>
            </w:pPr>
          </w:p>
        </w:tc>
      </w:tr>
      <w:tr w:rsidR="00F81F07" w:rsidRPr="00CE28E3" w14:paraId="648F33B2" w14:textId="77777777" w:rsidTr="00D56BF2">
        <w:trPr>
          <w:cantSplit/>
          <w:trHeight w:val="300"/>
        </w:trPr>
        <w:tc>
          <w:tcPr>
            <w:tcW w:w="1963" w:type="pct"/>
            <w:noWrap/>
          </w:tcPr>
          <w:p w14:paraId="56754F5A" w14:textId="6DD1A9F7" w:rsidR="00F81F07" w:rsidRDefault="00F81F07" w:rsidP="00F81F07">
            <w:pPr>
              <w:pStyle w:val="Tabletext0"/>
            </w:pPr>
            <w:r>
              <w:t>Outcome 1 (MCID)</w:t>
            </w:r>
          </w:p>
        </w:tc>
        <w:tc>
          <w:tcPr>
            <w:tcW w:w="734" w:type="pct"/>
            <w:noWrap/>
          </w:tcPr>
          <w:p w14:paraId="6D72179E" w14:textId="7CA55E94" w:rsidR="00F81F07" w:rsidRPr="00CE28E3" w:rsidRDefault="00F81F07" w:rsidP="00F81F07">
            <w:pPr>
              <w:pStyle w:val="Tabletext0"/>
              <w:jc w:val="right"/>
            </w:pPr>
            <w:r w:rsidRPr="00C16EA6">
              <w:t>3.</w:t>
            </w:r>
            <w:r>
              <w:t>7</w:t>
            </w:r>
            <w:r w:rsidRPr="00C16EA6">
              <w:t>1</w:t>
            </w:r>
          </w:p>
        </w:tc>
        <w:tc>
          <w:tcPr>
            <w:tcW w:w="734" w:type="pct"/>
            <w:noWrap/>
          </w:tcPr>
          <w:p w14:paraId="4D010621" w14:textId="5EE10436" w:rsidR="00F81F07" w:rsidRPr="00CE28E3" w:rsidRDefault="00F81F07" w:rsidP="00F81F07">
            <w:pPr>
              <w:pStyle w:val="Tabletext0"/>
              <w:jc w:val="right"/>
            </w:pPr>
            <w:r w:rsidRPr="003D1153">
              <w:t>3.31</w:t>
            </w:r>
          </w:p>
        </w:tc>
        <w:tc>
          <w:tcPr>
            <w:tcW w:w="734" w:type="pct"/>
            <w:noWrap/>
          </w:tcPr>
          <w:p w14:paraId="3B54F209" w14:textId="76634738" w:rsidR="00F81F07" w:rsidRPr="00CE28E3" w:rsidRDefault="00F81F07" w:rsidP="00F81F07">
            <w:pPr>
              <w:pStyle w:val="Tabletext0"/>
              <w:jc w:val="right"/>
            </w:pPr>
            <w:r w:rsidRPr="00F57A2D">
              <w:t>0.</w:t>
            </w:r>
            <w:r>
              <w:t>40</w:t>
            </w:r>
          </w:p>
        </w:tc>
        <w:tc>
          <w:tcPr>
            <w:tcW w:w="835" w:type="pct"/>
          </w:tcPr>
          <w:p w14:paraId="44D61923" w14:textId="75F22D00" w:rsidR="00F81F07" w:rsidRPr="00CE28E3" w:rsidRDefault="007E5871" w:rsidP="00F81F07">
            <w:pPr>
              <w:pStyle w:val="Tabletext0"/>
              <w:jc w:val="right"/>
            </w:pPr>
            <w:r>
              <w:rPr>
                <w:b/>
                <w:bCs/>
                <w:color w:val="000000" w:themeColor="text1"/>
              </w:rPr>
              <w:t>$</w:t>
            </w:r>
            <w:r w:rsidR="00F81F07" w:rsidRPr="00912090">
              <w:rPr>
                <w:b/>
                <w:bCs/>
                <w:color w:val="000000" w:themeColor="text1"/>
              </w:rPr>
              <w:t>redacted</w:t>
            </w:r>
          </w:p>
        </w:tc>
      </w:tr>
      <w:tr w:rsidR="0052242A" w:rsidRPr="00CE28E3" w14:paraId="14611267" w14:textId="77777777" w:rsidTr="00D56BF2">
        <w:trPr>
          <w:cantSplit/>
          <w:trHeight w:val="300"/>
        </w:trPr>
        <w:tc>
          <w:tcPr>
            <w:tcW w:w="5000" w:type="pct"/>
            <w:gridSpan w:val="5"/>
            <w:noWrap/>
          </w:tcPr>
          <w:p w14:paraId="64BF27A7" w14:textId="0229ADD0" w:rsidR="0052242A" w:rsidRPr="00CE28E3" w:rsidRDefault="004E6041" w:rsidP="0052242A">
            <w:pPr>
              <w:pStyle w:val="Tabletext0"/>
              <w:jc w:val="left"/>
            </w:pPr>
            <w:r w:rsidRPr="008C03B2">
              <w:t xml:space="preserve">Base-case results of the </w:t>
            </w:r>
            <w:r>
              <w:t>cost utility analysis</w:t>
            </w:r>
          </w:p>
        </w:tc>
      </w:tr>
      <w:tr w:rsidR="00F81F07" w:rsidRPr="00CE28E3" w14:paraId="53F2265A" w14:textId="77777777" w:rsidTr="00D56BF2">
        <w:trPr>
          <w:cantSplit/>
          <w:trHeight w:val="300"/>
        </w:trPr>
        <w:tc>
          <w:tcPr>
            <w:tcW w:w="1963" w:type="pct"/>
            <w:noWrap/>
          </w:tcPr>
          <w:p w14:paraId="6B0BC000" w14:textId="131680A7" w:rsidR="00F81F07" w:rsidRPr="00CE28E3" w:rsidRDefault="00F81F07" w:rsidP="00F81F07">
            <w:pPr>
              <w:pStyle w:val="Tabletext0"/>
            </w:pPr>
            <w:r>
              <w:t>Costs</w:t>
            </w:r>
          </w:p>
        </w:tc>
        <w:tc>
          <w:tcPr>
            <w:tcW w:w="734" w:type="pct"/>
            <w:noWrap/>
          </w:tcPr>
          <w:p w14:paraId="3CD19DE3" w14:textId="514E5686" w:rsidR="00F81F07" w:rsidRPr="00CE28E3" w:rsidRDefault="00016C42" w:rsidP="00F81F07">
            <w:pPr>
              <w:pStyle w:val="Tabletext0"/>
              <w:jc w:val="right"/>
            </w:pPr>
            <w:r>
              <w:rPr>
                <w:b/>
                <w:bCs/>
                <w:color w:val="000000" w:themeColor="text1"/>
              </w:rPr>
              <w:t>$</w:t>
            </w:r>
            <w:r w:rsidR="00F81F07" w:rsidRPr="00935132">
              <w:rPr>
                <w:b/>
                <w:bCs/>
                <w:color w:val="000000" w:themeColor="text1"/>
              </w:rPr>
              <w:t>redacted</w:t>
            </w:r>
          </w:p>
        </w:tc>
        <w:tc>
          <w:tcPr>
            <w:tcW w:w="734" w:type="pct"/>
            <w:noWrap/>
          </w:tcPr>
          <w:p w14:paraId="50A2D7DE" w14:textId="259D2589" w:rsidR="00F81F07" w:rsidRPr="00CE28E3" w:rsidRDefault="00F81F07" w:rsidP="00F81F07">
            <w:pPr>
              <w:pStyle w:val="Tabletext0"/>
              <w:jc w:val="right"/>
            </w:pPr>
            <w:r w:rsidRPr="005D2F24">
              <w:t>$3,037</w:t>
            </w:r>
          </w:p>
        </w:tc>
        <w:tc>
          <w:tcPr>
            <w:tcW w:w="734" w:type="pct"/>
            <w:noWrap/>
          </w:tcPr>
          <w:p w14:paraId="124047A7" w14:textId="585F4EFD" w:rsidR="00F81F07" w:rsidRPr="00CE28E3" w:rsidRDefault="00016C42" w:rsidP="00F81F07">
            <w:pPr>
              <w:pStyle w:val="Tabletext0"/>
              <w:jc w:val="right"/>
            </w:pPr>
            <w:r>
              <w:rPr>
                <w:b/>
                <w:bCs/>
                <w:color w:val="000000" w:themeColor="text1"/>
              </w:rPr>
              <w:t>$</w:t>
            </w:r>
            <w:r w:rsidR="00F81F07" w:rsidRPr="00935132">
              <w:rPr>
                <w:b/>
                <w:bCs/>
                <w:color w:val="000000" w:themeColor="text1"/>
              </w:rPr>
              <w:t>redacted</w:t>
            </w:r>
          </w:p>
        </w:tc>
        <w:tc>
          <w:tcPr>
            <w:tcW w:w="835" w:type="pct"/>
          </w:tcPr>
          <w:p w14:paraId="470989A4" w14:textId="78425345" w:rsidR="00F81F07" w:rsidRPr="00CE28E3" w:rsidRDefault="00F81F07" w:rsidP="00F81F07">
            <w:pPr>
              <w:pStyle w:val="Tabletext0"/>
              <w:jc w:val="right"/>
            </w:pPr>
          </w:p>
        </w:tc>
      </w:tr>
      <w:tr w:rsidR="00F81F07" w:rsidRPr="00CE28E3" w14:paraId="34FB0BE7" w14:textId="77777777" w:rsidTr="00D56BF2">
        <w:trPr>
          <w:cantSplit/>
          <w:trHeight w:val="300"/>
        </w:trPr>
        <w:tc>
          <w:tcPr>
            <w:tcW w:w="1963" w:type="pct"/>
            <w:noWrap/>
          </w:tcPr>
          <w:p w14:paraId="0BB6395E" w14:textId="2D399056" w:rsidR="00F81F07" w:rsidRDefault="00F81F07" w:rsidP="00F81F07">
            <w:pPr>
              <w:pStyle w:val="Tabletext0"/>
            </w:pPr>
            <w:r>
              <w:t>Outcome 3 (QALYs)</w:t>
            </w:r>
          </w:p>
        </w:tc>
        <w:tc>
          <w:tcPr>
            <w:tcW w:w="734" w:type="pct"/>
            <w:noWrap/>
          </w:tcPr>
          <w:p w14:paraId="68C3897D" w14:textId="770AD7B6" w:rsidR="00F81F07" w:rsidRDefault="00F81F07" w:rsidP="00F81F07">
            <w:pPr>
              <w:pStyle w:val="Tabletext0"/>
              <w:jc w:val="right"/>
            </w:pPr>
            <w:r>
              <w:t>1.55</w:t>
            </w:r>
          </w:p>
        </w:tc>
        <w:tc>
          <w:tcPr>
            <w:tcW w:w="734" w:type="pct"/>
            <w:noWrap/>
          </w:tcPr>
          <w:p w14:paraId="307E5F0C" w14:textId="3EF809DD" w:rsidR="00F81F07" w:rsidRDefault="00F81F07" w:rsidP="00F81F07">
            <w:pPr>
              <w:pStyle w:val="Tabletext0"/>
              <w:jc w:val="right"/>
            </w:pPr>
            <w:r>
              <w:t>1.49</w:t>
            </w:r>
          </w:p>
        </w:tc>
        <w:tc>
          <w:tcPr>
            <w:tcW w:w="734" w:type="pct"/>
            <w:noWrap/>
          </w:tcPr>
          <w:p w14:paraId="7B1112A4" w14:textId="26A738FF" w:rsidR="00F81F07" w:rsidRDefault="00F81F07" w:rsidP="00F81F07">
            <w:pPr>
              <w:pStyle w:val="Tabletext0"/>
              <w:jc w:val="right"/>
            </w:pPr>
            <w:r>
              <w:t>0.064</w:t>
            </w:r>
          </w:p>
        </w:tc>
        <w:tc>
          <w:tcPr>
            <w:tcW w:w="835" w:type="pct"/>
          </w:tcPr>
          <w:p w14:paraId="59052220" w14:textId="62009047" w:rsidR="00F81F07" w:rsidRPr="00CE28E3" w:rsidRDefault="00F902B6" w:rsidP="00F81F07">
            <w:pPr>
              <w:pStyle w:val="Tabletext0"/>
              <w:jc w:val="right"/>
            </w:pPr>
            <w:r>
              <w:rPr>
                <w:b/>
                <w:bCs/>
                <w:color w:val="000000" w:themeColor="text1"/>
              </w:rPr>
              <w:t>$</w:t>
            </w:r>
            <w:r w:rsidR="00F81F07" w:rsidRPr="00935132">
              <w:rPr>
                <w:b/>
                <w:bCs/>
                <w:color w:val="000000" w:themeColor="text1"/>
              </w:rPr>
              <w:t>redacted</w:t>
            </w:r>
          </w:p>
        </w:tc>
      </w:tr>
    </w:tbl>
    <w:p w14:paraId="62B24424" w14:textId="77777777" w:rsidR="005F44A9" w:rsidRDefault="004E6041" w:rsidP="00F23D4C">
      <w:pPr>
        <w:pStyle w:val="TableFooter"/>
      </w:pPr>
      <w:r>
        <w:t xml:space="preserve">Source: </w:t>
      </w:r>
      <w:r w:rsidR="005F44A9">
        <w:t>Tables 56 to 58, p144 of the ADAR</w:t>
      </w:r>
    </w:p>
    <w:p w14:paraId="18B60A0A" w14:textId="50C34BC2" w:rsidR="005F44A9" w:rsidRDefault="005F44A9" w:rsidP="00F23D4C">
      <w:pPr>
        <w:pStyle w:val="TableFooter"/>
      </w:pPr>
      <w:r>
        <w:t>Abbreviations:</w:t>
      </w:r>
      <w:r w:rsidR="00AF62CD" w:rsidRPr="00AF62CD">
        <w:t xml:space="preserve"> </w:t>
      </w:r>
      <w:r w:rsidR="00AF62CD" w:rsidRPr="00A55578">
        <w:t>CMS = Constant Murley Score;</w:t>
      </w:r>
      <w:r>
        <w:t xml:space="preserve"> </w:t>
      </w:r>
      <w:r w:rsidR="00FC5603" w:rsidRPr="00CE28E3">
        <w:t xml:space="preserve">ICER = incremental cost-effectiveness ratio; </w:t>
      </w:r>
      <w:r w:rsidRPr="005F44A9">
        <w:t xml:space="preserve">MCID </w:t>
      </w:r>
      <w:r w:rsidR="005F5E16">
        <w:t xml:space="preserve">= minimal </w:t>
      </w:r>
      <w:r w:rsidR="00AF62CD">
        <w:t xml:space="preserve">clinical </w:t>
      </w:r>
      <w:r w:rsidR="005F5E16">
        <w:t xml:space="preserve">important difference; </w:t>
      </w:r>
      <w:r w:rsidR="00FC5603" w:rsidRPr="00CE28E3">
        <w:t>QALY = quality-adjusted life year</w:t>
      </w:r>
      <w:r w:rsidR="0045093D">
        <w:t>.</w:t>
      </w:r>
    </w:p>
    <w:bookmarkEnd w:id="45"/>
    <w:p w14:paraId="5EDC944B" w14:textId="77777777" w:rsidR="003315B5" w:rsidRDefault="003315B5" w:rsidP="003315B5">
      <w:r w:rsidRPr="003315B5">
        <w:t>The commentary noted that the results of the base case analysis were uncertain given the uncertainty in key model parameters as discussed above including health state utilities, post-surgical care costs and MCID.</w:t>
      </w:r>
    </w:p>
    <w:p w14:paraId="74448943" w14:textId="6B0B64C0" w:rsidR="00FC5603" w:rsidRPr="003251C2" w:rsidRDefault="003571C2" w:rsidP="00AC6197">
      <w:r>
        <w:fldChar w:fldCharType="begin"/>
      </w:r>
      <w:r>
        <w:instrText xml:space="preserve"> REF _Ref69726321 \h </w:instrText>
      </w:r>
      <w:r w:rsidR="00AC6197">
        <w:instrText xml:space="preserve"> \* MERGEFORMAT </w:instrText>
      </w:r>
      <w:r>
        <w:fldChar w:fldCharType="separate"/>
      </w:r>
      <w:r w:rsidR="002D4CF2" w:rsidRPr="00CE28E3">
        <w:t>Table</w:t>
      </w:r>
      <w:r w:rsidR="002D4CF2">
        <w:t> 1</w:t>
      </w:r>
      <w:r w:rsidR="007672DB">
        <w:t>3</w:t>
      </w:r>
      <w:r>
        <w:fldChar w:fldCharType="end"/>
      </w:r>
      <w:r w:rsidR="00586721">
        <w:t xml:space="preserve"> presents the key drivers in the economic evaluation.</w:t>
      </w:r>
    </w:p>
    <w:p w14:paraId="708EBBC4" w14:textId="18891998" w:rsidR="002F32FB" w:rsidRPr="00CE28E3" w:rsidRDefault="002F32FB" w:rsidP="00865ECD">
      <w:pPr>
        <w:pStyle w:val="Caption"/>
        <w:keepLines/>
      </w:pPr>
      <w:bookmarkStart w:id="46" w:name="_Ref69726321"/>
      <w:r w:rsidRPr="00CE28E3">
        <w:lastRenderedPageBreak/>
        <w:t>Table</w:t>
      </w:r>
      <w:r w:rsidR="003571C2">
        <w:t> </w:t>
      </w:r>
      <w:r w:rsidR="004B28A6">
        <w:fldChar w:fldCharType="begin"/>
      </w:r>
      <w:r w:rsidR="004B28A6">
        <w:instrText xml:space="preserve"> SEQ Table \* ARABIC </w:instrText>
      </w:r>
      <w:r w:rsidR="004B28A6">
        <w:fldChar w:fldCharType="separate"/>
      </w:r>
      <w:r w:rsidR="00564C3F">
        <w:rPr>
          <w:noProof/>
        </w:rPr>
        <w:t>13</w:t>
      </w:r>
      <w:r w:rsidR="004B28A6">
        <w:rPr>
          <w:noProof/>
        </w:rPr>
        <w:fldChar w:fldCharType="end"/>
      </w:r>
      <w:bookmarkEnd w:id="46"/>
      <w:r w:rsidRPr="00CE28E3">
        <w:tab/>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3"/>
        <w:gridCol w:w="2784"/>
      </w:tblGrid>
      <w:tr w:rsidR="002F32FB" w:rsidRPr="00CE28E3" w14:paraId="11B0BC91" w14:textId="77777777" w:rsidTr="003B61B7">
        <w:trPr>
          <w:tblHeader/>
        </w:trPr>
        <w:tc>
          <w:tcPr>
            <w:tcW w:w="626" w:type="pct"/>
            <w:vAlign w:val="center"/>
          </w:tcPr>
          <w:p w14:paraId="2EC6365B" w14:textId="77777777" w:rsidR="002F32FB" w:rsidRPr="00CE28E3" w:rsidRDefault="002F32FB" w:rsidP="00865ECD">
            <w:pPr>
              <w:pStyle w:val="In-tableHeading"/>
              <w:keepLines/>
              <w:jc w:val="center"/>
            </w:pPr>
            <w:bookmarkStart w:id="47" w:name="Title_Table10" w:colFirst="0" w:colLast="0"/>
            <w:bookmarkStart w:id="48" w:name="_Hlk68276626"/>
            <w:r w:rsidRPr="00CE28E3">
              <w:t>Description</w:t>
            </w:r>
          </w:p>
        </w:tc>
        <w:tc>
          <w:tcPr>
            <w:tcW w:w="2830" w:type="pct"/>
            <w:vAlign w:val="center"/>
          </w:tcPr>
          <w:p w14:paraId="0520071F" w14:textId="77777777" w:rsidR="002F32FB" w:rsidRPr="00CE28E3" w:rsidRDefault="002F32FB" w:rsidP="00865ECD">
            <w:pPr>
              <w:pStyle w:val="In-tableHeading"/>
              <w:keepLines/>
              <w:jc w:val="center"/>
            </w:pPr>
            <w:r w:rsidRPr="00CE28E3">
              <w:t>Method/Value</w:t>
            </w:r>
          </w:p>
        </w:tc>
        <w:tc>
          <w:tcPr>
            <w:tcW w:w="1544" w:type="pct"/>
            <w:vAlign w:val="center"/>
          </w:tcPr>
          <w:p w14:paraId="38BDDD5F" w14:textId="77777777" w:rsidR="002F32FB" w:rsidRPr="00CE28E3" w:rsidRDefault="002F32FB" w:rsidP="00865ECD">
            <w:pPr>
              <w:pStyle w:val="In-tableHeading"/>
              <w:keepLines/>
              <w:jc w:val="center"/>
            </w:pPr>
            <w:r w:rsidRPr="00CE28E3">
              <w:t>Impact</w:t>
            </w:r>
          </w:p>
          <w:p w14:paraId="3CDB5E95" w14:textId="37D380C0" w:rsidR="002F32FB" w:rsidRDefault="002F32FB" w:rsidP="00865ECD">
            <w:pPr>
              <w:pStyle w:val="In-tableHeading"/>
              <w:keepLines/>
              <w:jc w:val="center"/>
              <w:rPr>
                <w:rFonts w:cs="Arial"/>
                <w:szCs w:val="20"/>
              </w:rPr>
            </w:pPr>
            <w:r w:rsidRPr="00CE28E3">
              <w:rPr>
                <w:rFonts w:cs="Arial"/>
                <w:szCs w:val="20"/>
              </w:rPr>
              <w:t xml:space="preserve">Base case: </w:t>
            </w:r>
            <w:r w:rsidR="00B967C7">
              <w:rPr>
                <w:rFonts w:cs="Arial"/>
                <w:szCs w:val="20"/>
              </w:rPr>
              <w:t>$</w:t>
            </w:r>
            <w:r w:rsidR="00DF5BDC" w:rsidRPr="00DF46A3">
              <w:rPr>
                <w:bCs/>
                <w:color w:val="000000" w:themeColor="text1"/>
              </w:rPr>
              <w:t>redacted</w:t>
            </w:r>
            <w:r w:rsidR="00DF5BDC" w:rsidRPr="00CE28E3" w:rsidDel="00DF5BDC">
              <w:rPr>
                <w:rFonts w:cs="Arial"/>
                <w:szCs w:val="20"/>
              </w:rPr>
              <w:t xml:space="preserve"> </w:t>
            </w:r>
            <w:r w:rsidRPr="00CE28E3">
              <w:rPr>
                <w:rFonts w:cs="Arial"/>
                <w:szCs w:val="20"/>
              </w:rPr>
              <w:t>/QALY gained</w:t>
            </w:r>
          </w:p>
          <w:p w14:paraId="516047D5" w14:textId="3F620425" w:rsidR="00180196" w:rsidRDefault="00B967C7" w:rsidP="00865ECD">
            <w:pPr>
              <w:pStyle w:val="In-tableHeading"/>
              <w:keepLines/>
              <w:jc w:val="center"/>
            </w:pPr>
            <w:r>
              <w:rPr>
                <w:bCs/>
                <w:color w:val="000000" w:themeColor="text1"/>
              </w:rPr>
              <w:t>$</w:t>
            </w:r>
            <w:r w:rsidR="00DF5BDC" w:rsidRPr="00DF46A3">
              <w:rPr>
                <w:bCs/>
                <w:color w:val="000000" w:themeColor="text1"/>
              </w:rPr>
              <w:t>redacted</w:t>
            </w:r>
            <w:r w:rsidR="00DF5BDC" w:rsidRPr="00592564" w:rsidDel="00DF5BDC">
              <w:t xml:space="preserve"> </w:t>
            </w:r>
            <w:r w:rsidR="00180196">
              <w:t>/MCID gained</w:t>
            </w:r>
          </w:p>
          <w:p w14:paraId="66E24653" w14:textId="3E40F09B" w:rsidR="00180196" w:rsidRPr="00CE28E3" w:rsidRDefault="00B967C7" w:rsidP="00865ECD">
            <w:pPr>
              <w:pStyle w:val="In-tableHeading"/>
              <w:keepLines/>
              <w:jc w:val="center"/>
            </w:pPr>
            <w:r>
              <w:rPr>
                <w:bCs/>
                <w:color w:val="000000" w:themeColor="text1"/>
              </w:rPr>
              <w:t>$</w:t>
            </w:r>
            <w:r w:rsidR="007C7CC1" w:rsidRPr="00DF46A3">
              <w:rPr>
                <w:bCs/>
                <w:color w:val="000000" w:themeColor="text1"/>
              </w:rPr>
              <w:t>redacted</w:t>
            </w:r>
            <w:r w:rsidR="007C7CC1" w:rsidRPr="008C50F4" w:rsidDel="007C7CC1">
              <w:t xml:space="preserve"> </w:t>
            </w:r>
            <w:r w:rsidR="008627EA">
              <w:t>/tear healed</w:t>
            </w:r>
          </w:p>
        </w:tc>
      </w:tr>
      <w:bookmarkEnd w:id="47"/>
      <w:tr w:rsidR="002F32FB" w:rsidRPr="00CE28E3" w14:paraId="6395056A" w14:textId="77777777" w:rsidTr="003B61B7">
        <w:tc>
          <w:tcPr>
            <w:tcW w:w="626" w:type="pct"/>
            <w:vAlign w:val="center"/>
          </w:tcPr>
          <w:p w14:paraId="30DD8CD6" w14:textId="77777777" w:rsidR="002F32FB" w:rsidRPr="00CE28E3" w:rsidRDefault="002F32FB" w:rsidP="00865ECD">
            <w:pPr>
              <w:pStyle w:val="TableText"/>
              <w:keepNext/>
              <w:keepLines/>
              <w:jc w:val="center"/>
              <w:rPr>
                <w:lang w:val="en-US"/>
              </w:rPr>
            </w:pPr>
            <w:r w:rsidRPr="00CE28E3">
              <w:rPr>
                <w:lang w:val="en-US"/>
              </w:rPr>
              <w:t>Utilities</w:t>
            </w:r>
          </w:p>
        </w:tc>
        <w:tc>
          <w:tcPr>
            <w:tcW w:w="2830" w:type="pct"/>
            <w:vAlign w:val="center"/>
          </w:tcPr>
          <w:p w14:paraId="3E70B4B3" w14:textId="23C8EBC8" w:rsidR="002F32FB" w:rsidRPr="00CE28E3" w:rsidRDefault="0077732C" w:rsidP="00865ECD">
            <w:pPr>
              <w:pStyle w:val="TableText"/>
              <w:keepNext/>
              <w:keepLines/>
              <w:rPr>
                <w:lang w:val="en-US"/>
              </w:rPr>
            </w:pPr>
            <w:r>
              <w:rPr>
                <w:lang w:val="en-US"/>
              </w:rPr>
              <w:t>Low</w:t>
            </w:r>
            <w:r w:rsidR="002F32FB" w:rsidRPr="00CE28E3">
              <w:rPr>
                <w:lang w:val="en-US"/>
              </w:rPr>
              <w:t xml:space="preserve"> values for model health states</w:t>
            </w:r>
            <w:r>
              <w:rPr>
                <w:lang w:val="en-US"/>
              </w:rPr>
              <w:t xml:space="preserve"> post </w:t>
            </w:r>
            <w:r w:rsidR="008D26B9">
              <w:rPr>
                <w:lang w:val="en-US"/>
              </w:rPr>
              <w:t>heal failure (conservative management</w:t>
            </w:r>
            <w:r w:rsidR="003B5D32">
              <w:rPr>
                <w:lang w:val="en-US"/>
              </w:rPr>
              <w:t xml:space="preserve"> health</w:t>
            </w:r>
            <w:r w:rsidR="008D26B9">
              <w:rPr>
                <w:lang w:val="en-US"/>
              </w:rPr>
              <w:t xml:space="preserve">) </w:t>
            </w:r>
            <w:r w:rsidR="002F32FB" w:rsidRPr="00CE28E3">
              <w:rPr>
                <w:lang w:val="en-US"/>
              </w:rPr>
              <w:t xml:space="preserve">taken from </w:t>
            </w:r>
            <w:r>
              <w:rPr>
                <w:lang w:val="en-US"/>
              </w:rPr>
              <w:t xml:space="preserve">adjusting the </w:t>
            </w:r>
            <w:r w:rsidR="009E13B9">
              <w:rPr>
                <w:lang w:val="en-US"/>
              </w:rPr>
              <w:t xml:space="preserve">utility scores in </w:t>
            </w:r>
            <w:r w:rsidR="009E13B9" w:rsidRPr="009E13B9">
              <w:rPr>
                <w:lang w:val="en-US"/>
              </w:rPr>
              <w:t xml:space="preserve">Ruiz </w:t>
            </w:r>
            <w:proofErr w:type="spellStart"/>
            <w:r w:rsidR="007F47D3" w:rsidRPr="00BB05DE">
              <w:t>Ibán</w:t>
            </w:r>
            <w:proofErr w:type="spellEnd"/>
            <w:r w:rsidR="009E13B9" w:rsidRPr="009E13B9">
              <w:rPr>
                <w:lang w:val="en-US"/>
              </w:rPr>
              <w:t xml:space="preserve"> (2025) </w:t>
            </w:r>
            <w:r w:rsidR="009E13B9">
              <w:rPr>
                <w:lang w:val="en-US"/>
              </w:rPr>
              <w:t>by CMS score.</w:t>
            </w:r>
            <w:r w:rsidR="003B5D32">
              <w:rPr>
                <w:lang w:val="en-US"/>
              </w:rPr>
              <w:t xml:space="preserve"> In </w:t>
            </w:r>
            <w:r w:rsidR="00CB38F7">
              <w:rPr>
                <w:lang w:val="en-US"/>
              </w:rPr>
              <w:t>addition,</w:t>
            </w:r>
            <w:r w:rsidR="003B5D32">
              <w:rPr>
                <w:lang w:val="en-US"/>
              </w:rPr>
              <w:t xml:space="preserve"> the same approach </w:t>
            </w:r>
            <w:r w:rsidR="00CB38F7">
              <w:rPr>
                <w:lang w:val="en-US"/>
              </w:rPr>
              <w:t xml:space="preserve">was </w:t>
            </w:r>
            <w:r w:rsidR="003B5D32">
              <w:rPr>
                <w:lang w:val="en-US"/>
              </w:rPr>
              <w:t xml:space="preserve">used for the </w:t>
            </w:r>
            <w:r w:rsidR="00F83867">
              <w:rPr>
                <w:lang w:val="en-US"/>
              </w:rPr>
              <w:t>revision surgery health states</w:t>
            </w:r>
            <w:r w:rsidR="00CB38F7">
              <w:rPr>
                <w:lang w:val="en-US"/>
              </w:rPr>
              <w:t xml:space="preserve"> in a multivariate sensitivity analysis</w:t>
            </w:r>
            <w:r w:rsidR="00F83867">
              <w:rPr>
                <w:lang w:val="en-US"/>
              </w:rPr>
              <w:t>.</w:t>
            </w:r>
          </w:p>
        </w:tc>
        <w:tc>
          <w:tcPr>
            <w:tcW w:w="1544" w:type="pct"/>
            <w:vAlign w:val="center"/>
          </w:tcPr>
          <w:p w14:paraId="04D11165" w14:textId="4E59802D" w:rsidR="002F32FB" w:rsidRPr="00CE28E3" w:rsidRDefault="002F32FB" w:rsidP="00865ECD">
            <w:pPr>
              <w:pStyle w:val="TableText"/>
              <w:keepNext/>
              <w:keepLines/>
              <w:rPr>
                <w:i/>
                <w:lang w:val="en-US"/>
              </w:rPr>
            </w:pPr>
            <w:r w:rsidRPr="00CE28E3">
              <w:rPr>
                <w:i/>
                <w:lang w:val="en-US"/>
              </w:rPr>
              <w:t xml:space="preserve">High, </w:t>
            </w:r>
            <w:proofErr w:type="spellStart"/>
            <w:r w:rsidRPr="00CE28E3">
              <w:rPr>
                <w:i/>
                <w:lang w:val="en-US"/>
              </w:rPr>
              <w:t>favours</w:t>
            </w:r>
            <w:proofErr w:type="spellEnd"/>
            <w:r w:rsidRPr="00CE28E3">
              <w:rPr>
                <w:i/>
                <w:lang w:val="en-US"/>
              </w:rPr>
              <w:t xml:space="preserve"> </w:t>
            </w:r>
            <w:r w:rsidR="00B14FC7">
              <w:rPr>
                <w:i/>
                <w:lang w:val="en-US"/>
              </w:rPr>
              <w:t>BCI</w:t>
            </w:r>
            <w:r w:rsidR="00260DC3">
              <w:rPr>
                <w:i/>
                <w:lang w:val="en-US"/>
              </w:rPr>
              <w:t xml:space="preserve">. </w:t>
            </w:r>
            <w:r w:rsidR="00DC14AF">
              <w:rPr>
                <w:i/>
                <w:lang w:val="en-US"/>
              </w:rPr>
              <w:br/>
            </w:r>
            <w:r w:rsidRPr="00CE28E3">
              <w:rPr>
                <w:i/>
                <w:lang w:val="en-US"/>
              </w:rPr>
              <w:t xml:space="preserve">Use of </w:t>
            </w:r>
            <w:r w:rsidR="008E475D">
              <w:rPr>
                <w:i/>
                <w:lang w:val="en-US"/>
              </w:rPr>
              <w:t xml:space="preserve">20% </w:t>
            </w:r>
            <w:r w:rsidRPr="00CE28E3">
              <w:rPr>
                <w:i/>
                <w:lang w:val="en-US"/>
              </w:rPr>
              <w:t>increase</w:t>
            </w:r>
            <w:r w:rsidR="008E475D">
              <w:rPr>
                <w:i/>
                <w:lang w:val="en-US"/>
              </w:rPr>
              <w:t xml:space="preserve"> in</w:t>
            </w:r>
            <w:r w:rsidR="00EE2250">
              <w:rPr>
                <w:i/>
                <w:lang w:val="en-US"/>
              </w:rPr>
              <w:t xml:space="preserve"> year 1</w:t>
            </w:r>
            <w:r w:rsidR="008E475D">
              <w:rPr>
                <w:i/>
                <w:lang w:val="en-US"/>
              </w:rPr>
              <w:t xml:space="preserve"> utility for conservative management leads to </w:t>
            </w:r>
            <w:r w:rsidR="00F83867">
              <w:rPr>
                <w:i/>
                <w:lang w:val="en-US"/>
              </w:rPr>
              <w:t xml:space="preserve">an </w:t>
            </w:r>
            <w:r w:rsidRPr="00CE28E3">
              <w:rPr>
                <w:i/>
                <w:lang w:val="en-US"/>
              </w:rPr>
              <w:t xml:space="preserve">ICER </w:t>
            </w:r>
            <w:r w:rsidR="00F83867">
              <w:rPr>
                <w:i/>
                <w:lang w:val="en-US"/>
              </w:rPr>
              <w:t xml:space="preserve">of </w:t>
            </w:r>
            <w:r w:rsidR="00B967C7" w:rsidRPr="004A7094">
              <w:rPr>
                <w:iCs/>
                <w:lang w:val="en-US"/>
              </w:rPr>
              <w:t>$</w:t>
            </w:r>
            <w:r w:rsidR="007C7CC1" w:rsidRPr="00DF46A3">
              <w:rPr>
                <w:b/>
                <w:bCs/>
                <w:color w:val="000000" w:themeColor="text1"/>
              </w:rPr>
              <w:t>redacted</w:t>
            </w:r>
            <w:r w:rsidR="007C7CC1" w:rsidRPr="00CE28E3" w:rsidDel="007C7CC1">
              <w:rPr>
                <w:i/>
                <w:lang w:val="en-US"/>
              </w:rPr>
              <w:t xml:space="preserve"> </w:t>
            </w:r>
            <w:r w:rsidRPr="00CE28E3">
              <w:rPr>
                <w:i/>
                <w:lang w:val="en-US"/>
              </w:rPr>
              <w:t xml:space="preserve">/QALY </w:t>
            </w:r>
            <w:r w:rsidRPr="00F83867">
              <w:rPr>
                <w:i/>
                <w:lang w:val="en-US"/>
              </w:rPr>
              <w:t>gained.</w:t>
            </w:r>
            <w:r w:rsidRPr="00F83867">
              <w:rPr>
                <w:rFonts w:cs="Arial"/>
                <w:i/>
                <w:szCs w:val="20"/>
              </w:rPr>
              <w:t xml:space="preserve"> </w:t>
            </w:r>
            <w:r w:rsidR="00C46BC8" w:rsidRPr="00F83867">
              <w:rPr>
                <w:rFonts w:cs="Arial"/>
                <w:i/>
                <w:szCs w:val="20"/>
              </w:rPr>
              <w:t xml:space="preserve">If this 20% increase is applied to all years and </w:t>
            </w:r>
            <w:r w:rsidR="00E4472B" w:rsidRPr="00F83867">
              <w:rPr>
                <w:rFonts w:cs="Arial"/>
                <w:i/>
                <w:szCs w:val="20"/>
              </w:rPr>
              <w:t>the reverse total shoulder arthroplasty</w:t>
            </w:r>
            <w:r w:rsidR="00433263" w:rsidRPr="00F83867">
              <w:rPr>
                <w:rFonts w:cs="Arial"/>
                <w:i/>
                <w:szCs w:val="20"/>
              </w:rPr>
              <w:t xml:space="preserve"> health state</w:t>
            </w:r>
            <w:r w:rsidR="00C07808">
              <w:rPr>
                <w:rFonts w:cs="Arial"/>
                <w:i/>
                <w:szCs w:val="20"/>
              </w:rPr>
              <w:t>,</w:t>
            </w:r>
            <w:r w:rsidR="00433263" w:rsidRPr="00F83867">
              <w:rPr>
                <w:rFonts w:cs="Arial"/>
                <w:i/>
                <w:szCs w:val="20"/>
              </w:rPr>
              <w:t xml:space="preserve"> the ICER </w:t>
            </w:r>
            <w:r w:rsidR="0098066E" w:rsidRPr="00F83867">
              <w:rPr>
                <w:rFonts w:cs="Arial"/>
                <w:i/>
                <w:szCs w:val="20"/>
              </w:rPr>
              <w:t>increases</w:t>
            </w:r>
            <w:r w:rsidR="00433263" w:rsidRPr="00F83867">
              <w:rPr>
                <w:rFonts w:cs="Arial"/>
                <w:i/>
                <w:szCs w:val="20"/>
              </w:rPr>
              <w:t xml:space="preserve"> to </w:t>
            </w:r>
            <w:r w:rsidR="00B967C7">
              <w:rPr>
                <w:rFonts w:cs="Arial"/>
                <w:iCs/>
                <w:szCs w:val="20"/>
              </w:rPr>
              <w:t>$</w:t>
            </w:r>
            <w:r w:rsidR="007C7CC1" w:rsidRPr="00DF46A3">
              <w:rPr>
                <w:b/>
                <w:bCs/>
                <w:color w:val="000000" w:themeColor="text1"/>
              </w:rPr>
              <w:t>redacted</w:t>
            </w:r>
            <w:r w:rsidR="007C7CC1" w:rsidRPr="00F83867" w:rsidDel="007C7CC1">
              <w:rPr>
                <w:rFonts w:cs="Arial"/>
                <w:i/>
                <w:szCs w:val="20"/>
              </w:rPr>
              <w:t xml:space="preserve"> </w:t>
            </w:r>
            <w:r w:rsidR="00767600">
              <w:rPr>
                <w:rFonts w:cs="Arial"/>
                <w:i/>
                <w:szCs w:val="20"/>
              </w:rPr>
              <w:t>/QALY</w:t>
            </w:r>
          </w:p>
        </w:tc>
      </w:tr>
      <w:tr w:rsidR="001D101D" w:rsidRPr="00CE28E3" w14:paraId="2AFB6EE0" w14:textId="77777777">
        <w:tc>
          <w:tcPr>
            <w:tcW w:w="626" w:type="pct"/>
            <w:vAlign w:val="center"/>
          </w:tcPr>
          <w:p w14:paraId="66FD9669" w14:textId="03A21F6A" w:rsidR="001D101D" w:rsidRPr="00CE28E3" w:rsidRDefault="001D101D" w:rsidP="00865ECD">
            <w:pPr>
              <w:pStyle w:val="TableText"/>
              <w:keepNext/>
              <w:keepLines/>
              <w:jc w:val="center"/>
              <w:rPr>
                <w:lang w:val="en-US"/>
              </w:rPr>
            </w:pPr>
            <w:r w:rsidRPr="00B821D3">
              <w:t>Probabilit</w:t>
            </w:r>
            <w:r>
              <w:t>ies</w:t>
            </w:r>
          </w:p>
        </w:tc>
        <w:tc>
          <w:tcPr>
            <w:tcW w:w="2830" w:type="pct"/>
            <w:vAlign w:val="center"/>
          </w:tcPr>
          <w:p w14:paraId="2980315B" w14:textId="3B13209F" w:rsidR="001D101D" w:rsidRPr="00CE28E3" w:rsidRDefault="001D101D" w:rsidP="00865ECD">
            <w:pPr>
              <w:pStyle w:val="TableText"/>
              <w:keepNext/>
              <w:keepLines/>
              <w:rPr>
                <w:lang w:val="en-US"/>
              </w:rPr>
            </w:pPr>
            <w:r w:rsidRPr="00B821D3">
              <w:t xml:space="preserve">Percentage of patients with tear fails to heal in </w:t>
            </w:r>
            <w:r w:rsidR="00D221A8">
              <w:t>BCI</w:t>
            </w:r>
            <w:r w:rsidRPr="00B821D3">
              <w:t xml:space="preserve"> group was based on retear rates</w:t>
            </w:r>
          </w:p>
        </w:tc>
        <w:tc>
          <w:tcPr>
            <w:tcW w:w="1544" w:type="pct"/>
            <w:vAlign w:val="center"/>
          </w:tcPr>
          <w:p w14:paraId="2A897EB7" w14:textId="5C676A0A" w:rsidR="001D101D" w:rsidRPr="007416C8" w:rsidRDefault="00BC5714" w:rsidP="00865ECD">
            <w:pPr>
              <w:pStyle w:val="TableText"/>
              <w:keepNext/>
              <w:keepLines/>
              <w:rPr>
                <w:i/>
                <w:iCs/>
              </w:rPr>
            </w:pPr>
            <w:r w:rsidRPr="007416C8">
              <w:rPr>
                <w:i/>
                <w:iCs/>
              </w:rPr>
              <w:t>Moderate</w:t>
            </w:r>
            <w:r w:rsidR="001D101D" w:rsidRPr="007416C8">
              <w:rPr>
                <w:i/>
                <w:iCs/>
              </w:rPr>
              <w:t>, favours standard care</w:t>
            </w:r>
          </w:p>
          <w:p w14:paraId="35F24986" w14:textId="46502DA8" w:rsidR="001D101D" w:rsidRPr="007416C8" w:rsidRDefault="001D101D" w:rsidP="00865ECD">
            <w:pPr>
              <w:pStyle w:val="TableText"/>
              <w:keepNext/>
              <w:keepLines/>
              <w:jc w:val="center"/>
              <w:rPr>
                <w:i/>
                <w:iCs/>
                <w:lang w:val="en-US"/>
              </w:rPr>
            </w:pPr>
            <w:r w:rsidRPr="007416C8">
              <w:rPr>
                <w:i/>
                <w:iCs/>
              </w:rPr>
              <w:t xml:space="preserve">Use of </w:t>
            </w:r>
            <w:r w:rsidR="00BC5714" w:rsidRPr="007416C8">
              <w:rPr>
                <w:i/>
                <w:iCs/>
              </w:rPr>
              <w:t>1</w:t>
            </w:r>
            <w:r w:rsidR="00464C34" w:rsidRPr="007416C8">
              <w:rPr>
                <w:i/>
                <w:iCs/>
              </w:rPr>
              <w:t>4.8</w:t>
            </w:r>
            <w:r w:rsidRPr="007416C8">
              <w:rPr>
                <w:i/>
                <w:iCs/>
              </w:rPr>
              <w:t xml:space="preserve">% value for the </w:t>
            </w:r>
            <w:r w:rsidR="00D221A8">
              <w:rPr>
                <w:i/>
                <w:iCs/>
              </w:rPr>
              <w:t>BCI</w:t>
            </w:r>
            <w:r w:rsidRPr="007416C8">
              <w:rPr>
                <w:i/>
                <w:iCs/>
              </w:rPr>
              <w:t xml:space="preserve"> increases the ICER </w:t>
            </w:r>
            <w:r w:rsidR="00F7288A">
              <w:rPr>
                <w:i/>
                <w:iCs/>
              </w:rPr>
              <w:t xml:space="preserve">to </w:t>
            </w:r>
            <w:r w:rsidR="00B967C7">
              <w:t>$</w:t>
            </w:r>
            <w:r w:rsidR="007C7CC1" w:rsidRPr="00DF46A3">
              <w:rPr>
                <w:b/>
                <w:bCs/>
                <w:color w:val="000000" w:themeColor="text1"/>
              </w:rPr>
              <w:t>redacted</w:t>
            </w:r>
            <w:r w:rsidR="007C7CC1" w:rsidRPr="007416C8" w:rsidDel="007C7CC1">
              <w:rPr>
                <w:i/>
                <w:iCs/>
              </w:rPr>
              <w:t xml:space="preserve"> </w:t>
            </w:r>
            <w:r w:rsidRPr="007416C8">
              <w:rPr>
                <w:i/>
                <w:iCs/>
              </w:rPr>
              <w:t>/QALY gained</w:t>
            </w:r>
          </w:p>
        </w:tc>
      </w:tr>
      <w:tr w:rsidR="001D101D" w:rsidRPr="00CE28E3" w14:paraId="60F71D9A" w14:textId="77777777">
        <w:tc>
          <w:tcPr>
            <w:tcW w:w="626" w:type="pct"/>
            <w:vAlign w:val="center"/>
          </w:tcPr>
          <w:p w14:paraId="23F8973D" w14:textId="6A7BB900" w:rsidR="001D101D" w:rsidRDefault="001D101D" w:rsidP="00865ECD">
            <w:pPr>
              <w:pStyle w:val="TableText"/>
              <w:keepNext/>
              <w:keepLines/>
              <w:jc w:val="center"/>
              <w:rPr>
                <w:lang w:val="en-US"/>
              </w:rPr>
            </w:pPr>
            <w:r w:rsidRPr="00B821D3">
              <w:t>Probabilit</w:t>
            </w:r>
            <w:r>
              <w:t>ies</w:t>
            </w:r>
          </w:p>
        </w:tc>
        <w:tc>
          <w:tcPr>
            <w:tcW w:w="2830" w:type="pct"/>
            <w:vAlign w:val="center"/>
          </w:tcPr>
          <w:p w14:paraId="12CED255" w14:textId="2C896078" w:rsidR="001D101D" w:rsidRPr="00CE28E3" w:rsidRDefault="001D101D" w:rsidP="00865ECD">
            <w:pPr>
              <w:pStyle w:val="TableText"/>
              <w:keepNext/>
              <w:keepLines/>
              <w:rPr>
                <w:lang w:val="en-US"/>
              </w:rPr>
            </w:pPr>
            <w:r w:rsidRPr="00B821D3">
              <w:t>Percentage of patients with tear fails to heal in standard care group was based on retear rates</w:t>
            </w:r>
          </w:p>
        </w:tc>
        <w:tc>
          <w:tcPr>
            <w:tcW w:w="1544" w:type="pct"/>
            <w:vAlign w:val="center"/>
          </w:tcPr>
          <w:p w14:paraId="2D469597" w14:textId="7F3A3B5D" w:rsidR="001D101D" w:rsidRPr="007416C8" w:rsidRDefault="00BC5714" w:rsidP="00865ECD">
            <w:pPr>
              <w:pStyle w:val="TableText"/>
              <w:keepNext/>
              <w:keepLines/>
              <w:rPr>
                <w:i/>
                <w:iCs/>
              </w:rPr>
            </w:pPr>
            <w:r w:rsidRPr="007416C8">
              <w:rPr>
                <w:i/>
                <w:iCs/>
              </w:rPr>
              <w:t>Moderate</w:t>
            </w:r>
            <w:r w:rsidR="001D101D" w:rsidRPr="007416C8">
              <w:rPr>
                <w:i/>
                <w:iCs/>
              </w:rPr>
              <w:t xml:space="preserve">, favours </w:t>
            </w:r>
            <w:r w:rsidR="00D221A8">
              <w:rPr>
                <w:i/>
                <w:iCs/>
              </w:rPr>
              <w:t>BCI</w:t>
            </w:r>
          </w:p>
          <w:p w14:paraId="2367D22F" w14:textId="4A5FD820" w:rsidR="001D101D" w:rsidRPr="007416C8" w:rsidRDefault="001D101D" w:rsidP="00865ECD">
            <w:pPr>
              <w:pStyle w:val="TableText"/>
              <w:keepNext/>
              <w:keepLines/>
              <w:jc w:val="center"/>
              <w:rPr>
                <w:i/>
                <w:iCs/>
                <w:lang w:val="en-US"/>
              </w:rPr>
            </w:pPr>
            <w:r w:rsidRPr="007416C8">
              <w:rPr>
                <w:i/>
                <w:iCs/>
              </w:rPr>
              <w:t xml:space="preserve">Use of </w:t>
            </w:r>
            <w:r w:rsidR="00BC5714" w:rsidRPr="007416C8">
              <w:rPr>
                <w:i/>
                <w:iCs/>
              </w:rPr>
              <w:t>28.1</w:t>
            </w:r>
            <w:r w:rsidRPr="007416C8">
              <w:rPr>
                <w:i/>
                <w:iCs/>
              </w:rPr>
              <w:t xml:space="preserve">% lower value for the standard care increases the ICER to </w:t>
            </w:r>
            <w:r w:rsidR="00B967C7" w:rsidRPr="004A7094">
              <w:t>$</w:t>
            </w:r>
            <w:r w:rsidR="007C7CC1" w:rsidRPr="00DF46A3">
              <w:rPr>
                <w:b/>
                <w:bCs/>
                <w:color w:val="000000" w:themeColor="text1"/>
              </w:rPr>
              <w:t>redacted</w:t>
            </w:r>
            <w:r w:rsidR="007C7CC1" w:rsidRPr="007416C8" w:rsidDel="007C7CC1">
              <w:rPr>
                <w:i/>
                <w:iCs/>
              </w:rPr>
              <w:t xml:space="preserve"> </w:t>
            </w:r>
            <w:r w:rsidRPr="007416C8">
              <w:rPr>
                <w:i/>
                <w:iCs/>
              </w:rPr>
              <w:t>/QALY gained</w:t>
            </w:r>
          </w:p>
        </w:tc>
      </w:tr>
    </w:tbl>
    <w:p w14:paraId="56B372CD" w14:textId="3A559A20" w:rsidR="0045093D" w:rsidRPr="00CE28E3" w:rsidRDefault="007416C8" w:rsidP="00865ECD">
      <w:pPr>
        <w:pStyle w:val="TableFigureFooter"/>
        <w:keepNext/>
        <w:keepLines/>
      </w:pPr>
      <w:bookmarkStart w:id="49" w:name="_Hlk68276635"/>
      <w:bookmarkEnd w:id="48"/>
      <w:r>
        <w:t xml:space="preserve">Abbreviations: </w:t>
      </w:r>
      <w:r w:rsidR="00D221A8">
        <w:t>BCI</w:t>
      </w:r>
      <w:r>
        <w:t xml:space="preserve"> = </w:t>
      </w:r>
      <w:proofErr w:type="spellStart"/>
      <w:r w:rsidR="00611C7A">
        <w:t>bioinductive</w:t>
      </w:r>
      <w:proofErr w:type="spellEnd"/>
      <w:r w:rsidR="00611C7A">
        <w:t xml:space="preserve"> collagen implant</w:t>
      </w:r>
      <w:r w:rsidR="00B10829">
        <w:t xml:space="preserve">; </w:t>
      </w:r>
      <w:r w:rsidR="00B10829" w:rsidRPr="00A55578">
        <w:t>CMS = Constant Murley Score;</w:t>
      </w:r>
      <w:r w:rsidR="00B10829">
        <w:t xml:space="preserve"> </w:t>
      </w:r>
      <w:r w:rsidR="0045093D" w:rsidRPr="00CE28E3">
        <w:t xml:space="preserve">ICER = incremental cost-effectiveness ratio; </w:t>
      </w:r>
      <w:r w:rsidRPr="005F44A9">
        <w:t xml:space="preserve">MCID </w:t>
      </w:r>
      <w:r>
        <w:t>= minimal clinical important difference;</w:t>
      </w:r>
      <w:r w:rsidRPr="00CE28E3">
        <w:t xml:space="preserve"> </w:t>
      </w:r>
      <w:r w:rsidR="0045093D" w:rsidRPr="00CE28E3">
        <w:t>QALY = quality-adjusted life year</w:t>
      </w:r>
      <w:r w:rsidR="0045093D">
        <w:t>.</w:t>
      </w:r>
      <w:r w:rsidR="0045093D" w:rsidRPr="00CE28E3">
        <w:t xml:space="preserve"> </w:t>
      </w:r>
    </w:p>
    <w:bookmarkEnd w:id="49"/>
    <w:p w14:paraId="56EB7C23" w14:textId="2AC58CD1" w:rsidR="00610ABA" w:rsidRDefault="008B5B67" w:rsidP="00767600">
      <w:r w:rsidRPr="00CE28E3">
        <w:t xml:space="preserve">The results </w:t>
      </w:r>
      <w:r w:rsidRPr="00B10829">
        <w:t xml:space="preserve">of key </w:t>
      </w:r>
      <w:r w:rsidRPr="00B10829">
        <w:rPr>
          <w:rStyle w:val="InstructionaltextChar"/>
          <w:color w:val="auto"/>
        </w:rPr>
        <w:t>univariate</w:t>
      </w:r>
      <w:r w:rsidR="00B10829" w:rsidRPr="00B10829">
        <w:rPr>
          <w:rStyle w:val="InstructionaltextChar"/>
          <w:color w:val="auto"/>
        </w:rPr>
        <w:t xml:space="preserve"> and </w:t>
      </w:r>
      <w:r w:rsidRPr="00B10829">
        <w:rPr>
          <w:rStyle w:val="InstructionaltextChar"/>
          <w:color w:val="auto"/>
        </w:rPr>
        <w:t>multivariate</w:t>
      </w:r>
      <w:r w:rsidRPr="00B10829">
        <w:rPr>
          <w:color w:val="538135" w:themeColor="accent6" w:themeShade="BF"/>
        </w:rPr>
        <w:t xml:space="preserve"> </w:t>
      </w:r>
      <w:r w:rsidRPr="00B10829">
        <w:t>sensitivity</w:t>
      </w:r>
      <w:r w:rsidRPr="00CE28E3">
        <w:t xml:space="preserve"> analyses are summarised below</w:t>
      </w:r>
      <w:r w:rsidR="00874FE9">
        <w:t xml:space="preserve"> (</w:t>
      </w:r>
      <w:r w:rsidR="00874FE9">
        <w:fldChar w:fldCharType="begin"/>
      </w:r>
      <w:r w:rsidR="00874FE9">
        <w:instrText xml:space="preserve"> REF _Ref195094761 \h </w:instrText>
      </w:r>
      <w:r w:rsidR="00874FE9">
        <w:fldChar w:fldCharType="separate"/>
      </w:r>
      <w:r w:rsidR="002D4CF2">
        <w:t>Table</w:t>
      </w:r>
      <w:r w:rsidR="0062012F">
        <w:t> </w:t>
      </w:r>
      <w:r w:rsidR="002D4CF2">
        <w:rPr>
          <w:noProof/>
        </w:rPr>
        <w:t>1</w:t>
      </w:r>
      <w:r w:rsidR="007672DB">
        <w:rPr>
          <w:noProof/>
        </w:rPr>
        <w:t>4</w:t>
      </w:r>
      <w:r w:rsidR="00874FE9">
        <w:fldChar w:fldCharType="end"/>
      </w:r>
      <w:r w:rsidR="00874FE9">
        <w:t>)</w:t>
      </w:r>
      <w:r w:rsidRPr="00CE28E3">
        <w:t xml:space="preserve">. </w:t>
      </w:r>
      <w:r w:rsidR="00203A68" w:rsidRPr="00203A68">
        <w:t xml:space="preserve">During the </w:t>
      </w:r>
      <w:r w:rsidR="006C34D4">
        <w:t xml:space="preserve">commentary </w:t>
      </w:r>
      <w:r w:rsidR="00203A68" w:rsidRPr="00203A68">
        <w:t xml:space="preserve">evaluation, an additional sensitivity analysis was conducted to assess the impact of using </w:t>
      </w:r>
      <w:r w:rsidR="006C09E8">
        <w:t xml:space="preserve">higher </w:t>
      </w:r>
      <w:r w:rsidR="00203A68" w:rsidRPr="00203A68">
        <w:t xml:space="preserve">utility values </w:t>
      </w:r>
      <w:r w:rsidR="006C09E8">
        <w:t>for all post tear health states</w:t>
      </w:r>
      <w:r w:rsidR="006C2D10">
        <w:t xml:space="preserve">. </w:t>
      </w:r>
      <w:r w:rsidR="00CA4889">
        <w:t>This was conducted</w:t>
      </w:r>
      <w:r w:rsidR="00520CC1">
        <w:t xml:space="preserve"> </w:t>
      </w:r>
      <w:r w:rsidR="006C09E8">
        <w:t xml:space="preserve">due to the considerable uncertainty in the extrapolation of </w:t>
      </w:r>
      <w:r w:rsidR="00F85905">
        <w:t>health</w:t>
      </w:r>
      <w:r w:rsidR="006C09E8">
        <w:t xml:space="preserve"> states from </w:t>
      </w:r>
      <w:r w:rsidR="00203A68" w:rsidRPr="00203A68">
        <w:t xml:space="preserve">the Ruiz </w:t>
      </w:r>
      <w:proofErr w:type="spellStart"/>
      <w:r w:rsidR="007F47D3" w:rsidRPr="00BB05DE">
        <w:t>Ibán</w:t>
      </w:r>
      <w:proofErr w:type="spellEnd"/>
      <w:r w:rsidR="00203A68" w:rsidRPr="00203A68">
        <w:t xml:space="preserve"> et al., 2023 trial </w:t>
      </w:r>
      <w:r w:rsidR="006C09E8">
        <w:t xml:space="preserve">to the </w:t>
      </w:r>
      <w:r w:rsidR="00E26D0E">
        <w:t xml:space="preserve">economic model. </w:t>
      </w:r>
      <w:r w:rsidR="003C4A64">
        <w:t>A 20% increase was tested in the sensitivity analysis</w:t>
      </w:r>
      <w:r w:rsidR="009C6654">
        <w:t>. While</w:t>
      </w:r>
      <w:r w:rsidR="003C4A64">
        <w:t xml:space="preserve"> it </w:t>
      </w:r>
      <w:r w:rsidR="001D5FA8">
        <w:t>was</w:t>
      </w:r>
      <w:r w:rsidR="00AE1D17">
        <w:t xml:space="preserve"> </w:t>
      </w:r>
      <w:r w:rsidR="003C4A64">
        <w:t xml:space="preserve">unclear whether this can be achieved in clinical practice, it </w:t>
      </w:r>
      <w:r w:rsidR="000316B9">
        <w:t>demonstrates</w:t>
      </w:r>
      <w:r w:rsidR="00A34812">
        <w:t xml:space="preserve"> the sensitivity of the model to utility </w:t>
      </w:r>
      <w:r w:rsidR="00767600">
        <w:t xml:space="preserve">inputs. </w:t>
      </w:r>
      <w:r w:rsidR="00203A68" w:rsidRPr="00203A68">
        <w:t>Applying the</w:t>
      </w:r>
      <w:r w:rsidR="00767600">
        <w:t>se</w:t>
      </w:r>
      <w:r w:rsidR="00203A68" w:rsidRPr="00203A68">
        <w:t xml:space="preserve"> utility values </w:t>
      </w:r>
      <w:r w:rsidR="00767600">
        <w:t>to the model</w:t>
      </w:r>
      <w:r w:rsidR="00203A68" w:rsidRPr="00203A68">
        <w:t xml:space="preserve"> increased the ICER to </w:t>
      </w:r>
      <w:r w:rsidR="0067698F">
        <w:t>$</w:t>
      </w:r>
      <w:r w:rsidR="007C7CC1" w:rsidRPr="00DF46A3">
        <w:rPr>
          <w:b/>
          <w:bCs/>
          <w:color w:val="000000" w:themeColor="text1"/>
        </w:rPr>
        <w:t>redacted</w:t>
      </w:r>
      <w:r w:rsidR="007C7CC1" w:rsidRPr="00767600" w:rsidDel="007C7CC1">
        <w:t xml:space="preserve"> </w:t>
      </w:r>
      <w:r w:rsidR="00767600" w:rsidRPr="00767600">
        <w:t>/QALY</w:t>
      </w:r>
      <w:r w:rsidR="00203A68" w:rsidRPr="00203A68">
        <w:t xml:space="preserve">. </w:t>
      </w:r>
    </w:p>
    <w:p w14:paraId="693ACB2A" w14:textId="32F5264D" w:rsidR="00874FE9" w:rsidRDefault="00874FE9" w:rsidP="00865ECD">
      <w:pPr>
        <w:pStyle w:val="Caption"/>
        <w:keepLines/>
      </w:pPr>
      <w:bookmarkStart w:id="50" w:name="_Ref195094761"/>
      <w:r>
        <w:lastRenderedPageBreak/>
        <w:t xml:space="preserve">Table </w:t>
      </w:r>
      <w:r w:rsidR="004B28A6">
        <w:fldChar w:fldCharType="begin"/>
      </w:r>
      <w:r w:rsidR="004B28A6">
        <w:instrText xml:space="preserve"> SEQ Table \* ARABIC </w:instrText>
      </w:r>
      <w:r w:rsidR="004B28A6">
        <w:fldChar w:fldCharType="separate"/>
      </w:r>
      <w:r w:rsidR="00564C3F">
        <w:rPr>
          <w:noProof/>
        </w:rPr>
        <w:t>14</w:t>
      </w:r>
      <w:r w:rsidR="004B28A6">
        <w:rPr>
          <w:noProof/>
        </w:rPr>
        <w:fldChar w:fldCharType="end"/>
      </w:r>
      <w:bookmarkEnd w:id="50"/>
      <w:r>
        <w:t xml:space="preserve"> </w:t>
      </w:r>
      <w:r w:rsidRPr="006B0F64">
        <w:t xml:space="preserve">Sensitivity analyses for </w:t>
      </w:r>
      <w:r w:rsidR="00B14FC7">
        <w:t>BCI</w:t>
      </w:r>
      <w:r w:rsidR="00611C7A">
        <w:t xml:space="preserve">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64"/>
        <w:gridCol w:w="994"/>
        <w:gridCol w:w="1141"/>
        <w:gridCol w:w="1466"/>
        <w:gridCol w:w="1532"/>
        <w:gridCol w:w="1448"/>
      </w:tblGrid>
      <w:tr w:rsidR="00CB7D15" w:rsidRPr="00CB7D15" w14:paraId="35CE72CA" w14:textId="77777777" w:rsidTr="00572728">
        <w:trPr>
          <w:trHeight w:val="440"/>
        </w:trPr>
        <w:tc>
          <w:tcPr>
            <w:tcW w:w="1271" w:type="dxa"/>
            <w:shd w:val="clear" w:color="auto" w:fill="F2F2F2" w:themeFill="background1" w:themeFillShade="F2"/>
            <w:vAlign w:val="center"/>
            <w:hideMark/>
          </w:tcPr>
          <w:p w14:paraId="551CDA2E" w14:textId="77777777" w:rsidR="00657F6A" w:rsidRPr="00381655" w:rsidRDefault="00657F6A" w:rsidP="00865ECD">
            <w:pPr>
              <w:keepNext/>
              <w:keepLines/>
              <w:spacing w:after="0" w:line="240" w:lineRule="auto"/>
              <w:rPr>
                <w:rFonts w:ascii="Arial Narrow" w:eastAsia="Times New Roman" w:hAnsi="Arial Narrow" w:cs="Calibri"/>
                <w:b/>
                <w:bCs/>
                <w:color w:val="000000"/>
                <w:sz w:val="20"/>
                <w:szCs w:val="20"/>
              </w:rPr>
            </w:pPr>
            <w:r w:rsidRPr="00381655">
              <w:rPr>
                <w:rFonts w:ascii="Arial Narrow" w:eastAsia="Times New Roman" w:hAnsi="Arial Narrow" w:cs="Calibri"/>
                <w:b/>
                <w:bCs/>
                <w:color w:val="000000"/>
                <w:sz w:val="20"/>
                <w:szCs w:val="20"/>
              </w:rPr>
              <w:t>Variable or assumption</w:t>
            </w:r>
          </w:p>
        </w:tc>
        <w:tc>
          <w:tcPr>
            <w:tcW w:w="1164" w:type="dxa"/>
            <w:shd w:val="clear" w:color="auto" w:fill="F2F2F2" w:themeFill="background1" w:themeFillShade="F2"/>
            <w:vAlign w:val="center"/>
            <w:hideMark/>
          </w:tcPr>
          <w:p w14:paraId="4EEB0920" w14:textId="77777777" w:rsidR="00657F6A" w:rsidRPr="00381655" w:rsidRDefault="00657F6A" w:rsidP="00865ECD">
            <w:pPr>
              <w:keepNext/>
              <w:keepLines/>
              <w:spacing w:after="0" w:line="240" w:lineRule="auto"/>
              <w:jc w:val="center"/>
              <w:rPr>
                <w:rFonts w:ascii="Arial Narrow" w:eastAsia="Times New Roman" w:hAnsi="Arial Narrow" w:cs="Calibri"/>
                <w:b/>
                <w:bCs/>
                <w:color w:val="000000"/>
                <w:sz w:val="20"/>
                <w:szCs w:val="20"/>
              </w:rPr>
            </w:pPr>
            <w:r w:rsidRPr="00381655">
              <w:rPr>
                <w:rFonts w:ascii="Arial Narrow" w:eastAsia="Times New Roman" w:hAnsi="Arial Narrow" w:cs="Calibri"/>
                <w:b/>
                <w:bCs/>
                <w:color w:val="000000"/>
                <w:sz w:val="20"/>
                <w:szCs w:val="20"/>
              </w:rPr>
              <w:t>Base case value</w:t>
            </w:r>
          </w:p>
        </w:tc>
        <w:tc>
          <w:tcPr>
            <w:tcW w:w="2135" w:type="dxa"/>
            <w:gridSpan w:val="2"/>
            <w:shd w:val="clear" w:color="auto" w:fill="F2F2F2" w:themeFill="background1" w:themeFillShade="F2"/>
            <w:vAlign w:val="center"/>
            <w:hideMark/>
          </w:tcPr>
          <w:p w14:paraId="29C9F87A" w14:textId="77777777" w:rsidR="00657F6A" w:rsidRPr="00381655" w:rsidRDefault="00657F6A" w:rsidP="00865ECD">
            <w:pPr>
              <w:keepNext/>
              <w:keepLines/>
              <w:spacing w:after="0" w:line="240" w:lineRule="auto"/>
              <w:jc w:val="center"/>
              <w:rPr>
                <w:rFonts w:ascii="Arial Narrow" w:eastAsia="Times New Roman" w:hAnsi="Arial Narrow" w:cs="Calibri"/>
                <w:b/>
                <w:bCs/>
                <w:color w:val="000000"/>
                <w:sz w:val="20"/>
                <w:szCs w:val="20"/>
              </w:rPr>
            </w:pPr>
            <w:r w:rsidRPr="00381655">
              <w:rPr>
                <w:rFonts w:ascii="Arial Narrow" w:eastAsia="Times New Roman" w:hAnsi="Arial Narrow" w:cs="Calibri"/>
                <w:b/>
                <w:bCs/>
                <w:color w:val="000000"/>
                <w:sz w:val="20"/>
                <w:szCs w:val="20"/>
              </w:rPr>
              <w:t>Plausible alternative(s) or range of values</w:t>
            </w:r>
          </w:p>
        </w:tc>
        <w:tc>
          <w:tcPr>
            <w:tcW w:w="1466" w:type="dxa"/>
            <w:shd w:val="clear" w:color="auto" w:fill="F2F2F2" w:themeFill="background1" w:themeFillShade="F2"/>
            <w:vAlign w:val="center"/>
            <w:hideMark/>
          </w:tcPr>
          <w:p w14:paraId="055FECDB" w14:textId="77777777" w:rsidR="00657F6A" w:rsidRPr="00381655" w:rsidRDefault="00657F6A" w:rsidP="00865ECD">
            <w:pPr>
              <w:keepNext/>
              <w:keepLines/>
              <w:spacing w:after="0" w:line="240" w:lineRule="auto"/>
              <w:jc w:val="center"/>
              <w:rPr>
                <w:rFonts w:ascii="Arial Narrow" w:eastAsia="Times New Roman" w:hAnsi="Arial Narrow" w:cs="Calibri"/>
                <w:b/>
                <w:bCs/>
                <w:color w:val="000000"/>
                <w:sz w:val="20"/>
                <w:szCs w:val="20"/>
              </w:rPr>
            </w:pPr>
            <w:r w:rsidRPr="00381655">
              <w:rPr>
                <w:rFonts w:ascii="Arial Narrow" w:eastAsia="Times New Roman" w:hAnsi="Arial Narrow" w:cs="Calibri"/>
                <w:b/>
                <w:bCs/>
                <w:color w:val="000000"/>
                <w:sz w:val="20"/>
                <w:szCs w:val="20"/>
              </w:rPr>
              <w:t>Cost per QALY</w:t>
            </w:r>
          </w:p>
        </w:tc>
        <w:tc>
          <w:tcPr>
            <w:tcW w:w="1532" w:type="dxa"/>
            <w:shd w:val="clear" w:color="auto" w:fill="F2F2F2" w:themeFill="background1" w:themeFillShade="F2"/>
            <w:vAlign w:val="center"/>
            <w:hideMark/>
          </w:tcPr>
          <w:p w14:paraId="4C0E48AD" w14:textId="77777777" w:rsidR="00657F6A" w:rsidRPr="00381655" w:rsidRDefault="00657F6A" w:rsidP="00865ECD">
            <w:pPr>
              <w:keepNext/>
              <w:keepLines/>
              <w:spacing w:after="0" w:line="240" w:lineRule="auto"/>
              <w:jc w:val="center"/>
              <w:rPr>
                <w:rFonts w:ascii="Arial Narrow" w:eastAsia="Times New Roman" w:hAnsi="Arial Narrow" w:cs="Calibri"/>
                <w:b/>
                <w:bCs/>
                <w:color w:val="000000"/>
                <w:sz w:val="20"/>
                <w:szCs w:val="20"/>
              </w:rPr>
            </w:pPr>
            <w:r w:rsidRPr="00381655">
              <w:rPr>
                <w:rFonts w:ascii="Arial Narrow" w:eastAsia="Times New Roman" w:hAnsi="Arial Narrow" w:cs="Calibri"/>
                <w:b/>
                <w:bCs/>
                <w:color w:val="000000"/>
                <w:sz w:val="20"/>
                <w:szCs w:val="20"/>
              </w:rPr>
              <w:t>Cost per healed tear</w:t>
            </w:r>
          </w:p>
        </w:tc>
        <w:tc>
          <w:tcPr>
            <w:tcW w:w="1448" w:type="dxa"/>
            <w:shd w:val="clear" w:color="auto" w:fill="F2F2F2" w:themeFill="background1" w:themeFillShade="F2"/>
            <w:vAlign w:val="center"/>
            <w:hideMark/>
          </w:tcPr>
          <w:p w14:paraId="5B06FAC0" w14:textId="77777777" w:rsidR="00657F6A" w:rsidRPr="00381655" w:rsidRDefault="00657F6A" w:rsidP="00865ECD">
            <w:pPr>
              <w:keepNext/>
              <w:keepLines/>
              <w:spacing w:after="0" w:line="240" w:lineRule="auto"/>
              <w:jc w:val="center"/>
              <w:rPr>
                <w:rFonts w:ascii="Arial Narrow" w:eastAsia="Times New Roman" w:hAnsi="Arial Narrow" w:cs="Calibri"/>
                <w:b/>
                <w:bCs/>
                <w:color w:val="000000"/>
                <w:sz w:val="20"/>
                <w:szCs w:val="20"/>
              </w:rPr>
            </w:pPr>
            <w:r w:rsidRPr="00381655">
              <w:rPr>
                <w:rFonts w:ascii="Arial Narrow" w:eastAsia="Times New Roman" w:hAnsi="Arial Narrow" w:cs="Calibri"/>
                <w:b/>
                <w:bCs/>
                <w:color w:val="000000"/>
                <w:sz w:val="20"/>
                <w:szCs w:val="20"/>
              </w:rPr>
              <w:t>Cost per MCID</w:t>
            </w:r>
          </w:p>
        </w:tc>
      </w:tr>
      <w:tr w:rsidR="00407DBD" w:rsidRPr="00381655" w14:paraId="247D1854" w14:textId="77777777" w:rsidTr="00572728">
        <w:trPr>
          <w:trHeight w:val="265"/>
        </w:trPr>
        <w:tc>
          <w:tcPr>
            <w:tcW w:w="1271" w:type="dxa"/>
            <w:vAlign w:val="center"/>
            <w:hideMark/>
          </w:tcPr>
          <w:p w14:paraId="4C167D75" w14:textId="77777777" w:rsidR="00016251" w:rsidRPr="00381655" w:rsidRDefault="00016251" w:rsidP="00016251">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Base case</w:t>
            </w:r>
          </w:p>
        </w:tc>
        <w:tc>
          <w:tcPr>
            <w:tcW w:w="1164" w:type="dxa"/>
            <w:noWrap/>
            <w:vAlign w:val="center"/>
            <w:hideMark/>
          </w:tcPr>
          <w:p w14:paraId="15D7D5B0" w14:textId="77777777" w:rsidR="00016251" w:rsidRPr="00381655" w:rsidRDefault="00016251" w:rsidP="00016251">
            <w:pPr>
              <w:keepNext/>
              <w:keepLines/>
              <w:spacing w:after="0" w:line="240" w:lineRule="auto"/>
              <w:jc w:val="center"/>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 </w:t>
            </w:r>
          </w:p>
        </w:tc>
        <w:tc>
          <w:tcPr>
            <w:tcW w:w="994" w:type="dxa"/>
            <w:noWrap/>
            <w:vAlign w:val="center"/>
            <w:hideMark/>
          </w:tcPr>
          <w:p w14:paraId="142D6ECC" w14:textId="77777777" w:rsidR="00016251" w:rsidRPr="00381655" w:rsidRDefault="00016251" w:rsidP="00016251">
            <w:pPr>
              <w:keepNext/>
              <w:keepLines/>
              <w:spacing w:after="0" w:line="240" w:lineRule="auto"/>
              <w:jc w:val="center"/>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 </w:t>
            </w:r>
          </w:p>
        </w:tc>
        <w:tc>
          <w:tcPr>
            <w:tcW w:w="1141" w:type="dxa"/>
            <w:noWrap/>
            <w:vAlign w:val="center"/>
            <w:hideMark/>
          </w:tcPr>
          <w:p w14:paraId="2E0041E1" w14:textId="77777777" w:rsidR="00016251" w:rsidRPr="00381655" w:rsidRDefault="00016251" w:rsidP="00016251">
            <w:pPr>
              <w:keepNext/>
              <w:keepLines/>
              <w:spacing w:after="0" w:line="240" w:lineRule="auto"/>
              <w:jc w:val="center"/>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 </w:t>
            </w:r>
          </w:p>
        </w:tc>
        <w:tc>
          <w:tcPr>
            <w:tcW w:w="1466" w:type="dxa"/>
            <w:noWrap/>
            <w:hideMark/>
          </w:tcPr>
          <w:p w14:paraId="4104F928" w14:textId="0CEBEDEA" w:rsidR="00016251" w:rsidRPr="00381655" w:rsidRDefault="0067698F" w:rsidP="00016251">
            <w:pPr>
              <w:keepNext/>
              <w:keepLines/>
              <w:spacing w:after="0" w:line="240" w:lineRule="auto"/>
              <w:jc w:val="right"/>
              <w:rPr>
                <w:rFonts w:ascii="Arial Narrow" w:eastAsia="Times New Roman" w:hAnsi="Arial Narrow" w:cs="Calibri"/>
                <w:b/>
                <w:bCs/>
                <w:color w:val="000000"/>
                <w:sz w:val="20"/>
                <w:szCs w:val="20"/>
              </w:rPr>
            </w:pPr>
            <w:r w:rsidRPr="004A7094">
              <w:rPr>
                <w:rFonts w:ascii="Arial Narrow" w:hAnsi="Arial Narrow"/>
                <w:b/>
                <w:bCs/>
                <w:color w:val="000000" w:themeColor="text1"/>
              </w:rPr>
              <w:t>$</w:t>
            </w:r>
            <w:r w:rsidR="00016251" w:rsidRPr="004A7094">
              <w:rPr>
                <w:rFonts w:ascii="Arial Narrow" w:hAnsi="Arial Narrow"/>
                <w:b/>
                <w:bCs/>
                <w:color w:val="000000" w:themeColor="text1"/>
              </w:rPr>
              <w:t>redacted</w:t>
            </w:r>
          </w:p>
        </w:tc>
        <w:tc>
          <w:tcPr>
            <w:tcW w:w="1532" w:type="dxa"/>
            <w:noWrap/>
            <w:hideMark/>
          </w:tcPr>
          <w:p w14:paraId="76D73B03" w14:textId="307BAE2F" w:rsidR="00016251" w:rsidRPr="00381655" w:rsidRDefault="0067698F" w:rsidP="00016251">
            <w:pPr>
              <w:keepNext/>
              <w:keepLines/>
              <w:spacing w:after="0" w:line="240" w:lineRule="auto"/>
              <w:jc w:val="right"/>
              <w:rPr>
                <w:rFonts w:ascii="Arial Narrow" w:eastAsia="Times New Roman" w:hAnsi="Arial Narrow" w:cs="Calibri"/>
                <w:b/>
                <w:bCs/>
                <w:color w:val="000000"/>
                <w:sz w:val="20"/>
                <w:szCs w:val="20"/>
              </w:rPr>
            </w:pPr>
            <w:r w:rsidRPr="004A7094">
              <w:rPr>
                <w:rFonts w:ascii="Arial Narrow" w:hAnsi="Arial Narrow"/>
                <w:b/>
                <w:bCs/>
                <w:color w:val="000000" w:themeColor="text1"/>
              </w:rPr>
              <w:t>$</w:t>
            </w:r>
            <w:r w:rsidR="00016251" w:rsidRPr="004A7094">
              <w:rPr>
                <w:rFonts w:ascii="Arial Narrow" w:hAnsi="Arial Narrow"/>
                <w:b/>
                <w:bCs/>
                <w:color w:val="000000" w:themeColor="text1"/>
              </w:rPr>
              <w:t>redacted</w:t>
            </w:r>
          </w:p>
        </w:tc>
        <w:tc>
          <w:tcPr>
            <w:tcW w:w="1448" w:type="dxa"/>
            <w:noWrap/>
            <w:hideMark/>
          </w:tcPr>
          <w:p w14:paraId="39FFC6DE" w14:textId="24755A79" w:rsidR="00016251" w:rsidRPr="00381655" w:rsidRDefault="0067698F" w:rsidP="00016251">
            <w:pPr>
              <w:keepNext/>
              <w:keepLines/>
              <w:spacing w:after="0" w:line="240" w:lineRule="auto"/>
              <w:jc w:val="right"/>
              <w:rPr>
                <w:rFonts w:ascii="Arial Narrow" w:eastAsia="Times New Roman" w:hAnsi="Arial Narrow" w:cs="Calibri"/>
                <w:b/>
                <w:bCs/>
                <w:color w:val="000000"/>
                <w:sz w:val="20"/>
                <w:szCs w:val="20"/>
              </w:rPr>
            </w:pPr>
            <w:r w:rsidRPr="004A7094">
              <w:rPr>
                <w:rFonts w:ascii="Arial Narrow" w:hAnsi="Arial Narrow"/>
                <w:b/>
                <w:bCs/>
                <w:color w:val="000000" w:themeColor="text1"/>
              </w:rPr>
              <w:t>$</w:t>
            </w:r>
            <w:r w:rsidR="00016251" w:rsidRPr="004A7094">
              <w:rPr>
                <w:rFonts w:ascii="Arial Narrow" w:hAnsi="Arial Narrow"/>
                <w:b/>
                <w:bCs/>
                <w:color w:val="000000" w:themeColor="text1"/>
              </w:rPr>
              <w:t>redacted</w:t>
            </w:r>
          </w:p>
        </w:tc>
      </w:tr>
      <w:tr w:rsidR="00407DBD" w:rsidRPr="00381655" w14:paraId="3588C70D" w14:textId="77777777" w:rsidTr="00572728">
        <w:trPr>
          <w:trHeight w:val="254"/>
        </w:trPr>
        <w:tc>
          <w:tcPr>
            <w:tcW w:w="1271" w:type="dxa"/>
            <w:vMerge w:val="restart"/>
            <w:vAlign w:val="center"/>
            <w:hideMark/>
          </w:tcPr>
          <w:p w14:paraId="2E619688" w14:textId="36628857" w:rsidR="00016251" w:rsidRPr="00381655" w:rsidRDefault="00016251" w:rsidP="00016251">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Health state: tear fails to heal (BCI)</w:t>
            </w:r>
          </w:p>
        </w:tc>
        <w:tc>
          <w:tcPr>
            <w:tcW w:w="1164" w:type="dxa"/>
            <w:vMerge w:val="restart"/>
            <w:noWrap/>
            <w:vAlign w:val="center"/>
            <w:hideMark/>
          </w:tcPr>
          <w:p w14:paraId="52D3A5B0" w14:textId="77777777" w:rsidR="00016251" w:rsidRPr="00381655" w:rsidRDefault="00016251" w:rsidP="00016251">
            <w:pPr>
              <w:keepNext/>
              <w:keepLines/>
              <w:spacing w:after="0" w:line="240" w:lineRule="auto"/>
              <w:jc w:val="center"/>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12.3%</w:t>
            </w:r>
          </w:p>
          <w:p w14:paraId="70D8B293" w14:textId="1C8825FC" w:rsidR="00016251" w:rsidRPr="00381655" w:rsidRDefault="00016251" w:rsidP="00016251">
            <w:pPr>
              <w:keepNext/>
              <w:keepLines/>
              <w:spacing w:after="0" w:line="240" w:lineRule="auto"/>
              <w:jc w:val="center"/>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 </w:t>
            </w:r>
          </w:p>
        </w:tc>
        <w:tc>
          <w:tcPr>
            <w:tcW w:w="994" w:type="dxa"/>
            <w:noWrap/>
            <w:vAlign w:val="center"/>
            <w:hideMark/>
          </w:tcPr>
          <w:p w14:paraId="4447A312" w14:textId="77777777" w:rsidR="00016251" w:rsidRPr="00381655" w:rsidRDefault="00016251" w:rsidP="00016251">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20% increase:</w:t>
            </w:r>
          </w:p>
        </w:tc>
        <w:tc>
          <w:tcPr>
            <w:tcW w:w="1141" w:type="dxa"/>
            <w:noWrap/>
            <w:vAlign w:val="center"/>
            <w:hideMark/>
          </w:tcPr>
          <w:p w14:paraId="0B47B226" w14:textId="77777777" w:rsidR="00016251" w:rsidRPr="00381655" w:rsidRDefault="00016251" w:rsidP="00016251">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14.8%</w:t>
            </w:r>
          </w:p>
        </w:tc>
        <w:tc>
          <w:tcPr>
            <w:tcW w:w="1466" w:type="dxa"/>
            <w:noWrap/>
            <w:hideMark/>
          </w:tcPr>
          <w:p w14:paraId="75A55904" w14:textId="2F2BE672"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016251" w:rsidRPr="004A7094">
              <w:rPr>
                <w:rFonts w:ascii="Arial Narrow" w:hAnsi="Arial Narrow"/>
                <w:b/>
                <w:bCs/>
                <w:color w:val="000000" w:themeColor="text1"/>
              </w:rPr>
              <w:t>redacted</w:t>
            </w:r>
          </w:p>
        </w:tc>
        <w:tc>
          <w:tcPr>
            <w:tcW w:w="1532" w:type="dxa"/>
            <w:noWrap/>
            <w:hideMark/>
          </w:tcPr>
          <w:p w14:paraId="6354F552" w14:textId="423465BA"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016251" w:rsidRPr="004A7094">
              <w:rPr>
                <w:rFonts w:ascii="Arial Narrow" w:hAnsi="Arial Narrow"/>
                <w:b/>
                <w:bCs/>
                <w:color w:val="000000" w:themeColor="text1"/>
              </w:rPr>
              <w:t>redacted</w:t>
            </w:r>
          </w:p>
        </w:tc>
        <w:tc>
          <w:tcPr>
            <w:tcW w:w="1448" w:type="dxa"/>
            <w:noWrap/>
            <w:hideMark/>
          </w:tcPr>
          <w:p w14:paraId="4D544931" w14:textId="6F2F60E4"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016251" w:rsidRPr="004A7094">
              <w:rPr>
                <w:rFonts w:ascii="Arial Narrow" w:hAnsi="Arial Narrow"/>
                <w:b/>
                <w:bCs/>
                <w:color w:val="000000" w:themeColor="text1"/>
              </w:rPr>
              <w:t>redacted</w:t>
            </w:r>
          </w:p>
        </w:tc>
      </w:tr>
      <w:tr w:rsidR="00407DBD" w:rsidRPr="00381655" w14:paraId="1DF4758A" w14:textId="77777777" w:rsidTr="00572728">
        <w:trPr>
          <w:trHeight w:val="254"/>
        </w:trPr>
        <w:tc>
          <w:tcPr>
            <w:tcW w:w="1271" w:type="dxa"/>
            <w:vMerge/>
            <w:vAlign w:val="center"/>
            <w:hideMark/>
          </w:tcPr>
          <w:p w14:paraId="5B4906ED" w14:textId="77777777" w:rsidR="00016251" w:rsidRPr="00381655" w:rsidRDefault="00016251" w:rsidP="00016251">
            <w:pPr>
              <w:keepNext/>
              <w:keepLines/>
              <w:spacing w:after="0" w:line="240" w:lineRule="auto"/>
              <w:rPr>
                <w:rFonts w:ascii="Arial Narrow" w:eastAsia="Times New Roman" w:hAnsi="Arial Narrow" w:cs="Calibri"/>
                <w:color w:val="000000"/>
                <w:sz w:val="20"/>
                <w:szCs w:val="20"/>
              </w:rPr>
            </w:pPr>
          </w:p>
        </w:tc>
        <w:tc>
          <w:tcPr>
            <w:tcW w:w="1164" w:type="dxa"/>
            <w:vMerge/>
            <w:noWrap/>
            <w:vAlign w:val="center"/>
            <w:hideMark/>
          </w:tcPr>
          <w:p w14:paraId="1B9B9DB2" w14:textId="1169B948" w:rsidR="00016251" w:rsidRPr="00381655" w:rsidRDefault="00016251" w:rsidP="00016251">
            <w:pPr>
              <w:keepNext/>
              <w:keepLines/>
              <w:spacing w:after="0" w:line="240" w:lineRule="auto"/>
              <w:jc w:val="center"/>
              <w:rPr>
                <w:rFonts w:ascii="Arial Narrow" w:eastAsia="Times New Roman" w:hAnsi="Arial Narrow" w:cs="Calibri"/>
                <w:color w:val="000000"/>
                <w:sz w:val="20"/>
                <w:szCs w:val="20"/>
              </w:rPr>
            </w:pPr>
          </w:p>
        </w:tc>
        <w:tc>
          <w:tcPr>
            <w:tcW w:w="994" w:type="dxa"/>
            <w:noWrap/>
            <w:vAlign w:val="center"/>
            <w:hideMark/>
          </w:tcPr>
          <w:p w14:paraId="3BFD8936" w14:textId="77777777" w:rsidR="00016251" w:rsidRPr="00381655" w:rsidRDefault="00016251" w:rsidP="00016251">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20% decrease:</w:t>
            </w:r>
          </w:p>
        </w:tc>
        <w:tc>
          <w:tcPr>
            <w:tcW w:w="1141" w:type="dxa"/>
            <w:noWrap/>
            <w:vAlign w:val="center"/>
            <w:hideMark/>
          </w:tcPr>
          <w:p w14:paraId="0885A467" w14:textId="77777777" w:rsidR="00016251" w:rsidRPr="00381655" w:rsidRDefault="00016251" w:rsidP="00016251">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9.8%</w:t>
            </w:r>
          </w:p>
        </w:tc>
        <w:tc>
          <w:tcPr>
            <w:tcW w:w="1466" w:type="dxa"/>
            <w:noWrap/>
            <w:hideMark/>
          </w:tcPr>
          <w:p w14:paraId="259C974B" w14:textId="0AEE6DC6"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016251" w:rsidRPr="004A7094">
              <w:rPr>
                <w:rFonts w:ascii="Arial Narrow" w:hAnsi="Arial Narrow"/>
                <w:b/>
                <w:bCs/>
                <w:color w:val="000000" w:themeColor="text1"/>
              </w:rPr>
              <w:t>redacted</w:t>
            </w:r>
          </w:p>
        </w:tc>
        <w:tc>
          <w:tcPr>
            <w:tcW w:w="1532" w:type="dxa"/>
            <w:noWrap/>
            <w:hideMark/>
          </w:tcPr>
          <w:p w14:paraId="0364CEDF" w14:textId="77F5FF72"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016251" w:rsidRPr="004A7094">
              <w:rPr>
                <w:rFonts w:ascii="Arial Narrow" w:hAnsi="Arial Narrow"/>
                <w:b/>
                <w:bCs/>
                <w:color w:val="000000" w:themeColor="text1"/>
              </w:rPr>
              <w:t>redacted</w:t>
            </w:r>
          </w:p>
        </w:tc>
        <w:tc>
          <w:tcPr>
            <w:tcW w:w="1448" w:type="dxa"/>
            <w:noWrap/>
            <w:hideMark/>
          </w:tcPr>
          <w:p w14:paraId="4D610472" w14:textId="5C181D9E"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016251" w:rsidRPr="004A7094">
              <w:rPr>
                <w:rFonts w:ascii="Arial Narrow" w:hAnsi="Arial Narrow"/>
                <w:b/>
                <w:bCs/>
                <w:color w:val="000000" w:themeColor="text1"/>
              </w:rPr>
              <w:t>redacted</w:t>
            </w:r>
          </w:p>
        </w:tc>
      </w:tr>
      <w:tr w:rsidR="00407DBD" w:rsidRPr="00381655" w14:paraId="1D577029" w14:textId="77777777" w:rsidTr="00572728">
        <w:trPr>
          <w:trHeight w:val="254"/>
        </w:trPr>
        <w:tc>
          <w:tcPr>
            <w:tcW w:w="1271" w:type="dxa"/>
            <w:vMerge w:val="restart"/>
            <w:vAlign w:val="center"/>
            <w:hideMark/>
          </w:tcPr>
          <w:p w14:paraId="464DE6BB" w14:textId="77777777" w:rsidR="00016251" w:rsidRPr="00381655" w:rsidRDefault="00016251" w:rsidP="00016251">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Health state: tear fails to heal (Standard of care)</w:t>
            </w:r>
          </w:p>
        </w:tc>
        <w:tc>
          <w:tcPr>
            <w:tcW w:w="1164" w:type="dxa"/>
            <w:vMerge w:val="restart"/>
            <w:noWrap/>
            <w:vAlign w:val="center"/>
            <w:hideMark/>
          </w:tcPr>
          <w:p w14:paraId="4E38FC50" w14:textId="77777777" w:rsidR="00016251" w:rsidRPr="00381655" w:rsidRDefault="00016251" w:rsidP="00016251">
            <w:pPr>
              <w:keepNext/>
              <w:keepLines/>
              <w:spacing w:after="0" w:line="240" w:lineRule="auto"/>
              <w:jc w:val="center"/>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35.1%</w:t>
            </w:r>
          </w:p>
          <w:p w14:paraId="3599653B" w14:textId="7B346991" w:rsidR="00016251" w:rsidRPr="00381655" w:rsidRDefault="00016251" w:rsidP="00016251">
            <w:pPr>
              <w:keepNext/>
              <w:keepLines/>
              <w:spacing w:after="0" w:line="240" w:lineRule="auto"/>
              <w:jc w:val="center"/>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 </w:t>
            </w:r>
          </w:p>
        </w:tc>
        <w:tc>
          <w:tcPr>
            <w:tcW w:w="994" w:type="dxa"/>
            <w:noWrap/>
            <w:vAlign w:val="center"/>
            <w:hideMark/>
          </w:tcPr>
          <w:p w14:paraId="58CD6558" w14:textId="77777777" w:rsidR="00016251" w:rsidRPr="00381655" w:rsidRDefault="00016251" w:rsidP="00016251">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20% increase:</w:t>
            </w:r>
          </w:p>
        </w:tc>
        <w:tc>
          <w:tcPr>
            <w:tcW w:w="1141" w:type="dxa"/>
            <w:noWrap/>
            <w:vAlign w:val="center"/>
            <w:hideMark/>
          </w:tcPr>
          <w:p w14:paraId="5AB5C3CC" w14:textId="77777777" w:rsidR="00016251" w:rsidRPr="00381655" w:rsidRDefault="00016251" w:rsidP="00016251">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42.1%</w:t>
            </w:r>
          </w:p>
        </w:tc>
        <w:tc>
          <w:tcPr>
            <w:tcW w:w="1466" w:type="dxa"/>
            <w:noWrap/>
            <w:hideMark/>
          </w:tcPr>
          <w:p w14:paraId="11A00EFA" w14:textId="24350CCB"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016251" w:rsidRPr="004A7094">
              <w:rPr>
                <w:rFonts w:ascii="Arial Narrow" w:hAnsi="Arial Narrow"/>
                <w:b/>
                <w:bCs/>
                <w:color w:val="000000" w:themeColor="text1"/>
              </w:rPr>
              <w:t>redacted</w:t>
            </w:r>
          </w:p>
        </w:tc>
        <w:tc>
          <w:tcPr>
            <w:tcW w:w="1532" w:type="dxa"/>
            <w:noWrap/>
            <w:hideMark/>
          </w:tcPr>
          <w:p w14:paraId="446B476A" w14:textId="22388BC8"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016251" w:rsidRPr="004A7094">
              <w:rPr>
                <w:rFonts w:ascii="Arial Narrow" w:hAnsi="Arial Narrow"/>
                <w:b/>
                <w:bCs/>
                <w:color w:val="000000" w:themeColor="text1"/>
              </w:rPr>
              <w:t>redacted</w:t>
            </w:r>
          </w:p>
        </w:tc>
        <w:tc>
          <w:tcPr>
            <w:tcW w:w="1448" w:type="dxa"/>
            <w:noWrap/>
            <w:hideMark/>
          </w:tcPr>
          <w:p w14:paraId="629F88FE" w14:textId="6E574ECC"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016251" w:rsidRPr="004A7094">
              <w:rPr>
                <w:rFonts w:ascii="Arial Narrow" w:hAnsi="Arial Narrow"/>
                <w:b/>
                <w:bCs/>
                <w:color w:val="000000" w:themeColor="text1"/>
              </w:rPr>
              <w:t>redacted</w:t>
            </w:r>
          </w:p>
        </w:tc>
      </w:tr>
      <w:tr w:rsidR="00407DBD" w:rsidRPr="00381655" w14:paraId="604AA8C4" w14:textId="77777777" w:rsidTr="00572728">
        <w:trPr>
          <w:trHeight w:val="265"/>
        </w:trPr>
        <w:tc>
          <w:tcPr>
            <w:tcW w:w="1271" w:type="dxa"/>
            <w:vMerge/>
            <w:vAlign w:val="center"/>
            <w:hideMark/>
          </w:tcPr>
          <w:p w14:paraId="3E76A059" w14:textId="77777777" w:rsidR="00016251" w:rsidRPr="00381655" w:rsidRDefault="00016251" w:rsidP="00016251">
            <w:pPr>
              <w:keepNext/>
              <w:keepLines/>
              <w:spacing w:after="0" w:line="240" w:lineRule="auto"/>
              <w:rPr>
                <w:rFonts w:ascii="Arial Narrow" w:eastAsia="Times New Roman" w:hAnsi="Arial Narrow" w:cs="Calibri"/>
                <w:color w:val="000000"/>
                <w:sz w:val="20"/>
                <w:szCs w:val="20"/>
              </w:rPr>
            </w:pPr>
          </w:p>
        </w:tc>
        <w:tc>
          <w:tcPr>
            <w:tcW w:w="1164" w:type="dxa"/>
            <w:vMerge/>
            <w:noWrap/>
            <w:vAlign w:val="center"/>
            <w:hideMark/>
          </w:tcPr>
          <w:p w14:paraId="67F24CCC" w14:textId="39D43EB7" w:rsidR="00016251" w:rsidRPr="00381655" w:rsidRDefault="00016251" w:rsidP="00016251">
            <w:pPr>
              <w:keepNext/>
              <w:keepLines/>
              <w:spacing w:after="0" w:line="240" w:lineRule="auto"/>
              <w:jc w:val="center"/>
              <w:rPr>
                <w:rFonts w:ascii="Arial Narrow" w:eastAsia="Times New Roman" w:hAnsi="Arial Narrow" w:cs="Calibri"/>
                <w:color w:val="000000"/>
                <w:sz w:val="20"/>
                <w:szCs w:val="20"/>
              </w:rPr>
            </w:pPr>
          </w:p>
        </w:tc>
        <w:tc>
          <w:tcPr>
            <w:tcW w:w="994" w:type="dxa"/>
            <w:noWrap/>
            <w:vAlign w:val="center"/>
            <w:hideMark/>
          </w:tcPr>
          <w:p w14:paraId="55791F7A" w14:textId="77777777" w:rsidR="00016251" w:rsidRPr="00381655" w:rsidRDefault="00016251" w:rsidP="00016251">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20% decrease:</w:t>
            </w:r>
          </w:p>
        </w:tc>
        <w:tc>
          <w:tcPr>
            <w:tcW w:w="1141" w:type="dxa"/>
            <w:noWrap/>
            <w:vAlign w:val="center"/>
            <w:hideMark/>
          </w:tcPr>
          <w:p w14:paraId="22B95E58" w14:textId="77777777" w:rsidR="00016251" w:rsidRPr="00381655" w:rsidRDefault="00016251" w:rsidP="00016251">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28.1%</w:t>
            </w:r>
          </w:p>
        </w:tc>
        <w:tc>
          <w:tcPr>
            <w:tcW w:w="1466" w:type="dxa"/>
            <w:noWrap/>
            <w:hideMark/>
          </w:tcPr>
          <w:p w14:paraId="47D6D597" w14:textId="2676CB77"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016251" w:rsidRPr="004A7094">
              <w:rPr>
                <w:rFonts w:ascii="Arial Narrow" w:hAnsi="Arial Narrow"/>
                <w:b/>
                <w:bCs/>
                <w:color w:val="000000" w:themeColor="text1"/>
              </w:rPr>
              <w:t>redacted</w:t>
            </w:r>
          </w:p>
        </w:tc>
        <w:tc>
          <w:tcPr>
            <w:tcW w:w="1532" w:type="dxa"/>
            <w:noWrap/>
            <w:hideMark/>
          </w:tcPr>
          <w:p w14:paraId="17CCEF7A" w14:textId="366868AD"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016251" w:rsidRPr="004A7094">
              <w:rPr>
                <w:rFonts w:ascii="Arial Narrow" w:hAnsi="Arial Narrow"/>
                <w:b/>
                <w:bCs/>
                <w:color w:val="000000" w:themeColor="text1"/>
              </w:rPr>
              <w:t>redacted</w:t>
            </w:r>
          </w:p>
        </w:tc>
        <w:tc>
          <w:tcPr>
            <w:tcW w:w="1448" w:type="dxa"/>
            <w:noWrap/>
            <w:hideMark/>
          </w:tcPr>
          <w:p w14:paraId="2C0BEB32" w14:textId="5E848385"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016251" w:rsidRPr="004A7094">
              <w:rPr>
                <w:rFonts w:ascii="Arial Narrow" w:hAnsi="Arial Narrow"/>
                <w:b/>
                <w:bCs/>
                <w:color w:val="000000" w:themeColor="text1"/>
              </w:rPr>
              <w:t>redacted</w:t>
            </w:r>
          </w:p>
        </w:tc>
      </w:tr>
      <w:tr w:rsidR="00407DBD" w:rsidRPr="00381655" w14:paraId="4CDA0DB1" w14:textId="77777777" w:rsidTr="00572728">
        <w:trPr>
          <w:trHeight w:val="254"/>
        </w:trPr>
        <w:tc>
          <w:tcPr>
            <w:tcW w:w="1271" w:type="dxa"/>
            <w:vMerge w:val="restart"/>
            <w:vAlign w:val="center"/>
            <w:hideMark/>
          </w:tcPr>
          <w:p w14:paraId="2A659C5A" w14:textId="77777777" w:rsidR="009231A0" w:rsidRPr="00381655" w:rsidRDefault="009231A0" w:rsidP="009231A0">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Utility value (Y1) of conservative management after tear fails to heal</w:t>
            </w:r>
          </w:p>
        </w:tc>
        <w:tc>
          <w:tcPr>
            <w:tcW w:w="1164" w:type="dxa"/>
            <w:vMerge w:val="restart"/>
            <w:noWrap/>
            <w:vAlign w:val="center"/>
            <w:hideMark/>
          </w:tcPr>
          <w:p w14:paraId="35BA6A30" w14:textId="77777777" w:rsidR="009231A0" w:rsidRPr="00381655" w:rsidRDefault="009231A0" w:rsidP="009231A0">
            <w:pPr>
              <w:keepNext/>
              <w:keepLines/>
              <w:spacing w:after="0" w:line="240" w:lineRule="auto"/>
              <w:jc w:val="center"/>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 xml:space="preserve">0.664 </w:t>
            </w:r>
          </w:p>
          <w:p w14:paraId="172BE35E" w14:textId="4B8876F3" w:rsidR="009231A0" w:rsidRPr="00381655" w:rsidRDefault="009231A0" w:rsidP="009231A0">
            <w:pPr>
              <w:keepNext/>
              <w:keepLines/>
              <w:spacing w:after="0" w:line="240" w:lineRule="auto"/>
              <w:jc w:val="center"/>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 </w:t>
            </w:r>
          </w:p>
        </w:tc>
        <w:tc>
          <w:tcPr>
            <w:tcW w:w="994" w:type="dxa"/>
            <w:noWrap/>
            <w:vAlign w:val="center"/>
            <w:hideMark/>
          </w:tcPr>
          <w:p w14:paraId="09BE493F" w14:textId="77777777" w:rsidR="009231A0" w:rsidRPr="00381655" w:rsidRDefault="009231A0" w:rsidP="009231A0">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20% increase:</w:t>
            </w:r>
          </w:p>
        </w:tc>
        <w:tc>
          <w:tcPr>
            <w:tcW w:w="1141" w:type="dxa"/>
            <w:noWrap/>
            <w:vAlign w:val="center"/>
            <w:hideMark/>
          </w:tcPr>
          <w:p w14:paraId="640C9CEC" w14:textId="0356200F" w:rsidR="009231A0" w:rsidRPr="00381655" w:rsidRDefault="009231A0" w:rsidP="009231A0">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0.797</w:t>
            </w:r>
          </w:p>
        </w:tc>
        <w:tc>
          <w:tcPr>
            <w:tcW w:w="1466" w:type="dxa"/>
            <w:noWrap/>
            <w:hideMark/>
          </w:tcPr>
          <w:p w14:paraId="2CA3575F" w14:textId="1CB67AE2" w:rsidR="009231A0" w:rsidRPr="00381655" w:rsidRDefault="0067698F" w:rsidP="009231A0">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9231A0" w:rsidRPr="004A7094">
              <w:rPr>
                <w:rFonts w:ascii="Arial Narrow" w:hAnsi="Arial Narrow"/>
                <w:b/>
                <w:bCs/>
                <w:color w:val="000000" w:themeColor="text1"/>
              </w:rPr>
              <w:t>redacted</w:t>
            </w:r>
          </w:p>
        </w:tc>
        <w:tc>
          <w:tcPr>
            <w:tcW w:w="1532" w:type="dxa"/>
            <w:noWrap/>
            <w:vAlign w:val="center"/>
            <w:hideMark/>
          </w:tcPr>
          <w:p w14:paraId="115BA9B6" w14:textId="77777777" w:rsidR="009231A0" w:rsidRPr="00381655" w:rsidRDefault="009231A0" w:rsidP="009231A0">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N/A</w:t>
            </w:r>
          </w:p>
        </w:tc>
        <w:tc>
          <w:tcPr>
            <w:tcW w:w="1448" w:type="dxa"/>
            <w:noWrap/>
            <w:vAlign w:val="center"/>
            <w:hideMark/>
          </w:tcPr>
          <w:p w14:paraId="048A6890" w14:textId="77777777" w:rsidR="009231A0" w:rsidRPr="00381655" w:rsidRDefault="009231A0" w:rsidP="009231A0">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N/A</w:t>
            </w:r>
          </w:p>
        </w:tc>
      </w:tr>
      <w:tr w:rsidR="00407DBD" w:rsidRPr="00381655" w14:paraId="65ACFE8D" w14:textId="77777777" w:rsidTr="00572728">
        <w:trPr>
          <w:trHeight w:val="254"/>
        </w:trPr>
        <w:tc>
          <w:tcPr>
            <w:tcW w:w="1271" w:type="dxa"/>
            <w:vMerge/>
            <w:vAlign w:val="center"/>
            <w:hideMark/>
          </w:tcPr>
          <w:p w14:paraId="644C0DAD" w14:textId="77777777" w:rsidR="009231A0" w:rsidRPr="00381655" w:rsidRDefault="009231A0" w:rsidP="009231A0">
            <w:pPr>
              <w:keepNext/>
              <w:keepLines/>
              <w:spacing w:after="0" w:line="240" w:lineRule="auto"/>
              <w:rPr>
                <w:rFonts w:ascii="Arial Narrow" w:eastAsia="Times New Roman" w:hAnsi="Arial Narrow" w:cs="Calibri"/>
                <w:color w:val="000000"/>
                <w:sz w:val="20"/>
                <w:szCs w:val="20"/>
              </w:rPr>
            </w:pPr>
          </w:p>
        </w:tc>
        <w:tc>
          <w:tcPr>
            <w:tcW w:w="1164" w:type="dxa"/>
            <w:vMerge/>
            <w:noWrap/>
            <w:vAlign w:val="center"/>
            <w:hideMark/>
          </w:tcPr>
          <w:p w14:paraId="54B57F89" w14:textId="752922F7" w:rsidR="009231A0" w:rsidRPr="00381655" w:rsidRDefault="009231A0" w:rsidP="009231A0">
            <w:pPr>
              <w:keepNext/>
              <w:keepLines/>
              <w:spacing w:after="0" w:line="240" w:lineRule="auto"/>
              <w:jc w:val="center"/>
              <w:rPr>
                <w:rFonts w:ascii="Arial Narrow" w:eastAsia="Times New Roman" w:hAnsi="Arial Narrow" w:cs="Calibri"/>
                <w:color w:val="000000"/>
                <w:sz w:val="20"/>
                <w:szCs w:val="20"/>
              </w:rPr>
            </w:pPr>
          </w:p>
        </w:tc>
        <w:tc>
          <w:tcPr>
            <w:tcW w:w="994" w:type="dxa"/>
            <w:noWrap/>
            <w:vAlign w:val="center"/>
            <w:hideMark/>
          </w:tcPr>
          <w:p w14:paraId="51EA94DE" w14:textId="77777777" w:rsidR="009231A0" w:rsidRPr="00381655" w:rsidRDefault="009231A0" w:rsidP="009231A0">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20% decrease:</w:t>
            </w:r>
          </w:p>
        </w:tc>
        <w:tc>
          <w:tcPr>
            <w:tcW w:w="1141" w:type="dxa"/>
            <w:noWrap/>
            <w:vAlign w:val="center"/>
            <w:hideMark/>
          </w:tcPr>
          <w:p w14:paraId="2F5DEA48" w14:textId="3A046929" w:rsidR="009231A0" w:rsidRPr="00381655" w:rsidRDefault="009231A0" w:rsidP="009231A0">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0.531</w:t>
            </w:r>
          </w:p>
        </w:tc>
        <w:tc>
          <w:tcPr>
            <w:tcW w:w="1466" w:type="dxa"/>
            <w:noWrap/>
            <w:hideMark/>
          </w:tcPr>
          <w:p w14:paraId="09920021" w14:textId="1F94E35B" w:rsidR="009231A0" w:rsidRPr="00381655" w:rsidRDefault="0067698F" w:rsidP="009231A0">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9231A0" w:rsidRPr="004A7094">
              <w:rPr>
                <w:rFonts w:ascii="Arial Narrow" w:hAnsi="Arial Narrow"/>
                <w:b/>
                <w:bCs/>
                <w:color w:val="000000" w:themeColor="text1"/>
              </w:rPr>
              <w:t>redacted</w:t>
            </w:r>
          </w:p>
        </w:tc>
        <w:tc>
          <w:tcPr>
            <w:tcW w:w="1532" w:type="dxa"/>
            <w:noWrap/>
            <w:vAlign w:val="center"/>
            <w:hideMark/>
          </w:tcPr>
          <w:p w14:paraId="411B9D13" w14:textId="77777777" w:rsidR="009231A0" w:rsidRPr="00381655" w:rsidRDefault="009231A0" w:rsidP="009231A0">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N/A</w:t>
            </w:r>
          </w:p>
        </w:tc>
        <w:tc>
          <w:tcPr>
            <w:tcW w:w="1448" w:type="dxa"/>
            <w:noWrap/>
            <w:vAlign w:val="center"/>
            <w:hideMark/>
          </w:tcPr>
          <w:p w14:paraId="5B65A663" w14:textId="77777777" w:rsidR="009231A0" w:rsidRPr="00381655" w:rsidRDefault="009231A0" w:rsidP="009231A0">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N/A</w:t>
            </w:r>
          </w:p>
        </w:tc>
      </w:tr>
      <w:tr w:rsidR="00407DBD" w:rsidRPr="00381655" w14:paraId="29D39C5C" w14:textId="77777777" w:rsidTr="00572728">
        <w:trPr>
          <w:trHeight w:val="254"/>
        </w:trPr>
        <w:tc>
          <w:tcPr>
            <w:tcW w:w="1271" w:type="dxa"/>
            <w:vMerge w:val="restart"/>
            <w:vAlign w:val="center"/>
            <w:hideMark/>
          </w:tcPr>
          <w:p w14:paraId="38AE5837" w14:textId="77777777" w:rsidR="009231A0" w:rsidRPr="00381655" w:rsidRDefault="009231A0" w:rsidP="009231A0">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Utility value (Y2) of conservative management after tear fails to heal</w:t>
            </w:r>
          </w:p>
        </w:tc>
        <w:tc>
          <w:tcPr>
            <w:tcW w:w="1164" w:type="dxa"/>
            <w:vMerge w:val="restart"/>
            <w:noWrap/>
            <w:vAlign w:val="center"/>
            <w:hideMark/>
          </w:tcPr>
          <w:p w14:paraId="59A4EEFE" w14:textId="77777777" w:rsidR="009231A0" w:rsidRPr="00381655" w:rsidRDefault="009231A0" w:rsidP="009231A0">
            <w:pPr>
              <w:keepNext/>
              <w:keepLines/>
              <w:spacing w:after="0" w:line="240" w:lineRule="auto"/>
              <w:jc w:val="center"/>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 xml:space="preserve">0.679 </w:t>
            </w:r>
          </w:p>
          <w:p w14:paraId="137B0C87" w14:textId="277165CF" w:rsidR="009231A0" w:rsidRPr="00381655" w:rsidRDefault="009231A0" w:rsidP="009231A0">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 </w:t>
            </w:r>
          </w:p>
        </w:tc>
        <w:tc>
          <w:tcPr>
            <w:tcW w:w="994" w:type="dxa"/>
            <w:noWrap/>
            <w:vAlign w:val="center"/>
            <w:hideMark/>
          </w:tcPr>
          <w:p w14:paraId="729C42A6" w14:textId="77777777" w:rsidR="009231A0" w:rsidRPr="00381655" w:rsidRDefault="009231A0" w:rsidP="009231A0">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20% increase:</w:t>
            </w:r>
          </w:p>
        </w:tc>
        <w:tc>
          <w:tcPr>
            <w:tcW w:w="1141" w:type="dxa"/>
            <w:noWrap/>
            <w:vAlign w:val="center"/>
            <w:hideMark/>
          </w:tcPr>
          <w:p w14:paraId="6FB5CF91" w14:textId="4A8D0F15" w:rsidR="009231A0" w:rsidRPr="00381655" w:rsidRDefault="009231A0" w:rsidP="009231A0">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0.815</w:t>
            </w:r>
          </w:p>
        </w:tc>
        <w:tc>
          <w:tcPr>
            <w:tcW w:w="1466" w:type="dxa"/>
            <w:noWrap/>
            <w:hideMark/>
          </w:tcPr>
          <w:p w14:paraId="69CDE70C" w14:textId="5ABB6C2C" w:rsidR="009231A0" w:rsidRPr="00381655" w:rsidRDefault="0067698F" w:rsidP="009231A0">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9231A0" w:rsidRPr="004A7094">
              <w:rPr>
                <w:rFonts w:ascii="Arial Narrow" w:hAnsi="Arial Narrow"/>
                <w:b/>
                <w:bCs/>
                <w:color w:val="000000" w:themeColor="text1"/>
              </w:rPr>
              <w:t>redacted</w:t>
            </w:r>
          </w:p>
        </w:tc>
        <w:tc>
          <w:tcPr>
            <w:tcW w:w="1532" w:type="dxa"/>
            <w:noWrap/>
            <w:vAlign w:val="center"/>
            <w:hideMark/>
          </w:tcPr>
          <w:p w14:paraId="1B25B697" w14:textId="77777777" w:rsidR="009231A0" w:rsidRPr="00381655" w:rsidRDefault="009231A0" w:rsidP="009231A0">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N/A</w:t>
            </w:r>
          </w:p>
        </w:tc>
        <w:tc>
          <w:tcPr>
            <w:tcW w:w="1448" w:type="dxa"/>
            <w:noWrap/>
            <w:vAlign w:val="center"/>
            <w:hideMark/>
          </w:tcPr>
          <w:p w14:paraId="10DA82AB" w14:textId="77777777" w:rsidR="009231A0" w:rsidRPr="00381655" w:rsidRDefault="009231A0" w:rsidP="009231A0">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N/A</w:t>
            </w:r>
          </w:p>
        </w:tc>
      </w:tr>
      <w:tr w:rsidR="00407DBD" w:rsidRPr="00381655" w14:paraId="6699E8F7" w14:textId="77777777" w:rsidTr="00572728">
        <w:trPr>
          <w:trHeight w:val="265"/>
        </w:trPr>
        <w:tc>
          <w:tcPr>
            <w:tcW w:w="1271" w:type="dxa"/>
            <w:vMerge/>
            <w:vAlign w:val="center"/>
            <w:hideMark/>
          </w:tcPr>
          <w:p w14:paraId="36223EC7" w14:textId="77777777" w:rsidR="009231A0" w:rsidRPr="00381655" w:rsidRDefault="009231A0" w:rsidP="009231A0">
            <w:pPr>
              <w:keepNext/>
              <w:keepLines/>
              <w:spacing w:after="0" w:line="240" w:lineRule="auto"/>
              <w:rPr>
                <w:rFonts w:ascii="Arial Narrow" w:eastAsia="Times New Roman" w:hAnsi="Arial Narrow" w:cs="Calibri"/>
                <w:color w:val="000000"/>
                <w:sz w:val="20"/>
                <w:szCs w:val="20"/>
              </w:rPr>
            </w:pPr>
          </w:p>
        </w:tc>
        <w:tc>
          <w:tcPr>
            <w:tcW w:w="1164" w:type="dxa"/>
            <w:vMerge/>
            <w:noWrap/>
            <w:vAlign w:val="center"/>
            <w:hideMark/>
          </w:tcPr>
          <w:p w14:paraId="5ACF2B76" w14:textId="4629208D" w:rsidR="009231A0" w:rsidRPr="00381655" w:rsidRDefault="009231A0" w:rsidP="009231A0">
            <w:pPr>
              <w:keepNext/>
              <w:keepLines/>
              <w:spacing w:after="0" w:line="240" w:lineRule="auto"/>
              <w:rPr>
                <w:rFonts w:ascii="Arial Narrow" w:eastAsia="Times New Roman" w:hAnsi="Arial Narrow" w:cs="Calibri"/>
                <w:color w:val="000000"/>
                <w:sz w:val="20"/>
                <w:szCs w:val="20"/>
              </w:rPr>
            </w:pPr>
          </w:p>
        </w:tc>
        <w:tc>
          <w:tcPr>
            <w:tcW w:w="994" w:type="dxa"/>
            <w:noWrap/>
            <w:vAlign w:val="center"/>
            <w:hideMark/>
          </w:tcPr>
          <w:p w14:paraId="58C33F88" w14:textId="77777777" w:rsidR="009231A0" w:rsidRPr="00381655" w:rsidRDefault="009231A0" w:rsidP="009231A0">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20% decrease:</w:t>
            </w:r>
          </w:p>
        </w:tc>
        <w:tc>
          <w:tcPr>
            <w:tcW w:w="1141" w:type="dxa"/>
            <w:noWrap/>
            <w:vAlign w:val="center"/>
            <w:hideMark/>
          </w:tcPr>
          <w:p w14:paraId="5569334D" w14:textId="4BB7D385" w:rsidR="009231A0" w:rsidRPr="00381655" w:rsidRDefault="009231A0" w:rsidP="009231A0">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0.543</w:t>
            </w:r>
          </w:p>
        </w:tc>
        <w:tc>
          <w:tcPr>
            <w:tcW w:w="1466" w:type="dxa"/>
            <w:noWrap/>
            <w:hideMark/>
          </w:tcPr>
          <w:p w14:paraId="3C3DBFD2" w14:textId="32B0EA7B" w:rsidR="009231A0" w:rsidRPr="00381655" w:rsidRDefault="0067698F" w:rsidP="009231A0">
            <w:pPr>
              <w:keepNext/>
              <w:keepLines/>
              <w:spacing w:after="0" w:line="240" w:lineRule="auto"/>
              <w:jc w:val="right"/>
              <w:rPr>
                <w:rFonts w:ascii="Arial Narrow" w:eastAsia="Times New Roman" w:hAnsi="Arial Narrow" w:cs="Calibri"/>
                <w:color w:val="000000"/>
                <w:sz w:val="20"/>
                <w:szCs w:val="20"/>
              </w:rPr>
            </w:pPr>
            <w:r w:rsidRPr="004A7094">
              <w:rPr>
                <w:rFonts w:ascii="Arial Narrow" w:hAnsi="Arial Narrow"/>
                <w:b/>
                <w:bCs/>
                <w:color w:val="000000" w:themeColor="text1"/>
              </w:rPr>
              <w:t>$</w:t>
            </w:r>
            <w:r w:rsidR="009231A0" w:rsidRPr="004A7094">
              <w:rPr>
                <w:rFonts w:ascii="Arial Narrow" w:hAnsi="Arial Narrow"/>
                <w:b/>
                <w:bCs/>
                <w:color w:val="000000" w:themeColor="text1"/>
              </w:rPr>
              <w:t>redacted</w:t>
            </w:r>
          </w:p>
        </w:tc>
        <w:tc>
          <w:tcPr>
            <w:tcW w:w="1532" w:type="dxa"/>
            <w:noWrap/>
            <w:vAlign w:val="center"/>
            <w:hideMark/>
          </w:tcPr>
          <w:p w14:paraId="27F4AA0A" w14:textId="77777777" w:rsidR="009231A0" w:rsidRPr="00381655" w:rsidRDefault="009231A0" w:rsidP="009231A0">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N/A</w:t>
            </w:r>
          </w:p>
        </w:tc>
        <w:tc>
          <w:tcPr>
            <w:tcW w:w="1448" w:type="dxa"/>
            <w:noWrap/>
            <w:vAlign w:val="center"/>
            <w:hideMark/>
          </w:tcPr>
          <w:p w14:paraId="702C17CC" w14:textId="77777777" w:rsidR="009231A0" w:rsidRPr="00381655" w:rsidRDefault="009231A0" w:rsidP="009231A0">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N/A</w:t>
            </w:r>
          </w:p>
        </w:tc>
      </w:tr>
      <w:tr w:rsidR="00407DBD" w:rsidRPr="00381655" w14:paraId="20227C85" w14:textId="77777777" w:rsidTr="00572728">
        <w:trPr>
          <w:trHeight w:val="254"/>
        </w:trPr>
        <w:tc>
          <w:tcPr>
            <w:tcW w:w="1271" w:type="dxa"/>
            <w:vMerge w:val="restart"/>
            <w:vAlign w:val="center"/>
            <w:hideMark/>
          </w:tcPr>
          <w:p w14:paraId="398B2F50" w14:textId="77777777" w:rsidR="00016251" w:rsidRPr="00381655" w:rsidRDefault="00016251" w:rsidP="00016251">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Annual cost of conservative management</w:t>
            </w:r>
          </w:p>
        </w:tc>
        <w:tc>
          <w:tcPr>
            <w:tcW w:w="1164" w:type="dxa"/>
            <w:vMerge w:val="restart"/>
            <w:noWrap/>
            <w:vAlign w:val="center"/>
            <w:hideMark/>
          </w:tcPr>
          <w:p w14:paraId="05FFCAC4" w14:textId="6644073C" w:rsidR="00016251" w:rsidRPr="00381655" w:rsidRDefault="00016251" w:rsidP="00016251">
            <w:pPr>
              <w:keepNext/>
              <w:keepLines/>
              <w:spacing w:after="0" w:line="240" w:lineRule="auto"/>
              <w:jc w:val="center"/>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$3,021</w:t>
            </w:r>
          </w:p>
          <w:p w14:paraId="2BA2D2E6" w14:textId="41127833" w:rsidR="00016251" w:rsidRPr="00381655" w:rsidRDefault="00016251" w:rsidP="00016251">
            <w:pPr>
              <w:keepNext/>
              <w:keepLines/>
              <w:spacing w:after="0" w:line="240" w:lineRule="auto"/>
              <w:jc w:val="center"/>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 </w:t>
            </w:r>
          </w:p>
        </w:tc>
        <w:tc>
          <w:tcPr>
            <w:tcW w:w="994" w:type="dxa"/>
            <w:noWrap/>
            <w:vAlign w:val="center"/>
            <w:hideMark/>
          </w:tcPr>
          <w:p w14:paraId="20819C4C" w14:textId="77777777" w:rsidR="00016251" w:rsidRPr="00381655" w:rsidRDefault="00016251" w:rsidP="00016251">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20% increase:</w:t>
            </w:r>
          </w:p>
        </w:tc>
        <w:tc>
          <w:tcPr>
            <w:tcW w:w="1141" w:type="dxa"/>
            <w:noWrap/>
            <w:hideMark/>
          </w:tcPr>
          <w:p w14:paraId="2755C1D0" w14:textId="6EB18653" w:rsidR="00016251" w:rsidRPr="00381655" w:rsidRDefault="00016251" w:rsidP="00016251">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$3,625</w:t>
            </w:r>
          </w:p>
        </w:tc>
        <w:tc>
          <w:tcPr>
            <w:tcW w:w="1466" w:type="dxa"/>
            <w:noWrap/>
            <w:hideMark/>
          </w:tcPr>
          <w:p w14:paraId="4BE82063" w14:textId="4E327D67"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07DBD">
              <w:rPr>
                <w:rFonts w:ascii="Arial Narrow" w:hAnsi="Arial Narrow"/>
                <w:b/>
                <w:bCs/>
                <w:color w:val="000000" w:themeColor="text1"/>
              </w:rPr>
              <w:t>$</w:t>
            </w:r>
            <w:r w:rsidR="00016251" w:rsidRPr="00407DBD">
              <w:rPr>
                <w:rFonts w:ascii="Arial Narrow" w:hAnsi="Arial Narrow"/>
                <w:b/>
                <w:bCs/>
                <w:color w:val="000000" w:themeColor="text1"/>
              </w:rPr>
              <w:t>redacted</w:t>
            </w:r>
          </w:p>
        </w:tc>
        <w:tc>
          <w:tcPr>
            <w:tcW w:w="1532" w:type="dxa"/>
            <w:noWrap/>
            <w:hideMark/>
          </w:tcPr>
          <w:p w14:paraId="232F46F7" w14:textId="0499E568"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07DBD">
              <w:rPr>
                <w:rFonts w:ascii="Arial Narrow" w:hAnsi="Arial Narrow"/>
                <w:b/>
                <w:bCs/>
                <w:color w:val="000000" w:themeColor="text1"/>
              </w:rPr>
              <w:t>$</w:t>
            </w:r>
            <w:r w:rsidR="00016251" w:rsidRPr="00407DBD">
              <w:rPr>
                <w:rFonts w:ascii="Arial Narrow" w:hAnsi="Arial Narrow"/>
                <w:b/>
                <w:bCs/>
                <w:color w:val="000000" w:themeColor="text1"/>
              </w:rPr>
              <w:t>redacted</w:t>
            </w:r>
          </w:p>
        </w:tc>
        <w:tc>
          <w:tcPr>
            <w:tcW w:w="1448" w:type="dxa"/>
            <w:noWrap/>
            <w:hideMark/>
          </w:tcPr>
          <w:p w14:paraId="67C232C4" w14:textId="7CC4DA32"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07DBD">
              <w:rPr>
                <w:rFonts w:ascii="Arial Narrow" w:hAnsi="Arial Narrow"/>
                <w:b/>
                <w:bCs/>
                <w:color w:val="000000" w:themeColor="text1"/>
              </w:rPr>
              <w:t>$</w:t>
            </w:r>
            <w:r w:rsidR="00016251" w:rsidRPr="00407DBD">
              <w:rPr>
                <w:rFonts w:ascii="Arial Narrow" w:hAnsi="Arial Narrow"/>
                <w:b/>
                <w:bCs/>
                <w:color w:val="000000" w:themeColor="text1"/>
              </w:rPr>
              <w:t>redacted</w:t>
            </w:r>
          </w:p>
        </w:tc>
      </w:tr>
      <w:tr w:rsidR="00407DBD" w:rsidRPr="00381655" w14:paraId="38EC6B1B" w14:textId="77777777" w:rsidTr="00572728">
        <w:trPr>
          <w:trHeight w:val="254"/>
        </w:trPr>
        <w:tc>
          <w:tcPr>
            <w:tcW w:w="1271" w:type="dxa"/>
            <w:vMerge/>
            <w:vAlign w:val="center"/>
            <w:hideMark/>
          </w:tcPr>
          <w:p w14:paraId="660FC2B2" w14:textId="77777777" w:rsidR="00016251" w:rsidRPr="00381655" w:rsidRDefault="00016251" w:rsidP="00016251">
            <w:pPr>
              <w:keepNext/>
              <w:keepLines/>
              <w:spacing w:after="0" w:line="240" w:lineRule="auto"/>
              <w:rPr>
                <w:rFonts w:ascii="Arial Narrow" w:eastAsia="Times New Roman" w:hAnsi="Arial Narrow" w:cs="Calibri"/>
                <w:color w:val="000000"/>
                <w:sz w:val="20"/>
                <w:szCs w:val="20"/>
              </w:rPr>
            </w:pPr>
          </w:p>
        </w:tc>
        <w:tc>
          <w:tcPr>
            <w:tcW w:w="1164" w:type="dxa"/>
            <w:vMerge/>
            <w:noWrap/>
            <w:vAlign w:val="center"/>
            <w:hideMark/>
          </w:tcPr>
          <w:p w14:paraId="05AD1257" w14:textId="17D5AA33" w:rsidR="00016251" w:rsidRPr="00381655" w:rsidRDefault="00016251" w:rsidP="00016251">
            <w:pPr>
              <w:keepNext/>
              <w:keepLines/>
              <w:spacing w:after="0" w:line="240" w:lineRule="auto"/>
              <w:jc w:val="center"/>
              <w:rPr>
                <w:rFonts w:ascii="Arial Narrow" w:eastAsia="Times New Roman" w:hAnsi="Arial Narrow" w:cs="Calibri"/>
                <w:color w:val="000000"/>
                <w:sz w:val="20"/>
                <w:szCs w:val="20"/>
              </w:rPr>
            </w:pPr>
          </w:p>
        </w:tc>
        <w:tc>
          <w:tcPr>
            <w:tcW w:w="994" w:type="dxa"/>
            <w:noWrap/>
            <w:vAlign w:val="center"/>
            <w:hideMark/>
          </w:tcPr>
          <w:p w14:paraId="5BA547C1" w14:textId="469586D0" w:rsidR="00016251" w:rsidRPr="00381655" w:rsidRDefault="00016251" w:rsidP="00016251">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20% decrease:</w:t>
            </w:r>
            <w:r w:rsidR="00801291">
              <w:rPr>
                <w:rFonts w:ascii="Arial Narrow" w:eastAsia="Times New Roman" w:hAnsi="Arial Narrow" w:cs="Calibri"/>
                <w:color w:val="000000"/>
                <w:sz w:val="20"/>
                <w:szCs w:val="20"/>
              </w:rPr>
              <w:t xml:space="preserve"> </w:t>
            </w:r>
          </w:p>
        </w:tc>
        <w:tc>
          <w:tcPr>
            <w:tcW w:w="1141" w:type="dxa"/>
            <w:noWrap/>
            <w:hideMark/>
          </w:tcPr>
          <w:p w14:paraId="6EBEA122" w14:textId="0D5BDFF2" w:rsidR="00016251" w:rsidRPr="00381655" w:rsidRDefault="00016251" w:rsidP="00016251">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$2,417</w:t>
            </w:r>
          </w:p>
        </w:tc>
        <w:tc>
          <w:tcPr>
            <w:tcW w:w="1466" w:type="dxa"/>
            <w:noWrap/>
            <w:hideMark/>
          </w:tcPr>
          <w:p w14:paraId="22FD5D8A" w14:textId="26AE43D6"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07DBD">
              <w:rPr>
                <w:rFonts w:ascii="Arial Narrow" w:hAnsi="Arial Narrow"/>
                <w:b/>
                <w:bCs/>
                <w:color w:val="000000" w:themeColor="text1"/>
              </w:rPr>
              <w:t>$</w:t>
            </w:r>
            <w:r w:rsidR="00016251" w:rsidRPr="00407DBD">
              <w:rPr>
                <w:rFonts w:ascii="Arial Narrow" w:hAnsi="Arial Narrow"/>
                <w:b/>
                <w:bCs/>
                <w:color w:val="000000" w:themeColor="text1"/>
              </w:rPr>
              <w:t>redacted</w:t>
            </w:r>
          </w:p>
        </w:tc>
        <w:tc>
          <w:tcPr>
            <w:tcW w:w="1532" w:type="dxa"/>
            <w:noWrap/>
            <w:hideMark/>
          </w:tcPr>
          <w:p w14:paraId="6CFA2AD5" w14:textId="2E2F64CF"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07DBD">
              <w:rPr>
                <w:rFonts w:ascii="Arial Narrow" w:hAnsi="Arial Narrow"/>
                <w:b/>
                <w:bCs/>
                <w:color w:val="000000" w:themeColor="text1"/>
              </w:rPr>
              <w:t>$</w:t>
            </w:r>
            <w:r w:rsidR="00016251" w:rsidRPr="00407DBD">
              <w:rPr>
                <w:rFonts w:ascii="Arial Narrow" w:hAnsi="Arial Narrow"/>
                <w:b/>
                <w:bCs/>
                <w:color w:val="000000" w:themeColor="text1"/>
              </w:rPr>
              <w:t>redacted</w:t>
            </w:r>
          </w:p>
        </w:tc>
        <w:tc>
          <w:tcPr>
            <w:tcW w:w="1448" w:type="dxa"/>
            <w:noWrap/>
            <w:hideMark/>
          </w:tcPr>
          <w:p w14:paraId="544A13F4" w14:textId="1A7E5CB5" w:rsidR="00016251" w:rsidRPr="00381655" w:rsidRDefault="0067698F" w:rsidP="00016251">
            <w:pPr>
              <w:keepNext/>
              <w:keepLines/>
              <w:spacing w:after="0" w:line="240" w:lineRule="auto"/>
              <w:jc w:val="right"/>
              <w:rPr>
                <w:rFonts w:ascii="Arial Narrow" w:eastAsia="Times New Roman" w:hAnsi="Arial Narrow" w:cs="Calibri"/>
                <w:color w:val="000000"/>
                <w:sz w:val="20"/>
                <w:szCs w:val="20"/>
              </w:rPr>
            </w:pPr>
            <w:r w:rsidRPr="00407DBD">
              <w:rPr>
                <w:rFonts w:ascii="Arial Narrow" w:hAnsi="Arial Narrow"/>
                <w:b/>
                <w:bCs/>
                <w:color w:val="000000" w:themeColor="text1"/>
              </w:rPr>
              <w:t>$</w:t>
            </w:r>
            <w:r w:rsidR="00016251" w:rsidRPr="00407DBD">
              <w:rPr>
                <w:rFonts w:ascii="Arial Narrow" w:hAnsi="Arial Narrow"/>
                <w:b/>
                <w:bCs/>
                <w:color w:val="000000" w:themeColor="text1"/>
              </w:rPr>
              <w:t>redacted</w:t>
            </w:r>
          </w:p>
        </w:tc>
      </w:tr>
      <w:tr w:rsidR="00407DBD" w:rsidRPr="00381655" w14:paraId="41EBA2B2" w14:textId="77777777" w:rsidTr="00572728">
        <w:trPr>
          <w:trHeight w:val="254"/>
        </w:trPr>
        <w:tc>
          <w:tcPr>
            <w:tcW w:w="1271" w:type="dxa"/>
            <w:vMerge w:val="restart"/>
            <w:vAlign w:val="center"/>
            <w:hideMark/>
          </w:tcPr>
          <w:p w14:paraId="625ED308" w14:textId="352A2405" w:rsidR="009231A0" w:rsidRPr="00381655" w:rsidRDefault="009231A0" w:rsidP="009231A0">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Cost of BCI kit</w:t>
            </w:r>
          </w:p>
        </w:tc>
        <w:tc>
          <w:tcPr>
            <w:tcW w:w="1164" w:type="dxa"/>
            <w:vMerge w:val="restart"/>
            <w:noWrap/>
            <w:vAlign w:val="center"/>
            <w:hideMark/>
          </w:tcPr>
          <w:p w14:paraId="6AD2C80C" w14:textId="421CEB51" w:rsidR="009231A0" w:rsidRPr="00381655" w:rsidRDefault="0067698F" w:rsidP="009231A0">
            <w:pPr>
              <w:keepNext/>
              <w:keepLines/>
              <w:spacing w:after="0" w:line="240" w:lineRule="auto"/>
              <w:jc w:val="center"/>
              <w:rPr>
                <w:rFonts w:ascii="Arial Narrow" w:eastAsia="Times New Roman" w:hAnsi="Arial Narrow" w:cs="Calibri"/>
                <w:color w:val="000000"/>
                <w:sz w:val="20"/>
                <w:szCs w:val="20"/>
              </w:rPr>
            </w:pPr>
            <w:r w:rsidRPr="008B492D">
              <w:rPr>
                <w:rFonts w:ascii="Arial Narrow" w:hAnsi="Arial Narrow"/>
                <w:b/>
                <w:bCs/>
                <w:color w:val="000000" w:themeColor="text1"/>
              </w:rPr>
              <w:t>$</w:t>
            </w:r>
            <w:r w:rsidR="009231A0" w:rsidRPr="008B492D">
              <w:rPr>
                <w:rFonts w:ascii="Arial Narrow" w:hAnsi="Arial Narrow"/>
                <w:b/>
                <w:bCs/>
                <w:color w:val="000000" w:themeColor="text1"/>
              </w:rPr>
              <w:t>redacted</w:t>
            </w:r>
            <w:r w:rsidR="009231A0" w:rsidRPr="00381655">
              <w:rPr>
                <w:rFonts w:ascii="Arial Narrow" w:eastAsia="Times New Roman" w:hAnsi="Arial Narrow" w:cs="Calibri"/>
                <w:color w:val="000000"/>
                <w:sz w:val="20"/>
                <w:szCs w:val="20"/>
              </w:rPr>
              <w:t> </w:t>
            </w:r>
          </w:p>
        </w:tc>
        <w:tc>
          <w:tcPr>
            <w:tcW w:w="994" w:type="dxa"/>
            <w:noWrap/>
            <w:vAlign w:val="center"/>
            <w:hideMark/>
          </w:tcPr>
          <w:p w14:paraId="33517503" w14:textId="77777777" w:rsidR="009231A0" w:rsidRPr="00381655" w:rsidRDefault="009231A0" w:rsidP="009231A0">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20% increase:</w:t>
            </w:r>
          </w:p>
        </w:tc>
        <w:tc>
          <w:tcPr>
            <w:tcW w:w="1141" w:type="dxa"/>
            <w:noWrap/>
            <w:hideMark/>
          </w:tcPr>
          <w:p w14:paraId="5702C948" w14:textId="2E6C555D" w:rsidR="009231A0" w:rsidRPr="00381655" w:rsidRDefault="0067698F" w:rsidP="009231A0">
            <w:pPr>
              <w:keepNext/>
              <w:keepLines/>
              <w:spacing w:after="0" w:line="240" w:lineRule="auto"/>
              <w:jc w:val="right"/>
              <w:rPr>
                <w:rFonts w:ascii="Arial Narrow" w:eastAsia="Times New Roman" w:hAnsi="Arial Narrow" w:cs="Calibri"/>
                <w:color w:val="000000"/>
                <w:sz w:val="20"/>
                <w:szCs w:val="20"/>
              </w:rPr>
            </w:pPr>
            <w:r w:rsidRPr="008B492D">
              <w:rPr>
                <w:rFonts w:ascii="Arial Narrow" w:hAnsi="Arial Narrow"/>
                <w:b/>
                <w:bCs/>
                <w:color w:val="000000" w:themeColor="text1"/>
              </w:rPr>
              <w:t>$</w:t>
            </w:r>
            <w:r w:rsidR="009231A0" w:rsidRPr="008B492D">
              <w:rPr>
                <w:rFonts w:ascii="Arial Narrow" w:hAnsi="Arial Narrow"/>
                <w:b/>
                <w:bCs/>
                <w:color w:val="000000" w:themeColor="text1"/>
              </w:rPr>
              <w:t>redacted</w:t>
            </w:r>
          </w:p>
        </w:tc>
        <w:tc>
          <w:tcPr>
            <w:tcW w:w="1466" w:type="dxa"/>
            <w:noWrap/>
            <w:hideMark/>
          </w:tcPr>
          <w:p w14:paraId="34450720" w14:textId="7A8D7A49" w:rsidR="009231A0" w:rsidRPr="00381655" w:rsidRDefault="0067698F" w:rsidP="009231A0">
            <w:pPr>
              <w:keepNext/>
              <w:keepLines/>
              <w:spacing w:after="0" w:line="240" w:lineRule="auto"/>
              <w:jc w:val="right"/>
              <w:rPr>
                <w:rFonts w:ascii="Arial Narrow" w:eastAsia="Times New Roman" w:hAnsi="Arial Narrow" w:cs="Calibri"/>
                <w:color w:val="000000"/>
                <w:sz w:val="20"/>
                <w:szCs w:val="20"/>
              </w:rPr>
            </w:pPr>
            <w:r w:rsidRPr="008B492D">
              <w:rPr>
                <w:rFonts w:ascii="Arial Narrow" w:hAnsi="Arial Narrow"/>
                <w:b/>
                <w:bCs/>
                <w:color w:val="000000" w:themeColor="text1"/>
              </w:rPr>
              <w:t>$</w:t>
            </w:r>
            <w:r w:rsidR="009231A0" w:rsidRPr="008B492D">
              <w:rPr>
                <w:rFonts w:ascii="Arial Narrow" w:hAnsi="Arial Narrow"/>
                <w:b/>
                <w:bCs/>
                <w:color w:val="000000" w:themeColor="text1"/>
              </w:rPr>
              <w:t>redacted</w:t>
            </w:r>
          </w:p>
        </w:tc>
        <w:tc>
          <w:tcPr>
            <w:tcW w:w="1532" w:type="dxa"/>
            <w:noWrap/>
            <w:hideMark/>
          </w:tcPr>
          <w:p w14:paraId="572F2E24" w14:textId="549FB8A8" w:rsidR="009231A0" w:rsidRPr="00381655" w:rsidRDefault="0067698F" w:rsidP="009231A0">
            <w:pPr>
              <w:keepNext/>
              <w:keepLines/>
              <w:spacing w:after="0" w:line="240" w:lineRule="auto"/>
              <w:jc w:val="right"/>
              <w:rPr>
                <w:rFonts w:ascii="Arial Narrow" w:eastAsia="Times New Roman" w:hAnsi="Arial Narrow" w:cs="Calibri"/>
                <w:color w:val="000000"/>
                <w:sz w:val="20"/>
                <w:szCs w:val="20"/>
              </w:rPr>
            </w:pPr>
            <w:r w:rsidRPr="008B492D">
              <w:rPr>
                <w:rFonts w:ascii="Arial Narrow" w:hAnsi="Arial Narrow"/>
                <w:b/>
                <w:bCs/>
                <w:color w:val="000000" w:themeColor="text1"/>
              </w:rPr>
              <w:t>$</w:t>
            </w:r>
            <w:r w:rsidR="009231A0" w:rsidRPr="008B492D">
              <w:rPr>
                <w:rFonts w:ascii="Arial Narrow" w:hAnsi="Arial Narrow"/>
                <w:b/>
                <w:bCs/>
                <w:color w:val="000000" w:themeColor="text1"/>
              </w:rPr>
              <w:t>redacted</w:t>
            </w:r>
          </w:p>
        </w:tc>
        <w:tc>
          <w:tcPr>
            <w:tcW w:w="1448" w:type="dxa"/>
            <w:noWrap/>
            <w:hideMark/>
          </w:tcPr>
          <w:p w14:paraId="4809FAE9" w14:textId="0BD748FB" w:rsidR="009231A0" w:rsidRPr="00381655" w:rsidRDefault="0067698F" w:rsidP="009231A0">
            <w:pPr>
              <w:keepNext/>
              <w:keepLines/>
              <w:spacing w:after="0" w:line="240" w:lineRule="auto"/>
              <w:jc w:val="right"/>
              <w:rPr>
                <w:rFonts w:ascii="Arial Narrow" w:eastAsia="Times New Roman" w:hAnsi="Arial Narrow" w:cs="Calibri"/>
                <w:color w:val="000000"/>
                <w:sz w:val="20"/>
                <w:szCs w:val="20"/>
              </w:rPr>
            </w:pPr>
            <w:r w:rsidRPr="008B492D">
              <w:rPr>
                <w:rFonts w:ascii="Arial Narrow" w:hAnsi="Arial Narrow"/>
                <w:b/>
                <w:bCs/>
                <w:color w:val="000000" w:themeColor="text1"/>
              </w:rPr>
              <w:t>$</w:t>
            </w:r>
            <w:r w:rsidR="009231A0" w:rsidRPr="008B492D">
              <w:rPr>
                <w:rFonts w:ascii="Arial Narrow" w:hAnsi="Arial Narrow"/>
                <w:b/>
                <w:bCs/>
                <w:color w:val="000000" w:themeColor="text1"/>
              </w:rPr>
              <w:t>redacted</w:t>
            </w:r>
          </w:p>
        </w:tc>
      </w:tr>
      <w:tr w:rsidR="00407DBD" w:rsidRPr="00381655" w14:paraId="3FA63AE9" w14:textId="77777777" w:rsidTr="00572728">
        <w:trPr>
          <w:trHeight w:val="265"/>
        </w:trPr>
        <w:tc>
          <w:tcPr>
            <w:tcW w:w="1271" w:type="dxa"/>
            <w:vMerge/>
            <w:vAlign w:val="center"/>
            <w:hideMark/>
          </w:tcPr>
          <w:p w14:paraId="07CD6FA4" w14:textId="77777777" w:rsidR="009231A0" w:rsidRPr="00381655" w:rsidRDefault="009231A0" w:rsidP="009231A0">
            <w:pPr>
              <w:keepNext/>
              <w:keepLines/>
              <w:spacing w:after="0" w:line="240" w:lineRule="auto"/>
              <w:rPr>
                <w:rFonts w:ascii="Arial Narrow" w:eastAsia="Times New Roman" w:hAnsi="Arial Narrow" w:cs="Calibri"/>
                <w:color w:val="000000"/>
                <w:sz w:val="20"/>
                <w:szCs w:val="20"/>
              </w:rPr>
            </w:pPr>
          </w:p>
        </w:tc>
        <w:tc>
          <w:tcPr>
            <w:tcW w:w="1164" w:type="dxa"/>
            <w:vMerge/>
            <w:noWrap/>
            <w:vAlign w:val="center"/>
            <w:hideMark/>
          </w:tcPr>
          <w:p w14:paraId="6F40AC69" w14:textId="47514470" w:rsidR="009231A0" w:rsidRPr="00381655" w:rsidRDefault="009231A0" w:rsidP="009231A0">
            <w:pPr>
              <w:keepNext/>
              <w:keepLines/>
              <w:spacing w:after="0" w:line="240" w:lineRule="auto"/>
              <w:jc w:val="center"/>
              <w:rPr>
                <w:rFonts w:ascii="Arial Narrow" w:eastAsia="Times New Roman" w:hAnsi="Arial Narrow" w:cs="Calibri"/>
                <w:color w:val="000000"/>
                <w:sz w:val="20"/>
                <w:szCs w:val="20"/>
              </w:rPr>
            </w:pPr>
          </w:p>
        </w:tc>
        <w:tc>
          <w:tcPr>
            <w:tcW w:w="994" w:type="dxa"/>
            <w:noWrap/>
            <w:vAlign w:val="center"/>
            <w:hideMark/>
          </w:tcPr>
          <w:p w14:paraId="1F231D13" w14:textId="77777777" w:rsidR="009231A0" w:rsidRPr="00381655" w:rsidRDefault="009231A0" w:rsidP="009231A0">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20% decrease:</w:t>
            </w:r>
          </w:p>
        </w:tc>
        <w:tc>
          <w:tcPr>
            <w:tcW w:w="1141" w:type="dxa"/>
            <w:noWrap/>
            <w:hideMark/>
          </w:tcPr>
          <w:p w14:paraId="211F2F28" w14:textId="0F80DBE3" w:rsidR="009231A0" w:rsidRPr="00381655" w:rsidRDefault="0067698F" w:rsidP="009231A0">
            <w:pPr>
              <w:keepNext/>
              <w:keepLines/>
              <w:spacing w:after="0" w:line="240" w:lineRule="auto"/>
              <w:jc w:val="right"/>
              <w:rPr>
                <w:rFonts w:ascii="Arial Narrow" w:eastAsia="Times New Roman" w:hAnsi="Arial Narrow" w:cs="Calibri"/>
                <w:color w:val="000000"/>
                <w:sz w:val="20"/>
                <w:szCs w:val="20"/>
              </w:rPr>
            </w:pPr>
            <w:r w:rsidRPr="009812D8">
              <w:rPr>
                <w:rFonts w:ascii="Arial Narrow" w:hAnsi="Arial Narrow"/>
                <w:b/>
                <w:bCs/>
                <w:color w:val="000000" w:themeColor="text1"/>
              </w:rPr>
              <w:t>$</w:t>
            </w:r>
            <w:r w:rsidR="009231A0" w:rsidRPr="009812D8">
              <w:rPr>
                <w:rFonts w:ascii="Arial Narrow" w:hAnsi="Arial Narrow"/>
                <w:b/>
                <w:bCs/>
                <w:color w:val="000000" w:themeColor="text1"/>
              </w:rPr>
              <w:t>redacted</w:t>
            </w:r>
          </w:p>
        </w:tc>
        <w:tc>
          <w:tcPr>
            <w:tcW w:w="1466" w:type="dxa"/>
            <w:noWrap/>
            <w:hideMark/>
          </w:tcPr>
          <w:p w14:paraId="091030D4" w14:textId="6D5177A0" w:rsidR="009231A0" w:rsidRPr="00381655" w:rsidRDefault="0067698F" w:rsidP="009231A0">
            <w:pPr>
              <w:keepNext/>
              <w:keepLines/>
              <w:spacing w:after="0" w:line="240" w:lineRule="auto"/>
              <w:jc w:val="right"/>
              <w:rPr>
                <w:rFonts w:ascii="Arial Narrow" w:eastAsia="Times New Roman" w:hAnsi="Arial Narrow" w:cs="Calibri"/>
                <w:color w:val="000000"/>
                <w:sz w:val="20"/>
                <w:szCs w:val="20"/>
              </w:rPr>
            </w:pPr>
            <w:r w:rsidRPr="009812D8">
              <w:rPr>
                <w:rFonts w:ascii="Arial Narrow" w:hAnsi="Arial Narrow"/>
                <w:b/>
                <w:bCs/>
                <w:color w:val="000000" w:themeColor="text1"/>
              </w:rPr>
              <w:t>$</w:t>
            </w:r>
            <w:r w:rsidR="009231A0" w:rsidRPr="009812D8">
              <w:rPr>
                <w:rFonts w:ascii="Arial Narrow" w:hAnsi="Arial Narrow"/>
                <w:b/>
                <w:bCs/>
                <w:color w:val="000000" w:themeColor="text1"/>
              </w:rPr>
              <w:t>redacted</w:t>
            </w:r>
          </w:p>
        </w:tc>
        <w:tc>
          <w:tcPr>
            <w:tcW w:w="1532" w:type="dxa"/>
            <w:noWrap/>
            <w:hideMark/>
          </w:tcPr>
          <w:p w14:paraId="4D2DE39F" w14:textId="6389A40A" w:rsidR="009231A0" w:rsidRPr="00381655" w:rsidRDefault="0067698F" w:rsidP="009231A0">
            <w:pPr>
              <w:keepNext/>
              <w:keepLines/>
              <w:spacing w:after="0" w:line="240" w:lineRule="auto"/>
              <w:jc w:val="right"/>
              <w:rPr>
                <w:rFonts w:ascii="Arial Narrow" w:eastAsia="Times New Roman" w:hAnsi="Arial Narrow" w:cs="Calibri"/>
                <w:color w:val="000000"/>
                <w:sz w:val="20"/>
                <w:szCs w:val="20"/>
              </w:rPr>
            </w:pPr>
            <w:r w:rsidRPr="009812D8">
              <w:rPr>
                <w:rFonts w:ascii="Arial Narrow" w:hAnsi="Arial Narrow"/>
                <w:b/>
                <w:bCs/>
                <w:color w:val="000000" w:themeColor="text1"/>
              </w:rPr>
              <w:t>$</w:t>
            </w:r>
            <w:r w:rsidR="009231A0" w:rsidRPr="009812D8">
              <w:rPr>
                <w:rFonts w:ascii="Arial Narrow" w:hAnsi="Arial Narrow"/>
                <w:b/>
                <w:bCs/>
                <w:color w:val="000000" w:themeColor="text1"/>
              </w:rPr>
              <w:t>redacted</w:t>
            </w:r>
          </w:p>
        </w:tc>
        <w:tc>
          <w:tcPr>
            <w:tcW w:w="1448" w:type="dxa"/>
            <w:noWrap/>
            <w:hideMark/>
          </w:tcPr>
          <w:p w14:paraId="748223D9" w14:textId="186FCEDB" w:rsidR="009231A0" w:rsidRPr="00381655" w:rsidRDefault="0067698F" w:rsidP="009231A0">
            <w:pPr>
              <w:keepNext/>
              <w:keepLines/>
              <w:spacing w:after="0" w:line="240" w:lineRule="auto"/>
              <w:jc w:val="right"/>
              <w:rPr>
                <w:rFonts w:ascii="Arial Narrow" w:eastAsia="Times New Roman" w:hAnsi="Arial Narrow" w:cs="Calibri"/>
                <w:color w:val="000000"/>
                <w:sz w:val="20"/>
                <w:szCs w:val="20"/>
              </w:rPr>
            </w:pPr>
            <w:r w:rsidRPr="009812D8">
              <w:rPr>
                <w:rFonts w:ascii="Arial Narrow" w:hAnsi="Arial Narrow"/>
                <w:b/>
                <w:bCs/>
                <w:color w:val="000000" w:themeColor="text1"/>
              </w:rPr>
              <w:t>$</w:t>
            </w:r>
            <w:r w:rsidR="009231A0" w:rsidRPr="009812D8">
              <w:rPr>
                <w:rFonts w:ascii="Arial Narrow" w:hAnsi="Arial Narrow"/>
                <w:b/>
                <w:bCs/>
                <w:color w:val="000000" w:themeColor="text1"/>
              </w:rPr>
              <w:t>redacted</w:t>
            </w:r>
          </w:p>
        </w:tc>
      </w:tr>
      <w:tr w:rsidR="001F7917" w:rsidRPr="00381655" w14:paraId="5237C69D" w14:textId="77777777" w:rsidTr="009231A0">
        <w:trPr>
          <w:trHeight w:val="391"/>
        </w:trPr>
        <w:tc>
          <w:tcPr>
            <w:tcW w:w="9016" w:type="dxa"/>
            <w:gridSpan w:val="7"/>
            <w:vAlign w:val="center"/>
          </w:tcPr>
          <w:p w14:paraId="370B93F4" w14:textId="1D9910E8" w:rsidR="001F7917" w:rsidRPr="00381655" w:rsidRDefault="001F7917" w:rsidP="00865ECD">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Multivariate analysis</w:t>
            </w:r>
          </w:p>
        </w:tc>
      </w:tr>
      <w:tr w:rsidR="00407DBD" w:rsidRPr="00CB7D15" w14:paraId="7D0010A7" w14:textId="77777777" w:rsidTr="00572728">
        <w:trPr>
          <w:trHeight w:val="265"/>
        </w:trPr>
        <w:tc>
          <w:tcPr>
            <w:tcW w:w="1271" w:type="dxa"/>
            <w:vMerge w:val="restart"/>
            <w:vAlign w:val="center"/>
          </w:tcPr>
          <w:p w14:paraId="251C07DD" w14:textId="1FBA6334" w:rsidR="001F7917" w:rsidRPr="00381655" w:rsidRDefault="001F7917" w:rsidP="00865ECD">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Utility value for all tear fails to heal health states</w:t>
            </w:r>
          </w:p>
        </w:tc>
        <w:tc>
          <w:tcPr>
            <w:tcW w:w="1164" w:type="dxa"/>
            <w:vMerge w:val="restart"/>
            <w:noWrap/>
            <w:vAlign w:val="center"/>
          </w:tcPr>
          <w:p w14:paraId="3F66805A" w14:textId="05CDC35C" w:rsidR="001F7917" w:rsidRPr="00381655" w:rsidRDefault="001F7917" w:rsidP="00865ECD">
            <w:pPr>
              <w:keepNext/>
              <w:keepLines/>
              <w:spacing w:after="0" w:line="240" w:lineRule="auto"/>
              <w:jc w:val="center"/>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 xml:space="preserve">0.679 </w:t>
            </w:r>
          </w:p>
        </w:tc>
        <w:tc>
          <w:tcPr>
            <w:tcW w:w="994" w:type="dxa"/>
            <w:noWrap/>
            <w:vAlign w:val="center"/>
          </w:tcPr>
          <w:p w14:paraId="5A56D915" w14:textId="1837F9E3" w:rsidR="001F7917" w:rsidRPr="00381655" w:rsidRDefault="001F7917" w:rsidP="00865ECD">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20% increase:</w:t>
            </w:r>
          </w:p>
        </w:tc>
        <w:tc>
          <w:tcPr>
            <w:tcW w:w="1141" w:type="dxa"/>
            <w:noWrap/>
            <w:vAlign w:val="center"/>
          </w:tcPr>
          <w:p w14:paraId="683EA24C" w14:textId="6D12DE2F" w:rsidR="001F7917" w:rsidRPr="00381655" w:rsidRDefault="00616DFF" w:rsidP="00865ECD">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 xml:space="preserve">Y1 - </w:t>
            </w:r>
            <w:r w:rsidR="00741EFD" w:rsidRPr="00381655">
              <w:rPr>
                <w:rFonts w:ascii="Arial Narrow" w:eastAsia="Times New Roman" w:hAnsi="Arial Narrow" w:cs="Calibri"/>
                <w:color w:val="000000"/>
                <w:sz w:val="20"/>
                <w:szCs w:val="20"/>
              </w:rPr>
              <w:t>0.797</w:t>
            </w:r>
          </w:p>
          <w:p w14:paraId="50D2D30B" w14:textId="62A44793" w:rsidR="00616DFF" w:rsidRPr="00381655" w:rsidRDefault="00616DFF" w:rsidP="00865ECD">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 xml:space="preserve">Y2 - </w:t>
            </w:r>
            <w:r w:rsidR="00741EFD" w:rsidRPr="00381655">
              <w:rPr>
                <w:rFonts w:ascii="Arial Narrow" w:eastAsia="Times New Roman" w:hAnsi="Arial Narrow" w:cs="Calibri"/>
                <w:color w:val="000000"/>
                <w:sz w:val="20"/>
                <w:szCs w:val="20"/>
              </w:rPr>
              <w:t>0.815</w:t>
            </w:r>
          </w:p>
        </w:tc>
        <w:tc>
          <w:tcPr>
            <w:tcW w:w="1466" w:type="dxa"/>
            <w:noWrap/>
            <w:vAlign w:val="center"/>
          </w:tcPr>
          <w:p w14:paraId="42F733B9" w14:textId="4AD6AA73" w:rsidR="001F7917" w:rsidRPr="00381655" w:rsidRDefault="00186146" w:rsidP="00865ECD">
            <w:pPr>
              <w:keepNext/>
              <w:keepLines/>
              <w:spacing w:after="0" w:line="240" w:lineRule="auto"/>
              <w:jc w:val="right"/>
              <w:rPr>
                <w:rFonts w:ascii="Arial Narrow" w:eastAsia="Times New Roman" w:hAnsi="Arial Narrow" w:cs="Calibri"/>
                <w:color w:val="000000"/>
                <w:sz w:val="20"/>
                <w:szCs w:val="20"/>
              </w:rPr>
            </w:pPr>
            <w:r w:rsidRPr="00407DBD">
              <w:rPr>
                <w:rFonts w:ascii="Arial Narrow" w:hAnsi="Arial Narrow"/>
                <w:b/>
                <w:bCs/>
                <w:color w:val="000000" w:themeColor="text1"/>
              </w:rPr>
              <w:t>$</w:t>
            </w:r>
            <w:r w:rsidR="00016251" w:rsidRPr="00407DBD">
              <w:rPr>
                <w:rFonts w:ascii="Arial Narrow" w:hAnsi="Arial Narrow"/>
                <w:b/>
                <w:bCs/>
                <w:color w:val="000000" w:themeColor="text1"/>
              </w:rPr>
              <w:t>redacted</w:t>
            </w:r>
          </w:p>
        </w:tc>
        <w:tc>
          <w:tcPr>
            <w:tcW w:w="1532" w:type="dxa"/>
            <w:noWrap/>
            <w:vAlign w:val="center"/>
          </w:tcPr>
          <w:p w14:paraId="20881B2C" w14:textId="4E6CF046" w:rsidR="001F7917" w:rsidRPr="00381655" w:rsidRDefault="001F7917" w:rsidP="00865ECD">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N/A</w:t>
            </w:r>
          </w:p>
        </w:tc>
        <w:tc>
          <w:tcPr>
            <w:tcW w:w="1448" w:type="dxa"/>
            <w:noWrap/>
            <w:vAlign w:val="center"/>
          </w:tcPr>
          <w:p w14:paraId="20872E18" w14:textId="444A8ADE" w:rsidR="001F7917" w:rsidRPr="00381655" w:rsidRDefault="001F7917" w:rsidP="00865ECD">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N/A</w:t>
            </w:r>
          </w:p>
        </w:tc>
      </w:tr>
      <w:tr w:rsidR="00407DBD" w:rsidRPr="00CB7D15" w14:paraId="3AB2A535" w14:textId="77777777" w:rsidTr="00572728">
        <w:trPr>
          <w:trHeight w:val="265"/>
        </w:trPr>
        <w:tc>
          <w:tcPr>
            <w:tcW w:w="1271" w:type="dxa"/>
            <w:vMerge/>
            <w:vAlign w:val="center"/>
          </w:tcPr>
          <w:p w14:paraId="068BD0E1" w14:textId="77777777" w:rsidR="001F7917" w:rsidRPr="00381655" w:rsidRDefault="001F7917" w:rsidP="00865ECD">
            <w:pPr>
              <w:keepNext/>
              <w:keepLines/>
              <w:spacing w:after="0" w:line="240" w:lineRule="auto"/>
              <w:rPr>
                <w:rFonts w:ascii="Arial Narrow" w:eastAsia="Times New Roman" w:hAnsi="Arial Narrow" w:cs="Calibri"/>
                <w:color w:val="000000"/>
                <w:sz w:val="20"/>
                <w:szCs w:val="20"/>
              </w:rPr>
            </w:pPr>
          </w:p>
        </w:tc>
        <w:tc>
          <w:tcPr>
            <w:tcW w:w="1164" w:type="dxa"/>
            <w:vMerge/>
            <w:noWrap/>
            <w:vAlign w:val="center"/>
          </w:tcPr>
          <w:p w14:paraId="3CD9051B" w14:textId="77777777" w:rsidR="001F7917" w:rsidRPr="00381655" w:rsidRDefault="001F7917" w:rsidP="00865ECD">
            <w:pPr>
              <w:keepNext/>
              <w:keepLines/>
              <w:spacing w:after="0" w:line="240" w:lineRule="auto"/>
              <w:jc w:val="center"/>
              <w:rPr>
                <w:rFonts w:ascii="Arial Narrow" w:eastAsia="Times New Roman" w:hAnsi="Arial Narrow" w:cs="Calibri"/>
                <w:color w:val="000000"/>
                <w:sz w:val="20"/>
                <w:szCs w:val="20"/>
              </w:rPr>
            </w:pPr>
          </w:p>
        </w:tc>
        <w:tc>
          <w:tcPr>
            <w:tcW w:w="994" w:type="dxa"/>
            <w:noWrap/>
            <w:vAlign w:val="center"/>
          </w:tcPr>
          <w:p w14:paraId="6CA5AD94" w14:textId="52C438A4" w:rsidR="001F7917" w:rsidRPr="00381655" w:rsidRDefault="001F7917" w:rsidP="00865ECD">
            <w:pPr>
              <w:keepNext/>
              <w:keepLines/>
              <w:spacing w:after="0" w:line="240" w:lineRule="auto"/>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20% decrease:</w:t>
            </w:r>
          </w:p>
        </w:tc>
        <w:tc>
          <w:tcPr>
            <w:tcW w:w="1141" w:type="dxa"/>
            <w:noWrap/>
            <w:vAlign w:val="center"/>
          </w:tcPr>
          <w:p w14:paraId="52D6BAE2" w14:textId="5247E296" w:rsidR="00741EFD" w:rsidRPr="00381655" w:rsidRDefault="00741EFD" w:rsidP="00865ECD">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 xml:space="preserve">Y1 – 0.531 </w:t>
            </w:r>
          </w:p>
          <w:p w14:paraId="2B00FFA0" w14:textId="2B3DF751" w:rsidR="001F7917" w:rsidRPr="00381655" w:rsidRDefault="00741EFD" w:rsidP="00865ECD">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 xml:space="preserve">Y2 - </w:t>
            </w:r>
            <w:r w:rsidR="001F7917" w:rsidRPr="00381655">
              <w:rPr>
                <w:rFonts w:ascii="Arial Narrow" w:eastAsia="Times New Roman" w:hAnsi="Arial Narrow" w:cs="Calibri"/>
                <w:color w:val="000000"/>
                <w:sz w:val="20"/>
                <w:szCs w:val="20"/>
              </w:rPr>
              <w:t>0.543</w:t>
            </w:r>
          </w:p>
        </w:tc>
        <w:tc>
          <w:tcPr>
            <w:tcW w:w="1466" w:type="dxa"/>
            <w:noWrap/>
            <w:vAlign w:val="center"/>
          </w:tcPr>
          <w:p w14:paraId="605B7683" w14:textId="63005F84" w:rsidR="001F7917" w:rsidRPr="00381655" w:rsidRDefault="00186146" w:rsidP="00865ECD">
            <w:pPr>
              <w:keepNext/>
              <w:keepLines/>
              <w:spacing w:after="0" w:line="240" w:lineRule="auto"/>
              <w:jc w:val="right"/>
              <w:rPr>
                <w:rFonts w:ascii="Arial Narrow" w:eastAsia="Times New Roman" w:hAnsi="Arial Narrow" w:cs="Calibri"/>
                <w:color w:val="000000"/>
                <w:sz w:val="20"/>
                <w:szCs w:val="20"/>
              </w:rPr>
            </w:pPr>
            <w:r w:rsidRPr="00407DBD">
              <w:rPr>
                <w:rFonts w:ascii="Arial Narrow" w:hAnsi="Arial Narrow"/>
                <w:b/>
                <w:bCs/>
                <w:color w:val="000000" w:themeColor="text1"/>
              </w:rPr>
              <w:t>$</w:t>
            </w:r>
            <w:r w:rsidR="00016251" w:rsidRPr="00407DBD">
              <w:rPr>
                <w:rFonts w:ascii="Arial Narrow" w:hAnsi="Arial Narrow"/>
                <w:b/>
                <w:bCs/>
                <w:color w:val="000000" w:themeColor="text1"/>
              </w:rPr>
              <w:t>redacted</w:t>
            </w:r>
          </w:p>
        </w:tc>
        <w:tc>
          <w:tcPr>
            <w:tcW w:w="1532" w:type="dxa"/>
            <w:noWrap/>
            <w:vAlign w:val="center"/>
          </w:tcPr>
          <w:p w14:paraId="2FDE742E" w14:textId="3D7DD1C2" w:rsidR="001F7917" w:rsidRPr="00381655" w:rsidRDefault="001F7917" w:rsidP="00865ECD">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N/A</w:t>
            </w:r>
          </w:p>
        </w:tc>
        <w:tc>
          <w:tcPr>
            <w:tcW w:w="1448" w:type="dxa"/>
            <w:noWrap/>
            <w:vAlign w:val="center"/>
          </w:tcPr>
          <w:p w14:paraId="041BD478" w14:textId="1EE4C2B1" w:rsidR="001F7917" w:rsidRPr="00381655" w:rsidRDefault="001F7917" w:rsidP="00865ECD">
            <w:pPr>
              <w:keepNext/>
              <w:keepLines/>
              <w:spacing w:after="0" w:line="240" w:lineRule="auto"/>
              <w:jc w:val="right"/>
              <w:rPr>
                <w:rFonts w:ascii="Arial Narrow" w:eastAsia="Times New Roman" w:hAnsi="Arial Narrow" w:cs="Calibri"/>
                <w:color w:val="000000"/>
                <w:sz w:val="20"/>
                <w:szCs w:val="20"/>
              </w:rPr>
            </w:pPr>
            <w:r w:rsidRPr="00381655">
              <w:rPr>
                <w:rFonts w:ascii="Arial Narrow" w:eastAsia="Times New Roman" w:hAnsi="Arial Narrow" w:cs="Calibri"/>
                <w:color w:val="000000"/>
                <w:sz w:val="20"/>
                <w:szCs w:val="20"/>
              </w:rPr>
              <w:t>N/A</w:t>
            </w:r>
          </w:p>
        </w:tc>
      </w:tr>
    </w:tbl>
    <w:p w14:paraId="42AB65BB" w14:textId="0EC2C759" w:rsidR="000A3D93" w:rsidRDefault="000A3D93" w:rsidP="00865ECD">
      <w:pPr>
        <w:pStyle w:val="Tablenotes"/>
        <w:keepNext/>
        <w:keepLines/>
        <w:rPr>
          <w:rFonts w:eastAsia="Calibri"/>
        </w:rPr>
      </w:pPr>
      <w:r>
        <w:t xml:space="preserve">Source: Table </w:t>
      </w:r>
      <w:r w:rsidR="00984835">
        <w:t>62</w:t>
      </w:r>
      <w:r>
        <w:t>, pg1</w:t>
      </w:r>
      <w:r w:rsidR="00984835">
        <w:t>47</w:t>
      </w:r>
      <w:r>
        <w:t>-1</w:t>
      </w:r>
      <w:r w:rsidR="00984835">
        <w:t>48</w:t>
      </w:r>
      <w:r>
        <w:t xml:space="preserve"> </w:t>
      </w:r>
      <w:r w:rsidRPr="00A7476B">
        <w:rPr>
          <w:rFonts w:eastAsia="Calibri"/>
        </w:rPr>
        <w:t>of the ADAR</w:t>
      </w:r>
    </w:p>
    <w:p w14:paraId="446AA168" w14:textId="1736230D" w:rsidR="000A3D93" w:rsidRDefault="000A3D93" w:rsidP="00865ECD">
      <w:pPr>
        <w:pStyle w:val="Tablenotes"/>
        <w:keepNext/>
        <w:keepLines/>
      </w:pPr>
      <w:r>
        <w:t xml:space="preserve">Abbreviations: </w:t>
      </w:r>
      <w:r w:rsidR="00D221A8">
        <w:t>BCI</w:t>
      </w:r>
      <w:r w:rsidR="00984835" w:rsidRPr="00984835">
        <w:t xml:space="preserve"> = </w:t>
      </w:r>
      <w:proofErr w:type="spellStart"/>
      <w:r w:rsidR="00611C7A">
        <w:t>bioinductive</w:t>
      </w:r>
      <w:proofErr w:type="spellEnd"/>
      <w:r w:rsidR="00611C7A">
        <w:t xml:space="preserve"> collagen implant</w:t>
      </w:r>
      <w:r w:rsidR="00984835" w:rsidRPr="00984835">
        <w:t>;</w:t>
      </w:r>
      <w:r w:rsidR="00984835">
        <w:t xml:space="preserve"> </w:t>
      </w:r>
      <w:r w:rsidR="00984835" w:rsidRPr="00984835">
        <w:t>ICER = incremental cost-effectiveness ratio; MCID = minimal clinical important difference; QALY = quality-adjusted life year</w:t>
      </w:r>
      <w:r w:rsidR="00984835">
        <w:t>; Y = year</w:t>
      </w:r>
      <w:r w:rsidR="00984835" w:rsidRPr="00984835">
        <w:t>.</w:t>
      </w:r>
    </w:p>
    <w:p w14:paraId="4E9A54F2" w14:textId="788D6945" w:rsidR="008F4152" w:rsidRPr="00C328D1" w:rsidRDefault="00274B5E" w:rsidP="00C328D1">
      <w:pPr>
        <w:rPr>
          <w:rStyle w:val="InstructionaltextChar"/>
          <w:color w:val="auto"/>
        </w:rPr>
      </w:pPr>
      <w:r w:rsidRPr="00C328D1">
        <w:rPr>
          <w:rStyle w:val="InstructionaltextChar"/>
          <w:color w:val="auto"/>
        </w:rPr>
        <w:t xml:space="preserve">The commentary noted </w:t>
      </w:r>
      <w:r w:rsidR="00C328D1" w:rsidRPr="00C328D1">
        <w:rPr>
          <w:rStyle w:val="InstructionaltextChar"/>
          <w:color w:val="auto"/>
        </w:rPr>
        <w:t>that the</w:t>
      </w:r>
      <w:r w:rsidRPr="00C328D1">
        <w:rPr>
          <w:rStyle w:val="InstructionaltextChar"/>
          <w:color w:val="auto"/>
        </w:rPr>
        <w:t xml:space="preserve"> modelled economic evaluation still has uncertainties based on the sensitivity analys</w:t>
      </w:r>
      <w:r w:rsidR="00C328D1" w:rsidRPr="00C328D1">
        <w:rPr>
          <w:rStyle w:val="InstructionaltextChar"/>
          <w:color w:val="auto"/>
        </w:rPr>
        <w:t>is</w:t>
      </w:r>
      <w:r w:rsidR="00C328D1">
        <w:rPr>
          <w:rStyle w:val="InstructionaltextChar"/>
          <w:color w:val="auto"/>
        </w:rPr>
        <w:t xml:space="preserve"> and should be interpreted with caution. </w:t>
      </w:r>
      <w:r w:rsidR="00C328D1" w:rsidRPr="00C328D1">
        <w:rPr>
          <w:rStyle w:val="InstructionaltextChar"/>
          <w:color w:val="auto"/>
        </w:rPr>
        <w:t xml:space="preserve"> </w:t>
      </w:r>
    </w:p>
    <w:p w14:paraId="25AE2BAC" w14:textId="08EDA3AD" w:rsidR="00772829" w:rsidRPr="00CE28E3" w:rsidRDefault="00772829" w:rsidP="003126F5">
      <w:pPr>
        <w:pStyle w:val="Heading2"/>
        <w:numPr>
          <w:ilvl w:val="0"/>
          <w:numId w:val="16"/>
        </w:numPr>
        <w:ind w:hanging="720"/>
      </w:pPr>
      <w:bookmarkStart w:id="51" w:name="_Toc69491426"/>
      <w:r w:rsidRPr="00CE28E3">
        <w:t>Financial/budgetary impacts</w:t>
      </w:r>
      <w:bookmarkEnd w:id="51"/>
    </w:p>
    <w:p w14:paraId="5F4E4466" w14:textId="470EA52B" w:rsidR="00A454D0" w:rsidRDefault="00AD0BD9" w:rsidP="00AD0BD9">
      <w:r w:rsidRPr="00AD0BD9">
        <w:t xml:space="preserve">The ADAR evaluated the financial impact of including </w:t>
      </w:r>
      <w:r w:rsidR="00B65EA4">
        <w:t>BCI</w:t>
      </w:r>
      <w:r w:rsidR="00B65EA4" w:rsidRPr="00AD0BD9">
        <w:t xml:space="preserve"> </w:t>
      </w:r>
      <w:r w:rsidRPr="00AD0BD9">
        <w:t>on the PL for private health insurers (PHIs), the MBS and Australian patients. It proposed utili</w:t>
      </w:r>
      <w:r w:rsidR="00BD74D4">
        <w:t>s</w:t>
      </w:r>
      <w:r w:rsidRPr="00AD0BD9">
        <w:t xml:space="preserve">ing existing MBS items 48960, 48906, </w:t>
      </w:r>
      <w:r w:rsidRPr="00AD0BD9">
        <w:lastRenderedPageBreak/>
        <w:t xml:space="preserve">and 48909, which pertain to rotator cuff repair surgeries, for </w:t>
      </w:r>
      <w:r w:rsidR="00B65EA4">
        <w:t>BCI</w:t>
      </w:r>
      <w:r w:rsidRPr="00AD0BD9">
        <w:t xml:space="preserve">. However, since </w:t>
      </w:r>
      <w:r w:rsidR="001E1173">
        <w:t>2</w:t>
      </w:r>
      <w:r w:rsidR="001E1173" w:rsidRPr="00AD0BD9">
        <w:t xml:space="preserve"> </w:t>
      </w:r>
      <w:r w:rsidRPr="00AD0BD9">
        <w:t>of these MBS items are also applicable to other procedures, such as shoulder reconstruction, resection, and replacement, the ADAR employed an epidemiological approach to estimate the financial implications, as a market share approach was not feasible. This was considered a reasonable approach</w:t>
      </w:r>
      <w:r w:rsidR="0074246C">
        <w:t xml:space="preserve"> by the commentary</w:t>
      </w:r>
      <w:r w:rsidRPr="00AD0BD9">
        <w:t>.</w:t>
      </w:r>
      <w:r w:rsidR="00A454D0">
        <w:t xml:space="preserve"> The </w:t>
      </w:r>
      <w:r w:rsidR="00D35F83">
        <w:t xml:space="preserve">methods and data used in the </w:t>
      </w:r>
      <w:r w:rsidR="00EC6433">
        <w:t xml:space="preserve">financial implications remain mostly unchanged from the previous model. However, the ADAR did make changes to address the key issues highlighted </w:t>
      </w:r>
      <w:r w:rsidR="00180980">
        <w:t xml:space="preserve">by MSAC </w:t>
      </w:r>
      <w:r w:rsidR="00C74E2B" w:rsidRPr="00C74E2B">
        <w:t>(MSAC 1593</w:t>
      </w:r>
      <w:r w:rsidR="00C74E2B">
        <w:t>.1</w:t>
      </w:r>
      <w:r w:rsidR="00C74E2B" w:rsidRPr="00C74E2B">
        <w:t xml:space="preserve"> PSD</w:t>
      </w:r>
      <w:r w:rsidR="00C74E2B">
        <w:t>)</w:t>
      </w:r>
      <w:r w:rsidR="00C74E2B" w:rsidRPr="00C74E2B">
        <w:t xml:space="preserve"> and</w:t>
      </w:r>
      <w:r w:rsidR="00EC6433">
        <w:t xml:space="preserve"> updated the costs to current values. </w:t>
      </w:r>
    </w:p>
    <w:p w14:paraId="4F84EFB0" w14:textId="04A31E14" w:rsidR="00142489" w:rsidRDefault="0049036E" w:rsidP="00330A0A">
      <w:r>
        <w:t>T</w:t>
      </w:r>
      <w:r w:rsidR="00142489" w:rsidRPr="00142489">
        <w:t>he ADAR derived data on the percentage reduction in health resource utili</w:t>
      </w:r>
      <w:r w:rsidR="00445870">
        <w:t>s</w:t>
      </w:r>
      <w:r w:rsidR="00142489" w:rsidRPr="00142489">
        <w:t xml:space="preserve">ation from the same source as the economic model. Consequently, the issues identified in the transition probability inputs also applied to the financial calculations. For instance, the ADAR adjusted the Ruiz </w:t>
      </w:r>
      <w:proofErr w:type="spellStart"/>
      <w:r w:rsidR="007F47D3" w:rsidRPr="00BB05DE">
        <w:t>Ibán</w:t>
      </w:r>
      <w:proofErr w:type="spellEnd"/>
      <w:r w:rsidR="00142489" w:rsidRPr="00142489">
        <w:t xml:space="preserve"> (2025) data using the Truong et al. (2021) cohort study to estimate the probability of undergoing revision RCR or reverse shoulder arthroplasty.</w:t>
      </w:r>
    </w:p>
    <w:p w14:paraId="595D7B75" w14:textId="5992B032" w:rsidR="00E30285" w:rsidRDefault="00E30285" w:rsidP="0062012F">
      <w:pPr>
        <w:pStyle w:val="Heading4"/>
        <w:spacing w:before="0" w:after="120"/>
      </w:pPr>
      <w:r w:rsidRPr="00B821D3">
        <w:t>Net financial impact on Private Health Insurance</w:t>
      </w:r>
    </w:p>
    <w:p w14:paraId="4FE2390F" w14:textId="57BC77FF" w:rsidR="0072578A" w:rsidRDefault="00D428B9" w:rsidP="00330A0A">
      <w:r w:rsidRPr="00CE28E3">
        <w:t xml:space="preserve">The financial implications to the </w:t>
      </w:r>
      <w:r w:rsidR="00FC4415">
        <w:t xml:space="preserve">private health insurance system </w:t>
      </w:r>
      <w:r w:rsidRPr="00CE28E3">
        <w:t>resulting from the proposed listing of</w:t>
      </w:r>
      <w:r w:rsidR="00FC4415">
        <w:t xml:space="preserve"> </w:t>
      </w:r>
      <w:r w:rsidR="00445870">
        <w:t>BCI</w:t>
      </w:r>
      <w:r w:rsidR="00C74E2B">
        <w:t xml:space="preserve"> </w:t>
      </w:r>
      <w:r w:rsidR="00C74E2B" w:rsidRPr="00CE28E3">
        <w:t>are</w:t>
      </w:r>
      <w:r w:rsidRPr="00CE28E3">
        <w:t xml:space="preserve"> summarised in </w:t>
      </w:r>
      <w:r w:rsidR="003571C2">
        <w:fldChar w:fldCharType="begin"/>
      </w:r>
      <w:r w:rsidR="003571C2">
        <w:instrText xml:space="preserve"> REF _Ref69726382 \h </w:instrText>
      </w:r>
      <w:r w:rsidR="003571C2">
        <w:fldChar w:fldCharType="separate"/>
      </w:r>
      <w:r w:rsidR="002D4CF2" w:rsidRPr="00CE28E3">
        <w:t>Table</w:t>
      </w:r>
      <w:r w:rsidR="002D4CF2">
        <w:t> </w:t>
      </w:r>
      <w:r w:rsidR="002D4CF2">
        <w:rPr>
          <w:noProof/>
        </w:rPr>
        <w:t>1</w:t>
      </w:r>
      <w:r w:rsidR="005A6DA7">
        <w:rPr>
          <w:noProof/>
        </w:rPr>
        <w:t>6</w:t>
      </w:r>
      <w:r w:rsidR="003571C2">
        <w:fldChar w:fldCharType="end"/>
      </w:r>
      <w:r w:rsidRPr="00CE28E3">
        <w:t xml:space="preserve">. </w:t>
      </w:r>
    </w:p>
    <w:p w14:paraId="07ECA6E9" w14:textId="4682EA60" w:rsidR="008F3DCC" w:rsidRDefault="008F3DCC" w:rsidP="008F3DCC">
      <w:pPr>
        <w:pStyle w:val="Caption"/>
      </w:pPr>
      <w:r>
        <w:t xml:space="preserve">Table </w:t>
      </w:r>
      <w:r w:rsidR="004B28A6">
        <w:fldChar w:fldCharType="begin"/>
      </w:r>
      <w:r w:rsidR="004B28A6">
        <w:instrText xml:space="preserve"> SEQ Table \* ARABIC </w:instrText>
      </w:r>
      <w:r w:rsidR="004B28A6">
        <w:fldChar w:fldCharType="separate"/>
      </w:r>
      <w:r w:rsidR="00564C3F">
        <w:rPr>
          <w:noProof/>
        </w:rPr>
        <w:t>15</w:t>
      </w:r>
      <w:r w:rsidR="004B28A6">
        <w:rPr>
          <w:noProof/>
        </w:rPr>
        <w:fldChar w:fldCharType="end"/>
      </w:r>
      <w:r>
        <w:t xml:space="preserve"> </w:t>
      </w:r>
      <w:r w:rsidRPr="002A6283">
        <w:t xml:space="preserve">Predicted use and costs of </w:t>
      </w:r>
      <w:r w:rsidR="00445870">
        <w:t>BCI</w:t>
      </w:r>
      <w:r w:rsidR="00C74E2B">
        <w:t xml:space="preserve"> </w:t>
      </w:r>
      <w:r w:rsidR="00C74E2B" w:rsidRPr="002A6283">
        <w:t>in</w:t>
      </w:r>
      <w:r w:rsidRPr="002A6283">
        <w:t xml:space="preserve"> rotator cuff surgical repair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7"/>
        <w:gridCol w:w="1847"/>
        <w:gridCol w:w="1032"/>
        <w:gridCol w:w="1031"/>
        <w:gridCol w:w="1031"/>
        <w:gridCol w:w="1031"/>
        <w:gridCol w:w="1031"/>
        <w:gridCol w:w="1026"/>
      </w:tblGrid>
      <w:tr w:rsidR="00C74C05" w:rsidRPr="007B6C9E" w14:paraId="7A670747" w14:textId="77777777">
        <w:trPr>
          <w:trHeight w:val="564"/>
        </w:trPr>
        <w:tc>
          <w:tcPr>
            <w:tcW w:w="547" w:type="pct"/>
            <w:shd w:val="clear" w:color="auto" w:fill="F2F2F2" w:themeFill="background1" w:themeFillShade="F2"/>
            <w:vAlign w:val="center"/>
            <w:hideMark/>
          </w:tcPr>
          <w:p w14:paraId="4D991F39" w14:textId="77777777" w:rsidR="00C74C05" w:rsidRPr="007B6C9E" w:rsidRDefault="00C74C05">
            <w:pPr>
              <w:spacing w:before="0" w:after="0" w:line="240" w:lineRule="auto"/>
              <w:contextualSpacing/>
              <w:rPr>
                <w:rFonts w:ascii="Arial Narrow" w:eastAsia="Times New Roman" w:hAnsi="Arial Narrow" w:cstheme="minorHAnsi"/>
                <w:b/>
                <w:bCs/>
                <w:color w:val="000000"/>
                <w:sz w:val="20"/>
                <w:szCs w:val="20"/>
                <w:lang w:eastAsia="en-AU"/>
              </w:rPr>
            </w:pPr>
            <w:r w:rsidRPr="007B6C9E">
              <w:rPr>
                <w:rFonts w:ascii="Arial Narrow" w:eastAsia="Times New Roman" w:hAnsi="Arial Narrow" w:cstheme="minorHAnsi"/>
                <w:b/>
                <w:bCs/>
                <w:color w:val="000000"/>
                <w:sz w:val="20"/>
                <w:szCs w:val="20"/>
                <w:lang w:eastAsia="en-AU"/>
              </w:rPr>
              <w:t> </w:t>
            </w:r>
          </w:p>
        </w:tc>
        <w:tc>
          <w:tcPr>
            <w:tcW w:w="1024" w:type="pct"/>
            <w:shd w:val="clear" w:color="auto" w:fill="F2F2F2" w:themeFill="background1" w:themeFillShade="F2"/>
            <w:vAlign w:val="center"/>
            <w:hideMark/>
          </w:tcPr>
          <w:p w14:paraId="064FB7BC" w14:textId="77777777" w:rsidR="00C74C05" w:rsidRPr="007B6C9E" w:rsidRDefault="00C74C05">
            <w:pPr>
              <w:spacing w:before="0" w:after="0" w:line="240" w:lineRule="auto"/>
              <w:contextualSpacing/>
              <w:rPr>
                <w:rFonts w:ascii="Arial Narrow" w:eastAsia="Times New Roman" w:hAnsi="Arial Narrow" w:cstheme="minorHAnsi"/>
                <w:b/>
                <w:bCs/>
                <w:color w:val="000000"/>
                <w:sz w:val="20"/>
                <w:szCs w:val="20"/>
                <w:lang w:eastAsia="en-AU"/>
              </w:rPr>
            </w:pPr>
            <w:r w:rsidRPr="007B6C9E">
              <w:rPr>
                <w:rFonts w:ascii="Arial Narrow" w:eastAsia="Times New Roman" w:hAnsi="Arial Narrow" w:cstheme="minorHAnsi"/>
                <w:b/>
                <w:bCs/>
                <w:sz w:val="20"/>
                <w:szCs w:val="20"/>
                <w:lang w:eastAsia="en-AU"/>
              </w:rPr>
              <w:t>Parameter</w:t>
            </w:r>
          </w:p>
        </w:tc>
        <w:tc>
          <w:tcPr>
            <w:tcW w:w="572" w:type="pct"/>
            <w:shd w:val="clear" w:color="auto" w:fill="F2F2F2" w:themeFill="background1" w:themeFillShade="F2"/>
            <w:vAlign w:val="center"/>
            <w:hideMark/>
          </w:tcPr>
          <w:p w14:paraId="3B485B99" w14:textId="77777777" w:rsidR="00C74C05" w:rsidRPr="007B6C9E" w:rsidRDefault="00C74C05">
            <w:pPr>
              <w:spacing w:before="0" w:after="0" w:line="240" w:lineRule="auto"/>
              <w:contextualSpacing/>
              <w:jc w:val="center"/>
              <w:rPr>
                <w:rFonts w:ascii="Arial Narrow" w:eastAsia="Times New Roman" w:hAnsi="Arial Narrow" w:cstheme="minorHAnsi"/>
                <w:b/>
                <w:bCs/>
                <w:color w:val="000000"/>
                <w:sz w:val="20"/>
                <w:szCs w:val="20"/>
                <w:lang w:eastAsia="en-AU"/>
              </w:rPr>
            </w:pPr>
            <w:r w:rsidRPr="007B6C9E">
              <w:rPr>
                <w:rFonts w:ascii="Arial Narrow" w:eastAsia="Times New Roman" w:hAnsi="Arial Narrow" w:cstheme="minorHAnsi"/>
                <w:b/>
                <w:bCs/>
                <w:sz w:val="20"/>
                <w:szCs w:val="20"/>
                <w:lang w:eastAsia="en-AU"/>
              </w:rPr>
              <w:t>Year 1</w:t>
            </w:r>
            <w:r w:rsidRPr="007B6C9E">
              <w:rPr>
                <w:rFonts w:ascii="Arial Narrow" w:eastAsia="Times New Roman" w:hAnsi="Arial Narrow" w:cstheme="minorHAnsi"/>
                <w:b/>
                <w:bCs/>
                <w:sz w:val="20"/>
                <w:szCs w:val="20"/>
                <w:lang w:eastAsia="en-AU"/>
              </w:rPr>
              <w:br/>
              <w:t>(2025)</w:t>
            </w:r>
          </w:p>
        </w:tc>
        <w:tc>
          <w:tcPr>
            <w:tcW w:w="572" w:type="pct"/>
            <w:shd w:val="clear" w:color="auto" w:fill="F2F2F2" w:themeFill="background1" w:themeFillShade="F2"/>
            <w:vAlign w:val="center"/>
            <w:hideMark/>
          </w:tcPr>
          <w:p w14:paraId="61EECE2D" w14:textId="77777777" w:rsidR="00C74C05" w:rsidRPr="007B6C9E" w:rsidRDefault="00C74C05">
            <w:pPr>
              <w:spacing w:before="0" w:after="0" w:line="240" w:lineRule="auto"/>
              <w:contextualSpacing/>
              <w:jc w:val="center"/>
              <w:rPr>
                <w:rFonts w:ascii="Arial Narrow" w:eastAsia="Times New Roman" w:hAnsi="Arial Narrow" w:cstheme="minorHAnsi"/>
                <w:b/>
                <w:bCs/>
                <w:color w:val="000000"/>
                <w:sz w:val="20"/>
                <w:szCs w:val="20"/>
                <w:lang w:eastAsia="en-AU"/>
              </w:rPr>
            </w:pPr>
            <w:r w:rsidRPr="007B6C9E">
              <w:rPr>
                <w:rFonts w:ascii="Arial Narrow" w:eastAsia="Times New Roman" w:hAnsi="Arial Narrow" w:cstheme="minorHAnsi"/>
                <w:b/>
                <w:bCs/>
                <w:sz w:val="20"/>
                <w:szCs w:val="20"/>
                <w:lang w:eastAsia="en-AU"/>
              </w:rPr>
              <w:t>Year 2</w:t>
            </w:r>
            <w:r w:rsidRPr="007B6C9E">
              <w:rPr>
                <w:rFonts w:ascii="Arial Narrow" w:eastAsia="Times New Roman" w:hAnsi="Arial Narrow" w:cstheme="minorHAnsi"/>
                <w:b/>
                <w:bCs/>
                <w:sz w:val="20"/>
                <w:szCs w:val="20"/>
                <w:lang w:eastAsia="en-AU"/>
              </w:rPr>
              <w:br/>
              <w:t>(2026)</w:t>
            </w:r>
          </w:p>
        </w:tc>
        <w:tc>
          <w:tcPr>
            <w:tcW w:w="572" w:type="pct"/>
            <w:shd w:val="clear" w:color="auto" w:fill="F2F2F2" w:themeFill="background1" w:themeFillShade="F2"/>
            <w:vAlign w:val="center"/>
            <w:hideMark/>
          </w:tcPr>
          <w:p w14:paraId="21688D22" w14:textId="77777777" w:rsidR="00C74C05" w:rsidRPr="007B6C9E" w:rsidRDefault="00C74C05">
            <w:pPr>
              <w:spacing w:before="0" w:after="0" w:line="240" w:lineRule="auto"/>
              <w:contextualSpacing/>
              <w:jc w:val="center"/>
              <w:rPr>
                <w:rFonts w:ascii="Arial Narrow" w:eastAsia="Times New Roman" w:hAnsi="Arial Narrow" w:cstheme="minorHAnsi"/>
                <w:b/>
                <w:bCs/>
                <w:color w:val="000000"/>
                <w:sz w:val="20"/>
                <w:szCs w:val="20"/>
                <w:lang w:eastAsia="en-AU"/>
              </w:rPr>
            </w:pPr>
            <w:r w:rsidRPr="007B6C9E">
              <w:rPr>
                <w:rFonts w:ascii="Arial Narrow" w:eastAsia="Times New Roman" w:hAnsi="Arial Narrow" w:cstheme="minorHAnsi"/>
                <w:b/>
                <w:bCs/>
                <w:sz w:val="20"/>
                <w:szCs w:val="20"/>
                <w:lang w:eastAsia="en-AU"/>
              </w:rPr>
              <w:t>Year 3</w:t>
            </w:r>
            <w:r w:rsidRPr="007B6C9E">
              <w:rPr>
                <w:rFonts w:ascii="Arial Narrow" w:eastAsia="Times New Roman" w:hAnsi="Arial Narrow" w:cstheme="minorHAnsi"/>
                <w:b/>
                <w:bCs/>
                <w:sz w:val="20"/>
                <w:szCs w:val="20"/>
                <w:lang w:eastAsia="en-AU"/>
              </w:rPr>
              <w:br/>
              <w:t>(2027)</w:t>
            </w:r>
          </w:p>
        </w:tc>
        <w:tc>
          <w:tcPr>
            <w:tcW w:w="572" w:type="pct"/>
            <w:shd w:val="clear" w:color="auto" w:fill="F2F2F2" w:themeFill="background1" w:themeFillShade="F2"/>
            <w:vAlign w:val="center"/>
            <w:hideMark/>
          </w:tcPr>
          <w:p w14:paraId="42FB23B3" w14:textId="77777777" w:rsidR="00C74C05" w:rsidRPr="007B6C9E" w:rsidRDefault="00C74C05">
            <w:pPr>
              <w:spacing w:before="0" w:after="0" w:line="240" w:lineRule="auto"/>
              <w:contextualSpacing/>
              <w:jc w:val="center"/>
              <w:rPr>
                <w:rFonts w:ascii="Arial Narrow" w:eastAsia="Times New Roman" w:hAnsi="Arial Narrow" w:cstheme="minorHAnsi"/>
                <w:b/>
                <w:bCs/>
                <w:color w:val="000000"/>
                <w:sz w:val="20"/>
                <w:szCs w:val="20"/>
                <w:lang w:eastAsia="en-AU"/>
              </w:rPr>
            </w:pPr>
            <w:r w:rsidRPr="007B6C9E">
              <w:rPr>
                <w:rFonts w:ascii="Arial Narrow" w:eastAsia="Times New Roman" w:hAnsi="Arial Narrow" w:cstheme="minorHAnsi"/>
                <w:b/>
                <w:bCs/>
                <w:sz w:val="20"/>
                <w:szCs w:val="20"/>
                <w:lang w:eastAsia="en-AU"/>
              </w:rPr>
              <w:t>Year 4</w:t>
            </w:r>
            <w:r w:rsidRPr="007B6C9E">
              <w:rPr>
                <w:rFonts w:ascii="Arial Narrow" w:eastAsia="Times New Roman" w:hAnsi="Arial Narrow" w:cstheme="minorHAnsi"/>
                <w:b/>
                <w:bCs/>
                <w:sz w:val="20"/>
                <w:szCs w:val="20"/>
                <w:lang w:eastAsia="en-AU"/>
              </w:rPr>
              <w:br/>
              <w:t>(2028)</w:t>
            </w:r>
          </w:p>
        </w:tc>
        <w:tc>
          <w:tcPr>
            <w:tcW w:w="572" w:type="pct"/>
            <w:shd w:val="clear" w:color="auto" w:fill="F2F2F2" w:themeFill="background1" w:themeFillShade="F2"/>
            <w:vAlign w:val="center"/>
            <w:hideMark/>
          </w:tcPr>
          <w:p w14:paraId="37955568" w14:textId="77777777" w:rsidR="00C74C05" w:rsidRPr="007B6C9E" w:rsidRDefault="00C74C05">
            <w:pPr>
              <w:spacing w:before="0" w:after="0" w:line="240" w:lineRule="auto"/>
              <w:contextualSpacing/>
              <w:jc w:val="center"/>
              <w:rPr>
                <w:rFonts w:ascii="Arial Narrow" w:eastAsia="Times New Roman" w:hAnsi="Arial Narrow" w:cstheme="minorHAnsi"/>
                <w:b/>
                <w:bCs/>
                <w:color w:val="000000"/>
                <w:sz w:val="20"/>
                <w:szCs w:val="20"/>
                <w:lang w:eastAsia="en-AU"/>
              </w:rPr>
            </w:pPr>
            <w:r w:rsidRPr="007B6C9E">
              <w:rPr>
                <w:rFonts w:ascii="Arial Narrow" w:eastAsia="Times New Roman" w:hAnsi="Arial Narrow" w:cstheme="minorHAnsi"/>
                <w:b/>
                <w:bCs/>
                <w:sz w:val="20"/>
                <w:szCs w:val="20"/>
                <w:lang w:eastAsia="en-AU"/>
              </w:rPr>
              <w:t>Year 5</w:t>
            </w:r>
            <w:r w:rsidRPr="007B6C9E">
              <w:rPr>
                <w:rFonts w:ascii="Arial Narrow" w:eastAsia="Times New Roman" w:hAnsi="Arial Narrow" w:cstheme="minorHAnsi"/>
                <w:b/>
                <w:bCs/>
                <w:sz w:val="20"/>
                <w:szCs w:val="20"/>
                <w:lang w:eastAsia="en-AU"/>
              </w:rPr>
              <w:br/>
              <w:t>(2029)</w:t>
            </w:r>
          </w:p>
        </w:tc>
        <w:tc>
          <w:tcPr>
            <w:tcW w:w="569" w:type="pct"/>
            <w:shd w:val="clear" w:color="auto" w:fill="F2F2F2" w:themeFill="background1" w:themeFillShade="F2"/>
            <w:vAlign w:val="center"/>
            <w:hideMark/>
          </w:tcPr>
          <w:p w14:paraId="76FA4647" w14:textId="77777777" w:rsidR="00C74C05" w:rsidRPr="007B6C9E" w:rsidRDefault="00C74C05">
            <w:pPr>
              <w:spacing w:before="0" w:after="0" w:line="240" w:lineRule="auto"/>
              <w:contextualSpacing/>
              <w:jc w:val="center"/>
              <w:rPr>
                <w:rFonts w:ascii="Arial Narrow" w:eastAsia="Times New Roman" w:hAnsi="Arial Narrow" w:cstheme="minorHAnsi"/>
                <w:b/>
                <w:bCs/>
                <w:color w:val="000000"/>
                <w:sz w:val="20"/>
                <w:szCs w:val="20"/>
                <w:lang w:eastAsia="en-AU"/>
              </w:rPr>
            </w:pPr>
            <w:r w:rsidRPr="007B6C9E">
              <w:rPr>
                <w:rFonts w:ascii="Arial Narrow" w:eastAsia="Times New Roman" w:hAnsi="Arial Narrow" w:cstheme="minorHAnsi"/>
                <w:b/>
                <w:bCs/>
                <w:color w:val="000000"/>
                <w:sz w:val="20"/>
                <w:szCs w:val="20"/>
                <w:lang w:eastAsia="en-AU"/>
              </w:rPr>
              <w:t>Year 6</w:t>
            </w:r>
            <w:r w:rsidRPr="007B6C9E">
              <w:rPr>
                <w:rFonts w:ascii="Arial Narrow" w:eastAsia="Times New Roman" w:hAnsi="Arial Narrow" w:cstheme="minorHAnsi"/>
                <w:b/>
                <w:bCs/>
                <w:color w:val="000000"/>
                <w:sz w:val="20"/>
                <w:szCs w:val="20"/>
                <w:lang w:eastAsia="en-AU"/>
              </w:rPr>
              <w:br/>
              <w:t>(2030)</w:t>
            </w:r>
          </w:p>
        </w:tc>
      </w:tr>
      <w:tr w:rsidR="009D69BF" w:rsidRPr="007B6C9E" w14:paraId="3D5BFDF2" w14:textId="77777777" w:rsidTr="009D69BF">
        <w:trPr>
          <w:trHeight w:val="564"/>
        </w:trPr>
        <w:tc>
          <w:tcPr>
            <w:tcW w:w="5000" w:type="pct"/>
            <w:gridSpan w:val="8"/>
            <w:shd w:val="clear" w:color="auto" w:fill="F2F2F2" w:themeFill="background1" w:themeFillShade="F2"/>
            <w:vAlign w:val="center"/>
          </w:tcPr>
          <w:p w14:paraId="2A6D477B" w14:textId="21E46BA2" w:rsidR="009D69BF" w:rsidRPr="007B6C9E" w:rsidRDefault="007A14D1" w:rsidP="007A14D1">
            <w:pPr>
              <w:spacing w:before="0" w:after="0" w:line="240" w:lineRule="auto"/>
              <w:contextualSpacing/>
              <w:rPr>
                <w:rFonts w:ascii="Arial Narrow" w:eastAsia="Times New Roman" w:hAnsi="Arial Narrow" w:cstheme="minorHAnsi"/>
                <w:b/>
                <w:bCs/>
                <w:color w:val="000000"/>
                <w:sz w:val="20"/>
                <w:szCs w:val="20"/>
                <w:lang w:eastAsia="en-AU"/>
              </w:rPr>
            </w:pPr>
            <w:r w:rsidRPr="007B6C9E">
              <w:rPr>
                <w:rFonts w:ascii="Arial Narrow" w:eastAsia="Times New Roman" w:hAnsi="Arial Narrow" w:cstheme="minorHAnsi"/>
                <w:b/>
                <w:bCs/>
                <w:color w:val="000000"/>
                <w:sz w:val="20"/>
                <w:szCs w:val="20"/>
                <w:lang w:eastAsia="en-AU"/>
              </w:rPr>
              <w:t xml:space="preserve">Estimated use of </w:t>
            </w:r>
            <w:r w:rsidR="00445870">
              <w:rPr>
                <w:rFonts w:ascii="Arial Narrow" w:eastAsia="Times New Roman" w:hAnsi="Arial Narrow" w:cstheme="minorHAnsi"/>
                <w:b/>
                <w:bCs/>
                <w:color w:val="000000"/>
                <w:sz w:val="20"/>
                <w:szCs w:val="20"/>
                <w:lang w:eastAsia="en-AU"/>
              </w:rPr>
              <w:t>BCI</w:t>
            </w:r>
            <w:r w:rsidR="00611C7A">
              <w:rPr>
                <w:rFonts w:ascii="Arial Narrow" w:eastAsia="Times New Roman" w:hAnsi="Arial Narrow" w:cstheme="minorHAnsi"/>
                <w:b/>
                <w:bCs/>
                <w:color w:val="000000"/>
                <w:sz w:val="20"/>
                <w:szCs w:val="20"/>
                <w:lang w:eastAsia="en-AU"/>
              </w:rPr>
              <w:t xml:space="preserve"> </w:t>
            </w:r>
          </w:p>
        </w:tc>
      </w:tr>
      <w:tr w:rsidR="00C74C05" w:rsidRPr="007B6C9E" w14:paraId="62E56504" w14:textId="77777777">
        <w:trPr>
          <w:trHeight w:val="564"/>
        </w:trPr>
        <w:tc>
          <w:tcPr>
            <w:tcW w:w="547" w:type="pct"/>
            <w:vAlign w:val="center"/>
            <w:hideMark/>
          </w:tcPr>
          <w:p w14:paraId="5D8F27CD" w14:textId="77777777" w:rsidR="00C74C05" w:rsidRPr="007B6C9E" w:rsidRDefault="00C74C05">
            <w:pPr>
              <w:spacing w:before="0" w:after="0" w:line="240" w:lineRule="auto"/>
              <w:contextualSpacing/>
              <w:rPr>
                <w:rFonts w:ascii="Arial Narrow" w:eastAsia="Times New Roman" w:hAnsi="Arial Narrow" w:cstheme="minorHAnsi"/>
                <w:color w:val="000000"/>
                <w:sz w:val="20"/>
                <w:szCs w:val="20"/>
                <w:lang w:eastAsia="en-AU"/>
              </w:rPr>
            </w:pPr>
            <w:r w:rsidRPr="007B6C9E">
              <w:rPr>
                <w:rFonts w:ascii="Arial Narrow" w:eastAsia="Times New Roman" w:hAnsi="Arial Narrow" w:cstheme="minorHAnsi"/>
                <w:color w:val="000000"/>
                <w:sz w:val="20"/>
                <w:szCs w:val="20"/>
                <w:lang w:eastAsia="en-AU"/>
              </w:rPr>
              <w:t>A</w:t>
            </w:r>
          </w:p>
        </w:tc>
        <w:tc>
          <w:tcPr>
            <w:tcW w:w="1024" w:type="pct"/>
            <w:vAlign w:val="center"/>
            <w:hideMark/>
          </w:tcPr>
          <w:p w14:paraId="57F6CACC" w14:textId="77777777" w:rsidR="00C74C05" w:rsidRPr="007B6C9E" w:rsidRDefault="00C74C05">
            <w:pPr>
              <w:spacing w:before="0" w:after="0" w:line="240" w:lineRule="auto"/>
              <w:contextualSpacing/>
              <w:rPr>
                <w:rFonts w:ascii="Arial Narrow" w:eastAsia="Times New Roman" w:hAnsi="Arial Narrow" w:cstheme="minorHAnsi"/>
                <w:color w:val="000000"/>
                <w:sz w:val="20"/>
                <w:szCs w:val="20"/>
                <w:lang w:eastAsia="en-AU"/>
              </w:rPr>
            </w:pPr>
            <w:r w:rsidRPr="007B6C9E">
              <w:rPr>
                <w:rFonts w:ascii="Arial Narrow" w:eastAsia="Times New Roman" w:hAnsi="Arial Narrow" w:cstheme="minorHAnsi"/>
                <w:color w:val="000000"/>
                <w:sz w:val="20"/>
                <w:szCs w:val="20"/>
                <w:lang w:eastAsia="en-AU"/>
              </w:rPr>
              <w:t>Australian population aged ≥18 years</w:t>
            </w:r>
          </w:p>
        </w:tc>
        <w:tc>
          <w:tcPr>
            <w:tcW w:w="572" w:type="pct"/>
            <w:vAlign w:val="center"/>
            <w:hideMark/>
          </w:tcPr>
          <w:p w14:paraId="31CEE075" w14:textId="77777777" w:rsidR="00C74C05" w:rsidRPr="007B6C9E" w:rsidRDefault="00C74C05">
            <w:pPr>
              <w:spacing w:before="0" w:after="0" w:line="240" w:lineRule="auto"/>
              <w:contextualSpacing/>
              <w:jc w:val="center"/>
              <w:rPr>
                <w:rFonts w:ascii="Arial Narrow" w:eastAsia="Times New Roman" w:hAnsi="Arial Narrow" w:cstheme="minorHAnsi"/>
                <w:color w:val="000000"/>
                <w:sz w:val="20"/>
                <w:szCs w:val="20"/>
                <w:lang w:eastAsia="en-AU"/>
              </w:rPr>
            </w:pPr>
            <w:r w:rsidRPr="007B6C9E">
              <w:rPr>
                <w:rFonts w:ascii="Arial Narrow" w:hAnsi="Arial Narrow" w:cstheme="minorHAnsi"/>
                <w:sz w:val="20"/>
                <w:szCs w:val="20"/>
              </w:rPr>
              <w:t>21,522,798</w:t>
            </w:r>
          </w:p>
        </w:tc>
        <w:tc>
          <w:tcPr>
            <w:tcW w:w="572" w:type="pct"/>
            <w:vAlign w:val="center"/>
            <w:hideMark/>
          </w:tcPr>
          <w:p w14:paraId="6885B501" w14:textId="77777777" w:rsidR="00C74C05" w:rsidRPr="007B6C9E" w:rsidRDefault="00C74C05">
            <w:pPr>
              <w:spacing w:before="0" w:after="0" w:line="240" w:lineRule="auto"/>
              <w:contextualSpacing/>
              <w:jc w:val="center"/>
              <w:rPr>
                <w:rFonts w:ascii="Arial Narrow" w:eastAsia="Times New Roman" w:hAnsi="Arial Narrow" w:cstheme="minorHAnsi"/>
                <w:color w:val="000000"/>
                <w:sz w:val="20"/>
                <w:szCs w:val="20"/>
                <w:lang w:eastAsia="en-AU"/>
              </w:rPr>
            </w:pPr>
            <w:r w:rsidRPr="007B6C9E">
              <w:rPr>
                <w:rFonts w:ascii="Arial Narrow" w:hAnsi="Arial Narrow" w:cstheme="minorHAnsi"/>
                <w:sz w:val="20"/>
                <w:szCs w:val="20"/>
              </w:rPr>
              <w:t>21,905,670</w:t>
            </w:r>
          </w:p>
        </w:tc>
        <w:tc>
          <w:tcPr>
            <w:tcW w:w="572" w:type="pct"/>
            <w:vAlign w:val="center"/>
            <w:hideMark/>
          </w:tcPr>
          <w:p w14:paraId="6C7DD2A9" w14:textId="77777777" w:rsidR="00C74C05" w:rsidRPr="007B6C9E" w:rsidRDefault="00C74C05">
            <w:pPr>
              <w:spacing w:before="0" w:after="0" w:line="240" w:lineRule="auto"/>
              <w:contextualSpacing/>
              <w:jc w:val="center"/>
              <w:rPr>
                <w:rFonts w:ascii="Arial Narrow" w:eastAsia="Times New Roman" w:hAnsi="Arial Narrow" w:cstheme="minorHAnsi"/>
                <w:color w:val="000000"/>
                <w:sz w:val="20"/>
                <w:szCs w:val="20"/>
                <w:lang w:eastAsia="en-AU"/>
              </w:rPr>
            </w:pPr>
            <w:r w:rsidRPr="007B6C9E">
              <w:rPr>
                <w:rFonts w:ascii="Arial Narrow" w:hAnsi="Arial Narrow" w:cstheme="minorHAnsi"/>
                <w:sz w:val="20"/>
                <w:szCs w:val="20"/>
              </w:rPr>
              <w:t>22,277,628</w:t>
            </w:r>
          </w:p>
        </w:tc>
        <w:tc>
          <w:tcPr>
            <w:tcW w:w="572" w:type="pct"/>
            <w:vAlign w:val="center"/>
            <w:hideMark/>
          </w:tcPr>
          <w:p w14:paraId="32077B6E" w14:textId="77777777" w:rsidR="00C74C05" w:rsidRPr="007B6C9E" w:rsidRDefault="00C74C05">
            <w:pPr>
              <w:spacing w:before="0" w:after="0" w:line="240" w:lineRule="auto"/>
              <w:contextualSpacing/>
              <w:jc w:val="center"/>
              <w:rPr>
                <w:rFonts w:ascii="Arial Narrow" w:eastAsia="Times New Roman" w:hAnsi="Arial Narrow" w:cstheme="minorHAnsi"/>
                <w:color w:val="000000"/>
                <w:sz w:val="20"/>
                <w:szCs w:val="20"/>
                <w:lang w:eastAsia="en-AU"/>
              </w:rPr>
            </w:pPr>
            <w:r w:rsidRPr="007B6C9E">
              <w:rPr>
                <w:rFonts w:ascii="Arial Narrow" w:hAnsi="Arial Narrow" w:cstheme="minorHAnsi"/>
                <w:sz w:val="20"/>
                <w:szCs w:val="20"/>
              </w:rPr>
              <w:t>22,641,368</w:t>
            </w:r>
          </w:p>
        </w:tc>
        <w:tc>
          <w:tcPr>
            <w:tcW w:w="572" w:type="pct"/>
            <w:vAlign w:val="center"/>
            <w:hideMark/>
          </w:tcPr>
          <w:p w14:paraId="6417034D" w14:textId="77777777" w:rsidR="00C74C05" w:rsidRPr="007B6C9E" w:rsidRDefault="00C74C05">
            <w:pPr>
              <w:spacing w:before="0" w:after="0" w:line="240" w:lineRule="auto"/>
              <w:contextualSpacing/>
              <w:jc w:val="center"/>
              <w:rPr>
                <w:rFonts w:ascii="Arial Narrow" w:eastAsia="Times New Roman" w:hAnsi="Arial Narrow" w:cstheme="minorHAnsi"/>
                <w:color w:val="000000"/>
                <w:sz w:val="20"/>
                <w:szCs w:val="20"/>
                <w:lang w:eastAsia="en-AU"/>
              </w:rPr>
            </w:pPr>
            <w:r w:rsidRPr="007B6C9E">
              <w:rPr>
                <w:rFonts w:ascii="Arial Narrow" w:hAnsi="Arial Narrow" w:cstheme="minorHAnsi"/>
                <w:sz w:val="20"/>
                <w:szCs w:val="20"/>
              </w:rPr>
              <w:t>22,989,790</w:t>
            </w:r>
          </w:p>
        </w:tc>
        <w:tc>
          <w:tcPr>
            <w:tcW w:w="569" w:type="pct"/>
            <w:vAlign w:val="center"/>
            <w:hideMark/>
          </w:tcPr>
          <w:p w14:paraId="61E680BB" w14:textId="77777777" w:rsidR="00C74C05" w:rsidRPr="007B6C9E" w:rsidRDefault="00C74C05">
            <w:pPr>
              <w:spacing w:before="0" w:after="0" w:line="240" w:lineRule="auto"/>
              <w:contextualSpacing/>
              <w:jc w:val="center"/>
              <w:rPr>
                <w:rFonts w:ascii="Arial Narrow" w:eastAsia="Times New Roman" w:hAnsi="Arial Narrow" w:cstheme="minorHAnsi"/>
                <w:color w:val="000000"/>
                <w:sz w:val="20"/>
                <w:szCs w:val="20"/>
                <w:lang w:eastAsia="en-AU"/>
              </w:rPr>
            </w:pPr>
            <w:r w:rsidRPr="007B6C9E">
              <w:rPr>
                <w:rFonts w:ascii="Arial Narrow" w:hAnsi="Arial Narrow" w:cstheme="minorHAnsi"/>
                <w:sz w:val="20"/>
                <w:szCs w:val="20"/>
              </w:rPr>
              <w:t>23,327,752</w:t>
            </w:r>
          </w:p>
        </w:tc>
      </w:tr>
      <w:tr w:rsidR="007B7191" w:rsidRPr="007B6C9E" w14:paraId="7F1791A1" w14:textId="77777777" w:rsidTr="00407DBD">
        <w:trPr>
          <w:trHeight w:val="564"/>
        </w:trPr>
        <w:tc>
          <w:tcPr>
            <w:tcW w:w="547" w:type="pct"/>
            <w:vAlign w:val="center"/>
            <w:hideMark/>
          </w:tcPr>
          <w:p w14:paraId="1561378D" w14:textId="77777777" w:rsidR="007B7191" w:rsidRPr="007B6C9E" w:rsidRDefault="007B7191" w:rsidP="007B7191">
            <w:pPr>
              <w:spacing w:before="0" w:after="0" w:line="240" w:lineRule="auto"/>
              <w:contextualSpacing/>
              <w:rPr>
                <w:rFonts w:ascii="Arial Narrow" w:eastAsia="Times New Roman" w:hAnsi="Arial Narrow" w:cstheme="minorHAnsi"/>
                <w:color w:val="000000"/>
                <w:sz w:val="20"/>
                <w:szCs w:val="20"/>
                <w:lang w:eastAsia="en-AU"/>
              </w:rPr>
            </w:pPr>
            <w:r w:rsidRPr="007B6C9E">
              <w:rPr>
                <w:rFonts w:ascii="Arial Narrow" w:eastAsia="Times New Roman" w:hAnsi="Arial Narrow" w:cstheme="minorHAnsi"/>
                <w:color w:val="000000"/>
                <w:sz w:val="20"/>
                <w:szCs w:val="20"/>
                <w:lang w:eastAsia="en-AU"/>
              </w:rPr>
              <w:t>B = A × (225 ÷ 100,000)</w:t>
            </w:r>
          </w:p>
        </w:tc>
        <w:tc>
          <w:tcPr>
            <w:tcW w:w="1024" w:type="pct"/>
            <w:vAlign w:val="center"/>
            <w:hideMark/>
          </w:tcPr>
          <w:p w14:paraId="4D9CE1AE" w14:textId="77777777" w:rsidR="007B7191" w:rsidRPr="007B6C9E" w:rsidRDefault="007B7191" w:rsidP="007B7191">
            <w:pPr>
              <w:spacing w:before="0" w:after="0" w:line="240" w:lineRule="auto"/>
              <w:contextualSpacing/>
              <w:rPr>
                <w:rFonts w:ascii="Arial Narrow" w:eastAsia="Times New Roman" w:hAnsi="Arial Narrow" w:cstheme="minorHAnsi"/>
                <w:color w:val="000000"/>
                <w:sz w:val="20"/>
                <w:szCs w:val="20"/>
                <w:lang w:eastAsia="en-AU"/>
              </w:rPr>
            </w:pPr>
            <w:r w:rsidRPr="007B6C9E">
              <w:rPr>
                <w:rFonts w:ascii="Arial Narrow" w:eastAsia="Times New Roman" w:hAnsi="Arial Narrow" w:cstheme="minorHAnsi"/>
                <w:color w:val="000000"/>
                <w:sz w:val="20"/>
                <w:szCs w:val="20"/>
                <w:lang w:eastAsia="en-AU"/>
              </w:rPr>
              <w:t>Incident population undergoing rotator cuff repair</w:t>
            </w:r>
          </w:p>
        </w:tc>
        <w:tc>
          <w:tcPr>
            <w:tcW w:w="572" w:type="pct"/>
            <w:vAlign w:val="center"/>
            <w:hideMark/>
          </w:tcPr>
          <w:p w14:paraId="168AB8AA" w14:textId="353D58A3"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48,426</w:t>
            </w:r>
          </w:p>
        </w:tc>
        <w:tc>
          <w:tcPr>
            <w:tcW w:w="572" w:type="pct"/>
            <w:vAlign w:val="center"/>
            <w:hideMark/>
          </w:tcPr>
          <w:p w14:paraId="62DB0D2D" w14:textId="474D848E"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49,288</w:t>
            </w:r>
          </w:p>
        </w:tc>
        <w:tc>
          <w:tcPr>
            <w:tcW w:w="572" w:type="pct"/>
            <w:vAlign w:val="center"/>
            <w:hideMark/>
          </w:tcPr>
          <w:p w14:paraId="089552C4" w14:textId="4C79627E"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50,125</w:t>
            </w:r>
          </w:p>
        </w:tc>
        <w:tc>
          <w:tcPr>
            <w:tcW w:w="572" w:type="pct"/>
            <w:vAlign w:val="center"/>
            <w:hideMark/>
          </w:tcPr>
          <w:p w14:paraId="6394CD64" w14:textId="632B2CFC"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50,943</w:t>
            </w:r>
          </w:p>
        </w:tc>
        <w:tc>
          <w:tcPr>
            <w:tcW w:w="572" w:type="pct"/>
            <w:vAlign w:val="center"/>
            <w:hideMark/>
          </w:tcPr>
          <w:p w14:paraId="5E986B44" w14:textId="22935FCA"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51,727</w:t>
            </w:r>
          </w:p>
        </w:tc>
        <w:tc>
          <w:tcPr>
            <w:tcW w:w="569" w:type="pct"/>
            <w:vAlign w:val="center"/>
            <w:hideMark/>
          </w:tcPr>
          <w:p w14:paraId="1857E5CC" w14:textId="5310AB88"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52,487</w:t>
            </w:r>
          </w:p>
        </w:tc>
      </w:tr>
      <w:tr w:rsidR="007B7191" w:rsidRPr="007B6C9E" w14:paraId="75F15089" w14:textId="77777777" w:rsidTr="00407DBD">
        <w:trPr>
          <w:trHeight w:val="564"/>
        </w:trPr>
        <w:tc>
          <w:tcPr>
            <w:tcW w:w="547" w:type="pct"/>
            <w:vAlign w:val="center"/>
            <w:hideMark/>
          </w:tcPr>
          <w:p w14:paraId="463ADB7A" w14:textId="77777777" w:rsidR="007B7191" w:rsidRPr="007B6C9E" w:rsidRDefault="007B7191" w:rsidP="007B7191">
            <w:pPr>
              <w:spacing w:before="0" w:after="0" w:line="240" w:lineRule="auto"/>
              <w:contextualSpacing/>
              <w:rPr>
                <w:rFonts w:ascii="Arial Narrow" w:eastAsia="Times New Roman" w:hAnsi="Arial Narrow" w:cstheme="minorHAnsi"/>
                <w:color w:val="000000"/>
                <w:sz w:val="20"/>
                <w:szCs w:val="20"/>
                <w:lang w:eastAsia="en-AU"/>
              </w:rPr>
            </w:pPr>
            <w:r w:rsidRPr="007B6C9E">
              <w:rPr>
                <w:rFonts w:ascii="Arial Narrow" w:eastAsia="Times New Roman" w:hAnsi="Arial Narrow" w:cstheme="minorHAnsi"/>
                <w:color w:val="000000"/>
                <w:sz w:val="20"/>
                <w:szCs w:val="20"/>
                <w:lang w:eastAsia="en-AU"/>
              </w:rPr>
              <w:t>C = B × 45.0%</w:t>
            </w:r>
          </w:p>
        </w:tc>
        <w:tc>
          <w:tcPr>
            <w:tcW w:w="1024" w:type="pct"/>
            <w:vAlign w:val="center"/>
            <w:hideMark/>
          </w:tcPr>
          <w:p w14:paraId="5B02B940" w14:textId="77777777" w:rsidR="007B7191" w:rsidRPr="007B6C9E" w:rsidRDefault="007B7191" w:rsidP="007B7191">
            <w:pPr>
              <w:spacing w:before="0" w:after="0" w:line="240" w:lineRule="auto"/>
              <w:contextualSpacing/>
              <w:rPr>
                <w:rFonts w:ascii="Arial Narrow" w:eastAsia="Times New Roman" w:hAnsi="Arial Narrow"/>
                <w:color w:val="000000"/>
                <w:sz w:val="20"/>
                <w:szCs w:val="20"/>
                <w:lang w:eastAsia="en-AU"/>
              </w:rPr>
            </w:pPr>
            <w:r w:rsidRPr="007B6C9E">
              <w:rPr>
                <w:rFonts w:ascii="Arial Narrow" w:eastAsia="Times New Roman" w:hAnsi="Arial Narrow"/>
                <w:color w:val="000000" w:themeColor="text1"/>
                <w:sz w:val="20"/>
                <w:szCs w:val="20"/>
                <w:lang w:eastAsia="en-AU"/>
              </w:rPr>
              <w:t xml:space="preserve">Total rotator cuff repairs in the </w:t>
            </w:r>
            <w:bookmarkStart w:id="52" w:name="_Int_0ITd2bIS"/>
            <w:r w:rsidRPr="007B6C9E">
              <w:rPr>
                <w:rFonts w:ascii="Arial Narrow" w:eastAsia="Times New Roman" w:hAnsi="Arial Narrow"/>
                <w:color w:val="000000" w:themeColor="text1"/>
                <w:sz w:val="20"/>
                <w:szCs w:val="20"/>
                <w:lang w:eastAsia="en-AU"/>
              </w:rPr>
              <w:t>private setting</w:t>
            </w:r>
            <w:bookmarkEnd w:id="52"/>
          </w:p>
        </w:tc>
        <w:tc>
          <w:tcPr>
            <w:tcW w:w="572" w:type="pct"/>
            <w:vAlign w:val="center"/>
            <w:hideMark/>
          </w:tcPr>
          <w:p w14:paraId="1289B59A" w14:textId="7518EDCD"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21,792</w:t>
            </w:r>
          </w:p>
        </w:tc>
        <w:tc>
          <w:tcPr>
            <w:tcW w:w="572" w:type="pct"/>
            <w:vAlign w:val="center"/>
            <w:hideMark/>
          </w:tcPr>
          <w:p w14:paraId="48089742" w14:textId="044E2881"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22,179</w:t>
            </w:r>
          </w:p>
        </w:tc>
        <w:tc>
          <w:tcPr>
            <w:tcW w:w="572" w:type="pct"/>
            <w:vAlign w:val="center"/>
            <w:hideMark/>
          </w:tcPr>
          <w:p w14:paraId="0C9F8F4E" w14:textId="5BA95472"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22,556</w:t>
            </w:r>
          </w:p>
        </w:tc>
        <w:tc>
          <w:tcPr>
            <w:tcW w:w="572" w:type="pct"/>
            <w:vAlign w:val="center"/>
            <w:hideMark/>
          </w:tcPr>
          <w:p w14:paraId="60494C05" w14:textId="45DA74B0"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22,924</w:t>
            </w:r>
          </w:p>
        </w:tc>
        <w:tc>
          <w:tcPr>
            <w:tcW w:w="572" w:type="pct"/>
            <w:vAlign w:val="center"/>
            <w:hideMark/>
          </w:tcPr>
          <w:p w14:paraId="76F64DDB" w14:textId="72372D1C"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23,277</w:t>
            </w:r>
          </w:p>
        </w:tc>
        <w:tc>
          <w:tcPr>
            <w:tcW w:w="569" w:type="pct"/>
            <w:vAlign w:val="center"/>
            <w:hideMark/>
          </w:tcPr>
          <w:p w14:paraId="6215B5EE" w14:textId="174C201E"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23,619</w:t>
            </w:r>
          </w:p>
        </w:tc>
      </w:tr>
      <w:tr w:rsidR="007B7191" w:rsidRPr="007B6C9E" w14:paraId="21EBB2AA" w14:textId="77777777" w:rsidTr="00407DBD">
        <w:trPr>
          <w:trHeight w:val="564"/>
        </w:trPr>
        <w:tc>
          <w:tcPr>
            <w:tcW w:w="547" w:type="pct"/>
            <w:vAlign w:val="center"/>
          </w:tcPr>
          <w:p w14:paraId="45AB993F" w14:textId="77777777" w:rsidR="007B7191" w:rsidRPr="007B6C9E" w:rsidRDefault="007B7191" w:rsidP="007B7191">
            <w:pPr>
              <w:spacing w:before="0" w:after="0" w:line="240" w:lineRule="auto"/>
              <w:contextualSpacing/>
              <w:rPr>
                <w:rFonts w:ascii="Arial Narrow" w:eastAsia="Times New Roman" w:hAnsi="Arial Narrow" w:cstheme="minorHAnsi"/>
                <w:color w:val="000000"/>
                <w:sz w:val="20"/>
                <w:szCs w:val="20"/>
                <w:lang w:eastAsia="en-AU"/>
              </w:rPr>
            </w:pPr>
            <w:r w:rsidRPr="007B6C9E">
              <w:rPr>
                <w:rFonts w:ascii="Arial Narrow" w:eastAsia="Times New Roman" w:hAnsi="Arial Narrow" w:cstheme="minorHAnsi"/>
                <w:color w:val="000000"/>
                <w:sz w:val="20"/>
                <w:szCs w:val="20"/>
                <w:lang w:eastAsia="en-AU"/>
              </w:rPr>
              <w:t>D = C x 61.0%</w:t>
            </w:r>
          </w:p>
        </w:tc>
        <w:tc>
          <w:tcPr>
            <w:tcW w:w="1024" w:type="pct"/>
            <w:vAlign w:val="center"/>
          </w:tcPr>
          <w:p w14:paraId="6322DAEE" w14:textId="77777777" w:rsidR="007B7191" w:rsidRPr="007B6C9E" w:rsidRDefault="007B7191" w:rsidP="007B7191">
            <w:pPr>
              <w:spacing w:before="0" w:after="0" w:line="240" w:lineRule="auto"/>
              <w:contextualSpacing/>
              <w:rPr>
                <w:rFonts w:ascii="Arial Narrow" w:eastAsia="Times New Roman" w:hAnsi="Arial Narrow"/>
                <w:color w:val="000000"/>
                <w:sz w:val="20"/>
                <w:szCs w:val="20"/>
                <w:lang w:eastAsia="en-AU"/>
              </w:rPr>
            </w:pPr>
            <w:r w:rsidRPr="007B6C9E">
              <w:rPr>
                <w:rFonts w:ascii="Arial Narrow" w:eastAsia="Times New Roman" w:hAnsi="Arial Narrow"/>
                <w:color w:val="000000" w:themeColor="text1"/>
                <w:sz w:val="20"/>
                <w:szCs w:val="20"/>
                <w:lang w:eastAsia="en-AU"/>
              </w:rPr>
              <w:t xml:space="preserve">Total FTT rotator cuff repairs in the </w:t>
            </w:r>
            <w:bookmarkStart w:id="53" w:name="_Int_VlGiuhbG"/>
            <w:r w:rsidRPr="007B6C9E">
              <w:rPr>
                <w:rFonts w:ascii="Arial Narrow" w:eastAsia="Times New Roman" w:hAnsi="Arial Narrow"/>
                <w:color w:val="000000" w:themeColor="text1"/>
                <w:sz w:val="20"/>
                <w:szCs w:val="20"/>
                <w:lang w:eastAsia="en-AU"/>
              </w:rPr>
              <w:t>private setting</w:t>
            </w:r>
            <w:bookmarkEnd w:id="53"/>
          </w:p>
        </w:tc>
        <w:tc>
          <w:tcPr>
            <w:tcW w:w="572" w:type="pct"/>
            <w:vAlign w:val="center"/>
          </w:tcPr>
          <w:p w14:paraId="4B35BC85" w14:textId="7FBEE485"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13,293</w:t>
            </w:r>
          </w:p>
        </w:tc>
        <w:tc>
          <w:tcPr>
            <w:tcW w:w="572" w:type="pct"/>
            <w:vAlign w:val="center"/>
          </w:tcPr>
          <w:p w14:paraId="678E0EE9" w14:textId="4591565A"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13,529</w:t>
            </w:r>
          </w:p>
        </w:tc>
        <w:tc>
          <w:tcPr>
            <w:tcW w:w="572" w:type="pct"/>
            <w:vAlign w:val="center"/>
          </w:tcPr>
          <w:p w14:paraId="4FDEDD41" w14:textId="109B41C1"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13,759</w:t>
            </w:r>
          </w:p>
        </w:tc>
        <w:tc>
          <w:tcPr>
            <w:tcW w:w="572" w:type="pct"/>
            <w:vAlign w:val="center"/>
          </w:tcPr>
          <w:p w14:paraId="33DAF3EF" w14:textId="4FA03A25"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13,984</w:t>
            </w:r>
          </w:p>
        </w:tc>
        <w:tc>
          <w:tcPr>
            <w:tcW w:w="572" w:type="pct"/>
            <w:vAlign w:val="center"/>
          </w:tcPr>
          <w:p w14:paraId="71CCF22F" w14:textId="01A41B3D"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14,199</w:t>
            </w:r>
          </w:p>
        </w:tc>
        <w:tc>
          <w:tcPr>
            <w:tcW w:w="569" w:type="pct"/>
            <w:vAlign w:val="center"/>
          </w:tcPr>
          <w:p w14:paraId="5E73F786" w14:textId="7C26589C"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cstheme="minorHAnsi"/>
                <w:sz w:val="20"/>
                <w:szCs w:val="20"/>
              </w:rPr>
              <w:t>14,408</w:t>
            </w:r>
          </w:p>
        </w:tc>
      </w:tr>
      <w:tr w:rsidR="007B7191" w:rsidRPr="007B6C9E" w14:paraId="4B0D849E" w14:textId="77777777" w:rsidTr="00407DBD">
        <w:trPr>
          <w:trHeight w:val="432"/>
        </w:trPr>
        <w:tc>
          <w:tcPr>
            <w:tcW w:w="547" w:type="pct"/>
            <w:vAlign w:val="center"/>
            <w:hideMark/>
          </w:tcPr>
          <w:p w14:paraId="6A31D535" w14:textId="77777777" w:rsidR="007B7191" w:rsidRPr="007B6C9E" w:rsidRDefault="007B7191" w:rsidP="007B7191">
            <w:pPr>
              <w:spacing w:before="0" w:after="0" w:line="240" w:lineRule="auto"/>
              <w:contextualSpacing/>
              <w:rPr>
                <w:rFonts w:ascii="Arial Narrow" w:eastAsia="Times New Roman" w:hAnsi="Arial Narrow" w:cstheme="minorHAnsi"/>
                <w:color w:val="000000"/>
                <w:sz w:val="20"/>
                <w:szCs w:val="20"/>
                <w:lang w:eastAsia="en-AU"/>
              </w:rPr>
            </w:pPr>
            <w:r w:rsidRPr="007B6C9E">
              <w:rPr>
                <w:rFonts w:ascii="Arial Narrow" w:eastAsia="Times New Roman" w:hAnsi="Arial Narrow" w:cstheme="minorHAnsi"/>
                <w:color w:val="000000"/>
                <w:sz w:val="20"/>
                <w:szCs w:val="20"/>
                <w:lang w:eastAsia="en-AU"/>
              </w:rPr>
              <w:t>E</w:t>
            </w:r>
          </w:p>
        </w:tc>
        <w:tc>
          <w:tcPr>
            <w:tcW w:w="1024" w:type="pct"/>
            <w:vAlign w:val="center"/>
            <w:hideMark/>
          </w:tcPr>
          <w:p w14:paraId="14CD4DF7" w14:textId="77777777" w:rsidR="007B7191" w:rsidRPr="007B6C9E" w:rsidRDefault="007B7191" w:rsidP="007B7191">
            <w:pPr>
              <w:spacing w:before="0" w:after="0" w:line="240" w:lineRule="auto"/>
              <w:contextualSpacing/>
              <w:rPr>
                <w:rFonts w:ascii="Arial Narrow" w:eastAsia="Times New Roman" w:hAnsi="Arial Narrow" w:cstheme="minorHAnsi"/>
                <w:color w:val="000000"/>
                <w:sz w:val="20"/>
                <w:szCs w:val="20"/>
                <w:lang w:eastAsia="en-AU"/>
              </w:rPr>
            </w:pPr>
            <w:r w:rsidRPr="007B6C9E">
              <w:rPr>
                <w:rFonts w:ascii="Arial Narrow" w:eastAsia="Times New Roman" w:hAnsi="Arial Narrow" w:cstheme="minorHAnsi"/>
                <w:color w:val="000000"/>
                <w:sz w:val="20"/>
                <w:szCs w:val="20"/>
                <w:lang w:eastAsia="en-AU"/>
              </w:rPr>
              <w:t>Uptake rate</w:t>
            </w:r>
          </w:p>
        </w:tc>
        <w:tc>
          <w:tcPr>
            <w:tcW w:w="572" w:type="pct"/>
            <w:vAlign w:val="center"/>
            <w:hideMark/>
          </w:tcPr>
          <w:p w14:paraId="2334ABF0" w14:textId="29685BF4"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b/>
                <w:bCs/>
                <w:color w:val="000000" w:themeColor="text1"/>
                <w:sz w:val="20"/>
                <w:szCs w:val="20"/>
              </w:rPr>
              <w:t>redacted</w:t>
            </w:r>
          </w:p>
        </w:tc>
        <w:tc>
          <w:tcPr>
            <w:tcW w:w="572" w:type="pct"/>
            <w:vAlign w:val="center"/>
            <w:hideMark/>
          </w:tcPr>
          <w:p w14:paraId="36B4DA4C" w14:textId="3ABDD5E5"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b/>
                <w:bCs/>
                <w:color w:val="000000" w:themeColor="text1"/>
                <w:sz w:val="20"/>
                <w:szCs w:val="20"/>
              </w:rPr>
              <w:t>redacted</w:t>
            </w:r>
          </w:p>
        </w:tc>
        <w:tc>
          <w:tcPr>
            <w:tcW w:w="572" w:type="pct"/>
            <w:vAlign w:val="center"/>
            <w:hideMark/>
          </w:tcPr>
          <w:p w14:paraId="532773B8" w14:textId="41A2EF59"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b/>
                <w:bCs/>
                <w:color w:val="000000" w:themeColor="text1"/>
                <w:sz w:val="20"/>
                <w:szCs w:val="20"/>
              </w:rPr>
              <w:t>redacted</w:t>
            </w:r>
          </w:p>
        </w:tc>
        <w:tc>
          <w:tcPr>
            <w:tcW w:w="572" w:type="pct"/>
            <w:vAlign w:val="center"/>
            <w:hideMark/>
          </w:tcPr>
          <w:p w14:paraId="2B8F3914" w14:textId="1A76FEDB"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b/>
                <w:bCs/>
                <w:color w:val="000000" w:themeColor="text1"/>
                <w:sz w:val="20"/>
                <w:szCs w:val="20"/>
              </w:rPr>
              <w:t>redacted</w:t>
            </w:r>
          </w:p>
        </w:tc>
        <w:tc>
          <w:tcPr>
            <w:tcW w:w="572" w:type="pct"/>
            <w:vAlign w:val="center"/>
            <w:hideMark/>
          </w:tcPr>
          <w:p w14:paraId="308D88F0" w14:textId="15F170BD"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b/>
                <w:bCs/>
                <w:color w:val="000000" w:themeColor="text1"/>
                <w:sz w:val="20"/>
                <w:szCs w:val="20"/>
              </w:rPr>
              <w:t>redacted</w:t>
            </w:r>
          </w:p>
        </w:tc>
        <w:tc>
          <w:tcPr>
            <w:tcW w:w="569" w:type="pct"/>
            <w:vAlign w:val="center"/>
            <w:hideMark/>
          </w:tcPr>
          <w:p w14:paraId="40CB1C67" w14:textId="3A89081C" w:rsidR="007B7191" w:rsidRPr="00406CBD" w:rsidRDefault="007B7191" w:rsidP="007B719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b/>
                <w:bCs/>
                <w:color w:val="000000" w:themeColor="text1"/>
                <w:sz w:val="20"/>
                <w:szCs w:val="20"/>
              </w:rPr>
              <w:t>redacted</w:t>
            </w:r>
          </w:p>
        </w:tc>
      </w:tr>
      <w:tr w:rsidR="00016251" w:rsidRPr="007B6C9E" w14:paraId="35A89A71" w14:textId="77777777" w:rsidTr="00407DBD">
        <w:trPr>
          <w:trHeight w:val="564"/>
        </w:trPr>
        <w:tc>
          <w:tcPr>
            <w:tcW w:w="547" w:type="pct"/>
            <w:vAlign w:val="center"/>
            <w:hideMark/>
          </w:tcPr>
          <w:p w14:paraId="60A57C23" w14:textId="77777777" w:rsidR="00016251" w:rsidRPr="007B6C9E" w:rsidRDefault="00016251" w:rsidP="00016251">
            <w:pPr>
              <w:spacing w:before="0" w:after="0" w:line="240" w:lineRule="auto"/>
              <w:contextualSpacing/>
              <w:rPr>
                <w:rFonts w:ascii="Arial Narrow" w:eastAsia="Times New Roman" w:hAnsi="Arial Narrow" w:cstheme="minorHAnsi"/>
                <w:color w:val="000000"/>
                <w:sz w:val="20"/>
                <w:szCs w:val="20"/>
                <w:lang w:eastAsia="en-AU"/>
              </w:rPr>
            </w:pPr>
            <w:r w:rsidRPr="007B6C9E">
              <w:rPr>
                <w:rFonts w:ascii="Arial Narrow" w:eastAsia="Times New Roman" w:hAnsi="Arial Narrow" w:cstheme="minorHAnsi"/>
                <w:color w:val="000000"/>
                <w:sz w:val="20"/>
                <w:szCs w:val="20"/>
                <w:lang w:eastAsia="en-AU"/>
              </w:rPr>
              <w:t>F = D x E</w:t>
            </w:r>
          </w:p>
        </w:tc>
        <w:tc>
          <w:tcPr>
            <w:tcW w:w="1024" w:type="pct"/>
            <w:vAlign w:val="center"/>
            <w:hideMark/>
          </w:tcPr>
          <w:p w14:paraId="47982348" w14:textId="13F35475" w:rsidR="00016251" w:rsidRPr="007B6C9E" w:rsidRDefault="00016251" w:rsidP="00016251">
            <w:pPr>
              <w:spacing w:before="0" w:after="0" w:line="240" w:lineRule="auto"/>
              <w:contextualSpacing/>
              <w:rPr>
                <w:rFonts w:ascii="Arial Narrow" w:eastAsia="Times New Roman" w:hAnsi="Arial Narrow" w:cstheme="minorHAnsi"/>
                <w:color w:val="000000"/>
                <w:sz w:val="20"/>
                <w:szCs w:val="20"/>
                <w:lang w:eastAsia="en-AU"/>
              </w:rPr>
            </w:pPr>
            <w:r w:rsidRPr="007B6C9E">
              <w:rPr>
                <w:rFonts w:ascii="Arial Narrow" w:eastAsia="Times New Roman" w:hAnsi="Arial Narrow" w:cstheme="minorHAnsi"/>
                <w:color w:val="000000"/>
                <w:sz w:val="20"/>
                <w:szCs w:val="20"/>
                <w:lang w:eastAsia="en-AU"/>
              </w:rPr>
              <w:t xml:space="preserve">Estimated utilisation of </w:t>
            </w:r>
            <w:r>
              <w:rPr>
                <w:rFonts w:ascii="Arial Narrow" w:eastAsia="Times New Roman" w:hAnsi="Arial Narrow" w:cstheme="minorHAnsi"/>
                <w:color w:val="000000"/>
                <w:sz w:val="20"/>
                <w:szCs w:val="20"/>
                <w:lang w:eastAsia="en-AU"/>
              </w:rPr>
              <w:t>BCI</w:t>
            </w:r>
          </w:p>
        </w:tc>
        <w:tc>
          <w:tcPr>
            <w:tcW w:w="572" w:type="pct"/>
            <w:vAlign w:val="center"/>
            <w:hideMark/>
          </w:tcPr>
          <w:p w14:paraId="328E4F75" w14:textId="114435D6" w:rsidR="00016251" w:rsidRPr="00406CBD" w:rsidRDefault="00016251" w:rsidP="0001625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b/>
                <w:bCs/>
                <w:color w:val="000000" w:themeColor="text1"/>
                <w:sz w:val="20"/>
                <w:szCs w:val="20"/>
              </w:rPr>
              <w:t>redacted</w:t>
            </w:r>
          </w:p>
        </w:tc>
        <w:tc>
          <w:tcPr>
            <w:tcW w:w="572" w:type="pct"/>
            <w:vAlign w:val="center"/>
            <w:hideMark/>
          </w:tcPr>
          <w:p w14:paraId="188B0E3A" w14:textId="64772CD2" w:rsidR="00016251" w:rsidRPr="00406CBD" w:rsidRDefault="00016251" w:rsidP="0001625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b/>
                <w:bCs/>
                <w:color w:val="000000" w:themeColor="text1"/>
                <w:sz w:val="20"/>
                <w:szCs w:val="20"/>
              </w:rPr>
              <w:t>redacted</w:t>
            </w:r>
          </w:p>
        </w:tc>
        <w:tc>
          <w:tcPr>
            <w:tcW w:w="572" w:type="pct"/>
            <w:vAlign w:val="center"/>
            <w:hideMark/>
          </w:tcPr>
          <w:p w14:paraId="29AD8EEE" w14:textId="12F9F2A9" w:rsidR="00016251" w:rsidRPr="00406CBD" w:rsidRDefault="00016251" w:rsidP="0001625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b/>
                <w:bCs/>
                <w:color w:val="000000" w:themeColor="text1"/>
                <w:sz w:val="20"/>
                <w:szCs w:val="20"/>
              </w:rPr>
              <w:t>redacted</w:t>
            </w:r>
          </w:p>
        </w:tc>
        <w:tc>
          <w:tcPr>
            <w:tcW w:w="572" w:type="pct"/>
            <w:vAlign w:val="center"/>
            <w:hideMark/>
          </w:tcPr>
          <w:p w14:paraId="0250FB5C" w14:textId="21520FD1" w:rsidR="00016251" w:rsidRPr="00406CBD" w:rsidRDefault="00016251" w:rsidP="0001625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b/>
                <w:bCs/>
                <w:color w:val="000000" w:themeColor="text1"/>
                <w:sz w:val="20"/>
                <w:szCs w:val="20"/>
              </w:rPr>
              <w:t>redacted</w:t>
            </w:r>
          </w:p>
        </w:tc>
        <w:tc>
          <w:tcPr>
            <w:tcW w:w="572" w:type="pct"/>
            <w:vAlign w:val="center"/>
            <w:hideMark/>
          </w:tcPr>
          <w:p w14:paraId="77C7A30E" w14:textId="7BEE344D" w:rsidR="00016251" w:rsidRPr="00406CBD" w:rsidRDefault="00016251" w:rsidP="0001625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b/>
                <w:bCs/>
                <w:color w:val="000000" w:themeColor="text1"/>
                <w:sz w:val="20"/>
                <w:szCs w:val="20"/>
              </w:rPr>
              <w:t>redacted</w:t>
            </w:r>
          </w:p>
        </w:tc>
        <w:tc>
          <w:tcPr>
            <w:tcW w:w="569" w:type="pct"/>
            <w:vAlign w:val="center"/>
            <w:hideMark/>
          </w:tcPr>
          <w:p w14:paraId="40C7377D" w14:textId="6B2A08F0" w:rsidR="00016251" w:rsidRPr="00406CBD" w:rsidRDefault="00016251" w:rsidP="00016251">
            <w:pPr>
              <w:spacing w:before="0" w:after="0" w:line="240" w:lineRule="auto"/>
              <w:contextualSpacing/>
              <w:jc w:val="center"/>
              <w:rPr>
                <w:rFonts w:ascii="Arial Narrow" w:eastAsia="Times New Roman" w:hAnsi="Arial Narrow" w:cstheme="minorHAnsi"/>
                <w:color w:val="000000"/>
                <w:sz w:val="20"/>
                <w:szCs w:val="20"/>
                <w:lang w:eastAsia="en-AU"/>
              </w:rPr>
            </w:pPr>
            <w:r w:rsidRPr="00406CBD">
              <w:rPr>
                <w:rFonts w:ascii="Arial Narrow" w:hAnsi="Arial Narrow"/>
                <w:b/>
                <w:bCs/>
                <w:color w:val="000000" w:themeColor="text1"/>
                <w:sz w:val="20"/>
                <w:szCs w:val="20"/>
              </w:rPr>
              <w:t>redacted</w:t>
            </w:r>
          </w:p>
        </w:tc>
      </w:tr>
      <w:tr w:rsidR="001841BA" w:rsidRPr="007B6C9E" w14:paraId="0DC7B6E0" w14:textId="77777777" w:rsidTr="001841BA">
        <w:trPr>
          <w:trHeight w:val="564"/>
        </w:trPr>
        <w:tc>
          <w:tcPr>
            <w:tcW w:w="5000" w:type="pct"/>
            <w:gridSpan w:val="8"/>
            <w:vAlign w:val="center"/>
          </w:tcPr>
          <w:p w14:paraId="5D4A7DC4" w14:textId="2D13DCDD" w:rsidR="001841BA" w:rsidRPr="007B6C9E" w:rsidRDefault="001841BA" w:rsidP="001841BA">
            <w:pPr>
              <w:spacing w:before="0" w:after="0" w:line="240" w:lineRule="auto"/>
              <w:contextualSpacing/>
              <w:rPr>
                <w:rFonts w:ascii="Arial Narrow" w:hAnsi="Arial Narrow" w:cstheme="minorHAnsi"/>
                <w:b/>
                <w:bCs/>
                <w:color w:val="000000"/>
                <w:sz w:val="20"/>
                <w:szCs w:val="20"/>
              </w:rPr>
            </w:pPr>
            <w:r w:rsidRPr="007B6C9E">
              <w:rPr>
                <w:rFonts w:ascii="Arial Narrow" w:hAnsi="Arial Narrow" w:cstheme="minorHAnsi"/>
                <w:b/>
                <w:bCs/>
                <w:color w:val="000000"/>
                <w:sz w:val="20"/>
                <w:szCs w:val="20"/>
              </w:rPr>
              <w:t>Estimate cost impact to PHI</w:t>
            </w:r>
          </w:p>
        </w:tc>
      </w:tr>
      <w:tr w:rsidR="00016251" w:rsidRPr="007B6C9E" w14:paraId="2D3004FD" w14:textId="77777777" w:rsidTr="00583FF1">
        <w:trPr>
          <w:trHeight w:val="564"/>
        </w:trPr>
        <w:tc>
          <w:tcPr>
            <w:tcW w:w="547" w:type="pct"/>
            <w:vAlign w:val="center"/>
            <w:hideMark/>
          </w:tcPr>
          <w:p w14:paraId="2039A756" w14:textId="7C2047FA" w:rsidR="00016251" w:rsidRPr="007B6C9E" w:rsidRDefault="00016251" w:rsidP="00016251">
            <w:pPr>
              <w:spacing w:before="0" w:after="0" w:line="240" w:lineRule="auto"/>
              <w:contextualSpacing/>
              <w:rPr>
                <w:rFonts w:ascii="Arial Narrow" w:eastAsia="Times New Roman" w:hAnsi="Arial Narrow" w:cstheme="minorHAnsi"/>
                <w:b/>
                <w:bCs/>
                <w:color w:val="000000"/>
                <w:sz w:val="20"/>
                <w:szCs w:val="20"/>
                <w:lang w:eastAsia="en-AU"/>
              </w:rPr>
            </w:pPr>
            <w:r w:rsidRPr="007B6C9E">
              <w:rPr>
                <w:rFonts w:ascii="Arial Narrow" w:eastAsia="Times New Roman" w:hAnsi="Arial Narrow" w:cstheme="minorHAnsi"/>
                <w:b/>
                <w:bCs/>
                <w:color w:val="000000"/>
                <w:sz w:val="20"/>
                <w:szCs w:val="20"/>
                <w:lang w:eastAsia="en-AU"/>
              </w:rPr>
              <w:t xml:space="preserve">G = F × </w:t>
            </w:r>
            <w:r w:rsidR="00892E52" w:rsidRPr="00583FF1">
              <w:rPr>
                <w:rFonts w:ascii="Arial Narrow" w:eastAsia="Times New Roman" w:hAnsi="Arial Narrow" w:cstheme="minorHAnsi"/>
                <w:b/>
                <w:bCs/>
                <w:color w:val="000000"/>
                <w:sz w:val="18"/>
                <w:szCs w:val="18"/>
                <w:lang w:eastAsia="en-AU"/>
              </w:rPr>
              <w:t>$</w:t>
            </w:r>
            <w:r w:rsidRPr="00583FF1">
              <w:rPr>
                <w:rFonts w:ascii="Arial Narrow" w:hAnsi="Arial Narrow"/>
                <w:b/>
                <w:bCs/>
                <w:color w:val="000000" w:themeColor="text1"/>
                <w:sz w:val="20"/>
                <w:szCs w:val="20"/>
              </w:rPr>
              <w:t>redacted</w:t>
            </w:r>
          </w:p>
        </w:tc>
        <w:tc>
          <w:tcPr>
            <w:tcW w:w="1024" w:type="pct"/>
            <w:vAlign w:val="center"/>
            <w:hideMark/>
          </w:tcPr>
          <w:p w14:paraId="5ED55041" w14:textId="35A5DF81" w:rsidR="00016251" w:rsidRPr="00892E52" w:rsidRDefault="00016251" w:rsidP="00016251">
            <w:pPr>
              <w:spacing w:before="0" w:after="0" w:line="240" w:lineRule="auto"/>
              <w:contextualSpacing/>
              <w:rPr>
                <w:rFonts w:ascii="Arial Narrow" w:eastAsia="Times New Roman" w:hAnsi="Arial Narrow" w:cstheme="minorHAnsi"/>
                <w:b/>
                <w:bCs/>
                <w:color w:val="000000"/>
                <w:sz w:val="20"/>
                <w:szCs w:val="20"/>
                <w:lang w:eastAsia="en-AU"/>
              </w:rPr>
            </w:pPr>
            <w:r w:rsidRPr="00892E52">
              <w:rPr>
                <w:rFonts w:ascii="Arial Narrow" w:eastAsia="Times New Roman" w:hAnsi="Arial Narrow" w:cstheme="minorHAnsi"/>
                <w:b/>
                <w:bCs/>
                <w:color w:val="000000"/>
                <w:sz w:val="20"/>
                <w:szCs w:val="20"/>
                <w:lang w:eastAsia="en-AU"/>
              </w:rPr>
              <w:t>Estimated cost of REGENETEN</w:t>
            </w:r>
            <w:r w:rsidRPr="00892E52">
              <w:rPr>
                <w:rFonts w:ascii="Arial Narrow" w:eastAsia="Times New Roman" w:hAnsi="Arial Narrow" w:cstheme="minorHAnsi"/>
                <w:b/>
                <w:color w:val="000000"/>
                <w:sz w:val="20"/>
                <w:szCs w:val="20"/>
                <w:lang w:eastAsia="en-AU"/>
              </w:rPr>
              <w:t xml:space="preserve"> </w:t>
            </w:r>
            <w:r w:rsidRPr="00892E52">
              <w:rPr>
                <w:rFonts w:ascii="Arial Narrow" w:eastAsia="Times New Roman" w:hAnsi="Arial Narrow" w:cstheme="minorHAnsi"/>
                <w:b/>
                <w:bCs/>
                <w:color w:val="000000"/>
                <w:sz w:val="20"/>
                <w:szCs w:val="20"/>
                <w:lang w:eastAsia="en-AU"/>
              </w:rPr>
              <w:t xml:space="preserve">to PHIs </w:t>
            </w:r>
          </w:p>
        </w:tc>
        <w:tc>
          <w:tcPr>
            <w:tcW w:w="572" w:type="pct"/>
          </w:tcPr>
          <w:p w14:paraId="3874A86D" w14:textId="4FDAC604" w:rsidR="00016251" w:rsidRPr="00583FF1" w:rsidRDefault="00016251" w:rsidP="00016251">
            <w:pPr>
              <w:spacing w:before="0" w:after="0" w:line="240" w:lineRule="auto"/>
              <w:contextualSpacing/>
              <w:jc w:val="center"/>
              <w:rPr>
                <w:rFonts w:ascii="Arial Narrow" w:eastAsia="Times New Roman" w:hAnsi="Arial Narrow" w:cstheme="minorHAnsi"/>
                <w:b/>
                <w:bCs/>
                <w:color w:val="000000"/>
                <w:sz w:val="20"/>
                <w:szCs w:val="20"/>
                <w:lang w:eastAsia="en-AU"/>
              </w:rPr>
            </w:pPr>
            <w:r w:rsidRPr="00583FF1">
              <w:rPr>
                <w:rFonts w:ascii="Arial Narrow" w:hAnsi="Arial Narrow"/>
                <w:b/>
                <w:bCs/>
                <w:color w:val="000000" w:themeColor="text1"/>
                <w:sz w:val="20"/>
                <w:szCs w:val="20"/>
              </w:rPr>
              <w:t>redacted</w:t>
            </w:r>
          </w:p>
        </w:tc>
        <w:tc>
          <w:tcPr>
            <w:tcW w:w="572" w:type="pct"/>
          </w:tcPr>
          <w:p w14:paraId="6E6E3D21" w14:textId="45B0F8CA" w:rsidR="00016251" w:rsidRPr="00583FF1" w:rsidRDefault="00016251" w:rsidP="00016251">
            <w:pPr>
              <w:spacing w:before="0" w:after="0" w:line="240" w:lineRule="auto"/>
              <w:contextualSpacing/>
              <w:jc w:val="center"/>
              <w:rPr>
                <w:rFonts w:ascii="Arial Narrow" w:eastAsia="Times New Roman" w:hAnsi="Arial Narrow" w:cstheme="minorHAnsi"/>
                <w:b/>
                <w:bCs/>
                <w:color w:val="000000"/>
                <w:sz w:val="20"/>
                <w:szCs w:val="20"/>
                <w:lang w:eastAsia="en-AU"/>
              </w:rPr>
            </w:pPr>
            <w:r w:rsidRPr="00583FF1">
              <w:rPr>
                <w:rFonts w:ascii="Arial Narrow" w:hAnsi="Arial Narrow"/>
                <w:b/>
                <w:bCs/>
                <w:color w:val="000000" w:themeColor="text1"/>
                <w:sz w:val="20"/>
                <w:szCs w:val="20"/>
              </w:rPr>
              <w:t>redacted</w:t>
            </w:r>
          </w:p>
        </w:tc>
        <w:tc>
          <w:tcPr>
            <w:tcW w:w="572" w:type="pct"/>
          </w:tcPr>
          <w:p w14:paraId="162C0B89" w14:textId="2768E29B" w:rsidR="00016251" w:rsidRPr="00583FF1" w:rsidRDefault="00016251" w:rsidP="00016251">
            <w:pPr>
              <w:spacing w:before="0" w:after="0" w:line="240" w:lineRule="auto"/>
              <w:contextualSpacing/>
              <w:jc w:val="center"/>
              <w:rPr>
                <w:rFonts w:ascii="Arial Narrow" w:eastAsia="Times New Roman" w:hAnsi="Arial Narrow" w:cstheme="minorHAnsi"/>
                <w:b/>
                <w:bCs/>
                <w:color w:val="000000"/>
                <w:sz w:val="20"/>
                <w:szCs w:val="20"/>
                <w:lang w:eastAsia="en-AU"/>
              </w:rPr>
            </w:pPr>
            <w:r w:rsidRPr="00583FF1">
              <w:rPr>
                <w:rFonts w:ascii="Arial Narrow" w:hAnsi="Arial Narrow"/>
                <w:b/>
                <w:bCs/>
                <w:color w:val="000000" w:themeColor="text1"/>
                <w:sz w:val="20"/>
                <w:szCs w:val="20"/>
              </w:rPr>
              <w:t>redacted</w:t>
            </w:r>
          </w:p>
        </w:tc>
        <w:tc>
          <w:tcPr>
            <w:tcW w:w="572" w:type="pct"/>
          </w:tcPr>
          <w:p w14:paraId="32C333A7" w14:textId="5B3828B2" w:rsidR="00016251" w:rsidRPr="00583FF1" w:rsidRDefault="00016251" w:rsidP="00016251">
            <w:pPr>
              <w:spacing w:before="0" w:after="0" w:line="240" w:lineRule="auto"/>
              <w:contextualSpacing/>
              <w:jc w:val="center"/>
              <w:rPr>
                <w:rFonts w:ascii="Arial Narrow" w:eastAsia="Times New Roman" w:hAnsi="Arial Narrow" w:cstheme="minorHAnsi"/>
                <w:b/>
                <w:bCs/>
                <w:color w:val="000000"/>
                <w:sz w:val="20"/>
                <w:szCs w:val="20"/>
                <w:lang w:eastAsia="en-AU"/>
              </w:rPr>
            </w:pPr>
            <w:r w:rsidRPr="00583FF1">
              <w:rPr>
                <w:rFonts w:ascii="Arial Narrow" w:hAnsi="Arial Narrow"/>
                <w:b/>
                <w:bCs/>
                <w:color w:val="000000" w:themeColor="text1"/>
                <w:sz w:val="20"/>
                <w:szCs w:val="20"/>
              </w:rPr>
              <w:t>redacted</w:t>
            </w:r>
          </w:p>
        </w:tc>
        <w:tc>
          <w:tcPr>
            <w:tcW w:w="572" w:type="pct"/>
          </w:tcPr>
          <w:p w14:paraId="05A15FF1" w14:textId="2DB5A88D" w:rsidR="00016251" w:rsidRPr="00583FF1" w:rsidRDefault="00016251" w:rsidP="00016251">
            <w:pPr>
              <w:spacing w:before="0" w:after="0" w:line="240" w:lineRule="auto"/>
              <w:contextualSpacing/>
              <w:jc w:val="center"/>
              <w:rPr>
                <w:rFonts w:ascii="Arial Narrow" w:eastAsia="Times New Roman" w:hAnsi="Arial Narrow" w:cstheme="minorHAnsi"/>
                <w:b/>
                <w:bCs/>
                <w:color w:val="000000"/>
                <w:sz w:val="20"/>
                <w:szCs w:val="20"/>
                <w:lang w:eastAsia="en-AU"/>
              </w:rPr>
            </w:pPr>
            <w:r w:rsidRPr="00583FF1">
              <w:rPr>
                <w:rFonts w:ascii="Arial Narrow" w:hAnsi="Arial Narrow"/>
                <w:b/>
                <w:bCs/>
                <w:color w:val="000000" w:themeColor="text1"/>
                <w:sz w:val="20"/>
                <w:szCs w:val="20"/>
              </w:rPr>
              <w:t>redacted</w:t>
            </w:r>
          </w:p>
        </w:tc>
        <w:tc>
          <w:tcPr>
            <w:tcW w:w="569" w:type="pct"/>
          </w:tcPr>
          <w:p w14:paraId="1AEA64F7" w14:textId="1D9E75F5" w:rsidR="00016251" w:rsidRPr="00583FF1" w:rsidRDefault="00016251" w:rsidP="00016251">
            <w:pPr>
              <w:spacing w:before="0" w:after="0" w:line="240" w:lineRule="auto"/>
              <w:contextualSpacing/>
              <w:jc w:val="center"/>
              <w:rPr>
                <w:rFonts w:ascii="Arial Narrow" w:eastAsia="Times New Roman" w:hAnsi="Arial Narrow" w:cstheme="minorHAnsi"/>
                <w:b/>
                <w:bCs/>
                <w:color w:val="000000"/>
                <w:sz w:val="20"/>
                <w:szCs w:val="20"/>
                <w:lang w:eastAsia="en-AU"/>
              </w:rPr>
            </w:pPr>
            <w:r w:rsidRPr="00583FF1">
              <w:rPr>
                <w:rFonts w:ascii="Arial Narrow" w:hAnsi="Arial Narrow"/>
                <w:b/>
                <w:bCs/>
                <w:color w:val="000000" w:themeColor="text1"/>
                <w:sz w:val="20"/>
                <w:szCs w:val="20"/>
              </w:rPr>
              <w:t>redacted</w:t>
            </w:r>
          </w:p>
        </w:tc>
      </w:tr>
    </w:tbl>
    <w:p w14:paraId="2AE0CC04" w14:textId="63D0DCFC" w:rsidR="00FC7743" w:rsidRDefault="00FC7743" w:rsidP="00FC7743">
      <w:pPr>
        <w:pStyle w:val="TableFooter"/>
      </w:pPr>
      <w:r>
        <w:t>Source: Table 66 p 158 of the ADAR</w:t>
      </w:r>
    </w:p>
    <w:p w14:paraId="263C2CA9" w14:textId="7E8BDC9E" w:rsidR="00C74C05" w:rsidRPr="00A3560A" w:rsidRDefault="00FC7743" w:rsidP="00A3560A">
      <w:pPr>
        <w:pStyle w:val="TableFooter"/>
      </w:pPr>
      <w:r>
        <w:t xml:space="preserve">Abbreviations: </w:t>
      </w:r>
      <w:r w:rsidR="00D221A8">
        <w:t>BCI</w:t>
      </w:r>
      <w:r>
        <w:t xml:space="preserve"> = </w:t>
      </w:r>
      <w:proofErr w:type="spellStart"/>
      <w:r w:rsidR="00611C7A">
        <w:t>bioinductive</w:t>
      </w:r>
      <w:proofErr w:type="spellEnd"/>
      <w:r w:rsidR="00611C7A">
        <w:t xml:space="preserve"> collagen </w:t>
      </w:r>
      <w:r w:rsidR="00694CD4">
        <w:t>implant;</w:t>
      </w:r>
      <w:r>
        <w:t xml:space="preserve"> CM = conservative management; </w:t>
      </w:r>
      <w:r w:rsidR="007B6C9E" w:rsidRPr="00B1275F">
        <w:rPr>
          <w:rFonts w:asciiTheme="minorHAnsi" w:hAnsiTheme="minorHAnsi" w:cstheme="minorHAnsi"/>
          <w:u w:color="FF0000"/>
        </w:rPr>
        <w:t>FTT</w:t>
      </w:r>
      <w:r w:rsidR="007B6C9E">
        <w:rPr>
          <w:rFonts w:asciiTheme="minorHAnsi" w:hAnsiTheme="minorHAnsi" w:cstheme="minorHAnsi"/>
          <w:u w:color="FF0000"/>
        </w:rPr>
        <w:t xml:space="preserve"> =</w:t>
      </w:r>
      <w:r w:rsidR="007B6C9E" w:rsidRPr="00B1275F">
        <w:rPr>
          <w:rFonts w:asciiTheme="minorHAnsi" w:hAnsiTheme="minorHAnsi" w:cstheme="minorHAnsi"/>
          <w:u w:color="FF0000"/>
        </w:rPr>
        <w:t xml:space="preserve"> Full thickness tear</w:t>
      </w:r>
      <w:r w:rsidR="007B6C9E">
        <w:rPr>
          <w:rFonts w:asciiTheme="minorHAnsi" w:hAnsiTheme="minorHAnsi" w:cstheme="minorHAnsi"/>
          <w:u w:color="FF0000"/>
        </w:rPr>
        <w:t>;</w:t>
      </w:r>
      <w:r w:rsidR="007B6C9E" w:rsidRPr="00B1275F">
        <w:rPr>
          <w:rFonts w:asciiTheme="minorHAnsi" w:hAnsiTheme="minorHAnsi" w:cstheme="minorHAnsi"/>
          <w:u w:color="FF0000"/>
        </w:rPr>
        <w:t xml:space="preserve"> PHI</w:t>
      </w:r>
      <w:r w:rsidR="007B6C9E">
        <w:rPr>
          <w:rFonts w:asciiTheme="minorHAnsi" w:hAnsiTheme="minorHAnsi" w:cstheme="minorHAnsi"/>
          <w:u w:color="FF0000"/>
        </w:rPr>
        <w:t xml:space="preserve"> =</w:t>
      </w:r>
      <w:r w:rsidR="007B6C9E" w:rsidRPr="00B1275F">
        <w:rPr>
          <w:rFonts w:asciiTheme="minorHAnsi" w:hAnsiTheme="minorHAnsi" w:cstheme="minorHAnsi"/>
          <w:u w:color="FF0000"/>
        </w:rPr>
        <w:t xml:space="preserve"> Private health insurer</w:t>
      </w:r>
      <w:r w:rsidR="007B6C9E">
        <w:rPr>
          <w:rFonts w:asciiTheme="minorHAnsi" w:hAnsiTheme="minorHAnsi" w:cstheme="minorHAnsi"/>
          <w:u w:color="FF0000"/>
        </w:rPr>
        <w:t>;</w:t>
      </w:r>
      <w:r w:rsidR="007B6C9E">
        <w:t xml:space="preserve"> </w:t>
      </w:r>
      <w:r>
        <w:t xml:space="preserve">RCT = rotator cuff tear; RTSA = </w:t>
      </w:r>
      <w:r w:rsidRPr="009370EC">
        <w:t>reverse total shoulder arthroplasty</w:t>
      </w:r>
    </w:p>
    <w:p w14:paraId="37233A6B" w14:textId="14F589AE" w:rsidR="00C74C05" w:rsidRDefault="0099259C" w:rsidP="00330A0A">
      <w:r>
        <w:t>T</w:t>
      </w:r>
      <w:r w:rsidRPr="0099259C">
        <w:t xml:space="preserve">he estimated cost for PHIs to fund </w:t>
      </w:r>
      <w:r w:rsidR="00445870">
        <w:t>BCI</w:t>
      </w:r>
      <w:r w:rsidR="00445870" w:rsidRPr="0099259C">
        <w:t xml:space="preserve"> </w:t>
      </w:r>
      <w:r w:rsidRPr="0099259C">
        <w:t xml:space="preserve">is projected to increase from approximately </w:t>
      </w:r>
      <w:r w:rsidR="00077CF9">
        <w:t>$</w:t>
      </w:r>
      <w:r w:rsidR="00604F8C" w:rsidRPr="00DF46A3">
        <w:rPr>
          <w:b/>
          <w:bCs/>
          <w:color w:val="000000" w:themeColor="text1"/>
        </w:rPr>
        <w:t>redacted</w:t>
      </w:r>
      <w:r w:rsidR="00604F8C" w:rsidRPr="0099259C" w:rsidDel="00604F8C">
        <w:t xml:space="preserve"> </w:t>
      </w:r>
      <w:r w:rsidRPr="0099259C">
        <w:t xml:space="preserve">in Year 1 to </w:t>
      </w:r>
      <w:r w:rsidR="00077CF9">
        <w:t>$</w:t>
      </w:r>
      <w:r w:rsidR="00604F8C" w:rsidRPr="00DF46A3">
        <w:rPr>
          <w:b/>
          <w:bCs/>
          <w:color w:val="000000" w:themeColor="text1"/>
        </w:rPr>
        <w:t>redacted</w:t>
      </w:r>
      <w:r w:rsidR="00604F8C" w:rsidRPr="0099259C" w:rsidDel="00604F8C">
        <w:t xml:space="preserve"> </w:t>
      </w:r>
      <w:r w:rsidRPr="0099259C">
        <w:t>in Year 6. Accounting for cost-offsets, the net costs to PHIs are anticipated to start at $1.4 million in Year 1, rising to $8.</w:t>
      </w:r>
      <w:r w:rsidR="00B80127">
        <w:t>4</w:t>
      </w:r>
      <w:r w:rsidRPr="0099259C">
        <w:t xml:space="preserve"> million by Year 6. Cost-offsets are expected to lower the total financial impact by roughly </w:t>
      </w:r>
      <w:r w:rsidR="00077CF9">
        <w:t>$</w:t>
      </w:r>
      <w:r w:rsidR="00604F8C" w:rsidRPr="00DF46A3">
        <w:rPr>
          <w:b/>
          <w:bCs/>
          <w:color w:val="000000" w:themeColor="text1"/>
        </w:rPr>
        <w:t>redacted</w:t>
      </w:r>
      <w:r w:rsidRPr="0099259C">
        <w:t xml:space="preserve"> in Year 6. </w:t>
      </w:r>
      <w:r w:rsidR="00730FCF">
        <w:fldChar w:fldCharType="begin"/>
      </w:r>
      <w:r w:rsidR="00730FCF">
        <w:instrText xml:space="preserve"> REF _Ref69726382 \h </w:instrText>
      </w:r>
      <w:r w:rsidR="00730FCF">
        <w:fldChar w:fldCharType="separate"/>
      </w:r>
      <w:r w:rsidR="002D4CF2" w:rsidRPr="00CE28E3">
        <w:t>Table</w:t>
      </w:r>
      <w:r w:rsidR="002D4CF2">
        <w:t> </w:t>
      </w:r>
      <w:r w:rsidR="002D4CF2">
        <w:rPr>
          <w:noProof/>
        </w:rPr>
        <w:t>16</w:t>
      </w:r>
      <w:r w:rsidR="00730FCF">
        <w:fldChar w:fldCharType="end"/>
      </w:r>
      <w:r w:rsidR="00730FCF">
        <w:t xml:space="preserve"> </w:t>
      </w:r>
      <w:r w:rsidRPr="0099259C">
        <w:t xml:space="preserve">provides a summary of the net financial impact to PHIs resulting from </w:t>
      </w:r>
      <w:r w:rsidR="00445870">
        <w:t>BCI</w:t>
      </w:r>
      <w:r w:rsidR="00445870" w:rsidRPr="0099259C">
        <w:t xml:space="preserve"> </w:t>
      </w:r>
      <w:r w:rsidRPr="0099259C">
        <w:t>use.</w:t>
      </w:r>
    </w:p>
    <w:p w14:paraId="33FCA9D4" w14:textId="75253882" w:rsidR="00D428B9" w:rsidRDefault="00D428B9" w:rsidP="00865ECD">
      <w:pPr>
        <w:pStyle w:val="Caption"/>
        <w:keepLines/>
      </w:pPr>
      <w:bookmarkStart w:id="54" w:name="_Ref69726382"/>
      <w:r w:rsidRPr="00CE28E3">
        <w:lastRenderedPageBreak/>
        <w:t>Table</w:t>
      </w:r>
      <w:r w:rsidR="003571C2">
        <w:t> </w:t>
      </w:r>
      <w:r w:rsidR="004B28A6">
        <w:fldChar w:fldCharType="begin"/>
      </w:r>
      <w:r w:rsidR="004B28A6">
        <w:instrText xml:space="preserve"> SEQ Table \* ARABIC </w:instrText>
      </w:r>
      <w:r w:rsidR="004B28A6">
        <w:fldChar w:fldCharType="separate"/>
      </w:r>
      <w:r w:rsidR="00564C3F">
        <w:rPr>
          <w:noProof/>
        </w:rPr>
        <w:t>16</w:t>
      </w:r>
      <w:r w:rsidR="004B28A6">
        <w:rPr>
          <w:noProof/>
        </w:rPr>
        <w:fldChar w:fldCharType="end"/>
      </w:r>
      <w:bookmarkEnd w:id="54"/>
      <w:r w:rsidRPr="00CE28E3">
        <w:tab/>
        <w:t xml:space="preserve">Net financial implications of </w:t>
      </w:r>
      <w:r w:rsidR="00445870">
        <w:t>BCI</w:t>
      </w:r>
      <w:r w:rsidR="00133023">
        <w:t xml:space="preserve"> </w:t>
      </w:r>
      <w:r w:rsidR="00133023" w:rsidRPr="00CE28E3">
        <w:t>to</w:t>
      </w:r>
      <w:r w:rsidRPr="00CE28E3">
        <w:t xml:space="preserve"> the </w:t>
      </w:r>
      <w:r w:rsidR="00444B44">
        <w:t>private health insurance system</w:t>
      </w:r>
    </w:p>
    <w:tbl>
      <w:tblPr>
        <w:tblW w:w="49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09"/>
        <w:gridCol w:w="2652"/>
        <w:gridCol w:w="993"/>
        <w:gridCol w:w="993"/>
        <w:gridCol w:w="991"/>
        <w:gridCol w:w="993"/>
        <w:gridCol w:w="991"/>
        <w:gridCol w:w="1021"/>
      </w:tblGrid>
      <w:tr w:rsidR="008158D1" w:rsidRPr="0062012F" w14:paraId="6E22A197" w14:textId="562D7207" w:rsidTr="00BF5AEA">
        <w:tc>
          <w:tcPr>
            <w:tcW w:w="173" w:type="pct"/>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C5BBB7E" w14:textId="77777777" w:rsidR="00F401C1" w:rsidRPr="0062012F" w:rsidRDefault="00F401C1" w:rsidP="00865ECD">
            <w:pPr>
              <w:keepNext/>
              <w:keepLines/>
              <w:spacing w:before="0" w:after="0" w:line="240" w:lineRule="auto"/>
              <w:rPr>
                <w:rFonts w:ascii="Arial Narrow" w:eastAsia="Times New Roman" w:hAnsi="Arial Narrow" w:cstheme="minorHAnsi"/>
                <w:b/>
                <w:bCs/>
                <w:color w:val="000000"/>
                <w:sz w:val="20"/>
                <w:szCs w:val="20"/>
                <w:lang w:eastAsia="en-AU"/>
              </w:rPr>
            </w:pPr>
          </w:p>
        </w:tc>
        <w:tc>
          <w:tcPr>
            <w:tcW w:w="1483"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D2CD1FB" w14:textId="4809D5CC" w:rsidR="00F401C1" w:rsidRPr="0062012F" w:rsidRDefault="00F401C1" w:rsidP="00865ECD">
            <w:pPr>
              <w:keepNext/>
              <w:keepLines/>
              <w:spacing w:before="0" w:after="0" w:line="240" w:lineRule="auto"/>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 xml:space="preserve">Parameter </w:t>
            </w:r>
          </w:p>
        </w:tc>
        <w:tc>
          <w:tcPr>
            <w:tcW w:w="5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808E81" w14:textId="77777777" w:rsidR="00F401C1" w:rsidRPr="0062012F" w:rsidRDefault="00F401C1"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Year 1</w:t>
            </w:r>
            <w:r w:rsidRPr="0062012F">
              <w:rPr>
                <w:rFonts w:ascii="Arial Narrow" w:eastAsia="Times New Roman" w:hAnsi="Arial Narrow" w:cstheme="minorHAnsi"/>
                <w:b/>
                <w:bCs/>
                <w:color w:val="000000"/>
                <w:sz w:val="20"/>
                <w:szCs w:val="20"/>
                <w:lang w:eastAsia="en-AU"/>
              </w:rPr>
              <w:br/>
              <w:t>(2025)</w:t>
            </w:r>
          </w:p>
        </w:tc>
        <w:tc>
          <w:tcPr>
            <w:tcW w:w="55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E7E2AD" w14:textId="77777777" w:rsidR="00F401C1" w:rsidRPr="0062012F" w:rsidRDefault="00F401C1"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Year 2</w:t>
            </w:r>
            <w:r w:rsidRPr="0062012F">
              <w:rPr>
                <w:rFonts w:ascii="Arial Narrow" w:eastAsia="Times New Roman" w:hAnsi="Arial Narrow" w:cstheme="minorHAnsi"/>
                <w:b/>
                <w:bCs/>
                <w:color w:val="000000"/>
                <w:sz w:val="20"/>
                <w:szCs w:val="20"/>
                <w:lang w:eastAsia="en-AU"/>
              </w:rPr>
              <w:br/>
              <w:t>(2026)</w:t>
            </w:r>
          </w:p>
        </w:tc>
        <w:tc>
          <w:tcPr>
            <w:tcW w:w="55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3EFCB69" w14:textId="77777777" w:rsidR="00F401C1" w:rsidRPr="0062012F" w:rsidRDefault="00F401C1"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Year 3</w:t>
            </w:r>
            <w:r w:rsidRPr="0062012F">
              <w:rPr>
                <w:rFonts w:ascii="Arial Narrow" w:eastAsia="Times New Roman" w:hAnsi="Arial Narrow" w:cstheme="minorHAnsi"/>
                <w:b/>
                <w:bCs/>
                <w:color w:val="000000"/>
                <w:sz w:val="20"/>
                <w:szCs w:val="20"/>
                <w:lang w:eastAsia="en-AU"/>
              </w:rPr>
              <w:br/>
              <w:t>(2027)</w:t>
            </w:r>
          </w:p>
        </w:tc>
        <w:tc>
          <w:tcPr>
            <w:tcW w:w="55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15B3657" w14:textId="77777777" w:rsidR="00F401C1" w:rsidRPr="0062012F" w:rsidRDefault="00F401C1"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Year 4</w:t>
            </w:r>
            <w:r w:rsidRPr="0062012F">
              <w:rPr>
                <w:rFonts w:ascii="Arial Narrow" w:eastAsia="Times New Roman" w:hAnsi="Arial Narrow" w:cstheme="minorHAnsi"/>
                <w:b/>
                <w:bCs/>
                <w:color w:val="000000"/>
                <w:sz w:val="20"/>
                <w:szCs w:val="20"/>
                <w:lang w:eastAsia="en-AU"/>
              </w:rPr>
              <w:br/>
              <w:t>(2028)</w:t>
            </w:r>
          </w:p>
        </w:tc>
        <w:tc>
          <w:tcPr>
            <w:tcW w:w="55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3406E1D" w14:textId="77777777" w:rsidR="00F401C1" w:rsidRPr="0062012F" w:rsidRDefault="00F401C1"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Year 5</w:t>
            </w:r>
            <w:r w:rsidRPr="0062012F">
              <w:rPr>
                <w:rFonts w:ascii="Arial Narrow" w:eastAsia="Times New Roman" w:hAnsi="Arial Narrow" w:cstheme="minorHAnsi"/>
                <w:b/>
                <w:bCs/>
                <w:color w:val="000000"/>
                <w:sz w:val="20"/>
                <w:szCs w:val="20"/>
                <w:lang w:eastAsia="en-AU"/>
              </w:rPr>
              <w:br/>
              <w:t>(2029)</w:t>
            </w:r>
          </w:p>
        </w:tc>
        <w:tc>
          <w:tcPr>
            <w:tcW w:w="5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9CD2574" w14:textId="77777777" w:rsidR="00F401C1" w:rsidRPr="0062012F" w:rsidRDefault="00F401C1" w:rsidP="00865ECD">
            <w:pPr>
              <w:keepNext/>
              <w:keepLines/>
              <w:spacing w:before="0" w:after="0" w:line="240" w:lineRule="auto"/>
              <w:jc w:val="center"/>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Year 6</w:t>
            </w:r>
            <w:r w:rsidRPr="0062012F">
              <w:rPr>
                <w:rFonts w:ascii="Arial Narrow" w:eastAsia="Times New Roman" w:hAnsi="Arial Narrow" w:cstheme="minorHAnsi"/>
                <w:b/>
                <w:bCs/>
                <w:color w:val="000000"/>
                <w:sz w:val="20"/>
                <w:szCs w:val="20"/>
                <w:lang w:eastAsia="en-AU"/>
              </w:rPr>
              <w:br/>
              <w:t>(2030)</w:t>
            </w:r>
          </w:p>
        </w:tc>
      </w:tr>
      <w:tr w:rsidR="00A24603" w:rsidRPr="0062012F" w14:paraId="6539CDB7" w14:textId="647D916C" w:rsidTr="009555DB">
        <w:tc>
          <w:tcPr>
            <w:tcW w:w="5000" w:type="pct"/>
            <w:gridSpan w:val="8"/>
            <w:tcBorders>
              <w:top w:val="single" w:sz="8" w:space="0" w:color="auto"/>
              <w:left w:val="single" w:sz="8" w:space="0" w:color="auto"/>
              <w:bottom w:val="single" w:sz="8" w:space="0" w:color="auto"/>
              <w:right w:val="single" w:sz="8" w:space="0" w:color="auto"/>
            </w:tcBorders>
          </w:tcPr>
          <w:p w14:paraId="419DFE83" w14:textId="0BEA151B" w:rsidR="00F401C1" w:rsidRPr="0062012F" w:rsidRDefault="00F401C1" w:rsidP="00865ECD">
            <w:pPr>
              <w:keepNext/>
              <w:keepLines/>
              <w:spacing w:before="0" w:after="0" w:line="240" w:lineRule="auto"/>
              <w:rPr>
                <w:rFonts w:ascii="Arial Narrow" w:eastAsia="Times New Roman" w:hAnsi="Arial Narrow" w:cstheme="minorHAnsi"/>
                <w:b/>
                <w:bCs/>
                <w:color w:val="000000"/>
                <w:sz w:val="20"/>
                <w:szCs w:val="20"/>
                <w:lang w:eastAsia="en-AU"/>
              </w:rPr>
            </w:pPr>
            <w:r w:rsidRPr="0062012F">
              <w:rPr>
                <w:rFonts w:ascii="Arial Narrow" w:eastAsia="Times New Roman" w:hAnsi="Arial Narrow" w:cstheme="minorHAnsi"/>
                <w:b/>
                <w:bCs/>
                <w:color w:val="000000"/>
                <w:sz w:val="20"/>
                <w:szCs w:val="20"/>
                <w:lang w:eastAsia="en-AU"/>
              </w:rPr>
              <w:t>Estimated use and cost of the proposed health technology</w:t>
            </w:r>
          </w:p>
        </w:tc>
      </w:tr>
      <w:tr w:rsidR="008158D1" w:rsidRPr="0062012F" w14:paraId="36001E65" w14:textId="7B9DEFC2" w:rsidTr="00BF5AEA">
        <w:tc>
          <w:tcPr>
            <w:tcW w:w="173" w:type="pct"/>
            <w:tcBorders>
              <w:top w:val="nil"/>
              <w:left w:val="single" w:sz="8" w:space="0" w:color="auto"/>
              <w:bottom w:val="single" w:sz="8" w:space="0" w:color="auto"/>
              <w:right w:val="single" w:sz="8" w:space="0" w:color="auto"/>
            </w:tcBorders>
          </w:tcPr>
          <w:p w14:paraId="59A18A5A" w14:textId="04D42F07" w:rsidR="00166456" w:rsidRPr="0062012F" w:rsidRDefault="00166456" w:rsidP="00166456">
            <w:pPr>
              <w:keepNext/>
              <w:keepLines/>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A</w:t>
            </w:r>
          </w:p>
        </w:tc>
        <w:tc>
          <w:tcPr>
            <w:tcW w:w="1483" w:type="pct"/>
            <w:tcBorders>
              <w:top w:val="nil"/>
              <w:left w:val="single" w:sz="8" w:space="0" w:color="auto"/>
              <w:bottom w:val="single" w:sz="8" w:space="0" w:color="auto"/>
              <w:right w:val="single" w:sz="8" w:space="0" w:color="auto"/>
            </w:tcBorders>
            <w:vAlign w:val="center"/>
            <w:hideMark/>
          </w:tcPr>
          <w:p w14:paraId="7595D56C" w14:textId="34F29742" w:rsidR="00166456" w:rsidRPr="005F3F19" w:rsidRDefault="00166456" w:rsidP="00166456">
            <w:pPr>
              <w:keepNext/>
              <w:keepLines/>
              <w:spacing w:before="0" w:after="0" w:line="240" w:lineRule="auto"/>
              <w:rPr>
                <w:rFonts w:ascii="Arial Narrow" w:eastAsia="Times New Roman" w:hAnsi="Arial Narrow" w:cstheme="minorHAnsi"/>
                <w:color w:val="000000"/>
                <w:sz w:val="20"/>
                <w:szCs w:val="20"/>
                <w:lang w:eastAsia="en-AU"/>
              </w:rPr>
            </w:pPr>
            <w:r w:rsidRPr="005F3F19">
              <w:rPr>
                <w:rFonts w:ascii="Arial Narrow" w:eastAsia="Times New Roman" w:hAnsi="Arial Narrow" w:cstheme="minorHAnsi"/>
                <w:color w:val="000000"/>
                <w:sz w:val="20"/>
                <w:szCs w:val="20"/>
                <w:lang w:eastAsia="en-AU"/>
              </w:rPr>
              <w:t>Number of people undergoing rotator cuff repair in the private setting</w:t>
            </w:r>
          </w:p>
        </w:tc>
        <w:tc>
          <w:tcPr>
            <w:tcW w:w="555" w:type="pct"/>
            <w:tcBorders>
              <w:top w:val="nil"/>
              <w:left w:val="nil"/>
              <w:bottom w:val="single" w:sz="8" w:space="0" w:color="auto"/>
              <w:right w:val="single" w:sz="8" w:space="0" w:color="auto"/>
            </w:tcBorders>
            <w:vAlign w:val="center"/>
            <w:hideMark/>
          </w:tcPr>
          <w:p w14:paraId="10297850" w14:textId="17614F3F" w:rsidR="00166456" w:rsidRPr="006A13C0" w:rsidRDefault="00166456" w:rsidP="00166456">
            <w:pPr>
              <w:keepNext/>
              <w:keepLines/>
              <w:spacing w:before="0" w:after="0" w:line="240" w:lineRule="auto"/>
              <w:jc w:val="right"/>
              <w:rPr>
                <w:rFonts w:ascii="Arial Narrow" w:eastAsia="Times New Roman" w:hAnsi="Arial Narrow" w:cstheme="minorHAnsi"/>
                <w:color w:val="000000"/>
                <w:sz w:val="20"/>
                <w:szCs w:val="20"/>
                <w:lang w:eastAsia="en-AU"/>
              </w:rPr>
            </w:pPr>
            <w:r w:rsidRPr="006A13C0">
              <w:rPr>
                <w:rFonts w:ascii="Arial Narrow" w:hAnsi="Arial Narrow" w:cstheme="minorHAnsi"/>
                <w:sz w:val="20"/>
                <w:szCs w:val="20"/>
              </w:rPr>
              <w:t>21,792</w:t>
            </w:r>
          </w:p>
        </w:tc>
        <w:tc>
          <w:tcPr>
            <w:tcW w:w="555" w:type="pct"/>
            <w:tcBorders>
              <w:top w:val="nil"/>
              <w:left w:val="nil"/>
              <w:bottom w:val="single" w:sz="8" w:space="0" w:color="auto"/>
              <w:right w:val="single" w:sz="8" w:space="0" w:color="auto"/>
            </w:tcBorders>
            <w:vAlign w:val="center"/>
            <w:hideMark/>
          </w:tcPr>
          <w:p w14:paraId="21F95414" w14:textId="0B29EB26" w:rsidR="00166456" w:rsidRPr="006A13C0" w:rsidRDefault="00166456" w:rsidP="00166456">
            <w:pPr>
              <w:keepNext/>
              <w:keepLines/>
              <w:spacing w:before="0" w:after="0" w:line="240" w:lineRule="auto"/>
              <w:jc w:val="right"/>
              <w:rPr>
                <w:rFonts w:ascii="Arial Narrow" w:eastAsia="Times New Roman" w:hAnsi="Arial Narrow" w:cstheme="minorHAnsi"/>
                <w:color w:val="000000"/>
                <w:sz w:val="20"/>
                <w:szCs w:val="20"/>
                <w:lang w:eastAsia="en-AU"/>
              </w:rPr>
            </w:pPr>
            <w:r w:rsidRPr="006A13C0">
              <w:rPr>
                <w:rFonts w:ascii="Arial Narrow" w:hAnsi="Arial Narrow" w:cstheme="minorHAnsi"/>
                <w:sz w:val="20"/>
                <w:szCs w:val="20"/>
              </w:rPr>
              <w:t>22,179</w:t>
            </w:r>
          </w:p>
        </w:tc>
        <w:tc>
          <w:tcPr>
            <w:tcW w:w="554" w:type="pct"/>
            <w:tcBorders>
              <w:top w:val="nil"/>
              <w:left w:val="nil"/>
              <w:bottom w:val="single" w:sz="8" w:space="0" w:color="auto"/>
              <w:right w:val="single" w:sz="8" w:space="0" w:color="auto"/>
            </w:tcBorders>
            <w:vAlign w:val="center"/>
            <w:hideMark/>
          </w:tcPr>
          <w:p w14:paraId="751B53E3" w14:textId="622EBA50" w:rsidR="00166456" w:rsidRPr="006A13C0" w:rsidRDefault="00166456" w:rsidP="00166456">
            <w:pPr>
              <w:keepNext/>
              <w:keepLines/>
              <w:spacing w:before="0" w:after="0" w:line="240" w:lineRule="auto"/>
              <w:jc w:val="right"/>
              <w:rPr>
                <w:rFonts w:ascii="Arial Narrow" w:eastAsia="Times New Roman" w:hAnsi="Arial Narrow" w:cstheme="minorHAnsi"/>
                <w:color w:val="000000"/>
                <w:sz w:val="20"/>
                <w:szCs w:val="20"/>
                <w:lang w:eastAsia="en-AU"/>
              </w:rPr>
            </w:pPr>
            <w:r w:rsidRPr="006A13C0">
              <w:rPr>
                <w:rFonts w:ascii="Arial Narrow" w:hAnsi="Arial Narrow" w:cstheme="minorHAnsi"/>
                <w:sz w:val="20"/>
                <w:szCs w:val="20"/>
              </w:rPr>
              <w:t>22,556</w:t>
            </w:r>
          </w:p>
        </w:tc>
        <w:tc>
          <w:tcPr>
            <w:tcW w:w="555" w:type="pct"/>
            <w:tcBorders>
              <w:top w:val="nil"/>
              <w:left w:val="nil"/>
              <w:bottom w:val="single" w:sz="8" w:space="0" w:color="auto"/>
              <w:right w:val="single" w:sz="8" w:space="0" w:color="auto"/>
            </w:tcBorders>
            <w:vAlign w:val="center"/>
            <w:hideMark/>
          </w:tcPr>
          <w:p w14:paraId="346E1663" w14:textId="35AE8108" w:rsidR="00166456" w:rsidRPr="006A13C0" w:rsidRDefault="00166456" w:rsidP="00166456">
            <w:pPr>
              <w:keepNext/>
              <w:keepLines/>
              <w:spacing w:before="0" w:after="0" w:line="240" w:lineRule="auto"/>
              <w:jc w:val="right"/>
              <w:rPr>
                <w:rFonts w:ascii="Arial Narrow" w:eastAsia="Times New Roman" w:hAnsi="Arial Narrow" w:cstheme="minorHAnsi"/>
                <w:color w:val="000000"/>
                <w:sz w:val="20"/>
                <w:szCs w:val="20"/>
                <w:lang w:eastAsia="en-AU"/>
              </w:rPr>
            </w:pPr>
            <w:r w:rsidRPr="006A13C0">
              <w:rPr>
                <w:rFonts w:ascii="Arial Narrow" w:hAnsi="Arial Narrow" w:cstheme="minorHAnsi"/>
                <w:sz w:val="20"/>
                <w:szCs w:val="20"/>
              </w:rPr>
              <w:t>22,924</w:t>
            </w:r>
          </w:p>
        </w:tc>
        <w:tc>
          <w:tcPr>
            <w:tcW w:w="554" w:type="pct"/>
            <w:tcBorders>
              <w:top w:val="nil"/>
              <w:left w:val="nil"/>
              <w:bottom w:val="single" w:sz="8" w:space="0" w:color="auto"/>
              <w:right w:val="single" w:sz="8" w:space="0" w:color="auto"/>
            </w:tcBorders>
            <w:vAlign w:val="center"/>
            <w:hideMark/>
          </w:tcPr>
          <w:p w14:paraId="7E5DB598" w14:textId="0298CDF3" w:rsidR="00166456" w:rsidRPr="006A13C0" w:rsidRDefault="00166456" w:rsidP="00166456">
            <w:pPr>
              <w:keepNext/>
              <w:keepLines/>
              <w:spacing w:before="0" w:after="0" w:line="240" w:lineRule="auto"/>
              <w:jc w:val="right"/>
              <w:rPr>
                <w:rFonts w:ascii="Arial Narrow" w:eastAsia="Times New Roman" w:hAnsi="Arial Narrow" w:cstheme="minorHAnsi"/>
                <w:color w:val="000000"/>
                <w:sz w:val="20"/>
                <w:szCs w:val="20"/>
                <w:lang w:eastAsia="en-AU"/>
              </w:rPr>
            </w:pPr>
            <w:r w:rsidRPr="006A13C0">
              <w:rPr>
                <w:rFonts w:ascii="Arial Narrow" w:hAnsi="Arial Narrow" w:cstheme="minorHAnsi"/>
                <w:sz w:val="20"/>
                <w:szCs w:val="20"/>
              </w:rPr>
              <w:t>23,277</w:t>
            </w:r>
          </w:p>
        </w:tc>
        <w:tc>
          <w:tcPr>
            <w:tcW w:w="571" w:type="pct"/>
            <w:tcBorders>
              <w:top w:val="nil"/>
              <w:left w:val="nil"/>
              <w:bottom w:val="single" w:sz="8" w:space="0" w:color="auto"/>
              <w:right w:val="single" w:sz="8" w:space="0" w:color="auto"/>
            </w:tcBorders>
            <w:vAlign w:val="center"/>
            <w:hideMark/>
          </w:tcPr>
          <w:p w14:paraId="6C0C7C0E" w14:textId="3B21A60A" w:rsidR="00166456" w:rsidRPr="006A13C0" w:rsidRDefault="00166456" w:rsidP="00166456">
            <w:pPr>
              <w:keepNext/>
              <w:keepLines/>
              <w:spacing w:before="0" w:after="0" w:line="240" w:lineRule="auto"/>
              <w:jc w:val="right"/>
              <w:rPr>
                <w:rFonts w:ascii="Arial Narrow" w:eastAsia="Times New Roman" w:hAnsi="Arial Narrow" w:cstheme="minorHAnsi"/>
                <w:color w:val="000000"/>
                <w:sz w:val="20"/>
                <w:szCs w:val="20"/>
                <w:lang w:eastAsia="en-AU"/>
              </w:rPr>
            </w:pPr>
            <w:r w:rsidRPr="006A13C0">
              <w:rPr>
                <w:rFonts w:ascii="Arial Narrow" w:hAnsi="Arial Narrow" w:cstheme="minorHAnsi"/>
                <w:sz w:val="20"/>
                <w:szCs w:val="20"/>
              </w:rPr>
              <w:t>23,619</w:t>
            </w:r>
          </w:p>
        </w:tc>
      </w:tr>
      <w:tr w:rsidR="008158D1" w:rsidRPr="0062012F" w14:paraId="03ECE710" w14:textId="0A623280" w:rsidTr="00BF5AEA">
        <w:tc>
          <w:tcPr>
            <w:tcW w:w="173" w:type="pct"/>
            <w:tcBorders>
              <w:top w:val="nil"/>
              <w:left w:val="single" w:sz="8" w:space="0" w:color="auto"/>
              <w:bottom w:val="single" w:sz="8" w:space="0" w:color="auto"/>
              <w:right w:val="single" w:sz="8" w:space="0" w:color="auto"/>
            </w:tcBorders>
          </w:tcPr>
          <w:p w14:paraId="6D1BCA2F" w14:textId="3D79DE7E" w:rsidR="00166456" w:rsidRPr="0062012F" w:rsidRDefault="00166456" w:rsidP="00166456">
            <w:pPr>
              <w:keepNext/>
              <w:keepLines/>
              <w:spacing w:before="0" w:after="0" w:line="240" w:lineRule="auto"/>
              <w:rPr>
                <w:rFonts w:ascii="Arial Narrow" w:eastAsia="Times New Roman" w:hAnsi="Arial Narrow" w:cstheme="minorHAnsi"/>
                <w:color w:val="000000"/>
                <w:sz w:val="20"/>
                <w:szCs w:val="20"/>
                <w:lang w:eastAsia="en-AU"/>
              </w:rPr>
            </w:pPr>
            <w:r w:rsidRPr="0062012F">
              <w:rPr>
                <w:rFonts w:ascii="Arial Narrow" w:eastAsia="Times New Roman" w:hAnsi="Arial Narrow" w:cstheme="minorHAnsi"/>
                <w:color w:val="000000"/>
                <w:sz w:val="20"/>
                <w:szCs w:val="20"/>
                <w:lang w:eastAsia="en-AU"/>
              </w:rPr>
              <w:t>B</w:t>
            </w:r>
          </w:p>
        </w:tc>
        <w:tc>
          <w:tcPr>
            <w:tcW w:w="1483" w:type="pct"/>
            <w:tcBorders>
              <w:top w:val="nil"/>
              <w:left w:val="single" w:sz="8" w:space="0" w:color="auto"/>
              <w:bottom w:val="single" w:sz="8" w:space="0" w:color="auto"/>
              <w:right w:val="single" w:sz="8" w:space="0" w:color="auto"/>
            </w:tcBorders>
            <w:vAlign w:val="center"/>
            <w:hideMark/>
          </w:tcPr>
          <w:p w14:paraId="3D9AE587" w14:textId="2158DA6E" w:rsidR="00166456" w:rsidRPr="005F3F19" w:rsidRDefault="00166456" w:rsidP="00166456">
            <w:pPr>
              <w:keepNext/>
              <w:keepLines/>
              <w:spacing w:before="0" w:after="0" w:line="240" w:lineRule="auto"/>
              <w:rPr>
                <w:rFonts w:ascii="Arial Narrow" w:eastAsia="Times New Roman" w:hAnsi="Arial Narrow" w:cstheme="minorHAnsi"/>
                <w:color w:val="000000"/>
                <w:sz w:val="20"/>
                <w:szCs w:val="20"/>
                <w:lang w:eastAsia="en-AU"/>
              </w:rPr>
            </w:pPr>
            <w:r w:rsidRPr="005F3F19">
              <w:rPr>
                <w:rFonts w:ascii="Arial Narrow" w:eastAsia="Times New Roman" w:hAnsi="Arial Narrow" w:cstheme="minorHAnsi"/>
                <w:color w:val="000000"/>
                <w:sz w:val="20"/>
                <w:szCs w:val="20"/>
                <w:lang w:eastAsia="en-AU"/>
              </w:rPr>
              <w:t xml:space="preserve">Number of people who receive BCI in the rotator cuff repair </w:t>
            </w:r>
          </w:p>
        </w:tc>
        <w:tc>
          <w:tcPr>
            <w:tcW w:w="555" w:type="pct"/>
            <w:tcBorders>
              <w:top w:val="nil"/>
              <w:left w:val="nil"/>
              <w:bottom w:val="single" w:sz="8" w:space="0" w:color="auto"/>
              <w:right w:val="single" w:sz="8" w:space="0" w:color="auto"/>
            </w:tcBorders>
            <w:hideMark/>
          </w:tcPr>
          <w:p w14:paraId="7A6447E7" w14:textId="5F558A74" w:rsidR="00166456" w:rsidRPr="006A13C0" w:rsidRDefault="00166456" w:rsidP="00166456">
            <w:pPr>
              <w:keepNext/>
              <w:keepLines/>
              <w:spacing w:before="0" w:after="0" w:line="240" w:lineRule="auto"/>
              <w:jc w:val="right"/>
              <w:rPr>
                <w:rFonts w:ascii="Arial Narrow" w:eastAsia="Times New Roman" w:hAnsi="Arial Narrow" w:cstheme="minorHAnsi"/>
                <w:color w:val="000000"/>
                <w:sz w:val="20"/>
                <w:szCs w:val="20"/>
                <w:lang w:eastAsia="en-AU"/>
              </w:rPr>
            </w:pPr>
            <w:r w:rsidRPr="00A610B7">
              <w:rPr>
                <w:rFonts w:ascii="Arial Narrow" w:hAnsi="Arial Narrow"/>
                <w:b/>
                <w:bCs/>
                <w:color w:val="000000" w:themeColor="text1"/>
                <w:sz w:val="20"/>
                <w:szCs w:val="20"/>
              </w:rPr>
              <w:t>redacted</w:t>
            </w:r>
          </w:p>
        </w:tc>
        <w:tc>
          <w:tcPr>
            <w:tcW w:w="555" w:type="pct"/>
            <w:tcBorders>
              <w:top w:val="nil"/>
              <w:left w:val="nil"/>
              <w:bottom w:val="single" w:sz="8" w:space="0" w:color="auto"/>
              <w:right w:val="single" w:sz="8" w:space="0" w:color="auto"/>
            </w:tcBorders>
            <w:hideMark/>
          </w:tcPr>
          <w:p w14:paraId="74275D47" w14:textId="6FAD5DE7" w:rsidR="00166456" w:rsidRPr="006A13C0" w:rsidRDefault="00166456" w:rsidP="00166456">
            <w:pPr>
              <w:keepNext/>
              <w:keepLines/>
              <w:spacing w:before="0" w:after="0" w:line="240" w:lineRule="auto"/>
              <w:jc w:val="right"/>
              <w:rPr>
                <w:rFonts w:ascii="Arial Narrow" w:eastAsia="Times New Roman" w:hAnsi="Arial Narrow" w:cstheme="minorHAnsi"/>
                <w:color w:val="000000"/>
                <w:sz w:val="20"/>
                <w:szCs w:val="20"/>
                <w:lang w:eastAsia="en-AU"/>
              </w:rPr>
            </w:pPr>
            <w:r w:rsidRPr="00383F48">
              <w:rPr>
                <w:rFonts w:ascii="Arial Narrow" w:hAnsi="Arial Narrow"/>
                <w:b/>
                <w:bCs/>
                <w:color w:val="000000" w:themeColor="text1"/>
                <w:sz w:val="20"/>
                <w:szCs w:val="20"/>
              </w:rPr>
              <w:t>redacted</w:t>
            </w:r>
          </w:p>
        </w:tc>
        <w:tc>
          <w:tcPr>
            <w:tcW w:w="554" w:type="pct"/>
            <w:tcBorders>
              <w:top w:val="nil"/>
              <w:left w:val="nil"/>
              <w:bottom w:val="single" w:sz="8" w:space="0" w:color="auto"/>
              <w:right w:val="single" w:sz="8" w:space="0" w:color="auto"/>
            </w:tcBorders>
            <w:hideMark/>
          </w:tcPr>
          <w:p w14:paraId="25327072" w14:textId="68F857FC" w:rsidR="00166456" w:rsidRPr="006A13C0" w:rsidRDefault="00166456" w:rsidP="00166456">
            <w:pPr>
              <w:keepNext/>
              <w:keepLines/>
              <w:spacing w:before="0" w:after="0" w:line="240" w:lineRule="auto"/>
              <w:jc w:val="right"/>
              <w:rPr>
                <w:rFonts w:ascii="Arial Narrow" w:eastAsia="Times New Roman" w:hAnsi="Arial Narrow" w:cstheme="minorHAnsi"/>
                <w:color w:val="000000"/>
                <w:sz w:val="20"/>
                <w:szCs w:val="20"/>
                <w:lang w:eastAsia="en-AU"/>
              </w:rPr>
            </w:pPr>
            <w:r w:rsidRPr="00383F48">
              <w:rPr>
                <w:rFonts w:ascii="Arial Narrow" w:hAnsi="Arial Narrow"/>
                <w:b/>
                <w:bCs/>
                <w:color w:val="000000" w:themeColor="text1"/>
                <w:sz w:val="20"/>
                <w:szCs w:val="20"/>
              </w:rPr>
              <w:t>redacted</w:t>
            </w:r>
          </w:p>
        </w:tc>
        <w:tc>
          <w:tcPr>
            <w:tcW w:w="555" w:type="pct"/>
            <w:tcBorders>
              <w:top w:val="nil"/>
              <w:left w:val="nil"/>
              <w:bottom w:val="single" w:sz="8" w:space="0" w:color="auto"/>
              <w:right w:val="single" w:sz="8" w:space="0" w:color="auto"/>
            </w:tcBorders>
            <w:hideMark/>
          </w:tcPr>
          <w:p w14:paraId="1B107E70" w14:textId="1A543C23" w:rsidR="00166456" w:rsidRPr="006A13C0" w:rsidRDefault="00166456" w:rsidP="00166456">
            <w:pPr>
              <w:keepNext/>
              <w:keepLines/>
              <w:spacing w:before="0" w:after="0" w:line="240" w:lineRule="auto"/>
              <w:jc w:val="right"/>
              <w:rPr>
                <w:rFonts w:ascii="Arial Narrow" w:eastAsia="Times New Roman" w:hAnsi="Arial Narrow" w:cstheme="minorHAnsi"/>
                <w:color w:val="000000"/>
                <w:sz w:val="20"/>
                <w:szCs w:val="20"/>
                <w:lang w:eastAsia="en-AU"/>
              </w:rPr>
            </w:pPr>
            <w:r w:rsidRPr="00383F48">
              <w:rPr>
                <w:rFonts w:ascii="Arial Narrow" w:hAnsi="Arial Narrow"/>
                <w:b/>
                <w:bCs/>
                <w:color w:val="000000" w:themeColor="text1"/>
                <w:sz w:val="20"/>
                <w:szCs w:val="20"/>
              </w:rPr>
              <w:t>redacted</w:t>
            </w:r>
          </w:p>
        </w:tc>
        <w:tc>
          <w:tcPr>
            <w:tcW w:w="554" w:type="pct"/>
            <w:tcBorders>
              <w:top w:val="nil"/>
              <w:left w:val="nil"/>
              <w:bottom w:val="single" w:sz="8" w:space="0" w:color="auto"/>
              <w:right w:val="single" w:sz="8" w:space="0" w:color="auto"/>
            </w:tcBorders>
            <w:hideMark/>
          </w:tcPr>
          <w:p w14:paraId="62CF4AEE" w14:textId="2C93B92C" w:rsidR="00166456" w:rsidRPr="006A13C0" w:rsidRDefault="00166456" w:rsidP="00166456">
            <w:pPr>
              <w:keepNext/>
              <w:keepLines/>
              <w:spacing w:before="0" w:after="0" w:line="240" w:lineRule="auto"/>
              <w:jc w:val="right"/>
              <w:rPr>
                <w:rFonts w:ascii="Arial Narrow" w:eastAsia="Times New Roman" w:hAnsi="Arial Narrow" w:cstheme="minorHAnsi"/>
                <w:color w:val="000000"/>
                <w:sz w:val="20"/>
                <w:szCs w:val="20"/>
                <w:lang w:eastAsia="en-AU"/>
              </w:rPr>
            </w:pPr>
            <w:r w:rsidRPr="00383F48">
              <w:rPr>
                <w:rFonts w:ascii="Arial Narrow" w:hAnsi="Arial Narrow"/>
                <w:b/>
                <w:bCs/>
                <w:color w:val="000000" w:themeColor="text1"/>
                <w:sz w:val="20"/>
                <w:szCs w:val="20"/>
              </w:rPr>
              <w:t>redacted</w:t>
            </w:r>
          </w:p>
        </w:tc>
        <w:tc>
          <w:tcPr>
            <w:tcW w:w="571" w:type="pct"/>
            <w:tcBorders>
              <w:top w:val="nil"/>
              <w:left w:val="nil"/>
              <w:bottom w:val="single" w:sz="8" w:space="0" w:color="auto"/>
              <w:right w:val="single" w:sz="8" w:space="0" w:color="auto"/>
            </w:tcBorders>
            <w:hideMark/>
          </w:tcPr>
          <w:p w14:paraId="457A67CC" w14:textId="3A339823" w:rsidR="00166456" w:rsidRPr="006A13C0" w:rsidRDefault="00166456" w:rsidP="00166456">
            <w:pPr>
              <w:keepNext/>
              <w:keepLines/>
              <w:spacing w:before="0" w:after="0" w:line="240" w:lineRule="auto"/>
              <w:jc w:val="right"/>
              <w:rPr>
                <w:rFonts w:ascii="Arial Narrow" w:eastAsia="Times New Roman" w:hAnsi="Arial Narrow" w:cstheme="minorHAnsi"/>
                <w:color w:val="000000"/>
                <w:sz w:val="20"/>
                <w:szCs w:val="20"/>
                <w:lang w:eastAsia="en-AU"/>
              </w:rPr>
            </w:pPr>
            <w:r w:rsidRPr="00383F48">
              <w:rPr>
                <w:rFonts w:ascii="Arial Narrow" w:hAnsi="Arial Narrow"/>
                <w:b/>
                <w:bCs/>
                <w:color w:val="000000" w:themeColor="text1"/>
                <w:sz w:val="20"/>
                <w:szCs w:val="20"/>
              </w:rPr>
              <w:t>redacted</w:t>
            </w:r>
          </w:p>
        </w:tc>
      </w:tr>
      <w:tr w:rsidR="008158D1" w:rsidRPr="0062012F" w14:paraId="5176E8CE" w14:textId="2B2159E1" w:rsidTr="00BF5AEA">
        <w:tc>
          <w:tcPr>
            <w:tcW w:w="173" w:type="pct"/>
            <w:tcBorders>
              <w:top w:val="nil"/>
              <w:left w:val="single" w:sz="8" w:space="0" w:color="auto"/>
              <w:bottom w:val="single" w:sz="8" w:space="0" w:color="auto"/>
              <w:right w:val="single" w:sz="8" w:space="0" w:color="auto"/>
            </w:tcBorders>
          </w:tcPr>
          <w:p w14:paraId="1A69A40A" w14:textId="77777777" w:rsidR="00166456" w:rsidRPr="0062012F" w:rsidRDefault="00166456" w:rsidP="00166456">
            <w:pPr>
              <w:keepNext/>
              <w:keepLines/>
              <w:spacing w:before="0" w:after="0" w:line="240" w:lineRule="auto"/>
              <w:rPr>
                <w:rFonts w:ascii="Arial Narrow" w:eastAsia="Times New Roman" w:hAnsi="Arial Narrow" w:cstheme="minorHAnsi"/>
                <w:color w:val="000000"/>
                <w:sz w:val="20"/>
                <w:szCs w:val="20"/>
                <w:lang w:eastAsia="en-AU"/>
              </w:rPr>
            </w:pPr>
          </w:p>
        </w:tc>
        <w:tc>
          <w:tcPr>
            <w:tcW w:w="1483" w:type="pct"/>
            <w:tcBorders>
              <w:top w:val="nil"/>
              <w:left w:val="single" w:sz="8" w:space="0" w:color="auto"/>
              <w:bottom w:val="single" w:sz="8" w:space="0" w:color="auto"/>
              <w:right w:val="single" w:sz="8" w:space="0" w:color="auto"/>
            </w:tcBorders>
            <w:vAlign w:val="center"/>
            <w:hideMark/>
          </w:tcPr>
          <w:p w14:paraId="3268FE25" w14:textId="605AE755" w:rsidR="00166456" w:rsidRPr="005F3F19" w:rsidRDefault="00166456" w:rsidP="00166456">
            <w:pPr>
              <w:keepNext/>
              <w:keepLines/>
              <w:spacing w:before="0" w:after="0" w:line="240" w:lineRule="auto"/>
              <w:rPr>
                <w:rFonts w:ascii="Arial Narrow" w:eastAsia="Times New Roman" w:hAnsi="Arial Narrow" w:cstheme="minorHAnsi"/>
                <w:color w:val="000000"/>
                <w:sz w:val="20"/>
                <w:szCs w:val="20"/>
                <w:lang w:eastAsia="en-AU"/>
              </w:rPr>
            </w:pPr>
            <w:r w:rsidRPr="005F3F19">
              <w:rPr>
                <w:rFonts w:ascii="Arial Narrow" w:eastAsia="Times New Roman" w:hAnsi="Arial Narrow" w:cstheme="minorHAnsi"/>
                <w:color w:val="000000"/>
                <w:sz w:val="20"/>
                <w:szCs w:val="20"/>
                <w:lang w:eastAsia="en-AU"/>
              </w:rPr>
              <w:t>Cost to the Private Health Insurance - ($,000)</w:t>
            </w:r>
          </w:p>
        </w:tc>
        <w:tc>
          <w:tcPr>
            <w:tcW w:w="555" w:type="pct"/>
            <w:tcBorders>
              <w:top w:val="nil"/>
              <w:left w:val="nil"/>
              <w:bottom w:val="single" w:sz="8" w:space="0" w:color="auto"/>
              <w:right w:val="single" w:sz="8" w:space="0" w:color="auto"/>
            </w:tcBorders>
            <w:hideMark/>
          </w:tcPr>
          <w:p w14:paraId="00EAA72A" w14:textId="5FDF6A60" w:rsidR="00166456" w:rsidRPr="006A13C0" w:rsidRDefault="00A610B7" w:rsidP="00166456">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166456" w:rsidRPr="00383F48">
              <w:rPr>
                <w:rFonts w:ascii="Arial Narrow" w:hAnsi="Arial Narrow"/>
                <w:b/>
                <w:bCs/>
                <w:color w:val="000000" w:themeColor="text1"/>
                <w:sz w:val="20"/>
                <w:szCs w:val="20"/>
              </w:rPr>
              <w:t>redacted</w:t>
            </w:r>
          </w:p>
        </w:tc>
        <w:tc>
          <w:tcPr>
            <w:tcW w:w="555" w:type="pct"/>
            <w:tcBorders>
              <w:top w:val="nil"/>
              <w:left w:val="nil"/>
              <w:bottom w:val="single" w:sz="8" w:space="0" w:color="auto"/>
              <w:right w:val="single" w:sz="8" w:space="0" w:color="auto"/>
            </w:tcBorders>
            <w:hideMark/>
          </w:tcPr>
          <w:p w14:paraId="451BA1F1" w14:textId="1900CF5A" w:rsidR="00166456" w:rsidRPr="006A13C0" w:rsidRDefault="00A610B7" w:rsidP="00166456">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166456" w:rsidRPr="00383F48">
              <w:rPr>
                <w:rFonts w:ascii="Arial Narrow" w:hAnsi="Arial Narrow"/>
                <w:b/>
                <w:bCs/>
                <w:color w:val="000000" w:themeColor="text1"/>
                <w:sz w:val="20"/>
                <w:szCs w:val="20"/>
              </w:rPr>
              <w:t>redacted</w:t>
            </w:r>
          </w:p>
        </w:tc>
        <w:tc>
          <w:tcPr>
            <w:tcW w:w="554" w:type="pct"/>
            <w:tcBorders>
              <w:top w:val="nil"/>
              <w:left w:val="nil"/>
              <w:bottom w:val="single" w:sz="8" w:space="0" w:color="auto"/>
              <w:right w:val="single" w:sz="8" w:space="0" w:color="auto"/>
            </w:tcBorders>
            <w:hideMark/>
          </w:tcPr>
          <w:p w14:paraId="5020706B" w14:textId="4F1F6771" w:rsidR="00166456" w:rsidRPr="006A13C0" w:rsidRDefault="00A610B7" w:rsidP="00166456">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166456" w:rsidRPr="00383F48">
              <w:rPr>
                <w:rFonts w:ascii="Arial Narrow" w:hAnsi="Arial Narrow"/>
                <w:b/>
                <w:bCs/>
                <w:color w:val="000000" w:themeColor="text1"/>
                <w:sz w:val="20"/>
                <w:szCs w:val="20"/>
              </w:rPr>
              <w:t>redacted</w:t>
            </w:r>
          </w:p>
        </w:tc>
        <w:tc>
          <w:tcPr>
            <w:tcW w:w="555" w:type="pct"/>
            <w:tcBorders>
              <w:top w:val="nil"/>
              <w:left w:val="nil"/>
              <w:bottom w:val="single" w:sz="8" w:space="0" w:color="auto"/>
              <w:right w:val="single" w:sz="8" w:space="0" w:color="auto"/>
            </w:tcBorders>
            <w:hideMark/>
          </w:tcPr>
          <w:p w14:paraId="0785A452" w14:textId="02D0394A" w:rsidR="00166456" w:rsidRPr="006A13C0" w:rsidRDefault="00A610B7" w:rsidP="00166456">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166456" w:rsidRPr="00383F48">
              <w:rPr>
                <w:rFonts w:ascii="Arial Narrow" w:hAnsi="Arial Narrow"/>
                <w:b/>
                <w:bCs/>
                <w:color w:val="000000" w:themeColor="text1"/>
                <w:sz w:val="20"/>
                <w:szCs w:val="20"/>
              </w:rPr>
              <w:t>redacted</w:t>
            </w:r>
          </w:p>
        </w:tc>
        <w:tc>
          <w:tcPr>
            <w:tcW w:w="554" w:type="pct"/>
            <w:tcBorders>
              <w:top w:val="nil"/>
              <w:left w:val="nil"/>
              <w:bottom w:val="single" w:sz="8" w:space="0" w:color="auto"/>
              <w:right w:val="single" w:sz="8" w:space="0" w:color="auto"/>
            </w:tcBorders>
            <w:hideMark/>
          </w:tcPr>
          <w:p w14:paraId="2CFDA366" w14:textId="09327A31" w:rsidR="00166456" w:rsidRPr="006A13C0" w:rsidRDefault="00A610B7" w:rsidP="00166456">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166456" w:rsidRPr="00383F48">
              <w:rPr>
                <w:rFonts w:ascii="Arial Narrow" w:hAnsi="Arial Narrow"/>
                <w:b/>
                <w:bCs/>
                <w:color w:val="000000" w:themeColor="text1"/>
                <w:sz w:val="20"/>
                <w:szCs w:val="20"/>
              </w:rPr>
              <w:t>redacted</w:t>
            </w:r>
          </w:p>
        </w:tc>
        <w:tc>
          <w:tcPr>
            <w:tcW w:w="571" w:type="pct"/>
            <w:tcBorders>
              <w:top w:val="nil"/>
              <w:left w:val="nil"/>
              <w:bottom w:val="single" w:sz="8" w:space="0" w:color="auto"/>
              <w:right w:val="single" w:sz="8" w:space="0" w:color="auto"/>
            </w:tcBorders>
            <w:hideMark/>
          </w:tcPr>
          <w:p w14:paraId="19725015" w14:textId="70866704" w:rsidR="00166456" w:rsidRPr="006A13C0" w:rsidRDefault="00A610B7" w:rsidP="00166456">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166456" w:rsidRPr="00383F48">
              <w:rPr>
                <w:rFonts w:ascii="Arial Narrow" w:hAnsi="Arial Narrow"/>
                <w:b/>
                <w:bCs/>
                <w:color w:val="000000" w:themeColor="text1"/>
                <w:sz w:val="20"/>
                <w:szCs w:val="20"/>
              </w:rPr>
              <w:t>redacted</w:t>
            </w:r>
          </w:p>
        </w:tc>
      </w:tr>
      <w:tr w:rsidR="00A24603" w:rsidRPr="0062012F" w14:paraId="4F55DA83" w14:textId="3FA9F9A7" w:rsidTr="009555DB">
        <w:tc>
          <w:tcPr>
            <w:tcW w:w="5000" w:type="pct"/>
            <w:gridSpan w:val="8"/>
            <w:tcBorders>
              <w:top w:val="nil"/>
              <w:left w:val="single" w:sz="8" w:space="0" w:color="auto"/>
              <w:bottom w:val="single" w:sz="8" w:space="0" w:color="auto"/>
              <w:right w:val="single" w:sz="8" w:space="0" w:color="auto"/>
            </w:tcBorders>
          </w:tcPr>
          <w:p w14:paraId="59CE02FF" w14:textId="391136B4" w:rsidR="00F401C1" w:rsidRPr="006A13C0" w:rsidRDefault="00F401C1" w:rsidP="00865ECD">
            <w:pPr>
              <w:keepNext/>
              <w:keepLines/>
              <w:spacing w:before="0" w:after="0" w:line="240" w:lineRule="auto"/>
              <w:rPr>
                <w:rFonts w:ascii="Arial Narrow" w:eastAsia="Times New Roman" w:hAnsi="Arial Narrow" w:cstheme="minorHAnsi"/>
                <w:b/>
                <w:bCs/>
                <w:color w:val="000000"/>
                <w:sz w:val="20"/>
                <w:szCs w:val="20"/>
                <w:lang w:eastAsia="en-AU"/>
              </w:rPr>
            </w:pPr>
            <w:r w:rsidRPr="006A13C0">
              <w:rPr>
                <w:rFonts w:ascii="Arial Narrow" w:eastAsia="Times New Roman" w:hAnsi="Arial Narrow" w:cstheme="minorHAnsi"/>
                <w:b/>
                <w:bCs/>
                <w:color w:val="000000"/>
                <w:sz w:val="20"/>
                <w:szCs w:val="20"/>
                <w:lang w:eastAsia="en-AU"/>
              </w:rPr>
              <w:t>Change in use and cost of other health technologies </w:t>
            </w:r>
          </w:p>
        </w:tc>
      </w:tr>
      <w:tr w:rsidR="008158D1" w:rsidRPr="0062012F" w14:paraId="3DEB03D5" w14:textId="0AE44EA0" w:rsidTr="00BF5AEA">
        <w:tc>
          <w:tcPr>
            <w:tcW w:w="173" w:type="pct"/>
            <w:tcBorders>
              <w:top w:val="nil"/>
              <w:left w:val="single" w:sz="8" w:space="0" w:color="auto"/>
              <w:bottom w:val="single" w:sz="8" w:space="0" w:color="auto"/>
              <w:right w:val="single" w:sz="8" w:space="0" w:color="auto"/>
            </w:tcBorders>
          </w:tcPr>
          <w:p w14:paraId="76875FF4" w14:textId="77777777" w:rsidR="00604F8C" w:rsidRPr="0062012F" w:rsidRDefault="00604F8C" w:rsidP="00604F8C">
            <w:pPr>
              <w:keepNext/>
              <w:keepLines/>
              <w:spacing w:before="0" w:after="0" w:line="240" w:lineRule="auto"/>
              <w:rPr>
                <w:rFonts w:ascii="Arial Narrow" w:eastAsia="Times New Roman" w:hAnsi="Arial Narrow" w:cstheme="minorHAnsi"/>
                <w:color w:val="000000"/>
                <w:sz w:val="20"/>
                <w:szCs w:val="20"/>
                <w:lang w:eastAsia="en-AU"/>
              </w:rPr>
            </w:pPr>
          </w:p>
        </w:tc>
        <w:tc>
          <w:tcPr>
            <w:tcW w:w="1483" w:type="pct"/>
            <w:tcBorders>
              <w:top w:val="nil"/>
              <w:left w:val="single" w:sz="8" w:space="0" w:color="auto"/>
              <w:bottom w:val="single" w:sz="8" w:space="0" w:color="auto"/>
              <w:right w:val="single" w:sz="8" w:space="0" w:color="auto"/>
            </w:tcBorders>
            <w:vAlign w:val="center"/>
            <w:hideMark/>
          </w:tcPr>
          <w:p w14:paraId="2BACA051" w14:textId="13E941A0" w:rsidR="00604F8C" w:rsidRPr="005F3F19" w:rsidRDefault="00604F8C" w:rsidP="00604F8C">
            <w:pPr>
              <w:keepNext/>
              <w:keepLines/>
              <w:spacing w:before="0" w:after="0" w:line="240" w:lineRule="auto"/>
              <w:rPr>
                <w:rFonts w:ascii="Arial Narrow" w:eastAsia="Times New Roman" w:hAnsi="Arial Narrow" w:cstheme="minorHAnsi"/>
                <w:color w:val="000000"/>
                <w:sz w:val="20"/>
                <w:szCs w:val="20"/>
                <w:lang w:eastAsia="en-AU"/>
              </w:rPr>
            </w:pPr>
            <w:r w:rsidRPr="005F3F19">
              <w:rPr>
                <w:rFonts w:ascii="Arial Narrow" w:eastAsia="Times New Roman" w:hAnsi="Arial Narrow" w:cstheme="minorHAnsi"/>
                <w:color w:val="000000"/>
                <w:sz w:val="20"/>
                <w:szCs w:val="20"/>
                <w:lang w:eastAsia="en-AU"/>
              </w:rPr>
              <w:t>Change in use of resources related to revision of RCT repair - ($,000)</w:t>
            </w:r>
          </w:p>
        </w:tc>
        <w:tc>
          <w:tcPr>
            <w:tcW w:w="555" w:type="pct"/>
            <w:tcBorders>
              <w:top w:val="nil"/>
              <w:left w:val="nil"/>
              <w:bottom w:val="single" w:sz="8" w:space="0" w:color="auto"/>
              <w:right w:val="single" w:sz="8" w:space="0" w:color="auto"/>
            </w:tcBorders>
            <w:hideMark/>
          </w:tcPr>
          <w:p w14:paraId="188F1D44" w14:textId="6F2B04A5" w:rsidR="00604F8C" w:rsidRPr="006A13C0" w:rsidRDefault="00A610B7" w:rsidP="00604F8C">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5" w:type="pct"/>
            <w:tcBorders>
              <w:top w:val="nil"/>
              <w:left w:val="nil"/>
              <w:bottom w:val="single" w:sz="8" w:space="0" w:color="auto"/>
              <w:right w:val="single" w:sz="8" w:space="0" w:color="auto"/>
            </w:tcBorders>
            <w:hideMark/>
          </w:tcPr>
          <w:p w14:paraId="45628B60" w14:textId="605E16C4" w:rsidR="00604F8C" w:rsidRPr="006A13C0" w:rsidRDefault="00A610B7" w:rsidP="00604F8C">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4" w:type="pct"/>
            <w:tcBorders>
              <w:top w:val="nil"/>
              <w:left w:val="nil"/>
              <w:bottom w:val="single" w:sz="8" w:space="0" w:color="auto"/>
              <w:right w:val="single" w:sz="8" w:space="0" w:color="auto"/>
            </w:tcBorders>
            <w:hideMark/>
          </w:tcPr>
          <w:p w14:paraId="7089BB43" w14:textId="149C3B8A" w:rsidR="00604F8C" w:rsidRPr="006A13C0" w:rsidRDefault="00A610B7" w:rsidP="00604F8C">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5" w:type="pct"/>
            <w:tcBorders>
              <w:top w:val="nil"/>
              <w:left w:val="nil"/>
              <w:bottom w:val="single" w:sz="8" w:space="0" w:color="auto"/>
              <w:right w:val="single" w:sz="8" w:space="0" w:color="auto"/>
            </w:tcBorders>
            <w:hideMark/>
          </w:tcPr>
          <w:p w14:paraId="6EE1EDED" w14:textId="48A4EAE8" w:rsidR="00604F8C" w:rsidRPr="006A13C0" w:rsidRDefault="00A610B7" w:rsidP="00604F8C">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4" w:type="pct"/>
            <w:tcBorders>
              <w:top w:val="nil"/>
              <w:left w:val="nil"/>
              <w:bottom w:val="single" w:sz="8" w:space="0" w:color="auto"/>
              <w:right w:val="single" w:sz="8" w:space="0" w:color="auto"/>
            </w:tcBorders>
            <w:hideMark/>
          </w:tcPr>
          <w:p w14:paraId="6C718F36" w14:textId="79D4B4F2" w:rsidR="00604F8C" w:rsidRPr="006A13C0" w:rsidRDefault="00A610B7" w:rsidP="00604F8C">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71" w:type="pct"/>
            <w:tcBorders>
              <w:top w:val="nil"/>
              <w:left w:val="nil"/>
              <w:bottom w:val="single" w:sz="8" w:space="0" w:color="auto"/>
              <w:right w:val="single" w:sz="8" w:space="0" w:color="auto"/>
            </w:tcBorders>
            <w:hideMark/>
          </w:tcPr>
          <w:p w14:paraId="5B8FFD08" w14:textId="702EB2FA" w:rsidR="00604F8C" w:rsidRPr="006A13C0" w:rsidRDefault="00A610B7" w:rsidP="00604F8C">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r>
      <w:tr w:rsidR="008158D1" w:rsidRPr="0062012F" w14:paraId="61CF55D0" w14:textId="0BBEF04E" w:rsidTr="00BF5AEA">
        <w:tc>
          <w:tcPr>
            <w:tcW w:w="173" w:type="pct"/>
            <w:tcBorders>
              <w:top w:val="nil"/>
              <w:left w:val="single" w:sz="8" w:space="0" w:color="auto"/>
              <w:bottom w:val="single" w:sz="8" w:space="0" w:color="auto"/>
              <w:right w:val="single" w:sz="8" w:space="0" w:color="auto"/>
            </w:tcBorders>
          </w:tcPr>
          <w:p w14:paraId="33625A7B" w14:textId="77777777" w:rsidR="00604F8C" w:rsidRPr="0062012F" w:rsidRDefault="00604F8C" w:rsidP="00604F8C">
            <w:pPr>
              <w:keepNext/>
              <w:keepLines/>
              <w:spacing w:before="0" w:after="0" w:line="240" w:lineRule="auto"/>
              <w:rPr>
                <w:rFonts w:ascii="Arial Narrow" w:eastAsia="Times New Roman" w:hAnsi="Arial Narrow" w:cstheme="minorHAnsi"/>
                <w:color w:val="000000"/>
                <w:sz w:val="20"/>
                <w:szCs w:val="20"/>
                <w:lang w:eastAsia="en-AU"/>
              </w:rPr>
            </w:pPr>
          </w:p>
        </w:tc>
        <w:tc>
          <w:tcPr>
            <w:tcW w:w="1483" w:type="pct"/>
            <w:tcBorders>
              <w:top w:val="nil"/>
              <w:left w:val="single" w:sz="8" w:space="0" w:color="auto"/>
              <w:bottom w:val="single" w:sz="8" w:space="0" w:color="auto"/>
              <w:right w:val="single" w:sz="8" w:space="0" w:color="auto"/>
            </w:tcBorders>
            <w:vAlign w:val="center"/>
            <w:hideMark/>
          </w:tcPr>
          <w:p w14:paraId="7BFED9BE" w14:textId="3A002A45" w:rsidR="00604F8C" w:rsidRPr="005F3F19" w:rsidRDefault="00604F8C" w:rsidP="00604F8C">
            <w:pPr>
              <w:keepNext/>
              <w:keepLines/>
              <w:spacing w:before="0" w:after="0" w:line="240" w:lineRule="auto"/>
              <w:rPr>
                <w:rFonts w:ascii="Arial Narrow" w:eastAsia="Times New Roman" w:hAnsi="Arial Narrow" w:cstheme="minorHAnsi"/>
                <w:color w:val="000000"/>
                <w:sz w:val="20"/>
                <w:szCs w:val="20"/>
                <w:lang w:eastAsia="en-AU"/>
              </w:rPr>
            </w:pPr>
            <w:r w:rsidRPr="005F3F19">
              <w:rPr>
                <w:rFonts w:ascii="Arial Narrow" w:eastAsia="Times New Roman" w:hAnsi="Arial Narrow" w:cstheme="minorHAnsi"/>
                <w:color w:val="000000"/>
                <w:sz w:val="20"/>
                <w:szCs w:val="20"/>
                <w:lang w:eastAsia="en-AU"/>
              </w:rPr>
              <w:t>Change in use of resources related to RTSA - ($,000)</w:t>
            </w:r>
          </w:p>
        </w:tc>
        <w:tc>
          <w:tcPr>
            <w:tcW w:w="555" w:type="pct"/>
            <w:tcBorders>
              <w:top w:val="nil"/>
              <w:left w:val="nil"/>
              <w:bottom w:val="single" w:sz="8" w:space="0" w:color="auto"/>
              <w:right w:val="single" w:sz="8" w:space="0" w:color="auto"/>
            </w:tcBorders>
          </w:tcPr>
          <w:p w14:paraId="7AF44648" w14:textId="4A9525D1" w:rsidR="00604F8C" w:rsidRPr="006A13C0" w:rsidRDefault="00A610B7" w:rsidP="00604F8C">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5" w:type="pct"/>
            <w:tcBorders>
              <w:top w:val="nil"/>
              <w:left w:val="nil"/>
              <w:bottom w:val="single" w:sz="8" w:space="0" w:color="auto"/>
              <w:right w:val="single" w:sz="8" w:space="0" w:color="auto"/>
            </w:tcBorders>
          </w:tcPr>
          <w:p w14:paraId="08392688" w14:textId="56D8ACA6" w:rsidR="00604F8C" w:rsidRPr="006A13C0" w:rsidRDefault="00A610B7" w:rsidP="00604F8C">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4" w:type="pct"/>
            <w:tcBorders>
              <w:top w:val="nil"/>
              <w:left w:val="nil"/>
              <w:bottom w:val="single" w:sz="8" w:space="0" w:color="auto"/>
              <w:right w:val="single" w:sz="8" w:space="0" w:color="auto"/>
            </w:tcBorders>
          </w:tcPr>
          <w:p w14:paraId="1387D1F4" w14:textId="51644175" w:rsidR="00604F8C" w:rsidRPr="006A13C0" w:rsidRDefault="00A610B7" w:rsidP="00604F8C">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5" w:type="pct"/>
            <w:tcBorders>
              <w:top w:val="nil"/>
              <w:left w:val="nil"/>
              <w:bottom w:val="single" w:sz="8" w:space="0" w:color="auto"/>
              <w:right w:val="single" w:sz="8" w:space="0" w:color="auto"/>
            </w:tcBorders>
          </w:tcPr>
          <w:p w14:paraId="5C8E2700" w14:textId="0E300797" w:rsidR="00604F8C" w:rsidRPr="006A13C0" w:rsidRDefault="00A610B7" w:rsidP="00604F8C">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4" w:type="pct"/>
            <w:tcBorders>
              <w:top w:val="nil"/>
              <w:left w:val="nil"/>
              <w:bottom w:val="single" w:sz="8" w:space="0" w:color="auto"/>
              <w:right w:val="single" w:sz="8" w:space="0" w:color="auto"/>
            </w:tcBorders>
          </w:tcPr>
          <w:p w14:paraId="547B0F07" w14:textId="639FD66A" w:rsidR="00604F8C" w:rsidRPr="006A13C0" w:rsidRDefault="00A610B7" w:rsidP="00604F8C">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71" w:type="pct"/>
            <w:tcBorders>
              <w:top w:val="nil"/>
              <w:left w:val="nil"/>
              <w:bottom w:val="single" w:sz="8" w:space="0" w:color="auto"/>
              <w:right w:val="single" w:sz="8" w:space="0" w:color="auto"/>
            </w:tcBorders>
          </w:tcPr>
          <w:p w14:paraId="0FFC6C31" w14:textId="05F180F2" w:rsidR="00604F8C" w:rsidRPr="006A13C0" w:rsidRDefault="00A610B7" w:rsidP="00604F8C">
            <w:pPr>
              <w:keepNext/>
              <w:keepLines/>
              <w:spacing w:before="0" w:after="0" w:line="240" w:lineRule="auto"/>
              <w:jc w:val="right"/>
              <w:rPr>
                <w:rFonts w:ascii="Arial Narrow" w:eastAsia="Times New Roman" w:hAnsi="Arial Narrow" w:cstheme="minorHAnsi"/>
                <w:color w:val="000000"/>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r>
      <w:tr w:rsidR="008158D1" w:rsidRPr="0062012F" w14:paraId="2CA284BA" w14:textId="4338DDD1" w:rsidTr="00BF5AEA">
        <w:tc>
          <w:tcPr>
            <w:tcW w:w="173" w:type="pct"/>
            <w:tcBorders>
              <w:top w:val="nil"/>
              <w:left w:val="single" w:sz="8" w:space="0" w:color="auto"/>
              <w:bottom w:val="single" w:sz="8" w:space="0" w:color="auto"/>
              <w:right w:val="single" w:sz="8" w:space="0" w:color="auto"/>
            </w:tcBorders>
          </w:tcPr>
          <w:p w14:paraId="501D33D0" w14:textId="77777777" w:rsidR="00604F8C" w:rsidRPr="0062012F" w:rsidRDefault="00604F8C" w:rsidP="00604F8C">
            <w:pPr>
              <w:keepNext/>
              <w:keepLines/>
              <w:spacing w:before="0" w:after="0" w:line="240" w:lineRule="auto"/>
              <w:rPr>
                <w:rFonts w:ascii="Arial Narrow" w:eastAsia="Times New Roman" w:hAnsi="Arial Narrow" w:cstheme="minorHAnsi"/>
                <w:color w:val="000000"/>
                <w:sz w:val="20"/>
                <w:szCs w:val="20"/>
                <w:lang w:eastAsia="en-AU"/>
              </w:rPr>
            </w:pPr>
          </w:p>
        </w:tc>
        <w:tc>
          <w:tcPr>
            <w:tcW w:w="1483" w:type="pct"/>
            <w:tcBorders>
              <w:top w:val="nil"/>
              <w:left w:val="single" w:sz="8" w:space="0" w:color="auto"/>
              <w:bottom w:val="single" w:sz="8" w:space="0" w:color="auto"/>
              <w:right w:val="single" w:sz="8" w:space="0" w:color="auto"/>
            </w:tcBorders>
            <w:vAlign w:val="center"/>
            <w:hideMark/>
          </w:tcPr>
          <w:p w14:paraId="6A1BE760" w14:textId="22E89808" w:rsidR="00604F8C" w:rsidRPr="005F3F19" w:rsidRDefault="00604F8C" w:rsidP="00604F8C">
            <w:pPr>
              <w:keepNext/>
              <w:keepLines/>
              <w:spacing w:before="0" w:after="0" w:line="240" w:lineRule="auto"/>
              <w:rPr>
                <w:rFonts w:ascii="Arial Narrow" w:eastAsia="Times New Roman" w:hAnsi="Arial Narrow" w:cstheme="minorHAnsi"/>
                <w:color w:val="000000"/>
                <w:sz w:val="20"/>
                <w:szCs w:val="20"/>
                <w:lang w:eastAsia="en-AU"/>
              </w:rPr>
            </w:pPr>
            <w:r w:rsidRPr="005F3F19">
              <w:rPr>
                <w:rFonts w:ascii="Arial Narrow" w:eastAsia="Times New Roman" w:hAnsi="Arial Narrow" w:cstheme="minorHAnsi"/>
                <w:color w:val="000000"/>
                <w:sz w:val="20"/>
                <w:szCs w:val="20"/>
                <w:lang w:eastAsia="en-AU"/>
              </w:rPr>
              <w:t>Change in use of physiotherapy sessions as part of CM - ($,000)</w:t>
            </w:r>
          </w:p>
        </w:tc>
        <w:tc>
          <w:tcPr>
            <w:tcW w:w="555" w:type="pct"/>
            <w:tcBorders>
              <w:top w:val="nil"/>
              <w:left w:val="nil"/>
              <w:bottom w:val="single" w:sz="8" w:space="0" w:color="auto"/>
              <w:right w:val="single" w:sz="8" w:space="0" w:color="auto"/>
            </w:tcBorders>
          </w:tcPr>
          <w:p w14:paraId="4B882D68" w14:textId="1CEC6EA0" w:rsidR="00604F8C" w:rsidRPr="006A13C0" w:rsidRDefault="00383F48" w:rsidP="00604F8C">
            <w:pPr>
              <w:keepNext/>
              <w:keepLines/>
              <w:spacing w:before="0" w:after="0" w:line="240" w:lineRule="auto"/>
              <w:jc w:val="right"/>
              <w:rPr>
                <w:rFonts w:ascii="Arial Narrow" w:eastAsia="Times New Roman" w:hAnsi="Arial Narrow"/>
                <w:color w:val="000000" w:themeColor="text1"/>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5" w:type="pct"/>
            <w:tcBorders>
              <w:top w:val="nil"/>
              <w:left w:val="nil"/>
              <w:bottom w:val="single" w:sz="8" w:space="0" w:color="auto"/>
              <w:right w:val="single" w:sz="8" w:space="0" w:color="auto"/>
            </w:tcBorders>
          </w:tcPr>
          <w:p w14:paraId="4242DF53" w14:textId="355CB822" w:rsidR="00604F8C" w:rsidRPr="006A13C0" w:rsidRDefault="00383F48" w:rsidP="00604F8C">
            <w:pPr>
              <w:keepNext/>
              <w:keepLines/>
              <w:spacing w:before="0" w:after="0" w:line="240" w:lineRule="auto"/>
              <w:jc w:val="right"/>
              <w:rPr>
                <w:rFonts w:ascii="Arial Narrow" w:eastAsia="Times New Roman" w:hAnsi="Arial Narrow"/>
                <w:color w:val="000000" w:themeColor="text1"/>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4" w:type="pct"/>
            <w:tcBorders>
              <w:top w:val="nil"/>
              <w:left w:val="nil"/>
              <w:bottom w:val="single" w:sz="8" w:space="0" w:color="auto"/>
              <w:right w:val="single" w:sz="8" w:space="0" w:color="auto"/>
            </w:tcBorders>
          </w:tcPr>
          <w:p w14:paraId="1A7E4640" w14:textId="4110B92F" w:rsidR="00604F8C" w:rsidRPr="006A13C0" w:rsidRDefault="00383F48" w:rsidP="00604F8C">
            <w:pPr>
              <w:keepNext/>
              <w:keepLines/>
              <w:spacing w:before="0" w:after="0" w:line="240" w:lineRule="auto"/>
              <w:jc w:val="right"/>
              <w:rPr>
                <w:rFonts w:ascii="Arial Narrow" w:eastAsia="Times New Roman" w:hAnsi="Arial Narrow"/>
                <w:color w:val="000000" w:themeColor="text1"/>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5" w:type="pct"/>
            <w:tcBorders>
              <w:top w:val="nil"/>
              <w:left w:val="nil"/>
              <w:bottom w:val="single" w:sz="8" w:space="0" w:color="auto"/>
              <w:right w:val="single" w:sz="8" w:space="0" w:color="auto"/>
            </w:tcBorders>
          </w:tcPr>
          <w:p w14:paraId="7959C995" w14:textId="399D08D5" w:rsidR="00604F8C" w:rsidRPr="006A13C0" w:rsidRDefault="00383F48" w:rsidP="00604F8C">
            <w:pPr>
              <w:keepNext/>
              <w:keepLines/>
              <w:spacing w:before="0" w:after="0" w:line="240" w:lineRule="auto"/>
              <w:jc w:val="right"/>
              <w:rPr>
                <w:rFonts w:ascii="Arial Narrow" w:eastAsia="Times New Roman" w:hAnsi="Arial Narrow"/>
                <w:color w:val="000000" w:themeColor="text1"/>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4" w:type="pct"/>
            <w:tcBorders>
              <w:top w:val="nil"/>
              <w:left w:val="nil"/>
              <w:bottom w:val="single" w:sz="8" w:space="0" w:color="auto"/>
              <w:right w:val="single" w:sz="8" w:space="0" w:color="auto"/>
            </w:tcBorders>
          </w:tcPr>
          <w:p w14:paraId="04974C26" w14:textId="5868952A" w:rsidR="00604F8C" w:rsidRPr="006A13C0" w:rsidRDefault="00383F48" w:rsidP="00604F8C">
            <w:pPr>
              <w:keepNext/>
              <w:keepLines/>
              <w:spacing w:before="0" w:after="0" w:line="240" w:lineRule="auto"/>
              <w:jc w:val="right"/>
              <w:rPr>
                <w:rFonts w:ascii="Arial Narrow" w:eastAsia="Times New Roman" w:hAnsi="Arial Narrow"/>
                <w:color w:val="000000" w:themeColor="text1"/>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71" w:type="pct"/>
            <w:tcBorders>
              <w:top w:val="nil"/>
              <w:left w:val="nil"/>
              <w:bottom w:val="single" w:sz="8" w:space="0" w:color="auto"/>
              <w:right w:val="single" w:sz="8" w:space="0" w:color="auto"/>
            </w:tcBorders>
          </w:tcPr>
          <w:p w14:paraId="3B50FA63" w14:textId="3F2F5888" w:rsidR="00604F8C" w:rsidRPr="006A13C0" w:rsidRDefault="00383F48" w:rsidP="00604F8C">
            <w:pPr>
              <w:keepNext/>
              <w:keepLines/>
              <w:spacing w:before="0" w:after="0" w:line="240" w:lineRule="auto"/>
              <w:jc w:val="right"/>
              <w:rPr>
                <w:rFonts w:ascii="Arial Narrow" w:eastAsia="Times New Roman" w:hAnsi="Arial Narrow"/>
                <w:color w:val="000000" w:themeColor="text1"/>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r>
      <w:tr w:rsidR="008158D1" w:rsidRPr="0062012F" w14:paraId="66893918" w14:textId="3F670FED" w:rsidTr="00BF5AEA">
        <w:tc>
          <w:tcPr>
            <w:tcW w:w="173" w:type="pct"/>
            <w:tcBorders>
              <w:top w:val="nil"/>
              <w:left w:val="single" w:sz="8" w:space="0" w:color="auto"/>
              <w:bottom w:val="single" w:sz="8" w:space="0" w:color="auto"/>
              <w:right w:val="single" w:sz="8" w:space="0" w:color="auto"/>
            </w:tcBorders>
          </w:tcPr>
          <w:p w14:paraId="5444263D" w14:textId="77777777" w:rsidR="00604F8C" w:rsidRPr="0062012F" w:rsidRDefault="00604F8C" w:rsidP="00604F8C">
            <w:pPr>
              <w:keepNext/>
              <w:keepLines/>
              <w:spacing w:before="0" w:after="0" w:line="240" w:lineRule="auto"/>
              <w:rPr>
                <w:rFonts w:ascii="Arial Narrow" w:eastAsia="Times New Roman" w:hAnsi="Arial Narrow" w:cstheme="minorHAnsi"/>
                <w:color w:val="000000"/>
                <w:sz w:val="20"/>
                <w:szCs w:val="20"/>
                <w:lang w:eastAsia="en-AU"/>
              </w:rPr>
            </w:pPr>
          </w:p>
        </w:tc>
        <w:tc>
          <w:tcPr>
            <w:tcW w:w="1483" w:type="pct"/>
            <w:tcBorders>
              <w:top w:val="nil"/>
              <w:left w:val="single" w:sz="8" w:space="0" w:color="auto"/>
              <w:bottom w:val="single" w:sz="8" w:space="0" w:color="auto"/>
              <w:right w:val="single" w:sz="8" w:space="0" w:color="auto"/>
            </w:tcBorders>
            <w:vAlign w:val="center"/>
            <w:hideMark/>
          </w:tcPr>
          <w:p w14:paraId="71CAA876" w14:textId="7882FD81" w:rsidR="00604F8C" w:rsidRPr="005F3F19" w:rsidRDefault="00604F8C" w:rsidP="00604F8C">
            <w:pPr>
              <w:keepNext/>
              <w:keepLines/>
              <w:spacing w:before="0" w:after="0" w:line="240" w:lineRule="auto"/>
              <w:rPr>
                <w:rFonts w:ascii="Arial Narrow" w:eastAsia="Times New Roman" w:hAnsi="Arial Narrow" w:cstheme="minorHAnsi"/>
                <w:color w:val="000000"/>
                <w:sz w:val="20"/>
                <w:szCs w:val="20"/>
                <w:lang w:eastAsia="en-AU"/>
              </w:rPr>
            </w:pPr>
            <w:r w:rsidRPr="005F3F19">
              <w:rPr>
                <w:rFonts w:ascii="Arial Narrow" w:eastAsia="Times New Roman" w:hAnsi="Arial Narrow" w:cstheme="minorHAnsi"/>
                <w:color w:val="000000"/>
                <w:sz w:val="20"/>
                <w:szCs w:val="20"/>
                <w:lang w:eastAsia="en-AU"/>
              </w:rPr>
              <w:t>Net change in costs to the Private Health Insurance system - ($,000)</w:t>
            </w:r>
          </w:p>
        </w:tc>
        <w:tc>
          <w:tcPr>
            <w:tcW w:w="555" w:type="pct"/>
            <w:tcBorders>
              <w:top w:val="nil"/>
              <w:left w:val="nil"/>
              <w:bottom w:val="single" w:sz="8" w:space="0" w:color="auto"/>
              <w:right w:val="single" w:sz="8" w:space="0" w:color="auto"/>
            </w:tcBorders>
          </w:tcPr>
          <w:p w14:paraId="06ADAF5B" w14:textId="16641EF1" w:rsidR="00604F8C" w:rsidRPr="006A13C0" w:rsidRDefault="00383F48" w:rsidP="00604F8C">
            <w:pPr>
              <w:keepNext/>
              <w:keepLines/>
              <w:spacing w:before="0" w:after="0" w:line="240" w:lineRule="auto"/>
              <w:jc w:val="right"/>
              <w:rPr>
                <w:rFonts w:ascii="Arial Narrow" w:eastAsia="Times New Roman" w:hAnsi="Arial Narrow"/>
                <w:color w:val="000000" w:themeColor="text1"/>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5" w:type="pct"/>
            <w:tcBorders>
              <w:top w:val="nil"/>
              <w:left w:val="nil"/>
              <w:bottom w:val="single" w:sz="8" w:space="0" w:color="auto"/>
              <w:right w:val="single" w:sz="8" w:space="0" w:color="auto"/>
            </w:tcBorders>
          </w:tcPr>
          <w:p w14:paraId="502CEC88" w14:textId="1A03CC9C" w:rsidR="00604F8C" w:rsidRPr="006A13C0" w:rsidRDefault="00383F48" w:rsidP="00604F8C">
            <w:pPr>
              <w:keepNext/>
              <w:keepLines/>
              <w:spacing w:before="0" w:after="0" w:line="240" w:lineRule="auto"/>
              <w:jc w:val="right"/>
              <w:rPr>
                <w:rFonts w:ascii="Arial Narrow" w:eastAsia="Times New Roman" w:hAnsi="Arial Narrow"/>
                <w:color w:val="000000" w:themeColor="text1"/>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4" w:type="pct"/>
            <w:tcBorders>
              <w:top w:val="nil"/>
              <w:left w:val="nil"/>
              <w:bottom w:val="single" w:sz="8" w:space="0" w:color="auto"/>
              <w:right w:val="single" w:sz="8" w:space="0" w:color="auto"/>
            </w:tcBorders>
          </w:tcPr>
          <w:p w14:paraId="667AF944" w14:textId="1ECD33F9" w:rsidR="00604F8C" w:rsidRPr="006A13C0" w:rsidRDefault="00383F48" w:rsidP="00604F8C">
            <w:pPr>
              <w:keepNext/>
              <w:keepLines/>
              <w:spacing w:before="0" w:after="0" w:line="240" w:lineRule="auto"/>
              <w:jc w:val="right"/>
              <w:rPr>
                <w:rFonts w:ascii="Arial Narrow" w:eastAsia="Times New Roman" w:hAnsi="Arial Narrow"/>
                <w:color w:val="000000" w:themeColor="text1"/>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5" w:type="pct"/>
            <w:tcBorders>
              <w:top w:val="nil"/>
              <w:left w:val="nil"/>
              <w:bottom w:val="single" w:sz="8" w:space="0" w:color="auto"/>
              <w:right w:val="single" w:sz="8" w:space="0" w:color="auto"/>
            </w:tcBorders>
          </w:tcPr>
          <w:p w14:paraId="16B99A12" w14:textId="414F8CE2" w:rsidR="00604F8C" w:rsidRPr="006A13C0" w:rsidRDefault="00383F48" w:rsidP="00604F8C">
            <w:pPr>
              <w:keepNext/>
              <w:keepLines/>
              <w:spacing w:before="0" w:after="0" w:line="240" w:lineRule="auto"/>
              <w:jc w:val="right"/>
              <w:rPr>
                <w:rFonts w:ascii="Arial Narrow" w:eastAsia="Times New Roman" w:hAnsi="Arial Narrow"/>
                <w:color w:val="000000" w:themeColor="text1"/>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54" w:type="pct"/>
            <w:tcBorders>
              <w:top w:val="nil"/>
              <w:left w:val="nil"/>
              <w:bottom w:val="single" w:sz="8" w:space="0" w:color="auto"/>
              <w:right w:val="single" w:sz="8" w:space="0" w:color="auto"/>
            </w:tcBorders>
          </w:tcPr>
          <w:p w14:paraId="69585B62" w14:textId="23DC8123" w:rsidR="00604F8C" w:rsidRPr="006A13C0" w:rsidRDefault="00383F48" w:rsidP="00604F8C">
            <w:pPr>
              <w:keepNext/>
              <w:keepLines/>
              <w:spacing w:before="0" w:after="0" w:line="240" w:lineRule="auto"/>
              <w:jc w:val="right"/>
              <w:rPr>
                <w:rFonts w:ascii="Arial Narrow" w:eastAsia="Times New Roman" w:hAnsi="Arial Narrow"/>
                <w:color w:val="000000" w:themeColor="text1"/>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c>
          <w:tcPr>
            <w:tcW w:w="571" w:type="pct"/>
            <w:tcBorders>
              <w:top w:val="nil"/>
              <w:left w:val="nil"/>
              <w:bottom w:val="single" w:sz="8" w:space="0" w:color="auto"/>
              <w:right w:val="single" w:sz="8" w:space="0" w:color="auto"/>
            </w:tcBorders>
          </w:tcPr>
          <w:p w14:paraId="7DB6BD4D" w14:textId="5D52D6AF" w:rsidR="00604F8C" w:rsidRPr="006A13C0" w:rsidRDefault="00383F48" w:rsidP="00604F8C">
            <w:pPr>
              <w:keepNext/>
              <w:keepLines/>
              <w:spacing w:before="0" w:after="0" w:line="240" w:lineRule="auto"/>
              <w:jc w:val="right"/>
              <w:rPr>
                <w:rFonts w:ascii="Arial Narrow" w:eastAsia="Times New Roman" w:hAnsi="Arial Narrow"/>
                <w:color w:val="000000" w:themeColor="text1"/>
                <w:sz w:val="20"/>
                <w:szCs w:val="20"/>
                <w:lang w:eastAsia="en-AU"/>
              </w:rPr>
            </w:pPr>
            <w:r>
              <w:rPr>
                <w:rFonts w:ascii="Arial Narrow" w:hAnsi="Arial Narrow"/>
                <w:b/>
                <w:bCs/>
                <w:color w:val="000000" w:themeColor="text1"/>
                <w:sz w:val="20"/>
                <w:szCs w:val="20"/>
              </w:rPr>
              <w:t>$</w:t>
            </w:r>
            <w:r w:rsidR="00604F8C" w:rsidRPr="00383F48">
              <w:rPr>
                <w:rFonts w:ascii="Arial Narrow" w:hAnsi="Arial Narrow"/>
                <w:b/>
                <w:bCs/>
                <w:color w:val="000000" w:themeColor="text1"/>
                <w:sz w:val="20"/>
                <w:szCs w:val="20"/>
              </w:rPr>
              <w:t>redacted</w:t>
            </w:r>
          </w:p>
        </w:tc>
      </w:tr>
      <w:tr w:rsidR="008158D1" w:rsidRPr="0062012F" w14:paraId="05F12F9B" w14:textId="18BEAB05" w:rsidTr="00BF5AEA">
        <w:tc>
          <w:tcPr>
            <w:tcW w:w="173" w:type="pct"/>
            <w:tcBorders>
              <w:top w:val="nil"/>
              <w:left w:val="single" w:sz="8" w:space="0" w:color="auto"/>
              <w:bottom w:val="single" w:sz="8" w:space="0" w:color="auto"/>
              <w:right w:val="single" w:sz="8" w:space="0" w:color="auto"/>
            </w:tcBorders>
          </w:tcPr>
          <w:p w14:paraId="0B249A71" w14:textId="77777777" w:rsidR="00604F8C" w:rsidRPr="0062012F" w:rsidRDefault="00604F8C" w:rsidP="00604F8C">
            <w:pPr>
              <w:keepNext/>
              <w:keepLines/>
              <w:spacing w:before="0" w:after="0" w:line="240" w:lineRule="auto"/>
              <w:rPr>
                <w:rFonts w:ascii="Arial Narrow" w:eastAsia="Times New Roman" w:hAnsi="Arial Narrow" w:cstheme="minorHAnsi"/>
                <w:b/>
                <w:bCs/>
                <w:color w:val="000000"/>
                <w:sz w:val="20"/>
                <w:szCs w:val="20"/>
                <w:lang w:eastAsia="en-AU"/>
              </w:rPr>
            </w:pPr>
          </w:p>
        </w:tc>
        <w:tc>
          <w:tcPr>
            <w:tcW w:w="1483" w:type="pct"/>
            <w:tcBorders>
              <w:top w:val="nil"/>
              <w:left w:val="single" w:sz="8" w:space="0" w:color="auto"/>
              <w:bottom w:val="single" w:sz="8" w:space="0" w:color="auto"/>
              <w:right w:val="single" w:sz="8" w:space="0" w:color="auto"/>
            </w:tcBorders>
            <w:vAlign w:val="center"/>
            <w:hideMark/>
          </w:tcPr>
          <w:p w14:paraId="39602CF4" w14:textId="157D8359" w:rsidR="00604F8C" w:rsidRPr="005F3F19" w:rsidRDefault="00604F8C" w:rsidP="00604F8C">
            <w:pPr>
              <w:keepNext/>
              <w:keepLines/>
              <w:spacing w:before="0" w:after="0" w:line="240" w:lineRule="auto"/>
              <w:rPr>
                <w:rFonts w:ascii="Arial Narrow" w:eastAsia="Times New Roman" w:hAnsi="Arial Narrow" w:cstheme="minorHAnsi"/>
                <w:b/>
                <w:bCs/>
                <w:color w:val="000000"/>
                <w:sz w:val="20"/>
                <w:szCs w:val="20"/>
                <w:lang w:eastAsia="en-AU"/>
              </w:rPr>
            </w:pPr>
            <w:r w:rsidRPr="005F3F19">
              <w:rPr>
                <w:rFonts w:ascii="Arial Narrow" w:eastAsia="Times New Roman" w:hAnsi="Arial Narrow" w:cstheme="minorHAnsi"/>
                <w:b/>
                <w:bCs/>
                <w:color w:val="000000"/>
                <w:sz w:val="20"/>
                <w:szCs w:val="20"/>
                <w:lang w:eastAsia="en-AU"/>
              </w:rPr>
              <w:t>Net financial impact to the Private Health Insurance system - ($,000)</w:t>
            </w:r>
          </w:p>
        </w:tc>
        <w:tc>
          <w:tcPr>
            <w:tcW w:w="555" w:type="pct"/>
            <w:tcBorders>
              <w:top w:val="nil"/>
              <w:left w:val="nil"/>
              <w:bottom w:val="single" w:sz="8" w:space="0" w:color="auto"/>
              <w:right w:val="single" w:sz="8" w:space="0" w:color="auto"/>
            </w:tcBorders>
            <w:vAlign w:val="center"/>
          </w:tcPr>
          <w:p w14:paraId="39A9614F" w14:textId="46A05B90" w:rsidR="00604F8C" w:rsidRPr="005F3F19" w:rsidRDefault="00604F8C" w:rsidP="00604F8C">
            <w:pPr>
              <w:keepNext/>
              <w:keepLines/>
              <w:spacing w:before="0" w:after="0" w:line="240" w:lineRule="auto"/>
              <w:rPr>
                <w:rFonts w:ascii="Arial Narrow" w:eastAsia="Times New Roman" w:hAnsi="Arial Narrow" w:cstheme="minorHAnsi"/>
                <w:color w:val="000000"/>
                <w:sz w:val="20"/>
                <w:szCs w:val="20"/>
                <w:lang w:eastAsia="en-AU"/>
              </w:rPr>
            </w:pPr>
            <w:r w:rsidRPr="005F3F19">
              <w:rPr>
                <w:rFonts w:ascii="Arial Narrow" w:hAnsi="Arial Narrow" w:cs="Calibri"/>
                <w:b/>
                <w:color w:val="000000"/>
                <w:sz w:val="20"/>
                <w:szCs w:val="20"/>
              </w:rPr>
              <w:t>$</w:t>
            </w:r>
            <w:r w:rsidRPr="005F3F19">
              <w:rPr>
                <w:rFonts w:ascii="Arial Narrow" w:hAnsi="Arial Narrow" w:cs="Calibri"/>
                <w:b/>
                <w:bCs/>
                <w:color w:val="000000"/>
                <w:sz w:val="20"/>
                <w:szCs w:val="20"/>
              </w:rPr>
              <w:t>1,352</w:t>
            </w:r>
            <w:r w:rsidRPr="005F3F19">
              <w:rPr>
                <w:rFonts w:ascii="Arial Narrow" w:hAnsi="Arial Narrow" w:cs="Calibri"/>
                <w:b/>
                <w:color w:val="000000"/>
                <w:sz w:val="20"/>
                <w:szCs w:val="20"/>
              </w:rPr>
              <w:t xml:space="preserve"> </w:t>
            </w:r>
          </w:p>
        </w:tc>
        <w:tc>
          <w:tcPr>
            <w:tcW w:w="555" w:type="pct"/>
            <w:tcBorders>
              <w:top w:val="nil"/>
              <w:left w:val="nil"/>
              <w:bottom w:val="single" w:sz="8" w:space="0" w:color="auto"/>
              <w:right w:val="single" w:sz="8" w:space="0" w:color="auto"/>
            </w:tcBorders>
            <w:vAlign w:val="center"/>
          </w:tcPr>
          <w:p w14:paraId="3206F748" w14:textId="52E2AF57" w:rsidR="00604F8C" w:rsidRPr="005F3F19" w:rsidRDefault="00604F8C" w:rsidP="00604F8C">
            <w:pPr>
              <w:keepNext/>
              <w:keepLines/>
              <w:spacing w:before="0" w:after="0" w:line="240" w:lineRule="auto"/>
              <w:rPr>
                <w:rFonts w:ascii="Arial Narrow" w:eastAsia="Times New Roman" w:hAnsi="Arial Narrow" w:cstheme="minorHAnsi"/>
                <w:color w:val="000000"/>
                <w:sz w:val="20"/>
                <w:szCs w:val="20"/>
                <w:lang w:eastAsia="en-AU"/>
              </w:rPr>
            </w:pPr>
            <w:r w:rsidRPr="005F3F19">
              <w:rPr>
                <w:rFonts w:ascii="Arial Narrow" w:hAnsi="Arial Narrow" w:cs="Calibri"/>
                <w:b/>
                <w:color w:val="000000"/>
                <w:sz w:val="20"/>
                <w:szCs w:val="20"/>
              </w:rPr>
              <w:t>$</w:t>
            </w:r>
            <w:r w:rsidRPr="005F3F19">
              <w:rPr>
                <w:rFonts w:ascii="Arial Narrow" w:hAnsi="Arial Narrow" w:cs="Calibri"/>
                <w:b/>
                <w:bCs/>
                <w:color w:val="000000"/>
                <w:sz w:val="20"/>
                <w:szCs w:val="20"/>
              </w:rPr>
              <w:t>2,673</w:t>
            </w:r>
            <w:r w:rsidRPr="005F3F19">
              <w:rPr>
                <w:rFonts w:ascii="Arial Narrow" w:hAnsi="Arial Narrow" w:cs="Calibri"/>
                <w:b/>
                <w:color w:val="000000"/>
                <w:sz w:val="20"/>
                <w:szCs w:val="20"/>
              </w:rPr>
              <w:t xml:space="preserve"> </w:t>
            </w:r>
          </w:p>
        </w:tc>
        <w:tc>
          <w:tcPr>
            <w:tcW w:w="554" w:type="pct"/>
            <w:tcBorders>
              <w:top w:val="nil"/>
              <w:left w:val="nil"/>
              <w:bottom w:val="single" w:sz="8" w:space="0" w:color="auto"/>
              <w:right w:val="single" w:sz="8" w:space="0" w:color="auto"/>
            </w:tcBorders>
            <w:vAlign w:val="center"/>
          </w:tcPr>
          <w:p w14:paraId="504947FE" w14:textId="1485482A" w:rsidR="00604F8C" w:rsidRPr="005F3F19" w:rsidRDefault="00604F8C" w:rsidP="00604F8C">
            <w:pPr>
              <w:keepNext/>
              <w:keepLines/>
              <w:spacing w:before="0" w:after="0" w:line="240" w:lineRule="auto"/>
              <w:rPr>
                <w:rFonts w:ascii="Arial Narrow" w:eastAsia="Times New Roman" w:hAnsi="Arial Narrow" w:cstheme="minorHAnsi"/>
                <w:color w:val="000000"/>
                <w:sz w:val="20"/>
                <w:szCs w:val="20"/>
                <w:lang w:eastAsia="en-AU"/>
              </w:rPr>
            </w:pPr>
            <w:r w:rsidRPr="005F3F19">
              <w:rPr>
                <w:rFonts w:ascii="Arial Narrow" w:hAnsi="Arial Narrow" w:cs="Calibri"/>
                <w:b/>
                <w:color w:val="000000"/>
                <w:sz w:val="20"/>
                <w:szCs w:val="20"/>
              </w:rPr>
              <w:t>$</w:t>
            </w:r>
            <w:r w:rsidRPr="005F3F19">
              <w:rPr>
                <w:rFonts w:ascii="Arial Narrow" w:hAnsi="Arial Narrow" w:cs="Calibri"/>
                <w:b/>
                <w:bCs/>
                <w:color w:val="000000"/>
                <w:sz w:val="20"/>
                <w:szCs w:val="20"/>
              </w:rPr>
              <w:t>4,039</w:t>
            </w:r>
            <w:r w:rsidRPr="005F3F19">
              <w:rPr>
                <w:rFonts w:ascii="Arial Narrow" w:hAnsi="Arial Narrow" w:cs="Calibri"/>
                <w:b/>
                <w:color w:val="000000"/>
                <w:sz w:val="20"/>
                <w:szCs w:val="20"/>
              </w:rPr>
              <w:t xml:space="preserve"> </w:t>
            </w:r>
          </w:p>
        </w:tc>
        <w:tc>
          <w:tcPr>
            <w:tcW w:w="555" w:type="pct"/>
            <w:tcBorders>
              <w:top w:val="nil"/>
              <w:left w:val="nil"/>
              <w:bottom w:val="single" w:sz="8" w:space="0" w:color="auto"/>
              <w:right w:val="single" w:sz="8" w:space="0" w:color="auto"/>
            </w:tcBorders>
            <w:vAlign w:val="center"/>
          </w:tcPr>
          <w:p w14:paraId="265BB603" w14:textId="5403FE27" w:rsidR="00604F8C" w:rsidRPr="005F3F19" w:rsidRDefault="00604F8C" w:rsidP="00604F8C">
            <w:pPr>
              <w:keepNext/>
              <w:keepLines/>
              <w:spacing w:before="0" w:after="0" w:line="240" w:lineRule="auto"/>
              <w:rPr>
                <w:rFonts w:ascii="Arial Narrow" w:eastAsia="Times New Roman" w:hAnsi="Arial Narrow" w:cstheme="minorHAnsi"/>
                <w:color w:val="000000"/>
                <w:sz w:val="20"/>
                <w:szCs w:val="20"/>
                <w:lang w:eastAsia="en-AU"/>
              </w:rPr>
            </w:pPr>
            <w:r w:rsidRPr="005F3F19">
              <w:rPr>
                <w:rFonts w:ascii="Arial Narrow" w:hAnsi="Arial Narrow" w:cs="Calibri"/>
                <w:b/>
                <w:color w:val="000000"/>
                <w:sz w:val="20"/>
                <w:szCs w:val="20"/>
              </w:rPr>
              <w:t>$</w:t>
            </w:r>
            <w:r w:rsidRPr="005F3F19">
              <w:rPr>
                <w:rFonts w:ascii="Arial Narrow" w:hAnsi="Arial Narrow" w:cs="Calibri"/>
                <w:b/>
                <w:bCs/>
                <w:color w:val="000000"/>
                <w:sz w:val="20"/>
                <w:szCs w:val="20"/>
              </w:rPr>
              <w:t>5,444</w:t>
            </w:r>
            <w:r w:rsidRPr="005F3F19">
              <w:rPr>
                <w:rFonts w:ascii="Arial Narrow" w:hAnsi="Arial Narrow" w:cs="Calibri"/>
                <w:b/>
                <w:color w:val="000000"/>
                <w:sz w:val="20"/>
                <w:szCs w:val="20"/>
              </w:rPr>
              <w:t xml:space="preserve"> </w:t>
            </w:r>
          </w:p>
        </w:tc>
        <w:tc>
          <w:tcPr>
            <w:tcW w:w="554" w:type="pct"/>
            <w:tcBorders>
              <w:top w:val="nil"/>
              <w:left w:val="nil"/>
              <w:bottom w:val="single" w:sz="8" w:space="0" w:color="auto"/>
              <w:right w:val="single" w:sz="8" w:space="0" w:color="auto"/>
            </w:tcBorders>
            <w:vAlign w:val="center"/>
          </w:tcPr>
          <w:p w14:paraId="276269A8" w14:textId="02738F18" w:rsidR="00604F8C" w:rsidRPr="005F3F19" w:rsidRDefault="00604F8C" w:rsidP="00604F8C">
            <w:pPr>
              <w:keepNext/>
              <w:keepLines/>
              <w:spacing w:before="0" w:after="0" w:line="240" w:lineRule="auto"/>
              <w:rPr>
                <w:rFonts w:ascii="Arial Narrow" w:eastAsia="Times New Roman" w:hAnsi="Arial Narrow" w:cstheme="minorHAnsi"/>
                <w:color w:val="000000"/>
                <w:sz w:val="20"/>
                <w:szCs w:val="20"/>
                <w:lang w:eastAsia="en-AU"/>
              </w:rPr>
            </w:pPr>
            <w:r w:rsidRPr="005F3F19">
              <w:rPr>
                <w:rFonts w:ascii="Arial Narrow" w:hAnsi="Arial Narrow" w:cs="Calibri"/>
                <w:b/>
                <w:color w:val="000000"/>
                <w:sz w:val="20"/>
                <w:szCs w:val="20"/>
              </w:rPr>
              <w:t>$</w:t>
            </w:r>
            <w:r w:rsidRPr="005F3F19">
              <w:rPr>
                <w:rFonts w:ascii="Arial Narrow" w:hAnsi="Arial Narrow" w:cs="Calibri"/>
                <w:b/>
                <w:bCs/>
                <w:color w:val="000000"/>
                <w:sz w:val="20"/>
                <w:szCs w:val="20"/>
              </w:rPr>
              <w:t>6,891</w:t>
            </w:r>
            <w:r w:rsidRPr="005F3F19">
              <w:rPr>
                <w:rFonts w:ascii="Arial Narrow" w:hAnsi="Arial Narrow" w:cs="Calibri"/>
                <w:b/>
                <w:color w:val="000000"/>
                <w:sz w:val="20"/>
                <w:szCs w:val="20"/>
              </w:rPr>
              <w:t xml:space="preserve"> </w:t>
            </w:r>
          </w:p>
        </w:tc>
        <w:tc>
          <w:tcPr>
            <w:tcW w:w="571" w:type="pct"/>
            <w:tcBorders>
              <w:top w:val="nil"/>
              <w:left w:val="nil"/>
              <w:bottom w:val="single" w:sz="8" w:space="0" w:color="auto"/>
              <w:right w:val="single" w:sz="8" w:space="0" w:color="auto"/>
            </w:tcBorders>
            <w:vAlign w:val="center"/>
          </w:tcPr>
          <w:p w14:paraId="057C2056" w14:textId="4EC6F580" w:rsidR="00604F8C" w:rsidRPr="005F3F19" w:rsidRDefault="00604F8C" w:rsidP="00604F8C">
            <w:pPr>
              <w:keepNext/>
              <w:keepLines/>
              <w:spacing w:before="0" w:after="0" w:line="240" w:lineRule="auto"/>
              <w:rPr>
                <w:rFonts w:ascii="Arial Narrow" w:eastAsia="Times New Roman" w:hAnsi="Arial Narrow" w:cstheme="minorHAnsi"/>
                <w:color w:val="000000"/>
                <w:sz w:val="20"/>
                <w:szCs w:val="20"/>
                <w:lang w:eastAsia="en-AU"/>
              </w:rPr>
            </w:pPr>
            <w:r w:rsidRPr="005F3F19">
              <w:rPr>
                <w:rFonts w:ascii="Arial Narrow" w:hAnsi="Arial Narrow" w:cs="Calibri"/>
                <w:b/>
                <w:color w:val="000000"/>
                <w:sz w:val="20"/>
                <w:szCs w:val="20"/>
              </w:rPr>
              <w:t>$</w:t>
            </w:r>
            <w:r w:rsidRPr="005F3F19">
              <w:rPr>
                <w:rFonts w:ascii="Arial Narrow" w:hAnsi="Arial Narrow" w:cs="Calibri"/>
                <w:b/>
                <w:bCs/>
                <w:color w:val="000000"/>
                <w:sz w:val="20"/>
                <w:szCs w:val="20"/>
              </w:rPr>
              <w:t>8,372</w:t>
            </w:r>
            <w:r w:rsidRPr="005F3F19">
              <w:rPr>
                <w:rFonts w:ascii="Arial Narrow" w:hAnsi="Arial Narrow" w:cs="Calibri"/>
                <w:b/>
                <w:color w:val="000000"/>
                <w:sz w:val="20"/>
                <w:szCs w:val="20"/>
              </w:rPr>
              <w:t xml:space="preserve"> </w:t>
            </w:r>
          </w:p>
        </w:tc>
      </w:tr>
    </w:tbl>
    <w:p w14:paraId="6288BF44" w14:textId="77777777" w:rsidR="00FC7743" w:rsidRDefault="009370EC" w:rsidP="00865ECD">
      <w:pPr>
        <w:pStyle w:val="TableFooter"/>
        <w:keepNext/>
        <w:keepLines/>
      </w:pPr>
      <w:bookmarkStart w:id="55" w:name="_Hlk68276814"/>
      <w:r>
        <w:t xml:space="preserve">Source: </w:t>
      </w:r>
      <w:r w:rsidR="00FC7743">
        <w:t>Table 68 p 162 of the ADAR</w:t>
      </w:r>
    </w:p>
    <w:p w14:paraId="314B5062" w14:textId="7F1AA163" w:rsidR="00215AFB" w:rsidRDefault="009370EC" w:rsidP="00865ECD">
      <w:pPr>
        <w:pStyle w:val="TableFooter"/>
        <w:keepNext/>
        <w:keepLines/>
      </w:pPr>
      <w:r>
        <w:t>Abbreviations:</w:t>
      </w:r>
      <w:r w:rsidR="00444B44">
        <w:t xml:space="preserve"> </w:t>
      </w:r>
      <w:r w:rsidR="00D221A8">
        <w:t>BCI</w:t>
      </w:r>
      <w:r w:rsidR="00444B44">
        <w:t xml:space="preserve"> = </w:t>
      </w:r>
      <w:proofErr w:type="spellStart"/>
      <w:r w:rsidR="00611C7A">
        <w:t>bioinductive</w:t>
      </w:r>
      <w:proofErr w:type="spellEnd"/>
      <w:r w:rsidR="00611C7A">
        <w:t xml:space="preserve"> collagen </w:t>
      </w:r>
      <w:r w:rsidR="00133023">
        <w:t>implant;</w:t>
      </w:r>
      <w:r w:rsidR="00444B44">
        <w:t xml:space="preserve"> CM = conservative management</w:t>
      </w:r>
      <w:r w:rsidR="00653610">
        <w:t xml:space="preserve">; RCT = rotator cuff tear; RTSA = </w:t>
      </w:r>
      <w:r w:rsidRPr="009370EC">
        <w:t>reverse total shoulder arthroplasty</w:t>
      </w:r>
    </w:p>
    <w:bookmarkEnd w:id="55"/>
    <w:p w14:paraId="39A98D42" w14:textId="77777777" w:rsidR="0001168A" w:rsidRPr="0062012F" w:rsidRDefault="0001168A" w:rsidP="00D56BF2">
      <w:pPr>
        <w:pStyle w:val="Heading4"/>
        <w:keepNext w:val="0"/>
        <w:keepLines w:val="0"/>
        <w:spacing w:before="0" w:after="120"/>
      </w:pPr>
      <w:r w:rsidRPr="0062012F">
        <w:t>Net financial impact to other health budgets</w:t>
      </w:r>
    </w:p>
    <w:p w14:paraId="0CDAB790" w14:textId="056C60BC" w:rsidR="00D60DCC" w:rsidRDefault="00E44A0A" w:rsidP="00D56BF2">
      <w:r w:rsidRPr="00E44A0A">
        <w:t xml:space="preserve">The ADAR asserted that the introduction of </w:t>
      </w:r>
      <w:r w:rsidR="00445870">
        <w:t>BCI</w:t>
      </w:r>
      <w:r w:rsidRPr="00E44A0A">
        <w:t xml:space="preserve"> would not affect the number of patients undergoing surgical repair for rotator cuff tears. Consequently, MBS service volumes and costs for items 48960, 48906, and 48909 were anticipated to remain unchanged. However, the ADAR projected cost-savings for the MBS due to a reduction in retears with </w:t>
      </w:r>
      <w:r w:rsidR="00B65EA4">
        <w:t>BCI</w:t>
      </w:r>
      <w:r w:rsidRPr="00E44A0A">
        <w:t xml:space="preserve">. </w:t>
      </w:r>
      <w:r w:rsidR="00F04751">
        <w:t xml:space="preserve">This reduction was </w:t>
      </w:r>
      <w:r w:rsidR="00216A71">
        <w:t>6.2%</w:t>
      </w:r>
      <w:r w:rsidR="00D515BD">
        <w:t>,</w:t>
      </w:r>
      <w:r w:rsidR="00216A71">
        <w:t xml:space="preserve"> </w:t>
      </w:r>
      <w:r w:rsidR="00F04751">
        <w:t>based on</w:t>
      </w:r>
      <w:r w:rsidR="00216A71" w:rsidRPr="00216A71">
        <w:t xml:space="preserve"> reduction of patients requiring revision RCR with </w:t>
      </w:r>
      <w:r w:rsidR="00B65EA4">
        <w:t>BCI</w:t>
      </w:r>
      <w:r w:rsidR="00216A71" w:rsidRPr="00216A71">
        <w:t xml:space="preserve"> (3.3%) and </w:t>
      </w:r>
      <w:r w:rsidR="00D515BD">
        <w:t>s</w:t>
      </w:r>
      <w:r w:rsidR="00216A71" w:rsidRPr="00216A71">
        <w:t>tandard of care (9.5%).</w:t>
      </w:r>
      <w:r w:rsidR="00F04751">
        <w:t xml:space="preserve"> </w:t>
      </w:r>
      <w:r w:rsidR="00193EDD">
        <w:t xml:space="preserve">The ADAR also </w:t>
      </w:r>
      <w:r w:rsidR="00FB649B">
        <w:t>predicted that there would be a reduction in RTSA</w:t>
      </w:r>
      <w:r w:rsidR="00D22005">
        <w:t xml:space="preserve"> (0.9%) based on clinical evidence. </w:t>
      </w:r>
      <w:r w:rsidR="00FB649B">
        <w:t xml:space="preserve"> </w:t>
      </w:r>
    </w:p>
    <w:p w14:paraId="7D71DF41" w14:textId="1FBA4E8E" w:rsidR="00D56BF2" w:rsidRPr="00D56BF2" w:rsidRDefault="005C7EE3" w:rsidP="00D56BF2">
      <w:r>
        <w:fldChar w:fldCharType="begin"/>
      </w:r>
      <w:r>
        <w:instrText xml:space="preserve"> REF _Ref195104547 \h  \* MERGEFORMAT </w:instrText>
      </w:r>
      <w:r>
        <w:fldChar w:fldCharType="separate"/>
      </w:r>
      <w:r w:rsidR="002D4CF2" w:rsidRPr="00CE28E3">
        <w:t>Table</w:t>
      </w:r>
      <w:r w:rsidR="002D4CF2">
        <w:t> 1</w:t>
      </w:r>
      <w:r w:rsidR="00915500">
        <w:t>7</w:t>
      </w:r>
      <w:r>
        <w:fldChar w:fldCharType="end"/>
      </w:r>
      <w:r>
        <w:t xml:space="preserve"> </w:t>
      </w:r>
      <w:r w:rsidR="00E44A0A" w:rsidRPr="00E44A0A">
        <w:t xml:space="preserve">outlined the net financial impact of </w:t>
      </w:r>
      <w:r w:rsidR="00B65EA4">
        <w:t>BCI</w:t>
      </w:r>
      <w:r w:rsidR="00B65EA4" w:rsidRPr="00E44A0A">
        <w:t xml:space="preserve"> </w:t>
      </w:r>
      <w:r w:rsidR="00E44A0A" w:rsidRPr="00E44A0A">
        <w:t>on the MBS, with total savings estimated at $0.2 million in Year 1, increasing to $</w:t>
      </w:r>
      <w:r w:rsidR="00F2138C">
        <w:t>1.3</w:t>
      </w:r>
      <w:r w:rsidR="00E44A0A" w:rsidRPr="00E44A0A">
        <w:t xml:space="preserve"> million by Year 6. </w:t>
      </w:r>
      <w:bookmarkStart w:id="56" w:name="_Ref195104547"/>
      <w:r w:rsidR="00D56BF2">
        <w:br w:type="page"/>
      </w:r>
    </w:p>
    <w:p w14:paraId="6A1D1BA4" w14:textId="0EC54231" w:rsidR="00CD44D9" w:rsidRDefault="00CD44D9" w:rsidP="00D56BF2">
      <w:pPr>
        <w:pStyle w:val="Caption"/>
        <w:keepNext w:val="0"/>
      </w:pPr>
      <w:r w:rsidRPr="00CE28E3">
        <w:lastRenderedPageBreak/>
        <w:t>Table</w:t>
      </w:r>
      <w:r>
        <w:t> </w:t>
      </w:r>
      <w:r w:rsidR="004B28A6">
        <w:fldChar w:fldCharType="begin"/>
      </w:r>
      <w:r w:rsidR="004B28A6">
        <w:instrText xml:space="preserve"> SEQ Table \* ARABIC </w:instrText>
      </w:r>
      <w:r w:rsidR="004B28A6">
        <w:fldChar w:fldCharType="separate"/>
      </w:r>
      <w:r w:rsidR="00564C3F">
        <w:rPr>
          <w:noProof/>
        </w:rPr>
        <w:t>17</w:t>
      </w:r>
      <w:r w:rsidR="004B28A6">
        <w:rPr>
          <w:noProof/>
        </w:rPr>
        <w:fldChar w:fldCharType="end"/>
      </w:r>
      <w:bookmarkEnd w:id="56"/>
      <w:r w:rsidRPr="00CE28E3">
        <w:tab/>
        <w:t xml:space="preserve">Net financial implications of </w:t>
      </w:r>
      <w:r w:rsidR="00B65EA4">
        <w:t>BCI</w:t>
      </w:r>
      <w:r w:rsidR="00133023">
        <w:t xml:space="preserve"> </w:t>
      </w:r>
      <w:r w:rsidR="00133023" w:rsidRPr="00CE28E3">
        <w:t>to</w:t>
      </w:r>
      <w:r w:rsidRPr="00CE28E3">
        <w:t xml:space="preserve"> the </w:t>
      </w:r>
      <w:r w:rsidR="005748AE">
        <w:t>MBS</w:t>
      </w:r>
    </w:p>
    <w:tbl>
      <w:tblPr>
        <w:tblW w:w="5000" w:type="pct"/>
        <w:tblLook w:val="04A0" w:firstRow="1" w:lastRow="0" w:firstColumn="1" w:lastColumn="0" w:noHBand="0" w:noVBand="1"/>
      </w:tblPr>
      <w:tblGrid>
        <w:gridCol w:w="1097"/>
        <w:gridCol w:w="1347"/>
        <w:gridCol w:w="1069"/>
        <w:gridCol w:w="1069"/>
        <w:gridCol w:w="1069"/>
        <w:gridCol w:w="1069"/>
        <w:gridCol w:w="1227"/>
        <w:gridCol w:w="1069"/>
      </w:tblGrid>
      <w:tr w:rsidR="007C73C9" w:rsidRPr="008E1B34" w14:paraId="58990C5B" w14:textId="77777777" w:rsidTr="00C22C1D">
        <w:trPr>
          <w:trHeight w:val="552"/>
        </w:trPr>
        <w:tc>
          <w:tcPr>
            <w:tcW w:w="65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5DAB2D3" w14:textId="77777777" w:rsidR="00D7069C" w:rsidRPr="00C22C1D" w:rsidRDefault="00D7069C" w:rsidP="00D56BF2">
            <w:pPr>
              <w:spacing w:before="0" w:after="0" w:line="240" w:lineRule="auto"/>
              <w:rPr>
                <w:rFonts w:ascii="Arial Narrow" w:eastAsia="Times New Roman" w:hAnsi="Arial Narrow" w:cstheme="minorHAnsi"/>
                <w:b/>
                <w:bCs/>
                <w:color w:val="000000"/>
                <w:sz w:val="20"/>
                <w:szCs w:val="20"/>
                <w:lang w:eastAsia="en-AU"/>
              </w:rPr>
            </w:pPr>
            <w:r w:rsidRPr="00C22C1D">
              <w:rPr>
                <w:rFonts w:ascii="Arial Narrow" w:eastAsia="Times New Roman" w:hAnsi="Arial Narrow" w:cstheme="minorHAnsi"/>
                <w:b/>
                <w:bCs/>
                <w:color w:val="000000"/>
                <w:sz w:val="20"/>
                <w:szCs w:val="20"/>
                <w:lang w:eastAsia="en-AU"/>
              </w:rPr>
              <w:t> </w:t>
            </w:r>
          </w:p>
        </w:tc>
        <w:tc>
          <w:tcPr>
            <w:tcW w:w="570" w:type="pct"/>
            <w:tcBorders>
              <w:top w:val="single" w:sz="4" w:space="0" w:color="auto"/>
              <w:left w:val="nil"/>
              <w:bottom w:val="single" w:sz="4" w:space="0" w:color="auto"/>
              <w:right w:val="single" w:sz="4" w:space="0" w:color="auto"/>
            </w:tcBorders>
            <w:shd w:val="clear" w:color="000000" w:fill="F2F2F2"/>
            <w:vAlign w:val="center"/>
            <w:hideMark/>
          </w:tcPr>
          <w:p w14:paraId="720B23D6" w14:textId="77777777" w:rsidR="00D7069C" w:rsidRPr="00C22C1D" w:rsidRDefault="00D7069C" w:rsidP="00D56BF2">
            <w:pPr>
              <w:spacing w:before="0" w:after="0" w:line="240" w:lineRule="auto"/>
              <w:rPr>
                <w:rFonts w:ascii="Arial Narrow" w:eastAsia="Times New Roman" w:hAnsi="Arial Narrow" w:cstheme="minorHAnsi"/>
                <w:b/>
                <w:bCs/>
                <w:color w:val="000000"/>
                <w:sz w:val="20"/>
                <w:szCs w:val="20"/>
                <w:lang w:eastAsia="en-AU"/>
              </w:rPr>
            </w:pPr>
            <w:r w:rsidRPr="00C22C1D">
              <w:rPr>
                <w:rFonts w:ascii="Arial Narrow" w:eastAsia="Times New Roman" w:hAnsi="Arial Narrow" w:cstheme="minorHAnsi"/>
                <w:b/>
                <w:bCs/>
                <w:sz w:val="20"/>
                <w:szCs w:val="20"/>
                <w:lang w:eastAsia="en-AU"/>
              </w:rPr>
              <w:t>Parameter</w:t>
            </w:r>
          </w:p>
        </w:tc>
        <w:tc>
          <w:tcPr>
            <w:tcW w:w="568" w:type="pct"/>
            <w:tcBorders>
              <w:top w:val="single" w:sz="4" w:space="0" w:color="auto"/>
              <w:left w:val="nil"/>
              <w:bottom w:val="single" w:sz="4" w:space="0" w:color="auto"/>
              <w:right w:val="single" w:sz="4" w:space="0" w:color="auto"/>
            </w:tcBorders>
            <w:shd w:val="clear" w:color="000000" w:fill="F2F2F2"/>
            <w:vAlign w:val="center"/>
            <w:hideMark/>
          </w:tcPr>
          <w:p w14:paraId="306ACB1E" w14:textId="77777777" w:rsidR="00D7069C" w:rsidRPr="00C22C1D" w:rsidRDefault="00D7069C" w:rsidP="00D56BF2">
            <w:pPr>
              <w:spacing w:before="0" w:after="0" w:line="240" w:lineRule="auto"/>
              <w:jc w:val="center"/>
              <w:rPr>
                <w:rFonts w:ascii="Arial Narrow" w:eastAsia="Times New Roman" w:hAnsi="Arial Narrow" w:cstheme="minorHAnsi"/>
                <w:b/>
                <w:color w:val="000000"/>
                <w:sz w:val="20"/>
                <w:szCs w:val="20"/>
                <w:lang w:eastAsia="en-AU"/>
              </w:rPr>
            </w:pPr>
            <w:r w:rsidRPr="00C22C1D">
              <w:rPr>
                <w:rFonts w:ascii="Arial Narrow" w:eastAsia="Times New Roman" w:hAnsi="Arial Narrow" w:cstheme="minorHAnsi"/>
                <w:b/>
                <w:sz w:val="20"/>
                <w:szCs w:val="20"/>
                <w:lang w:eastAsia="en-AU"/>
              </w:rPr>
              <w:t>Year 1</w:t>
            </w:r>
            <w:r w:rsidRPr="00C22C1D">
              <w:rPr>
                <w:rFonts w:ascii="Arial Narrow" w:eastAsia="Times New Roman" w:hAnsi="Arial Narrow" w:cstheme="minorHAnsi"/>
                <w:b/>
                <w:sz w:val="20"/>
                <w:szCs w:val="20"/>
                <w:lang w:eastAsia="en-AU"/>
              </w:rPr>
              <w:br/>
              <w:t xml:space="preserve">(FY </w:t>
            </w:r>
            <w:r w:rsidRPr="00C22C1D">
              <w:rPr>
                <w:rFonts w:ascii="Arial Narrow" w:eastAsia="Times New Roman" w:hAnsi="Arial Narrow" w:cstheme="minorHAnsi"/>
                <w:b/>
                <w:bCs/>
                <w:sz w:val="20"/>
                <w:szCs w:val="20"/>
                <w:lang w:eastAsia="en-AU"/>
              </w:rPr>
              <w:t>2025-26</w:t>
            </w:r>
            <w:r w:rsidRPr="00C22C1D">
              <w:rPr>
                <w:rFonts w:ascii="Arial Narrow" w:eastAsia="Times New Roman" w:hAnsi="Arial Narrow" w:cstheme="minorHAnsi"/>
                <w:b/>
                <w:sz w:val="20"/>
                <w:szCs w:val="20"/>
                <w:lang w:eastAsia="en-AU"/>
              </w:rPr>
              <w:t>)</w:t>
            </w:r>
          </w:p>
        </w:tc>
        <w:tc>
          <w:tcPr>
            <w:tcW w:w="604" w:type="pct"/>
            <w:tcBorders>
              <w:top w:val="single" w:sz="4" w:space="0" w:color="auto"/>
              <w:left w:val="nil"/>
              <w:bottom w:val="single" w:sz="4" w:space="0" w:color="auto"/>
              <w:right w:val="single" w:sz="4" w:space="0" w:color="auto"/>
            </w:tcBorders>
            <w:shd w:val="clear" w:color="000000" w:fill="F2F2F2"/>
            <w:vAlign w:val="center"/>
            <w:hideMark/>
          </w:tcPr>
          <w:p w14:paraId="0BFF19D7" w14:textId="77777777" w:rsidR="00D7069C" w:rsidRPr="00C22C1D" w:rsidRDefault="00D7069C" w:rsidP="00D56BF2">
            <w:pPr>
              <w:spacing w:before="0" w:after="0" w:line="240" w:lineRule="auto"/>
              <w:jc w:val="center"/>
              <w:rPr>
                <w:rFonts w:ascii="Arial Narrow" w:eastAsia="Times New Roman" w:hAnsi="Arial Narrow" w:cstheme="minorHAnsi"/>
                <w:b/>
                <w:color w:val="000000"/>
                <w:sz w:val="20"/>
                <w:szCs w:val="20"/>
                <w:lang w:eastAsia="en-AU"/>
              </w:rPr>
            </w:pPr>
            <w:r w:rsidRPr="00C22C1D">
              <w:rPr>
                <w:rFonts w:ascii="Arial Narrow" w:eastAsia="Times New Roman" w:hAnsi="Arial Narrow" w:cstheme="minorHAnsi"/>
                <w:b/>
                <w:sz w:val="20"/>
                <w:szCs w:val="20"/>
                <w:lang w:eastAsia="en-AU"/>
              </w:rPr>
              <w:t>Year 2</w:t>
            </w:r>
            <w:r w:rsidRPr="00C22C1D">
              <w:rPr>
                <w:rFonts w:ascii="Arial Narrow" w:eastAsia="Times New Roman" w:hAnsi="Arial Narrow" w:cstheme="minorHAnsi"/>
                <w:b/>
                <w:sz w:val="20"/>
                <w:szCs w:val="20"/>
                <w:lang w:eastAsia="en-AU"/>
              </w:rPr>
              <w:br/>
              <w:t xml:space="preserve">(FY </w:t>
            </w:r>
            <w:r w:rsidRPr="00C22C1D">
              <w:rPr>
                <w:rFonts w:ascii="Arial Narrow" w:eastAsia="Times New Roman" w:hAnsi="Arial Narrow" w:cstheme="minorHAnsi"/>
                <w:b/>
                <w:bCs/>
                <w:sz w:val="20"/>
                <w:szCs w:val="20"/>
                <w:lang w:eastAsia="en-AU"/>
              </w:rPr>
              <w:t>2026-27</w:t>
            </w:r>
            <w:r w:rsidRPr="00C22C1D">
              <w:rPr>
                <w:rFonts w:ascii="Arial Narrow" w:eastAsia="Times New Roman" w:hAnsi="Arial Narrow" w:cstheme="minorHAnsi"/>
                <w:b/>
                <w:sz w:val="20"/>
                <w:szCs w:val="20"/>
                <w:lang w:eastAsia="en-AU"/>
              </w:rPr>
              <w:t>)</w:t>
            </w:r>
          </w:p>
        </w:tc>
        <w:tc>
          <w:tcPr>
            <w:tcW w:w="604" w:type="pct"/>
            <w:tcBorders>
              <w:top w:val="single" w:sz="4" w:space="0" w:color="auto"/>
              <w:left w:val="nil"/>
              <w:bottom w:val="single" w:sz="4" w:space="0" w:color="auto"/>
              <w:right w:val="single" w:sz="4" w:space="0" w:color="auto"/>
            </w:tcBorders>
            <w:shd w:val="clear" w:color="000000" w:fill="F2F2F2"/>
            <w:vAlign w:val="center"/>
            <w:hideMark/>
          </w:tcPr>
          <w:p w14:paraId="548EFBB6" w14:textId="77777777" w:rsidR="00D7069C" w:rsidRPr="00C22C1D" w:rsidRDefault="00D7069C" w:rsidP="00D56BF2">
            <w:pPr>
              <w:spacing w:before="0" w:after="0" w:line="240" w:lineRule="auto"/>
              <w:jc w:val="center"/>
              <w:rPr>
                <w:rFonts w:ascii="Arial Narrow" w:eastAsia="Times New Roman" w:hAnsi="Arial Narrow" w:cstheme="minorHAnsi"/>
                <w:b/>
                <w:color w:val="000000"/>
                <w:sz w:val="20"/>
                <w:szCs w:val="20"/>
                <w:lang w:eastAsia="en-AU"/>
              </w:rPr>
            </w:pPr>
            <w:r w:rsidRPr="00C22C1D">
              <w:rPr>
                <w:rFonts w:ascii="Arial Narrow" w:eastAsia="Times New Roman" w:hAnsi="Arial Narrow" w:cstheme="minorHAnsi"/>
                <w:b/>
                <w:sz w:val="20"/>
                <w:szCs w:val="20"/>
                <w:lang w:eastAsia="en-AU"/>
              </w:rPr>
              <w:t>Year 3</w:t>
            </w:r>
            <w:r w:rsidRPr="00C22C1D">
              <w:rPr>
                <w:rFonts w:ascii="Arial Narrow" w:eastAsia="Times New Roman" w:hAnsi="Arial Narrow" w:cstheme="minorHAnsi"/>
                <w:b/>
                <w:sz w:val="20"/>
                <w:szCs w:val="20"/>
                <w:lang w:eastAsia="en-AU"/>
              </w:rPr>
              <w:br/>
              <w:t xml:space="preserve">(FY </w:t>
            </w:r>
            <w:r w:rsidRPr="00C22C1D">
              <w:rPr>
                <w:rFonts w:ascii="Arial Narrow" w:eastAsia="Times New Roman" w:hAnsi="Arial Narrow" w:cstheme="minorHAnsi"/>
                <w:b/>
                <w:bCs/>
                <w:sz w:val="20"/>
                <w:szCs w:val="20"/>
                <w:lang w:eastAsia="en-AU"/>
              </w:rPr>
              <w:t>2027-28</w:t>
            </w:r>
            <w:r w:rsidRPr="00C22C1D">
              <w:rPr>
                <w:rFonts w:ascii="Arial Narrow" w:eastAsia="Times New Roman" w:hAnsi="Arial Narrow" w:cstheme="minorHAnsi"/>
                <w:b/>
                <w:sz w:val="20"/>
                <w:szCs w:val="20"/>
                <w:lang w:eastAsia="en-AU"/>
              </w:rPr>
              <w:t>)</w:t>
            </w:r>
          </w:p>
        </w:tc>
        <w:tc>
          <w:tcPr>
            <w:tcW w:w="604" w:type="pct"/>
            <w:tcBorders>
              <w:top w:val="single" w:sz="4" w:space="0" w:color="auto"/>
              <w:left w:val="nil"/>
              <w:bottom w:val="single" w:sz="4" w:space="0" w:color="auto"/>
              <w:right w:val="single" w:sz="4" w:space="0" w:color="auto"/>
            </w:tcBorders>
            <w:shd w:val="clear" w:color="000000" w:fill="F2F2F2"/>
            <w:vAlign w:val="center"/>
            <w:hideMark/>
          </w:tcPr>
          <w:p w14:paraId="0C5B4E36" w14:textId="77777777" w:rsidR="00D7069C" w:rsidRPr="00C22C1D" w:rsidRDefault="00D7069C" w:rsidP="00D56BF2">
            <w:pPr>
              <w:spacing w:before="0" w:after="0" w:line="240" w:lineRule="auto"/>
              <w:jc w:val="center"/>
              <w:rPr>
                <w:rFonts w:ascii="Arial Narrow" w:eastAsia="Times New Roman" w:hAnsi="Arial Narrow" w:cstheme="minorHAnsi"/>
                <w:b/>
                <w:color w:val="000000"/>
                <w:sz w:val="20"/>
                <w:szCs w:val="20"/>
                <w:lang w:eastAsia="en-AU"/>
              </w:rPr>
            </w:pPr>
            <w:r w:rsidRPr="00C22C1D">
              <w:rPr>
                <w:rFonts w:ascii="Arial Narrow" w:eastAsia="Times New Roman" w:hAnsi="Arial Narrow" w:cstheme="minorHAnsi"/>
                <w:b/>
                <w:sz w:val="20"/>
                <w:szCs w:val="20"/>
                <w:lang w:eastAsia="en-AU"/>
              </w:rPr>
              <w:t>Year 4</w:t>
            </w:r>
            <w:r w:rsidRPr="00C22C1D">
              <w:rPr>
                <w:rFonts w:ascii="Arial Narrow" w:eastAsia="Times New Roman" w:hAnsi="Arial Narrow" w:cstheme="minorHAnsi"/>
                <w:b/>
                <w:sz w:val="20"/>
                <w:szCs w:val="20"/>
                <w:lang w:eastAsia="en-AU"/>
              </w:rPr>
              <w:br/>
              <w:t xml:space="preserve">(FY </w:t>
            </w:r>
            <w:r w:rsidRPr="00C22C1D">
              <w:rPr>
                <w:rFonts w:ascii="Arial Narrow" w:eastAsia="Times New Roman" w:hAnsi="Arial Narrow" w:cstheme="minorHAnsi"/>
                <w:b/>
                <w:bCs/>
                <w:sz w:val="20"/>
                <w:szCs w:val="20"/>
                <w:lang w:eastAsia="en-AU"/>
              </w:rPr>
              <w:t>2028-29</w:t>
            </w:r>
            <w:r w:rsidRPr="00C22C1D">
              <w:rPr>
                <w:rFonts w:ascii="Arial Narrow" w:eastAsia="Times New Roman" w:hAnsi="Arial Narrow" w:cstheme="minorHAnsi"/>
                <w:b/>
                <w:sz w:val="20"/>
                <w:szCs w:val="20"/>
                <w:lang w:eastAsia="en-AU"/>
              </w:rPr>
              <w:t>)</w:t>
            </w:r>
          </w:p>
        </w:tc>
        <w:tc>
          <w:tcPr>
            <w:tcW w:w="794" w:type="pct"/>
            <w:tcBorders>
              <w:top w:val="single" w:sz="4" w:space="0" w:color="auto"/>
              <w:left w:val="nil"/>
              <w:bottom w:val="single" w:sz="4" w:space="0" w:color="auto"/>
              <w:right w:val="single" w:sz="4" w:space="0" w:color="auto"/>
            </w:tcBorders>
            <w:shd w:val="clear" w:color="000000" w:fill="F2F2F2"/>
            <w:vAlign w:val="center"/>
            <w:hideMark/>
          </w:tcPr>
          <w:p w14:paraId="25D41FF9" w14:textId="77777777" w:rsidR="00D7069C" w:rsidRPr="00C22C1D" w:rsidRDefault="00D7069C" w:rsidP="00D56BF2">
            <w:pPr>
              <w:spacing w:before="0" w:after="0" w:line="240" w:lineRule="auto"/>
              <w:jc w:val="center"/>
              <w:rPr>
                <w:rFonts w:ascii="Arial Narrow" w:eastAsia="Times New Roman" w:hAnsi="Arial Narrow" w:cstheme="minorHAnsi"/>
                <w:b/>
                <w:color w:val="000000"/>
                <w:sz w:val="20"/>
                <w:szCs w:val="20"/>
                <w:lang w:eastAsia="en-AU"/>
              </w:rPr>
            </w:pPr>
            <w:r w:rsidRPr="00C22C1D">
              <w:rPr>
                <w:rFonts w:ascii="Arial Narrow" w:eastAsia="Times New Roman" w:hAnsi="Arial Narrow" w:cstheme="minorHAnsi"/>
                <w:b/>
                <w:sz w:val="20"/>
                <w:szCs w:val="20"/>
                <w:lang w:eastAsia="en-AU"/>
              </w:rPr>
              <w:t>Year 5</w:t>
            </w:r>
            <w:r w:rsidRPr="00C22C1D">
              <w:rPr>
                <w:rFonts w:ascii="Arial Narrow" w:eastAsia="Times New Roman" w:hAnsi="Arial Narrow" w:cstheme="minorHAnsi"/>
                <w:b/>
                <w:sz w:val="20"/>
                <w:szCs w:val="20"/>
                <w:lang w:eastAsia="en-AU"/>
              </w:rPr>
              <w:br/>
              <w:t xml:space="preserve">(FY </w:t>
            </w:r>
            <w:r w:rsidRPr="00C22C1D">
              <w:rPr>
                <w:rFonts w:ascii="Arial Narrow" w:eastAsia="Times New Roman" w:hAnsi="Arial Narrow" w:cstheme="minorHAnsi"/>
                <w:b/>
                <w:bCs/>
                <w:sz w:val="20"/>
                <w:szCs w:val="20"/>
                <w:lang w:eastAsia="en-AU"/>
              </w:rPr>
              <w:t>2029-30</w:t>
            </w:r>
            <w:r w:rsidRPr="00C22C1D">
              <w:rPr>
                <w:rFonts w:ascii="Arial Narrow" w:eastAsia="Times New Roman" w:hAnsi="Arial Narrow" w:cstheme="minorHAnsi"/>
                <w:b/>
                <w:sz w:val="20"/>
                <w:szCs w:val="20"/>
                <w:lang w:eastAsia="en-AU"/>
              </w:rPr>
              <w:t>)</w:t>
            </w:r>
          </w:p>
        </w:tc>
        <w:tc>
          <w:tcPr>
            <w:tcW w:w="601" w:type="pct"/>
            <w:tcBorders>
              <w:top w:val="single" w:sz="4" w:space="0" w:color="auto"/>
              <w:left w:val="nil"/>
              <w:bottom w:val="single" w:sz="4" w:space="0" w:color="auto"/>
              <w:right w:val="single" w:sz="4" w:space="0" w:color="auto"/>
            </w:tcBorders>
            <w:shd w:val="clear" w:color="000000" w:fill="F2F2F2"/>
            <w:vAlign w:val="center"/>
            <w:hideMark/>
          </w:tcPr>
          <w:p w14:paraId="55DB4954" w14:textId="77777777" w:rsidR="00D7069C" w:rsidRPr="00C22C1D" w:rsidRDefault="00D7069C" w:rsidP="00D56BF2">
            <w:pPr>
              <w:spacing w:before="0" w:after="0" w:line="240" w:lineRule="auto"/>
              <w:jc w:val="center"/>
              <w:rPr>
                <w:rFonts w:ascii="Arial Narrow" w:eastAsia="Times New Roman" w:hAnsi="Arial Narrow" w:cstheme="minorHAnsi"/>
                <w:b/>
                <w:color w:val="000000"/>
                <w:sz w:val="20"/>
                <w:szCs w:val="20"/>
                <w:lang w:eastAsia="en-AU"/>
              </w:rPr>
            </w:pPr>
            <w:r w:rsidRPr="00C22C1D">
              <w:rPr>
                <w:rFonts w:ascii="Arial Narrow" w:eastAsia="Times New Roman" w:hAnsi="Arial Narrow" w:cstheme="minorHAnsi"/>
                <w:b/>
                <w:color w:val="000000"/>
                <w:sz w:val="20"/>
                <w:szCs w:val="20"/>
                <w:lang w:eastAsia="en-AU"/>
              </w:rPr>
              <w:t>Year 6</w:t>
            </w:r>
            <w:r w:rsidRPr="00C22C1D">
              <w:rPr>
                <w:rFonts w:ascii="Arial Narrow" w:eastAsia="Times New Roman" w:hAnsi="Arial Narrow" w:cstheme="minorHAnsi"/>
                <w:b/>
                <w:color w:val="000000"/>
                <w:sz w:val="20"/>
                <w:szCs w:val="20"/>
                <w:lang w:eastAsia="en-AU"/>
              </w:rPr>
              <w:br/>
              <w:t xml:space="preserve">(FY </w:t>
            </w:r>
            <w:r w:rsidRPr="00C22C1D">
              <w:rPr>
                <w:rFonts w:ascii="Arial Narrow" w:eastAsia="Times New Roman" w:hAnsi="Arial Narrow" w:cstheme="minorHAnsi"/>
                <w:b/>
                <w:bCs/>
                <w:color w:val="000000"/>
                <w:sz w:val="20"/>
                <w:szCs w:val="20"/>
                <w:lang w:eastAsia="en-AU"/>
              </w:rPr>
              <w:t>2030-31</w:t>
            </w:r>
            <w:r w:rsidRPr="00C22C1D">
              <w:rPr>
                <w:rFonts w:ascii="Arial Narrow" w:eastAsia="Times New Roman" w:hAnsi="Arial Narrow" w:cstheme="minorHAnsi"/>
                <w:b/>
                <w:color w:val="000000"/>
                <w:sz w:val="20"/>
                <w:szCs w:val="20"/>
                <w:lang w:eastAsia="en-AU"/>
              </w:rPr>
              <w:t>)</w:t>
            </w:r>
          </w:p>
        </w:tc>
      </w:tr>
      <w:tr w:rsidR="007C73C9" w:rsidRPr="00C22C1D" w14:paraId="5626E619" w14:textId="77777777" w:rsidTr="00C22C1D">
        <w:trPr>
          <w:trHeight w:val="203"/>
        </w:trPr>
        <w:tc>
          <w:tcPr>
            <w:tcW w:w="655" w:type="pct"/>
            <w:tcBorders>
              <w:top w:val="nil"/>
              <w:left w:val="single" w:sz="4" w:space="0" w:color="auto"/>
              <w:bottom w:val="single" w:sz="4" w:space="0" w:color="auto"/>
              <w:right w:val="single" w:sz="4" w:space="0" w:color="auto"/>
            </w:tcBorders>
            <w:vAlign w:val="center"/>
            <w:hideMark/>
          </w:tcPr>
          <w:p w14:paraId="027BEE08" w14:textId="77777777" w:rsidR="00604F8C" w:rsidRPr="00C22C1D" w:rsidRDefault="00604F8C"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eastAsia="Times New Roman" w:hAnsi="Arial Narrow" w:cstheme="minorHAnsi"/>
                <w:color w:val="000000"/>
                <w:sz w:val="20"/>
                <w:szCs w:val="20"/>
                <w:lang w:eastAsia="en-AU"/>
              </w:rPr>
              <w:t>A</w:t>
            </w:r>
          </w:p>
        </w:tc>
        <w:tc>
          <w:tcPr>
            <w:tcW w:w="570" w:type="pct"/>
            <w:tcBorders>
              <w:top w:val="nil"/>
              <w:left w:val="nil"/>
              <w:bottom w:val="single" w:sz="4" w:space="0" w:color="auto"/>
              <w:right w:val="single" w:sz="4" w:space="0" w:color="auto"/>
            </w:tcBorders>
            <w:vAlign w:val="center"/>
            <w:hideMark/>
          </w:tcPr>
          <w:p w14:paraId="67675CC1" w14:textId="1CF603A7" w:rsidR="00604F8C" w:rsidRPr="00C22C1D" w:rsidRDefault="00604F8C"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hAnsi="Arial Narrow" w:cstheme="minorHAnsi"/>
                <w:color w:val="000000"/>
                <w:sz w:val="20"/>
                <w:szCs w:val="20"/>
              </w:rPr>
              <w:t>Estimated utilisation of BCI</w:t>
            </w:r>
          </w:p>
        </w:tc>
        <w:tc>
          <w:tcPr>
            <w:tcW w:w="568" w:type="pct"/>
            <w:tcBorders>
              <w:top w:val="nil"/>
              <w:left w:val="nil"/>
              <w:bottom w:val="single" w:sz="4" w:space="0" w:color="auto"/>
              <w:right w:val="single" w:sz="4" w:space="0" w:color="auto"/>
            </w:tcBorders>
            <w:hideMark/>
          </w:tcPr>
          <w:p w14:paraId="035E4CA2" w14:textId="35A5182F" w:rsidR="00604F8C" w:rsidRPr="00C22C1D" w:rsidRDefault="00604F8C" w:rsidP="00D56BF2">
            <w:pPr>
              <w:spacing w:before="0" w:after="0" w:line="240" w:lineRule="auto"/>
              <w:jc w:val="right"/>
              <w:rPr>
                <w:rFonts w:ascii="Arial Narrow" w:eastAsia="Times New Roman" w:hAnsi="Arial Narrow" w:cstheme="minorHAnsi"/>
                <w:color w:val="000000"/>
                <w:sz w:val="20"/>
                <w:szCs w:val="20"/>
                <w:lang w:eastAsia="en-AU"/>
              </w:rPr>
            </w:pPr>
            <w:r w:rsidRPr="00A547E1">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hideMark/>
          </w:tcPr>
          <w:p w14:paraId="53AE9846" w14:textId="41873D9C" w:rsidR="00604F8C" w:rsidRPr="00C22C1D" w:rsidRDefault="00604F8C"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hideMark/>
          </w:tcPr>
          <w:p w14:paraId="6C14A2D3" w14:textId="5C683B0F" w:rsidR="00604F8C" w:rsidRPr="00C22C1D" w:rsidRDefault="00604F8C"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hideMark/>
          </w:tcPr>
          <w:p w14:paraId="6EB759FB" w14:textId="25AE8FDC" w:rsidR="00604F8C" w:rsidRPr="00C22C1D" w:rsidRDefault="00604F8C"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794" w:type="pct"/>
            <w:tcBorders>
              <w:top w:val="nil"/>
              <w:left w:val="nil"/>
              <w:bottom w:val="single" w:sz="4" w:space="0" w:color="auto"/>
              <w:right w:val="single" w:sz="4" w:space="0" w:color="auto"/>
            </w:tcBorders>
            <w:hideMark/>
          </w:tcPr>
          <w:p w14:paraId="0B03F097" w14:textId="472CC13A" w:rsidR="00604F8C" w:rsidRPr="00C22C1D" w:rsidRDefault="00604F8C"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1" w:type="pct"/>
            <w:tcBorders>
              <w:top w:val="nil"/>
              <w:left w:val="nil"/>
              <w:bottom w:val="single" w:sz="4" w:space="0" w:color="auto"/>
              <w:right w:val="single" w:sz="4" w:space="0" w:color="auto"/>
            </w:tcBorders>
            <w:hideMark/>
          </w:tcPr>
          <w:p w14:paraId="313194D1" w14:textId="447C1C5D" w:rsidR="00604F8C" w:rsidRPr="00C22C1D" w:rsidRDefault="00604F8C"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r>
      <w:tr w:rsidR="00D7069C" w:rsidRPr="00C22C1D" w14:paraId="5F2B25DE" w14:textId="77777777" w:rsidTr="00DE3A3B">
        <w:trPr>
          <w:trHeight w:val="214"/>
        </w:trPr>
        <w:tc>
          <w:tcPr>
            <w:tcW w:w="5000" w:type="pct"/>
            <w:gridSpan w:val="8"/>
            <w:tcBorders>
              <w:top w:val="nil"/>
              <w:left w:val="single" w:sz="4" w:space="0" w:color="auto"/>
              <w:bottom w:val="single" w:sz="4" w:space="0" w:color="auto"/>
              <w:right w:val="single" w:sz="4" w:space="0" w:color="auto"/>
            </w:tcBorders>
            <w:vAlign w:val="center"/>
            <w:hideMark/>
          </w:tcPr>
          <w:p w14:paraId="2D56348F" w14:textId="77777777" w:rsidR="00D7069C" w:rsidRPr="00C22C1D" w:rsidRDefault="00D7069C" w:rsidP="00D56BF2">
            <w:pPr>
              <w:spacing w:before="0" w:after="0" w:line="240" w:lineRule="auto"/>
              <w:rPr>
                <w:rFonts w:ascii="Arial Narrow" w:eastAsia="Times New Roman" w:hAnsi="Arial Narrow" w:cstheme="minorHAnsi"/>
                <w:b/>
                <w:bCs/>
                <w:color w:val="000000"/>
                <w:sz w:val="20"/>
                <w:szCs w:val="20"/>
                <w:u w:val="single"/>
                <w:lang w:eastAsia="en-AU"/>
              </w:rPr>
            </w:pPr>
            <w:r w:rsidRPr="00C22C1D">
              <w:rPr>
                <w:rFonts w:ascii="Arial Narrow" w:eastAsia="Times New Roman" w:hAnsi="Arial Narrow" w:cstheme="minorHAnsi"/>
                <w:b/>
                <w:bCs/>
                <w:color w:val="000000"/>
                <w:sz w:val="20"/>
                <w:szCs w:val="20"/>
                <w:u w:val="single"/>
                <w:lang w:eastAsia="en-AU"/>
              </w:rPr>
              <w:t>Revision of RCT repair </w:t>
            </w:r>
          </w:p>
        </w:tc>
      </w:tr>
      <w:tr w:rsidR="007C73C9" w:rsidRPr="00C22C1D" w14:paraId="6DD8DCF4" w14:textId="77777777" w:rsidTr="00C22C1D">
        <w:trPr>
          <w:trHeight w:val="56"/>
        </w:trPr>
        <w:tc>
          <w:tcPr>
            <w:tcW w:w="655" w:type="pct"/>
            <w:tcBorders>
              <w:top w:val="nil"/>
              <w:left w:val="single" w:sz="4" w:space="0" w:color="auto"/>
              <w:bottom w:val="single" w:sz="4" w:space="0" w:color="auto"/>
              <w:right w:val="single" w:sz="4" w:space="0" w:color="auto"/>
            </w:tcBorders>
            <w:vAlign w:val="center"/>
            <w:hideMark/>
          </w:tcPr>
          <w:p w14:paraId="1558A046" w14:textId="77777777" w:rsidR="00502488" w:rsidRPr="00C22C1D" w:rsidRDefault="00502488"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eastAsia="Times New Roman" w:hAnsi="Arial Narrow" w:cstheme="minorHAnsi"/>
                <w:color w:val="000000"/>
                <w:sz w:val="20"/>
                <w:szCs w:val="20"/>
                <w:lang w:eastAsia="en-AU"/>
              </w:rPr>
              <w:t>B = A x 6.2%</w:t>
            </w:r>
          </w:p>
        </w:tc>
        <w:tc>
          <w:tcPr>
            <w:tcW w:w="570" w:type="pct"/>
            <w:tcBorders>
              <w:top w:val="nil"/>
              <w:left w:val="nil"/>
              <w:bottom w:val="single" w:sz="4" w:space="0" w:color="auto"/>
              <w:right w:val="single" w:sz="4" w:space="0" w:color="auto"/>
            </w:tcBorders>
            <w:vAlign w:val="center"/>
            <w:hideMark/>
          </w:tcPr>
          <w:p w14:paraId="0409631E" w14:textId="24F6CEAC" w:rsidR="00502488" w:rsidRPr="00C22C1D" w:rsidRDefault="00502488"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hAnsi="Arial Narrow" w:cstheme="minorHAnsi"/>
                <w:color w:val="000000"/>
                <w:sz w:val="20"/>
                <w:szCs w:val="20"/>
              </w:rPr>
              <w:t>Proportion of avoided revision RCT repairs with BCI</w:t>
            </w:r>
          </w:p>
        </w:tc>
        <w:tc>
          <w:tcPr>
            <w:tcW w:w="568" w:type="pct"/>
            <w:tcBorders>
              <w:top w:val="nil"/>
              <w:left w:val="nil"/>
              <w:bottom w:val="single" w:sz="4" w:space="0" w:color="auto"/>
              <w:right w:val="single" w:sz="4" w:space="0" w:color="auto"/>
            </w:tcBorders>
            <w:hideMark/>
          </w:tcPr>
          <w:p w14:paraId="772C2686" w14:textId="3A7B9D45" w:rsidR="00502488" w:rsidRPr="00C22C1D" w:rsidRDefault="00502488"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hideMark/>
          </w:tcPr>
          <w:p w14:paraId="73CEDE75" w14:textId="557619F6" w:rsidR="00502488" w:rsidRPr="00C22C1D" w:rsidRDefault="00502488"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hideMark/>
          </w:tcPr>
          <w:p w14:paraId="62393167" w14:textId="2ECED2CD" w:rsidR="00502488" w:rsidRPr="00C22C1D" w:rsidRDefault="00502488"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hideMark/>
          </w:tcPr>
          <w:p w14:paraId="472922D8" w14:textId="4F79D38B" w:rsidR="00502488" w:rsidRPr="00C22C1D" w:rsidRDefault="00502488"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794" w:type="pct"/>
            <w:tcBorders>
              <w:top w:val="nil"/>
              <w:left w:val="nil"/>
              <w:bottom w:val="single" w:sz="4" w:space="0" w:color="auto"/>
              <w:right w:val="single" w:sz="4" w:space="0" w:color="auto"/>
            </w:tcBorders>
            <w:hideMark/>
          </w:tcPr>
          <w:p w14:paraId="102A9DED" w14:textId="0FB569DE" w:rsidR="00502488" w:rsidRPr="00C22C1D" w:rsidRDefault="00502488"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1" w:type="pct"/>
            <w:tcBorders>
              <w:top w:val="nil"/>
              <w:left w:val="nil"/>
              <w:bottom w:val="single" w:sz="4" w:space="0" w:color="auto"/>
              <w:right w:val="single" w:sz="4" w:space="0" w:color="auto"/>
            </w:tcBorders>
            <w:hideMark/>
          </w:tcPr>
          <w:p w14:paraId="4DF93E53" w14:textId="3DAB327B" w:rsidR="00502488" w:rsidRPr="00C22C1D" w:rsidRDefault="00502488"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r>
      <w:tr w:rsidR="007C73C9" w:rsidRPr="00C22C1D" w14:paraId="161E663E" w14:textId="77777777" w:rsidTr="00C22C1D">
        <w:trPr>
          <w:trHeight w:val="56"/>
        </w:trPr>
        <w:tc>
          <w:tcPr>
            <w:tcW w:w="655" w:type="pct"/>
            <w:tcBorders>
              <w:top w:val="nil"/>
              <w:left w:val="single" w:sz="4" w:space="0" w:color="auto"/>
              <w:bottom w:val="single" w:sz="4" w:space="0" w:color="auto"/>
              <w:right w:val="single" w:sz="4" w:space="0" w:color="auto"/>
            </w:tcBorders>
            <w:vAlign w:val="center"/>
            <w:hideMark/>
          </w:tcPr>
          <w:p w14:paraId="33A15E93" w14:textId="08DA4AF0" w:rsidR="00502488" w:rsidRPr="00C22C1D" w:rsidRDefault="00502488"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eastAsia="Times New Roman" w:hAnsi="Arial Narrow" w:cstheme="minorHAnsi"/>
                <w:color w:val="000000"/>
                <w:sz w:val="20"/>
                <w:szCs w:val="20"/>
                <w:lang w:eastAsia="en-AU"/>
              </w:rPr>
              <w:t>C = B x $1,352</w:t>
            </w:r>
          </w:p>
        </w:tc>
        <w:tc>
          <w:tcPr>
            <w:tcW w:w="570" w:type="pct"/>
            <w:tcBorders>
              <w:top w:val="nil"/>
              <w:left w:val="nil"/>
              <w:bottom w:val="single" w:sz="4" w:space="0" w:color="auto"/>
              <w:right w:val="single" w:sz="4" w:space="0" w:color="auto"/>
            </w:tcBorders>
            <w:vAlign w:val="center"/>
            <w:hideMark/>
          </w:tcPr>
          <w:p w14:paraId="50B5F076" w14:textId="77777777" w:rsidR="00502488" w:rsidRPr="00C22C1D" w:rsidRDefault="00502488"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hAnsi="Arial Narrow" w:cstheme="minorHAnsi"/>
                <w:color w:val="000000"/>
                <w:sz w:val="20"/>
                <w:szCs w:val="20"/>
              </w:rPr>
              <w:t>Estimated savings to MBS with avoided revision RCT repair - ($,000)</w:t>
            </w:r>
          </w:p>
        </w:tc>
        <w:tc>
          <w:tcPr>
            <w:tcW w:w="568" w:type="pct"/>
            <w:tcBorders>
              <w:top w:val="nil"/>
              <w:left w:val="nil"/>
              <w:bottom w:val="single" w:sz="4" w:space="0" w:color="auto"/>
              <w:right w:val="single" w:sz="4" w:space="0" w:color="auto"/>
            </w:tcBorders>
          </w:tcPr>
          <w:p w14:paraId="6ED6CE82" w14:textId="2E03907E" w:rsidR="00502488" w:rsidRPr="00C22C1D" w:rsidRDefault="004A3B3C"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502488" w:rsidRPr="004A3B3C">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41BD43CB" w14:textId="5DAEB606" w:rsidR="00502488" w:rsidRPr="00C22C1D" w:rsidRDefault="004A3B3C"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502488" w:rsidRPr="004A3B3C">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14DE923F" w14:textId="1289F4BA" w:rsidR="00502488" w:rsidRPr="00C22C1D" w:rsidRDefault="004A3B3C"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502488" w:rsidRPr="004A3B3C">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399D4A03" w14:textId="517E304D" w:rsidR="00502488" w:rsidRPr="00C22C1D" w:rsidRDefault="004A3B3C"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502488" w:rsidRPr="004A3B3C">
              <w:rPr>
                <w:rFonts w:ascii="Arial Narrow" w:hAnsi="Arial Narrow"/>
                <w:b/>
                <w:bCs/>
                <w:color w:val="000000" w:themeColor="text1"/>
              </w:rPr>
              <w:t>redacted</w:t>
            </w:r>
          </w:p>
        </w:tc>
        <w:tc>
          <w:tcPr>
            <w:tcW w:w="794" w:type="pct"/>
            <w:tcBorders>
              <w:top w:val="nil"/>
              <w:left w:val="nil"/>
              <w:bottom w:val="single" w:sz="4" w:space="0" w:color="auto"/>
              <w:right w:val="single" w:sz="4" w:space="0" w:color="auto"/>
            </w:tcBorders>
          </w:tcPr>
          <w:p w14:paraId="622D27BC" w14:textId="710FE4AB" w:rsidR="00502488" w:rsidRPr="00C22C1D" w:rsidRDefault="004A3B3C"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502488" w:rsidRPr="004A3B3C">
              <w:rPr>
                <w:rFonts w:ascii="Arial Narrow" w:hAnsi="Arial Narrow"/>
                <w:b/>
                <w:bCs/>
                <w:color w:val="000000" w:themeColor="text1"/>
              </w:rPr>
              <w:t>redacted</w:t>
            </w:r>
          </w:p>
        </w:tc>
        <w:tc>
          <w:tcPr>
            <w:tcW w:w="601" w:type="pct"/>
            <w:tcBorders>
              <w:top w:val="nil"/>
              <w:left w:val="nil"/>
              <w:bottom w:val="single" w:sz="4" w:space="0" w:color="auto"/>
              <w:right w:val="single" w:sz="4" w:space="0" w:color="auto"/>
            </w:tcBorders>
          </w:tcPr>
          <w:p w14:paraId="795A3E8B" w14:textId="09C46724" w:rsidR="00502488" w:rsidRPr="00C22C1D" w:rsidRDefault="004A3B3C"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502488" w:rsidRPr="004A3B3C">
              <w:rPr>
                <w:rFonts w:ascii="Arial Narrow" w:hAnsi="Arial Narrow"/>
                <w:b/>
                <w:bCs/>
                <w:color w:val="000000" w:themeColor="text1"/>
              </w:rPr>
              <w:t>redacted</w:t>
            </w:r>
          </w:p>
        </w:tc>
      </w:tr>
      <w:tr w:rsidR="00D7069C" w:rsidRPr="00C22C1D" w14:paraId="1D8B7D74" w14:textId="77777777" w:rsidTr="00DE3A3B">
        <w:trPr>
          <w:trHeight w:val="56"/>
        </w:trPr>
        <w:tc>
          <w:tcPr>
            <w:tcW w:w="5000" w:type="pct"/>
            <w:gridSpan w:val="8"/>
            <w:tcBorders>
              <w:top w:val="nil"/>
              <w:left w:val="single" w:sz="4" w:space="0" w:color="auto"/>
              <w:bottom w:val="single" w:sz="4" w:space="0" w:color="auto"/>
              <w:right w:val="single" w:sz="4" w:space="0" w:color="auto"/>
            </w:tcBorders>
            <w:noWrap/>
            <w:vAlign w:val="center"/>
            <w:hideMark/>
          </w:tcPr>
          <w:p w14:paraId="274502DC" w14:textId="77777777" w:rsidR="00D7069C" w:rsidRPr="00C22C1D" w:rsidRDefault="00D7069C" w:rsidP="00D56BF2">
            <w:pPr>
              <w:spacing w:before="0" w:after="0" w:line="240" w:lineRule="auto"/>
              <w:rPr>
                <w:rFonts w:ascii="Arial Narrow" w:eastAsia="Times New Roman" w:hAnsi="Arial Narrow" w:cstheme="minorHAnsi"/>
                <w:b/>
                <w:color w:val="000000"/>
                <w:sz w:val="20"/>
                <w:szCs w:val="20"/>
                <w:u w:val="single"/>
                <w:lang w:eastAsia="en-AU"/>
              </w:rPr>
            </w:pPr>
            <w:r w:rsidRPr="00C22C1D">
              <w:rPr>
                <w:rFonts w:ascii="Arial Narrow" w:eastAsia="Times New Roman" w:hAnsi="Arial Narrow" w:cstheme="minorHAnsi"/>
                <w:b/>
                <w:color w:val="000000"/>
                <w:sz w:val="20"/>
                <w:szCs w:val="20"/>
                <w:u w:val="single"/>
                <w:lang w:eastAsia="en-AU"/>
              </w:rPr>
              <w:t>Reverse total shoulder arthroplasty</w:t>
            </w:r>
          </w:p>
        </w:tc>
      </w:tr>
      <w:tr w:rsidR="007C73C9" w:rsidRPr="00C22C1D" w14:paraId="73E0CC16" w14:textId="77777777" w:rsidTr="00C22C1D">
        <w:trPr>
          <w:trHeight w:val="56"/>
        </w:trPr>
        <w:tc>
          <w:tcPr>
            <w:tcW w:w="655" w:type="pct"/>
            <w:tcBorders>
              <w:top w:val="nil"/>
              <w:left w:val="single" w:sz="4" w:space="0" w:color="auto"/>
              <w:bottom w:val="single" w:sz="4" w:space="0" w:color="auto"/>
              <w:right w:val="single" w:sz="4" w:space="0" w:color="auto"/>
            </w:tcBorders>
            <w:vAlign w:val="center"/>
            <w:hideMark/>
          </w:tcPr>
          <w:p w14:paraId="0B588237" w14:textId="77777777"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eastAsia="Times New Roman" w:hAnsi="Arial Narrow" w:cstheme="minorHAnsi"/>
                <w:color w:val="000000"/>
                <w:sz w:val="20"/>
                <w:szCs w:val="20"/>
                <w:lang w:eastAsia="en-AU"/>
              </w:rPr>
              <w:t>D = A x 0.9%</w:t>
            </w:r>
          </w:p>
        </w:tc>
        <w:tc>
          <w:tcPr>
            <w:tcW w:w="570" w:type="pct"/>
            <w:tcBorders>
              <w:top w:val="nil"/>
              <w:left w:val="nil"/>
              <w:bottom w:val="single" w:sz="4" w:space="0" w:color="auto"/>
              <w:right w:val="single" w:sz="4" w:space="0" w:color="auto"/>
            </w:tcBorders>
            <w:vAlign w:val="center"/>
            <w:hideMark/>
          </w:tcPr>
          <w:p w14:paraId="5D883EDC" w14:textId="2B636E62"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hAnsi="Arial Narrow" w:cstheme="minorHAnsi"/>
                <w:color w:val="000000"/>
                <w:sz w:val="20"/>
                <w:szCs w:val="20"/>
              </w:rPr>
              <w:t>Proportion of patients that do not need RTSA with BCI</w:t>
            </w:r>
          </w:p>
        </w:tc>
        <w:tc>
          <w:tcPr>
            <w:tcW w:w="568" w:type="pct"/>
            <w:tcBorders>
              <w:top w:val="nil"/>
              <w:left w:val="nil"/>
              <w:bottom w:val="single" w:sz="4" w:space="0" w:color="auto"/>
              <w:right w:val="single" w:sz="4" w:space="0" w:color="auto"/>
            </w:tcBorders>
            <w:hideMark/>
          </w:tcPr>
          <w:p w14:paraId="4EE077AE" w14:textId="40E89BA2"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hideMark/>
          </w:tcPr>
          <w:p w14:paraId="145C2E6C" w14:textId="25EE641F"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hideMark/>
          </w:tcPr>
          <w:p w14:paraId="2F6DA167" w14:textId="0AEAC78F"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hideMark/>
          </w:tcPr>
          <w:p w14:paraId="1BD5C0CA" w14:textId="6BF66BD3"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794" w:type="pct"/>
            <w:tcBorders>
              <w:top w:val="nil"/>
              <w:left w:val="nil"/>
              <w:bottom w:val="single" w:sz="4" w:space="0" w:color="auto"/>
              <w:right w:val="single" w:sz="4" w:space="0" w:color="auto"/>
            </w:tcBorders>
            <w:hideMark/>
          </w:tcPr>
          <w:p w14:paraId="7251CD16" w14:textId="6793644D"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1" w:type="pct"/>
            <w:tcBorders>
              <w:top w:val="nil"/>
              <w:left w:val="nil"/>
              <w:bottom w:val="single" w:sz="4" w:space="0" w:color="auto"/>
              <w:right w:val="single" w:sz="4" w:space="0" w:color="auto"/>
            </w:tcBorders>
            <w:hideMark/>
          </w:tcPr>
          <w:p w14:paraId="4735BEAD" w14:textId="2AE43E3B"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r>
      <w:tr w:rsidR="007C73C9" w:rsidRPr="00C22C1D" w14:paraId="44084278" w14:textId="77777777" w:rsidTr="00C22C1D">
        <w:trPr>
          <w:trHeight w:val="56"/>
        </w:trPr>
        <w:tc>
          <w:tcPr>
            <w:tcW w:w="655" w:type="pct"/>
            <w:tcBorders>
              <w:top w:val="nil"/>
              <w:left w:val="single" w:sz="4" w:space="0" w:color="auto"/>
              <w:bottom w:val="single" w:sz="4" w:space="0" w:color="auto"/>
              <w:right w:val="single" w:sz="4" w:space="0" w:color="auto"/>
            </w:tcBorders>
            <w:vAlign w:val="center"/>
            <w:hideMark/>
          </w:tcPr>
          <w:p w14:paraId="12024EA6" w14:textId="29302FAD"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eastAsia="Times New Roman" w:hAnsi="Arial Narrow" w:cstheme="minorHAnsi"/>
                <w:color w:val="000000"/>
                <w:sz w:val="20"/>
                <w:szCs w:val="20"/>
                <w:lang w:eastAsia="en-AU"/>
              </w:rPr>
              <w:t>E = D x $3,157</w:t>
            </w:r>
          </w:p>
        </w:tc>
        <w:tc>
          <w:tcPr>
            <w:tcW w:w="570" w:type="pct"/>
            <w:tcBorders>
              <w:top w:val="nil"/>
              <w:left w:val="nil"/>
              <w:bottom w:val="single" w:sz="4" w:space="0" w:color="auto"/>
              <w:right w:val="single" w:sz="4" w:space="0" w:color="auto"/>
            </w:tcBorders>
            <w:vAlign w:val="center"/>
            <w:hideMark/>
          </w:tcPr>
          <w:p w14:paraId="7D8FE415" w14:textId="208E6D89"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hAnsi="Arial Narrow" w:cstheme="minorHAnsi"/>
                <w:color w:val="000000"/>
                <w:sz w:val="20"/>
                <w:szCs w:val="20"/>
              </w:rPr>
              <w:t>Estimated savings to MBS with RTSA when using BCI - ($,000)</w:t>
            </w:r>
          </w:p>
        </w:tc>
        <w:tc>
          <w:tcPr>
            <w:tcW w:w="568" w:type="pct"/>
            <w:tcBorders>
              <w:top w:val="nil"/>
              <w:left w:val="nil"/>
              <w:bottom w:val="single" w:sz="4" w:space="0" w:color="auto"/>
              <w:right w:val="single" w:sz="4" w:space="0" w:color="auto"/>
            </w:tcBorders>
          </w:tcPr>
          <w:p w14:paraId="142DF929" w14:textId="295FC5D3" w:rsidR="00CA31F6" w:rsidRPr="00C22C1D" w:rsidRDefault="004A3B3C"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CA31F6"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42BC535D" w14:textId="3D3055AC" w:rsidR="00CA31F6" w:rsidRPr="00C22C1D" w:rsidRDefault="004A3B3C"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CA31F6"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4DD6FCD6" w14:textId="5A1C0D3C" w:rsidR="00CA31F6" w:rsidRPr="00C22C1D" w:rsidRDefault="004A3B3C"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CA31F6"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4BAE86B7" w14:textId="5ACB4CCD" w:rsidR="00CA31F6" w:rsidRPr="00C22C1D" w:rsidRDefault="004A3B3C"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CA31F6" w:rsidRPr="00A468A9">
              <w:rPr>
                <w:rFonts w:ascii="Arial Narrow" w:hAnsi="Arial Narrow"/>
                <w:b/>
                <w:bCs/>
                <w:color w:val="000000" w:themeColor="text1"/>
              </w:rPr>
              <w:t>redacted</w:t>
            </w:r>
          </w:p>
        </w:tc>
        <w:tc>
          <w:tcPr>
            <w:tcW w:w="794" w:type="pct"/>
            <w:tcBorders>
              <w:top w:val="nil"/>
              <w:left w:val="nil"/>
              <w:bottom w:val="single" w:sz="4" w:space="0" w:color="auto"/>
              <w:right w:val="single" w:sz="4" w:space="0" w:color="auto"/>
            </w:tcBorders>
          </w:tcPr>
          <w:p w14:paraId="017306AE" w14:textId="444E2AF1" w:rsidR="00CA31F6" w:rsidRPr="00C22C1D" w:rsidRDefault="004A3B3C"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CA31F6" w:rsidRPr="00A468A9">
              <w:rPr>
                <w:rFonts w:ascii="Arial Narrow" w:hAnsi="Arial Narrow"/>
                <w:b/>
                <w:bCs/>
                <w:color w:val="000000" w:themeColor="text1"/>
              </w:rPr>
              <w:t>redacted</w:t>
            </w:r>
          </w:p>
        </w:tc>
        <w:tc>
          <w:tcPr>
            <w:tcW w:w="601" w:type="pct"/>
            <w:tcBorders>
              <w:top w:val="nil"/>
              <w:left w:val="nil"/>
              <w:bottom w:val="single" w:sz="4" w:space="0" w:color="auto"/>
              <w:right w:val="single" w:sz="4" w:space="0" w:color="auto"/>
            </w:tcBorders>
          </w:tcPr>
          <w:p w14:paraId="34D3FFC7" w14:textId="1920616E" w:rsidR="00CA31F6" w:rsidRPr="00C22C1D" w:rsidRDefault="004A3B3C"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CA31F6" w:rsidRPr="00A468A9">
              <w:rPr>
                <w:rFonts w:ascii="Arial Narrow" w:hAnsi="Arial Narrow"/>
                <w:b/>
                <w:bCs/>
                <w:color w:val="000000" w:themeColor="text1"/>
              </w:rPr>
              <w:t>redacted</w:t>
            </w:r>
          </w:p>
        </w:tc>
      </w:tr>
      <w:tr w:rsidR="00D7069C" w:rsidRPr="00C22C1D" w14:paraId="4C621D3C" w14:textId="77777777" w:rsidTr="00DE3A3B">
        <w:trPr>
          <w:trHeight w:val="206"/>
        </w:trPr>
        <w:tc>
          <w:tcPr>
            <w:tcW w:w="5000" w:type="pct"/>
            <w:gridSpan w:val="8"/>
            <w:tcBorders>
              <w:top w:val="nil"/>
              <w:left w:val="single" w:sz="4" w:space="0" w:color="auto"/>
              <w:bottom w:val="single" w:sz="4" w:space="0" w:color="auto"/>
              <w:right w:val="single" w:sz="4" w:space="0" w:color="auto"/>
            </w:tcBorders>
            <w:noWrap/>
            <w:vAlign w:val="center"/>
            <w:hideMark/>
          </w:tcPr>
          <w:p w14:paraId="0BEADE62" w14:textId="77777777" w:rsidR="00D7069C" w:rsidRPr="00C22C1D" w:rsidRDefault="00D7069C" w:rsidP="00D56BF2">
            <w:pPr>
              <w:spacing w:before="0" w:after="0" w:line="240" w:lineRule="auto"/>
              <w:rPr>
                <w:rFonts w:ascii="Arial Narrow" w:eastAsia="Times New Roman" w:hAnsi="Arial Narrow" w:cstheme="minorHAnsi"/>
                <w:b/>
                <w:bCs/>
                <w:color w:val="000000"/>
                <w:sz w:val="20"/>
                <w:szCs w:val="20"/>
                <w:u w:val="single"/>
                <w:lang w:eastAsia="en-AU"/>
              </w:rPr>
            </w:pPr>
            <w:r w:rsidRPr="00C22C1D">
              <w:rPr>
                <w:rFonts w:ascii="Arial Narrow" w:eastAsia="Times New Roman" w:hAnsi="Arial Narrow" w:cstheme="minorHAnsi"/>
                <w:b/>
                <w:bCs/>
                <w:color w:val="000000"/>
                <w:sz w:val="20"/>
                <w:szCs w:val="20"/>
                <w:u w:val="single"/>
                <w:lang w:eastAsia="en-AU"/>
              </w:rPr>
              <w:t>Conservative management (first year)</w:t>
            </w:r>
          </w:p>
        </w:tc>
      </w:tr>
      <w:tr w:rsidR="007C73C9" w:rsidRPr="00C22C1D" w14:paraId="7DA84FD6" w14:textId="77777777" w:rsidTr="00C22C1D">
        <w:trPr>
          <w:trHeight w:val="56"/>
        </w:trPr>
        <w:tc>
          <w:tcPr>
            <w:tcW w:w="655" w:type="pct"/>
            <w:tcBorders>
              <w:top w:val="nil"/>
              <w:left w:val="single" w:sz="4" w:space="0" w:color="auto"/>
              <w:bottom w:val="single" w:sz="4" w:space="0" w:color="auto"/>
              <w:right w:val="single" w:sz="4" w:space="0" w:color="auto"/>
            </w:tcBorders>
            <w:vAlign w:val="center"/>
            <w:hideMark/>
          </w:tcPr>
          <w:p w14:paraId="6B085326" w14:textId="77777777"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eastAsia="Times New Roman" w:hAnsi="Arial Narrow" w:cstheme="minorHAnsi"/>
                <w:color w:val="000000"/>
                <w:sz w:val="20"/>
                <w:szCs w:val="20"/>
                <w:lang w:eastAsia="en-AU"/>
              </w:rPr>
              <w:t>F = A x 15.8%</w:t>
            </w:r>
          </w:p>
        </w:tc>
        <w:tc>
          <w:tcPr>
            <w:tcW w:w="570" w:type="pct"/>
            <w:tcBorders>
              <w:top w:val="nil"/>
              <w:left w:val="nil"/>
              <w:bottom w:val="single" w:sz="4" w:space="0" w:color="auto"/>
              <w:right w:val="single" w:sz="4" w:space="0" w:color="auto"/>
            </w:tcBorders>
            <w:vAlign w:val="center"/>
            <w:hideMark/>
          </w:tcPr>
          <w:p w14:paraId="396AB62B" w14:textId="130CE2A2"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hAnsi="Arial Narrow" w:cstheme="minorHAnsi"/>
                <w:color w:val="000000"/>
                <w:sz w:val="20"/>
                <w:szCs w:val="20"/>
              </w:rPr>
              <w:t>Proportion of avoided patients requiring CM (physiotherapy) with BCI in the first year</w:t>
            </w:r>
          </w:p>
        </w:tc>
        <w:tc>
          <w:tcPr>
            <w:tcW w:w="568" w:type="pct"/>
            <w:tcBorders>
              <w:top w:val="nil"/>
              <w:left w:val="nil"/>
              <w:bottom w:val="single" w:sz="4" w:space="0" w:color="auto"/>
              <w:right w:val="single" w:sz="4" w:space="0" w:color="auto"/>
            </w:tcBorders>
            <w:hideMark/>
          </w:tcPr>
          <w:p w14:paraId="4DDB4FAF" w14:textId="10CD70BC"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hideMark/>
          </w:tcPr>
          <w:p w14:paraId="718CD206" w14:textId="66193A61"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hideMark/>
          </w:tcPr>
          <w:p w14:paraId="42622E22" w14:textId="57BEF91E"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hideMark/>
          </w:tcPr>
          <w:p w14:paraId="4B90B53A" w14:textId="55FDDA5D"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794" w:type="pct"/>
            <w:tcBorders>
              <w:top w:val="nil"/>
              <w:left w:val="nil"/>
              <w:bottom w:val="single" w:sz="4" w:space="0" w:color="auto"/>
              <w:right w:val="single" w:sz="4" w:space="0" w:color="auto"/>
            </w:tcBorders>
            <w:hideMark/>
          </w:tcPr>
          <w:p w14:paraId="09855AF9" w14:textId="4FC39E31"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1" w:type="pct"/>
            <w:tcBorders>
              <w:top w:val="nil"/>
              <w:left w:val="nil"/>
              <w:bottom w:val="single" w:sz="4" w:space="0" w:color="auto"/>
              <w:right w:val="single" w:sz="4" w:space="0" w:color="auto"/>
            </w:tcBorders>
            <w:hideMark/>
          </w:tcPr>
          <w:p w14:paraId="5BFFC152" w14:textId="098808D2"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r>
      <w:tr w:rsidR="007C73C9" w:rsidRPr="00C22C1D" w14:paraId="30F1B69D" w14:textId="77777777" w:rsidTr="00C22C1D">
        <w:trPr>
          <w:trHeight w:val="56"/>
        </w:trPr>
        <w:tc>
          <w:tcPr>
            <w:tcW w:w="655" w:type="pct"/>
            <w:tcBorders>
              <w:top w:val="nil"/>
              <w:left w:val="single" w:sz="4" w:space="0" w:color="auto"/>
              <w:bottom w:val="single" w:sz="4" w:space="0" w:color="auto"/>
              <w:right w:val="single" w:sz="4" w:space="0" w:color="auto"/>
            </w:tcBorders>
            <w:vAlign w:val="center"/>
            <w:hideMark/>
          </w:tcPr>
          <w:p w14:paraId="3D0BB7E8" w14:textId="5039F3C5"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eastAsia="Times New Roman" w:hAnsi="Arial Narrow" w:cstheme="minorHAnsi"/>
                <w:color w:val="000000"/>
                <w:sz w:val="20"/>
                <w:szCs w:val="20"/>
                <w:lang w:eastAsia="en-AU"/>
              </w:rPr>
              <w:t>G = F × $1,311</w:t>
            </w:r>
          </w:p>
        </w:tc>
        <w:tc>
          <w:tcPr>
            <w:tcW w:w="570" w:type="pct"/>
            <w:tcBorders>
              <w:top w:val="nil"/>
              <w:left w:val="nil"/>
              <w:bottom w:val="single" w:sz="4" w:space="0" w:color="auto"/>
              <w:right w:val="single" w:sz="4" w:space="0" w:color="auto"/>
            </w:tcBorders>
            <w:vAlign w:val="center"/>
            <w:hideMark/>
          </w:tcPr>
          <w:p w14:paraId="059B202B" w14:textId="705F2DBA"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hAnsi="Arial Narrow" w:cstheme="minorHAnsi"/>
                <w:color w:val="000000"/>
                <w:sz w:val="20"/>
                <w:szCs w:val="20"/>
              </w:rPr>
              <w:t>Estimated savings to MBS with CM (physiotherapy) when using BCI in the first year - ($,000)</w:t>
            </w:r>
          </w:p>
        </w:tc>
        <w:tc>
          <w:tcPr>
            <w:tcW w:w="568" w:type="pct"/>
            <w:tcBorders>
              <w:top w:val="nil"/>
              <w:left w:val="nil"/>
              <w:bottom w:val="single" w:sz="4" w:space="0" w:color="auto"/>
              <w:right w:val="single" w:sz="4" w:space="0" w:color="auto"/>
            </w:tcBorders>
          </w:tcPr>
          <w:p w14:paraId="2B2DBFC7" w14:textId="0B23D8AA" w:rsidR="00CA31F6" w:rsidRPr="00C22C1D" w:rsidRDefault="00D63C48"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CA31F6"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15230AF0" w14:textId="7E4D76D7" w:rsidR="00CA31F6" w:rsidRPr="00C22C1D" w:rsidRDefault="00D63C48"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CA31F6"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7C676443" w14:textId="135302A4" w:rsidR="00CA31F6" w:rsidRPr="00C22C1D" w:rsidRDefault="00D63C48"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CA31F6"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257E5EB2" w14:textId="762E60B3" w:rsidR="00CA31F6" w:rsidRPr="00C22C1D" w:rsidRDefault="00D63C48"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CA31F6" w:rsidRPr="00A468A9">
              <w:rPr>
                <w:rFonts w:ascii="Arial Narrow" w:hAnsi="Arial Narrow"/>
                <w:b/>
                <w:bCs/>
                <w:color w:val="000000" w:themeColor="text1"/>
              </w:rPr>
              <w:t>redacted</w:t>
            </w:r>
          </w:p>
        </w:tc>
        <w:tc>
          <w:tcPr>
            <w:tcW w:w="794" w:type="pct"/>
            <w:tcBorders>
              <w:top w:val="nil"/>
              <w:left w:val="nil"/>
              <w:bottom w:val="single" w:sz="4" w:space="0" w:color="auto"/>
              <w:right w:val="single" w:sz="4" w:space="0" w:color="auto"/>
            </w:tcBorders>
          </w:tcPr>
          <w:p w14:paraId="7C038BFB" w14:textId="068DCE30" w:rsidR="00CA31F6" w:rsidRPr="00C22C1D" w:rsidRDefault="00D63C48"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CA31F6" w:rsidRPr="00A468A9">
              <w:rPr>
                <w:rFonts w:ascii="Arial Narrow" w:hAnsi="Arial Narrow"/>
                <w:b/>
                <w:bCs/>
                <w:color w:val="000000" w:themeColor="text1"/>
              </w:rPr>
              <w:t>redacted</w:t>
            </w:r>
          </w:p>
        </w:tc>
        <w:tc>
          <w:tcPr>
            <w:tcW w:w="601" w:type="pct"/>
            <w:tcBorders>
              <w:top w:val="nil"/>
              <w:left w:val="nil"/>
              <w:bottom w:val="single" w:sz="4" w:space="0" w:color="auto"/>
              <w:right w:val="single" w:sz="4" w:space="0" w:color="auto"/>
            </w:tcBorders>
          </w:tcPr>
          <w:p w14:paraId="2F1E1AAA" w14:textId="533BBBFA" w:rsidR="00CA31F6" w:rsidRPr="00C22C1D" w:rsidRDefault="00D63C48" w:rsidP="00D56BF2">
            <w:pPr>
              <w:spacing w:before="0" w:after="0" w:line="240" w:lineRule="auto"/>
              <w:jc w:val="right"/>
              <w:rPr>
                <w:rFonts w:ascii="Arial Narrow" w:eastAsia="Times New Roman" w:hAnsi="Arial Narrow" w:cstheme="minorHAnsi"/>
                <w:b/>
                <w:bCs/>
                <w:color w:val="000000"/>
                <w:sz w:val="20"/>
                <w:szCs w:val="20"/>
                <w:lang w:eastAsia="en-AU"/>
              </w:rPr>
            </w:pPr>
            <w:r>
              <w:rPr>
                <w:rFonts w:ascii="Arial Narrow" w:hAnsi="Arial Narrow"/>
                <w:b/>
                <w:bCs/>
                <w:color w:val="000000" w:themeColor="text1"/>
              </w:rPr>
              <w:t>$</w:t>
            </w:r>
            <w:r w:rsidR="00CA31F6" w:rsidRPr="00A468A9">
              <w:rPr>
                <w:rFonts w:ascii="Arial Narrow" w:hAnsi="Arial Narrow"/>
                <w:b/>
                <w:bCs/>
                <w:color w:val="000000" w:themeColor="text1"/>
              </w:rPr>
              <w:t>redacted</w:t>
            </w:r>
          </w:p>
        </w:tc>
      </w:tr>
      <w:tr w:rsidR="00D7069C" w:rsidRPr="00C22C1D" w14:paraId="05AEECE0" w14:textId="77777777" w:rsidTr="00DE3A3B">
        <w:trPr>
          <w:trHeight w:val="56"/>
        </w:trPr>
        <w:tc>
          <w:tcPr>
            <w:tcW w:w="5000" w:type="pct"/>
            <w:gridSpan w:val="8"/>
            <w:tcBorders>
              <w:top w:val="nil"/>
              <w:left w:val="single" w:sz="4" w:space="0" w:color="auto"/>
              <w:bottom w:val="single" w:sz="4" w:space="0" w:color="auto"/>
              <w:right w:val="single" w:sz="4" w:space="0" w:color="auto"/>
            </w:tcBorders>
            <w:noWrap/>
            <w:vAlign w:val="center"/>
            <w:hideMark/>
          </w:tcPr>
          <w:p w14:paraId="43F76A1E" w14:textId="77777777" w:rsidR="00D7069C" w:rsidRPr="00C22C1D" w:rsidRDefault="00D7069C" w:rsidP="00D56BF2">
            <w:pPr>
              <w:spacing w:before="0" w:after="0" w:line="240" w:lineRule="auto"/>
              <w:rPr>
                <w:rFonts w:ascii="Arial Narrow" w:eastAsia="Times New Roman" w:hAnsi="Arial Narrow" w:cstheme="minorHAnsi"/>
                <w:b/>
                <w:bCs/>
                <w:color w:val="000000"/>
                <w:sz w:val="20"/>
                <w:szCs w:val="20"/>
                <w:u w:val="single"/>
                <w:lang w:eastAsia="en-AU"/>
              </w:rPr>
            </w:pPr>
            <w:r w:rsidRPr="00C22C1D">
              <w:rPr>
                <w:rFonts w:ascii="Arial Narrow" w:eastAsia="Times New Roman" w:hAnsi="Arial Narrow" w:cstheme="minorHAnsi"/>
                <w:b/>
                <w:bCs/>
                <w:color w:val="000000"/>
                <w:sz w:val="20"/>
                <w:szCs w:val="20"/>
                <w:u w:val="single"/>
                <w:lang w:eastAsia="en-AU"/>
              </w:rPr>
              <w:t>Conservative management (second year)</w:t>
            </w:r>
          </w:p>
        </w:tc>
      </w:tr>
      <w:tr w:rsidR="007C73C9" w:rsidRPr="00C22C1D" w14:paraId="3505A603" w14:textId="77777777" w:rsidTr="00C22C1D">
        <w:trPr>
          <w:trHeight w:val="56"/>
        </w:trPr>
        <w:tc>
          <w:tcPr>
            <w:tcW w:w="655" w:type="pct"/>
            <w:tcBorders>
              <w:top w:val="nil"/>
              <w:left w:val="single" w:sz="4" w:space="0" w:color="auto"/>
              <w:bottom w:val="single" w:sz="4" w:space="0" w:color="auto"/>
              <w:right w:val="single" w:sz="4" w:space="0" w:color="auto"/>
            </w:tcBorders>
            <w:vAlign w:val="center"/>
            <w:hideMark/>
          </w:tcPr>
          <w:p w14:paraId="22C1F70A" w14:textId="77777777"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eastAsia="Times New Roman" w:hAnsi="Arial Narrow" w:cstheme="minorHAnsi"/>
                <w:color w:val="000000"/>
                <w:sz w:val="20"/>
                <w:szCs w:val="20"/>
                <w:lang w:eastAsia="en-AU"/>
              </w:rPr>
              <w:t>H</w:t>
            </w:r>
          </w:p>
        </w:tc>
        <w:tc>
          <w:tcPr>
            <w:tcW w:w="570" w:type="pct"/>
            <w:tcBorders>
              <w:top w:val="nil"/>
              <w:left w:val="nil"/>
              <w:bottom w:val="single" w:sz="4" w:space="0" w:color="auto"/>
              <w:right w:val="single" w:sz="4" w:space="0" w:color="auto"/>
            </w:tcBorders>
            <w:vAlign w:val="center"/>
            <w:hideMark/>
          </w:tcPr>
          <w:p w14:paraId="062EEDD0" w14:textId="0E6A2059"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hAnsi="Arial Narrow" w:cstheme="minorHAnsi"/>
                <w:color w:val="000000"/>
                <w:sz w:val="20"/>
                <w:szCs w:val="20"/>
              </w:rPr>
              <w:t>Estimated utilisation of BCI in their second year</w:t>
            </w:r>
          </w:p>
        </w:tc>
        <w:tc>
          <w:tcPr>
            <w:tcW w:w="568" w:type="pct"/>
            <w:tcBorders>
              <w:top w:val="nil"/>
              <w:left w:val="nil"/>
              <w:bottom w:val="single" w:sz="4" w:space="0" w:color="auto"/>
              <w:right w:val="single" w:sz="4" w:space="0" w:color="auto"/>
            </w:tcBorders>
          </w:tcPr>
          <w:p w14:paraId="5165FA5C" w14:textId="67A64D89"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5042854B" w14:textId="71F97A4D"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23008157" w14:textId="0AD5CDA4"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656E9A14" w14:textId="473ED52F"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794" w:type="pct"/>
            <w:tcBorders>
              <w:top w:val="nil"/>
              <w:left w:val="nil"/>
              <w:bottom w:val="single" w:sz="4" w:space="0" w:color="auto"/>
              <w:right w:val="single" w:sz="4" w:space="0" w:color="auto"/>
            </w:tcBorders>
          </w:tcPr>
          <w:p w14:paraId="5F19E94D" w14:textId="5085464A"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1" w:type="pct"/>
            <w:tcBorders>
              <w:top w:val="nil"/>
              <w:left w:val="nil"/>
              <w:bottom w:val="single" w:sz="4" w:space="0" w:color="auto"/>
              <w:right w:val="single" w:sz="4" w:space="0" w:color="auto"/>
            </w:tcBorders>
          </w:tcPr>
          <w:p w14:paraId="0018085E" w14:textId="23E65309"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r>
      <w:tr w:rsidR="007C73C9" w:rsidRPr="00C22C1D" w14:paraId="14501211" w14:textId="77777777" w:rsidTr="00C22C1D">
        <w:trPr>
          <w:trHeight w:val="56"/>
        </w:trPr>
        <w:tc>
          <w:tcPr>
            <w:tcW w:w="655" w:type="pct"/>
            <w:tcBorders>
              <w:top w:val="nil"/>
              <w:left w:val="single" w:sz="4" w:space="0" w:color="auto"/>
              <w:bottom w:val="single" w:sz="4" w:space="0" w:color="auto"/>
              <w:right w:val="single" w:sz="4" w:space="0" w:color="auto"/>
            </w:tcBorders>
            <w:vAlign w:val="center"/>
            <w:hideMark/>
          </w:tcPr>
          <w:p w14:paraId="34BE8CD8" w14:textId="77777777"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eastAsia="Times New Roman" w:hAnsi="Arial Narrow" w:cstheme="minorHAnsi"/>
                <w:color w:val="000000"/>
                <w:sz w:val="20"/>
                <w:szCs w:val="20"/>
                <w:lang w:eastAsia="en-AU"/>
              </w:rPr>
              <w:t>I = H x 18.3%</w:t>
            </w:r>
          </w:p>
        </w:tc>
        <w:tc>
          <w:tcPr>
            <w:tcW w:w="570" w:type="pct"/>
            <w:tcBorders>
              <w:top w:val="nil"/>
              <w:left w:val="nil"/>
              <w:bottom w:val="single" w:sz="4" w:space="0" w:color="auto"/>
              <w:right w:val="single" w:sz="4" w:space="0" w:color="auto"/>
            </w:tcBorders>
            <w:vAlign w:val="center"/>
            <w:hideMark/>
          </w:tcPr>
          <w:p w14:paraId="0D2E1416" w14:textId="1867BFD7"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hAnsi="Arial Narrow" w:cstheme="minorHAnsi"/>
                <w:color w:val="000000"/>
                <w:sz w:val="20"/>
                <w:szCs w:val="20"/>
              </w:rPr>
              <w:t>Proportion of avoided patients requiring CM (physiotherapy) with BCI in the second year</w:t>
            </w:r>
          </w:p>
        </w:tc>
        <w:tc>
          <w:tcPr>
            <w:tcW w:w="568" w:type="pct"/>
            <w:tcBorders>
              <w:top w:val="nil"/>
              <w:left w:val="nil"/>
              <w:bottom w:val="single" w:sz="4" w:space="0" w:color="auto"/>
              <w:right w:val="single" w:sz="4" w:space="0" w:color="auto"/>
            </w:tcBorders>
          </w:tcPr>
          <w:p w14:paraId="3BC54CC2" w14:textId="3D71127E"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1B1E943B" w14:textId="35DF40F8"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7F296888" w14:textId="50CC31B9"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729C2616" w14:textId="449C78EC"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794" w:type="pct"/>
            <w:tcBorders>
              <w:top w:val="nil"/>
              <w:left w:val="nil"/>
              <w:bottom w:val="single" w:sz="4" w:space="0" w:color="auto"/>
              <w:right w:val="single" w:sz="4" w:space="0" w:color="auto"/>
            </w:tcBorders>
          </w:tcPr>
          <w:p w14:paraId="6B6DFD6B" w14:textId="41D7D318"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c>
          <w:tcPr>
            <w:tcW w:w="601" w:type="pct"/>
            <w:tcBorders>
              <w:top w:val="nil"/>
              <w:left w:val="nil"/>
              <w:bottom w:val="single" w:sz="4" w:space="0" w:color="auto"/>
              <w:right w:val="single" w:sz="4" w:space="0" w:color="auto"/>
            </w:tcBorders>
          </w:tcPr>
          <w:p w14:paraId="759FF392" w14:textId="0FCA2600"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A468A9">
              <w:rPr>
                <w:rFonts w:ascii="Arial Narrow" w:hAnsi="Arial Narrow"/>
                <w:b/>
                <w:bCs/>
                <w:color w:val="000000" w:themeColor="text1"/>
              </w:rPr>
              <w:t>redacted</w:t>
            </w:r>
          </w:p>
        </w:tc>
      </w:tr>
      <w:tr w:rsidR="007C73C9" w:rsidRPr="00C22C1D" w14:paraId="671617F4" w14:textId="77777777" w:rsidTr="00C22C1D">
        <w:trPr>
          <w:trHeight w:val="56"/>
        </w:trPr>
        <w:tc>
          <w:tcPr>
            <w:tcW w:w="655" w:type="pct"/>
            <w:tcBorders>
              <w:top w:val="nil"/>
              <w:left w:val="single" w:sz="4" w:space="0" w:color="auto"/>
              <w:bottom w:val="single" w:sz="4" w:space="0" w:color="auto"/>
              <w:right w:val="single" w:sz="4" w:space="0" w:color="auto"/>
            </w:tcBorders>
            <w:vAlign w:val="center"/>
            <w:hideMark/>
          </w:tcPr>
          <w:p w14:paraId="5ED1CA8D" w14:textId="5723FE22"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eastAsia="Times New Roman" w:hAnsi="Arial Narrow" w:cstheme="minorHAnsi"/>
                <w:color w:val="000000"/>
                <w:sz w:val="20"/>
                <w:szCs w:val="20"/>
                <w:lang w:eastAsia="en-AU"/>
              </w:rPr>
              <w:t>J = I × $1,311</w:t>
            </w:r>
          </w:p>
        </w:tc>
        <w:tc>
          <w:tcPr>
            <w:tcW w:w="570" w:type="pct"/>
            <w:tcBorders>
              <w:top w:val="nil"/>
              <w:left w:val="nil"/>
              <w:bottom w:val="single" w:sz="4" w:space="0" w:color="auto"/>
              <w:right w:val="single" w:sz="4" w:space="0" w:color="auto"/>
            </w:tcBorders>
            <w:vAlign w:val="center"/>
            <w:hideMark/>
          </w:tcPr>
          <w:p w14:paraId="31545BCA" w14:textId="5F3755D9"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hAnsi="Arial Narrow" w:cstheme="minorHAnsi"/>
                <w:color w:val="000000"/>
                <w:sz w:val="20"/>
                <w:szCs w:val="20"/>
              </w:rPr>
              <w:t xml:space="preserve">Estimated savings to </w:t>
            </w:r>
            <w:r w:rsidRPr="00C22C1D">
              <w:rPr>
                <w:rFonts w:ascii="Arial Narrow" w:hAnsi="Arial Narrow" w:cstheme="minorHAnsi"/>
                <w:color w:val="000000"/>
                <w:sz w:val="20"/>
                <w:szCs w:val="20"/>
              </w:rPr>
              <w:lastRenderedPageBreak/>
              <w:t>MBS with CM (physiotherapy) when using BCI in the second year - ($,000)</w:t>
            </w:r>
          </w:p>
        </w:tc>
        <w:tc>
          <w:tcPr>
            <w:tcW w:w="568" w:type="pct"/>
            <w:tcBorders>
              <w:top w:val="nil"/>
              <w:left w:val="nil"/>
              <w:bottom w:val="single" w:sz="4" w:space="0" w:color="auto"/>
              <w:right w:val="single" w:sz="4" w:space="0" w:color="auto"/>
            </w:tcBorders>
          </w:tcPr>
          <w:p w14:paraId="0C5222B0" w14:textId="1C5F1D43" w:rsidR="00CA31F6" w:rsidRPr="00C22C1D" w:rsidRDefault="006C46D2" w:rsidP="00D56BF2">
            <w:pPr>
              <w:spacing w:before="0" w:after="0" w:line="240" w:lineRule="auto"/>
              <w:jc w:val="right"/>
              <w:rPr>
                <w:rFonts w:ascii="Arial Narrow" w:eastAsia="Times New Roman" w:hAnsi="Arial Narrow" w:cstheme="minorHAnsi"/>
                <w:b/>
                <w:bCs/>
                <w:color w:val="000000"/>
                <w:sz w:val="20"/>
                <w:szCs w:val="20"/>
                <w:lang w:eastAsia="en-AU"/>
              </w:rPr>
            </w:pPr>
            <w:r w:rsidRPr="000564E4">
              <w:rPr>
                <w:rFonts w:ascii="Arial Narrow" w:hAnsi="Arial Narrow"/>
                <w:b/>
                <w:bCs/>
                <w:color w:val="000000" w:themeColor="text1"/>
              </w:rPr>
              <w:lastRenderedPageBreak/>
              <w:t>$</w:t>
            </w:r>
            <w:r w:rsidR="00CA31F6" w:rsidRPr="000564E4">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4609664C" w14:textId="764E3DAE" w:rsidR="00CA31F6" w:rsidRPr="00C22C1D" w:rsidRDefault="006C46D2" w:rsidP="00D56BF2">
            <w:pPr>
              <w:spacing w:before="0" w:after="0" w:line="240" w:lineRule="auto"/>
              <w:jc w:val="right"/>
              <w:rPr>
                <w:rFonts w:ascii="Arial Narrow" w:eastAsia="Times New Roman" w:hAnsi="Arial Narrow" w:cstheme="minorHAnsi"/>
                <w:b/>
                <w:bCs/>
                <w:color w:val="000000"/>
                <w:sz w:val="20"/>
                <w:szCs w:val="20"/>
                <w:lang w:eastAsia="en-AU"/>
              </w:rPr>
            </w:pPr>
            <w:r w:rsidRPr="000564E4">
              <w:rPr>
                <w:rFonts w:ascii="Arial Narrow" w:hAnsi="Arial Narrow"/>
                <w:b/>
                <w:bCs/>
                <w:color w:val="000000" w:themeColor="text1"/>
              </w:rPr>
              <w:t>$</w:t>
            </w:r>
            <w:r w:rsidR="00CA31F6" w:rsidRPr="000564E4">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71A63977" w14:textId="6B6724FB" w:rsidR="00CA31F6" w:rsidRPr="00C22C1D" w:rsidRDefault="006C46D2" w:rsidP="00D56BF2">
            <w:pPr>
              <w:spacing w:before="0" w:after="0" w:line="240" w:lineRule="auto"/>
              <w:jc w:val="right"/>
              <w:rPr>
                <w:rFonts w:ascii="Arial Narrow" w:eastAsia="Times New Roman" w:hAnsi="Arial Narrow" w:cstheme="minorHAnsi"/>
                <w:b/>
                <w:bCs/>
                <w:color w:val="000000"/>
                <w:sz w:val="20"/>
                <w:szCs w:val="20"/>
                <w:lang w:eastAsia="en-AU"/>
              </w:rPr>
            </w:pPr>
            <w:r w:rsidRPr="000564E4">
              <w:rPr>
                <w:rFonts w:ascii="Arial Narrow" w:hAnsi="Arial Narrow"/>
                <w:b/>
                <w:bCs/>
                <w:color w:val="000000" w:themeColor="text1"/>
              </w:rPr>
              <w:t>$</w:t>
            </w:r>
            <w:r w:rsidR="00CA31F6" w:rsidRPr="000564E4">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10F76B7E" w14:textId="5381AA20" w:rsidR="00CA31F6" w:rsidRPr="00C22C1D" w:rsidRDefault="006C46D2" w:rsidP="00D56BF2">
            <w:pPr>
              <w:spacing w:before="0" w:after="0" w:line="240" w:lineRule="auto"/>
              <w:jc w:val="right"/>
              <w:rPr>
                <w:rFonts w:ascii="Arial Narrow" w:eastAsia="Times New Roman" w:hAnsi="Arial Narrow" w:cstheme="minorHAnsi"/>
                <w:b/>
                <w:bCs/>
                <w:color w:val="000000"/>
                <w:sz w:val="20"/>
                <w:szCs w:val="20"/>
                <w:lang w:eastAsia="en-AU"/>
              </w:rPr>
            </w:pPr>
            <w:r w:rsidRPr="000564E4">
              <w:rPr>
                <w:rFonts w:ascii="Arial Narrow" w:hAnsi="Arial Narrow"/>
                <w:b/>
                <w:bCs/>
                <w:color w:val="000000" w:themeColor="text1"/>
              </w:rPr>
              <w:t>$</w:t>
            </w:r>
            <w:r w:rsidR="00CA31F6" w:rsidRPr="000564E4">
              <w:rPr>
                <w:rFonts w:ascii="Arial Narrow" w:hAnsi="Arial Narrow"/>
                <w:b/>
                <w:bCs/>
                <w:color w:val="000000" w:themeColor="text1"/>
              </w:rPr>
              <w:t>redacted</w:t>
            </w:r>
          </w:p>
        </w:tc>
        <w:tc>
          <w:tcPr>
            <w:tcW w:w="794" w:type="pct"/>
            <w:tcBorders>
              <w:top w:val="nil"/>
              <w:left w:val="nil"/>
              <w:bottom w:val="single" w:sz="4" w:space="0" w:color="auto"/>
              <w:right w:val="single" w:sz="4" w:space="0" w:color="auto"/>
            </w:tcBorders>
          </w:tcPr>
          <w:p w14:paraId="7EE36B8E" w14:textId="30C90CBB" w:rsidR="00CA31F6" w:rsidRPr="00C22C1D" w:rsidRDefault="006C46D2" w:rsidP="00D56BF2">
            <w:pPr>
              <w:spacing w:before="0" w:after="0" w:line="240" w:lineRule="auto"/>
              <w:jc w:val="right"/>
              <w:rPr>
                <w:rFonts w:ascii="Arial Narrow" w:eastAsia="Times New Roman" w:hAnsi="Arial Narrow" w:cstheme="minorHAnsi"/>
                <w:b/>
                <w:bCs/>
                <w:color w:val="000000"/>
                <w:sz w:val="20"/>
                <w:szCs w:val="20"/>
                <w:lang w:eastAsia="en-AU"/>
              </w:rPr>
            </w:pPr>
            <w:r w:rsidRPr="000564E4">
              <w:rPr>
                <w:rFonts w:ascii="Arial Narrow" w:hAnsi="Arial Narrow"/>
                <w:b/>
                <w:bCs/>
                <w:color w:val="000000" w:themeColor="text1"/>
              </w:rPr>
              <w:t>$</w:t>
            </w:r>
            <w:r w:rsidR="00CA31F6" w:rsidRPr="000564E4">
              <w:rPr>
                <w:rFonts w:ascii="Arial Narrow" w:hAnsi="Arial Narrow"/>
                <w:b/>
                <w:bCs/>
                <w:color w:val="000000" w:themeColor="text1"/>
              </w:rPr>
              <w:t>redacted</w:t>
            </w:r>
          </w:p>
        </w:tc>
        <w:tc>
          <w:tcPr>
            <w:tcW w:w="601" w:type="pct"/>
            <w:tcBorders>
              <w:top w:val="nil"/>
              <w:left w:val="nil"/>
              <w:bottom w:val="single" w:sz="4" w:space="0" w:color="auto"/>
              <w:right w:val="single" w:sz="4" w:space="0" w:color="auto"/>
            </w:tcBorders>
          </w:tcPr>
          <w:p w14:paraId="75A21BEC" w14:textId="33DB966E" w:rsidR="00CA31F6" w:rsidRPr="00C22C1D" w:rsidRDefault="006C46D2" w:rsidP="00D56BF2">
            <w:pPr>
              <w:spacing w:before="0" w:after="0" w:line="240" w:lineRule="auto"/>
              <w:jc w:val="right"/>
              <w:rPr>
                <w:rFonts w:ascii="Arial Narrow" w:eastAsia="Times New Roman" w:hAnsi="Arial Narrow" w:cstheme="minorHAnsi"/>
                <w:b/>
                <w:bCs/>
                <w:color w:val="000000"/>
                <w:sz w:val="20"/>
                <w:szCs w:val="20"/>
                <w:lang w:eastAsia="en-AU"/>
              </w:rPr>
            </w:pPr>
            <w:r w:rsidRPr="000564E4">
              <w:rPr>
                <w:rFonts w:ascii="Arial Narrow" w:hAnsi="Arial Narrow"/>
                <w:b/>
                <w:bCs/>
                <w:color w:val="000000" w:themeColor="text1"/>
              </w:rPr>
              <w:t>$</w:t>
            </w:r>
            <w:r w:rsidR="00CA31F6" w:rsidRPr="000564E4">
              <w:rPr>
                <w:rFonts w:ascii="Arial Narrow" w:hAnsi="Arial Narrow"/>
                <w:b/>
                <w:bCs/>
                <w:color w:val="000000" w:themeColor="text1"/>
              </w:rPr>
              <w:t>redacted</w:t>
            </w:r>
          </w:p>
        </w:tc>
      </w:tr>
      <w:tr w:rsidR="00D7069C" w:rsidRPr="00C22C1D" w14:paraId="3F7A13CC" w14:textId="77777777" w:rsidTr="00DE3A3B">
        <w:trPr>
          <w:trHeight w:val="288"/>
        </w:trPr>
        <w:tc>
          <w:tcPr>
            <w:tcW w:w="5000" w:type="pct"/>
            <w:gridSpan w:val="8"/>
            <w:tcBorders>
              <w:top w:val="nil"/>
              <w:left w:val="single" w:sz="4" w:space="0" w:color="auto"/>
              <w:bottom w:val="single" w:sz="4" w:space="0" w:color="auto"/>
              <w:right w:val="single" w:sz="4" w:space="0" w:color="auto"/>
            </w:tcBorders>
            <w:noWrap/>
            <w:vAlign w:val="center"/>
            <w:hideMark/>
          </w:tcPr>
          <w:p w14:paraId="55A1E925" w14:textId="77777777" w:rsidR="00D7069C" w:rsidRPr="00C22C1D" w:rsidRDefault="00D7069C" w:rsidP="00D56BF2">
            <w:pPr>
              <w:spacing w:before="0" w:after="0" w:line="240" w:lineRule="auto"/>
              <w:rPr>
                <w:rFonts w:ascii="Arial Narrow" w:eastAsia="Times New Roman" w:hAnsi="Arial Narrow" w:cstheme="minorHAnsi"/>
                <w:b/>
                <w:bCs/>
                <w:color w:val="000000"/>
                <w:sz w:val="20"/>
                <w:szCs w:val="20"/>
                <w:u w:val="single"/>
                <w:lang w:eastAsia="en-AU"/>
              </w:rPr>
            </w:pPr>
            <w:r w:rsidRPr="00C22C1D">
              <w:rPr>
                <w:rFonts w:ascii="Arial Narrow" w:eastAsia="Times New Roman" w:hAnsi="Arial Narrow" w:cstheme="minorHAnsi"/>
                <w:b/>
                <w:bCs/>
                <w:color w:val="000000"/>
                <w:sz w:val="20"/>
                <w:szCs w:val="20"/>
                <w:u w:val="single"/>
                <w:lang w:eastAsia="en-AU"/>
              </w:rPr>
              <w:t>Shoulder MRI in patients with retear</w:t>
            </w:r>
          </w:p>
        </w:tc>
      </w:tr>
      <w:tr w:rsidR="007C73C9" w:rsidRPr="00C22C1D" w14:paraId="1BF28A36" w14:textId="77777777" w:rsidTr="00C22C1D">
        <w:trPr>
          <w:trHeight w:val="56"/>
        </w:trPr>
        <w:tc>
          <w:tcPr>
            <w:tcW w:w="655" w:type="pct"/>
            <w:tcBorders>
              <w:top w:val="nil"/>
              <w:left w:val="single" w:sz="4" w:space="0" w:color="auto"/>
              <w:bottom w:val="single" w:sz="4" w:space="0" w:color="auto"/>
              <w:right w:val="single" w:sz="4" w:space="0" w:color="auto"/>
            </w:tcBorders>
            <w:vAlign w:val="center"/>
            <w:hideMark/>
          </w:tcPr>
          <w:p w14:paraId="49564D67" w14:textId="77777777"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eastAsia="Times New Roman" w:hAnsi="Arial Narrow" w:cstheme="minorHAnsi"/>
                <w:color w:val="000000"/>
                <w:sz w:val="20"/>
                <w:szCs w:val="20"/>
                <w:lang w:eastAsia="en-AU"/>
              </w:rPr>
              <w:t>K = A x 22.9%</w:t>
            </w:r>
          </w:p>
        </w:tc>
        <w:tc>
          <w:tcPr>
            <w:tcW w:w="570" w:type="pct"/>
            <w:tcBorders>
              <w:top w:val="nil"/>
              <w:left w:val="nil"/>
              <w:bottom w:val="single" w:sz="4" w:space="0" w:color="auto"/>
              <w:right w:val="single" w:sz="4" w:space="0" w:color="auto"/>
            </w:tcBorders>
            <w:vAlign w:val="center"/>
            <w:hideMark/>
          </w:tcPr>
          <w:p w14:paraId="0EE44F86" w14:textId="68E54F41"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hAnsi="Arial Narrow" w:cstheme="minorHAnsi"/>
                <w:color w:val="000000"/>
                <w:sz w:val="20"/>
                <w:szCs w:val="20"/>
              </w:rPr>
              <w:t>Proportion of patients that avoid MRI shoulder due to retear with BCI</w:t>
            </w:r>
          </w:p>
        </w:tc>
        <w:tc>
          <w:tcPr>
            <w:tcW w:w="568" w:type="pct"/>
            <w:tcBorders>
              <w:top w:val="nil"/>
              <w:left w:val="nil"/>
              <w:bottom w:val="single" w:sz="4" w:space="0" w:color="auto"/>
              <w:right w:val="single" w:sz="4" w:space="0" w:color="auto"/>
            </w:tcBorders>
          </w:tcPr>
          <w:p w14:paraId="67CB78C1" w14:textId="619AE63C"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254F9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03E48358" w14:textId="0E7F6677"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254F9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708F8AC7" w14:textId="488A8E77"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254F99">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4DCBDCE4" w14:textId="06883DA8"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254F99">
              <w:rPr>
                <w:rFonts w:ascii="Arial Narrow" w:hAnsi="Arial Narrow"/>
                <w:b/>
                <w:bCs/>
                <w:color w:val="000000" w:themeColor="text1"/>
              </w:rPr>
              <w:t>redacted</w:t>
            </w:r>
          </w:p>
        </w:tc>
        <w:tc>
          <w:tcPr>
            <w:tcW w:w="794" w:type="pct"/>
            <w:tcBorders>
              <w:top w:val="nil"/>
              <w:left w:val="nil"/>
              <w:bottom w:val="single" w:sz="4" w:space="0" w:color="auto"/>
              <w:right w:val="single" w:sz="4" w:space="0" w:color="auto"/>
            </w:tcBorders>
          </w:tcPr>
          <w:p w14:paraId="20E6068C" w14:textId="33B20204"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254F99">
              <w:rPr>
                <w:rFonts w:ascii="Arial Narrow" w:hAnsi="Arial Narrow"/>
                <w:b/>
                <w:bCs/>
                <w:color w:val="000000" w:themeColor="text1"/>
              </w:rPr>
              <w:t>redacted</w:t>
            </w:r>
          </w:p>
        </w:tc>
        <w:tc>
          <w:tcPr>
            <w:tcW w:w="601" w:type="pct"/>
            <w:tcBorders>
              <w:top w:val="nil"/>
              <w:left w:val="nil"/>
              <w:bottom w:val="single" w:sz="4" w:space="0" w:color="auto"/>
              <w:right w:val="single" w:sz="4" w:space="0" w:color="auto"/>
            </w:tcBorders>
          </w:tcPr>
          <w:p w14:paraId="3395FC08" w14:textId="4F041ED5" w:rsidR="00CA31F6" w:rsidRPr="00C22C1D" w:rsidRDefault="00CA31F6" w:rsidP="00D56BF2">
            <w:pPr>
              <w:spacing w:before="0" w:after="0" w:line="240" w:lineRule="auto"/>
              <w:jc w:val="right"/>
              <w:rPr>
                <w:rFonts w:ascii="Arial Narrow" w:eastAsia="Times New Roman" w:hAnsi="Arial Narrow" w:cstheme="minorHAnsi"/>
                <w:color w:val="000000"/>
                <w:sz w:val="20"/>
                <w:szCs w:val="20"/>
                <w:lang w:eastAsia="en-AU"/>
              </w:rPr>
            </w:pPr>
            <w:r w:rsidRPr="00254F99">
              <w:rPr>
                <w:rFonts w:ascii="Arial Narrow" w:hAnsi="Arial Narrow"/>
                <w:b/>
                <w:bCs/>
                <w:color w:val="000000" w:themeColor="text1"/>
              </w:rPr>
              <w:t>redacted</w:t>
            </w:r>
          </w:p>
        </w:tc>
      </w:tr>
      <w:tr w:rsidR="007C73C9" w:rsidRPr="00C22C1D" w14:paraId="4B0AA3FD" w14:textId="77777777" w:rsidTr="00C22C1D">
        <w:trPr>
          <w:trHeight w:val="56"/>
        </w:trPr>
        <w:tc>
          <w:tcPr>
            <w:tcW w:w="655" w:type="pct"/>
            <w:tcBorders>
              <w:top w:val="nil"/>
              <w:left w:val="single" w:sz="4" w:space="0" w:color="auto"/>
              <w:bottom w:val="single" w:sz="4" w:space="0" w:color="auto"/>
              <w:right w:val="single" w:sz="4" w:space="0" w:color="auto"/>
            </w:tcBorders>
            <w:vAlign w:val="center"/>
            <w:hideMark/>
          </w:tcPr>
          <w:p w14:paraId="42AD0226" w14:textId="272207B6"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eastAsia="Times New Roman" w:hAnsi="Arial Narrow" w:cstheme="minorHAnsi"/>
                <w:color w:val="000000"/>
                <w:sz w:val="20"/>
                <w:szCs w:val="20"/>
                <w:lang w:eastAsia="en-AU"/>
              </w:rPr>
              <w:t>L = K x $331</w:t>
            </w:r>
          </w:p>
        </w:tc>
        <w:tc>
          <w:tcPr>
            <w:tcW w:w="570" w:type="pct"/>
            <w:tcBorders>
              <w:top w:val="nil"/>
              <w:left w:val="nil"/>
              <w:bottom w:val="single" w:sz="4" w:space="0" w:color="auto"/>
              <w:right w:val="single" w:sz="4" w:space="0" w:color="auto"/>
            </w:tcBorders>
            <w:vAlign w:val="center"/>
            <w:hideMark/>
          </w:tcPr>
          <w:p w14:paraId="02383F0E" w14:textId="401E6042" w:rsidR="00CA31F6" w:rsidRPr="00C22C1D" w:rsidRDefault="00CA31F6" w:rsidP="00D56BF2">
            <w:pPr>
              <w:spacing w:before="0" w:after="0" w:line="240" w:lineRule="auto"/>
              <w:rPr>
                <w:rFonts w:ascii="Arial Narrow" w:eastAsia="Times New Roman" w:hAnsi="Arial Narrow" w:cstheme="minorHAnsi"/>
                <w:color w:val="000000"/>
                <w:sz w:val="20"/>
                <w:szCs w:val="20"/>
                <w:lang w:eastAsia="en-AU"/>
              </w:rPr>
            </w:pPr>
            <w:r w:rsidRPr="00C22C1D">
              <w:rPr>
                <w:rFonts w:ascii="Arial Narrow" w:hAnsi="Arial Narrow" w:cstheme="minorHAnsi"/>
                <w:color w:val="000000"/>
                <w:sz w:val="20"/>
                <w:szCs w:val="20"/>
              </w:rPr>
              <w:t>Estimated savings to MBS with avoided MRI when using BCI due to less retear rate - ($,000)</w:t>
            </w:r>
          </w:p>
        </w:tc>
        <w:tc>
          <w:tcPr>
            <w:tcW w:w="568" w:type="pct"/>
            <w:tcBorders>
              <w:top w:val="nil"/>
              <w:left w:val="nil"/>
              <w:bottom w:val="single" w:sz="4" w:space="0" w:color="auto"/>
              <w:right w:val="single" w:sz="4" w:space="0" w:color="auto"/>
            </w:tcBorders>
          </w:tcPr>
          <w:p w14:paraId="42D7A7FE" w14:textId="1C79D174" w:rsidR="00CA31F6" w:rsidRPr="00C22C1D" w:rsidRDefault="00510285" w:rsidP="00D56BF2">
            <w:pPr>
              <w:spacing w:before="0" w:after="0" w:line="240" w:lineRule="auto"/>
              <w:jc w:val="right"/>
              <w:rPr>
                <w:rFonts w:ascii="Arial Narrow" w:eastAsia="Times New Roman" w:hAnsi="Arial Narrow" w:cstheme="minorHAnsi"/>
                <w:b/>
                <w:bCs/>
                <w:color w:val="000000"/>
                <w:sz w:val="20"/>
                <w:szCs w:val="20"/>
                <w:lang w:eastAsia="en-AU"/>
              </w:rPr>
            </w:pPr>
            <w:r w:rsidRPr="000564E4">
              <w:rPr>
                <w:rFonts w:ascii="Arial Narrow" w:hAnsi="Arial Narrow"/>
                <w:b/>
                <w:bCs/>
                <w:color w:val="000000" w:themeColor="text1"/>
              </w:rPr>
              <w:t>$</w:t>
            </w:r>
            <w:r w:rsidR="00CA31F6" w:rsidRPr="000564E4">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6654A60C" w14:textId="40A5229D" w:rsidR="00CA31F6" w:rsidRPr="00C22C1D" w:rsidRDefault="00510285" w:rsidP="00D56BF2">
            <w:pPr>
              <w:spacing w:before="0" w:after="0" w:line="240" w:lineRule="auto"/>
              <w:jc w:val="right"/>
              <w:rPr>
                <w:rFonts w:ascii="Arial Narrow" w:eastAsia="Times New Roman" w:hAnsi="Arial Narrow" w:cstheme="minorHAnsi"/>
                <w:b/>
                <w:bCs/>
                <w:color w:val="000000"/>
                <w:sz w:val="20"/>
                <w:szCs w:val="20"/>
                <w:lang w:eastAsia="en-AU"/>
              </w:rPr>
            </w:pPr>
            <w:r w:rsidRPr="000564E4">
              <w:rPr>
                <w:rFonts w:ascii="Arial Narrow" w:hAnsi="Arial Narrow"/>
                <w:b/>
                <w:bCs/>
                <w:color w:val="000000" w:themeColor="text1"/>
              </w:rPr>
              <w:t>$</w:t>
            </w:r>
            <w:r w:rsidR="00CA31F6" w:rsidRPr="000564E4">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587304FB" w14:textId="65FFA536" w:rsidR="00CA31F6" w:rsidRPr="00C22C1D" w:rsidRDefault="00510285" w:rsidP="00D56BF2">
            <w:pPr>
              <w:spacing w:before="0" w:after="0" w:line="240" w:lineRule="auto"/>
              <w:jc w:val="right"/>
              <w:rPr>
                <w:rFonts w:ascii="Arial Narrow" w:eastAsia="Times New Roman" w:hAnsi="Arial Narrow" w:cstheme="minorHAnsi"/>
                <w:b/>
                <w:bCs/>
                <w:color w:val="000000"/>
                <w:sz w:val="20"/>
                <w:szCs w:val="20"/>
                <w:lang w:eastAsia="en-AU"/>
              </w:rPr>
            </w:pPr>
            <w:r w:rsidRPr="000564E4">
              <w:rPr>
                <w:rFonts w:ascii="Arial Narrow" w:hAnsi="Arial Narrow"/>
                <w:b/>
                <w:bCs/>
                <w:color w:val="000000" w:themeColor="text1"/>
              </w:rPr>
              <w:t>$</w:t>
            </w:r>
            <w:r w:rsidR="00CA31F6" w:rsidRPr="000564E4">
              <w:rPr>
                <w:rFonts w:ascii="Arial Narrow" w:hAnsi="Arial Narrow"/>
                <w:b/>
                <w:bCs/>
                <w:color w:val="000000" w:themeColor="text1"/>
              </w:rPr>
              <w:t>redacted</w:t>
            </w:r>
          </w:p>
        </w:tc>
        <w:tc>
          <w:tcPr>
            <w:tcW w:w="604" w:type="pct"/>
            <w:tcBorders>
              <w:top w:val="nil"/>
              <w:left w:val="nil"/>
              <w:bottom w:val="single" w:sz="4" w:space="0" w:color="auto"/>
              <w:right w:val="single" w:sz="4" w:space="0" w:color="auto"/>
            </w:tcBorders>
          </w:tcPr>
          <w:p w14:paraId="4F92FD3B" w14:textId="7D6DB8A0" w:rsidR="00CA31F6" w:rsidRPr="00C22C1D" w:rsidRDefault="00510285" w:rsidP="00D56BF2">
            <w:pPr>
              <w:spacing w:before="0" w:after="0" w:line="240" w:lineRule="auto"/>
              <w:jc w:val="right"/>
              <w:rPr>
                <w:rFonts w:ascii="Arial Narrow" w:eastAsia="Times New Roman" w:hAnsi="Arial Narrow" w:cstheme="minorHAnsi"/>
                <w:b/>
                <w:bCs/>
                <w:color w:val="000000"/>
                <w:sz w:val="20"/>
                <w:szCs w:val="20"/>
                <w:lang w:eastAsia="en-AU"/>
              </w:rPr>
            </w:pPr>
            <w:r w:rsidRPr="000564E4">
              <w:rPr>
                <w:rFonts w:ascii="Arial Narrow" w:hAnsi="Arial Narrow"/>
                <w:b/>
                <w:bCs/>
                <w:color w:val="000000" w:themeColor="text1"/>
              </w:rPr>
              <w:t>$</w:t>
            </w:r>
            <w:r w:rsidR="00CA31F6" w:rsidRPr="000564E4">
              <w:rPr>
                <w:rFonts w:ascii="Arial Narrow" w:hAnsi="Arial Narrow"/>
                <w:b/>
                <w:bCs/>
                <w:color w:val="000000" w:themeColor="text1"/>
              </w:rPr>
              <w:t>redacted</w:t>
            </w:r>
          </w:p>
        </w:tc>
        <w:tc>
          <w:tcPr>
            <w:tcW w:w="794" w:type="pct"/>
            <w:tcBorders>
              <w:top w:val="nil"/>
              <w:left w:val="nil"/>
              <w:bottom w:val="single" w:sz="4" w:space="0" w:color="auto"/>
              <w:right w:val="single" w:sz="4" w:space="0" w:color="auto"/>
            </w:tcBorders>
          </w:tcPr>
          <w:p w14:paraId="5509976D" w14:textId="393FCB3A" w:rsidR="00CA31F6" w:rsidRPr="00C22C1D" w:rsidRDefault="00510285" w:rsidP="00D56BF2">
            <w:pPr>
              <w:spacing w:before="0" w:after="0" w:line="240" w:lineRule="auto"/>
              <w:jc w:val="right"/>
              <w:rPr>
                <w:rFonts w:ascii="Arial Narrow" w:eastAsia="Times New Roman" w:hAnsi="Arial Narrow" w:cstheme="minorHAnsi"/>
                <w:b/>
                <w:bCs/>
                <w:color w:val="000000"/>
                <w:sz w:val="20"/>
                <w:szCs w:val="20"/>
                <w:lang w:eastAsia="en-AU"/>
              </w:rPr>
            </w:pPr>
            <w:r w:rsidRPr="000564E4">
              <w:rPr>
                <w:rFonts w:ascii="Arial Narrow" w:hAnsi="Arial Narrow"/>
                <w:b/>
                <w:bCs/>
                <w:color w:val="000000" w:themeColor="text1"/>
              </w:rPr>
              <w:t>$</w:t>
            </w:r>
            <w:r w:rsidR="00CA31F6" w:rsidRPr="000564E4">
              <w:rPr>
                <w:rFonts w:ascii="Arial Narrow" w:hAnsi="Arial Narrow"/>
                <w:b/>
                <w:bCs/>
                <w:color w:val="000000" w:themeColor="text1"/>
              </w:rPr>
              <w:t>redacted</w:t>
            </w:r>
          </w:p>
        </w:tc>
        <w:tc>
          <w:tcPr>
            <w:tcW w:w="601" w:type="pct"/>
            <w:tcBorders>
              <w:top w:val="nil"/>
              <w:left w:val="nil"/>
              <w:bottom w:val="single" w:sz="4" w:space="0" w:color="auto"/>
              <w:right w:val="single" w:sz="4" w:space="0" w:color="auto"/>
            </w:tcBorders>
          </w:tcPr>
          <w:p w14:paraId="6C030603" w14:textId="3B42BB91" w:rsidR="00CA31F6" w:rsidRPr="00C22C1D" w:rsidRDefault="00510285" w:rsidP="00D56BF2">
            <w:pPr>
              <w:spacing w:before="0" w:after="0" w:line="240" w:lineRule="auto"/>
              <w:jc w:val="right"/>
              <w:rPr>
                <w:rFonts w:ascii="Arial Narrow" w:eastAsia="Times New Roman" w:hAnsi="Arial Narrow" w:cstheme="minorHAnsi"/>
                <w:b/>
                <w:bCs/>
                <w:color w:val="000000"/>
                <w:sz w:val="20"/>
                <w:szCs w:val="20"/>
                <w:lang w:eastAsia="en-AU"/>
              </w:rPr>
            </w:pPr>
            <w:r w:rsidRPr="000564E4">
              <w:rPr>
                <w:rFonts w:ascii="Arial Narrow" w:hAnsi="Arial Narrow"/>
                <w:b/>
                <w:bCs/>
                <w:color w:val="000000" w:themeColor="text1"/>
              </w:rPr>
              <w:t>$</w:t>
            </w:r>
            <w:r w:rsidR="00CA31F6" w:rsidRPr="000564E4">
              <w:rPr>
                <w:rFonts w:ascii="Arial Narrow" w:hAnsi="Arial Narrow"/>
                <w:b/>
                <w:bCs/>
                <w:color w:val="000000" w:themeColor="text1"/>
              </w:rPr>
              <w:t>redacted</w:t>
            </w:r>
          </w:p>
        </w:tc>
      </w:tr>
      <w:tr w:rsidR="007C73C9" w:rsidRPr="00C22C1D" w14:paraId="6589C475" w14:textId="77777777" w:rsidTr="00C22C1D">
        <w:trPr>
          <w:trHeight w:val="70"/>
        </w:trPr>
        <w:tc>
          <w:tcPr>
            <w:tcW w:w="655" w:type="pct"/>
            <w:tcBorders>
              <w:top w:val="nil"/>
              <w:left w:val="single" w:sz="4" w:space="0" w:color="auto"/>
              <w:bottom w:val="single" w:sz="4" w:space="0" w:color="auto"/>
              <w:right w:val="single" w:sz="4" w:space="0" w:color="auto"/>
            </w:tcBorders>
            <w:vAlign w:val="center"/>
            <w:hideMark/>
          </w:tcPr>
          <w:p w14:paraId="72420756" w14:textId="77777777" w:rsidR="00CA31F6" w:rsidRPr="00C22C1D" w:rsidRDefault="00CA31F6" w:rsidP="00D56BF2">
            <w:pPr>
              <w:spacing w:before="0" w:after="0" w:line="240" w:lineRule="auto"/>
              <w:rPr>
                <w:rFonts w:ascii="Arial Narrow" w:eastAsia="Times New Roman" w:hAnsi="Arial Narrow" w:cstheme="minorHAnsi"/>
                <w:b/>
                <w:bCs/>
                <w:color w:val="000000"/>
                <w:sz w:val="20"/>
                <w:szCs w:val="20"/>
                <w:lang w:eastAsia="en-AU"/>
              </w:rPr>
            </w:pPr>
            <w:r w:rsidRPr="00C22C1D">
              <w:rPr>
                <w:rFonts w:ascii="Arial Narrow" w:eastAsia="Times New Roman" w:hAnsi="Arial Narrow" w:cstheme="minorHAnsi"/>
                <w:b/>
                <w:bCs/>
                <w:color w:val="000000"/>
                <w:sz w:val="20"/>
                <w:szCs w:val="20"/>
                <w:lang w:eastAsia="en-AU"/>
              </w:rPr>
              <w:t>M = C + E + G + J + L</w:t>
            </w:r>
          </w:p>
        </w:tc>
        <w:tc>
          <w:tcPr>
            <w:tcW w:w="570" w:type="pct"/>
            <w:tcBorders>
              <w:top w:val="nil"/>
              <w:left w:val="nil"/>
              <w:bottom w:val="single" w:sz="4" w:space="0" w:color="auto"/>
              <w:right w:val="single" w:sz="4" w:space="0" w:color="auto"/>
            </w:tcBorders>
            <w:vAlign w:val="center"/>
            <w:hideMark/>
          </w:tcPr>
          <w:p w14:paraId="6A2053B1" w14:textId="685F902D" w:rsidR="00CA31F6" w:rsidRPr="00C22C1D" w:rsidRDefault="00CA31F6" w:rsidP="00D56BF2">
            <w:pPr>
              <w:spacing w:before="0" w:after="0" w:line="240" w:lineRule="auto"/>
              <w:rPr>
                <w:rFonts w:ascii="Arial Narrow" w:eastAsia="Times New Roman" w:hAnsi="Arial Narrow" w:cstheme="minorHAnsi"/>
                <w:b/>
                <w:bCs/>
                <w:color w:val="000000"/>
                <w:sz w:val="20"/>
                <w:szCs w:val="20"/>
                <w:lang w:eastAsia="en-AU"/>
              </w:rPr>
            </w:pPr>
            <w:r w:rsidRPr="00C22C1D">
              <w:rPr>
                <w:rFonts w:ascii="Arial Narrow" w:hAnsi="Arial Narrow" w:cstheme="minorHAnsi"/>
                <w:b/>
                <w:bCs/>
                <w:color w:val="000000"/>
                <w:sz w:val="20"/>
                <w:szCs w:val="20"/>
              </w:rPr>
              <w:t>Total savings to MBS when using BCI - ($,000)</w:t>
            </w:r>
          </w:p>
        </w:tc>
        <w:tc>
          <w:tcPr>
            <w:tcW w:w="568" w:type="pct"/>
            <w:tcBorders>
              <w:top w:val="nil"/>
              <w:left w:val="nil"/>
              <w:bottom w:val="single" w:sz="4" w:space="0" w:color="auto"/>
              <w:right w:val="single" w:sz="4" w:space="0" w:color="auto"/>
            </w:tcBorders>
          </w:tcPr>
          <w:p w14:paraId="7537AB67" w14:textId="06339FF9" w:rsidR="00CA31F6" w:rsidRPr="00C22C1D" w:rsidRDefault="00CA31F6" w:rsidP="00D56BF2">
            <w:pPr>
              <w:spacing w:before="0" w:after="0" w:line="240" w:lineRule="auto"/>
              <w:jc w:val="right"/>
              <w:rPr>
                <w:rFonts w:ascii="Arial Narrow" w:eastAsia="Times New Roman" w:hAnsi="Arial Narrow" w:cstheme="minorHAnsi"/>
                <w:b/>
                <w:bCs/>
                <w:color w:val="000000"/>
                <w:sz w:val="20"/>
                <w:szCs w:val="20"/>
                <w:lang w:eastAsia="en-AU"/>
              </w:rPr>
            </w:pPr>
            <w:r w:rsidRPr="00C22C1D">
              <w:rPr>
                <w:rFonts w:ascii="Arial Narrow" w:hAnsi="Arial Narrow" w:cs="Calibri"/>
                <w:b/>
                <w:bCs/>
                <w:color w:val="000000"/>
                <w:sz w:val="20"/>
                <w:szCs w:val="20"/>
              </w:rPr>
              <w:t>$199</w:t>
            </w:r>
          </w:p>
        </w:tc>
        <w:tc>
          <w:tcPr>
            <w:tcW w:w="604" w:type="pct"/>
            <w:tcBorders>
              <w:top w:val="nil"/>
              <w:left w:val="nil"/>
              <w:bottom w:val="single" w:sz="4" w:space="0" w:color="auto"/>
              <w:right w:val="single" w:sz="4" w:space="0" w:color="auto"/>
            </w:tcBorders>
          </w:tcPr>
          <w:p w14:paraId="73B78327" w14:textId="6E3A6362" w:rsidR="00CA31F6" w:rsidRPr="00C22C1D" w:rsidRDefault="00CA31F6" w:rsidP="00D56BF2">
            <w:pPr>
              <w:spacing w:before="0" w:after="0" w:line="240" w:lineRule="auto"/>
              <w:jc w:val="right"/>
              <w:rPr>
                <w:rFonts w:ascii="Arial Narrow" w:eastAsia="Times New Roman" w:hAnsi="Arial Narrow" w:cstheme="minorHAnsi"/>
                <w:b/>
                <w:bCs/>
                <w:color w:val="000000"/>
                <w:sz w:val="20"/>
                <w:szCs w:val="20"/>
                <w:lang w:eastAsia="en-AU"/>
              </w:rPr>
            </w:pPr>
            <w:r w:rsidRPr="00C22C1D">
              <w:rPr>
                <w:rFonts w:ascii="Arial Narrow" w:hAnsi="Arial Narrow" w:cs="Calibri"/>
                <w:b/>
                <w:bCs/>
                <w:color w:val="000000"/>
                <w:sz w:val="20"/>
                <w:szCs w:val="20"/>
              </w:rPr>
              <w:t>$458</w:t>
            </w:r>
          </w:p>
        </w:tc>
        <w:tc>
          <w:tcPr>
            <w:tcW w:w="604" w:type="pct"/>
            <w:tcBorders>
              <w:top w:val="nil"/>
              <w:left w:val="nil"/>
              <w:bottom w:val="single" w:sz="4" w:space="0" w:color="auto"/>
              <w:right w:val="single" w:sz="4" w:space="0" w:color="auto"/>
            </w:tcBorders>
          </w:tcPr>
          <w:p w14:paraId="622F6F5E" w14:textId="3005D3F4" w:rsidR="00CA31F6" w:rsidRPr="00C22C1D" w:rsidRDefault="00CA31F6" w:rsidP="00D56BF2">
            <w:pPr>
              <w:spacing w:before="0" w:after="0" w:line="240" w:lineRule="auto"/>
              <w:jc w:val="right"/>
              <w:rPr>
                <w:rFonts w:ascii="Arial Narrow" w:eastAsia="Times New Roman" w:hAnsi="Arial Narrow" w:cstheme="minorHAnsi"/>
                <w:b/>
                <w:bCs/>
                <w:color w:val="000000"/>
                <w:sz w:val="20"/>
                <w:szCs w:val="20"/>
                <w:lang w:eastAsia="en-AU"/>
              </w:rPr>
            </w:pPr>
            <w:r w:rsidRPr="00C22C1D">
              <w:rPr>
                <w:rFonts w:ascii="Arial Narrow" w:hAnsi="Arial Narrow" w:cs="Calibri"/>
                <w:b/>
                <w:bCs/>
                <w:color w:val="000000"/>
                <w:sz w:val="20"/>
                <w:szCs w:val="20"/>
              </w:rPr>
              <w:t>$685</w:t>
            </w:r>
          </w:p>
        </w:tc>
        <w:tc>
          <w:tcPr>
            <w:tcW w:w="604" w:type="pct"/>
            <w:tcBorders>
              <w:top w:val="nil"/>
              <w:left w:val="nil"/>
              <w:bottom w:val="single" w:sz="4" w:space="0" w:color="auto"/>
              <w:right w:val="single" w:sz="4" w:space="0" w:color="auto"/>
            </w:tcBorders>
          </w:tcPr>
          <w:p w14:paraId="50D06142" w14:textId="6AA11320" w:rsidR="00CA31F6" w:rsidRPr="00C22C1D" w:rsidRDefault="00CA31F6" w:rsidP="00D56BF2">
            <w:pPr>
              <w:spacing w:before="0" w:after="0" w:line="240" w:lineRule="auto"/>
              <w:jc w:val="right"/>
              <w:rPr>
                <w:rFonts w:ascii="Arial Narrow" w:eastAsia="Times New Roman" w:hAnsi="Arial Narrow" w:cstheme="minorHAnsi"/>
                <w:b/>
                <w:bCs/>
                <w:color w:val="000000"/>
                <w:sz w:val="20"/>
                <w:szCs w:val="20"/>
                <w:lang w:eastAsia="en-AU"/>
              </w:rPr>
            </w:pPr>
            <w:r w:rsidRPr="00C22C1D">
              <w:rPr>
                <w:rFonts w:ascii="Arial Narrow" w:hAnsi="Arial Narrow" w:cs="Calibri"/>
                <w:b/>
                <w:bCs/>
                <w:color w:val="000000"/>
                <w:sz w:val="20"/>
                <w:szCs w:val="20"/>
              </w:rPr>
              <w:t>$918</w:t>
            </w:r>
          </w:p>
        </w:tc>
        <w:tc>
          <w:tcPr>
            <w:tcW w:w="794" w:type="pct"/>
            <w:tcBorders>
              <w:top w:val="nil"/>
              <w:left w:val="nil"/>
              <w:bottom w:val="single" w:sz="4" w:space="0" w:color="auto"/>
              <w:right w:val="single" w:sz="4" w:space="0" w:color="auto"/>
            </w:tcBorders>
          </w:tcPr>
          <w:p w14:paraId="65300155" w14:textId="4067AA83" w:rsidR="00CA31F6" w:rsidRPr="00C22C1D" w:rsidRDefault="00CA31F6" w:rsidP="00D56BF2">
            <w:pPr>
              <w:spacing w:before="0" w:after="0" w:line="240" w:lineRule="auto"/>
              <w:jc w:val="right"/>
              <w:rPr>
                <w:rFonts w:ascii="Arial Narrow" w:eastAsia="Times New Roman" w:hAnsi="Arial Narrow" w:cstheme="minorHAnsi"/>
                <w:b/>
                <w:bCs/>
                <w:color w:val="000000"/>
                <w:sz w:val="20"/>
                <w:szCs w:val="20"/>
                <w:lang w:eastAsia="en-AU"/>
              </w:rPr>
            </w:pPr>
            <w:r w:rsidRPr="00C22C1D">
              <w:rPr>
                <w:rFonts w:ascii="Arial Narrow" w:hAnsi="Arial Narrow" w:cs="Calibri"/>
                <w:b/>
                <w:bCs/>
                <w:color w:val="000000"/>
                <w:sz w:val="20"/>
                <w:szCs w:val="20"/>
              </w:rPr>
              <w:t>$1,158</w:t>
            </w:r>
          </w:p>
        </w:tc>
        <w:tc>
          <w:tcPr>
            <w:tcW w:w="601" w:type="pct"/>
            <w:tcBorders>
              <w:top w:val="nil"/>
              <w:left w:val="nil"/>
              <w:bottom w:val="single" w:sz="4" w:space="0" w:color="auto"/>
              <w:right w:val="single" w:sz="4" w:space="0" w:color="auto"/>
            </w:tcBorders>
          </w:tcPr>
          <w:p w14:paraId="7DB00A58" w14:textId="64052F0A" w:rsidR="00CA31F6" w:rsidRPr="00C22C1D" w:rsidRDefault="00CA31F6" w:rsidP="00D56BF2">
            <w:pPr>
              <w:spacing w:before="0" w:after="0" w:line="240" w:lineRule="auto"/>
              <w:jc w:val="right"/>
              <w:rPr>
                <w:rFonts w:ascii="Arial Narrow" w:eastAsia="Times New Roman" w:hAnsi="Arial Narrow" w:cstheme="minorHAnsi"/>
                <w:b/>
                <w:bCs/>
                <w:color w:val="000000"/>
                <w:sz w:val="20"/>
                <w:szCs w:val="20"/>
                <w:lang w:eastAsia="en-AU"/>
              </w:rPr>
            </w:pPr>
            <w:r w:rsidRPr="00C22C1D">
              <w:rPr>
                <w:rFonts w:ascii="Arial Narrow" w:hAnsi="Arial Narrow" w:cs="Calibri"/>
                <w:b/>
                <w:bCs/>
                <w:color w:val="000000"/>
                <w:sz w:val="20"/>
                <w:szCs w:val="20"/>
              </w:rPr>
              <w:t>$1,332</w:t>
            </w:r>
          </w:p>
        </w:tc>
      </w:tr>
    </w:tbl>
    <w:p w14:paraId="43D870DD" w14:textId="5C813894" w:rsidR="005748AE" w:rsidRDefault="00CD44D9" w:rsidP="00D56BF2">
      <w:pPr>
        <w:pStyle w:val="TableFooter"/>
      </w:pPr>
      <w:r>
        <w:t>Source: Table 6</w:t>
      </w:r>
      <w:r w:rsidR="00044151">
        <w:t>9</w:t>
      </w:r>
      <w:r>
        <w:t xml:space="preserve"> p 16</w:t>
      </w:r>
      <w:r w:rsidR="00044151">
        <w:t>3</w:t>
      </w:r>
      <w:r>
        <w:t xml:space="preserve"> of the ADAR</w:t>
      </w:r>
    </w:p>
    <w:p w14:paraId="5F74E0C0" w14:textId="54038501" w:rsidR="00610ABA" w:rsidRDefault="00CD44D9" w:rsidP="00D56BF2">
      <w:pPr>
        <w:pStyle w:val="TableFooter"/>
      </w:pPr>
      <w:r>
        <w:t xml:space="preserve">Abbreviations: </w:t>
      </w:r>
      <w:r w:rsidR="00D221A8">
        <w:t>BCI</w:t>
      </w:r>
      <w:r>
        <w:t xml:space="preserve"> = </w:t>
      </w:r>
      <w:proofErr w:type="spellStart"/>
      <w:r w:rsidR="00611C7A">
        <w:t>bioinductive</w:t>
      </w:r>
      <w:proofErr w:type="spellEnd"/>
      <w:r w:rsidR="00611C7A">
        <w:t xml:space="preserve"> collagen </w:t>
      </w:r>
      <w:r w:rsidR="00133023">
        <w:t>implant;</w:t>
      </w:r>
      <w:r>
        <w:t xml:space="preserve"> CM = conservative management; RCT = rotator cuff tear; RTSA = </w:t>
      </w:r>
      <w:r w:rsidRPr="009370EC">
        <w:t>reverse total shoulder</w:t>
      </w:r>
      <w:r w:rsidR="00193EDD" w:rsidRPr="00193EDD">
        <w:t xml:space="preserve"> arthroplasty</w:t>
      </w:r>
      <w:r w:rsidR="00610ABA" w:rsidRPr="00610ABA">
        <w:t xml:space="preserve"> </w:t>
      </w:r>
    </w:p>
    <w:p w14:paraId="0DF5BD66" w14:textId="3D84A643" w:rsidR="00622F94" w:rsidRDefault="005C7EE3" w:rsidP="005C7EE3">
      <w:r>
        <w:t>In addition, t</w:t>
      </w:r>
      <w:r w:rsidRPr="0062231D">
        <w:t xml:space="preserve">he ADAR outlined the financial impact of </w:t>
      </w:r>
      <w:r w:rsidR="00B65EA4">
        <w:t>BCI</w:t>
      </w:r>
      <w:r w:rsidR="00B65EA4" w:rsidRPr="0062231D">
        <w:t xml:space="preserve"> </w:t>
      </w:r>
      <w:r w:rsidRPr="0062231D">
        <w:t>on patients, attributing savings to a reduced proportion of individuals needing revision rotator cuff repair, reverse total shoulder arthroplasty, or conservative management. It estimated that patients could save approximately $</w:t>
      </w:r>
      <w:r>
        <w:t>63,000</w:t>
      </w:r>
      <w:r w:rsidRPr="0062231D">
        <w:t xml:space="preserve"> in out-of-pocket expenses in Year 1, rising to $0.</w:t>
      </w:r>
      <w:r>
        <w:t>54</w:t>
      </w:r>
      <w:r w:rsidRPr="0062231D">
        <w:t xml:space="preserve"> million in Year 6, as </w:t>
      </w:r>
      <w:r w:rsidR="00B65EA4">
        <w:t>BCI</w:t>
      </w:r>
      <w:r w:rsidR="00B65EA4" w:rsidRPr="0062231D">
        <w:t xml:space="preserve"> </w:t>
      </w:r>
      <w:r w:rsidRPr="0062231D">
        <w:t>adoption increases</w:t>
      </w:r>
      <w:r>
        <w:t xml:space="preserve"> (</w:t>
      </w:r>
      <w:r>
        <w:fldChar w:fldCharType="begin"/>
      </w:r>
      <w:r>
        <w:instrText xml:space="preserve"> REF _Ref195104533 \h  \* MERGEFORMAT </w:instrText>
      </w:r>
      <w:r>
        <w:fldChar w:fldCharType="separate"/>
      </w:r>
      <w:r w:rsidR="002D4CF2">
        <w:t xml:space="preserve">Table </w:t>
      </w:r>
      <w:r w:rsidR="002D4CF2">
        <w:rPr>
          <w:noProof/>
        </w:rPr>
        <w:t>1</w:t>
      </w:r>
      <w:r w:rsidR="007815E2">
        <w:rPr>
          <w:noProof/>
        </w:rPr>
        <w:t>8</w:t>
      </w:r>
      <w:r>
        <w:fldChar w:fldCharType="end"/>
      </w:r>
      <w:r>
        <w:t>)</w:t>
      </w:r>
      <w:r w:rsidRPr="0062231D">
        <w:t>.</w:t>
      </w:r>
    </w:p>
    <w:p w14:paraId="710344CF" w14:textId="05D828C2" w:rsidR="005748AE" w:rsidRDefault="005748AE" w:rsidP="00D56BF2">
      <w:pPr>
        <w:pStyle w:val="Caption"/>
        <w:keepNext w:val="0"/>
      </w:pPr>
      <w:bookmarkStart w:id="57" w:name="_Ref195104533"/>
      <w:r>
        <w:t xml:space="preserve">Table </w:t>
      </w:r>
      <w:r w:rsidR="004B28A6">
        <w:fldChar w:fldCharType="begin"/>
      </w:r>
      <w:r w:rsidR="004B28A6">
        <w:instrText xml:space="preserve"> SEQ Table \* ARABIC </w:instrText>
      </w:r>
      <w:r w:rsidR="004B28A6">
        <w:fldChar w:fldCharType="separate"/>
      </w:r>
      <w:r w:rsidR="00564C3F">
        <w:rPr>
          <w:noProof/>
        </w:rPr>
        <w:t>18</w:t>
      </w:r>
      <w:r w:rsidR="004B28A6">
        <w:rPr>
          <w:noProof/>
        </w:rPr>
        <w:fldChar w:fldCharType="end"/>
      </w:r>
      <w:bookmarkEnd w:id="57"/>
      <w:r>
        <w:t xml:space="preserve"> </w:t>
      </w:r>
      <w:r w:rsidRPr="005F086D">
        <w:t xml:space="preserve">Net financial implications of </w:t>
      </w:r>
      <w:r w:rsidR="00B65EA4">
        <w:t>BCI</w:t>
      </w:r>
      <w:r w:rsidR="00133023">
        <w:t xml:space="preserve"> </w:t>
      </w:r>
      <w:r w:rsidR="00133023" w:rsidRPr="005F086D">
        <w:t>to</w:t>
      </w:r>
      <w:r w:rsidRPr="005F086D">
        <w:t xml:space="preserve"> the </w:t>
      </w:r>
      <w:r>
        <w:t>patient</w:t>
      </w:r>
    </w:p>
    <w:tbl>
      <w:tblPr>
        <w:tblW w:w="5000" w:type="pct"/>
        <w:tblLook w:val="04A0" w:firstRow="1" w:lastRow="0" w:firstColumn="1" w:lastColumn="0" w:noHBand="0" w:noVBand="1"/>
      </w:tblPr>
      <w:tblGrid>
        <w:gridCol w:w="845"/>
        <w:gridCol w:w="1560"/>
        <w:gridCol w:w="1266"/>
        <w:gridCol w:w="1069"/>
        <w:gridCol w:w="1069"/>
        <w:gridCol w:w="1069"/>
        <w:gridCol w:w="1069"/>
        <w:gridCol w:w="1069"/>
      </w:tblGrid>
      <w:tr w:rsidR="00CE67D0" w:rsidRPr="006B614B" w14:paraId="26C0BEA9" w14:textId="77777777" w:rsidTr="00D56BF2">
        <w:trPr>
          <w:cantSplit/>
          <w:trHeight w:val="552"/>
        </w:trPr>
        <w:tc>
          <w:tcPr>
            <w:tcW w:w="46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C19AC78" w14:textId="77777777" w:rsidR="000514CE" w:rsidRPr="006B614B" w:rsidRDefault="000514CE" w:rsidP="00D56BF2">
            <w:pPr>
              <w:spacing w:before="0" w:after="0" w:line="240" w:lineRule="auto"/>
              <w:rPr>
                <w:rFonts w:ascii="Arial Narrow" w:eastAsia="Times New Roman" w:hAnsi="Arial Narrow" w:cstheme="minorHAnsi"/>
                <w:b/>
                <w:bCs/>
                <w:color w:val="000000"/>
                <w:sz w:val="20"/>
                <w:szCs w:val="20"/>
                <w:lang w:eastAsia="en-AU"/>
              </w:rPr>
            </w:pPr>
            <w:r w:rsidRPr="006B614B">
              <w:rPr>
                <w:rFonts w:ascii="Arial Narrow" w:eastAsia="Times New Roman" w:hAnsi="Arial Narrow" w:cstheme="minorHAnsi"/>
                <w:b/>
                <w:bCs/>
                <w:color w:val="000000"/>
                <w:sz w:val="20"/>
                <w:szCs w:val="20"/>
                <w:lang w:eastAsia="en-AU"/>
              </w:rPr>
              <w:t> </w:t>
            </w:r>
          </w:p>
        </w:tc>
        <w:tc>
          <w:tcPr>
            <w:tcW w:w="865" w:type="pct"/>
            <w:tcBorders>
              <w:top w:val="single" w:sz="4" w:space="0" w:color="auto"/>
              <w:left w:val="nil"/>
              <w:bottom w:val="single" w:sz="4" w:space="0" w:color="auto"/>
              <w:right w:val="single" w:sz="4" w:space="0" w:color="auto"/>
            </w:tcBorders>
            <w:shd w:val="clear" w:color="000000" w:fill="F2F2F2"/>
            <w:vAlign w:val="center"/>
            <w:hideMark/>
          </w:tcPr>
          <w:p w14:paraId="6FFA4E82" w14:textId="77777777" w:rsidR="000514CE" w:rsidRPr="006B614B" w:rsidRDefault="000514CE" w:rsidP="00D56BF2">
            <w:pPr>
              <w:spacing w:before="0" w:after="0" w:line="240" w:lineRule="auto"/>
              <w:rPr>
                <w:rFonts w:ascii="Arial Narrow" w:eastAsia="Times New Roman" w:hAnsi="Arial Narrow" w:cstheme="minorHAnsi"/>
                <w:b/>
                <w:bCs/>
                <w:color w:val="000000"/>
                <w:sz w:val="20"/>
                <w:szCs w:val="20"/>
                <w:lang w:eastAsia="en-AU"/>
              </w:rPr>
            </w:pPr>
            <w:r w:rsidRPr="006B614B">
              <w:rPr>
                <w:rFonts w:ascii="Arial Narrow" w:eastAsia="Times New Roman" w:hAnsi="Arial Narrow" w:cstheme="minorHAnsi"/>
                <w:b/>
                <w:bCs/>
                <w:sz w:val="20"/>
                <w:szCs w:val="20"/>
                <w:lang w:eastAsia="en-AU"/>
              </w:rPr>
              <w:t>Parameter</w:t>
            </w:r>
          </w:p>
        </w:tc>
        <w:tc>
          <w:tcPr>
            <w:tcW w:w="702" w:type="pct"/>
            <w:tcBorders>
              <w:top w:val="single" w:sz="4" w:space="0" w:color="auto"/>
              <w:left w:val="nil"/>
              <w:bottom w:val="single" w:sz="4" w:space="0" w:color="auto"/>
              <w:right w:val="single" w:sz="4" w:space="0" w:color="auto"/>
            </w:tcBorders>
            <w:shd w:val="clear" w:color="000000" w:fill="F2F2F2"/>
            <w:vAlign w:val="center"/>
            <w:hideMark/>
          </w:tcPr>
          <w:p w14:paraId="70A2C60A" w14:textId="77777777" w:rsidR="000514CE" w:rsidRPr="006B614B" w:rsidRDefault="000514CE" w:rsidP="00D56BF2">
            <w:pPr>
              <w:spacing w:before="0" w:after="0" w:line="240" w:lineRule="auto"/>
              <w:jc w:val="center"/>
              <w:rPr>
                <w:rFonts w:ascii="Arial Narrow" w:eastAsia="Times New Roman" w:hAnsi="Arial Narrow" w:cstheme="minorHAnsi"/>
                <w:b/>
                <w:bCs/>
                <w:color w:val="000000"/>
                <w:sz w:val="20"/>
                <w:szCs w:val="20"/>
                <w:lang w:eastAsia="en-AU"/>
              </w:rPr>
            </w:pPr>
            <w:r w:rsidRPr="006B614B">
              <w:rPr>
                <w:rFonts w:ascii="Arial Narrow" w:eastAsia="Times New Roman" w:hAnsi="Arial Narrow" w:cstheme="minorHAnsi"/>
                <w:b/>
                <w:bCs/>
                <w:sz w:val="20"/>
                <w:szCs w:val="20"/>
                <w:lang w:eastAsia="en-AU"/>
              </w:rPr>
              <w:t>Year 1</w:t>
            </w:r>
            <w:r w:rsidRPr="006B614B">
              <w:rPr>
                <w:rFonts w:ascii="Arial Narrow" w:eastAsia="Times New Roman" w:hAnsi="Arial Narrow" w:cstheme="minorHAnsi"/>
                <w:b/>
                <w:bCs/>
                <w:sz w:val="20"/>
                <w:szCs w:val="20"/>
                <w:lang w:eastAsia="en-AU"/>
              </w:rPr>
              <w:br/>
              <w:t>(2025)</w:t>
            </w:r>
          </w:p>
        </w:tc>
        <w:tc>
          <w:tcPr>
            <w:tcW w:w="593" w:type="pct"/>
            <w:tcBorders>
              <w:top w:val="single" w:sz="4" w:space="0" w:color="auto"/>
              <w:left w:val="nil"/>
              <w:bottom w:val="single" w:sz="4" w:space="0" w:color="auto"/>
              <w:right w:val="single" w:sz="4" w:space="0" w:color="auto"/>
            </w:tcBorders>
            <w:shd w:val="clear" w:color="000000" w:fill="F2F2F2"/>
            <w:vAlign w:val="center"/>
            <w:hideMark/>
          </w:tcPr>
          <w:p w14:paraId="2F944E5E" w14:textId="77777777" w:rsidR="000514CE" w:rsidRPr="006B614B" w:rsidRDefault="000514CE" w:rsidP="00D56BF2">
            <w:pPr>
              <w:spacing w:before="0" w:after="0" w:line="240" w:lineRule="auto"/>
              <w:jc w:val="center"/>
              <w:rPr>
                <w:rFonts w:ascii="Arial Narrow" w:eastAsia="Times New Roman" w:hAnsi="Arial Narrow" w:cstheme="minorHAnsi"/>
                <w:b/>
                <w:bCs/>
                <w:color w:val="000000"/>
                <w:sz w:val="20"/>
                <w:szCs w:val="20"/>
                <w:lang w:eastAsia="en-AU"/>
              </w:rPr>
            </w:pPr>
            <w:r w:rsidRPr="006B614B">
              <w:rPr>
                <w:rFonts w:ascii="Arial Narrow" w:eastAsia="Times New Roman" w:hAnsi="Arial Narrow" w:cstheme="minorHAnsi"/>
                <w:b/>
                <w:bCs/>
                <w:sz w:val="20"/>
                <w:szCs w:val="20"/>
                <w:lang w:eastAsia="en-AU"/>
              </w:rPr>
              <w:t>Year 2</w:t>
            </w:r>
            <w:r w:rsidRPr="006B614B">
              <w:rPr>
                <w:rFonts w:ascii="Arial Narrow" w:eastAsia="Times New Roman" w:hAnsi="Arial Narrow" w:cstheme="minorHAnsi"/>
                <w:b/>
                <w:bCs/>
                <w:sz w:val="20"/>
                <w:szCs w:val="20"/>
                <w:lang w:eastAsia="en-AU"/>
              </w:rPr>
              <w:br/>
              <w:t>(2026)</w:t>
            </w:r>
          </w:p>
        </w:tc>
        <w:tc>
          <w:tcPr>
            <w:tcW w:w="593" w:type="pct"/>
            <w:tcBorders>
              <w:top w:val="single" w:sz="4" w:space="0" w:color="auto"/>
              <w:left w:val="nil"/>
              <w:bottom w:val="single" w:sz="4" w:space="0" w:color="auto"/>
              <w:right w:val="single" w:sz="4" w:space="0" w:color="auto"/>
            </w:tcBorders>
            <w:shd w:val="clear" w:color="000000" w:fill="F2F2F2"/>
            <w:vAlign w:val="center"/>
            <w:hideMark/>
          </w:tcPr>
          <w:p w14:paraId="678F32CE" w14:textId="77777777" w:rsidR="000514CE" w:rsidRPr="006B614B" w:rsidRDefault="000514CE" w:rsidP="00D56BF2">
            <w:pPr>
              <w:spacing w:before="0" w:after="0" w:line="240" w:lineRule="auto"/>
              <w:jc w:val="center"/>
              <w:rPr>
                <w:rFonts w:ascii="Arial Narrow" w:eastAsia="Times New Roman" w:hAnsi="Arial Narrow" w:cstheme="minorHAnsi"/>
                <w:b/>
                <w:bCs/>
                <w:color w:val="000000"/>
                <w:sz w:val="20"/>
                <w:szCs w:val="20"/>
                <w:lang w:eastAsia="en-AU"/>
              </w:rPr>
            </w:pPr>
            <w:r w:rsidRPr="006B614B">
              <w:rPr>
                <w:rFonts w:ascii="Arial Narrow" w:eastAsia="Times New Roman" w:hAnsi="Arial Narrow" w:cstheme="minorHAnsi"/>
                <w:b/>
                <w:bCs/>
                <w:sz w:val="20"/>
                <w:szCs w:val="20"/>
                <w:lang w:eastAsia="en-AU"/>
              </w:rPr>
              <w:t>Year 3</w:t>
            </w:r>
            <w:r w:rsidRPr="006B614B">
              <w:rPr>
                <w:rFonts w:ascii="Arial Narrow" w:eastAsia="Times New Roman" w:hAnsi="Arial Narrow" w:cstheme="minorHAnsi"/>
                <w:b/>
                <w:bCs/>
                <w:sz w:val="20"/>
                <w:szCs w:val="20"/>
                <w:lang w:eastAsia="en-AU"/>
              </w:rPr>
              <w:br/>
              <w:t>(2027)</w:t>
            </w:r>
          </w:p>
        </w:tc>
        <w:tc>
          <w:tcPr>
            <w:tcW w:w="593" w:type="pct"/>
            <w:tcBorders>
              <w:top w:val="single" w:sz="4" w:space="0" w:color="auto"/>
              <w:left w:val="nil"/>
              <w:bottom w:val="single" w:sz="4" w:space="0" w:color="auto"/>
              <w:right w:val="single" w:sz="4" w:space="0" w:color="auto"/>
            </w:tcBorders>
            <w:shd w:val="clear" w:color="000000" w:fill="F2F2F2"/>
            <w:vAlign w:val="center"/>
            <w:hideMark/>
          </w:tcPr>
          <w:p w14:paraId="7B9CEDB0" w14:textId="77777777" w:rsidR="000514CE" w:rsidRPr="006B614B" w:rsidRDefault="000514CE" w:rsidP="00D56BF2">
            <w:pPr>
              <w:spacing w:before="0" w:after="0" w:line="240" w:lineRule="auto"/>
              <w:jc w:val="center"/>
              <w:rPr>
                <w:rFonts w:ascii="Arial Narrow" w:eastAsia="Times New Roman" w:hAnsi="Arial Narrow" w:cstheme="minorHAnsi"/>
                <w:b/>
                <w:bCs/>
                <w:color w:val="000000"/>
                <w:sz w:val="20"/>
                <w:szCs w:val="20"/>
                <w:lang w:eastAsia="en-AU"/>
              </w:rPr>
            </w:pPr>
            <w:r w:rsidRPr="006B614B">
              <w:rPr>
                <w:rFonts w:ascii="Arial Narrow" w:eastAsia="Times New Roman" w:hAnsi="Arial Narrow" w:cstheme="minorHAnsi"/>
                <w:b/>
                <w:bCs/>
                <w:sz w:val="20"/>
                <w:szCs w:val="20"/>
                <w:lang w:eastAsia="en-AU"/>
              </w:rPr>
              <w:t>Year 4</w:t>
            </w:r>
            <w:r w:rsidRPr="006B614B">
              <w:rPr>
                <w:rFonts w:ascii="Arial Narrow" w:eastAsia="Times New Roman" w:hAnsi="Arial Narrow" w:cstheme="minorHAnsi"/>
                <w:b/>
                <w:bCs/>
                <w:sz w:val="20"/>
                <w:szCs w:val="20"/>
                <w:lang w:eastAsia="en-AU"/>
              </w:rPr>
              <w:br/>
              <w:t>(2028)</w:t>
            </w:r>
          </w:p>
        </w:tc>
        <w:tc>
          <w:tcPr>
            <w:tcW w:w="593" w:type="pct"/>
            <w:tcBorders>
              <w:top w:val="single" w:sz="4" w:space="0" w:color="auto"/>
              <w:left w:val="nil"/>
              <w:bottom w:val="single" w:sz="4" w:space="0" w:color="auto"/>
              <w:right w:val="single" w:sz="4" w:space="0" w:color="auto"/>
            </w:tcBorders>
            <w:shd w:val="clear" w:color="000000" w:fill="F2F2F2"/>
            <w:vAlign w:val="center"/>
            <w:hideMark/>
          </w:tcPr>
          <w:p w14:paraId="4E576582" w14:textId="77777777" w:rsidR="000514CE" w:rsidRPr="006B614B" w:rsidRDefault="000514CE" w:rsidP="00D56BF2">
            <w:pPr>
              <w:spacing w:before="0" w:after="0" w:line="240" w:lineRule="auto"/>
              <w:jc w:val="center"/>
              <w:rPr>
                <w:rFonts w:ascii="Arial Narrow" w:eastAsia="Times New Roman" w:hAnsi="Arial Narrow" w:cstheme="minorHAnsi"/>
                <w:b/>
                <w:bCs/>
                <w:color w:val="000000"/>
                <w:sz w:val="20"/>
                <w:szCs w:val="20"/>
                <w:lang w:eastAsia="en-AU"/>
              </w:rPr>
            </w:pPr>
            <w:r w:rsidRPr="006B614B">
              <w:rPr>
                <w:rFonts w:ascii="Arial Narrow" w:eastAsia="Times New Roman" w:hAnsi="Arial Narrow" w:cstheme="minorHAnsi"/>
                <w:b/>
                <w:bCs/>
                <w:sz w:val="20"/>
                <w:szCs w:val="20"/>
                <w:lang w:eastAsia="en-AU"/>
              </w:rPr>
              <w:t>Year 5</w:t>
            </w:r>
            <w:r w:rsidRPr="006B614B">
              <w:rPr>
                <w:rFonts w:ascii="Arial Narrow" w:eastAsia="Times New Roman" w:hAnsi="Arial Narrow" w:cstheme="minorHAnsi"/>
                <w:b/>
                <w:bCs/>
                <w:sz w:val="20"/>
                <w:szCs w:val="20"/>
                <w:lang w:eastAsia="en-AU"/>
              </w:rPr>
              <w:br/>
              <w:t>(2029)</w:t>
            </w:r>
          </w:p>
        </w:tc>
        <w:tc>
          <w:tcPr>
            <w:tcW w:w="593" w:type="pct"/>
            <w:tcBorders>
              <w:top w:val="single" w:sz="4" w:space="0" w:color="auto"/>
              <w:left w:val="nil"/>
              <w:bottom w:val="single" w:sz="4" w:space="0" w:color="auto"/>
              <w:right w:val="single" w:sz="4" w:space="0" w:color="auto"/>
            </w:tcBorders>
            <w:shd w:val="clear" w:color="000000" w:fill="F2F2F2"/>
            <w:vAlign w:val="center"/>
            <w:hideMark/>
          </w:tcPr>
          <w:p w14:paraId="09DE0DB6" w14:textId="77777777" w:rsidR="000514CE" w:rsidRPr="006B614B" w:rsidRDefault="000514CE" w:rsidP="00D56BF2">
            <w:pPr>
              <w:spacing w:before="0" w:after="0" w:line="240" w:lineRule="auto"/>
              <w:jc w:val="center"/>
              <w:rPr>
                <w:rFonts w:ascii="Arial Narrow" w:eastAsia="Times New Roman" w:hAnsi="Arial Narrow" w:cstheme="minorHAnsi"/>
                <w:b/>
                <w:bCs/>
                <w:color w:val="000000"/>
                <w:sz w:val="20"/>
                <w:szCs w:val="20"/>
                <w:lang w:eastAsia="en-AU"/>
              </w:rPr>
            </w:pPr>
            <w:r w:rsidRPr="006B614B">
              <w:rPr>
                <w:rFonts w:ascii="Arial Narrow" w:eastAsia="Times New Roman" w:hAnsi="Arial Narrow" w:cstheme="minorHAnsi"/>
                <w:b/>
                <w:bCs/>
                <w:color w:val="000000"/>
                <w:sz w:val="20"/>
                <w:szCs w:val="20"/>
                <w:lang w:eastAsia="en-AU"/>
              </w:rPr>
              <w:t>Year 6</w:t>
            </w:r>
            <w:r w:rsidRPr="006B614B">
              <w:rPr>
                <w:rFonts w:ascii="Arial Narrow" w:eastAsia="Times New Roman" w:hAnsi="Arial Narrow" w:cstheme="minorHAnsi"/>
                <w:b/>
                <w:bCs/>
                <w:color w:val="000000"/>
                <w:sz w:val="20"/>
                <w:szCs w:val="20"/>
                <w:lang w:eastAsia="en-AU"/>
              </w:rPr>
              <w:br/>
              <w:t>(2030)</w:t>
            </w:r>
          </w:p>
        </w:tc>
      </w:tr>
      <w:tr w:rsidR="00CE67D0" w:rsidRPr="006B614B" w14:paraId="08036170" w14:textId="77777777" w:rsidTr="00D56BF2">
        <w:trPr>
          <w:cantSplit/>
          <w:trHeight w:val="56"/>
        </w:trPr>
        <w:tc>
          <w:tcPr>
            <w:tcW w:w="469" w:type="pct"/>
            <w:tcBorders>
              <w:top w:val="nil"/>
              <w:left w:val="single" w:sz="4" w:space="0" w:color="auto"/>
              <w:bottom w:val="single" w:sz="4" w:space="0" w:color="auto"/>
              <w:right w:val="single" w:sz="4" w:space="0" w:color="auto"/>
            </w:tcBorders>
            <w:vAlign w:val="center"/>
            <w:hideMark/>
          </w:tcPr>
          <w:p w14:paraId="4B5F0E12" w14:textId="77777777"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A</w:t>
            </w:r>
          </w:p>
        </w:tc>
        <w:tc>
          <w:tcPr>
            <w:tcW w:w="865" w:type="pct"/>
            <w:tcBorders>
              <w:top w:val="nil"/>
              <w:left w:val="nil"/>
              <w:bottom w:val="single" w:sz="4" w:space="0" w:color="auto"/>
              <w:right w:val="single" w:sz="4" w:space="0" w:color="auto"/>
            </w:tcBorders>
            <w:vAlign w:val="center"/>
            <w:hideMark/>
          </w:tcPr>
          <w:p w14:paraId="18AB969E" w14:textId="1220FA86"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 xml:space="preserve">Estimated utilisation of </w:t>
            </w:r>
            <w:r>
              <w:rPr>
                <w:rFonts w:ascii="Arial Narrow" w:eastAsia="Times New Roman" w:hAnsi="Arial Narrow" w:cstheme="minorHAnsi"/>
                <w:color w:val="000000"/>
                <w:sz w:val="20"/>
                <w:szCs w:val="20"/>
                <w:lang w:eastAsia="en-AU"/>
              </w:rPr>
              <w:t>BCI</w:t>
            </w:r>
          </w:p>
        </w:tc>
        <w:tc>
          <w:tcPr>
            <w:tcW w:w="702" w:type="pct"/>
            <w:tcBorders>
              <w:top w:val="nil"/>
              <w:left w:val="nil"/>
              <w:bottom w:val="single" w:sz="4" w:space="0" w:color="auto"/>
              <w:right w:val="single" w:sz="4" w:space="0" w:color="auto"/>
            </w:tcBorders>
            <w:hideMark/>
          </w:tcPr>
          <w:p w14:paraId="09BDE938" w14:textId="73B94CF5"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254F99">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55A8B733" w14:textId="22E61D72"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254F99">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4488FFA9" w14:textId="710454E2"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254F99">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56C4D1F5" w14:textId="4E396454"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254F99">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57B77C7E" w14:textId="0ACAB8AB"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254F99">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352FDB78" w14:textId="1E1B3CE8"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254F99">
              <w:rPr>
                <w:rFonts w:ascii="Arial Narrow" w:hAnsi="Arial Narrow"/>
                <w:b/>
                <w:bCs/>
                <w:color w:val="000000" w:themeColor="text1"/>
              </w:rPr>
              <w:t>redacted</w:t>
            </w:r>
          </w:p>
        </w:tc>
      </w:tr>
      <w:tr w:rsidR="000514CE" w:rsidRPr="006B614B" w14:paraId="0074CF67" w14:textId="77777777" w:rsidTr="00D56BF2">
        <w:trPr>
          <w:cantSplit/>
          <w:trHeight w:val="146"/>
        </w:trPr>
        <w:tc>
          <w:tcPr>
            <w:tcW w:w="5000" w:type="pct"/>
            <w:gridSpan w:val="8"/>
            <w:tcBorders>
              <w:top w:val="nil"/>
              <w:left w:val="single" w:sz="4" w:space="0" w:color="auto"/>
              <w:bottom w:val="single" w:sz="4" w:space="0" w:color="auto"/>
              <w:right w:val="single" w:sz="4" w:space="0" w:color="auto"/>
            </w:tcBorders>
            <w:vAlign w:val="center"/>
            <w:hideMark/>
          </w:tcPr>
          <w:p w14:paraId="04BDCD2C" w14:textId="77777777" w:rsidR="000514CE" w:rsidRPr="000A43E8" w:rsidRDefault="000514CE" w:rsidP="00D56BF2">
            <w:pPr>
              <w:spacing w:before="0" w:after="0" w:line="240" w:lineRule="auto"/>
              <w:rPr>
                <w:rFonts w:ascii="Arial Narrow" w:eastAsia="Times New Roman" w:hAnsi="Arial Narrow" w:cstheme="minorHAnsi"/>
                <w:b/>
                <w:bCs/>
                <w:color w:val="000000"/>
                <w:sz w:val="20"/>
                <w:szCs w:val="20"/>
                <w:u w:val="single"/>
                <w:lang w:eastAsia="en-AU"/>
              </w:rPr>
            </w:pPr>
            <w:r w:rsidRPr="000A43E8">
              <w:rPr>
                <w:rFonts w:ascii="Arial Narrow" w:eastAsia="Times New Roman" w:hAnsi="Arial Narrow" w:cstheme="minorHAnsi"/>
                <w:b/>
                <w:bCs/>
                <w:color w:val="000000"/>
                <w:sz w:val="20"/>
                <w:szCs w:val="20"/>
                <w:u w:val="single"/>
                <w:lang w:eastAsia="en-AU"/>
              </w:rPr>
              <w:t>Revision of RCT repair</w:t>
            </w:r>
          </w:p>
        </w:tc>
      </w:tr>
      <w:tr w:rsidR="00CE67D0" w:rsidRPr="006B614B" w14:paraId="7D3CFCFC" w14:textId="77777777" w:rsidTr="00D56BF2">
        <w:trPr>
          <w:cantSplit/>
          <w:trHeight w:val="191"/>
        </w:trPr>
        <w:tc>
          <w:tcPr>
            <w:tcW w:w="469" w:type="pct"/>
            <w:tcBorders>
              <w:top w:val="nil"/>
              <w:left w:val="single" w:sz="4" w:space="0" w:color="auto"/>
              <w:bottom w:val="single" w:sz="4" w:space="0" w:color="auto"/>
              <w:right w:val="single" w:sz="4" w:space="0" w:color="auto"/>
            </w:tcBorders>
            <w:vAlign w:val="center"/>
            <w:hideMark/>
          </w:tcPr>
          <w:p w14:paraId="1C4561A9" w14:textId="77777777"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B = A x 6.2%</w:t>
            </w:r>
          </w:p>
        </w:tc>
        <w:tc>
          <w:tcPr>
            <w:tcW w:w="865" w:type="pct"/>
            <w:tcBorders>
              <w:top w:val="nil"/>
              <w:left w:val="nil"/>
              <w:bottom w:val="single" w:sz="4" w:space="0" w:color="auto"/>
              <w:right w:val="single" w:sz="4" w:space="0" w:color="auto"/>
            </w:tcBorders>
            <w:vAlign w:val="center"/>
            <w:hideMark/>
          </w:tcPr>
          <w:p w14:paraId="2CC04F90" w14:textId="1637A58C"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 xml:space="preserve">Proportion of patients that do not need RCT revision with </w:t>
            </w:r>
            <w:r>
              <w:rPr>
                <w:rFonts w:ascii="Arial Narrow" w:eastAsia="Times New Roman" w:hAnsi="Arial Narrow" w:cstheme="minorHAnsi"/>
                <w:color w:val="000000"/>
                <w:sz w:val="20"/>
                <w:szCs w:val="20"/>
                <w:lang w:eastAsia="en-AU"/>
              </w:rPr>
              <w:t>BCI</w:t>
            </w:r>
          </w:p>
        </w:tc>
        <w:tc>
          <w:tcPr>
            <w:tcW w:w="702" w:type="pct"/>
            <w:tcBorders>
              <w:top w:val="nil"/>
              <w:left w:val="nil"/>
              <w:bottom w:val="single" w:sz="4" w:space="0" w:color="auto"/>
              <w:right w:val="single" w:sz="4" w:space="0" w:color="auto"/>
            </w:tcBorders>
            <w:hideMark/>
          </w:tcPr>
          <w:p w14:paraId="68B90B02" w14:textId="4D41BA5F"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1DE83D0F" w14:textId="6D97A042"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717B24D7" w14:textId="6CEBE455"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1C413562" w14:textId="30A3817F"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0CA9AC06" w14:textId="0BABBF47"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6439173A" w14:textId="56D5CDF9"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r>
      <w:tr w:rsidR="00CE67D0" w:rsidRPr="006B614B" w14:paraId="68B14BB7" w14:textId="77777777" w:rsidTr="00D56BF2">
        <w:trPr>
          <w:cantSplit/>
          <w:trHeight w:val="82"/>
        </w:trPr>
        <w:tc>
          <w:tcPr>
            <w:tcW w:w="469" w:type="pct"/>
            <w:tcBorders>
              <w:top w:val="nil"/>
              <w:left w:val="single" w:sz="4" w:space="0" w:color="auto"/>
              <w:bottom w:val="single" w:sz="4" w:space="0" w:color="auto"/>
              <w:right w:val="single" w:sz="4" w:space="0" w:color="auto"/>
            </w:tcBorders>
            <w:vAlign w:val="center"/>
            <w:hideMark/>
          </w:tcPr>
          <w:p w14:paraId="27C2457C" w14:textId="01EBD95D"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C = B x $1,966</w:t>
            </w:r>
          </w:p>
        </w:tc>
        <w:tc>
          <w:tcPr>
            <w:tcW w:w="865" w:type="pct"/>
            <w:tcBorders>
              <w:top w:val="nil"/>
              <w:left w:val="nil"/>
              <w:bottom w:val="single" w:sz="4" w:space="0" w:color="auto"/>
              <w:right w:val="single" w:sz="4" w:space="0" w:color="auto"/>
            </w:tcBorders>
            <w:vAlign w:val="center"/>
            <w:hideMark/>
          </w:tcPr>
          <w:p w14:paraId="62F07C4A" w14:textId="6FD6AE8B"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 xml:space="preserve">Estimated cost offset to PHI with revision surgery when using </w:t>
            </w:r>
            <w:r>
              <w:rPr>
                <w:rFonts w:ascii="Arial Narrow" w:eastAsia="Times New Roman" w:hAnsi="Arial Narrow" w:cstheme="minorHAnsi"/>
                <w:color w:val="000000"/>
                <w:sz w:val="20"/>
                <w:szCs w:val="20"/>
                <w:lang w:eastAsia="en-AU"/>
              </w:rPr>
              <w:t>BCI</w:t>
            </w:r>
            <w:r w:rsidRPr="006B614B">
              <w:rPr>
                <w:rFonts w:ascii="Arial Narrow" w:eastAsia="Times New Roman" w:hAnsi="Arial Narrow" w:cstheme="minorHAnsi"/>
                <w:color w:val="000000"/>
                <w:sz w:val="20"/>
                <w:szCs w:val="20"/>
                <w:lang w:eastAsia="en-AU"/>
              </w:rPr>
              <w:t xml:space="preserve"> – ($,000)</w:t>
            </w:r>
          </w:p>
        </w:tc>
        <w:tc>
          <w:tcPr>
            <w:tcW w:w="702" w:type="pct"/>
            <w:tcBorders>
              <w:top w:val="nil"/>
              <w:left w:val="nil"/>
              <w:bottom w:val="single" w:sz="4" w:space="0" w:color="auto"/>
              <w:right w:val="single" w:sz="4" w:space="0" w:color="auto"/>
            </w:tcBorders>
            <w:vAlign w:val="center"/>
            <w:hideMark/>
          </w:tcPr>
          <w:p w14:paraId="3EDCFF58" w14:textId="4BC37492"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vAlign w:val="center"/>
            <w:hideMark/>
          </w:tcPr>
          <w:p w14:paraId="3F3CB25A" w14:textId="4071242A"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vAlign w:val="center"/>
            <w:hideMark/>
          </w:tcPr>
          <w:p w14:paraId="1693094E" w14:textId="1FF5074C"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vAlign w:val="center"/>
            <w:hideMark/>
          </w:tcPr>
          <w:p w14:paraId="21D8AA50" w14:textId="7339EE69"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vAlign w:val="center"/>
            <w:hideMark/>
          </w:tcPr>
          <w:p w14:paraId="100A82A7" w14:textId="7372C346"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vAlign w:val="center"/>
            <w:hideMark/>
          </w:tcPr>
          <w:p w14:paraId="7E42EDFF" w14:textId="57E09629"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r>
      <w:tr w:rsidR="000514CE" w:rsidRPr="006B614B" w14:paraId="044637B3" w14:textId="77777777" w:rsidTr="00D56BF2">
        <w:trPr>
          <w:cantSplit/>
          <w:trHeight w:val="188"/>
        </w:trPr>
        <w:tc>
          <w:tcPr>
            <w:tcW w:w="5000" w:type="pct"/>
            <w:gridSpan w:val="8"/>
            <w:tcBorders>
              <w:top w:val="nil"/>
              <w:left w:val="single" w:sz="4" w:space="0" w:color="auto"/>
              <w:bottom w:val="single" w:sz="4" w:space="0" w:color="auto"/>
              <w:right w:val="single" w:sz="4" w:space="0" w:color="auto"/>
            </w:tcBorders>
            <w:noWrap/>
            <w:vAlign w:val="center"/>
            <w:hideMark/>
          </w:tcPr>
          <w:p w14:paraId="74B2A3E3" w14:textId="77777777" w:rsidR="000514CE" w:rsidRPr="000A43E8" w:rsidRDefault="000514CE" w:rsidP="00D56BF2">
            <w:pPr>
              <w:spacing w:before="0" w:after="0" w:line="240" w:lineRule="auto"/>
              <w:rPr>
                <w:rFonts w:ascii="Arial Narrow" w:eastAsia="Times New Roman" w:hAnsi="Arial Narrow" w:cstheme="minorHAnsi"/>
                <w:b/>
                <w:bCs/>
                <w:color w:val="000000"/>
                <w:sz w:val="20"/>
                <w:szCs w:val="20"/>
                <w:u w:val="single"/>
                <w:lang w:eastAsia="en-AU"/>
              </w:rPr>
            </w:pPr>
            <w:r w:rsidRPr="000A43E8">
              <w:rPr>
                <w:rFonts w:ascii="Arial Narrow" w:eastAsia="Times New Roman" w:hAnsi="Arial Narrow" w:cstheme="minorHAnsi"/>
                <w:b/>
                <w:bCs/>
                <w:color w:val="000000"/>
                <w:sz w:val="20"/>
                <w:szCs w:val="20"/>
                <w:u w:val="single"/>
                <w:lang w:eastAsia="en-AU"/>
              </w:rPr>
              <w:t>Reverse total shoulder arthroplasty (RTSA)</w:t>
            </w:r>
          </w:p>
        </w:tc>
      </w:tr>
      <w:tr w:rsidR="00CE67D0" w:rsidRPr="006B614B" w14:paraId="7C3554D8" w14:textId="77777777" w:rsidTr="00D56BF2">
        <w:trPr>
          <w:cantSplit/>
          <w:trHeight w:val="56"/>
        </w:trPr>
        <w:tc>
          <w:tcPr>
            <w:tcW w:w="469" w:type="pct"/>
            <w:tcBorders>
              <w:top w:val="nil"/>
              <w:left w:val="single" w:sz="4" w:space="0" w:color="auto"/>
              <w:bottom w:val="single" w:sz="4" w:space="0" w:color="auto"/>
              <w:right w:val="single" w:sz="4" w:space="0" w:color="auto"/>
            </w:tcBorders>
            <w:vAlign w:val="center"/>
            <w:hideMark/>
          </w:tcPr>
          <w:p w14:paraId="14D387CD" w14:textId="77777777"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D = A x 0.9%</w:t>
            </w:r>
          </w:p>
        </w:tc>
        <w:tc>
          <w:tcPr>
            <w:tcW w:w="865" w:type="pct"/>
            <w:tcBorders>
              <w:top w:val="nil"/>
              <w:left w:val="nil"/>
              <w:bottom w:val="single" w:sz="4" w:space="0" w:color="auto"/>
              <w:right w:val="single" w:sz="4" w:space="0" w:color="auto"/>
            </w:tcBorders>
            <w:vAlign w:val="center"/>
            <w:hideMark/>
          </w:tcPr>
          <w:p w14:paraId="120D78AD" w14:textId="19F2FDAA"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 xml:space="preserve">Proportion of patients that do not need RTSA with </w:t>
            </w:r>
            <w:r>
              <w:rPr>
                <w:rFonts w:ascii="Arial Narrow" w:eastAsia="Times New Roman" w:hAnsi="Arial Narrow" w:cstheme="minorHAnsi"/>
                <w:color w:val="000000"/>
                <w:sz w:val="20"/>
                <w:szCs w:val="20"/>
                <w:lang w:eastAsia="en-AU"/>
              </w:rPr>
              <w:t>BCI</w:t>
            </w:r>
          </w:p>
        </w:tc>
        <w:tc>
          <w:tcPr>
            <w:tcW w:w="702" w:type="pct"/>
            <w:tcBorders>
              <w:top w:val="nil"/>
              <w:left w:val="nil"/>
              <w:bottom w:val="single" w:sz="4" w:space="0" w:color="auto"/>
              <w:right w:val="single" w:sz="4" w:space="0" w:color="auto"/>
            </w:tcBorders>
            <w:hideMark/>
          </w:tcPr>
          <w:p w14:paraId="29DB36FA" w14:textId="61A18890"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59D8DC27" w14:textId="0D00EB5C"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6F829B02" w14:textId="7751E33D"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00818993" w14:textId="1B878B8E"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04878AF9" w14:textId="3A018BBF"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5EEB1945" w14:textId="685AEAF6"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r>
      <w:tr w:rsidR="00CE67D0" w:rsidRPr="006B614B" w14:paraId="78848C0C" w14:textId="77777777" w:rsidTr="00D56BF2">
        <w:trPr>
          <w:cantSplit/>
          <w:trHeight w:val="56"/>
        </w:trPr>
        <w:tc>
          <w:tcPr>
            <w:tcW w:w="469" w:type="pct"/>
            <w:tcBorders>
              <w:top w:val="nil"/>
              <w:left w:val="single" w:sz="4" w:space="0" w:color="auto"/>
              <w:bottom w:val="single" w:sz="4" w:space="0" w:color="auto"/>
              <w:right w:val="single" w:sz="4" w:space="0" w:color="auto"/>
            </w:tcBorders>
            <w:vAlign w:val="center"/>
            <w:hideMark/>
          </w:tcPr>
          <w:p w14:paraId="2504EF30" w14:textId="629A6840"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lastRenderedPageBreak/>
              <w:t>E = D x $861</w:t>
            </w:r>
          </w:p>
        </w:tc>
        <w:tc>
          <w:tcPr>
            <w:tcW w:w="865" w:type="pct"/>
            <w:tcBorders>
              <w:top w:val="nil"/>
              <w:left w:val="nil"/>
              <w:bottom w:val="single" w:sz="4" w:space="0" w:color="auto"/>
              <w:right w:val="single" w:sz="4" w:space="0" w:color="auto"/>
            </w:tcBorders>
            <w:vAlign w:val="center"/>
            <w:hideMark/>
          </w:tcPr>
          <w:p w14:paraId="4958BCB5" w14:textId="19FA1D48"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 xml:space="preserve">Estimated cost offset to PHI with RTSA when using </w:t>
            </w:r>
            <w:r>
              <w:rPr>
                <w:rFonts w:ascii="Arial Narrow" w:eastAsia="Times New Roman" w:hAnsi="Arial Narrow" w:cstheme="minorHAnsi"/>
                <w:color w:val="000000"/>
                <w:sz w:val="20"/>
                <w:szCs w:val="20"/>
                <w:lang w:eastAsia="en-AU"/>
              </w:rPr>
              <w:t>BCI</w:t>
            </w:r>
            <w:r w:rsidRPr="006B614B">
              <w:rPr>
                <w:rFonts w:ascii="Arial Narrow" w:eastAsia="Times New Roman" w:hAnsi="Arial Narrow" w:cstheme="minorHAnsi"/>
                <w:color w:val="000000"/>
                <w:sz w:val="20"/>
                <w:szCs w:val="20"/>
                <w:lang w:eastAsia="en-AU"/>
              </w:rPr>
              <w:t xml:space="preserve"> - ($,000)</w:t>
            </w:r>
          </w:p>
        </w:tc>
        <w:tc>
          <w:tcPr>
            <w:tcW w:w="702" w:type="pct"/>
            <w:tcBorders>
              <w:top w:val="nil"/>
              <w:left w:val="nil"/>
              <w:bottom w:val="single" w:sz="4" w:space="0" w:color="auto"/>
              <w:right w:val="single" w:sz="4" w:space="0" w:color="auto"/>
            </w:tcBorders>
            <w:vAlign w:val="center"/>
            <w:hideMark/>
          </w:tcPr>
          <w:p w14:paraId="6C4C5567" w14:textId="01667D0E"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vAlign w:val="center"/>
            <w:hideMark/>
          </w:tcPr>
          <w:p w14:paraId="47752E9A" w14:textId="4647B879"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vAlign w:val="center"/>
            <w:hideMark/>
          </w:tcPr>
          <w:p w14:paraId="7589B038" w14:textId="790C7CD0"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vAlign w:val="center"/>
            <w:hideMark/>
          </w:tcPr>
          <w:p w14:paraId="3E3A5239" w14:textId="4B6A948F"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vAlign w:val="center"/>
            <w:hideMark/>
          </w:tcPr>
          <w:p w14:paraId="5E71348A" w14:textId="73CC25B0"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vAlign w:val="center"/>
            <w:hideMark/>
          </w:tcPr>
          <w:p w14:paraId="37F97830" w14:textId="6ADF00E4"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r>
      <w:tr w:rsidR="000514CE" w:rsidRPr="006B614B" w14:paraId="0E38F085" w14:textId="77777777" w:rsidTr="00D56BF2">
        <w:trPr>
          <w:cantSplit/>
          <w:trHeight w:val="184"/>
        </w:trPr>
        <w:tc>
          <w:tcPr>
            <w:tcW w:w="5000" w:type="pct"/>
            <w:gridSpan w:val="8"/>
            <w:tcBorders>
              <w:top w:val="nil"/>
              <w:left w:val="single" w:sz="4" w:space="0" w:color="auto"/>
              <w:bottom w:val="single" w:sz="4" w:space="0" w:color="auto"/>
              <w:right w:val="single" w:sz="4" w:space="0" w:color="auto"/>
            </w:tcBorders>
            <w:noWrap/>
            <w:vAlign w:val="center"/>
            <w:hideMark/>
          </w:tcPr>
          <w:p w14:paraId="0FFD948F" w14:textId="77777777" w:rsidR="000514CE" w:rsidRPr="000A43E8" w:rsidRDefault="000514CE" w:rsidP="00D56BF2">
            <w:pPr>
              <w:spacing w:before="0" w:after="0" w:line="240" w:lineRule="auto"/>
              <w:rPr>
                <w:rFonts w:ascii="Arial Narrow" w:eastAsia="Times New Roman" w:hAnsi="Arial Narrow" w:cstheme="minorHAnsi"/>
                <w:b/>
                <w:color w:val="000000"/>
                <w:sz w:val="20"/>
                <w:szCs w:val="20"/>
                <w:u w:val="single"/>
                <w:lang w:eastAsia="en-AU"/>
              </w:rPr>
            </w:pPr>
            <w:r w:rsidRPr="000A43E8">
              <w:rPr>
                <w:rFonts w:ascii="Arial Narrow" w:eastAsia="Times New Roman" w:hAnsi="Arial Narrow" w:cstheme="minorHAnsi"/>
                <w:b/>
                <w:color w:val="000000"/>
                <w:sz w:val="20"/>
                <w:szCs w:val="20"/>
                <w:u w:val="single"/>
                <w:lang w:eastAsia="en-AU"/>
              </w:rPr>
              <w:t xml:space="preserve">Conservative management </w:t>
            </w:r>
            <w:r w:rsidRPr="000A43E8">
              <w:rPr>
                <w:rFonts w:ascii="Arial Narrow" w:eastAsia="Times New Roman" w:hAnsi="Arial Narrow" w:cstheme="minorHAnsi"/>
                <w:b/>
                <w:bCs/>
                <w:color w:val="000000"/>
                <w:sz w:val="20"/>
                <w:szCs w:val="20"/>
                <w:u w:val="single"/>
                <w:lang w:eastAsia="en-AU"/>
              </w:rPr>
              <w:t xml:space="preserve">– CM </w:t>
            </w:r>
            <w:r w:rsidRPr="000A43E8">
              <w:rPr>
                <w:rFonts w:ascii="Arial Narrow" w:eastAsia="Times New Roman" w:hAnsi="Arial Narrow" w:cstheme="minorHAnsi"/>
                <w:b/>
                <w:color w:val="000000"/>
                <w:sz w:val="20"/>
                <w:szCs w:val="20"/>
                <w:u w:val="single"/>
                <w:lang w:eastAsia="en-AU"/>
              </w:rPr>
              <w:t>(first year)</w:t>
            </w:r>
          </w:p>
        </w:tc>
      </w:tr>
      <w:tr w:rsidR="00CE67D0" w:rsidRPr="006B614B" w14:paraId="55A04942" w14:textId="77777777" w:rsidTr="00D56BF2">
        <w:trPr>
          <w:cantSplit/>
          <w:trHeight w:val="215"/>
        </w:trPr>
        <w:tc>
          <w:tcPr>
            <w:tcW w:w="469" w:type="pct"/>
            <w:tcBorders>
              <w:top w:val="nil"/>
              <w:left w:val="single" w:sz="4" w:space="0" w:color="auto"/>
              <w:bottom w:val="single" w:sz="4" w:space="0" w:color="auto"/>
              <w:right w:val="single" w:sz="4" w:space="0" w:color="auto"/>
            </w:tcBorders>
            <w:vAlign w:val="center"/>
            <w:hideMark/>
          </w:tcPr>
          <w:p w14:paraId="396FC521" w14:textId="77777777"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F = A x 15.8%</w:t>
            </w:r>
          </w:p>
        </w:tc>
        <w:tc>
          <w:tcPr>
            <w:tcW w:w="865" w:type="pct"/>
            <w:tcBorders>
              <w:top w:val="nil"/>
              <w:left w:val="nil"/>
              <w:bottom w:val="single" w:sz="4" w:space="0" w:color="auto"/>
              <w:right w:val="single" w:sz="4" w:space="0" w:color="auto"/>
            </w:tcBorders>
            <w:vAlign w:val="center"/>
            <w:hideMark/>
          </w:tcPr>
          <w:p w14:paraId="0FEA6047" w14:textId="2B420150"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 xml:space="preserve">Proportion of patients that do not need corticosteroid injections as part of CM with </w:t>
            </w:r>
            <w:r>
              <w:rPr>
                <w:rFonts w:ascii="Arial Narrow" w:eastAsia="Times New Roman" w:hAnsi="Arial Narrow" w:cstheme="minorHAnsi"/>
                <w:color w:val="000000"/>
                <w:sz w:val="20"/>
                <w:szCs w:val="20"/>
                <w:lang w:eastAsia="en-AU"/>
              </w:rPr>
              <w:t>BCI</w:t>
            </w:r>
            <w:r w:rsidRPr="006B614B">
              <w:rPr>
                <w:rFonts w:ascii="Arial Narrow" w:eastAsia="Times New Roman" w:hAnsi="Arial Narrow" w:cstheme="minorHAnsi"/>
                <w:color w:val="000000"/>
                <w:sz w:val="20"/>
                <w:szCs w:val="20"/>
                <w:lang w:eastAsia="en-AU"/>
              </w:rPr>
              <w:t xml:space="preserve"> in the first year</w:t>
            </w:r>
          </w:p>
        </w:tc>
        <w:tc>
          <w:tcPr>
            <w:tcW w:w="702" w:type="pct"/>
            <w:tcBorders>
              <w:top w:val="nil"/>
              <w:left w:val="nil"/>
              <w:bottom w:val="single" w:sz="4" w:space="0" w:color="auto"/>
              <w:right w:val="single" w:sz="4" w:space="0" w:color="auto"/>
            </w:tcBorders>
            <w:hideMark/>
          </w:tcPr>
          <w:p w14:paraId="2D7C3CBD" w14:textId="6489FB22"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1232FA4D" w14:textId="1C7429E2"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48B91511" w14:textId="2F779779"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7F6A16BF" w14:textId="19FAC4AB"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23F79AF8" w14:textId="44578114"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6D00E00D" w14:textId="6BFFB581"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r>
      <w:tr w:rsidR="00CE67D0" w:rsidRPr="006B614B" w14:paraId="204920B9" w14:textId="77777777" w:rsidTr="00D56BF2">
        <w:trPr>
          <w:cantSplit/>
          <w:trHeight w:val="56"/>
        </w:trPr>
        <w:tc>
          <w:tcPr>
            <w:tcW w:w="469" w:type="pct"/>
            <w:tcBorders>
              <w:top w:val="nil"/>
              <w:left w:val="single" w:sz="4" w:space="0" w:color="auto"/>
              <w:bottom w:val="single" w:sz="4" w:space="0" w:color="auto"/>
              <w:right w:val="single" w:sz="4" w:space="0" w:color="auto"/>
            </w:tcBorders>
            <w:vAlign w:val="center"/>
            <w:hideMark/>
          </w:tcPr>
          <w:p w14:paraId="0127509B" w14:textId="49D9CFAF"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G = F × $390</w:t>
            </w:r>
          </w:p>
        </w:tc>
        <w:tc>
          <w:tcPr>
            <w:tcW w:w="865" w:type="pct"/>
            <w:tcBorders>
              <w:top w:val="nil"/>
              <w:left w:val="nil"/>
              <w:bottom w:val="single" w:sz="4" w:space="0" w:color="auto"/>
              <w:right w:val="single" w:sz="4" w:space="0" w:color="auto"/>
            </w:tcBorders>
            <w:vAlign w:val="center"/>
            <w:hideMark/>
          </w:tcPr>
          <w:p w14:paraId="5C4C05CD" w14:textId="1E392FB5"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 xml:space="preserve">Estimated cost offset to patients (out-of-pocket) with CM (corticosteroid injections) when using </w:t>
            </w:r>
            <w:r>
              <w:rPr>
                <w:rFonts w:ascii="Arial Narrow" w:eastAsia="Times New Roman" w:hAnsi="Arial Narrow" w:cstheme="minorHAnsi"/>
                <w:color w:val="000000"/>
                <w:sz w:val="20"/>
                <w:szCs w:val="20"/>
                <w:lang w:eastAsia="en-AU"/>
              </w:rPr>
              <w:t>BCI</w:t>
            </w:r>
            <w:r w:rsidRPr="006B614B">
              <w:rPr>
                <w:rFonts w:ascii="Arial Narrow" w:eastAsia="Times New Roman" w:hAnsi="Arial Narrow" w:cstheme="minorHAnsi"/>
                <w:color w:val="000000"/>
                <w:sz w:val="20"/>
                <w:szCs w:val="20"/>
                <w:lang w:eastAsia="en-AU"/>
              </w:rPr>
              <w:t>- first year - ($,000)</w:t>
            </w:r>
          </w:p>
        </w:tc>
        <w:tc>
          <w:tcPr>
            <w:tcW w:w="702" w:type="pct"/>
            <w:tcBorders>
              <w:top w:val="nil"/>
              <w:left w:val="nil"/>
              <w:bottom w:val="single" w:sz="4" w:space="0" w:color="auto"/>
              <w:right w:val="single" w:sz="4" w:space="0" w:color="auto"/>
            </w:tcBorders>
            <w:vAlign w:val="center"/>
            <w:hideMark/>
          </w:tcPr>
          <w:p w14:paraId="6B876BDA" w14:textId="289CC64F"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vAlign w:val="center"/>
            <w:hideMark/>
          </w:tcPr>
          <w:p w14:paraId="45418275" w14:textId="76E99809"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vAlign w:val="center"/>
            <w:hideMark/>
          </w:tcPr>
          <w:p w14:paraId="7D368A82" w14:textId="4BF1F7B4"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vAlign w:val="center"/>
            <w:hideMark/>
          </w:tcPr>
          <w:p w14:paraId="306C8C6C" w14:textId="728818D2"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vAlign w:val="center"/>
            <w:hideMark/>
          </w:tcPr>
          <w:p w14:paraId="4F53D3FD" w14:textId="63C3D6D8"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vAlign w:val="center"/>
            <w:hideMark/>
          </w:tcPr>
          <w:p w14:paraId="5DF8790F" w14:textId="77CB417E"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r>
      <w:tr w:rsidR="000514CE" w:rsidRPr="006B614B" w14:paraId="319D2814" w14:textId="77777777" w:rsidTr="00D56BF2">
        <w:trPr>
          <w:cantSplit/>
          <w:trHeight w:val="130"/>
        </w:trPr>
        <w:tc>
          <w:tcPr>
            <w:tcW w:w="5000" w:type="pct"/>
            <w:gridSpan w:val="8"/>
            <w:tcBorders>
              <w:top w:val="nil"/>
              <w:left w:val="single" w:sz="4" w:space="0" w:color="auto"/>
              <w:bottom w:val="single" w:sz="4" w:space="0" w:color="auto"/>
              <w:right w:val="single" w:sz="4" w:space="0" w:color="auto"/>
            </w:tcBorders>
            <w:noWrap/>
            <w:vAlign w:val="center"/>
            <w:hideMark/>
          </w:tcPr>
          <w:p w14:paraId="30791EBE" w14:textId="77777777" w:rsidR="000514CE" w:rsidRPr="000A43E8" w:rsidRDefault="000514CE" w:rsidP="00D56BF2">
            <w:pPr>
              <w:spacing w:before="0" w:after="0" w:line="240" w:lineRule="auto"/>
              <w:rPr>
                <w:rFonts w:ascii="Arial Narrow" w:eastAsia="Times New Roman" w:hAnsi="Arial Narrow" w:cstheme="minorHAnsi"/>
                <w:b/>
                <w:bCs/>
                <w:color w:val="000000"/>
                <w:sz w:val="20"/>
                <w:szCs w:val="20"/>
                <w:u w:val="single"/>
                <w:lang w:eastAsia="en-AU"/>
              </w:rPr>
            </w:pPr>
            <w:r w:rsidRPr="000A43E8">
              <w:rPr>
                <w:rFonts w:ascii="Arial Narrow" w:eastAsia="Times New Roman" w:hAnsi="Arial Narrow" w:cstheme="minorHAnsi"/>
                <w:b/>
                <w:bCs/>
                <w:color w:val="000000"/>
                <w:sz w:val="20"/>
                <w:szCs w:val="20"/>
                <w:u w:val="single"/>
                <w:lang w:eastAsia="en-AU"/>
              </w:rPr>
              <w:t>Conservative management – CM (second year)</w:t>
            </w:r>
          </w:p>
        </w:tc>
      </w:tr>
      <w:tr w:rsidR="00CE67D0" w:rsidRPr="006B614B" w14:paraId="28A72640" w14:textId="77777777" w:rsidTr="00D56BF2">
        <w:trPr>
          <w:cantSplit/>
          <w:trHeight w:val="56"/>
        </w:trPr>
        <w:tc>
          <w:tcPr>
            <w:tcW w:w="469" w:type="pct"/>
            <w:tcBorders>
              <w:top w:val="nil"/>
              <w:left w:val="single" w:sz="4" w:space="0" w:color="auto"/>
              <w:bottom w:val="single" w:sz="4" w:space="0" w:color="auto"/>
              <w:right w:val="single" w:sz="4" w:space="0" w:color="auto"/>
            </w:tcBorders>
            <w:vAlign w:val="center"/>
            <w:hideMark/>
          </w:tcPr>
          <w:p w14:paraId="751764EC" w14:textId="77777777"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H</w:t>
            </w:r>
          </w:p>
        </w:tc>
        <w:tc>
          <w:tcPr>
            <w:tcW w:w="865" w:type="pct"/>
            <w:tcBorders>
              <w:top w:val="nil"/>
              <w:left w:val="nil"/>
              <w:bottom w:val="single" w:sz="4" w:space="0" w:color="auto"/>
              <w:right w:val="single" w:sz="4" w:space="0" w:color="auto"/>
            </w:tcBorders>
            <w:vAlign w:val="center"/>
            <w:hideMark/>
          </w:tcPr>
          <w:p w14:paraId="1D87B3E3" w14:textId="12E7FDD6"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 xml:space="preserve">Estimated utilisation of </w:t>
            </w:r>
            <w:r>
              <w:rPr>
                <w:rFonts w:ascii="Arial Narrow" w:eastAsia="Times New Roman" w:hAnsi="Arial Narrow" w:cstheme="minorHAnsi"/>
                <w:color w:val="000000"/>
                <w:sz w:val="20"/>
                <w:szCs w:val="20"/>
                <w:lang w:eastAsia="en-AU"/>
              </w:rPr>
              <w:t>BCI</w:t>
            </w:r>
            <w:r w:rsidRPr="006B614B">
              <w:rPr>
                <w:rFonts w:ascii="Arial Narrow" w:eastAsia="Times New Roman" w:hAnsi="Arial Narrow" w:cstheme="minorHAnsi"/>
                <w:color w:val="000000"/>
                <w:sz w:val="20"/>
                <w:szCs w:val="20"/>
                <w:lang w:eastAsia="en-AU"/>
              </w:rPr>
              <w:t xml:space="preserve"> in their second year</w:t>
            </w:r>
          </w:p>
        </w:tc>
        <w:tc>
          <w:tcPr>
            <w:tcW w:w="702" w:type="pct"/>
            <w:tcBorders>
              <w:top w:val="nil"/>
              <w:left w:val="nil"/>
              <w:bottom w:val="single" w:sz="4" w:space="0" w:color="auto"/>
              <w:right w:val="single" w:sz="4" w:space="0" w:color="auto"/>
            </w:tcBorders>
            <w:hideMark/>
          </w:tcPr>
          <w:p w14:paraId="7A0CD292" w14:textId="718F4A66"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58F71357" w14:textId="6DF0F2A2"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19ADC474" w14:textId="014C7472"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3A56536F" w14:textId="6D1BE0E6"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1CCB9322" w14:textId="050D2402"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48D82F9B" w14:textId="61A5B264"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r>
      <w:tr w:rsidR="00CE67D0" w:rsidRPr="006B614B" w14:paraId="19CF6C87" w14:textId="77777777" w:rsidTr="00D56BF2">
        <w:trPr>
          <w:cantSplit/>
          <w:trHeight w:val="364"/>
        </w:trPr>
        <w:tc>
          <w:tcPr>
            <w:tcW w:w="469" w:type="pct"/>
            <w:tcBorders>
              <w:top w:val="nil"/>
              <w:left w:val="single" w:sz="4" w:space="0" w:color="auto"/>
              <w:bottom w:val="single" w:sz="4" w:space="0" w:color="auto"/>
              <w:right w:val="single" w:sz="4" w:space="0" w:color="auto"/>
            </w:tcBorders>
            <w:vAlign w:val="center"/>
            <w:hideMark/>
          </w:tcPr>
          <w:p w14:paraId="2F733008" w14:textId="77777777"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I = H x 18.3%</w:t>
            </w:r>
          </w:p>
        </w:tc>
        <w:tc>
          <w:tcPr>
            <w:tcW w:w="865" w:type="pct"/>
            <w:tcBorders>
              <w:top w:val="nil"/>
              <w:left w:val="nil"/>
              <w:bottom w:val="single" w:sz="4" w:space="0" w:color="auto"/>
              <w:right w:val="single" w:sz="4" w:space="0" w:color="auto"/>
            </w:tcBorders>
            <w:vAlign w:val="center"/>
            <w:hideMark/>
          </w:tcPr>
          <w:p w14:paraId="71066105" w14:textId="6901AE5E"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 xml:space="preserve">Proportion of patients that do not need corticosteroid injections as part of CM with </w:t>
            </w:r>
            <w:r>
              <w:rPr>
                <w:rFonts w:ascii="Arial Narrow" w:eastAsia="Times New Roman" w:hAnsi="Arial Narrow" w:cstheme="minorHAnsi"/>
                <w:color w:val="000000"/>
                <w:sz w:val="20"/>
                <w:szCs w:val="20"/>
                <w:lang w:eastAsia="en-AU"/>
              </w:rPr>
              <w:t>BCI</w:t>
            </w:r>
            <w:r w:rsidRPr="006B614B">
              <w:rPr>
                <w:rFonts w:ascii="Arial Narrow" w:eastAsia="Times New Roman" w:hAnsi="Arial Narrow" w:cstheme="minorHAnsi"/>
                <w:color w:val="000000"/>
                <w:sz w:val="20"/>
                <w:szCs w:val="20"/>
                <w:lang w:eastAsia="en-AU"/>
              </w:rPr>
              <w:t xml:space="preserve"> in the first year</w:t>
            </w:r>
          </w:p>
        </w:tc>
        <w:tc>
          <w:tcPr>
            <w:tcW w:w="702" w:type="pct"/>
            <w:tcBorders>
              <w:top w:val="nil"/>
              <w:left w:val="nil"/>
              <w:bottom w:val="single" w:sz="4" w:space="0" w:color="auto"/>
              <w:right w:val="single" w:sz="4" w:space="0" w:color="auto"/>
            </w:tcBorders>
            <w:hideMark/>
          </w:tcPr>
          <w:p w14:paraId="1CC4ECE9" w14:textId="6736DEC6"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49C1764B" w14:textId="3F0D428C"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1DE3F84F" w14:textId="5CDDAE0D"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4DB9B91A" w14:textId="3E9D9571"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68FF0272" w14:textId="3E7AF43B"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1A0DADC0" w14:textId="6C60187F" w:rsidR="002D38DA" w:rsidRPr="000A43E8" w:rsidRDefault="002D38DA" w:rsidP="00D56BF2">
            <w:pPr>
              <w:spacing w:before="0" w:after="0" w:line="240" w:lineRule="auto"/>
              <w:jc w:val="right"/>
              <w:rPr>
                <w:rFonts w:ascii="Arial Narrow" w:eastAsia="Times New Roman" w:hAnsi="Arial Narrow" w:cstheme="minorHAnsi"/>
                <w:color w:val="000000"/>
                <w:sz w:val="20"/>
                <w:szCs w:val="20"/>
                <w:lang w:eastAsia="en-AU"/>
              </w:rPr>
            </w:pPr>
            <w:r w:rsidRPr="004E315C">
              <w:rPr>
                <w:rFonts w:ascii="Arial Narrow" w:hAnsi="Arial Narrow"/>
                <w:b/>
                <w:bCs/>
                <w:color w:val="000000" w:themeColor="text1"/>
              </w:rPr>
              <w:t>redacted</w:t>
            </w:r>
          </w:p>
        </w:tc>
      </w:tr>
      <w:tr w:rsidR="00CE67D0" w:rsidRPr="006B614B" w14:paraId="298745DE" w14:textId="77777777" w:rsidTr="00D56BF2">
        <w:trPr>
          <w:cantSplit/>
          <w:trHeight w:val="172"/>
        </w:trPr>
        <w:tc>
          <w:tcPr>
            <w:tcW w:w="469" w:type="pct"/>
            <w:tcBorders>
              <w:top w:val="nil"/>
              <w:left w:val="single" w:sz="4" w:space="0" w:color="auto"/>
              <w:bottom w:val="single" w:sz="4" w:space="0" w:color="auto"/>
              <w:right w:val="single" w:sz="4" w:space="0" w:color="auto"/>
            </w:tcBorders>
            <w:vAlign w:val="center"/>
            <w:hideMark/>
          </w:tcPr>
          <w:p w14:paraId="45833F59" w14:textId="77777777"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K = I × $390</w:t>
            </w:r>
          </w:p>
        </w:tc>
        <w:tc>
          <w:tcPr>
            <w:tcW w:w="865" w:type="pct"/>
            <w:tcBorders>
              <w:top w:val="nil"/>
              <w:left w:val="nil"/>
              <w:bottom w:val="single" w:sz="4" w:space="0" w:color="auto"/>
              <w:right w:val="single" w:sz="4" w:space="0" w:color="auto"/>
            </w:tcBorders>
            <w:vAlign w:val="center"/>
            <w:hideMark/>
          </w:tcPr>
          <w:p w14:paraId="57221E09" w14:textId="008B2BC3" w:rsidR="002D38DA" w:rsidRPr="006B614B" w:rsidRDefault="002D38DA" w:rsidP="00D56BF2">
            <w:pPr>
              <w:spacing w:before="0" w:after="0" w:line="240" w:lineRule="auto"/>
              <w:rPr>
                <w:rFonts w:ascii="Arial Narrow" w:eastAsia="Times New Roman" w:hAnsi="Arial Narrow" w:cstheme="minorHAnsi"/>
                <w:color w:val="000000"/>
                <w:sz w:val="20"/>
                <w:szCs w:val="20"/>
                <w:lang w:eastAsia="en-AU"/>
              </w:rPr>
            </w:pPr>
            <w:r w:rsidRPr="006B614B">
              <w:rPr>
                <w:rFonts w:ascii="Arial Narrow" w:eastAsia="Times New Roman" w:hAnsi="Arial Narrow" w:cstheme="minorHAnsi"/>
                <w:color w:val="000000"/>
                <w:sz w:val="20"/>
                <w:szCs w:val="20"/>
                <w:lang w:eastAsia="en-AU"/>
              </w:rPr>
              <w:t xml:space="preserve">Estimated cost offset to patients (out-of-pocket) with CM (corticosteroid injections) when using </w:t>
            </w:r>
            <w:r>
              <w:rPr>
                <w:rFonts w:ascii="Arial Narrow" w:eastAsia="Times New Roman" w:hAnsi="Arial Narrow" w:cstheme="minorHAnsi"/>
                <w:color w:val="000000"/>
                <w:sz w:val="20"/>
                <w:szCs w:val="20"/>
                <w:lang w:eastAsia="en-AU"/>
              </w:rPr>
              <w:t>BCI</w:t>
            </w:r>
            <w:r w:rsidRPr="006B614B">
              <w:rPr>
                <w:rFonts w:ascii="Arial Narrow" w:eastAsia="Times New Roman" w:hAnsi="Arial Narrow" w:cstheme="minorHAnsi"/>
                <w:color w:val="000000"/>
                <w:sz w:val="20"/>
                <w:szCs w:val="20"/>
                <w:lang w:eastAsia="en-AU"/>
              </w:rPr>
              <w:t>- second year - ($,000)</w:t>
            </w:r>
          </w:p>
        </w:tc>
        <w:tc>
          <w:tcPr>
            <w:tcW w:w="702" w:type="pct"/>
            <w:tcBorders>
              <w:top w:val="nil"/>
              <w:left w:val="nil"/>
              <w:bottom w:val="single" w:sz="4" w:space="0" w:color="auto"/>
              <w:right w:val="single" w:sz="4" w:space="0" w:color="auto"/>
            </w:tcBorders>
            <w:hideMark/>
          </w:tcPr>
          <w:p w14:paraId="52E71DE7" w14:textId="78872B62"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07731092" w14:textId="3CF59792"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644F68DC" w14:textId="74189185"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5576A620" w14:textId="0C75FB81"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43CFEA2C" w14:textId="5FE8D99A"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c>
          <w:tcPr>
            <w:tcW w:w="593" w:type="pct"/>
            <w:tcBorders>
              <w:top w:val="nil"/>
              <w:left w:val="nil"/>
              <w:bottom w:val="single" w:sz="4" w:space="0" w:color="auto"/>
              <w:right w:val="single" w:sz="4" w:space="0" w:color="auto"/>
            </w:tcBorders>
            <w:hideMark/>
          </w:tcPr>
          <w:p w14:paraId="1A577DF1" w14:textId="3EE70A05" w:rsidR="002D38DA" w:rsidRPr="000A43E8" w:rsidRDefault="00590D3E" w:rsidP="00D56BF2">
            <w:pPr>
              <w:spacing w:before="0" w:after="0" w:line="240" w:lineRule="auto"/>
              <w:jc w:val="right"/>
              <w:rPr>
                <w:rFonts w:ascii="Arial Narrow" w:eastAsia="Times New Roman" w:hAnsi="Arial Narrow" w:cstheme="minorHAnsi"/>
                <w:b/>
                <w:bCs/>
                <w:color w:val="000000"/>
                <w:sz w:val="20"/>
                <w:szCs w:val="20"/>
                <w:lang w:eastAsia="en-AU"/>
              </w:rPr>
            </w:pPr>
            <w:r w:rsidRPr="00CE67D0">
              <w:rPr>
                <w:rFonts w:ascii="Arial Narrow" w:hAnsi="Arial Narrow"/>
                <w:b/>
                <w:bCs/>
                <w:color w:val="000000" w:themeColor="text1"/>
              </w:rPr>
              <w:t>$</w:t>
            </w:r>
            <w:r w:rsidR="002D38DA" w:rsidRPr="00CE67D0">
              <w:rPr>
                <w:rFonts w:ascii="Arial Narrow" w:hAnsi="Arial Narrow"/>
                <w:b/>
                <w:bCs/>
                <w:color w:val="000000" w:themeColor="text1"/>
              </w:rPr>
              <w:t>redacted</w:t>
            </w:r>
          </w:p>
        </w:tc>
      </w:tr>
      <w:tr w:rsidR="00CE67D0" w:rsidRPr="006B614B" w14:paraId="7DBC2CC7" w14:textId="77777777" w:rsidTr="00D56BF2">
        <w:trPr>
          <w:cantSplit/>
          <w:trHeight w:val="277"/>
        </w:trPr>
        <w:tc>
          <w:tcPr>
            <w:tcW w:w="469" w:type="pct"/>
            <w:tcBorders>
              <w:top w:val="nil"/>
              <w:left w:val="single" w:sz="4" w:space="0" w:color="auto"/>
              <w:bottom w:val="single" w:sz="4" w:space="0" w:color="auto"/>
              <w:right w:val="single" w:sz="4" w:space="0" w:color="auto"/>
            </w:tcBorders>
            <w:vAlign w:val="center"/>
            <w:hideMark/>
          </w:tcPr>
          <w:p w14:paraId="45901BC8" w14:textId="77777777" w:rsidR="002D38DA" w:rsidRPr="006B614B" w:rsidRDefault="002D38DA" w:rsidP="00D56BF2">
            <w:pPr>
              <w:spacing w:before="0" w:after="0" w:line="240" w:lineRule="auto"/>
              <w:rPr>
                <w:rFonts w:ascii="Arial Narrow" w:eastAsia="Times New Roman" w:hAnsi="Arial Narrow" w:cstheme="minorHAnsi"/>
                <w:b/>
                <w:bCs/>
                <w:color w:val="000000"/>
                <w:sz w:val="20"/>
                <w:szCs w:val="20"/>
                <w:lang w:eastAsia="en-AU"/>
              </w:rPr>
            </w:pPr>
            <w:r w:rsidRPr="006B614B">
              <w:rPr>
                <w:rFonts w:ascii="Arial Narrow" w:eastAsia="Times New Roman" w:hAnsi="Arial Narrow" w:cstheme="minorHAnsi"/>
                <w:b/>
                <w:bCs/>
                <w:color w:val="000000"/>
                <w:sz w:val="20"/>
                <w:szCs w:val="20"/>
                <w:lang w:eastAsia="en-AU"/>
              </w:rPr>
              <w:t>K = C + E + G + J</w:t>
            </w:r>
          </w:p>
        </w:tc>
        <w:tc>
          <w:tcPr>
            <w:tcW w:w="865" w:type="pct"/>
            <w:tcBorders>
              <w:top w:val="nil"/>
              <w:left w:val="nil"/>
              <w:bottom w:val="single" w:sz="4" w:space="0" w:color="auto"/>
              <w:right w:val="single" w:sz="4" w:space="0" w:color="auto"/>
            </w:tcBorders>
            <w:vAlign w:val="center"/>
            <w:hideMark/>
          </w:tcPr>
          <w:p w14:paraId="4486A218" w14:textId="761A829F" w:rsidR="002D38DA" w:rsidRPr="006B614B" w:rsidRDefault="002D38DA" w:rsidP="00D56BF2">
            <w:pPr>
              <w:spacing w:before="0" w:after="0" w:line="240" w:lineRule="auto"/>
              <w:rPr>
                <w:rFonts w:ascii="Arial Narrow" w:eastAsia="Times New Roman" w:hAnsi="Arial Narrow" w:cstheme="minorHAnsi"/>
                <w:b/>
                <w:bCs/>
                <w:color w:val="000000"/>
                <w:sz w:val="20"/>
                <w:szCs w:val="20"/>
                <w:lang w:eastAsia="en-AU"/>
              </w:rPr>
            </w:pPr>
            <w:r w:rsidRPr="006B614B">
              <w:rPr>
                <w:rFonts w:ascii="Arial Narrow" w:eastAsia="Times New Roman" w:hAnsi="Arial Narrow" w:cstheme="minorHAnsi"/>
                <w:b/>
                <w:bCs/>
                <w:color w:val="000000"/>
                <w:sz w:val="20"/>
                <w:szCs w:val="20"/>
                <w:lang w:eastAsia="en-AU"/>
              </w:rPr>
              <w:t xml:space="preserve">Total savings to patients when using </w:t>
            </w:r>
            <w:r>
              <w:rPr>
                <w:rFonts w:ascii="Arial Narrow" w:eastAsia="Times New Roman" w:hAnsi="Arial Narrow" w:cstheme="minorHAnsi"/>
                <w:b/>
                <w:bCs/>
                <w:color w:val="000000"/>
                <w:sz w:val="20"/>
                <w:szCs w:val="20"/>
                <w:lang w:eastAsia="en-AU"/>
              </w:rPr>
              <w:t>BCI</w:t>
            </w:r>
            <w:r w:rsidRPr="006B614B">
              <w:rPr>
                <w:rFonts w:ascii="Arial Narrow" w:eastAsia="Times New Roman" w:hAnsi="Arial Narrow" w:cstheme="minorHAnsi"/>
                <w:b/>
                <w:bCs/>
                <w:color w:val="000000"/>
                <w:sz w:val="20"/>
                <w:szCs w:val="20"/>
                <w:lang w:eastAsia="en-AU"/>
              </w:rPr>
              <w:t xml:space="preserve"> - ($,000)</w:t>
            </w:r>
          </w:p>
        </w:tc>
        <w:tc>
          <w:tcPr>
            <w:tcW w:w="702" w:type="pct"/>
            <w:tcBorders>
              <w:top w:val="nil"/>
              <w:left w:val="nil"/>
              <w:bottom w:val="single" w:sz="4" w:space="0" w:color="auto"/>
              <w:right w:val="single" w:sz="4" w:space="0" w:color="auto"/>
            </w:tcBorders>
            <w:hideMark/>
          </w:tcPr>
          <w:p w14:paraId="7C0555C5" w14:textId="4BEFA3CF" w:rsidR="002D38DA" w:rsidRPr="000A43E8" w:rsidRDefault="002D38DA" w:rsidP="00D56BF2">
            <w:pPr>
              <w:spacing w:before="0" w:after="0" w:line="240" w:lineRule="auto"/>
              <w:jc w:val="right"/>
              <w:rPr>
                <w:rFonts w:ascii="Arial Narrow" w:eastAsia="Times New Roman" w:hAnsi="Arial Narrow" w:cstheme="minorHAnsi"/>
                <w:b/>
                <w:bCs/>
                <w:color w:val="000000"/>
                <w:sz w:val="20"/>
                <w:szCs w:val="20"/>
                <w:lang w:eastAsia="en-AU"/>
              </w:rPr>
            </w:pPr>
            <w:r w:rsidRPr="000A43E8">
              <w:rPr>
                <w:rFonts w:ascii="Arial Narrow" w:hAnsi="Arial Narrow" w:cs="Calibri"/>
                <w:b/>
                <w:color w:val="000000"/>
                <w:sz w:val="20"/>
                <w:szCs w:val="20"/>
              </w:rPr>
              <w:t>$</w:t>
            </w:r>
            <w:r w:rsidRPr="000A43E8">
              <w:rPr>
                <w:rFonts w:ascii="Arial Narrow" w:hAnsi="Arial Narrow" w:cs="Calibri"/>
                <w:b/>
                <w:bCs/>
                <w:color w:val="000000"/>
                <w:sz w:val="20"/>
                <w:szCs w:val="20"/>
              </w:rPr>
              <w:t>63</w:t>
            </w:r>
          </w:p>
        </w:tc>
        <w:tc>
          <w:tcPr>
            <w:tcW w:w="593" w:type="pct"/>
            <w:tcBorders>
              <w:top w:val="nil"/>
              <w:left w:val="nil"/>
              <w:bottom w:val="single" w:sz="4" w:space="0" w:color="auto"/>
              <w:right w:val="single" w:sz="4" w:space="0" w:color="auto"/>
            </w:tcBorders>
            <w:hideMark/>
          </w:tcPr>
          <w:p w14:paraId="73B86BB6" w14:textId="1EACF03E" w:rsidR="002D38DA" w:rsidRPr="000A43E8" w:rsidRDefault="002D38DA" w:rsidP="00D56BF2">
            <w:pPr>
              <w:spacing w:before="0" w:after="0" w:line="240" w:lineRule="auto"/>
              <w:jc w:val="right"/>
              <w:rPr>
                <w:rFonts w:ascii="Arial Narrow" w:eastAsia="Times New Roman" w:hAnsi="Arial Narrow" w:cstheme="minorHAnsi"/>
                <w:b/>
                <w:bCs/>
                <w:color w:val="000000"/>
                <w:sz w:val="20"/>
                <w:szCs w:val="20"/>
                <w:lang w:eastAsia="en-AU"/>
              </w:rPr>
            </w:pPr>
            <w:r w:rsidRPr="000A43E8">
              <w:rPr>
                <w:rFonts w:ascii="Arial Narrow" w:hAnsi="Arial Narrow" w:cs="Calibri"/>
                <w:b/>
                <w:color w:val="000000"/>
                <w:sz w:val="20"/>
                <w:szCs w:val="20"/>
              </w:rPr>
              <w:t>$</w:t>
            </w:r>
            <w:r w:rsidRPr="000A43E8">
              <w:rPr>
                <w:rFonts w:ascii="Arial Narrow" w:hAnsi="Arial Narrow" w:cs="Calibri"/>
                <w:b/>
                <w:bCs/>
                <w:color w:val="000000"/>
                <w:sz w:val="20"/>
                <w:szCs w:val="20"/>
              </w:rPr>
              <w:t>153</w:t>
            </w:r>
          </w:p>
        </w:tc>
        <w:tc>
          <w:tcPr>
            <w:tcW w:w="593" w:type="pct"/>
            <w:tcBorders>
              <w:top w:val="nil"/>
              <w:left w:val="nil"/>
              <w:bottom w:val="single" w:sz="4" w:space="0" w:color="auto"/>
              <w:right w:val="single" w:sz="4" w:space="0" w:color="auto"/>
            </w:tcBorders>
            <w:hideMark/>
          </w:tcPr>
          <w:p w14:paraId="05091CC8" w14:textId="128C350E" w:rsidR="002D38DA" w:rsidRPr="000A43E8" w:rsidRDefault="002D38DA" w:rsidP="00D56BF2">
            <w:pPr>
              <w:spacing w:before="0" w:after="0" w:line="240" w:lineRule="auto"/>
              <w:jc w:val="right"/>
              <w:rPr>
                <w:rFonts w:ascii="Arial Narrow" w:eastAsia="Times New Roman" w:hAnsi="Arial Narrow" w:cstheme="minorHAnsi"/>
                <w:b/>
                <w:bCs/>
                <w:color w:val="000000"/>
                <w:sz w:val="20"/>
                <w:szCs w:val="20"/>
                <w:lang w:eastAsia="en-AU"/>
              </w:rPr>
            </w:pPr>
            <w:r w:rsidRPr="000A43E8">
              <w:rPr>
                <w:rFonts w:ascii="Arial Narrow" w:hAnsi="Arial Narrow" w:cs="Calibri"/>
                <w:b/>
                <w:bCs/>
                <w:color w:val="000000"/>
                <w:sz w:val="20"/>
                <w:szCs w:val="20"/>
              </w:rPr>
              <w:t>$246</w:t>
            </w:r>
          </w:p>
        </w:tc>
        <w:tc>
          <w:tcPr>
            <w:tcW w:w="593" w:type="pct"/>
            <w:tcBorders>
              <w:top w:val="nil"/>
              <w:left w:val="nil"/>
              <w:bottom w:val="single" w:sz="4" w:space="0" w:color="auto"/>
              <w:right w:val="single" w:sz="4" w:space="0" w:color="auto"/>
            </w:tcBorders>
            <w:hideMark/>
          </w:tcPr>
          <w:p w14:paraId="49A1DB47" w14:textId="27DC2491" w:rsidR="002D38DA" w:rsidRPr="000A43E8" w:rsidRDefault="002D38DA" w:rsidP="00D56BF2">
            <w:pPr>
              <w:spacing w:before="0" w:after="0" w:line="240" w:lineRule="auto"/>
              <w:jc w:val="right"/>
              <w:rPr>
                <w:rFonts w:ascii="Arial Narrow" w:eastAsia="Times New Roman" w:hAnsi="Arial Narrow" w:cstheme="minorHAnsi"/>
                <w:b/>
                <w:bCs/>
                <w:color w:val="000000"/>
                <w:sz w:val="20"/>
                <w:szCs w:val="20"/>
                <w:lang w:eastAsia="en-AU"/>
              </w:rPr>
            </w:pPr>
            <w:r w:rsidRPr="000A43E8">
              <w:rPr>
                <w:rFonts w:ascii="Arial Narrow" w:hAnsi="Arial Narrow" w:cs="Calibri"/>
                <w:b/>
                <w:bCs/>
                <w:color w:val="000000"/>
                <w:sz w:val="20"/>
                <w:szCs w:val="20"/>
              </w:rPr>
              <w:t>$341</w:t>
            </w:r>
          </w:p>
        </w:tc>
        <w:tc>
          <w:tcPr>
            <w:tcW w:w="593" w:type="pct"/>
            <w:tcBorders>
              <w:top w:val="nil"/>
              <w:left w:val="nil"/>
              <w:bottom w:val="single" w:sz="4" w:space="0" w:color="auto"/>
              <w:right w:val="single" w:sz="4" w:space="0" w:color="auto"/>
            </w:tcBorders>
            <w:hideMark/>
          </w:tcPr>
          <w:p w14:paraId="61661C97" w14:textId="62F9199C" w:rsidR="002D38DA" w:rsidRPr="000A43E8" w:rsidRDefault="002D38DA" w:rsidP="00D56BF2">
            <w:pPr>
              <w:spacing w:before="0" w:after="0" w:line="240" w:lineRule="auto"/>
              <w:jc w:val="right"/>
              <w:rPr>
                <w:rFonts w:ascii="Arial Narrow" w:eastAsia="Times New Roman" w:hAnsi="Arial Narrow" w:cstheme="minorHAnsi"/>
                <w:b/>
                <w:bCs/>
                <w:color w:val="000000"/>
                <w:sz w:val="20"/>
                <w:szCs w:val="20"/>
                <w:lang w:eastAsia="en-AU"/>
              </w:rPr>
            </w:pPr>
            <w:r w:rsidRPr="000A43E8">
              <w:rPr>
                <w:rFonts w:ascii="Arial Narrow" w:hAnsi="Arial Narrow" w:cs="Calibri"/>
                <w:b/>
                <w:bCs/>
                <w:color w:val="000000"/>
                <w:sz w:val="20"/>
                <w:szCs w:val="20"/>
              </w:rPr>
              <w:t>$439</w:t>
            </w:r>
          </w:p>
        </w:tc>
        <w:tc>
          <w:tcPr>
            <w:tcW w:w="593" w:type="pct"/>
            <w:tcBorders>
              <w:top w:val="nil"/>
              <w:left w:val="nil"/>
              <w:bottom w:val="single" w:sz="4" w:space="0" w:color="auto"/>
              <w:right w:val="single" w:sz="4" w:space="0" w:color="auto"/>
            </w:tcBorders>
            <w:hideMark/>
          </w:tcPr>
          <w:p w14:paraId="2563B8FB" w14:textId="16D847CA" w:rsidR="002D38DA" w:rsidRPr="000A43E8" w:rsidRDefault="002D38DA" w:rsidP="00D56BF2">
            <w:pPr>
              <w:spacing w:before="0" w:after="0" w:line="240" w:lineRule="auto"/>
              <w:jc w:val="right"/>
              <w:rPr>
                <w:rFonts w:ascii="Arial Narrow" w:eastAsia="Times New Roman" w:hAnsi="Arial Narrow" w:cstheme="minorHAnsi"/>
                <w:b/>
                <w:bCs/>
                <w:color w:val="000000"/>
                <w:sz w:val="20"/>
                <w:szCs w:val="20"/>
                <w:lang w:eastAsia="en-AU"/>
              </w:rPr>
            </w:pPr>
            <w:r w:rsidRPr="000A43E8">
              <w:rPr>
                <w:rFonts w:ascii="Arial Narrow" w:hAnsi="Arial Narrow" w:cs="Calibri"/>
                <w:b/>
                <w:bCs/>
                <w:color w:val="000000"/>
                <w:sz w:val="20"/>
                <w:szCs w:val="20"/>
              </w:rPr>
              <w:t>$540</w:t>
            </w:r>
          </w:p>
        </w:tc>
      </w:tr>
    </w:tbl>
    <w:p w14:paraId="615811B6" w14:textId="7033AEFE" w:rsidR="00044151" w:rsidRDefault="00044151" w:rsidP="00D56BF2">
      <w:pPr>
        <w:pStyle w:val="TableFooter"/>
      </w:pPr>
      <w:r>
        <w:t>Source: Table 70 p 164 of the ADAR</w:t>
      </w:r>
    </w:p>
    <w:p w14:paraId="45ACE2C9" w14:textId="1FA73968" w:rsidR="00044151" w:rsidRDefault="00044151" w:rsidP="00D56BF2">
      <w:pPr>
        <w:pStyle w:val="TableFooter"/>
      </w:pPr>
      <w:r>
        <w:t xml:space="preserve">Abbreviations: </w:t>
      </w:r>
      <w:r w:rsidR="00D221A8">
        <w:t>BCI</w:t>
      </w:r>
      <w:r>
        <w:t xml:space="preserve"> = </w:t>
      </w:r>
      <w:proofErr w:type="spellStart"/>
      <w:r w:rsidR="00611C7A">
        <w:t>bioinductive</w:t>
      </w:r>
      <w:proofErr w:type="spellEnd"/>
      <w:r w:rsidR="00611C7A">
        <w:t xml:space="preserve"> collagen </w:t>
      </w:r>
      <w:r w:rsidR="00133023">
        <w:t>implant;</w:t>
      </w:r>
      <w:r>
        <w:t xml:space="preserve"> CM = conservative management; RCT = rotator cuff tear; RTSA = </w:t>
      </w:r>
      <w:r w:rsidRPr="009370EC">
        <w:t xml:space="preserve">reverse total shoulder </w:t>
      </w:r>
    </w:p>
    <w:p w14:paraId="769E6FAA" w14:textId="5129F0E6" w:rsidR="005C7EE3" w:rsidRDefault="00BF25BC" w:rsidP="00A23DAD">
      <w:r>
        <w:t xml:space="preserve">The </w:t>
      </w:r>
      <w:r w:rsidR="00F05644">
        <w:t>financial impact on PHI, MBS, and patients was uncertain</w:t>
      </w:r>
      <w:r w:rsidR="00DC5841">
        <w:t xml:space="preserve"> as </w:t>
      </w:r>
      <w:r w:rsidR="00F05644">
        <w:t>the data used to estimate the proportion of patients undergoing different management options following a retear—such as revision rotator cuff repair, reverse total shoulder arthroplasty, and conservative management—</w:t>
      </w:r>
      <w:r w:rsidR="003B0960">
        <w:t xml:space="preserve"> </w:t>
      </w:r>
      <w:r w:rsidR="0050596B">
        <w:t>was based on Truong et al, 2021</w:t>
      </w:r>
      <w:r>
        <w:t xml:space="preserve"> </w:t>
      </w:r>
      <w:r w:rsidR="009630FE">
        <w:t xml:space="preserve">and relied </w:t>
      </w:r>
      <w:r>
        <w:t xml:space="preserve">on an assumption of underlying difference in clinical outcomes between </w:t>
      </w:r>
      <w:r w:rsidR="005E667E">
        <w:t xml:space="preserve">treatments which was not supported by evidence from the key clinical trial (Ruiz </w:t>
      </w:r>
      <w:proofErr w:type="spellStart"/>
      <w:r w:rsidR="007F47D3" w:rsidRPr="00BB05DE">
        <w:t>Ibán</w:t>
      </w:r>
      <w:proofErr w:type="spellEnd"/>
      <w:r w:rsidR="005E667E">
        <w:t xml:space="preserve"> et al 2025)</w:t>
      </w:r>
      <w:r w:rsidR="00F05644">
        <w:t>.</w:t>
      </w:r>
    </w:p>
    <w:p w14:paraId="10F2FF9E" w14:textId="77777777" w:rsidR="00BE0331" w:rsidRPr="00D31140" w:rsidRDefault="00BE0331" w:rsidP="0062012F">
      <w:pPr>
        <w:pStyle w:val="Heading4"/>
        <w:spacing w:before="0" w:after="120"/>
      </w:pPr>
      <w:r w:rsidRPr="00D31140">
        <w:t>Uncertainty analyses of financial estimates</w:t>
      </w:r>
    </w:p>
    <w:p w14:paraId="55451B67" w14:textId="388B3ED9" w:rsidR="00BE0331" w:rsidRPr="00D31140" w:rsidRDefault="00BE0331" w:rsidP="00BE0331">
      <w:pPr>
        <w:jc w:val="both"/>
      </w:pPr>
      <w:r w:rsidRPr="00D31140">
        <w:t xml:space="preserve">The </w:t>
      </w:r>
      <w:r>
        <w:t>ADAR</w:t>
      </w:r>
      <w:r w:rsidRPr="00D31140">
        <w:t xml:space="preserve"> presented uncertainty analys</w:t>
      </w:r>
      <w:r>
        <w:t>e</w:t>
      </w:r>
      <w:r w:rsidRPr="00D31140">
        <w:t>s based on key input parameters (</w:t>
      </w:r>
      <w:r w:rsidR="00335558">
        <w:fldChar w:fldCharType="begin"/>
      </w:r>
      <w:r w:rsidR="00335558">
        <w:instrText xml:space="preserve"> REF _Ref197536949 \h </w:instrText>
      </w:r>
      <w:r w:rsidR="00335558">
        <w:fldChar w:fldCharType="separate"/>
      </w:r>
      <w:r w:rsidR="006C5423">
        <w:fldChar w:fldCharType="begin"/>
      </w:r>
      <w:r w:rsidR="006C5423">
        <w:instrText xml:space="preserve"> REF _Ref214894728 \h </w:instrText>
      </w:r>
      <w:r w:rsidR="006C5423">
        <w:fldChar w:fldCharType="separate"/>
      </w:r>
      <w:r w:rsidR="006C5423">
        <w:t xml:space="preserve">Table </w:t>
      </w:r>
      <w:r w:rsidR="006C5423">
        <w:rPr>
          <w:noProof/>
        </w:rPr>
        <w:t>19</w:t>
      </w:r>
      <w:r w:rsidR="006C5423">
        <w:fldChar w:fldCharType="end"/>
      </w:r>
      <w:r w:rsidR="00335558">
        <w:fldChar w:fldCharType="end"/>
      </w:r>
      <w:r w:rsidRPr="00D31140">
        <w:t xml:space="preserve">). </w:t>
      </w:r>
    </w:p>
    <w:p w14:paraId="0DB265C5" w14:textId="06EBB754" w:rsidR="004B28A6" w:rsidRDefault="00564C3F" w:rsidP="00564C3F">
      <w:pPr>
        <w:pStyle w:val="Caption"/>
      </w:pPr>
      <w:bookmarkStart w:id="58" w:name="_Ref214894728"/>
      <w:bookmarkStart w:id="59" w:name="_Ref197536944"/>
      <w:r>
        <w:lastRenderedPageBreak/>
        <w:t xml:space="preserve">Table </w:t>
      </w:r>
      <w:r>
        <w:fldChar w:fldCharType="begin"/>
      </w:r>
      <w:r>
        <w:instrText xml:space="preserve"> SEQ Table \* ARABIC </w:instrText>
      </w:r>
      <w:r>
        <w:fldChar w:fldCharType="separate"/>
      </w:r>
      <w:r>
        <w:rPr>
          <w:noProof/>
        </w:rPr>
        <w:t>19</w:t>
      </w:r>
      <w:r>
        <w:fldChar w:fldCharType="end"/>
      </w:r>
      <w:bookmarkEnd w:id="58"/>
      <w:r>
        <w:tab/>
      </w:r>
      <w:r w:rsidR="004B28A6">
        <w:t>Sensitivity analysis of the t</w:t>
      </w:r>
      <w:r w:rsidR="004B28A6" w:rsidRPr="00B622FB">
        <w:t xml:space="preserve">otal costs to private health insurers to fund </w:t>
      </w:r>
      <w:bookmarkEnd w:id="59"/>
      <w:r w:rsidR="00B65EA4">
        <w:t>BCI</w:t>
      </w:r>
    </w:p>
    <w:tbl>
      <w:tblPr>
        <w:tblW w:w="5000" w:type="pct"/>
        <w:tblLayout w:type="fixed"/>
        <w:tblCellMar>
          <w:left w:w="57" w:type="dxa"/>
          <w:right w:w="57" w:type="dxa"/>
        </w:tblCellMar>
        <w:tblLook w:val="04A0" w:firstRow="1" w:lastRow="0" w:firstColumn="1" w:lastColumn="0" w:noHBand="0" w:noVBand="1"/>
      </w:tblPr>
      <w:tblGrid>
        <w:gridCol w:w="2819"/>
        <w:gridCol w:w="1023"/>
        <w:gridCol w:w="1022"/>
        <w:gridCol w:w="1022"/>
        <w:gridCol w:w="1022"/>
        <w:gridCol w:w="1055"/>
        <w:gridCol w:w="1053"/>
      </w:tblGrid>
      <w:tr w:rsidR="00F61DB7" w:rsidRPr="004E315C" w14:paraId="16B4BC40" w14:textId="77777777">
        <w:trPr>
          <w:trHeight w:val="576"/>
          <w:tblHeader/>
        </w:trPr>
        <w:tc>
          <w:tcPr>
            <w:tcW w:w="156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12147A1" w14:textId="77777777" w:rsidR="00F61DB7" w:rsidRPr="004E315C" w:rsidRDefault="00F61DB7" w:rsidP="00865ECD">
            <w:pPr>
              <w:keepNext/>
              <w:keepLines/>
              <w:spacing w:before="0" w:after="0" w:line="240" w:lineRule="auto"/>
              <w:rPr>
                <w:rFonts w:ascii="Arial Narrow" w:eastAsia="Times New Roman" w:hAnsi="Arial Narrow" w:cstheme="minorHAnsi"/>
                <w:b/>
                <w:color w:val="000000"/>
                <w:sz w:val="20"/>
                <w:szCs w:val="20"/>
                <w:lang w:eastAsia="en-AU"/>
              </w:rPr>
            </w:pPr>
            <w:bookmarkStart w:id="60" w:name="_Toc69491427"/>
            <w:r w:rsidRPr="004E315C">
              <w:rPr>
                <w:rFonts w:ascii="Arial Narrow" w:eastAsia="Times New Roman" w:hAnsi="Arial Narrow" w:cstheme="minorHAnsi"/>
                <w:b/>
                <w:color w:val="000000"/>
                <w:sz w:val="20"/>
                <w:szCs w:val="20"/>
                <w:lang w:eastAsia="en-AU"/>
              </w:rPr>
              <w:t>Parameter</w:t>
            </w:r>
          </w:p>
        </w:tc>
        <w:tc>
          <w:tcPr>
            <w:tcW w:w="567" w:type="pct"/>
            <w:tcBorders>
              <w:top w:val="single" w:sz="4" w:space="0" w:color="auto"/>
              <w:left w:val="nil"/>
              <w:bottom w:val="single" w:sz="4" w:space="0" w:color="auto"/>
              <w:right w:val="single" w:sz="4" w:space="0" w:color="auto"/>
            </w:tcBorders>
            <w:shd w:val="clear" w:color="000000" w:fill="F2F2F2"/>
            <w:vAlign w:val="center"/>
            <w:hideMark/>
          </w:tcPr>
          <w:p w14:paraId="74C59AFD" w14:textId="77777777" w:rsidR="00F61DB7" w:rsidRPr="004E315C" w:rsidRDefault="00F61DB7" w:rsidP="00865ECD">
            <w:pPr>
              <w:keepNext/>
              <w:keepLines/>
              <w:spacing w:before="0" w:after="0" w:line="240" w:lineRule="auto"/>
              <w:jc w:val="center"/>
              <w:rPr>
                <w:rFonts w:ascii="Arial Narrow" w:eastAsia="Times New Roman" w:hAnsi="Arial Narrow" w:cstheme="minorHAnsi"/>
                <w:b/>
                <w:color w:val="000000"/>
                <w:sz w:val="20"/>
                <w:szCs w:val="20"/>
                <w:lang w:eastAsia="en-AU"/>
              </w:rPr>
            </w:pPr>
            <w:r w:rsidRPr="004E315C">
              <w:rPr>
                <w:rFonts w:ascii="Arial Narrow" w:eastAsia="Times New Roman" w:hAnsi="Arial Narrow" w:cstheme="minorHAnsi"/>
                <w:b/>
                <w:color w:val="000000"/>
                <w:sz w:val="20"/>
                <w:szCs w:val="20"/>
                <w:lang w:eastAsia="en-AU"/>
              </w:rPr>
              <w:t>Year 1</w:t>
            </w:r>
            <w:r w:rsidRPr="004E315C">
              <w:rPr>
                <w:rFonts w:ascii="Arial Narrow" w:eastAsia="Times New Roman" w:hAnsi="Arial Narrow" w:cstheme="minorHAnsi"/>
                <w:b/>
                <w:color w:val="000000"/>
                <w:sz w:val="20"/>
                <w:szCs w:val="20"/>
                <w:lang w:eastAsia="en-AU"/>
              </w:rPr>
              <w:br/>
              <w:t>(2025)</w:t>
            </w:r>
          </w:p>
        </w:tc>
        <w:tc>
          <w:tcPr>
            <w:tcW w:w="567" w:type="pct"/>
            <w:tcBorders>
              <w:top w:val="single" w:sz="4" w:space="0" w:color="auto"/>
              <w:left w:val="nil"/>
              <w:bottom w:val="single" w:sz="4" w:space="0" w:color="auto"/>
              <w:right w:val="single" w:sz="4" w:space="0" w:color="auto"/>
            </w:tcBorders>
            <w:shd w:val="clear" w:color="000000" w:fill="F2F2F2"/>
            <w:vAlign w:val="center"/>
            <w:hideMark/>
          </w:tcPr>
          <w:p w14:paraId="5BD7E242" w14:textId="77777777" w:rsidR="00F61DB7" w:rsidRPr="004E315C" w:rsidRDefault="00F61DB7" w:rsidP="00865ECD">
            <w:pPr>
              <w:keepNext/>
              <w:keepLines/>
              <w:spacing w:before="0" w:after="0" w:line="240" w:lineRule="auto"/>
              <w:jc w:val="center"/>
              <w:rPr>
                <w:rFonts w:ascii="Arial Narrow" w:eastAsia="Times New Roman" w:hAnsi="Arial Narrow" w:cstheme="minorHAnsi"/>
                <w:b/>
                <w:color w:val="000000"/>
                <w:sz w:val="20"/>
                <w:szCs w:val="20"/>
                <w:lang w:eastAsia="en-AU"/>
              </w:rPr>
            </w:pPr>
            <w:r w:rsidRPr="004E315C">
              <w:rPr>
                <w:rFonts w:ascii="Arial Narrow" w:eastAsia="Times New Roman" w:hAnsi="Arial Narrow" w:cstheme="minorHAnsi"/>
                <w:b/>
                <w:color w:val="000000"/>
                <w:sz w:val="20"/>
                <w:szCs w:val="20"/>
                <w:lang w:eastAsia="en-AU"/>
              </w:rPr>
              <w:t>Year 2</w:t>
            </w:r>
            <w:r w:rsidRPr="004E315C">
              <w:rPr>
                <w:rFonts w:ascii="Arial Narrow" w:eastAsia="Times New Roman" w:hAnsi="Arial Narrow" w:cstheme="minorHAnsi"/>
                <w:b/>
                <w:color w:val="000000"/>
                <w:sz w:val="20"/>
                <w:szCs w:val="20"/>
                <w:lang w:eastAsia="en-AU"/>
              </w:rPr>
              <w:br/>
              <w:t>(2026)</w:t>
            </w:r>
          </w:p>
        </w:tc>
        <w:tc>
          <w:tcPr>
            <w:tcW w:w="567" w:type="pct"/>
            <w:tcBorders>
              <w:top w:val="single" w:sz="4" w:space="0" w:color="auto"/>
              <w:left w:val="nil"/>
              <w:bottom w:val="single" w:sz="4" w:space="0" w:color="auto"/>
              <w:right w:val="single" w:sz="4" w:space="0" w:color="auto"/>
            </w:tcBorders>
            <w:shd w:val="clear" w:color="000000" w:fill="F2F2F2"/>
            <w:vAlign w:val="center"/>
            <w:hideMark/>
          </w:tcPr>
          <w:p w14:paraId="040FD738" w14:textId="77777777" w:rsidR="00F61DB7" w:rsidRPr="004E315C" w:rsidRDefault="00F61DB7" w:rsidP="00865ECD">
            <w:pPr>
              <w:keepNext/>
              <w:keepLines/>
              <w:spacing w:before="0" w:after="0" w:line="240" w:lineRule="auto"/>
              <w:jc w:val="center"/>
              <w:rPr>
                <w:rFonts w:ascii="Arial Narrow" w:eastAsia="Times New Roman" w:hAnsi="Arial Narrow" w:cstheme="minorHAnsi"/>
                <w:b/>
                <w:color w:val="000000"/>
                <w:sz w:val="20"/>
                <w:szCs w:val="20"/>
                <w:lang w:eastAsia="en-AU"/>
              </w:rPr>
            </w:pPr>
            <w:r w:rsidRPr="004E315C">
              <w:rPr>
                <w:rFonts w:ascii="Arial Narrow" w:eastAsia="Times New Roman" w:hAnsi="Arial Narrow" w:cstheme="minorHAnsi"/>
                <w:b/>
                <w:color w:val="000000"/>
                <w:sz w:val="20"/>
                <w:szCs w:val="20"/>
                <w:lang w:eastAsia="en-AU"/>
              </w:rPr>
              <w:t>Year 3</w:t>
            </w:r>
            <w:r w:rsidRPr="004E315C">
              <w:rPr>
                <w:rFonts w:ascii="Arial Narrow" w:eastAsia="Times New Roman" w:hAnsi="Arial Narrow" w:cstheme="minorHAnsi"/>
                <w:b/>
                <w:color w:val="000000"/>
                <w:sz w:val="20"/>
                <w:szCs w:val="20"/>
                <w:lang w:eastAsia="en-AU"/>
              </w:rPr>
              <w:br/>
              <w:t>(2027)</w:t>
            </w:r>
          </w:p>
        </w:tc>
        <w:tc>
          <w:tcPr>
            <w:tcW w:w="567" w:type="pct"/>
            <w:tcBorders>
              <w:top w:val="single" w:sz="4" w:space="0" w:color="auto"/>
              <w:left w:val="nil"/>
              <w:bottom w:val="single" w:sz="4" w:space="0" w:color="auto"/>
              <w:right w:val="single" w:sz="4" w:space="0" w:color="auto"/>
            </w:tcBorders>
            <w:shd w:val="clear" w:color="000000" w:fill="F2F2F2"/>
            <w:vAlign w:val="center"/>
            <w:hideMark/>
          </w:tcPr>
          <w:p w14:paraId="6EC03FA1" w14:textId="77777777" w:rsidR="00F61DB7" w:rsidRPr="004E315C" w:rsidRDefault="00F61DB7" w:rsidP="00865ECD">
            <w:pPr>
              <w:keepNext/>
              <w:keepLines/>
              <w:spacing w:before="0" w:after="0" w:line="240" w:lineRule="auto"/>
              <w:jc w:val="center"/>
              <w:rPr>
                <w:rFonts w:ascii="Arial Narrow" w:eastAsia="Times New Roman" w:hAnsi="Arial Narrow" w:cstheme="minorHAnsi"/>
                <w:b/>
                <w:color w:val="000000"/>
                <w:sz w:val="20"/>
                <w:szCs w:val="20"/>
                <w:lang w:eastAsia="en-AU"/>
              </w:rPr>
            </w:pPr>
            <w:r w:rsidRPr="004E315C">
              <w:rPr>
                <w:rFonts w:ascii="Arial Narrow" w:eastAsia="Times New Roman" w:hAnsi="Arial Narrow" w:cstheme="minorHAnsi"/>
                <w:b/>
                <w:color w:val="000000"/>
                <w:sz w:val="20"/>
                <w:szCs w:val="20"/>
                <w:lang w:eastAsia="en-AU"/>
              </w:rPr>
              <w:t>Year 4</w:t>
            </w:r>
            <w:r w:rsidRPr="004E315C">
              <w:rPr>
                <w:rFonts w:ascii="Arial Narrow" w:eastAsia="Times New Roman" w:hAnsi="Arial Narrow" w:cstheme="minorHAnsi"/>
                <w:b/>
                <w:color w:val="000000"/>
                <w:sz w:val="20"/>
                <w:szCs w:val="20"/>
                <w:lang w:eastAsia="en-AU"/>
              </w:rPr>
              <w:br/>
              <w:t>(2028)</w:t>
            </w:r>
          </w:p>
        </w:tc>
        <w:tc>
          <w:tcPr>
            <w:tcW w:w="585" w:type="pct"/>
            <w:tcBorders>
              <w:top w:val="single" w:sz="4" w:space="0" w:color="auto"/>
              <w:left w:val="nil"/>
              <w:bottom w:val="single" w:sz="4" w:space="0" w:color="auto"/>
              <w:right w:val="single" w:sz="4" w:space="0" w:color="auto"/>
            </w:tcBorders>
            <w:shd w:val="clear" w:color="000000" w:fill="F2F2F2"/>
            <w:vAlign w:val="center"/>
            <w:hideMark/>
          </w:tcPr>
          <w:p w14:paraId="6055FDD8" w14:textId="77777777" w:rsidR="00F61DB7" w:rsidRPr="004E315C" w:rsidRDefault="00F61DB7" w:rsidP="00865ECD">
            <w:pPr>
              <w:keepNext/>
              <w:keepLines/>
              <w:spacing w:before="0" w:after="0" w:line="240" w:lineRule="auto"/>
              <w:jc w:val="center"/>
              <w:rPr>
                <w:rFonts w:ascii="Arial Narrow" w:eastAsia="Times New Roman" w:hAnsi="Arial Narrow" w:cstheme="minorHAnsi"/>
                <w:b/>
                <w:color w:val="000000"/>
                <w:sz w:val="20"/>
                <w:szCs w:val="20"/>
                <w:lang w:eastAsia="en-AU"/>
              </w:rPr>
            </w:pPr>
            <w:r w:rsidRPr="004E315C">
              <w:rPr>
                <w:rFonts w:ascii="Arial Narrow" w:eastAsia="Times New Roman" w:hAnsi="Arial Narrow" w:cstheme="minorHAnsi"/>
                <w:b/>
                <w:color w:val="000000"/>
                <w:sz w:val="20"/>
                <w:szCs w:val="20"/>
                <w:lang w:eastAsia="en-AU"/>
              </w:rPr>
              <w:t>Year 5</w:t>
            </w:r>
            <w:r w:rsidRPr="004E315C">
              <w:rPr>
                <w:rFonts w:ascii="Arial Narrow" w:eastAsia="Times New Roman" w:hAnsi="Arial Narrow" w:cstheme="minorHAnsi"/>
                <w:b/>
                <w:color w:val="000000"/>
                <w:sz w:val="20"/>
                <w:szCs w:val="20"/>
                <w:lang w:eastAsia="en-AU"/>
              </w:rPr>
              <w:br/>
              <w:t>(2029)</w:t>
            </w:r>
          </w:p>
        </w:tc>
        <w:tc>
          <w:tcPr>
            <w:tcW w:w="584" w:type="pct"/>
            <w:tcBorders>
              <w:top w:val="single" w:sz="4" w:space="0" w:color="auto"/>
              <w:left w:val="nil"/>
              <w:bottom w:val="single" w:sz="4" w:space="0" w:color="auto"/>
              <w:right w:val="single" w:sz="4" w:space="0" w:color="auto"/>
            </w:tcBorders>
            <w:shd w:val="clear" w:color="000000" w:fill="F2F2F2"/>
            <w:vAlign w:val="center"/>
            <w:hideMark/>
          </w:tcPr>
          <w:p w14:paraId="5DF83922" w14:textId="77777777" w:rsidR="00F61DB7" w:rsidRPr="004E315C" w:rsidRDefault="00F61DB7" w:rsidP="00865ECD">
            <w:pPr>
              <w:keepNext/>
              <w:keepLines/>
              <w:spacing w:before="0" w:after="0" w:line="240" w:lineRule="auto"/>
              <w:jc w:val="center"/>
              <w:rPr>
                <w:rFonts w:ascii="Arial Narrow" w:eastAsia="Times New Roman" w:hAnsi="Arial Narrow" w:cstheme="minorHAnsi"/>
                <w:b/>
                <w:color w:val="000000"/>
                <w:sz w:val="20"/>
                <w:szCs w:val="20"/>
                <w:lang w:eastAsia="en-AU"/>
              </w:rPr>
            </w:pPr>
            <w:r w:rsidRPr="004E315C">
              <w:rPr>
                <w:rFonts w:ascii="Arial Narrow" w:eastAsia="Times New Roman" w:hAnsi="Arial Narrow" w:cstheme="minorHAnsi"/>
                <w:b/>
                <w:color w:val="000000"/>
                <w:sz w:val="20"/>
                <w:szCs w:val="20"/>
                <w:lang w:eastAsia="en-AU"/>
              </w:rPr>
              <w:t>Year 6</w:t>
            </w:r>
            <w:r w:rsidRPr="004E315C">
              <w:rPr>
                <w:rFonts w:ascii="Arial Narrow" w:eastAsia="Times New Roman" w:hAnsi="Arial Narrow" w:cstheme="minorHAnsi"/>
                <w:b/>
                <w:color w:val="000000"/>
                <w:sz w:val="20"/>
                <w:szCs w:val="20"/>
                <w:lang w:eastAsia="en-AU"/>
              </w:rPr>
              <w:br/>
              <w:t>(2030)</w:t>
            </w:r>
          </w:p>
        </w:tc>
      </w:tr>
      <w:tr w:rsidR="00F61DB7" w:rsidRPr="004E315C" w14:paraId="46F43A9F" w14:textId="77777777">
        <w:trPr>
          <w:trHeight w:val="288"/>
        </w:trPr>
        <w:tc>
          <w:tcPr>
            <w:tcW w:w="5000" w:type="pct"/>
            <w:gridSpan w:val="7"/>
            <w:tcBorders>
              <w:top w:val="nil"/>
              <w:left w:val="single" w:sz="4" w:space="0" w:color="auto"/>
              <w:bottom w:val="single" w:sz="4" w:space="0" w:color="auto"/>
              <w:right w:val="single" w:sz="4" w:space="0" w:color="auto"/>
            </w:tcBorders>
            <w:vAlign w:val="center"/>
            <w:hideMark/>
          </w:tcPr>
          <w:p w14:paraId="2EA69022" w14:textId="77777777" w:rsidR="00F61DB7" w:rsidRPr="004E315C" w:rsidRDefault="00F61DB7" w:rsidP="00865ECD">
            <w:pPr>
              <w:keepNext/>
              <w:keepLines/>
              <w:spacing w:before="0" w:after="0" w:line="240" w:lineRule="auto"/>
              <w:rPr>
                <w:rFonts w:ascii="Arial Narrow" w:eastAsia="Times New Roman" w:hAnsi="Arial Narrow" w:cstheme="minorHAnsi"/>
                <w:b/>
                <w:color w:val="000000"/>
                <w:sz w:val="20"/>
                <w:szCs w:val="20"/>
                <w:lang w:eastAsia="en-AU"/>
              </w:rPr>
            </w:pPr>
            <w:r w:rsidRPr="004E315C">
              <w:rPr>
                <w:rFonts w:ascii="Arial Narrow" w:eastAsia="Times New Roman" w:hAnsi="Arial Narrow" w:cstheme="minorHAnsi"/>
                <w:b/>
                <w:color w:val="000000"/>
                <w:sz w:val="20"/>
                <w:szCs w:val="20"/>
                <w:lang w:eastAsia="en-AU"/>
              </w:rPr>
              <w:t>Base case</w:t>
            </w:r>
          </w:p>
        </w:tc>
      </w:tr>
      <w:tr w:rsidR="002D38DA" w:rsidRPr="004E315C" w14:paraId="02A08F8B" w14:textId="77777777" w:rsidTr="004E315C">
        <w:trPr>
          <w:trHeight w:val="288"/>
        </w:trPr>
        <w:tc>
          <w:tcPr>
            <w:tcW w:w="1563" w:type="pct"/>
            <w:tcBorders>
              <w:top w:val="nil"/>
              <w:left w:val="single" w:sz="4" w:space="0" w:color="auto"/>
              <w:bottom w:val="single" w:sz="4" w:space="0" w:color="auto"/>
              <w:right w:val="single" w:sz="4" w:space="0" w:color="auto"/>
            </w:tcBorders>
            <w:vAlign w:val="center"/>
            <w:hideMark/>
          </w:tcPr>
          <w:p w14:paraId="2C7EB094" w14:textId="77777777" w:rsidR="002D38DA" w:rsidRPr="004E315C" w:rsidRDefault="002D38DA" w:rsidP="002D38DA">
            <w:pPr>
              <w:keepNext/>
              <w:keepLines/>
              <w:spacing w:before="0" w:after="0" w:line="240" w:lineRule="auto"/>
              <w:rPr>
                <w:rFonts w:ascii="Arial Narrow" w:eastAsia="Times New Roman" w:hAnsi="Arial Narrow" w:cstheme="minorHAnsi"/>
                <w:bCs/>
                <w:color w:val="000000"/>
                <w:sz w:val="20"/>
                <w:szCs w:val="20"/>
                <w:lang w:eastAsia="en-AU"/>
              </w:rPr>
            </w:pPr>
            <w:r w:rsidRPr="004E315C">
              <w:rPr>
                <w:rFonts w:ascii="Arial Narrow" w:eastAsia="Times New Roman" w:hAnsi="Arial Narrow" w:cstheme="minorHAnsi"/>
                <w:bCs/>
                <w:color w:val="000000"/>
                <w:sz w:val="20"/>
                <w:szCs w:val="20"/>
                <w:lang w:eastAsia="en-AU"/>
              </w:rPr>
              <w:t>Net financial impact to the Private Health Insurance system</w:t>
            </w:r>
          </w:p>
        </w:tc>
        <w:tc>
          <w:tcPr>
            <w:tcW w:w="567" w:type="pct"/>
            <w:tcBorders>
              <w:top w:val="nil"/>
              <w:left w:val="nil"/>
              <w:bottom w:val="single" w:sz="4" w:space="0" w:color="auto"/>
              <w:right w:val="single" w:sz="4" w:space="0" w:color="auto"/>
            </w:tcBorders>
            <w:hideMark/>
          </w:tcPr>
          <w:p w14:paraId="1348DFEE" w14:textId="7B9A68BE"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6DC36FD8" w14:textId="6DB14BCA"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7DA6AF1F" w14:textId="45B56D82"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7E9929A0" w14:textId="5C36E812"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85" w:type="pct"/>
            <w:tcBorders>
              <w:top w:val="nil"/>
              <w:left w:val="nil"/>
              <w:bottom w:val="single" w:sz="4" w:space="0" w:color="auto"/>
              <w:right w:val="single" w:sz="4" w:space="0" w:color="auto"/>
            </w:tcBorders>
            <w:hideMark/>
          </w:tcPr>
          <w:p w14:paraId="54DED895" w14:textId="4171DE32"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84" w:type="pct"/>
            <w:tcBorders>
              <w:top w:val="nil"/>
              <w:left w:val="nil"/>
              <w:bottom w:val="single" w:sz="4" w:space="0" w:color="auto"/>
              <w:right w:val="single" w:sz="4" w:space="0" w:color="auto"/>
            </w:tcBorders>
            <w:hideMark/>
          </w:tcPr>
          <w:p w14:paraId="0427B6E8" w14:textId="4865EDF8"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r>
      <w:tr w:rsidR="00F61DB7" w:rsidRPr="004E315C" w14:paraId="39640746" w14:textId="77777777">
        <w:trPr>
          <w:trHeight w:val="288"/>
        </w:trPr>
        <w:tc>
          <w:tcPr>
            <w:tcW w:w="5000" w:type="pct"/>
            <w:gridSpan w:val="7"/>
            <w:tcBorders>
              <w:top w:val="nil"/>
              <w:left w:val="single" w:sz="4" w:space="0" w:color="auto"/>
              <w:bottom w:val="single" w:sz="4" w:space="0" w:color="auto"/>
              <w:right w:val="single" w:sz="4" w:space="0" w:color="auto"/>
            </w:tcBorders>
            <w:vAlign w:val="center"/>
            <w:hideMark/>
          </w:tcPr>
          <w:p w14:paraId="64AF6FE1" w14:textId="5352340E" w:rsidR="00F61DB7" w:rsidRPr="004E315C" w:rsidRDefault="00F61DB7" w:rsidP="00865ECD">
            <w:pPr>
              <w:keepNext/>
              <w:keepLines/>
              <w:spacing w:before="0" w:after="0" w:line="240" w:lineRule="auto"/>
              <w:rPr>
                <w:rFonts w:ascii="Arial Narrow" w:eastAsia="Times New Roman" w:hAnsi="Arial Narrow" w:cstheme="minorHAnsi"/>
                <w:b/>
                <w:color w:val="000000"/>
                <w:sz w:val="20"/>
                <w:szCs w:val="20"/>
                <w:lang w:eastAsia="en-AU"/>
              </w:rPr>
            </w:pPr>
            <w:r w:rsidRPr="004E315C">
              <w:rPr>
                <w:rFonts w:ascii="Arial Narrow" w:eastAsia="Times New Roman" w:hAnsi="Arial Narrow" w:cstheme="minorHAnsi"/>
                <w:b/>
                <w:color w:val="000000"/>
                <w:sz w:val="20"/>
                <w:szCs w:val="20"/>
                <w:lang w:eastAsia="en-AU"/>
              </w:rPr>
              <w:t>Higher incidence: 250 rotator cuff repairs per 100,000 population</w:t>
            </w:r>
          </w:p>
        </w:tc>
      </w:tr>
      <w:tr w:rsidR="002D38DA" w:rsidRPr="004E315C" w14:paraId="5F3FD35E" w14:textId="77777777" w:rsidTr="004E315C">
        <w:trPr>
          <w:trHeight w:val="288"/>
        </w:trPr>
        <w:tc>
          <w:tcPr>
            <w:tcW w:w="1563" w:type="pct"/>
            <w:tcBorders>
              <w:top w:val="nil"/>
              <w:left w:val="single" w:sz="4" w:space="0" w:color="auto"/>
              <w:bottom w:val="single" w:sz="4" w:space="0" w:color="auto"/>
              <w:right w:val="single" w:sz="4" w:space="0" w:color="auto"/>
            </w:tcBorders>
            <w:vAlign w:val="center"/>
            <w:hideMark/>
          </w:tcPr>
          <w:p w14:paraId="589C75FB" w14:textId="77777777" w:rsidR="002D38DA" w:rsidRPr="004E315C" w:rsidRDefault="002D38DA" w:rsidP="002D38DA">
            <w:pPr>
              <w:keepNext/>
              <w:keepLines/>
              <w:spacing w:before="0" w:after="0" w:line="240" w:lineRule="auto"/>
              <w:rPr>
                <w:rFonts w:ascii="Arial Narrow" w:eastAsia="Times New Roman" w:hAnsi="Arial Narrow" w:cstheme="minorHAnsi"/>
                <w:bCs/>
                <w:color w:val="000000"/>
                <w:sz w:val="20"/>
                <w:szCs w:val="20"/>
                <w:lang w:eastAsia="en-AU"/>
              </w:rPr>
            </w:pPr>
            <w:r w:rsidRPr="004E315C">
              <w:rPr>
                <w:rFonts w:ascii="Arial Narrow" w:eastAsia="Times New Roman" w:hAnsi="Arial Narrow" w:cstheme="minorHAnsi"/>
                <w:bCs/>
                <w:color w:val="000000"/>
                <w:sz w:val="20"/>
                <w:szCs w:val="20"/>
                <w:lang w:eastAsia="en-AU"/>
              </w:rPr>
              <w:t>Net financial impact to the Private Health Insurance system</w:t>
            </w:r>
          </w:p>
        </w:tc>
        <w:tc>
          <w:tcPr>
            <w:tcW w:w="567" w:type="pct"/>
            <w:tcBorders>
              <w:top w:val="nil"/>
              <w:left w:val="nil"/>
              <w:bottom w:val="single" w:sz="4" w:space="0" w:color="auto"/>
              <w:right w:val="single" w:sz="4" w:space="0" w:color="auto"/>
            </w:tcBorders>
            <w:hideMark/>
          </w:tcPr>
          <w:p w14:paraId="0566FC26" w14:textId="13A3EE3B"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5AE3E8BD" w14:textId="12F70B8D"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74647792" w14:textId="2A82E9F4"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4D4BFEDE" w14:textId="7B560549"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85" w:type="pct"/>
            <w:tcBorders>
              <w:top w:val="nil"/>
              <w:left w:val="nil"/>
              <w:bottom w:val="single" w:sz="4" w:space="0" w:color="auto"/>
              <w:right w:val="single" w:sz="4" w:space="0" w:color="auto"/>
            </w:tcBorders>
            <w:hideMark/>
          </w:tcPr>
          <w:p w14:paraId="777D7AF6" w14:textId="2E15C4F2"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84" w:type="pct"/>
            <w:tcBorders>
              <w:top w:val="nil"/>
              <w:left w:val="nil"/>
              <w:bottom w:val="single" w:sz="4" w:space="0" w:color="auto"/>
              <w:right w:val="single" w:sz="4" w:space="0" w:color="auto"/>
            </w:tcBorders>
            <w:hideMark/>
          </w:tcPr>
          <w:p w14:paraId="23E33A49" w14:textId="14314279"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r>
      <w:tr w:rsidR="00F61DB7" w:rsidRPr="004E315C" w14:paraId="484ADA3A" w14:textId="77777777">
        <w:trPr>
          <w:trHeight w:val="288"/>
        </w:trPr>
        <w:tc>
          <w:tcPr>
            <w:tcW w:w="5000" w:type="pct"/>
            <w:gridSpan w:val="7"/>
            <w:tcBorders>
              <w:top w:val="nil"/>
              <w:left w:val="single" w:sz="4" w:space="0" w:color="auto"/>
              <w:bottom w:val="single" w:sz="4" w:space="0" w:color="auto"/>
              <w:right w:val="single" w:sz="4" w:space="0" w:color="auto"/>
            </w:tcBorders>
            <w:vAlign w:val="center"/>
            <w:hideMark/>
          </w:tcPr>
          <w:p w14:paraId="2E9C969D" w14:textId="3671469A" w:rsidR="00F61DB7" w:rsidRPr="004E315C" w:rsidRDefault="00F61DB7" w:rsidP="00865ECD">
            <w:pPr>
              <w:keepNext/>
              <w:keepLines/>
              <w:spacing w:before="0" w:after="0" w:line="240" w:lineRule="auto"/>
              <w:rPr>
                <w:rFonts w:ascii="Arial Narrow" w:eastAsia="Times New Roman" w:hAnsi="Arial Narrow" w:cstheme="minorHAnsi"/>
                <w:b/>
                <w:color w:val="000000"/>
                <w:sz w:val="20"/>
                <w:szCs w:val="20"/>
                <w:lang w:eastAsia="en-AU"/>
              </w:rPr>
            </w:pPr>
            <w:r w:rsidRPr="004E315C">
              <w:rPr>
                <w:rFonts w:ascii="Arial Narrow" w:eastAsia="Times New Roman" w:hAnsi="Arial Narrow" w:cstheme="minorHAnsi"/>
                <w:b/>
                <w:color w:val="000000"/>
                <w:sz w:val="20"/>
                <w:szCs w:val="20"/>
                <w:lang w:eastAsia="en-AU"/>
              </w:rPr>
              <w:t xml:space="preserve">Higher </w:t>
            </w:r>
            <w:r w:rsidR="00D221A8" w:rsidRPr="004E315C">
              <w:rPr>
                <w:rFonts w:ascii="Arial Narrow" w:eastAsia="Times New Roman" w:hAnsi="Arial Narrow" w:cstheme="minorHAnsi"/>
                <w:b/>
                <w:color w:val="000000"/>
                <w:sz w:val="20"/>
                <w:szCs w:val="20"/>
                <w:lang w:eastAsia="en-AU"/>
              </w:rPr>
              <w:t>BCI</w:t>
            </w:r>
            <w:r w:rsidR="008E4196" w:rsidRPr="004E315C">
              <w:rPr>
                <w:rFonts w:ascii="Arial Narrow" w:eastAsia="Times New Roman" w:hAnsi="Arial Narrow" w:cstheme="minorHAnsi"/>
                <w:b/>
                <w:color w:val="000000"/>
                <w:sz w:val="20"/>
                <w:szCs w:val="20"/>
                <w:lang w:eastAsia="en-AU"/>
              </w:rPr>
              <w:t xml:space="preserve"> </w:t>
            </w:r>
            <w:r w:rsidRPr="004E315C">
              <w:rPr>
                <w:rFonts w:ascii="Arial Narrow" w:eastAsia="Times New Roman" w:hAnsi="Arial Narrow" w:cstheme="minorHAnsi"/>
                <w:b/>
                <w:color w:val="000000"/>
                <w:sz w:val="20"/>
                <w:szCs w:val="20"/>
                <w:lang w:eastAsia="en-AU"/>
              </w:rPr>
              <w:t xml:space="preserve">uptake 1: from 5% in </w:t>
            </w:r>
            <w:r w:rsidR="00BD7A00" w:rsidRPr="004E315C">
              <w:rPr>
                <w:rFonts w:ascii="Arial Narrow" w:eastAsia="Times New Roman" w:hAnsi="Arial Narrow" w:cstheme="minorHAnsi"/>
                <w:b/>
                <w:color w:val="000000"/>
                <w:sz w:val="20"/>
                <w:szCs w:val="20"/>
                <w:lang w:eastAsia="en-AU"/>
              </w:rPr>
              <w:t>Y</w:t>
            </w:r>
            <w:r w:rsidRPr="004E315C">
              <w:rPr>
                <w:rFonts w:ascii="Arial Narrow" w:eastAsia="Times New Roman" w:hAnsi="Arial Narrow" w:cstheme="minorHAnsi"/>
                <w:b/>
                <w:color w:val="000000"/>
                <w:sz w:val="20"/>
                <w:szCs w:val="20"/>
                <w:lang w:eastAsia="en-AU"/>
              </w:rPr>
              <w:t xml:space="preserve">ear 1 to 30% in </w:t>
            </w:r>
            <w:r w:rsidR="00BD7A00" w:rsidRPr="004E315C">
              <w:rPr>
                <w:rFonts w:ascii="Arial Narrow" w:eastAsia="Times New Roman" w:hAnsi="Arial Narrow" w:cstheme="minorHAnsi"/>
                <w:b/>
                <w:color w:val="000000"/>
                <w:sz w:val="20"/>
                <w:szCs w:val="20"/>
                <w:lang w:eastAsia="en-AU"/>
              </w:rPr>
              <w:t>Y</w:t>
            </w:r>
            <w:r w:rsidRPr="004E315C">
              <w:rPr>
                <w:rFonts w:ascii="Arial Narrow" w:eastAsia="Times New Roman" w:hAnsi="Arial Narrow" w:cstheme="minorHAnsi"/>
                <w:b/>
                <w:color w:val="000000"/>
                <w:sz w:val="20"/>
                <w:szCs w:val="20"/>
                <w:lang w:eastAsia="en-AU"/>
              </w:rPr>
              <w:t>ear 6</w:t>
            </w:r>
          </w:p>
        </w:tc>
      </w:tr>
      <w:tr w:rsidR="002D38DA" w:rsidRPr="004E315C" w14:paraId="700D92CE" w14:textId="77777777" w:rsidTr="004E315C">
        <w:trPr>
          <w:trHeight w:val="288"/>
        </w:trPr>
        <w:tc>
          <w:tcPr>
            <w:tcW w:w="1563" w:type="pct"/>
            <w:tcBorders>
              <w:top w:val="nil"/>
              <w:left w:val="single" w:sz="4" w:space="0" w:color="auto"/>
              <w:bottom w:val="single" w:sz="4" w:space="0" w:color="auto"/>
              <w:right w:val="single" w:sz="4" w:space="0" w:color="auto"/>
            </w:tcBorders>
            <w:vAlign w:val="center"/>
            <w:hideMark/>
          </w:tcPr>
          <w:p w14:paraId="7FC93E5C" w14:textId="77777777" w:rsidR="002D38DA" w:rsidRPr="004E315C" w:rsidRDefault="002D38DA" w:rsidP="002D38DA">
            <w:pPr>
              <w:keepNext/>
              <w:keepLines/>
              <w:spacing w:before="0" w:after="0" w:line="240" w:lineRule="auto"/>
              <w:rPr>
                <w:rFonts w:ascii="Arial Narrow" w:eastAsia="Times New Roman" w:hAnsi="Arial Narrow" w:cstheme="minorHAnsi"/>
                <w:bCs/>
                <w:color w:val="000000"/>
                <w:sz w:val="20"/>
                <w:szCs w:val="20"/>
                <w:lang w:eastAsia="en-AU"/>
              </w:rPr>
            </w:pPr>
            <w:r w:rsidRPr="004E315C">
              <w:rPr>
                <w:rFonts w:ascii="Arial Narrow" w:eastAsia="Times New Roman" w:hAnsi="Arial Narrow" w:cstheme="minorHAnsi"/>
                <w:bCs/>
                <w:color w:val="000000"/>
                <w:sz w:val="20"/>
                <w:szCs w:val="20"/>
                <w:lang w:eastAsia="en-AU"/>
              </w:rPr>
              <w:t>Net financial impact to the Private Health Insurance system</w:t>
            </w:r>
          </w:p>
        </w:tc>
        <w:tc>
          <w:tcPr>
            <w:tcW w:w="567" w:type="pct"/>
            <w:tcBorders>
              <w:top w:val="nil"/>
              <w:left w:val="nil"/>
              <w:bottom w:val="single" w:sz="4" w:space="0" w:color="auto"/>
              <w:right w:val="single" w:sz="4" w:space="0" w:color="auto"/>
            </w:tcBorders>
            <w:hideMark/>
          </w:tcPr>
          <w:p w14:paraId="666A517F" w14:textId="40CFC52B"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17C55B91" w14:textId="7DCBD8B6"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095688C5" w14:textId="1045B302"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57C99ECB" w14:textId="5CF114FD"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85" w:type="pct"/>
            <w:tcBorders>
              <w:top w:val="nil"/>
              <w:left w:val="nil"/>
              <w:bottom w:val="single" w:sz="4" w:space="0" w:color="auto"/>
              <w:right w:val="single" w:sz="4" w:space="0" w:color="auto"/>
            </w:tcBorders>
            <w:hideMark/>
          </w:tcPr>
          <w:p w14:paraId="6CDDB88C" w14:textId="27BF0FC5"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84" w:type="pct"/>
            <w:tcBorders>
              <w:top w:val="nil"/>
              <w:left w:val="nil"/>
              <w:bottom w:val="single" w:sz="4" w:space="0" w:color="auto"/>
              <w:right w:val="single" w:sz="4" w:space="0" w:color="auto"/>
            </w:tcBorders>
            <w:hideMark/>
          </w:tcPr>
          <w:p w14:paraId="10FDB4CB" w14:textId="67CCB495"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r>
      <w:tr w:rsidR="00F61DB7" w:rsidRPr="004E315C" w14:paraId="680EB309" w14:textId="77777777">
        <w:trPr>
          <w:trHeight w:val="288"/>
        </w:trPr>
        <w:tc>
          <w:tcPr>
            <w:tcW w:w="5000" w:type="pct"/>
            <w:gridSpan w:val="7"/>
            <w:tcBorders>
              <w:top w:val="nil"/>
              <w:left w:val="single" w:sz="4" w:space="0" w:color="auto"/>
              <w:bottom w:val="single" w:sz="4" w:space="0" w:color="auto"/>
              <w:right w:val="single" w:sz="4" w:space="0" w:color="auto"/>
            </w:tcBorders>
            <w:vAlign w:val="center"/>
            <w:hideMark/>
          </w:tcPr>
          <w:p w14:paraId="53C5D87A" w14:textId="630A41F6" w:rsidR="00F61DB7" w:rsidRPr="004E315C" w:rsidRDefault="00F61DB7" w:rsidP="00865ECD">
            <w:pPr>
              <w:keepNext/>
              <w:keepLines/>
              <w:spacing w:before="0" w:after="0" w:line="240" w:lineRule="auto"/>
              <w:rPr>
                <w:rFonts w:ascii="Arial Narrow" w:eastAsia="Times New Roman" w:hAnsi="Arial Narrow" w:cstheme="minorHAnsi"/>
                <w:b/>
                <w:color w:val="000000"/>
                <w:sz w:val="20"/>
                <w:szCs w:val="20"/>
                <w:lang w:eastAsia="en-AU"/>
              </w:rPr>
            </w:pPr>
            <w:r w:rsidRPr="004E315C">
              <w:rPr>
                <w:rFonts w:ascii="Arial Narrow" w:eastAsia="Times New Roman" w:hAnsi="Arial Narrow" w:cstheme="minorHAnsi"/>
                <w:b/>
                <w:color w:val="000000"/>
                <w:sz w:val="20"/>
                <w:szCs w:val="20"/>
                <w:lang w:eastAsia="en-AU"/>
              </w:rPr>
              <w:t xml:space="preserve">Higher </w:t>
            </w:r>
            <w:r w:rsidR="00D221A8" w:rsidRPr="004E315C">
              <w:rPr>
                <w:rFonts w:ascii="Arial Narrow" w:eastAsia="Times New Roman" w:hAnsi="Arial Narrow" w:cstheme="minorHAnsi"/>
                <w:b/>
                <w:color w:val="000000"/>
                <w:sz w:val="20"/>
                <w:szCs w:val="20"/>
                <w:lang w:eastAsia="en-AU"/>
              </w:rPr>
              <w:t>BCI</w:t>
            </w:r>
            <w:r w:rsidR="008E4196" w:rsidRPr="004E315C">
              <w:rPr>
                <w:rFonts w:ascii="Arial Narrow" w:eastAsia="Times New Roman" w:hAnsi="Arial Narrow" w:cstheme="minorHAnsi"/>
                <w:b/>
                <w:color w:val="000000"/>
                <w:sz w:val="20"/>
                <w:szCs w:val="20"/>
                <w:lang w:eastAsia="en-AU"/>
              </w:rPr>
              <w:t xml:space="preserve"> </w:t>
            </w:r>
            <w:r w:rsidRPr="004E315C">
              <w:rPr>
                <w:rFonts w:ascii="Arial Narrow" w:eastAsia="Times New Roman" w:hAnsi="Arial Narrow" w:cstheme="minorHAnsi"/>
                <w:b/>
                <w:color w:val="000000"/>
                <w:sz w:val="20"/>
                <w:szCs w:val="20"/>
                <w:lang w:eastAsia="en-AU"/>
              </w:rPr>
              <w:t xml:space="preserve">uptake 2: from 10% in </w:t>
            </w:r>
            <w:r w:rsidR="00BD7A00" w:rsidRPr="004E315C">
              <w:rPr>
                <w:rFonts w:ascii="Arial Narrow" w:eastAsia="Times New Roman" w:hAnsi="Arial Narrow" w:cstheme="minorHAnsi"/>
                <w:b/>
                <w:color w:val="000000"/>
                <w:sz w:val="20"/>
                <w:szCs w:val="20"/>
                <w:lang w:eastAsia="en-AU"/>
              </w:rPr>
              <w:t>Y</w:t>
            </w:r>
            <w:r w:rsidRPr="004E315C">
              <w:rPr>
                <w:rFonts w:ascii="Arial Narrow" w:eastAsia="Times New Roman" w:hAnsi="Arial Narrow" w:cstheme="minorHAnsi"/>
                <w:b/>
                <w:color w:val="000000"/>
                <w:sz w:val="20"/>
                <w:szCs w:val="20"/>
                <w:lang w:eastAsia="en-AU"/>
              </w:rPr>
              <w:t xml:space="preserve">ear 1 to 60% in </w:t>
            </w:r>
            <w:r w:rsidR="00BD7A00" w:rsidRPr="004E315C">
              <w:rPr>
                <w:rFonts w:ascii="Arial Narrow" w:eastAsia="Times New Roman" w:hAnsi="Arial Narrow" w:cstheme="minorHAnsi"/>
                <w:b/>
                <w:color w:val="000000"/>
                <w:sz w:val="20"/>
                <w:szCs w:val="20"/>
                <w:lang w:eastAsia="en-AU"/>
              </w:rPr>
              <w:t>Y</w:t>
            </w:r>
            <w:r w:rsidRPr="004E315C">
              <w:rPr>
                <w:rFonts w:ascii="Arial Narrow" w:eastAsia="Times New Roman" w:hAnsi="Arial Narrow" w:cstheme="minorHAnsi"/>
                <w:b/>
                <w:color w:val="000000"/>
                <w:sz w:val="20"/>
                <w:szCs w:val="20"/>
                <w:lang w:eastAsia="en-AU"/>
              </w:rPr>
              <w:t>ear 6</w:t>
            </w:r>
          </w:p>
        </w:tc>
      </w:tr>
      <w:tr w:rsidR="002D38DA" w:rsidRPr="004E315C" w14:paraId="1F4663E1" w14:textId="77777777" w:rsidTr="004E315C">
        <w:trPr>
          <w:trHeight w:val="288"/>
        </w:trPr>
        <w:tc>
          <w:tcPr>
            <w:tcW w:w="1563" w:type="pct"/>
            <w:tcBorders>
              <w:top w:val="nil"/>
              <w:left w:val="single" w:sz="4" w:space="0" w:color="auto"/>
              <w:bottom w:val="single" w:sz="4" w:space="0" w:color="auto"/>
              <w:right w:val="single" w:sz="4" w:space="0" w:color="auto"/>
            </w:tcBorders>
            <w:vAlign w:val="center"/>
            <w:hideMark/>
          </w:tcPr>
          <w:p w14:paraId="2C21ED44" w14:textId="77777777" w:rsidR="002D38DA" w:rsidRPr="004E315C" w:rsidRDefault="002D38DA" w:rsidP="002D38DA">
            <w:pPr>
              <w:keepNext/>
              <w:keepLines/>
              <w:spacing w:before="0" w:after="0" w:line="240" w:lineRule="auto"/>
              <w:rPr>
                <w:rFonts w:ascii="Arial Narrow" w:eastAsia="Times New Roman" w:hAnsi="Arial Narrow" w:cstheme="minorHAnsi"/>
                <w:bCs/>
                <w:color w:val="000000"/>
                <w:sz w:val="20"/>
                <w:szCs w:val="20"/>
                <w:lang w:eastAsia="en-AU"/>
              </w:rPr>
            </w:pPr>
            <w:r w:rsidRPr="004E315C">
              <w:rPr>
                <w:rFonts w:ascii="Arial Narrow" w:eastAsia="Times New Roman" w:hAnsi="Arial Narrow" w:cstheme="minorHAnsi"/>
                <w:bCs/>
                <w:color w:val="000000"/>
                <w:sz w:val="20"/>
                <w:szCs w:val="20"/>
                <w:lang w:eastAsia="en-AU"/>
              </w:rPr>
              <w:t>Net financial impact to the Private Health Insurance system</w:t>
            </w:r>
          </w:p>
        </w:tc>
        <w:tc>
          <w:tcPr>
            <w:tcW w:w="567" w:type="pct"/>
            <w:tcBorders>
              <w:top w:val="nil"/>
              <w:left w:val="nil"/>
              <w:bottom w:val="single" w:sz="4" w:space="0" w:color="auto"/>
              <w:right w:val="single" w:sz="4" w:space="0" w:color="auto"/>
            </w:tcBorders>
            <w:hideMark/>
          </w:tcPr>
          <w:p w14:paraId="2C9808F2" w14:textId="3338A4ED"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5F9BEB14" w14:textId="1F1BE80C"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7B963CD2" w14:textId="0CA1E6EF"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4DA84D55" w14:textId="3A2518BF"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85" w:type="pct"/>
            <w:tcBorders>
              <w:top w:val="nil"/>
              <w:left w:val="nil"/>
              <w:bottom w:val="single" w:sz="4" w:space="0" w:color="auto"/>
              <w:right w:val="single" w:sz="4" w:space="0" w:color="auto"/>
            </w:tcBorders>
            <w:hideMark/>
          </w:tcPr>
          <w:p w14:paraId="4CAB9842" w14:textId="3C331A86"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84" w:type="pct"/>
            <w:tcBorders>
              <w:top w:val="nil"/>
              <w:left w:val="nil"/>
              <w:bottom w:val="single" w:sz="4" w:space="0" w:color="auto"/>
              <w:right w:val="single" w:sz="4" w:space="0" w:color="auto"/>
            </w:tcBorders>
            <w:hideMark/>
          </w:tcPr>
          <w:p w14:paraId="6DFD08C5" w14:textId="0F8D56EE"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r>
      <w:tr w:rsidR="00F61DB7" w:rsidRPr="004E315C" w14:paraId="45DA73DA" w14:textId="77777777">
        <w:trPr>
          <w:trHeight w:val="288"/>
        </w:trPr>
        <w:tc>
          <w:tcPr>
            <w:tcW w:w="5000" w:type="pct"/>
            <w:gridSpan w:val="7"/>
            <w:tcBorders>
              <w:top w:val="nil"/>
              <w:left w:val="single" w:sz="4" w:space="0" w:color="auto"/>
              <w:bottom w:val="single" w:sz="4" w:space="0" w:color="auto"/>
              <w:right w:val="single" w:sz="4" w:space="0" w:color="auto"/>
            </w:tcBorders>
            <w:noWrap/>
            <w:vAlign w:val="center"/>
            <w:hideMark/>
          </w:tcPr>
          <w:p w14:paraId="6A728162" w14:textId="77777777" w:rsidR="00F61DB7" w:rsidRPr="004E315C" w:rsidRDefault="00F61DB7" w:rsidP="00865ECD">
            <w:pPr>
              <w:keepNext/>
              <w:keepLines/>
              <w:spacing w:before="0" w:after="0" w:line="240" w:lineRule="auto"/>
              <w:rPr>
                <w:rFonts w:ascii="Arial Narrow" w:eastAsia="Times New Roman" w:hAnsi="Arial Narrow" w:cstheme="minorHAnsi"/>
                <w:b/>
                <w:color w:val="000000"/>
                <w:sz w:val="20"/>
                <w:szCs w:val="20"/>
                <w:lang w:eastAsia="en-AU"/>
              </w:rPr>
            </w:pPr>
            <w:r w:rsidRPr="004E315C">
              <w:rPr>
                <w:rFonts w:ascii="Arial Narrow" w:eastAsia="Times New Roman" w:hAnsi="Arial Narrow" w:cstheme="minorHAnsi"/>
                <w:b/>
                <w:color w:val="000000"/>
                <w:sz w:val="20"/>
                <w:szCs w:val="20"/>
                <w:lang w:eastAsia="en-AU"/>
              </w:rPr>
              <w:t>Lower proportion of Full Thickness Tear patients: from 61% (base case) to 40%</w:t>
            </w:r>
          </w:p>
        </w:tc>
      </w:tr>
      <w:tr w:rsidR="002D38DA" w:rsidRPr="004E315C" w14:paraId="6C3D5815" w14:textId="77777777" w:rsidTr="004E315C">
        <w:trPr>
          <w:trHeight w:val="288"/>
        </w:trPr>
        <w:tc>
          <w:tcPr>
            <w:tcW w:w="1563" w:type="pct"/>
            <w:tcBorders>
              <w:top w:val="nil"/>
              <w:left w:val="single" w:sz="4" w:space="0" w:color="auto"/>
              <w:bottom w:val="single" w:sz="4" w:space="0" w:color="auto"/>
              <w:right w:val="single" w:sz="4" w:space="0" w:color="auto"/>
            </w:tcBorders>
            <w:vAlign w:val="center"/>
            <w:hideMark/>
          </w:tcPr>
          <w:p w14:paraId="53FC0E73" w14:textId="77777777" w:rsidR="002D38DA" w:rsidRPr="004E315C" w:rsidRDefault="002D38DA" w:rsidP="002D38DA">
            <w:pPr>
              <w:keepNext/>
              <w:keepLines/>
              <w:spacing w:before="0" w:after="0" w:line="240" w:lineRule="auto"/>
              <w:rPr>
                <w:rFonts w:ascii="Arial Narrow" w:eastAsia="Times New Roman" w:hAnsi="Arial Narrow" w:cstheme="minorHAnsi"/>
                <w:bCs/>
                <w:color w:val="000000"/>
                <w:sz w:val="20"/>
                <w:szCs w:val="20"/>
                <w:lang w:eastAsia="en-AU"/>
              </w:rPr>
            </w:pPr>
            <w:r w:rsidRPr="004E315C">
              <w:rPr>
                <w:rFonts w:ascii="Arial Narrow" w:eastAsia="Times New Roman" w:hAnsi="Arial Narrow" w:cstheme="minorHAnsi"/>
                <w:bCs/>
                <w:color w:val="000000"/>
                <w:sz w:val="20"/>
                <w:szCs w:val="20"/>
                <w:lang w:eastAsia="en-AU"/>
              </w:rPr>
              <w:t>Net financial impact to the Private Health Insurance system</w:t>
            </w:r>
          </w:p>
        </w:tc>
        <w:tc>
          <w:tcPr>
            <w:tcW w:w="567" w:type="pct"/>
            <w:tcBorders>
              <w:top w:val="nil"/>
              <w:left w:val="nil"/>
              <w:bottom w:val="single" w:sz="4" w:space="0" w:color="auto"/>
              <w:right w:val="single" w:sz="4" w:space="0" w:color="auto"/>
            </w:tcBorders>
            <w:hideMark/>
          </w:tcPr>
          <w:p w14:paraId="07C341A6" w14:textId="3C4CB08B"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68BA380C" w14:textId="651D944B"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4B050DC8" w14:textId="3ACEEC3F"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1BEEA14D" w14:textId="2F49EF0D"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85" w:type="pct"/>
            <w:tcBorders>
              <w:top w:val="nil"/>
              <w:left w:val="nil"/>
              <w:bottom w:val="single" w:sz="4" w:space="0" w:color="auto"/>
              <w:right w:val="single" w:sz="4" w:space="0" w:color="auto"/>
            </w:tcBorders>
            <w:hideMark/>
          </w:tcPr>
          <w:p w14:paraId="2CAED32D" w14:textId="4264881C"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84" w:type="pct"/>
            <w:tcBorders>
              <w:top w:val="nil"/>
              <w:left w:val="nil"/>
              <w:bottom w:val="single" w:sz="4" w:space="0" w:color="auto"/>
              <w:right w:val="single" w:sz="4" w:space="0" w:color="auto"/>
            </w:tcBorders>
            <w:hideMark/>
          </w:tcPr>
          <w:p w14:paraId="49E834C5" w14:textId="25C67177"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r>
      <w:tr w:rsidR="00F61DB7" w:rsidRPr="004E315C" w14:paraId="43346B81" w14:textId="77777777">
        <w:trPr>
          <w:trHeight w:val="288"/>
        </w:trPr>
        <w:tc>
          <w:tcPr>
            <w:tcW w:w="5000" w:type="pct"/>
            <w:gridSpan w:val="7"/>
            <w:tcBorders>
              <w:top w:val="nil"/>
              <w:left w:val="single" w:sz="4" w:space="0" w:color="auto"/>
              <w:bottom w:val="single" w:sz="4" w:space="0" w:color="auto"/>
              <w:right w:val="single" w:sz="4" w:space="0" w:color="auto"/>
            </w:tcBorders>
            <w:noWrap/>
            <w:vAlign w:val="center"/>
            <w:hideMark/>
          </w:tcPr>
          <w:p w14:paraId="08691AC3" w14:textId="77777777" w:rsidR="00F61DB7" w:rsidRPr="004E315C" w:rsidRDefault="00F61DB7" w:rsidP="00865ECD">
            <w:pPr>
              <w:keepNext/>
              <w:keepLines/>
              <w:spacing w:before="0" w:after="0" w:line="240" w:lineRule="auto"/>
              <w:rPr>
                <w:rFonts w:ascii="Arial Narrow" w:eastAsia="Times New Roman" w:hAnsi="Arial Narrow" w:cstheme="minorHAnsi"/>
                <w:b/>
                <w:color w:val="000000"/>
                <w:sz w:val="20"/>
                <w:szCs w:val="20"/>
                <w:lang w:eastAsia="en-AU"/>
              </w:rPr>
            </w:pPr>
            <w:r w:rsidRPr="004E315C">
              <w:rPr>
                <w:rFonts w:ascii="Arial Narrow" w:eastAsia="Times New Roman" w:hAnsi="Arial Narrow" w:cstheme="minorHAnsi"/>
                <w:b/>
                <w:color w:val="000000"/>
                <w:sz w:val="20"/>
                <w:szCs w:val="20"/>
                <w:lang w:eastAsia="en-AU"/>
              </w:rPr>
              <w:t>Higher proportion of Full Thickness Tear patients: from 61% (base case) to 80%</w:t>
            </w:r>
          </w:p>
        </w:tc>
      </w:tr>
      <w:tr w:rsidR="002D38DA" w:rsidRPr="004E315C" w14:paraId="2C5A33CF" w14:textId="77777777" w:rsidTr="004E315C">
        <w:trPr>
          <w:trHeight w:val="288"/>
        </w:trPr>
        <w:tc>
          <w:tcPr>
            <w:tcW w:w="1563" w:type="pct"/>
            <w:tcBorders>
              <w:top w:val="nil"/>
              <w:left w:val="single" w:sz="4" w:space="0" w:color="auto"/>
              <w:bottom w:val="single" w:sz="4" w:space="0" w:color="auto"/>
              <w:right w:val="single" w:sz="4" w:space="0" w:color="auto"/>
            </w:tcBorders>
            <w:vAlign w:val="center"/>
            <w:hideMark/>
          </w:tcPr>
          <w:p w14:paraId="0B4CBFD7" w14:textId="77777777" w:rsidR="002D38DA" w:rsidRPr="004E315C" w:rsidRDefault="002D38DA" w:rsidP="002D38DA">
            <w:pPr>
              <w:keepNext/>
              <w:keepLines/>
              <w:spacing w:before="0" w:after="0" w:line="240" w:lineRule="auto"/>
              <w:rPr>
                <w:rFonts w:ascii="Arial Narrow" w:eastAsia="Times New Roman" w:hAnsi="Arial Narrow" w:cstheme="minorHAnsi"/>
                <w:bCs/>
                <w:color w:val="000000"/>
                <w:sz w:val="20"/>
                <w:szCs w:val="20"/>
                <w:lang w:eastAsia="en-AU"/>
              </w:rPr>
            </w:pPr>
            <w:r w:rsidRPr="004E315C">
              <w:rPr>
                <w:rFonts w:ascii="Arial Narrow" w:eastAsia="Times New Roman" w:hAnsi="Arial Narrow" w:cstheme="minorHAnsi"/>
                <w:bCs/>
                <w:color w:val="000000"/>
                <w:sz w:val="20"/>
                <w:szCs w:val="20"/>
                <w:lang w:eastAsia="en-AU"/>
              </w:rPr>
              <w:t>Net financial impact to the Private Health Insurance system</w:t>
            </w:r>
          </w:p>
        </w:tc>
        <w:tc>
          <w:tcPr>
            <w:tcW w:w="567" w:type="pct"/>
            <w:tcBorders>
              <w:top w:val="nil"/>
              <w:left w:val="nil"/>
              <w:bottom w:val="single" w:sz="4" w:space="0" w:color="auto"/>
              <w:right w:val="single" w:sz="4" w:space="0" w:color="auto"/>
            </w:tcBorders>
            <w:hideMark/>
          </w:tcPr>
          <w:p w14:paraId="1A684657" w14:textId="48FBAD29"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2D5F4A07" w14:textId="7A2EC9F2"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3BA7C0E4" w14:textId="700630C3"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nil"/>
              <w:left w:val="nil"/>
              <w:bottom w:val="single" w:sz="4" w:space="0" w:color="auto"/>
              <w:right w:val="single" w:sz="4" w:space="0" w:color="auto"/>
            </w:tcBorders>
            <w:hideMark/>
          </w:tcPr>
          <w:p w14:paraId="2D9FB635" w14:textId="38899FC0"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85" w:type="pct"/>
            <w:tcBorders>
              <w:top w:val="nil"/>
              <w:left w:val="nil"/>
              <w:bottom w:val="single" w:sz="4" w:space="0" w:color="auto"/>
              <w:right w:val="single" w:sz="4" w:space="0" w:color="auto"/>
            </w:tcBorders>
            <w:hideMark/>
          </w:tcPr>
          <w:p w14:paraId="631DDEC0" w14:textId="12C26CC8"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84" w:type="pct"/>
            <w:tcBorders>
              <w:top w:val="nil"/>
              <w:left w:val="nil"/>
              <w:bottom w:val="single" w:sz="4" w:space="0" w:color="auto"/>
              <w:right w:val="single" w:sz="4" w:space="0" w:color="auto"/>
            </w:tcBorders>
            <w:hideMark/>
          </w:tcPr>
          <w:p w14:paraId="0BF7613E" w14:textId="47D3FAF0"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r>
      <w:tr w:rsidR="00F61DB7" w:rsidRPr="004E315C" w14:paraId="70D42A5E" w14:textId="77777777">
        <w:trPr>
          <w:trHeight w:val="288"/>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B824D17" w14:textId="77777777" w:rsidR="00F61DB7" w:rsidRPr="004E315C" w:rsidRDefault="00F61DB7" w:rsidP="00865ECD">
            <w:pPr>
              <w:keepNext/>
              <w:keepLines/>
              <w:spacing w:before="0" w:after="0" w:line="240" w:lineRule="auto"/>
              <w:rPr>
                <w:rFonts w:ascii="Arial Narrow" w:eastAsia="Times New Roman" w:hAnsi="Arial Narrow" w:cstheme="minorHAnsi"/>
                <w:b/>
                <w:color w:val="000000"/>
                <w:sz w:val="20"/>
                <w:szCs w:val="20"/>
                <w:lang w:eastAsia="en-AU"/>
              </w:rPr>
            </w:pPr>
            <w:r w:rsidRPr="004E315C">
              <w:rPr>
                <w:rFonts w:ascii="Arial Narrow" w:eastAsia="Times New Roman" w:hAnsi="Arial Narrow" w:cstheme="minorHAnsi"/>
                <w:b/>
                <w:color w:val="000000"/>
                <w:sz w:val="20"/>
                <w:szCs w:val="20"/>
                <w:lang w:eastAsia="en-AU"/>
              </w:rPr>
              <w:t>Higher proportion of RCR performed by PHI: from 45.1% (base case) to 70%</w:t>
            </w:r>
          </w:p>
        </w:tc>
      </w:tr>
      <w:tr w:rsidR="002D38DA" w:rsidRPr="004E315C" w14:paraId="3B916946" w14:textId="77777777" w:rsidTr="004E315C">
        <w:trPr>
          <w:trHeight w:val="288"/>
        </w:trPr>
        <w:tc>
          <w:tcPr>
            <w:tcW w:w="1563" w:type="pct"/>
            <w:tcBorders>
              <w:top w:val="single" w:sz="4" w:space="0" w:color="auto"/>
              <w:left w:val="single" w:sz="4" w:space="0" w:color="auto"/>
              <w:bottom w:val="single" w:sz="4" w:space="0" w:color="auto"/>
              <w:right w:val="single" w:sz="4" w:space="0" w:color="auto"/>
            </w:tcBorders>
            <w:vAlign w:val="center"/>
          </w:tcPr>
          <w:p w14:paraId="131412BC" w14:textId="77777777" w:rsidR="002D38DA" w:rsidRPr="004E315C" w:rsidRDefault="002D38DA" w:rsidP="002D38DA">
            <w:pPr>
              <w:keepNext/>
              <w:keepLines/>
              <w:spacing w:before="0" w:after="0" w:line="240" w:lineRule="auto"/>
              <w:rPr>
                <w:rFonts w:ascii="Arial Narrow" w:eastAsia="Times New Roman" w:hAnsi="Arial Narrow" w:cstheme="minorHAnsi"/>
                <w:bCs/>
                <w:color w:val="000000"/>
                <w:sz w:val="20"/>
                <w:szCs w:val="20"/>
                <w:lang w:eastAsia="en-AU"/>
              </w:rPr>
            </w:pPr>
            <w:r w:rsidRPr="004E315C">
              <w:rPr>
                <w:rFonts w:ascii="Arial Narrow" w:eastAsia="Times New Roman" w:hAnsi="Arial Narrow" w:cstheme="minorHAnsi"/>
                <w:bCs/>
                <w:color w:val="000000"/>
                <w:sz w:val="20"/>
                <w:szCs w:val="20"/>
                <w:lang w:eastAsia="en-AU"/>
              </w:rPr>
              <w:t>Net financial impact to the Private Health Insurance system</w:t>
            </w:r>
          </w:p>
        </w:tc>
        <w:tc>
          <w:tcPr>
            <w:tcW w:w="567" w:type="pct"/>
            <w:tcBorders>
              <w:top w:val="single" w:sz="4" w:space="0" w:color="auto"/>
              <w:left w:val="nil"/>
              <w:bottom w:val="single" w:sz="4" w:space="0" w:color="auto"/>
              <w:right w:val="single" w:sz="4" w:space="0" w:color="auto"/>
            </w:tcBorders>
          </w:tcPr>
          <w:p w14:paraId="041F6069" w14:textId="2A4EB190"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single" w:sz="4" w:space="0" w:color="auto"/>
              <w:left w:val="nil"/>
              <w:bottom w:val="single" w:sz="4" w:space="0" w:color="auto"/>
              <w:right w:val="single" w:sz="4" w:space="0" w:color="auto"/>
            </w:tcBorders>
          </w:tcPr>
          <w:p w14:paraId="42C252C4" w14:textId="27FEBC21"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single" w:sz="4" w:space="0" w:color="auto"/>
              <w:left w:val="nil"/>
              <w:bottom w:val="single" w:sz="4" w:space="0" w:color="auto"/>
              <w:right w:val="single" w:sz="4" w:space="0" w:color="auto"/>
            </w:tcBorders>
          </w:tcPr>
          <w:p w14:paraId="33EE1301" w14:textId="7283F728"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67" w:type="pct"/>
            <w:tcBorders>
              <w:top w:val="single" w:sz="4" w:space="0" w:color="auto"/>
              <w:left w:val="nil"/>
              <w:bottom w:val="single" w:sz="4" w:space="0" w:color="auto"/>
              <w:right w:val="single" w:sz="4" w:space="0" w:color="auto"/>
            </w:tcBorders>
          </w:tcPr>
          <w:p w14:paraId="4F5BD31F" w14:textId="4BADAA13"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85" w:type="pct"/>
            <w:tcBorders>
              <w:top w:val="single" w:sz="4" w:space="0" w:color="auto"/>
              <w:left w:val="nil"/>
              <w:bottom w:val="single" w:sz="4" w:space="0" w:color="auto"/>
              <w:right w:val="single" w:sz="4" w:space="0" w:color="auto"/>
            </w:tcBorders>
          </w:tcPr>
          <w:p w14:paraId="10BF2A3A" w14:textId="60626E25"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c>
          <w:tcPr>
            <w:tcW w:w="584" w:type="pct"/>
            <w:tcBorders>
              <w:top w:val="single" w:sz="4" w:space="0" w:color="auto"/>
              <w:left w:val="nil"/>
              <w:bottom w:val="single" w:sz="4" w:space="0" w:color="auto"/>
              <w:right w:val="single" w:sz="4" w:space="0" w:color="auto"/>
            </w:tcBorders>
          </w:tcPr>
          <w:p w14:paraId="10C39E02" w14:textId="3B287A14" w:rsidR="002D38DA" w:rsidRPr="004E315C" w:rsidRDefault="00435551" w:rsidP="002D38DA">
            <w:pPr>
              <w:keepNext/>
              <w:keepLines/>
              <w:spacing w:before="0" w:after="0" w:line="240" w:lineRule="auto"/>
              <w:jc w:val="right"/>
              <w:rPr>
                <w:rFonts w:ascii="Arial Narrow" w:eastAsia="Times New Roman" w:hAnsi="Arial Narrow" w:cstheme="minorHAnsi"/>
                <w:bCs/>
                <w:color w:val="000000"/>
                <w:sz w:val="20"/>
                <w:szCs w:val="20"/>
                <w:lang w:eastAsia="en-AU"/>
              </w:rPr>
            </w:pPr>
            <w:r w:rsidRPr="004E315C">
              <w:rPr>
                <w:rFonts w:ascii="Arial Narrow" w:hAnsi="Arial Narrow"/>
                <w:b/>
                <w:bCs/>
                <w:color w:val="000000" w:themeColor="text1"/>
                <w:sz w:val="20"/>
                <w:szCs w:val="20"/>
              </w:rPr>
              <w:t>$</w:t>
            </w:r>
            <w:r w:rsidR="002D38DA" w:rsidRPr="004E315C">
              <w:rPr>
                <w:rFonts w:ascii="Arial Narrow" w:hAnsi="Arial Narrow"/>
                <w:b/>
                <w:bCs/>
                <w:color w:val="000000" w:themeColor="text1"/>
                <w:sz w:val="20"/>
                <w:szCs w:val="20"/>
              </w:rPr>
              <w:t>redacted</w:t>
            </w:r>
          </w:p>
        </w:tc>
      </w:tr>
    </w:tbl>
    <w:p w14:paraId="09477FD7" w14:textId="79AD9864" w:rsidR="008325CE" w:rsidRDefault="008325CE" w:rsidP="00865ECD">
      <w:pPr>
        <w:pStyle w:val="TableFooter"/>
        <w:keepNext/>
        <w:keepLines/>
      </w:pPr>
      <w:r>
        <w:t>Source: Table 7</w:t>
      </w:r>
      <w:r w:rsidR="008E4196">
        <w:t>2</w:t>
      </w:r>
      <w:r>
        <w:t xml:space="preserve"> p 16</w:t>
      </w:r>
      <w:r w:rsidR="008E4196">
        <w:t>6</w:t>
      </w:r>
      <w:r>
        <w:t xml:space="preserve"> of the ADAR</w:t>
      </w:r>
    </w:p>
    <w:p w14:paraId="170021B1" w14:textId="2D82D190" w:rsidR="008325CE" w:rsidRDefault="008325CE" w:rsidP="00865ECD">
      <w:pPr>
        <w:pStyle w:val="TableFooter"/>
        <w:keepNext/>
        <w:keepLines/>
      </w:pPr>
      <w:r>
        <w:t xml:space="preserve">Abbreviations: </w:t>
      </w:r>
      <w:r w:rsidR="00D221A8">
        <w:t>BCI</w:t>
      </w:r>
      <w:r>
        <w:t xml:space="preserve"> = </w:t>
      </w:r>
      <w:proofErr w:type="spellStart"/>
      <w:r w:rsidR="00611C7A">
        <w:t>bioinductive</w:t>
      </w:r>
      <w:proofErr w:type="spellEnd"/>
      <w:r w:rsidR="00611C7A">
        <w:t xml:space="preserve"> collagen </w:t>
      </w:r>
      <w:r w:rsidR="00133023">
        <w:t>implant;</w:t>
      </w:r>
      <w:r>
        <w:t xml:space="preserve"> RC</w:t>
      </w:r>
      <w:r w:rsidR="00911C16">
        <w:t>R</w:t>
      </w:r>
      <w:r>
        <w:t xml:space="preserve"> = </w:t>
      </w:r>
      <w:r w:rsidR="00911C16" w:rsidRPr="00911C16">
        <w:t>rotator cuff repair</w:t>
      </w:r>
      <w:r w:rsidR="002F6E79">
        <w:t>.</w:t>
      </w:r>
    </w:p>
    <w:p w14:paraId="28B69299" w14:textId="50BA3493" w:rsidR="005D7160" w:rsidRDefault="005D7160" w:rsidP="00F61DB7">
      <w:r w:rsidRPr="005D7160">
        <w:t xml:space="preserve">The primary sources of uncertainty in the financial analysis were the incidence of rotator cuff repair </w:t>
      </w:r>
      <w:r w:rsidR="001F17CC" w:rsidRPr="005D7160">
        <w:t>rate</w:t>
      </w:r>
      <w:r w:rsidR="001F17CC">
        <w:t xml:space="preserve"> </w:t>
      </w:r>
      <w:r w:rsidR="002F6E79">
        <w:t>(potentially</w:t>
      </w:r>
      <w:r w:rsidR="002F6E79" w:rsidRPr="005D7160">
        <w:t xml:space="preserve"> </w:t>
      </w:r>
      <w:r w:rsidR="002F6E79">
        <w:t xml:space="preserve">increasing costs to </w:t>
      </w:r>
      <w:r w:rsidR="004E315C">
        <w:t>$</w:t>
      </w:r>
      <w:r w:rsidR="002D38DA" w:rsidRPr="00DF46A3">
        <w:rPr>
          <w:b/>
          <w:bCs/>
          <w:color w:val="000000" w:themeColor="text1"/>
        </w:rPr>
        <w:t>redacted</w:t>
      </w:r>
      <w:r w:rsidR="002D38DA" w:rsidDel="002D38DA">
        <w:t xml:space="preserve"> </w:t>
      </w:r>
      <w:r w:rsidR="002F6E79">
        <w:t xml:space="preserve">in </w:t>
      </w:r>
      <w:r w:rsidR="00F066DE">
        <w:t>Y</w:t>
      </w:r>
      <w:r w:rsidR="002F6E79">
        <w:t xml:space="preserve">ear 6) </w:t>
      </w:r>
      <w:r w:rsidR="00692771">
        <w:t xml:space="preserve">and </w:t>
      </w:r>
      <w:r w:rsidRPr="005D7160">
        <w:t xml:space="preserve">the projected uptake of </w:t>
      </w:r>
      <w:r w:rsidR="004B28A6">
        <w:t>BCI</w:t>
      </w:r>
      <w:r w:rsidR="001F17CC" w:rsidRPr="001F17CC">
        <w:t xml:space="preserve"> </w:t>
      </w:r>
      <w:r w:rsidR="001F17CC">
        <w:t>(potentially</w:t>
      </w:r>
      <w:r w:rsidR="001F17CC" w:rsidRPr="005D7160">
        <w:t xml:space="preserve"> </w:t>
      </w:r>
      <w:r w:rsidR="001F17CC">
        <w:t xml:space="preserve">increasing costs to </w:t>
      </w:r>
      <w:r w:rsidR="004E315C">
        <w:t>$</w:t>
      </w:r>
      <w:r w:rsidR="002D38DA" w:rsidRPr="00DF46A3">
        <w:rPr>
          <w:b/>
          <w:bCs/>
          <w:color w:val="000000" w:themeColor="text1"/>
        </w:rPr>
        <w:t>redacted</w:t>
      </w:r>
      <w:r w:rsidR="002D38DA" w:rsidDel="002D38DA">
        <w:t xml:space="preserve"> </w:t>
      </w:r>
      <w:r w:rsidR="002F6E79">
        <w:t xml:space="preserve">in </w:t>
      </w:r>
      <w:r w:rsidR="00F066DE">
        <w:t>Y</w:t>
      </w:r>
      <w:r w:rsidR="002F6E79">
        <w:t>ear 6</w:t>
      </w:r>
      <w:r w:rsidR="001F17CC">
        <w:t>)</w:t>
      </w:r>
      <w:r w:rsidR="002F6E79">
        <w:t xml:space="preserve">. </w:t>
      </w:r>
      <w:r w:rsidRPr="005D7160">
        <w:t xml:space="preserve">The commentary highlighted problems with the data used to determine these parameters, noting that they were either assumption-based or </w:t>
      </w:r>
      <w:r w:rsidR="00CB7DEE">
        <w:t xml:space="preserve">introduced uncertainty to </w:t>
      </w:r>
      <w:r w:rsidRPr="005D7160">
        <w:t xml:space="preserve">the parameter in question. As a result, the commentary deemed the financial estimates in the ADAR to be </w:t>
      </w:r>
      <w:r w:rsidR="00E400B7">
        <w:t>uncertain</w:t>
      </w:r>
      <w:r w:rsidRPr="005D7160">
        <w:t>.</w:t>
      </w:r>
    </w:p>
    <w:p w14:paraId="7838A9FF" w14:textId="1D2000B6" w:rsidR="00772829" w:rsidRPr="00CE28E3" w:rsidRDefault="00772829" w:rsidP="003126F5">
      <w:pPr>
        <w:pStyle w:val="Heading2"/>
        <w:numPr>
          <w:ilvl w:val="0"/>
          <w:numId w:val="16"/>
        </w:numPr>
        <w:ind w:hanging="720"/>
      </w:pPr>
      <w:r w:rsidRPr="00CE28E3">
        <w:t xml:space="preserve">Other relevant </w:t>
      </w:r>
      <w:bookmarkEnd w:id="60"/>
      <w:r w:rsidR="00FA5766">
        <w:t>information</w:t>
      </w:r>
    </w:p>
    <w:p w14:paraId="06AC3C31" w14:textId="79AD47F1" w:rsidR="008531AB" w:rsidRDefault="00546794" w:rsidP="008531AB">
      <w:r>
        <w:t>Nil.</w:t>
      </w:r>
      <w:r w:rsidR="008531AB">
        <w:br w:type="page"/>
      </w:r>
    </w:p>
    <w:p w14:paraId="56DE4FA3" w14:textId="75B935BA" w:rsidR="003126F5" w:rsidRPr="00A737D1" w:rsidRDefault="003126F5" w:rsidP="003126F5">
      <w:pPr>
        <w:pStyle w:val="Heading2"/>
        <w:numPr>
          <w:ilvl w:val="0"/>
          <w:numId w:val="16"/>
        </w:numPr>
        <w:ind w:hanging="720"/>
      </w:pPr>
      <w:bookmarkStart w:id="61" w:name="_Toc145678765"/>
      <w:bookmarkStart w:id="62" w:name="_Toc150172410"/>
      <w:bookmarkStart w:id="63" w:name="_Toc153462785"/>
      <w:r w:rsidRPr="003A793E">
        <w:lastRenderedPageBreak/>
        <w:t>Key issues from ESC to MSAC</w:t>
      </w:r>
    </w:p>
    <w:bookmarkEnd w:id="61"/>
    <w:bookmarkEnd w:id="62"/>
    <w:bookmarkEnd w:id="63"/>
    <w:p w14:paraId="4A00D01C" w14:textId="77777777" w:rsidR="00DD6C68" w:rsidRDefault="00DD6C68" w:rsidP="00DD6C68">
      <w:pPr>
        <w:pStyle w:val="BoxName0"/>
      </w:pPr>
      <w:r w:rsidRPr="00C749CB">
        <w:t>Main issues for MSAC consideration</w:t>
      </w:r>
    </w:p>
    <w:p w14:paraId="1C3C927F" w14:textId="77777777" w:rsidR="00DD6C68" w:rsidRDefault="00DD6C68" w:rsidP="00DD6C68">
      <w:pPr>
        <w:pStyle w:val="BoxName0"/>
      </w:pPr>
      <w:r>
        <w:t>Clinical issues:</w:t>
      </w:r>
    </w:p>
    <w:p w14:paraId="5ACCE12F" w14:textId="763EDBC6" w:rsidR="00DD6C68" w:rsidRPr="00EE6E62" w:rsidRDefault="00DD6C68" w:rsidP="00DD6C68">
      <w:pPr>
        <w:pStyle w:val="BoxBullet"/>
        <w:rPr>
          <w:b/>
          <w:bCs/>
        </w:rPr>
      </w:pPr>
      <w:r>
        <w:t>The clinical claim of superior health outcomes for surgery with BCI</w:t>
      </w:r>
      <w:r w:rsidR="0050103F">
        <w:t xml:space="preserve"> </w:t>
      </w:r>
      <w:r>
        <w:t>was not convincingly demonstrated by the evidence presented in the ADAR as the key trial did not consistently demonstrate an improvement in patient-relevant functional outcomes compared with standard surgical repair.</w:t>
      </w:r>
      <w:r w:rsidRPr="00465B8B" w:rsidDel="00445870">
        <w:t xml:space="preserve"> </w:t>
      </w:r>
      <w:r w:rsidDel="00445870">
        <w:t xml:space="preserve">The </w:t>
      </w:r>
      <w:r w:rsidRPr="0038476A" w:rsidDel="00445870">
        <w:t>Camacho-Chacon (</w:t>
      </w:r>
      <w:r w:rsidR="00142957" w:rsidRPr="0038476A" w:rsidDel="00445870">
        <w:t>202</w:t>
      </w:r>
      <w:r w:rsidR="00142957">
        <w:t>4</w:t>
      </w:r>
      <w:r w:rsidDel="00445870">
        <w:t>, N=60</w:t>
      </w:r>
      <w:r w:rsidRPr="0038476A" w:rsidDel="00445870">
        <w:t>)</w:t>
      </w:r>
      <w:r w:rsidDel="00445870">
        <w:t xml:space="preserve"> trial</w:t>
      </w:r>
      <w:r w:rsidRPr="0038476A" w:rsidDel="00445870">
        <w:t xml:space="preserve"> demonstrated a significant difference between </w:t>
      </w:r>
      <w:r w:rsidDel="00445870">
        <w:t>treatment arms</w:t>
      </w:r>
      <w:r w:rsidRPr="0038476A" w:rsidDel="00445870">
        <w:t xml:space="preserve"> </w:t>
      </w:r>
      <w:r w:rsidDel="00445870">
        <w:t>for functional outcomes</w:t>
      </w:r>
      <w:r w:rsidRPr="0038476A" w:rsidDel="00445870">
        <w:t xml:space="preserve"> at </w:t>
      </w:r>
      <w:r w:rsidDel="00445870">
        <w:t xml:space="preserve">baseline and </w:t>
      </w:r>
      <w:r w:rsidRPr="0038476A" w:rsidDel="00445870">
        <w:t>all timepoints post</w:t>
      </w:r>
      <w:r w:rsidDel="00445870">
        <w:t>-</w:t>
      </w:r>
      <w:r w:rsidRPr="0038476A" w:rsidDel="00445870">
        <w:t>intervention.</w:t>
      </w:r>
      <w:r w:rsidRPr="0038476A">
        <w:t xml:space="preserve"> </w:t>
      </w:r>
      <w:r w:rsidR="00FA2642">
        <w:t>T</w:t>
      </w:r>
      <w:r>
        <w:t xml:space="preserve">he study by Ruiz </w:t>
      </w:r>
      <w:proofErr w:type="spellStart"/>
      <w:r>
        <w:t>Ibán</w:t>
      </w:r>
      <w:proofErr w:type="spellEnd"/>
      <w:r>
        <w:t xml:space="preserve"> et al. 2025 (N=124) </w:t>
      </w:r>
      <w:r w:rsidRPr="00EF28A3">
        <w:t xml:space="preserve">demonstrated no statistically significant differences (in improvement) between </w:t>
      </w:r>
      <w:r>
        <w:t>BCI</w:t>
      </w:r>
      <w:r w:rsidRPr="00EF28A3">
        <w:t xml:space="preserve"> and the control group</w:t>
      </w:r>
      <w:r w:rsidR="0050103F">
        <w:t xml:space="preserve"> </w:t>
      </w:r>
      <w:r w:rsidRPr="00EF28A3" w:rsidDel="007A58B2">
        <w:t>in those</w:t>
      </w:r>
      <w:r w:rsidRPr="00EF28A3">
        <w:t xml:space="preserve"> outcomes at any timepoint. </w:t>
      </w:r>
    </w:p>
    <w:p w14:paraId="00E7BA1F" w14:textId="6AF9C10C" w:rsidR="00DD6C68" w:rsidRPr="00444AC1" w:rsidRDefault="00DD6C68" w:rsidP="00DD6C68">
      <w:pPr>
        <w:pStyle w:val="BoxBullet"/>
        <w:rPr>
          <w:b/>
          <w:bCs/>
        </w:rPr>
      </w:pPr>
      <w:r>
        <w:t>ESC considered the most relevant patient-relevant health outcomes were the functional outcomes (the CMS</w:t>
      </w:r>
      <w:r w:rsidR="009D6B93">
        <w:t xml:space="preserve"> and</w:t>
      </w:r>
      <w:r>
        <w:t xml:space="preserve"> the </w:t>
      </w:r>
      <w:r w:rsidRPr="004A4C80">
        <w:t>ASES score</w:t>
      </w:r>
      <w:r>
        <w:t>) and the EQ-5D-5L questionnaire as these are more</w:t>
      </w:r>
      <w:r w:rsidRPr="00310DFB">
        <w:t xml:space="preserve"> directly relevant to the patient</w:t>
      </w:r>
      <w:r>
        <w:t xml:space="preserve"> (compared with imaging outcomes) and</w:t>
      </w:r>
      <w:r w:rsidRPr="00310DFB">
        <w:t xml:space="preserve"> reflect improvements in </w:t>
      </w:r>
      <w:r w:rsidR="00584862">
        <w:t>QoL</w:t>
      </w:r>
      <w:r>
        <w:t xml:space="preserve">. ESC considered that although a relationship between </w:t>
      </w:r>
      <w:r w:rsidRPr="007460B5">
        <w:t>radiographic retears</w:t>
      </w:r>
      <w:r>
        <w:t xml:space="preserve"> and patient-relevant clinical outcomes was biologically plausible, this was not supported by the evidence that was presented in the ADAR. </w:t>
      </w:r>
    </w:p>
    <w:p w14:paraId="54DBD5E8" w14:textId="77777777" w:rsidR="00DD6C68" w:rsidRDefault="00DD6C68" w:rsidP="00DD6C68">
      <w:pPr>
        <w:pStyle w:val="BoxHeading"/>
      </w:pPr>
      <w:r>
        <w:t>Economic issues:</w:t>
      </w:r>
    </w:p>
    <w:p w14:paraId="10AA0A4A" w14:textId="4A1D48A8" w:rsidR="00DD6C68" w:rsidRDefault="00DD6C68" w:rsidP="00DD6C68">
      <w:pPr>
        <w:pStyle w:val="BoxBullet"/>
      </w:pPr>
      <w:r>
        <w:t xml:space="preserve">The economic evaluation inappropriately applied the VAS results from the EQ-5D-5L questionnaire in Ruiz </w:t>
      </w:r>
      <w:proofErr w:type="spellStart"/>
      <w:r>
        <w:t>Ibán</w:t>
      </w:r>
      <w:proofErr w:type="spellEnd"/>
      <w:r>
        <w:t xml:space="preserve"> et al. 2025 as utility values to calculate QALYs.</w:t>
      </w:r>
      <w:r w:rsidDel="00151136">
        <w:t xml:space="preserve"> </w:t>
      </w:r>
    </w:p>
    <w:p w14:paraId="6D23D143" w14:textId="3EC8270E" w:rsidR="009755CA" w:rsidRDefault="009755CA" w:rsidP="009755CA">
      <w:pPr>
        <w:pStyle w:val="BoxBullet"/>
        <w:rPr>
          <w:rFonts w:ascii="Times New Roman" w:hAnsi="Times New Roman"/>
          <w:sz w:val="24"/>
          <w:szCs w:val="24"/>
        </w:rPr>
      </w:pPr>
      <w:r>
        <w:t xml:space="preserve">ESC considered the use of CMS adjustments rather than the utility values derived directly from Ruiz </w:t>
      </w:r>
      <w:proofErr w:type="spellStart"/>
      <w:r>
        <w:t>Ibán</w:t>
      </w:r>
      <w:proofErr w:type="spellEnd"/>
      <w:r>
        <w:t xml:space="preserve"> et al. 2025 was unvalidated and unjustified as to why EQ</w:t>
      </w:r>
      <w:r w:rsidR="003A1AAD">
        <w:t>-</w:t>
      </w:r>
      <w:r>
        <w:t xml:space="preserve">5D-5L utility weights from trial participants were not used. </w:t>
      </w:r>
      <w:r w:rsidRPr="009755CA">
        <w:rPr>
          <w:szCs w:val="22"/>
        </w:rPr>
        <w:t xml:space="preserve">It is likely that the ADAR’s approach favours the intervention. </w:t>
      </w:r>
    </w:p>
    <w:p w14:paraId="107C2D24" w14:textId="68F6964E" w:rsidR="00DD6C68" w:rsidRDefault="00DD6C68" w:rsidP="00DD6C68">
      <w:pPr>
        <w:pStyle w:val="BoxBullet"/>
      </w:pPr>
      <w:r>
        <w:t xml:space="preserve">To address MSAC’s previous concerns about the model’s reliance on imaging outcomes rather than functional outcomes, the reapplication provided an additional </w:t>
      </w:r>
      <w:r w:rsidR="00FD7A02">
        <w:t>CEA</w:t>
      </w:r>
      <w:r w:rsidR="004E6599">
        <w:t xml:space="preserve"> </w:t>
      </w:r>
      <w:r>
        <w:t>that used an average change in the CMS to calculate the average MCID achieved over the trial population. However, the method used to calculate the difference in the MCID was not appropriate. ESC considered that a more informative approach would have been to calculate the proportion of patients who achieved an MCID change in the CMS and compare those results across treatment arms</w:t>
      </w:r>
      <w:r w:rsidDel="0047406B">
        <w:t>.</w:t>
      </w:r>
    </w:p>
    <w:p w14:paraId="06DC66B1" w14:textId="78D90C3F" w:rsidR="00DD6C68" w:rsidRDefault="00DD6C68" w:rsidP="00DD6C68">
      <w:pPr>
        <w:pStyle w:val="BoxBullet"/>
      </w:pPr>
      <w:r>
        <w:t>Overall, ESC considered</w:t>
      </w:r>
      <w:r w:rsidRPr="001854E5">
        <w:t xml:space="preserve"> the validity of the estimate</w:t>
      </w:r>
      <w:r>
        <w:t>d</w:t>
      </w:r>
      <w:r w:rsidRPr="001854E5">
        <w:t xml:space="preserve"> </w:t>
      </w:r>
      <w:r>
        <w:t xml:space="preserve">outcome </w:t>
      </w:r>
      <w:r w:rsidRPr="001854E5">
        <w:t xml:space="preserve">gains (particularly QALYs) </w:t>
      </w:r>
      <w:r>
        <w:t xml:space="preserve">was </w:t>
      </w:r>
      <w:r w:rsidRPr="001854E5">
        <w:t xml:space="preserve">highly uncertain and the </w:t>
      </w:r>
      <w:r>
        <w:t xml:space="preserve">ICER </w:t>
      </w:r>
      <w:r w:rsidRPr="001854E5">
        <w:t xml:space="preserve">is likely to be </w:t>
      </w:r>
      <w:r>
        <w:t>substantially</w:t>
      </w:r>
      <w:r w:rsidRPr="001854E5">
        <w:t xml:space="preserve"> higher than the estimate in the ADAR.</w:t>
      </w:r>
      <w:r>
        <w:t xml:space="preserve"> </w:t>
      </w:r>
    </w:p>
    <w:p w14:paraId="505C5902" w14:textId="77777777" w:rsidR="00DD6C68" w:rsidRDefault="00DD6C68" w:rsidP="00DD6C68">
      <w:pPr>
        <w:pStyle w:val="BoxHeading"/>
      </w:pPr>
      <w:r>
        <w:t>Financial issues:</w:t>
      </w:r>
    </w:p>
    <w:p w14:paraId="41782EB6" w14:textId="219F1C15" w:rsidR="00E95604" w:rsidRDefault="00DD6C68" w:rsidP="00E95604">
      <w:pPr>
        <w:pStyle w:val="BoxBullet"/>
      </w:pPr>
      <w:r>
        <w:t>The estimated financial impact used total population averages for a condition that is much more prevalent in older people. This likely underestimated factors such as the higher rates of private health insurance in the older population when considering the relevant population likely to receive BCI. The impact of this is that the financial implications are likely underestimated.</w:t>
      </w:r>
    </w:p>
    <w:p w14:paraId="1302F5FA" w14:textId="77777777" w:rsidR="00DD6C68" w:rsidRPr="00883581" w:rsidRDefault="00DD6C68" w:rsidP="00DD6C68">
      <w:pPr>
        <w:pStyle w:val="BoxBullet"/>
        <w:numPr>
          <w:ilvl w:val="0"/>
          <w:numId w:val="0"/>
        </w:numPr>
        <w:rPr>
          <w:b/>
          <w:bCs/>
        </w:rPr>
      </w:pPr>
      <w:r w:rsidRPr="00883581">
        <w:rPr>
          <w:b/>
          <w:bCs/>
        </w:rPr>
        <w:t>Policy issues:</w:t>
      </w:r>
    </w:p>
    <w:p w14:paraId="73A3291F" w14:textId="14715B27" w:rsidR="00DD6C68" w:rsidRDefault="00DD6C68" w:rsidP="00DD6C68">
      <w:pPr>
        <w:pStyle w:val="BoxBullet"/>
      </w:pPr>
      <w:r>
        <w:t xml:space="preserve">MSAC is requested to provide advice to the MDHTAC regarding the comparative clinical effectiveness and comparative cost-effectiveness of the technology and the PL benefit amount at which the device would </w:t>
      </w:r>
      <w:proofErr w:type="gramStart"/>
      <w:r>
        <w:t>be considered to be</w:t>
      </w:r>
      <w:proofErr w:type="gramEnd"/>
      <w:r>
        <w:t xml:space="preserve"> cost-effective.</w:t>
      </w:r>
    </w:p>
    <w:p w14:paraId="556D8F09" w14:textId="574E3419" w:rsidR="00DD6C68" w:rsidRPr="00ED20B2" w:rsidRDefault="00DD6C68" w:rsidP="00DD6C68">
      <w:pPr>
        <w:pStyle w:val="BoxBullet"/>
      </w:pPr>
      <w:r w:rsidRPr="00FB4883">
        <w:rPr>
          <w:rFonts w:eastAsiaTheme="minorEastAsia" w:cstheme="minorBidi"/>
          <w:color w:val="000000" w:themeColor="text1"/>
          <w:szCs w:val="22"/>
        </w:rPr>
        <w:t xml:space="preserve">There is the potential for </w:t>
      </w:r>
      <w:r>
        <w:t xml:space="preserve">utilisation </w:t>
      </w:r>
      <w:r w:rsidRPr="00FB4883">
        <w:rPr>
          <w:rFonts w:eastAsiaTheme="minorEastAsia" w:cstheme="minorBidi"/>
          <w:color w:val="000000" w:themeColor="text1"/>
          <w:szCs w:val="22"/>
        </w:rPr>
        <w:t xml:space="preserve">of </w:t>
      </w:r>
      <w:r>
        <w:rPr>
          <w:rFonts w:eastAsiaTheme="minorEastAsia" w:cstheme="minorBidi"/>
          <w:color w:val="000000" w:themeColor="text1"/>
          <w:szCs w:val="22"/>
        </w:rPr>
        <w:t>BCI</w:t>
      </w:r>
      <w:r w:rsidRPr="00FB4883">
        <w:rPr>
          <w:rFonts w:eastAsiaTheme="minorEastAsia" w:cstheme="minorBidi"/>
          <w:color w:val="000000" w:themeColor="text1"/>
          <w:szCs w:val="22"/>
        </w:rPr>
        <w:t xml:space="preserve"> beyond the FTRCT</w:t>
      </w:r>
      <w:r w:rsidR="001C5316">
        <w:rPr>
          <w:rFonts w:eastAsiaTheme="minorEastAsia" w:cstheme="minorBidi"/>
          <w:color w:val="000000" w:themeColor="text1"/>
          <w:szCs w:val="22"/>
        </w:rPr>
        <w:t xml:space="preserve"> </w:t>
      </w:r>
      <w:r w:rsidRPr="00FB4883">
        <w:rPr>
          <w:rFonts w:eastAsiaTheme="minorEastAsia" w:cstheme="minorBidi"/>
          <w:color w:val="000000" w:themeColor="text1"/>
          <w:szCs w:val="22"/>
        </w:rPr>
        <w:t xml:space="preserve">population. </w:t>
      </w:r>
      <w:r w:rsidRPr="009B7D4E">
        <w:rPr>
          <w:rFonts w:eastAsiaTheme="minorEastAsia" w:cstheme="minorBidi"/>
          <w:color w:val="000000" w:themeColor="text1"/>
          <w:szCs w:val="22"/>
        </w:rPr>
        <w:t xml:space="preserve">The </w:t>
      </w:r>
      <w:r w:rsidRPr="00053377">
        <w:rPr>
          <w:rFonts w:eastAsiaTheme="minorEastAsia" w:cstheme="minorBidi"/>
          <w:color w:val="000000" w:themeColor="text1"/>
          <w:szCs w:val="22"/>
        </w:rPr>
        <w:t xml:space="preserve">listing of </w:t>
      </w:r>
      <w:r>
        <w:rPr>
          <w:rFonts w:eastAsiaTheme="minorEastAsia" w:cstheme="minorBidi"/>
          <w:color w:val="000000" w:themeColor="text1"/>
          <w:szCs w:val="22"/>
        </w:rPr>
        <w:t>BCI</w:t>
      </w:r>
      <w:r w:rsidRPr="00053377">
        <w:rPr>
          <w:rFonts w:eastAsiaTheme="minorEastAsia" w:cstheme="minorBidi"/>
          <w:color w:val="000000" w:themeColor="text1"/>
          <w:szCs w:val="22"/>
        </w:rPr>
        <w:t xml:space="preserve"> on the PL may be subject to the condition,</w:t>
      </w:r>
      <w:r w:rsidRPr="00AD292C">
        <w:rPr>
          <w:rFonts w:eastAsiaTheme="minorEastAsia" w:cstheme="minorBidi"/>
          <w:color w:val="000000" w:themeColor="text1"/>
          <w:szCs w:val="22"/>
          <w:lang w:val="en-US"/>
        </w:rPr>
        <w:t xml:space="preserve"> limiting the nondiscretionary obligation, placed on </w:t>
      </w:r>
      <w:r w:rsidRPr="00AD292C">
        <w:rPr>
          <w:rFonts w:eastAsiaTheme="minorEastAsia" w:cstheme="minorBidi"/>
          <w:color w:val="000000" w:themeColor="text1"/>
          <w:szCs w:val="22"/>
          <w:lang w:val="en-US"/>
        </w:rPr>
        <w:lastRenderedPageBreak/>
        <w:t>private health insurers to pay the PL benefits for the devices listed under the billing codes, to certain circumstances prescribed in the condition.</w:t>
      </w:r>
      <w:r w:rsidRPr="00053377">
        <w:rPr>
          <w:rFonts w:eastAsiaTheme="minorEastAsia" w:cstheme="minorBidi"/>
          <w:color w:val="000000" w:themeColor="text1"/>
          <w:szCs w:val="22"/>
          <w:lang w:val="en-US"/>
        </w:rPr>
        <w:t xml:space="preserve"> </w:t>
      </w:r>
      <w:r>
        <w:rPr>
          <w:rFonts w:eastAsiaTheme="minorEastAsia" w:cstheme="minorBidi"/>
          <w:color w:val="000000" w:themeColor="text1"/>
          <w:szCs w:val="22"/>
          <w:lang w:val="en-US"/>
        </w:rPr>
        <w:t xml:space="preserve">However, </w:t>
      </w:r>
      <w:r w:rsidRPr="00053377">
        <w:rPr>
          <w:rFonts w:eastAsiaTheme="minorEastAsia" w:cstheme="minorBidi"/>
          <w:color w:val="000000" w:themeColor="text1"/>
          <w:szCs w:val="22"/>
          <w:lang w:val="en-US"/>
        </w:rPr>
        <w:t xml:space="preserve">PL conditions do not restrict the </w:t>
      </w:r>
      <w:r w:rsidRPr="00AD292C">
        <w:rPr>
          <w:rFonts w:eastAsiaTheme="minorEastAsia" w:cstheme="minorBidi"/>
          <w:color w:val="000000" w:themeColor="text1"/>
          <w:szCs w:val="22"/>
          <w:lang w:val="en-US"/>
        </w:rPr>
        <w:t>use of the devices in clinical practice</w:t>
      </w:r>
      <w:r>
        <w:rPr>
          <w:rFonts w:eastAsiaTheme="minorEastAsia" w:cstheme="minorBidi"/>
          <w:color w:val="000000" w:themeColor="text1"/>
          <w:szCs w:val="22"/>
          <w:lang w:val="en-US"/>
        </w:rPr>
        <w:t xml:space="preserve">, which may result in claims for the PL benefit for BCI being used </w:t>
      </w:r>
      <w:r w:rsidRPr="0075262D">
        <w:rPr>
          <w:rFonts w:eastAsiaTheme="minorEastAsia"/>
          <w:color w:val="000000" w:themeColor="text1"/>
          <w:lang w:val="en-US"/>
        </w:rPr>
        <w:t xml:space="preserve">outside the intended </w:t>
      </w:r>
      <w:r>
        <w:t>population</w:t>
      </w:r>
      <w:r w:rsidRPr="009B7D4E">
        <w:rPr>
          <w:rFonts w:eastAsiaTheme="minorEastAsia" w:cstheme="minorBidi"/>
          <w:color w:val="000000" w:themeColor="text1"/>
          <w:szCs w:val="22"/>
          <w:lang w:val="en-US"/>
        </w:rPr>
        <w:t xml:space="preserve">. </w:t>
      </w:r>
      <w:r>
        <w:rPr>
          <w:rFonts w:eastAsiaTheme="minorEastAsia" w:cstheme="minorBidi"/>
          <w:color w:val="000000" w:themeColor="text1"/>
          <w:szCs w:val="22"/>
          <w:lang w:val="en-US"/>
        </w:rPr>
        <w:t xml:space="preserve">As such, </w:t>
      </w:r>
      <w:r w:rsidRPr="009B7D4E">
        <w:rPr>
          <w:rFonts w:eastAsiaTheme="minorEastAsia" w:cstheme="minorBidi"/>
          <w:color w:val="000000" w:themeColor="text1"/>
          <w:szCs w:val="22"/>
        </w:rPr>
        <w:t xml:space="preserve">MSAC may wish to consider a new MBS item that restricts </w:t>
      </w:r>
      <w:r>
        <w:rPr>
          <w:rFonts w:eastAsiaTheme="minorEastAsia"/>
        </w:rPr>
        <w:t xml:space="preserve">use of the technology </w:t>
      </w:r>
      <w:r w:rsidRPr="009B7D4E">
        <w:rPr>
          <w:rFonts w:eastAsiaTheme="minorEastAsia" w:cstheme="minorBidi"/>
          <w:color w:val="000000" w:themeColor="text1"/>
          <w:szCs w:val="22"/>
        </w:rPr>
        <w:t>to FTR</w:t>
      </w:r>
      <w:r>
        <w:rPr>
          <w:rFonts w:eastAsiaTheme="minorEastAsia" w:cstheme="minorBidi"/>
          <w:color w:val="000000" w:themeColor="text1"/>
          <w:szCs w:val="22"/>
        </w:rPr>
        <w:t>CT</w:t>
      </w:r>
      <w:r w:rsidRPr="009B7D4E">
        <w:rPr>
          <w:rFonts w:eastAsiaTheme="minorEastAsia" w:cstheme="minorBidi"/>
          <w:color w:val="000000" w:themeColor="text1"/>
          <w:szCs w:val="22"/>
        </w:rPr>
        <w:t>.</w:t>
      </w:r>
    </w:p>
    <w:p w14:paraId="67152103" w14:textId="77777777" w:rsidR="00DD6C68" w:rsidRDefault="00DD6C68" w:rsidP="00DD6C68">
      <w:pPr>
        <w:keepNext/>
        <w:rPr>
          <w:rStyle w:val="Strong"/>
        </w:rPr>
      </w:pPr>
      <w:r w:rsidRPr="00194327">
        <w:rPr>
          <w:rStyle w:val="Strong"/>
        </w:rPr>
        <w:t>ESC discussion</w:t>
      </w:r>
    </w:p>
    <w:p w14:paraId="30A05AA4" w14:textId="3E5A565A" w:rsidR="00DD6C68" w:rsidRPr="00413999" w:rsidRDefault="00DD6C68" w:rsidP="00DD6C68">
      <w:r>
        <w:t>ESC noted that this is a reapplication from Smith &amp; Nephew Pty Limited requesting listing of BCI on the PL for use in the surgical repair of FTRCT in conjunction with existing MBS items. This application is not seeking a new MBS item or to amend an existing MBS item as there is a relevant and clinically appropriate MBS item already available that allows the use of BCI (</w:t>
      </w:r>
      <w:hyperlink r:id="rId14" w:history="1">
        <w:r w:rsidRPr="002D1043">
          <w:rPr>
            <w:rStyle w:val="Hyperlink"/>
          </w:rPr>
          <w:t>MBS item 48960</w:t>
        </w:r>
      </w:hyperlink>
      <w:r>
        <w:t>).</w:t>
      </w:r>
      <w:r w:rsidRPr="4601E17A">
        <w:rPr>
          <w:rFonts w:eastAsia="Franklin Gothic Book"/>
          <w:color w:val="000000" w:themeColor="text1"/>
        </w:rPr>
        <w:t xml:space="preserve"> MSAC</w:t>
      </w:r>
      <w:r>
        <w:rPr>
          <w:rFonts w:eastAsia="Franklin Gothic Book"/>
          <w:color w:val="000000" w:themeColor="text1"/>
        </w:rPr>
        <w:t xml:space="preserve"> is requested </w:t>
      </w:r>
      <w:r w:rsidR="00E46521">
        <w:rPr>
          <w:rFonts w:eastAsia="Franklin Gothic Book"/>
          <w:color w:val="000000" w:themeColor="text1"/>
        </w:rPr>
        <w:t>to provide advice to</w:t>
      </w:r>
      <w:r w:rsidR="00216968">
        <w:rPr>
          <w:rFonts w:eastAsia="Franklin Gothic Book"/>
          <w:color w:val="000000" w:themeColor="text1"/>
        </w:rPr>
        <w:t xml:space="preserve"> MDHTAC </w:t>
      </w:r>
      <w:r w:rsidR="00E46521">
        <w:rPr>
          <w:rFonts w:eastAsia="Franklin Gothic Book"/>
          <w:color w:val="000000" w:themeColor="text1"/>
        </w:rPr>
        <w:t>on</w:t>
      </w:r>
      <w:r w:rsidRPr="4601E17A">
        <w:rPr>
          <w:rFonts w:eastAsia="Franklin Gothic Book"/>
          <w:color w:val="000000" w:themeColor="text1"/>
        </w:rPr>
        <w:t xml:space="preserve"> the comparative clinical effectiveness and cost-effectiveness of the device</w:t>
      </w:r>
      <w:r>
        <w:t xml:space="preserve"> via the Tier 3 full health technology assessment (HTA) pathway.</w:t>
      </w:r>
    </w:p>
    <w:p w14:paraId="12C2044C" w14:textId="4C52DC48" w:rsidR="00DD6C68" w:rsidRDefault="00DD6C68" w:rsidP="00DD6C68">
      <w:r>
        <w:t>ESC noted that rotator cuff lesions are common with increasing age and can become painful. Conservative treatment usually lasts</w:t>
      </w:r>
      <w:r w:rsidR="00121BA7">
        <w:t xml:space="preserve"> </w:t>
      </w:r>
      <w:r w:rsidR="00E46521">
        <w:t>3</w:t>
      </w:r>
      <w:r>
        <w:t> months and includes medication, injections and physiotherapy. If unsuccessful, surgical management (either arthroscopic or mini-open) is considered to restore the rotator cuff with or without subacromial decompression. However, standard surgical care does not address the underlying degenerative tendinopathy. Rates of rotator cuff retear vary between 15–96% (</w:t>
      </w:r>
      <w:proofErr w:type="spellStart"/>
      <w:r>
        <w:t>Mandaleson</w:t>
      </w:r>
      <w:proofErr w:type="spellEnd"/>
      <w:r>
        <w:t xml:space="preserve"> 2021), due to </w:t>
      </w:r>
      <w:proofErr w:type="gramStart"/>
      <w:r>
        <w:t>a number of</w:t>
      </w:r>
      <w:proofErr w:type="gramEnd"/>
      <w:r>
        <w:t xml:space="preserve"> factors including poor tissue quality and fatty infiltration, increased tear size and retraction, age and comorbidities, and chronic pathology and biomechanical dysfunction.</w:t>
      </w:r>
    </w:p>
    <w:p w14:paraId="382B8C5C" w14:textId="75032AF1" w:rsidR="00DD6C68" w:rsidRDefault="00DD6C68" w:rsidP="00DD6C68">
      <w:r>
        <w:t xml:space="preserve">ESC noted that BCI </w:t>
      </w:r>
      <w:r w:rsidRPr="00090F27">
        <w:t xml:space="preserve">is a bioengineered implant composed of highly purified </w:t>
      </w:r>
      <w:r>
        <w:t>t</w:t>
      </w:r>
      <w:r w:rsidRPr="00090F27">
        <w:t>ype</w:t>
      </w:r>
      <w:r>
        <w:t> </w:t>
      </w:r>
      <w:r w:rsidRPr="00090F27">
        <w:t>I collagen</w:t>
      </w:r>
      <w:r>
        <w:t xml:space="preserve"> derived from bovine </w:t>
      </w:r>
      <w:proofErr w:type="spellStart"/>
      <w:r>
        <w:t>achilles</w:t>
      </w:r>
      <w:proofErr w:type="spellEnd"/>
      <w:r>
        <w:t xml:space="preserve"> tendon.</w:t>
      </w:r>
      <w:r w:rsidRPr="00090F27">
        <w:t xml:space="preserve"> </w:t>
      </w:r>
      <w:r>
        <w:t>It is</w:t>
      </w:r>
      <w:r w:rsidRPr="00090F27">
        <w:t xml:space="preserve"> manufactured into a highly porous scaffold </w:t>
      </w:r>
      <w:r>
        <w:t>that</w:t>
      </w:r>
      <w:r w:rsidRPr="00090F27">
        <w:t xml:space="preserve"> </w:t>
      </w:r>
      <w:r>
        <w:t xml:space="preserve">is placed on top of the tendon to </w:t>
      </w:r>
      <w:r w:rsidRPr="00090F27">
        <w:t>actively support the body</w:t>
      </w:r>
      <w:r>
        <w:t>’</w:t>
      </w:r>
      <w:r w:rsidRPr="00090F27">
        <w:t xml:space="preserve">s healing response and is fully absorbed within </w:t>
      </w:r>
      <w:r>
        <w:t>6 </w:t>
      </w:r>
      <w:r w:rsidRPr="00090F27">
        <w:t>months (Schlegel et al. 2018)</w:t>
      </w:r>
      <w:r>
        <w:rPr>
          <w:rStyle w:val="FootnoteReference"/>
        </w:rPr>
        <w:footnoteReference w:id="28"/>
      </w:r>
      <w:r>
        <w:t>. BCI has been approved by the TGA as a Class III Medical Device and included in the ARTG under ARTG 384118, since 24 July 2020</w:t>
      </w:r>
      <w:r w:rsidDel="004E0363">
        <w:t>.</w:t>
      </w:r>
      <w:r>
        <w:t xml:space="preserve"> </w:t>
      </w:r>
    </w:p>
    <w:p w14:paraId="79B47A76" w14:textId="01387A86" w:rsidR="00DD6C68" w:rsidRDefault="00DD6C68" w:rsidP="00DD6C68">
      <w:r>
        <w:t>ESC noted that this was the third time MSAC has considered this application. The applicant initially applied to MSAC on advice from the PLAC as the device (</w:t>
      </w:r>
      <w:r w:rsidRPr="00AD292C">
        <w:t>REGENETEN’</w:t>
      </w:r>
      <w:r>
        <w:t xml:space="preserve">, Smith and Nephew’s brand of BCI) was a new technology and the proposed benefit was comparatively high. PLAC suggested the sponsor seek MSAC’s assessment of comparative clinical and cost effectiveness to inform consideration of the device for listing on the PL. </w:t>
      </w:r>
      <w:r w:rsidDel="00B65650">
        <w:t>I</w:t>
      </w:r>
      <w:r>
        <w:t>n its consideration of the original application (</w:t>
      </w:r>
      <w:hyperlink r:id="rId15" w:history="1">
        <w:r w:rsidRPr="4601E17A">
          <w:rPr>
            <w:rStyle w:val="Hyperlink"/>
          </w:rPr>
          <w:t>Application 1593</w:t>
        </w:r>
      </w:hyperlink>
      <w:r>
        <w:t>) in July 2020, MSAC advised the PLAC that the evidence for comparative safety, effectiveness and cost-effectiveness was highly uncertain relative to standard surgical repair in both subpopulations, those being patients with PTRCT and patients with FTRCT</w:t>
      </w:r>
      <w:r w:rsidDel="00A81C37">
        <w:t>.</w:t>
      </w:r>
    </w:p>
    <w:p w14:paraId="1BCB074B" w14:textId="3D210822" w:rsidR="00DD6C68" w:rsidRPr="00423B8C" w:rsidRDefault="00DD6C68" w:rsidP="00DD6C68">
      <w:r w:rsidRPr="004A4C80">
        <w:t>ESC noted that MSAC considered the first re</w:t>
      </w:r>
      <w:r>
        <w:t>application</w:t>
      </w:r>
      <w:r w:rsidRPr="004A4C80">
        <w:t xml:space="preserve"> (</w:t>
      </w:r>
      <w:hyperlink r:id="rId16" w:history="1">
        <w:r>
          <w:rPr>
            <w:rStyle w:val="Hyperlink"/>
          </w:rPr>
          <w:t>Application 1593.1</w:t>
        </w:r>
      </w:hyperlink>
      <w:r w:rsidRPr="004A4C80">
        <w:t>) in August 2024. The re</w:t>
      </w:r>
      <w:r>
        <w:t>application</w:t>
      </w:r>
      <w:r w:rsidRPr="004A4C80">
        <w:t xml:space="preserve"> </w:t>
      </w:r>
      <w:r w:rsidRPr="00AD292C">
        <w:t xml:space="preserve">aimed to </w:t>
      </w:r>
      <w:r w:rsidRPr="004A4C80">
        <w:t>address or partially address several of MSAC’s previous concerns</w:t>
      </w:r>
      <w:r w:rsidRPr="00AD292C">
        <w:t>. In the 1593.1 re</w:t>
      </w:r>
      <w:r>
        <w:t>application</w:t>
      </w:r>
      <w:r w:rsidRPr="00AD292C">
        <w:t>, t</w:t>
      </w:r>
      <w:r w:rsidRPr="004A4C80">
        <w:t xml:space="preserve">he follow-up from Ruiz </w:t>
      </w:r>
      <w:proofErr w:type="spellStart"/>
      <w:r w:rsidRPr="004A4C80">
        <w:t>Ibán</w:t>
      </w:r>
      <w:proofErr w:type="spellEnd"/>
      <w:r w:rsidRPr="004A4C80">
        <w:t xml:space="preserve"> et al. (2023) maintained retear rates as the primary outcome, and no statistically significant differences in </w:t>
      </w:r>
      <w:r w:rsidR="002152E4">
        <w:t>PROMs</w:t>
      </w:r>
      <w:r w:rsidRPr="004A4C80">
        <w:t xml:space="preserve"> were </w:t>
      </w:r>
      <w:r>
        <w:t>reported</w:t>
      </w:r>
      <w:r w:rsidRPr="004A4C80">
        <w:t xml:space="preserve">. Another long-term follow-up study from Camacho-Chacón (2023) presented in the </w:t>
      </w:r>
      <w:r w:rsidRPr="00AD292C">
        <w:t xml:space="preserve">1593.1 </w:t>
      </w:r>
      <w:r w:rsidRPr="004A4C80">
        <w:t>ADAR demonstrated significant differences in patient-reported outcomes (</w:t>
      </w:r>
      <w:r>
        <w:t>the ASES</w:t>
      </w:r>
      <w:r w:rsidRPr="004A4C80">
        <w:t xml:space="preserve"> </w:t>
      </w:r>
      <w:r>
        <w:t xml:space="preserve">score </w:t>
      </w:r>
      <w:r w:rsidRPr="004A4C80">
        <w:t xml:space="preserve">and </w:t>
      </w:r>
      <w:r>
        <w:t xml:space="preserve">the </w:t>
      </w:r>
      <w:r w:rsidRPr="004A4C80">
        <w:t>CMS).</w:t>
      </w:r>
      <w:r w:rsidRPr="00AD292C">
        <w:t xml:space="preserve"> In its consideration of 1593.1, MSAC advised MDHTAC that </w:t>
      </w:r>
      <w:r w:rsidR="000D0C25">
        <w:t>BCI’s</w:t>
      </w:r>
      <w:r w:rsidR="000D0C25" w:rsidRPr="00AD292C">
        <w:t xml:space="preserve"> </w:t>
      </w:r>
      <w:r w:rsidRPr="00AD292C">
        <w:t>comparative effectiveness, safety and value for money were all uncertain due to uncertain benefit in patient-related functional outcomes and over the long-term (1593.1 PSD, p2). MSAC considered that a re</w:t>
      </w:r>
      <w:r>
        <w:t>application</w:t>
      </w:r>
      <w:r w:rsidRPr="00AD292C">
        <w:t xml:space="preserve"> should focus on the clinical claim that </w:t>
      </w:r>
      <w:r>
        <w:t>BCI</w:t>
      </w:r>
      <w:r w:rsidRPr="00AD292C">
        <w:t xml:space="preserve"> reduces time to recovery, provide RCT </w:t>
      </w:r>
      <w:r w:rsidRPr="00AD292C">
        <w:lastRenderedPageBreak/>
        <w:t>evidence with non-radiological measures as primary outcomes and consider respecifying the economic evaluation for FTR</w:t>
      </w:r>
      <w:r>
        <w:t>C</w:t>
      </w:r>
      <w:r w:rsidRPr="00AD292C">
        <w:t xml:space="preserve">T with the inclusion of appropriate downstream costs, use of trial-based or time trade-off utility weights and shortening the time horizon to 1 year (as retear rates were only available </w:t>
      </w:r>
      <w:r>
        <w:t>up to</w:t>
      </w:r>
      <w:r w:rsidRPr="00AD292C">
        <w:t xml:space="preserve"> 12 months</w:t>
      </w:r>
      <w:r>
        <w:t>).</w:t>
      </w:r>
      <w:r w:rsidRPr="00423B8C">
        <w:t xml:space="preserve"> </w:t>
      </w:r>
    </w:p>
    <w:p w14:paraId="56E376A0" w14:textId="09453CC3" w:rsidR="00DD6C68" w:rsidRDefault="00DD6C68" w:rsidP="00DD6C68">
      <w:r>
        <w:t xml:space="preserve">ESC noted that the current application removed the PTRCT subpopulation from the proposed population and provided more evidence from observational studies and 2 years of further follow-up data from Ruiz </w:t>
      </w:r>
      <w:proofErr w:type="spellStart"/>
      <w:r>
        <w:t>Ibán</w:t>
      </w:r>
      <w:proofErr w:type="spellEnd"/>
      <w:r>
        <w:t xml:space="preserve"> et al. 2025 and Camacho-Chacón 2024 which included updated evidence for safety and adverse events, risk of postoperative tears, and functional outcomes. ESC noted the applicant had provided investment and support for both the Ruiz </w:t>
      </w:r>
      <w:proofErr w:type="spellStart"/>
      <w:r>
        <w:t>Ibán</w:t>
      </w:r>
      <w:proofErr w:type="spellEnd"/>
      <w:r>
        <w:t xml:space="preserve"> et al. and Camacho-Chacón RCTs. ESC noted that </w:t>
      </w:r>
      <w:r w:rsidDel="00432A29">
        <w:t xml:space="preserve">the </w:t>
      </w:r>
      <w:r w:rsidRPr="00C664F9" w:rsidDel="00432A29">
        <w:t>Camacho-Chacon (202</w:t>
      </w:r>
      <w:r w:rsidR="00617666">
        <w:t>4</w:t>
      </w:r>
      <w:r w:rsidRPr="00C664F9" w:rsidDel="00432A29">
        <w:t>, N=60) trial demonstrated a significant difference between treatment arms for functional outcomes at baseline and all timepoints post-intervention</w:t>
      </w:r>
      <w:r w:rsidDel="00432A29">
        <w:t xml:space="preserve">. For the 2-year follow-up, </w:t>
      </w:r>
      <w:r>
        <w:t xml:space="preserve">the study from Ruiz </w:t>
      </w:r>
      <w:proofErr w:type="spellStart"/>
      <w:r>
        <w:t>Ibán</w:t>
      </w:r>
      <w:proofErr w:type="spellEnd"/>
      <w:r>
        <w:t xml:space="preserve"> et al. (2025, N=124) reported higher rotator cuff retear rates with standard surgical care (35%) compared with BCI (12%), which the authors stated had a significant impact on the overall outcome. However, ESC noted that the </w:t>
      </w:r>
      <w:r w:rsidDel="00884FC3">
        <w:t xml:space="preserve">clinical </w:t>
      </w:r>
      <w:r>
        <w:t xml:space="preserve">outcomes </w:t>
      </w:r>
      <w:r w:rsidR="00E7034C">
        <w:t xml:space="preserve">(PROMs) </w:t>
      </w:r>
      <w:r>
        <w:t xml:space="preserve">between treatment arms were not statistically significant </w:t>
      </w:r>
      <w:r w:rsidR="00432A29">
        <w:t xml:space="preserve">at any timepoint up to and including </w:t>
      </w:r>
      <w:r>
        <w:t xml:space="preserve">2 years. ESC noted that the trial was powered to detect a difference in the primary outcome of retear rates rather than a difference in functional outcomes. ESC considered that although a relationship between radiographic retears and </w:t>
      </w:r>
      <w:r w:rsidDel="00C54690">
        <w:t>patient-relevant clinical outcomes</w:t>
      </w:r>
      <w:r>
        <w:t xml:space="preserve"> was biologically plausible, the ADAR did not present any evidence to support the link between radiographic tears as a surrogate for patient-relevant functional outcomes, as outlined in Appendix 12 of the MSAC guidelines</w:t>
      </w:r>
      <w:r>
        <w:rPr>
          <w:rStyle w:val="FootnoteReference"/>
        </w:rPr>
        <w:footnoteReference w:id="29"/>
      </w:r>
      <w:r>
        <w:t xml:space="preserve">. </w:t>
      </w:r>
    </w:p>
    <w:p w14:paraId="6F4AC2AC" w14:textId="78D02CF5" w:rsidR="00DD6C68" w:rsidRPr="00413999" w:rsidRDefault="00DD6C68" w:rsidP="00DD6C68">
      <w:r>
        <w:t xml:space="preserve">ESC noted that public consultation feedback for the current application </w:t>
      </w:r>
      <w:r w:rsidR="00451C4F">
        <w:t xml:space="preserve">received prior to the ESC meeting where this application was considered, </w:t>
      </w:r>
      <w:r>
        <w:t>was received from 8 orthopaedic surgeons, all of whom supported funding. ESC noted from th</w:t>
      </w:r>
      <w:r w:rsidR="00603456">
        <w:t>at</w:t>
      </w:r>
      <w:r>
        <w:t xml:space="preserve"> feedback that 20–30% of patients who receive standard of care (SOC; arthroscopy and decompression) have a recurrent tendon tear. It was claimed in the feedback that BCI improves healing rates and helps patients return to work sooner. However, ESC noted that </w:t>
      </w:r>
      <w:r w:rsidR="00451C4F">
        <w:t>one piece</w:t>
      </w:r>
      <w:r w:rsidR="006F48AD">
        <w:t xml:space="preserve"> of</w:t>
      </w:r>
      <w:r>
        <w:t xml:space="preserve"> feedback was critical of the main evidence presented in Ruiz </w:t>
      </w:r>
      <w:proofErr w:type="spellStart"/>
      <w:r>
        <w:t>Ibán</w:t>
      </w:r>
      <w:proofErr w:type="spellEnd"/>
      <w:r>
        <w:t xml:space="preserve"> et al. 2025: that it is not high quality, and further longer follow-up is needed. Another piece of consultation feedback also expressed concern that there </w:t>
      </w:r>
      <w:r w:rsidR="00F56616">
        <w:t xml:space="preserve">could </w:t>
      </w:r>
      <w:r>
        <w:t xml:space="preserve">be leakage to patients with PTRCT. </w:t>
      </w:r>
    </w:p>
    <w:p w14:paraId="221B2591" w14:textId="32007554" w:rsidR="00DD6C68" w:rsidRPr="003D5DE3" w:rsidRDefault="00DD6C68" w:rsidP="00DD6C68">
      <w:pPr>
        <w:rPr>
          <w:b/>
          <w:bCs/>
        </w:rPr>
      </w:pPr>
      <w:r>
        <w:t>ESC noted that, in 2022, the applicant sponsored a prospective, multicentre RCT in targeted global regions to evaluate the safety and efficacy of arthroscopic rotator cuff repair augmented with the REGENETEN BCI in the repair of full-thickness tears versus arthroscopic rotator cuff repair alone (NCT04450342). ESC noted that t</w:t>
      </w:r>
      <w:r w:rsidRPr="00416193">
        <w:t xml:space="preserve">he study results </w:t>
      </w:r>
      <w:r w:rsidR="00C54690">
        <w:t xml:space="preserve">would </w:t>
      </w:r>
      <w:r w:rsidRPr="00416193">
        <w:t>be used to support product registration in China</w:t>
      </w:r>
      <w:r>
        <w:t>;</w:t>
      </w:r>
      <w:r w:rsidRPr="00416193">
        <w:t xml:space="preserve"> post</w:t>
      </w:r>
      <w:r>
        <w:t>-</w:t>
      </w:r>
      <w:r w:rsidRPr="00416193">
        <w:t>market clinical follow-up primar</w:t>
      </w:r>
      <w:r>
        <w:t>ily</w:t>
      </w:r>
      <w:r w:rsidRPr="00416193">
        <w:t xml:space="preserve"> in Europe, Australia</w:t>
      </w:r>
      <w:r>
        <w:t xml:space="preserve"> and</w:t>
      </w:r>
      <w:r w:rsidRPr="00416193">
        <w:t xml:space="preserve"> New Zealand</w:t>
      </w:r>
      <w:r>
        <w:t>;</w:t>
      </w:r>
      <w:r w:rsidRPr="00416193">
        <w:t xml:space="preserve"> and reimbursement </w:t>
      </w:r>
      <w:r>
        <w:t>in</w:t>
      </w:r>
      <w:r w:rsidRPr="00416193">
        <w:t xml:space="preserve"> relevant countries.</w:t>
      </w:r>
      <w:r>
        <w:t xml:space="preserve"> However, this study was not mentioned in the ADAR. </w:t>
      </w:r>
      <w:r w:rsidRPr="003D5DE3">
        <w:t xml:space="preserve">ESC considered an update on the progress of this study and </w:t>
      </w:r>
      <w:r>
        <w:t xml:space="preserve">the </w:t>
      </w:r>
      <w:r w:rsidRPr="003D5DE3">
        <w:t>preliminary results if available would be useful</w:t>
      </w:r>
      <w:r>
        <w:t xml:space="preserve"> for MSAC decision making. Post-ESC the department identified that the RCT has been terminated due to ‘Sponsor decision not related to safety’</w:t>
      </w:r>
      <w:r>
        <w:rPr>
          <w:rStyle w:val="FootnoteReference"/>
        </w:rPr>
        <w:footnoteReference w:id="30"/>
      </w:r>
      <w:r>
        <w:t>.</w:t>
      </w:r>
    </w:p>
    <w:p w14:paraId="067CE081" w14:textId="77777777" w:rsidR="00DD6C68" w:rsidRPr="00413999" w:rsidRDefault="00DD6C68" w:rsidP="00DD6C68">
      <w:r>
        <w:t>For comparative safety, ESC considered that BCI had a comparable safety profile to standard suture anchor repair, with no increase in complication rates.</w:t>
      </w:r>
    </w:p>
    <w:p w14:paraId="7FBD6A82" w14:textId="77777777" w:rsidR="00DD6C68" w:rsidRDefault="00DD6C68" w:rsidP="00DD6C68">
      <w:r>
        <w:t xml:space="preserve">Regarding comparative effectiveness, ESC noted that in Ruiz </w:t>
      </w:r>
      <w:proofErr w:type="spellStart"/>
      <w:r>
        <w:t>Ibán</w:t>
      </w:r>
      <w:proofErr w:type="spellEnd"/>
      <w:r>
        <w:t xml:space="preserve"> et al. (2025) the relative reduction in retear risk at 24 months was 0.35 (95% CI:0.161-0.762) while achieving similar functional outcomes. Camacho-Chacón (2024) directly compared isolated bovine repair (BCI </w:t>
      </w:r>
      <w:r>
        <w:lastRenderedPageBreak/>
        <w:t xml:space="preserve">without suture anchors) to the current SOC of suture anchor repairs for small and medium FTRCT. It found that isolated BCI repair resulted in superior tendon healing, improved functional outcomes, less pain and greater patient satisfaction. </w:t>
      </w:r>
    </w:p>
    <w:p w14:paraId="20ABFF87" w14:textId="0D8DF57F" w:rsidR="00DD6C68" w:rsidRPr="00413999" w:rsidRDefault="00DD6C68" w:rsidP="00DD6C68">
      <w:r>
        <w:t xml:space="preserve">ESC noted that the economic evaluation included both a </w:t>
      </w:r>
      <w:r w:rsidR="000D350D">
        <w:t>CUA</w:t>
      </w:r>
      <w:r>
        <w:t xml:space="preserve"> and a </w:t>
      </w:r>
      <w:r w:rsidR="000D350D">
        <w:t>CEA</w:t>
      </w:r>
      <w:r>
        <w:t xml:space="preserve">. The </w:t>
      </w:r>
      <w:r w:rsidR="000D350D">
        <w:t>CUA</w:t>
      </w:r>
      <w:r>
        <w:t xml:space="preserve"> had been amended from the previous application to rely on the CMS rather than the ASES score. The cost-effectiveness analysis was based on the cost per healed tear over a 2-year time horizon and defined an MCID as a 10.4-point change in the CMS. The analysis used a decision tree where a retear resulted in revision, reverse total shoulder arthroplasty or conservative management, with all given the same probability in each arm. The BCI arm was given a lower probability of tear heal failure compared to SOC. The probability of initial tear healing was derived from Ruiz </w:t>
      </w:r>
      <w:proofErr w:type="spellStart"/>
      <w:r>
        <w:t>Ibán</w:t>
      </w:r>
      <w:proofErr w:type="spellEnd"/>
      <w:r>
        <w:t xml:space="preserve"> et al. 2025. The analysis was not based on Australian data however, ESC noted that there did not appear to be any other source studies. ESC considered the structure and health states of the analysis to be reasonable but also considered that a simpler within-trial economic evaluation should have been presented given that Ruiz </w:t>
      </w:r>
      <w:proofErr w:type="spellStart"/>
      <w:r>
        <w:t>Ibán</w:t>
      </w:r>
      <w:proofErr w:type="spellEnd"/>
      <w:r>
        <w:t xml:space="preserve"> et al. 2025 collected the EQ 5D-5L. </w:t>
      </w:r>
    </w:p>
    <w:p w14:paraId="0176B317" w14:textId="77777777" w:rsidR="00DD6C68" w:rsidRDefault="00DD6C68" w:rsidP="00DD6C68">
      <w:r>
        <w:t xml:space="preserve">ESC acknowledged that the current application attempted to address some of the key economic issues previously raised by MSAC. MSAC had considered that a reapplication should respecify the economic evaluation to use trial-based or time trade-off (TTO) utility weights and shorten the time horizon to 1 year (as retear rates were only available at 12 months). The reapplication maintained a 2-year time horizon which was supported by longer trial follow-up data. However, rather than deriving utility weights from the </w:t>
      </w:r>
      <w:r w:rsidRPr="00726DC3">
        <w:t xml:space="preserve">EQ-5D-5L </w:t>
      </w:r>
      <w:r>
        <w:t xml:space="preserve">questionnaire, utilities were derived from the </w:t>
      </w:r>
      <w:r w:rsidRPr="008F3116">
        <w:t xml:space="preserve">EQ-5D-5L </w:t>
      </w:r>
      <w:r>
        <w:t>VAS results from the pivotal trial. ESC considered that using VAS results as utilities was not appropriate. ESC noted that n</w:t>
      </w:r>
      <w:r w:rsidRPr="00F06B10">
        <w:t xml:space="preserve">o justification was given as to why </w:t>
      </w:r>
      <w:r>
        <w:t>the</w:t>
      </w:r>
      <w:r w:rsidRPr="00F06B10">
        <w:t xml:space="preserve"> </w:t>
      </w:r>
      <w:r>
        <w:t xml:space="preserve">EQ-5D-5L </w:t>
      </w:r>
      <w:r w:rsidRPr="00F06B10">
        <w:t>utility weights</w:t>
      </w:r>
      <w:r>
        <w:t>,</w:t>
      </w:r>
      <w:r w:rsidRPr="00F06B10">
        <w:t xml:space="preserve"> </w:t>
      </w:r>
      <w:r>
        <w:t>derived from a published Australian algorithm such as Norman et al (2023)</w:t>
      </w:r>
      <w:r>
        <w:rPr>
          <w:rStyle w:val="FootnoteReference"/>
        </w:rPr>
        <w:footnoteReference w:id="31"/>
      </w:r>
      <w:r>
        <w:t xml:space="preserve"> </w:t>
      </w:r>
      <w:r w:rsidRPr="00F06B10">
        <w:t>were not used</w:t>
      </w:r>
      <w:r>
        <w:t xml:space="preserve">, </w:t>
      </w:r>
      <w:r w:rsidRPr="00F06B10">
        <w:t>or at least attempted to be used</w:t>
      </w:r>
      <w:r>
        <w:t>.</w:t>
      </w:r>
      <w:r w:rsidRPr="00F06B10" w:rsidDel="00557AC2">
        <w:t xml:space="preserve"> </w:t>
      </w:r>
      <w:r>
        <w:t>ESC acknowledged that the Norman weights used a discrete choice experiment design rather than a TTO, but that this would not have precluded use in the current application</w:t>
      </w:r>
    </w:p>
    <w:p w14:paraId="41C1330D" w14:textId="77777777" w:rsidR="00DD6C68" w:rsidRDefault="00DD6C68" w:rsidP="00DD6C68">
      <w:r>
        <w:t xml:space="preserve">ESC noted that MSAC had also previously raised concerns about the model’s reliance on imaging outcomes rather than functional outcomes. This reapplication attempted to address this by providing an additional cost-effectiveness analysis that </w:t>
      </w:r>
      <w:r w:rsidRPr="00F06B10">
        <w:t xml:space="preserve">used an average change in </w:t>
      </w:r>
      <w:r>
        <w:t xml:space="preserve">the </w:t>
      </w:r>
      <w:r w:rsidRPr="00F06B10">
        <w:t xml:space="preserve">CMS to calculate the average MCID achieved over the trial population. </w:t>
      </w:r>
      <w:r>
        <w:t>However, ESC agreed with the commentary that the method used to calculate the difference in the MCID was not informative</w:t>
      </w:r>
      <w:r w:rsidRPr="00F06B10">
        <w:t xml:space="preserve">. </w:t>
      </w:r>
      <w:r>
        <w:t>ESC agreed with t</w:t>
      </w:r>
      <w:r w:rsidRPr="00F06B10">
        <w:t xml:space="preserve">he </w:t>
      </w:r>
      <w:r>
        <w:t>commentary</w:t>
      </w:r>
      <w:r w:rsidRPr="00F06B10">
        <w:t xml:space="preserve"> </w:t>
      </w:r>
      <w:r>
        <w:t xml:space="preserve">that </w:t>
      </w:r>
      <w:r w:rsidRPr="00F06B10">
        <w:t xml:space="preserve">a more appropriate method would be to calculate the </w:t>
      </w:r>
      <w:r>
        <w:t xml:space="preserve">proportion of </w:t>
      </w:r>
      <w:r w:rsidRPr="00F06B10">
        <w:t>patients achieving an MCID change in</w:t>
      </w:r>
      <w:r>
        <w:t xml:space="preserve"> the</w:t>
      </w:r>
      <w:r w:rsidRPr="00F06B10">
        <w:t xml:space="preserve"> CMS and utilities and compare those results across treatment arms</w:t>
      </w:r>
      <w:r w:rsidDel="0035798D">
        <w:t>.</w:t>
      </w:r>
      <w:r>
        <w:t xml:space="preserve"> </w:t>
      </w:r>
    </w:p>
    <w:p w14:paraId="2BD04E52" w14:textId="77777777" w:rsidR="00DD6C68" w:rsidRPr="00413999" w:rsidRDefault="00DD6C68" w:rsidP="00DD6C68">
      <w:r>
        <w:t>ESC noted that the model assumed the same utilities for healed and unhealed tears following revision for both BCI and SOC. ESC queried the validity of this, as it is expected that healed tears following revision would result in improved utilities. ESC also considered that some improvement over time would generally be expected for all unhealed rotator cuff tears.</w:t>
      </w:r>
    </w:p>
    <w:p w14:paraId="71596180" w14:textId="6BF1201B" w:rsidR="00DD6C68" w:rsidRDefault="00DD6C68" w:rsidP="00DD6C68">
      <w:r>
        <w:t xml:space="preserve">ESC noted that the model in this reapplication used the same structure as that in </w:t>
      </w:r>
      <w:r w:rsidR="000D350D">
        <w:t>a</w:t>
      </w:r>
      <w:r>
        <w:t xml:space="preserve">pplication 1593.1, with the difference being the definition of functional benefit. However, ESC considered the utility derivation </w:t>
      </w:r>
      <w:r w:rsidR="00374DAE">
        <w:t>was unvalidated and unjustified</w:t>
      </w:r>
      <w:r>
        <w:t>. ESC noted that the model assumed a linear relationship between the VAS and the CMS but provided no justification supporting this. Further, t</w:t>
      </w:r>
      <w:r w:rsidRPr="008452EE">
        <w:t>here was no justification as to why utilities sourced from study participants could not be used</w:t>
      </w:r>
      <w:r>
        <w:t>. ESC considered that t</w:t>
      </w:r>
      <w:r w:rsidRPr="008452EE">
        <w:t xml:space="preserve">he ADAR </w:t>
      </w:r>
      <w:r>
        <w:t>sh</w:t>
      </w:r>
      <w:r w:rsidRPr="008452EE">
        <w:t>ould have used a simpler approach rather than a</w:t>
      </w:r>
      <w:r>
        <w:t>n</w:t>
      </w:r>
      <w:r w:rsidRPr="008452EE">
        <w:t xml:space="preserve"> adjustment upon adjustment approach. </w:t>
      </w:r>
    </w:p>
    <w:p w14:paraId="0CFE50CE" w14:textId="77777777" w:rsidR="00DD6C68" w:rsidRDefault="00DD6C68" w:rsidP="00DD6C68">
      <w:r>
        <w:lastRenderedPageBreak/>
        <w:t xml:space="preserve">ESC queried the </w:t>
      </w:r>
      <w:proofErr w:type="spellStart"/>
      <w:r>
        <w:t>disutilities</w:t>
      </w:r>
      <w:proofErr w:type="spellEnd"/>
      <w:r>
        <w:t xml:space="preserve"> used for revision surgery, which were 1.5 times that of arthroscopic rotator cuff repair. ESC noted that the values used to determine the </w:t>
      </w:r>
      <w:proofErr w:type="spellStart"/>
      <w:r>
        <w:t>disutilities</w:t>
      </w:r>
      <w:proofErr w:type="spellEnd"/>
      <w:r>
        <w:t xml:space="preserve"> were from Dornan et al. 2017, with the source utility from Mather et al. 2013. However, it appears that this was based on the Short-Form 6-Dimension (SF-6D) utility measure, not the EQ-5D-5L, and these measures are not directly comparable. ESC also queried why the utilities remained low for shoulder replacement for the entire 2-year time duration, as it would be assumed that there would be some functional recovery. ESC considered that the approach taken in the ADAR favours the intervention. </w:t>
      </w:r>
    </w:p>
    <w:p w14:paraId="136EB87E" w14:textId="6F71071D" w:rsidR="00DD6C68" w:rsidRDefault="00DD6C68" w:rsidP="00DD6C68">
      <w:r>
        <w:t xml:space="preserve">ESC noted that the cost of BCI in </w:t>
      </w:r>
      <w:r w:rsidR="009E6248">
        <w:t>this application</w:t>
      </w:r>
      <w:r>
        <w:t xml:space="preserve"> </w:t>
      </w:r>
      <w:r w:rsidR="004210F8">
        <w:t>($</w:t>
      </w:r>
      <w:r w:rsidR="00FF6FBB">
        <w:rPr>
          <w:b/>
          <w:bCs/>
        </w:rPr>
        <w:t>redacted</w:t>
      </w:r>
      <w:r w:rsidR="004210F8">
        <w:rPr>
          <w:b/>
          <w:bCs/>
        </w:rPr>
        <w:t>)</w:t>
      </w:r>
      <w:r w:rsidR="00FF6FBB">
        <w:rPr>
          <w:b/>
          <w:bCs/>
        </w:rPr>
        <w:t xml:space="preserve"> </w:t>
      </w:r>
      <w:r w:rsidR="00FF6FBB">
        <w:t>was a reduction from Application 1593.1 (</w:t>
      </w:r>
      <w:r w:rsidR="004210F8">
        <w:t>$</w:t>
      </w:r>
      <w:r w:rsidR="00FF6FBB">
        <w:rPr>
          <w:b/>
          <w:bCs/>
        </w:rPr>
        <w:t>redacted</w:t>
      </w:r>
      <w:r w:rsidR="00FF6FBB">
        <w:t>)</w:t>
      </w:r>
      <w:r>
        <w:t>. The costs of initial surgery were assumed to be the same for the intervention and comparator groups, with the main additional costs accruing when surgery fails (which was given a higher probability in the comparator group) or retear occurs. ESC noted that the economic summary (</w:t>
      </w:r>
      <w:r w:rsidR="00AA2F54">
        <w:fldChar w:fldCharType="begin"/>
      </w:r>
      <w:r w:rsidR="00AA2F54">
        <w:instrText xml:space="preserve"> REF _Ref214891994 \h </w:instrText>
      </w:r>
      <w:r w:rsidR="00AA2F54">
        <w:fldChar w:fldCharType="separate"/>
      </w:r>
      <w:r w:rsidR="00AA2F54">
        <w:t xml:space="preserve">Table </w:t>
      </w:r>
      <w:r w:rsidR="00AA2F54">
        <w:rPr>
          <w:noProof/>
        </w:rPr>
        <w:t>10</w:t>
      </w:r>
      <w:r w:rsidR="00AA2F54">
        <w:fldChar w:fldCharType="end"/>
      </w:r>
      <w:r>
        <w:t>) referenced workers compensation costs (based on weekly earning) However, ESC noted these were appropriately not included in the base-case as they are non-health costs.</w:t>
      </w:r>
      <w:r>
        <w:rPr>
          <w:rStyle w:val="FootnoteReference"/>
        </w:rPr>
        <w:footnoteReference w:id="32"/>
      </w:r>
      <w:r>
        <w:t xml:space="preserve"> ESC noted a misalignment between the unit costs in the Excel model and base-case results, and the cost inputs (</w:t>
      </w:r>
      <w:r w:rsidR="00D838BD">
        <w:t>T</w:t>
      </w:r>
      <w:r>
        <w:t>able 1</w:t>
      </w:r>
      <w:r w:rsidR="004B6510">
        <w:t>1</w:t>
      </w:r>
      <w:r>
        <w:t xml:space="preserve">). These were updated in </w:t>
      </w:r>
      <w:r>
        <w:fldChar w:fldCharType="begin"/>
      </w:r>
      <w:r>
        <w:instrText xml:space="preserve"> REF _Ref197521092 \h </w:instrText>
      </w:r>
      <w:r>
        <w:fldChar w:fldCharType="separate"/>
      </w:r>
      <w:r>
        <w:t xml:space="preserve">Table </w:t>
      </w:r>
      <w:r>
        <w:rPr>
          <w:noProof/>
        </w:rPr>
        <w:t>1</w:t>
      </w:r>
      <w:r w:rsidR="004B6510">
        <w:rPr>
          <w:noProof/>
        </w:rPr>
        <w:t>1</w:t>
      </w:r>
      <w:r>
        <w:fldChar w:fldCharType="end"/>
      </w:r>
      <w:r>
        <w:t xml:space="preserve"> following ESC.</w:t>
      </w:r>
    </w:p>
    <w:p w14:paraId="19A88275" w14:textId="02D0B09B" w:rsidR="00DD6C68" w:rsidRDefault="00DD6C68" w:rsidP="00DD6C68">
      <w:r>
        <w:t xml:space="preserve">ESC noted that the estimated base case ICER was </w:t>
      </w:r>
      <w:r w:rsidR="004210F8">
        <w:t>$</w:t>
      </w:r>
      <w:r w:rsidR="00DD3E62" w:rsidRPr="00DF46A3">
        <w:rPr>
          <w:b/>
          <w:bCs/>
          <w:color w:val="000000" w:themeColor="text1"/>
        </w:rPr>
        <w:t>redacted</w:t>
      </w:r>
      <w:r w:rsidR="00DD3E62" w:rsidDel="00DD3E62">
        <w:t xml:space="preserve"> </w:t>
      </w:r>
      <w:r>
        <w:t>per QALY gained.</w:t>
      </w:r>
      <w:r w:rsidDel="001854E5">
        <w:t xml:space="preserve"> </w:t>
      </w:r>
      <w:r>
        <w:t xml:space="preserve">ESC noted that the method used to estimate the ICER was based on a previous sensitivity analysis conducted by the commentary for Application 1593.1. This analysis applied VAS values from Ruiz </w:t>
      </w:r>
      <w:proofErr w:type="spellStart"/>
      <w:r>
        <w:t>Ibán</w:t>
      </w:r>
      <w:proofErr w:type="spellEnd"/>
      <w:r>
        <w:t xml:space="preserve"> et al. 2023</w:t>
      </w:r>
      <w:r w:rsidR="00D838BD">
        <w:t xml:space="preserve"> </w:t>
      </w:r>
      <w:r>
        <w:t xml:space="preserve">as utility values for conservative management and successful surgery (first and second year). </w:t>
      </w:r>
      <w:r w:rsidRPr="000E7E23">
        <w:t>The utility for conservative management following retear</w:t>
      </w:r>
      <w:r>
        <w:t xml:space="preserve"> was assumed</w:t>
      </w:r>
      <w:r w:rsidRPr="000E7E23">
        <w:t xml:space="preserve"> to be the same as the utility at baseline</w:t>
      </w:r>
      <w:r>
        <w:t>. However, ESC recalled that, in its consideration of Application 1593.1, MSAC had not considered this sensitivity analysis to be clinically plausible.</w:t>
      </w:r>
    </w:p>
    <w:p w14:paraId="70A17D52" w14:textId="00CB3AF2" w:rsidR="00DD6C68" w:rsidRDefault="00DD6C68" w:rsidP="00DD6C68">
      <w:r>
        <w:t>ESC noted the sensitivity analyses in the commentary using l</w:t>
      </w:r>
      <w:r w:rsidRPr="00E01993">
        <w:t>ow values for model health states post</w:t>
      </w:r>
      <w:r>
        <w:t>–</w:t>
      </w:r>
      <w:r w:rsidRPr="00E01993">
        <w:t>heal failure (conservative management health)</w:t>
      </w:r>
      <w:r>
        <w:t xml:space="preserve">, </w:t>
      </w:r>
      <w:r w:rsidRPr="00E01993">
        <w:t xml:space="preserve">taken from adjusting the utility scores in </w:t>
      </w:r>
      <w:r>
        <w:t xml:space="preserve">Ruiz </w:t>
      </w:r>
      <w:proofErr w:type="spellStart"/>
      <w:r>
        <w:t>Ibán</w:t>
      </w:r>
      <w:proofErr w:type="spellEnd"/>
      <w:r>
        <w:t xml:space="preserve"> et al. (2025) </w:t>
      </w:r>
      <w:r w:rsidRPr="00E01993">
        <w:t xml:space="preserve">by </w:t>
      </w:r>
      <w:r>
        <w:t xml:space="preserve">the </w:t>
      </w:r>
      <w:r w:rsidRPr="00E01993">
        <w:t>CMS</w:t>
      </w:r>
      <w:r>
        <w:t>, and using</w:t>
      </w:r>
      <w:r w:rsidRPr="00E01993">
        <w:t xml:space="preserve"> the same approach for the revision surgery health states</w:t>
      </w:r>
      <w:r w:rsidR="0081013C">
        <w:t>,</w:t>
      </w:r>
      <w:r w:rsidRPr="00E01993">
        <w:t xml:space="preserve"> </w:t>
      </w:r>
      <w:r>
        <w:t>had a high impact on the ICER and favoured BCI</w:t>
      </w:r>
      <w:r w:rsidRPr="00E01993">
        <w:t xml:space="preserve">. </w:t>
      </w:r>
      <w:r>
        <w:t>U</w:t>
      </w:r>
      <w:r w:rsidRPr="004468E5">
        <w:t>s</w:t>
      </w:r>
      <w:r>
        <w:t>ing a</w:t>
      </w:r>
      <w:r w:rsidRPr="004468E5">
        <w:t xml:space="preserve"> 20% increase in year</w:t>
      </w:r>
      <w:r>
        <w:t> </w:t>
      </w:r>
      <w:r w:rsidRPr="004468E5">
        <w:t xml:space="preserve">1 utility for conservative management </w:t>
      </w:r>
      <w:r>
        <w:t>resulted in</w:t>
      </w:r>
      <w:r w:rsidRPr="004468E5">
        <w:t xml:space="preserve"> an ICER of </w:t>
      </w:r>
      <w:r w:rsidR="004210F8">
        <w:t>$</w:t>
      </w:r>
      <w:r w:rsidR="00DD3E62" w:rsidRPr="00DF46A3">
        <w:rPr>
          <w:b/>
          <w:bCs/>
          <w:color w:val="000000" w:themeColor="text1"/>
        </w:rPr>
        <w:t>redacted</w:t>
      </w:r>
      <w:r w:rsidR="00DD3E62" w:rsidRPr="004468E5" w:rsidDel="00DD3E62">
        <w:t xml:space="preserve"> </w:t>
      </w:r>
      <w:r w:rsidRPr="004468E5">
        <w:t>/QALY</w:t>
      </w:r>
      <w:r>
        <w:t>;</w:t>
      </w:r>
      <w:r w:rsidRPr="004468E5">
        <w:t xml:space="preserve"> </w:t>
      </w:r>
      <w:r>
        <w:t>i</w:t>
      </w:r>
      <w:r w:rsidRPr="004468E5">
        <w:t>f this 20% increase is applied to all years and the reverse total shoulder arthroplasty health state, the ICER increase</w:t>
      </w:r>
      <w:r>
        <w:t>d</w:t>
      </w:r>
      <w:r w:rsidRPr="004468E5">
        <w:t xml:space="preserve"> to </w:t>
      </w:r>
      <w:r w:rsidR="004210F8">
        <w:t>$</w:t>
      </w:r>
      <w:r w:rsidR="00DD3E62" w:rsidRPr="00DF46A3">
        <w:rPr>
          <w:b/>
          <w:bCs/>
          <w:color w:val="000000" w:themeColor="text1"/>
        </w:rPr>
        <w:t>redacted</w:t>
      </w:r>
      <w:r w:rsidR="00DD3E62" w:rsidRPr="004468E5" w:rsidDel="00DD3E62">
        <w:t xml:space="preserve"> </w:t>
      </w:r>
      <w:r w:rsidRPr="004468E5">
        <w:t>/QALY</w:t>
      </w:r>
      <w:r>
        <w:t xml:space="preserve">. Additionally, adjusting healed revision utilities to higher ‘healed rates’ (noting the face validity concern) increases the ICER to </w:t>
      </w:r>
      <w:r w:rsidR="004210F8">
        <w:t>$</w:t>
      </w:r>
      <w:r w:rsidR="00DD3E62" w:rsidRPr="00DF46A3">
        <w:rPr>
          <w:b/>
          <w:bCs/>
          <w:color w:val="000000" w:themeColor="text1"/>
        </w:rPr>
        <w:t>redacted</w:t>
      </w:r>
      <w:r w:rsidR="00DD3E62" w:rsidDel="00DD3E62">
        <w:t xml:space="preserve"> </w:t>
      </w:r>
      <w:r>
        <w:t xml:space="preserve">/QALY. Adding higher utilities for shoulder arthroscopy </w:t>
      </w:r>
      <w:r w:rsidR="007F1B0A">
        <w:t xml:space="preserve">increased </w:t>
      </w:r>
      <w:r>
        <w:t xml:space="preserve">the ICER to more than </w:t>
      </w:r>
      <w:r w:rsidR="004210F8">
        <w:t>$</w:t>
      </w:r>
      <w:r w:rsidR="00DD3E62" w:rsidRPr="00DF46A3">
        <w:rPr>
          <w:b/>
          <w:bCs/>
          <w:color w:val="000000" w:themeColor="text1"/>
        </w:rPr>
        <w:t>redacted</w:t>
      </w:r>
      <w:r w:rsidR="00DD3E62" w:rsidDel="00DD3E62">
        <w:t xml:space="preserve"> </w:t>
      </w:r>
      <w:r>
        <w:t xml:space="preserve">/QALY. Other factors such as the percentage of tear fails to heal in the BCI and SOC groups had moderate impacts on the ICER. </w:t>
      </w:r>
    </w:p>
    <w:p w14:paraId="7E51A32E" w14:textId="61E423A4" w:rsidR="00DD6C68" w:rsidRDefault="00DD6C68" w:rsidP="00DD6C68">
      <w:r w:rsidRPr="001854E5">
        <w:t>Overall, ESC considered the validity of the estimate’s gains (particularly QALYs) remained highly uncertain and the ICER is likely to be substantively higher than the estimate in the ADAR</w:t>
      </w:r>
      <w:r>
        <w:t>.</w:t>
      </w:r>
      <w:r w:rsidDel="005A4DD8">
        <w:t xml:space="preserve"> </w:t>
      </w:r>
      <w:r>
        <w:t xml:space="preserve">ESC also questioned whether there were any QALY gains more generally given the non-significant results of the functional outcomes in Ruiz </w:t>
      </w:r>
      <w:proofErr w:type="spellStart"/>
      <w:r w:rsidR="007F47D3" w:rsidRPr="00BB05DE">
        <w:t>Ibán</w:t>
      </w:r>
      <w:proofErr w:type="spellEnd"/>
      <w:r>
        <w:t xml:space="preserve"> et al (2025)</w:t>
      </w:r>
      <w:r w:rsidRPr="001854E5">
        <w:t>.</w:t>
      </w:r>
    </w:p>
    <w:p w14:paraId="1CEE073C" w14:textId="6944AFE0" w:rsidR="00DD6C68" w:rsidRDefault="00DD6C68" w:rsidP="00DD6C68">
      <w:r>
        <w:t xml:space="preserve">ESC noted that an epidemiological approach was used to estimate the financial implications. ESC noted that MSAC had previously expressed concerns about the assumed uptake rate (which remains unchanged in this application), the incidence rate, and the probability of revision or reverse total shoulder arthroplasty surgery. ESC noted that the application used higher estimated incidence rates based on an older international </w:t>
      </w:r>
      <w:proofErr w:type="gramStart"/>
      <w:r>
        <w:t>study</w:t>
      </w:r>
      <w:proofErr w:type="gramEnd"/>
      <w:r>
        <w:t xml:space="preserve"> but it considered this was reasonable due to the difficulty in obtaining exact Australian estimates as MBS procedures can be used for injuries other than rotator cuff tear. Regarding the probability of revision or reverse total shoulder </w:t>
      </w:r>
      <w:r>
        <w:lastRenderedPageBreak/>
        <w:t xml:space="preserve">arthroplasty surgery, ESC noted that this application based its higher estimates on Truong et al. 2021 (rather than Parikh et al. 2021 from the previous application); however, ESC considered that the unhealed rates in Truong et al. may differ from those from Ruiz </w:t>
      </w:r>
      <w:proofErr w:type="spellStart"/>
      <w:r>
        <w:t>Ibán</w:t>
      </w:r>
      <w:proofErr w:type="spellEnd"/>
      <w:r>
        <w:t xml:space="preserve"> et al. 2025 and are therefore uncertain. ESC also noted that this application does not consider the older population in any estimates, using population averages as key assumptions. Since rotator cuff lesions are more prevalent in older people, this approach would likely underestimate factors such as the higher rates of private health insurance in the older population and hence the financial impacts may be underestimated. As such, ESC considered that this introduces uncertainty regarding the financial impact, potentially underestimating uptake. The pre-ESC response stated that the eligible population and total cost of the intervention took a more conservative approach than previous applications however ESC considered that some parameters were not conservative. For example, the assumption of no recovery (hence constant lower utility values) in the “revision tear heals” arm of the model favours the intervention arm since more people in the standard of care arm will receive revision care. </w:t>
      </w:r>
    </w:p>
    <w:p w14:paraId="72985572" w14:textId="63021FE2" w:rsidR="00DD6C68" w:rsidRDefault="00DD6C68" w:rsidP="00DD6C68">
      <w:r>
        <w:t xml:space="preserve">ESC noted that the uptake rate of </w:t>
      </w:r>
      <w:r w:rsidR="000238A8" w:rsidRPr="00573CBA">
        <w:rPr>
          <w:b/>
          <w:bCs/>
        </w:rPr>
        <w:t>redacted</w:t>
      </w:r>
      <w:r>
        <w:t>% was assumed without supporting justification. ESC noted that the pre-ESC response stated that r</w:t>
      </w:r>
      <w:r w:rsidRPr="0057258D">
        <w:t>ecent Japanese data show</w:t>
      </w:r>
      <w:r>
        <w:t>ed</w:t>
      </w:r>
      <w:r w:rsidRPr="0057258D">
        <w:t xml:space="preserve"> a higher uptake rate </w:t>
      </w:r>
      <w:r>
        <w:t xml:space="preserve">of </w:t>
      </w:r>
      <w:r w:rsidRPr="0057258D">
        <w:t xml:space="preserve">10% but </w:t>
      </w:r>
      <w:r>
        <w:t>that the response</w:t>
      </w:r>
      <w:r w:rsidRPr="0057258D">
        <w:t xml:space="preserve"> </w:t>
      </w:r>
      <w:r>
        <w:t xml:space="preserve">also </w:t>
      </w:r>
      <w:r w:rsidRPr="0057258D">
        <w:t xml:space="preserve">noted differences between Japan and Australia regarding </w:t>
      </w:r>
      <w:r>
        <w:t xml:space="preserve">its </w:t>
      </w:r>
      <w:r w:rsidRPr="0057258D">
        <w:t>ag</w:t>
      </w:r>
      <w:r>
        <w:t>e</w:t>
      </w:r>
      <w:r w:rsidRPr="0057258D">
        <w:t>ing population</w:t>
      </w:r>
      <w:r>
        <w:t>s</w:t>
      </w:r>
      <w:r w:rsidRPr="0057258D">
        <w:t xml:space="preserve">. </w:t>
      </w:r>
      <w:r>
        <w:t>The pre-ESC response a</w:t>
      </w:r>
      <w:r w:rsidRPr="0057258D">
        <w:t xml:space="preserve">lso noted </w:t>
      </w:r>
      <w:r>
        <w:t xml:space="preserve">that </w:t>
      </w:r>
      <w:r w:rsidRPr="0057258D">
        <w:t xml:space="preserve">Australian surgeons are already using </w:t>
      </w:r>
      <w:r>
        <w:t>BCI, such as</w:t>
      </w:r>
      <w:r w:rsidRPr="0057258D">
        <w:t xml:space="preserve"> via workers compensation</w:t>
      </w:r>
      <w:r>
        <w:t xml:space="preserve"> claims and</w:t>
      </w:r>
      <w:r w:rsidRPr="0057258D">
        <w:t xml:space="preserve"> public hospitals</w:t>
      </w:r>
      <w:r>
        <w:t>. ESC considered that if BCI is currently available in some public hospitals, there may be cost shifting to the private sector if it were to be listed on the PL.</w:t>
      </w:r>
    </w:p>
    <w:p w14:paraId="5912EFA6" w14:textId="7222A653" w:rsidR="00DD6C68" w:rsidRDefault="00DD6C68" w:rsidP="00DD6C68">
      <w:r>
        <w:t xml:space="preserve">ESC noted that the estimated net financial costs to the private health insurance system were $1.35 million in </w:t>
      </w:r>
      <w:r w:rsidR="00BD7A00">
        <w:t>Y</w:t>
      </w:r>
      <w:r>
        <w:t xml:space="preserve">ear 1 increasing to $8.37 million in </w:t>
      </w:r>
      <w:r w:rsidR="00BD7A00">
        <w:t>Y</w:t>
      </w:r>
      <w:r>
        <w:t xml:space="preserve">ear 6. </w:t>
      </w:r>
      <w:r w:rsidRPr="00FB1D8E">
        <w:t xml:space="preserve">The primary sources of uncertainty in the financial analysis were the incidence </w:t>
      </w:r>
      <w:r w:rsidR="00380E68">
        <w:t xml:space="preserve">rate </w:t>
      </w:r>
      <w:r w:rsidRPr="00FB1D8E">
        <w:t xml:space="preserve">of rotator cuff repair (potentially increasing costs to </w:t>
      </w:r>
      <w:r w:rsidR="00CC5BBF">
        <w:t>$</w:t>
      </w:r>
      <w:r w:rsidR="00DD3E62" w:rsidRPr="00DF46A3">
        <w:rPr>
          <w:b/>
          <w:bCs/>
          <w:color w:val="000000" w:themeColor="text1"/>
        </w:rPr>
        <w:t>redacted</w:t>
      </w:r>
      <w:r w:rsidR="00DD3E62" w:rsidRPr="00FB1D8E" w:rsidDel="00DD3E62">
        <w:t xml:space="preserve"> </w:t>
      </w:r>
      <w:r w:rsidRPr="00FB1D8E">
        <w:t xml:space="preserve">in </w:t>
      </w:r>
      <w:r w:rsidR="00BD7A00">
        <w:t>Y</w:t>
      </w:r>
      <w:r w:rsidRPr="00FB1D8E">
        <w:t>ear</w:t>
      </w:r>
      <w:r>
        <w:t> </w:t>
      </w:r>
      <w:r w:rsidRPr="00FB1D8E">
        <w:t xml:space="preserve">6) and the projected uptake of </w:t>
      </w:r>
      <w:r>
        <w:t>BCI</w:t>
      </w:r>
      <w:r w:rsidRPr="00FB1D8E">
        <w:t xml:space="preserve"> (potentially increasing costs to </w:t>
      </w:r>
      <w:r w:rsidR="00CC5BBF">
        <w:t>$</w:t>
      </w:r>
      <w:r w:rsidR="00DD3E62" w:rsidRPr="00DF46A3">
        <w:rPr>
          <w:b/>
          <w:bCs/>
          <w:color w:val="000000" w:themeColor="text1"/>
        </w:rPr>
        <w:t>redacted</w:t>
      </w:r>
      <w:r w:rsidR="00DD3E62" w:rsidRPr="00FB1D8E" w:rsidDel="00DD3E62">
        <w:t xml:space="preserve"> </w:t>
      </w:r>
      <w:r w:rsidRPr="00FB1D8E">
        <w:t xml:space="preserve">in </w:t>
      </w:r>
      <w:r w:rsidR="00BD7A00">
        <w:t>Y</w:t>
      </w:r>
      <w:r w:rsidRPr="00FB1D8E">
        <w:t>ear</w:t>
      </w:r>
      <w:r>
        <w:t> </w:t>
      </w:r>
      <w:r w:rsidRPr="00FB1D8E">
        <w:t>6). The commentary highlighted problems with the data used to determine these parameters, noting that they were either assumption</w:t>
      </w:r>
      <w:r>
        <w:t xml:space="preserve"> </w:t>
      </w:r>
      <w:r w:rsidRPr="00FB1D8E">
        <w:t xml:space="preserve">based or introduced uncertainty to the parameter in question. As a result, </w:t>
      </w:r>
      <w:r>
        <w:t xml:space="preserve">ESC agreed with </w:t>
      </w:r>
      <w:r w:rsidRPr="00FB1D8E">
        <w:t xml:space="preserve">the commentary </w:t>
      </w:r>
      <w:r>
        <w:t xml:space="preserve">that </w:t>
      </w:r>
      <w:r w:rsidRPr="00FB1D8E">
        <w:t xml:space="preserve">the financial estimates in the ADAR </w:t>
      </w:r>
      <w:r>
        <w:t xml:space="preserve">were </w:t>
      </w:r>
      <w:r w:rsidRPr="00FB1D8E">
        <w:t>uncertain.</w:t>
      </w:r>
    </w:p>
    <w:p w14:paraId="4680893F" w14:textId="176ADD87" w:rsidR="00DD6C68" w:rsidRDefault="00DD6C68" w:rsidP="00DD6C68">
      <w:r>
        <w:t xml:space="preserve">ESC noted that differentiating between </w:t>
      </w:r>
      <w:r w:rsidR="00746416">
        <w:t>PTRCT</w:t>
      </w:r>
      <w:r>
        <w:t xml:space="preserve"> and </w:t>
      </w:r>
      <w:r w:rsidR="00746416">
        <w:t>FTRCT</w:t>
      </w:r>
      <w:r>
        <w:t xml:space="preserve"> can be difficult using imaging. ESC considered that if BCI is listed on the PL, there could be leakage to patients outside the FTRCT population</w:t>
      </w:r>
      <w:r w:rsidR="00AB75D4">
        <w:t xml:space="preserve"> which could</w:t>
      </w:r>
      <w:r>
        <w:t xml:space="preserve"> result in increased costs to the private sector. ESC noted that the PL provides opportunities to specify restrictions that may minimise leakage however, ESC suggested that MSAC may wish to consider if a potential new MBS item that restricts the use of BCI to FTR</w:t>
      </w:r>
      <w:r w:rsidR="00297CF9">
        <w:t>CT</w:t>
      </w:r>
      <w:r>
        <w:t xml:space="preserve"> was needed. </w:t>
      </w:r>
    </w:p>
    <w:p w14:paraId="29A35772" w14:textId="77777777" w:rsidR="003126F5" w:rsidRPr="00A737D1" w:rsidRDefault="003126F5" w:rsidP="003126F5">
      <w:pPr>
        <w:pStyle w:val="Heading2"/>
        <w:numPr>
          <w:ilvl w:val="0"/>
          <w:numId w:val="16"/>
        </w:numPr>
        <w:ind w:hanging="720"/>
      </w:pPr>
      <w:bookmarkStart w:id="64" w:name="_Hlk193984667"/>
      <w:r w:rsidRPr="003A793E">
        <w:t>Applicant comments on MSAC’s Public Summary Document</w:t>
      </w:r>
    </w:p>
    <w:p w14:paraId="73AEF5C7" w14:textId="73341D9A" w:rsidR="00A76C8E" w:rsidRPr="008531AB" w:rsidRDefault="00EE0993" w:rsidP="008531AB">
      <w:pPr>
        <w:spacing w:after="240"/>
      </w:pPr>
      <w:proofErr w:type="spellStart"/>
      <w:r w:rsidRPr="008531AB">
        <w:t>Smith+Nephew</w:t>
      </w:r>
      <w:proofErr w:type="spellEnd"/>
      <w:r w:rsidRPr="008531AB">
        <w:t xml:space="preserve"> remains committed to supporting patient access to innovative technologies like REGENETEN. </w:t>
      </w:r>
      <w:r w:rsidR="00FC409C" w:rsidRPr="008531AB">
        <w:t xml:space="preserve">The pivotal Ruiz Ibán 2025 triple blinded, multi-centre RCT demonstrated a substantial 65% relative reduction in retear rates at 2 years compared with standard repair, an objective outcome strongly preferred by surgeons. Post hoc analysis further confirmed that healed tendons, where REGENETEN achieved substantially more, were associated with significantly better clinical outcomes than retears (p≤0.015), consistent with extensive literature identifying tendon healing as the critical determinant of long-term function. Internationally, REGENETEN is nationally funded in multiple countries and has received the highest </w:t>
      </w:r>
      <w:r w:rsidR="00FC409C" w:rsidRPr="008531AB">
        <w:lastRenderedPageBreak/>
        <w:t>recommendation (4 of 4 stars) from the American Academy of Orthopaedic Surgeons</w:t>
      </w:r>
      <w:r w:rsidR="0060422E" w:rsidRPr="008531AB">
        <w:rPr>
          <w:rStyle w:val="FootnoteReference"/>
        </w:rPr>
        <w:footnoteReference w:id="33"/>
      </w:r>
      <w:r w:rsidR="00811160" w:rsidRPr="008531AB">
        <w:rPr>
          <w:rStyle w:val="FootnoteReference"/>
        </w:rPr>
        <w:footnoteReference w:id="34"/>
      </w:r>
      <w:r w:rsidR="00FC409C" w:rsidRPr="008531AB">
        <w:t>, the world’s largest musculoskeletal medical association, while peer-reviewed economic evaluations in the USA</w:t>
      </w:r>
      <w:r w:rsidR="00D62273" w:rsidRPr="008531AB">
        <w:rPr>
          <w:rStyle w:val="FootnoteReference"/>
        </w:rPr>
        <w:footnoteReference w:id="35"/>
      </w:r>
      <w:r w:rsidR="00FC409C" w:rsidRPr="008531AB">
        <w:t xml:space="preserve"> and Italy</w:t>
      </w:r>
      <w:r w:rsidR="003F2702" w:rsidRPr="008531AB">
        <w:rPr>
          <w:rStyle w:val="FootnoteReference"/>
        </w:rPr>
        <w:footnoteReference w:id="36"/>
      </w:r>
      <w:r w:rsidR="00FC409C" w:rsidRPr="008531AB">
        <w:t xml:space="preserve"> confirm it is cost-effective and generates overall cost savings once broader societal costs are considered. In Australia, patients covered under workers’ compensation insurance and those able to self-fund are already benefiting from REGENETEN, reflecting its real-world acceptance and impact</w:t>
      </w:r>
      <w:r w:rsidR="00FC409C" w:rsidRPr="008531AB" w:rsidDel="00390DCD">
        <w:t xml:space="preserve">. </w:t>
      </w:r>
      <w:r w:rsidR="00A76C8E" w:rsidRPr="008531AB" w:rsidDel="00390DCD">
        <w:t xml:space="preserve">With near-unanimous clinical and consumer support for this application, with 28 of 29 submissions in favour, it is disappointing that </w:t>
      </w:r>
      <w:r w:rsidR="00EA25A7" w:rsidRPr="008531AB">
        <w:t xml:space="preserve">access to BCI remains without a minimum benefit insurers must pay for </w:t>
      </w:r>
      <w:r w:rsidR="00A76C8E" w:rsidRPr="008531AB" w:rsidDel="00390DCD">
        <w:t xml:space="preserve">privately insured Australians </w:t>
      </w:r>
      <w:r w:rsidR="00EA25A7" w:rsidRPr="008531AB">
        <w:t>undergoing full thickness rotator cuff tear repair</w:t>
      </w:r>
      <w:r w:rsidR="00A76C8E" w:rsidRPr="008531AB">
        <w:t>.</w:t>
      </w:r>
    </w:p>
    <w:p w14:paraId="17A89443" w14:textId="77777777" w:rsidR="003126F5" w:rsidRPr="00A737D1" w:rsidRDefault="003126F5" w:rsidP="003126F5">
      <w:pPr>
        <w:pStyle w:val="Heading2"/>
        <w:numPr>
          <w:ilvl w:val="0"/>
          <w:numId w:val="16"/>
        </w:numPr>
        <w:ind w:hanging="720"/>
      </w:pPr>
      <w:r w:rsidRPr="003A793E">
        <w:t>Further information on MSAC</w:t>
      </w:r>
    </w:p>
    <w:p w14:paraId="63C6503B" w14:textId="044CD47E" w:rsidR="00DD6C68" w:rsidRPr="00CE28E3" w:rsidRDefault="003126F5" w:rsidP="003126F5">
      <w:pPr>
        <w:pStyle w:val="BodyText"/>
      </w:pPr>
      <w:r w:rsidRPr="00F309FA">
        <w:rPr>
          <w:bCs/>
          <w:iCs/>
        </w:rPr>
        <w:t xml:space="preserve">MSAC Terms of Reference and other information are available on the MSAC Website: </w:t>
      </w:r>
      <w:hyperlink r:id="rId17" w:tooltip="Link to the MSAC website" w:history="1">
        <w:r w:rsidRPr="000D2098">
          <w:rPr>
            <w:rStyle w:val="Hyperlink"/>
            <w:iCs/>
            <w:color w:val="007BB8"/>
          </w:rPr>
          <w:t>visit the MSAC website</w:t>
        </w:r>
      </w:hyperlink>
      <w:bookmarkEnd w:id="64"/>
      <w:r>
        <w:t>.</w:t>
      </w:r>
    </w:p>
    <w:sectPr w:rsidR="00DD6C68" w:rsidRPr="00CE28E3" w:rsidSect="00784341">
      <w:headerReference w:type="even" r:id="rId18"/>
      <w:headerReference w:type="default" r:id="rId19"/>
      <w:footerReference w:type="even" r:id="rId20"/>
      <w:footerReference w:type="default" r:id="rId21"/>
      <w:headerReference w:type="first" r:id="rId22"/>
      <w:footerReference w:type="first" r:id="rId23"/>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8FDF2" w14:textId="77777777" w:rsidR="005C2B9A" w:rsidRDefault="005C2B9A" w:rsidP="00B62DF2">
      <w:pPr>
        <w:spacing w:after="0" w:line="240" w:lineRule="auto"/>
      </w:pPr>
      <w:r>
        <w:separator/>
      </w:r>
    </w:p>
  </w:endnote>
  <w:endnote w:type="continuationSeparator" w:id="0">
    <w:p w14:paraId="463447FA" w14:textId="77777777" w:rsidR="005C2B9A" w:rsidRDefault="005C2B9A" w:rsidP="00B62DF2">
      <w:pPr>
        <w:spacing w:after="0" w:line="240" w:lineRule="auto"/>
      </w:pPr>
      <w:r>
        <w:continuationSeparator/>
      </w:r>
    </w:p>
  </w:endnote>
  <w:endnote w:type="continuationNotice" w:id="1">
    <w:p w14:paraId="2719D92B" w14:textId="77777777" w:rsidR="005C2B9A" w:rsidRDefault="005C2B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B299" w14:textId="07C5DF14" w:rsidR="00002AD6" w:rsidRDefault="005A61B2" w:rsidP="008B30FF">
    <w:pPr>
      <w:pStyle w:val="Footer"/>
      <w:jc w:val="right"/>
    </w:pPr>
    <w:r>
      <w:rPr>
        <w:noProof/>
      </w:rPr>
      <mc:AlternateContent>
        <mc:Choice Requires="wps">
          <w:drawing>
            <wp:anchor distT="0" distB="0" distL="0" distR="0" simplePos="0" relativeHeight="251663365" behindDoc="0" locked="0" layoutInCell="1" allowOverlap="1" wp14:anchorId="4D0BA794" wp14:editId="3322EC99">
              <wp:simplePos x="635" y="635"/>
              <wp:positionH relativeFrom="page">
                <wp:align>center</wp:align>
              </wp:positionH>
              <wp:positionV relativeFrom="page">
                <wp:align>bottom</wp:align>
              </wp:positionV>
              <wp:extent cx="622300" cy="467360"/>
              <wp:effectExtent l="0" t="0" r="6350" b="0"/>
              <wp:wrapNone/>
              <wp:docPr id="3630422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5DF957B7" w14:textId="41A701FD" w:rsidR="005A61B2" w:rsidRPr="005A61B2" w:rsidRDefault="005A61B2" w:rsidP="005A61B2">
                          <w:pPr>
                            <w:spacing w:after="0"/>
                            <w:rPr>
                              <w:rFonts w:ascii="Aptos" w:eastAsia="Aptos" w:hAnsi="Aptos" w:cs="Aptos"/>
                              <w:noProof/>
                              <w:color w:val="FF0000"/>
                              <w:sz w:val="24"/>
                              <w:szCs w:val="24"/>
                            </w:rPr>
                          </w:pPr>
                          <w:r w:rsidRPr="005A61B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0BA794"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6.8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BRsmlpDgIAABwE&#10;AAAOAAAAAAAAAAAAAAAAAC4CAABkcnMvZTJvRG9jLnhtbFBLAQItABQABgAIAAAAIQCQpICC2gAA&#10;AAMBAAAPAAAAAAAAAAAAAAAAAGgEAABkcnMvZG93bnJldi54bWxQSwUGAAAAAAQABADzAAAAbwUA&#10;AAAA&#10;" filled="f" stroked="f">
              <v:fill o:detectmouseclick="t"/>
              <v:textbox style="mso-fit-shape-to-text:t" inset="0,0,0,15pt">
                <w:txbxContent>
                  <w:p w14:paraId="5DF957B7" w14:textId="41A701FD" w:rsidR="005A61B2" w:rsidRPr="005A61B2" w:rsidRDefault="005A61B2" w:rsidP="005A61B2">
                    <w:pPr>
                      <w:spacing w:after="0"/>
                      <w:rPr>
                        <w:rFonts w:ascii="Aptos" w:eastAsia="Aptos" w:hAnsi="Aptos" w:cs="Aptos"/>
                        <w:noProof/>
                        <w:color w:val="FF0000"/>
                        <w:sz w:val="24"/>
                        <w:szCs w:val="24"/>
                      </w:rPr>
                    </w:pPr>
                    <w:r w:rsidRPr="005A61B2">
                      <w:rPr>
                        <w:rFonts w:ascii="Aptos" w:eastAsia="Aptos" w:hAnsi="Aptos" w:cs="Aptos"/>
                        <w:noProof/>
                        <w:color w:val="FF0000"/>
                        <w:sz w:val="24"/>
                        <w:szCs w:val="24"/>
                      </w:rPr>
                      <w:t>OFFICIAL</w:t>
                    </w:r>
                  </w:p>
                </w:txbxContent>
              </v:textbox>
              <w10:wrap anchorx="page" anchory="page"/>
            </v:shape>
          </w:pict>
        </mc:Fallback>
      </mc:AlternateContent>
    </w:r>
    <w:sdt>
      <w:sdtPr>
        <w:id w:val="1925460831"/>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22</w:t>
        </w:r>
        <w:r w:rsidR="005947B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1859" w14:textId="47D7E8B8" w:rsidR="005947B5" w:rsidRDefault="005A61B2" w:rsidP="00052DD3">
    <w:pPr>
      <w:pStyle w:val="Footer"/>
      <w:jc w:val="right"/>
    </w:pPr>
    <w:r>
      <w:rPr>
        <w:noProof/>
      </w:rPr>
      <mc:AlternateContent>
        <mc:Choice Requires="wps">
          <w:drawing>
            <wp:anchor distT="0" distB="0" distL="0" distR="0" simplePos="0" relativeHeight="251664389" behindDoc="0" locked="0" layoutInCell="1" allowOverlap="1" wp14:anchorId="4107B2E2" wp14:editId="69F42215">
              <wp:simplePos x="635" y="635"/>
              <wp:positionH relativeFrom="page">
                <wp:align>center</wp:align>
              </wp:positionH>
              <wp:positionV relativeFrom="page">
                <wp:align>bottom</wp:align>
              </wp:positionV>
              <wp:extent cx="622300" cy="467360"/>
              <wp:effectExtent l="0" t="0" r="6350" b="0"/>
              <wp:wrapNone/>
              <wp:docPr id="13464188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783DAFE6" w14:textId="7191F626" w:rsidR="005A61B2" w:rsidRPr="005A61B2" w:rsidRDefault="005A61B2" w:rsidP="005A61B2">
                          <w:pPr>
                            <w:spacing w:after="0"/>
                            <w:rPr>
                              <w:rFonts w:ascii="Aptos" w:eastAsia="Aptos" w:hAnsi="Aptos" w:cs="Aptos"/>
                              <w:noProof/>
                              <w:color w:val="FF0000"/>
                              <w:sz w:val="24"/>
                              <w:szCs w:val="24"/>
                            </w:rPr>
                          </w:pPr>
                          <w:r w:rsidRPr="005A61B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7B2E2"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6.8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McbkDgIAABwE&#10;AAAOAAAAAAAAAAAAAAAAAC4CAABkcnMvZTJvRG9jLnhtbFBLAQItABQABgAIAAAAIQCQpICC2gAA&#10;AAMBAAAPAAAAAAAAAAAAAAAAAGgEAABkcnMvZG93bnJldi54bWxQSwUGAAAAAAQABADzAAAAbwUA&#10;AAAA&#10;" filled="f" stroked="f">
              <v:fill o:detectmouseclick="t"/>
              <v:textbox style="mso-fit-shape-to-text:t" inset="0,0,0,15pt">
                <w:txbxContent>
                  <w:p w14:paraId="783DAFE6" w14:textId="7191F626" w:rsidR="005A61B2" w:rsidRPr="005A61B2" w:rsidRDefault="005A61B2" w:rsidP="005A61B2">
                    <w:pPr>
                      <w:spacing w:after="0"/>
                      <w:rPr>
                        <w:rFonts w:ascii="Aptos" w:eastAsia="Aptos" w:hAnsi="Aptos" w:cs="Aptos"/>
                        <w:noProof/>
                        <w:color w:val="FF0000"/>
                        <w:sz w:val="24"/>
                        <w:szCs w:val="24"/>
                      </w:rPr>
                    </w:pPr>
                    <w:r w:rsidRPr="005A61B2">
                      <w:rPr>
                        <w:rFonts w:ascii="Aptos" w:eastAsia="Aptos" w:hAnsi="Aptos" w:cs="Aptos"/>
                        <w:noProof/>
                        <w:color w:val="FF0000"/>
                        <w:sz w:val="24"/>
                        <w:szCs w:val="24"/>
                      </w:rPr>
                      <w:t>OFFICIAL</w:t>
                    </w:r>
                  </w:p>
                </w:txbxContent>
              </v:textbox>
              <w10:wrap anchorx="page" anchory="page"/>
            </v:shape>
          </w:pict>
        </mc:Fallback>
      </mc:AlternateContent>
    </w:r>
    <w:sdt>
      <w:sdtPr>
        <w:id w:val="-18244847"/>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21</w:t>
        </w:r>
        <w:r w:rsidR="005947B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2A59" w14:textId="3B6DD0F1" w:rsidR="00D97FEC" w:rsidRDefault="005A61B2">
    <w:pPr>
      <w:pStyle w:val="Footer"/>
    </w:pPr>
    <w:r>
      <w:rPr>
        <w:noProof/>
      </w:rPr>
      <mc:AlternateContent>
        <mc:Choice Requires="wps">
          <w:drawing>
            <wp:anchor distT="0" distB="0" distL="0" distR="0" simplePos="0" relativeHeight="251662341" behindDoc="0" locked="0" layoutInCell="1" allowOverlap="1" wp14:anchorId="7EF57015" wp14:editId="4FBB1593">
              <wp:simplePos x="635" y="635"/>
              <wp:positionH relativeFrom="page">
                <wp:align>center</wp:align>
              </wp:positionH>
              <wp:positionV relativeFrom="page">
                <wp:align>bottom</wp:align>
              </wp:positionV>
              <wp:extent cx="622300" cy="467360"/>
              <wp:effectExtent l="0" t="0" r="6350" b="0"/>
              <wp:wrapNone/>
              <wp:docPr id="17562532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49A20A78" w14:textId="6878715D" w:rsidR="005A61B2" w:rsidRPr="005A61B2" w:rsidRDefault="005A61B2" w:rsidP="005A61B2">
                          <w:pPr>
                            <w:spacing w:after="0"/>
                            <w:rPr>
                              <w:rFonts w:ascii="Aptos" w:eastAsia="Aptos" w:hAnsi="Aptos" w:cs="Aptos"/>
                              <w:noProof/>
                              <w:color w:val="FF0000"/>
                              <w:sz w:val="24"/>
                              <w:szCs w:val="24"/>
                            </w:rPr>
                          </w:pPr>
                          <w:r w:rsidRPr="005A61B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F57015" id="_x0000_t202" coordsize="21600,21600" o:spt="202" path="m,l,21600r21600,l21600,xe">
              <v:stroke joinstyle="miter"/>
              <v:path gradientshapeok="t" o:connecttype="rect"/>
            </v:shapetype>
            <v:shape id="Text Box 4" o:spid="_x0000_s1031" type="#_x0000_t202" alt="OFFICIAL" style="position:absolute;margin-left:0;margin-top:0;width:49pt;height:36.8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8DdtUDgIAABwE&#10;AAAOAAAAAAAAAAAAAAAAAC4CAABkcnMvZTJvRG9jLnhtbFBLAQItABQABgAIAAAAIQCQpICC2gAA&#10;AAMBAAAPAAAAAAAAAAAAAAAAAGgEAABkcnMvZG93bnJldi54bWxQSwUGAAAAAAQABADzAAAAbwUA&#10;AAAA&#10;" filled="f" stroked="f">
              <v:fill o:detectmouseclick="t"/>
              <v:textbox style="mso-fit-shape-to-text:t" inset="0,0,0,15pt">
                <w:txbxContent>
                  <w:p w14:paraId="49A20A78" w14:textId="6878715D" w:rsidR="005A61B2" w:rsidRPr="005A61B2" w:rsidRDefault="005A61B2" w:rsidP="005A61B2">
                    <w:pPr>
                      <w:spacing w:after="0"/>
                      <w:rPr>
                        <w:rFonts w:ascii="Aptos" w:eastAsia="Aptos" w:hAnsi="Aptos" w:cs="Aptos"/>
                        <w:noProof/>
                        <w:color w:val="FF0000"/>
                        <w:sz w:val="24"/>
                        <w:szCs w:val="24"/>
                      </w:rPr>
                    </w:pPr>
                    <w:r w:rsidRPr="005A61B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DC1B" w14:textId="77777777" w:rsidR="005C2B9A" w:rsidRDefault="005C2B9A" w:rsidP="00B62DF2">
      <w:pPr>
        <w:spacing w:after="0" w:line="240" w:lineRule="auto"/>
      </w:pPr>
      <w:r>
        <w:separator/>
      </w:r>
    </w:p>
  </w:footnote>
  <w:footnote w:type="continuationSeparator" w:id="0">
    <w:p w14:paraId="0DEDA868" w14:textId="77777777" w:rsidR="005C2B9A" w:rsidRDefault="005C2B9A" w:rsidP="00B62DF2">
      <w:pPr>
        <w:spacing w:after="0" w:line="240" w:lineRule="auto"/>
      </w:pPr>
      <w:r>
        <w:continuationSeparator/>
      </w:r>
    </w:p>
  </w:footnote>
  <w:footnote w:type="continuationNotice" w:id="1">
    <w:p w14:paraId="61DA3968" w14:textId="77777777" w:rsidR="005C2B9A" w:rsidRDefault="005C2B9A">
      <w:pPr>
        <w:spacing w:before="0" w:after="0" w:line="240" w:lineRule="auto"/>
      </w:pPr>
    </w:p>
  </w:footnote>
  <w:footnote w:id="2">
    <w:p w14:paraId="129229C6" w14:textId="77777777" w:rsidR="00DA4C4D" w:rsidRDefault="00DA4C4D" w:rsidP="00DA4C4D">
      <w:pPr>
        <w:pStyle w:val="FootnoteText"/>
      </w:pPr>
      <w:r w:rsidRPr="00D47627">
        <w:rPr>
          <w:rStyle w:val="FootnoteReference"/>
          <w:sz w:val="16"/>
          <w:szCs w:val="16"/>
        </w:rPr>
        <w:footnoteRef/>
      </w:r>
      <w:r w:rsidRPr="00D47627">
        <w:rPr>
          <w:sz w:val="16"/>
          <w:szCs w:val="16"/>
        </w:rPr>
        <w:t xml:space="preserve"> </w:t>
      </w:r>
      <w:hyperlink r:id="rId1" w:history="1">
        <w:r w:rsidRPr="00D47627">
          <w:rPr>
            <w:rStyle w:val="Hyperlink"/>
            <w:sz w:val="16"/>
            <w:szCs w:val="16"/>
          </w:rPr>
          <w:t>REGENETEN™ Bioinductive Implant System in Full-thickness Tears. ClinicalTrials.gov</w:t>
        </w:r>
      </w:hyperlink>
      <w:r w:rsidRPr="00D47627">
        <w:rPr>
          <w:sz w:val="16"/>
          <w:szCs w:val="16"/>
        </w:rPr>
        <w:t>. 2025</w:t>
      </w:r>
    </w:p>
  </w:footnote>
  <w:footnote w:id="3">
    <w:p w14:paraId="32F6D482" w14:textId="35ABAF89" w:rsidR="00C94031" w:rsidRPr="001F53AF" w:rsidRDefault="00C94031">
      <w:pPr>
        <w:pStyle w:val="FootnoteText"/>
        <w:rPr>
          <w:sz w:val="16"/>
          <w:szCs w:val="16"/>
        </w:rPr>
      </w:pPr>
      <w:r w:rsidRPr="001F53AF">
        <w:rPr>
          <w:rStyle w:val="FootnoteReference"/>
          <w:sz w:val="16"/>
          <w:szCs w:val="16"/>
        </w:rPr>
        <w:footnoteRef/>
      </w:r>
      <w:r w:rsidRPr="001F53AF">
        <w:rPr>
          <w:sz w:val="16"/>
          <w:szCs w:val="16"/>
        </w:rPr>
        <w:t xml:space="preserve"> National Institute of Clinical Studies, National Health and Medical Research Council (NHMRC) - </w:t>
      </w:r>
      <w:hyperlink r:id="rId2" w:history="1">
        <w:r w:rsidRPr="001F53AF">
          <w:rPr>
            <w:rStyle w:val="Hyperlink"/>
            <w:sz w:val="16"/>
            <w:szCs w:val="16"/>
          </w:rPr>
          <w:t>Designations of levels of evidence according to type of research question</w:t>
        </w:r>
      </w:hyperlink>
    </w:p>
  </w:footnote>
  <w:footnote w:id="4">
    <w:p w14:paraId="120A7AB8" w14:textId="548666EA" w:rsidR="00C22C34" w:rsidRPr="001F53AF" w:rsidRDefault="00C22C34">
      <w:pPr>
        <w:pStyle w:val="FootnoteText"/>
        <w:rPr>
          <w:sz w:val="16"/>
          <w:szCs w:val="16"/>
        </w:rPr>
      </w:pPr>
      <w:r w:rsidRPr="001F53AF">
        <w:rPr>
          <w:rStyle w:val="FootnoteReference"/>
          <w:sz w:val="16"/>
          <w:szCs w:val="16"/>
        </w:rPr>
        <w:footnoteRef/>
      </w:r>
      <w:r w:rsidRPr="001F53AF">
        <w:rPr>
          <w:sz w:val="16"/>
          <w:szCs w:val="16"/>
        </w:rPr>
        <w:t xml:space="preserve"> </w:t>
      </w:r>
      <w:r w:rsidR="00065F28" w:rsidRPr="001F53AF">
        <w:rPr>
          <w:sz w:val="16"/>
          <w:szCs w:val="16"/>
        </w:rPr>
        <w:t xml:space="preserve">Technical Guidance </w:t>
      </w:r>
      <w:r w:rsidR="00341029" w:rsidRPr="001F53AF">
        <w:rPr>
          <w:sz w:val="16"/>
          <w:szCs w:val="16"/>
        </w:rPr>
        <w:t>12 Linked evidence – change in management (p.188)</w:t>
      </w:r>
      <w:r w:rsidR="00065F28" w:rsidRPr="001F53AF">
        <w:rPr>
          <w:sz w:val="16"/>
          <w:szCs w:val="16"/>
        </w:rPr>
        <w:t xml:space="preserve"> </w:t>
      </w:r>
      <w:r w:rsidR="00341029" w:rsidRPr="001F53AF">
        <w:rPr>
          <w:sz w:val="16"/>
          <w:szCs w:val="16"/>
        </w:rPr>
        <w:t xml:space="preserve">– </w:t>
      </w:r>
      <w:hyperlink r:id="rId3" w:history="1">
        <w:r w:rsidR="00341029" w:rsidRPr="001F53AF">
          <w:rPr>
            <w:rStyle w:val="Hyperlink"/>
            <w:sz w:val="16"/>
            <w:szCs w:val="16"/>
          </w:rPr>
          <w:t>Guidelines for preparing assessments for the Medical Services Advisory Committee</w:t>
        </w:r>
      </w:hyperlink>
    </w:p>
  </w:footnote>
  <w:footnote w:id="5">
    <w:p w14:paraId="5BD467BF" w14:textId="0C446724" w:rsidR="002B6C86" w:rsidRDefault="002B6C86">
      <w:pPr>
        <w:pStyle w:val="FootnoteText"/>
      </w:pPr>
      <w:r>
        <w:rPr>
          <w:rStyle w:val="FootnoteReference"/>
        </w:rPr>
        <w:footnoteRef/>
      </w:r>
      <w:r>
        <w:t xml:space="preserve"> </w:t>
      </w:r>
      <w:r w:rsidRPr="001F53AF">
        <w:rPr>
          <w:sz w:val="16"/>
          <w:szCs w:val="16"/>
        </w:rPr>
        <w:t xml:space="preserve">Medical Services Advisory Committee – </w:t>
      </w:r>
      <w:r w:rsidR="001E3158" w:rsidRPr="001F53AF">
        <w:rPr>
          <w:sz w:val="16"/>
          <w:szCs w:val="16"/>
        </w:rPr>
        <w:t xml:space="preserve">Appendix 12: Translating comparative treatment effects of proposed surrogate measures to target clinical outcomes (p.291) - </w:t>
      </w:r>
      <w:hyperlink r:id="rId4" w:history="1">
        <w:r w:rsidRPr="001F53AF">
          <w:rPr>
            <w:rStyle w:val="Hyperlink"/>
            <w:sz w:val="16"/>
            <w:szCs w:val="16"/>
          </w:rPr>
          <w:t xml:space="preserve">Guidelines for preparing assessments for </w:t>
        </w:r>
        <w:r w:rsidR="00DC3459">
          <w:rPr>
            <w:rStyle w:val="Hyperlink"/>
            <w:sz w:val="16"/>
            <w:szCs w:val="16"/>
          </w:rPr>
          <w:t xml:space="preserve">the </w:t>
        </w:r>
        <w:r w:rsidRPr="001F53AF">
          <w:rPr>
            <w:rStyle w:val="Hyperlink"/>
            <w:sz w:val="16"/>
            <w:szCs w:val="16"/>
          </w:rPr>
          <w:t>M</w:t>
        </w:r>
        <w:r w:rsidR="00DC3459">
          <w:rPr>
            <w:rStyle w:val="Hyperlink"/>
            <w:sz w:val="16"/>
            <w:szCs w:val="16"/>
          </w:rPr>
          <w:t xml:space="preserve">edical </w:t>
        </w:r>
        <w:r w:rsidRPr="001F53AF">
          <w:rPr>
            <w:rStyle w:val="Hyperlink"/>
            <w:sz w:val="16"/>
            <w:szCs w:val="16"/>
          </w:rPr>
          <w:t>S</w:t>
        </w:r>
        <w:r w:rsidR="00DC3459">
          <w:rPr>
            <w:rStyle w:val="Hyperlink"/>
            <w:sz w:val="16"/>
            <w:szCs w:val="16"/>
          </w:rPr>
          <w:t xml:space="preserve">ervices </w:t>
        </w:r>
        <w:r w:rsidRPr="001F53AF">
          <w:rPr>
            <w:rStyle w:val="Hyperlink"/>
            <w:sz w:val="16"/>
            <w:szCs w:val="16"/>
          </w:rPr>
          <w:t>A</w:t>
        </w:r>
        <w:r w:rsidR="00DC3459">
          <w:rPr>
            <w:rStyle w:val="Hyperlink"/>
            <w:sz w:val="16"/>
            <w:szCs w:val="16"/>
          </w:rPr>
          <w:t>dvisory Committee</w:t>
        </w:r>
      </w:hyperlink>
      <w:r w:rsidR="00ED66BF">
        <w:t xml:space="preserve"> </w:t>
      </w:r>
    </w:p>
  </w:footnote>
  <w:footnote w:id="6">
    <w:p w14:paraId="5BC69D52" w14:textId="2B0AAE25" w:rsidR="00A04035" w:rsidRDefault="00A04035">
      <w:pPr>
        <w:pStyle w:val="FootnoteText"/>
      </w:pPr>
      <w:r>
        <w:rPr>
          <w:rStyle w:val="FootnoteReference"/>
        </w:rPr>
        <w:footnoteRef/>
      </w:r>
      <w:r w:rsidR="005267E3">
        <w:t xml:space="preserve"> </w:t>
      </w:r>
      <w:r w:rsidR="00A464FA" w:rsidRPr="00BF4A21">
        <w:rPr>
          <w:sz w:val="16"/>
          <w:szCs w:val="16"/>
        </w:rPr>
        <w:t>Medical Services Advisory Committee</w:t>
      </w:r>
      <w:r w:rsidR="00B37A81">
        <w:rPr>
          <w:sz w:val="16"/>
          <w:szCs w:val="16"/>
        </w:rPr>
        <w:t xml:space="preserve"> -</w:t>
      </w:r>
      <w:r w:rsidR="00A464FA">
        <w:t xml:space="preserve"> </w:t>
      </w:r>
      <w:r w:rsidR="005267E3" w:rsidRPr="001F53AF">
        <w:rPr>
          <w:sz w:val="16"/>
          <w:szCs w:val="16"/>
        </w:rPr>
        <w:t>Technical Guidance 2</w:t>
      </w:r>
      <w:r w:rsidR="00842111">
        <w:rPr>
          <w:sz w:val="16"/>
          <w:szCs w:val="16"/>
        </w:rPr>
        <w:t>1</w:t>
      </w:r>
      <w:r w:rsidR="00B37A81">
        <w:rPr>
          <w:sz w:val="16"/>
          <w:szCs w:val="16"/>
        </w:rPr>
        <w:t>:</w:t>
      </w:r>
      <w:r w:rsidR="005267E3" w:rsidRPr="001F53AF">
        <w:rPr>
          <w:sz w:val="16"/>
          <w:szCs w:val="16"/>
        </w:rPr>
        <w:t xml:space="preserve"> Health </w:t>
      </w:r>
      <w:r w:rsidR="00344B40">
        <w:rPr>
          <w:sz w:val="16"/>
          <w:szCs w:val="16"/>
        </w:rPr>
        <w:t>outcomes</w:t>
      </w:r>
      <w:r w:rsidR="005267E3" w:rsidRPr="001F53AF">
        <w:rPr>
          <w:sz w:val="16"/>
          <w:szCs w:val="16"/>
        </w:rPr>
        <w:t xml:space="preserve"> (p.177)</w:t>
      </w:r>
      <w:r w:rsidR="00C7118B">
        <w:rPr>
          <w:sz w:val="16"/>
          <w:szCs w:val="16"/>
        </w:rPr>
        <w:t xml:space="preserve"> -</w:t>
      </w:r>
      <w:r w:rsidRPr="001F53AF">
        <w:rPr>
          <w:sz w:val="16"/>
          <w:szCs w:val="16"/>
        </w:rPr>
        <w:t xml:space="preserve"> </w:t>
      </w:r>
      <w:hyperlink r:id="rId5" w:history="1">
        <w:r w:rsidRPr="001F53AF">
          <w:rPr>
            <w:rStyle w:val="Hyperlink"/>
            <w:sz w:val="16"/>
            <w:szCs w:val="16"/>
          </w:rPr>
          <w:t>Guidelines for preparing assessments for the Medical Services Advisory Committee</w:t>
        </w:r>
      </w:hyperlink>
    </w:p>
  </w:footnote>
  <w:footnote w:id="7">
    <w:p w14:paraId="20F88612" w14:textId="00E48B13" w:rsidR="00D80BF3" w:rsidRPr="00B561CD" w:rsidRDefault="00D80BF3" w:rsidP="00B561CD">
      <w:pPr>
        <w:pStyle w:val="FootnoteText"/>
        <w:rPr>
          <w:sz w:val="16"/>
          <w:szCs w:val="16"/>
        </w:rPr>
      </w:pPr>
      <w:r w:rsidRPr="00EB4C93">
        <w:rPr>
          <w:rStyle w:val="CommentReference"/>
          <w:vertAlign w:val="superscript"/>
        </w:rPr>
        <w:footnoteRef/>
      </w:r>
      <w:r w:rsidRPr="00EB4C93">
        <w:rPr>
          <w:rStyle w:val="CommentReference"/>
          <w:vertAlign w:val="superscript"/>
        </w:rPr>
        <w:t xml:space="preserve"> </w:t>
      </w:r>
      <w:r w:rsidRPr="00CD76DA">
        <w:rPr>
          <w:rStyle w:val="CommentReference"/>
        </w:rPr>
        <w:t>Public Summary Document, MSAC Application No. 1593 – Bovine bioinductive collagen implant (REGENETEN™) for repair of rotator cuff tear</w:t>
      </w:r>
      <w:r w:rsidR="00F245B7">
        <w:rPr>
          <w:rStyle w:val="CommentReference"/>
        </w:rPr>
        <w:t xml:space="preserve">; </w:t>
      </w:r>
      <w:hyperlink r:id="rId6" w:history="1">
        <w:r w:rsidR="00F245B7" w:rsidRPr="00DB747F">
          <w:rPr>
            <w:rStyle w:val="Hyperlink"/>
            <w:sz w:val="16"/>
            <w:szCs w:val="16"/>
          </w:rPr>
          <w:t>https://www.msac.gov.au/applications/1593</w:t>
        </w:r>
      </w:hyperlink>
      <w:r w:rsidR="00F245B7">
        <w:rPr>
          <w:rStyle w:val="CommentReference"/>
        </w:rPr>
        <w:t xml:space="preserve"> </w:t>
      </w:r>
    </w:p>
  </w:footnote>
  <w:footnote w:id="8">
    <w:p w14:paraId="4AE5905B" w14:textId="055F7CAF" w:rsidR="00B561CD" w:rsidRDefault="00B561CD">
      <w:pPr>
        <w:pStyle w:val="FootnoteText"/>
      </w:pPr>
      <w:r w:rsidRPr="00B561CD">
        <w:rPr>
          <w:rStyle w:val="FootnoteReference"/>
          <w:sz w:val="16"/>
          <w:szCs w:val="18"/>
        </w:rPr>
        <w:footnoteRef/>
      </w:r>
      <w:r w:rsidRPr="00B561CD">
        <w:rPr>
          <w:sz w:val="16"/>
          <w:szCs w:val="18"/>
        </w:rPr>
        <w:t xml:space="preserve"> Public Summary Document, MSAC Application No. 1593</w:t>
      </w:r>
      <w:r>
        <w:rPr>
          <w:sz w:val="16"/>
          <w:szCs w:val="18"/>
        </w:rPr>
        <w:t>.1</w:t>
      </w:r>
      <w:r w:rsidRPr="00B561CD">
        <w:rPr>
          <w:sz w:val="16"/>
          <w:szCs w:val="18"/>
        </w:rPr>
        <w:t xml:space="preserve"> –</w:t>
      </w:r>
      <w:r>
        <w:rPr>
          <w:sz w:val="16"/>
          <w:szCs w:val="18"/>
        </w:rPr>
        <w:t xml:space="preserve"> B</w:t>
      </w:r>
      <w:r w:rsidRPr="00B561CD">
        <w:rPr>
          <w:sz w:val="16"/>
          <w:szCs w:val="18"/>
        </w:rPr>
        <w:t>ioinductive implant for repair of rotator cuff tear</w:t>
      </w:r>
      <w:r w:rsidR="00263F4F">
        <w:rPr>
          <w:sz w:val="16"/>
          <w:szCs w:val="18"/>
        </w:rPr>
        <w:t xml:space="preserve">; </w:t>
      </w:r>
      <w:hyperlink r:id="rId7" w:history="1">
        <w:r w:rsidR="00F245B7" w:rsidRPr="00DB747F">
          <w:rPr>
            <w:rStyle w:val="Hyperlink"/>
            <w:sz w:val="16"/>
            <w:szCs w:val="18"/>
          </w:rPr>
          <w:t>https://www.msac.gov.au/applications/1593-1</w:t>
        </w:r>
      </w:hyperlink>
      <w:r w:rsidR="00F245B7">
        <w:rPr>
          <w:sz w:val="16"/>
          <w:szCs w:val="18"/>
        </w:rPr>
        <w:t xml:space="preserve"> </w:t>
      </w:r>
    </w:p>
  </w:footnote>
  <w:footnote w:id="9">
    <w:p w14:paraId="68A35B35" w14:textId="1FD55DDC" w:rsidR="00B43AC0" w:rsidRPr="00A23DAD" w:rsidRDefault="00B43AC0" w:rsidP="00CD6005">
      <w:pPr>
        <w:pStyle w:val="TableFooter"/>
        <w:spacing w:before="0" w:after="0"/>
        <w:rPr>
          <w:rFonts w:asciiTheme="minorHAnsi" w:hAnsiTheme="minorHAnsi" w:cstheme="minorHAnsi"/>
          <w:sz w:val="16"/>
          <w:szCs w:val="16"/>
          <w:lang w:val="es-CO"/>
        </w:rPr>
      </w:pPr>
      <w:r w:rsidRPr="00A23DAD">
        <w:rPr>
          <w:rStyle w:val="FootnoteReference"/>
          <w:rFonts w:asciiTheme="minorHAnsi" w:hAnsiTheme="minorHAnsi" w:cstheme="minorHAnsi"/>
          <w:sz w:val="16"/>
          <w:szCs w:val="16"/>
        </w:rPr>
        <w:footnoteRef/>
      </w:r>
      <w:r w:rsidRPr="00A23DAD">
        <w:rPr>
          <w:rFonts w:asciiTheme="minorHAnsi" w:hAnsiTheme="minorHAnsi" w:cstheme="minorHAnsi"/>
          <w:sz w:val="16"/>
          <w:szCs w:val="16"/>
        </w:rPr>
        <w:t xml:space="preserve"> </w:t>
      </w:r>
      <w:r w:rsidRPr="00A23DAD">
        <w:rPr>
          <w:rStyle w:val="CommentReference"/>
          <w:rFonts w:asciiTheme="minorHAnsi" w:hAnsiTheme="minorHAnsi" w:cstheme="minorHAnsi"/>
        </w:rPr>
        <w:t xml:space="preserve">Ruiz </w:t>
      </w:r>
      <w:r w:rsidR="007F47D3" w:rsidRPr="00A23DAD">
        <w:rPr>
          <w:rFonts w:asciiTheme="minorHAnsi" w:hAnsiTheme="minorHAnsi" w:cstheme="minorHAnsi"/>
          <w:sz w:val="16"/>
          <w:szCs w:val="16"/>
        </w:rPr>
        <w:t>Ibán</w:t>
      </w:r>
      <w:r w:rsidRPr="00A23DAD">
        <w:rPr>
          <w:rStyle w:val="CommentReference"/>
          <w:rFonts w:asciiTheme="minorHAnsi" w:hAnsiTheme="minorHAnsi" w:cstheme="minorHAnsi"/>
        </w:rPr>
        <w:t>. (202</w:t>
      </w:r>
      <w:r w:rsidR="00375579" w:rsidRPr="00A23DAD">
        <w:rPr>
          <w:rStyle w:val="CommentReference"/>
          <w:rFonts w:asciiTheme="minorHAnsi" w:hAnsiTheme="minorHAnsi" w:cstheme="minorHAnsi"/>
        </w:rPr>
        <w:t>5</w:t>
      </w:r>
      <w:r w:rsidRPr="00A23DAD">
        <w:rPr>
          <w:rStyle w:val="CommentReference"/>
          <w:rFonts w:asciiTheme="minorHAnsi" w:hAnsiTheme="minorHAnsi" w:cstheme="minorHAnsi"/>
        </w:rPr>
        <w:t>).</w:t>
      </w:r>
      <w:r w:rsidR="00971BB0" w:rsidRPr="00A23DAD">
        <w:rPr>
          <w:rStyle w:val="CommentReference"/>
          <w:rFonts w:asciiTheme="minorHAnsi" w:hAnsiTheme="minorHAnsi" w:cstheme="minorHAnsi"/>
        </w:rPr>
        <w:t xml:space="preserve"> Clinical Activity Report: Final Analysis. Clinical Trial on the Effect of REGENETEN Bioinductive Implant in the Supraspinatus Tendon Repair</w:t>
      </w:r>
      <w:r w:rsidRPr="00A23DAD">
        <w:rPr>
          <w:rStyle w:val="CommentReference"/>
          <w:rFonts w:asciiTheme="minorHAnsi" w:hAnsiTheme="minorHAnsi" w:cstheme="minorHAnsi"/>
        </w:rPr>
        <w:t xml:space="preserve">. </w:t>
      </w:r>
      <w:r w:rsidRPr="00A23DAD">
        <w:rPr>
          <w:rStyle w:val="CommentReference"/>
          <w:rFonts w:asciiTheme="minorHAnsi" w:hAnsiTheme="minorHAnsi" w:cstheme="minorHAnsi"/>
          <w:lang w:val="es-CO"/>
        </w:rPr>
        <w:t>Smith &amp; Nephew.</w:t>
      </w:r>
    </w:p>
  </w:footnote>
  <w:footnote w:id="10">
    <w:p w14:paraId="5DEEEB7A" w14:textId="577E91C5" w:rsidR="00B43AC0" w:rsidRPr="00A23DAD" w:rsidRDefault="00B43AC0" w:rsidP="00CD6005">
      <w:pPr>
        <w:pStyle w:val="TableFooter"/>
        <w:spacing w:before="0" w:after="0"/>
        <w:rPr>
          <w:rFonts w:asciiTheme="minorHAnsi" w:hAnsiTheme="minorHAnsi" w:cstheme="minorHAnsi"/>
          <w:sz w:val="16"/>
          <w:szCs w:val="16"/>
        </w:rPr>
      </w:pPr>
      <w:r w:rsidRPr="00A23DAD">
        <w:rPr>
          <w:rStyle w:val="FootnoteReference"/>
          <w:rFonts w:asciiTheme="minorHAnsi" w:hAnsiTheme="minorHAnsi" w:cstheme="minorHAnsi"/>
          <w:sz w:val="16"/>
          <w:szCs w:val="16"/>
        </w:rPr>
        <w:footnoteRef/>
      </w:r>
      <w:r w:rsidRPr="00A23DAD">
        <w:rPr>
          <w:rFonts w:asciiTheme="minorHAnsi" w:hAnsiTheme="minorHAnsi" w:cstheme="minorHAnsi"/>
          <w:sz w:val="16"/>
          <w:szCs w:val="16"/>
        </w:rPr>
        <w:t xml:space="preserve"> </w:t>
      </w:r>
      <w:r w:rsidR="00276984" w:rsidRPr="00A23DAD">
        <w:rPr>
          <w:rStyle w:val="CommentReference"/>
          <w:rFonts w:asciiTheme="minorHAnsi" w:hAnsiTheme="minorHAnsi" w:cstheme="minorHAnsi"/>
        </w:rPr>
        <w:t xml:space="preserve">Ruiz </w:t>
      </w:r>
      <w:r w:rsidR="007F47D3" w:rsidRPr="00A23DAD">
        <w:rPr>
          <w:rFonts w:asciiTheme="minorHAnsi" w:hAnsiTheme="minorHAnsi" w:cstheme="minorHAnsi"/>
          <w:sz w:val="16"/>
          <w:szCs w:val="16"/>
        </w:rPr>
        <w:t>Ibán</w:t>
      </w:r>
      <w:r w:rsidR="00276984" w:rsidRPr="00A23DAD">
        <w:rPr>
          <w:rStyle w:val="CommentReference"/>
          <w:rFonts w:asciiTheme="minorHAnsi" w:hAnsiTheme="minorHAnsi" w:cstheme="minorHAnsi"/>
        </w:rPr>
        <w:t xml:space="preserve"> </w:t>
      </w:r>
      <w:r w:rsidR="00276984" w:rsidRPr="00A23DAD">
        <w:rPr>
          <w:rStyle w:val="CommentReference"/>
          <w:rFonts w:asciiTheme="minorHAnsi" w:hAnsiTheme="minorHAnsi" w:cstheme="minorHAnsi"/>
          <w:i/>
          <w:iCs/>
        </w:rPr>
        <w:t>et al.</w:t>
      </w:r>
      <w:r w:rsidR="00276984" w:rsidRPr="00A23DAD">
        <w:rPr>
          <w:rStyle w:val="CommentReference"/>
          <w:rFonts w:asciiTheme="minorHAnsi" w:hAnsiTheme="minorHAnsi" w:cstheme="minorHAnsi"/>
        </w:rPr>
        <w:t xml:space="preserve"> (2025). Manuscript Draft: Augmentation with A Bioinductive Collagen Implant of A Posterosuperior Cuff Repair is Safe and Effective. A Brief Update of The Results of A Randomized Controlled Trial. The Journal of Arthroscopic and Related Surgery.</w:t>
      </w:r>
    </w:p>
  </w:footnote>
  <w:footnote w:id="11">
    <w:p w14:paraId="39F1D677" w14:textId="0A4759FA" w:rsidR="00B43AC0" w:rsidRPr="00A23DAD" w:rsidRDefault="00B43AC0" w:rsidP="00CD6005">
      <w:pPr>
        <w:pStyle w:val="TableFooter"/>
        <w:spacing w:before="0" w:after="0"/>
        <w:rPr>
          <w:rStyle w:val="CommentReference"/>
          <w:rFonts w:asciiTheme="minorHAnsi" w:hAnsiTheme="minorHAnsi" w:cstheme="minorHAnsi"/>
        </w:rPr>
      </w:pPr>
      <w:r w:rsidRPr="00A23DAD">
        <w:rPr>
          <w:rStyle w:val="FootnoteReference"/>
          <w:rFonts w:asciiTheme="minorHAnsi" w:hAnsiTheme="minorHAnsi" w:cstheme="minorHAnsi"/>
          <w:sz w:val="16"/>
          <w:szCs w:val="16"/>
        </w:rPr>
        <w:footnoteRef/>
      </w:r>
      <w:r w:rsidRPr="00A23DAD">
        <w:rPr>
          <w:rFonts w:asciiTheme="minorHAnsi" w:hAnsiTheme="minorHAnsi" w:cstheme="minorHAnsi"/>
          <w:sz w:val="16"/>
          <w:szCs w:val="16"/>
        </w:rPr>
        <w:t xml:space="preserve"> </w:t>
      </w:r>
      <w:r w:rsidRPr="00A23DAD">
        <w:rPr>
          <w:rStyle w:val="CommentReference"/>
          <w:rFonts w:asciiTheme="minorHAnsi" w:hAnsiTheme="minorHAnsi" w:cstheme="minorHAnsi"/>
        </w:rPr>
        <w:t>Camacho-Chacon J. A. (2023). Investigator Initiated Clinical Report: Final Two-Year Results (Camacho-Chacon and colleagues). Smith &amp; Nephew.</w:t>
      </w:r>
    </w:p>
  </w:footnote>
  <w:footnote w:id="12">
    <w:p w14:paraId="11687B41" w14:textId="7159C2F8" w:rsidR="00117B8F" w:rsidRPr="00A23DAD" w:rsidRDefault="00117B8F" w:rsidP="00CD6005">
      <w:pPr>
        <w:pStyle w:val="FootnoteText"/>
        <w:spacing w:before="0"/>
        <w:rPr>
          <w:rFonts w:cstheme="minorHAnsi"/>
          <w:sz w:val="16"/>
          <w:szCs w:val="16"/>
        </w:rPr>
      </w:pPr>
      <w:r w:rsidRPr="00A23DAD">
        <w:rPr>
          <w:rStyle w:val="FootnoteReference"/>
          <w:rFonts w:cstheme="minorHAnsi"/>
          <w:sz w:val="16"/>
          <w:szCs w:val="16"/>
        </w:rPr>
        <w:footnoteRef/>
      </w:r>
      <w:r w:rsidRPr="00A23DAD">
        <w:rPr>
          <w:rFonts w:cstheme="minorHAnsi"/>
          <w:sz w:val="16"/>
          <w:szCs w:val="16"/>
        </w:rPr>
        <w:t xml:space="preserve"> Camacho-Chacon, J. A</w:t>
      </w:r>
      <w:r w:rsidR="00CD6005" w:rsidRPr="00A23DAD">
        <w:rPr>
          <w:rFonts w:cstheme="minorHAnsi"/>
          <w:sz w:val="16"/>
          <w:szCs w:val="16"/>
        </w:rPr>
        <w:t xml:space="preserve">. </w:t>
      </w:r>
      <w:r w:rsidR="00CD6005" w:rsidRPr="00A23DAD">
        <w:rPr>
          <w:rFonts w:cstheme="minorHAnsi"/>
          <w:i/>
          <w:iCs/>
          <w:sz w:val="16"/>
          <w:szCs w:val="16"/>
        </w:rPr>
        <w:t>et al</w:t>
      </w:r>
      <w:r w:rsidRPr="00A23DAD">
        <w:rPr>
          <w:rFonts w:cstheme="minorHAnsi"/>
          <w:sz w:val="16"/>
          <w:szCs w:val="16"/>
        </w:rPr>
        <w:t>. (2022). Bioinductive collagen implants facilitate tendon regeneration in rotator cuff tears. J Exp Orthop, 9(1), 53.</w:t>
      </w:r>
    </w:p>
  </w:footnote>
  <w:footnote w:id="13">
    <w:p w14:paraId="3EB2D6B9" w14:textId="7F245B46" w:rsidR="00B43AC0" w:rsidRPr="0079588E" w:rsidRDefault="00B43AC0" w:rsidP="00CD6005">
      <w:pPr>
        <w:pStyle w:val="TableFooter"/>
        <w:spacing w:before="0" w:after="0"/>
        <w:rPr>
          <w:rStyle w:val="CommentReference"/>
          <w:rFonts w:ascii="Franklin Gothic Book" w:hAnsi="Franklin Gothic Book" w:cstheme="minorBidi"/>
        </w:rPr>
      </w:pPr>
      <w:r w:rsidRPr="00A23DAD">
        <w:rPr>
          <w:rStyle w:val="FootnoteReference"/>
          <w:rFonts w:asciiTheme="minorHAnsi" w:hAnsiTheme="minorHAnsi" w:cstheme="minorHAnsi"/>
          <w:sz w:val="16"/>
          <w:szCs w:val="16"/>
        </w:rPr>
        <w:footnoteRef/>
      </w:r>
      <w:r w:rsidRPr="00A23DAD">
        <w:rPr>
          <w:rFonts w:asciiTheme="minorHAnsi" w:hAnsiTheme="minorHAnsi" w:cstheme="minorHAnsi"/>
          <w:sz w:val="16"/>
          <w:szCs w:val="16"/>
        </w:rPr>
        <w:t xml:space="preserve"> </w:t>
      </w:r>
      <w:r w:rsidRPr="00A23DAD">
        <w:rPr>
          <w:rStyle w:val="CommentReference"/>
          <w:rFonts w:asciiTheme="minorHAnsi" w:hAnsiTheme="minorHAnsi" w:cstheme="minorHAnsi"/>
        </w:rPr>
        <w:t xml:space="preserve">Wang A. </w:t>
      </w:r>
      <w:r w:rsidR="009A6D3E" w:rsidRPr="00A23DAD">
        <w:rPr>
          <w:rStyle w:val="CommentReference"/>
          <w:rFonts w:asciiTheme="minorHAnsi" w:hAnsiTheme="minorHAnsi" w:cstheme="minorHAnsi"/>
          <w:i/>
          <w:iCs/>
        </w:rPr>
        <w:t>et al.</w:t>
      </w:r>
      <w:r w:rsidR="00117B8F" w:rsidRPr="00A23DAD">
        <w:rPr>
          <w:rStyle w:val="CommentReference"/>
          <w:rFonts w:asciiTheme="minorHAnsi" w:hAnsiTheme="minorHAnsi" w:cstheme="minorHAnsi"/>
        </w:rPr>
        <w:t xml:space="preserve"> </w:t>
      </w:r>
      <w:r w:rsidRPr="00A23DAD">
        <w:rPr>
          <w:rStyle w:val="CommentReference"/>
          <w:rFonts w:asciiTheme="minorHAnsi" w:hAnsiTheme="minorHAnsi" w:cstheme="minorHAnsi"/>
        </w:rPr>
        <w:t>(2023). Investigator Initiated Study Clinical Report: Interim Results (ACTRN12620000926932). Smith &amp; Nephew.</w:t>
      </w:r>
    </w:p>
  </w:footnote>
  <w:footnote w:id="14">
    <w:p w14:paraId="756B9B91" w14:textId="77777777" w:rsidR="00F76F1A" w:rsidRPr="00A23DAD" w:rsidRDefault="00F76F1A" w:rsidP="00F76F1A">
      <w:pPr>
        <w:pStyle w:val="FootnoteText"/>
        <w:rPr>
          <w:sz w:val="16"/>
          <w:szCs w:val="16"/>
        </w:rPr>
      </w:pPr>
      <w:r w:rsidRPr="00A23DAD">
        <w:rPr>
          <w:rStyle w:val="FootnoteReference"/>
          <w:sz w:val="16"/>
          <w:szCs w:val="16"/>
        </w:rPr>
        <w:footnoteRef/>
      </w:r>
      <w:r w:rsidRPr="00A23DAD">
        <w:rPr>
          <w:sz w:val="16"/>
          <w:szCs w:val="16"/>
        </w:rPr>
        <w:t xml:space="preserve"> Warren, J. R., Domingo-Johnson, E. R., Sorensen, A. A., Cheng, A.-L., Latz, K. H., &amp; Cil, A. (2024). Bioinductive patch as an augmentation for rotator cuff repair, a systematic review and meta-analysis. Journal of Shoulder and Elbow Surgery, 33(11), 2515-2529.</w:t>
      </w:r>
    </w:p>
  </w:footnote>
  <w:footnote w:id="15">
    <w:p w14:paraId="3C3C0216" w14:textId="77777777" w:rsidR="00F76F1A" w:rsidRDefault="00F76F1A" w:rsidP="00F76F1A">
      <w:pPr>
        <w:pStyle w:val="FootnoteText"/>
      </w:pPr>
      <w:r w:rsidRPr="00A23DAD">
        <w:rPr>
          <w:rStyle w:val="FootnoteReference"/>
          <w:sz w:val="16"/>
          <w:szCs w:val="16"/>
        </w:rPr>
        <w:footnoteRef/>
      </w:r>
      <w:r w:rsidRPr="00A23DAD">
        <w:rPr>
          <w:sz w:val="16"/>
          <w:szCs w:val="16"/>
        </w:rPr>
        <w:t xml:space="preserve"> Hurley, E. T., Twomey-Kozack, J., Doyle, T. R., Meyer, L. E., Meyer, A. M., Lorentz, S. G., Bradley, K. E., Dickens, J. F., &amp; Klifto, C. S. (2025). Bioinductive Collagen Implant Has Potential to Improve Rotator Cuff Healing: A Systematic Review. </w:t>
      </w:r>
      <w:r w:rsidRPr="00A23DAD">
        <w:rPr>
          <w:i/>
          <w:sz w:val="16"/>
          <w:szCs w:val="16"/>
        </w:rPr>
        <w:t>Arthroscopy</w:t>
      </w:r>
      <w:r w:rsidRPr="00A23DAD">
        <w:rPr>
          <w:sz w:val="16"/>
          <w:szCs w:val="16"/>
        </w:rPr>
        <w:t>,</w:t>
      </w:r>
      <w:r w:rsidRPr="00A23DAD">
        <w:rPr>
          <w:i/>
          <w:sz w:val="16"/>
          <w:szCs w:val="16"/>
        </w:rPr>
        <w:t xml:space="preserve"> 41</w:t>
      </w:r>
      <w:r w:rsidRPr="00A23DAD">
        <w:rPr>
          <w:sz w:val="16"/>
          <w:szCs w:val="16"/>
        </w:rPr>
        <w:t>(2), 333-342.e332.</w:t>
      </w:r>
    </w:p>
  </w:footnote>
  <w:footnote w:id="16">
    <w:p w14:paraId="5BD69246" w14:textId="7DAEF996" w:rsidR="005D61BF" w:rsidRPr="00A23DAD" w:rsidRDefault="005D61BF">
      <w:pPr>
        <w:pStyle w:val="FootnoteText"/>
        <w:rPr>
          <w:sz w:val="16"/>
          <w:szCs w:val="16"/>
        </w:rPr>
      </w:pPr>
      <w:r w:rsidRPr="00A23DAD">
        <w:rPr>
          <w:rStyle w:val="FootnoteReference"/>
          <w:sz w:val="16"/>
          <w:szCs w:val="16"/>
        </w:rPr>
        <w:footnoteRef/>
      </w:r>
      <w:r w:rsidRPr="00A23DAD">
        <w:rPr>
          <w:sz w:val="16"/>
          <w:szCs w:val="16"/>
        </w:rPr>
        <w:t xml:space="preserve"> Thon, S. G., O'Malley, L., 2nd, O'Brien, M. J. &amp; Savoie, F. H., 3rd 2019. Evaluation of Healing Rates and Safety With a Bioinductive Collagen Patch for Large and Massive Rotator Cuff Tears: 2-Year Safety and Clinical Outcomes. Am J Sports Med, 47, 1901-1908.</w:t>
      </w:r>
    </w:p>
  </w:footnote>
  <w:footnote w:id="17">
    <w:p w14:paraId="754099ED" w14:textId="2C3292F1" w:rsidR="000716CB" w:rsidRPr="00A23DAD" w:rsidRDefault="000716CB">
      <w:pPr>
        <w:pStyle w:val="FootnoteText"/>
        <w:rPr>
          <w:sz w:val="16"/>
          <w:szCs w:val="16"/>
        </w:rPr>
      </w:pPr>
      <w:r w:rsidRPr="00A23DAD">
        <w:rPr>
          <w:rStyle w:val="FootnoteReference"/>
          <w:sz w:val="16"/>
          <w:szCs w:val="16"/>
        </w:rPr>
        <w:footnoteRef/>
      </w:r>
      <w:r w:rsidRPr="00A23DAD">
        <w:rPr>
          <w:sz w:val="16"/>
          <w:szCs w:val="16"/>
        </w:rPr>
        <w:t xml:space="preserve"> McIntyre, L. F., McMillan, S., Trenhaile, S. W., Bishai, S. K. &amp; Bushnell, B. D. 2021. Full-Thickness Rotator Cuff Tears Can Be Safely Treated With a Resorbable Bioinductive Bovine Collagen Implant: One-Year Results of a Prospective, Multicenter Registry. Arthrosc Sports Med Rehabil, 3, e1473-e1479.</w:t>
      </w:r>
    </w:p>
  </w:footnote>
  <w:footnote w:id="18">
    <w:p w14:paraId="26BEC991" w14:textId="5E94B577" w:rsidR="0096560D" w:rsidRPr="00A23DAD" w:rsidRDefault="0096560D">
      <w:pPr>
        <w:pStyle w:val="FootnoteText"/>
        <w:rPr>
          <w:sz w:val="16"/>
          <w:szCs w:val="16"/>
        </w:rPr>
      </w:pPr>
      <w:r w:rsidRPr="00A23DAD">
        <w:rPr>
          <w:rStyle w:val="FootnoteReference"/>
          <w:sz w:val="16"/>
          <w:szCs w:val="16"/>
        </w:rPr>
        <w:footnoteRef/>
      </w:r>
      <w:r w:rsidRPr="00A23DAD">
        <w:rPr>
          <w:sz w:val="16"/>
          <w:szCs w:val="16"/>
        </w:rPr>
        <w:t xml:space="preserve"> Bushnell, B. D., Connor, P. M., Harris, H. W., Ho, C. P., Trenhaile, S. W. &amp; Abrams, J. S. 2021. Retear rates and clinical outcomes at 1 year after repair of full-thickness rotator cuff tears augmented with a bioinductive collagen implant: a prospective multicenter study. JSES Int, 5, 228-237.</w:t>
      </w:r>
    </w:p>
  </w:footnote>
  <w:footnote w:id="19">
    <w:p w14:paraId="376BA3FE" w14:textId="7D185365" w:rsidR="00BD4440" w:rsidRPr="00A23DAD" w:rsidRDefault="00BD4440">
      <w:pPr>
        <w:pStyle w:val="FootnoteText"/>
        <w:rPr>
          <w:sz w:val="16"/>
          <w:szCs w:val="16"/>
        </w:rPr>
      </w:pPr>
      <w:r w:rsidRPr="00A23DAD">
        <w:rPr>
          <w:rStyle w:val="FootnoteReference"/>
          <w:sz w:val="16"/>
          <w:szCs w:val="16"/>
        </w:rPr>
        <w:footnoteRef/>
      </w:r>
      <w:r w:rsidRPr="00A23DAD">
        <w:rPr>
          <w:sz w:val="16"/>
          <w:szCs w:val="16"/>
        </w:rPr>
        <w:t xml:space="preserve"> Bokor, D. J., Sonnabend, D., Deady, L., Cass, B., Young, A., Van Kampen, C. &amp; Arnoczky, S. 2015. Preliminary investigation of a biological augmentation of rotator cuff repairs using a collagen implant: a 2-year MRI follow-up. Muscles Ligaments Tendons J, 5, 144-50.</w:t>
      </w:r>
    </w:p>
  </w:footnote>
  <w:footnote w:id="20">
    <w:p w14:paraId="264C0510" w14:textId="14A90737" w:rsidR="00F9631F" w:rsidRDefault="00F9631F">
      <w:pPr>
        <w:pStyle w:val="FootnoteText"/>
      </w:pPr>
      <w:r w:rsidRPr="00A23DAD">
        <w:rPr>
          <w:rStyle w:val="FootnoteReference"/>
          <w:sz w:val="16"/>
          <w:szCs w:val="16"/>
        </w:rPr>
        <w:footnoteRef/>
      </w:r>
      <w:r w:rsidRPr="00A23DAD">
        <w:rPr>
          <w:sz w:val="16"/>
          <w:szCs w:val="16"/>
        </w:rPr>
        <w:t xml:space="preserve"> Bokor, D. J., Sonnabend, D. H., Deady, L., Cass, B., Young, A. A., Van Kampen, C. L. &amp; Arnoczky, S. P. 2019. Healing of partial-thickness rotator cuff tears following arthroscopic augmentation with a highly-porous collagen implant: a 5-year clinical and MRI follow-up. Muscle Ligaments and Tendons Journal, 09.</w:t>
      </w:r>
    </w:p>
  </w:footnote>
  <w:footnote w:id="21">
    <w:p w14:paraId="141E01A5" w14:textId="058DE385" w:rsidR="00C822FA" w:rsidRPr="00A23DAD" w:rsidRDefault="00C822FA">
      <w:pPr>
        <w:pStyle w:val="FootnoteText"/>
        <w:rPr>
          <w:sz w:val="16"/>
          <w:szCs w:val="16"/>
        </w:rPr>
      </w:pPr>
      <w:r w:rsidRPr="00A23DAD">
        <w:rPr>
          <w:rStyle w:val="FootnoteReference"/>
          <w:sz w:val="16"/>
          <w:szCs w:val="16"/>
        </w:rPr>
        <w:footnoteRef/>
      </w:r>
      <w:r w:rsidRPr="00A23DAD">
        <w:rPr>
          <w:sz w:val="16"/>
          <w:szCs w:val="16"/>
        </w:rPr>
        <w:t xml:space="preserve"> </w:t>
      </w:r>
      <w:r w:rsidR="003C7A42" w:rsidRPr="00A23DAD">
        <w:rPr>
          <w:sz w:val="16"/>
          <w:szCs w:val="16"/>
        </w:rPr>
        <w:t>Kukkonen, J., Kauko, T., Vahlberg, T., Joukainen, A., &amp; Aarimaa, V. (2013). Investigating minimal clinically important difference for Constant score in patients undergoing rotator cuff surgery. J Shoulder Elbow Surg, 22(12), 1650-1655. https://doi.org/10.1016/j.jse.2013.05.002</w:t>
      </w:r>
    </w:p>
  </w:footnote>
  <w:footnote w:id="22">
    <w:p w14:paraId="0068AE7C" w14:textId="77777777" w:rsidR="00F13FA9" w:rsidRPr="00A92431" w:rsidRDefault="00F13FA9" w:rsidP="00AE13A2">
      <w:pPr>
        <w:pStyle w:val="TableFooter"/>
        <w:spacing w:before="0" w:after="0"/>
        <w:rPr>
          <w:rStyle w:val="CommentReference"/>
          <w:rFonts w:asciiTheme="minorHAnsi" w:hAnsiTheme="minorHAnsi" w:cstheme="minorHAnsi"/>
        </w:rPr>
      </w:pPr>
      <w:r w:rsidRPr="00A92431">
        <w:rPr>
          <w:rStyle w:val="FootnoteReference"/>
          <w:rFonts w:asciiTheme="minorHAnsi" w:hAnsiTheme="minorHAnsi" w:cstheme="minorHAnsi"/>
          <w:sz w:val="16"/>
          <w:szCs w:val="16"/>
        </w:rPr>
        <w:footnoteRef/>
      </w:r>
      <w:r w:rsidRPr="00A92431">
        <w:rPr>
          <w:rFonts w:asciiTheme="minorHAnsi" w:hAnsiTheme="minorHAnsi" w:cstheme="minorHAnsi"/>
          <w:sz w:val="16"/>
          <w:szCs w:val="16"/>
        </w:rPr>
        <w:t xml:space="preserve"> </w:t>
      </w:r>
      <w:r w:rsidRPr="00A92431">
        <w:rPr>
          <w:rStyle w:val="CommentReference"/>
          <w:rFonts w:asciiTheme="minorHAnsi" w:hAnsiTheme="minorHAnsi" w:cstheme="minorHAnsi"/>
        </w:rPr>
        <w:t>McIntyre, L. F., L. M. Nherera and T. F. Schlegel (2023). "Resorbable Bioinductive Collagen Implant Is Cost Effective in the Treatment of Rotator Cuff Tears." Arthrosc Sports Med Rehabil 5(2): e367-e374.</w:t>
      </w:r>
    </w:p>
  </w:footnote>
  <w:footnote w:id="23">
    <w:p w14:paraId="78B52F03" w14:textId="52C161D7" w:rsidR="00255C5A" w:rsidRDefault="00255C5A" w:rsidP="00AE13A2">
      <w:pPr>
        <w:pStyle w:val="FootnoteText"/>
        <w:spacing w:before="0"/>
      </w:pPr>
      <w:r w:rsidRPr="00A92431">
        <w:rPr>
          <w:rStyle w:val="FootnoteReference"/>
          <w:rFonts w:cstheme="minorHAnsi"/>
          <w:sz w:val="16"/>
          <w:szCs w:val="16"/>
        </w:rPr>
        <w:footnoteRef/>
      </w:r>
      <w:r w:rsidRPr="00A92431">
        <w:rPr>
          <w:rFonts w:cstheme="minorHAnsi"/>
          <w:sz w:val="16"/>
          <w:szCs w:val="16"/>
        </w:rPr>
        <w:t xml:space="preserve"> Bushnell, B. D., Connor, P. M., Harris, H. W., Ho, C. P., Trenhaile, S. W., &amp; Abrams, J. S. (2022a). Two-year outcomes with a bioinductive collagen implant used in augmentation of arthroscopic repair of full-thickness rotator cuff tears: final results of a prospective multicenter study. J Shoulder Elbow Surg, 31(12), 2532-2541</w:t>
      </w:r>
    </w:p>
  </w:footnote>
  <w:footnote w:id="24">
    <w:p w14:paraId="7C99EB22" w14:textId="20751BDE" w:rsidR="001A7F6B" w:rsidRPr="00AE13A2" w:rsidRDefault="001A7F6B">
      <w:pPr>
        <w:pStyle w:val="FootnoteText"/>
        <w:rPr>
          <w:sz w:val="16"/>
          <w:szCs w:val="16"/>
        </w:rPr>
      </w:pPr>
      <w:r w:rsidRPr="00AE13A2">
        <w:rPr>
          <w:rStyle w:val="FootnoteReference"/>
          <w:sz w:val="16"/>
          <w:szCs w:val="16"/>
        </w:rPr>
        <w:footnoteRef/>
      </w:r>
      <w:r w:rsidRPr="00AE13A2">
        <w:rPr>
          <w:sz w:val="16"/>
          <w:szCs w:val="16"/>
        </w:rPr>
        <w:t xml:space="preserve"> Truong, N. M., Cevallos, N., Lansdown, D. A., Ma, C. B., Feeley, B. T., &amp; Zhang, A. L. (2021). Arthroscopic Rotator Cuff Repair Results in Lower Two-Year Reoperation Rates Compared With Open Rotator Cuff Repair in a Large Cross-sectional Cohort. Arthrosc Sports Med Rehabil, 3(6), e2015-e2023</w:t>
      </w:r>
    </w:p>
  </w:footnote>
  <w:footnote w:id="25">
    <w:p w14:paraId="47770EA4" w14:textId="027DEBA7" w:rsidR="00F874FE" w:rsidRPr="00F874FE" w:rsidRDefault="00F874FE">
      <w:pPr>
        <w:pStyle w:val="FootnoteText"/>
        <w:rPr>
          <w:sz w:val="16"/>
          <w:szCs w:val="16"/>
        </w:rPr>
      </w:pPr>
      <w:r w:rsidRPr="00F874FE">
        <w:rPr>
          <w:rStyle w:val="FootnoteReference"/>
          <w:sz w:val="16"/>
          <w:szCs w:val="16"/>
        </w:rPr>
        <w:footnoteRef/>
      </w:r>
      <w:r w:rsidRPr="00F874FE">
        <w:rPr>
          <w:sz w:val="16"/>
          <w:szCs w:val="16"/>
        </w:rPr>
        <w:t xml:space="preserve"> Dornan, G. J., Katthagen, J. C., Tahal, D. S., Petri, M., Greenspoon, J. A., Denard, P. J., Burkhart, S. S., &amp; Millett, P. J. (2017). Cost-Effectiveness of Arthroscopic Rotator Cuff Repair Versus Reverse Total Shoulder Arthroplasty for the Treatment of Massive Rotator Cuff Tears in Patients With Pseudoparalysis and Nonarthritic Shoulders. Arthroscopy, 33(4), 716-725.</w:t>
      </w:r>
    </w:p>
  </w:footnote>
  <w:footnote w:id="26">
    <w:p w14:paraId="24DF4BD0" w14:textId="6D5BBF56" w:rsidR="0026481E" w:rsidRPr="00A23DAD" w:rsidRDefault="0026481E">
      <w:pPr>
        <w:pStyle w:val="FootnoteText"/>
        <w:rPr>
          <w:rFonts w:cstheme="minorHAnsi"/>
          <w:sz w:val="16"/>
          <w:szCs w:val="16"/>
        </w:rPr>
      </w:pPr>
      <w:r w:rsidRPr="00A23DAD">
        <w:rPr>
          <w:rStyle w:val="FootnoteReference"/>
          <w:rFonts w:cstheme="minorHAnsi"/>
          <w:sz w:val="16"/>
          <w:szCs w:val="16"/>
        </w:rPr>
        <w:footnoteRef/>
      </w:r>
      <w:r w:rsidR="00364E0D" w:rsidRPr="00A23DAD">
        <w:rPr>
          <w:rFonts w:cstheme="minorHAnsi"/>
          <w:sz w:val="16"/>
          <w:szCs w:val="16"/>
        </w:rPr>
        <w:t xml:space="preserve"> Public Summary Document</w:t>
      </w:r>
      <w:r w:rsidR="00FE7603" w:rsidRPr="00A23DAD">
        <w:rPr>
          <w:rFonts w:cstheme="minorHAnsi"/>
          <w:sz w:val="16"/>
          <w:szCs w:val="16"/>
        </w:rPr>
        <w:t xml:space="preserve">, MSAC Application No. </w:t>
      </w:r>
      <w:r w:rsidRPr="00A23DAD">
        <w:rPr>
          <w:rFonts w:cstheme="minorHAnsi"/>
          <w:sz w:val="16"/>
          <w:szCs w:val="16"/>
        </w:rPr>
        <w:t xml:space="preserve">1711 – Review of MBS items for subacromial decompression </w:t>
      </w:r>
      <w:hyperlink r:id="rId8" w:history="1">
        <w:r w:rsidR="00364E0D" w:rsidRPr="00A23DAD">
          <w:rPr>
            <w:rStyle w:val="Hyperlink"/>
            <w:rFonts w:cstheme="minorHAnsi"/>
            <w:sz w:val="16"/>
            <w:szCs w:val="16"/>
          </w:rPr>
          <w:t>https://www.msac.gov.au/applications/1711</w:t>
        </w:r>
      </w:hyperlink>
      <w:r w:rsidR="00364E0D" w:rsidRPr="00A23DAD">
        <w:rPr>
          <w:rFonts w:cstheme="minorHAnsi"/>
          <w:sz w:val="16"/>
          <w:szCs w:val="16"/>
        </w:rPr>
        <w:t xml:space="preserve"> </w:t>
      </w:r>
    </w:p>
  </w:footnote>
  <w:footnote w:id="27">
    <w:p w14:paraId="55ED7BA5" w14:textId="77777777" w:rsidR="00B42363" w:rsidRDefault="00B42363" w:rsidP="00B42363">
      <w:pPr>
        <w:pStyle w:val="TableFooter"/>
      </w:pPr>
      <w:r w:rsidRPr="00A23DAD">
        <w:rPr>
          <w:rStyle w:val="FootnoteReference"/>
          <w:rFonts w:asciiTheme="minorHAnsi" w:hAnsiTheme="minorHAnsi" w:cstheme="minorHAnsi"/>
          <w:sz w:val="16"/>
          <w:szCs w:val="16"/>
        </w:rPr>
        <w:footnoteRef/>
      </w:r>
      <w:r w:rsidRPr="00A23DAD">
        <w:rPr>
          <w:rFonts w:asciiTheme="minorHAnsi" w:hAnsiTheme="minorHAnsi" w:cstheme="minorHAnsi"/>
          <w:sz w:val="16"/>
          <w:szCs w:val="16"/>
        </w:rPr>
        <w:t xml:space="preserve"> Cederqvist S, Flinkkilä T, Sormaala M, et alNon-surgical and surgical treatments for rotator cuff disease: a pragmatic randomised clinical trial with 2-year follow-up after initial rehabilitation. Annals of the Rheumatic Diseases 2021;80:796-802.</w:t>
      </w:r>
    </w:p>
  </w:footnote>
  <w:footnote w:id="28">
    <w:p w14:paraId="4C1E1CD6" w14:textId="77777777" w:rsidR="00DD6C68" w:rsidRPr="00A23DAD" w:rsidRDefault="00DD6C68" w:rsidP="00DD6C68">
      <w:pPr>
        <w:pStyle w:val="FootnoteText"/>
        <w:rPr>
          <w:sz w:val="16"/>
          <w:szCs w:val="16"/>
        </w:rPr>
      </w:pPr>
      <w:r w:rsidRPr="00A23DAD">
        <w:rPr>
          <w:rStyle w:val="FootnoteReference"/>
          <w:sz w:val="16"/>
          <w:szCs w:val="16"/>
        </w:rPr>
        <w:footnoteRef/>
      </w:r>
      <w:r w:rsidRPr="00A23DAD">
        <w:rPr>
          <w:sz w:val="16"/>
          <w:szCs w:val="16"/>
        </w:rPr>
        <w:t xml:space="preserve"> Schlegel TF, Abrams JS, Bushnell BD, Brock JL, Ho CP. Radiologic and clinical evaluation of a bioabsorbable collagen implant to treat partial-thickness tears: a prospective multicenter study. Journal of Shoulder and Elbow Surgery. 2018;27(2):242-51.</w:t>
      </w:r>
    </w:p>
  </w:footnote>
  <w:footnote w:id="29">
    <w:p w14:paraId="3A452D9C" w14:textId="15F9641A" w:rsidR="00DD6C68" w:rsidRPr="00A23DAD" w:rsidRDefault="00DD6C68" w:rsidP="00DD6C68">
      <w:pPr>
        <w:pStyle w:val="FootnoteText"/>
        <w:rPr>
          <w:sz w:val="16"/>
          <w:szCs w:val="16"/>
        </w:rPr>
      </w:pPr>
      <w:r w:rsidRPr="00A23DAD">
        <w:rPr>
          <w:rStyle w:val="FootnoteReference"/>
          <w:sz w:val="16"/>
          <w:szCs w:val="16"/>
        </w:rPr>
        <w:footnoteRef/>
      </w:r>
      <w:r w:rsidRPr="00A23DAD">
        <w:rPr>
          <w:sz w:val="16"/>
          <w:szCs w:val="16"/>
        </w:rPr>
        <w:t xml:space="preserve"> </w:t>
      </w:r>
      <w:r w:rsidR="0091725E">
        <w:rPr>
          <w:sz w:val="16"/>
          <w:szCs w:val="16"/>
        </w:rPr>
        <w:t xml:space="preserve">Medical Services Advisory Committee – Appendix 12: </w:t>
      </w:r>
      <w:r w:rsidR="00BC3908">
        <w:rPr>
          <w:sz w:val="16"/>
          <w:szCs w:val="16"/>
        </w:rPr>
        <w:t>Translating comparative treatment effects of proposed surrogate measures to target clinical outcomes</w:t>
      </w:r>
      <w:r w:rsidR="00A01196">
        <w:rPr>
          <w:sz w:val="16"/>
          <w:szCs w:val="16"/>
        </w:rPr>
        <w:t xml:space="preserve"> (p291)</w:t>
      </w:r>
      <w:r w:rsidR="00BC3908">
        <w:rPr>
          <w:sz w:val="16"/>
          <w:szCs w:val="16"/>
        </w:rPr>
        <w:t xml:space="preserve"> </w:t>
      </w:r>
      <w:r w:rsidR="00B33C3D">
        <w:rPr>
          <w:sz w:val="16"/>
          <w:szCs w:val="16"/>
        </w:rPr>
        <w:t xml:space="preserve">- </w:t>
      </w:r>
      <w:hyperlink r:id="rId9" w:history="1">
        <w:r w:rsidRPr="00A23DAD">
          <w:rPr>
            <w:rStyle w:val="Hyperlink"/>
            <w:sz w:val="16"/>
            <w:szCs w:val="16"/>
          </w:rPr>
          <w:t>Guidelines for preparing assessments for the Medical Services Advisory Committee</w:t>
        </w:r>
      </w:hyperlink>
    </w:p>
  </w:footnote>
  <w:footnote w:id="30">
    <w:p w14:paraId="0AF39AC8" w14:textId="77777777" w:rsidR="00DD6C68" w:rsidRPr="00F151E9" w:rsidRDefault="00DD6C68" w:rsidP="00DD6C68">
      <w:pPr>
        <w:pStyle w:val="FootnoteText"/>
        <w:rPr>
          <w:szCs w:val="18"/>
        </w:rPr>
      </w:pPr>
      <w:r w:rsidRPr="00A23DAD">
        <w:rPr>
          <w:rStyle w:val="FootnoteReference"/>
          <w:sz w:val="16"/>
          <w:szCs w:val="16"/>
        </w:rPr>
        <w:footnoteRef/>
      </w:r>
      <w:r w:rsidRPr="00A23DAD">
        <w:rPr>
          <w:sz w:val="16"/>
          <w:szCs w:val="16"/>
        </w:rPr>
        <w:t xml:space="preserve"> </w:t>
      </w:r>
      <w:hyperlink r:id="rId10" w:history="1">
        <w:r w:rsidRPr="00A23DAD">
          <w:rPr>
            <w:rStyle w:val="Hyperlink"/>
            <w:sz w:val="16"/>
            <w:szCs w:val="16"/>
          </w:rPr>
          <w:t>REGENETEN™ Bioinductive Implant System in Full-thickness Tears. ClinicalTrials.gov</w:t>
        </w:r>
      </w:hyperlink>
      <w:r w:rsidRPr="00A23DAD">
        <w:rPr>
          <w:sz w:val="16"/>
          <w:szCs w:val="16"/>
        </w:rPr>
        <w:t>. 2025</w:t>
      </w:r>
    </w:p>
  </w:footnote>
  <w:footnote w:id="31">
    <w:p w14:paraId="29663520" w14:textId="03B3CD97" w:rsidR="00DD6C68" w:rsidRPr="008531AB" w:rsidRDefault="00DD6C68" w:rsidP="00DD6C68">
      <w:pPr>
        <w:pStyle w:val="FootnoteText"/>
        <w:rPr>
          <w:sz w:val="16"/>
          <w:szCs w:val="16"/>
        </w:rPr>
      </w:pPr>
      <w:r w:rsidRPr="00A23DAD">
        <w:rPr>
          <w:rStyle w:val="FootnoteReference"/>
          <w:sz w:val="16"/>
          <w:szCs w:val="16"/>
        </w:rPr>
        <w:footnoteRef/>
      </w:r>
      <w:r w:rsidRPr="00A23DAD">
        <w:rPr>
          <w:sz w:val="16"/>
          <w:szCs w:val="16"/>
        </w:rPr>
        <w:t xml:space="preserve"> Norman, R., Mulhern, B., Lancsar, E., Lorgelly, P., Ratcliffe, J., Street, D., &amp; Viney, R. (2023). The use of a discrete choice experiment including both duration and dead for the development of an EQ-5D-5L value set for Australia. PharmacoEconomics, 41(4), 427–438.</w:t>
      </w:r>
    </w:p>
  </w:footnote>
  <w:footnote w:id="32">
    <w:p w14:paraId="5110D8D4" w14:textId="6570289E" w:rsidR="00DD6C68" w:rsidRPr="00A23DAD" w:rsidRDefault="00DD6C68" w:rsidP="00DD6C68">
      <w:pPr>
        <w:pStyle w:val="FootnoteText"/>
        <w:rPr>
          <w:sz w:val="16"/>
          <w:szCs w:val="16"/>
        </w:rPr>
      </w:pPr>
      <w:r w:rsidRPr="00A23DAD">
        <w:rPr>
          <w:rStyle w:val="FootnoteReference"/>
          <w:sz w:val="16"/>
          <w:szCs w:val="16"/>
        </w:rPr>
        <w:footnoteRef/>
      </w:r>
      <w:r w:rsidR="00A01196" w:rsidRPr="00A23DAD">
        <w:rPr>
          <w:sz w:val="16"/>
          <w:szCs w:val="16"/>
        </w:rPr>
        <w:t xml:space="preserve"> Medical Services Advisory Committee – Technical Guidance 17: Overview and rationale of the economic evaluation (p.155 – 162)</w:t>
      </w:r>
      <w:r w:rsidRPr="00A23DAD">
        <w:rPr>
          <w:sz w:val="16"/>
          <w:szCs w:val="16"/>
        </w:rPr>
        <w:t xml:space="preserve"> </w:t>
      </w:r>
      <w:r w:rsidR="00B33C3D">
        <w:rPr>
          <w:sz w:val="16"/>
          <w:szCs w:val="16"/>
        </w:rPr>
        <w:t xml:space="preserve">- </w:t>
      </w:r>
      <w:hyperlink r:id="rId11" w:history="1">
        <w:r w:rsidRPr="00A23DAD">
          <w:rPr>
            <w:rStyle w:val="Hyperlink"/>
            <w:sz w:val="16"/>
            <w:szCs w:val="16"/>
          </w:rPr>
          <w:t>Guidelines for preparing assessments for the Medical Services Advisory Committee</w:t>
        </w:r>
      </w:hyperlink>
      <w:r w:rsidRPr="00A23DAD">
        <w:rPr>
          <w:sz w:val="16"/>
          <w:szCs w:val="16"/>
        </w:rPr>
        <w:t xml:space="preserve"> </w:t>
      </w:r>
    </w:p>
  </w:footnote>
  <w:footnote w:id="33">
    <w:p w14:paraId="34FCBBA3" w14:textId="4A771845" w:rsidR="0060422E" w:rsidRDefault="0060422E">
      <w:pPr>
        <w:pStyle w:val="FootnoteText"/>
      </w:pPr>
      <w:r>
        <w:rPr>
          <w:rStyle w:val="FootnoteReference"/>
        </w:rPr>
        <w:footnoteRef/>
      </w:r>
      <w:r>
        <w:t xml:space="preserve"> </w:t>
      </w:r>
      <w:r w:rsidR="00415979" w:rsidRPr="00415979">
        <w:t>https://www.orthoguidelines.org/guideline-detail?id=1894&amp;tab=all_guidelines</w:t>
      </w:r>
    </w:p>
  </w:footnote>
  <w:footnote w:id="34">
    <w:p w14:paraId="0543192A" w14:textId="3CEE9B39" w:rsidR="00811160" w:rsidRDefault="00811160">
      <w:pPr>
        <w:pStyle w:val="FootnoteText"/>
      </w:pPr>
      <w:r>
        <w:rPr>
          <w:rStyle w:val="FootnoteReference"/>
        </w:rPr>
        <w:footnoteRef/>
      </w:r>
      <w:r>
        <w:t xml:space="preserve"> </w:t>
      </w:r>
      <w:r w:rsidRPr="00811160">
        <w:t>https://www.aaos.org/aaos-home/newsroom/press-releases/aaos-updates-clinical-practice-guideline-for-the-management-of-rotator-cuff-injuries/</w:t>
      </w:r>
    </w:p>
  </w:footnote>
  <w:footnote w:id="35">
    <w:p w14:paraId="1FB4E9B4" w14:textId="31FFAC32" w:rsidR="00D62273" w:rsidRDefault="00D62273">
      <w:pPr>
        <w:pStyle w:val="FootnoteText"/>
      </w:pPr>
      <w:r>
        <w:rPr>
          <w:rStyle w:val="FootnoteReference"/>
        </w:rPr>
        <w:footnoteRef/>
      </w:r>
      <w:r>
        <w:t xml:space="preserve"> </w:t>
      </w:r>
      <w:r w:rsidRPr="00D62273">
        <w:t>McIntyre, L. F., Nherera, L. M., &amp; Schlegel, T. F. (2023). Resorbable Bioinductive Collagen Implant Is Cost Effective in the Treatment of Rotator Cuff Tears. Arthroscopy, Sports Medicine, and Rehabilitation. https://doi.org/10.1016/j.asmr.2023.01.002</w:t>
      </w:r>
    </w:p>
  </w:footnote>
  <w:footnote w:id="36">
    <w:p w14:paraId="5C206E4C" w14:textId="21D34EE6" w:rsidR="003F2702" w:rsidRDefault="003F2702">
      <w:pPr>
        <w:pStyle w:val="FootnoteText"/>
      </w:pPr>
      <w:r>
        <w:rPr>
          <w:rStyle w:val="FootnoteReference"/>
        </w:rPr>
        <w:footnoteRef/>
      </w:r>
      <w:r>
        <w:t xml:space="preserve"> </w:t>
      </w:r>
      <w:r w:rsidRPr="003F2702">
        <w:t>Rognoni, C., Nherera, L. M., Garofalo, R., Guerra, E., Longo, U. G., Taverna, E., &amp; Tarricone, R. (2023). Economic Evaluation of a Bioinductive Implant for the Repair of Rotator Cuff Tears Compared with Standard Surgery in Italy. Adv Ther, 40(12), 5271-5284. https://doi.org/10.1007/s12325-023-02686-9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81E9" w14:textId="0187FA83" w:rsidR="00B15572" w:rsidRDefault="005A61B2">
    <w:pPr>
      <w:pStyle w:val="Header"/>
    </w:pPr>
    <w:r>
      <w:rPr>
        <w:noProof/>
      </w:rPr>
      <mc:AlternateContent>
        <mc:Choice Requires="wps">
          <w:drawing>
            <wp:anchor distT="0" distB="0" distL="0" distR="0" simplePos="0" relativeHeight="251660293" behindDoc="0" locked="0" layoutInCell="1" allowOverlap="1" wp14:anchorId="58A21276" wp14:editId="573A3279">
              <wp:simplePos x="635" y="635"/>
              <wp:positionH relativeFrom="page">
                <wp:align>center</wp:align>
              </wp:positionH>
              <wp:positionV relativeFrom="page">
                <wp:align>top</wp:align>
              </wp:positionV>
              <wp:extent cx="622300" cy="467360"/>
              <wp:effectExtent l="0" t="0" r="6350" b="8890"/>
              <wp:wrapNone/>
              <wp:docPr id="8405166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290811C1" w14:textId="359DEB63" w:rsidR="005A61B2" w:rsidRPr="005A61B2" w:rsidRDefault="005A61B2" w:rsidP="005A61B2">
                          <w:pPr>
                            <w:spacing w:after="0"/>
                            <w:rPr>
                              <w:rFonts w:ascii="Aptos" w:eastAsia="Aptos" w:hAnsi="Aptos" w:cs="Aptos"/>
                              <w:noProof/>
                              <w:color w:val="FF0000"/>
                              <w:sz w:val="24"/>
                              <w:szCs w:val="24"/>
                            </w:rPr>
                          </w:pPr>
                          <w:r w:rsidRPr="005A61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A21276" id="_x0000_t202" coordsize="21600,21600" o:spt="202" path="m,l,21600r21600,l21600,xe">
              <v:stroke joinstyle="miter"/>
              <v:path gradientshapeok="t" o:connecttype="rect"/>
            </v:shapetype>
            <v:shape id="Text Box 2" o:spid="_x0000_s1026" type="#_x0000_t202" alt="OFFICIAL" style="position:absolute;margin-left:0;margin-top:0;width:49pt;height:36.8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" filled="f" stroked="f">
              <v:fill o:detectmouseclick="t"/>
              <v:textbox style="mso-fit-shape-to-text:t" inset="0,15pt,0,0">
                <w:txbxContent>
                  <w:p w14:paraId="290811C1" w14:textId="359DEB63" w:rsidR="005A61B2" w:rsidRPr="005A61B2" w:rsidRDefault="005A61B2" w:rsidP="005A61B2">
                    <w:pPr>
                      <w:spacing w:after="0"/>
                      <w:rPr>
                        <w:rFonts w:ascii="Aptos" w:eastAsia="Aptos" w:hAnsi="Aptos" w:cs="Aptos"/>
                        <w:noProof/>
                        <w:color w:val="FF0000"/>
                        <w:sz w:val="24"/>
                        <w:szCs w:val="24"/>
                      </w:rPr>
                    </w:pPr>
                    <w:r w:rsidRPr="005A61B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D408" w14:textId="518BC64C" w:rsidR="00B15572" w:rsidRDefault="005A61B2">
    <w:pPr>
      <w:pStyle w:val="Header"/>
    </w:pPr>
    <w:r>
      <w:rPr>
        <w:noProof/>
      </w:rPr>
      <mc:AlternateContent>
        <mc:Choice Requires="wps">
          <w:drawing>
            <wp:anchor distT="0" distB="0" distL="0" distR="0" simplePos="0" relativeHeight="251661317" behindDoc="0" locked="0" layoutInCell="1" allowOverlap="1" wp14:anchorId="7A4329F2" wp14:editId="5E56374D">
              <wp:simplePos x="635" y="635"/>
              <wp:positionH relativeFrom="page">
                <wp:align>center</wp:align>
              </wp:positionH>
              <wp:positionV relativeFrom="page">
                <wp:align>top</wp:align>
              </wp:positionV>
              <wp:extent cx="622300" cy="467360"/>
              <wp:effectExtent l="0" t="0" r="6350" b="8890"/>
              <wp:wrapNone/>
              <wp:docPr id="17386154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77F24B80" w14:textId="2547689C" w:rsidR="005A61B2" w:rsidRPr="005A61B2" w:rsidRDefault="005A61B2" w:rsidP="005A61B2">
                          <w:pPr>
                            <w:spacing w:after="0"/>
                            <w:rPr>
                              <w:rFonts w:ascii="Aptos" w:eastAsia="Aptos" w:hAnsi="Aptos" w:cs="Aptos"/>
                              <w:noProof/>
                              <w:color w:val="FF0000"/>
                              <w:sz w:val="24"/>
                              <w:szCs w:val="24"/>
                            </w:rPr>
                          </w:pPr>
                          <w:r w:rsidRPr="005A61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4329F2" id="_x0000_t202" coordsize="21600,21600" o:spt="202" path="m,l,21600r21600,l21600,xe">
              <v:stroke joinstyle="miter"/>
              <v:path gradientshapeok="t" o:connecttype="rect"/>
            </v:shapetype>
            <v:shape id="Text Box 3" o:spid="_x0000_s1027" type="#_x0000_t202" alt="OFFICIAL" style="position:absolute;margin-left:0;margin-top:0;width:49pt;height:36.8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VtDQIAABw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" filled="f" stroked="f">
              <v:fill o:detectmouseclick="t"/>
              <v:textbox style="mso-fit-shape-to-text:t" inset="0,15pt,0,0">
                <w:txbxContent>
                  <w:p w14:paraId="77F24B80" w14:textId="2547689C" w:rsidR="005A61B2" w:rsidRPr="005A61B2" w:rsidRDefault="005A61B2" w:rsidP="005A61B2">
                    <w:pPr>
                      <w:spacing w:after="0"/>
                      <w:rPr>
                        <w:rFonts w:ascii="Aptos" w:eastAsia="Aptos" w:hAnsi="Aptos" w:cs="Aptos"/>
                        <w:noProof/>
                        <w:color w:val="FF0000"/>
                        <w:sz w:val="24"/>
                        <w:szCs w:val="24"/>
                      </w:rPr>
                    </w:pPr>
                    <w:r w:rsidRPr="005A61B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7D3C" w14:textId="1990A1C7" w:rsidR="00D97FEC" w:rsidRDefault="005A61B2">
    <w:pPr>
      <w:pStyle w:val="Header"/>
    </w:pPr>
    <w:r>
      <w:rPr>
        <w:noProof/>
      </w:rPr>
      <mc:AlternateContent>
        <mc:Choice Requires="wps">
          <w:drawing>
            <wp:anchor distT="0" distB="0" distL="0" distR="0" simplePos="0" relativeHeight="251659269" behindDoc="0" locked="0" layoutInCell="1" allowOverlap="1" wp14:anchorId="5C9B01F1" wp14:editId="32A9DA26">
              <wp:simplePos x="635" y="635"/>
              <wp:positionH relativeFrom="page">
                <wp:align>center</wp:align>
              </wp:positionH>
              <wp:positionV relativeFrom="page">
                <wp:align>top</wp:align>
              </wp:positionV>
              <wp:extent cx="622300" cy="467360"/>
              <wp:effectExtent l="0" t="0" r="6350" b="8890"/>
              <wp:wrapNone/>
              <wp:docPr id="10212272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29899DC1" w14:textId="1F75BF38" w:rsidR="005A61B2" w:rsidRPr="005A61B2" w:rsidRDefault="005A61B2" w:rsidP="005A61B2">
                          <w:pPr>
                            <w:spacing w:after="0"/>
                            <w:rPr>
                              <w:rFonts w:ascii="Aptos" w:eastAsia="Aptos" w:hAnsi="Aptos" w:cs="Aptos"/>
                              <w:noProof/>
                              <w:color w:val="FF0000"/>
                              <w:sz w:val="24"/>
                              <w:szCs w:val="24"/>
                            </w:rPr>
                          </w:pPr>
                          <w:r w:rsidRPr="005A61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9B01F1" id="_x0000_t202" coordsize="21600,21600" o:spt="202" path="m,l,21600r21600,l21600,xe">
              <v:stroke joinstyle="miter"/>
              <v:path gradientshapeok="t" o:connecttype="rect"/>
            </v:shapetype>
            <v:shape id="Text Box 1" o:spid="_x0000_s1030" type="#_x0000_t202" alt="OFFICIAL" style="position:absolute;margin-left:0;margin-top:0;width:49pt;height:36.8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3KCQIAABU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" filled="f" stroked="f">
              <v:fill o:detectmouseclick="t"/>
              <v:textbox style="mso-fit-shape-to-text:t" inset="0,15pt,0,0">
                <w:txbxContent>
                  <w:p w14:paraId="29899DC1" w14:textId="1F75BF38" w:rsidR="005A61B2" w:rsidRPr="005A61B2" w:rsidRDefault="005A61B2" w:rsidP="005A61B2">
                    <w:pPr>
                      <w:spacing w:after="0"/>
                      <w:rPr>
                        <w:rFonts w:ascii="Aptos" w:eastAsia="Aptos" w:hAnsi="Aptos" w:cs="Aptos"/>
                        <w:noProof/>
                        <w:color w:val="FF0000"/>
                        <w:sz w:val="24"/>
                        <w:szCs w:val="24"/>
                      </w:rPr>
                    </w:pPr>
                    <w:r w:rsidRPr="005A61B2">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20A9"/>
    <w:multiLevelType w:val="hybridMultilevel"/>
    <w:tmpl w:val="70BEB48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 w15:restartNumberingAfterBreak="0">
    <w:nsid w:val="07295B26"/>
    <w:multiLevelType w:val="hybridMultilevel"/>
    <w:tmpl w:val="F9B656D4"/>
    <w:lvl w:ilvl="0" w:tplc="7BC00670">
      <w:start w:val="1"/>
      <w:numFmt w:val="bullet"/>
      <w:lvlText w:val=""/>
      <w:lvlJc w:val="left"/>
      <w:pPr>
        <w:ind w:left="720" w:hanging="360"/>
      </w:pPr>
      <w:rPr>
        <w:rFonts w:ascii="Symbol" w:hAnsi="Symbol"/>
      </w:rPr>
    </w:lvl>
    <w:lvl w:ilvl="1" w:tplc="2FBE01AC">
      <w:start w:val="1"/>
      <w:numFmt w:val="bullet"/>
      <w:lvlText w:val=""/>
      <w:lvlJc w:val="left"/>
      <w:pPr>
        <w:ind w:left="720" w:hanging="360"/>
      </w:pPr>
      <w:rPr>
        <w:rFonts w:ascii="Symbol" w:hAnsi="Symbol"/>
      </w:rPr>
    </w:lvl>
    <w:lvl w:ilvl="2" w:tplc="5A2018F6">
      <w:start w:val="1"/>
      <w:numFmt w:val="bullet"/>
      <w:lvlText w:val=""/>
      <w:lvlJc w:val="left"/>
      <w:pPr>
        <w:ind w:left="720" w:hanging="360"/>
      </w:pPr>
      <w:rPr>
        <w:rFonts w:ascii="Symbol" w:hAnsi="Symbol"/>
      </w:rPr>
    </w:lvl>
    <w:lvl w:ilvl="3" w:tplc="0DF83CD4">
      <w:start w:val="1"/>
      <w:numFmt w:val="bullet"/>
      <w:lvlText w:val=""/>
      <w:lvlJc w:val="left"/>
      <w:pPr>
        <w:ind w:left="720" w:hanging="360"/>
      </w:pPr>
      <w:rPr>
        <w:rFonts w:ascii="Symbol" w:hAnsi="Symbol"/>
      </w:rPr>
    </w:lvl>
    <w:lvl w:ilvl="4" w:tplc="0688EAA4">
      <w:start w:val="1"/>
      <w:numFmt w:val="bullet"/>
      <w:lvlText w:val=""/>
      <w:lvlJc w:val="left"/>
      <w:pPr>
        <w:ind w:left="720" w:hanging="360"/>
      </w:pPr>
      <w:rPr>
        <w:rFonts w:ascii="Symbol" w:hAnsi="Symbol"/>
      </w:rPr>
    </w:lvl>
    <w:lvl w:ilvl="5" w:tplc="569C0634">
      <w:start w:val="1"/>
      <w:numFmt w:val="bullet"/>
      <w:lvlText w:val=""/>
      <w:lvlJc w:val="left"/>
      <w:pPr>
        <w:ind w:left="720" w:hanging="360"/>
      </w:pPr>
      <w:rPr>
        <w:rFonts w:ascii="Symbol" w:hAnsi="Symbol"/>
      </w:rPr>
    </w:lvl>
    <w:lvl w:ilvl="6" w:tplc="4DFC1C54">
      <w:start w:val="1"/>
      <w:numFmt w:val="bullet"/>
      <w:lvlText w:val=""/>
      <w:lvlJc w:val="left"/>
      <w:pPr>
        <w:ind w:left="720" w:hanging="360"/>
      </w:pPr>
      <w:rPr>
        <w:rFonts w:ascii="Symbol" w:hAnsi="Symbol"/>
      </w:rPr>
    </w:lvl>
    <w:lvl w:ilvl="7" w:tplc="0DDAD6E6">
      <w:start w:val="1"/>
      <w:numFmt w:val="bullet"/>
      <w:lvlText w:val=""/>
      <w:lvlJc w:val="left"/>
      <w:pPr>
        <w:ind w:left="720" w:hanging="360"/>
      </w:pPr>
      <w:rPr>
        <w:rFonts w:ascii="Symbol" w:hAnsi="Symbol"/>
      </w:rPr>
    </w:lvl>
    <w:lvl w:ilvl="8" w:tplc="B7EEA676">
      <w:start w:val="1"/>
      <w:numFmt w:val="bullet"/>
      <w:lvlText w:val=""/>
      <w:lvlJc w:val="left"/>
      <w:pPr>
        <w:ind w:left="720" w:hanging="360"/>
      </w:pPr>
      <w:rPr>
        <w:rFonts w:ascii="Symbol" w:hAnsi="Symbol"/>
      </w:rPr>
    </w:lvl>
  </w:abstractNum>
  <w:abstractNum w:abstractNumId="2" w15:restartNumberingAfterBreak="0">
    <w:nsid w:val="0FDC140B"/>
    <w:multiLevelType w:val="hybridMultilevel"/>
    <w:tmpl w:val="52969CE0"/>
    <w:lvl w:ilvl="0" w:tplc="E32CC62C">
      <w:start w:val="1"/>
      <w:numFmt w:val="bullet"/>
      <w:lvlText w:val=""/>
      <w:lvlJc w:val="left"/>
      <w:pPr>
        <w:ind w:left="720" w:hanging="360"/>
      </w:pPr>
      <w:rPr>
        <w:rFonts w:ascii="Symbol" w:hAnsi="Symbol"/>
      </w:rPr>
    </w:lvl>
    <w:lvl w:ilvl="1" w:tplc="0B062BEA">
      <w:start w:val="1"/>
      <w:numFmt w:val="bullet"/>
      <w:lvlText w:val=""/>
      <w:lvlJc w:val="left"/>
      <w:pPr>
        <w:ind w:left="720" w:hanging="360"/>
      </w:pPr>
      <w:rPr>
        <w:rFonts w:ascii="Symbol" w:hAnsi="Symbol"/>
      </w:rPr>
    </w:lvl>
    <w:lvl w:ilvl="2" w:tplc="FBBC0CB4">
      <w:start w:val="1"/>
      <w:numFmt w:val="bullet"/>
      <w:lvlText w:val=""/>
      <w:lvlJc w:val="left"/>
      <w:pPr>
        <w:ind w:left="720" w:hanging="360"/>
      </w:pPr>
      <w:rPr>
        <w:rFonts w:ascii="Symbol" w:hAnsi="Symbol"/>
      </w:rPr>
    </w:lvl>
    <w:lvl w:ilvl="3" w:tplc="B47456F0">
      <w:start w:val="1"/>
      <w:numFmt w:val="bullet"/>
      <w:lvlText w:val=""/>
      <w:lvlJc w:val="left"/>
      <w:pPr>
        <w:ind w:left="720" w:hanging="360"/>
      </w:pPr>
      <w:rPr>
        <w:rFonts w:ascii="Symbol" w:hAnsi="Symbol"/>
      </w:rPr>
    </w:lvl>
    <w:lvl w:ilvl="4" w:tplc="C5BE964E">
      <w:start w:val="1"/>
      <w:numFmt w:val="bullet"/>
      <w:lvlText w:val=""/>
      <w:lvlJc w:val="left"/>
      <w:pPr>
        <w:ind w:left="720" w:hanging="360"/>
      </w:pPr>
      <w:rPr>
        <w:rFonts w:ascii="Symbol" w:hAnsi="Symbol"/>
      </w:rPr>
    </w:lvl>
    <w:lvl w:ilvl="5" w:tplc="A5AC3F5C">
      <w:start w:val="1"/>
      <w:numFmt w:val="bullet"/>
      <w:lvlText w:val=""/>
      <w:lvlJc w:val="left"/>
      <w:pPr>
        <w:ind w:left="720" w:hanging="360"/>
      </w:pPr>
      <w:rPr>
        <w:rFonts w:ascii="Symbol" w:hAnsi="Symbol"/>
      </w:rPr>
    </w:lvl>
    <w:lvl w:ilvl="6" w:tplc="3F88AC92">
      <w:start w:val="1"/>
      <w:numFmt w:val="bullet"/>
      <w:lvlText w:val=""/>
      <w:lvlJc w:val="left"/>
      <w:pPr>
        <w:ind w:left="720" w:hanging="360"/>
      </w:pPr>
      <w:rPr>
        <w:rFonts w:ascii="Symbol" w:hAnsi="Symbol"/>
      </w:rPr>
    </w:lvl>
    <w:lvl w:ilvl="7" w:tplc="CDA0F57E">
      <w:start w:val="1"/>
      <w:numFmt w:val="bullet"/>
      <w:lvlText w:val=""/>
      <w:lvlJc w:val="left"/>
      <w:pPr>
        <w:ind w:left="720" w:hanging="360"/>
      </w:pPr>
      <w:rPr>
        <w:rFonts w:ascii="Symbol" w:hAnsi="Symbol"/>
      </w:rPr>
    </w:lvl>
    <w:lvl w:ilvl="8" w:tplc="6CF8F6B2">
      <w:start w:val="1"/>
      <w:numFmt w:val="bullet"/>
      <w:lvlText w:val=""/>
      <w:lvlJc w:val="left"/>
      <w:pPr>
        <w:ind w:left="720" w:hanging="360"/>
      </w:pPr>
      <w:rPr>
        <w:rFonts w:ascii="Symbol" w:hAnsi="Symbol"/>
      </w:rPr>
    </w:lvl>
  </w:abstractNum>
  <w:abstractNum w:abstractNumId="3"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75470"/>
    <w:multiLevelType w:val="hybridMultilevel"/>
    <w:tmpl w:val="1DF8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7C0EE4"/>
    <w:multiLevelType w:val="multilevel"/>
    <w:tmpl w:val="FEE071C8"/>
    <w:styleLink w:val="ESSectionheading-numbered"/>
    <w:lvl w:ilvl="0">
      <w:start w:val="1"/>
      <w:numFmt w:val="none"/>
      <w:lvlText w:val="A.1"/>
      <w:lvlJc w:val="left"/>
      <w:pPr>
        <w:ind w:left="1134" w:hanging="1134"/>
      </w:pPr>
      <w:rPr>
        <w:rFonts w:ascii="Calibri" w:hAnsi="Calibri" w:hint="default"/>
        <w:b/>
        <w:i w:val="0"/>
        <w:color w:val="auto"/>
        <w:sz w:val="24"/>
      </w:rPr>
    </w:lvl>
    <w:lvl w:ilvl="1">
      <w:start w:val="1"/>
      <w:numFmt w:val="decimal"/>
      <w:lvlText w:val="B.%2."/>
      <w:lvlJc w:val="left"/>
      <w:pPr>
        <w:ind w:left="1134" w:hanging="1134"/>
      </w:pPr>
      <w:rPr>
        <w:rFonts w:ascii="Calibri" w:hAnsi="Calibri" w:hint="default"/>
        <w:b/>
        <w:i w:val="0"/>
        <w:sz w:val="24"/>
      </w:rPr>
    </w:lvl>
    <w:lvl w:ilvl="2">
      <w:start w:val="1"/>
      <w:numFmt w:val="decimal"/>
      <w:lvlText w:val="C.%3."/>
      <w:lvlJc w:val="left"/>
      <w:pPr>
        <w:ind w:left="1134" w:hanging="1134"/>
      </w:pPr>
      <w:rPr>
        <w:rFonts w:ascii="Calibri" w:hAnsi="Calibri" w:hint="default"/>
        <w:b/>
        <w:i w:val="0"/>
        <w:sz w:val="24"/>
      </w:rPr>
    </w:lvl>
    <w:lvl w:ilvl="3">
      <w:start w:val="1"/>
      <w:numFmt w:val="decimal"/>
      <w:lvlText w:val="D.%4."/>
      <w:lvlJc w:val="left"/>
      <w:pPr>
        <w:ind w:left="1134" w:hanging="1134"/>
      </w:pPr>
      <w:rPr>
        <w:rFonts w:ascii="Calibri" w:hAnsi="Calibri" w:hint="default"/>
        <w:b/>
        <w:i w:val="0"/>
        <w:sz w:val="24"/>
      </w:rPr>
    </w:lvl>
    <w:lvl w:ilvl="4">
      <w:start w:val="1"/>
      <w:numFmt w:val="decimal"/>
      <w:lvlText w:val="E.%5."/>
      <w:lvlJc w:val="left"/>
      <w:pPr>
        <w:ind w:left="1134" w:hanging="1134"/>
      </w:pPr>
      <w:rPr>
        <w:rFonts w:ascii="Calibri" w:hAnsi="Calibri" w:hint="default"/>
        <w:b/>
        <w:i w:val="0"/>
        <w:sz w:val="24"/>
      </w:rPr>
    </w:lvl>
    <w:lvl w:ilvl="5">
      <w:start w:val="1"/>
      <w:numFmt w:val="decimal"/>
      <w:lvlText w:val="A.%6"/>
      <w:lvlJc w:val="left"/>
      <w:pPr>
        <w:ind w:left="1134" w:hanging="1134"/>
      </w:pPr>
      <w:rPr>
        <w:rFonts w:ascii="Calibri" w:hAnsi="Calibri" w:hint="default"/>
        <w:b/>
        <w:i w:val="0"/>
        <w:color w:val="auto"/>
        <w:sz w:val="24"/>
      </w:rPr>
    </w:lvl>
    <w:lvl w:ilvl="6">
      <w:start w:val="1"/>
      <w:numFmt w:val="none"/>
      <w:lvlText w:val=""/>
      <w:lvlJc w:val="left"/>
      <w:pPr>
        <w:ind w:left="1134" w:hanging="1134"/>
      </w:pPr>
      <w:rPr>
        <w:rFonts w:ascii="Calibri" w:hAnsi="Calibri" w:hint="default"/>
        <w:b/>
        <w:i w:val="0"/>
        <w:sz w:val="24"/>
      </w:rPr>
    </w:lvl>
    <w:lvl w:ilvl="7">
      <w:start w:val="1"/>
      <w:numFmt w:val="none"/>
      <w:lvlText w:val="%8"/>
      <w:lvlJc w:val="left"/>
      <w:pPr>
        <w:ind w:left="1134" w:hanging="1134"/>
      </w:pPr>
      <w:rPr>
        <w:rFonts w:hint="default"/>
      </w:rPr>
    </w:lvl>
    <w:lvl w:ilvl="8">
      <w:start w:val="1"/>
      <w:numFmt w:val="none"/>
      <w:lvlText w:val="%9"/>
      <w:lvlJc w:val="right"/>
      <w:pPr>
        <w:ind w:left="1134" w:hanging="1134"/>
      </w:pPr>
      <w:rPr>
        <w:rFonts w:hint="default"/>
      </w:rPr>
    </w:lvl>
  </w:abstractNum>
  <w:abstractNum w:abstractNumId="7" w15:restartNumberingAfterBreak="0">
    <w:nsid w:val="26012290"/>
    <w:multiLevelType w:val="multilevel"/>
    <w:tmpl w:val="61AEA5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5E246B"/>
    <w:multiLevelType w:val="hybridMultilevel"/>
    <w:tmpl w:val="C4F2253C"/>
    <w:lvl w:ilvl="0" w:tplc="B0E28340">
      <w:start w:val="1"/>
      <w:numFmt w:val="decimal"/>
      <w:pStyle w:val="ESHeading1"/>
      <w:lvlText w:val="%1."/>
      <w:lvlJc w:val="left"/>
      <w:pPr>
        <w:ind w:left="216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F481483"/>
    <w:multiLevelType w:val="hybridMultilevel"/>
    <w:tmpl w:val="0E68F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002A74"/>
    <w:multiLevelType w:val="hybridMultilevel"/>
    <w:tmpl w:val="D0C80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4371DC"/>
    <w:multiLevelType w:val="multilevel"/>
    <w:tmpl w:val="4A02812C"/>
    <w:lvl w:ilvl="0">
      <w:start w:val="1"/>
      <w:numFmt w:val="decimal"/>
      <w:pStyle w:val="Heading1"/>
      <w:lvlText w:val="Section %1"/>
      <w:lvlJc w:val="left"/>
      <w:pPr>
        <w:ind w:left="786" w:hanging="360"/>
      </w:pPr>
      <w:rPr>
        <w:rFonts w:hint="default"/>
      </w:rPr>
    </w:lvl>
    <w:lvl w:ilvl="1">
      <w:start w:val="1"/>
      <w:numFmt w:val="decimal"/>
      <w:pStyle w:val="Heading2"/>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E1661A"/>
    <w:multiLevelType w:val="hybridMultilevel"/>
    <w:tmpl w:val="93D4BDDC"/>
    <w:lvl w:ilvl="0" w:tplc="589028E4">
      <w:start w:val="1"/>
      <w:numFmt w:val="bullet"/>
      <w:lvlText w:val=""/>
      <w:lvlJc w:val="left"/>
      <w:pPr>
        <w:ind w:left="720" w:hanging="360"/>
      </w:pPr>
      <w:rPr>
        <w:rFonts w:ascii="Symbol" w:hAnsi="Symbol" w:hint="default"/>
      </w:rPr>
    </w:lvl>
    <w:lvl w:ilvl="1" w:tplc="F8986BFE">
      <w:start w:val="1"/>
      <w:numFmt w:val="bullet"/>
      <w:lvlText w:val="o"/>
      <w:lvlJc w:val="left"/>
      <w:pPr>
        <w:ind w:left="1440" w:hanging="360"/>
      </w:pPr>
      <w:rPr>
        <w:rFonts w:ascii="Courier New" w:hAnsi="Courier New" w:hint="default"/>
      </w:rPr>
    </w:lvl>
    <w:lvl w:ilvl="2" w:tplc="921CE36C">
      <w:start w:val="1"/>
      <w:numFmt w:val="bullet"/>
      <w:lvlText w:val=""/>
      <w:lvlJc w:val="left"/>
      <w:pPr>
        <w:ind w:left="2160" w:hanging="360"/>
      </w:pPr>
      <w:rPr>
        <w:rFonts w:ascii="Wingdings" w:hAnsi="Wingdings" w:hint="default"/>
      </w:rPr>
    </w:lvl>
    <w:lvl w:ilvl="3" w:tplc="5C0A5D2E">
      <w:start w:val="1"/>
      <w:numFmt w:val="bullet"/>
      <w:lvlText w:val=""/>
      <w:lvlJc w:val="left"/>
      <w:pPr>
        <w:ind w:left="2880" w:hanging="360"/>
      </w:pPr>
      <w:rPr>
        <w:rFonts w:ascii="Symbol" w:hAnsi="Symbol" w:hint="default"/>
      </w:rPr>
    </w:lvl>
    <w:lvl w:ilvl="4" w:tplc="295AA726">
      <w:start w:val="1"/>
      <w:numFmt w:val="bullet"/>
      <w:lvlText w:val="o"/>
      <w:lvlJc w:val="left"/>
      <w:pPr>
        <w:ind w:left="3600" w:hanging="360"/>
      </w:pPr>
      <w:rPr>
        <w:rFonts w:ascii="Courier New" w:hAnsi="Courier New" w:hint="default"/>
      </w:rPr>
    </w:lvl>
    <w:lvl w:ilvl="5" w:tplc="E41465E2">
      <w:start w:val="1"/>
      <w:numFmt w:val="bullet"/>
      <w:lvlText w:val=""/>
      <w:lvlJc w:val="left"/>
      <w:pPr>
        <w:ind w:left="4320" w:hanging="360"/>
      </w:pPr>
      <w:rPr>
        <w:rFonts w:ascii="Wingdings" w:hAnsi="Wingdings" w:hint="default"/>
      </w:rPr>
    </w:lvl>
    <w:lvl w:ilvl="6" w:tplc="16EEF4A8">
      <w:start w:val="1"/>
      <w:numFmt w:val="bullet"/>
      <w:lvlText w:val=""/>
      <w:lvlJc w:val="left"/>
      <w:pPr>
        <w:ind w:left="5040" w:hanging="360"/>
      </w:pPr>
      <w:rPr>
        <w:rFonts w:ascii="Symbol" w:hAnsi="Symbol" w:hint="default"/>
      </w:rPr>
    </w:lvl>
    <w:lvl w:ilvl="7" w:tplc="8BC0E576">
      <w:start w:val="1"/>
      <w:numFmt w:val="bullet"/>
      <w:lvlText w:val="o"/>
      <w:lvlJc w:val="left"/>
      <w:pPr>
        <w:ind w:left="5760" w:hanging="360"/>
      </w:pPr>
      <w:rPr>
        <w:rFonts w:ascii="Courier New" w:hAnsi="Courier New" w:hint="default"/>
      </w:rPr>
    </w:lvl>
    <w:lvl w:ilvl="8" w:tplc="84C60AD2">
      <w:start w:val="1"/>
      <w:numFmt w:val="bullet"/>
      <w:lvlText w:val=""/>
      <w:lvlJc w:val="left"/>
      <w:pPr>
        <w:ind w:left="6480" w:hanging="360"/>
      </w:pPr>
      <w:rPr>
        <w:rFonts w:ascii="Wingdings" w:hAnsi="Wingdings" w:hint="default"/>
      </w:rPr>
    </w:lvl>
  </w:abstractNum>
  <w:abstractNum w:abstractNumId="15" w15:restartNumberingAfterBreak="0">
    <w:nsid w:val="47095746"/>
    <w:multiLevelType w:val="hybridMultilevel"/>
    <w:tmpl w:val="28BC0FCE"/>
    <w:lvl w:ilvl="0" w:tplc="A26EFB64">
      <w:start w:val="1"/>
      <w:numFmt w:val="bullet"/>
      <w:pStyle w:val="Instructionaltext-bullet"/>
      <w:lvlText w:val=""/>
      <w:lvlJc w:val="left"/>
      <w:pPr>
        <w:ind w:left="1797" w:hanging="360"/>
      </w:pPr>
      <w:rPr>
        <w:rFonts w:ascii="Symbol" w:hAnsi="Symbol" w:cs="Symbol" w:hint="default"/>
      </w:rPr>
    </w:lvl>
    <w:lvl w:ilvl="1" w:tplc="0C090003">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cs="Wingdings" w:hint="default"/>
      </w:rPr>
    </w:lvl>
    <w:lvl w:ilvl="3" w:tplc="0C090001" w:tentative="1">
      <w:start w:val="1"/>
      <w:numFmt w:val="bullet"/>
      <w:lvlText w:val=""/>
      <w:lvlJc w:val="left"/>
      <w:pPr>
        <w:ind w:left="3957" w:hanging="360"/>
      </w:pPr>
      <w:rPr>
        <w:rFonts w:ascii="Symbol" w:hAnsi="Symbol" w:cs="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cs="Wingdings" w:hint="default"/>
      </w:rPr>
    </w:lvl>
    <w:lvl w:ilvl="6" w:tplc="0C090001" w:tentative="1">
      <w:start w:val="1"/>
      <w:numFmt w:val="bullet"/>
      <w:lvlText w:val=""/>
      <w:lvlJc w:val="left"/>
      <w:pPr>
        <w:ind w:left="6117" w:hanging="360"/>
      </w:pPr>
      <w:rPr>
        <w:rFonts w:ascii="Symbol" w:hAnsi="Symbol" w:cs="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cs="Wingdings" w:hint="default"/>
      </w:rPr>
    </w:lvl>
  </w:abstractNum>
  <w:abstractNum w:abstractNumId="16" w15:restartNumberingAfterBreak="0">
    <w:nsid w:val="48B218F1"/>
    <w:multiLevelType w:val="hybridMultilevel"/>
    <w:tmpl w:val="A238ACA0"/>
    <w:lvl w:ilvl="0" w:tplc="8B282944">
      <w:start w:val="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7F585D"/>
    <w:multiLevelType w:val="hybridMultilevel"/>
    <w:tmpl w:val="85127FC2"/>
    <w:lvl w:ilvl="0" w:tplc="DD1ABAEE">
      <w:start w:val="1"/>
      <w:numFmt w:val="bullet"/>
      <w:lvlText w:val=""/>
      <w:lvlJc w:val="left"/>
      <w:pPr>
        <w:ind w:left="720" w:hanging="360"/>
      </w:pPr>
      <w:rPr>
        <w:rFonts w:ascii="Symbol" w:hAnsi="Symbol"/>
      </w:rPr>
    </w:lvl>
    <w:lvl w:ilvl="1" w:tplc="D10A2B82">
      <w:start w:val="1"/>
      <w:numFmt w:val="bullet"/>
      <w:lvlText w:val=""/>
      <w:lvlJc w:val="left"/>
      <w:pPr>
        <w:ind w:left="720" w:hanging="360"/>
      </w:pPr>
      <w:rPr>
        <w:rFonts w:ascii="Symbol" w:hAnsi="Symbol"/>
      </w:rPr>
    </w:lvl>
    <w:lvl w:ilvl="2" w:tplc="7C6A5DD8">
      <w:start w:val="1"/>
      <w:numFmt w:val="bullet"/>
      <w:lvlText w:val=""/>
      <w:lvlJc w:val="left"/>
      <w:pPr>
        <w:ind w:left="720" w:hanging="360"/>
      </w:pPr>
      <w:rPr>
        <w:rFonts w:ascii="Symbol" w:hAnsi="Symbol"/>
      </w:rPr>
    </w:lvl>
    <w:lvl w:ilvl="3" w:tplc="99B09DA0">
      <w:start w:val="1"/>
      <w:numFmt w:val="bullet"/>
      <w:lvlText w:val=""/>
      <w:lvlJc w:val="left"/>
      <w:pPr>
        <w:ind w:left="720" w:hanging="360"/>
      </w:pPr>
      <w:rPr>
        <w:rFonts w:ascii="Symbol" w:hAnsi="Symbol"/>
      </w:rPr>
    </w:lvl>
    <w:lvl w:ilvl="4" w:tplc="AC62D2C6">
      <w:start w:val="1"/>
      <w:numFmt w:val="bullet"/>
      <w:lvlText w:val=""/>
      <w:lvlJc w:val="left"/>
      <w:pPr>
        <w:ind w:left="720" w:hanging="360"/>
      </w:pPr>
      <w:rPr>
        <w:rFonts w:ascii="Symbol" w:hAnsi="Symbol"/>
      </w:rPr>
    </w:lvl>
    <w:lvl w:ilvl="5" w:tplc="AA7A7ECC">
      <w:start w:val="1"/>
      <w:numFmt w:val="bullet"/>
      <w:lvlText w:val=""/>
      <w:lvlJc w:val="left"/>
      <w:pPr>
        <w:ind w:left="720" w:hanging="360"/>
      </w:pPr>
      <w:rPr>
        <w:rFonts w:ascii="Symbol" w:hAnsi="Symbol"/>
      </w:rPr>
    </w:lvl>
    <w:lvl w:ilvl="6" w:tplc="FF6462FA">
      <w:start w:val="1"/>
      <w:numFmt w:val="bullet"/>
      <w:lvlText w:val=""/>
      <w:lvlJc w:val="left"/>
      <w:pPr>
        <w:ind w:left="720" w:hanging="360"/>
      </w:pPr>
      <w:rPr>
        <w:rFonts w:ascii="Symbol" w:hAnsi="Symbol"/>
      </w:rPr>
    </w:lvl>
    <w:lvl w:ilvl="7" w:tplc="A1CA3A80">
      <w:start w:val="1"/>
      <w:numFmt w:val="bullet"/>
      <w:lvlText w:val=""/>
      <w:lvlJc w:val="left"/>
      <w:pPr>
        <w:ind w:left="720" w:hanging="360"/>
      </w:pPr>
      <w:rPr>
        <w:rFonts w:ascii="Symbol" w:hAnsi="Symbol"/>
      </w:rPr>
    </w:lvl>
    <w:lvl w:ilvl="8" w:tplc="C928BD9A">
      <w:start w:val="1"/>
      <w:numFmt w:val="bullet"/>
      <w:lvlText w:val=""/>
      <w:lvlJc w:val="left"/>
      <w:pPr>
        <w:ind w:left="720" w:hanging="360"/>
      </w:pPr>
      <w:rPr>
        <w:rFonts w:ascii="Symbol" w:hAnsi="Symbol"/>
      </w:rPr>
    </w:lvl>
  </w:abstractNum>
  <w:abstractNum w:abstractNumId="18" w15:restartNumberingAfterBreak="0">
    <w:nsid w:val="4F4557BA"/>
    <w:multiLevelType w:val="hybridMultilevel"/>
    <w:tmpl w:val="99EA32A2"/>
    <w:lvl w:ilvl="0" w:tplc="E786A9C8">
      <w:start w:val="1"/>
      <w:numFmt w:val="bullet"/>
      <w:lvlText w:val=""/>
      <w:lvlJc w:val="left"/>
      <w:pPr>
        <w:ind w:left="720" w:hanging="360"/>
      </w:pPr>
      <w:rPr>
        <w:rFonts w:ascii="Symbol" w:hAnsi="Symbol"/>
      </w:rPr>
    </w:lvl>
    <w:lvl w:ilvl="1" w:tplc="E28A8570">
      <w:start w:val="1"/>
      <w:numFmt w:val="bullet"/>
      <w:lvlText w:val=""/>
      <w:lvlJc w:val="left"/>
      <w:pPr>
        <w:ind w:left="720" w:hanging="360"/>
      </w:pPr>
      <w:rPr>
        <w:rFonts w:ascii="Symbol" w:hAnsi="Symbol"/>
      </w:rPr>
    </w:lvl>
    <w:lvl w:ilvl="2" w:tplc="807803A8">
      <w:start w:val="1"/>
      <w:numFmt w:val="bullet"/>
      <w:lvlText w:val=""/>
      <w:lvlJc w:val="left"/>
      <w:pPr>
        <w:ind w:left="720" w:hanging="360"/>
      </w:pPr>
      <w:rPr>
        <w:rFonts w:ascii="Symbol" w:hAnsi="Symbol"/>
      </w:rPr>
    </w:lvl>
    <w:lvl w:ilvl="3" w:tplc="A790D910">
      <w:start w:val="1"/>
      <w:numFmt w:val="bullet"/>
      <w:lvlText w:val=""/>
      <w:lvlJc w:val="left"/>
      <w:pPr>
        <w:ind w:left="720" w:hanging="360"/>
      </w:pPr>
      <w:rPr>
        <w:rFonts w:ascii="Symbol" w:hAnsi="Symbol"/>
      </w:rPr>
    </w:lvl>
    <w:lvl w:ilvl="4" w:tplc="BA70D242">
      <w:start w:val="1"/>
      <w:numFmt w:val="bullet"/>
      <w:lvlText w:val=""/>
      <w:lvlJc w:val="left"/>
      <w:pPr>
        <w:ind w:left="720" w:hanging="360"/>
      </w:pPr>
      <w:rPr>
        <w:rFonts w:ascii="Symbol" w:hAnsi="Symbol"/>
      </w:rPr>
    </w:lvl>
    <w:lvl w:ilvl="5" w:tplc="D14AC53E">
      <w:start w:val="1"/>
      <w:numFmt w:val="bullet"/>
      <w:lvlText w:val=""/>
      <w:lvlJc w:val="left"/>
      <w:pPr>
        <w:ind w:left="720" w:hanging="360"/>
      </w:pPr>
      <w:rPr>
        <w:rFonts w:ascii="Symbol" w:hAnsi="Symbol"/>
      </w:rPr>
    </w:lvl>
    <w:lvl w:ilvl="6" w:tplc="57F234CE">
      <w:start w:val="1"/>
      <w:numFmt w:val="bullet"/>
      <w:lvlText w:val=""/>
      <w:lvlJc w:val="left"/>
      <w:pPr>
        <w:ind w:left="720" w:hanging="360"/>
      </w:pPr>
      <w:rPr>
        <w:rFonts w:ascii="Symbol" w:hAnsi="Symbol"/>
      </w:rPr>
    </w:lvl>
    <w:lvl w:ilvl="7" w:tplc="4C78003C">
      <w:start w:val="1"/>
      <w:numFmt w:val="bullet"/>
      <w:lvlText w:val=""/>
      <w:lvlJc w:val="left"/>
      <w:pPr>
        <w:ind w:left="720" w:hanging="360"/>
      </w:pPr>
      <w:rPr>
        <w:rFonts w:ascii="Symbol" w:hAnsi="Symbol"/>
      </w:rPr>
    </w:lvl>
    <w:lvl w:ilvl="8" w:tplc="6E2024EE">
      <w:start w:val="1"/>
      <w:numFmt w:val="bullet"/>
      <w:lvlText w:val=""/>
      <w:lvlJc w:val="left"/>
      <w:pPr>
        <w:ind w:left="720" w:hanging="360"/>
      </w:pPr>
      <w:rPr>
        <w:rFonts w:ascii="Symbol" w:hAnsi="Symbol"/>
      </w:rPr>
    </w:lvl>
  </w:abstractNum>
  <w:abstractNum w:abstractNumId="19" w15:restartNumberingAfterBreak="0">
    <w:nsid w:val="5AF7760E"/>
    <w:multiLevelType w:val="multilevel"/>
    <w:tmpl w:val="86D621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7127C4"/>
    <w:multiLevelType w:val="hybridMultilevel"/>
    <w:tmpl w:val="8AC4E5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1264972"/>
    <w:multiLevelType w:val="hybridMultilevel"/>
    <w:tmpl w:val="AC049BCA"/>
    <w:lvl w:ilvl="0" w:tplc="1A56D5B8">
      <w:start w:val="1"/>
      <w:numFmt w:val="bullet"/>
      <w:lvlText w:val=""/>
      <w:lvlJc w:val="left"/>
      <w:pPr>
        <w:ind w:left="720" w:hanging="360"/>
      </w:pPr>
      <w:rPr>
        <w:rFonts w:ascii="Symbol" w:hAnsi="Symbol"/>
      </w:rPr>
    </w:lvl>
    <w:lvl w:ilvl="1" w:tplc="B3623356">
      <w:start w:val="1"/>
      <w:numFmt w:val="bullet"/>
      <w:lvlText w:val=""/>
      <w:lvlJc w:val="left"/>
      <w:pPr>
        <w:ind w:left="720" w:hanging="360"/>
      </w:pPr>
      <w:rPr>
        <w:rFonts w:ascii="Symbol" w:hAnsi="Symbol"/>
      </w:rPr>
    </w:lvl>
    <w:lvl w:ilvl="2" w:tplc="B87A9758">
      <w:start w:val="1"/>
      <w:numFmt w:val="bullet"/>
      <w:lvlText w:val=""/>
      <w:lvlJc w:val="left"/>
      <w:pPr>
        <w:ind w:left="720" w:hanging="360"/>
      </w:pPr>
      <w:rPr>
        <w:rFonts w:ascii="Symbol" w:hAnsi="Symbol"/>
      </w:rPr>
    </w:lvl>
    <w:lvl w:ilvl="3" w:tplc="75129D30">
      <w:start w:val="1"/>
      <w:numFmt w:val="bullet"/>
      <w:lvlText w:val=""/>
      <w:lvlJc w:val="left"/>
      <w:pPr>
        <w:ind w:left="720" w:hanging="360"/>
      </w:pPr>
      <w:rPr>
        <w:rFonts w:ascii="Symbol" w:hAnsi="Symbol"/>
      </w:rPr>
    </w:lvl>
    <w:lvl w:ilvl="4" w:tplc="C52E25EA">
      <w:start w:val="1"/>
      <w:numFmt w:val="bullet"/>
      <w:lvlText w:val=""/>
      <w:lvlJc w:val="left"/>
      <w:pPr>
        <w:ind w:left="720" w:hanging="360"/>
      </w:pPr>
      <w:rPr>
        <w:rFonts w:ascii="Symbol" w:hAnsi="Symbol"/>
      </w:rPr>
    </w:lvl>
    <w:lvl w:ilvl="5" w:tplc="0942A874">
      <w:start w:val="1"/>
      <w:numFmt w:val="bullet"/>
      <w:lvlText w:val=""/>
      <w:lvlJc w:val="left"/>
      <w:pPr>
        <w:ind w:left="720" w:hanging="360"/>
      </w:pPr>
      <w:rPr>
        <w:rFonts w:ascii="Symbol" w:hAnsi="Symbol"/>
      </w:rPr>
    </w:lvl>
    <w:lvl w:ilvl="6" w:tplc="0D7A3FAC">
      <w:start w:val="1"/>
      <w:numFmt w:val="bullet"/>
      <w:lvlText w:val=""/>
      <w:lvlJc w:val="left"/>
      <w:pPr>
        <w:ind w:left="720" w:hanging="360"/>
      </w:pPr>
      <w:rPr>
        <w:rFonts w:ascii="Symbol" w:hAnsi="Symbol"/>
      </w:rPr>
    </w:lvl>
    <w:lvl w:ilvl="7" w:tplc="1430FA6E">
      <w:start w:val="1"/>
      <w:numFmt w:val="bullet"/>
      <w:lvlText w:val=""/>
      <w:lvlJc w:val="left"/>
      <w:pPr>
        <w:ind w:left="720" w:hanging="360"/>
      </w:pPr>
      <w:rPr>
        <w:rFonts w:ascii="Symbol" w:hAnsi="Symbol"/>
      </w:rPr>
    </w:lvl>
    <w:lvl w:ilvl="8" w:tplc="FDC65322">
      <w:start w:val="1"/>
      <w:numFmt w:val="bullet"/>
      <w:lvlText w:val=""/>
      <w:lvlJc w:val="left"/>
      <w:pPr>
        <w:ind w:left="720" w:hanging="360"/>
      </w:pPr>
      <w:rPr>
        <w:rFonts w:ascii="Symbol" w:hAnsi="Symbol"/>
      </w:rPr>
    </w:lvl>
  </w:abstractNum>
  <w:abstractNum w:abstractNumId="23" w15:restartNumberingAfterBreak="0">
    <w:nsid w:val="635200AC"/>
    <w:multiLevelType w:val="hybridMultilevel"/>
    <w:tmpl w:val="E8221C42"/>
    <w:lvl w:ilvl="0" w:tplc="9156109E">
      <w:start w:val="1"/>
      <w:numFmt w:val="bullet"/>
      <w:lvlText w:val=""/>
      <w:lvlJc w:val="left"/>
      <w:pPr>
        <w:ind w:left="1440" w:hanging="360"/>
      </w:pPr>
      <w:rPr>
        <w:rFonts w:ascii="Symbol" w:hAnsi="Symbol"/>
      </w:rPr>
    </w:lvl>
    <w:lvl w:ilvl="1" w:tplc="D46A8C9A">
      <w:start w:val="1"/>
      <w:numFmt w:val="bullet"/>
      <w:lvlText w:val=""/>
      <w:lvlJc w:val="left"/>
      <w:pPr>
        <w:ind w:left="1440" w:hanging="360"/>
      </w:pPr>
      <w:rPr>
        <w:rFonts w:ascii="Symbol" w:hAnsi="Symbol"/>
      </w:rPr>
    </w:lvl>
    <w:lvl w:ilvl="2" w:tplc="840AE1C6">
      <w:start w:val="1"/>
      <w:numFmt w:val="bullet"/>
      <w:lvlText w:val=""/>
      <w:lvlJc w:val="left"/>
      <w:pPr>
        <w:ind w:left="1440" w:hanging="360"/>
      </w:pPr>
      <w:rPr>
        <w:rFonts w:ascii="Symbol" w:hAnsi="Symbol"/>
      </w:rPr>
    </w:lvl>
    <w:lvl w:ilvl="3" w:tplc="0AA00C00">
      <w:start w:val="1"/>
      <w:numFmt w:val="bullet"/>
      <w:lvlText w:val=""/>
      <w:lvlJc w:val="left"/>
      <w:pPr>
        <w:ind w:left="1440" w:hanging="360"/>
      </w:pPr>
      <w:rPr>
        <w:rFonts w:ascii="Symbol" w:hAnsi="Symbol"/>
      </w:rPr>
    </w:lvl>
    <w:lvl w:ilvl="4" w:tplc="9E106A1E">
      <w:start w:val="1"/>
      <w:numFmt w:val="bullet"/>
      <w:lvlText w:val=""/>
      <w:lvlJc w:val="left"/>
      <w:pPr>
        <w:ind w:left="1440" w:hanging="360"/>
      </w:pPr>
      <w:rPr>
        <w:rFonts w:ascii="Symbol" w:hAnsi="Symbol"/>
      </w:rPr>
    </w:lvl>
    <w:lvl w:ilvl="5" w:tplc="8ED4CF5E">
      <w:start w:val="1"/>
      <w:numFmt w:val="bullet"/>
      <w:lvlText w:val=""/>
      <w:lvlJc w:val="left"/>
      <w:pPr>
        <w:ind w:left="1440" w:hanging="360"/>
      </w:pPr>
      <w:rPr>
        <w:rFonts w:ascii="Symbol" w:hAnsi="Symbol"/>
      </w:rPr>
    </w:lvl>
    <w:lvl w:ilvl="6" w:tplc="0186B73E">
      <w:start w:val="1"/>
      <w:numFmt w:val="bullet"/>
      <w:lvlText w:val=""/>
      <w:lvlJc w:val="left"/>
      <w:pPr>
        <w:ind w:left="1440" w:hanging="360"/>
      </w:pPr>
      <w:rPr>
        <w:rFonts w:ascii="Symbol" w:hAnsi="Symbol"/>
      </w:rPr>
    </w:lvl>
    <w:lvl w:ilvl="7" w:tplc="553C5648">
      <w:start w:val="1"/>
      <w:numFmt w:val="bullet"/>
      <w:lvlText w:val=""/>
      <w:lvlJc w:val="left"/>
      <w:pPr>
        <w:ind w:left="1440" w:hanging="360"/>
      </w:pPr>
      <w:rPr>
        <w:rFonts w:ascii="Symbol" w:hAnsi="Symbol"/>
      </w:rPr>
    </w:lvl>
    <w:lvl w:ilvl="8" w:tplc="6FC69664">
      <w:start w:val="1"/>
      <w:numFmt w:val="bullet"/>
      <w:lvlText w:val=""/>
      <w:lvlJc w:val="left"/>
      <w:pPr>
        <w:ind w:left="1440" w:hanging="360"/>
      </w:pPr>
      <w:rPr>
        <w:rFonts w:ascii="Symbol" w:hAnsi="Symbol"/>
      </w:rPr>
    </w:lvl>
  </w:abstractNum>
  <w:abstractNum w:abstractNumId="24" w15:restartNumberingAfterBreak="0">
    <w:nsid w:val="69C20D4F"/>
    <w:multiLevelType w:val="hybridMultilevel"/>
    <w:tmpl w:val="76CA9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2B4542"/>
    <w:multiLevelType w:val="hybridMultilevel"/>
    <w:tmpl w:val="F3E896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6414B8"/>
    <w:multiLevelType w:val="hybridMultilevel"/>
    <w:tmpl w:val="1F321AD2"/>
    <w:lvl w:ilvl="0" w:tplc="745C7776">
      <w:start w:val="1"/>
      <w:numFmt w:val="bullet"/>
      <w:lvlText w:val=""/>
      <w:lvlJc w:val="left"/>
      <w:pPr>
        <w:ind w:left="720" w:hanging="360"/>
      </w:pPr>
      <w:rPr>
        <w:rFonts w:ascii="Symbol" w:hAnsi="Symbol"/>
      </w:rPr>
    </w:lvl>
    <w:lvl w:ilvl="1" w:tplc="7E18BD3A">
      <w:start w:val="1"/>
      <w:numFmt w:val="bullet"/>
      <w:lvlText w:val=""/>
      <w:lvlJc w:val="left"/>
      <w:pPr>
        <w:ind w:left="720" w:hanging="360"/>
      </w:pPr>
      <w:rPr>
        <w:rFonts w:ascii="Symbol" w:hAnsi="Symbol"/>
      </w:rPr>
    </w:lvl>
    <w:lvl w:ilvl="2" w:tplc="E954EEFE">
      <w:start w:val="1"/>
      <w:numFmt w:val="bullet"/>
      <w:lvlText w:val=""/>
      <w:lvlJc w:val="left"/>
      <w:pPr>
        <w:ind w:left="720" w:hanging="360"/>
      </w:pPr>
      <w:rPr>
        <w:rFonts w:ascii="Symbol" w:hAnsi="Symbol"/>
      </w:rPr>
    </w:lvl>
    <w:lvl w:ilvl="3" w:tplc="4164F3BC">
      <w:start w:val="1"/>
      <w:numFmt w:val="bullet"/>
      <w:lvlText w:val=""/>
      <w:lvlJc w:val="left"/>
      <w:pPr>
        <w:ind w:left="720" w:hanging="360"/>
      </w:pPr>
      <w:rPr>
        <w:rFonts w:ascii="Symbol" w:hAnsi="Symbol"/>
      </w:rPr>
    </w:lvl>
    <w:lvl w:ilvl="4" w:tplc="1C7C0FFA">
      <w:start w:val="1"/>
      <w:numFmt w:val="bullet"/>
      <w:lvlText w:val=""/>
      <w:lvlJc w:val="left"/>
      <w:pPr>
        <w:ind w:left="720" w:hanging="360"/>
      </w:pPr>
      <w:rPr>
        <w:rFonts w:ascii="Symbol" w:hAnsi="Symbol"/>
      </w:rPr>
    </w:lvl>
    <w:lvl w:ilvl="5" w:tplc="6FEC3B3A">
      <w:start w:val="1"/>
      <w:numFmt w:val="bullet"/>
      <w:lvlText w:val=""/>
      <w:lvlJc w:val="left"/>
      <w:pPr>
        <w:ind w:left="720" w:hanging="360"/>
      </w:pPr>
      <w:rPr>
        <w:rFonts w:ascii="Symbol" w:hAnsi="Symbol"/>
      </w:rPr>
    </w:lvl>
    <w:lvl w:ilvl="6" w:tplc="87D67C96">
      <w:start w:val="1"/>
      <w:numFmt w:val="bullet"/>
      <w:lvlText w:val=""/>
      <w:lvlJc w:val="left"/>
      <w:pPr>
        <w:ind w:left="720" w:hanging="360"/>
      </w:pPr>
      <w:rPr>
        <w:rFonts w:ascii="Symbol" w:hAnsi="Symbol"/>
      </w:rPr>
    </w:lvl>
    <w:lvl w:ilvl="7" w:tplc="27BC9D7A">
      <w:start w:val="1"/>
      <w:numFmt w:val="bullet"/>
      <w:lvlText w:val=""/>
      <w:lvlJc w:val="left"/>
      <w:pPr>
        <w:ind w:left="720" w:hanging="360"/>
      </w:pPr>
      <w:rPr>
        <w:rFonts w:ascii="Symbol" w:hAnsi="Symbol"/>
      </w:rPr>
    </w:lvl>
    <w:lvl w:ilvl="8" w:tplc="005ADC88">
      <w:start w:val="1"/>
      <w:numFmt w:val="bullet"/>
      <w:lvlText w:val=""/>
      <w:lvlJc w:val="left"/>
      <w:pPr>
        <w:ind w:left="720" w:hanging="360"/>
      </w:pPr>
      <w:rPr>
        <w:rFonts w:ascii="Symbol" w:hAnsi="Symbol"/>
      </w:rPr>
    </w:lvl>
  </w:abstractNum>
  <w:abstractNum w:abstractNumId="2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num w:numId="1" w16cid:durableId="1957712159">
    <w:abstractNumId w:val="13"/>
  </w:num>
  <w:num w:numId="2" w16cid:durableId="1268543493">
    <w:abstractNumId w:val="28"/>
  </w:num>
  <w:num w:numId="3" w16cid:durableId="1226797458">
    <w:abstractNumId w:val="3"/>
  </w:num>
  <w:num w:numId="4" w16cid:durableId="1100445458">
    <w:abstractNumId w:val="6"/>
  </w:num>
  <w:num w:numId="5" w16cid:durableId="737944733">
    <w:abstractNumId w:val="27"/>
  </w:num>
  <w:num w:numId="6" w16cid:durableId="79451685">
    <w:abstractNumId w:val="8"/>
  </w:num>
  <w:num w:numId="7" w16cid:durableId="191382342">
    <w:abstractNumId w:val="9"/>
  </w:num>
  <w:num w:numId="8" w16cid:durableId="332028485">
    <w:abstractNumId w:val="12"/>
  </w:num>
  <w:num w:numId="9" w16cid:durableId="1714112147">
    <w:abstractNumId w:val="15"/>
  </w:num>
  <w:num w:numId="10" w16cid:durableId="832143310">
    <w:abstractNumId w:val="10"/>
  </w:num>
  <w:num w:numId="11" w16cid:durableId="1371882792">
    <w:abstractNumId w:val="21"/>
  </w:num>
  <w:num w:numId="12" w16cid:durableId="734740510">
    <w:abstractNumId w:val="7"/>
  </w:num>
  <w:num w:numId="13" w16cid:durableId="414321332">
    <w:abstractNumId w:val="24"/>
  </w:num>
  <w:num w:numId="14" w16cid:durableId="1377467622">
    <w:abstractNumId w:val="20"/>
  </w:num>
  <w:num w:numId="15" w16cid:durableId="308445182">
    <w:abstractNumId w:val="4"/>
  </w:num>
  <w:num w:numId="16" w16cid:durableId="1998924401">
    <w:abstractNumId w:val="25"/>
  </w:num>
  <w:num w:numId="17" w16cid:durableId="2050956631">
    <w:abstractNumId w:val="14"/>
  </w:num>
  <w:num w:numId="18" w16cid:durableId="908927443">
    <w:abstractNumId w:val="16"/>
  </w:num>
  <w:num w:numId="19" w16cid:durableId="964460459">
    <w:abstractNumId w:val="5"/>
  </w:num>
  <w:num w:numId="20" w16cid:durableId="776947884">
    <w:abstractNumId w:val="11"/>
  </w:num>
  <w:num w:numId="21" w16cid:durableId="1410422089">
    <w:abstractNumId w:val="0"/>
  </w:num>
  <w:num w:numId="22" w16cid:durableId="2004041975">
    <w:abstractNumId w:val="23"/>
  </w:num>
  <w:num w:numId="23" w16cid:durableId="1561669671">
    <w:abstractNumId w:val="22"/>
  </w:num>
  <w:num w:numId="24" w16cid:durableId="10641389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3325781">
    <w:abstractNumId w:val="1"/>
  </w:num>
  <w:num w:numId="26" w16cid:durableId="407196669">
    <w:abstractNumId w:val="17"/>
  </w:num>
  <w:num w:numId="27" w16cid:durableId="1646080772">
    <w:abstractNumId w:val="2"/>
  </w:num>
  <w:num w:numId="28" w16cid:durableId="1983151345">
    <w:abstractNumId w:val="26"/>
  </w:num>
  <w:num w:numId="29" w16cid:durableId="62989723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F1"/>
    <w:rsid w:val="0000024E"/>
    <w:rsid w:val="00000D6A"/>
    <w:rsid w:val="00000E72"/>
    <w:rsid w:val="00000ECF"/>
    <w:rsid w:val="0000109A"/>
    <w:rsid w:val="00001140"/>
    <w:rsid w:val="0000168C"/>
    <w:rsid w:val="00001765"/>
    <w:rsid w:val="00001AE6"/>
    <w:rsid w:val="00001D55"/>
    <w:rsid w:val="00001EF0"/>
    <w:rsid w:val="000024FE"/>
    <w:rsid w:val="0000253E"/>
    <w:rsid w:val="00002AD6"/>
    <w:rsid w:val="00002DE3"/>
    <w:rsid w:val="00003043"/>
    <w:rsid w:val="00004966"/>
    <w:rsid w:val="00004D69"/>
    <w:rsid w:val="00004F7F"/>
    <w:rsid w:val="00005226"/>
    <w:rsid w:val="000052AA"/>
    <w:rsid w:val="000054C9"/>
    <w:rsid w:val="0000666A"/>
    <w:rsid w:val="00006B67"/>
    <w:rsid w:val="00006EF0"/>
    <w:rsid w:val="000070C7"/>
    <w:rsid w:val="000070DB"/>
    <w:rsid w:val="00007E99"/>
    <w:rsid w:val="00010077"/>
    <w:rsid w:val="000100FE"/>
    <w:rsid w:val="0001061A"/>
    <w:rsid w:val="00011568"/>
    <w:rsid w:val="0001168A"/>
    <w:rsid w:val="00011D60"/>
    <w:rsid w:val="00012061"/>
    <w:rsid w:val="0001218A"/>
    <w:rsid w:val="000123C9"/>
    <w:rsid w:val="00012DED"/>
    <w:rsid w:val="00012F78"/>
    <w:rsid w:val="000143E6"/>
    <w:rsid w:val="000146D0"/>
    <w:rsid w:val="00014974"/>
    <w:rsid w:val="00014DD4"/>
    <w:rsid w:val="00014FF9"/>
    <w:rsid w:val="00015B74"/>
    <w:rsid w:val="00015E19"/>
    <w:rsid w:val="000161CF"/>
    <w:rsid w:val="00016251"/>
    <w:rsid w:val="0001632A"/>
    <w:rsid w:val="000167B1"/>
    <w:rsid w:val="00016C42"/>
    <w:rsid w:val="00016EB0"/>
    <w:rsid w:val="00016EED"/>
    <w:rsid w:val="000174AB"/>
    <w:rsid w:val="00017719"/>
    <w:rsid w:val="000178B6"/>
    <w:rsid w:val="00020082"/>
    <w:rsid w:val="00020513"/>
    <w:rsid w:val="00020C60"/>
    <w:rsid w:val="000216F6"/>
    <w:rsid w:val="00021959"/>
    <w:rsid w:val="00021F5D"/>
    <w:rsid w:val="00022056"/>
    <w:rsid w:val="000228B8"/>
    <w:rsid w:val="00022AA4"/>
    <w:rsid w:val="00022BDE"/>
    <w:rsid w:val="000236CF"/>
    <w:rsid w:val="0002381B"/>
    <w:rsid w:val="000238A8"/>
    <w:rsid w:val="00023A8B"/>
    <w:rsid w:val="00024025"/>
    <w:rsid w:val="000242EE"/>
    <w:rsid w:val="00024717"/>
    <w:rsid w:val="000247DE"/>
    <w:rsid w:val="00024983"/>
    <w:rsid w:val="000249A0"/>
    <w:rsid w:val="00024EA5"/>
    <w:rsid w:val="000251D4"/>
    <w:rsid w:val="000253A1"/>
    <w:rsid w:val="000253FD"/>
    <w:rsid w:val="00025549"/>
    <w:rsid w:val="00025A90"/>
    <w:rsid w:val="00025AB4"/>
    <w:rsid w:val="00025D2D"/>
    <w:rsid w:val="000263C4"/>
    <w:rsid w:val="000274D7"/>
    <w:rsid w:val="0002755F"/>
    <w:rsid w:val="000276DC"/>
    <w:rsid w:val="0002795D"/>
    <w:rsid w:val="00027C12"/>
    <w:rsid w:val="00027C71"/>
    <w:rsid w:val="00027E53"/>
    <w:rsid w:val="0003021D"/>
    <w:rsid w:val="0003028E"/>
    <w:rsid w:val="000302F9"/>
    <w:rsid w:val="000305CE"/>
    <w:rsid w:val="000308B6"/>
    <w:rsid w:val="00030A9C"/>
    <w:rsid w:val="00031003"/>
    <w:rsid w:val="000316B9"/>
    <w:rsid w:val="00031708"/>
    <w:rsid w:val="00031B41"/>
    <w:rsid w:val="00032154"/>
    <w:rsid w:val="00032304"/>
    <w:rsid w:val="0003253A"/>
    <w:rsid w:val="0003265F"/>
    <w:rsid w:val="000328C6"/>
    <w:rsid w:val="000329CF"/>
    <w:rsid w:val="00032AD3"/>
    <w:rsid w:val="00033052"/>
    <w:rsid w:val="00033472"/>
    <w:rsid w:val="0003390F"/>
    <w:rsid w:val="00033C6A"/>
    <w:rsid w:val="00033DBE"/>
    <w:rsid w:val="00034163"/>
    <w:rsid w:val="00034198"/>
    <w:rsid w:val="0003423A"/>
    <w:rsid w:val="0003477F"/>
    <w:rsid w:val="00034CE0"/>
    <w:rsid w:val="00034D26"/>
    <w:rsid w:val="000352D6"/>
    <w:rsid w:val="0003566E"/>
    <w:rsid w:val="00035AFE"/>
    <w:rsid w:val="00035D5B"/>
    <w:rsid w:val="00035F8C"/>
    <w:rsid w:val="000360D1"/>
    <w:rsid w:val="00036AD8"/>
    <w:rsid w:val="00037037"/>
    <w:rsid w:val="00037302"/>
    <w:rsid w:val="00037313"/>
    <w:rsid w:val="00037935"/>
    <w:rsid w:val="00037A9B"/>
    <w:rsid w:val="00037B17"/>
    <w:rsid w:val="0004005D"/>
    <w:rsid w:val="00040181"/>
    <w:rsid w:val="00040ADF"/>
    <w:rsid w:val="00040E5D"/>
    <w:rsid w:val="00040FB4"/>
    <w:rsid w:val="00041254"/>
    <w:rsid w:val="000413A8"/>
    <w:rsid w:val="0004178C"/>
    <w:rsid w:val="00041F5D"/>
    <w:rsid w:val="000428E0"/>
    <w:rsid w:val="00042A73"/>
    <w:rsid w:val="00042D59"/>
    <w:rsid w:val="000435F9"/>
    <w:rsid w:val="00043856"/>
    <w:rsid w:val="00043888"/>
    <w:rsid w:val="00044151"/>
    <w:rsid w:val="00044159"/>
    <w:rsid w:val="0004430A"/>
    <w:rsid w:val="000443A6"/>
    <w:rsid w:val="000445EB"/>
    <w:rsid w:val="0004467B"/>
    <w:rsid w:val="00044764"/>
    <w:rsid w:val="000447E6"/>
    <w:rsid w:val="000449D1"/>
    <w:rsid w:val="00044AD9"/>
    <w:rsid w:val="00044E2C"/>
    <w:rsid w:val="0004503C"/>
    <w:rsid w:val="0004533E"/>
    <w:rsid w:val="00045397"/>
    <w:rsid w:val="0004595A"/>
    <w:rsid w:val="00045B8D"/>
    <w:rsid w:val="00045CC5"/>
    <w:rsid w:val="00045D9A"/>
    <w:rsid w:val="00046641"/>
    <w:rsid w:val="000466FB"/>
    <w:rsid w:val="00046B6A"/>
    <w:rsid w:val="00046D20"/>
    <w:rsid w:val="00046DD0"/>
    <w:rsid w:val="00046ED4"/>
    <w:rsid w:val="00047074"/>
    <w:rsid w:val="000472D4"/>
    <w:rsid w:val="000474C5"/>
    <w:rsid w:val="00047860"/>
    <w:rsid w:val="0004786D"/>
    <w:rsid w:val="00050234"/>
    <w:rsid w:val="00050990"/>
    <w:rsid w:val="000509F2"/>
    <w:rsid w:val="00050FDB"/>
    <w:rsid w:val="0005135B"/>
    <w:rsid w:val="000514CE"/>
    <w:rsid w:val="0005150D"/>
    <w:rsid w:val="00051665"/>
    <w:rsid w:val="000517BE"/>
    <w:rsid w:val="00052249"/>
    <w:rsid w:val="0005240E"/>
    <w:rsid w:val="00052597"/>
    <w:rsid w:val="000526AB"/>
    <w:rsid w:val="00052A14"/>
    <w:rsid w:val="00052DB7"/>
    <w:rsid w:val="00052DD3"/>
    <w:rsid w:val="00052E49"/>
    <w:rsid w:val="0005326D"/>
    <w:rsid w:val="00053377"/>
    <w:rsid w:val="000533EC"/>
    <w:rsid w:val="0005361B"/>
    <w:rsid w:val="00053F6C"/>
    <w:rsid w:val="00054417"/>
    <w:rsid w:val="00054698"/>
    <w:rsid w:val="000550E5"/>
    <w:rsid w:val="0005528E"/>
    <w:rsid w:val="000552A4"/>
    <w:rsid w:val="00055B8C"/>
    <w:rsid w:val="00055C9E"/>
    <w:rsid w:val="00056009"/>
    <w:rsid w:val="00056369"/>
    <w:rsid w:val="000564A2"/>
    <w:rsid w:val="000564E4"/>
    <w:rsid w:val="00056E00"/>
    <w:rsid w:val="00056EAA"/>
    <w:rsid w:val="00056F32"/>
    <w:rsid w:val="00056FD9"/>
    <w:rsid w:val="000572DA"/>
    <w:rsid w:val="00057326"/>
    <w:rsid w:val="000577AD"/>
    <w:rsid w:val="000578C5"/>
    <w:rsid w:val="00060ECA"/>
    <w:rsid w:val="00060F09"/>
    <w:rsid w:val="00061A20"/>
    <w:rsid w:val="000622E2"/>
    <w:rsid w:val="000632D3"/>
    <w:rsid w:val="0006330C"/>
    <w:rsid w:val="0006339C"/>
    <w:rsid w:val="00063680"/>
    <w:rsid w:val="00063DDB"/>
    <w:rsid w:val="0006409A"/>
    <w:rsid w:val="00064783"/>
    <w:rsid w:val="000647C2"/>
    <w:rsid w:val="00064B4C"/>
    <w:rsid w:val="00064CB0"/>
    <w:rsid w:val="00064DA8"/>
    <w:rsid w:val="00065128"/>
    <w:rsid w:val="00065619"/>
    <w:rsid w:val="00065771"/>
    <w:rsid w:val="00065918"/>
    <w:rsid w:val="00065CF8"/>
    <w:rsid w:val="00065D56"/>
    <w:rsid w:val="00065D95"/>
    <w:rsid w:val="00065F28"/>
    <w:rsid w:val="0006684D"/>
    <w:rsid w:val="0006695B"/>
    <w:rsid w:val="00066ADE"/>
    <w:rsid w:val="00066BAA"/>
    <w:rsid w:val="00066FFF"/>
    <w:rsid w:val="000674DC"/>
    <w:rsid w:val="0006770C"/>
    <w:rsid w:val="00067FE4"/>
    <w:rsid w:val="0007021F"/>
    <w:rsid w:val="000706DA"/>
    <w:rsid w:val="000709A0"/>
    <w:rsid w:val="00070A5A"/>
    <w:rsid w:val="00070D0B"/>
    <w:rsid w:val="00071051"/>
    <w:rsid w:val="000714C7"/>
    <w:rsid w:val="000716CB"/>
    <w:rsid w:val="000718B3"/>
    <w:rsid w:val="0007248A"/>
    <w:rsid w:val="0007296F"/>
    <w:rsid w:val="00072D9B"/>
    <w:rsid w:val="00072E76"/>
    <w:rsid w:val="0007304B"/>
    <w:rsid w:val="000733BB"/>
    <w:rsid w:val="00073741"/>
    <w:rsid w:val="00073A51"/>
    <w:rsid w:val="00073C2D"/>
    <w:rsid w:val="00073D93"/>
    <w:rsid w:val="00074024"/>
    <w:rsid w:val="00074199"/>
    <w:rsid w:val="00074B60"/>
    <w:rsid w:val="00074CCB"/>
    <w:rsid w:val="00075065"/>
    <w:rsid w:val="0007540F"/>
    <w:rsid w:val="000757C4"/>
    <w:rsid w:val="00075D92"/>
    <w:rsid w:val="0007621D"/>
    <w:rsid w:val="0007625A"/>
    <w:rsid w:val="00076631"/>
    <w:rsid w:val="0007680B"/>
    <w:rsid w:val="00076BB3"/>
    <w:rsid w:val="00076CE0"/>
    <w:rsid w:val="000771C6"/>
    <w:rsid w:val="00077365"/>
    <w:rsid w:val="00077CF9"/>
    <w:rsid w:val="00080241"/>
    <w:rsid w:val="000804ED"/>
    <w:rsid w:val="000806E1"/>
    <w:rsid w:val="00080802"/>
    <w:rsid w:val="00081778"/>
    <w:rsid w:val="0008208D"/>
    <w:rsid w:val="000824F2"/>
    <w:rsid w:val="0008256C"/>
    <w:rsid w:val="00082781"/>
    <w:rsid w:val="0008284B"/>
    <w:rsid w:val="00082BE1"/>
    <w:rsid w:val="000833EA"/>
    <w:rsid w:val="00083694"/>
    <w:rsid w:val="0008396A"/>
    <w:rsid w:val="00083EEA"/>
    <w:rsid w:val="00083FFB"/>
    <w:rsid w:val="000841B6"/>
    <w:rsid w:val="00084973"/>
    <w:rsid w:val="0008529C"/>
    <w:rsid w:val="000857FF"/>
    <w:rsid w:val="00085D4C"/>
    <w:rsid w:val="00086450"/>
    <w:rsid w:val="00086533"/>
    <w:rsid w:val="0008665B"/>
    <w:rsid w:val="00086792"/>
    <w:rsid w:val="000870B6"/>
    <w:rsid w:val="0008735E"/>
    <w:rsid w:val="000873E1"/>
    <w:rsid w:val="0008758B"/>
    <w:rsid w:val="00087EB7"/>
    <w:rsid w:val="00090613"/>
    <w:rsid w:val="0009069B"/>
    <w:rsid w:val="0009094F"/>
    <w:rsid w:val="00090A32"/>
    <w:rsid w:val="00090A88"/>
    <w:rsid w:val="00090BB8"/>
    <w:rsid w:val="00090BD1"/>
    <w:rsid w:val="000911E8"/>
    <w:rsid w:val="000912EE"/>
    <w:rsid w:val="000914BC"/>
    <w:rsid w:val="00091857"/>
    <w:rsid w:val="00091C59"/>
    <w:rsid w:val="00091CE6"/>
    <w:rsid w:val="0009241F"/>
    <w:rsid w:val="0009286E"/>
    <w:rsid w:val="0009295C"/>
    <w:rsid w:val="00092A21"/>
    <w:rsid w:val="00092CE9"/>
    <w:rsid w:val="000934D1"/>
    <w:rsid w:val="000937DB"/>
    <w:rsid w:val="00093A51"/>
    <w:rsid w:val="00093D9A"/>
    <w:rsid w:val="00093E69"/>
    <w:rsid w:val="000943AD"/>
    <w:rsid w:val="00094656"/>
    <w:rsid w:val="00094AB0"/>
    <w:rsid w:val="00094E49"/>
    <w:rsid w:val="0009500B"/>
    <w:rsid w:val="0009521F"/>
    <w:rsid w:val="00095231"/>
    <w:rsid w:val="000955C8"/>
    <w:rsid w:val="000955D8"/>
    <w:rsid w:val="00095B5D"/>
    <w:rsid w:val="0009647C"/>
    <w:rsid w:val="00096750"/>
    <w:rsid w:val="000969CC"/>
    <w:rsid w:val="00096B52"/>
    <w:rsid w:val="00096DE4"/>
    <w:rsid w:val="00097036"/>
    <w:rsid w:val="00097227"/>
    <w:rsid w:val="0009763F"/>
    <w:rsid w:val="00097C54"/>
    <w:rsid w:val="000A07F4"/>
    <w:rsid w:val="000A0D5A"/>
    <w:rsid w:val="000A10BF"/>
    <w:rsid w:val="000A14CE"/>
    <w:rsid w:val="000A157D"/>
    <w:rsid w:val="000A1FC5"/>
    <w:rsid w:val="000A2901"/>
    <w:rsid w:val="000A2ACD"/>
    <w:rsid w:val="000A2B65"/>
    <w:rsid w:val="000A2DA8"/>
    <w:rsid w:val="000A2E75"/>
    <w:rsid w:val="000A346F"/>
    <w:rsid w:val="000A3A94"/>
    <w:rsid w:val="000A3BA4"/>
    <w:rsid w:val="000A3D93"/>
    <w:rsid w:val="000A43DB"/>
    <w:rsid w:val="000A43E8"/>
    <w:rsid w:val="000A4703"/>
    <w:rsid w:val="000A4735"/>
    <w:rsid w:val="000A47DA"/>
    <w:rsid w:val="000A4CAF"/>
    <w:rsid w:val="000A57FE"/>
    <w:rsid w:val="000A58D1"/>
    <w:rsid w:val="000A5937"/>
    <w:rsid w:val="000A59A7"/>
    <w:rsid w:val="000A5A05"/>
    <w:rsid w:val="000A5AAD"/>
    <w:rsid w:val="000A5C47"/>
    <w:rsid w:val="000A629E"/>
    <w:rsid w:val="000A6437"/>
    <w:rsid w:val="000A6698"/>
    <w:rsid w:val="000A6B30"/>
    <w:rsid w:val="000A6CD1"/>
    <w:rsid w:val="000A6EDD"/>
    <w:rsid w:val="000A72E9"/>
    <w:rsid w:val="000A748A"/>
    <w:rsid w:val="000A7A32"/>
    <w:rsid w:val="000A7A68"/>
    <w:rsid w:val="000A7BDC"/>
    <w:rsid w:val="000A7F98"/>
    <w:rsid w:val="000B02E2"/>
    <w:rsid w:val="000B03D1"/>
    <w:rsid w:val="000B06F3"/>
    <w:rsid w:val="000B0883"/>
    <w:rsid w:val="000B0B7D"/>
    <w:rsid w:val="000B0CDF"/>
    <w:rsid w:val="000B1354"/>
    <w:rsid w:val="000B14D1"/>
    <w:rsid w:val="000B1E8F"/>
    <w:rsid w:val="000B1EB0"/>
    <w:rsid w:val="000B2337"/>
    <w:rsid w:val="000B2617"/>
    <w:rsid w:val="000B2CBC"/>
    <w:rsid w:val="000B2CDE"/>
    <w:rsid w:val="000B304E"/>
    <w:rsid w:val="000B3330"/>
    <w:rsid w:val="000B35FF"/>
    <w:rsid w:val="000B3A9F"/>
    <w:rsid w:val="000B40FB"/>
    <w:rsid w:val="000B4574"/>
    <w:rsid w:val="000B4603"/>
    <w:rsid w:val="000B487E"/>
    <w:rsid w:val="000B4C23"/>
    <w:rsid w:val="000B4E31"/>
    <w:rsid w:val="000B4F08"/>
    <w:rsid w:val="000B55A3"/>
    <w:rsid w:val="000B5AD8"/>
    <w:rsid w:val="000B5BA1"/>
    <w:rsid w:val="000B5D53"/>
    <w:rsid w:val="000B6222"/>
    <w:rsid w:val="000B694C"/>
    <w:rsid w:val="000B6CF0"/>
    <w:rsid w:val="000B720C"/>
    <w:rsid w:val="000B7556"/>
    <w:rsid w:val="000B7665"/>
    <w:rsid w:val="000B7A80"/>
    <w:rsid w:val="000C06F1"/>
    <w:rsid w:val="000C0F59"/>
    <w:rsid w:val="000C127D"/>
    <w:rsid w:val="000C15B7"/>
    <w:rsid w:val="000C1AA9"/>
    <w:rsid w:val="000C1DDD"/>
    <w:rsid w:val="000C24B5"/>
    <w:rsid w:val="000C2855"/>
    <w:rsid w:val="000C2B3F"/>
    <w:rsid w:val="000C3189"/>
    <w:rsid w:val="000C32D5"/>
    <w:rsid w:val="000C33BC"/>
    <w:rsid w:val="000C3482"/>
    <w:rsid w:val="000C366F"/>
    <w:rsid w:val="000C3806"/>
    <w:rsid w:val="000C3970"/>
    <w:rsid w:val="000C3994"/>
    <w:rsid w:val="000C3A1C"/>
    <w:rsid w:val="000C3D59"/>
    <w:rsid w:val="000C4A87"/>
    <w:rsid w:val="000C4E33"/>
    <w:rsid w:val="000C4FD3"/>
    <w:rsid w:val="000C5124"/>
    <w:rsid w:val="000C541B"/>
    <w:rsid w:val="000C5A53"/>
    <w:rsid w:val="000C5A77"/>
    <w:rsid w:val="000C5B28"/>
    <w:rsid w:val="000C5F11"/>
    <w:rsid w:val="000C61B0"/>
    <w:rsid w:val="000C6386"/>
    <w:rsid w:val="000C655D"/>
    <w:rsid w:val="000C6CC2"/>
    <w:rsid w:val="000C75BF"/>
    <w:rsid w:val="000C766C"/>
    <w:rsid w:val="000C7AE1"/>
    <w:rsid w:val="000C7C46"/>
    <w:rsid w:val="000D0577"/>
    <w:rsid w:val="000D0AAE"/>
    <w:rsid w:val="000D0BDE"/>
    <w:rsid w:val="000D0C25"/>
    <w:rsid w:val="000D0C80"/>
    <w:rsid w:val="000D1383"/>
    <w:rsid w:val="000D1B52"/>
    <w:rsid w:val="000D2298"/>
    <w:rsid w:val="000D22A9"/>
    <w:rsid w:val="000D2900"/>
    <w:rsid w:val="000D3172"/>
    <w:rsid w:val="000D32AB"/>
    <w:rsid w:val="000D350D"/>
    <w:rsid w:val="000D3791"/>
    <w:rsid w:val="000D3A46"/>
    <w:rsid w:val="000D3FC1"/>
    <w:rsid w:val="000D4C1B"/>
    <w:rsid w:val="000D53FC"/>
    <w:rsid w:val="000D5523"/>
    <w:rsid w:val="000D5640"/>
    <w:rsid w:val="000D57CA"/>
    <w:rsid w:val="000D5B88"/>
    <w:rsid w:val="000D62D6"/>
    <w:rsid w:val="000D6588"/>
    <w:rsid w:val="000D65EA"/>
    <w:rsid w:val="000D6A1A"/>
    <w:rsid w:val="000D6D1B"/>
    <w:rsid w:val="000D741F"/>
    <w:rsid w:val="000D7D7D"/>
    <w:rsid w:val="000E03DC"/>
    <w:rsid w:val="000E056E"/>
    <w:rsid w:val="000E08E2"/>
    <w:rsid w:val="000E0FD6"/>
    <w:rsid w:val="000E1124"/>
    <w:rsid w:val="000E1430"/>
    <w:rsid w:val="000E18A1"/>
    <w:rsid w:val="000E18EC"/>
    <w:rsid w:val="000E19AA"/>
    <w:rsid w:val="000E1F64"/>
    <w:rsid w:val="000E22FB"/>
    <w:rsid w:val="000E24BC"/>
    <w:rsid w:val="000E28A3"/>
    <w:rsid w:val="000E3E2E"/>
    <w:rsid w:val="000E3F8D"/>
    <w:rsid w:val="000E4636"/>
    <w:rsid w:val="000E4E19"/>
    <w:rsid w:val="000E4ED7"/>
    <w:rsid w:val="000E50EC"/>
    <w:rsid w:val="000E527F"/>
    <w:rsid w:val="000E5474"/>
    <w:rsid w:val="000E5531"/>
    <w:rsid w:val="000E5D3C"/>
    <w:rsid w:val="000E5E31"/>
    <w:rsid w:val="000E5F05"/>
    <w:rsid w:val="000E6141"/>
    <w:rsid w:val="000E6410"/>
    <w:rsid w:val="000E678B"/>
    <w:rsid w:val="000E6A9A"/>
    <w:rsid w:val="000E7045"/>
    <w:rsid w:val="000E74D3"/>
    <w:rsid w:val="000E7FEA"/>
    <w:rsid w:val="000F0377"/>
    <w:rsid w:val="000F0A3C"/>
    <w:rsid w:val="000F0F15"/>
    <w:rsid w:val="000F1459"/>
    <w:rsid w:val="000F17B3"/>
    <w:rsid w:val="000F1A14"/>
    <w:rsid w:val="000F25D0"/>
    <w:rsid w:val="000F29EE"/>
    <w:rsid w:val="000F2C7A"/>
    <w:rsid w:val="000F2C8F"/>
    <w:rsid w:val="000F2E01"/>
    <w:rsid w:val="000F303A"/>
    <w:rsid w:val="000F40B3"/>
    <w:rsid w:val="000F42E1"/>
    <w:rsid w:val="000F460C"/>
    <w:rsid w:val="000F4B4A"/>
    <w:rsid w:val="000F543B"/>
    <w:rsid w:val="000F5A54"/>
    <w:rsid w:val="000F5CC0"/>
    <w:rsid w:val="000F5FC8"/>
    <w:rsid w:val="000F633D"/>
    <w:rsid w:val="000F6B4B"/>
    <w:rsid w:val="000F72BC"/>
    <w:rsid w:val="000F7300"/>
    <w:rsid w:val="000F77D8"/>
    <w:rsid w:val="000F7987"/>
    <w:rsid w:val="0010051C"/>
    <w:rsid w:val="00101F98"/>
    <w:rsid w:val="00102045"/>
    <w:rsid w:val="00102242"/>
    <w:rsid w:val="0010235C"/>
    <w:rsid w:val="001023B9"/>
    <w:rsid w:val="001023D2"/>
    <w:rsid w:val="00102922"/>
    <w:rsid w:val="00103604"/>
    <w:rsid w:val="0010368D"/>
    <w:rsid w:val="00103C53"/>
    <w:rsid w:val="00103F39"/>
    <w:rsid w:val="0010448B"/>
    <w:rsid w:val="001045B6"/>
    <w:rsid w:val="0010521F"/>
    <w:rsid w:val="00105266"/>
    <w:rsid w:val="00105B1A"/>
    <w:rsid w:val="0010625A"/>
    <w:rsid w:val="0010645F"/>
    <w:rsid w:val="0010673C"/>
    <w:rsid w:val="00106B86"/>
    <w:rsid w:val="00107524"/>
    <w:rsid w:val="00107601"/>
    <w:rsid w:val="00107A73"/>
    <w:rsid w:val="00107DCD"/>
    <w:rsid w:val="00107EF0"/>
    <w:rsid w:val="001105D5"/>
    <w:rsid w:val="00110C4B"/>
    <w:rsid w:val="001112E6"/>
    <w:rsid w:val="00111417"/>
    <w:rsid w:val="00111932"/>
    <w:rsid w:val="00111CAA"/>
    <w:rsid w:val="0011262A"/>
    <w:rsid w:val="00112839"/>
    <w:rsid w:val="00112C02"/>
    <w:rsid w:val="00113C60"/>
    <w:rsid w:val="00113FFD"/>
    <w:rsid w:val="001144A1"/>
    <w:rsid w:val="00114A19"/>
    <w:rsid w:val="00114C3B"/>
    <w:rsid w:val="00115432"/>
    <w:rsid w:val="00115507"/>
    <w:rsid w:val="00115691"/>
    <w:rsid w:val="00115C0B"/>
    <w:rsid w:val="00115DAE"/>
    <w:rsid w:val="00115FA6"/>
    <w:rsid w:val="00116327"/>
    <w:rsid w:val="0011676E"/>
    <w:rsid w:val="00117039"/>
    <w:rsid w:val="00117AA7"/>
    <w:rsid w:val="00117B8F"/>
    <w:rsid w:val="00117F04"/>
    <w:rsid w:val="00120BD3"/>
    <w:rsid w:val="00120E84"/>
    <w:rsid w:val="0012123E"/>
    <w:rsid w:val="00121496"/>
    <w:rsid w:val="00121546"/>
    <w:rsid w:val="00121786"/>
    <w:rsid w:val="0012193F"/>
    <w:rsid w:val="00121BA7"/>
    <w:rsid w:val="001222F0"/>
    <w:rsid w:val="001227A9"/>
    <w:rsid w:val="00122AE3"/>
    <w:rsid w:val="00122EE1"/>
    <w:rsid w:val="0012329E"/>
    <w:rsid w:val="00123658"/>
    <w:rsid w:val="001236F4"/>
    <w:rsid w:val="001237AF"/>
    <w:rsid w:val="001238F4"/>
    <w:rsid w:val="0012406A"/>
    <w:rsid w:val="0012409B"/>
    <w:rsid w:val="001247EB"/>
    <w:rsid w:val="001248A8"/>
    <w:rsid w:val="00124950"/>
    <w:rsid w:val="00124F3C"/>
    <w:rsid w:val="00125060"/>
    <w:rsid w:val="00125B61"/>
    <w:rsid w:val="00125FE9"/>
    <w:rsid w:val="00126122"/>
    <w:rsid w:val="00126803"/>
    <w:rsid w:val="00126867"/>
    <w:rsid w:val="00126AC7"/>
    <w:rsid w:val="0012756B"/>
    <w:rsid w:val="001278C2"/>
    <w:rsid w:val="00127A7C"/>
    <w:rsid w:val="00130069"/>
    <w:rsid w:val="00130E75"/>
    <w:rsid w:val="00131D40"/>
    <w:rsid w:val="00131D45"/>
    <w:rsid w:val="00131FA7"/>
    <w:rsid w:val="001320F0"/>
    <w:rsid w:val="0013247F"/>
    <w:rsid w:val="00133023"/>
    <w:rsid w:val="00133080"/>
    <w:rsid w:val="0013352D"/>
    <w:rsid w:val="001335A4"/>
    <w:rsid w:val="0013368A"/>
    <w:rsid w:val="001336E0"/>
    <w:rsid w:val="00133F34"/>
    <w:rsid w:val="0013407E"/>
    <w:rsid w:val="00135273"/>
    <w:rsid w:val="00135C72"/>
    <w:rsid w:val="00135FC9"/>
    <w:rsid w:val="00136EF2"/>
    <w:rsid w:val="0013760F"/>
    <w:rsid w:val="00137CD7"/>
    <w:rsid w:val="00140A47"/>
    <w:rsid w:val="0014194F"/>
    <w:rsid w:val="00141E62"/>
    <w:rsid w:val="00142290"/>
    <w:rsid w:val="00142489"/>
    <w:rsid w:val="00142934"/>
    <w:rsid w:val="00142957"/>
    <w:rsid w:val="00143156"/>
    <w:rsid w:val="0014323F"/>
    <w:rsid w:val="001433FF"/>
    <w:rsid w:val="00143478"/>
    <w:rsid w:val="001435ED"/>
    <w:rsid w:val="00143608"/>
    <w:rsid w:val="00143F2F"/>
    <w:rsid w:val="00144403"/>
    <w:rsid w:val="001444F1"/>
    <w:rsid w:val="00144C39"/>
    <w:rsid w:val="00144D01"/>
    <w:rsid w:val="00145FC7"/>
    <w:rsid w:val="00146487"/>
    <w:rsid w:val="00146624"/>
    <w:rsid w:val="00146AF3"/>
    <w:rsid w:val="0014721F"/>
    <w:rsid w:val="001473CE"/>
    <w:rsid w:val="00147506"/>
    <w:rsid w:val="00147799"/>
    <w:rsid w:val="001479C6"/>
    <w:rsid w:val="00147C0A"/>
    <w:rsid w:val="00147F5F"/>
    <w:rsid w:val="00150376"/>
    <w:rsid w:val="00150A87"/>
    <w:rsid w:val="00150C2C"/>
    <w:rsid w:val="00150DEC"/>
    <w:rsid w:val="00151136"/>
    <w:rsid w:val="001518AE"/>
    <w:rsid w:val="0015196F"/>
    <w:rsid w:val="00151DBD"/>
    <w:rsid w:val="0015238E"/>
    <w:rsid w:val="0015255F"/>
    <w:rsid w:val="0015269D"/>
    <w:rsid w:val="0015283D"/>
    <w:rsid w:val="00152ECB"/>
    <w:rsid w:val="0015307D"/>
    <w:rsid w:val="001531D6"/>
    <w:rsid w:val="00153A11"/>
    <w:rsid w:val="00154203"/>
    <w:rsid w:val="001548F0"/>
    <w:rsid w:val="00154C5B"/>
    <w:rsid w:val="0015524D"/>
    <w:rsid w:val="0015540F"/>
    <w:rsid w:val="0015542A"/>
    <w:rsid w:val="00155434"/>
    <w:rsid w:val="00155A87"/>
    <w:rsid w:val="00155BDA"/>
    <w:rsid w:val="00155BE5"/>
    <w:rsid w:val="00155EDC"/>
    <w:rsid w:val="00155F26"/>
    <w:rsid w:val="001562C8"/>
    <w:rsid w:val="00156C3F"/>
    <w:rsid w:val="00156D20"/>
    <w:rsid w:val="00156FA7"/>
    <w:rsid w:val="00157139"/>
    <w:rsid w:val="0015736E"/>
    <w:rsid w:val="00157FAC"/>
    <w:rsid w:val="00160051"/>
    <w:rsid w:val="0016023A"/>
    <w:rsid w:val="00160B58"/>
    <w:rsid w:val="0016112C"/>
    <w:rsid w:val="0016132A"/>
    <w:rsid w:val="0016148F"/>
    <w:rsid w:val="0016189B"/>
    <w:rsid w:val="00161E44"/>
    <w:rsid w:val="001623EF"/>
    <w:rsid w:val="001626DD"/>
    <w:rsid w:val="00162DA1"/>
    <w:rsid w:val="00162DBF"/>
    <w:rsid w:val="0016324F"/>
    <w:rsid w:val="00163CEC"/>
    <w:rsid w:val="0016487B"/>
    <w:rsid w:val="001649B8"/>
    <w:rsid w:val="001649E5"/>
    <w:rsid w:val="00164CF8"/>
    <w:rsid w:val="00164F8D"/>
    <w:rsid w:val="001652EE"/>
    <w:rsid w:val="001653AE"/>
    <w:rsid w:val="0016562F"/>
    <w:rsid w:val="00166456"/>
    <w:rsid w:val="0016662A"/>
    <w:rsid w:val="00166D87"/>
    <w:rsid w:val="00166F64"/>
    <w:rsid w:val="00167093"/>
    <w:rsid w:val="00167F47"/>
    <w:rsid w:val="0017041A"/>
    <w:rsid w:val="0017099A"/>
    <w:rsid w:val="00170C8C"/>
    <w:rsid w:val="00170D5B"/>
    <w:rsid w:val="001710DB"/>
    <w:rsid w:val="00171223"/>
    <w:rsid w:val="0017206C"/>
    <w:rsid w:val="001727D7"/>
    <w:rsid w:val="00172850"/>
    <w:rsid w:val="00172879"/>
    <w:rsid w:val="00172887"/>
    <w:rsid w:val="0017291E"/>
    <w:rsid w:val="00172945"/>
    <w:rsid w:val="00172953"/>
    <w:rsid w:val="00172B8F"/>
    <w:rsid w:val="00172D76"/>
    <w:rsid w:val="00172E09"/>
    <w:rsid w:val="00172E37"/>
    <w:rsid w:val="00172FB0"/>
    <w:rsid w:val="001730E2"/>
    <w:rsid w:val="00173609"/>
    <w:rsid w:val="001736F8"/>
    <w:rsid w:val="00173D85"/>
    <w:rsid w:val="00173FC6"/>
    <w:rsid w:val="001745B8"/>
    <w:rsid w:val="00174790"/>
    <w:rsid w:val="00174FD4"/>
    <w:rsid w:val="00175C89"/>
    <w:rsid w:val="00175CBE"/>
    <w:rsid w:val="00175F4B"/>
    <w:rsid w:val="0017685C"/>
    <w:rsid w:val="00176AA6"/>
    <w:rsid w:val="00176B39"/>
    <w:rsid w:val="00177430"/>
    <w:rsid w:val="0017769D"/>
    <w:rsid w:val="00177BE8"/>
    <w:rsid w:val="00177CA8"/>
    <w:rsid w:val="00180196"/>
    <w:rsid w:val="00180291"/>
    <w:rsid w:val="00180980"/>
    <w:rsid w:val="00180D1E"/>
    <w:rsid w:val="00180EE5"/>
    <w:rsid w:val="00180F9C"/>
    <w:rsid w:val="0018153B"/>
    <w:rsid w:val="001816A4"/>
    <w:rsid w:val="00181778"/>
    <w:rsid w:val="001822BE"/>
    <w:rsid w:val="0018249E"/>
    <w:rsid w:val="001826A3"/>
    <w:rsid w:val="001828C1"/>
    <w:rsid w:val="0018405D"/>
    <w:rsid w:val="001841BA"/>
    <w:rsid w:val="001848C2"/>
    <w:rsid w:val="00184BAE"/>
    <w:rsid w:val="001850C3"/>
    <w:rsid w:val="001854E5"/>
    <w:rsid w:val="001859DD"/>
    <w:rsid w:val="00185B0E"/>
    <w:rsid w:val="00185D42"/>
    <w:rsid w:val="00185F72"/>
    <w:rsid w:val="00185F7F"/>
    <w:rsid w:val="00186093"/>
    <w:rsid w:val="00186146"/>
    <w:rsid w:val="0018650E"/>
    <w:rsid w:val="001865F4"/>
    <w:rsid w:val="00186E7D"/>
    <w:rsid w:val="00186FC6"/>
    <w:rsid w:val="00187238"/>
    <w:rsid w:val="00187679"/>
    <w:rsid w:val="0018797F"/>
    <w:rsid w:val="00190190"/>
    <w:rsid w:val="00190369"/>
    <w:rsid w:val="00191868"/>
    <w:rsid w:val="00191B09"/>
    <w:rsid w:val="00191E38"/>
    <w:rsid w:val="00192058"/>
    <w:rsid w:val="001927D3"/>
    <w:rsid w:val="00192AF8"/>
    <w:rsid w:val="00192BFE"/>
    <w:rsid w:val="00192C45"/>
    <w:rsid w:val="0019362A"/>
    <w:rsid w:val="0019395D"/>
    <w:rsid w:val="00193EDD"/>
    <w:rsid w:val="00194204"/>
    <w:rsid w:val="001944D2"/>
    <w:rsid w:val="0019474E"/>
    <w:rsid w:val="00194AE6"/>
    <w:rsid w:val="00194CE3"/>
    <w:rsid w:val="00195089"/>
    <w:rsid w:val="00195263"/>
    <w:rsid w:val="00195728"/>
    <w:rsid w:val="001959E6"/>
    <w:rsid w:val="0019624B"/>
    <w:rsid w:val="001964A0"/>
    <w:rsid w:val="00196D75"/>
    <w:rsid w:val="00197075"/>
    <w:rsid w:val="001970C0"/>
    <w:rsid w:val="001974BE"/>
    <w:rsid w:val="00197570"/>
    <w:rsid w:val="00197D64"/>
    <w:rsid w:val="001A0202"/>
    <w:rsid w:val="001A06F5"/>
    <w:rsid w:val="001A076F"/>
    <w:rsid w:val="001A1074"/>
    <w:rsid w:val="001A109E"/>
    <w:rsid w:val="001A18AF"/>
    <w:rsid w:val="001A1B7E"/>
    <w:rsid w:val="001A1CB7"/>
    <w:rsid w:val="001A1DA2"/>
    <w:rsid w:val="001A20F7"/>
    <w:rsid w:val="001A2419"/>
    <w:rsid w:val="001A2B5D"/>
    <w:rsid w:val="001A2D36"/>
    <w:rsid w:val="001A3A80"/>
    <w:rsid w:val="001A4010"/>
    <w:rsid w:val="001A420B"/>
    <w:rsid w:val="001A4612"/>
    <w:rsid w:val="001A47EE"/>
    <w:rsid w:val="001A4B97"/>
    <w:rsid w:val="001A4F7D"/>
    <w:rsid w:val="001A57E1"/>
    <w:rsid w:val="001A5DCC"/>
    <w:rsid w:val="001A60AB"/>
    <w:rsid w:val="001A63DB"/>
    <w:rsid w:val="001A6C5B"/>
    <w:rsid w:val="001A6D5E"/>
    <w:rsid w:val="001A6EBC"/>
    <w:rsid w:val="001A7749"/>
    <w:rsid w:val="001A7851"/>
    <w:rsid w:val="001A7B42"/>
    <w:rsid w:val="001A7D8F"/>
    <w:rsid w:val="001A7F6B"/>
    <w:rsid w:val="001B030B"/>
    <w:rsid w:val="001B0419"/>
    <w:rsid w:val="001B06E7"/>
    <w:rsid w:val="001B078A"/>
    <w:rsid w:val="001B08D0"/>
    <w:rsid w:val="001B0A58"/>
    <w:rsid w:val="001B0C04"/>
    <w:rsid w:val="001B0E56"/>
    <w:rsid w:val="001B19EA"/>
    <w:rsid w:val="001B1BAA"/>
    <w:rsid w:val="001B1BD1"/>
    <w:rsid w:val="001B2717"/>
    <w:rsid w:val="001B2A97"/>
    <w:rsid w:val="001B2CD4"/>
    <w:rsid w:val="001B2F41"/>
    <w:rsid w:val="001B3065"/>
    <w:rsid w:val="001B36AE"/>
    <w:rsid w:val="001B3748"/>
    <w:rsid w:val="001B3BE9"/>
    <w:rsid w:val="001B3E5E"/>
    <w:rsid w:val="001B402A"/>
    <w:rsid w:val="001B4041"/>
    <w:rsid w:val="001B40DA"/>
    <w:rsid w:val="001B43DC"/>
    <w:rsid w:val="001B4436"/>
    <w:rsid w:val="001B48EB"/>
    <w:rsid w:val="001B4D30"/>
    <w:rsid w:val="001B56A9"/>
    <w:rsid w:val="001B5860"/>
    <w:rsid w:val="001B5A11"/>
    <w:rsid w:val="001B635D"/>
    <w:rsid w:val="001B6758"/>
    <w:rsid w:val="001B6F8E"/>
    <w:rsid w:val="001B7329"/>
    <w:rsid w:val="001B7554"/>
    <w:rsid w:val="001B77C9"/>
    <w:rsid w:val="001B78DC"/>
    <w:rsid w:val="001B7925"/>
    <w:rsid w:val="001B79AC"/>
    <w:rsid w:val="001B7B2F"/>
    <w:rsid w:val="001B7B84"/>
    <w:rsid w:val="001C063B"/>
    <w:rsid w:val="001C0A2B"/>
    <w:rsid w:val="001C0C06"/>
    <w:rsid w:val="001C0E68"/>
    <w:rsid w:val="001C1241"/>
    <w:rsid w:val="001C1577"/>
    <w:rsid w:val="001C16F5"/>
    <w:rsid w:val="001C174A"/>
    <w:rsid w:val="001C17EE"/>
    <w:rsid w:val="001C1B9E"/>
    <w:rsid w:val="001C1D05"/>
    <w:rsid w:val="001C2040"/>
    <w:rsid w:val="001C2A48"/>
    <w:rsid w:val="001C2A8F"/>
    <w:rsid w:val="001C2CA7"/>
    <w:rsid w:val="001C3148"/>
    <w:rsid w:val="001C3595"/>
    <w:rsid w:val="001C4640"/>
    <w:rsid w:val="001C4701"/>
    <w:rsid w:val="001C4C78"/>
    <w:rsid w:val="001C5116"/>
    <w:rsid w:val="001C5316"/>
    <w:rsid w:val="001C53C0"/>
    <w:rsid w:val="001C5E59"/>
    <w:rsid w:val="001C6854"/>
    <w:rsid w:val="001C69E3"/>
    <w:rsid w:val="001C6DFD"/>
    <w:rsid w:val="001C6F4A"/>
    <w:rsid w:val="001C7583"/>
    <w:rsid w:val="001C77EF"/>
    <w:rsid w:val="001C7B03"/>
    <w:rsid w:val="001D035F"/>
    <w:rsid w:val="001D03F0"/>
    <w:rsid w:val="001D0529"/>
    <w:rsid w:val="001D0AE6"/>
    <w:rsid w:val="001D101D"/>
    <w:rsid w:val="001D14DC"/>
    <w:rsid w:val="001D1972"/>
    <w:rsid w:val="001D1F8F"/>
    <w:rsid w:val="001D22F6"/>
    <w:rsid w:val="001D26FD"/>
    <w:rsid w:val="001D29B7"/>
    <w:rsid w:val="001D2B6D"/>
    <w:rsid w:val="001D32C0"/>
    <w:rsid w:val="001D349A"/>
    <w:rsid w:val="001D3572"/>
    <w:rsid w:val="001D3A64"/>
    <w:rsid w:val="001D3F3C"/>
    <w:rsid w:val="001D3FF2"/>
    <w:rsid w:val="001D437D"/>
    <w:rsid w:val="001D44F0"/>
    <w:rsid w:val="001D45CB"/>
    <w:rsid w:val="001D4712"/>
    <w:rsid w:val="001D4CD4"/>
    <w:rsid w:val="001D4E67"/>
    <w:rsid w:val="001D4E97"/>
    <w:rsid w:val="001D56F5"/>
    <w:rsid w:val="001D5793"/>
    <w:rsid w:val="001D5FA8"/>
    <w:rsid w:val="001D6371"/>
    <w:rsid w:val="001D6897"/>
    <w:rsid w:val="001D6975"/>
    <w:rsid w:val="001D69CE"/>
    <w:rsid w:val="001D7441"/>
    <w:rsid w:val="001D74A7"/>
    <w:rsid w:val="001D771A"/>
    <w:rsid w:val="001D7BC9"/>
    <w:rsid w:val="001D7E8E"/>
    <w:rsid w:val="001E0199"/>
    <w:rsid w:val="001E031B"/>
    <w:rsid w:val="001E046B"/>
    <w:rsid w:val="001E05DB"/>
    <w:rsid w:val="001E0AFD"/>
    <w:rsid w:val="001E0EEE"/>
    <w:rsid w:val="001E0F79"/>
    <w:rsid w:val="001E1173"/>
    <w:rsid w:val="001E11DB"/>
    <w:rsid w:val="001E15F2"/>
    <w:rsid w:val="001E19B4"/>
    <w:rsid w:val="001E22F7"/>
    <w:rsid w:val="001E24B0"/>
    <w:rsid w:val="001E253B"/>
    <w:rsid w:val="001E3158"/>
    <w:rsid w:val="001E32C8"/>
    <w:rsid w:val="001E3380"/>
    <w:rsid w:val="001E340F"/>
    <w:rsid w:val="001E3638"/>
    <w:rsid w:val="001E3C4B"/>
    <w:rsid w:val="001E3D24"/>
    <w:rsid w:val="001E402F"/>
    <w:rsid w:val="001E414B"/>
    <w:rsid w:val="001E4648"/>
    <w:rsid w:val="001E465F"/>
    <w:rsid w:val="001E56D2"/>
    <w:rsid w:val="001E57E9"/>
    <w:rsid w:val="001E66CC"/>
    <w:rsid w:val="001E6725"/>
    <w:rsid w:val="001E68F0"/>
    <w:rsid w:val="001E6DBF"/>
    <w:rsid w:val="001E6E3B"/>
    <w:rsid w:val="001E7187"/>
    <w:rsid w:val="001F014D"/>
    <w:rsid w:val="001F01AA"/>
    <w:rsid w:val="001F12BA"/>
    <w:rsid w:val="001F13B1"/>
    <w:rsid w:val="001F17CC"/>
    <w:rsid w:val="001F1814"/>
    <w:rsid w:val="001F1CFC"/>
    <w:rsid w:val="001F2902"/>
    <w:rsid w:val="001F39A3"/>
    <w:rsid w:val="001F3A75"/>
    <w:rsid w:val="001F3F36"/>
    <w:rsid w:val="001F42C4"/>
    <w:rsid w:val="001F44F4"/>
    <w:rsid w:val="001F4607"/>
    <w:rsid w:val="001F5115"/>
    <w:rsid w:val="001F53AF"/>
    <w:rsid w:val="001F5C1D"/>
    <w:rsid w:val="001F5E76"/>
    <w:rsid w:val="001F5F3B"/>
    <w:rsid w:val="001F60EA"/>
    <w:rsid w:val="001F658C"/>
    <w:rsid w:val="001F675C"/>
    <w:rsid w:val="001F6C8D"/>
    <w:rsid w:val="001F6E2C"/>
    <w:rsid w:val="001F6F44"/>
    <w:rsid w:val="001F738F"/>
    <w:rsid w:val="001F7563"/>
    <w:rsid w:val="001F756A"/>
    <w:rsid w:val="001F7917"/>
    <w:rsid w:val="001F7B4A"/>
    <w:rsid w:val="002003AF"/>
    <w:rsid w:val="00200A38"/>
    <w:rsid w:val="00202430"/>
    <w:rsid w:val="00202A00"/>
    <w:rsid w:val="00202D97"/>
    <w:rsid w:val="002034EF"/>
    <w:rsid w:val="00203A68"/>
    <w:rsid w:val="00204351"/>
    <w:rsid w:val="0020443D"/>
    <w:rsid w:val="00204BB5"/>
    <w:rsid w:val="0020504F"/>
    <w:rsid w:val="00205087"/>
    <w:rsid w:val="002050B6"/>
    <w:rsid w:val="00205356"/>
    <w:rsid w:val="0020554B"/>
    <w:rsid w:val="002057C6"/>
    <w:rsid w:val="00205F3C"/>
    <w:rsid w:val="002067A8"/>
    <w:rsid w:val="00206BC9"/>
    <w:rsid w:val="0020704B"/>
    <w:rsid w:val="00207675"/>
    <w:rsid w:val="00207B18"/>
    <w:rsid w:val="00207F59"/>
    <w:rsid w:val="002106D5"/>
    <w:rsid w:val="00210AA3"/>
    <w:rsid w:val="002115C0"/>
    <w:rsid w:val="00211872"/>
    <w:rsid w:val="00211DC3"/>
    <w:rsid w:val="00212052"/>
    <w:rsid w:val="00212488"/>
    <w:rsid w:val="002124B2"/>
    <w:rsid w:val="00212ADA"/>
    <w:rsid w:val="00214537"/>
    <w:rsid w:val="002145DC"/>
    <w:rsid w:val="00214659"/>
    <w:rsid w:val="0021471E"/>
    <w:rsid w:val="00214CB8"/>
    <w:rsid w:val="00215104"/>
    <w:rsid w:val="002152E4"/>
    <w:rsid w:val="002155B6"/>
    <w:rsid w:val="002157E4"/>
    <w:rsid w:val="00215AFB"/>
    <w:rsid w:val="00215CBC"/>
    <w:rsid w:val="00215D4F"/>
    <w:rsid w:val="00215DEA"/>
    <w:rsid w:val="00216968"/>
    <w:rsid w:val="00216A71"/>
    <w:rsid w:val="00217066"/>
    <w:rsid w:val="00217205"/>
    <w:rsid w:val="00217330"/>
    <w:rsid w:val="00217C61"/>
    <w:rsid w:val="00217C76"/>
    <w:rsid w:val="00217DE4"/>
    <w:rsid w:val="002200D8"/>
    <w:rsid w:val="002215B1"/>
    <w:rsid w:val="002215DA"/>
    <w:rsid w:val="00221928"/>
    <w:rsid w:val="00221975"/>
    <w:rsid w:val="00221C2C"/>
    <w:rsid w:val="00221DF4"/>
    <w:rsid w:val="00222238"/>
    <w:rsid w:val="00222881"/>
    <w:rsid w:val="00222A39"/>
    <w:rsid w:val="00222B71"/>
    <w:rsid w:val="0022352C"/>
    <w:rsid w:val="00223636"/>
    <w:rsid w:val="00223664"/>
    <w:rsid w:val="002239DB"/>
    <w:rsid w:val="00223A24"/>
    <w:rsid w:val="00223A56"/>
    <w:rsid w:val="00224ACA"/>
    <w:rsid w:val="00224B3B"/>
    <w:rsid w:val="00224E42"/>
    <w:rsid w:val="00225833"/>
    <w:rsid w:val="002259C9"/>
    <w:rsid w:val="00226095"/>
    <w:rsid w:val="002266B8"/>
    <w:rsid w:val="00226F8F"/>
    <w:rsid w:val="00227194"/>
    <w:rsid w:val="0022732E"/>
    <w:rsid w:val="00227355"/>
    <w:rsid w:val="0022759D"/>
    <w:rsid w:val="00227729"/>
    <w:rsid w:val="00227B81"/>
    <w:rsid w:val="00227B89"/>
    <w:rsid w:val="00227C62"/>
    <w:rsid w:val="00227F43"/>
    <w:rsid w:val="002302D9"/>
    <w:rsid w:val="002303D6"/>
    <w:rsid w:val="00230E38"/>
    <w:rsid w:val="0023187D"/>
    <w:rsid w:val="0023191D"/>
    <w:rsid w:val="0023299E"/>
    <w:rsid w:val="00233BD3"/>
    <w:rsid w:val="00233CA1"/>
    <w:rsid w:val="00233D50"/>
    <w:rsid w:val="00233DA6"/>
    <w:rsid w:val="00234203"/>
    <w:rsid w:val="0023462B"/>
    <w:rsid w:val="00234640"/>
    <w:rsid w:val="0023579B"/>
    <w:rsid w:val="00236116"/>
    <w:rsid w:val="00236BCB"/>
    <w:rsid w:val="00236E47"/>
    <w:rsid w:val="0023786B"/>
    <w:rsid w:val="00240042"/>
    <w:rsid w:val="00240106"/>
    <w:rsid w:val="0024013F"/>
    <w:rsid w:val="00240439"/>
    <w:rsid w:val="002404B6"/>
    <w:rsid w:val="002406F1"/>
    <w:rsid w:val="0024084C"/>
    <w:rsid w:val="0024092E"/>
    <w:rsid w:val="00240A0D"/>
    <w:rsid w:val="002411C7"/>
    <w:rsid w:val="002417C3"/>
    <w:rsid w:val="00241CBA"/>
    <w:rsid w:val="002421FB"/>
    <w:rsid w:val="00242E3D"/>
    <w:rsid w:val="00242F4E"/>
    <w:rsid w:val="00243044"/>
    <w:rsid w:val="0024370A"/>
    <w:rsid w:val="002443C6"/>
    <w:rsid w:val="00244C30"/>
    <w:rsid w:val="002452A0"/>
    <w:rsid w:val="002452F3"/>
    <w:rsid w:val="002453F4"/>
    <w:rsid w:val="00245AB8"/>
    <w:rsid w:val="0024608A"/>
    <w:rsid w:val="002463A6"/>
    <w:rsid w:val="00246525"/>
    <w:rsid w:val="00246754"/>
    <w:rsid w:val="002468A2"/>
    <w:rsid w:val="00246ADB"/>
    <w:rsid w:val="00246BA0"/>
    <w:rsid w:val="00247024"/>
    <w:rsid w:val="002475AE"/>
    <w:rsid w:val="0024785C"/>
    <w:rsid w:val="0024792C"/>
    <w:rsid w:val="00247AED"/>
    <w:rsid w:val="0025011D"/>
    <w:rsid w:val="00250E15"/>
    <w:rsid w:val="00251750"/>
    <w:rsid w:val="002517A5"/>
    <w:rsid w:val="00251F6C"/>
    <w:rsid w:val="00252190"/>
    <w:rsid w:val="0025249C"/>
    <w:rsid w:val="00253563"/>
    <w:rsid w:val="00253960"/>
    <w:rsid w:val="002539ED"/>
    <w:rsid w:val="00254159"/>
    <w:rsid w:val="0025440D"/>
    <w:rsid w:val="0025450E"/>
    <w:rsid w:val="002547A2"/>
    <w:rsid w:val="00254EED"/>
    <w:rsid w:val="00254F99"/>
    <w:rsid w:val="0025502D"/>
    <w:rsid w:val="00255152"/>
    <w:rsid w:val="002554A8"/>
    <w:rsid w:val="0025554E"/>
    <w:rsid w:val="00255B97"/>
    <w:rsid w:val="00255C5A"/>
    <w:rsid w:val="00255E7F"/>
    <w:rsid w:val="00255EAC"/>
    <w:rsid w:val="00256161"/>
    <w:rsid w:val="00256186"/>
    <w:rsid w:val="002564D9"/>
    <w:rsid w:val="00256556"/>
    <w:rsid w:val="00256649"/>
    <w:rsid w:val="002566D7"/>
    <w:rsid w:val="00256AFD"/>
    <w:rsid w:val="00256BBC"/>
    <w:rsid w:val="00257315"/>
    <w:rsid w:val="00257717"/>
    <w:rsid w:val="0025777D"/>
    <w:rsid w:val="0025782C"/>
    <w:rsid w:val="0025784A"/>
    <w:rsid w:val="002579A1"/>
    <w:rsid w:val="002579D1"/>
    <w:rsid w:val="00257DEB"/>
    <w:rsid w:val="00260476"/>
    <w:rsid w:val="00260983"/>
    <w:rsid w:val="00260DC3"/>
    <w:rsid w:val="0026118A"/>
    <w:rsid w:val="00261CA6"/>
    <w:rsid w:val="00261CCD"/>
    <w:rsid w:val="00261CFD"/>
    <w:rsid w:val="00261D83"/>
    <w:rsid w:val="00261E32"/>
    <w:rsid w:val="002621DF"/>
    <w:rsid w:val="002622D0"/>
    <w:rsid w:val="002622F7"/>
    <w:rsid w:val="002627DB"/>
    <w:rsid w:val="00262D45"/>
    <w:rsid w:val="00262EDC"/>
    <w:rsid w:val="002638F4"/>
    <w:rsid w:val="0026390B"/>
    <w:rsid w:val="002639DA"/>
    <w:rsid w:val="00263F4F"/>
    <w:rsid w:val="00264165"/>
    <w:rsid w:val="0026481E"/>
    <w:rsid w:val="00264D35"/>
    <w:rsid w:val="00265121"/>
    <w:rsid w:val="00265163"/>
    <w:rsid w:val="00265571"/>
    <w:rsid w:val="00265AA5"/>
    <w:rsid w:val="0026626F"/>
    <w:rsid w:val="00266620"/>
    <w:rsid w:val="0026666A"/>
    <w:rsid w:val="002666C1"/>
    <w:rsid w:val="002666FA"/>
    <w:rsid w:val="0026718A"/>
    <w:rsid w:val="002674FF"/>
    <w:rsid w:val="00267831"/>
    <w:rsid w:val="00267CB3"/>
    <w:rsid w:val="00267CE8"/>
    <w:rsid w:val="0027043E"/>
    <w:rsid w:val="00270574"/>
    <w:rsid w:val="0027139F"/>
    <w:rsid w:val="0027160C"/>
    <w:rsid w:val="002718A6"/>
    <w:rsid w:val="00271E96"/>
    <w:rsid w:val="00272652"/>
    <w:rsid w:val="00272816"/>
    <w:rsid w:val="00272E08"/>
    <w:rsid w:val="00274087"/>
    <w:rsid w:val="00274B5E"/>
    <w:rsid w:val="00274DE5"/>
    <w:rsid w:val="002751D1"/>
    <w:rsid w:val="00275209"/>
    <w:rsid w:val="002755F5"/>
    <w:rsid w:val="00275731"/>
    <w:rsid w:val="00275AF9"/>
    <w:rsid w:val="002761FD"/>
    <w:rsid w:val="00276984"/>
    <w:rsid w:val="00276CBA"/>
    <w:rsid w:val="00276DEE"/>
    <w:rsid w:val="00276F5C"/>
    <w:rsid w:val="00277438"/>
    <w:rsid w:val="00277550"/>
    <w:rsid w:val="002775AB"/>
    <w:rsid w:val="00277A8D"/>
    <w:rsid w:val="00277D8F"/>
    <w:rsid w:val="00277FF7"/>
    <w:rsid w:val="002801D1"/>
    <w:rsid w:val="0028035C"/>
    <w:rsid w:val="00280650"/>
    <w:rsid w:val="002807A7"/>
    <w:rsid w:val="00280A9A"/>
    <w:rsid w:val="00280B44"/>
    <w:rsid w:val="00280EC5"/>
    <w:rsid w:val="00281196"/>
    <w:rsid w:val="0028127C"/>
    <w:rsid w:val="002813D1"/>
    <w:rsid w:val="002817D1"/>
    <w:rsid w:val="00281E04"/>
    <w:rsid w:val="00282483"/>
    <w:rsid w:val="002824D1"/>
    <w:rsid w:val="00282656"/>
    <w:rsid w:val="0028276A"/>
    <w:rsid w:val="0028290D"/>
    <w:rsid w:val="00282928"/>
    <w:rsid w:val="00282AB6"/>
    <w:rsid w:val="0028381F"/>
    <w:rsid w:val="00283A65"/>
    <w:rsid w:val="00284069"/>
    <w:rsid w:val="0028407F"/>
    <w:rsid w:val="00284340"/>
    <w:rsid w:val="00284521"/>
    <w:rsid w:val="002845B0"/>
    <w:rsid w:val="0028489D"/>
    <w:rsid w:val="00284BF0"/>
    <w:rsid w:val="00284C35"/>
    <w:rsid w:val="00284E68"/>
    <w:rsid w:val="00285271"/>
    <w:rsid w:val="002852BF"/>
    <w:rsid w:val="00285813"/>
    <w:rsid w:val="00285851"/>
    <w:rsid w:val="00285BBA"/>
    <w:rsid w:val="00285D3B"/>
    <w:rsid w:val="0028618B"/>
    <w:rsid w:val="002866E0"/>
    <w:rsid w:val="0028693A"/>
    <w:rsid w:val="00286979"/>
    <w:rsid w:val="00286A9C"/>
    <w:rsid w:val="00286B30"/>
    <w:rsid w:val="00286E56"/>
    <w:rsid w:val="00287E78"/>
    <w:rsid w:val="00290676"/>
    <w:rsid w:val="002909E2"/>
    <w:rsid w:val="00290DEF"/>
    <w:rsid w:val="00290E5A"/>
    <w:rsid w:val="00291462"/>
    <w:rsid w:val="00291572"/>
    <w:rsid w:val="00291595"/>
    <w:rsid w:val="0029186B"/>
    <w:rsid w:val="00291B96"/>
    <w:rsid w:val="00291D5F"/>
    <w:rsid w:val="002921DD"/>
    <w:rsid w:val="00292646"/>
    <w:rsid w:val="00292D6D"/>
    <w:rsid w:val="00292E5C"/>
    <w:rsid w:val="0029350D"/>
    <w:rsid w:val="00293FF7"/>
    <w:rsid w:val="00294155"/>
    <w:rsid w:val="0029461C"/>
    <w:rsid w:val="00294813"/>
    <w:rsid w:val="00294CF4"/>
    <w:rsid w:val="00294FCE"/>
    <w:rsid w:val="00295620"/>
    <w:rsid w:val="00295D1C"/>
    <w:rsid w:val="00296769"/>
    <w:rsid w:val="00296A56"/>
    <w:rsid w:val="00296BD7"/>
    <w:rsid w:val="002972E4"/>
    <w:rsid w:val="00297CF9"/>
    <w:rsid w:val="002A04B4"/>
    <w:rsid w:val="002A0AB6"/>
    <w:rsid w:val="002A0C24"/>
    <w:rsid w:val="002A0F75"/>
    <w:rsid w:val="002A145B"/>
    <w:rsid w:val="002A18BE"/>
    <w:rsid w:val="002A23E3"/>
    <w:rsid w:val="002A2A61"/>
    <w:rsid w:val="002A2A65"/>
    <w:rsid w:val="002A2C66"/>
    <w:rsid w:val="002A3126"/>
    <w:rsid w:val="002A342E"/>
    <w:rsid w:val="002A3651"/>
    <w:rsid w:val="002A36F6"/>
    <w:rsid w:val="002A4084"/>
    <w:rsid w:val="002A40F3"/>
    <w:rsid w:val="002A42EC"/>
    <w:rsid w:val="002A47A6"/>
    <w:rsid w:val="002A4A3B"/>
    <w:rsid w:val="002A4AD6"/>
    <w:rsid w:val="002A53F7"/>
    <w:rsid w:val="002A5429"/>
    <w:rsid w:val="002A596B"/>
    <w:rsid w:val="002A5A7C"/>
    <w:rsid w:val="002A5DDE"/>
    <w:rsid w:val="002A69DE"/>
    <w:rsid w:val="002A6DCE"/>
    <w:rsid w:val="002A7196"/>
    <w:rsid w:val="002A76AE"/>
    <w:rsid w:val="002B05DB"/>
    <w:rsid w:val="002B09CC"/>
    <w:rsid w:val="002B1300"/>
    <w:rsid w:val="002B1330"/>
    <w:rsid w:val="002B1384"/>
    <w:rsid w:val="002B1626"/>
    <w:rsid w:val="002B20A1"/>
    <w:rsid w:val="002B21E0"/>
    <w:rsid w:val="002B238A"/>
    <w:rsid w:val="002B25AD"/>
    <w:rsid w:val="002B27B8"/>
    <w:rsid w:val="002B32AF"/>
    <w:rsid w:val="002B3681"/>
    <w:rsid w:val="002B3B73"/>
    <w:rsid w:val="002B3F24"/>
    <w:rsid w:val="002B3F8E"/>
    <w:rsid w:val="002B4002"/>
    <w:rsid w:val="002B40E1"/>
    <w:rsid w:val="002B5011"/>
    <w:rsid w:val="002B5060"/>
    <w:rsid w:val="002B5877"/>
    <w:rsid w:val="002B5D3C"/>
    <w:rsid w:val="002B61D5"/>
    <w:rsid w:val="002B62BD"/>
    <w:rsid w:val="002B6376"/>
    <w:rsid w:val="002B667C"/>
    <w:rsid w:val="002B68EB"/>
    <w:rsid w:val="002B6B7B"/>
    <w:rsid w:val="002B6C86"/>
    <w:rsid w:val="002B7504"/>
    <w:rsid w:val="002B7791"/>
    <w:rsid w:val="002B7EEE"/>
    <w:rsid w:val="002C0343"/>
    <w:rsid w:val="002C05F3"/>
    <w:rsid w:val="002C0DD0"/>
    <w:rsid w:val="002C0FDA"/>
    <w:rsid w:val="002C11CA"/>
    <w:rsid w:val="002C1B6F"/>
    <w:rsid w:val="002C25BF"/>
    <w:rsid w:val="002C280A"/>
    <w:rsid w:val="002C2A09"/>
    <w:rsid w:val="002C3E9A"/>
    <w:rsid w:val="002C4173"/>
    <w:rsid w:val="002C43A3"/>
    <w:rsid w:val="002C43E4"/>
    <w:rsid w:val="002C4477"/>
    <w:rsid w:val="002C45E8"/>
    <w:rsid w:val="002C491D"/>
    <w:rsid w:val="002C4EB4"/>
    <w:rsid w:val="002C54D5"/>
    <w:rsid w:val="002C67B3"/>
    <w:rsid w:val="002C70CE"/>
    <w:rsid w:val="002C7119"/>
    <w:rsid w:val="002C7267"/>
    <w:rsid w:val="002C7A5D"/>
    <w:rsid w:val="002C7F1A"/>
    <w:rsid w:val="002D03EA"/>
    <w:rsid w:val="002D0545"/>
    <w:rsid w:val="002D070A"/>
    <w:rsid w:val="002D081E"/>
    <w:rsid w:val="002D08B0"/>
    <w:rsid w:val="002D102F"/>
    <w:rsid w:val="002D131F"/>
    <w:rsid w:val="002D1883"/>
    <w:rsid w:val="002D1FFB"/>
    <w:rsid w:val="002D221E"/>
    <w:rsid w:val="002D2579"/>
    <w:rsid w:val="002D2999"/>
    <w:rsid w:val="002D34AF"/>
    <w:rsid w:val="002D38DA"/>
    <w:rsid w:val="002D39B8"/>
    <w:rsid w:val="002D3D65"/>
    <w:rsid w:val="002D45C2"/>
    <w:rsid w:val="002D4CF2"/>
    <w:rsid w:val="002D5097"/>
    <w:rsid w:val="002D50CC"/>
    <w:rsid w:val="002D556F"/>
    <w:rsid w:val="002D55E4"/>
    <w:rsid w:val="002D5635"/>
    <w:rsid w:val="002D56B9"/>
    <w:rsid w:val="002D5811"/>
    <w:rsid w:val="002D5C12"/>
    <w:rsid w:val="002D60A6"/>
    <w:rsid w:val="002D63E3"/>
    <w:rsid w:val="002D690D"/>
    <w:rsid w:val="002D6A52"/>
    <w:rsid w:val="002D6B94"/>
    <w:rsid w:val="002D6EDA"/>
    <w:rsid w:val="002D79FD"/>
    <w:rsid w:val="002E000B"/>
    <w:rsid w:val="002E03AE"/>
    <w:rsid w:val="002E083F"/>
    <w:rsid w:val="002E09C3"/>
    <w:rsid w:val="002E0D28"/>
    <w:rsid w:val="002E0F86"/>
    <w:rsid w:val="002E1148"/>
    <w:rsid w:val="002E1E63"/>
    <w:rsid w:val="002E1EB3"/>
    <w:rsid w:val="002E1F16"/>
    <w:rsid w:val="002E200F"/>
    <w:rsid w:val="002E2420"/>
    <w:rsid w:val="002E2425"/>
    <w:rsid w:val="002E248C"/>
    <w:rsid w:val="002E24DF"/>
    <w:rsid w:val="002E283F"/>
    <w:rsid w:val="002E2AE5"/>
    <w:rsid w:val="002E2BF1"/>
    <w:rsid w:val="002E336A"/>
    <w:rsid w:val="002E33EC"/>
    <w:rsid w:val="002E5478"/>
    <w:rsid w:val="002E600A"/>
    <w:rsid w:val="002E638D"/>
    <w:rsid w:val="002E63BE"/>
    <w:rsid w:val="002E6AA8"/>
    <w:rsid w:val="002E6DF9"/>
    <w:rsid w:val="002E769F"/>
    <w:rsid w:val="002E7775"/>
    <w:rsid w:val="002E7AD2"/>
    <w:rsid w:val="002F0AA3"/>
    <w:rsid w:val="002F10AB"/>
    <w:rsid w:val="002F132E"/>
    <w:rsid w:val="002F1399"/>
    <w:rsid w:val="002F13F7"/>
    <w:rsid w:val="002F173E"/>
    <w:rsid w:val="002F19AB"/>
    <w:rsid w:val="002F1A69"/>
    <w:rsid w:val="002F1BA4"/>
    <w:rsid w:val="002F2772"/>
    <w:rsid w:val="002F2867"/>
    <w:rsid w:val="002F2DCA"/>
    <w:rsid w:val="002F32FB"/>
    <w:rsid w:val="002F3A8D"/>
    <w:rsid w:val="002F3DF2"/>
    <w:rsid w:val="002F452D"/>
    <w:rsid w:val="002F4C00"/>
    <w:rsid w:val="002F5611"/>
    <w:rsid w:val="002F5940"/>
    <w:rsid w:val="002F5C31"/>
    <w:rsid w:val="002F5E1D"/>
    <w:rsid w:val="002F5F2F"/>
    <w:rsid w:val="002F5F5E"/>
    <w:rsid w:val="002F5F85"/>
    <w:rsid w:val="002F693F"/>
    <w:rsid w:val="002F694B"/>
    <w:rsid w:val="002F6E79"/>
    <w:rsid w:val="002F7001"/>
    <w:rsid w:val="002F7255"/>
    <w:rsid w:val="002F7518"/>
    <w:rsid w:val="00300054"/>
    <w:rsid w:val="00300078"/>
    <w:rsid w:val="003005B6"/>
    <w:rsid w:val="003008CC"/>
    <w:rsid w:val="003012A6"/>
    <w:rsid w:val="0030136F"/>
    <w:rsid w:val="00301763"/>
    <w:rsid w:val="00301EC1"/>
    <w:rsid w:val="00302252"/>
    <w:rsid w:val="00303017"/>
    <w:rsid w:val="003031FC"/>
    <w:rsid w:val="00303C60"/>
    <w:rsid w:val="00303C77"/>
    <w:rsid w:val="00304385"/>
    <w:rsid w:val="00304B04"/>
    <w:rsid w:val="00304FB8"/>
    <w:rsid w:val="00305105"/>
    <w:rsid w:val="0030532E"/>
    <w:rsid w:val="003059BB"/>
    <w:rsid w:val="00306492"/>
    <w:rsid w:val="003069D7"/>
    <w:rsid w:val="00307299"/>
    <w:rsid w:val="003075C8"/>
    <w:rsid w:val="0031018C"/>
    <w:rsid w:val="003103BF"/>
    <w:rsid w:val="0031041D"/>
    <w:rsid w:val="003105A7"/>
    <w:rsid w:val="00310B9B"/>
    <w:rsid w:val="00310C3F"/>
    <w:rsid w:val="00310DFB"/>
    <w:rsid w:val="00310F76"/>
    <w:rsid w:val="0031127A"/>
    <w:rsid w:val="0031131C"/>
    <w:rsid w:val="003113CB"/>
    <w:rsid w:val="00311AF3"/>
    <w:rsid w:val="00311E12"/>
    <w:rsid w:val="00312156"/>
    <w:rsid w:val="00312667"/>
    <w:rsid w:val="003126F5"/>
    <w:rsid w:val="003127E7"/>
    <w:rsid w:val="00312842"/>
    <w:rsid w:val="00312CBC"/>
    <w:rsid w:val="003131B3"/>
    <w:rsid w:val="00313322"/>
    <w:rsid w:val="00313A02"/>
    <w:rsid w:val="00313A3B"/>
    <w:rsid w:val="00313D2C"/>
    <w:rsid w:val="00313F99"/>
    <w:rsid w:val="003140D2"/>
    <w:rsid w:val="00314181"/>
    <w:rsid w:val="003145FE"/>
    <w:rsid w:val="003146EA"/>
    <w:rsid w:val="00314803"/>
    <w:rsid w:val="003149B0"/>
    <w:rsid w:val="00314BEC"/>
    <w:rsid w:val="00314FF0"/>
    <w:rsid w:val="00315710"/>
    <w:rsid w:val="003158B1"/>
    <w:rsid w:val="00315F83"/>
    <w:rsid w:val="003160BA"/>
    <w:rsid w:val="003166AB"/>
    <w:rsid w:val="00316D3C"/>
    <w:rsid w:val="00316DA2"/>
    <w:rsid w:val="00316F49"/>
    <w:rsid w:val="0031719B"/>
    <w:rsid w:val="003172C5"/>
    <w:rsid w:val="0031757A"/>
    <w:rsid w:val="0031757E"/>
    <w:rsid w:val="00317714"/>
    <w:rsid w:val="00317F83"/>
    <w:rsid w:val="00320A17"/>
    <w:rsid w:val="00320BEF"/>
    <w:rsid w:val="00320C1C"/>
    <w:rsid w:val="00320EB0"/>
    <w:rsid w:val="00321EE7"/>
    <w:rsid w:val="003223DB"/>
    <w:rsid w:val="00322528"/>
    <w:rsid w:val="00322DA9"/>
    <w:rsid w:val="00323095"/>
    <w:rsid w:val="00323AF6"/>
    <w:rsid w:val="00323E4B"/>
    <w:rsid w:val="003243CC"/>
    <w:rsid w:val="00324537"/>
    <w:rsid w:val="003251C2"/>
    <w:rsid w:val="003254DE"/>
    <w:rsid w:val="0032550E"/>
    <w:rsid w:val="00325F49"/>
    <w:rsid w:val="00325FA0"/>
    <w:rsid w:val="003260CC"/>
    <w:rsid w:val="003262AD"/>
    <w:rsid w:val="0032653D"/>
    <w:rsid w:val="003269DB"/>
    <w:rsid w:val="00326F1C"/>
    <w:rsid w:val="00326FAE"/>
    <w:rsid w:val="00327162"/>
    <w:rsid w:val="00327D06"/>
    <w:rsid w:val="003300D6"/>
    <w:rsid w:val="00330312"/>
    <w:rsid w:val="003303CA"/>
    <w:rsid w:val="00330698"/>
    <w:rsid w:val="0033073D"/>
    <w:rsid w:val="00330817"/>
    <w:rsid w:val="00330A0A"/>
    <w:rsid w:val="00330E25"/>
    <w:rsid w:val="00331097"/>
    <w:rsid w:val="003312F2"/>
    <w:rsid w:val="00331409"/>
    <w:rsid w:val="003315B5"/>
    <w:rsid w:val="0033165D"/>
    <w:rsid w:val="003317B3"/>
    <w:rsid w:val="00331BA8"/>
    <w:rsid w:val="00331CC6"/>
    <w:rsid w:val="00332445"/>
    <w:rsid w:val="00332771"/>
    <w:rsid w:val="003328A9"/>
    <w:rsid w:val="00333EE6"/>
    <w:rsid w:val="0033451A"/>
    <w:rsid w:val="00334885"/>
    <w:rsid w:val="00334CC8"/>
    <w:rsid w:val="00335558"/>
    <w:rsid w:val="00335611"/>
    <w:rsid w:val="00335706"/>
    <w:rsid w:val="00335B82"/>
    <w:rsid w:val="00336141"/>
    <w:rsid w:val="00336238"/>
    <w:rsid w:val="00336577"/>
    <w:rsid w:val="003369BE"/>
    <w:rsid w:val="00336AFA"/>
    <w:rsid w:val="00336ED7"/>
    <w:rsid w:val="003371B5"/>
    <w:rsid w:val="00337728"/>
    <w:rsid w:val="00337BAF"/>
    <w:rsid w:val="00337C0F"/>
    <w:rsid w:val="00337DA5"/>
    <w:rsid w:val="00340341"/>
    <w:rsid w:val="00340711"/>
    <w:rsid w:val="00340A3A"/>
    <w:rsid w:val="00340B9A"/>
    <w:rsid w:val="00340C99"/>
    <w:rsid w:val="00341029"/>
    <w:rsid w:val="003412B7"/>
    <w:rsid w:val="00341635"/>
    <w:rsid w:val="00341673"/>
    <w:rsid w:val="00341702"/>
    <w:rsid w:val="003417CB"/>
    <w:rsid w:val="00341A54"/>
    <w:rsid w:val="00341F9C"/>
    <w:rsid w:val="00342591"/>
    <w:rsid w:val="003435A9"/>
    <w:rsid w:val="003438B8"/>
    <w:rsid w:val="00343ABB"/>
    <w:rsid w:val="00343CDF"/>
    <w:rsid w:val="00343F1D"/>
    <w:rsid w:val="00344142"/>
    <w:rsid w:val="003441E0"/>
    <w:rsid w:val="00344649"/>
    <w:rsid w:val="00344666"/>
    <w:rsid w:val="0034476C"/>
    <w:rsid w:val="00344B40"/>
    <w:rsid w:val="00344E0F"/>
    <w:rsid w:val="00345496"/>
    <w:rsid w:val="0034588F"/>
    <w:rsid w:val="00345BCF"/>
    <w:rsid w:val="0034630B"/>
    <w:rsid w:val="003466F9"/>
    <w:rsid w:val="0034693A"/>
    <w:rsid w:val="003470E8"/>
    <w:rsid w:val="0034759A"/>
    <w:rsid w:val="003475D3"/>
    <w:rsid w:val="003475DD"/>
    <w:rsid w:val="00347750"/>
    <w:rsid w:val="00347AC4"/>
    <w:rsid w:val="00350092"/>
    <w:rsid w:val="00350104"/>
    <w:rsid w:val="00350150"/>
    <w:rsid w:val="003505A9"/>
    <w:rsid w:val="003516D8"/>
    <w:rsid w:val="003516E2"/>
    <w:rsid w:val="003518D4"/>
    <w:rsid w:val="003519AD"/>
    <w:rsid w:val="00351D36"/>
    <w:rsid w:val="00351E0E"/>
    <w:rsid w:val="003521DB"/>
    <w:rsid w:val="003522F8"/>
    <w:rsid w:val="003525AE"/>
    <w:rsid w:val="0035273E"/>
    <w:rsid w:val="003529C4"/>
    <w:rsid w:val="00352E3E"/>
    <w:rsid w:val="00352E9C"/>
    <w:rsid w:val="00352FDE"/>
    <w:rsid w:val="00352FDF"/>
    <w:rsid w:val="00353CBA"/>
    <w:rsid w:val="00354400"/>
    <w:rsid w:val="00354543"/>
    <w:rsid w:val="003547A9"/>
    <w:rsid w:val="00354A99"/>
    <w:rsid w:val="00354C9E"/>
    <w:rsid w:val="00354EB4"/>
    <w:rsid w:val="0035520E"/>
    <w:rsid w:val="00355308"/>
    <w:rsid w:val="003554F6"/>
    <w:rsid w:val="0035581C"/>
    <w:rsid w:val="00356ABD"/>
    <w:rsid w:val="00356D29"/>
    <w:rsid w:val="00356E7C"/>
    <w:rsid w:val="003571C2"/>
    <w:rsid w:val="003571CF"/>
    <w:rsid w:val="00357357"/>
    <w:rsid w:val="0035798D"/>
    <w:rsid w:val="00360510"/>
    <w:rsid w:val="00360932"/>
    <w:rsid w:val="00360A50"/>
    <w:rsid w:val="0036114C"/>
    <w:rsid w:val="003614B0"/>
    <w:rsid w:val="00361502"/>
    <w:rsid w:val="0036194E"/>
    <w:rsid w:val="00361DF7"/>
    <w:rsid w:val="00361E2B"/>
    <w:rsid w:val="00362305"/>
    <w:rsid w:val="00362ED0"/>
    <w:rsid w:val="00362F31"/>
    <w:rsid w:val="003630FB"/>
    <w:rsid w:val="00363426"/>
    <w:rsid w:val="003635F7"/>
    <w:rsid w:val="003636A4"/>
    <w:rsid w:val="0036391C"/>
    <w:rsid w:val="00363A40"/>
    <w:rsid w:val="00363B48"/>
    <w:rsid w:val="00363D66"/>
    <w:rsid w:val="00363E4A"/>
    <w:rsid w:val="00363FEC"/>
    <w:rsid w:val="003640A7"/>
    <w:rsid w:val="003643CD"/>
    <w:rsid w:val="003644B1"/>
    <w:rsid w:val="0036463E"/>
    <w:rsid w:val="00364E0D"/>
    <w:rsid w:val="00365447"/>
    <w:rsid w:val="00365A57"/>
    <w:rsid w:val="00365ADC"/>
    <w:rsid w:val="00365BD8"/>
    <w:rsid w:val="003660CD"/>
    <w:rsid w:val="003661EE"/>
    <w:rsid w:val="00366A28"/>
    <w:rsid w:val="0036747E"/>
    <w:rsid w:val="0036794E"/>
    <w:rsid w:val="00367C74"/>
    <w:rsid w:val="00367E8E"/>
    <w:rsid w:val="00370030"/>
    <w:rsid w:val="00370121"/>
    <w:rsid w:val="00370992"/>
    <w:rsid w:val="00370A2C"/>
    <w:rsid w:val="00370BBE"/>
    <w:rsid w:val="00370D96"/>
    <w:rsid w:val="00370E7C"/>
    <w:rsid w:val="00370E85"/>
    <w:rsid w:val="00371163"/>
    <w:rsid w:val="00371668"/>
    <w:rsid w:val="00371846"/>
    <w:rsid w:val="00371ED9"/>
    <w:rsid w:val="00372292"/>
    <w:rsid w:val="00372636"/>
    <w:rsid w:val="00372B38"/>
    <w:rsid w:val="003734EF"/>
    <w:rsid w:val="00373B07"/>
    <w:rsid w:val="00373CC9"/>
    <w:rsid w:val="00373F06"/>
    <w:rsid w:val="003744A0"/>
    <w:rsid w:val="003745F3"/>
    <w:rsid w:val="003747E1"/>
    <w:rsid w:val="00374957"/>
    <w:rsid w:val="00374D6E"/>
    <w:rsid w:val="00374DAE"/>
    <w:rsid w:val="00375579"/>
    <w:rsid w:val="003755E7"/>
    <w:rsid w:val="003757EC"/>
    <w:rsid w:val="003758B3"/>
    <w:rsid w:val="00376166"/>
    <w:rsid w:val="003762E2"/>
    <w:rsid w:val="00376315"/>
    <w:rsid w:val="003769F5"/>
    <w:rsid w:val="00376B4B"/>
    <w:rsid w:val="00376BC5"/>
    <w:rsid w:val="00376CDA"/>
    <w:rsid w:val="00376D4E"/>
    <w:rsid w:val="0037745B"/>
    <w:rsid w:val="0037748D"/>
    <w:rsid w:val="00377D67"/>
    <w:rsid w:val="00380344"/>
    <w:rsid w:val="00380725"/>
    <w:rsid w:val="0038075D"/>
    <w:rsid w:val="00380C06"/>
    <w:rsid w:val="00380E68"/>
    <w:rsid w:val="0038139C"/>
    <w:rsid w:val="0038146C"/>
    <w:rsid w:val="003815EC"/>
    <w:rsid w:val="00381655"/>
    <w:rsid w:val="003816C2"/>
    <w:rsid w:val="003817F8"/>
    <w:rsid w:val="00381C8B"/>
    <w:rsid w:val="00381D1E"/>
    <w:rsid w:val="00381DDC"/>
    <w:rsid w:val="00382609"/>
    <w:rsid w:val="00382D1C"/>
    <w:rsid w:val="003835C0"/>
    <w:rsid w:val="00383C10"/>
    <w:rsid w:val="00383E57"/>
    <w:rsid w:val="00383F09"/>
    <w:rsid w:val="00383F48"/>
    <w:rsid w:val="003844C5"/>
    <w:rsid w:val="0038476A"/>
    <w:rsid w:val="00384871"/>
    <w:rsid w:val="00384972"/>
    <w:rsid w:val="00384CA2"/>
    <w:rsid w:val="00385296"/>
    <w:rsid w:val="003852F8"/>
    <w:rsid w:val="00386124"/>
    <w:rsid w:val="003864D5"/>
    <w:rsid w:val="0038672F"/>
    <w:rsid w:val="003869FE"/>
    <w:rsid w:val="00386B04"/>
    <w:rsid w:val="00386E03"/>
    <w:rsid w:val="0039027D"/>
    <w:rsid w:val="0039040A"/>
    <w:rsid w:val="00390567"/>
    <w:rsid w:val="00390650"/>
    <w:rsid w:val="00390DCD"/>
    <w:rsid w:val="00391078"/>
    <w:rsid w:val="0039147F"/>
    <w:rsid w:val="00391AC7"/>
    <w:rsid w:val="00391FDB"/>
    <w:rsid w:val="00392745"/>
    <w:rsid w:val="0039351D"/>
    <w:rsid w:val="00393639"/>
    <w:rsid w:val="00393FC7"/>
    <w:rsid w:val="0039487E"/>
    <w:rsid w:val="003948BD"/>
    <w:rsid w:val="00394A7C"/>
    <w:rsid w:val="00394DC2"/>
    <w:rsid w:val="00395A61"/>
    <w:rsid w:val="003963FC"/>
    <w:rsid w:val="003966F6"/>
    <w:rsid w:val="0039677D"/>
    <w:rsid w:val="003977E4"/>
    <w:rsid w:val="003977F7"/>
    <w:rsid w:val="00397B47"/>
    <w:rsid w:val="00397B59"/>
    <w:rsid w:val="00397CDC"/>
    <w:rsid w:val="003A03A6"/>
    <w:rsid w:val="003A0660"/>
    <w:rsid w:val="003A0CB7"/>
    <w:rsid w:val="003A0D52"/>
    <w:rsid w:val="003A1A1A"/>
    <w:rsid w:val="003A1AAD"/>
    <w:rsid w:val="003A2112"/>
    <w:rsid w:val="003A226B"/>
    <w:rsid w:val="003A24DB"/>
    <w:rsid w:val="003A24F0"/>
    <w:rsid w:val="003A2750"/>
    <w:rsid w:val="003A29CE"/>
    <w:rsid w:val="003A2C17"/>
    <w:rsid w:val="003A2ED1"/>
    <w:rsid w:val="003A3399"/>
    <w:rsid w:val="003A33D5"/>
    <w:rsid w:val="003A33DC"/>
    <w:rsid w:val="003A368E"/>
    <w:rsid w:val="003A36F9"/>
    <w:rsid w:val="003A38B5"/>
    <w:rsid w:val="003A3CFC"/>
    <w:rsid w:val="003A3E4A"/>
    <w:rsid w:val="003A41A1"/>
    <w:rsid w:val="003A48F4"/>
    <w:rsid w:val="003A4B55"/>
    <w:rsid w:val="003A4C47"/>
    <w:rsid w:val="003A5080"/>
    <w:rsid w:val="003A58C0"/>
    <w:rsid w:val="003A5B46"/>
    <w:rsid w:val="003A5C5C"/>
    <w:rsid w:val="003A6724"/>
    <w:rsid w:val="003A6801"/>
    <w:rsid w:val="003A6B8D"/>
    <w:rsid w:val="003A6C00"/>
    <w:rsid w:val="003A6E1A"/>
    <w:rsid w:val="003A7536"/>
    <w:rsid w:val="003A7A63"/>
    <w:rsid w:val="003B07F5"/>
    <w:rsid w:val="003B0960"/>
    <w:rsid w:val="003B0A76"/>
    <w:rsid w:val="003B0BA1"/>
    <w:rsid w:val="003B10E7"/>
    <w:rsid w:val="003B2239"/>
    <w:rsid w:val="003B22D1"/>
    <w:rsid w:val="003B278C"/>
    <w:rsid w:val="003B29D8"/>
    <w:rsid w:val="003B2C4E"/>
    <w:rsid w:val="003B2D03"/>
    <w:rsid w:val="003B306E"/>
    <w:rsid w:val="003B37E9"/>
    <w:rsid w:val="003B43C3"/>
    <w:rsid w:val="003B4494"/>
    <w:rsid w:val="003B4599"/>
    <w:rsid w:val="003B4945"/>
    <w:rsid w:val="003B4A74"/>
    <w:rsid w:val="003B4A7A"/>
    <w:rsid w:val="003B4B6D"/>
    <w:rsid w:val="003B4FD4"/>
    <w:rsid w:val="003B53E2"/>
    <w:rsid w:val="003B5550"/>
    <w:rsid w:val="003B5D32"/>
    <w:rsid w:val="003B61B7"/>
    <w:rsid w:val="003B6289"/>
    <w:rsid w:val="003B63E7"/>
    <w:rsid w:val="003B698C"/>
    <w:rsid w:val="003B7E77"/>
    <w:rsid w:val="003C05D9"/>
    <w:rsid w:val="003C083B"/>
    <w:rsid w:val="003C088D"/>
    <w:rsid w:val="003C0898"/>
    <w:rsid w:val="003C0AFA"/>
    <w:rsid w:val="003C107A"/>
    <w:rsid w:val="003C17D0"/>
    <w:rsid w:val="003C19B4"/>
    <w:rsid w:val="003C1A5C"/>
    <w:rsid w:val="003C1AE2"/>
    <w:rsid w:val="003C1F51"/>
    <w:rsid w:val="003C23AC"/>
    <w:rsid w:val="003C252E"/>
    <w:rsid w:val="003C2747"/>
    <w:rsid w:val="003C27E6"/>
    <w:rsid w:val="003C2AAF"/>
    <w:rsid w:val="003C2BCD"/>
    <w:rsid w:val="003C2D36"/>
    <w:rsid w:val="003C3037"/>
    <w:rsid w:val="003C4478"/>
    <w:rsid w:val="003C46F2"/>
    <w:rsid w:val="003C4A64"/>
    <w:rsid w:val="003C4EA0"/>
    <w:rsid w:val="003C4F8F"/>
    <w:rsid w:val="003C5DC5"/>
    <w:rsid w:val="003C618D"/>
    <w:rsid w:val="003C64B2"/>
    <w:rsid w:val="003C66B1"/>
    <w:rsid w:val="003C682F"/>
    <w:rsid w:val="003C68ED"/>
    <w:rsid w:val="003C692C"/>
    <w:rsid w:val="003C6B59"/>
    <w:rsid w:val="003C6EFB"/>
    <w:rsid w:val="003C75ED"/>
    <w:rsid w:val="003C7A42"/>
    <w:rsid w:val="003C7C4B"/>
    <w:rsid w:val="003D0AAA"/>
    <w:rsid w:val="003D0F2E"/>
    <w:rsid w:val="003D1153"/>
    <w:rsid w:val="003D12A7"/>
    <w:rsid w:val="003D1922"/>
    <w:rsid w:val="003D299E"/>
    <w:rsid w:val="003D2C15"/>
    <w:rsid w:val="003D31A6"/>
    <w:rsid w:val="003D31A8"/>
    <w:rsid w:val="003D3E8F"/>
    <w:rsid w:val="003D408A"/>
    <w:rsid w:val="003D473D"/>
    <w:rsid w:val="003D55E1"/>
    <w:rsid w:val="003D56D5"/>
    <w:rsid w:val="003D59A4"/>
    <w:rsid w:val="003D5DE3"/>
    <w:rsid w:val="003D62E1"/>
    <w:rsid w:val="003D641A"/>
    <w:rsid w:val="003D6738"/>
    <w:rsid w:val="003D6D9D"/>
    <w:rsid w:val="003D71EB"/>
    <w:rsid w:val="003D72B6"/>
    <w:rsid w:val="003D793B"/>
    <w:rsid w:val="003E037A"/>
    <w:rsid w:val="003E08A8"/>
    <w:rsid w:val="003E16D3"/>
    <w:rsid w:val="003E18B3"/>
    <w:rsid w:val="003E1908"/>
    <w:rsid w:val="003E2215"/>
    <w:rsid w:val="003E22CB"/>
    <w:rsid w:val="003E2343"/>
    <w:rsid w:val="003E2913"/>
    <w:rsid w:val="003E3271"/>
    <w:rsid w:val="003E3782"/>
    <w:rsid w:val="003E3BB8"/>
    <w:rsid w:val="003E406B"/>
    <w:rsid w:val="003E4ABD"/>
    <w:rsid w:val="003E4F96"/>
    <w:rsid w:val="003E5989"/>
    <w:rsid w:val="003E5CCA"/>
    <w:rsid w:val="003E68BD"/>
    <w:rsid w:val="003E68F4"/>
    <w:rsid w:val="003E6C26"/>
    <w:rsid w:val="003E71FA"/>
    <w:rsid w:val="003E7773"/>
    <w:rsid w:val="003E7CF6"/>
    <w:rsid w:val="003F032B"/>
    <w:rsid w:val="003F0FA5"/>
    <w:rsid w:val="003F115E"/>
    <w:rsid w:val="003F14C2"/>
    <w:rsid w:val="003F14EB"/>
    <w:rsid w:val="003F1E8E"/>
    <w:rsid w:val="003F2210"/>
    <w:rsid w:val="003F23E8"/>
    <w:rsid w:val="003F2702"/>
    <w:rsid w:val="003F2B4A"/>
    <w:rsid w:val="003F2B96"/>
    <w:rsid w:val="003F2E52"/>
    <w:rsid w:val="003F329B"/>
    <w:rsid w:val="003F3698"/>
    <w:rsid w:val="003F4337"/>
    <w:rsid w:val="003F4EC8"/>
    <w:rsid w:val="003F535C"/>
    <w:rsid w:val="003F5DD4"/>
    <w:rsid w:val="003F61FE"/>
    <w:rsid w:val="003F66A5"/>
    <w:rsid w:val="003F6A33"/>
    <w:rsid w:val="003F6C75"/>
    <w:rsid w:val="003F7196"/>
    <w:rsid w:val="003F7840"/>
    <w:rsid w:val="003F7DC3"/>
    <w:rsid w:val="004004AD"/>
    <w:rsid w:val="004008AF"/>
    <w:rsid w:val="004008C5"/>
    <w:rsid w:val="00400B5F"/>
    <w:rsid w:val="00401456"/>
    <w:rsid w:val="00401AF3"/>
    <w:rsid w:val="00401C88"/>
    <w:rsid w:val="00401DBF"/>
    <w:rsid w:val="004024D0"/>
    <w:rsid w:val="004026B6"/>
    <w:rsid w:val="00402918"/>
    <w:rsid w:val="004029FD"/>
    <w:rsid w:val="004032F3"/>
    <w:rsid w:val="004033D9"/>
    <w:rsid w:val="00403560"/>
    <w:rsid w:val="00403F77"/>
    <w:rsid w:val="00404149"/>
    <w:rsid w:val="004043C5"/>
    <w:rsid w:val="00404563"/>
    <w:rsid w:val="00404A94"/>
    <w:rsid w:val="00404B09"/>
    <w:rsid w:val="00404DCF"/>
    <w:rsid w:val="00404FA3"/>
    <w:rsid w:val="004051EB"/>
    <w:rsid w:val="0040551F"/>
    <w:rsid w:val="00405D8E"/>
    <w:rsid w:val="0040604F"/>
    <w:rsid w:val="00406618"/>
    <w:rsid w:val="00406711"/>
    <w:rsid w:val="00406CBD"/>
    <w:rsid w:val="00407133"/>
    <w:rsid w:val="0040771F"/>
    <w:rsid w:val="00407C91"/>
    <w:rsid w:val="00407DBD"/>
    <w:rsid w:val="00407FA8"/>
    <w:rsid w:val="004111F7"/>
    <w:rsid w:val="004113A2"/>
    <w:rsid w:val="0041169F"/>
    <w:rsid w:val="004118A4"/>
    <w:rsid w:val="0041217D"/>
    <w:rsid w:val="004125C6"/>
    <w:rsid w:val="0041275F"/>
    <w:rsid w:val="00412A0D"/>
    <w:rsid w:val="00412A27"/>
    <w:rsid w:val="0041331B"/>
    <w:rsid w:val="004134D3"/>
    <w:rsid w:val="00413707"/>
    <w:rsid w:val="00413A58"/>
    <w:rsid w:val="00413C60"/>
    <w:rsid w:val="00413EDA"/>
    <w:rsid w:val="00413F1A"/>
    <w:rsid w:val="00414066"/>
    <w:rsid w:val="0041419F"/>
    <w:rsid w:val="00414B34"/>
    <w:rsid w:val="0041500D"/>
    <w:rsid w:val="00415979"/>
    <w:rsid w:val="00415CBE"/>
    <w:rsid w:val="0041614D"/>
    <w:rsid w:val="00416393"/>
    <w:rsid w:val="004166D6"/>
    <w:rsid w:val="00417733"/>
    <w:rsid w:val="00417756"/>
    <w:rsid w:val="00417789"/>
    <w:rsid w:val="00417ED0"/>
    <w:rsid w:val="00417F13"/>
    <w:rsid w:val="0042093D"/>
    <w:rsid w:val="00420CD1"/>
    <w:rsid w:val="004210F8"/>
    <w:rsid w:val="00421183"/>
    <w:rsid w:val="0042166C"/>
    <w:rsid w:val="00421A89"/>
    <w:rsid w:val="00421C56"/>
    <w:rsid w:val="00421D76"/>
    <w:rsid w:val="00421E0D"/>
    <w:rsid w:val="00421EBC"/>
    <w:rsid w:val="00421EC0"/>
    <w:rsid w:val="00422D3C"/>
    <w:rsid w:val="00422D84"/>
    <w:rsid w:val="0042304B"/>
    <w:rsid w:val="004231F5"/>
    <w:rsid w:val="00423406"/>
    <w:rsid w:val="00423503"/>
    <w:rsid w:val="0042360F"/>
    <w:rsid w:val="00423B8C"/>
    <w:rsid w:val="00424084"/>
    <w:rsid w:val="00424F2F"/>
    <w:rsid w:val="00425577"/>
    <w:rsid w:val="0042596D"/>
    <w:rsid w:val="0042602E"/>
    <w:rsid w:val="00426C6F"/>
    <w:rsid w:val="00426E5A"/>
    <w:rsid w:val="004272EB"/>
    <w:rsid w:val="004273AD"/>
    <w:rsid w:val="00427D50"/>
    <w:rsid w:val="004305AE"/>
    <w:rsid w:val="004307B7"/>
    <w:rsid w:val="004308AD"/>
    <w:rsid w:val="00430C0D"/>
    <w:rsid w:val="00431194"/>
    <w:rsid w:val="00431800"/>
    <w:rsid w:val="00431CE4"/>
    <w:rsid w:val="00431F9F"/>
    <w:rsid w:val="00432012"/>
    <w:rsid w:val="0043204F"/>
    <w:rsid w:val="004320DE"/>
    <w:rsid w:val="00432231"/>
    <w:rsid w:val="0043289B"/>
    <w:rsid w:val="00432A29"/>
    <w:rsid w:val="00432B15"/>
    <w:rsid w:val="00432CE6"/>
    <w:rsid w:val="00433115"/>
    <w:rsid w:val="00433263"/>
    <w:rsid w:val="004332F2"/>
    <w:rsid w:val="00433541"/>
    <w:rsid w:val="00433870"/>
    <w:rsid w:val="00433B30"/>
    <w:rsid w:val="00433D20"/>
    <w:rsid w:val="00433F6B"/>
    <w:rsid w:val="004340C7"/>
    <w:rsid w:val="0043416A"/>
    <w:rsid w:val="004341EB"/>
    <w:rsid w:val="0043436C"/>
    <w:rsid w:val="004344B7"/>
    <w:rsid w:val="004346CE"/>
    <w:rsid w:val="00434B99"/>
    <w:rsid w:val="00434C17"/>
    <w:rsid w:val="00434CFD"/>
    <w:rsid w:val="004350C8"/>
    <w:rsid w:val="00435551"/>
    <w:rsid w:val="004358DC"/>
    <w:rsid w:val="00435C8B"/>
    <w:rsid w:val="00436509"/>
    <w:rsid w:val="00436514"/>
    <w:rsid w:val="00436CC2"/>
    <w:rsid w:val="00436F3B"/>
    <w:rsid w:val="00437503"/>
    <w:rsid w:val="004376AF"/>
    <w:rsid w:val="00437B0C"/>
    <w:rsid w:val="004401E1"/>
    <w:rsid w:val="00440752"/>
    <w:rsid w:val="00440BC9"/>
    <w:rsid w:val="00440E7C"/>
    <w:rsid w:val="00441350"/>
    <w:rsid w:val="004414B2"/>
    <w:rsid w:val="00441844"/>
    <w:rsid w:val="004418BE"/>
    <w:rsid w:val="004419BC"/>
    <w:rsid w:val="00441B6B"/>
    <w:rsid w:val="0044200B"/>
    <w:rsid w:val="004423F7"/>
    <w:rsid w:val="00442A49"/>
    <w:rsid w:val="00442B2B"/>
    <w:rsid w:val="004434E8"/>
    <w:rsid w:val="00443580"/>
    <w:rsid w:val="0044370D"/>
    <w:rsid w:val="00443D9C"/>
    <w:rsid w:val="0044403C"/>
    <w:rsid w:val="00444358"/>
    <w:rsid w:val="00444489"/>
    <w:rsid w:val="00444955"/>
    <w:rsid w:val="00444AC1"/>
    <w:rsid w:val="00444B44"/>
    <w:rsid w:val="004454D6"/>
    <w:rsid w:val="004454EA"/>
    <w:rsid w:val="00445870"/>
    <w:rsid w:val="004459AF"/>
    <w:rsid w:val="00445F18"/>
    <w:rsid w:val="00445F4A"/>
    <w:rsid w:val="00445F82"/>
    <w:rsid w:val="00445F8D"/>
    <w:rsid w:val="00445FBA"/>
    <w:rsid w:val="00446576"/>
    <w:rsid w:val="0044665E"/>
    <w:rsid w:val="0044690B"/>
    <w:rsid w:val="00446939"/>
    <w:rsid w:val="00446BBE"/>
    <w:rsid w:val="00446F4F"/>
    <w:rsid w:val="0044782C"/>
    <w:rsid w:val="00447890"/>
    <w:rsid w:val="004501C5"/>
    <w:rsid w:val="0045093D"/>
    <w:rsid w:val="00450CB4"/>
    <w:rsid w:val="00450D9B"/>
    <w:rsid w:val="00451224"/>
    <w:rsid w:val="0045125F"/>
    <w:rsid w:val="004512FB"/>
    <w:rsid w:val="004513A6"/>
    <w:rsid w:val="00451600"/>
    <w:rsid w:val="00451645"/>
    <w:rsid w:val="00451BE1"/>
    <w:rsid w:val="00451C4F"/>
    <w:rsid w:val="00451E82"/>
    <w:rsid w:val="00451EA9"/>
    <w:rsid w:val="004521A9"/>
    <w:rsid w:val="0045221C"/>
    <w:rsid w:val="0045237E"/>
    <w:rsid w:val="00452A15"/>
    <w:rsid w:val="00452BC4"/>
    <w:rsid w:val="00452D51"/>
    <w:rsid w:val="00452E04"/>
    <w:rsid w:val="00453007"/>
    <w:rsid w:val="0045364F"/>
    <w:rsid w:val="004538DF"/>
    <w:rsid w:val="00453D22"/>
    <w:rsid w:val="00454A0C"/>
    <w:rsid w:val="00454CA1"/>
    <w:rsid w:val="00454F8E"/>
    <w:rsid w:val="0045512F"/>
    <w:rsid w:val="004551BE"/>
    <w:rsid w:val="00455C28"/>
    <w:rsid w:val="0045690B"/>
    <w:rsid w:val="00456AE2"/>
    <w:rsid w:val="004575B6"/>
    <w:rsid w:val="00457880"/>
    <w:rsid w:val="00457DB2"/>
    <w:rsid w:val="00460634"/>
    <w:rsid w:val="00460670"/>
    <w:rsid w:val="004618ED"/>
    <w:rsid w:val="00461E73"/>
    <w:rsid w:val="00462520"/>
    <w:rsid w:val="00462778"/>
    <w:rsid w:val="0046277A"/>
    <w:rsid w:val="004628A7"/>
    <w:rsid w:val="0046301E"/>
    <w:rsid w:val="004635B1"/>
    <w:rsid w:val="00463A63"/>
    <w:rsid w:val="0046424B"/>
    <w:rsid w:val="0046463C"/>
    <w:rsid w:val="00464C34"/>
    <w:rsid w:val="00464F6C"/>
    <w:rsid w:val="0046512D"/>
    <w:rsid w:val="00465312"/>
    <w:rsid w:val="0046555C"/>
    <w:rsid w:val="00465B8B"/>
    <w:rsid w:val="00465CF9"/>
    <w:rsid w:val="00466597"/>
    <w:rsid w:val="00466750"/>
    <w:rsid w:val="00467347"/>
    <w:rsid w:val="00467950"/>
    <w:rsid w:val="00467A75"/>
    <w:rsid w:val="00467DBC"/>
    <w:rsid w:val="004702F1"/>
    <w:rsid w:val="00470320"/>
    <w:rsid w:val="0047058F"/>
    <w:rsid w:val="00471037"/>
    <w:rsid w:val="00471D0D"/>
    <w:rsid w:val="00471D34"/>
    <w:rsid w:val="004720FA"/>
    <w:rsid w:val="00472D82"/>
    <w:rsid w:val="00473AB7"/>
    <w:rsid w:val="00473B09"/>
    <w:rsid w:val="00473B14"/>
    <w:rsid w:val="0047406B"/>
    <w:rsid w:val="004745A4"/>
    <w:rsid w:val="00474885"/>
    <w:rsid w:val="00474BB2"/>
    <w:rsid w:val="00474D80"/>
    <w:rsid w:val="00474E01"/>
    <w:rsid w:val="00475228"/>
    <w:rsid w:val="00475BCA"/>
    <w:rsid w:val="0047642B"/>
    <w:rsid w:val="004766A9"/>
    <w:rsid w:val="00476819"/>
    <w:rsid w:val="00476DF0"/>
    <w:rsid w:val="0047733D"/>
    <w:rsid w:val="004777D0"/>
    <w:rsid w:val="00477F39"/>
    <w:rsid w:val="00477F5C"/>
    <w:rsid w:val="00480367"/>
    <w:rsid w:val="004808EC"/>
    <w:rsid w:val="00480A59"/>
    <w:rsid w:val="0048111F"/>
    <w:rsid w:val="00481E51"/>
    <w:rsid w:val="00482000"/>
    <w:rsid w:val="00482804"/>
    <w:rsid w:val="00482B47"/>
    <w:rsid w:val="0048315A"/>
    <w:rsid w:val="00483203"/>
    <w:rsid w:val="0048323E"/>
    <w:rsid w:val="004838D8"/>
    <w:rsid w:val="00483D7A"/>
    <w:rsid w:val="0048467E"/>
    <w:rsid w:val="00484CC8"/>
    <w:rsid w:val="00484DC5"/>
    <w:rsid w:val="00485675"/>
    <w:rsid w:val="00485AB1"/>
    <w:rsid w:val="00485EA5"/>
    <w:rsid w:val="00486774"/>
    <w:rsid w:val="00486A8D"/>
    <w:rsid w:val="00486CCD"/>
    <w:rsid w:val="00486E2C"/>
    <w:rsid w:val="004876D5"/>
    <w:rsid w:val="004876F5"/>
    <w:rsid w:val="00487C85"/>
    <w:rsid w:val="00490029"/>
    <w:rsid w:val="0049036E"/>
    <w:rsid w:val="00490738"/>
    <w:rsid w:val="00490949"/>
    <w:rsid w:val="00490D53"/>
    <w:rsid w:val="00490DC4"/>
    <w:rsid w:val="00491190"/>
    <w:rsid w:val="00491A5D"/>
    <w:rsid w:val="00491E76"/>
    <w:rsid w:val="00492725"/>
    <w:rsid w:val="00492C38"/>
    <w:rsid w:val="00492C7E"/>
    <w:rsid w:val="00493620"/>
    <w:rsid w:val="00493C75"/>
    <w:rsid w:val="0049414C"/>
    <w:rsid w:val="0049421F"/>
    <w:rsid w:val="00494323"/>
    <w:rsid w:val="00494EA1"/>
    <w:rsid w:val="00494F30"/>
    <w:rsid w:val="00494F64"/>
    <w:rsid w:val="0049536C"/>
    <w:rsid w:val="004956BC"/>
    <w:rsid w:val="004957D8"/>
    <w:rsid w:val="0049593A"/>
    <w:rsid w:val="00495965"/>
    <w:rsid w:val="00495AC2"/>
    <w:rsid w:val="0049643E"/>
    <w:rsid w:val="004965A4"/>
    <w:rsid w:val="00496A7B"/>
    <w:rsid w:val="00496E59"/>
    <w:rsid w:val="0049732E"/>
    <w:rsid w:val="0049738C"/>
    <w:rsid w:val="00497917"/>
    <w:rsid w:val="00497B9F"/>
    <w:rsid w:val="004A0451"/>
    <w:rsid w:val="004A0D2A"/>
    <w:rsid w:val="004A0DEC"/>
    <w:rsid w:val="004A107B"/>
    <w:rsid w:val="004A120C"/>
    <w:rsid w:val="004A140B"/>
    <w:rsid w:val="004A1E3F"/>
    <w:rsid w:val="004A1EEA"/>
    <w:rsid w:val="004A2084"/>
    <w:rsid w:val="004A22CC"/>
    <w:rsid w:val="004A2725"/>
    <w:rsid w:val="004A2B62"/>
    <w:rsid w:val="004A33B0"/>
    <w:rsid w:val="004A3469"/>
    <w:rsid w:val="004A34AB"/>
    <w:rsid w:val="004A353D"/>
    <w:rsid w:val="004A36E5"/>
    <w:rsid w:val="004A3B3C"/>
    <w:rsid w:val="004A412E"/>
    <w:rsid w:val="004A4182"/>
    <w:rsid w:val="004A4430"/>
    <w:rsid w:val="004A46D7"/>
    <w:rsid w:val="004A4C80"/>
    <w:rsid w:val="004A4FDF"/>
    <w:rsid w:val="004A5489"/>
    <w:rsid w:val="004A579A"/>
    <w:rsid w:val="004A5DAA"/>
    <w:rsid w:val="004A5E73"/>
    <w:rsid w:val="004A5F2C"/>
    <w:rsid w:val="004A66F5"/>
    <w:rsid w:val="004A69C9"/>
    <w:rsid w:val="004A6E2C"/>
    <w:rsid w:val="004A7094"/>
    <w:rsid w:val="004A709C"/>
    <w:rsid w:val="004A7162"/>
    <w:rsid w:val="004A71EE"/>
    <w:rsid w:val="004A7553"/>
    <w:rsid w:val="004A7661"/>
    <w:rsid w:val="004A7774"/>
    <w:rsid w:val="004A7A52"/>
    <w:rsid w:val="004A7B54"/>
    <w:rsid w:val="004B009E"/>
    <w:rsid w:val="004B0465"/>
    <w:rsid w:val="004B05FD"/>
    <w:rsid w:val="004B0814"/>
    <w:rsid w:val="004B08D2"/>
    <w:rsid w:val="004B0BD8"/>
    <w:rsid w:val="004B0D17"/>
    <w:rsid w:val="004B0D1D"/>
    <w:rsid w:val="004B19FE"/>
    <w:rsid w:val="004B2703"/>
    <w:rsid w:val="004B28A6"/>
    <w:rsid w:val="004B2A4D"/>
    <w:rsid w:val="004B2F45"/>
    <w:rsid w:val="004B3073"/>
    <w:rsid w:val="004B33C2"/>
    <w:rsid w:val="004B3D42"/>
    <w:rsid w:val="004B4126"/>
    <w:rsid w:val="004B4214"/>
    <w:rsid w:val="004B539A"/>
    <w:rsid w:val="004B58D9"/>
    <w:rsid w:val="004B595C"/>
    <w:rsid w:val="004B5BC8"/>
    <w:rsid w:val="004B5D89"/>
    <w:rsid w:val="004B6510"/>
    <w:rsid w:val="004B6678"/>
    <w:rsid w:val="004B689D"/>
    <w:rsid w:val="004B6ADA"/>
    <w:rsid w:val="004B6C4E"/>
    <w:rsid w:val="004B707D"/>
    <w:rsid w:val="004B72E3"/>
    <w:rsid w:val="004B73A5"/>
    <w:rsid w:val="004B7484"/>
    <w:rsid w:val="004B75E8"/>
    <w:rsid w:val="004B7B07"/>
    <w:rsid w:val="004B7F7A"/>
    <w:rsid w:val="004C0007"/>
    <w:rsid w:val="004C06D5"/>
    <w:rsid w:val="004C0AC5"/>
    <w:rsid w:val="004C0B4C"/>
    <w:rsid w:val="004C0E97"/>
    <w:rsid w:val="004C116F"/>
    <w:rsid w:val="004C11E2"/>
    <w:rsid w:val="004C1A28"/>
    <w:rsid w:val="004C1A9B"/>
    <w:rsid w:val="004C1B57"/>
    <w:rsid w:val="004C1D6F"/>
    <w:rsid w:val="004C1E41"/>
    <w:rsid w:val="004C31B4"/>
    <w:rsid w:val="004C32B3"/>
    <w:rsid w:val="004C3550"/>
    <w:rsid w:val="004C37A1"/>
    <w:rsid w:val="004C4472"/>
    <w:rsid w:val="004C48C8"/>
    <w:rsid w:val="004C4B72"/>
    <w:rsid w:val="004C598D"/>
    <w:rsid w:val="004C68CD"/>
    <w:rsid w:val="004C697C"/>
    <w:rsid w:val="004C6AC2"/>
    <w:rsid w:val="004C7088"/>
    <w:rsid w:val="004C716C"/>
    <w:rsid w:val="004C7512"/>
    <w:rsid w:val="004C77E9"/>
    <w:rsid w:val="004D0220"/>
    <w:rsid w:val="004D0435"/>
    <w:rsid w:val="004D0514"/>
    <w:rsid w:val="004D0878"/>
    <w:rsid w:val="004D0D59"/>
    <w:rsid w:val="004D0D72"/>
    <w:rsid w:val="004D118F"/>
    <w:rsid w:val="004D1942"/>
    <w:rsid w:val="004D1C41"/>
    <w:rsid w:val="004D1EB5"/>
    <w:rsid w:val="004D32A7"/>
    <w:rsid w:val="004D35A6"/>
    <w:rsid w:val="004D3897"/>
    <w:rsid w:val="004D3AE0"/>
    <w:rsid w:val="004D3C6C"/>
    <w:rsid w:val="004D43C1"/>
    <w:rsid w:val="004D4425"/>
    <w:rsid w:val="004D48C7"/>
    <w:rsid w:val="004D5099"/>
    <w:rsid w:val="004D54A6"/>
    <w:rsid w:val="004D5C01"/>
    <w:rsid w:val="004D6203"/>
    <w:rsid w:val="004D62F3"/>
    <w:rsid w:val="004D72CE"/>
    <w:rsid w:val="004E0363"/>
    <w:rsid w:val="004E08E2"/>
    <w:rsid w:val="004E1018"/>
    <w:rsid w:val="004E10F9"/>
    <w:rsid w:val="004E121B"/>
    <w:rsid w:val="004E153B"/>
    <w:rsid w:val="004E16D3"/>
    <w:rsid w:val="004E1A41"/>
    <w:rsid w:val="004E2AA2"/>
    <w:rsid w:val="004E2B68"/>
    <w:rsid w:val="004E2BD6"/>
    <w:rsid w:val="004E315C"/>
    <w:rsid w:val="004E3252"/>
    <w:rsid w:val="004E3491"/>
    <w:rsid w:val="004E3935"/>
    <w:rsid w:val="004E3A2F"/>
    <w:rsid w:val="004E3AAC"/>
    <w:rsid w:val="004E3B1B"/>
    <w:rsid w:val="004E3F14"/>
    <w:rsid w:val="004E3FC2"/>
    <w:rsid w:val="004E4085"/>
    <w:rsid w:val="004E4F0A"/>
    <w:rsid w:val="004E5088"/>
    <w:rsid w:val="004E55B3"/>
    <w:rsid w:val="004E5F90"/>
    <w:rsid w:val="004E6041"/>
    <w:rsid w:val="004E6497"/>
    <w:rsid w:val="004E6599"/>
    <w:rsid w:val="004E6967"/>
    <w:rsid w:val="004E6C5C"/>
    <w:rsid w:val="004E6D70"/>
    <w:rsid w:val="004F01CC"/>
    <w:rsid w:val="004F027F"/>
    <w:rsid w:val="004F039C"/>
    <w:rsid w:val="004F0751"/>
    <w:rsid w:val="004F09EF"/>
    <w:rsid w:val="004F0F0F"/>
    <w:rsid w:val="004F1077"/>
    <w:rsid w:val="004F1121"/>
    <w:rsid w:val="004F1C45"/>
    <w:rsid w:val="004F1D36"/>
    <w:rsid w:val="004F1E3B"/>
    <w:rsid w:val="004F220F"/>
    <w:rsid w:val="004F2C86"/>
    <w:rsid w:val="004F2CFA"/>
    <w:rsid w:val="004F2D96"/>
    <w:rsid w:val="004F3A23"/>
    <w:rsid w:val="004F3D57"/>
    <w:rsid w:val="004F4061"/>
    <w:rsid w:val="004F4347"/>
    <w:rsid w:val="004F4D1D"/>
    <w:rsid w:val="004F4DCE"/>
    <w:rsid w:val="004F4F5E"/>
    <w:rsid w:val="004F4F96"/>
    <w:rsid w:val="004F52BE"/>
    <w:rsid w:val="004F5851"/>
    <w:rsid w:val="004F5A3A"/>
    <w:rsid w:val="004F5B66"/>
    <w:rsid w:val="004F5E57"/>
    <w:rsid w:val="004F649D"/>
    <w:rsid w:val="004F6696"/>
    <w:rsid w:val="004F6715"/>
    <w:rsid w:val="004F6832"/>
    <w:rsid w:val="004F6AD3"/>
    <w:rsid w:val="004F6CF2"/>
    <w:rsid w:val="004F771F"/>
    <w:rsid w:val="005002EF"/>
    <w:rsid w:val="00500301"/>
    <w:rsid w:val="005007BD"/>
    <w:rsid w:val="00500916"/>
    <w:rsid w:val="0050103F"/>
    <w:rsid w:val="00501386"/>
    <w:rsid w:val="00501AC2"/>
    <w:rsid w:val="00501BD9"/>
    <w:rsid w:val="00501C25"/>
    <w:rsid w:val="00502235"/>
    <w:rsid w:val="00502488"/>
    <w:rsid w:val="00502646"/>
    <w:rsid w:val="005027A6"/>
    <w:rsid w:val="00502862"/>
    <w:rsid w:val="00502D40"/>
    <w:rsid w:val="00502DAE"/>
    <w:rsid w:val="00502E85"/>
    <w:rsid w:val="00502FFB"/>
    <w:rsid w:val="00503741"/>
    <w:rsid w:val="00503772"/>
    <w:rsid w:val="00503877"/>
    <w:rsid w:val="005038A0"/>
    <w:rsid w:val="00503D09"/>
    <w:rsid w:val="005041A2"/>
    <w:rsid w:val="0050420C"/>
    <w:rsid w:val="005047E8"/>
    <w:rsid w:val="00504A82"/>
    <w:rsid w:val="00504C11"/>
    <w:rsid w:val="00504DF7"/>
    <w:rsid w:val="00505355"/>
    <w:rsid w:val="00505518"/>
    <w:rsid w:val="00505562"/>
    <w:rsid w:val="0050596B"/>
    <w:rsid w:val="00505DAE"/>
    <w:rsid w:val="00505E19"/>
    <w:rsid w:val="00505EEF"/>
    <w:rsid w:val="005067A7"/>
    <w:rsid w:val="00506875"/>
    <w:rsid w:val="00506D76"/>
    <w:rsid w:val="005074C6"/>
    <w:rsid w:val="00507C06"/>
    <w:rsid w:val="00507D4C"/>
    <w:rsid w:val="00507FF5"/>
    <w:rsid w:val="00510285"/>
    <w:rsid w:val="005103C5"/>
    <w:rsid w:val="00510D92"/>
    <w:rsid w:val="00510E83"/>
    <w:rsid w:val="005111AD"/>
    <w:rsid w:val="0051141B"/>
    <w:rsid w:val="00511F77"/>
    <w:rsid w:val="00512435"/>
    <w:rsid w:val="00512781"/>
    <w:rsid w:val="005130B5"/>
    <w:rsid w:val="005131D3"/>
    <w:rsid w:val="005133E9"/>
    <w:rsid w:val="0051352C"/>
    <w:rsid w:val="00513789"/>
    <w:rsid w:val="00513F13"/>
    <w:rsid w:val="00514B25"/>
    <w:rsid w:val="00514FC2"/>
    <w:rsid w:val="005156C6"/>
    <w:rsid w:val="00515BFA"/>
    <w:rsid w:val="0051649A"/>
    <w:rsid w:val="00516938"/>
    <w:rsid w:val="00517A86"/>
    <w:rsid w:val="00517CB5"/>
    <w:rsid w:val="00517DE8"/>
    <w:rsid w:val="00517E1D"/>
    <w:rsid w:val="005204D6"/>
    <w:rsid w:val="00520CC1"/>
    <w:rsid w:val="00521B36"/>
    <w:rsid w:val="00521BD4"/>
    <w:rsid w:val="00521D38"/>
    <w:rsid w:val="00521E60"/>
    <w:rsid w:val="005223BE"/>
    <w:rsid w:val="0052242A"/>
    <w:rsid w:val="005224EE"/>
    <w:rsid w:val="0052292C"/>
    <w:rsid w:val="00523165"/>
    <w:rsid w:val="00523295"/>
    <w:rsid w:val="0052349D"/>
    <w:rsid w:val="00523728"/>
    <w:rsid w:val="00523B43"/>
    <w:rsid w:val="00524708"/>
    <w:rsid w:val="0052488C"/>
    <w:rsid w:val="005248CC"/>
    <w:rsid w:val="00524BE8"/>
    <w:rsid w:val="00524F21"/>
    <w:rsid w:val="0052512E"/>
    <w:rsid w:val="005254C8"/>
    <w:rsid w:val="0052575D"/>
    <w:rsid w:val="00525BB1"/>
    <w:rsid w:val="00525D84"/>
    <w:rsid w:val="005262AA"/>
    <w:rsid w:val="005263BB"/>
    <w:rsid w:val="005267E3"/>
    <w:rsid w:val="0052682C"/>
    <w:rsid w:val="00526830"/>
    <w:rsid w:val="00526C92"/>
    <w:rsid w:val="00526E64"/>
    <w:rsid w:val="005273EC"/>
    <w:rsid w:val="005275FC"/>
    <w:rsid w:val="0052768C"/>
    <w:rsid w:val="00527F28"/>
    <w:rsid w:val="005300BC"/>
    <w:rsid w:val="00530354"/>
    <w:rsid w:val="00530896"/>
    <w:rsid w:val="005308A2"/>
    <w:rsid w:val="00530AD6"/>
    <w:rsid w:val="00530C84"/>
    <w:rsid w:val="00530DF7"/>
    <w:rsid w:val="00530E85"/>
    <w:rsid w:val="005310AF"/>
    <w:rsid w:val="00531522"/>
    <w:rsid w:val="0053167D"/>
    <w:rsid w:val="00531872"/>
    <w:rsid w:val="00532096"/>
    <w:rsid w:val="00532399"/>
    <w:rsid w:val="0053250E"/>
    <w:rsid w:val="00532D21"/>
    <w:rsid w:val="00532E94"/>
    <w:rsid w:val="00532E97"/>
    <w:rsid w:val="005342C3"/>
    <w:rsid w:val="00534DDD"/>
    <w:rsid w:val="00535197"/>
    <w:rsid w:val="00535220"/>
    <w:rsid w:val="00535385"/>
    <w:rsid w:val="00535A44"/>
    <w:rsid w:val="005362F5"/>
    <w:rsid w:val="0053660E"/>
    <w:rsid w:val="00536D1D"/>
    <w:rsid w:val="00537027"/>
    <w:rsid w:val="0053725B"/>
    <w:rsid w:val="0053761F"/>
    <w:rsid w:val="005407B1"/>
    <w:rsid w:val="00540C57"/>
    <w:rsid w:val="00540D5A"/>
    <w:rsid w:val="00540E13"/>
    <w:rsid w:val="00541DD4"/>
    <w:rsid w:val="0054209E"/>
    <w:rsid w:val="005420AE"/>
    <w:rsid w:val="0054257F"/>
    <w:rsid w:val="0054259E"/>
    <w:rsid w:val="00543125"/>
    <w:rsid w:val="005432D1"/>
    <w:rsid w:val="00543997"/>
    <w:rsid w:val="00543ABA"/>
    <w:rsid w:val="00543BE7"/>
    <w:rsid w:val="005447AC"/>
    <w:rsid w:val="00544DDA"/>
    <w:rsid w:val="00544F2F"/>
    <w:rsid w:val="0054501C"/>
    <w:rsid w:val="0054507C"/>
    <w:rsid w:val="00545465"/>
    <w:rsid w:val="00545C97"/>
    <w:rsid w:val="005465AA"/>
    <w:rsid w:val="00546794"/>
    <w:rsid w:val="0054690A"/>
    <w:rsid w:val="00546B9C"/>
    <w:rsid w:val="00546C07"/>
    <w:rsid w:val="005473AA"/>
    <w:rsid w:val="00547827"/>
    <w:rsid w:val="00547B9A"/>
    <w:rsid w:val="00547D85"/>
    <w:rsid w:val="005508E9"/>
    <w:rsid w:val="00550B9A"/>
    <w:rsid w:val="00550E35"/>
    <w:rsid w:val="00550F1B"/>
    <w:rsid w:val="005522A0"/>
    <w:rsid w:val="00552EBF"/>
    <w:rsid w:val="00552ED7"/>
    <w:rsid w:val="005531BD"/>
    <w:rsid w:val="0055459B"/>
    <w:rsid w:val="00555084"/>
    <w:rsid w:val="005552F6"/>
    <w:rsid w:val="005556CE"/>
    <w:rsid w:val="00555C4E"/>
    <w:rsid w:val="005561E6"/>
    <w:rsid w:val="005566FE"/>
    <w:rsid w:val="005567B2"/>
    <w:rsid w:val="00556EF6"/>
    <w:rsid w:val="005577A8"/>
    <w:rsid w:val="00557870"/>
    <w:rsid w:val="00557AC2"/>
    <w:rsid w:val="00560277"/>
    <w:rsid w:val="005606A4"/>
    <w:rsid w:val="00560713"/>
    <w:rsid w:val="005608AB"/>
    <w:rsid w:val="005608F7"/>
    <w:rsid w:val="00560938"/>
    <w:rsid w:val="00560980"/>
    <w:rsid w:val="00560AF1"/>
    <w:rsid w:val="00560D2A"/>
    <w:rsid w:val="0056132D"/>
    <w:rsid w:val="00561562"/>
    <w:rsid w:val="005624FD"/>
    <w:rsid w:val="0056263A"/>
    <w:rsid w:val="005627A6"/>
    <w:rsid w:val="00562881"/>
    <w:rsid w:val="00562B46"/>
    <w:rsid w:val="00562B82"/>
    <w:rsid w:val="0056369E"/>
    <w:rsid w:val="00563B55"/>
    <w:rsid w:val="00563C84"/>
    <w:rsid w:val="00563DE6"/>
    <w:rsid w:val="005642A1"/>
    <w:rsid w:val="00564BE9"/>
    <w:rsid w:val="00564C3F"/>
    <w:rsid w:val="0056526B"/>
    <w:rsid w:val="0056528D"/>
    <w:rsid w:val="0056558A"/>
    <w:rsid w:val="00565804"/>
    <w:rsid w:val="00565AE4"/>
    <w:rsid w:val="0056628B"/>
    <w:rsid w:val="00566298"/>
    <w:rsid w:val="00566791"/>
    <w:rsid w:val="00566887"/>
    <w:rsid w:val="0056792F"/>
    <w:rsid w:val="00567B5D"/>
    <w:rsid w:val="00570175"/>
    <w:rsid w:val="0057091E"/>
    <w:rsid w:val="005710DA"/>
    <w:rsid w:val="0057113C"/>
    <w:rsid w:val="005718C7"/>
    <w:rsid w:val="00571B00"/>
    <w:rsid w:val="005723D6"/>
    <w:rsid w:val="005725D3"/>
    <w:rsid w:val="00572719"/>
    <w:rsid w:val="00572728"/>
    <w:rsid w:val="00572D43"/>
    <w:rsid w:val="005737A0"/>
    <w:rsid w:val="0057388D"/>
    <w:rsid w:val="00573CBA"/>
    <w:rsid w:val="00573D18"/>
    <w:rsid w:val="00573D7F"/>
    <w:rsid w:val="0057468D"/>
    <w:rsid w:val="005748AE"/>
    <w:rsid w:val="005748D9"/>
    <w:rsid w:val="00574A6E"/>
    <w:rsid w:val="00574BB9"/>
    <w:rsid w:val="005751AC"/>
    <w:rsid w:val="0057535B"/>
    <w:rsid w:val="00575CBB"/>
    <w:rsid w:val="00576406"/>
    <w:rsid w:val="005765F3"/>
    <w:rsid w:val="00576873"/>
    <w:rsid w:val="00576CA5"/>
    <w:rsid w:val="00576DC1"/>
    <w:rsid w:val="00577145"/>
    <w:rsid w:val="00577304"/>
    <w:rsid w:val="00577376"/>
    <w:rsid w:val="00577378"/>
    <w:rsid w:val="005773BE"/>
    <w:rsid w:val="0057753D"/>
    <w:rsid w:val="005776E5"/>
    <w:rsid w:val="005776F7"/>
    <w:rsid w:val="00577835"/>
    <w:rsid w:val="00577DE1"/>
    <w:rsid w:val="0058105A"/>
    <w:rsid w:val="00581149"/>
    <w:rsid w:val="005814B7"/>
    <w:rsid w:val="00581505"/>
    <w:rsid w:val="00581F08"/>
    <w:rsid w:val="00582365"/>
    <w:rsid w:val="00582395"/>
    <w:rsid w:val="0058291D"/>
    <w:rsid w:val="00582B93"/>
    <w:rsid w:val="00583442"/>
    <w:rsid w:val="00583775"/>
    <w:rsid w:val="005837C4"/>
    <w:rsid w:val="00583826"/>
    <w:rsid w:val="00583A0A"/>
    <w:rsid w:val="00583BAF"/>
    <w:rsid w:val="00583C95"/>
    <w:rsid w:val="00583FF1"/>
    <w:rsid w:val="00584048"/>
    <w:rsid w:val="00584862"/>
    <w:rsid w:val="00584D3C"/>
    <w:rsid w:val="00584D49"/>
    <w:rsid w:val="00584D5D"/>
    <w:rsid w:val="0058512A"/>
    <w:rsid w:val="00585994"/>
    <w:rsid w:val="00585C1B"/>
    <w:rsid w:val="005866F0"/>
    <w:rsid w:val="00586721"/>
    <w:rsid w:val="00586F0C"/>
    <w:rsid w:val="005872E9"/>
    <w:rsid w:val="005874C5"/>
    <w:rsid w:val="0058761E"/>
    <w:rsid w:val="00587639"/>
    <w:rsid w:val="00587BD0"/>
    <w:rsid w:val="00587D8A"/>
    <w:rsid w:val="00590226"/>
    <w:rsid w:val="005902DD"/>
    <w:rsid w:val="00590851"/>
    <w:rsid w:val="00590D3E"/>
    <w:rsid w:val="005913FA"/>
    <w:rsid w:val="0059151A"/>
    <w:rsid w:val="00591BE4"/>
    <w:rsid w:val="00591CFC"/>
    <w:rsid w:val="00592564"/>
    <w:rsid w:val="005925B1"/>
    <w:rsid w:val="00592638"/>
    <w:rsid w:val="00592659"/>
    <w:rsid w:val="00593138"/>
    <w:rsid w:val="00593145"/>
    <w:rsid w:val="005931A1"/>
    <w:rsid w:val="005935CC"/>
    <w:rsid w:val="00593A33"/>
    <w:rsid w:val="0059439F"/>
    <w:rsid w:val="005947B5"/>
    <w:rsid w:val="00594D28"/>
    <w:rsid w:val="00594E37"/>
    <w:rsid w:val="00594F5C"/>
    <w:rsid w:val="00595169"/>
    <w:rsid w:val="005951B8"/>
    <w:rsid w:val="00595606"/>
    <w:rsid w:val="00595701"/>
    <w:rsid w:val="005958E4"/>
    <w:rsid w:val="005960BB"/>
    <w:rsid w:val="005961AA"/>
    <w:rsid w:val="005962D8"/>
    <w:rsid w:val="00596732"/>
    <w:rsid w:val="00597407"/>
    <w:rsid w:val="0059744A"/>
    <w:rsid w:val="0059798D"/>
    <w:rsid w:val="00597990"/>
    <w:rsid w:val="00597A79"/>
    <w:rsid w:val="00597CDE"/>
    <w:rsid w:val="005A0496"/>
    <w:rsid w:val="005A049D"/>
    <w:rsid w:val="005A07D5"/>
    <w:rsid w:val="005A093C"/>
    <w:rsid w:val="005A0A3E"/>
    <w:rsid w:val="005A0C5F"/>
    <w:rsid w:val="005A2485"/>
    <w:rsid w:val="005A2DE7"/>
    <w:rsid w:val="005A3480"/>
    <w:rsid w:val="005A3C5B"/>
    <w:rsid w:val="005A4047"/>
    <w:rsid w:val="005A4384"/>
    <w:rsid w:val="005A4630"/>
    <w:rsid w:val="005A4DD8"/>
    <w:rsid w:val="005A4EA9"/>
    <w:rsid w:val="005A522C"/>
    <w:rsid w:val="005A5336"/>
    <w:rsid w:val="005A5471"/>
    <w:rsid w:val="005A61B2"/>
    <w:rsid w:val="005A63C1"/>
    <w:rsid w:val="005A6913"/>
    <w:rsid w:val="005A6949"/>
    <w:rsid w:val="005A6BFC"/>
    <w:rsid w:val="005A6DA7"/>
    <w:rsid w:val="005A7012"/>
    <w:rsid w:val="005A73CC"/>
    <w:rsid w:val="005A7733"/>
    <w:rsid w:val="005A789B"/>
    <w:rsid w:val="005A7A5E"/>
    <w:rsid w:val="005A7C65"/>
    <w:rsid w:val="005B002B"/>
    <w:rsid w:val="005B00C9"/>
    <w:rsid w:val="005B0888"/>
    <w:rsid w:val="005B0A13"/>
    <w:rsid w:val="005B0C27"/>
    <w:rsid w:val="005B0D08"/>
    <w:rsid w:val="005B0DBD"/>
    <w:rsid w:val="005B0FE2"/>
    <w:rsid w:val="005B170C"/>
    <w:rsid w:val="005B1C07"/>
    <w:rsid w:val="005B1EF2"/>
    <w:rsid w:val="005B1F0D"/>
    <w:rsid w:val="005B2C6B"/>
    <w:rsid w:val="005B2E8B"/>
    <w:rsid w:val="005B304E"/>
    <w:rsid w:val="005B3432"/>
    <w:rsid w:val="005B3BD6"/>
    <w:rsid w:val="005B3EB7"/>
    <w:rsid w:val="005B401E"/>
    <w:rsid w:val="005B4229"/>
    <w:rsid w:val="005B5094"/>
    <w:rsid w:val="005B5610"/>
    <w:rsid w:val="005B5629"/>
    <w:rsid w:val="005B5BF1"/>
    <w:rsid w:val="005B6644"/>
    <w:rsid w:val="005B6704"/>
    <w:rsid w:val="005B6872"/>
    <w:rsid w:val="005B6B88"/>
    <w:rsid w:val="005B6C2A"/>
    <w:rsid w:val="005B6C8A"/>
    <w:rsid w:val="005B6DE9"/>
    <w:rsid w:val="005B6FA2"/>
    <w:rsid w:val="005B70F4"/>
    <w:rsid w:val="005B7D6C"/>
    <w:rsid w:val="005C08D2"/>
    <w:rsid w:val="005C0D9C"/>
    <w:rsid w:val="005C1425"/>
    <w:rsid w:val="005C1447"/>
    <w:rsid w:val="005C1878"/>
    <w:rsid w:val="005C18BF"/>
    <w:rsid w:val="005C1960"/>
    <w:rsid w:val="005C2028"/>
    <w:rsid w:val="005C2052"/>
    <w:rsid w:val="005C2624"/>
    <w:rsid w:val="005C287B"/>
    <w:rsid w:val="005C295E"/>
    <w:rsid w:val="005C2B9A"/>
    <w:rsid w:val="005C2E59"/>
    <w:rsid w:val="005C362A"/>
    <w:rsid w:val="005C388C"/>
    <w:rsid w:val="005C4290"/>
    <w:rsid w:val="005C4738"/>
    <w:rsid w:val="005C59BE"/>
    <w:rsid w:val="005C5A8E"/>
    <w:rsid w:val="005C6BA1"/>
    <w:rsid w:val="005C7215"/>
    <w:rsid w:val="005C73C4"/>
    <w:rsid w:val="005C789B"/>
    <w:rsid w:val="005C7B5A"/>
    <w:rsid w:val="005C7BA4"/>
    <w:rsid w:val="005C7BDD"/>
    <w:rsid w:val="005C7EE3"/>
    <w:rsid w:val="005D00EA"/>
    <w:rsid w:val="005D023B"/>
    <w:rsid w:val="005D02C4"/>
    <w:rsid w:val="005D09BE"/>
    <w:rsid w:val="005D0A9B"/>
    <w:rsid w:val="005D0B7B"/>
    <w:rsid w:val="005D18D3"/>
    <w:rsid w:val="005D1985"/>
    <w:rsid w:val="005D2304"/>
    <w:rsid w:val="005D25C4"/>
    <w:rsid w:val="005D263B"/>
    <w:rsid w:val="005D2D9A"/>
    <w:rsid w:val="005D2F24"/>
    <w:rsid w:val="005D3158"/>
    <w:rsid w:val="005D321D"/>
    <w:rsid w:val="005D3454"/>
    <w:rsid w:val="005D34CD"/>
    <w:rsid w:val="005D3807"/>
    <w:rsid w:val="005D386B"/>
    <w:rsid w:val="005D3976"/>
    <w:rsid w:val="005D3A04"/>
    <w:rsid w:val="005D3D01"/>
    <w:rsid w:val="005D3F49"/>
    <w:rsid w:val="005D40CA"/>
    <w:rsid w:val="005D48E0"/>
    <w:rsid w:val="005D48FE"/>
    <w:rsid w:val="005D4A20"/>
    <w:rsid w:val="005D4B3F"/>
    <w:rsid w:val="005D4F7D"/>
    <w:rsid w:val="005D5378"/>
    <w:rsid w:val="005D5620"/>
    <w:rsid w:val="005D5639"/>
    <w:rsid w:val="005D56F1"/>
    <w:rsid w:val="005D6113"/>
    <w:rsid w:val="005D61BF"/>
    <w:rsid w:val="005D66E8"/>
    <w:rsid w:val="005D6A74"/>
    <w:rsid w:val="005D705B"/>
    <w:rsid w:val="005D7160"/>
    <w:rsid w:val="005D7471"/>
    <w:rsid w:val="005D749D"/>
    <w:rsid w:val="005D7C93"/>
    <w:rsid w:val="005E01AF"/>
    <w:rsid w:val="005E0697"/>
    <w:rsid w:val="005E0B66"/>
    <w:rsid w:val="005E0F37"/>
    <w:rsid w:val="005E183D"/>
    <w:rsid w:val="005E1B23"/>
    <w:rsid w:val="005E2702"/>
    <w:rsid w:val="005E29BC"/>
    <w:rsid w:val="005E2E50"/>
    <w:rsid w:val="005E30C5"/>
    <w:rsid w:val="005E398C"/>
    <w:rsid w:val="005E3AF2"/>
    <w:rsid w:val="005E3F7C"/>
    <w:rsid w:val="005E4137"/>
    <w:rsid w:val="005E53E9"/>
    <w:rsid w:val="005E5874"/>
    <w:rsid w:val="005E6530"/>
    <w:rsid w:val="005E659A"/>
    <w:rsid w:val="005E667E"/>
    <w:rsid w:val="005E671A"/>
    <w:rsid w:val="005E6A70"/>
    <w:rsid w:val="005E6B27"/>
    <w:rsid w:val="005E6E21"/>
    <w:rsid w:val="005E6EE9"/>
    <w:rsid w:val="005E71E7"/>
    <w:rsid w:val="005E744A"/>
    <w:rsid w:val="005E7574"/>
    <w:rsid w:val="005E75D5"/>
    <w:rsid w:val="005F04A5"/>
    <w:rsid w:val="005F0563"/>
    <w:rsid w:val="005F0775"/>
    <w:rsid w:val="005F09EF"/>
    <w:rsid w:val="005F0A65"/>
    <w:rsid w:val="005F0D0E"/>
    <w:rsid w:val="005F1290"/>
    <w:rsid w:val="005F1555"/>
    <w:rsid w:val="005F17F0"/>
    <w:rsid w:val="005F23C9"/>
    <w:rsid w:val="005F2487"/>
    <w:rsid w:val="005F2610"/>
    <w:rsid w:val="005F2637"/>
    <w:rsid w:val="005F295B"/>
    <w:rsid w:val="005F2978"/>
    <w:rsid w:val="005F3680"/>
    <w:rsid w:val="005F3F19"/>
    <w:rsid w:val="005F4130"/>
    <w:rsid w:val="005F44A9"/>
    <w:rsid w:val="005F4605"/>
    <w:rsid w:val="005F4721"/>
    <w:rsid w:val="005F47F4"/>
    <w:rsid w:val="005F52DE"/>
    <w:rsid w:val="005F5D95"/>
    <w:rsid w:val="005F5E16"/>
    <w:rsid w:val="005F6554"/>
    <w:rsid w:val="005F6802"/>
    <w:rsid w:val="005F684A"/>
    <w:rsid w:val="005F695D"/>
    <w:rsid w:val="005F6A21"/>
    <w:rsid w:val="005F720A"/>
    <w:rsid w:val="005F73EF"/>
    <w:rsid w:val="006004C9"/>
    <w:rsid w:val="00600D0C"/>
    <w:rsid w:val="0060140E"/>
    <w:rsid w:val="006014C5"/>
    <w:rsid w:val="006016CB"/>
    <w:rsid w:val="00601783"/>
    <w:rsid w:val="00601906"/>
    <w:rsid w:val="006019A0"/>
    <w:rsid w:val="00601B04"/>
    <w:rsid w:val="00601BA4"/>
    <w:rsid w:val="00602684"/>
    <w:rsid w:val="00602986"/>
    <w:rsid w:val="00602A02"/>
    <w:rsid w:val="00602CD2"/>
    <w:rsid w:val="00602F43"/>
    <w:rsid w:val="00602FCB"/>
    <w:rsid w:val="0060302C"/>
    <w:rsid w:val="00603456"/>
    <w:rsid w:val="006035E4"/>
    <w:rsid w:val="00603636"/>
    <w:rsid w:val="00603992"/>
    <w:rsid w:val="00603B08"/>
    <w:rsid w:val="0060422E"/>
    <w:rsid w:val="00604456"/>
    <w:rsid w:val="00604E9C"/>
    <w:rsid w:val="00604F8C"/>
    <w:rsid w:val="0060531D"/>
    <w:rsid w:val="00605776"/>
    <w:rsid w:val="00605EA5"/>
    <w:rsid w:val="00605F1E"/>
    <w:rsid w:val="006064E1"/>
    <w:rsid w:val="006065F7"/>
    <w:rsid w:val="006068EE"/>
    <w:rsid w:val="00606AD8"/>
    <w:rsid w:val="00607A94"/>
    <w:rsid w:val="00610038"/>
    <w:rsid w:val="006100DC"/>
    <w:rsid w:val="00610162"/>
    <w:rsid w:val="0061046F"/>
    <w:rsid w:val="00610643"/>
    <w:rsid w:val="00610ABA"/>
    <w:rsid w:val="00610D3B"/>
    <w:rsid w:val="0061120E"/>
    <w:rsid w:val="00611AE7"/>
    <w:rsid w:val="00611C7A"/>
    <w:rsid w:val="006120F7"/>
    <w:rsid w:val="0061234D"/>
    <w:rsid w:val="0061301D"/>
    <w:rsid w:val="00613037"/>
    <w:rsid w:val="006135AB"/>
    <w:rsid w:val="006135F2"/>
    <w:rsid w:val="006138E4"/>
    <w:rsid w:val="006143C4"/>
    <w:rsid w:val="006144F6"/>
    <w:rsid w:val="00614663"/>
    <w:rsid w:val="006146AD"/>
    <w:rsid w:val="0061496A"/>
    <w:rsid w:val="00614972"/>
    <w:rsid w:val="00614AAC"/>
    <w:rsid w:val="00614D17"/>
    <w:rsid w:val="00614E2E"/>
    <w:rsid w:val="00614E32"/>
    <w:rsid w:val="0061500E"/>
    <w:rsid w:val="006152A1"/>
    <w:rsid w:val="00615C20"/>
    <w:rsid w:val="00615C89"/>
    <w:rsid w:val="00615E4A"/>
    <w:rsid w:val="00616280"/>
    <w:rsid w:val="00616407"/>
    <w:rsid w:val="0061643F"/>
    <w:rsid w:val="00616464"/>
    <w:rsid w:val="0061651F"/>
    <w:rsid w:val="00616B85"/>
    <w:rsid w:val="00616DFF"/>
    <w:rsid w:val="006171CA"/>
    <w:rsid w:val="00617360"/>
    <w:rsid w:val="006174F4"/>
    <w:rsid w:val="00617666"/>
    <w:rsid w:val="0062001F"/>
    <w:rsid w:val="00620058"/>
    <w:rsid w:val="0062012F"/>
    <w:rsid w:val="0062073C"/>
    <w:rsid w:val="00620E5A"/>
    <w:rsid w:val="00620E94"/>
    <w:rsid w:val="00621105"/>
    <w:rsid w:val="00621244"/>
    <w:rsid w:val="006219CE"/>
    <w:rsid w:val="00621F31"/>
    <w:rsid w:val="0062231D"/>
    <w:rsid w:val="006224BE"/>
    <w:rsid w:val="0062253A"/>
    <w:rsid w:val="00622A10"/>
    <w:rsid w:val="00622F94"/>
    <w:rsid w:val="00623211"/>
    <w:rsid w:val="00623DE5"/>
    <w:rsid w:val="006250E9"/>
    <w:rsid w:val="0062532C"/>
    <w:rsid w:val="0062556A"/>
    <w:rsid w:val="00625731"/>
    <w:rsid w:val="00625B6F"/>
    <w:rsid w:val="00625F0A"/>
    <w:rsid w:val="00627550"/>
    <w:rsid w:val="00630314"/>
    <w:rsid w:val="00630328"/>
    <w:rsid w:val="00630AA9"/>
    <w:rsid w:val="00630B79"/>
    <w:rsid w:val="00630D31"/>
    <w:rsid w:val="00630E24"/>
    <w:rsid w:val="00630F72"/>
    <w:rsid w:val="0063108F"/>
    <w:rsid w:val="006315EE"/>
    <w:rsid w:val="00631922"/>
    <w:rsid w:val="00631990"/>
    <w:rsid w:val="0063202A"/>
    <w:rsid w:val="006322B6"/>
    <w:rsid w:val="00632A6C"/>
    <w:rsid w:val="00632C59"/>
    <w:rsid w:val="00633683"/>
    <w:rsid w:val="0063388D"/>
    <w:rsid w:val="00633A6E"/>
    <w:rsid w:val="00633B2F"/>
    <w:rsid w:val="00633C78"/>
    <w:rsid w:val="0063422A"/>
    <w:rsid w:val="006347E5"/>
    <w:rsid w:val="00634F79"/>
    <w:rsid w:val="00635157"/>
    <w:rsid w:val="0063573B"/>
    <w:rsid w:val="0063578F"/>
    <w:rsid w:val="00635A5B"/>
    <w:rsid w:val="00635EA1"/>
    <w:rsid w:val="00636116"/>
    <w:rsid w:val="0063633B"/>
    <w:rsid w:val="00636A45"/>
    <w:rsid w:val="00636EC4"/>
    <w:rsid w:val="006372DC"/>
    <w:rsid w:val="00637552"/>
    <w:rsid w:val="00640179"/>
    <w:rsid w:val="00640311"/>
    <w:rsid w:val="00640570"/>
    <w:rsid w:val="006405A0"/>
    <w:rsid w:val="00640828"/>
    <w:rsid w:val="00640C1B"/>
    <w:rsid w:val="00640C31"/>
    <w:rsid w:val="00640E31"/>
    <w:rsid w:val="006411D2"/>
    <w:rsid w:val="00641621"/>
    <w:rsid w:val="0064277F"/>
    <w:rsid w:val="00642897"/>
    <w:rsid w:val="00642981"/>
    <w:rsid w:val="00642BC6"/>
    <w:rsid w:val="00642DF2"/>
    <w:rsid w:val="00643226"/>
    <w:rsid w:val="006432A3"/>
    <w:rsid w:val="00643D8B"/>
    <w:rsid w:val="00643E81"/>
    <w:rsid w:val="00643FB3"/>
    <w:rsid w:val="006440B6"/>
    <w:rsid w:val="006442F6"/>
    <w:rsid w:val="006444C1"/>
    <w:rsid w:val="00644DFC"/>
    <w:rsid w:val="00644E48"/>
    <w:rsid w:val="0064515C"/>
    <w:rsid w:val="0064565E"/>
    <w:rsid w:val="006459EF"/>
    <w:rsid w:val="00645ACB"/>
    <w:rsid w:val="00645CF5"/>
    <w:rsid w:val="0064649C"/>
    <w:rsid w:val="006465F3"/>
    <w:rsid w:val="006472D2"/>
    <w:rsid w:val="0064755A"/>
    <w:rsid w:val="00647844"/>
    <w:rsid w:val="00647D16"/>
    <w:rsid w:val="00650257"/>
    <w:rsid w:val="00650D21"/>
    <w:rsid w:val="00651315"/>
    <w:rsid w:val="00651880"/>
    <w:rsid w:val="00652342"/>
    <w:rsid w:val="00652344"/>
    <w:rsid w:val="006526AA"/>
    <w:rsid w:val="006534BF"/>
    <w:rsid w:val="00653610"/>
    <w:rsid w:val="006537D7"/>
    <w:rsid w:val="0065380E"/>
    <w:rsid w:val="006538E4"/>
    <w:rsid w:val="00653A07"/>
    <w:rsid w:val="006540BA"/>
    <w:rsid w:val="0065444A"/>
    <w:rsid w:val="00654CD0"/>
    <w:rsid w:val="00654F68"/>
    <w:rsid w:val="0065506D"/>
    <w:rsid w:val="00655662"/>
    <w:rsid w:val="0065598D"/>
    <w:rsid w:val="00655CF9"/>
    <w:rsid w:val="00655CFA"/>
    <w:rsid w:val="00655D45"/>
    <w:rsid w:val="00655D64"/>
    <w:rsid w:val="00655E49"/>
    <w:rsid w:val="006567C9"/>
    <w:rsid w:val="0065691A"/>
    <w:rsid w:val="006569C8"/>
    <w:rsid w:val="00656EA4"/>
    <w:rsid w:val="00657105"/>
    <w:rsid w:val="0065714C"/>
    <w:rsid w:val="00657713"/>
    <w:rsid w:val="00657F6A"/>
    <w:rsid w:val="00660130"/>
    <w:rsid w:val="0066024A"/>
    <w:rsid w:val="00660253"/>
    <w:rsid w:val="006603DF"/>
    <w:rsid w:val="006604C1"/>
    <w:rsid w:val="006605F9"/>
    <w:rsid w:val="00660A74"/>
    <w:rsid w:val="00660B9E"/>
    <w:rsid w:val="00660BAD"/>
    <w:rsid w:val="00661789"/>
    <w:rsid w:val="00661D54"/>
    <w:rsid w:val="00662064"/>
    <w:rsid w:val="006621AB"/>
    <w:rsid w:val="006626E5"/>
    <w:rsid w:val="00662E5F"/>
    <w:rsid w:val="00662E96"/>
    <w:rsid w:val="006632A1"/>
    <w:rsid w:val="00663859"/>
    <w:rsid w:val="00663F50"/>
    <w:rsid w:val="00664434"/>
    <w:rsid w:val="006644DD"/>
    <w:rsid w:val="00664979"/>
    <w:rsid w:val="00664BED"/>
    <w:rsid w:val="0066561F"/>
    <w:rsid w:val="00665783"/>
    <w:rsid w:val="00665BC1"/>
    <w:rsid w:val="00666322"/>
    <w:rsid w:val="00666A02"/>
    <w:rsid w:val="00666A58"/>
    <w:rsid w:val="00666FFD"/>
    <w:rsid w:val="00667C57"/>
    <w:rsid w:val="00670650"/>
    <w:rsid w:val="00670EAB"/>
    <w:rsid w:val="0067126D"/>
    <w:rsid w:val="006712C0"/>
    <w:rsid w:val="00671994"/>
    <w:rsid w:val="00671B12"/>
    <w:rsid w:val="0067242F"/>
    <w:rsid w:val="006726CC"/>
    <w:rsid w:val="00672E47"/>
    <w:rsid w:val="0067323F"/>
    <w:rsid w:val="006733A6"/>
    <w:rsid w:val="006734DD"/>
    <w:rsid w:val="00673718"/>
    <w:rsid w:val="00673950"/>
    <w:rsid w:val="00673A06"/>
    <w:rsid w:val="00673CF6"/>
    <w:rsid w:val="006744AC"/>
    <w:rsid w:val="00674811"/>
    <w:rsid w:val="00674ADB"/>
    <w:rsid w:val="00674C7D"/>
    <w:rsid w:val="00674F5F"/>
    <w:rsid w:val="00674F9E"/>
    <w:rsid w:val="006750AF"/>
    <w:rsid w:val="00675770"/>
    <w:rsid w:val="0067596D"/>
    <w:rsid w:val="00675C21"/>
    <w:rsid w:val="00675C55"/>
    <w:rsid w:val="006761F9"/>
    <w:rsid w:val="0067698F"/>
    <w:rsid w:val="00677854"/>
    <w:rsid w:val="00680939"/>
    <w:rsid w:val="00680B40"/>
    <w:rsid w:val="00680CE0"/>
    <w:rsid w:val="00680FDC"/>
    <w:rsid w:val="006816A1"/>
    <w:rsid w:val="00681B43"/>
    <w:rsid w:val="00681EC9"/>
    <w:rsid w:val="00681FB7"/>
    <w:rsid w:val="006822FA"/>
    <w:rsid w:val="006823F0"/>
    <w:rsid w:val="0068241E"/>
    <w:rsid w:val="0068278D"/>
    <w:rsid w:val="0068288C"/>
    <w:rsid w:val="00682904"/>
    <w:rsid w:val="006829B6"/>
    <w:rsid w:val="00682CBF"/>
    <w:rsid w:val="00683BD7"/>
    <w:rsid w:val="00683C0A"/>
    <w:rsid w:val="00683E90"/>
    <w:rsid w:val="00683F36"/>
    <w:rsid w:val="006840FB"/>
    <w:rsid w:val="0068445F"/>
    <w:rsid w:val="00684519"/>
    <w:rsid w:val="00684C95"/>
    <w:rsid w:val="00685589"/>
    <w:rsid w:val="00685F91"/>
    <w:rsid w:val="0068682C"/>
    <w:rsid w:val="00686D17"/>
    <w:rsid w:val="006872C7"/>
    <w:rsid w:val="006877BB"/>
    <w:rsid w:val="006877BC"/>
    <w:rsid w:val="00687A5D"/>
    <w:rsid w:val="00687D30"/>
    <w:rsid w:val="00690209"/>
    <w:rsid w:val="0069099C"/>
    <w:rsid w:val="00690E35"/>
    <w:rsid w:val="00691287"/>
    <w:rsid w:val="0069158F"/>
    <w:rsid w:val="00691EBD"/>
    <w:rsid w:val="006920CF"/>
    <w:rsid w:val="006920D5"/>
    <w:rsid w:val="00692771"/>
    <w:rsid w:val="00692B4E"/>
    <w:rsid w:val="00692C0A"/>
    <w:rsid w:val="00693631"/>
    <w:rsid w:val="006938AA"/>
    <w:rsid w:val="006938F2"/>
    <w:rsid w:val="00693B30"/>
    <w:rsid w:val="00693C49"/>
    <w:rsid w:val="00693C51"/>
    <w:rsid w:val="00693E59"/>
    <w:rsid w:val="0069474B"/>
    <w:rsid w:val="0069475D"/>
    <w:rsid w:val="00694CD4"/>
    <w:rsid w:val="0069593E"/>
    <w:rsid w:val="00696259"/>
    <w:rsid w:val="00696752"/>
    <w:rsid w:val="00696A49"/>
    <w:rsid w:val="00697398"/>
    <w:rsid w:val="00697966"/>
    <w:rsid w:val="00697E23"/>
    <w:rsid w:val="006A085B"/>
    <w:rsid w:val="006A0D83"/>
    <w:rsid w:val="006A114F"/>
    <w:rsid w:val="006A139A"/>
    <w:rsid w:val="006A13C0"/>
    <w:rsid w:val="006A236F"/>
    <w:rsid w:val="006A23C1"/>
    <w:rsid w:val="006A2626"/>
    <w:rsid w:val="006A2B25"/>
    <w:rsid w:val="006A2EB8"/>
    <w:rsid w:val="006A2FFA"/>
    <w:rsid w:val="006A301D"/>
    <w:rsid w:val="006A3A2B"/>
    <w:rsid w:val="006A3C26"/>
    <w:rsid w:val="006A3C66"/>
    <w:rsid w:val="006A3CAD"/>
    <w:rsid w:val="006A3D40"/>
    <w:rsid w:val="006A42F1"/>
    <w:rsid w:val="006A45FC"/>
    <w:rsid w:val="006A4835"/>
    <w:rsid w:val="006A4DD7"/>
    <w:rsid w:val="006A4F82"/>
    <w:rsid w:val="006A5277"/>
    <w:rsid w:val="006A56E8"/>
    <w:rsid w:val="006A5D74"/>
    <w:rsid w:val="006A6027"/>
    <w:rsid w:val="006A6572"/>
    <w:rsid w:val="006A661B"/>
    <w:rsid w:val="006A6BF1"/>
    <w:rsid w:val="006A726E"/>
    <w:rsid w:val="006A78CC"/>
    <w:rsid w:val="006A7976"/>
    <w:rsid w:val="006B026C"/>
    <w:rsid w:val="006B111A"/>
    <w:rsid w:val="006B115E"/>
    <w:rsid w:val="006B1A22"/>
    <w:rsid w:val="006B1A4F"/>
    <w:rsid w:val="006B1E16"/>
    <w:rsid w:val="006B20F5"/>
    <w:rsid w:val="006B219F"/>
    <w:rsid w:val="006B2331"/>
    <w:rsid w:val="006B2FE1"/>
    <w:rsid w:val="006B3032"/>
    <w:rsid w:val="006B3310"/>
    <w:rsid w:val="006B339A"/>
    <w:rsid w:val="006B3943"/>
    <w:rsid w:val="006B3FA0"/>
    <w:rsid w:val="006B3FE3"/>
    <w:rsid w:val="006B4B4A"/>
    <w:rsid w:val="006B4F94"/>
    <w:rsid w:val="006B5904"/>
    <w:rsid w:val="006B5A61"/>
    <w:rsid w:val="006B614B"/>
    <w:rsid w:val="006B6585"/>
    <w:rsid w:val="006B6698"/>
    <w:rsid w:val="006B707C"/>
    <w:rsid w:val="006B75C6"/>
    <w:rsid w:val="006B7B46"/>
    <w:rsid w:val="006B7F4A"/>
    <w:rsid w:val="006C0169"/>
    <w:rsid w:val="006C0245"/>
    <w:rsid w:val="006C09E8"/>
    <w:rsid w:val="006C0A46"/>
    <w:rsid w:val="006C0EFD"/>
    <w:rsid w:val="006C12B2"/>
    <w:rsid w:val="006C131A"/>
    <w:rsid w:val="006C158A"/>
    <w:rsid w:val="006C2B74"/>
    <w:rsid w:val="006C2C7B"/>
    <w:rsid w:val="006C2D10"/>
    <w:rsid w:val="006C2DDD"/>
    <w:rsid w:val="006C34D4"/>
    <w:rsid w:val="006C354C"/>
    <w:rsid w:val="006C3590"/>
    <w:rsid w:val="006C3B76"/>
    <w:rsid w:val="006C3C1E"/>
    <w:rsid w:val="006C3D0B"/>
    <w:rsid w:val="006C454B"/>
    <w:rsid w:val="006C4572"/>
    <w:rsid w:val="006C46D2"/>
    <w:rsid w:val="006C4942"/>
    <w:rsid w:val="006C4BC2"/>
    <w:rsid w:val="006C4E37"/>
    <w:rsid w:val="006C5234"/>
    <w:rsid w:val="006C5239"/>
    <w:rsid w:val="006C5423"/>
    <w:rsid w:val="006C5596"/>
    <w:rsid w:val="006C5672"/>
    <w:rsid w:val="006C5D49"/>
    <w:rsid w:val="006C5DA0"/>
    <w:rsid w:val="006C624F"/>
    <w:rsid w:val="006C673C"/>
    <w:rsid w:val="006C76F7"/>
    <w:rsid w:val="006C7AEC"/>
    <w:rsid w:val="006C7B03"/>
    <w:rsid w:val="006C7D85"/>
    <w:rsid w:val="006C7E7E"/>
    <w:rsid w:val="006D0EC2"/>
    <w:rsid w:val="006D0F2E"/>
    <w:rsid w:val="006D1E79"/>
    <w:rsid w:val="006D20EA"/>
    <w:rsid w:val="006D22F0"/>
    <w:rsid w:val="006D26CE"/>
    <w:rsid w:val="006D2CE5"/>
    <w:rsid w:val="006D2E7F"/>
    <w:rsid w:val="006D30C9"/>
    <w:rsid w:val="006D3274"/>
    <w:rsid w:val="006D3386"/>
    <w:rsid w:val="006D3539"/>
    <w:rsid w:val="006D3E7B"/>
    <w:rsid w:val="006D4241"/>
    <w:rsid w:val="006D49C4"/>
    <w:rsid w:val="006D4C72"/>
    <w:rsid w:val="006D4E4C"/>
    <w:rsid w:val="006D4F59"/>
    <w:rsid w:val="006D5585"/>
    <w:rsid w:val="006D5DD0"/>
    <w:rsid w:val="006D5F76"/>
    <w:rsid w:val="006D64FB"/>
    <w:rsid w:val="006D6B02"/>
    <w:rsid w:val="006D6C0C"/>
    <w:rsid w:val="006D6D96"/>
    <w:rsid w:val="006D7211"/>
    <w:rsid w:val="006D7223"/>
    <w:rsid w:val="006D7354"/>
    <w:rsid w:val="006D75C8"/>
    <w:rsid w:val="006D77FC"/>
    <w:rsid w:val="006D7939"/>
    <w:rsid w:val="006D7AB2"/>
    <w:rsid w:val="006D7EBA"/>
    <w:rsid w:val="006E013C"/>
    <w:rsid w:val="006E0ED0"/>
    <w:rsid w:val="006E0F5B"/>
    <w:rsid w:val="006E1CD5"/>
    <w:rsid w:val="006E1F23"/>
    <w:rsid w:val="006E21E1"/>
    <w:rsid w:val="006E2629"/>
    <w:rsid w:val="006E29AE"/>
    <w:rsid w:val="006E2BEB"/>
    <w:rsid w:val="006E2DCA"/>
    <w:rsid w:val="006E31FA"/>
    <w:rsid w:val="006E3386"/>
    <w:rsid w:val="006E379D"/>
    <w:rsid w:val="006E394A"/>
    <w:rsid w:val="006E3D1E"/>
    <w:rsid w:val="006E3F19"/>
    <w:rsid w:val="006E42EE"/>
    <w:rsid w:val="006E4342"/>
    <w:rsid w:val="006E4AC6"/>
    <w:rsid w:val="006E53FA"/>
    <w:rsid w:val="006E5AB3"/>
    <w:rsid w:val="006E5CA5"/>
    <w:rsid w:val="006E5D57"/>
    <w:rsid w:val="006E5FC1"/>
    <w:rsid w:val="006E653A"/>
    <w:rsid w:val="006E6BB4"/>
    <w:rsid w:val="006E6DD0"/>
    <w:rsid w:val="006E6F2F"/>
    <w:rsid w:val="006E6FF1"/>
    <w:rsid w:val="006E707F"/>
    <w:rsid w:val="006E7A66"/>
    <w:rsid w:val="006E7D43"/>
    <w:rsid w:val="006E7E79"/>
    <w:rsid w:val="006E7E8C"/>
    <w:rsid w:val="006F0270"/>
    <w:rsid w:val="006F055E"/>
    <w:rsid w:val="006F0949"/>
    <w:rsid w:val="006F0D46"/>
    <w:rsid w:val="006F122C"/>
    <w:rsid w:val="006F19F3"/>
    <w:rsid w:val="006F1ED9"/>
    <w:rsid w:val="006F2065"/>
    <w:rsid w:val="006F23DD"/>
    <w:rsid w:val="006F2B27"/>
    <w:rsid w:val="006F2EFB"/>
    <w:rsid w:val="006F330C"/>
    <w:rsid w:val="006F3416"/>
    <w:rsid w:val="006F35D3"/>
    <w:rsid w:val="006F35DE"/>
    <w:rsid w:val="006F36C8"/>
    <w:rsid w:val="006F3751"/>
    <w:rsid w:val="006F3A6C"/>
    <w:rsid w:val="006F3FE6"/>
    <w:rsid w:val="006F419F"/>
    <w:rsid w:val="006F41A4"/>
    <w:rsid w:val="006F48AD"/>
    <w:rsid w:val="006F4B18"/>
    <w:rsid w:val="006F4F95"/>
    <w:rsid w:val="006F5158"/>
    <w:rsid w:val="006F5494"/>
    <w:rsid w:val="006F62D6"/>
    <w:rsid w:val="006F62E4"/>
    <w:rsid w:val="006F64DA"/>
    <w:rsid w:val="006F6834"/>
    <w:rsid w:val="006F6949"/>
    <w:rsid w:val="006F717C"/>
    <w:rsid w:val="006F76DC"/>
    <w:rsid w:val="006F7BA1"/>
    <w:rsid w:val="006F7DBE"/>
    <w:rsid w:val="00700262"/>
    <w:rsid w:val="007005BB"/>
    <w:rsid w:val="00700950"/>
    <w:rsid w:val="00701136"/>
    <w:rsid w:val="0070166A"/>
    <w:rsid w:val="007022FC"/>
    <w:rsid w:val="00702795"/>
    <w:rsid w:val="00702866"/>
    <w:rsid w:val="00702897"/>
    <w:rsid w:val="00702CD7"/>
    <w:rsid w:val="00702ECF"/>
    <w:rsid w:val="0070319A"/>
    <w:rsid w:val="00703439"/>
    <w:rsid w:val="00703C2E"/>
    <w:rsid w:val="00703CB4"/>
    <w:rsid w:val="00704075"/>
    <w:rsid w:val="0070457A"/>
    <w:rsid w:val="007045C9"/>
    <w:rsid w:val="007047E0"/>
    <w:rsid w:val="00704CA7"/>
    <w:rsid w:val="00704DC3"/>
    <w:rsid w:val="00705736"/>
    <w:rsid w:val="00705FC3"/>
    <w:rsid w:val="007060C4"/>
    <w:rsid w:val="00706886"/>
    <w:rsid w:val="00706ACB"/>
    <w:rsid w:val="00706C6B"/>
    <w:rsid w:val="007077C9"/>
    <w:rsid w:val="00707C18"/>
    <w:rsid w:val="007103A9"/>
    <w:rsid w:val="00710920"/>
    <w:rsid w:val="00710D5E"/>
    <w:rsid w:val="00711719"/>
    <w:rsid w:val="007119D3"/>
    <w:rsid w:val="00711BB9"/>
    <w:rsid w:val="00711BBC"/>
    <w:rsid w:val="0071213F"/>
    <w:rsid w:val="0071227F"/>
    <w:rsid w:val="00712ABD"/>
    <w:rsid w:val="00712BAB"/>
    <w:rsid w:val="00713A39"/>
    <w:rsid w:val="00713BD9"/>
    <w:rsid w:val="00713E43"/>
    <w:rsid w:val="00714043"/>
    <w:rsid w:val="0071441B"/>
    <w:rsid w:val="007148F3"/>
    <w:rsid w:val="00714D9A"/>
    <w:rsid w:val="00714FDA"/>
    <w:rsid w:val="007154BA"/>
    <w:rsid w:val="00716091"/>
    <w:rsid w:val="00716867"/>
    <w:rsid w:val="00716872"/>
    <w:rsid w:val="00716A0D"/>
    <w:rsid w:val="00716AD2"/>
    <w:rsid w:val="00716B62"/>
    <w:rsid w:val="00716B82"/>
    <w:rsid w:val="00716C93"/>
    <w:rsid w:val="00717DE4"/>
    <w:rsid w:val="007203CA"/>
    <w:rsid w:val="00720455"/>
    <w:rsid w:val="00720461"/>
    <w:rsid w:val="0072088E"/>
    <w:rsid w:val="00720990"/>
    <w:rsid w:val="00720EDC"/>
    <w:rsid w:val="0072122A"/>
    <w:rsid w:val="00721653"/>
    <w:rsid w:val="00721B7E"/>
    <w:rsid w:val="00721DAB"/>
    <w:rsid w:val="00722060"/>
    <w:rsid w:val="007226F5"/>
    <w:rsid w:val="00722A71"/>
    <w:rsid w:val="00722CB4"/>
    <w:rsid w:val="0072300F"/>
    <w:rsid w:val="00723304"/>
    <w:rsid w:val="00723389"/>
    <w:rsid w:val="00723B2C"/>
    <w:rsid w:val="00724159"/>
    <w:rsid w:val="0072487A"/>
    <w:rsid w:val="00724ED0"/>
    <w:rsid w:val="00724F92"/>
    <w:rsid w:val="00725212"/>
    <w:rsid w:val="007252D0"/>
    <w:rsid w:val="007252E6"/>
    <w:rsid w:val="007253D6"/>
    <w:rsid w:val="007256D6"/>
    <w:rsid w:val="0072578A"/>
    <w:rsid w:val="007258B2"/>
    <w:rsid w:val="0072597A"/>
    <w:rsid w:val="00725CA7"/>
    <w:rsid w:val="00725CD3"/>
    <w:rsid w:val="00725D4B"/>
    <w:rsid w:val="00726DC3"/>
    <w:rsid w:val="00726E3F"/>
    <w:rsid w:val="00726FD8"/>
    <w:rsid w:val="00727214"/>
    <w:rsid w:val="00727421"/>
    <w:rsid w:val="0072787A"/>
    <w:rsid w:val="007279B0"/>
    <w:rsid w:val="00727DFE"/>
    <w:rsid w:val="00730052"/>
    <w:rsid w:val="00730D2B"/>
    <w:rsid w:val="00730FCF"/>
    <w:rsid w:val="0073132F"/>
    <w:rsid w:val="00731569"/>
    <w:rsid w:val="007317D7"/>
    <w:rsid w:val="007317DD"/>
    <w:rsid w:val="00731849"/>
    <w:rsid w:val="00731AD6"/>
    <w:rsid w:val="00731BD4"/>
    <w:rsid w:val="00731CDB"/>
    <w:rsid w:val="007320D9"/>
    <w:rsid w:val="00732908"/>
    <w:rsid w:val="00732987"/>
    <w:rsid w:val="00732DAF"/>
    <w:rsid w:val="007332F8"/>
    <w:rsid w:val="007333F1"/>
    <w:rsid w:val="007335DA"/>
    <w:rsid w:val="00733F18"/>
    <w:rsid w:val="00734208"/>
    <w:rsid w:val="0073441E"/>
    <w:rsid w:val="00734BE6"/>
    <w:rsid w:val="00734C02"/>
    <w:rsid w:val="0073513C"/>
    <w:rsid w:val="007353DD"/>
    <w:rsid w:val="007353E3"/>
    <w:rsid w:val="00735423"/>
    <w:rsid w:val="007356BC"/>
    <w:rsid w:val="00736411"/>
    <w:rsid w:val="00736663"/>
    <w:rsid w:val="00736B69"/>
    <w:rsid w:val="00736D98"/>
    <w:rsid w:val="0073789A"/>
    <w:rsid w:val="0073792C"/>
    <w:rsid w:val="00737DAA"/>
    <w:rsid w:val="0074018E"/>
    <w:rsid w:val="0074082F"/>
    <w:rsid w:val="00740BE0"/>
    <w:rsid w:val="007414AA"/>
    <w:rsid w:val="007416AE"/>
    <w:rsid w:val="007416C8"/>
    <w:rsid w:val="00741A12"/>
    <w:rsid w:val="00741ABF"/>
    <w:rsid w:val="00741B24"/>
    <w:rsid w:val="00741E06"/>
    <w:rsid w:val="00741EFD"/>
    <w:rsid w:val="00742270"/>
    <w:rsid w:val="0074246C"/>
    <w:rsid w:val="0074257A"/>
    <w:rsid w:val="00742B24"/>
    <w:rsid w:val="00742FB6"/>
    <w:rsid w:val="00743230"/>
    <w:rsid w:val="0074329E"/>
    <w:rsid w:val="007437E8"/>
    <w:rsid w:val="00744255"/>
    <w:rsid w:val="0074442F"/>
    <w:rsid w:val="00744433"/>
    <w:rsid w:val="0074487B"/>
    <w:rsid w:val="00744F92"/>
    <w:rsid w:val="00745474"/>
    <w:rsid w:val="007455C8"/>
    <w:rsid w:val="00745B54"/>
    <w:rsid w:val="00745B68"/>
    <w:rsid w:val="00745CD1"/>
    <w:rsid w:val="00746001"/>
    <w:rsid w:val="007460E1"/>
    <w:rsid w:val="00746116"/>
    <w:rsid w:val="00746276"/>
    <w:rsid w:val="00746416"/>
    <w:rsid w:val="00746670"/>
    <w:rsid w:val="00746FB6"/>
    <w:rsid w:val="007471C6"/>
    <w:rsid w:val="00747434"/>
    <w:rsid w:val="0074788B"/>
    <w:rsid w:val="00747ACB"/>
    <w:rsid w:val="007508F6"/>
    <w:rsid w:val="00750CA1"/>
    <w:rsid w:val="0075137C"/>
    <w:rsid w:val="0075138C"/>
    <w:rsid w:val="007515AB"/>
    <w:rsid w:val="00751622"/>
    <w:rsid w:val="00751D46"/>
    <w:rsid w:val="007521ED"/>
    <w:rsid w:val="007525AB"/>
    <w:rsid w:val="0075262D"/>
    <w:rsid w:val="007526C5"/>
    <w:rsid w:val="0075286A"/>
    <w:rsid w:val="007531CC"/>
    <w:rsid w:val="00753630"/>
    <w:rsid w:val="00753718"/>
    <w:rsid w:val="007538F0"/>
    <w:rsid w:val="0075418A"/>
    <w:rsid w:val="00754DAE"/>
    <w:rsid w:val="00754E62"/>
    <w:rsid w:val="00755186"/>
    <w:rsid w:val="00755ECF"/>
    <w:rsid w:val="00756502"/>
    <w:rsid w:val="007565E6"/>
    <w:rsid w:val="00756A25"/>
    <w:rsid w:val="00756D75"/>
    <w:rsid w:val="00756E5B"/>
    <w:rsid w:val="00756F3F"/>
    <w:rsid w:val="0075732C"/>
    <w:rsid w:val="00757399"/>
    <w:rsid w:val="007573A1"/>
    <w:rsid w:val="00757F0D"/>
    <w:rsid w:val="00760631"/>
    <w:rsid w:val="00760CB7"/>
    <w:rsid w:val="0076136E"/>
    <w:rsid w:val="00761660"/>
    <w:rsid w:val="00761AD9"/>
    <w:rsid w:val="00761C86"/>
    <w:rsid w:val="00762074"/>
    <w:rsid w:val="0076260D"/>
    <w:rsid w:val="00762A47"/>
    <w:rsid w:val="00762FFD"/>
    <w:rsid w:val="007632E6"/>
    <w:rsid w:val="007634FB"/>
    <w:rsid w:val="00763883"/>
    <w:rsid w:val="007639EA"/>
    <w:rsid w:val="00763B77"/>
    <w:rsid w:val="00764784"/>
    <w:rsid w:val="007650A5"/>
    <w:rsid w:val="00766369"/>
    <w:rsid w:val="0076640A"/>
    <w:rsid w:val="00766ACE"/>
    <w:rsid w:val="00766F01"/>
    <w:rsid w:val="00766F78"/>
    <w:rsid w:val="0076702C"/>
    <w:rsid w:val="0076716D"/>
    <w:rsid w:val="007671E1"/>
    <w:rsid w:val="007672DB"/>
    <w:rsid w:val="00767600"/>
    <w:rsid w:val="00767F6C"/>
    <w:rsid w:val="0077048E"/>
    <w:rsid w:val="007705B1"/>
    <w:rsid w:val="00770966"/>
    <w:rsid w:val="00770982"/>
    <w:rsid w:val="00770C53"/>
    <w:rsid w:val="00770DFB"/>
    <w:rsid w:val="00771657"/>
    <w:rsid w:val="00772829"/>
    <w:rsid w:val="00772B6E"/>
    <w:rsid w:val="00772E51"/>
    <w:rsid w:val="00772EF4"/>
    <w:rsid w:val="007734A4"/>
    <w:rsid w:val="0077371D"/>
    <w:rsid w:val="00773739"/>
    <w:rsid w:val="007738FE"/>
    <w:rsid w:val="00773F61"/>
    <w:rsid w:val="00773FB1"/>
    <w:rsid w:val="007741C5"/>
    <w:rsid w:val="007745EE"/>
    <w:rsid w:val="00775335"/>
    <w:rsid w:val="00775B8D"/>
    <w:rsid w:val="00776125"/>
    <w:rsid w:val="0077681A"/>
    <w:rsid w:val="00776A63"/>
    <w:rsid w:val="0077708B"/>
    <w:rsid w:val="007770FD"/>
    <w:rsid w:val="00777106"/>
    <w:rsid w:val="00777177"/>
    <w:rsid w:val="0077731E"/>
    <w:rsid w:val="0077732C"/>
    <w:rsid w:val="0077744F"/>
    <w:rsid w:val="00777731"/>
    <w:rsid w:val="00777848"/>
    <w:rsid w:val="0077787E"/>
    <w:rsid w:val="00777893"/>
    <w:rsid w:val="00777A6E"/>
    <w:rsid w:val="00777DC6"/>
    <w:rsid w:val="00780529"/>
    <w:rsid w:val="00780A0E"/>
    <w:rsid w:val="00780EE3"/>
    <w:rsid w:val="00780FBC"/>
    <w:rsid w:val="007814B2"/>
    <w:rsid w:val="007815E2"/>
    <w:rsid w:val="00781BAF"/>
    <w:rsid w:val="00781F75"/>
    <w:rsid w:val="007821C7"/>
    <w:rsid w:val="00782317"/>
    <w:rsid w:val="00782358"/>
    <w:rsid w:val="007827F3"/>
    <w:rsid w:val="00782C89"/>
    <w:rsid w:val="00783105"/>
    <w:rsid w:val="007833E5"/>
    <w:rsid w:val="00783476"/>
    <w:rsid w:val="007839D4"/>
    <w:rsid w:val="00783B9B"/>
    <w:rsid w:val="00783CFA"/>
    <w:rsid w:val="00784341"/>
    <w:rsid w:val="0078438A"/>
    <w:rsid w:val="007843AC"/>
    <w:rsid w:val="0078482A"/>
    <w:rsid w:val="00784B20"/>
    <w:rsid w:val="00785014"/>
    <w:rsid w:val="007852E9"/>
    <w:rsid w:val="00785339"/>
    <w:rsid w:val="00785DA6"/>
    <w:rsid w:val="00786F82"/>
    <w:rsid w:val="0078739D"/>
    <w:rsid w:val="00787507"/>
    <w:rsid w:val="00787E71"/>
    <w:rsid w:val="007901AF"/>
    <w:rsid w:val="00790B15"/>
    <w:rsid w:val="00790C4E"/>
    <w:rsid w:val="00790E21"/>
    <w:rsid w:val="00790F49"/>
    <w:rsid w:val="0079123B"/>
    <w:rsid w:val="00791D26"/>
    <w:rsid w:val="00792332"/>
    <w:rsid w:val="007929F5"/>
    <w:rsid w:val="00792EA1"/>
    <w:rsid w:val="007931CB"/>
    <w:rsid w:val="0079351F"/>
    <w:rsid w:val="007936DC"/>
    <w:rsid w:val="007942FA"/>
    <w:rsid w:val="00794A54"/>
    <w:rsid w:val="00794E40"/>
    <w:rsid w:val="00794E89"/>
    <w:rsid w:val="007951D4"/>
    <w:rsid w:val="007954AA"/>
    <w:rsid w:val="00795785"/>
    <w:rsid w:val="00795DA8"/>
    <w:rsid w:val="00796011"/>
    <w:rsid w:val="00796209"/>
    <w:rsid w:val="00796EC9"/>
    <w:rsid w:val="00797754"/>
    <w:rsid w:val="007978DF"/>
    <w:rsid w:val="00797C46"/>
    <w:rsid w:val="00797CCA"/>
    <w:rsid w:val="00797E21"/>
    <w:rsid w:val="007A01D9"/>
    <w:rsid w:val="007A0874"/>
    <w:rsid w:val="007A1277"/>
    <w:rsid w:val="007A14D1"/>
    <w:rsid w:val="007A1506"/>
    <w:rsid w:val="007A150D"/>
    <w:rsid w:val="007A17C4"/>
    <w:rsid w:val="007A19F6"/>
    <w:rsid w:val="007A1CE0"/>
    <w:rsid w:val="007A1EFF"/>
    <w:rsid w:val="007A2531"/>
    <w:rsid w:val="007A2B65"/>
    <w:rsid w:val="007A3474"/>
    <w:rsid w:val="007A3A73"/>
    <w:rsid w:val="007A4671"/>
    <w:rsid w:val="007A4988"/>
    <w:rsid w:val="007A49C0"/>
    <w:rsid w:val="007A4AB3"/>
    <w:rsid w:val="007A4BB4"/>
    <w:rsid w:val="007A4D7A"/>
    <w:rsid w:val="007A53EF"/>
    <w:rsid w:val="007A5617"/>
    <w:rsid w:val="007A58B2"/>
    <w:rsid w:val="007A61F8"/>
    <w:rsid w:val="007A69D9"/>
    <w:rsid w:val="007A7182"/>
    <w:rsid w:val="007A7407"/>
    <w:rsid w:val="007A7A4D"/>
    <w:rsid w:val="007B0245"/>
    <w:rsid w:val="007B026F"/>
    <w:rsid w:val="007B083F"/>
    <w:rsid w:val="007B0880"/>
    <w:rsid w:val="007B0D01"/>
    <w:rsid w:val="007B1391"/>
    <w:rsid w:val="007B1D0F"/>
    <w:rsid w:val="007B2085"/>
    <w:rsid w:val="007B2720"/>
    <w:rsid w:val="007B283B"/>
    <w:rsid w:val="007B2FDC"/>
    <w:rsid w:val="007B362A"/>
    <w:rsid w:val="007B38A0"/>
    <w:rsid w:val="007B38B7"/>
    <w:rsid w:val="007B395E"/>
    <w:rsid w:val="007B3FE3"/>
    <w:rsid w:val="007B4469"/>
    <w:rsid w:val="007B45AE"/>
    <w:rsid w:val="007B4F63"/>
    <w:rsid w:val="007B4F7B"/>
    <w:rsid w:val="007B515F"/>
    <w:rsid w:val="007B574A"/>
    <w:rsid w:val="007B5776"/>
    <w:rsid w:val="007B583D"/>
    <w:rsid w:val="007B5E36"/>
    <w:rsid w:val="007B64A5"/>
    <w:rsid w:val="007B6684"/>
    <w:rsid w:val="007B696E"/>
    <w:rsid w:val="007B6B21"/>
    <w:rsid w:val="007B6C9E"/>
    <w:rsid w:val="007B6DA1"/>
    <w:rsid w:val="007B7024"/>
    <w:rsid w:val="007B7191"/>
    <w:rsid w:val="007B71D2"/>
    <w:rsid w:val="007B72BD"/>
    <w:rsid w:val="007B7B0B"/>
    <w:rsid w:val="007C0390"/>
    <w:rsid w:val="007C05A9"/>
    <w:rsid w:val="007C07A4"/>
    <w:rsid w:val="007C0BC4"/>
    <w:rsid w:val="007C14A2"/>
    <w:rsid w:val="007C14A8"/>
    <w:rsid w:val="007C1507"/>
    <w:rsid w:val="007C271F"/>
    <w:rsid w:val="007C2A77"/>
    <w:rsid w:val="007C300E"/>
    <w:rsid w:val="007C3046"/>
    <w:rsid w:val="007C328D"/>
    <w:rsid w:val="007C336F"/>
    <w:rsid w:val="007C3D5B"/>
    <w:rsid w:val="007C3EC5"/>
    <w:rsid w:val="007C41A3"/>
    <w:rsid w:val="007C41AB"/>
    <w:rsid w:val="007C41B1"/>
    <w:rsid w:val="007C4273"/>
    <w:rsid w:val="007C4A97"/>
    <w:rsid w:val="007C4F83"/>
    <w:rsid w:val="007C546A"/>
    <w:rsid w:val="007C56B9"/>
    <w:rsid w:val="007C5D02"/>
    <w:rsid w:val="007C5E74"/>
    <w:rsid w:val="007C6265"/>
    <w:rsid w:val="007C69C7"/>
    <w:rsid w:val="007C73C9"/>
    <w:rsid w:val="007C79A0"/>
    <w:rsid w:val="007C7CC1"/>
    <w:rsid w:val="007C7E80"/>
    <w:rsid w:val="007C7FBF"/>
    <w:rsid w:val="007D0A66"/>
    <w:rsid w:val="007D0E44"/>
    <w:rsid w:val="007D12F4"/>
    <w:rsid w:val="007D1B30"/>
    <w:rsid w:val="007D1E94"/>
    <w:rsid w:val="007D1F3A"/>
    <w:rsid w:val="007D1F85"/>
    <w:rsid w:val="007D1FDF"/>
    <w:rsid w:val="007D22AC"/>
    <w:rsid w:val="007D2350"/>
    <w:rsid w:val="007D3074"/>
    <w:rsid w:val="007D3092"/>
    <w:rsid w:val="007D30B7"/>
    <w:rsid w:val="007D3E39"/>
    <w:rsid w:val="007D4099"/>
    <w:rsid w:val="007D4326"/>
    <w:rsid w:val="007D451F"/>
    <w:rsid w:val="007D47A9"/>
    <w:rsid w:val="007D49ED"/>
    <w:rsid w:val="007D4A57"/>
    <w:rsid w:val="007D4AB7"/>
    <w:rsid w:val="007D4C7A"/>
    <w:rsid w:val="007D5054"/>
    <w:rsid w:val="007D50D8"/>
    <w:rsid w:val="007D513B"/>
    <w:rsid w:val="007D52B3"/>
    <w:rsid w:val="007D572E"/>
    <w:rsid w:val="007D5974"/>
    <w:rsid w:val="007D63D0"/>
    <w:rsid w:val="007D66CC"/>
    <w:rsid w:val="007D74AC"/>
    <w:rsid w:val="007D7B73"/>
    <w:rsid w:val="007D7BB1"/>
    <w:rsid w:val="007E053A"/>
    <w:rsid w:val="007E09DF"/>
    <w:rsid w:val="007E0D16"/>
    <w:rsid w:val="007E0DE1"/>
    <w:rsid w:val="007E1302"/>
    <w:rsid w:val="007E15AD"/>
    <w:rsid w:val="007E1786"/>
    <w:rsid w:val="007E1D3D"/>
    <w:rsid w:val="007E1D85"/>
    <w:rsid w:val="007E202A"/>
    <w:rsid w:val="007E21DF"/>
    <w:rsid w:val="007E23C6"/>
    <w:rsid w:val="007E25ED"/>
    <w:rsid w:val="007E2738"/>
    <w:rsid w:val="007E2BC0"/>
    <w:rsid w:val="007E2EEB"/>
    <w:rsid w:val="007E38DB"/>
    <w:rsid w:val="007E3942"/>
    <w:rsid w:val="007E403B"/>
    <w:rsid w:val="007E4881"/>
    <w:rsid w:val="007E49F7"/>
    <w:rsid w:val="007E4A5E"/>
    <w:rsid w:val="007E510D"/>
    <w:rsid w:val="007E5521"/>
    <w:rsid w:val="007E559E"/>
    <w:rsid w:val="007E5871"/>
    <w:rsid w:val="007E5D2A"/>
    <w:rsid w:val="007E5D98"/>
    <w:rsid w:val="007E6090"/>
    <w:rsid w:val="007E61A4"/>
    <w:rsid w:val="007E627F"/>
    <w:rsid w:val="007E64DB"/>
    <w:rsid w:val="007E69B7"/>
    <w:rsid w:val="007E6BCC"/>
    <w:rsid w:val="007E6F43"/>
    <w:rsid w:val="007E7357"/>
    <w:rsid w:val="007E7698"/>
    <w:rsid w:val="007E7722"/>
    <w:rsid w:val="007E7AC4"/>
    <w:rsid w:val="007E7F18"/>
    <w:rsid w:val="007F01B0"/>
    <w:rsid w:val="007F0206"/>
    <w:rsid w:val="007F066D"/>
    <w:rsid w:val="007F0C13"/>
    <w:rsid w:val="007F1B0A"/>
    <w:rsid w:val="007F1E24"/>
    <w:rsid w:val="007F2B22"/>
    <w:rsid w:val="007F2E78"/>
    <w:rsid w:val="007F31AC"/>
    <w:rsid w:val="007F375A"/>
    <w:rsid w:val="007F3AEE"/>
    <w:rsid w:val="007F4237"/>
    <w:rsid w:val="007F47D3"/>
    <w:rsid w:val="007F4D7C"/>
    <w:rsid w:val="007F4FAB"/>
    <w:rsid w:val="007F51AB"/>
    <w:rsid w:val="007F5500"/>
    <w:rsid w:val="007F5B12"/>
    <w:rsid w:val="007F5D4B"/>
    <w:rsid w:val="007F61A5"/>
    <w:rsid w:val="007F67E9"/>
    <w:rsid w:val="007F6861"/>
    <w:rsid w:val="007F7664"/>
    <w:rsid w:val="007F772D"/>
    <w:rsid w:val="007F7C7B"/>
    <w:rsid w:val="00800758"/>
    <w:rsid w:val="0080096F"/>
    <w:rsid w:val="00800B6C"/>
    <w:rsid w:val="00800EDA"/>
    <w:rsid w:val="00801291"/>
    <w:rsid w:val="008018D2"/>
    <w:rsid w:val="00801EFD"/>
    <w:rsid w:val="00801FA8"/>
    <w:rsid w:val="00802212"/>
    <w:rsid w:val="0080221A"/>
    <w:rsid w:val="00802353"/>
    <w:rsid w:val="008023E0"/>
    <w:rsid w:val="00802620"/>
    <w:rsid w:val="00802A4B"/>
    <w:rsid w:val="0080331A"/>
    <w:rsid w:val="00803B43"/>
    <w:rsid w:val="00803E02"/>
    <w:rsid w:val="008040A2"/>
    <w:rsid w:val="0080439D"/>
    <w:rsid w:val="00804632"/>
    <w:rsid w:val="0080471E"/>
    <w:rsid w:val="00804A88"/>
    <w:rsid w:val="00804BB3"/>
    <w:rsid w:val="00804D65"/>
    <w:rsid w:val="00804F9F"/>
    <w:rsid w:val="008053BD"/>
    <w:rsid w:val="008054D9"/>
    <w:rsid w:val="00805B5D"/>
    <w:rsid w:val="00805E89"/>
    <w:rsid w:val="00806688"/>
    <w:rsid w:val="008070CD"/>
    <w:rsid w:val="008073CD"/>
    <w:rsid w:val="00807A3E"/>
    <w:rsid w:val="00807F95"/>
    <w:rsid w:val="008100CB"/>
    <w:rsid w:val="008100FD"/>
    <w:rsid w:val="0081013C"/>
    <w:rsid w:val="008102D5"/>
    <w:rsid w:val="00810338"/>
    <w:rsid w:val="00811160"/>
    <w:rsid w:val="008114A5"/>
    <w:rsid w:val="00811A88"/>
    <w:rsid w:val="00811C24"/>
    <w:rsid w:val="00811C52"/>
    <w:rsid w:val="00812282"/>
    <w:rsid w:val="00812564"/>
    <w:rsid w:val="00812577"/>
    <w:rsid w:val="00812E03"/>
    <w:rsid w:val="008133A7"/>
    <w:rsid w:val="008133E6"/>
    <w:rsid w:val="00813482"/>
    <w:rsid w:val="00813607"/>
    <w:rsid w:val="008139A6"/>
    <w:rsid w:val="00813E25"/>
    <w:rsid w:val="0081471B"/>
    <w:rsid w:val="008148E4"/>
    <w:rsid w:val="00815378"/>
    <w:rsid w:val="008153DD"/>
    <w:rsid w:val="008157F1"/>
    <w:rsid w:val="008158D1"/>
    <w:rsid w:val="00815E0A"/>
    <w:rsid w:val="00816C3E"/>
    <w:rsid w:val="00816DC4"/>
    <w:rsid w:val="00816E51"/>
    <w:rsid w:val="00816EC2"/>
    <w:rsid w:val="008172C6"/>
    <w:rsid w:val="00817869"/>
    <w:rsid w:val="00817888"/>
    <w:rsid w:val="00817B3D"/>
    <w:rsid w:val="00822573"/>
    <w:rsid w:val="00822B15"/>
    <w:rsid w:val="00822D31"/>
    <w:rsid w:val="00822DAB"/>
    <w:rsid w:val="00823438"/>
    <w:rsid w:val="00823607"/>
    <w:rsid w:val="008236E1"/>
    <w:rsid w:val="00824176"/>
    <w:rsid w:val="00824458"/>
    <w:rsid w:val="00824680"/>
    <w:rsid w:val="008248BA"/>
    <w:rsid w:val="008249F7"/>
    <w:rsid w:val="00824B74"/>
    <w:rsid w:val="00824EC3"/>
    <w:rsid w:val="00825138"/>
    <w:rsid w:val="008258BE"/>
    <w:rsid w:val="00825ACA"/>
    <w:rsid w:val="008262C4"/>
    <w:rsid w:val="00826412"/>
    <w:rsid w:val="0082692B"/>
    <w:rsid w:val="00826AA7"/>
    <w:rsid w:val="00826AB4"/>
    <w:rsid w:val="00827027"/>
    <w:rsid w:val="008274ED"/>
    <w:rsid w:val="00827D63"/>
    <w:rsid w:val="0083049D"/>
    <w:rsid w:val="00830C06"/>
    <w:rsid w:val="008310FC"/>
    <w:rsid w:val="008312ED"/>
    <w:rsid w:val="008313B4"/>
    <w:rsid w:val="008316FE"/>
    <w:rsid w:val="0083194F"/>
    <w:rsid w:val="00831B3F"/>
    <w:rsid w:val="00831EA9"/>
    <w:rsid w:val="00831F4F"/>
    <w:rsid w:val="008322B9"/>
    <w:rsid w:val="008325CE"/>
    <w:rsid w:val="008330BB"/>
    <w:rsid w:val="00833BF5"/>
    <w:rsid w:val="00833C10"/>
    <w:rsid w:val="008351A2"/>
    <w:rsid w:val="0083593B"/>
    <w:rsid w:val="00835EC9"/>
    <w:rsid w:val="00836388"/>
    <w:rsid w:val="00836AA7"/>
    <w:rsid w:val="00836AE0"/>
    <w:rsid w:val="00836E49"/>
    <w:rsid w:val="00836EA5"/>
    <w:rsid w:val="00837305"/>
    <w:rsid w:val="00837F6A"/>
    <w:rsid w:val="008405E2"/>
    <w:rsid w:val="0084086D"/>
    <w:rsid w:val="00840A63"/>
    <w:rsid w:val="00840C1B"/>
    <w:rsid w:val="00840FE4"/>
    <w:rsid w:val="00841222"/>
    <w:rsid w:val="00841388"/>
    <w:rsid w:val="00841E9A"/>
    <w:rsid w:val="00841EFB"/>
    <w:rsid w:val="00841F44"/>
    <w:rsid w:val="00842006"/>
    <w:rsid w:val="00842054"/>
    <w:rsid w:val="00842111"/>
    <w:rsid w:val="008421BC"/>
    <w:rsid w:val="00842858"/>
    <w:rsid w:val="00842879"/>
    <w:rsid w:val="00842AB8"/>
    <w:rsid w:val="00842C82"/>
    <w:rsid w:val="00842D59"/>
    <w:rsid w:val="00842FDA"/>
    <w:rsid w:val="00843240"/>
    <w:rsid w:val="008432F0"/>
    <w:rsid w:val="0084330D"/>
    <w:rsid w:val="008433AD"/>
    <w:rsid w:val="008436D7"/>
    <w:rsid w:val="00843792"/>
    <w:rsid w:val="0084394F"/>
    <w:rsid w:val="00843C0A"/>
    <w:rsid w:val="00843D56"/>
    <w:rsid w:val="008440F4"/>
    <w:rsid w:val="008440FE"/>
    <w:rsid w:val="008444DE"/>
    <w:rsid w:val="0084452F"/>
    <w:rsid w:val="0084542C"/>
    <w:rsid w:val="008454FE"/>
    <w:rsid w:val="00845EA0"/>
    <w:rsid w:val="00845EEC"/>
    <w:rsid w:val="00845FCA"/>
    <w:rsid w:val="00845FE7"/>
    <w:rsid w:val="00846119"/>
    <w:rsid w:val="00846AC8"/>
    <w:rsid w:val="00846BFC"/>
    <w:rsid w:val="00847182"/>
    <w:rsid w:val="0084722F"/>
    <w:rsid w:val="008474E3"/>
    <w:rsid w:val="00847916"/>
    <w:rsid w:val="00847DDC"/>
    <w:rsid w:val="00847E5D"/>
    <w:rsid w:val="008503D9"/>
    <w:rsid w:val="00850617"/>
    <w:rsid w:val="00850647"/>
    <w:rsid w:val="00850AA9"/>
    <w:rsid w:val="00851897"/>
    <w:rsid w:val="00851B67"/>
    <w:rsid w:val="00851ED1"/>
    <w:rsid w:val="00851FD2"/>
    <w:rsid w:val="0085216B"/>
    <w:rsid w:val="00852533"/>
    <w:rsid w:val="008527ED"/>
    <w:rsid w:val="00852B88"/>
    <w:rsid w:val="00852FE0"/>
    <w:rsid w:val="008531AB"/>
    <w:rsid w:val="00853536"/>
    <w:rsid w:val="008535F4"/>
    <w:rsid w:val="008537F7"/>
    <w:rsid w:val="00853AC7"/>
    <w:rsid w:val="00853ADF"/>
    <w:rsid w:val="00853FBC"/>
    <w:rsid w:val="00854221"/>
    <w:rsid w:val="00854619"/>
    <w:rsid w:val="008546BE"/>
    <w:rsid w:val="008548B5"/>
    <w:rsid w:val="00854BE2"/>
    <w:rsid w:val="00854FD9"/>
    <w:rsid w:val="0085508A"/>
    <w:rsid w:val="0085575E"/>
    <w:rsid w:val="00855CC2"/>
    <w:rsid w:val="00856074"/>
    <w:rsid w:val="008564D8"/>
    <w:rsid w:val="0085686F"/>
    <w:rsid w:val="00856948"/>
    <w:rsid w:val="008570E9"/>
    <w:rsid w:val="008577EC"/>
    <w:rsid w:val="00857949"/>
    <w:rsid w:val="00860129"/>
    <w:rsid w:val="00860B40"/>
    <w:rsid w:val="008611ED"/>
    <w:rsid w:val="00861C12"/>
    <w:rsid w:val="00861D39"/>
    <w:rsid w:val="00861D51"/>
    <w:rsid w:val="00862572"/>
    <w:rsid w:val="008627EA"/>
    <w:rsid w:val="00862907"/>
    <w:rsid w:val="00862978"/>
    <w:rsid w:val="008629AF"/>
    <w:rsid w:val="00862C29"/>
    <w:rsid w:val="00862DC8"/>
    <w:rsid w:val="00862E6D"/>
    <w:rsid w:val="008630D2"/>
    <w:rsid w:val="008633FE"/>
    <w:rsid w:val="0086366E"/>
    <w:rsid w:val="00863DA4"/>
    <w:rsid w:val="00863DB3"/>
    <w:rsid w:val="00864AEF"/>
    <w:rsid w:val="00865ECD"/>
    <w:rsid w:val="00866157"/>
    <w:rsid w:val="00866384"/>
    <w:rsid w:val="00866C4B"/>
    <w:rsid w:val="00867065"/>
    <w:rsid w:val="008679D3"/>
    <w:rsid w:val="00867DEC"/>
    <w:rsid w:val="00870C30"/>
    <w:rsid w:val="00870F9A"/>
    <w:rsid w:val="008710BE"/>
    <w:rsid w:val="0087139F"/>
    <w:rsid w:val="0087176C"/>
    <w:rsid w:val="008719C2"/>
    <w:rsid w:val="00871A48"/>
    <w:rsid w:val="00871E13"/>
    <w:rsid w:val="00871F42"/>
    <w:rsid w:val="00871FF9"/>
    <w:rsid w:val="0087277A"/>
    <w:rsid w:val="008729CE"/>
    <w:rsid w:val="00872A47"/>
    <w:rsid w:val="008731EE"/>
    <w:rsid w:val="008732D0"/>
    <w:rsid w:val="008736E2"/>
    <w:rsid w:val="008739AD"/>
    <w:rsid w:val="00873E10"/>
    <w:rsid w:val="00873FDF"/>
    <w:rsid w:val="00873FFC"/>
    <w:rsid w:val="00874565"/>
    <w:rsid w:val="00874EB6"/>
    <w:rsid w:val="00874FE9"/>
    <w:rsid w:val="008756F1"/>
    <w:rsid w:val="008759AB"/>
    <w:rsid w:val="008759D4"/>
    <w:rsid w:val="00875A9C"/>
    <w:rsid w:val="00875DCE"/>
    <w:rsid w:val="00875F27"/>
    <w:rsid w:val="00875FDC"/>
    <w:rsid w:val="0087608C"/>
    <w:rsid w:val="00876405"/>
    <w:rsid w:val="00876D87"/>
    <w:rsid w:val="00876EA0"/>
    <w:rsid w:val="00877247"/>
    <w:rsid w:val="00880016"/>
    <w:rsid w:val="0088014B"/>
    <w:rsid w:val="00880165"/>
    <w:rsid w:val="008801AE"/>
    <w:rsid w:val="008804FC"/>
    <w:rsid w:val="00880793"/>
    <w:rsid w:val="00880A43"/>
    <w:rsid w:val="00880AA3"/>
    <w:rsid w:val="00880D1A"/>
    <w:rsid w:val="00880F53"/>
    <w:rsid w:val="0088126F"/>
    <w:rsid w:val="008816E9"/>
    <w:rsid w:val="00881FA5"/>
    <w:rsid w:val="008822AC"/>
    <w:rsid w:val="00882686"/>
    <w:rsid w:val="008826FB"/>
    <w:rsid w:val="00882DFA"/>
    <w:rsid w:val="0088338C"/>
    <w:rsid w:val="00883581"/>
    <w:rsid w:val="00883886"/>
    <w:rsid w:val="00883B9A"/>
    <w:rsid w:val="00883F23"/>
    <w:rsid w:val="0088421C"/>
    <w:rsid w:val="0088444E"/>
    <w:rsid w:val="0088445B"/>
    <w:rsid w:val="00884726"/>
    <w:rsid w:val="00884AD7"/>
    <w:rsid w:val="00884FC3"/>
    <w:rsid w:val="0088502B"/>
    <w:rsid w:val="0088511C"/>
    <w:rsid w:val="008854B0"/>
    <w:rsid w:val="00885D0D"/>
    <w:rsid w:val="00886044"/>
    <w:rsid w:val="00886153"/>
    <w:rsid w:val="00886DBC"/>
    <w:rsid w:val="00886E8E"/>
    <w:rsid w:val="0088721B"/>
    <w:rsid w:val="0088725C"/>
    <w:rsid w:val="00887297"/>
    <w:rsid w:val="008874BA"/>
    <w:rsid w:val="008877DC"/>
    <w:rsid w:val="00887936"/>
    <w:rsid w:val="008879B6"/>
    <w:rsid w:val="00890234"/>
    <w:rsid w:val="0089057D"/>
    <w:rsid w:val="008905E4"/>
    <w:rsid w:val="008907AB"/>
    <w:rsid w:val="00890F2C"/>
    <w:rsid w:val="00890F5D"/>
    <w:rsid w:val="00890F6D"/>
    <w:rsid w:val="00890FC9"/>
    <w:rsid w:val="0089140B"/>
    <w:rsid w:val="00891AF6"/>
    <w:rsid w:val="00891B4A"/>
    <w:rsid w:val="00891BC3"/>
    <w:rsid w:val="00891E9B"/>
    <w:rsid w:val="00892011"/>
    <w:rsid w:val="0089223B"/>
    <w:rsid w:val="00892507"/>
    <w:rsid w:val="008926B5"/>
    <w:rsid w:val="00892894"/>
    <w:rsid w:val="00892E52"/>
    <w:rsid w:val="00893377"/>
    <w:rsid w:val="008935C9"/>
    <w:rsid w:val="008937C8"/>
    <w:rsid w:val="00893855"/>
    <w:rsid w:val="00893B53"/>
    <w:rsid w:val="0089436E"/>
    <w:rsid w:val="008949B8"/>
    <w:rsid w:val="00895687"/>
    <w:rsid w:val="00895F47"/>
    <w:rsid w:val="00896253"/>
    <w:rsid w:val="008963CA"/>
    <w:rsid w:val="0089656F"/>
    <w:rsid w:val="0089673F"/>
    <w:rsid w:val="008967C4"/>
    <w:rsid w:val="00896A98"/>
    <w:rsid w:val="00896E4A"/>
    <w:rsid w:val="00897117"/>
    <w:rsid w:val="00897B5B"/>
    <w:rsid w:val="00897B8D"/>
    <w:rsid w:val="00897FAD"/>
    <w:rsid w:val="00897FED"/>
    <w:rsid w:val="008A0273"/>
    <w:rsid w:val="008A0A85"/>
    <w:rsid w:val="008A0B0A"/>
    <w:rsid w:val="008A0D2A"/>
    <w:rsid w:val="008A1693"/>
    <w:rsid w:val="008A1801"/>
    <w:rsid w:val="008A202B"/>
    <w:rsid w:val="008A2162"/>
    <w:rsid w:val="008A254F"/>
    <w:rsid w:val="008A2630"/>
    <w:rsid w:val="008A2FD5"/>
    <w:rsid w:val="008A35FD"/>
    <w:rsid w:val="008A3897"/>
    <w:rsid w:val="008A461B"/>
    <w:rsid w:val="008A4C6B"/>
    <w:rsid w:val="008A522B"/>
    <w:rsid w:val="008A5833"/>
    <w:rsid w:val="008A5A3C"/>
    <w:rsid w:val="008A5E5C"/>
    <w:rsid w:val="008A5F4D"/>
    <w:rsid w:val="008A639C"/>
    <w:rsid w:val="008A6449"/>
    <w:rsid w:val="008A6DBD"/>
    <w:rsid w:val="008A717A"/>
    <w:rsid w:val="008A719A"/>
    <w:rsid w:val="008A77CB"/>
    <w:rsid w:val="008A77F6"/>
    <w:rsid w:val="008A7D6C"/>
    <w:rsid w:val="008A7FFA"/>
    <w:rsid w:val="008B02E6"/>
    <w:rsid w:val="008B09C1"/>
    <w:rsid w:val="008B0F41"/>
    <w:rsid w:val="008B11A7"/>
    <w:rsid w:val="008B11E9"/>
    <w:rsid w:val="008B1364"/>
    <w:rsid w:val="008B1ADB"/>
    <w:rsid w:val="008B1E31"/>
    <w:rsid w:val="008B2643"/>
    <w:rsid w:val="008B28A4"/>
    <w:rsid w:val="008B2A10"/>
    <w:rsid w:val="008B2C03"/>
    <w:rsid w:val="008B2E21"/>
    <w:rsid w:val="008B2E94"/>
    <w:rsid w:val="008B2F42"/>
    <w:rsid w:val="008B30FF"/>
    <w:rsid w:val="008B3874"/>
    <w:rsid w:val="008B3A88"/>
    <w:rsid w:val="008B3AE8"/>
    <w:rsid w:val="008B3EFE"/>
    <w:rsid w:val="008B43C8"/>
    <w:rsid w:val="008B44EA"/>
    <w:rsid w:val="008B4882"/>
    <w:rsid w:val="008B492D"/>
    <w:rsid w:val="008B4BFC"/>
    <w:rsid w:val="008B4C42"/>
    <w:rsid w:val="008B51A3"/>
    <w:rsid w:val="008B51B4"/>
    <w:rsid w:val="008B51EF"/>
    <w:rsid w:val="008B592F"/>
    <w:rsid w:val="008B5A43"/>
    <w:rsid w:val="008B5B67"/>
    <w:rsid w:val="008B5D7A"/>
    <w:rsid w:val="008B5EF6"/>
    <w:rsid w:val="008B62DA"/>
    <w:rsid w:val="008B64AF"/>
    <w:rsid w:val="008B656A"/>
    <w:rsid w:val="008B66E3"/>
    <w:rsid w:val="008B691B"/>
    <w:rsid w:val="008B693B"/>
    <w:rsid w:val="008B7848"/>
    <w:rsid w:val="008B7B37"/>
    <w:rsid w:val="008B7BFA"/>
    <w:rsid w:val="008C027A"/>
    <w:rsid w:val="008C03B2"/>
    <w:rsid w:val="008C0642"/>
    <w:rsid w:val="008C09F7"/>
    <w:rsid w:val="008C0A14"/>
    <w:rsid w:val="008C14EC"/>
    <w:rsid w:val="008C1E05"/>
    <w:rsid w:val="008C2702"/>
    <w:rsid w:val="008C2BEB"/>
    <w:rsid w:val="008C2EF8"/>
    <w:rsid w:val="008C2F2B"/>
    <w:rsid w:val="008C325A"/>
    <w:rsid w:val="008C32D8"/>
    <w:rsid w:val="008C34BB"/>
    <w:rsid w:val="008C3B40"/>
    <w:rsid w:val="008C41E0"/>
    <w:rsid w:val="008C444A"/>
    <w:rsid w:val="008C45E2"/>
    <w:rsid w:val="008C48E5"/>
    <w:rsid w:val="008C4AB1"/>
    <w:rsid w:val="008C50F4"/>
    <w:rsid w:val="008C663C"/>
    <w:rsid w:val="008C6672"/>
    <w:rsid w:val="008C67E8"/>
    <w:rsid w:val="008C71A3"/>
    <w:rsid w:val="008C78D6"/>
    <w:rsid w:val="008C7D78"/>
    <w:rsid w:val="008C7F2A"/>
    <w:rsid w:val="008D098A"/>
    <w:rsid w:val="008D0C03"/>
    <w:rsid w:val="008D141E"/>
    <w:rsid w:val="008D16BE"/>
    <w:rsid w:val="008D1936"/>
    <w:rsid w:val="008D1A55"/>
    <w:rsid w:val="008D1B6E"/>
    <w:rsid w:val="008D23BC"/>
    <w:rsid w:val="008D26B9"/>
    <w:rsid w:val="008D2EFA"/>
    <w:rsid w:val="008D33E4"/>
    <w:rsid w:val="008D3483"/>
    <w:rsid w:val="008D3726"/>
    <w:rsid w:val="008D39FD"/>
    <w:rsid w:val="008D470E"/>
    <w:rsid w:val="008D486F"/>
    <w:rsid w:val="008D4CB0"/>
    <w:rsid w:val="008D4EE3"/>
    <w:rsid w:val="008D52EA"/>
    <w:rsid w:val="008D5581"/>
    <w:rsid w:val="008D5D6A"/>
    <w:rsid w:val="008D5DE8"/>
    <w:rsid w:val="008D62E5"/>
    <w:rsid w:val="008D6397"/>
    <w:rsid w:val="008D691E"/>
    <w:rsid w:val="008D73C3"/>
    <w:rsid w:val="008D73C9"/>
    <w:rsid w:val="008D7BF4"/>
    <w:rsid w:val="008D7D31"/>
    <w:rsid w:val="008E094B"/>
    <w:rsid w:val="008E0E7E"/>
    <w:rsid w:val="008E1595"/>
    <w:rsid w:val="008E1625"/>
    <w:rsid w:val="008E16BF"/>
    <w:rsid w:val="008E1893"/>
    <w:rsid w:val="008E1B34"/>
    <w:rsid w:val="008E1CE9"/>
    <w:rsid w:val="008E1F24"/>
    <w:rsid w:val="008E256A"/>
    <w:rsid w:val="008E25C8"/>
    <w:rsid w:val="008E2E92"/>
    <w:rsid w:val="008E3049"/>
    <w:rsid w:val="008E35A3"/>
    <w:rsid w:val="008E35FF"/>
    <w:rsid w:val="008E4196"/>
    <w:rsid w:val="008E475C"/>
    <w:rsid w:val="008E475D"/>
    <w:rsid w:val="008E48DE"/>
    <w:rsid w:val="008E4F78"/>
    <w:rsid w:val="008E557D"/>
    <w:rsid w:val="008E5AF7"/>
    <w:rsid w:val="008E624D"/>
    <w:rsid w:val="008E627E"/>
    <w:rsid w:val="008E657D"/>
    <w:rsid w:val="008E6844"/>
    <w:rsid w:val="008E6C2E"/>
    <w:rsid w:val="008E6E0C"/>
    <w:rsid w:val="008E70BC"/>
    <w:rsid w:val="008E7128"/>
    <w:rsid w:val="008E7274"/>
    <w:rsid w:val="008E764B"/>
    <w:rsid w:val="008E77C4"/>
    <w:rsid w:val="008E7D3D"/>
    <w:rsid w:val="008F00A5"/>
    <w:rsid w:val="008F02FE"/>
    <w:rsid w:val="008F0562"/>
    <w:rsid w:val="008F0711"/>
    <w:rsid w:val="008F0841"/>
    <w:rsid w:val="008F08B1"/>
    <w:rsid w:val="008F0C4D"/>
    <w:rsid w:val="008F0CB9"/>
    <w:rsid w:val="008F1C4C"/>
    <w:rsid w:val="008F260B"/>
    <w:rsid w:val="008F2D63"/>
    <w:rsid w:val="008F2F05"/>
    <w:rsid w:val="008F3116"/>
    <w:rsid w:val="008F391B"/>
    <w:rsid w:val="008F3DCC"/>
    <w:rsid w:val="008F4152"/>
    <w:rsid w:val="008F4B52"/>
    <w:rsid w:val="008F50CC"/>
    <w:rsid w:val="008F53EC"/>
    <w:rsid w:val="008F54D1"/>
    <w:rsid w:val="008F5B0A"/>
    <w:rsid w:val="008F5D1D"/>
    <w:rsid w:val="008F5E17"/>
    <w:rsid w:val="008F5F53"/>
    <w:rsid w:val="008F62D1"/>
    <w:rsid w:val="008F6E34"/>
    <w:rsid w:val="008F6E6C"/>
    <w:rsid w:val="008F71BF"/>
    <w:rsid w:val="008F7433"/>
    <w:rsid w:val="009000BB"/>
    <w:rsid w:val="0090030A"/>
    <w:rsid w:val="009005DC"/>
    <w:rsid w:val="0090064D"/>
    <w:rsid w:val="00900CFA"/>
    <w:rsid w:val="00901264"/>
    <w:rsid w:val="009012F6"/>
    <w:rsid w:val="009018E8"/>
    <w:rsid w:val="00901B49"/>
    <w:rsid w:val="00901B59"/>
    <w:rsid w:val="00901BC8"/>
    <w:rsid w:val="00901E2C"/>
    <w:rsid w:val="00901EAE"/>
    <w:rsid w:val="009026EC"/>
    <w:rsid w:val="009029C4"/>
    <w:rsid w:val="00902AEC"/>
    <w:rsid w:val="009030A7"/>
    <w:rsid w:val="009043C1"/>
    <w:rsid w:val="00904460"/>
    <w:rsid w:val="009044B8"/>
    <w:rsid w:val="00904CFD"/>
    <w:rsid w:val="00905438"/>
    <w:rsid w:val="0090551F"/>
    <w:rsid w:val="009055B4"/>
    <w:rsid w:val="009058B6"/>
    <w:rsid w:val="00905B31"/>
    <w:rsid w:val="00905D06"/>
    <w:rsid w:val="00905E62"/>
    <w:rsid w:val="0090658F"/>
    <w:rsid w:val="00906821"/>
    <w:rsid w:val="00906E65"/>
    <w:rsid w:val="00907041"/>
    <w:rsid w:val="009072A1"/>
    <w:rsid w:val="00910335"/>
    <w:rsid w:val="009103F4"/>
    <w:rsid w:val="00910558"/>
    <w:rsid w:val="00910763"/>
    <w:rsid w:val="009108EA"/>
    <w:rsid w:val="00910A51"/>
    <w:rsid w:val="00910C2A"/>
    <w:rsid w:val="009110FF"/>
    <w:rsid w:val="00911363"/>
    <w:rsid w:val="00911A15"/>
    <w:rsid w:val="00911C16"/>
    <w:rsid w:val="00911EE7"/>
    <w:rsid w:val="00911FE3"/>
    <w:rsid w:val="0091205E"/>
    <w:rsid w:val="00912372"/>
    <w:rsid w:val="00912A1C"/>
    <w:rsid w:val="00912A7F"/>
    <w:rsid w:val="0091327B"/>
    <w:rsid w:val="00913817"/>
    <w:rsid w:val="00913A99"/>
    <w:rsid w:val="00913DF5"/>
    <w:rsid w:val="009144D5"/>
    <w:rsid w:val="00914AC3"/>
    <w:rsid w:val="00914D77"/>
    <w:rsid w:val="0091531A"/>
    <w:rsid w:val="00915349"/>
    <w:rsid w:val="00915500"/>
    <w:rsid w:val="0091552A"/>
    <w:rsid w:val="00915A9F"/>
    <w:rsid w:val="00915D2F"/>
    <w:rsid w:val="00915DDA"/>
    <w:rsid w:val="00915F98"/>
    <w:rsid w:val="00915FA3"/>
    <w:rsid w:val="009164CA"/>
    <w:rsid w:val="009164FA"/>
    <w:rsid w:val="00916839"/>
    <w:rsid w:val="00916B43"/>
    <w:rsid w:val="00916E13"/>
    <w:rsid w:val="0091725E"/>
    <w:rsid w:val="00917831"/>
    <w:rsid w:val="00917977"/>
    <w:rsid w:val="009203D3"/>
    <w:rsid w:val="009217F8"/>
    <w:rsid w:val="0092185C"/>
    <w:rsid w:val="00921B9B"/>
    <w:rsid w:val="00922013"/>
    <w:rsid w:val="009227AC"/>
    <w:rsid w:val="009229C4"/>
    <w:rsid w:val="00922CBC"/>
    <w:rsid w:val="009231A0"/>
    <w:rsid w:val="00923403"/>
    <w:rsid w:val="00923564"/>
    <w:rsid w:val="00923B3D"/>
    <w:rsid w:val="00923CA0"/>
    <w:rsid w:val="00923DBA"/>
    <w:rsid w:val="009245C3"/>
    <w:rsid w:val="00924617"/>
    <w:rsid w:val="0092470E"/>
    <w:rsid w:val="00924979"/>
    <w:rsid w:val="00925187"/>
    <w:rsid w:val="0092562E"/>
    <w:rsid w:val="0092574E"/>
    <w:rsid w:val="009259FB"/>
    <w:rsid w:val="00925C1D"/>
    <w:rsid w:val="00925FE5"/>
    <w:rsid w:val="009267FC"/>
    <w:rsid w:val="00926BEC"/>
    <w:rsid w:val="00926E13"/>
    <w:rsid w:val="00926E56"/>
    <w:rsid w:val="00926F39"/>
    <w:rsid w:val="0092709C"/>
    <w:rsid w:val="0092717F"/>
    <w:rsid w:val="0092726A"/>
    <w:rsid w:val="0092753B"/>
    <w:rsid w:val="00927744"/>
    <w:rsid w:val="00927B05"/>
    <w:rsid w:val="00927B44"/>
    <w:rsid w:val="00927C11"/>
    <w:rsid w:val="00927DEE"/>
    <w:rsid w:val="00927F45"/>
    <w:rsid w:val="009300CB"/>
    <w:rsid w:val="009309C0"/>
    <w:rsid w:val="00930A9D"/>
    <w:rsid w:val="00930BEB"/>
    <w:rsid w:val="00930F4E"/>
    <w:rsid w:val="00931406"/>
    <w:rsid w:val="009315DA"/>
    <w:rsid w:val="0093166D"/>
    <w:rsid w:val="00931801"/>
    <w:rsid w:val="009318D1"/>
    <w:rsid w:val="00931A0F"/>
    <w:rsid w:val="00931CA0"/>
    <w:rsid w:val="00931DDE"/>
    <w:rsid w:val="00932777"/>
    <w:rsid w:val="00932B97"/>
    <w:rsid w:val="00934AD3"/>
    <w:rsid w:val="00934E8B"/>
    <w:rsid w:val="00935EFF"/>
    <w:rsid w:val="00936062"/>
    <w:rsid w:val="0093617E"/>
    <w:rsid w:val="009362B3"/>
    <w:rsid w:val="0093637B"/>
    <w:rsid w:val="00936B82"/>
    <w:rsid w:val="00936F7C"/>
    <w:rsid w:val="009370EC"/>
    <w:rsid w:val="00937319"/>
    <w:rsid w:val="009379FE"/>
    <w:rsid w:val="00937B2C"/>
    <w:rsid w:val="00937CBE"/>
    <w:rsid w:val="00940170"/>
    <w:rsid w:val="009404FD"/>
    <w:rsid w:val="0094072D"/>
    <w:rsid w:val="00940A97"/>
    <w:rsid w:val="009423CD"/>
    <w:rsid w:val="00942413"/>
    <w:rsid w:val="009424B5"/>
    <w:rsid w:val="00942F73"/>
    <w:rsid w:val="0094305A"/>
    <w:rsid w:val="009432AE"/>
    <w:rsid w:val="0094362A"/>
    <w:rsid w:val="009439FF"/>
    <w:rsid w:val="00943AC1"/>
    <w:rsid w:val="00943EDE"/>
    <w:rsid w:val="00944087"/>
    <w:rsid w:val="00944775"/>
    <w:rsid w:val="00944BC5"/>
    <w:rsid w:val="00944E74"/>
    <w:rsid w:val="009452FE"/>
    <w:rsid w:val="00945850"/>
    <w:rsid w:val="0094595F"/>
    <w:rsid w:val="00945CF5"/>
    <w:rsid w:val="00945DC9"/>
    <w:rsid w:val="00945E7A"/>
    <w:rsid w:val="00945EA0"/>
    <w:rsid w:val="00946076"/>
    <w:rsid w:val="00946565"/>
    <w:rsid w:val="0094681B"/>
    <w:rsid w:val="0094684D"/>
    <w:rsid w:val="00946A0D"/>
    <w:rsid w:val="00946D98"/>
    <w:rsid w:val="00947340"/>
    <w:rsid w:val="00947354"/>
    <w:rsid w:val="00947403"/>
    <w:rsid w:val="0094790D"/>
    <w:rsid w:val="00947B60"/>
    <w:rsid w:val="0095009F"/>
    <w:rsid w:val="0095012E"/>
    <w:rsid w:val="00950195"/>
    <w:rsid w:val="009512F2"/>
    <w:rsid w:val="00951779"/>
    <w:rsid w:val="00951934"/>
    <w:rsid w:val="0095207B"/>
    <w:rsid w:val="0095234E"/>
    <w:rsid w:val="00952933"/>
    <w:rsid w:val="00952B9B"/>
    <w:rsid w:val="00952ECE"/>
    <w:rsid w:val="009531D8"/>
    <w:rsid w:val="00953234"/>
    <w:rsid w:val="009532A3"/>
    <w:rsid w:val="00953AF6"/>
    <w:rsid w:val="00953D70"/>
    <w:rsid w:val="00954397"/>
    <w:rsid w:val="0095464D"/>
    <w:rsid w:val="00954C8C"/>
    <w:rsid w:val="00955132"/>
    <w:rsid w:val="009555DB"/>
    <w:rsid w:val="00956632"/>
    <w:rsid w:val="00956ACE"/>
    <w:rsid w:val="00956C91"/>
    <w:rsid w:val="00956CC7"/>
    <w:rsid w:val="00956E94"/>
    <w:rsid w:val="009572A0"/>
    <w:rsid w:val="009579A4"/>
    <w:rsid w:val="00957C8D"/>
    <w:rsid w:val="00957CCA"/>
    <w:rsid w:val="00957D24"/>
    <w:rsid w:val="00957F51"/>
    <w:rsid w:val="00960DCF"/>
    <w:rsid w:val="009612C2"/>
    <w:rsid w:val="00961858"/>
    <w:rsid w:val="00961B53"/>
    <w:rsid w:val="00961FB7"/>
    <w:rsid w:val="0096203C"/>
    <w:rsid w:val="00962074"/>
    <w:rsid w:val="00962C05"/>
    <w:rsid w:val="00962C91"/>
    <w:rsid w:val="00962CE6"/>
    <w:rsid w:val="009630FE"/>
    <w:rsid w:val="00963264"/>
    <w:rsid w:val="0096389D"/>
    <w:rsid w:val="00964112"/>
    <w:rsid w:val="0096494D"/>
    <w:rsid w:val="00964B4D"/>
    <w:rsid w:val="00964CEF"/>
    <w:rsid w:val="00964D05"/>
    <w:rsid w:val="00964D8C"/>
    <w:rsid w:val="009651E3"/>
    <w:rsid w:val="0096560D"/>
    <w:rsid w:val="00966457"/>
    <w:rsid w:val="00966AD9"/>
    <w:rsid w:val="00966CC9"/>
    <w:rsid w:val="00966D54"/>
    <w:rsid w:val="0096725B"/>
    <w:rsid w:val="009676C0"/>
    <w:rsid w:val="0096797B"/>
    <w:rsid w:val="00970C5A"/>
    <w:rsid w:val="009715C5"/>
    <w:rsid w:val="009716CF"/>
    <w:rsid w:val="00971BB0"/>
    <w:rsid w:val="00971C24"/>
    <w:rsid w:val="00971C6B"/>
    <w:rsid w:val="009720BD"/>
    <w:rsid w:val="00972177"/>
    <w:rsid w:val="00972276"/>
    <w:rsid w:val="00972967"/>
    <w:rsid w:val="00972F8B"/>
    <w:rsid w:val="0097337B"/>
    <w:rsid w:val="00973CB1"/>
    <w:rsid w:val="009740DC"/>
    <w:rsid w:val="00974553"/>
    <w:rsid w:val="00974A70"/>
    <w:rsid w:val="00974C93"/>
    <w:rsid w:val="00974CC1"/>
    <w:rsid w:val="00974D5B"/>
    <w:rsid w:val="0097513A"/>
    <w:rsid w:val="00975289"/>
    <w:rsid w:val="0097559A"/>
    <w:rsid w:val="009755CA"/>
    <w:rsid w:val="009755D9"/>
    <w:rsid w:val="00975621"/>
    <w:rsid w:val="00975EE7"/>
    <w:rsid w:val="00976723"/>
    <w:rsid w:val="009768E0"/>
    <w:rsid w:val="00976ADD"/>
    <w:rsid w:val="00976C86"/>
    <w:rsid w:val="009770D7"/>
    <w:rsid w:val="00977749"/>
    <w:rsid w:val="00977B60"/>
    <w:rsid w:val="00977BA1"/>
    <w:rsid w:val="0098001B"/>
    <w:rsid w:val="009803A9"/>
    <w:rsid w:val="009803CB"/>
    <w:rsid w:val="009803D4"/>
    <w:rsid w:val="0098066E"/>
    <w:rsid w:val="009807A2"/>
    <w:rsid w:val="00980CA8"/>
    <w:rsid w:val="009810BA"/>
    <w:rsid w:val="009812D8"/>
    <w:rsid w:val="009813D3"/>
    <w:rsid w:val="0098161F"/>
    <w:rsid w:val="00981666"/>
    <w:rsid w:val="009817F1"/>
    <w:rsid w:val="0098199C"/>
    <w:rsid w:val="00981C67"/>
    <w:rsid w:val="0098275F"/>
    <w:rsid w:val="00983CC9"/>
    <w:rsid w:val="00983E96"/>
    <w:rsid w:val="00984835"/>
    <w:rsid w:val="00984912"/>
    <w:rsid w:val="00984AE5"/>
    <w:rsid w:val="009852A5"/>
    <w:rsid w:val="00985B94"/>
    <w:rsid w:val="00985F2F"/>
    <w:rsid w:val="00986122"/>
    <w:rsid w:val="0098720F"/>
    <w:rsid w:val="009873F3"/>
    <w:rsid w:val="009879CD"/>
    <w:rsid w:val="00987A44"/>
    <w:rsid w:val="00987B4F"/>
    <w:rsid w:val="00987DE0"/>
    <w:rsid w:val="00987F9F"/>
    <w:rsid w:val="0099018E"/>
    <w:rsid w:val="00990195"/>
    <w:rsid w:val="009902E1"/>
    <w:rsid w:val="00990305"/>
    <w:rsid w:val="0099030B"/>
    <w:rsid w:val="009905E4"/>
    <w:rsid w:val="00990705"/>
    <w:rsid w:val="0099088A"/>
    <w:rsid w:val="00990ACB"/>
    <w:rsid w:val="00991B13"/>
    <w:rsid w:val="00991BEA"/>
    <w:rsid w:val="009920BE"/>
    <w:rsid w:val="0099213E"/>
    <w:rsid w:val="0099220A"/>
    <w:rsid w:val="0099259C"/>
    <w:rsid w:val="00992800"/>
    <w:rsid w:val="00992FC1"/>
    <w:rsid w:val="0099389A"/>
    <w:rsid w:val="00993C7D"/>
    <w:rsid w:val="00993E56"/>
    <w:rsid w:val="00994886"/>
    <w:rsid w:val="0099492C"/>
    <w:rsid w:val="00994964"/>
    <w:rsid w:val="00994C96"/>
    <w:rsid w:val="00995277"/>
    <w:rsid w:val="009954A0"/>
    <w:rsid w:val="00995BDD"/>
    <w:rsid w:val="00995E98"/>
    <w:rsid w:val="009961ED"/>
    <w:rsid w:val="009967F1"/>
    <w:rsid w:val="00996828"/>
    <w:rsid w:val="00996D03"/>
    <w:rsid w:val="00996EC0"/>
    <w:rsid w:val="00996F15"/>
    <w:rsid w:val="009971FD"/>
    <w:rsid w:val="009978C6"/>
    <w:rsid w:val="00997BA8"/>
    <w:rsid w:val="009A0123"/>
    <w:rsid w:val="009A0699"/>
    <w:rsid w:val="009A06F4"/>
    <w:rsid w:val="009A0719"/>
    <w:rsid w:val="009A0BDD"/>
    <w:rsid w:val="009A0EE7"/>
    <w:rsid w:val="009A1535"/>
    <w:rsid w:val="009A1D79"/>
    <w:rsid w:val="009A1E65"/>
    <w:rsid w:val="009A294A"/>
    <w:rsid w:val="009A2A25"/>
    <w:rsid w:val="009A2DA5"/>
    <w:rsid w:val="009A2E2F"/>
    <w:rsid w:val="009A3479"/>
    <w:rsid w:val="009A3778"/>
    <w:rsid w:val="009A39FD"/>
    <w:rsid w:val="009A3E2E"/>
    <w:rsid w:val="009A4DA6"/>
    <w:rsid w:val="009A5676"/>
    <w:rsid w:val="009A64C4"/>
    <w:rsid w:val="009A670C"/>
    <w:rsid w:val="009A6B89"/>
    <w:rsid w:val="009A6D3E"/>
    <w:rsid w:val="009A7116"/>
    <w:rsid w:val="009A7201"/>
    <w:rsid w:val="009A7275"/>
    <w:rsid w:val="009A752A"/>
    <w:rsid w:val="009A7F34"/>
    <w:rsid w:val="009B0644"/>
    <w:rsid w:val="009B13F1"/>
    <w:rsid w:val="009B1471"/>
    <w:rsid w:val="009B1A98"/>
    <w:rsid w:val="009B1D2F"/>
    <w:rsid w:val="009B2245"/>
    <w:rsid w:val="009B224B"/>
    <w:rsid w:val="009B2323"/>
    <w:rsid w:val="009B23C2"/>
    <w:rsid w:val="009B258E"/>
    <w:rsid w:val="009B2749"/>
    <w:rsid w:val="009B2BA5"/>
    <w:rsid w:val="009B2FA1"/>
    <w:rsid w:val="009B3438"/>
    <w:rsid w:val="009B349F"/>
    <w:rsid w:val="009B3F3A"/>
    <w:rsid w:val="009B420D"/>
    <w:rsid w:val="009B445E"/>
    <w:rsid w:val="009B46EB"/>
    <w:rsid w:val="009B485E"/>
    <w:rsid w:val="009B4981"/>
    <w:rsid w:val="009B4AC9"/>
    <w:rsid w:val="009B4BA1"/>
    <w:rsid w:val="009B51E8"/>
    <w:rsid w:val="009B550F"/>
    <w:rsid w:val="009B571D"/>
    <w:rsid w:val="009B5824"/>
    <w:rsid w:val="009B5826"/>
    <w:rsid w:val="009B5997"/>
    <w:rsid w:val="009B5CE1"/>
    <w:rsid w:val="009B5FBD"/>
    <w:rsid w:val="009B632B"/>
    <w:rsid w:val="009B6A03"/>
    <w:rsid w:val="009B6B23"/>
    <w:rsid w:val="009B6B34"/>
    <w:rsid w:val="009B6DB8"/>
    <w:rsid w:val="009B70AB"/>
    <w:rsid w:val="009B72B5"/>
    <w:rsid w:val="009B73F6"/>
    <w:rsid w:val="009B7ABD"/>
    <w:rsid w:val="009B7D4E"/>
    <w:rsid w:val="009C0B2A"/>
    <w:rsid w:val="009C0D46"/>
    <w:rsid w:val="009C1D27"/>
    <w:rsid w:val="009C24C5"/>
    <w:rsid w:val="009C29A6"/>
    <w:rsid w:val="009C29AB"/>
    <w:rsid w:val="009C32D3"/>
    <w:rsid w:val="009C33D6"/>
    <w:rsid w:val="009C3BD9"/>
    <w:rsid w:val="009C40BA"/>
    <w:rsid w:val="009C40DC"/>
    <w:rsid w:val="009C4620"/>
    <w:rsid w:val="009C5152"/>
    <w:rsid w:val="009C5518"/>
    <w:rsid w:val="009C59E7"/>
    <w:rsid w:val="009C5B82"/>
    <w:rsid w:val="009C619E"/>
    <w:rsid w:val="009C65E1"/>
    <w:rsid w:val="009C6654"/>
    <w:rsid w:val="009C6C4C"/>
    <w:rsid w:val="009C7504"/>
    <w:rsid w:val="009C756E"/>
    <w:rsid w:val="009C7FA7"/>
    <w:rsid w:val="009D1429"/>
    <w:rsid w:val="009D1640"/>
    <w:rsid w:val="009D21A0"/>
    <w:rsid w:val="009D21BE"/>
    <w:rsid w:val="009D2D2A"/>
    <w:rsid w:val="009D2E04"/>
    <w:rsid w:val="009D2F7F"/>
    <w:rsid w:val="009D31A3"/>
    <w:rsid w:val="009D3357"/>
    <w:rsid w:val="009D39F1"/>
    <w:rsid w:val="009D3B38"/>
    <w:rsid w:val="009D3BBC"/>
    <w:rsid w:val="009D3C3D"/>
    <w:rsid w:val="009D426A"/>
    <w:rsid w:val="009D4B2A"/>
    <w:rsid w:val="009D4BCB"/>
    <w:rsid w:val="009D5288"/>
    <w:rsid w:val="009D54F0"/>
    <w:rsid w:val="009D59D5"/>
    <w:rsid w:val="009D5B3C"/>
    <w:rsid w:val="009D5BBA"/>
    <w:rsid w:val="009D6353"/>
    <w:rsid w:val="009D69BF"/>
    <w:rsid w:val="009D6B93"/>
    <w:rsid w:val="009D6D44"/>
    <w:rsid w:val="009D7050"/>
    <w:rsid w:val="009D7567"/>
    <w:rsid w:val="009D7C88"/>
    <w:rsid w:val="009D7D05"/>
    <w:rsid w:val="009D7FB2"/>
    <w:rsid w:val="009E015C"/>
    <w:rsid w:val="009E0520"/>
    <w:rsid w:val="009E1123"/>
    <w:rsid w:val="009E1177"/>
    <w:rsid w:val="009E11C8"/>
    <w:rsid w:val="009E1288"/>
    <w:rsid w:val="009E13B9"/>
    <w:rsid w:val="009E1480"/>
    <w:rsid w:val="009E1969"/>
    <w:rsid w:val="009E25DE"/>
    <w:rsid w:val="009E26A7"/>
    <w:rsid w:val="009E2774"/>
    <w:rsid w:val="009E2813"/>
    <w:rsid w:val="009E283A"/>
    <w:rsid w:val="009E29EE"/>
    <w:rsid w:val="009E2AD3"/>
    <w:rsid w:val="009E310A"/>
    <w:rsid w:val="009E3177"/>
    <w:rsid w:val="009E34E1"/>
    <w:rsid w:val="009E36D2"/>
    <w:rsid w:val="009E392A"/>
    <w:rsid w:val="009E3C47"/>
    <w:rsid w:val="009E4074"/>
    <w:rsid w:val="009E47E5"/>
    <w:rsid w:val="009E55EE"/>
    <w:rsid w:val="009E5EA9"/>
    <w:rsid w:val="009E609F"/>
    <w:rsid w:val="009E60A0"/>
    <w:rsid w:val="009E6207"/>
    <w:rsid w:val="009E6248"/>
    <w:rsid w:val="009E6CF5"/>
    <w:rsid w:val="009E6D69"/>
    <w:rsid w:val="009E7270"/>
    <w:rsid w:val="009E772A"/>
    <w:rsid w:val="009F006C"/>
    <w:rsid w:val="009F00BA"/>
    <w:rsid w:val="009F0643"/>
    <w:rsid w:val="009F068E"/>
    <w:rsid w:val="009F06AB"/>
    <w:rsid w:val="009F0758"/>
    <w:rsid w:val="009F0DDC"/>
    <w:rsid w:val="009F0E08"/>
    <w:rsid w:val="009F1438"/>
    <w:rsid w:val="009F146F"/>
    <w:rsid w:val="009F1547"/>
    <w:rsid w:val="009F159B"/>
    <w:rsid w:val="009F1CB1"/>
    <w:rsid w:val="009F1D99"/>
    <w:rsid w:val="009F2204"/>
    <w:rsid w:val="009F283D"/>
    <w:rsid w:val="009F2858"/>
    <w:rsid w:val="009F292B"/>
    <w:rsid w:val="009F2A21"/>
    <w:rsid w:val="009F2F08"/>
    <w:rsid w:val="009F3C75"/>
    <w:rsid w:val="009F3DA7"/>
    <w:rsid w:val="009F4946"/>
    <w:rsid w:val="009F4D4D"/>
    <w:rsid w:val="009F4F12"/>
    <w:rsid w:val="009F4FF2"/>
    <w:rsid w:val="009F56C5"/>
    <w:rsid w:val="009F604C"/>
    <w:rsid w:val="009F6487"/>
    <w:rsid w:val="009F68E4"/>
    <w:rsid w:val="009F6B07"/>
    <w:rsid w:val="009F70B8"/>
    <w:rsid w:val="009F7341"/>
    <w:rsid w:val="00A00356"/>
    <w:rsid w:val="00A0037E"/>
    <w:rsid w:val="00A005C1"/>
    <w:rsid w:val="00A00717"/>
    <w:rsid w:val="00A00BEC"/>
    <w:rsid w:val="00A010B9"/>
    <w:rsid w:val="00A01179"/>
    <w:rsid w:val="00A01196"/>
    <w:rsid w:val="00A01303"/>
    <w:rsid w:val="00A01549"/>
    <w:rsid w:val="00A019EB"/>
    <w:rsid w:val="00A01AF9"/>
    <w:rsid w:val="00A01E1E"/>
    <w:rsid w:val="00A02B79"/>
    <w:rsid w:val="00A02C4F"/>
    <w:rsid w:val="00A031F0"/>
    <w:rsid w:val="00A04035"/>
    <w:rsid w:val="00A040C5"/>
    <w:rsid w:val="00A0430E"/>
    <w:rsid w:val="00A04407"/>
    <w:rsid w:val="00A04A09"/>
    <w:rsid w:val="00A04ADE"/>
    <w:rsid w:val="00A05244"/>
    <w:rsid w:val="00A0529A"/>
    <w:rsid w:val="00A05821"/>
    <w:rsid w:val="00A0583F"/>
    <w:rsid w:val="00A05D1D"/>
    <w:rsid w:val="00A05EA2"/>
    <w:rsid w:val="00A06447"/>
    <w:rsid w:val="00A06E30"/>
    <w:rsid w:val="00A076CC"/>
    <w:rsid w:val="00A077D3"/>
    <w:rsid w:val="00A0783B"/>
    <w:rsid w:val="00A079FA"/>
    <w:rsid w:val="00A07A77"/>
    <w:rsid w:val="00A1016D"/>
    <w:rsid w:val="00A10341"/>
    <w:rsid w:val="00A1071B"/>
    <w:rsid w:val="00A108A7"/>
    <w:rsid w:val="00A10923"/>
    <w:rsid w:val="00A1098A"/>
    <w:rsid w:val="00A10C80"/>
    <w:rsid w:val="00A113D2"/>
    <w:rsid w:val="00A1165C"/>
    <w:rsid w:val="00A11BA3"/>
    <w:rsid w:val="00A11FEF"/>
    <w:rsid w:val="00A125D6"/>
    <w:rsid w:val="00A130FF"/>
    <w:rsid w:val="00A13327"/>
    <w:rsid w:val="00A13DCC"/>
    <w:rsid w:val="00A142F2"/>
    <w:rsid w:val="00A14788"/>
    <w:rsid w:val="00A14888"/>
    <w:rsid w:val="00A14C3C"/>
    <w:rsid w:val="00A14E53"/>
    <w:rsid w:val="00A15580"/>
    <w:rsid w:val="00A158E1"/>
    <w:rsid w:val="00A15A86"/>
    <w:rsid w:val="00A15A9C"/>
    <w:rsid w:val="00A15F49"/>
    <w:rsid w:val="00A16180"/>
    <w:rsid w:val="00A16449"/>
    <w:rsid w:val="00A1662A"/>
    <w:rsid w:val="00A16802"/>
    <w:rsid w:val="00A168B8"/>
    <w:rsid w:val="00A20ED2"/>
    <w:rsid w:val="00A2139A"/>
    <w:rsid w:val="00A213A4"/>
    <w:rsid w:val="00A21401"/>
    <w:rsid w:val="00A2173F"/>
    <w:rsid w:val="00A21967"/>
    <w:rsid w:val="00A227E8"/>
    <w:rsid w:val="00A22A2B"/>
    <w:rsid w:val="00A22EFC"/>
    <w:rsid w:val="00A2317A"/>
    <w:rsid w:val="00A23442"/>
    <w:rsid w:val="00A23498"/>
    <w:rsid w:val="00A239A3"/>
    <w:rsid w:val="00A23A17"/>
    <w:rsid w:val="00A23B87"/>
    <w:rsid w:val="00A23DAD"/>
    <w:rsid w:val="00A23F4E"/>
    <w:rsid w:val="00A2424D"/>
    <w:rsid w:val="00A2425C"/>
    <w:rsid w:val="00A245FB"/>
    <w:rsid w:val="00A24603"/>
    <w:rsid w:val="00A24682"/>
    <w:rsid w:val="00A24852"/>
    <w:rsid w:val="00A249B2"/>
    <w:rsid w:val="00A25273"/>
    <w:rsid w:val="00A258F3"/>
    <w:rsid w:val="00A25CF8"/>
    <w:rsid w:val="00A25FB4"/>
    <w:rsid w:val="00A25FE3"/>
    <w:rsid w:val="00A26389"/>
    <w:rsid w:val="00A27936"/>
    <w:rsid w:val="00A279D9"/>
    <w:rsid w:val="00A279DD"/>
    <w:rsid w:val="00A27C29"/>
    <w:rsid w:val="00A27D61"/>
    <w:rsid w:val="00A30209"/>
    <w:rsid w:val="00A3021A"/>
    <w:rsid w:val="00A302FF"/>
    <w:rsid w:val="00A303B8"/>
    <w:rsid w:val="00A30719"/>
    <w:rsid w:val="00A309C5"/>
    <w:rsid w:val="00A30ED9"/>
    <w:rsid w:val="00A311B0"/>
    <w:rsid w:val="00A31687"/>
    <w:rsid w:val="00A318B1"/>
    <w:rsid w:val="00A31E81"/>
    <w:rsid w:val="00A320C5"/>
    <w:rsid w:val="00A32F96"/>
    <w:rsid w:val="00A33844"/>
    <w:rsid w:val="00A33AAC"/>
    <w:rsid w:val="00A342AB"/>
    <w:rsid w:val="00A34735"/>
    <w:rsid w:val="00A3475E"/>
    <w:rsid w:val="00A34812"/>
    <w:rsid w:val="00A35022"/>
    <w:rsid w:val="00A35305"/>
    <w:rsid w:val="00A3560A"/>
    <w:rsid w:val="00A361C3"/>
    <w:rsid w:val="00A3687C"/>
    <w:rsid w:val="00A36C0D"/>
    <w:rsid w:val="00A377E8"/>
    <w:rsid w:val="00A379B8"/>
    <w:rsid w:val="00A37EF1"/>
    <w:rsid w:val="00A4007E"/>
    <w:rsid w:val="00A401DA"/>
    <w:rsid w:val="00A40C43"/>
    <w:rsid w:val="00A411FA"/>
    <w:rsid w:val="00A41A71"/>
    <w:rsid w:val="00A41C20"/>
    <w:rsid w:val="00A4221C"/>
    <w:rsid w:val="00A42A7C"/>
    <w:rsid w:val="00A43290"/>
    <w:rsid w:val="00A43530"/>
    <w:rsid w:val="00A43755"/>
    <w:rsid w:val="00A438E2"/>
    <w:rsid w:val="00A43AB6"/>
    <w:rsid w:val="00A43C1E"/>
    <w:rsid w:val="00A43E54"/>
    <w:rsid w:val="00A440F6"/>
    <w:rsid w:val="00A44EC1"/>
    <w:rsid w:val="00A452B1"/>
    <w:rsid w:val="00A45374"/>
    <w:rsid w:val="00A454B3"/>
    <w:rsid w:val="00A454D0"/>
    <w:rsid w:val="00A45785"/>
    <w:rsid w:val="00A45E52"/>
    <w:rsid w:val="00A464FA"/>
    <w:rsid w:val="00A46652"/>
    <w:rsid w:val="00A46716"/>
    <w:rsid w:val="00A467A6"/>
    <w:rsid w:val="00A468A9"/>
    <w:rsid w:val="00A46CE7"/>
    <w:rsid w:val="00A46D15"/>
    <w:rsid w:val="00A46E2E"/>
    <w:rsid w:val="00A4713D"/>
    <w:rsid w:val="00A473B5"/>
    <w:rsid w:val="00A475A1"/>
    <w:rsid w:val="00A47753"/>
    <w:rsid w:val="00A47BB2"/>
    <w:rsid w:val="00A5097F"/>
    <w:rsid w:val="00A50EB0"/>
    <w:rsid w:val="00A51158"/>
    <w:rsid w:val="00A51498"/>
    <w:rsid w:val="00A51569"/>
    <w:rsid w:val="00A51592"/>
    <w:rsid w:val="00A51744"/>
    <w:rsid w:val="00A51A5F"/>
    <w:rsid w:val="00A51FA7"/>
    <w:rsid w:val="00A5229B"/>
    <w:rsid w:val="00A52481"/>
    <w:rsid w:val="00A52718"/>
    <w:rsid w:val="00A52AE4"/>
    <w:rsid w:val="00A5323B"/>
    <w:rsid w:val="00A5428F"/>
    <w:rsid w:val="00A54359"/>
    <w:rsid w:val="00A547E1"/>
    <w:rsid w:val="00A54990"/>
    <w:rsid w:val="00A54DBF"/>
    <w:rsid w:val="00A54FB4"/>
    <w:rsid w:val="00A550BB"/>
    <w:rsid w:val="00A55578"/>
    <w:rsid w:val="00A55766"/>
    <w:rsid w:val="00A55C90"/>
    <w:rsid w:val="00A561F5"/>
    <w:rsid w:val="00A5652D"/>
    <w:rsid w:val="00A56572"/>
    <w:rsid w:val="00A56819"/>
    <w:rsid w:val="00A5692D"/>
    <w:rsid w:val="00A56DE0"/>
    <w:rsid w:val="00A56E72"/>
    <w:rsid w:val="00A57181"/>
    <w:rsid w:val="00A5735E"/>
    <w:rsid w:val="00A57834"/>
    <w:rsid w:val="00A57B07"/>
    <w:rsid w:val="00A57D05"/>
    <w:rsid w:val="00A6012C"/>
    <w:rsid w:val="00A60881"/>
    <w:rsid w:val="00A60B3B"/>
    <w:rsid w:val="00A60DB0"/>
    <w:rsid w:val="00A60E86"/>
    <w:rsid w:val="00A610B7"/>
    <w:rsid w:val="00A61133"/>
    <w:rsid w:val="00A6154B"/>
    <w:rsid w:val="00A61F30"/>
    <w:rsid w:val="00A61F49"/>
    <w:rsid w:val="00A62346"/>
    <w:rsid w:val="00A6263C"/>
    <w:rsid w:val="00A62B4A"/>
    <w:rsid w:val="00A62C55"/>
    <w:rsid w:val="00A62DDF"/>
    <w:rsid w:val="00A63408"/>
    <w:rsid w:val="00A63C18"/>
    <w:rsid w:val="00A64B3F"/>
    <w:rsid w:val="00A64EAC"/>
    <w:rsid w:val="00A662DC"/>
    <w:rsid w:val="00A6630E"/>
    <w:rsid w:val="00A66428"/>
    <w:rsid w:val="00A664F3"/>
    <w:rsid w:val="00A665E9"/>
    <w:rsid w:val="00A6690D"/>
    <w:rsid w:val="00A66A29"/>
    <w:rsid w:val="00A6741B"/>
    <w:rsid w:val="00A67958"/>
    <w:rsid w:val="00A70A83"/>
    <w:rsid w:val="00A70BA3"/>
    <w:rsid w:val="00A70BCF"/>
    <w:rsid w:val="00A7131A"/>
    <w:rsid w:val="00A7182E"/>
    <w:rsid w:val="00A7192A"/>
    <w:rsid w:val="00A71FF8"/>
    <w:rsid w:val="00A72E53"/>
    <w:rsid w:val="00A7325A"/>
    <w:rsid w:val="00A7333C"/>
    <w:rsid w:val="00A73614"/>
    <w:rsid w:val="00A73A30"/>
    <w:rsid w:val="00A73CD7"/>
    <w:rsid w:val="00A73CE0"/>
    <w:rsid w:val="00A73D0D"/>
    <w:rsid w:val="00A73FF1"/>
    <w:rsid w:val="00A74226"/>
    <w:rsid w:val="00A74511"/>
    <w:rsid w:val="00A74632"/>
    <w:rsid w:val="00A74A97"/>
    <w:rsid w:val="00A74AF2"/>
    <w:rsid w:val="00A74EB9"/>
    <w:rsid w:val="00A75327"/>
    <w:rsid w:val="00A757B0"/>
    <w:rsid w:val="00A75CBA"/>
    <w:rsid w:val="00A75EC5"/>
    <w:rsid w:val="00A76224"/>
    <w:rsid w:val="00A7671B"/>
    <w:rsid w:val="00A769CD"/>
    <w:rsid w:val="00A76BAB"/>
    <w:rsid w:val="00A76C35"/>
    <w:rsid w:val="00A76C8E"/>
    <w:rsid w:val="00A76CC7"/>
    <w:rsid w:val="00A77540"/>
    <w:rsid w:val="00A776A4"/>
    <w:rsid w:val="00A77801"/>
    <w:rsid w:val="00A77A4F"/>
    <w:rsid w:val="00A77B03"/>
    <w:rsid w:val="00A77DE3"/>
    <w:rsid w:val="00A8049D"/>
    <w:rsid w:val="00A8052A"/>
    <w:rsid w:val="00A80687"/>
    <w:rsid w:val="00A80B2E"/>
    <w:rsid w:val="00A80D01"/>
    <w:rsid w:val="00A80E4B"/>
    <w:rsid w:val="00A80E60"/>
    <w:rsid w:val="00A81658"/>
    <w:rsid w:val="00A816B8"/>
    <w:rsid w:val="00A8170D"/>
    <w:rsid w:val="00A8189C"/>
    <w:rsid w:val="00A81C37"/>
    <w:rsid w:val="00A820AD"/>
    <w:rsid w:val="00A820D7"/>
    <w:rsid w:val="00A822C2"/>
    <w:rsid w:val="00A82450"/>
    <w:rsid w:val="00A82555"/>
    <w:rsid w:val="00A82990"/>
    <w:rsid w:val="00A82F34"/>
    <w:rsid w:val="00A83488"/>
    <w:rsid w:val="00A838E8"/>
    <w:rsid w:val="00A83B78"/>
    <w:rsid w:val="00A83DD0"/>
    <w:rsid w:val="00A83E39"/>
    <w:rsid w:val="00A83F29"/>
    <w:rsid w:val="00A8453C"/>
    <w:rsid w:val="00A84542"/>
    <w:rsid w:val="00A84922"/>
    <w:rsid w:val="00A84E5E"/>
    <w:rsid w:val="00A84ED3"/>
    <w:rsid w:val="00A84F28"/>
    <w:rsid w:val="00A850C5"/>
    <w:rsid w:val="00A851A0"/>
    <w:rsid w:val="00A853B4"/>
    <w:rsid w:val="00A85AC8"/>
    <w:rsid w:val="00A85BC6"/>
    <w:rsid w:val="00A85E3F"/>
    <w:rsid w:val="00A86A56"/>
    <w:rsid w:val="00A8706D"/>
    <w:rsid w:val="00A87563"/>
    <w:rsid w:val="00A87D0A"/>
    <w:rsid w:val="00A9008B"/>
    <w:rsid w:val="00A900FF"/>
    <w:rsid w:val="00A90401"/>
    <w:rsid w:val="00A908E3"/>
    <w:rsid w:val="00A915BE"/>
    <w:rsid w:val="00A91D2C"/>
    <w:rsid w:val="00A91E2D"/>
    <w:rsid w:val="00A9214A"/>
    <w:rsid w:val="00A921BD"/>
    <w:rsid w:val="00A921E3"/>
    <w:rsid w:val="00A92431"/>
    <w:rsid w:val="00A9283C"/>
    <w:rsid w:val="00A92B90"/>
    <w:rsid w:val="00A92CA1"/>
    <w:rsid w:val="00A92E78"/>
    <w:rsid w:val="00A92F86"/>
    <w:rsid w:val="00A936D9"/>
    <w:rsid w:val="00A93DB4"/>
    <w:rsid w:val="00A94378"/>
    <w:rsid w:val="00A9466F"/>
    <w:rsid w:val="00A94902"/>
    <w:rsid w:val="00A94C0A"/>
    <w:rsid w:val="00A94D20"/>
    <w:rsid w:val="00A95246"/>
    <w:rsid w:val="00A9557E"/>
    <w:rsid w:val="00A95B17"/>
    <w:rsid w:val="00A95C98"/>
    <w:rsid w:val="00A95FC7"/>
    <w:rsid w:val="00A96936"/>
    <w:rsid w:val="00A96C21"/>
    <w:rsid w:val="00A96CFE"/>
    <w:rsid w:val="00A96DDB"/>
    <w:rsid w:val="00A970A1"/>
    <w:rsid w:val="00A9752B"/>
    <w:rsid w:val="00A9769B"/>
    <w:rsid w:val="00A97B9F"/>
    <w:rsid w:val="00A97CB0"/>
    <w:rsid w:val="00A97F70"/>
    <w:rsid w:val="00AA0319"/>
    <w:rsid w:val="00AA031F"/>
    <w:rsid w:val="00AA19A1"/>
    <w:rsid w:val="00AA2461"/>
    <w:rsid w:val="00AA2574"/>
    <w:rsid w:val="00AA2623"/>
    <w:rsid w:val="00AA2865"/>
    <w:rsid w:val="00AA2EB1"/>
    <w:rsid w:val="00AA2F54"/>
    <w:rsid w:val="00AA3505"/>
    <w:rsid w:val="00AA365D"/>
    <w:rsid w:val="00AA38B3"/>
    <w:rsid w:val="00AA3A9B"/>
    <w:rsid w:val="00AA3BF1"/>
    <w:rsid w:val="00AA411E"/>
    <w:rsid w:val="00AA4167"/>
    <w:rsid w:val="00AA457B"/>
    <w:rsid w:val="00AA4622"/>
    <w:rsid w:val="00AA4C1E"/>
    <w:rsid w:val="00AA4EB0"/>
    <w:rsid w:val="00AA4F6B"/>
    <w:rsid w:val="00AA5410"/>
    <w:rsid w:val="00AA5815"/>
    <w:rsid w:val="00AA5823"/>
    <w:rsid w:val="00AA5BC8"/>
    <w:rsid w:val="00AA5CF9"/>
    <w:rsid w:val="00AA60DA"/>
    <w:rsid w:val="00AA613E"/>
    <w:rsid w:val="00AA6B76"/>
    <w:rsid w:val="00AA6C84"/>
    <w:rsid w:val="00AA71EF"/>
    <w:rsid w:val="00AA7281"/>
    <w:rsid w:val="00AB1575"/>
    <w:rsid w:val="00AB17C2"/>
    <w:rsid w:val="00AB1E3F"/>
    <w:rsid w:val="00AB1EB5"/>
    <w:rsid w:val="00AB217D"/>
    <w:rsid w:val="00AB21C6"/>
    <w:rsid w:val="00AB2267"/>
    <w:rsid w:val="00AB2841"/>
    <w:rsid w:val="00AB287D"/>
    <w:rsid w:val="00AB2CBA"/>
    <w:rsid w:val="00AB2CDF"/>
    <w:rsid w:val="00AB30D0"/>
    <w:rsid w:val="00AB3450"/>
    <w:rsid w:val="00AB37ED"/>
    <w:rsid w:val="00AB3878"/>
    <w:rsid w:val="00AB3A49"/>
    <w:rsid w:val="00AB3A8A"/>
    <w:rsid w:val="00AB3F6B"/>
    <w:rsid w:val="00AB46AD"/>
    <w:rsid w:val="00AB471D"/>
    <w:rsid w:val="00AB48D7"/>
    <w:rsid w:val="00AB4B49"/>
    <w:rsid w:val="00AB4C56"/>
    <w:rsid w:val="00AB4CD5"/>
    <w:rsid w:val="00AB5010"/>
    <w:rsid w:val="00AB5ECC"/>
    <w:rsid w:val="00AB5EE4"/>
    <w:rsid w:val="00AB655C"/>
    <w:rsid w:val="00AB65C2"/>
    <w:rsid w:val="00AB6A93"/>
    <w:rsid w:val="00AB6AF8"/>
    <w:rsid w:val="00AB6B98"/>
    <w:rsid w:val="00AB6E23"/>
    <w:rsid w:val="00AB72E8"/>
    <w:rsid w:val="00AB75D4"/>
    <w:rsid w:val="00AB77C9"/>
    <w:rsid w:val="00AB7BB3"/>
    <w:rsid w:val="00AB7C76"/>
    <w:rsid w:val="00AB7DE9"/>
    <w:rsid w:val="00AC00BC"/>
    <w:rsid w:val="00AC02B0"/>
    <w:rsid w:val="00AC05CF"/>
    <w:rsid w:val="00AC0E1C"/>
    <w:rsid w:val="00AC25E4"/>
    <w:rsid w:val="00AC2BD7"/>
    <w:rsid w:val="00AC2C0C"/>
    <w:rsid w:val="00AC319C"/>
    <w:rsid w:val="00AC36B4"/>
    <w:rsid w:val="00AC3B5D"/>
    <w:rsid w:val="00AC414D"/>
    <w:rsid w:val="00AC47AE"/>
    <w:rsid w:val="00AC47BB"/>
    <w:rsid w:val="00AC4804"/>
    <w:rsid w:val="00AC5535"/>
    <w:rsid w:val="00AC5636"/>
    <w:rsid w:val="00AC5667"/>
    <w:rsid w:val="00AC60A0"/>
    <w:rsid w:val="00AC6197"/>
    <w:rsid w:val="00AC61C9"/>
    <w:rsid w:val="00AC620C"/>
    <w:rsid w:val="00AC64AB"/>
    <w:rsid w:val="00AC684D"/>
    <w:rsid w:val="00AC68F1"/>
    <w:rsid w:val="00AC6993"/>
    <w:rsid w:val="00AC6A9E"/>
    <w:rsid w:val="00AC6CF5"/>
    <w:rsid w:val="00AC6F7D"/>
    <w:rsid w:val="00AC6FD5"/>
    <w:rsid w:val="00AC720A"/>
    <w:rsid w:val="00AC77CE"/>
    <w:rsid w:val="00AC7834"/>
    <w:rsid w:val="00AC785B"/>
    <w:rsid w:val="00AC7CD5"/>
    <w:rsid w:val="00AC7E84"/>
    <w:rsid w:val="00AD0630"/>
    <w:rsid w:val="00AD0694"/>
    <w:rsid w:val="00AD0815"/>
    <w:rsid w:val="00AD095F"/>
    <w:rsid w:val="00AD0BD9"/>
    <w:rsid w:val="00AD0E5C"/>
    <w:rsid w:val="00AD0EB4"/>
    <w:rsid w:val="00AD0FAC"/>
    <w:rsid w:val="00AD1CB4"/>
    <w:rsid w:val="00AD1D77"/>
    <w:rsid w:val="00AD292C"/>
    <w:rsid w:val="00AD2965"/>
    <w:rsid w:val="00AD2EE2"/>
    <w:rsid w:val="00AD3356"/>
    <w:rsid w:val="00AD3CDF"/>
    <w:rsid w:val="00AD4047"/>
    <w:rsid w:val="00AD433F"/>
    <w:rsid w:val="00AD4935"/>
    <w:rsid w:val="00AD4B3D"/>
    <w:rsid w:val="00AD511F"/>
    <w:rsid w:val="00AD5860"/>
    <w:rsid w:val="00AD5F09"/>
    <w:rsid w:val="00AD5F14"/>
    <w:rsid w:val="00AD60EA"/>
    <w:rsid w:val="00AD6134"/>
    <w:rsid w:val="00AD67D4"/>
    <w:rsid w:val="00AD6E4E"/>
    <w:rsid w:val="00AD7DED"/>
    <w:rsid w:val="00AE06C4"/>
    <w:rsid w:val="00AE0B38"/>
    <w:rsid w:val="00AE0C6A"/>
    <w:rsid w:val="00AE1165"/>
    <w:rsid w:val="00AE13A2"/>
    <w:rsid w:val="00AE17E4"/>
    <w:rsid w:val="00AE19A6"/>
    <w:rsid w:val="00AE1A2D"/>
    <w:rsid w:val="00AE1D17"/>
    <w:rsid w:val="00AE2875"/>
    <w:rsid w:val="00AE2C6A"/>
    <w:rsid w:val="00AE2D2E"/>
    <w:rsid w:val="00AE2EEE"/>
    <w:rsid w:val="00AE2F97"/>
    <w:rsid w:val="00AE31A3"/>
    <w:rsid w:val="00AE3397"/>
    <w:rsid w:val="00AE35AD"/>
    <w:rsid w:val="00AE3F32"/>
    <w:rsid w:val="00AE4106"/>
    <w:rsid w:val="00AE42E3"/>
    <w:rsid w:val="00AE4331"/>
    <w:rsid w:val="00AE4493"/>
    <w:rsid w:val="00AE49E7"/>
    <w:rsid w:val="00AE4B85"/>
    <w:rsid w:val="00AE4E25"/>
    <w:rsid w:val="00AE51CA"/>
    <w:rsid w:val="00AE529A"/>
    <w:rsid w:val="00AE5831"/>
    <w:rsid w:val="00AE590E"/>
    <w:rsid w:val="00AE5B85"/>
    <w:rsid w:val="00AE5BD0"/>
    <w:rsid w:val="00AE614D"/>
    <w:rsid w:val="00AE63D0"/>
    <w:rsid w:val="00AE644B"/>
    <w:rsid w:val="00AE69C0"/>
    <w:rsid w:val="00AE6C77"/>
    <w:rsid w:val="00AE6FC5"/>
    <w:rsid w:val="00AE7849"/>
    <w:rsid w:val="00AE7977"/>
    <w:rsid w:val="00AE7F77"/>
    <w:rsid w:val="00AF067F"/>
    <w:rsid w:val="00AF0B60"/>
    <w:rsid w:val="00AF0DFC"/>
    <w:rsid w:val="00AF114F"/>
    <w:rsid w:val="00AF1735"/>
    <w:rsid w:val="00AF1F10"/>
    <w:rsid w:val="00AF26BE"/>
    <w:rsid w:val="00AF270C"/>
    <w:rsid w:val="00AF2795"/>
    <w:rsid w:val="00AF2C0D"/>
    <w:rsid w:val="00AF34CF"/>
    <w:rsid w:val="00AF3BEA"/>
    <w:rsid w:val="00AF3D39"/>
    <w:rsid w:val="00AF43A8"/>
    <w:rsid w:val="00AF474F"/>
    <w:rsid w:val="00AF47A9"/>
    <w:rsid w:val="00AF497B"/>
    <w:rsid w:val="00AF49C6"/>
    <w:rsid w:val="00AF49E3"/>
    <w:rsid w:val="00AF4B2A"/>
    <w:rsid w:val="00AF4F44"/>
    <w:rsid w:val="00AF4F4E"/>
    <w:rsid w:val="00AF502E"/>
    <w:rsid w:val="00AF50B0"/>
    <w:rsid w:val="00AF55D4"/>
    <w:rsid w:val="00AF5B2C"/>
    <w:rsid w:val="00AF62CD"/>
    <w:rsid w:val="00AF67A2"/>
    <w:rsid w:val="00AF6A4C"/>
    <w:rsid w:val="00AF6FEF"/>
    <w:rsid w:val="00AF7381"/>
    <w:rsid w:val="00AF76BF"/>
    <w:rsid w:val="00AF7B7D"/>
    <w:rsid w:val="00B00690"/>
    <w:rsid w:val="00B00A31"/>
    <w:rsid w:val="00B00B3C"/>
    <w:rsid w:val="00B011A9"/>
    <w:rsid w:val="00B017C5"/>
    <w:rsid w:val="00B01E0D"/>
    <w:rsid w:val="00B02118"/>
    <w:rsid w:val="00B02183"/>
    <w:rsid w:val="00B02962"/>
    <w:rsid w:val="00B029E0"/>
    <w:rsid w:val="00B02BF3"/>
    <w:rsid w:val="00B02DAC"/>
    <w:rsid w:val="00B03A64"/>
    <w:rsid w:val="00B03A6E"/>
    <w:rsid w:val="00B044B5"/>
    <w:rsid w:val="00B045B6"/>
    <w:rsid w:val="00B0472E"/>
    <w:rsid w:val="00B047C2"/>
    <w:rsid w:val="00B04982"/>
    <w:rsid w:val="00B04CB1"/>
    <w:rsid w:val="00B05170"/>
    <w:rsid w:val="00B051DC"/>
    <w:rsid w:val="00B05635"/>
    <w:rsid w:val="00B05A81"/>
    <w:rsid w:val="00B05AB5"/>
    <w:rsid w:val="00B06028"/>
    <w:rsid w:val="00B062A2"/>
    <w:rsid w:val="00B0659F"/>
    <w:rsid w:val="00B06624"/>
    <w:rsid w:val="00B06877"/>
    <w:rsid w:val="00B068B7"/>
    <w:rsid w:val="00B06C7F"/>
    <w:rsid w:val="00B0710F"/>
    <w:rsid w:val="00B07620"/>
    <w:rsid w:val="00B0798C"/>
    <w:rsid w:val="00B07999"/>
    <w:rsid w:val="00B10146"/>
    <w:rsid w:val="00B101ED"/>
    <w:rsid w:val="00B10341"/>
    <w:rsid w:val="00B10829"/>
    <w:rsid w:val="00B10C06"/>
    <w:rsid w:val="00B10C20"/>
    <w:rsid w:val="00B11186"/>
    <w:rsid w:val="00B1152B"/>
    <w:rsid w:val="00B116EC"/>
    <w:rsid w:val="00B117C5"/>
    <w:rsid w:val="00B11CC4"/>
    <w:rsid w:val="00B12247"/>
    <w:rsid w:val="00B12279"/>
    <w:rsid w:val="00B123A9"/>
    <w:rsid w:val="00B12490"/>
    <w:rsid w:val="00B1314F"/>
    <w:rsid w:val="00B135B4"/>
    <w:rsid w:val="00B13ABA"/>
    <w:rsid w:val="00B13DC5"/>
    <w:rsid w:val="00B13E2B"/>
    <w:rsid w:val="00B13EEF"/>
    <w:rsid w:val="00B13F50"/>
    <w:rsid w:val="00B141D0"/>
    <w:rsid w:val="00B14216"/>
    <w:rsid w:val="00B149D7"/>
    <w:rsid w:val="00B14D29"/>
    <w:rsid w:val="00B14FC7"/>
    <w:rsid w:val="00B15058"/>
    <w:rsid w:val="00B151CF"/>
    <w:rsid w:val="00B15572"/>
    <w:rsid w:val="00B15CB1"/>
    <w:rsid w:val="00B15EFD"/>
    <w:rsid w:val="00B17318"/>
    <w:rsid w:val="00B1764D"/>
    <w:rsid w:val="00B17B7D"/>
    <w:rsid w:val="00B17B7F"/>
    <w:rsid w:val="00B2006E"/>
    <w:rsid w:val="00B20417"/>
    <w:rsid w:val="00B20445"/>
    <w:rsid w:val="00B20A40"/>
    <w:rsid w:val="00B2195A"/>
    <w:rsid w:val="00B219CD"/>
    <w:rsid w:val="00B21EF8"/>
    <w:rsid w:val="00B21F51"/>
    <w:rsid w:val="00B21F5A"/>
    <w:rsid w:val="00B22350"/>
    <w:rsid w:val="00B2237C"/>
    <w:rsid w:val="00B225D0"/>
    <w:rsid w:val="00B226A1"/>
    <w:rsid w:val="00B22DF9"/>
    <w:rsid w:val="00B22ECA"/>
    <w:rsid w:val="00B237CD"/>
    <w:rsid w:val="00B23A8B"/>
    <w:rsid w:val="00B23DD1"/>
    <w:rsid w:val="00B23ED6"/>
    <w:rsid w:val="00B23F0B"/>
    <w:rsid w:val="00B24133"/>
    <w:rsid w:val="00B2444D"/>
    <w:rsid w:val="00B24518"/>
    <w:rsid w:val="00B247AD"/>
    <w:rsid w:val="00B24CF1"/>
    <w:rsid w:val="00B24DB1"/>
    <w:rsid w:val="00B2530E"/>
    <w:rsid w:val="00B25D05"/>
    <w:rsid w:val="00B25E59"/>
    <w:rsid w:val="00B260ED"/>
    <w:rsid w:val="00B2634B"/>
    <w:rsid w:val="00B26622"/>
    <w:rsid w:val="00B26669"/>
    <w:rsid w:val="00B26842"/>
    <w:rsid w:val="00B26D41"/>
    <w:rsid w:val="00B26D65"/>
    <w:rsid w:val="00B270D5"/>
    <w:rsid w:val="00B276B4"/>
    <w:rsid w:val="00B2777E"/>
    <w:rsid w:val="00B27795"/>
    <w:rsid w:val="00B279C6"/>
    <w:rsid w:val="00B27A6E"/>
    <w:rsid w:val="00B27BA1"/>
    <w:rsid w:val="00B303F6"/>
    <w:rsid w:val="00B306BB"/>
    <w:rsid w:val="00B30700"/>
    <w:rsid w:val="00B307B7"/>
    <w:rsid w:val="00B3099B"/>
    <w:rsid w:val="00B30B63"/>
    <w:rsid w:val="00B31253"/>
    <w:rsid w:val="00B31434"/>
    <w:rsid w:val="00B314B4"/>
    <w:rsid w:val="00B31585"/>
    <w:rsid w:val="00B3169A"/>
    <w:rsid w:val="00B31BF0"/>
    <w:rsid w:val="00B322DA"/>
    <w:rsid w:val="00B32398"/>
    <w:rsid w:val="00B326BC"/>
    <w:rsid w:val="00B32AC8"/>
    <w:rsid w:val="00B32B86"/>
    <w:rsid w:val="00B32C90"/>
    <w:rsid w:val="00B33584"/>
    <w:rsid w:val="00B33C3D"/>
    <w:rsid w:val="00B348BC"/>
    <w:rsid w:val="00B354B5"/>
    <w:rsid w:val="00B35EFE"/>
    <w:rsid w:val="00B36028"/>
    <w:rsid w:val="00B36864"/>
    <w:rsid w:val="00B36921"/>
    <w:rsid w:val="00B3697A"/>
    <w:rsid w:val="00B3751D"/>
    <w:rsid w:val="00B37A81"/>
    <w:rsid w:val="00B37D95"/>
    <w:rsid w:val="00B37FEF"/>
    <w:rsid w:val="00B40064"/>
    <w:rsid w:val="00B40A6E"/>
    <w:rsid w:val="00B40FC3"/>
    <w:rsid w:val="00B414A2"/>
    <w:rsid w:val="00B4193E"/>
    <w:rsid w:val="00B419B3"/>
    <w:rsid w:val="00B419E6"/>
    <w:rsid w:val="00B41B19"/>
    <w:rsid w:val="00B42363"/>
    <w:rsid w:val="00B4264E"/>
    <w:rsid w:val="00B42946"/>
    <w:rsid w:val="00B42C99"/>
    <w:rsid w:val="00B42F69"/>
    <w:rsid w:val="00B43760"/>
    <w:rsid w:val="00B43A51"/>
    <w:rsid w:val="00B43A54"/>
    <w:rsid w:val="00B43AC0"/>
    <w:rsid w:val="00B43C6C"/>
    <w:rsid w:val="00B43D2C"/>
    <w:rsid w:val="00B44BF6"/>
    <w:rsid w:val="00B4529B"/>
    <w:rsid w:val="00B4576F"/>
    <w:rsid w:val="00B4595E"/>
    <w:rsid w:val="00B46F03"/>
    <w:rsid w:val="00B502CA"/>
    <w:rsid w:val="00B50A44"/>
    <w:rsid w:val="00B50E2D"/>
    <w:rsid w:val="00B50FB0"/>
    <w:rsid w:val="00B51406"/>
    <w:rsid w:val="00B51CCD"/>
    <w:rsid w:val="00B51F14"/>
    <w:rsid w:val="00B52248"/>
    <w:rsid w:val="00B52567"/>
    <w:rsid w:val="00B5276C"/>
    <w:rsid w:val="00B52813"/>
    <w:rsid w:val="00B52816"/>
    <w:rsid w:val="00B52C09"/>
    <w:rsid w:val="00B53176"/>
    <w:rsid w:val="00B53687"/>
    <w:rsid w:val="00B539DF"/>
    <w:rsid w:val="00B53ACA"/>
    <w:rsid w:val="00B53C69"/>
    <w:rsid w:val="00B546EB"/>
    <w:rsid w:val="00B547CA"/>
    <w:rsid w:val="00B55524"/>
    <w:rsid w:val="00B556A9"/>
    <w:rsid w:val="00B5583F"/>
    <w:rsid w:val="00B55ABC"/>
    <w:rsid w:val="00B55BD4"/>
    <w:rsid w:val="00B55CAA"/>
    <w:rsid w:val="00B55E03"/>
    <w:rsid w:val="00B561CD"/>
    <w:rsid w:val="00B561F8"/>
    <w:rsid w:val="00B562D6"/>
    <w:rsid w:val="00B56589"/>
    <w:rsid w:val="00B56B7B"/>
    <w:rsid w:val="00B56D20"/>
    <w:rsid w:val="00B56D2C"/>
    <w:rsid w:val="00B57373"/>
    <w:rsid w:val="00B575BF"/>
    <w:rsid w:val="00B5766F"/>
    <w:rsid w:val="00B576A3"/>
    <w:rsid w:val="00B5795C"/>
    <w:rsid w:val="00B60764"/>
    <w:rsid w:val="00B60BD9"/>
    <w:rsid w:val="00B60C23"/>
    <w:rsid w:val="00B60CD5"/>
    <w:rsid w:val="00B612EA"/>
    <w:rsid w:val="00B61C62"/>
    <w:rsid w:val="00B61C66"/>
    <w:rsid w:val="00B62233"/>
    <w:rsid w:val="00B6255C"/>
    <w:rsid w:val="00B62604"/>
    <w:rsid w:val="00B6284C"/>
    <w:rsid w:val="00B62A96"/>
    <w:rsid w:val="00B62DF2"/>
    <w:rsid w:val="00B62E89"/>
    <w:rsid w:val="00B635FB"/>
    <w:rsid w:val="00B6384F"/>
    <w:rsid w:val="00B63AA5"/>
    <w:rsid w:val="00B63B1E"/>
    <w:rsid w:val="00B65650"/>
    <w:rsid w:val="00B65973"/>
    <w:rsid w:val="00B65D4A"/>
    <w:rsid w:val="00B65DFE"/>
    <w:rsid w:val="00B65E7A"/>
    <w:rsid w:val="00B65EA4"/>
    <w:rsid w:val="00B6658D"/>
    <w:rsid w:val="00B665CC"/>
    <w:rsid w:val="00B66A10"/>
    <w:rsid w:val="00B66A87"/>
    <w:rsid w:val="00B66E02"/>
    <w:rsid w:val="00B66EC7"/>
    <w:rsid w:val="00B67098"/>
    <w:rsid w:val="00B67270"/>
    <w:rsid w:val="00B67394"/>
    <w:rsid w:val="00B677D0"/>
    <w:rsid w:val="00B678CB"/>
    <w:rsid w:val="00B67DCD"/>
    <w:rsid w:val="00B67F32"/>
    <w:rsid w:val="00B70CE6"/>
    <w:rsid w:val="00B7115A"/>
    <w:rsid w:val="00B712D0"/>
    <w:rsid w:val="00B71676"/>
    <w:rsid w:val="00B717B0"/>
    <w:rsid w:val="00B71BCB"/>
    <w:rsid w:val="00B71DCB"/>
    <w:rsid w:val="00B72025"/>
    <w:rsid w:val="00B72C66"/>
    <w:rsid w:val="00B73396"/>
    <w:rsid w:val="00B73AFE"/>
    <w:rsid w:val="00B7574A"/>
    <w:rsid w:val="00B757E5"/>
    <w:rsid w:val="00B75AE6"/>
    <w:rsid w:val="00B75F94"/>
    <w:rsid w:val="00B7600C"/>
    <w:rsid w:val="00B76096"/>
    <w:rsid w:val="00B765C6"/>
    <w:rsid w:val="00B768D2"/>
    <w:rsid w:val="00B76B2F"/>
    <w:rsid w:val="00B76C5F"/>
    <w:rsid w:val="00B7711A"/>
    <w:rsid w:val="00B77C15"/>
    <w:rsid w:val="00B77F1A"/>
    <w:rsid w:val="00B80127"/>
    <w:rsid w:val="00B808F1"/>
    <w:rsid w:val="00B809E6"/>
    <w:rsid w:val="00B80AEA"/>
    <w:rsid w:val="00B80CB0"/>
    <w:rsid w:val="00B80D78"/>
    <w:rsid w:val="00B81830"/>
    <w:rsid w:val="00B81BA7"/>
    <w:rsid w:val="00B81F10"/>
    <w:rsid w:val="00B81F38"/>
    <w:rsid w:val="00B820FF"/>
    <w:rsid w:val="00B8222D"/>
    <w:rsid w:val="00B82841"/>
    <w:rsid w:val="00B82B10"/>
    <w:rsid w:val="00B83B62"/>
    <w:rsid w:val="00B83E66"/>
    <w:rsid w:val="00B84665"/>
    <w:rsid w:val="00B84727"/>
    <w:rsid w:val="00B8535F"/>
    <w:rsid w:val="00B85A25"/>
    <w:rsid w:val="00B85BCF"/>
    <w:rsid w:val="00B85CDB"/>
    <w:rsid w:val="00B86229"/>
    <w:rsid w:val="00B86A24"/>
    <w:rsid w:val="00B86D2B"/>
    <w:rsid w:val="00B86D7F"/>
    <w:rsid w:val="00B86E5B"/>
    <w:rsid w:val="00B86E96"/>
    <w:rsid w:val="00B87200"/>
    <w:rsid w:val="00B87698"/>
    <w:rsid w:val="00B87699"/>
    <w:rsid w:val="00B878CD"/>
    <w:rsid w:val="00B9063B"/>
    <w:rsid w:val="00B90781"/>
    <w:rsid w:val="00B9091C"/>
    <w:rsid w:val="00B90A5C"/>
    <w:rsid w:val="00B90D3B"/>
    <w:rsid w:val="00B90D42"/>
    <w:rsid w:val="00B9172B"/>
    <w:rsid w:val="00B91A7C"/>
    <w:rsid w:val="00B91B5A"/>
    <w:rsid w:val="00B91CB1"/>
    <w:rsid w:val="00B92020"/>
    <w:rsid w:val="00B9249B"/>
    <w:rsid w:val="00B92BF6"/>
    <w:rsid w:val="00B92CBE"/>
    <w:rsid w:val="00B932EE"/>
    <w:rsid w:val="00B93E63"/>
    <w:rsid w:val="00B93E68"/>
    <w:rsid w:val="00B9458A"/>
    <w:rsid w:val="00B945A8"/>
    <w:rsid w:val="00B94606"/>
    <w:rsid w:val="00B94793"/>
    <w:rsid w:val="00B94983"/>
    <w:rsid w:val="00B9536C"/>
    <w:rsid w:val="00B95B64"/>
    <w:rsid w:val="00B96760"/>
    <w:rsid w:val="00B967C7"/>
    <w:rsid w:val="00B96981"/>
    <w:rsid w:val="00B97220"/>
    <w:rsid w:val="00B97380"/>
    <w:rsid w:val="00B973EA"/>
    <w:rsid w:val="00B97587"/>
    <w:rsid w:val="00B9773C"/>
    <w:rsid w:val="00B978F3"/>
    <w:rsid w:val="00BA038A"/>
    <w:rsid w:val="00BA05DE"/>
    <w:rsid w:val="00BA0A20"/>
    <w:rsid w:val="00BA0F5F"/>
    <w:rsid w:val="00BA143B"/>
    <w:rsid w:val="00BA1595"/>
    <w:rsid w:val="00BA1FFB"/>
    <w:rsid w:val="00BA2098"/>
    <w:rsid w:val="00BA23AC"/>
    <w:rsid w:val="00BA2B3F"/>
    <w:rsid w:val="00BA32D2"/>
    <w:rsid w:val="00BA33F8"/>
    <w:rsid w:val="00BA34F0"/>
    <w:rsid w:val="00BA3672"/>
    <w:rsid w:val="00BA36B7"/>
    <w:rsid w:val="00BA380C"/>
    <w:rsid w:val="00BA3A72"/>
    <w:rsid w:val="00BA4E45"/>
    <w:rsid w:val="00BA5485"/>
    <w:rsid w:val="00BA5598"/>
    <w:rsid w:val="00BA566F"/>
    <w:rsid w:val="00BA59FB"/>
    <w:rsid w:val="00BA5ED3"/>
    <w:rsid w:val="00BA67E9"/>
    <w:rsid w:val="00BA6D56"/>
    <w:rsid w:val="00BA6E98"/>
    <w:rsid w:val="00BA6F0A"/>
    <w:rsid w:val="00BA754F"/>
    <w:rsid w:val="00BA758F"/>
    <w:rsid w:val="00BA76DD"/>
    <w:rsid w:val="00BA7957"/>
    <w:rsid w:val="00BA7A5E"/>
    <w:rsid w:val="00BA7D33"/>
    <w:rsid w:val="00BB00A1"/>
    <w:rsid w:val="00BB0190"/>
    <w:rsid w:val="00BB02BD"/>
    <w:rsid w:val="00BB0824"/>
    <w:rsid w:val="00BB0D6D"/>
    <w:rsid w:val="00BB13B3"/>
    <w:rsid w:val="00BB14A3"/>
    <w:rsid w:val="00BB1833"/>
    <w:rsid w:val="00BB194D"/>
    <w:rsid w:val="00BB225E"/>
    <w:rsid w:val="00BB22AA"/>
    <w:rsid w:val="00BB2468"/>
    <w:rsid w:val="00BB303E"/>
    <w:rsid w:val="00BB3960"/>
    <w:rsid w:val="00BB4913"/>
    <w:rsid w:val="00BB50CF"/>
    <w:rsid w:val="00BB5E0A"/>
    <w:rsid w:val="00BB66D3"/>
    <w:rsid w:val="00BB6829"/>
    <w:rsid w:val="00BB6AEC"/>
    <w:rsid w:val="00BB6CC1"/>
    <w:rsid w:val="00BB6DE6"/>
    <w:rsid w:val="00BB7554"/>
    <w:rsid w:val="00BB7558"/>
    <w:rsid w:val="00BB780F"/>
    <w:rsid w:val="00BB788E"/>
    <w:rsid w:val="00BB7D30"/>
    <w:rsid w:val="00BC00E9"/>
    <w:rsid w:val="00BC02EB"/>
    <w:rsid w:val="00BC15DE"/>
    <w:rsid w:val="00BC1617"/>
    <w:rsid w:val="00BC17C8"/>
    <w:rsid w:val="00BC1A03"/>
    <w:rsid w:val="00BC2218"/>
    <w:rsid w:val="00BC298F"/>
    <w:rsid w:val="00BC29C7"/>
    <w:rsid w:val="00BC2CE8"/>
    <w:rsid w:val="00BC2F00"/>
    <w:rsid w:val="00BC369C"/>
    <w:rsid w:val="00BC384F"/>
    <w:rsid w:val="00BC3908"/>
    <w:rsid w:val="00BC3A1D"/>
    <w:rsid w:val="00BC3C82"/>
    <w:rsid w:val="00BC4972"/>
    <w:rsid w:val="00BC4A71"/>
    <w:rsid w:val="00BC5128"/>
    <w:rsid w:val="00BC5552"/>
    <w:rsid w:val="00BC5714"/>
    <w:rsid w:val="00BC5D61"/>
    <w:rsid w:val="00BC5FD0"/>
    <w:rsid w:val="00BC6897"/>
    <w:rsid w:val="00BC7016"/>
    <w:rsid w:val="00BC7320"/>
    <w:rsid w:val="00BC7546"/>
    <w:rsid w:val="00BC7619"/>
    <w:rsid w:val="00BC77BC"/>
    <w:rsid w:val="00BD0269"/>
    <w:rsid w:val="00BD03B1"/>
    <w:rsid w:val="00BD04D4"/>
    <w:rsid w:val="00BD0C65"/>
    <w:rsid w:val="00BD11E5"/>
    <w:rsid w:val="00BD150A"/>
    <w:rsid w:val="00BD15B9"/>
    <w:rsid w:val="00BD1794"/>
    <w:rsid w:val="00BD1B8D"/>
    <w:rsid w:val="00BD1DAF"/>
    <w:rsid w:val="00BD1F05"/>
    <w:rsid w:val="00BD27D0"/>
    <w:rsid w:val="00BD2A40"/>
    <w:rsid w:val="00BD3288"/>
    <w:rsid w:val="00BD33D1"/>
    <w:rsid w:val="00BD33D4"/>
    <w:rsid w:val="00BD3E58"/>
    <w:rsid w:val="00BD3F51"/>
    <w:rsid w:val="00BD409F"/>
    <w:rsid w:val="00BD40B1"/>
    <w:rsid w:val="00BD426D"/>
    <w:rsid w:val="00BD4440"/>
    <w:rsid w:val="00BD44D4"/>
    <w:rsid w:val="00BD45E1"/>
    <w:rsid w:val="00BD46C2"/>
    <w:rsid w:val="00BD4B96"/>
    <w:rsid w:val="00BD4CAC"/>
    <w:rsid w:val="00BD4D3F"/>
    <w:rsid w:val="00BD51EE"/>
    <w:rsid w:val="00BD5257"/>
    <w:rsid w:val="00BD558C"/>
    <w:rsid w:val="00BD5F74"/>
    <w:rsid w:val="00BD6108"/>
    <w:rsid w:val="00BD64A4"/>
    <w:rsid w:val="00BD6755"/>
    <w:rsid w:val="00BD6D20"/>
    <w:rsid w:val="00BD74D4"/>
    <w:rsid w:val="00BD7541"/>
    <w:rsid w:val="00BD768E"/>
    <w:rsid w:val="00BD76B1"/>
    <w:rsid w:val="00BD78CB"/>
    <w:rsid w:val="00BD7A00"/>
    <w:rsid w:val="00BD7D76"/>
    <w:rsid w:val="00BD7EB9"/>
    <w:rsid w:val="00BE0331"/>
    <w:rsid w:val="00BE0444"/>
    <w:rsid w:val="00BE0FA2"/>
    <w:rsid w:val="00BE1041"/>
    <w:rsid w:val="00BE1171"/>
    <w:rsid w:val="00BE1F4A"/>
    <w:rsid w:val="00BE24B5"/>
    <w:rsid w:val="00BE2C06"/>
    <w:rsid w:val="00BE300E"/>
    <w:rsid w:val="00BE33ED"/>
    <w:rsid w:val="00BE343E"/>
    <w:rsid w:val="00BE3531"/>
    <w:rsid w:val="00BE3C51"/>
    <w:rsid w:val="00BE47BF"/>
    <w:rsid w:val="00BE47CE"/>
    <w:rsid w:val="00BE50AD"/>
    <w:rsid w:val="00BE5374"/>
    <w:rsid w:val="00BE627A"/>
    <w:rsid w:val="00BE68A6"/>
    <w:rsid w:val="00BE68DE"/>
    <w:rsid w:val="00BE6CE8"/>
    <w:rsid w:val="00BE72A2"/>
    <w:rsid w:val="00BE72FF"/>
    <w:rsid w:val="00BE735D"/>
    <w:rsid w:val="00BE78E8"/>
    <w:rsid w:val="00BE7DD4"/>
    <w:rsid w:val="00BF0206"/>
    <w:rsid w:val="00BF0227"/>
    <w:rsid w:val="00BF07C6"/>
    <w:rsid w:val="00BF10F5"/>
    <w:rsid w:val="00BF1706"/>
    <w:rsid w:val="00BF1C85"/>
    <w:rsid w:val="00BF1CDB"/>
    <w:rsid w:val="00BF25BC"/>
    <w:rsid w:val="00BF26E7"/>
    <w:rsid w:val="00BF32B1"/>
    <w:rsid w:val="00BF3607"/>
    <w:rsid w:val="00BF3A04"/>
    <w:rsid w:val="00BF40C2"/>
    <w:rsid w:val="00BF46F2"/>
    <w:rsid w:val="00BF4A21"/>
    <w:rsid w:val="00BF4AAC"/>
    <w:rsid w:val="00BF4CC2"/>
    <w:rsid w:val="00BF4D12"/>
    <w:rsid w:val="00BF4D1C"/>
    <w:rsid w:val="00BF5400"/>
    <w:rsid w:val="00BF5975"/>
    <w:rsid w:val="00BF5AEA"/>
    <w:rsid w:val="00BF5E55"/>
    <w:rsid w:val="00BF65D7"/>
    <w:rsid w:val="00BF66E9"/>
    <w:rsid w:val="00BF6730"/>
    <w:rsid w:val="00BF6899"/>
    <w:rsid w:val="00BF68D6"/>
    <w:rsid w:val="00BF6B14"/>
    <w:rsid w:val="00BF6CAB"/>
    <w:rsid w:val="00BF6FA0"/>
    <w:rsid w:val="00BF6FAC"/>
    <w:rsid w:val="00BF7538"/>
    <w:rsid w:val="00BF75F1"/>
    <w:rsid w:val="00BF77B5"/>
    <w:rsid w:val="00BF7C54"/>
    <w:rsid w:val="00C00598"/>
    <w:rsid w:val="00C00B69"/>
    <w:rsid w:val="00C00E0D"/>
    <w:rsid w:val="00C00FEB"/>
    <w:rsid w:val="00C018CF"/>
    <w:rsid w:val="00C01A70"/>
    <w:rsid w:val="00C01D5F"/>
    <w:rsid w:val="00C02063"/>
    <w:rsid w:val="00C0261A"/>
    <w:rsid w:val="00C02C0D"/>
    <w:rsid w:val="00C02FCF"/>
    <w:rsid w:val="00C02FF3"/>
    <w:rsid w:val="00C03197"/>
    <w:rsid w:val="00C0345A"/>
    <w:rsid w:val="00C03511"/>
    <w:rsid w:val="00C036C6"/>
    <w:rsid w:val="00C03764"/>
    <w:rsid w:val="00C03A33"/>
    <w:rsid w:val="00C03F1E"/>
    <w:rsid w:val="00C03FE6"/>
    <w:rsid w:val="00C03FEE"/>
    <w:rsid w:val="00C0475B"/>
    <w:rsid w:val="00C0489D"/>
    <w:rsid w:val="00C04BD8"/>
    <w:rsid w:val="00C04C3A"/>
    <w:rsid w:val="00C050B2"/>
    <w:rsid w:val="00C05259"/>
    <w:rsid w:val="00C05700"/>
    <w:rsid w:val="00C059BF"/>
    <w:rsid w:val="00C05EDB"/>
    <w:rsid w:val="00C0652D"/>
    <w:rsid w:val="00C06EA2"/>
    <w:rsid w:val="00C06EFA"/>
    <w:rsid w:val="00C06F26"/>
    <w:rsid w:val="00C0721B"/>
    <w:rsid w:val="00C07327"/>
    <w:rsid w:val="00C0749C"/>
    <w:rsid w:val="00C074CD"/>
    <w:rsid w:val="00C075C2"/>
    <w:rsid w:val="00C07808"/>
    <w:rsid w:val="00C07EB1"/>
    <w:rsid w:val="00C07F98"/>
    <w:rsid w:val="00C10138"/>
    <w:rsid w:val="00C102A0"/>
    <w:rsid w:val="00C102A9"/>
    <w:rsid w:val="00C1045B"/>
    <w:rsid w:val="00C107C3"/>
    <w:rsid w:val="00C10DA8"/>
    <w:rsid w:val="00C10F73"/>
    <w:rsid w:val="00C11377"/>
    <w:rsid w:val="00C11648"/>
    <w:rsid w:val="00C11985"/>
    <w:rsid w:val="00C126BC"/>
    <w:rsid w:val="00C12EB0"/>
    <w:rsid w:val="00C1301C"/>
    <w:rsid w:val="00C13188"/>
    <w:rsid w:val="00C133B4"/>
    <w:rsid w:val="00C13520"/>
    <w:rsid w:val="00C1357E"/>
    <w:rsid w:val="00C135DC"/>
    <w:rsid w:val="00C138CB"/>
    <w:rsid w:val="00C13A71"/>
    <w:rsid w:val="00C13E17"/>
    <w:rsid w:val="00C141B0"/>
    <w:rsid w:val="00C14D9F"/>
    <w:rsid w:val="00C14F9B"/>
    <w:rsid w:val="00C14FAB"/>
    <w:rsid w:val="00C14FD1"/>
    <w:rsid w:val="00C155A7"/>
    <w:rsid w:val="00C15BD6"/>
    <w:rsid w:val="00C15F42"/>
    <w:rsid w:val="00C1610B"/>
    <w:rsid w:val="00C1611D"/>
    <w:rsid w:val="00C1623A"/>
    <w:rsid w:val="00C16AAC"/>
    <w:rsid w:val="00C16C9A"/>
    <w:rsid w:val="00C16EA6"/>
    <w:rsid w:val="00C175E4"/>
    <w:rsid w:val="00C17759"/>
    <w:rsid w:val="00C20204"/>
    <w:rsid w:val="00C204F9"/>
    <w:rsid w:val="00C20731"/>
    <w:rsid w:val="00C211DA"/>
    <w:rsid w:val="00C21439"/>
    <w:rsid w:val="00C21459"/>
    <w:rsid w:val="00C21715"/>
    <w:rsid w:val="00C21CB9"/>
    <w:rsid w:val="00C21DC4"/>
    <w:rsid w:val="00C22362"/>
    <w:rsid w:val="00C225A9"/>
    <w:rsid w:val="00C22715"/>
    <w:rsid w:val="00C22772"/>
    <w:rsid w:val="00C229C6"/>
    <w:rsid w:val="00C22A86"/>
    <w:rsid w:val="00C22BA2"/>
    <w:rsid w:val="00C22C1D"/>
    <w:rsid w:val="00C22C34"/>
    <w:rsid w:val="00C23239"/>
    <w:rsid w:val="00C232BA"/>
    <w:rsid w:val="00C232E0"/>
    <w:rsid w:val="00C239D1"/>
    <w:rsid w:val="00C23A85"/>
    <w:rsid w:val="00C24B5E"/>
    <w:rsid w:val="00C2534F"/>
    <w:rsid w:val="00C2537A"/>
    <w:rsid w:val="00C25A57"/>
    <w:rsid w:val="00C25A69"/>
    <w:rsid w:val="00C25C89"/>
    <w:rsid w:val="00C25CC2"/>
    <w:rsid w:val="00C26C17"/>
    <w:rsid w:val="00C26E55"/>
    <w:rsid w:val="00C27509"/>
    <w:rsid w:val="00C279F9"/>
    <w:rsid w:val="00C27B97"/>
    <w:rsid w:val="00C30058"/>
    <w:rsid w:val="00C30174"/>
    <w:rsid w:val="00C306F5"/>
    <w:rsid w:val="00C30782"/>
    <w:rsid w:val="00C30A07"/>
    <w:rsid w:val="00C317A2"/>
    <w:rsid w:val="00C31898"/>
    <w:rsid w:val="00C31958"/>
    <w:rsid w:val="00C32792"/>
    <w:rsid w:val="00C3283D"/>
    <w:rsid w:val="00C328D1"/>
    <w:rsid w:val="00C3293F"/>
    <w:rsid w:val="00C32B74"/>
    <w:rsid w:val="00C33146"/>
    <w:rsid w:val="00C3329F"/>
    <w:rsid w:val="00C3337B"/>
    <w:rsid w:val="00C3356A"/>
    <w:rsid w:val="00C341BC"/>
    <w:rsid w:val="00C343FC"/>
    <w:rsid w:val="00C34597"/>
    <w:rsid w:val="00C346D8"/>
    <w:rsid w:val="00C3476B"/>
    <w:rsid w:val="00C352A9"/>
    <w:rsid w:val="00C352BA"/>
    <w:rsid w:val="00C3597D"/>
    <w:rsid w:val="00C35C07"/>
    <w:rsid w:val="00C35FCB"/>
    <w:rsid w:val="00C36030"/>
    <w:rsid w:val="00C3651F"/>
    <w:rsid w:val="00C365CC"/>
    <w:rsid w:val="00C3662C"/>
    <w:rsid w:val="00C36633"/>
    <w:rsid w:val="00C36C87"/>
    <w:rsid w:val="00C36DAA"/>
    <w:rsid w:val="00C36E9D"/>
    <w:rsid w:val="00C37139"/>
    <w:rsid w:val="00C37991"/>
    <w:rsid w:val="00C379B1"/>
    <w:rsid w:val="00C37C86"/>
    <w:rsid w:val="00C37C87"/>
    <w:rsid w:val="00C37E55"/>
    <w:rsid w:val="00C402E9"/>
    <w:rsid w:val="00C40319"/>
    <w:rsid w:val="00C4036E"/>
    <w:rsid w:val="00C403B9"/>
    <w:rsid w:val="00C405DD"/>
    <w:rsid w:val="00C41061"/>
    <w:rsid w:val="00C410BB"/>
    <w:rsid w:val="00C4118C"/>
    <w:rsid w:val="00C412B1"/>
    <w:rsid w:val="00C41822"/>
    <w:rsid w:val="00C41F77"/>
    <w:rsid w:val="00C426C1"/>
    <w:rsid w:val="00C42B21"/>
    <w:rsid w:val="00C43372"/>
    <w:rsid w:val="00C43557"/>
    <w:rsid w:val="00C43597"/>
    <w:rsid w:val="00C43634"/>
    <w:rsid w:val="00C436F9"/>
    <w:rsid w:val="00C43709"/>
    <w:rsid w:val="00C43811"/>
    <w:rsid w:val="00C43C71"/>
    <w:rsid w:val="00C43F83"/>
    <w:rsid w:val="00C4436C"/>
    <w:rsid w:val="00C44D03"/>
    <w:rsid w:val="00C4515B"/>
    <w:rsid w:val="00C451B3"/>
    <w:rsid w:val="00C45313"/>
    <w:rsid w:val="00C45C61"/>
    <w:rsid w:val="00C461B2"/>
    <w:rsid w:val="00C46A00"/>
    <w:rsid w:val="00C46B7F"/>
    <w:rsid w:val="00C46BC8"/>
    <w:rsid w:val="00C47119"/>
    <w:rsid w:val="00C474A3"/>
    <w:rsid w:val="00C475AA"/>
    <w:rsid w:val="00C47C8E"/>
    <w:rsid w:val="00C500F1"/>
    <w:rsid w:val="00C50211"/>
    <w:rsid w:val="00C50B86"/>
    <w:rsid w:val="00C50E26"/>
    <w:rsid w:val="00C51668"/>
    <w:rsid w:val="00C5201F"/>
    <w:rsid w:val="00C522D0"/>
    <w:rsid w:val="00C52450"/>
    <w:rsid w:val="00C5273C"/>
    <w:rsid w:val="00C5285F"/>
    <w:rsid w:val="00C529D0"/>
    <w:rsid w:val="00C52FD1"/>
    <w:rsid w:val="00C5305A"/>
    <w:rsid w:val="00C53241"/>
    <w:rsid w:val="00C5359B"/>
    <w:rsid w:val="00C536ED"/>
    <w:rsid w:val="00C53919"/>
    <w:rsid w:val="00C53AF7"/>
    <w:rsid w:val="00C53F01"/>
    <w:rsid w:val="00C54103"/>
    <w:rsid w:val="00C54386"/>
    <w:rsid w:val="00C54690"/>
    <w:rsid w:val="00C54787"/>
    <w:rsid w:val="00C54863"/>
    <w:rsid w:val="00C551B5"/>
    <w:rsid w:val="00C554B5"/>
    <w:rsid w:val="00C5570A"/>
    <w:rsid w:val="00C55993"/>
    <w:rsid w:val="00C56013"/>
    <w:rsid w:val="00C5652B"/>
    <w:rsid w:val="00C565A8"/>
    <w:rsid w:val="00C56713"/>
    <w:rsid w:val="00C56EF2"/>
    <w:rsid w:val="00C570A6"/>
    <w:rsid w:val="00C57685"/>
    <w:rsid w:val="00C5794C"/>
    <w:rsid w:val="00C579F3"/>
    <w:rsid w:val="00C57E56"/>
    <w:rsid w:val="00C600B3"/>
    <w:rsid w:val="00C6018D"/>
    <w:rsid w:val="00C607F2"/>
    <w:rsid w:val="00C60BDC"/>
    <w:rsid w:val="00C60CB5"/>
    <w:rsid w:val="00C60DE1"/>
    <w:rsid w:val="00C6103D"/>
    <w:rsid w:val="00C611E4"/>
    <w:rsid w:val="00C61464"/>
    <w:rsid w:val="00C61606"/>
    <w:rsid w:val="00C61A71"/>
    <w:rsid w:val="00C623CF"/>
    <w:rsid w:val="00C62505"/>
    <w:rsid w:val="00C63503"/>
    <w:rsid w:val="00C642F4"/>
    <w:rsid w:val="00C64A67"/>
    <w:rsid w:val="00C65179"/>
    <w:rsid w:val="00C659F9"/>
    <w:rsid w:val="00C65A2C"/>
    <w:rsid w:val="00C65CC6"/>
    <w:rsid w:val="00C66062"/>
    <w:rsid w:val="00C664F9"/>
    <w:rsid w:val="00C673BF"/>
    <w:rsid w:val="00C67464"/>
    <w:rsid w:val="00C67B88"/>
    <w:rsid w:val="00C67E8E"/>
    <w:rsid w:val="00C70079"/>
    <w:rsid w:val="00C70202"/>
    <w:rsid w:val="00C70A92"/>
    <w:rsid w:val="00C70B08"/>
    <w:rsid w:val="00C70E0A"/>
    <w:rsid w:val="00C7118B"/>
    <w:rsid w:val="00C71296"/>
    <w:rsid w:val="00C71BD3"/>
    <w:rsid w:val="00C72177"/>
    <w:rsid w:val="00C723F8"/>
    <w:rsid w:val="00C72A21"/>
    <w:rsid w:val="00C72D5C"/>
    <w:rsid w:val="00C735A6"/>
    <w:rsid w:val="00C73674"/>
    <w:rsid w:val="00C73952"/>
    <w:rsid w:val="00C73F42"/>
    <w:rsid w:val="00C7410C"/>
    <w:rsid w:val="00C741D8"/>
    <w:rsid w:val="00C7445B"/>
    <w:rsid w:val="00C744E1"/>
    <w:rsid w:val="00C74B8C"/>
    <w:rsid w:val="00C74C05"/>
    <w:rsid w:val="00C74C2D"/>
    <w:rsid w:val="00C74E2B"/>
    <w:rsid w:val="00C7523A"/>
    <w:rsid w:val="00C75850"/>
    <w:rsid w:val="00C76825"/>
    <w:rsid w:val="00C76D2D"/>
    <w:rsid w:val="00C77031"/>
    <w:rsid w:val="00C77181"/>
    <w:rsid w:val="00C77466"/>
    <w:rsid w:val="00C77C26"/>
    <w:rsid w:val="00C77C31"/>
    <w:rsid w:val="00C80048"/>
    <w:rsid w:val="00C8044C"/>
    <w:rsid w:val="00C80D2A"/>
    <w:rsid w:val="00C80DF8"/>
    <w:rsid w:val="00C80E6B"/>
    <w:rsid w:val="00C818BE"/>
    <w:rsid w:val="00C822FA"/>
    <w:rsid w:val="00C825D9"/>
    <w:rsid w:val="00C8268F"/>
    <w:rsid w:val="00C833FC"/>
    <w:rsid w:val="00C83535"/>
    <w:rsid w:val="00C83573"/>
    <w:rsid w:val="00C83D7C"/>
    <w:rsid w:val="00C83D84"/>
    <w:rsid w:val="00C845DB"/>
    <w:rsid w:val="00C84978"/>
    <w:rsid w:val="00C84F83"/>
    <w:rsid w:val="00C850BF"/>
    <w:rsid w:val="00C85260"/>
    <w:rsid w:val="00C85441"/>
    <w:rsid w:val="00C8595B"/>
    <w:rsid w:val="00C85D4A"/>
    <w:rsid w:val="00C85DE6"/>
    <w:rsid w:val="00C85E9F"/>
    <w:rsid w:val="00C869D1"/>
    <w:rsid w:val="00C86AE1"/>
    <w:rsid w:val="00C87250"/>
    <w:rsid w:val="00C87436"/>
    <w:rsid w:val="00C90556"/>
    <w:rsid w:val="00C91295"/>
    <w:rsid w:val="00C91651"/>
    <w:rsid w:val="00C917A4"/>
    <w:rsid w:val="00C91E15"/>
    <w:rsid w:val="00C922A2"/>
    <w:rsid w:val="00C92ADC"/>
    <w:rsid w:val="00C93E64"/>
    <w:rsid w:val="00C93ED7"/>
    <w:rsid w:val="00C94031"/>
    <w:rsid w:val="00C94BEB"/>
    <w:rsid w:val="00C95367"/>
    <w:rsid w:val="00C9636A"/>
    <w:rsid w:val="00C96FEB"/>
    <w:rsid w:val="00C972A7"/>
    <w:rsid w:val="00C97CEE"/>
    <w:rsid w:val="00CA03DC"/>
    <w:rsid w:val="00CA0E67"/>
    <w:rsid w:val="00CA12C2"/>
    <w:rsid w:val="00CA1BDC"/>
    <w:rsid w:val="00CA2507"/>
    <w:rsid w:val="00CA26EA"/>
    <w:rsid w:val="00CA2FB2"/>
    <w:rsid w:val="00CA31F6"/>
    <w:rsid w:val="00CA342C"/>
    <w:rsid w:val="00CA3690"/>
    <w:rsid w:val="00CA37EE"/>
    <w:rsid w:val="00CA3D00"/>
    <w:rsid w:val="00CA3D3A"/>
    <w:rsid w:val="00CA4013"/>
    <w:rsid w:val="00CA41C5"/>
    <w:rsid w:val="00CA42D6"/>
    <w:rsid w:val="00CA45BD"/>
    <w:rsid w:val="00CA4812"/>
    <w:rsid w:val="00CA4889"/>
    <w:rsid w:val="00CA5240"/>
    <w:rsid w:val="00CA528A"/>
    <w:rsid w:val="00CA5294"/>
    <w:rsid w:val="00CA52CA"/>
    <w:rsid w:val="00CA5712"/>
    <w:rsid w:val="00CA5D42"/>
    <w:rsid w:val="00CA631E"/>
    <w:rsid w:val="00CA6CA5"/>
    <w:rsid w:val="00CA6ECF"/>
    <w:rsid w:val="00CA6F0E"/>
    <w:rsid w:val="00CA76D4"/>
    <w:rsid w:val="00CA7783"/>
    <w:rsid w:val="00CA7C64"/>
    <w:rsid w:val="00CA7DA5"/>
    <w:rsid w:val="00CA7E8D"/>
    <w:rsid w:val="00CB0275"/>
    <w:rsid w:val="00CB12A9"/>
    <w:rsid w:val="00CB15E9"/>
    <w:rsid w:val="00CB1CC1"/>
    <w:rsid w:val="00CB22F9"/>
    <w:rsid w:val="00CB23A1"/>
    <w:rsid w:val="00CB24EA"/>
    <w:rsid w:val="00CB25D2"/>
    <w:rsid w:val="00CB2763"/>
    <w:rsid w:val="00CB2BD5"/>
    <w:rsid w:val="00CB2F1A"/>
    <w:rsid w:val="00CB31F6"/>
    <w:rsid w:val="00CB31FB"/>
    <w:rsid w:val="00CB3724"/>
    <w:rsid w:val="00CB37E9"/>
    <w:rsid w:val="00CB38F7"/>
    <w:rsid w:val="00CB3B7C"/>
    <w:rsid w:val="00CB3F0B"/>
    <w:rsid w:val="00CB4473"/>
    <w:rsid w:val="00CB4EA1"/>
    <w:rsid w:val="00CB50A4"/>
    <w:rsid w:val="00CB5151"/>
    <w:rsid w:val="00CB54D4"/>
    <w:rsid w:val="00CB5C55"/>
    <w:rsid w:val="00CB7D15"/>
    <w:rsid w:val="00CB7DEE"/>
    <w:rsid w:val="00CC0268"/>
    <w:rsid w:val="00CC042C"/>
    <w:rsid w:val="00CC0775"/>
    <w:rsid w:val="00CC081C"/>
    <w:rsid w:val="00CC0C19"/>
    <w:rsid w:val="00CC0CAC"/>
    <w:rsid w:val="00CC0E8D"/>
    <w:rsid w:val="00CC0F50"/>
    <w:rsid w:val="00CC1455"/>
    <w:rsid w:val="00CC16DC"/>
    <w:rsid w:val="00CC1909"/>
    <w:rsid w:val="00CC19AF"/>
    <w:rsid w:val="00CC1D1A"/>
    <w:rsid w:val="00CC2307"/>
    <w:rsid w:val="00CC25C3"/>
    <w:rsid w:val="00CC25FC"/>
    <w:rsid w:val="00CC330E"/>
    <w:rsid w:val="00CC3A84"/>
    <w:rsid w:val="00CC3B08"/>
    <w:rsid w:val="00CC3C95"/>
    <w:rsid w:val="00CC4067"/>
    <w:rsid w:val="00CC40AA"/>
    <w:rsid w:val="00CC40D2"/>
    <w:rsid w:val="00CC4148"/>
    <w:rsid w:val="00CC4444"/>
    <w:rsid w:val="00CC4B6F"/>
    <w:rsid w:val="00CC518C"/>
    <w:rsid w:val="00CC5515"/>
    <w:rsid w:val="00CC56D3"/>
    <w:rsid w:val="00CC5812"/>
    <w:rsid w:val="00CC58C1"/>
    <w:rsid w:val="00CC5956"/>
    <w:rsid w:val="00CC5BBF"/>
    <w:rsid w:val="00CC6260"/>
    <w:rsid w:val="00CC64EA"/>
    <w:rsid w:val="00CC6536"/>
    <w:rsid w:val="00CC670C"/>
    <w:rsid w:val="00CC73E6"/>
    <w:rsid w:val="00CC7D37"/>
    <w:rsid w:val="00CD02EF"/>
    <w:rsid w:val="00CD06DD"/>
    <w:rsid w:val="00CD1404"/>
    <w:rsid w:val="00CD1A2C"/>
    <w:rsid w:val="00CD29E5"/>
    <w:rsid w:val="00CD2B20"/>
    <w:rsid w:val="00CD2C89"/>
    <w:rsid w:val="00CD2F12"/>
    <w:rsid w:val="00CD34FB"/>
    <w:rsid w:val="00CD394A"/>
    <w:rsid w:val="00CD44D9"/>
    <w:rsid w:val="00CD4629"/>
    <w:rsid w:val="00CD47DA"/>
    <w:rsid w:val="00CD4A0A"/>
    <w:rsid w:val="00CD4B62"/>
    <w:rsid w:val="00CD4C89"/>
    <w:rsid w:val="00CD4D3C"/>
    <w:rsid w:val="00CD4FDF"/>
    <w:rsid w:val="00CD5527"/>
    <w:rsid w:val="00CD58F9"/>
    <w:rsid w:val="00CD5DD9"/>
    <w:rsid w:val="00CD5E62"/>
    <w:rsid w:val="00CD5EB5"/>
    <w:rsid w:val="00CD6005"/>
    <w:rsid w:val="00CD6860"/>
    <w:rsid w:val="00CD68E9"/>
    <w:rsid w:val="00CD6AC0"/>
    <w:rsid w:val="00CD6C70"/>
    <w:rsid w:val="00CD6E5B"/>
    <w:rsid w:val="00CD7337"/>
    <w:rsid w:val="00CD756A"/>
    <w:rsid w:val="00CD7936"/>
    <w:rsid w:val="00CD7BC4"/>
    <w:rsid w:val="00CD7D38"/>
    <w:rsid w:val="00CD7FB5"/>
    <w:rsid w:val="00CE0637"/>
    <w:rsid w:val="00CE0891"/>
    <w:rsid w:val="00CE0C16"/>
    <w:rsid w:val="00CE12BA"/>
    <w:rsid w:val="00CE144C"/>
    <w:rsid w:val="00CE1770"/>
    <w:rsid w:val="00CE1B82"/>
    <w:rsid w:val="00CE28E3"/>
    <w:rsid w:val="00CE2C6B"/>
    <w:rsid w:val="00CE2DCF"/>
    <w:rsid w:val="00CE3289"/>
    <w:rsid w:val="00CE372E"/>
    <w:rsid w:val="00CE3B1A"/>
    <w:rsid w:val="00CE3F6F"/>
    <w:rsid w:val="00CE4635"/>
    <w:rsid w:val="00CE46BF"/>
    <w:rsid w:val="00CE4770"/>
    <w:rsid w:val="00CE496A"/>
    <w:rsid w:val="00CE4C50"/>
    <w:rsid w:val="00CE545D"/>
    <w:rsid w:val="00CE598D"/>
    <w:rsid w:val="00CE5C4A"/>
    <w:rsid w:val="00CE5E82"/>
    <w:rsid w:val="00CE60AD"/>
    <w:rsid w:val="00CE6727"/>
    <w:rsid w:val="00CE67D0"/>
    <w:rsid w:val="00CE6834"/>
    <w:rsid w:val="00CE6A0D"/>
    <w:rsid w:val="00CE7C45"/>
    <w:rsid w:val="00CE7E2A"/>
    <w:rsid w:val="00CF077B"/>
    <w:rsid w:val="00CF090C"/>
    <w:rsid w:val="00CF1089"/>
    <w:rsid w:val="00CF1158"/>
    <w:rsid w:val="00CF167B"/>
    <w:rsid w:val="00CF1707"/>
    <w:rsid w:val="00CF18F6"/>
    <w:rsid w:val="00CF1A2D"/>
    <w:rsid w:val="00CF1C10"/>
    <w:rsid w:val="00CF1C24"/>
    <w:rsid w:val="00CF1D0C"/>
    <w:rsid w:val="00CF2121"/>
    <w:rsid w:val="00CF21E9"/>
    <w:rsid w:val="00CF27C2"/>
    <w:rsid w:val="00CF2913"/>
    <w:rsid w:val="00CF2972"/>
    <w:rsid w:val="00CF2AAB"/>
    <w:rsid w:val="00CF2C60"/>
    <w:rsid w:val="00CF3D18"/>
    <w:rsid w:val="00CF433F"/>
    <w:rsid w:val="00CF439F"/>
    <w:rsid w:val="00CF4545"/>
    <w:rsid w:val="00CF4614"/>
    <w:rsid w:val="00CF4615"/>
    <w:rsid w:val="00CF4CB8"/>
    <w:rsid w:val="00CF53CB"/>
    <w:rsid w:val="00CF53DB"/>
    <w:rsid w:val="00CF5470"/>
    <w:rsid w:val="00CF5638"/>
    <w:rsid w:val="00CF5A9A"/>
    <w:rsid w:val="00CF7017"/>
    <w:rsid w:val="00CF7120"/>
    <w:rsid w:val="00CF724C"/>
    <w:rsid w:val="00CF7790"/>
    <w:rsid w:val="00CF78A2"/>
    <w:rsid w:val="00CF7B01"/>
    <w:rsid w:val="00CF7C54"/>
    <w:rsid w:val="00CF7FE6"/>
    <w:rsid w:val="00D00042"/>
    <w:rsid w:val="00D001B4"/>
    <w:rsid w:val="00D00219"/>
    <w:rsid w:val="00D003B7"/>
    <w:rsid w:val="00D008E7"/>
    <w:rsid w:val="00D00E36"/>
    <w:rsid w:val="00D01412"/>
    <w:rsid w:val="00D01620"/>
    <w:rsid w:val="00D01694"/>
    <w:rsid w:val="00D01C17"/>
    <w:rsid w:val="00D01D76"/>
    <w:rsid w:val="00D01FC0"/>
    <w:rsid w:val="00D022ED"/>
    <w:rsid w:val="00D02445"/>
    <w:rsid w:val="00D026A3"/>
    <w:rsid w:val="00D028CA"/>
    <w:rsid w:val="00D02AC0"/>
    <w:rsid w:val="00D02E68"/>
    <w:rsid w:val="00D02EEA"/>
    <w:rsid w:val="00D02F4F"/>
    <w:rsid w:val="00D03779"/>
    <w:rsid w:val="00D039F3"/>
    <w:rsid w:val="00D047E2"/>
    <w:rsid w:val="00D049C6"/>
    <w:rsid w:val="00D04A64"/>
    <w:rsid w:val="00D04AA2"/>
    <w:rsid w:val="00D04CB3"/>
    <w:rsid w:val="00D04FAB"/>
    <w:rsid w:val="00D053C0"/>
    <w:rsid w:val="00D05812"/>
    <w:rsid w:val="00D058B1"/>
    <w:rsid w:val="00D05DA5"/>
    <w:rsid w:val="00D05EB3"/>
    <w:rsid w:val="00D06014"/>
    <w:rsid w:val="00D062E5"/>
    <w:rsid w:val="00D06485"/>
    <w:rsid w:val="00D07142"/>
    <w:rsid w:val="00D07411"/>
    <w:rsid w:val="00D07C20"/>
    <w:rsid w:val="00D104DE"/>
    <w:rsid w:val="00D1072E"/>
    <w:rsid w:val="00D1099F"/>
    <w:rsid w:val="00D10C1B"/>
    <w:rsid w:val="00D1167E"/>
    <w:rsid w:val="00D11B83"/>
    <w:rsid w:val="00D12218"/>
    <w:rsid w:val="00D125A3"/>
    <w:rsid w:val="00D13278"/>
    <w:rsid w:val="00D13349"/>
    <w:rsid w:val="00D13510"/>
    <w:rsid w:val="00D135B3"/>
    <w:rsid w:val="00D136D2"/>
    <w:rsid w:val="00D13BA0"/>
    <w:rsid w:val="00D14546"/>
    <w:rsid w:val="00D14577"/>
    <w:rsid w:val="00D145F0"/>
    <w:rsid w:val="00D14E59"/>
    <w:rsid w:val="00D15139"/>
    <w:rsid w:val="00D159ED"/>
    <w:rsid w:val="00D16D4D"/>
    <w:rsid w:val="00D170BB"/>
    <w:rsid w:val="00D17A7F"/>
    <w:rsid w:val="00D17CAA"/>
    <w:rsid w:val="00D17F21"/>
    <w:rsid w:val="00D17FC1"/>
    <w:rsid w:val="00D20031"/>
    <w:rsid w:val="00D20046"/>
    <w:rsid w:val="00D20A5D"/>
    <w:rsid w:val="00D21FA6"/>
    <w:rsid w:val="00D22005"/>
    <w:rsid w:val="00D221A8"/>
    <w:rsid w:val="00D222A2"/>
    <w:rsid w:val="00D222DB"/>
    <w:rsid w:val="00D22631"/>
    <w:rsid w:val="00D23374"/>
    <w:rsid w:val="00D233FC"/>
    <w:rsid w:val="00D23AB3"/>
    <w:rsid w:val="00D23C2C"/>
    <w:rsid w:val="00D249D8"/>
    <w:rsid w:val="00D25553"/>
    <w:rsid w:val="00D255FE"/>
    <w:rsid w:val="00D25C84"/>
    <w:rsid w:val="00D25D94"/>
    <w:rsid w:val="00D265D6"/>
    <w:rsid w:val="00D26698"/>
    <w:rsid w:val="00D26D01"/>
    <w:rsid w:val="00D26D83"/>
    <w:rsid w:val="00D26F2C"/>
    <w:rsid w:val="00D270EE"/>
    <w:rsid w:val="00D272F9"/>
    <w:rsid w:val="00D27413"/>
    <w:rsid w:val="00D27984"/>
    <w:rsid w:val="00D27D47"/>
    <w:rsid w:val="00D3045B"/>
    <w:rsid w:val="00D304F0"/>
    <w:rsid w:val="00D305F9"/>
    <w:rsid w:val="00D30CE3"/>
    <w:rsid w:val="00D312B2"/>
    <w:rsid w:val="00D312C0"/>
    <w:rsid w:val="00D313B3"/>
    <w:rsid w:val="00D31FF1"/>
    <w:rsid w:val="00D32029"/>
    <w:rsid w:val="00D32445"/>
    <w:rsid w:val="00D3260F"/>
    <w:rsid w:val="00D326DC"/>
    <w:rsid w:val="00D3292B"/>
    <w:rsid w:val="00D32B61"/>
    <w:rsid w:val="00D33088"/>
    <w:rsid w:val="00D33B5A"/>
    <w:rsid w:val="00D33B8B"/>
    <w:rsid w:val="00D33DF3"/>
    <w:rsid w:val="00D33F02"/>
    <w:rsid w:val="00D33F1D"/>
    <w:rsid w:val="00D340D6"/>
    <w:rsid w:val="00D3454E"/>
    <w:rsid w:val="00D34B4D"/>
    <w:rsid w:val="00D34B7C"/>
    <w:rsid w:val="00D34C65"/>
    <w:rsid w:val="00D35063"/>
    <w:rsid w:val="00D358D2"/>
    <w:rsid w:val="00D358F7"/>
    <w:rsid w:val="00D359EF"/>
    <w:rsid w:val="00D35F83"/>
    <w:rsid w:val="00D36123"/>
    <w:rsid w:val="00D36376"/>
    <w:rsid w:val="00D36456"/>
    <w:rsid w:val="00D36661"/>
    <w:rsid w:val="00D366D3"/>
    <w:rsid w:val="00D367B1"/>
    <w:rsid w:val="00D36E67"/>
    <w:rsid w:val="00D36F7E"/>
    <w:rsid w:val="00D370ED"/>
    <w:rsid w:val="00D37224"/>
    <w:rsid w:val="00D3763F"/>
    <w:rsid w:val="00D37729"/>
    <w:rsid w:val="00D379A6"/>
    <w:rsid w:val="00D37EF5"/>
    <w:rsid w:val="00D407CA"/>
    <w:rsid w:val="00D40D40"/>
    <w:rsid w:val="00D4121D"/>
    <w:rsid w:val="00D417AD"/>
    <w:rsid w:val="00D4184F"/>
    <w:rsid w:val="00D418D4"/>
    <w:rsid w:val="00D419C9"/>
    <w:rsid w:val="00D41DFF"/>
    <w:rsid w:val="00D41ED3"/>
    <w:rsid w:val="00D41F26"/>
    <w:rsid w:val="00D423D6"/>
    <w:rsid w:val="00D428B9"/>
    <w:rsid w:val="00D43246"/>
    <w:rsid w:val="00D4361F"/>
    <w:rsid w:val="00D43AA4"/>
    <w:rsid w:val="00D43C43"/>
    <w:rsid w:val="00D43D49"/>
    <w:rsid w:val="00D44143"/>
    <w:rsid w:val="00D442EA"/>
    <w:rsid w:val="00D44BA8"/>
    <w:rsid w:val="00D44CD3"/>
    <w:rsid w:val="00D4505D"/>
    <w:rsid w:val="00D45338"/>
    <w:rsid w:val="00D453BC"/>
    <w:rsid w:val="00D45639"/>
    <w:rsid w:val="00D45750"/>
    <w:rsid w:val="00D457EA"/>
    <w:rsid w:val="00D45AE6"/>
    <w:rsid w:val="00D45C42"/>
    <w:rsid w:val="00D4621E"/>
    <w:rsid w:val="00D4684A"/>
    <w:rsid w:val="00D472F6"/>
    <w:rsid w:val="00D473E9"/>
    <w:rsid w:val="00D47627"/>
    <w:rsid w:val="00D50BD8"/>
    <w:rsid w:val="00D50DDB"/>
    <w:rsid w:val="00D510E8"/>
    <w:rsid w:val="00D5133B"/>
    <w:rsid w:val="00D515BD"/>
    <w:rsid w:val="00D5165C"/>
    <w:rsid w:val="00D5177E"/>
    <w:rsid w:val="00D521DE"/>
    <w:rsid w:val="00D52820"/>
    <w:rsid w:val="00D52BE1"/>
    <w:rsid w:val="00D52DC4"/>
    <w:rsid w:val="00D52E54"/>
    <w:rsid w:val="00D52F4C"/>
    <w:rsid w:val="00D52FF5"/>
    <w:rsid w:val="00D53475"/>
    <w:rsid w:val="00D53545"/>
    <w:rsid w:val="00D538BA"/>
    <w:rsid w:val="00D53CCC"/>
    <w:rsid w:val="00D54150"/>
    <w:rsid w:val="00D54826"/>
    <w:rsid w:val="00D54841"/>
    <w:rsid w:val="00D54F81"/>
    <w:rsid w:val="00D5516C"/>
    <w:rsid w:val="00D55173"/>
    <w:rsid w:val="00D5529B"/>
    <w:rsid w:val="00D55390"/>
    <w:rsid w:val="00D553C4"/>
    <w:rsid w:val="00D5553B"/>
    <w:rsid w:val="00D55E37"/>
    <w:rsid w:val="00D5611B"/>
    <w:rsid w:val="00D5658E"/>
    <w:rsid w:val="00D565E6"/>
    <w:rsid w:val="00D568B6"/>
    <w:rsid w:val="00D56994"/>
    <w:rsid w:val="00D56BF2"/>
    <w:rsid w:val="00D56D8F"/>
    <w:rsid w:val="00D56DFA"/>
    <w:rsid w:val="00D57CA0"/>
    <w:rsid w:val="00D57F85"/>
    <w:rsid w:val="00D60238"/>
    <w:rsid w:val="00D60966"/>
    <w:rsid w:val="00D60DCC"/>
    <w:rsid w:val="00D60E22"/>
    <w:rsid w:val="00D60EAA"/>
    <w:rsid w:val="00D60F75"/>
    <w:rsid w:val="00D610B4"/>
    <w:rsid w:val="00D61159"/>
    <w:rsid w:val="00D61165"/>
    <w:rsid w:val="00D611B3"/>
    <w:rsid w:val="00D6123B"/>
    <w:rsid w:val="00D61302"/>
    <w:rsid w:val="00D61A7B"/>
    <w:rsid w:val="00D61CE2"/>
    <w:rsid w:val="00D62273"/>
    <w:rsid w:val="00D62379"/>
    <w:rsid w:val="00D62EEA"/>
    <w:rsid w:val="00D62F30"/>
    <w:rsid w:val="00D62F4D"/>
    <w:rsid w:val="00D6351D"/>
    <w:rsid w:val="00D636AB"/>
    <w:rsid w:val="00D6380F"/>
    <w:rsid w:val="00D63A98"/>
    <w:rsid w:val="00D63C48"/>
    <w:rsid w:val="00D64058"/>
    <w:rsid w:val="00D646DA"/>
    <w:rsid w:val="00D64906"/>
    <w:rsid w:val="00D652D9"/>
    <w:rsid w:val="00D655EE"/>
    <w:rsid w:val="00D65C9E"/>
    <w:rsid w:val="00D668FD"/>
    <w:rsid w:val="00D66BE8"/>
    <w:rsid w:val="00D6708F"/>
    <w:rsid w:val="00D67103"/>
    <w:rsid w:val="00D67349"/>
    <w:rsid w:val="00D6739F"/>
    <w:rsid w:val="00D67698"/>
    <w:rsid w:val="00D67895"/>
    <w:rsid w:val="00D679F8"/>
    <w:rsid w:val="00D67D92"/>
    <w:rsid w:val="00D67DBF"/>
    <w:rsid w:val="00D70232"/>
    <w:rsid w:val="00D7035A"/>
    <w:rsid w:val="00D704DB"/>
    <w:rsid w:val="00D7069C"/>
    <w:rsid w:val="00D70A58"/>
    <w:rsid w:val="00D70CBE"/>
    <w:rsid w:val="00D70DDA"/>
    <w:rsid w:val="00D71492"/>
    <w:rsid w:val="00D71B37"/>
    <w:rsid w:val="00D71FA0"/>
    <w:rsid w:val="00D71FBF"/>
    <w:rsid w:val="00D7253F"/>
    <w:rsid w:val="00D72D93"/>
    <w:rsid w:val="00D72DCE"/>
    <w:rsid w:val="00D72ED2"/>
    <w:rsid w:val="00D7315B"/>
    <w:rsid w:val="00D73846"/>
    <w:rsid w:val="00D73876"/>
    <w:rsid w:val="00D73A61"/>
    <w:rsid w:val="00D73AD9"/>
    <w:rsid w:val="00D73BC1"/>
    <w:rsid w:val="00D73D4F"/>
    <w:rsid w:val="00D7490D"/>
    <w:rsid w:val="00D749C9"/>
    <w:rsid w:val="00D749D2"/>
    <w:rsid w:val="00D74D76"/>
    <w:rsid w:val="00D758EB"/>
    <w:rsid w:val="00D75FA7"/>
    <w:rsid w:val="00D7689C"/>
    <w:rsid w:val="00D770D4"/>
    <w:rsid w:val="00D77B20"/>
    <w:rsid w:val="00D77E32"/>
    <w:rsid w:val="00D80641"/>
    <w:rsid w:val="00D809C5"/>
    <w:rsid w:val="00D80BF3"/>
    <w:rsid w:val="00D80C29"/>
    <w:rsid w:val="00D80C6F"/>
    <w:rsid w:val="00D80FA8"/>
    <w:rsid w:val="00D8109D"/>
    <w:rsid w:val="00D8158A"/>
    <w:rsid w:val="00D816A2"/>
    <w:rsid w:val="00D81BAB"/>
    <w:rsid w:val="00D81BBE"/>
    <w:rsid w:val="00D81EA0"/>
    <w:rsid w:val="00D81F8C"/>
    <w:rsid w:val="00D820F7"/>
    <w:rsid w:val="00D822B0"/>
    <w:rsid w:val="00D824D3"/>
    <w:rsid w:val="00D82CEC"/>
    <w:rsid w:val="00D82EEE"/>
    <w:rsid w:val="00D8316D"/>
    <w:rsid w:val="00D831A0"/>
    <w:rsid w:val="00D83757"/>
    <w:rsid w:val="00D838BD"/>
    <w:rsid w:val="00D83B51"/>
    <w:rsid w:val="00D83C4A"/>
    <w:rsid w:val="00D83EEE"/>
    <w:rsid w:val="00D84695"/>
    <w:rsid w:val="00D84ECA"/>
    <w:rsid w:val="00D85079"/>
    <w:rsid w:val="00D850A1"/>
    <w:rsid w:val="00D8525E"/>
    <w:rsid w:val="00D855D5"/>
    <w:rsid w:val="00D85F92"/>
    <w:rsid w:val="00D860D0"/>
    <w:rsid w:val="00D8612E"/>
    <w:rsid w:val="00D86333"/>
    <w:rsid w:val="00D86716"/>
    <w:rsid w:val="00D86DA1"/>
    <w:rsid w:val="00D87447"/>
    <w:rsid w:val="00D87C98"/>
    <w:rsid w:val="00D9041B"/>
    <w:rsid w:val="00D90DBB"/>
    <w:rsid w:val="00D90FE1"/>
    <w:rsid w:val="00D9119C"/>
    <w:rsid w:val="00D91353"/>
    <w:rsid w:val="00D91381"/>
    <w:rsid w:val="00D9141D"/>
    <w:rsid w:val="00D91BB0"/>
    <w:rsid w:val="00D92034"/>
    <w:rsid w:val="00D920A9"/>
    <w:rsid w:val="00D922B0"/>
    <w:rsid w:val="00D92CDC"/>
    <w:rsid w:val="00D93095"/>
    <w:rsid w:val="00D933CA"/>
    <w:rsid w:val="00D93445"/>
    <w:rsid w:val="00D93A07"/>
    <w:rsid w:val="00D9412F"/>
    <w:rsid w:val="00D9429A"/>
    <w:rsid w:val="00D946C9"/>
    <w:rsid w:val="00D94BB0"/>
    <w:rsid w:val="00D94CF3"/>
    <w:rsid w:val="00D95274"/>
    <w:rsid w:val="00D95515"/>
    <w:rsid w:val="00D95771"/>
    <w:rsid w:val="00D95A30"/>
    <w:rsid w:val="00D96233"/>
    <w:rsid w:val="00D966B1"/>
    <w:rsid w:val="00D967A8"/>
    <w:rsid w:val="00D97A87"/>
    <w:rsid w:val="00D97CAA"/>
    <w:rsid w:val="00D97FEC"/>
    <w:rsid w:val="00DA002C"/>
    <w:rsid w:val="00DA058E"/>
    <w:rsid w:val="00DA0C49"/>
    <w:rsid w:val="00DA0D1E"/>
    <w:rsid w:val="00DA1295"/>
    <w:rsid w:val="00DA12BC"/>
    <w:rsid w:val="00DA17E6"/>
    <w:rsid w:val="00DA28BB"/>
    <w:rsid w:val="00DA2E50"/>
    <w:rsid w:val="00DA386B"/>
    <w:rsid w:val="00DA387A"/>
    <w:rsid w:val="00DA38BA"/>
    <w:rsid w:val="00DA39E6"/>
    <w:rsid w:val="00DA3AF6"/>
    <w:rsid w:val="00DA3C12"/>
    <w:rsid w:val="00DA3F41"/>
    <w:rsid w:val="00DA4098"/>
    <w:rsid w:val="00DA4871"/>
    <w:rsid w:val="00DA4894"/>
    <w:rsid w:val="00DA49BA"/>
    <w:rsid w:val="00DA4C4D"/>
    <w:rsid w:val="00DA512C"/>
    <w:rsid w:val="00DA53F3"/>
    <w:rsid w:val="00DA587D"/>
    <w:rsid w:val="00DA61F2"/>
    <w:rsid w:val="00DA6606"/>
    <w:rsid w:val="00DA6673"/>
    <w:rsid w:val="00DA6765"/>
    <w:rsid w:val="00DA6769"/>
    <w:rsid w:val="00DA693F"/>
    <w:rsid w:val="00DA6A31"/>
    <w:rsid w:val="00DA6B29"/>
    <w:rsid w:val="00DA6B9E"/>
    <w:rsid w:val="00DA74C7"/>
    <w:rsid w:val="00DA7673"/>
    <w:rsid w:val="00DA76E6"/>
    <w:rsid w:val="00DA7F44"/>
    <w:rsid w:val="00DB003C"/>
    <w:rsid w:val="00DB046C"/>
    <w:rsid w:val="00DB0B7B"/>
    <w:rsid w:val="00DB10E8"/>
    <w:rsid w:val="00DB1936"/>
    <w:rsid w:val="00DB1D37"/>
    <w:rsid w:val="00DB1E91"/>
    <w:rsid w:val="00DB1EB7"/>
    <w:rsid w:val="00DB21FE"/>
    <w:rsid w:val="00DB286A"/>
    <w:rsid w:val="00DB3FA0"/>
    <w:rsid w:val="00DB406F"/>
    <w:rsid w:val="00DB4410"/>
    <w:rsid w:val="00DB466E"/>
    <w:rsid w:val="00DB4A54"/>
    <w:rsid w:val="00DB4F8B"/>
    <w:rsid w:val="00DB4FFA"/>
    <w:rsid w:val="00DB500C"/>
    <w:rsid w:val="00DB5117"/>
    <w:rsid w:val="00DB594B"/>
    <w:rsid w:val="00DB5CB9"/>
    <w:rsid w:val="00DB6031"/>
    <w:rsid w:val="00DB60C3"/>
    <w:rsid w:val="00DB611A"/>
    <w:rsid w:val="00DB634E"/>
    <w:rsid w:val="00DB658C"/>
    <w:rsid w:val="00DB664A"/>
    <w:rsid w:val="00DB6740"/>
    <w:rsid w:val="00DB6846"/>
    <w:rsid w:val="00DB7153"/>
    <w:rsid w:val="00DB7463"/>
    <w:rsid w:val="00DB7530"/>
    <w:rsid w:val="00DB7F21"/>
    <w:rsid w:val="00DC01A2"/>
    <w:rsid w:val="00DC054C"/>
    <w:rsid w:val="00DC0D21"/>
    <w:rsid w:val="00DC110D"/>
    <w:rsid w:val="00DC14AF"/>
    <w:rsid w:val="00DC1516"/>
    <w:rsid w:val="00DC1720"/>
    <w:rsid w:val="00DC1823"/>
    <w:rsid w:val="00DC1DFE"/>
    <w:rsid w:val="00DC2615"/>
    <w:rsid w:val="00DC26BE"/>
    <w:rsid w:val="00DC3459"/>
    <w:rsid w:val="00DC346A"/>
    <w:rsid w:val="00DC3515"/>
    <w:rsid w:val="00DC3633"/>
    <w:rsid w:val="00DC39E3"/>
    <w:rsid w:val="00DC3AE1"/>
    <w:rsid w:val="00DC3CD1"/>
    <w:rsid w:val="00DC3DA5"/>
    <w:rsid w:val="00DC4108"/>
    <w:rsid w:val="00DC4998"/>
    <w:rsid w:val="00DC4A93"/>
    <w:rsid w:val="00DC4B16"/>
    <w:rsid w:val="00DC4EC7"/>
    <w:rsid w:val="00DC4F64"/>
    <w:rsid w:val="00DC50C5"/>
    <w:rsid w:val="00DC51F1"/>
    <w:rsid w:val="00DC52BD"/>
    <w:rsid w:val="00DC57E3"/>
    <w:rsid w:val="00DC5841"/>
    <w:rsid w:val="00DC6018"/>
    <w:rsid w:val="00DC6417"/>
    <w:rsid w:val="00DC64A7"/>
    <w:rsid w:val="00DC6644"/>
    <w:rsid w:val="00DC6D63"/>
    <w:rsid w:val="00DC716C"/>
    <w:rsid w:val="00DC747E"/>
    <w:rsid w:val="00DC749E"/>
    <w:rsid w:val="00DC7D50"/>
    <w:rsid w:val="00DD02F2"/>
    <w:rsid w:val="00DD080E"/>
    <w:rsid w:val="00DD08EA"/>
    <w:rsid w:val="00DD0953"/>
    <w:rsid w:val="00DD0A8C"/>
    <w:rsid w:val="00DD15A9"/>
    <w:rsid w:val="00DD1775"/>
    <w:rsid w:val="00DD1814"/>
    <w:rsid w:val="00DD1A1F"/>
    <w:rsid w:val="00DD1A6A"/>
    <w:rsid w:val="00DD1A95"/>
    <w:rsid w:val="00DD21A0"/>
    <w:rsid w:val="00DD2981"/>
    <w:rsid w:val="00DD29F8"/>
    <w:rsid w:val="00DD2C81"/>
    <w:rsid w:val="00DD3147"/>
    <w:rsid w:val="00DD3371"/>
    <w:rsid w:val="00DD37B4"/>
    <w:rsid w:val="00DD3E62"/>
    <w:rsid w:val="00DD3EA2"/>
    <w:rsid w:val="00DD3F41"/>
    <w:rsid w:val="00DD4A3A"/>
    <w:rsid w:val="00DD4E46"/>
    <w:rsid w:val="00DD4FF1"/>
    <w:rsid w:val="00DD5116"/>
    <w:rsid w:val="00DD6038"/>
    <w:rsid w:val="00DD641B"/>
    <w:rsid w:val="00DD654D"/>
    <w:rsid w:val="00DD65AD"/>
    <w:rsid w:val="00DD673B"/>
    <w:rsid w:val="00DD6A91"/>
    <w:rsid w:val="00DD6C68"/>
    <w:rsid w:val="00DD7395"/>
    <w:rsid w:val="00DD7C06"/>
    <w:rsid w:val="00DD7EFF"/>
    <w:rsid w:val="00DE0214"/>
    <w:rsid w:val="00DE031A"/>
    <w:rsid w:val="00DE05DE"/>
    <w:rsid w:val="00DE0650"/>
    <w:rsid w:val="00DE0D02"/>
    <w:rsid w:val="00DE0EEE"/>
    <w:rsid w:val="00DE143B"/>
    <w:rsid w:val="00DE19F2"/>
    <w:rsid w:val="00DE1F02"/>
    <w:rsid w:val="00DE2413"/>
    <w:rsid w:val="00DE2496"/>
    <w:rsid w:val="00DE2864"/>
    <w:rsid w:val="00DE2FC1"/>
    <w:rsid w:val="00DE39DB"/>
    <w:rsid w:val="00DE3A3B"/>
    <w:rsid w:val="00DE3B47"/>
    <w:rsid w:val="00DE3E88"/>
    <w:rsid w:val="00DE493D"/>
    <w:rsid w:val="00DE4DD5"/>
    <w:rsid w:val="00DE4E54"/>
    <w:rsid w:val="00DE5B7B"/>
    <w:rsid w:val="00DE5C10"/>
    <w:rsid w:val="00DE60AE"/>
    <w:rsid w:val="00DE62F2"/>
    <w:rsid w:val="00DE63AA"/>
    <w:rsid w:val="00DE66D9"/>
    <w:rsid w:val="00DE6F79"/>
    <w:rsid w:val="00DE7099"/>
    <w:rsid w:val="00DE728D"/>
    <w:rsid w:val="00DE74A4"/>
    <w:rsid w:val="00DE764E"/>
    <w:rsid w:val="00DE7946"/>
    <w:rsid w:val="00DF0FAA"/>
    <w:rsid w:val="00DF1034"/>
    <w:rsid w:val="00DF1B87"/>
    <w:rsid w:val="00DF1CB2"/>
    <w:rsid w:val="00DF20B6"/>
    <w:rsid w:val="00DF219F"/>
    <w:rsid w:val="00DF2568"/>
    <w:rsid w:val="00DF2A1C"/>
    <w:rsid w:val="00DF2A2F"/>
    <w:rsid w:val="00DF2B76"/>
    <w:rsid w:val="00DF3157"/>
    <w:rsid w:val="00DF341B"/>
    <w:rsid w:val="00DF3832"/>
    <w:rsid w:val="00DF39E9"/>
    <w:rsid w:val="00DF3BDE"/>
    <w:rsid w:val="00DF3C01"/>
    <w:rsid w:val="00DF3EF7"/>
    <w:rsid w:val="00DF431B"/>
    <w:rsid w:val="00DF4524"/>
    <w:rsid w:val="00DF46F9"/>
    <w:rsid w:val="00DF4775"/>
    <w:rsid w:val="00DF4A63"/>
    <w:rsid w:val="00DF54A5"/>
    <w:rsid w:val="00DF5BDC"/>
    <w:rsid w:val="00DF5DAC"/>
    <w:rsid w:val="00DF5E49"/>
    <w:rsid w:val="00DF67E8"/>
    <w:rsid w:val="00DF6978"/>
    <w:rsid w:val="00DF6CC4"/>
    <w:rsid w:val="00DF70F3"/>
    <w:rsid w:val="00DF74D9"/>
    <w:rsid w:val="00DF7BA6"/>
    <w:rsid w:val="00E00F79"/>
    <w:rsid w:val="00E01406"/>
    <w:rsid w:val="00E016A3"/>
    <w:rsid w:val="00E0174B"/>
    <w:rsid w:val="00E01881"/>
    <w:rsid w:val="00E01B6D"/>
    <w:rsid w:val="00E01BE8"/>
    <w:rsid w:val="00E01E3B"/>
    <w:rsid w:val="00E02353"/>
    <w:rsid w:val="00E02467"/>
    <w:rsid w:val="00E0316E"/>
    <w:rsid w:val="00E0360B"/>
    <w:rsid w:val="00E03A96"/>
    <w:rsid w:val="00E03DE9"/>
    <w:rsid w:val="00E03EFD"/>
    <w:rsid w:val="00E043CF"/>
    <w:rsid w:val="00E044E9"/>
    <w:rsid w:val="00E049E9"/>
    <w:rsid w:val="00E04A10"/>
    <w:rsid w:val="00E04D70"/>
    <w:rsid w:val="00E05353"/>
    <w:rsid w:val="00E058AD"/>
    <w:rsid w:val="00E05D56"/>
    <w:rsid w:val="00E061CC"/>
    <w:rsid w:val="00E0685A"/>
    <w:rsid w:val="00E06C5A"/>
    <w:rsid w:val="00E07454"/>
    <w:rsid w:val="00E076F3"/>
    <w:rsid w:val="00E079B8"/>
    <w:rsid w:val="00E07A76"/>
    <w:rsid w:val="00E07C60"/>
    <w:rsid w:val="00E07D3D"/>
    <w:rsid w:val="00E07DBF"/>
    <w:rsid w:val="00E102F7"/>
    <w:rsid w:val="00E104F1"/>
    <w:rsid w:val="00E105A9"/>
    <w:rsid w:val="00E10925"/>
    <w:rsid w:val="00E10D0E"/>
    <w:rsid w:val="00E110E2"/>
    <w:rsid w:val="00E114F0"/>
    <w:rsid w:val="00E119BC"/>
    <w:rsid w:val="00E12420"/>
    <w:rsid w:val="00E124B8"/>
    <w:rsid w:val="00E12C97"/>
    <w:rsid w:val="00E12E59"/>
    <w:rsid w:val="00E12EC8"/>
    <w:rsid w:val="00E135F6"/>
    <w:rsid w:val="00E1371A"/>
    <w:rsid w:val="00E13EC5"/>
    <w:rsid w:val="00E13FD5"/>
    <w:rsid w:val="00E14376"/>
    <w:rsid w:val="00E145FE"/>
    <w:rsid w:val="00E14979"/>
    <w:rsid w:val="00E14D69"/>
    <w:rsid w:val="00E14D83"/>
    <w:rsid w:val="00E15056"/>
    <w:rsid w:val="00E156F9"/>
    <w:rsid w:val="00E15DB1"/>
    <w:rsid w:val="00E165F3"/>
    <w:rsid w:val="00E16802"/>
    <w:rsid w:val="00E1686D"/>
    <w:rsid w:val="00E16E77"/>
    <w:rsid w:val="00E16F97"/>
    <w:rsid w:val="00E170DC"/>
    <w:rsid w:val="00E17552"/>
    <w:rsid w:val="00E17A3D"/>
    <w:rsid w:val="00E17C08"/>
    <w:rsid w:val="00E17C16"/>
    <w:rsid w:val="00E17C3B"/>
    <w:rsid w:val="00E200AE"/>
    <w:rsid w:val="00E20756"/>
    <w:rsid w:val="00E208DB"/>
    <w:rsid w:val="00E20DB1"/>
    <w:rsid w:val="00E20F8E"/>
    <w:rsid w:val="00E210B4"/>
    <w:rsid w:val="00E2135A"/>
    <w:rsid w:val="00E21B03"/>
    <w:rsid w:val="00E21C9A"/>
    <w:rsid w:val="00E2203E"/>
    <w:rsid w:val="00E22445"/>
    <w:rsid w:val="00E22644"/>
    <w:rsid w:val="00E227C7"/>
    <w:rsid w:val="00E228ED"/>
    <w:rsid w:val="00E22985"/>
    <w:rsid w:val="00E22C90"/>
    <w:rsid w:val="00E2352A"/>
    <w:rsid w:val="00E2394A"/>
    <w:rsid w:val="00E2395D"/>
    <w:rsid w:val="00E239A1"/>
    <w:rsid w:val="00E23AAB"/>
    <w:rsid w:val="00E23FEB"/>
    <w:rsid w:val="00E24C0F"/>
    <w:rsid w:val="00E24F70"/>
    <w:rsid w:val="00E25A7C"/>
    <w:rsid w:val="00E260A3"/>
    <w:rsid w:val="00E26320"/>
    <w:rsid w:val="00E26369"/>
    <w:rsid w:val="00E26535"/>
    <w:rsid w:val="00E2687F"/>
    <w:rsid w:val="00E26D0E"/>
    <w:rsid w:val="00E26D15"/>
    <w:rsid w:val="00E273C6"/>
    <w:rsid w:val="00E27DDB"/>
    <w:rsid w:val="00E27DF9"/>
    <w:rsid w:val="00E301A4"/>
    <w:rsid w:val="00E30285"/>
    <w:rsid w:val="00E3052F"/>
    <w:rsid w:val="00E30BDE"/>
    <w:rsid w:val="00E31004"/>
    <w:rsid w:val="00E312D1"/>
    <w:rsid w:val="00E31702"/>
    <w:rsid w:val="00E31B75"/>
    <w:rsid w:val="00E31F86"/>
    <w:rsid w:val="00E3242E"/>
    <w:rsid w:val="00E327DC"/>
    <w:rsid w:val="00E3299B"/>
    <w:rsid w:val="00E32A48"/>
    <w:rsid w:val="00E32B7D"/>
    <w:rsid w:val="00E32CB4"/>
    <w:rsid w:val="00E32D83"/>
    <w:rsid w:val="00E330C9"/>
    <w:rsid w:val="00E331A7"/>
    <w:rsid w:val="00E3330E"/>
    <w:rsid w:val="00E3351F"/>
    <w:rsid w:val="00E33992"/>
    <w:rsid w:val="00E33AD3"/>
    <w:rsid w:val="00E344F5"/>
    <w:rsid w:val="00E34C76"/>
    <w:rsid w:val="00E34EC1"/>
    <w:rsid w:val="00E35804"/>
    <w:rsid w:val="00E35B5A"/>
    <w:rsid w:val="00E35C84"/>
    <w:rsid w:val="00E35F65"/>
    <w:rsid w:val="00E36097"/>
    <w:rsid w:val="00E3617D"/>
    <w:rsid w:val="00E36371"/>
    <w:rsid w:val="00E3678C"/>
    <w:rsid w:val="00E36AF2"/>
    <w:rsid w:val="00E36B63"/>
    <w:rsid w:val="00E37A37"/>
    <w:rsid w:val="00E37BA6"/>
    <w:rsid w:val="00E37EF9"/>
    <w:rsid w:val="00E400B7"/>
    <w:rsid w:val="00E40493"/>
    <w:rsid w:val="00E40996"/>
    <w:rsid w:val="00E40AD0"/>
    <w:rsid w:val="00E40D6A"/>
    <w:rsid w:val="00E40DAE"/>
    <w:rsid w:val="00E40F62"/>
    <w:rsid w:val="00E41462"/>
    <w:rsid w:val="00E4177D"/>
    <w:rsid w:val="00E41C45"/>
    <w:rsid w:val="00E425EA"/>
    <w:rsid w:val="00E4268F"/>
    <w:rsid w:val="00E42789"/>
    <w:rsid w:val="00E42C95"/>
    <w:rsid w:val="00E42E7F"/>
    <w:rsid w:val="00E4323B"/>
    <w:rsid w:val="00E43249"/>
    <w:rsid w:val="00E436A2"/>
    <w:rsid w:val="00E43FD7"/>
    <w:rsid w:val="00E4472B"/>
    <w:rsid w:val="00E44A0A"/>
    <w:rsid w:val="00E44B16"/>
    <w:rsid w:val="00E44F21"/>
    <w:rsid w:val="00E44F51"/>
    <w:rsid w:val="00E45225"/>
    <w:rsid w:val="00E4522D"/>
    <w:rsid w:val="00E4538D"/>
    <w:rsid w:val="00E45784"/>
    <w:rsid w:val="00E458D8"/>
    <w:rsid w:val="00E46019"/>
    <w:rsid w:val="00E4605E"/>
    <w:rsid w:val="00E4615F"/>
    <w:rsid w:val="00E46216"/>
    <w:rsid w:val="00E4650D"/>
    <w:rsid w:val="00E46521"/>
    <w:rsid w:val="00E47680"/>
    <w:rsid w:val="00E47A9E"/>
    <w:rsid w:val="00E47E52"/>
    <w:rsid w:val="00E50331"/>
    <w:rsid w:val="00E504D6"/>
    <w:rsid w:val="00E508EC"/>
    <w:rsid w:val="00E50A4C"/>
    <w:rsid w:val="00E517C4"/>
    <w:rsid w:val="00E518A7"/>
    <w:rsid w:val="00E51C5D"/>
    <w:rsid w:val="00E51F34"/>
    <w:rsid w:val="00E51F7E"/>
    <w:rsid w:val="00E52080"/>
    <w:rsid w:val="00E520BE"/>
    <w:rsid w:val="00E52223"/>
    <w:rsid w:val="00E52226"/>
    <w:rsid w:val="00E524EB"/>
    <w:rsid w:val="00E52600"/>
    <w:rsid w:val="00E526B4"/>
    <w:rsid w:val="00E529F5"/>
    <w:rsid w:val="00E52D10"/>
    <w:rsid w:val="00E52E6D"/>
    <w:rsid w:val="00E53495"/>
    <w:rsid w:val="00E5356B"/>
    <w:rsid w:val="00E5392E"/>
    <w:rsid w:val="00E53D37"/>
    <w:rsid w:val="00E53E00"/>
    <w:rsid w:val="00E54181"/>
    <w:rsid w:val="00E54221"/>
    <w:rsid w:val="00E54261"/>
    <w:rsid w:val="00E54744"/>
    <w:rsid w:val="00E54B1B"/>
    <w:rsid w:val="00E54D47"/>
    <w:rsid w:val="00E54D55"/>
    <w:rsid w:val="00E553CF"/>
    <w:rsid w:val="00E55FF8"/>
    <w:rsid w:val="00E5650A"/>
    <w:rsid w:val="00E566EA"/>
    <w:rsid w:val="00E56C57"/>
    <w:rsid w:val="00E56CE4"/>
    <w:rsid w:val="00E56F21"/>
    <w:rsid w:val="00E56FB1"/>
    <w:rsid w:val="00E5709A"/>
    <w:rsid w:val="00E570F8"/>
    <w:rsid w:val="00E571C0"/>
    <w:rsid w:val="00E5731C"/>
    <w:rsid w:val="00E574EC"/>
    <w:rsid w:val="00E57F9C"/>
    <w:rsid w:val="00E606E5"/>
    <w:rsid w:val="00E607EC"/>
    <w:rsid w:val="00E60C86"/>
    <w:rsid w:val="00E61029"/>
    <w:rsid w:val="00E6132F"/>
    <w:rsid w:val="00E615F9"/>
    <w:rsid w:val="00E6175A"/>
    <w:rsid w:val="00E618A9"/>
    <w:rsid w:val="00E6193C"/>
    <w:rsid w:val="00E62BC2"/>
    <w:rsid w:val="00E63007"/>
    <w:rsid w:val="00E634DA"/>
    <w:rsid w:val="00E6359B"/>
    <w:rsid w:val="00E6394E"/>
    <w:rsid w:val="00E63C4B"/>
    <w:rsid w:val="00E63DAA"/>
    <w:rsid w:val="00E641D6"/>
    <w:rsid w:val="00E6420A"/>
    <w:rsid w:val="00E6491E"/>
    <w:rsid w:val="00E64FD1"/>
    <w:rsid w:val="00E655BF"/>
    <w:rsid w:val="00E65AEB"/>
    <w:rsid w:val="00E65E21"/>
    <w:rsid w:val="00E65F57"/>
    <w:rsid w:val="00E65F9F"/>
    <w:rsid w:val="00E6607D"/>
    <w:rsid w:val="00E66893"/>
    <w:rsid w:val="00E668DA"/>
    <w:rsid w:val="00E66C6B"/>
    <w:rsid w:val="00E66CFF"/>
    <w:rsid w:val="00E6724E"/>
    <w:rsid w:val="00E674B8"/>
    <w:rsid w:val="00E67A9E"/>
    <w:rsid w:val="00E67C90"/>
    <w:rsid w:val="00E7034C"/>
    <w:rsid w:val="00E708D0"/>
    <w:rsid w:val="00E715A0"/>
    <w:rsid w:val="00E71704"/>
    <w:rsid w:val="00E718EA"/>
    <w:rsid w:val="00E71BEE"/>
    <w:rsid w:val="00E721BE"/>
    <w:rsid w:val="00E721C2"/>
    <w:rsid w:val="00E7221D"/>
    <w:rsid w:val="00E72287"/>
    <w:rsid w:val="00E72902"/>
    <w:rsid w:val="00E72E9B"/>
    <w:rsid w:val="00E72F62"/>
    <w:rsid w:val="00E7311F"/>
    <w:rsid w:val="00E731FE"/>
    <w:rsid w:val="00E73733"/>
    <w:rsid w:val="00E737DD"/>
    <w:rsid w:val="00E7430F"/>
    <w:rsid w:val="00E7434F"/>
    <w:rsid w:val="00E743B5"/>
    <w:rsid w:val="00E74E23"/>
    <w:rsid w:val="00E750E5"/>
    <w:rsid w:val="00E75520"/>
    <w:rsid w:val="00E7611A"/>
    <w:rsid w:val="00E7615F"/>
    <w:rsid w:val="00E763BA"/>
    <w:rsid w:val="00E76919"/>
    <w:rsid w:val="00E76AE0"/>
    <w:rsid w:val="00E76D51"/>
    <w:rsid w:val="00E7729D"/>
    <w:rsid w:val="00E7760B"/>
    <w:rsid w:val="00E7784C"/>
    <w:rsid w:val="00E7789D"/>
    <w:rsid w:val="00E77D0A"/>
    <w:rsid w:val="00E802C8"/>
    <w:rsid w:val="00E809AF"/>
    <w:rsid w:val="00E80CC7"/>
    <w:rsid w:val="00E80DAB"/>
    <w:rsid w:val="00E81139"/>
    <w:rsid w:val="00E8128E"/>
    <w:rsid w:val="00E81A87"/>
    <w:rsid w:val="00E81A8A"/>
    <w:rsid w:val="00E81CFB"/>
    <w:rsid w:val="00E821AC"/>
    <w:rsid w:val="00E822A7"/>
    <w:rsid w:val="00E83757"/>
    <w:rsid w:val="00E83948"/>
    <w:rsid w:val="00E83CF9"/>
    <w:rsid w:val="00E83DC5"/>
    <w:rsid w:val="00E83F46"/>
    <w:rsid w:val="00E843BF"/>
    <w:rsid w:val="00E84711"/>
    <w:rsid w:val="00E85355"/>
    <w:rsid w:val="00E85852"/>
    <w:rsid w:val="00E859CF"/>
    <w:rsid w:val="00E85AEF"/>
    <w:rsid w:val="00E862B8"/>
    <w:rsid w:val="00E86DB4"/>
    <w:rsid w:val="00E8747E"/>
    <w:rsid w:val="00E8749D"/>
    <w:rsid w:val="00E877A1"/>
    <w:rsid w:val="00E87E86"/>
    <w:rsid w:val="00E908BD"/>
    <w:rsid w:val="00E911A3"/>
    <w:rsid w:val="00E91B6E"/>
    <w:rsid w:val="00E92620"/>
    <w:rsid w:val="00E9267D"/>
    <w:rsid w:val="00E9288B"/>
    <w:rsid w:val="00E92974"/>
    <w:rsid w:val="00E92AC6"/>
    <w:rsid w:val="00E92D27"/>
    <w:rsid w:val="00E92F98"/>
    <w:rsid w:val="00E93040"/>
    <w:rsid w:val="00E9331D"/>
    <w:rsid w:val="00E93605"/>
    <w:rsid w:val="00E936E8"/>
    <w:rsid w:val="00E93A9A"/>
    <w:rsid w:val="00E93C13"/>
    <w:rsid w:val="00E94048"/>
    <w:rsid w:val="00E949D6"/>
    <w:rsid w:val="00E94F26"/>
    <w:rsid w:val="00E950A4"/>
    <w:rsid w:val="00E95293"/>
    <w:rsid w:val="00E95322"/>
    <w:rsid w:val="00E95490"/>
    <w:rsid w:val="00E95604"/>
    <w:rsid w:val="00E9596B"/>
    <w:rsid w:val="00E95C20"/>
    <w:rsid w:val="00E95CA6"/>
    <w:rsid w:val="00E96168"/>
    <w:rsid w:val="00E968C1"/>
    <w:rsid w:val="00E96B63"/>
    <w:rsid w:val="00E971F6"/>
    <w:rsid w:val="00EA0C59"/>
    <w:rsid w:val="00EA0E54"/>
    <w:rsid w:val="00EA101A"/>
    <w:rsid w:val="00EA1058"/>
    <w:rsid w:val="00EA157B"/>
    <w:rsid w:val="00EA1614"/>
    <w:rsid w:val="00EA174A"/>
    <w:rsid w:val="00EA1769"/>
    <w:rsid w:val="00EA1999"/>
    <w:rsid w:val="00EA2576"/>
    <w:rsid w:val="00EA25A7"/>
    <w:rsid w:val="00EA25EA"/>
    <w:rsid w:val="00EA298C"/>
    <w:rsid w:val="00EA3671"/>
    <w:rsid w:val="00EA3A06"/>
    <w:rsid w:val="00EA409E"/>
    <w:rsid w:val="00EA40ED"/>
    <w:rsid w:val="00EA45DD"/>
    <w:rsid w:val="00EA4870"/>
    <w:rsid w:val="00EA48C7"/>
    <w:rsid w:val="00EA4B7B"/>
    <w:rsid w:val="00EA4BE0"/>
    <w:rsid w:val="00EA52A1"/>
    <w:rsid w:val="00EA6316"/>
    <w:rsid w:val="00EA639B"/>
    <w:rsid w:val="00EA63BF"/>
    <w:rsid w:val="00EA659A"/>
    <w:rsid w:val="00EA78A9"/>
    <w:rsid w:val="00EA78DA"/>
    <w:rsid w:val="00EA7F51"/>
    <w:rsid w:val="00EA7F96"/>
    <w:rsid w:val="00EB022D"/>
    <w:rsid w:val="00EB05C0"/>
    <w:rsid w:val="00EB0A0A"/>
    <w:rsid w:val="00EB0A6B"/>
    <w:rsid w:val="00EB0C09"/>
    <w:rsid w:val="00EB0C62"/>
    <w:rsid w:val="00EB0DEA"/>
    <w:rsid w:val="00EB0E09"/>
    <w:rsid w:val="00EB10D8"/>
    <w:rsid w:val="00EB1EFC"/>
    <w:rsid w:val="00EB1F63"/>
    <w:rsid w:val="00EB2781"/>
    <w:rsid w:val="00EB27BC"/>
    <w:rsid w:val="00EB2AF4"/>
    <w:rsid w:val="00EB2DDA"/>
    <w:rsid w:val="00EB30BC"/>
    <w:rsid w:val="00EB38C8"/>
    <w:rsid w:val="00EB3EFD"/>
    <w:rsid w:val="00EB45D4"/>
    <w:rsid w:val="00EB4684"/>
    <w:rsid w:val="00EB51F1"/>
    <w:rsid w:val="00EB57CC"/>
    <w:rsid w:val="00EB6122"/>
    <w:rsid w:val="00EB6849"/>
    <w:rsid w:val="00EB6A32"/>
    <w:rsid w:val="00EB754E"/>
    <w:rsid w:val="00EB770A"/>
    <w:rsid w:val="00EB7C44"/>
    <w:rsid w:val="00EB7CA4"/>
    <w:rsid w:val="00EC0044"/>
    <w:rsid w:val="00EC03B1"/>
    <w:rsid w:val="00EC05E5"/>
    <w:rsid w:val="00EC0EBC"/>
    <w:rsid w:val="00EC2DA6"/>
    <w:rsid w:val="00EC2F59"/>
    <w:rsid w:val="00EC3318"/>
    <w:rsid w:val="00EC33A0"/>
    <w:rsid w:val="00EC367F"/>
    <w:rsid w:val="00EC4409"/>
    <w:rsid w:val="00EC465F"/>
    <w:rsid w:val="00EC4836"/>
    <w:rsid w:val="00EC4E9B"/>
    <w:rsid w:val="00EC4FF6"/>
    <w:rsid w:val="00EC5088"/>
    <w:rsid w:val="00EC57DA"/>
    <w:rsid w:val="00EC62C8"/>
    <w:rsid w:val="00EC6433"/>
    <w:rsid w:val="00EC65C2"/>
    <w:rsid w:val="00EC678D"/>
    <w:rsid w:val="00EC6CB4"/>
    <w:rsid w:val="00EC755F"/>
    <w:rsid w:val="00EC76F5"/>
    <w:rsid w:val="00EC7A14"/>
    <w:rsid w:val="00EC7D1E"/>
    <w:rsid w:val="00EC7F0E"/>
    <w:rsid w:val="00ED08EC"/>
    <w:rsid w:val="00ED0C38"/>
    <w:rsid w:val="00ED1533"/>
    <w:rsid w:val="00ED2030"/>
    <w:rsid w:val="00ED20B2"/>
    <w:rsid w:val="00ED21E8"/>
    <w:rsid w:val="00ED226B"/>
    <w:rsid w:val="00ED22B9"/>
    <w:rsid w:val="00ED2390"/>
    <w:rsid w:val="00ED2511"/>
    <w:rsid w:val="00ED2587"/>
    <w:rsid w:val="00ED2D89"/>
    <w:rsid w:val="00ED2E53"/>
    <w:rsid w:val="00ED30DB"/>
    <w:rsid w:val="00ED332E"/>
    <w:rsid w:val="00ED3686"/>
    <w:rsid w:val="00ED3942"/>
    <w:rsid w:val="00ED3AE0"/>
    <w:rsid w:val="00ED3B5B"/>
    <w:rsid w:val="00ED3E2B"/>
    <w:rsid w:val="00ED3E30"/>
    <w:rsid w:val="00ED4039"/>
    <w:rsid w:val="00ED46EC"/>
    <w:rsid w:val="00ED492D"/>
    <w:rsid w:val="00ED4C16"/>
    <w:rsid w:val="00ED4C86"/>
    <w:rsid w:val="00ED529F"/>
    <w:rsid w:val="00ED54EE"/>
    <w:rsid w:val="00ED58BB"/>
    <w:rsid w:val="00ED5E38"/>
    <w:rsid w:val="00ED5F52"/>
    <w:rsid w:val="00ED6276"/>
    <w:rsid w:val="00ED62F3"/>
    <w:rsid w:val="00ED66BF"/>
    <w:rsid w:val="00ED70DB"/>
    <w:rsid w:val="00ED796E"/>
    <w:rsid w:val="00ED7A8F"/>
    <w:rsid w:val="00ED7D04"/>
    <w:rsid w:val="00ED7F0E"/>
    <w:rsid w:val="00EE0993"/>
    <w:rsid w:val="00EE0A4C"/>
    <w:rsid w:val="00EE0C51"/>
    <w:rsid w:val="00EE0F8B"/>
    <w:rsid w:val="00EE1494"/>
    <w:rsid w:val="00EE1724"/>
    <w:rsid w:val="00EE182C"/>
    <w:rsid w:val="00EE1925"/>
    <w:rsid w:val="00EE223D"/>
    <w:rsid w:val="00EE2250"/>
    <w:rsid w:val="00EE2787"/>
    <w:rsid w:val="00EE2A55"/>
    <w:rsid w:val="00EE32EC"/>
    <w:rsid w:val="00EE3BBA"/>
    <w:rsid w:val="00EE3CD2"/>
    <w:rsid w:val="00EE3CF3"/>
    <w:rsid w:val="00EE4490"/>
    <w:rsid w:val="00EE48AA"/>
    <w:rsid w:val="00EE4BD4"/>
    <w:rsid w:val="00EE4D99"/>
    <w:rsid w:val="00EE4EEF"/>
    <w:rsid w:val="00EE5297"/>
    <w:rsid w:val="00EE58FF"/>
    <w:rsid w:val="00EE5B8A"/>
    <w:rsid w:val="00EE62ED"/>
    <w:rsid w:val="00EE6832"/>
    <w:rsid w:val="00EE6E62"/>
    <w:rsid w:val="00EE6FF1"/>
    <w:rsid w:val="00EE756F"/>
    <w:rsid w:val="00EE7AE5"/>
    <w:rsid w:val="00EE7C18"/>
    <w:rsid w:val="00EE7DFD"/>
    <w:rsid w:val="00EE7E33"/>
    <w:rsid w:val="00EF0125"/>
    <w:rsid w:val="00EF0E46"/>
    <w:rsid w:val="00EF1314"/>
    <w:rsid w:val="00EF137B"/>
    <w:rsid w:val="00EF1755"/>
    <w:rsid w:val="00EF1A99"/>
    <w:rsid w:val="00EF1B8C"/>
    <w:rsid w:val="00EF2501"/>
    <w:rsid w:val="00EF250F"/>
    <w:rsid w:val="00EF275C"/>
    <w:rsid w:val="00EF28A3"/>
    <w:rsid w:val="00EF28E6"/>
    <w:rsid w:val="00EF3183"/>
    <w:rsid w:val="00EF32BC"/>
    <w:rsid w:val="00EF3C6C"/>
    <w:rsid w:val="00EF3D58"/>
    <w:rsid w:val="00EF4175"/>
    <w:rsid w:val="00EF4372"/>
    <w:rsid w:val="00EF629B"/>
    <w:rsid w:val="00EF6C1F"/>
    <w:rsid w:val="00EF6DF1"/>
    <w:rsid w:val="00EF6FBA"/>
    <w:rsid w:val="00EF7063"/>
    <w:rsid w:val="00EF7084"/>
    <w:rsid w:val="00EF72C2"/>
    <w:rsid w:val="00EF74FB"/>
    <w:rsid w:val="00EF7887"/>
    <w:rsid w:val="00F00080"/>
    <w:rsid w:val="00F0020C"/>
    <w:rsid w:val="00F005D3"/>
    <w:rsid w:val="00F00AD6"/>
    <w:rsid w:val="00F00B41"/>
    <w:rsid w:val="00F00C22"/>
    <w:rsid w:val="00F00EF1"/>
    <w:rsid w:val="00F0129D"/>
    <w:rsid w:val="00F015FD"/>
    <w:rsid w:val="00F01D34"/>
    <w:rsid w:val="00F01E6B"/>
    <w:rsid w:val="00F028AB"/>
    <w:rsid w:val="00F02D68"/>
    <w:rsid w:val="00F02F67"/>
    <w:rsid w:val="00F02FCB"/>
    <w:rsid w:val="00F030D5"/>
    <w:rsid w:val="00F03330"/>
    <w:rsid w:val="00F0347C"/>
    <w:rsid w:val="00F035CC"/>
    <w:rsid w:val="00F03B39"/>
    <w:rsid w:val="00F04052"/>
    <w:rsid w:val="00F04751"/>
    <w:rsid w:val="00F04867"/>
    <w:rsid w:val="00F04A54"/>
    <w:rsid w:val="00F04FED"/>
    <w:rsid w:val="00F050BC"/>
    <w:rsid w:val="00F05644"/>
    <w:rsid w:val="00F05837"/>
    <w:rsid w:val="00F05FAD"/>
    <w:rsid w:val="00F06018"/>
    <w:rsid w:val="00F06673"/>
    <w:rsid w:val="00F066DE"/>
    <w:rsid w:val="00F06961"/>
    <w:rsid w:val="00F06D1A"/>
    <w:rsid w:val="00F073A7"/>
    <w:rsid w:val="00F07EE2"/>
    <w:rsid w:val="00F1066F"/>
    <w:rsid w:val="00F1126B"/>
    <w:rsid w:val="00F11853"/>
    <w:rsid w:val="00F1193B"/>
    <w:rsid w:val="00F11984"/>
    <w:rsid w:val="00F11A68"/>
    <w:rsid w:val="00F11FCF"/>
    <w:rsid w:val="00F125D6"/>
    <w:rsid w:val="00F129BB"/>
    <w:rsid w:val="00F12CC7"/>
    <w:rsid w:val="00F12D23"/>
    <w:rsid w:val="00F134BB"/>
    <w:rsid w:val="00F13729"/>
    <w:rsid w:val="00F13FA9"/>
    <w:rsid w:val="00F1415F"/>
    <w:rsid w:val="00F14201"/>
    <w:rsid w:val="00F1424E"/>
    <w:rsid w:val="00F14709"/>
    <w:rsid w:val="00F149BE"/>
    <w:rsid w:val="00F14FCD"/>
    <w:rsid w:val="00F1508C"/>
    <w:rsid w:val="00F1514F"/>
    <w:rsid w:val="00F151E9"/>
    <w:rsid w:val="00F156EC"/>
    <w:rsid w:val="00F1578E"/>
    <w:rsid w:val="00F161AD"/>
    <w:rsid w:val="00F1630A"/>
    <w:rsid w:val="00F167DA"/>
    <w:rsid w:val="00F16BE6"/>
    <w:rsid w:val="00F172AC"/>
    <w:rsid w:val="00F176B7"/>
    <w:rsid w:val="00F1791F"/>
    <w:rsid w:val="00F17C05"/>
    <w:rsid w:val="00F202C7"/>
    <w:rsid w:val="00F2063B"/>
    <w:rsid w:val="00F20763"/>
    <w:rsid w:val="00F2112F"/>
    <w:rsid w:val="00F2138C"/>
    <w:rsid w:val="00F21846"/>
    <w:rsid w:val="00F21B14"/>
    <w:rsid w:val="00F22517"/>
    <w:rsid w:val="00F227C8"/>
    <w:rsid w:val="00F2302B"/>
    <w:rsid w:val="00F23651"/>
    <w:rsid w:val="00F23AD3"/>
    <w:rsid w:val="00F23CB7"/>
    <w:rsid w:val="00F23D4C"/>
    <w:rsid w:val="00F23F77"/>
    <w:rsid w:val="00F245B7"/>
    <w:rsid w:val="00F24DA3"/>
    <w:rsid w:val="00F24E11"/>
    <w:rsid w:val="00F255BC"/>
    <w:rsid w:val="00F257B5"/>
    <w:rsid w:val="00F25D39"/>
    <w:rsid w:val="00F26192"/>
    <w:rsid w:val="00F26970"/>
    <w:rsid w:val="00F26FE7"/>
    <w:rsid w:val="00F2720E"/>
    <w:rsid w:val="00F2776D"/>
    <w:rsid w:val="00F278E5"/>
    <w:rsid w:val="00F27A86"/>
    <w:rsid w:val="00F27C5D"/>
    <w:rsid w:val="00F27E34"/>
    <w:rsid w:val="00F301B9"/>
    <w:rsid w:val="00F30C64"/>
    <w:rsid w:val="00F30EBE"/>
    <w:rsid w:val="00F312AE"/>
    <w:rsid w:val="00F312BB"/>
    <w:rsid w:val="00F31644"/>
    <w:rsid w:val="00F31816"/>
    <w:rsid w:val="00F31D69"/>
    <w:rsid w:val="00F31E05"/>
    <w:rsid w:val="00F31E3A"/>
    <w:rsid w:val="00F3224E"/>
    <w:rsid w:val="00F323B1"/>
    <w:rsid w:val="00F324D5"/>
    <w:rsid w:val="00F3265C"/>
    <w:rsid w:val="00F32A4E"/>
    <w:rsid w:val="00F32E31"/>
    <w:rsid w:val="00F32E66"/>
    <w:rsid w:val="00F330C7"/>
    <w:rsid w:val="00F332CD"/>
    <w:rsid w:val="00F33384"/>
    <w:rsid w:val="00F335A9"/>
    <w:rsid w:val="00F33748"/>
    <w:rsid w:val="00F33A18"/>
    <w:rsid w:val="00F33F5A"/>
    <w:rsid w:val="00F343FC"/>
    <w:rsid w:val="00F346E6"/>
    <w:rsid w:val="00F346EE"/>
    <w:rsid w:val="00F34AFA"/>
    <w:rsid w:val="00F34DC6"/>
    <w:rsid w:val="00F35311"/>
    <w:rsid w:val="00F354F8"/>
    <w:rsid w:val="00F356CF"/>
    <w:rsid w:val="00F35917"/>
    <w:rsid w:val="00F3606F"/>
    <w:rsid w:val="00F36321"/>
    <w:rsid w:val="00F36518"/>
    <w:rsid w:val="00F369FB"/>
    <w:rsid w:val="00F36E11"/>
    <w:rsid w:val="00F36FA6"/>
    <w:rsid w:val="00F37876"/>
    <w:rsid w:val="00F37E1B"/>
    <w:rsid w:val="00F401C1"/>
    <w:rsid w:val="00F4040B"/>
    <w:rsid w:val="00F404F1"/>
    <w:rsid w:val="00F404FD"/>
    <w:rsid w:val="00F40864"/>
    <w:rsid w:val="00F411C1"/>
    <w:rsid w:val="00F416A3"/>
    <w:rsid w:val="00F41AE1"/>
    <w:rsid w:val="00F41BF7"/>
    <w:rsid w:val="00F42713"/>
    <w:rsid w:val="00F42737"/>
    <w:rsid w:val="00F4289B"/>
    <w:rsid w:val="00F42EAF"/>
    <w:rsid w:val="00F44379"/>
    <w:rsid w:val="00F447F1"/>
    <w:rsid w:val="00F44895"/>
    <w:rsid w:val="00F44D60"/>
    <w:rsid w:val="00F45053"/>
    <w:rsid w:val="00F45404"/>
    <w:rsid w:val="00F455B6"/>
    <w:rsid w:val="00F45648"/>
    <w:rsid w:val="00F45BBF"/>
    <w:rsid w:val="00F45C2C"/>
    <w:rsid w:val="00F45D21"/>
    <w:rsid w:val="00F45DBF"/>
    <w:rsid w:val="00F46222"/>
    <w:rsid w:val="00F46635"/>
    <w:rsid w:val="00F4680E"/>
    <w:rsid w:val="00F46D01"/>
    <w:rsid w:val="00F475B4"/>
    <w:rsid w:val="00F476FE"/>
    <w:rsid w:val="00F47823"/>
    <w:rsid w:val="00F47DCC"/>
    <w:rsid w:val="00F47F05"/>
    <w:rsid w:val="00F503CB"/>
    <w:rsid w:val="00F50585"/>
    <w:rsid w:val="00F50C2F"/>
    <w:rsid w:val="00F516E3"/>
    <w:rsid w:val="00F51C6D"/>
    <w:rsid w:val="00F521B3"/>
    <w:rsid w:val="00F52B07"/>
    <w:rsid w:val="00F52F64"/>
    <w:rsid w:val="00F5352F"/>
    <w:rsid w:val="00F5371A"/>
    <w:rsid w:val="00F53C8F"/>
    <w:rsid w:val="00F541F1"/>
    <w:rsid w:val="00F54832"/>
    <w:rsid w:val="00F54FB7"/>
    <w:rsid w:val="00F550CA"/>
    <w:rsid w:val="00F55457"/>
    <w:rsid w:val="00F55AE1"/>
    <w:rsid w:val="00F55F19"/>
    <w:rsid w:val="00F56079"/>
    <w:rsid w:val="00F56474"/>
    <w:rsid w:val="00F56616"/>
    <w:rsid w:val="00F56CF0"/>
    <w:rsid w:val="00F56F11"/>
    <w:rsid w:val="00F57885"/>
    <w:rsid w:val="00F57A2D"/>
    <w:rsid w:val="00F60084"/>
    <w:rsid w:val="00F60197"/>
    <w:rsid w:val="00F60FBF"/>
    <w:rsid w:val="00F60FE0"/>
    <w:rsid w:val="00F61561"/>
    <w:rsid w:val="00F61981"/>
    <w:rsid w:val="00F61A3B"/>
    <w:rsid w:val="00F61DB7"/>
    <w:rsid w:val="00F62910"/>
    <w:rsid w:val="00F629AA"/>
    <w:rsid w:val="00F62D95"/>
    <w:rsid w:val="00F6317D"/>
    <w:rsid w:val="00F638B6"/>
    <w:rsid w:val="00F63B5A"/>
    <w:rsid w:val="00F64222"/>
    <w:rsid w:val="00F6455E"/>
    <w:rsid w:val="00F646CB"/>
    <w:rsid w:val="00F6489C"/>
    <w:rsid w:val="00F648E7"/>
    <w:rsid w:val="00F64F1D"/>
    <w:rsid w:val="00F651B1"/>
    <w:rsid w:val="00F65443"/>
    <w:rsid w:val="00F65C70"/>
    <w:rsid w:val="00F660CA"/>
    <w:rsid w:val="00F66144"/>
    <w:rsid w:val="00F6616C"/>
    <w:rsid w:val="00F66219"/>
    <w:rsid w:val="00F6635D"/>
    <w:rsid w:val="00F6669A"/>
    <w:rsid w:val="00F666E8"/>
    <w:rsid w:val="00F66A07"/>
    <w:rsid w:val="00F6713F"/>
    <w:rsid w:val="00F6726A"/>
    <w:rsid w:val="00F67321"/>
    <w:rsid w:val="00F67634"/>
    <w:rsid w:val="00F67FE5"/>
    <w:rsid w:val="00F7041C"/>
    <w:rsid w:val="00F70634"/>
    <w:rsid w:val="00F70B1C"/>
    <w:rsid w:val="00F70B6C"/>
    <w:rsid w:val="00F70CD3"/>
    <w:rsid w:val="00F717DC"/>
    <w:rsid w:val="00F721BB"/>
    <w:rsid w:val="00F7288A"/>
    <w:rsid w:val="00F72957"/>
    <w:rsid w:val="00F72CFD"/>
    <w:rsid w:val="00F73490"/>
    <w:rsid w:val="00F73A43"/>
    <w:rsid w:val="00F73B52"/>
    <w:rsid w:val="00F7422F"/>
    <w:rsid w:val="00F744C4"/>
    <w:rsid w:val="00F74B51"/>
    <w:rsid w:val="00F75835"/>
    <w:rsid w:val="00F75D1D"/>
    <w:rsid w:val="00F76014"/>
    <w:rsid w:val="00F76085"/>
    <w:rsid w:val="00F764C1"/>
    <w:rsid w:val="00F7698D"/>
    <w:rsid w:val="00F76B74"/>
    <w:rsid w:val="00F76F1A"/>
    <w:rsid w:val="00F76FF3"/>
    <w:rsid w:val="00F770D3"/>
    <w:rsid w:val="00F77262"/>
    <w:rsid w:val="00F77959"/>
    <w:rsid w:val="00F779F6"/>
    <w:rsid w:val="00F77BB4"/>
    <w:rsid w:val="00F80505"/>
    <w:rsid w:val="00F80637"/>
    <w:rsid w:val="00F80729"/>
    <w:rsid w:val="00F81362"/>
    <w:rsid w:val="00F81B4C"/>
    <w:rsid w:val="00F81D8F"/>
    <w:rsid w:val="00F81EE9"/>
    <w:rsid w:val="00F81F07"/>
    <w:rsid w:val="00F81F66"/>
    <w:rsid w:val="00F82459"/>
    <w:rsid w:val="00F8298D"/>
    <w:rsid w:val="00F82BCE"/>
    <w:rsid w:val="00F83110"/>
    <w:rsid w:val="00F83620"/>
    <w:rsid w:val="00F83867"/>
    <w:rsid w:val="00F83D0D"/>
    <w:rsid w:val="00F83F7B"/>
    <w:rsid w:val="00F84119"/>
    <w:rsid w:val="00F84F01"/>
    <w:rsid w:val="00F854EE"/>
    <w:rsid w:val="00F855B5"/>
    <w:rsid w:val="00F85905"/>
    <w:rsid w:val="00F85F3C"/>
    <w:rsid w:val="00F85FC3"/>
    <w:rsid w:val="00F8629A"/>
    <w:rsid w:val="00F8631E"/>
    <w:rsid w:val="00F86A53"/>
    <w:rsid w:val="00F86BF7"/>
    <w:rsid w:val="00F86E13"/>
    <w:rsid w:val="00F870A1"/>
    <w:rsid w:val="00F8712F"/>
    <w:rsid w:val="00F874FE"/>
    <w:rsid w:val="00F87E2C"/>
    <w:rsid w:val="00F87F42"/>
    <w:rsid w:val="00F9013E"/>
    <w:rsid w:val="00F90160"/>
    <w:rsid w:val="00F902B6"/>
    <w:rsid w:val="00F905D8"/>
    <w:rsid w:val="00F9089F"/>
    <w:rsid w:val="00F90DA0"/>
    <w:rsid w:val="00F90EAA"/>
    <w:rsid w:val="00F910A5"/>
    <w:rsid w:val="00F911B2"/>
    <w:rsid w:val="00F91353"/>
    <w:rsid w:val="00F920E9"/>
    <w:rsid w:val="00F9230B"/>
    <w:rsid w:val="00F923C3"/>
    <w:rsid w:val="00F92B88"/>
    <w:rsid w:val="00F92E62"/>
    <w:rsid w:val="00F93041"/>
    <w:rsid w:val="00F93142"/>
    <w:rsid w:val="00F93A9A"/>
    <w:rsid w:val="00F93FED"/>
    <w:rsid w:val="00F948AB"/>
    <w:rsid w:val="00F94A68"/>
    <w:rsid w:val="00F94BCB"/>
    <w:rsid w:val="00F94FE9"/>
    <w:rsid w:val="00F961B6"/>
    <w:rsid w:val="00F9631F"/>
    <w:rsid w:val="00F96349"/>
    <w:rsid w:val="00F9684A"/>
    <w:rsid w:val="00F96898"/>
    <w:rsid w:val="00F974C7"/>
    <w:rsid w:val="00F97643"/>
    <w:rsid w:val="00F97ADA"/>
    <w:rsid w:val="00F97C10"/>
    <w:rsid w:val="00FA0825"/>
    <w:rsid w:val="00FA08AD"/>
    <w:rsid w:val="00FA150F"/>
    <w:rsid w:val="00FA1985"/>
    <w:rsid w:val="00FA21BF"/>
    <w:rsid w:val="00FA23E6"/>
    <w:rsid w:val="00FA2426"/>
    <w:rsid w:val="00FA2642"/>
    <w:rsid w:val="00FA2ABF"/>
    <w:rsid w:val="00FA2F27"/>
    <w:rsid w:val="00FA3114"/>
    <w:rsid w:val="00FA34CD"/>
    <w:rsid w:val="00FA3681"/>
    <w:rsid w:val="00FA4150"/>
    <w:rsid w:val="00FA452A"/>
    <w:rsid w:val="00FA481A"/>
    <w:rsid w:val="00FA48B7"/>
    <w:rsid w:val="00FA491F"/>
    <w:rsid w:val="00FA52D7"/>
    <w:rsid w:val="00FA536C"/>
    <w:rsid w:val="00FA554E"/>
    <w:rsid w:val="00FA5766"/>
    <w:rsid w:val="00FA658C"/>
    <w:rsid w:val="00FA65B7"/>
    <w:rsid w:val="00FA7691"/>
    <w:rsid w:val="00FA79F2"/>
    <w:rsid w:val="00FA7B39"/>
    <w:rsid w:val="00FA7B41"/>
    <w:rsid w:val="00FA7CFB"/>
    <w:rsid w:val="00FA7D7D"/>
    <w:rsid w:val="00FB01B6"/>
    <w:rsid w:val="00FB0673"/>
    <w:rsid w:val="00FB0BF0"/>
    <w:rsid w:val="00FB0DB4"/>
    <w:rsid w:val="00FB1527"/>
    <w:rsid w:val="00FB161C"/>
    <w:rsid w:val="00FB1B09"/>
    <w:rsid w:val="00FB1FE3"/>
    <w:rsid w:val="00FB2069"/>
    <w:rsid w:val="00FB221C"/>
    <w:rsid w:val="00FB2632"/>
    <w:rsid w:val="00FB2C8D"/>
    <w:rsid w:val="00FB2D75"/>
    <w:rsid w:val="00FB3513"/>
    <w:rsid w:val="00FB3899"/>
    <w:rsid w:val="00FB4198"/>
    <w:rsid w:val="00FB448A"/>
    <w:rsid w:val="00FB4883"/>
    <w:rsid w:val="00FB48DF"/>
    <w:rsid w:val="00FB55B8"/>
    <w:rsid w:val="00FB5810"/>
    <w:rsid w:val="00FB620D"/>
    <w:rsid w:val="00FB6442"/>
    <w:rsid w:val="00FB649B"/>
    <w:rsid w:val="00FB6594"/>
    <w:rsid w:val="00FB69BF"/>
    <w:rsid w:val="00FB6DAE"/>
    <w:rsid w:val="00FB6F67"/>
    <w:rsid w:val="00FB71B7"/>
    <w:rsid w:val="00FB741C"/>
    <w:rsid w:val="00FC0320"/>
    <w:rsid w:val="00FC066B"/>
    <w:rsid w:val="00FC07AA"/>
    <w:rsid w:val="00FC0AD7"/>
    <w:rsid w:val="00FC0C20"/>
    <w:rsid w:val="00FC10DE"/>
    <w:rsid w:val="00FC1D86"/>
    <w:rsid w:val="00FC1D8E"/>
    <w:rsid w:val="00FC234D"/>
    <w:rsid w:val="00FC2D5F"/>
    <w:rsid w:val="00FC2FF4"/>
    <w:rsid w:val="00FC31B9"/>
    <w:rsid w:val="00FC31E3"/>
    <w:rsid w:val="00FC37AE"/>
    <w:rsid w:val="00FC37F2"/>
    <w:rsid w:val="00FC3CC1"/>
    <w:rsid w:val="00FC409C"/>
    <w:rsid w:val="00FC4152"/>
    <w:rsid w:val="00FC4415"/>
    <w:rsid w:val="00FC4C8E"/>
    <w:rsid w:val="00FC5603"/>
    <w:rsid w:val="00FC6283"/>
    <w:rsid w:val="00FC69FF"/>
    <w:rsid w:val="00FC6A58"/>
    <w:rsid w:val="00FC720A"/>
    <w:rsid w:val="00FC72E2"/>
    <w:rsid w:val="00FC75AD"/>
    <w:rsid w:val="00FC76D0"/>
    <w:rsid w:val="00FC7743"/>
    <w:rsid w:val="00FC7940"/>
    <w:rsid w:val="00FD04F6"/>
    <w:rsid w:val="00FD0502"/>
    <w:rsid w:val="00FD066B"/>
    <w:rsid w:val="00FD09E2"/>
    <w:rsid w:val="00FD0A5B"/>
    <w:rsid w:val="00FD0B28"/>
    <w:rsid w:val="00FD0F46"/>
    <w:rsid w:val="00FD105C"/>
    <w:rsid w:val="00FD1400"/>
    <w:rsid w:val="00FD1442"/>
    <w:rsid w:val="00FD17BA"/>
    <w:rsid w:val="00FD1CFF"/>
    <w:rsid w:val="00FD1EA0"/>
    <w:rsid w:val="00FD205B"/>
    <w:rsid w:val="00FD22D8"/>
    <w:rsid w:val="00FD2317"/>
    <w:rsid w:val="00FD2C9D"/>
    <w:rsid w:val="00FD2F74"/>
    <w:rsid w:val="00FD319C"/>
    <w:rsid w:val="00FD37FB"/>
    <w:rsid w:val="00FD3B78"/>
    <w:rsid w:val="00FD3B94"/>
    <w:rsid w:val="00FD40DD"/>
    <w:rsid w:val="00FD43B3"/>
    <w:rsid w:val="00FD4A63"/>
    <w:rsid w:val="00FD527C"/>
    <w:rsid w:val="00FD52CC"/>
    <w:rsid w:val="00FD5675"/>
    <w:rsid w:val="00FD59C8"/>
    <w:rsid w:val="00FD6295"/>
    <w:rsid w:val="00FD677F"/>
    <w:rsid w:val="00FD6A48"/>
    <w:rsid w:val="00FD6AE9"/>
    <w:rsid w:val="00FD6B40"/>
    <w:rsid w:val="00FD7560"/>
    <w:rsid w:val="00FD7847"/>
    <w:rsid w:val="00FD7A02"/>
    <w:rsid w:val="00FE06D5"/>
    <w:rsid w:val="00FE0BD2"/>
    <w:rsid w:val="00FE0D5F"/>
    <w:rsid w:val="00FE1118"/>
    <w:rsid w:val="00FE11B5"/>
    <w:rsid w:val="00FE1629"/>
    <w:rsid w:val="00FE1C8B"/>
    <w:rsid w:val="00FE1EA4"/>
    <w:rsid w:val="00FE2675"/>
    <w:rsid w:val="00FE28DC"/>
    <w:rsid w:val="00FE2A80"/>
    <w:rsid w:val="00FE2C77"/>
    <w:rsid w:val="00FE2F75"/>
    <w:rsid w:val="00FE369E"/>
    <w:rsid w:val="00FE40E5"/>
    <w:rsid w:val="00FE441B"/>
    <w:rsid w:val="00FE4505"/>
    <w:rsid w:val="00FE455B"/>
    <w:rsid w:val="00FE4739"/>
    <w:rsid w:val="00FE4DB2"/>
    <w:rsid w:val="00FE5319"/>
    <w:rsid w:val="00FE5B1C"/>
    <w:rsid w:val="00FE5CEB"/>
    <w:rsid w:val="00FE5EA2"/>
    <w:rsid w:val="00FE5F2E"/>
    <w:rsid w:val="00FE5F7E"/>
    <w:rsid w:val="00FE5FA5"/>
    <w:rsid w:val="00FE62DF"/>
    <w:rsid w:val="00FE637E"/>
    <w:rsid w:val="00FE649E"/>
    <w:rsid w:val="00FE6694"/>
    <w:rsid w:val="00FE681D"/>
    <w:rsid w:val="00FE682B"/>
    <w:rsid w:val="00FE683B"/>
    <w:rsid w:val="00FE6BAD"/>
    <w:rsid w:val="00FE6F25"/>
    <w:rsid w:val="00FE706A"/>
    <w:rsid w:val="00FE74DF"/>
    <w:rsid w:val="00FE74F3"/>
    <w:rsid w:val="00FE7603"/>
    <w:rsid w:val="00FE780E"/>
    <w:rsid w:val="00FE7B14"/>
    <w:rsid w:val="00FE7CA0"/>
    <w:rsid w:val="00FE7CA1"/>
    <w:rsid w:val="00FF03B0"/>
    <w:rsid w:val="00FF048E"/>
    <w:rsid w:val="00FF0805"/>
    <w:rsid w:val="00FF0859"/>
    <w:rsid w:val="00FF0D30"/>
    <w:rsid w:val="00FF0DBD"/>
    <w:rsid w:val="00FF13DC"/>
    <w:rsid w:val="00FF1BBB"/>
    <w:rsid w:val="00FF1F2D"/>
    <w:rsid w:val="00FF2100"/>
    <w:rsid w:val="00FF24FE"/>
    <w:rsid w:val="00FF2AC4"/>
    <w:rsid w:val="00FF2B7A"/>
    <w:rsid w:val="00FF2BE3"/>
    <w:rsid w:val="00FF2F26"/>
    <w:rsid w:val="00FF2FA4"/>
    <w:rsid w:val="00FF2FC0"/>
    <w:rsid w:val="00FF31CB"/>
    <w:rsid w:val="00FF393E"/>
    <w:rsid w:val="00FF3A07"/>
    <w:rsid w:val="00FF3AC6"/>
    <w:rsid w:val="00FF3FEA"/>
    <w:rsid w:val="00FF45B5"/>
    <w:rsid w:val="00FF49BF"/>
    <w:rsid w:val="00FF4B2B"/>
    <w:rsid w:val="00FF4C68"/>
    <w:rsid w:val="00FF5B0C"/>
    <w:rsid w:val="00FF5F86"/>
    <w:rsid w:val="00FF6053"/>
    <w:rsid w:val="00FF6501"/>
    <w:rsid w:val="00FF6886"/>
    <w:rsid w:val="00FF6974"/>
    <w:rsid w:val="00FF6EA5"/>
    <w:rsid w:val="00FF6FBB"/>
    <w:rsid w:val="00FF74CA"/>
    <w:rsid w:val="00FF75FD"/>
    <w:rsid w:val="00FF7B12"/>
    <w:rsid w:val="0133E542"/>
    <w:rsid w:val="01AC7CE8"/>
    <w:rsid w:val="01D91EC9"/>
    <w:rsid w:val="021A9606"/>
    <w:rsid w:val="02CA3BB4"/>
    <w:rsid w:val="0312A433"/>
    <w:rsid w:val="0363671E"/>
    <w:rsid w:val="0388F5FE"/>
    <w:rsid w:val="04135963"/>
    <w:rsid w:val="044C26B1"/>
    <w:rsid w:val="0460AA33"/>
    <w:rsid w:val="04E209CC"/>
    <w:rsid w:val="04FCADB0"/>
    <w:rsid w:val="054B4A48"/>
    <w:rsid w:val="055B0EE9"/>
    <w:rsid w:val="05C2F628"/>
    <w:rsid w:val="05CDE8FA"/>
    <w:rsid w:val="05DADBB2"/>
    <w:rsid w:val="06172507"/>
    <w:rsid w:val="0638A936"/>
    <w:rsid w:val="0659BE71"/>
    <w:rsid w:val="06C7F2F9"/>
    <w:rsid w:val="07344275"/>
    <w:rsid w:val="0778AF5E"/>
    <w:rsid w:val="078FBBA8"/>
    <w:rsid w:val="07D9BAB4"/>
    <w:rsid w:val="07E1C592"/>
    <w:rsid w:val="082A5429"/>
    <w:rsid w:val="088F3CB2"/>
    <w:rsid w:val="08B95D07"/>
    <w:rsid w:val="08CA6D67"/>
    <w:rsid w:val="08D6E17A"/>
    <w:rsid w:val="09FB5476"/>
    <w:rsid w:val="0A11A83D"/>
    <w:rsid w:val="0AD19FE7"/>
    <w:rsid w:val="0BE476A9"/>
    <w:rsid w:val="0BF4D430"/>
    <w:rsid w:val="0C12D4D1"/>
    <w:rsid w:val="0C71210B"/>
    <w:rsid w:val="0CAE9984"/>
    <w:rsid w:val="0CDB16A5"/>
    <w:rsid w:val="0DEA7972"/>
    <w:rsid w:val="0E035C4E"/>
    <w:rsid w:val="0F23BC5E"/>
    <w:rsid w:val="0F3FCFC0"/>
    <w:rsid w:val="100C5CF8"/>
    <w:rsid w:val="103F8650"/>
    <w:rsid w:val="10A925CD"/>
    <w:rsid w:val="110E03F3"/>
    <w:rsid w:val="12289257"/>
    <w:rsid w:val="12AEB00C"/>
    <w:rsid w:val="13280AFF"/>
    <w:rsid w:val="132EC8AF"/>
    <w:rsid w:val="13AC14FF"/>
    <w:rsid w:val="13E5A97C"/>
    <w:rsid w:val="13ED1B1E"/>
    <w:rsid w:val="14297D98"/>
    <w:rsid w:val="14D336E2"/>
    <w:rsid w:val="14D85B0B"/>
    <w:rsid w:val="14FF16BB"/>
    <w:rsid w:val="15159D27"/>
    <w:rsid w:val="15317982"/>
    <w:rsid w:val="155C1A20"/>
    <w:rsid w:val="15E88B6A"/>
    <w:rsid w:val="165A9F23"/>
    <w:rsid w:val="16CF6CAD"/>
    <w:rsid w:val="16FACBC0"/>
    <w:rsid w:val="17022CE5"/>
    <w:rsid w:val="1740917C"/>
    <w:rsid w:val="1768815E"/>
    <w:rsid w:val="17E334BE"/>
    <w:rsid w:val="17FD38B7"/>
    <w:rsid w:val="18054E43"/>
    <w:rsid w:val="186457D2"/>
    <w:rsid w:val="1865DA91"/>
    <w:rsid w:val="1917127A"/>
    <w:rsid w:val="1A0B4A32"/>
    <w:rsid w:val="1B03981A"/>
    <w:rsid w:val="1B26938A"/>
    <w:rsid w:val="1B440D97"/>
    <w:rsid w:val="1BEDFD9C"/>
    <w:rsid w:val="1CC30889"/>
    <w:rsid w:val="1D6821A1"/>
    <w:rsid w:val="1E7272DA"/>
    <w:rsid w:val="1E768FF3"/>
    <w:rsid w:val="1EBD67D4"/>
    <w:rsid w:val="1EC7B52A"/>
    <w:rsid w:val="1F4B9B0B"/>
    <w:rsid w:val="1F5E93C8"/>
    <w:rsid w:val="1FC1790A"/>
    <w:rsid w:val="20A531DD"/>
    <w:rsid w:val="20F28D07"/>
    <w:rsid w:val="21BD1618"/>
    <w:rsid w:val="22567609"/>
    <w:rsid w:val="22587540"/>
    <w:rsid w:val="2332EA59"/>
    <w:rsid w:val="2340F948"/>
    <w:rsid w:val="237D235C"/>
    <w:rsid w:val="23FBF41A"/>
    <w:rsid w:val="24D0C028"/>
    <w:rsid w:val="24D27EB6"/>
    <w:rsid w:val="25101033"/>
    <w:rsid w:val="2521FA14"/>
    <w:rsid w:val="270B821D"/>
    <w:rsid w:val="27149F17"/>
    <w:rsid w:val="271890B1"/>
    <w:rsid w:val="27632F9F"/>
    <w:rsid w:val="276C8172"/>
    <w:rsid w:val="278441EF"/>
    <w:rsid w:val="284927A5"/>
    <w:rsid w:val="285B54F5"/>
    <w:rsid w:val="28DC9B2A"/>
    <w:rsid w:val="28F0FA59"/>
    <w:rsid w:val="2901D390"/>
    <w:rsid w:val="293C8D6E"/>
    <w:rsid w:val="294DC2D0"/>
    <w:rsid w:val="2A450FF7"/>
    <w:rsid w:val="2AC52AA8"/>
    <w:rsid w:val="2BEA2E3E"/>
    <w:rsid w:val="2ECFF1A9"/>
    <w:rsid w:val="2F99894E"/>
    <w:rsid w:val="2FF0F888"/>
    <w:rsid w:val="30711ECF"/>
    <w:rsid w:val="3083C3B4"/>
    <w:rsid w:val="3085D2C8"/>
    <w:rsid w:val="30A62686"/>
    <w:rsid w:val="3193FBA9"/>
    <w:rsid w:val="31A1E3EA"/>
    <w:rsid w:val="3250FB84"/>
    <w:rsid w:val="32569728"/>
    <w:rsid w:val="3266BB5D"/>
    <w:rsid w:val="327E3FCE"/>
    <w:rsid w:val="338EFB10"/>
    <w:rsid w:val="33B0EAF3"/>
    <w:rsid w:val="34312E08"/>
    <w:rsid w:val="3448A022"/>
    <w:rsid w:val="34500C71"/>
    <w:rsid w:val="345BA3F0"/>
    <w:rsid w:val="34B679B7"/>
    <w:rsid w:val="34C6599E"/>
    <w:rsid w:val="35A84E57"/>
    <w:rsid w:val="35B4EA64"/>
    <w:rsid w:val="367CD729"/>
    <w:rsid w:val="3752B8CC"/>
    <w:rsid w:val="379B88EE"/>
    <w:rsid w:val="37C222F0"/>
    <w:rsid w:val="37C46A2F"/>
    <w:rsid w:val="37DD127E"/>
    <w:rsid w:val="37F75F85"/>
    <w:rsid w:val="38267771"/>
    <w:rsid w:val="387221E1"/>
    <w:rsid w:val="389A0FE6"/>
    <w:rsid w:val="39486726"/>
    <w:rsid w:val="39A3EB9A"/>
    <w:rsid w:val="39F12680"/>
    <w:rsid w:val="3A097D62"/>
    <w:rsid w:val="3A777A9D"/>
    <w:rsid w:val="3AA69685"/>
    <w:rsid w:val="3ABC7E20"/>
    <w:rsid w:val="3ABDA75C"/>
    <w:rsid w:val="3AC4235A"/>
    <w:rsid w:val="3AF0DB40"/>
    <w:rsid w:val="3AF80B2A"/>
    <w:rsid w:val="3B0DA329"/>
    <w:rsid w:val="3BB27488"/>
    <w:rsid w:val="3C6D0BAE"/>
    <w:rsid w:val="3C6E5E7C"/>
    <w:rsid w:val="3D03CF3E"/>
    <w:rsid w:val="3D5F9679"/>
    <w:rsid w:val="3DDBAC4B"/>
    <w:rsid w:val="3E5D6D2C"/>
    <w:rsid w:val="3E9C211C"/>
    <w:rsid w:val="3EF9A89C"/>
    <w:rsid w:val="3F5FB7AE"/>
    <w:rsid w:val="3FDEFC8F"/>
    <w:rsid w:val="3FF82D98"/>
    <w:rsid w:val="404A529E"/>
    <w:rsid w:val="40B4A4F8"/>
    <w:rsid w:val="41149016"/>
    <w:rsid w:val="4126BD83"/>
    <w:rsid w:val="413AE7DE"/>
    <w:rsid w:val="42005FB1"/>
    <w:rsid w:val="42897F36"/>
    <w:rsid w:val="429ECDB2"/>
    <w:rsid w:val="4309F3E6"/>
    <w:rsid w:val="432379ED"/>
    <w:rsid w:val="4325E512"/>
    <w:rsid w:val="4354EA72"/>
    <w:rsid w:val="436760B0"/>
    <w:rsid w:val="436B7EE0"/>
    <w:rsid w:val="437F06C7"/>
    <w:rsid w:val="44E279FB"/>
    <w:rsid w:val="44E9587C"/>
    <w:rsid w:val="45438AC0"/>
    <w:rsid w:val="4570045B"/>
    <w:rsid w:val="4601E17A"/>
    <w:rsid w:val="461AB8EA"/>
    <w:rsid w:val="46794766"/>
    <w:rsid w:val="471AF713"/>
    <w:rsid w:val="47852FDB"/>
    <w:rsid w:val="479A5430"/>
    <w:rsid w:val="47BB85EA"/>
    <w:rsid w:val="481E7FEC"/>
    <w:rsid w:val="4831A9D2"/>
    <w:rsid w:val="48A5C7EF"/>
    <w:rsid w:val="49E7D09F"/>
    <w:rsid w:val="4A2F37DB"/>
    <w:rsid w:val="4B3397FF"/>
    <w:rsid w:val="4CC81439"/>
    <w:rsid w:val="4CF01DAF"/>
    <w:rsid w:val="4D802D8D"/>
    <w:rsid w:val="4D9EBF20"/>
    <w:rsid w:val="4DC55B95"/>
    <w:rsid w:val="4DF29F19"/>
    <w:rsid w:val="4E3F2821"/>
    <w:rsid w:val="4E667654"/>
    <w:rsid w:val="4EAC0F1F"/>
    <w:rsid w:val="4EE7912A"/>
    <w:rsid w:val="4F0C430A"/>
    <w:rsid w:val="4F0CF9E1"/>
    <w:rsid w:val="4F54B875"/>
    <w:rsid w:val="4F9A55D7"/>
    <w:rsid w:val="4FA94F8B"/>
    <w:rsid w:val="4FACB57D"/>
    <w:rsid w:val="4FAEECAD"/>
    <w:rsid w:val="50826896"/>
    <w:rsid w:val="5196BF05"/>
    <w:rsid w:val="5212C5D4"/>
    <w:rsid w:val="52E1DD92"/>
    <w:rsid w:val="538406A9"/>
    <w:rsid w:val="53E80B2A"/>
    <w:rsid w:val="542C443F"/>
    <w:rsid w:val="544635B6"/>
    <w:rsid w:val="54B025A0"/>
    <w:rsid w:val="54D6FCEA"/>
    <w:rsid w:val="555D44AA"/>
    <w:rsid w:val="5590226D"/>
    <w:rsid w:val="55A3A1FE"/>
    <w:rsid w:val="56759EF8"/>
    <w:rsid w:val="5734A809"/>
    <w:rsid w:val="57AA011D"/>
    <w:rsid w:val="57D92AB6"/>
    <w:rsid w:val="58457D76"/>
    <w:rsid w:val="58871247"/>
    <w:rsid w:val="58A5B5D3"/>
    <w:rsid w:val="5944E363"/>
    <w:rsid w:val="5973979B"/>
    <w:rsid w:val="59837306"/>
    <w:rsid w:val="5A1F0956"/>
    <w:rsid w:val="5A884BA9"/>
    <w:rsid w:val="5ABAB505"/>
    <w:rsid w:val="5B4C0076"/>
    <w:rsid w:val="5B7FABDD"/>
    <w:rsid w:val="5B9079AC"/>
    <w:rsid w:val="5BD5A85A"/>
    <w:rsid w:val="5C45AA7A"/>
    <w:rsid w:val="5CA0F8E8"/>
    <w:rsid w:val="5CEBB63B"/>
    <w:rsid w:val="5D117842"/>
    <w:rsid w:val="5DCF5B7D"/>
    <w:rsid w:val="5DFF777E"/>
    <w:rsid w:val="5E2D20FF"/>
    <w:rsid w:val="5F0A34F2"/>
    <w:rsid w:val="5F24E5C5"/>
    <w:rsid w:val="5F36B20E"/>
    <w:rsid w:val="5F78E79A"/>
    <w:rsid w:val="5FD1CEA2"/>
    <w:rsid w:val="5FF2ED59"/>
    <w:rsid w:val="60CDB374"/>
    <w:rsid w:val="60E2FB9A"/>
    <w:rsid w:val="61221F2E"/>
    <w:rsid w:val="613DC336"/>
    <w:rsid w:val="61A13DBC"/>
    <w:rsid w:val="629099BF"/>
    <w:rsid w:val="63205B65"/>
    <w:rsid w:val="63845C79"/>
    <w:rsid w:val="63A463E8"/>
    <w:rsid w:val="646C7373"/>
    <w:rsid w:val="64E770DA"/>
    <w:rsid w:val="64F7D993"/>
    <w:rsid w:val="654F4A6C"/>
    <w:rsid w:val="65EEA6F0"/>
    <w:rsid w:val="663A4F40"/>
    <w:rsid w:val="663F14DC"/>
    <w:rsid w:val="6657FA97"/>
    <w:rsid w:val="665FB628"/>
    <w:rsid w:val="67E53D43"/>
    <w:rsid w:val="6802C54C"/>
    <w:rsid w:val="68085490"/>
    <w:rsid w:val="686B2B3D"/>
    <w:rsid w:val="6955A314"/>
    <w:rsid w:val="69C368EB"/>
    <w:rsid w:val="69CADEC3"/>
    <w:rsid w:val="6A3660F9"/>
    <w:rsid w:val="6A456BF0"/>
    <w:rsid w:val="6A8A368A"/>
    <w:rsid w:val="6B7DC326"/>
    <w:rsid w:val="6BE97007"/>
    <w:rsid w:val="6BEF4721"/>
    <w:rsid w:val="6C733097"/>
    <w:rsid w:val="6C7F5DFF"/>
    <w:rsid w:val="6CB4295E"/>
    <w:rsid w:val="6CB71F1B"/>
    <w:rsid w:val="6D4E9B64"/>
    <w:rsid w:val="6DFE6C0C"/>
    <w:rsid w:val="6E7F4F23"/>
    <w:rsid w:val="6E80655F"/>
    <w:rsid w:val="6F0126E1"/>
    <w:rsid w:val="6F2C17B3"/>
    <w:rsid w:val="6FAF20B9"/>
    <w:rsid w:val="707CD696"/>
    <w:rsid w:val="713F746D"/>
    <w:rsid w:val="714430F1"/>
    <w:rsid w:val="7178D0F1"/>
    <w:rsid w:val="71B62A81"/>
    <w:rsid w:val="71F31F70"/>
    <w:rsid w:val="72275430"/>
    <w:rsid w:val="722F18B3"/>
    <w:rsid w:val="72593A39"/>
    <w:rsid w:val="72A11BF1"/>
    <w:rsid w:val="73880302"/>
    <w:rsid w:val="739245FB"/>
    <w:rsid w:val="74C57E64"/>
    <w:rsid w:val="74E13356"/>
    <w:rsid w:val="75B2BE49"/>
    <w:rsid w:val="75C6C20E"/>
    <w:rsid w:val="769FC141"/>
    <w:rsid w:val="76FD72B8"/>
    <w:rsid w:val="773448E6"/>
    <w:rsid w:val="785C41CB"/>
    <w:rsid w:val="78CC46C6"/>
    <w:rsid w:val="78D7F673"/>
    <w:rsid w:val="7904005F"/>
    <w:rsid w:val="795F85FB"/>
    <w:rsid w:val="797DD842"/>
    <w:rsid w:val="7B0F0544"/>
    <w:rsid w:val="7C30B051"/>
    <w:rsid w:val="7C4DAD72"/>
    <w:rsid w:val="7CEC2D28"/>
    <w:rsid w:val="7D41D59F"/>
    <w:rsid w:val="7DCD5896"/>
    <w:rsid w:val="7DDCA2F9"/>
    <w:rsid w:val="7DE5C58A"/>
    <w:rsid w:val="7DEF1A70"/>
    <w:rsid w:val="7E2CC4F5"/>
    <w:rsid w:val="7E3FAAF8"/>
    <w:rsid w:val="7ED8855D"/>
    <w:rsid w:val="7EDD6512"/>
    <w:rsid w:val="7EE6F78C"/>
    <w:rsid w:val="7F2ED016"/>
    <w:rsid w:val="7F433875"/>
    <w:rsid w:val="7F8C6D23"/>
    <w:rsid w:val="7FCD0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C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FC"/>
    <w:pPr>
      <w:spacing w:before="120"/>
    </w:pPr>
    <w:rPr>
      <w:rFonts w:ascii="Franklin Gothic Book" w:hAnsi="Franklin Gothic Book"/>
    </w:rPr>
  </w:style>
  <w:style w:type="paragraph" w:styleId="Heading1">
    <w:name w:val="heading 1"/>
    <w:basedOn w:val="Normal"/>
    <w:next w:val="Normal"/>
    <w:link w:val="Heading1Char"/>
    <w:uiPriority w:val="9"/>
    <w:qFormat/>
    <w:rsid w:val="001531D6"/>
    <w:pPr>
      <w:keepNext/>
      <w:keepLines/>
      <w:numPr>
        <w:numId w:val="1"/>
      </w:numPr>
      <w:pBdr>
        <w:bottom w:val="single" w:sz="4" w:space="1" w:color="auto"/>
      </w:pBdr>
      <w:spacing w:before="600" w:after="480" w:line="240" w:lineRule="auto"/>
      <w:ind w:left="357" w:hanging="357"/>
      <w:outlineLvl w:val="0"/>
    </w:pPr>
    <w:rPr>
      <w:rFonts w:ascii="Franklin Gothic Medium" w:eastAsiaTheme="majorEastAsia" w:hAnsi="Franklin Gothic Medium" w:cstheme="majorBidi"/>
      <w:sz w:val="44"/>
      <w:szCs w:val="32"/>
    </w:rPr>
  </w:style>
  <w:style w:type="paragraph" w:styleId="Heading2">
    <w:name w:val="heading 2"/>
    <w:basedOn w:val="Normal"/>
    <w:next w:val="Normal"/>
    <w:link w:val="Heading2Char"/>
    <w:uiPriority w:val="9"/>
    <w:unhideWhenUsed/>
    <w:qFormat/>
    <w:rsid w:val="001531D6"/>
    <w:pPr>
      <w:keepNext/>
      <w:keepLines/>
      <w:numPr>
        <w:ilvl w:val="1"/>
        <w:numId w:val="1"/>
      </w:numPr>
      <w:spacing w:before="360" w:after="24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Normal"/>
    <w:next w:val="Normal"/>
    <w:link w:val="Heading3Char"/>
    <w:uiPriority w:val="9"/>
    <w:unhideWhenUsed/>
    <w:qFormat/>
    <w:rsid w:val="005103C5"/>
    <w:pPr>
      <w:keepNext/>
      <w:keepLines/>
      <w:tabs>
        <w:tab w:val="left" w:pos="851"/>
      </w:tabs>
      <w:spacing w:before="360" w:after="200" w:line="240" w:lineRule="auto"/>
      <w:outlineLvl w:val="2"/>
    </w:pPr>
    <w:rPr>
      <w:rFonts w:ascii="Franklin Gothic Medium" w:eastAsiaTheme="majorEastAsia" w:hAnsi="Franklin Gothic Medium" w:cstheme="majorBidi"/>
      <w:sz w:val="24"/>
      <w:szCs w:val="24"/>
    </w:rPr>
  </w:style>
  <w:style w:type="paragraph" w:styleId="Heading4">
    <w:name w:val="heading 4"/>
    <w:basedOn w:val="Heading3"/>
    <w:next w:val="Normal"/>
    <w:link w:val="Heading4Char"/>
    <w:uiPriority w:val="9"/>
    <w:unhideWhenUsed/>
    <w:qFormat/>
    <w:rsid w:val="00A776A4"/>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qFormat/>
    <w:rsid w:val="003E7773"/>
    <w:pPr>
      <w:spacing w:before="40" w:after="40" w:line="240" w:lineRule="auto"/>
    </w:pPr>
    <w:rPr>
      <w:rFonts w:ascii="Arial Narrow" w:hAnsi="Arial Narrow"/>
      <w:sz w:val="20"/>
    </w:rPr>
  </w:style>
  <w:style w:type="paragraph" w:customStyle="1" w:styleId="TableHeading">
    <w:name w:val="TableHeading"/>
    <w:basedOn w:val="Normal"/>
    <w:link w:val="TableHeadingChar"/>
    <w:qFormat/>
    <w:rsid w:val="00B151CF"/>
    <w:pPr>
      <w:keepNext/>
      <w:spacing w:after="60" w:line="240" w:lineRule="auto"/>
    </w:pPr>
    <w:rPr>
      <w:rFonts w:ascii="Arial Narrow" w:hAnsi="Arial Narrow"/>
      <w:b/>
      <w:sz w:val="20"/>
    </w:rPr>
  </w:style>
  <w:style w:type="paragraph" w:styleId="CommentText">
    <w:name w:val="annotation text"/>
    <w:basedOn w:val="Normal"/>
    <w:link w:val="CommentTextChar"/>
    <w:uiPriority w:val="99"/>
    <w:unhideWhenUsed/>
    <w:rsid w:val="003E7773"/>
    <w:pPr>
      <w:spacing w:after="240" w:line="240" w:lineRule="auto"/>
    </w:pPr>
    <w:rPr>
      <w:rFonts w:ascii="Calibri" w:eastAsia="Times New Roman" w:hAnsi="Calibri" w:cs="Times New Roman"/>
      <w:color w:val="000000"/>
      <w:szCs w:val="24"/>
      <w:lang w:eastAsia="en-AU"/>
    </w:rPr>
  </w:style>
  <w:style w:type="character" w:customStyle="1" w:styleId="CommentTextChar">
    <w:name w:val="Comment Text Char"/>
    <w:basedOn w:val="DefaultParagraphFont"/>
    <w:link w:val="CommentText"/>
    <w:uiPriority w:val="99"/>
    <w:rsid w:val="003E7773"/>
    <w:rPr>
      <w:rFonts w:ascii="Calibri" w:eastAsia="Times New Roman" w:hAnsi="Calibri" w:cs="Times New Roman"/>
      <w:color w:val="000000"/>
      <w:szCs w:val="24"/>
      <w:lang w:eastAsia="en-AU"/>
    </w:rPr>
  </w:style>
  <w:style w:type="character" w:styleId="CommentReference">
    <w:name w:val="annotation reference"/>
    <w:aliases w:val="Table Title"/>
    <w:basedOn w:val="DefaultParagraphFont"/>
    <w:uiPriority w:val="99"/>
    <w:unhideWhenUsed/>
    <w:qFormat/>
    <w:rsid w:val="003E7773"/>
    <w:rPr>
      <w:sz w:val="16"/>
      <w:szCs w:val="16"/>
    </w:rPr>
  </w:style>
  <w:style w:type="character" w:customStyle="1" w:styleId="TableTextChar">
    <w:name w:val="Table Text Char"/>
    <w:basedOn w:val="DefaultParagraphFont"/>
    <w:link w:val="TableText"/>
    <w:rsid w:val="003E7773"/>
    <w:rPr>
      <w:rFonts w:ascii="Arial Narrow" w:hAnsi="Arial Narrow"/>
      <w:sz w:val="20"/>
    </w:rPr>
  </w:style>
  <w:style w:type="character" w:customStyle="1" w:styleId="TableHeadingChar">
    <w:name w:val="TableHeading Char"/>
    <w:link w:val="TableHeading"/>
    <w:rsid w:val="00B151CF"/>
    <w:rPr>
      <w:rFonts w:ascii="Arial Narrow" w:hAnsi="Arial Narrow"/>
      <w:b/>
      <w:sz w:val="20"/>
    </w:rPr>
  </w:style>
  <w:style w:type="paragraph" w:styleId="BalloonText">
    <w:name w:val="Balloon Text"/>
    <w:basedOn w:val="Normal"/>
    <w:link w:val="BalloonTextChar"/>
    <w:uiPriority w:val="99"/>
    <w:semiHidden/>
    <w:unhideWhenUsed/>
    <w:rsid w:val="003E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7773"/>
    <w:pPr>
      <w:spacing w:after="160"/>
    </w:pPr>
    <w:rPr>
      <w:rFonts w:asciiTheme="minorHAnsi" w:eastAsiaTheme="minorHAnsi" w:hAnsiTheme="minorHAnsi" w:cstheme="minorBidi"/>
      <w:b/>
      <w:bCs/>
      <w:color w:val="auto"/>
      <w:sz w:val="20"/>
      <w:szCs w:val="20"/>
      <w:lang w:eastAsia="en-US"/>
    </w:rPr>
  </w:style>
  <w:style w:type="character" w:customStyle="1" w:styleId="CommentSubjectChar">
    <w:name w:val="Comment Subject Char"/>
    <w:basedOn w:val="CommentTextChar"/>
    <w:link w:val="CommentSubject"/>
    <w:uiPriority w:val="99"/>
    <w:semiHidden/>
    <w:rsid w:val="003E7773"/>
    <w:rPr>
      <w:rFonts w:ascii="Calibri" w:eastAsia="Times New Roman" w:hAnsi="Calibri" w:cs="Times New Roman"/>
      <w:b/>
      <w:bCs/>
      <w:color w:val="000000"/>
      <w:sz w:val="20"/>
      <w:szCs w:val="20"/>
      <w:lang w:eastAsia="en-AU"/>
    </w:rPr>
  </w:style>
  <w:style w:type="character" w:customStyle="1" w:styleId="Heading1Char">
    <w:name w:val="Heading 1 Char"/>
    <w:basedOn w:val="DefaultParagraphFont"/>
    <w:link w:val="Heading1"/>
    <w:uiPriority w:val="9"/>
    <w:rsid w:val="001531D6"/>
    <w:rPr>
      <w:rFonts w:ascii="Franklin Gothic Medium" w:eastAsiaTheme="majorEastAsia" w:hAnsi="Franklin Gothic Medium" w:cstheme="majorBidi"/>
      <w:sz w:val="44"/>
      <w:szCs w:val="32"/>
    </w:rPr>
  </w:style>
  <w:style w:type="character" w:customStyle="1" w:styleId="Heading2Char">
    <w:name w:val="Heading 2 Char"/>
    <w:basedOn w:val="DefaultParagraphFont"/>
    <w:link w:val="Heading2"/>
    <w:uiPriority w:val="9"/>
    <w:rsid w:val="001531D6"/>
    <w:rPr>
      <w:rFonts w:ascii="Franklin Gothic Medium" w:eastAsiaTheme="majorEastAsia" w:hAnsi="Franklin Gothic Medium" w:cstheme="majorBidi"/>
      <w:color w:val="000000" w:themeColor="text1"/>
      <w:sz w:val="32"/>
      <w:szCs w:val="26"/>
    </w:rPr>
  </w:style>
  <w:style w:type="character" w:customStyle="1" w:styleId="Heading3Char">
    <w:name w:val="Heading 3 Char"/>
    <w:basedOn w:val="DefaultParagraphFont"/>
    <w:link w:val="Heading3"/>
    <w:uiPriority w:val="9"/>
    <w:rsid w:val="005103C5"/>
    <w:rPr>
      <w:rFonts w:ascii="Franklin Gothic Medium" w:eastAsiaTheme="majorEastAsia" w:hAnsi="Franklin Gothic Medium" w:cstheme="majorBidi"/>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qFormat/>
    <w:rsid w:val="009A06F4"/>
    <w:pPr>
      <w:keepNext/>
      <w:spacing w:before="360" w:after="120" w:line="240" w:lineRule="auto"/>
    </w:pPr>
    <w:rPr>
      <w:rFonts w:ascii="Arial Narrow" w:eastAsia="Times New Roman" w:hAnsi="Arial Narrow" w:cs="Times New Roman"/>
      <w:b/>
      <w:bCs/>
      <w:sz w:val="20"/>
      <w:szCs w:val="20"/>
    </w:rPr>
  </w:style>
  <w:style w:type="table" w:customStyle="1" w:styleId="TableGrid1">
    <w:name w:val="Table Grid1"/>
    <w:basedOn w:val="TableNormal"/>
    <w:next w:val="TableGrid"/>
    <w:locked/>
    <w:rsid w:val="00CA528A"/>
    <w:pPr>
      <w:spacing w:before="40" w:after="40" w:line="240" w:lineRule="auto"/>
    </w:pPr>
    <w:rPr>
      <w:rFonts w:ascii="Arial Narrow" w:eastAsia="Times New Roman" w:hAnsi="Arial Narrow" w:cs="Times New Roman"/>
      <w:sz w:val="20"/>
      <w:szCs w:val="20"/>
      <w:lang w:eastAsia="en-AU"/>
    </w:rPr>
    <w:tblPr/>
    <w:tblStylePr w:type="firstRow">
      <w:rPr>
        <w:rFonts w:ascii="Arial Narrow" w:hAnsi="Arial Narrow"/>
        <w:b w:val="0"/>
        <w:sz w:val="20"/>
      </w:rPr>
    </w:tblStyle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Char"/>
    <w:basedOn w:val="DefaultParagraphFont"/>
    <w:link w:val="Caption"/>
    <w:rsid w:val="009A06F4"/>
    <w:rPr>
      <w:rFonts w:ascii="Arial Narrow" w:eastAsia="Times New Roman" w:hAnsi="Arial Narrow" w:cs="Times New Roman"/>
      <w:b/>
      <w:bCs/>
      <w:sz w:val="20"/>
      <w:szCs w:val="20"/>
    </w:rPr>
  </w:style>
  <w:style w:type="table" w:styleId="TableGrid">
    <w:name w:val="Table Grid"/>
    <w:aliases w:val="Summary box,Table Gridbeth,RTI AMCP Table,new style,ASD Table,CMA Table Template,Conclusion box,Table Grid nm,HealthConsult"/>
    <w:basedOn w:val="TableNormal"/>
    <w:uiPriority w:val="59"/>
    <w:rsid w:val="00CA528A"/>
    <w:pPr>
      <w:spacing w:after="0" w:line="240" w:lineRule="auto"/>
    </w:pPr>
    <w:tblPr/>
  </w:style>
  <w:style w:type="paragraph" w:customStyle="1" w:styleId="TableFigNote">
    <w:name w:val="TableFigNote"/>
    <w:basedOn w:val="Normal"/>
    <w:qFormat/>
    <w:rsid w:val="00CA528A"/>
    <w:pPr>
      <w:spacing w:after="360" w:line="240" w:lineRule="auto"/>
      <w:contextualSpacing/>
    </w:pPr>
    <w:rPr>
      <w:sz w:val="18"/>
    </w:rPr>
  </w:style>
  <w:style w:type="paragraph" w:styleId="ListParagraph">
    <w:name w:val="List Paragraph"/>
    <w:aliases w:val="BulletPoints,List Paragraph1,Numbered para,Bullet 1,Bullet point,List Paragraph11,Recommendation,BULLET,_CC_Bullet,Bullet1,Bullet List,Section 5,Bullets Points,BulletList 1,Bulletlist1,BulletList1,Colorful List - Accent 11,Styl moj"/>
    <w:basedOn w:val="Normal"/>
    <w:link w:val="ListParagraphChar"/>
    <w:uiPriority w:val="34"/>
    <w:qFormat/>
    <w:rsid w:val="00724F92"/>
    <w:pPr>
      <w:ind w:left="720"/>
      <w:contextualSpacing/>
    </w:pPr>
  </w:style>
  <w:style w:type="character" w:styleId="Strong">
    <w:name w:val="Strong"/>
    <w:basedOn w:val="DefaultParagraphFont"/>
    <w:uiPriority w:val="22"/>
    <w:qFormat/>
    <w:rsid w:val="00FD17BA"/>
    <w:rPr>
      <w:b/>
      <w:bCs/>
    </w:rPr>
  </w:style>
  <w:style w:type="paragraph" w:customStyle="1" w:styleId="TableName">
    <w:name w:val="TableName"/>
    <w:basedOn w:val="Normal"/>
    <w:qFormat/>
    <w:rsid w:val="00FD17BA"/>
    <w:pPr>
      <w:keepNext/>
      <w:spacing w:after="240" w:line="240" w:lineRule="auto"/>
      <w:ind w:left="1418" w:hanging="1418"/>
    </w:pPr>
    <w:rPr>
      <w:rFonts w:ascii="Franklin Gothic Medium" w:hAnsi="Franklin Gothic Medium"/>
    </w:rPr>
  </w:style>
  <w:style w:type="paragraph" w:customStyle="1" w:styleId="TableFigNoteHangingLast">
    <w:name w:val="TableFigNoteHanging Last"/>
    <w:basedOn w:val="TableFigNote"/>
    <w:qFormat/>
    <w:rsid w:val="00FD17BA"/>
    <w:pPr>
      <w:ind w:left="142" w:hanging="142"/>
    </w:pPr>
  </w:style>
  <w:style w:type="paragraph" w:customStyle="1" w:styleId="TableTextCA">
    <w:name w:val="Table Text CA"/>
    <w:basedOn w:val="TableText"/>
    <w:qFormat/>
    <w:rsid w:val="00FD17BA"/>
    <w:pPr>
      <w:jc w:val="center"/>
    </w:pPr>
  </w:style>
  <w:style w:type="paragraph" w:customStyle="1" w:styleId="TableHeadingCA">
    <w:name w:val="Table Heading CA"/>
    <w:basedOn w:val="TableHeading0"/>
    <w:qFormat/>
    <w:rsid w:val="00FD17BA"/>
    <w:pPr>
      <w:jc w:val="center"/>
    </w:pPr>
  </w:style>
  <w:style w:type="paragraph" w:customStyle="1" w:styleId="TableHeading0">
    <w:name w:val="Table Heading"/>
    <w:basedOn w:val="Normal"/>
    <w:qFormat/>
    <w:rsid w:val="00FD17BA"/>
    <w:pPr>
      <w:spacing w:after="60" w:line="240" w:lineRule="auto"/>
    </w:pPr>
    <w:rPr>
      <w:rFonts w:ascii="Arial Narrow" w:hAnsi="Arial Narrow"/>
      <w:b/>
      <w:sz w:val="20"/>
    </w:rPr>
  </w:style>
  <w:style w:type="paragraph" w:customStyle="1" w:styleId="TableFigNoteLast">
    <w:name w:val="TableFigNote Last"/>
    <w:basedOn w:val="TableFigNote"/>
    <w:qFormat/>
    <w:rsid w:val="00FD17BA"/>
  </w:style>
  <w:style w:type="character" w:customStyle="1" w:styleId="Heading4Char">
    <w:name w:val="Heading 4 Char"/>
    <w:basedOn w:val="DefaultParagraphFont"/>
    <w:link w:val="Heading4"/>
    <w:uiPriority w:val="9"/>
    <w:rsid w:val="00A776A4"/>
    <w:rPr>
      <w:rFonts w:ascii="Franklin Gothic Medium" w:eastAsiaTheme="majorEastAsia" w:hAnsi="Franklin Gothic Medium" w:cstheme="majorBidi"/>
      <w:i/>
      <w:sz w:val="24"/>
      <w:szCs w:val="24"/>
    </w:rPr>
  </w:style>
  <w:style w:type="paragraph" w:customStyle="1" w:styleId="2ChapterText">
    <w:name w:val="2ChapterText"/>
    <w:basedOn w:val="Normal"/>
    <w:qFormat/>
    <w:rsid w:val="00004F7F"/>
    <w:rPr>
      <w:shd w:val="clear" w:color="auto" w:fill="BDD6EE" w:themeFill="accent1" w:themeFillTint="66"/>
    </w:rPr>
  </w:style>
  <w:style w:type="paragraph" w:customStyle="1" w:styleId="1ExplanatoryText">
    <w:name w:val="1ExplanatoryText"/>
    <w:basedOn w:val="Normal"/>
    <w:qFormat/>
    <w:rsid w:val="00225833"/>
    <w:pPr>
      <w:shd w:val="clear" w:color="auto" w:fill="C5E0B3" w:themeFill="accent6" w:themeFillTint="66"/>
    </w:pPr>
  </w:style>
  <w:style w:type="character" w:styleId="Hyperlink">
    <w:name w:val="Hyperlink"/>
    <w:basedOn w:val="DefaultParagraphFont"/>
    <w:uiPriority w:val="99"/>
    <w:unhideWhenUsed/>
    <w:rsid w:val="00997BA8"/>
    <w:rPr>
      <w:color w:val="0070C0"/>
      <w:u w:val="single"/>
    </w:rPr>
  </w:style>
  <w:style w:type="paragraph" w:styleId="TOC1">
    <w:name w:val="toc 1"/>
    <w:basedOn w:val="Normal"/>
    <w:next w:val="Normal"/>
    <w:autoRedefine/>
    <w:uiPriority w:val="39"/>
    <w:unhideWhenUsed/>
    <w:rsid w:val="00C91651"/>
    <w:pPr>
      <w:tabs>
        <w:tab w:val="left" w:pos="1100"/>
        <w:tab w:val="left" w:pos="1531"/>
        <w:tab w:val="right" w:leader="dot" w:pos="9010"/>
      </w:tabs>
      <w:spacing w:after="100" w:line="240" w:lineRule="auto"/>
    </w:pPr>
    <w:rPr>
      <w:rFonts w:asciiTheme="minorHAnsi" w:hAnsiTheme="minorHAnsi"/>
      <w:b/>
    </w:rPr>
  </w:style>
  <w:style w:type="paragraph" w:styleId="TOC2">
    <w:name w:val="toc 2"/>
    <w:basedOn w:val="Normal"/>
    <w:next w:val="Normal"/>
    <w:autoRedefine/>
    <w:uiPriority w:val="39"/>
    <w:unhideWhenUsed/>
    <w:rsid w:val="00944087"/>
    <w:pPr>
      <w:tabs>
        <w:tab w:val="left" w:pos="1089"/>
        <w:tab w:val="right" w:leader="dot" w:pos="9010"/>
      </w:tabs>
      <w:spacing w:after="100" w:line="240" w:lineRule="auto"/>
    </w:pPr>
    <w:rPr>
      <w:rFonts w:asciiTheme="minorHAnsi" w:hAnsiTheme="minorHAnsi"/>
    </w:rPr>
  </w:style>
  <w:style w:type="paragraph" w:styleId="TOC3">
    <w:name w:val="toc 3"/>
    <w:basedOn w:val="Normal"/>
    <w:next w:val="Normal"/>
    <w:autoRedefine/>
    <w:uiPriority w:val="39"/>
    <w:unhideWhenUsed/>
    <w:rsid w:val="0088445B"/>
    <w:pPr>
      <w:spacing w:after="100" w:line="240" w:lineRule="auto"/>
      <w:ind w:left="720"/>
    </w:pPr>
    <w:rPr>
      <w:rFonts w:asciiTheme="minorHAnsi" w:hAnsiTheme="minorHAnsi"/>
    </w:rPr>
  </w:style>
  <w:style w:type="character" w:styleId="FollowedHyperlink">
    <w:name w:val="FollowedHyperlink"/>
    <w:basedOn w:val="DefaultParagraphFont"/>
    <w:uiPriority w:val="99"/>
    <w:semiHidden/>
    <w:unhideWhenUsed/>
    <w:rsid w:val="0088445B"/>
    <w:rPr>
      <w:color w:val="954F72" w:themeColor="followedHyperlink"/>
      <w:u w:val="single"/>
    </w:rPr>
  </w:style>
  <w:style w:type="paragraph" w:styleId="TOC9">
    <w:name w:val="toc 9"/>
    <w:basedOn w:val="Normal"/>
    <w:next w:val="Normal"/>
    <w:autoRedefine/>
    <w:uiPriority w:val="39"/>
    <w:unhideWhenUsed/>
    <w:rsid w:val="00AF3D39"/>
    <w:pPr>
      <w:spacing w:after="100"/>
      <w:ind w:left="1760"/>
    </w:pPr>
  </w:style>
  <w:style w:type="paragraph" w:styleId="Date">
    <w:name w:val="Date"/>
    <w:basedOn w:val="Normal"/>
    <w:next w:val="Normal"/>
    <w:link w:val="DateChar"/>
    <w:rsid w:val="000870B6"/>
    <w:pPr>
      <w:spacing w:before="1134" w:after="800"/>
      <w:ind w:left="4536"/>
    </w:pPr>
    <w:rPr>
      <w:rFonts w:ascii="Arial" w:eastAsia="Times New Roman" w:hAnsi="Arial" w:cs="Tahoma"/>
      <w:b/>
      <w:sz w:val="36"/>
      <w:lang w:eastAsia="en-AU"/>
    </w:rPr>
  </w:style>
  <w:style w:type="character" w:customStyle="1" w:styleId="DateChar">
    <w:name w:val="Date Char"/>
    <w:basedOn w:val="DefaultParagraphFont"/>
    <w:link w:val="Date"/>
    <w:rsid w:val="000870B6"/>
    <w:rPr>
      <w:rFonts w:ascii="Arial" w:eastAsia="Times New Roman" w:hAnsi="Arial" w:cs="Tahoma"/>
      <w:b/>
      <w:sz w:val="36"/>
      <w:lang w:eastAsia="en-AU"/>
    </w:rPr>
  </w:style>
  <w:style w:type="paragraph" w:customStyle="1" w:styleId="PublicationTitle">
    <w:name w:val="PublicationTitle"/>
    <w:basedOn w:val="Normal"/>
    <w:rsid w:val="000870B6"/>
    <w:pPr>
      <w:tabs>
        <w:tab w:val="left" w:pos="4536"/>
      </w:tabs>
      <w:spacing w:before="4536" w:after="800" w:line="480" w:lineRule="exact"/>
      <w:ind w:left="4536" w:right="113"/>
      <w:jc w:val="right"/>
    </w:pPr>
    <w:rPr>
      <w:rFonts w:ascii="Arial" w:eastAsia="Times New Roman" w:hAnsi="Arial" w:cs="Tahoma"/>
      <w:b/>
      <w:i/>
      <w:sz w:val="44"/>
      <w:lang w:eastAsia="en-AU"/>
    </w:rPr>
  </w:style>
  <w:style w:type="paragraph" w:customStyle="1" w:styleId="Sub-title">
    <w:name w:val="Sub-title"/>
    <w:basedOn w:val="Normal"/>
    <w:locked/>
    <w:rsid w:val="00401DBF"/>
    <w:pPr>
      <w:spacing w:before="1701"/>
      <w:ind w:left="4536"/>
    </w:pPr>
    <w:rPr>
      <w:rFonts w:ascii="Arial" w:eastAsia="Times New Roman" w:hAnsi="Arial" w:cs="Tahoma"/>
      <w:b/>
      <w:sz w:val="32"/>
      <w:lang w:eastAsia="en-AU"/>
    </w:rPr>
  </w:style>
  <w:style w:type="paragraph" w:customStyle="1" w:styleId="Nnumberedlist">
    <w:name w:val="Nnumbered list"/>
    <w:basedOn w:val="Normal"/>
    <w:rsid w:val="00AF3D39"/>
    <w:pPr>
      <w:numPr>
        <w:numId w:val="2"/>
      </w:numPr>
      <w:jc w:val="both"/>
    </w:pPr>
    <w:rPr>
      <w:rFonts w:ascii="Calibri" w:eastAsia="Times New Roman" w:hAnsi="Calibri" w:cs="Tahoma"/>
      <w:lang w:eastAsia="en-AU"/>
    </w:rPr>
  </w:style>
  <w:style w:type="paragraph" w:styleId="TOCHeading">
    <w:name w:val="TOC Heading"/>
    <w:basedOn w:val="Heading1"/>
    <w:next w:val="Normal"/>
    <w:uiPriority w:val="39"/>
    <w:unhideWhenUsed/>
    <w:qFormat/>
    <w:rsid w:val="00DE7099"/>
    <w:pPr>
      <w:numPr>
        <w:numId w:val="0"/>
      </w:numPr>
      <w:pBdr>
        <w:bottom w:val="none" w:sz="0" w:space="0" w:color="auto"/>
      </w:pBdr>
      <w:spacing w:before="240" w:after="0" w:line="259" w:lineRule="auto"/>
      <w:outlineLvl w:val="9"/>
    </w:pPr>
    <w:rPr>
      <w:rFonts w:asciiTheme="majorHAnsi" w:hAnsiTheme="majorHAnsi"/>
      <w:color w:val="2E74B5" w:themeColor="accent1" w:themeShade="BF"/>
      <w:sz w:val="32"/>
      <w:lang w:val="en-US"/>
    </w:rPr>
  </w:style>
  <w:style w:type="paragraph" w:styleId="TOC4">
    <w:name w:val="toc 4"/>
    <w:basedOn w:val="Normal"/>
    <w:next w:val="Normal"/>
    <w:autoRedefine/>
    <w:uiPriority w:val="39"/>
    <w:unhideWhenUsed/>
    <w:rsid w:val="00DE7099"/>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DE7099"/>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DE7099"/>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DE7099"/>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DE7099"/>
    <w:pPr>
      <w:spacing w:after="100"/>
      <w:ind w:left="1540"/>
    </w:pPr>
    <w:rPr>
      <w:rFonts w:asciiTheme="minorHAnsi" w:eastAsiaTheme="minorEastAsia" w:hAnsiTheme="minorHAnsi"/>
      <w:lang w:eastAsia="en-AU"/>
    </w:rPr>
  </w:style>
  <w:style w:type="paragraph" w:customStyle="1" w:styleId="In-tableHeading">
    <w:name w:val="In-table Heading"/>
    <w:qFormat/>
    <w:rsid w:val="000472D4"/>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Footer">
    <w:name w:val="Table/Figure Footer"/>
    <w:basedOn w:val="Normal"/>
    <w:link w:val="TableFigureFooterChar"/>
    <w:qFormat/>
    <w:rsid w:val="009A06F4"/>
    <w:pPr>
      <w:tabs>
        <w:tab w:val="left" w:pos="284"/>
      </w:tabs>
      <w:spacing w:after="360" w:line="240" w:lineRule="auto"/>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9A06F4"/>
    <w:rPr>
      <w:rFonts w:ascii="Arial Narrow" w:eastAsia="Times New Roman" w:hAnsi="Arial Narrow" w:cs="Arial"/>
      <w:snapToGrid w:val="0"/>
      <w:sz w:val="18"/>
      <w:lang w:eastAsia="en-AU"/>
    </w:rPr>
  </w:style>
  <w:style w:type="character" w:styleId="Emphasis">
    <w:name w:val="Emphasis"/>
    <w:uiPriority w:val="20"/>
    <w:qFormat/>
    <w:rsid w:val="00566298"/>
    <w:rPr>
      <w:i/>
      <w:iCs/>
    </w:rPr>
  </w:style>
  <w:style w:type="paragraph" w:styleId="Header">
    <w:name w:val="header"/>
    <w:basedOn w:val="Normal"/>
    <w:link w:val="HeaderChar"/>
    <w:uiPriority w:val="99"/>
    <w:unhideWhenUsed/>
    <w:rsid w:val="00B62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F2"/>
    <w:rPr>
      <w:rFonts w:ascii="Franklin Gothic Book" w:hAnsi="Franklin Gothic Book"/>
    </w:rPr>
  </w:style>
  <w:style w:type="paragraph" w:styleId="Footer">
    <w:name w:val="footer"/>
    <w:basedOn w:val="Normal"/>
    <w:link w:val="FooterChar"/>
    <w:uiPriority w:val="99"/>
    <w:unhideWhenUsed/>
    <w:rsid w:val="00B62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F2"/>
    <w:rPr>
      <w:rFonts w:ascii="Franklin Gothic Book" w:hAnsi="Franklin Gothic Book"/>
    </w:rPr>
  </w:style>
  <w:style w:type="paragraph" w:customStyle="1" w:styleId="Tablenotes">
    <w:name w:val="Tablenotes"/>
    <w:basedOn w:val="Normal"/>
    <w:link w:val="TablenotesChar"/>
    <w:qFormat/>
    <w:rsid w:val="00242F4E"/>
    <w:pPr>
      <w:widowControl w:val="0"/>
      <w:spacing w:after="120" w:line="240" w:lineRule="auto"/>
      <w:contextualSpacing/>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42F4E"/>
    <w:rPr>
      <w:rFonts w:ascii="Arial Narrow" w:eastAsia="Times New Roman" w:hAnsi="Arial Narrow" w:cs="Arial"/>
      <w:snapToGrid w:val="0"/>
      <w:sz w:val="18"/>
      <w:szCs w:val="20"/>
    </w:rPr>
  </w:style>
  <w:style w:type="character" w:customStyle="1" w:styleId="ListParagraphChar">
    <w:name w:val="List Paragraph Char"/>
    <w:aliases w:val="BulletPoints Char,List Paragraph1 Char,Numbered para Char,Bullet 1 Char,Bullet point Char,List Paragraph11 Char,Recommendation Char,BULLET Char,_CC_Bullet Char,Bullet1 Char,Bullet List Char,Section 5 Char,Bullets Points Char"/>
    <w:basedOn w:val="DefaultParagraphFont"/>
    <w:link w:val="ListParagraph"/>
    <w:uiPriority w:val="34"/>
    <w:qFormat/>
    <w:rsid w:val="00A454B3"/>
    <w:rPr>
      <w:rFonts w:ascii="Franklin Gothic Book" w:hAnsi="Franklin Gothic Book"/>
    </w:rPr>
  </w:style>
  <w:style w:type="table" w:customStyle="1" w:styleId="TableGridLight1">
    <w:name w:val="Table Grid Light1"/>
    <w:basedOn w:val="TableNormal"/>
    <w:uiPriority w:val="40"/>
    <w:rsid w:val="00BA59FB"/>
    <w:pPr>
      <w:spacing w:after="0" w:line="240" w:lineRule="auto"/>
    </w:pPr>
    <w:rPr>
      <w:lang w:val="en-US"/>
    </w:rPr>
    <w:tblPr/>
    <w:tcPr>
      <w:shd w:val="clear" w:color="auto" w:fill="F2F2F2" w:themeFill="background1" w:themeFillShade="F2"/>
    </w:tcPr>
  </w:style>
  <w:style w:type="paragraph" w:customStyle="1" w:styleId="Bullet">
    <w:name w:val="Bullet"/>
    <w:basedOn w:val="Normal"/>
    <w:qFormat/>
    <w:rsid w:val="00BA59FB"/>
    <w:pPr>
      <w:numPr>
        <w:numId w:val="3"/>
      </w:numPr>
      <w:spacing w:after="120" w:line="240" w:lineRule="auto"/>
    </w:pPr>
    <w:rPr>
      <w:rFonts w:asciiTheme="minorHAnsi" w:hAnsiTheme="minorHAnsi"/>
    </w:rPr>
  </w:style>
  <w:style w:type="paragraph" w:customStyle="1" w:styleId="TableFigureHeading">
    <w:name w:val="Table/Figure Heading"/>
    <w:next w:val="In-tableHeading"/>
    <w:link w:val="TableFigureHeadingChar"/>
    <w:qFormat/>
    <w:rsid w:val="00F257B5"/>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257B5"/>
    <w:rPr>
      <w:rFonts w:ascii="Arial Narrow" w:eastAsiaTheme="majorEastAsia" w:hAnsi="Arial Narrow" w:cstheme="majorBidi"/>
      <w:b/>
      <w:bCs/>
      <w:sz w:val="20"/>
      <w:szCs w:val="24"/>
      <w:lang w:eastAsia="en-AU"/>
    </w:rPr>
  </w:style>
  <w:style w:type="paragraph" w:customStyle="1" w:styleId="Tabletext0">
    <w:name w:val="Table text"/>
    <w:basedOn w:val="Normal"/>
    <w:link w:val="TabletextChar0"/>
    <w:qFormat/>
    <w:rsid w:val="001B2CD4"/>
    <w:pPr>
      <w:spacing w:before="40" w:after="40" w:line="240" w:lineRule="auto"/>
      <w:jc w:val="both"/>
    </w:pPr>
    <w:rPr>
      <w:rFonts w:ascii="Arial Narrow" w:eastAsia="Times New Roman" w:hAnsi="Arial Narrow" w:cs="Tahoma"/>
      <w:sz w:val="20"/>
      <w:szCs w:val="20"/>
      <w:lang w:eastAsia="en-AU"/>
    </w:rPr>
  </w:style>
  <w:style w:type="character" w:customStyle="1" w:styleId="TabletextChar0">
    <w:name w:val="Table text Char"/>
    <w:link w:val="Tabletext0"/>
    <w:rsid w:val="001B2CD4"/>
    <w:rPr>
      <w:rFonts w:ascii="Arial Narrow" w:eastAsia="Times New Roman" w:hAnsi="Arial Narrow" w:cs="Tahoma"/>
      <w:sz w:val="20"/>
      <w:szCs w:val="20"/>
      <w:lang w:eastAsia="en-AU"/>
    </w:rPr>
  </w:style>
  <w:style w:type="paragraph" w:customStyle="1" w:styleId="Tablenotes0">
    <w:name w:val="Table notes"/>
    <w:basedOn w:val="Normal"/>
    <w:link w:val="TablenotesChar0"/>
    <w:qFormat/>
    <w:rsid w:val="001B2CD4"/>
    <w:pPr>
      <w:spacing w:after="240"/>
      <w:contextualSpacing/>
      <w:jc w:val="both"/>
    </w:pPr>
    <w:rPr>
      <w:rFonts w:ascii="Arial Narrow" w:hAnsi="Arial Narrow" w:cs="Arial"/>
      <w:sz w:val="18"/>
    </w:rPr>
  </w:style>
  <w:style w:type="character" w:customStyle="1" w:styleId="TablenotesChar0">
    <w:name w:val="Table notes Char"/>
    <w:basedOn w:val="DefaultParagraphFont"/>
    <w:link w:val="Tablenotes0"/>
    <w:rsid w:val="001B2CD4"/>
    <w:rPr>
      <w:rFonts w:ascii="Arial Narrow" w:hAnsi="Arial Narrow" w:cs="Arial"/>
      <w:sz w:val="18"/>
    </w:rPr>
  </w:style>
  <w:style w:type="numbering" w:customStyle="1" w:styleId="ESSectionheading-numbered">
    <w:name w:val="ES. Section heading - numbered"/>
    <w:uiPriority w:val="99"/>
    <w:rsid w:val="002A4084"/>
    <w:pPr>
      <w:numPr>
        <w:numId w:val="4"/>
      </w:numPr>
    </w:pPr>
  </w:style>
  <w:style w:type="paragraph" w:customStyle="1" w:styleId="2-SectionHeading">
    <w:name w:val="2-Section Heading"/>
    <w:qFormat/>
    <w:rsid w:val="005131D3"/>
    <w:pPr>
      <w:keepNext/>
      <w:numPr>
        <w:numId w:val="5"/>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basedOn w:val="ListParagraph"/>
    <w:qFormat/>
    <w:rsid w:val="005131D3"/>
    <w:pPr>
      <w:numPr>
        <w:ilvl w:val="1"/>
        <w:numId w:val="5"/>
      </w:numPr>
      <w:spacing w:after="120" w:line="240" w:lineRule="auto"/>
      <w:contextualSpacing w:val="0"/>
      <w:jc w:val="both"/>
    </w:pPr>
    <w:rPr>
      <w:rFonts w:asciiTheme="minorHAnsi" w:eastAsia="Times New Roman" w:hAnsiTheme="minorHAnsi" w:cs="Arial"/>
      <w:snapToGrid w:val="0"/>
      <w:sz w:val="24"/>
      <w:szCs w:val="24"/>
      <w:lang w:eastAsia="en-AU"/>
    </w:rPr>
  </w:style>
  <w:style w:type="paragraph" w:customStyle="1" w:styleId="BoxName">
    <w:name w:val="Box Name"/>
    <w:basedOn w:val="Normal"/>
    <w:qFormat/>
    <w:rsid w:val="002B667C"/>
    <w:pPr>
      <w:pBdr>
        <w:top w:val="single" w:sz="4" w:space="4" w:color="auto"/>
        <w:left w:val="single" w:sz="4" w:space="4" w:color="auto"/>
        <w:bottom w:val="single" w:sz="4" w:space="4" w:color="auto"/>
        <w:right w:val="single" w:sz="4" w:space="4" w:color="auto"/>
      </w:pBdr>
      <w:spacing w:after="120" w:line="240" w:lineRule="auto"/>
    </w:pPr>
    <w:rPr>
      <w:rFonts w:ascii="Franklin Gothic Medium" w:hAnsi="Franklin Gothic Medium"/>
      <w:sz w:val="21"/>
    </w:rPr>
  </w:style>
  <w:style w:type="character" w:customStyle="1" w:styleId="InstructionBulletpointChar">
    <w:name w:val="Instruction Bullet point Char"/>
    <w:basedOn w:val="DefaultParagraphFont"/>
    <w:link w:val="InstructionBulletpoint"/>
    <w:uiPriority w:val="3"/>
    <w:locked/>
    <w:rsid w:val="00107DCD"/>
    <w:rPr>
      <w:rFonts w:ascii="Calibri" w:hAnsi="Calibri" w:cs="Calibri"/>
      <w:color w:val="0070C0"/>
      <w:sz w:val="24"/>
    </w:rPr>
  </w:style>
  <w:style w:type="paragraph" w:customStyle="1" w:styleId="InstructionBulletpoint">
    <w:name w:val="Instruction Bullet point"/>
    <w:basedOn w:val="Normal"/>
    <w:link w:val="InstructionBulletpointChar"/>
    <w:uiPriority w:val="3"/>
    <w:qFormat/>
    <w:rsid w:val="00107DCD"/>
    <w:pPr>
      <w:numPr>
        <w:numId w:val="6"/>
      </w:numPr>
      <w:spacing w:after="120" w:line="240" w:lineRule="auto"/>
      <w:ind w:left="714" w:hanging="357"/>
    </w:pPr>
    <w:rPr>
      <w:rFonts w:ascii="Calibri" w:hAnsi="Calibri" w:cs="Calibri"/>
      <w:color w:val="0070C0"/>
      <w:sz w:val="24"/>
    </w:rPr>
  </w:style>
  <w:style w:type="character" w:customStyle="1" w:styleId="TableFooterChar">
    <w:name w:val="Table Footer Char"/>
    <w:link w:val="TableFooter"/>
    <w:locked/>
    <w:rsid w:val="007B0880"/>
    <w:rPr>
      <w:rFonts w:ascii="Arial Narrow" w:eastAsia="Times New Roman" w:hAnsi="Arial Narrow" w:cs="Arial"/>
      <w:sz w:val="18"/>
      <w:szCs w:val="20"/>
    </w:rPr>
  </w:style>
  <w:style w:type="paragraph" w:customStyle="1" w:styleId="TableFooter">
    <w:name w:val="Table Footer"/>
    <w:basedOn w:val="Normal"/>
    <w:link w:val="TableFooterChar"/>
    <w:qFormat/>
    <w:rsid w:val="007B0880"/>
    <w:pPr>
      <w:widowControl w:val="0"/>
      <w:snapToGrid w:val="0"/>
      <w:spacing w:after="240" w:line="240" w:lineRule="auto"/>
      <w:contextualSpacing/>
      <w:jc w:val="both"/>
    </w:pPr>
    <w:rPr>
      <w:rFonts w:ascii="Arial Narrow" w:eastAsia="Times New Roman" w:hAnsi="Arial Narrow" w:cs="Arial"/>
      <w:sz w:val="18"/>
      <w:szCs w:val="20"/>
    </w:rPr>
  </w:style>
  <w:style w:type="table" w:customStyle="1" w:styleId="PBACTableStyle">
    <w:name w:val="PBAC Table Style"/>
    <w:basedOn w:val="TableGrid10"/>
    <w:uiPriority w:val="99"/>
    <w:rsid w:val="007B0880"/>
    <w:pPr>
      <w:widowControl w:val="0"/>
      <w:spacing w:before="120" w:after="0" w:line="240" w:lineRule="auto"/>
      <w:contextualSpacing/>
      <w:jc w:val="center"/>
    </w:pPr>
    <w:rPr>
      <w:rFonts w:ascii="Arial Narrow" w:hAnsi="Arial Narrow"/>
      <w:color w:val="000000" w:themeColor="text1"/>
      <w:sz w:val="20"/>
      <w:szCs w:val="20"/>
      <w:lang w:val="en-US" w:eastAsia="en-AU"/>
    </w:rPr>
    <w:tbl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Arial Narrow" w:hAnsi="Arial Narrow"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Arial Narrow" w:hAnsi="Arial Narrow"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Arial Narrow" w:hAnsi="Arial Narrow" w:hint="default"/>
        <w:i/>
        <w:iCs/>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0">
    <w:name w:val="Table Grid 1"/>
    <w:basedOn w:val="TableNormal"/>
    <w:uiPriority w:val="99"/>
    <w:semiHidden/>
    <w:unhideWhenUsed/>
    <w:rsid w:val="007B0880"/>
    <w:tblPr/>
    <w:tcPr>
      <w:shd w:val="clear" w:color="auto" w:fill="auto"/>
    </w:tcPr>
    <w:tblStylePr w:type="lastRow">
      <w:rPr>
        <w:i/>
        <w:iCs/>
      </w:rPr>
    </w:tblStylePr>
    <w:tblStylePr w:type="lastCol">
      <w:rPr>
        <w:i/>
        <w:iCs/>
      </w:rPr>
    </w:tblStylePr>
  </w:style>
  <w:style w:type="character" w:customStyle="1" w:styleId="MSACESParagraphChar">
    <w:name w:val="MSAC ES Paragraph Char"/>
    <w:basedOn w:val="DefaultParagraphFont"/>
    <w:link w:val="MSACESParagraph"/>
    <w:uiPriority w:val="1"/>
    <w:locked/>
    <w:rsid w:val="000B720C"/>
    <w:rPr>
      <w:rFonts w:ascii="Times New Roman" w:hAnsi="Times New Roman" w:cs="Times New Roman"/>
      <w:sz w:val="24"/>
    </w:rPr>
  </w:style>
  <w:style w:type="paragraph" w:customStyle="1" w:styleId="MSACESParagraph">
    <w:name w:val="MSAC ES Paragraph"/>
    <w:link w:val="MSACESParagraphChar"/>
    <w:uiPriority w:val="1"/>
    <w:qFormat/>
    <w:rsid w:val="000B720C"/>
    <w:pPr>
      <w:spacing w:after="240" w:line="240" w:lineRule="auto"/>
    </w:pPr>
    <w:rPr>
      <w:rFonts w:ascii="Times New Roman" w:hAnsi="Times New Roman" w:cs="Times New Roman"/>
      <w:sz w:val="24"/>
    </w:rPr>
  </w:style>
  <w:style w:type="paragraph" w:styleId="FootnoteText">
    <w:name w:val="footnote text"/>
    <w:basedOn w:val="Normal"/>
    <w:link w:val="FootnoteTextChar"/>
    <w:uiPriority w:val="99"/>
    <w:unhideWhenUsed/>
    <w:rsid w:val="00804632"/>
    <w:pPr>
      <w:spacing w:after="0" w:line="240" w:lineRule="auto"/>
    </w:pPr>
    <w:rPr>
      <w:rFonts w:asciiTheme="minorHAnsi" w:hAnsiTheme="minorHAnsi"/>
      <w:sz w:val="18"/>
      <w:szCs w:val="20"/>
    </w:rPr>
  </w:style>
  <w:style w:type="character" w:customStyle="1" w:styleId="FootnoteTextChar">
    <w:name w:val="Footnote Text Char"/>
    <w:basedOn w:val="DefaultParagraphFont"/>
    <w:link w:val="FootnoteText"/>
    <w:uiPriority w:val="99"/>
    <w:rsid w:val="00804632"/>
    <w:rPr>
      <w:sz w:val="18"/>
      <w:szCs w:val="20"/>
    </w:rPr>
  </w:style>
  <w:style w:type="character" w:styleId="FootnoteReference">
    <w:name w:val="footnote reference"/>
    <w:basedOn w:val="DefaultParagraphFont"/>
    <w:unhideWhenUsed/>
    <w:rsid w:val="00804632"/>
    <w:rPr>
      <w:vertAlign w:val="superscript"/>
    </w:rPr>
  </w:style>
  <w:style w:type="paragraph" w:customStyle="1" w:styleId="TableFigNoteHanging">
    <w:name w:val="TableFigNoteHanging"/>
    <w:basedOn w:val="TableFigNoteHangingLast"/>
    <w:qFormat/>
    <w:rsid w:val="00804632"/>
    <w:pPr>
      <w:spacing w:after="0"/>
      <w:contextualSpacing w:val="0"/>
    </w:pPr>
    <w:rPr>
      <w:rFonts w:asciiTheme="minorHAnsi" w:hAnsiTheme="minorHAnsi"/>
    </w:rPr>
  </w:style>
  <w:style w:type="table" w:customStyle="1" w:styleId="TableGrid2">
    <w:name w:val="Table Grid2"/>
    <w:basedOn w:val="TableNormal"/>
    <w:next w:val="TableGrid"/>
    <w:uiPriority w:val="59"/>
    <w:rsid w:val="00804632"/>
    <w:pPr>
      <w:spacing w:after="240" w:line="240" w:lineRule="auto"/>
      <w:ind w:left="720"/>
    </w:pPr>
    <w:rPr>
      <w:rFonts w:ascii="Times New Roman" w:eastAsia="Times New Roman" w:hAnsi="Times New Roman" w:cs="Times New Roman"/>
      <w:sz w:val="20"/>
      <w:szCs w:val="20"/>
      <w:lang w:eastAsia="en-AU"/>
    </w:rPr>
    <w:tblPr/>
  </w:style>
  <w:style w:type="paragraph" w:customStyle="1" w:styleId="Summaryboxheading">
    <w:name w:val="Summary box heading"/>
    <w:basedOn w:val="Normal"/>
    <w:rsid w:val="00666A58"/>
    <w:pPr>
      <w:spacing w:after="100" w:afterAutospacing="1"/>
      <w:jc w:val="both"/>
    </w:pPr>
    <w:rPr>
      <w:rFonts w:ascii="Arial Narrow" w:eastAsia="Times New Roman" w:hAnsi="Arial Narrow" w:cs="Tahoma"/>
      <w:b/>
      <w:lang w:eastAsia="en-AU"/>
    </w:rPr>
  </w:style>
  <w:style w:type="paragraph" w:customStyle="1" w:styleId="TableText1">
    <w:name w:val="TableText"/>
    <w:basedOn w:val="Normal"/>
    <w:link w:val="TableTextChar1"/>
    <w:rsid w:val="001C2A48"/>
    <w:pPr>
      <w:keepNext/>
      <w:spacing w:before="40" w:after="40"/>
      <w:jc w:val="both"/>
    </w:pPr>
    <w:rPr>
      <w:rFonts w:ascii="Arial Narrow" w:eastAsia="Times New Roman" w:hAnsi="Arial Narrow" w:cs="Tahoma"/>
      <w:sz w:val="18"/>
      <w:lang w:eastAsia="en-AU"/>
    </w:rPr>
  </w:style>
  <w:style w:type="character" w:customStyle="1" w:styleId="TableTextChar1">
    <w:name w:val="TableText Char"/>
    <w:link w:val="TableText1"/>
    <w:rsid w:val="001C2A48"/>
    <w:rPr>
      <w:rFonts w:ascii="Arial Narrow" w:eastAsia="Times New Roman" w:hAnsi="Arial Narrow" w:cs="Tahoma"/>
      <w:sz w:val="18"/>
      <w:lang w:eastAsia="en-AU"/>
    </w:rPr>
  </w:style>
  <w:style w:type="paragraph" w:customStyle="1" w:styleId="References">
    <w:name w:val="References"/>
    <w:basedOn w:val="Normal"/>
    <w:rsid w:val="001C2A48"/>
    <w:pPr>
      <w:keepLines/>
      <w:spacing w:after="240" w:line="312" w:lineRule="auto"/>
      <w:ind w:left="1440" w:hanging="720"/>
    </w:pPr>
    <w:rPr>
      <w:rFonts w:ascii="Calibri" w:eastAsia="Times New Roman" w:hAnsi="Calibri" w:cs="Tahoma"/>
      <w:lang w:eastAsia="en-AU"/>
    </w:rPr>
  </w:style>
  <w:style w:type="paragraph" w:styleId="Title">
    <w:name w:val="Title"/>
    <w:basedOn w:val="Normal"/>
    <w:next w:val="Normal"/>
    <w:link w:val="TitleChar"/>
    <w:qFormat/>
    <w:rsid w:val="00772829"/>
    <w:pPr>
      <w:spacing w:before="480" w:after="240" w:line="240" w:lineRule="auto"/>
      <w:jc w:val="center"/>
    </w:pPr>
    <w:rPr>
      <w:rFonts w:ascii="Arial" w:eastAsia="Times New Roman" w:hAnsi="Arial" w:cs="Arial"/>
      <w:b/>
      <w:bCs/>
      <w:color w:val="000080"/>
      <w:sz w:val="36"/>
      <w:szCs w:val="36"/>
      <w:lang w:eastAsia="en-AU"/>
    </w:rPr>
  </w:style>
  <w:style w:type="character" w:customStyle="1" w:styleId="TitleChar">
    <w:name w:val="Title Char"/>
    <w:basedOn w:val="DefaultParagraphFont"/>
    <w:link w:val="Title"/>
    <w:rsid w:val="00772829"/>
    <w:rPr>
      <w:rFonts w:ascii="Arial" w:eastAsia="Times New Roman" w:hAnsi="Arial" w:cs="Arial"/>
      <w:b/>
      <w:bCs/>
      <w:color w:val="000080"/>
      <w:sz w:val="36"/>
      <w:szCs w:val="36"/>
      <w:lang w:eastAsia="en-AU"/>
    </w:rPr>
  </w:style>
  <w:style w:type="paragraph" w:styleId="Subtitle">
    <w:name w:val="Subtitle"/>
    <w:basedOn w:val="Normal"/>
    <w:next w:val="Normal"/>
    <w:link w:val="SubtitleChar"/>
    <w:qFormat/>
    <w:rsid w:val="00772829"/>
    <w:pPr>
      <w:spacing w:after="240" w:line="240" w:lineRule="auto"/>
      <w:jc w:val="center"/>
    </w:pPr>
    <w:rPr>
      <w:rFonts w:ascii="Arial" w:eastAsia="Times New Roman" w:hAnsi="Arial" w:cs="Arial"/>
      <w:b/>
      <w:bCs/>
      <w:i/>
      <w:color w:val="000080"/>
      <w:sz w:val="28"/>
      <w:szCs w:val="28"/>
      <w:lang w:eastAsia="en-AU"/>
    </w:rPr>
  </w:style>
  <w:style w:type="character" w:customStyle="1" w:styleId="SubtitleChar">
    <w:name w:val="Subtitle Char"/>
    <w:basedOn w:val="DefaultParagraphFont"/>
    <w:link w:val="Subtitle"/>
    <w:rsid w:val="00772829"/>
    <w:rPr>
      <w:rFonts w:ascii="Arial" w:eastAsia="Times New Roman" w:hAnsi="Arial" w:cs="Arial"/>
      <w:b/>
      <w:bCs/>
      <w:i/>
      <w:color w:val="000080"/>
      <w:sz w:val="28"/>
      <w:szCs w:val="28"/>
      <w:lang w:eastAsia="en-AU"/>
    </w:rPr>
  </w:style>
  <w:style w:type="paragraph" w:customStyle="1" w:styleId="ESHeading1">
    <w:name w:val="ES Heading1"/>
    <w:basedOn w:val="Heading2"/>
    <w:next w:val="Normal"/>
    <w:qFormat/>
    <w:rsid w:val="002C70CE"/>
    <w:pPr>
      <w:numPr>
        <w:ilvl w:val="0"/>
        <w:numId w:val="7"/>
      </w:numPr>
      <w:spacing w:before="240"/>
      <w:ind w:left="2154" w:hanging="357"/>
    </w:pPr>
  </w:style>
  <w:style w:type="paragraph" w:customStyle="1" w:styleId="NormalBeforeBullet">
    <w:name w:val="Normal Before Bullet"/>
    <w:basedOn w:val="Normal"/>
    <w:qFormat/>
    <w:rsid w:val="00091C59"/>
    <w:pPr>
      <w:keepNext/>
      <w:spacing w:after="120" w:line="240" w:lineRule="auto"/>
    </w:pPr>
    <w:rPr>
      <w:rFonts w:asciiTheme="minorHAnsi" w:hAnsiTheme="minorHAnsi"/>
    </w:rPr>
  </w:style>
  <w:style w:type="paragraph" w:customStyle="1" w:styleId="Dash">
    <w:name w:val="Dash"/>
    <w:basedOn w:val="Bullet"/>
    <w:qFormat/>
    <w:rsid w:val="00091C59"/>
    <w:pPr>
      <w:numPr>
        <w:numId w:val="8"/>
      </w:numPr>
      <w:spacing w:after="40"/>
      <w:ind w:left="714" w:hanging="357"/>
    </w:pPr>
  </w:style>
  <w:style w:type="paragraph" w:customStyle="1" w:styleId="Instructionaltext">
    <w:name w:val="Instructional text"/>
    <w:basedOn w:val="Normal"/>
    <w:link w:val="InstructionaltextChar"/>
    <w:qFormat/>
    <w:rsid w:val="00E436A2"/>
    <w:rPr>
      <w:color w:val="258221"/>
    </w:rPr>
  </w:style>
  <w:style w:type="character" w:customStyle="1" w:styleId="UnresolvedMention1">
    <w:name w:val="Unresolved Mention1"/>
    <w:basedOn w:val="DefaultParagraphFont"/>
    <w:uiPriority w:val="99"/>
    <w:semiHidden/>
    <w:unhideWhenUsed/>
    <w:rsid w:val="00997BA8"/>
    <w:rPr>
      <w:color w:val="605E5C"/>
      <w:shd w:val="clear" w:color="auto" w:fill="E1DFDD"/>
    </w:rPr>
  </w:style>
  <w:style w:type="character" w:customStyle="1" w:styleId="InstructionaltextChar">
    <w:name w:val="Instructional text Char"/>
    <w:basedOn w:val="DefaultParagraphFont"/>
    <w:link w:val="Instructionaltext"/>
    <w:rsid w:val="00DF39E9"/>
    <w:rPr>
      <w:rFonts w:ascii="Franklin Gothic Book" w:hAnsi="Franklin Gothic Book"/>
      <w:color w:val="258221"/>
    </w:rPr>
  </w:style>
  <w:style w:type="paragraph" w:customStyle="1" w:styleId="Instructionaltext-bullet">
    <w:name w:val="Instructional text - bullet"/>
    <w:basedOn w:val="Instructionaltext"/>
    <w:qFormat/>
    <w:rsid w:val="002463A6"/>
    <w:pPr>
      <w:numPr>
        <w:numId w:val="9"/>
      </w:numPr>
      <w:spacing w:before="0" w:after="0"/>
      <w:ind w:left="714" w:hanging="357"/>
    </w:pPr>
  </w:style>
  <w:style w:type="paragraph" w:customStyle="1" w:styleId="Instructionaltext-afterfiguretable">
    <w:name w:val="Instructional text - after figure/table"/>
    <w:basedOn w:val="Instructionaltext"/>
    <w:qFormat/>
    <w:rsid w:val="00B151CF"/>
    <w:pPr>
      <w:spacing w:before="360"/>
    </w:pPr>
  </w:style>
  <w:style w:type="paragraph" w:customStyle="1" w:styleId="Guidelinescross-ref">
    <w:name w:val="Guidelines cross-ref"/>
    <w:basedOn w:val="Normal"/>
    <w:qFormat/>
    <w:rsid w:val="005B7D6C"/>
    <w:pPr>
      <w:spacing w:before="240" w:after="240"/>
    </w:pPr>
    <w:rPr>
      <w:b/>
      <w:color w:val="0070C0"/>
      <w:sz w:val="24"/>
    </w:rPr>
  </w:style>
  <w:style w:type="paragraph" w:styleId="Revision">
    <w:name w:val="Revision"/>
    <w:hidden/>
    <w:uiPriority w:val="99"/>
    <w:semiHidden/>
    <w:rsid w:val="00610ABA"/>
    <w:pPr>
      <w:spacing w:after="0" w:line="240" w:lineRule="auto"/>
    </w:pPr>
    <w:rPr>
      <w:rFonts w:ascii="Franklin Gothic Book" w:hAnsi="Franklin Gothic Book"/>
    </w:rPr>
  </w:style>
  <w:style w:type="character" w:customStyle="1" w:styleId="UnresolvedMention2">
    <w:name w:val="Unresolved Mention2"/>
    <w:basedOn w:val="DefaultParagraphFont"/>
    <w:uiPriority w:val="99"/>
    <w:semiHidden/>
    <w:unhideWhenUsed/>
    <w:rsid w:val="00223664"/>
    <w:rPr>
      <w:color w:val="605E5C"/>
      <w:shd w:val="clear" w:color="auto" w:fill="E1DFDD"/>
    </w:rPr>
  </w:style>
  <w:style w:type="character" w:styleId="UnresolvedMention">
    <w:name w:val="Unresolved Mention"/>
    <w:basedOn w:val="DefaultParagraphFont"/>
    <w:uiPriority w:val="99"/>
    <w:semiHidden/>
    <w:unhideWhenUsed/>
    <w:rsid w:val="00F245B7"/>
    <w:rPr>
      <w:color w:val="605E5C"/>
      <w:shd w:val="clear" w:color="auto" w:fill="E1DFDD"/>
    </w:rPr>
  </w:style>
  <w:style w:type="character" w:styleId="IntenseEmphasis">
    <w:name w:val="Intense Emphasis"/>
    <w:basedOn w:val="DefaultParagraphFont"/>
    <w:uiPriority w:val="21"/>
    <w:qFormat/>
    <w:rsid w:val="00C50211"/>
    <w:rPr>
      <w:i/>
      <w:iCs/>
      <w:color w:val="BF8F00" w:themeColor="accent4" w:themeShade="BF"/>
    </w:rPr>
  </w:style>
  <w:style w:type="paragraph" w:styleId="NoSpacing">
    <w:name w:val="No Spacing"/>
    <w:uiPriority w:val="1"/>
    <w:qFormat/>
    <w:rsid w:val="008100FD"/>
    <w:pPr>
      <w:spacing w:after="0" w:line="240" w:lineRule="auto"/>
    </w:pPr>
    <w:rPr>
      <w:rFonts w:ascii="Franklin Gothic Book" w:hAnsi="Franklin Gothic Book"/>
    </w:rPr>
  </w:style>
  <w:style w:type="paragraph" w:customStyle="1" w:styleId="SectionHeading">
    <w:name w:val="Section Heading"/>
    <w:basedOn w:val="Heading1"/>
    <w:link w:val="SectionHeadingChar"/>
    <w:qFormat/>
    <w:rsid w:val="003A36F9"/>
    <w:pPr>
      <w:numPr>
        <w:numId w:val="0"/>
      </w:numPr>
      <w:ind w:left="2127" w:hanging="2127"/>
    </w:pPr>
    <w:rPr>
      <w:rFonts w:cstheme="minorHAnsi"/>
      <w:sz w:val="36"/>
      <w:szCs w:val="24"/>
    </w:rPr>
  </w:style>
  <w:style w:type="character" w:customStyle="1" w:styleId="SectionHeadingChar">
    <w:name w:val="Section Heading Char"/>
    <w:basedOn w:val="Heading1Char"/>
    <w:link w:val="SectionHeading"/>
    <w:rsid w:val="003A36F9"/>
    <w:rPr>
      <w:rFonts w:ascii="Franklin Gothic Medium" w:eastAsiaTheme="majorEastAsia" w:hAnsi="Franklin Gothic Medium" w:cstheme="minorHAnsi"/>
      <w:sz w:val="36"/>
      <w:szCs w:val="24"/>
    </w:rPr>
  </w:style>
  <w:style w:type="character" w:customStyle="1" w:styleId="CaptionFootnoteChar">
    <w:name w:val="Caption Footnote Char"/>
    <w:basedOn w:val="DefaultParagraphFont"/>
    <w:link w:val="CaptionFootnote"/>
    <w:rsid w:val="00FF0805"/>
    <w:rPr>
      <w:kern w:val="28"/>
      <w:sz w:val="16"/>
      <w:szCs w:val="24"/>
      <w:lang w:eastAsia="en-GB"/>
    </w:rPr>
  </w:style>
  <w:style w:type="paragraph" w:customStyle="1" w:styleId="CaptionFootnote">
    <w:name w:val="Caption Footnote"/>
    <w:basedOn w:val="Normal"/>
    <w:link w:val="CaptionFootnoteChar"/>
    <w:qFormat/>
    <w:rsid w:val="00FF0805"/>
    <w:pPr>
      <w:spacing w:before="0" w:after="0" w:line="240" w:lineRule="auto"/>
      <w:jc w:val="both"/>
    </w:pPr>
    <w:rPr>
      <w:rFonts w:asciiTheme="minorHAnsi" w:hAnsiTheme="minorHAnsi"/>
      <w:kern w:val="28"/>
      <w:sz w:val="16"/>
      <w:szCs w:val="24"/>
      <w:lang w:eastAsia="en-GB"/>
    </w:rPr>
  </w:style>
  <w:style w:type="character" w:customStyle="1" w:styleId="normaltextrun">
    <w:name w:val="normaltextrun"/>
    <w:basedOn w:val="DefaultParagraphFont"/>
    <w:rsid w:val="00510D92"/>
  </w:style>
  <w:style w:type="character" w:customStyle="1" w:styleId="cf01">
    <w:name w:val="cf01"/>
    <w:basedOn w:val="DefaultParagraphFont"/>
    <w:rsid w:val="00DE0650"/>
    <w:rPr>
      <w:rFonts w:ascii="Segoe UI" w:hAnsi="Segoe UI" w:cs="Segoe UI" w:hint="default"/>
      <w:sz w:val="18"/>
      <w:szCs w:val="18"/>
    </w:rPr>
  </w:style>
  <w:style w:type="character" w:styleId="Mention">
    <w:name w:val="Mention"/>
    <w:basedOn w:val="DefaultParagraphFont"/>
    <w:uiPriority w:val="99"/>
    <w:unhideWhenUsed/>
    <w:rsid w:val="00AB3A49"/>
    <w:rPr>
      <w:color w:val="2B579A"/>
      <w:shd w:val="clear" w:color="auto" w:fill="E1DFDD"/>
    </w:rPr>
  </w:style>
  <w:style w:type="paragraph" w:customStyle="1" w:styleId="TableDash">
    <w:name w:val="TableDash"/>
    <w:basedOn w:val="TableText1"/>
    <w:rsid w:val="00B65650"/>
    <w:pPr>
      <w:numPr>
        <w:numId w:val="14"/>
      </w:numPr>
      <w:tabs>
        <w:tab w:val="clear" w:pos="216"/>
        <w:tab w:val="num" w:pos="432"/>
      </w:tabs>
      <w:spacing w:before="60" w:after="60" w:line="240" w:lineRule="auto"/>
      <w:jc w:val="left"/>
    </w:pPr>
    <w:rPr>
      <w:rFonts w:ascii="Franklin Gothic Book" w:hAnsi="Franklin Gothic Book" w:cs="Times New Roman"/>
      <w:color w:val="000000"/>
      <w:sz w:val="21"/>
      <w:szCs w:val="21"/>
    </w:rPr>
  </w:style>
  <w:style w:type="paragraph" w:customStyle="1" w:styleId="BoxName0">
    <w:name w:val="BoxName"/>
    <w:basedOn w:val="Normal"/>
    <w:rsid w:val="00B65650"/>
    <w:pPr>
      <w:keepNext/>
      <w:pBdr>
        <w:top w:val="single" w:sz="4" w:space="4" w:color="000000"/>
        <w:left w:val="single" w:sz="4" w:space="4" w:color="000000"/>
        <w:bottom w:val="single" w:sz="4" w:space="4" w:color="000000"/>
        <w:right w:val="single" w:sz="4" w:space="4" w:color="000000"/>
      </w:pBdr>
      <w:spacing w:before="240" w:after="240" w:line="240" w:lineRule="auto"/>
      <w:ind w:left="1077" w:hanging="1077"/>
    </w:pPr>
    <w:rPr>
      <w:rFonts w:eastAsia="Times New Roman" w:cs="Times New Roman"/>
      <w:b/>
      <w:bCs/>
      <w:color w:val="000000"/>
      <w:sz w:val="24"/>
      <w:szCs w:val="20"/>
      <w:lang w:eastAsia="en-AU"/>
    </w:rPr>
  </w:style>
  <w:style w:type="paragraph" w:customStyle="1" w:styleId="BoxHeading">
    <w:name w:val="BoxHeading"/>
    <w:basedOn w:val="Normal"/>
    <w:rsid w:val="00B65650"/>
    <w:pPr>
      <w:keepNext/>
      <w:pBdr>
        <w:top w:val="single" w:sz="4" w:space="4" w:color="000000"/>
        <w:left w:val="single" w:sz="4" w:space="4" w:color="000000"/>
        <w:bottom w:val="single" w:sz="4" w:space="4" w:color="000000"/>
        <w:right w:val="single" w:sz="4" w:space="4" w:color="000000"/>
      </w:pBdr>
      <w:spacing w:after="60" w:line="240" w:lineRule="auto"/>
    </w:pPr>
    <w:rPr>
      <w:rFonts w:eastAsia="Times New Roman" w:cs="Times New Roman"/>
      <w:b/>
      <w:bCs/>
      <w:color w:val="000000"/>
      <w:szCs w:val="20"/>
      <w:lang w:eastAsia="en-AU"/>
    </w:rPr>
  </w:style>
  <w:style w:type="paragraph" w:customStyle="1" w:styleId="BoxBullet">
    <w:name w:val="BoxBullet"/>
    <w:basedOn w:val="Normal"/>
    <w:rsid w:val="00B65650"/>
    <w:pPr>
      <w:numPr>
        <w:numId w:val="15"/>
      </w:numPr>
      <w:pBdr>
        <w:top w:val="single" w:sz="4" w:space="4" w:color="000000"/>
        <w:left w:val="single" w:sz="4" w:space="4" w:color="000000"/>
        <w:bottom w:val="single" w:sz="4" w:space="4" w:color="000000"/>
        <w:right w:val="single" w:sz="4" w:space="4" w:color="000000"/>
      </w:pBdr>
      <w:spacing w:before="0" w:after="120" w:line="240" w:lineRule="auto"/>
    </w:pPr>
    <w:rPr>
      <w:rFonts w:eastAsia="Times New Roman" w:cs="Times New Roman"/>
      <w:color w:val="000000"/>
      <w:szCs w:val="20"/>
      <w:lang w:eastAsia="en-AU"/>
    </w:rPr>
  </w:style>
  <w:style w:type="paragraph" w:styleId="NormalWeb">
    <w:name w:val="Normal (Web)"/>
    <w:basedOn w:val="Normal"/>
    <w:uiPriority w:val="99"/>
    <w:semiHidden/>
    <w:unhideWhenUsed/>
    <w:rsid w:val="00E114F0"/>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Section3-footnot1">
    <w:name w:val="Section 3- footnot1"/>
    <w:basedOn w:val="TableNormal"/>
    <w:next w:val="TableGrid"/>
    <w:uiPriority w:val="59"/>
    <w:rsid w:val="00DD6C68"/>
    <w:pPr>
      <w:spacing w:after="0" w:line="240" w:lineRule="auto"/>
    </w:pPr>
    <w:tblPr/>
  </w:style>
  <w:style w:type="paragraph" w:styleId="BodyText">
    <w:name w:val="Body Text"/>
    <w:basedOn w:val="Normal"/>
    <w:link w:val="BodyTextChar"/>
    <w:uiPriority w:val="99"/>
    <w:unhideWhenUsed/>
    <w:rsid w:val="003126F5"/>
    <w:pPr>
      <w:spacing w:after="120"/>
    </w:pPr>
  </w:style>
  <w:style w:type="character" w:customStyle="1" w:styleId="BodyTextChar">
    <w:name w:val="Body Text Char"/>
    <w:basedOn w:val="DefaultParagraphFont"/>
    <w:link w:val="BodyText"/>
    <w:uiPriority w:val="99"/>
    <w:rsid w:val="003126F5"/>
    <w:rPr>
      <w:rFonts w:ascii="Franklin Gothic Book"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5403">
      <w:bodyDiv w:val="1"/>
      <w:marLeft w:val="0"/>
      <w:marRight w:val="0"/>
      <w:marTop w:val="0"/>
      <w:marBottom w:val="0"/>
      <w:divBdr>
        <w:top w:val="none" w:sz="0" w:space="0" w:color="auto"/>
        <w:left w:val="none" w:sz="0" w:space="0" w:color="auto"/>
        <w:bottom w:val="none" w:sz="0" w:space="0" w:color="auto"/>
        <w:right w:val="none" w:sz="0" w:space="0" w:color="auto"/>
      </w:divBdr>
    </w:div>
    <w:div w:id="47921057">
      <w:bodyDiv w:val="1"/>
      <w:marLeft w:val="0"/>
      <w:marRight w:val="0"/>
      <w:marTop w:val="0"/>
      <w:marBottom w:val="0"/>
      <w:divBdr>
        <w:top w:val="none" w:sz="0" w:space="0" w:color="auto"/>
        <w:left w:val="none" w:sz="0" w:space="0" w:color="auto"/>
        <w:bottom w:val="none" w:sz="0" w:space="0" w:color="auto"/>
        <w:right w:val="none" w:sz="0" w:space="0" w:color="auto"/>
      </w:divBdr>
    </w:div>
    <w:div w:id="74130392">
      <w:bodyDiv w:val="1"/>
      <w:marLeft w:val="0"/>
      <w:marRight w:val="0"/>
      <w:marTop w:val="0"/>
      <w:marBottom w:val="0"/>
      <w:divBdr>
        <w:top w:val="none" w:sz="0" w:space="0" w:color="auto"/>
        <w:left w:val="none" w:sz="0" w:space="0" w:color="auto"/>
        <w:bottom w:val="none" w:sz="0" w:space="0" w:color="auto"/>
        <w:right w:val="none" w:sz="0" w:space="0" w:color="auto"/>
      </w:divBdr>
    </w:div>
    <w:div w:id="80297350">
      <w:bodyDiv w:val="1"/>
      <w:marLeft w:val="0"/>
      <w:marRight w:val="0"/>
      <w:marTop w:val="0"/>
      <w:marBottom w:val="0"/>
      <w:divBdr>
        <w:top w:val="none" w:sz="0" w:space="0" w:color="auto"/>
        <w:left w:val="none" w:sz="0" w:space="0" w:color="auto"/>
        <w:bottom w:val="none" w:sz="0" w:space="0" w:color="auto"/>
        <w:right w:val="none" w:sz="0" w:space="0" w:color="auto"/>
      </w:divBdr>
    </w:div>
    <w:div w:id="138377568">
      <w:bodyDiv w:val="1"/>
      <w:marLeft w:val="0"/>
      <w:marRight w:val="0"/>
      <w:marTop w:val="0"/>
      <w:marBottom w:val="0"/>
      <w:divBdr>
        <w:top w:val="none" w:sz="0" w:space="0" w:color="auto"/>
        <w:left w:val="none" w:sz="0" w:space="0" w:color="auto"/>
        <w:bottom w:val="none" w:sz="0" w:space="0" w:color="auto"/>
        <w:right w:val="none" w:sz="0" w:space="0" w:color="auto"/>
      </w:divBdr>
    </w:div>
    <w:div w:id="174998036">
      <w:bodyDiv w:val="1"/>
      <w:marLeft w:val="0"/>
      <w:marRight w:val="0"/>
      <w:marTop w:val="0"/>
      <w:marBottom w:val="0"/>
      <w:divBdr>
        <w:top w:val="none" w:sz="0" w:space="0" w:color="auto"/>
        <w:left w:val="none" w:sz="0" w:space="0" w:color="auto"/>
        <w:bottom w:val="none" w:sz="0" w:space="0" w:color="auto"/>
        <w:right w:val="none" w:sz="0" w:space="0" w:color="auto"/>
      </w:divBdr>
    </w:div>
    <w:div w:id="184029289">
      <w:bodyDiv w:val="1"/>
      <w:marLeft w:val="0"/>
      <w:marRight w:val="0"/>
      <w:marTop w:val="0"/>
      <w:marBottom w:val="0"/>
      <w:divBdr>
        <w:top w:val="none" w:sz="0" w:space="0" w:color="auto"/>
        <w:left w:val="none" w:sz="0" w:space="0" w:color="auto"/>
        <w:bottom w:val="none" w:sz="0" w:space="0" w:color="auto"/>
        <w:right w:val="none" w:sz="0" w:space="0" w:color="auto"/>
      </w:divBdr>
    </w:div>
    <w:div w:id="204559500">
      <w:bodyDiv w:val="1"/>
      <w:marLeft w:val="0"/>
      <w:marRight w:val="0"/>
      <w:marTop w:val="0"/>
      <w:marBottom w:val="0"/>
      <w:divBdr>
        <w:top w:val="none" w:sz="0" w:space="0" w:color="auto"/>
        <w:left w:val="none" w:sz="0" w:space="0" w:color="auto"/>
        <w:bottom w:val="none" w:sz="0" w:space="0" w:color="auto"/>
        <w:right w:val="none" w:sz="0" w:space="0" w:color="auto"/>
      </w:divBdr>
    </w:div>
    <w:div w:id="206991689">
      <w:bodyDiv w:val="1"/>
      <w:marLeft w:val="0"/>
      <w:marRight w:val="0"/>
      <w:marTop w:val="0"/>
      <w:marBottom w:val="0"/>
      <w:divBdr>
        <w:top w:val="none" w:sz="0" w:space="0" w:color="auto"/>
        <w:left w:val="none" w:sz="0" w:space="0" w:color="auto"/>
        <w:bottom w:val="none" w:sz="0" w:space="0" w:color="auto"/>
        <w:right w:val="none" w:sz="0" w:space="0" w:color="auto"/>
      </w:divBdr>
    </w:div>
    <w:div w:id="210849007">
      <w:bodyDiv w:val="1"/>
      <w:marLeft w:val="0"/>
      <w:marRight w:val="0"/>
      <w:marTop w:val="0"/>
      <w:marBottom w:val="0"/>
      <w:divBdr>
        <w:top w:val="none" w:sz="0" w:space="0" w:color="auto"/>
        <w:left w:val="none" w:sz="0" w:space="0" w:color="auto"/>
        <w:bottom w:val="none" w:sz="0" w:space="0" w:color="auto"/>
        <w:right w:val="none" w:sz="0" w:space="0" w:color="auto"/>
      </w:divBdr>
    </w:div>
    <w:div w:id="220481370">
      <w:bodyDiv w:val="1"/>
      <w:marLeft w:val="0"/>
      <w:marRight w:val="0"/>
      <w:marTop w:val="0"/>
      <w:marBottom w:val="0"/>
      <w:divBdr>
        <w:top w:val="none" w:sz="0" w:space="0" w:color="auto"/>
        <w:left w:val="none" w:sz="0" w:space="0" w:color="auto"/>
        <w:bottom w:val="none" w:sz="0" w:space="0" w:color="auto"/>
        <w:right w:val="none" w:sz="0" w:space="0" w:color="auto"/>
      </w:divBdr>
    </w:div>
    <w:div w:id="240987840">
      <w:bodyDiv w:val="1"/>
      <w:marLeft w:val="0"/>
      <w:marRight w:val="0"/>
      <w:marTop w:val="0"/>
      <w:marBottom w:val="0"/>
      <w:divBdr>
        <w:top w:val="none" w:sz="0" w:space="0" w:color="auto"/>
        <w:left w:val="none" w:sz="0" w:space="0" w:color="auto"/>
        <w:bottom w:val="none" w:sz="0" w:space="0" w:color="auto"/>
        <w:right w:val="none" w:sz="0" w:space="0" w:color="auto"/>
      </w:divBdr>
    </w:div>
    <w:div w:id="259148225">
      <w:bodyDiv w:val="1"/>
      <w:marLeft w:val="0"/>
      <w:marRight w:val="0"/>
      <w:marTop w:val="0"/>
      <w:marBottom w:val="0"/>
      <w:divBdr>
        <w:top w:val="none" w:sz="0" w:space="0" w:color="auto"/>
        <w:left w:val="none" w:sz="0" w:space="0" w:color="auto"/>
        <w:bottom w:val="none" w:sz="0" w:space="0" w:color="auto"/>
        <w:right w:val="none" w:sz="0" w:space="0" w:color="auto"/>
      </w:divBdr>
    </w:div>
    <w:div w:id="321933809">
      <w:bodyDiv w:val="1"/>
      <w:marLeft w:val="0"/>
      <w:marRight w:val="0"/>
      <w:marTop w:val="0"/>
      <w:marBottom w:val="0"/>
      <w:divBdr>
        <w:top w:val="none" w:sz="0" w:space="0" w:color="auto"/>
        <w:left w:val="none" w:sz="0" w:space="0" w:color="auto"/>
        <w:bottom w:val="none" w:sz="0" w:space="0" w:color="auto"/>
        <w:right w:val="none" w:sz="0" w:space="0" w:color="auto"/>
      </w:divBdr>
      <w:divsChild>
        <w:div w:id="631714289">
          <w:marLeft w:val="0"/>
          <w:marRight w:val="0"/>
          <w:marTop w:val="0"/>
          <w:marBottom w:val="0"/>
          <w:divBdr>
            <w:top w:val="none" w:sz="0" w:space="0" w:color="auto"/>
            <w:left w:val="none" w:sz="0" w:space="0" w:color="auto"/>
            <w:bottom w:val="none" w:sz="0" w:space="0" w:color="auto"/>
            <w:right w:val="none" w:sz="0" w:space="0" w:color="auto"/>
          </w:divBdr>
        </w:div>
        <w:div w:id="1610894616">
          <w:marLeft w:val="0"/>
          <w:marRight w:val="0"/>
          <w:marTop w:val="0"/>
          <w:marBottom w:val="0"/>
          <w:divBdr>
            <w:top w:val="none" w:sz="0" w:space="0" w:color="auto"/>
            <w:left w:val="none" w:sz="0" w:space="0" w:color="auto"/>
            <w:bottom w:val="none" w:sz="0" w:space="0" w:color="auto"/>
            <w:right w:val="none" w:sz="0" w:space="0" w:color="auto"/>
          </w:divBdr>
          <w:divsChild>
            <w:div w:id="2000885490">
              <w:marLeft w:val="-75"/>
              <w:marRight w:val="0"/>
              <w:marTop w:val="30"/>
              <w:marBottom w:val="30"/>
              <w:divBdr>
                <w:top w:val="none" w:sz="0" w:space="0" w:color="auto"/>
                <w:left w:val="none" w:sz="0" w:space="0" w:color="auto"/>
                <w:bottom w:val="none" w:sz="0" w:space="0" w:color="auto"/>
                <w:right w:val="none" w:sz="0" w:space="0" w:color="auto"/>
              </w:divBdr>
              <w:divsChild>
                <w:div w:id="152112166">
                  <w:marLeft w:val="0"/>
                  <w:marRight w:val="0"/>
                  <w:marTop w:val="0"/>
                  <w:marBottom w:val="0"/>
                  <w:divBdr>
                    <w:top w:val="none" w:sz="0" w:space="0" w:color="auto"/>
                    <w:left w:val="none" w:sz="0" w:space="0" w:color="auto"/>
                    <w:bottom w:val="none" w:sz="0" w:space="0" w:color="auto"/>
                    <w:right w:val="none" w:sz="0" w:space="0" w:color="auto"/>
                  </w:divBdr>
                  <w:divsChild>
                    <w:div w:id="833421816">
                      <w:marLeft w:val="0"/>
                      <w:marRight w:val="0"/>
                      <w:marTop w:val="0"/>
                      <w:marBottom w:val="0"/>
                      <w:divBdr>
                        <w:top w:val="none" w:sz="0" w:space="0" w:color="auto"/>
                        <w:left w:val="none" w:sz="0" w:space="0" w:color="auto"/>
                        <w:bottom w:val="none" w:sz="0" w:space="0" w:color="auto"/>
                        <w:right w:val="none" w:sz="0" w:space="0" w:color="auto"/>
                      </w:divBdr>
                    </w:div>
                  </w:divsChild>
                </w:div>
                <w:div w:id="295650937">
                  <w:marLeft w:val="0"/>
                  <w:marRight w:val="0"/>
                  <w:marTop w:val="0"/>
                  <w:marBottom w:val="0"/>
                  <w:divBdr>
                    <w:top w:val="none" w:sz="0" w:space="0" w:color="auto"/>
                    <w:left w:val="none" w:sz="0" w:space="0" w:color="auto"/>
                    <w:bottom w:val="none" w:sz="0" w:space="0" w:color="auto"/>
                    <w:right w:val="none" w:sz="0" w:space="0" w:color="auto"/>
                  </w:divBdr>
                  <w:divsChild>
                    <w:div w:id="98456305">
                      <w:marLeft w:val="0"/>
                      <w:marRight w:val="0"/>
                      <w:marTop w:val="0"/>
                      <w:marBottom w:val="0"/>
                      <w:divBdr>
                        <w:top w:val="none" w:sz="0" w:space="0" w:color="auto"/>
                        <w:left w:val="none" w:sz="0" w:space="0" w:color="auto"/>
                        <w:bottom w:val="none" w:sz="0" w:space="0" w:color="auto"/>
                        <w:right w:val="none" w:sz="0" w:space="0" w:color="auto"/>
                      </w:divBdr>
                    </w:div>
                  </w:divsChild>
                </w:div>
                <w:div w:id="309602917">
                  <w:marLeft w:val="0"/>
                  <w:marRight w:val="0"/>
                  <w:marTop w:val="0"/>
                  <w:marBottom w:val="0"/>
                  <w:divBdr>
                    <w:top w:val="none" w:sz="0" w:space="0" w:color="auto"/>
                    <w:left w:val="none" w:sz="0" w:space="0" w:color="auto"/>
                    <w:bottom w:val="none" w:sz="0" w:space="0" w:color="auto"/>
                    <w:right w:val="none" w:sz="0" w:space="0" w:color="auto"/>
                  </w:divBdr>
                  <w:divsChild>
                    <w:div w:id="502669058">
                      <w:marLeft w:val="0"/>
                      <w:marRight w:val="0"/>
                      <w:marTop w:val="0"/>
                      <w:marBottom w:val="0"/>
                      <w:divBdr>
                        <w:top w:val="none" w:sz="0" w:space="0" w:color="auto"/>
                        <w:left w:val="none" w:sz="0" w:space="0" w:color="auto"/>
                        <w:bottom w:val="none" w:sz="0" w:space="0" w:color="auto"/>
                        <w:right w:val="none" w:sz="0" w:space="0" w:color="auto"/>
                      </w:divBdr>
                    </w:div>
                  </w:divsChild>
                </w:div>
                <w:div w:id="387539252">
                  <w:marLeft w:val="0"/>
                  <w:marRight w:val="0"/>
                  <w:marTop w:val="0"/>
                  <w:marBottom w:val="0"/>
                  <w:divBdr>
                    <w:top w:val="none" w:sz="0" w:space="0" w:color="auto"/>
                    <w:left w:val="none" w:sz="0" w:space="0" w:color="auto"/>
                    <w:bottom w:val="none" w:sz="0" w:space="0" w:color="auto"/>
                    <w:right w:val="none" w:sz="0" w:space="0" w:color="auto"/>
                  </w:divBdr>
                  <w:divsChild>
                    <w:div w:id="1523594978">
                      <w:marLeft w:val="0"/>
                      <w:marRight w:val="0"/>
                      <w:marTop w:val="0"/>
                      <w:marBottom w:val="0"/>
                      <w:divBdr>
                        <w:top w:val="none" w:sz="0" w:space="0" w:color="auto"/>
                        <w:left w:val="none" w:sz="0" w:space="0" w:color="auto"/>
                        <w:bottom w:val="none" w:sz="0" w:space="0" w:color="auto"/>
                        <w:right w:val="none" w:sz="0" w:space="0" w:color="auto"/>
                      </w:divBdr>
                    </w:div>
                  </w:divsChild>
                </w:div>
                <w:div w:id="429743054">
                  <w:marLeft w:val="0"/>
                  <w:marRight w:val="0"/>
                  <w:marTop w:val="0"/>
                  <w:marBottom w:val="0"/>
                  <w:divBdr>
                    <w:top w:val="none" w:sz="0" w:space="0" w:color="auto"/>
                    <w:left w:val="none" w:sz="0" w:space="0" w:color="auto"/>
                    <w:bottom w:val="none" w:sz="0" w:space="0" w:color="auto"/>
                    <w:right w:val="none" w:sz="0" w:space="0" w:color="auto"/>
                  </w:divBdr>
                  <w:divsChild>
                    <w:div w:id="382144824">
                      <w:marLeft w:val="0"/>
                      <w:marRight w:val="0"/>
                      <w:marTop w:val="0"/>
                      <w:marBottom w:val="0"/>
                      <w:divBdr>
                        <w:top w:val="none" w:sz="0" w:space="0" w:color="auto"/>
                        <w:left w:val="none" w:sz="0" w:space="0" w:color="auto"/>
                        <w:bottom w:val="none" w:sz="0" w:space="0" w:color="auto"/>
                        <w:right w:val="none" w:sz="0" w:space="0" w:color="auto"/>
                      </w:divBdr>
                    </w:div>
                  </w:divsChild>
                </w:div>
                <w:div w:id="539589718">
                  <w:marLeft w:val="0"/>
                  <w:marRight w:val="0"/>
                  <w:marTop w:val="0"/>
                  <w:marBottom w:val="0"/>
                  <w:divBdr>
                    <w:top w:val="none" w:sz="0" w:space="0" w:color="auto"/>
                    <w:left w:val="none" w:sz="0" w:space="0" w:color="auto"/>
                    <w:bottom w:val="none" w:sz="0" w:space="0" w:color="auto"/>
                    <w:right w:val="none" w:sz="0" w:space="0" w:color="auto"/>
                  </w:divBdr>
                  <w:divsChild>
                    <w:div w:id="964459726">
                      <w:marLeft w:val="0"/>
                      <w:marRight w:val="0"/>
                      <w:marTop w:val="0"/>
                      <w:marBottom w:val="0"/>
                      <w:divBdr>
                        <w:top w:val="none" w:sz="0" w:space="0" w:color="auto"/>
                        <w:left w:val="none" w:sz="0" w:space="0" w:color="auto"/>
                        <w:bottom w:val="none" w:sz="0" w:space="0" w:color="auto"/>
                        <w:right w:val="none" w:sz="0" w:space="0" w:color="auto"/>
                      </w:divBdr>
                    </w:div>
                  </w:divsChild>
                </w:div>
                <w:div w:id="582028953">
                  <w:marLeft w:val="0"/>
                  <w:marRight w:val="0"/>
                  <w:marTop w:val="0"/>
                  <w:marBottom w:val="0"/>
                  <w:divBdr>
                    <w:top w:val="none" w:sz="0" w:space="0" w:color="auto"/>
                    <w:left w:val="none" w:sz="0" w:space="0" w:color="auto"/>
                    <w:bottom w:val="none" w:sz="0" w:space="0" w:color="auto"/>
                    <w:right w:val="none" w:sz="0" w:space="0" w:color="auto"/>
                  </w:divBdr>
                  <w:divsChild>
                    <w:div w:id="1516338052">
                      <w:marLeft w:val="0"/>
                      <w:marRight w:val="0"/>
                      <w:marTop w:val="0"/>
                      <w:marBottom w:val="0"/>
                      <w:divBdr>
                        <w:top w:val="none" w:sz="0" w:space="0" w:color="auto"/>
                        <w:left w:val="none" w:sz="0" w:space="0" w:color="auto"/>
                        <w:bottom w:val="none" w:sz="0" w:space="0" w:color="auto"/>
                        <w:right w:val="none" w:sz="0" w:space="0" w:color="auto"/>
                      </w:divBdr>
                    </w:div>
                  </w:divsChild>
                </w:div>
                <w:div w:id="731126277">
                  <w:marLeft w:val="0"/>
                  <w:marRight w:val="0"/>
                  <w:marTop w:val="0"/>
                  <w:marBottom w:val="0"/>
                  <w:divBdr>
                    <w:top w:val="none" w:sz="0" w:space="0" w:color="auto"/>
                    <w:left w:val="none" w:sz="0" w:space="0" w:color="auto"/>
                    <w:bottom w:val="none" w:sz="0" w:space="0" w:color="auto"/>
                    <w:right w:val="none" w:sz="0" w:space="0" w:color="auto"/>
                  </w:divBdr>
                  <w:divsChild>
                    <w:div w:id="1911383722">
                      <w:marLeft w:val="0"/>
                      <w:marRight w:val="0"/>
                      <w:marTop w:val="0"/>
                      <w:marBottom w:val="0"/>
                      <w:divBdr>
                        <w:top w:val="none" w:sz="0" w:space="0" w:color="auto"/>
                        <w:left w:val="none" w:sz="0" w:space="0" w:color="auto"/>
                        <w:bottom w:val="none" w:sz="0" w:space="0" w:color="auto"/>
                        <w:right w:val="none" w:sz="0" w:space="0" w:color="auto"/>
                      </w:divBdr>
                    </w:div>
                  </w:divsChild>
                </w:div>
                <w:div w:id="965353093">
                  <w:marLeft w:val="0"/>
                  <w:marRight w:val="0"/>
                  <w:marTop w:val="0"/>
                  <w:marBottom w:val="0"/>
                  <w:divBdr>
                    <w:top w:val="none" w:sz="0" w:space="0" w:color="auto"/>
                    <w:left w:val="none" w:sz="0" w:space="0" w:color="auto"/>
                    <w:bottom w:val="none" w:sz="0" w:space="0" w:color="auto"/>
                    <w:right w:val="none" w:sz="0" w:space="0" w:color="auto"/>
                  </w:divBdr>
                  <w:divsChild>
                    <w:div w:id="376852257">
                      <w:marLeft w:val="0"/>
                      <w:marRight w:val="0"/>
                      <w:marTop w:val="0"/>
                      <w:marBottom w:val="0"/>
                      <w:divBdr>
                        <w:top w:val="none" w:sz="0" w:space="0" w:color="auto"/>
                        <w:left w:val="none" w:sz="0" w:space="0" w:color="auto"/>
                        <w:bottom w:val="none" w:sz="0" w:space="0" w:color="auto"/>
                        <w:right w:val="none" w:sz="0" w:space="0" w:color="auto"/>
                      </w:divBdr>
                    </w:div>
                  </w:divsChild>
                </w:div>
                <w:div w:id="975647955">
                  <w:marLeft w:val="0"/>
                  <w:marRight w:val="0"/>
                  <w:marTop w:val="0"/>
                  <w:marBottom w:val="0"/>
                  <w:divBdr>
                    <w:top w:val="none" w:sz="0" w:space="0" w:color="auto"/>
                    <w:left w:val="none" w:sz="0" w:space="0" w:color="auto"/>
                    <w:bottom w:val="none" w:sz="0" w:space="0" w:color="auto"/>
                    <w:right w:val="none" w:sz="0" w:space="0" w:color="auto"/>
                  </w:divBdr>
                  <w:divsChild>
                    <w:div w:id="2033262292">
                      <w:marLeft w:val="0"/>
                      <w:marRight w:val="0"/>
                      <w:marTop w:val="0"/>
                      <w:marBottom w:val="0"/>
                      <w:divBdr>
                        <w:top w:val="none" w:sz="0" w:space="0" w:color="auto"/>
                        <w:left w:val="none" w:sz="0" w:space="0" w:color="auto"/>
                        <w:bottom w:val="none" w:sz="0" w:space="0" w:color="auto"/>
                        <w:right w:val="none" w:sz="0" w:space="0" w:color="auto"/>
                      </w:divBdr>
                    </w:div>
                  </w:divsChild>
                </w:div>
                <w:div w:id="1035959709">
                  <w:marLeft w:val="0"/>
                  <w:marRight w:val="0"/>
                  <w:marTop w:val="0"/>
                  <w:marBottom w:val="0"/>
                  <w:divBdr>
                    <w:top w:val="none" w:sz="0" w:space="0" w:color="auto"/>
                    <w:left w:val="none" w:sz="0" w:space="0" w:color="auto"/>
                    <w:bottom w:val="none" w:sz="0" w:space="0" w:color="auto"/>
                    <w:right w:val="none" w:sz="0" w:space="0" w:color="auto"/>
                  </w:divBdr>
                  <w:divsChild>
                    <w:div w:id="820737147">
                      <w:marLeft w:val="0"/>
                      <w:marRight w:val="0"/>
                      <w:marTop w:val="0"/>
                      <w:marBottom w:val="0"/>
                      <w:divBdr>
                        <w:top w:val="none" w:sz="0" w:space="0" w:color="auto"/>
                        <w:left w:val="none" w:sz="0" w:space="0" w:color="auto"/>
                        <w:bottom w:val="none" w:sz="0" w:space="0" w:color="auto"/>
                        <w:right w:val="none" w:sz="0" w:space="0" w:color="auto"/>
                      </w:divBdr>
                    </w:div>
                  </w:divsChild>
                </w:div>
                <w:div w:id="1097597336">
                  <w:marLeft w:val="0"/>
                  <w:marRight w:val="0"/>
                  <w:marTop w:val="0"/>
                  <w:marBottom w:val="0"/>
                  <w:divBdr>
                    <w:top w:val="none" w:sz="0" w:space="0" w:color="auto"/>
                    <w:left w:val="none" w:sz="0" w:space="0" w:color="auto"/>
                    <w:bottom w:val="none" w:sz="0" w:space="0" w:color="auto"/>
                    <w:right w:val="none" w:sz="0" w:space="0" w:color="auto"/>
                  </w:divBdr>
                  <w:divsChild>
                    <w:div w:id="567420375">
                      <w:marLeft w:val="0"/>
                      <w:marRight w:val="0"/>
                      <w:marTop w:val="0"/>
                      <w:marBottom w:val="0"/>
                      <w:divBdr>
                        <w:top w:val="none" w:sz="0" w:space="0" w:color="auto"/>
                        <w:left w:val="none" w:sz="0" w:space="0" w:color="auto"/>
                        <w:bottom w:val="none" w:sz="0" w:space="0" w:color="auto"/>
                        <w:right w:val="none" w:sz="0" w:space="0" w:color="auto"/>
                      </w:divBdr>
                    </w:div>
                  </w:divsChild>
                </w:div>
                <w:div w:id="1255625412">
                  <w:marLeft w:val="0"/>
                  <w:marRight w:val="0"/>
                  <w:marTop w:val="0"/>
                  <w:marBottom w:val="0"/>
                  <w:divBdr>
                    <w:top w:val="none" w:sz="0" w:space="0" w:color="auto"/>
                    <w:left w:val="none" w:sz="0" w:space="0" w:color="auto"/>
                    <w:bottom w:val="none" w:sz="0" w:space="0" w:color="auto"/>
                    <w:right w:val="none" w:sz="0" w:space="0" w:color="auto"/>
                  </w:divBdr>
                  <w:divsChild>
                    <w:div w:id="21173565">
                      <w:marLeft w:val="0"/>
                      <w:marRight w:val="0"/>
                      <w:marTop w:val="0"/>
                      <w:marBottom w:val="0"/>
                      <w:divBdr>
                        <w:top w:val="none" w:sz="0" w:space="0" w:color="auto"/>
                        <w:left w:val="none" w:sz="0" w:space="0" w:color="auto"/>
                        <w:bottom w:val="none" w:sz="0" w:space="0" w:color="auto"/>
                        <w:right w:val="none" w:sz="0" w:space="0" w:color="auto"/>
                      </w:divBdr>
                    </w:div>
                  </w:divsChild>
                </w:div>
                <w:div w:id="1353847742">
                  <w:marLeft w:val="0"/>
                  <w:marRight w:val="0"/>
                  <w:marTop w:val="0"/>
                  <w:marBottom w:val="0"/>
                  <w:divBdr>
                    <w:top w:val="none" w:sz="0" w:space="0" w:color="auto"/>
                    <w:left w:val="none" w:sz="0" w:space="0" w:color="auto"/>
                    <w:bottom w:val="none" w:sz="0" w:space="0" w:color="auto"/>
                    <w:right w:val="none" w:sz="0" w:space="0" w:color="auto"/>
                  </w:divBdr>
                  <w:divsChild>
                    <w:div w:id="936257904">
                      <w:marLeft w:val="0"/>
                      <w:marRight w:val="0"/>
                      <w:marTop w:val="0"/>
                      <w:marBottom w:val="0"/>
                      <w:divBdr>
                        <w:top w:val="none" w:sz="0" w:space="0" w:color="auto"/>
                        <w:left w:val="none" w:sz="0" w:space="0" w:color="auto"/>
                        <w:bottom w:val="none" w:sz="0" w:space="0" w:color="auto"/>
                        <w:right w:val="none" w:sz="0" w:space="0" w:color="auto"/>
                      </w:divBdr>
                    </w:div>
                  </w:divsChild>
                </w:div>
                <w:div w:id="1451168198">
                  <w:marLeft w:val="0"/>
                  <w:marRight w:val="0"/>
                  <w:marTop w:val="0"/>
                  <w:marBottom w:val="0"/>
                  <w:divBdr>
                    <w:top w:val="none" w:sz="0" w:space="0" w:color="auto"/>
                    <w:left w:val="none" w:sz="0" w:space="0" w:color="auto"/>
                    <w:bottom w:val="none" w:sz="0" w:space="0" w:color="auto"/>
                    <w:right w:val="none" w:sz="0" w:space="0" w:color="auto"/>
                  </w:divBdr>
                  <w:divsChild>
                    <w:div w:id="439105979">
                      <w:marLeft w:val="0"/>
                      <w:marRight w:val="0"/>
                      <w:marTop w:val="0"/>
                      <w:marBottom w:val="0"/>
                      <w:divBdr>
                        <w:top w:val="none" w:sz="0" w:space="0" w:color="auto"/>
                        <w:left w:val="none" w:sz="0" w:space="0" w:color="auto"/>
                        <w:bottom w:val="none" w:sz="0" w:space="0" w:color="auto"/>
                        <w:right w:val="none" w:sz="0" w:space="0" w:color="auto"/>
                      </w:divBdr>
                    </w:div>
                  </w:divsChild>
                </w:div>
                <w:div w:id="1459882004">
                  <w:marLeft w:val="0"/>
                  <w:marRight w:val="0"/>
                  <w:marTop w:val="0"/>
                  <w:marBottom w:val="0"/>
                  <w:divBdr>
                    <w:top w:val="none" w:sz="0" w:space="0" w:color="auto"/>
                    <w:left w:val="none" w:sz="0" w:space="0" w:color="auto"/>
                    <w:bottom w:val="none" w:sz="0" w:space="0" w:color="auto"/>
                    <w:right w:val="none" w:sz="0" w:space="0" w:color="auto"/>
                  </w:divBdr>
                  <w:divsChild>
                    <w:div w:id="681932891">
                      <w:marLeft w:val="0"/>
                      <w:marRight w:val="0"/>
                      <w:marTop w:val="0"/>
                      <w:marBottom w:val="0"/>
                      <w:divBdr>
                        <w:top w:val="none" w:sz="0" w:space="0" w:color="auto"/>
                        <w:left w:val="none" w:sz="0" w:space="0" w:color="auto"/>
                        <w:bottom w:val="none" w:sz="0" w:space="0" w:color="auto"/>
                        <w:right w:val="none" w:sz="0" w:space="0" w:color="auto"/>
                      </w:divBdr>
                    </w:div>
                  </w:divsChild>
                </w:div>
                <w:div w:id="1888369571">
                  <w:marLeft w:val="0"/>
                  <w:marRight w:val="0"/>
                  <w:marTop w:val="0"/>
                  <w:marBottom w:val="0"/>
                  <w:divBdr>
                    <w:top w:val="none" w:sz="0" w:space="0" w:color="auto"/>
                    <w:left w:val="none" w:sz="0" w:space="0" w:color="auto"/>
                    <w:bottom w:val="none" w:sz="0" w:space="0" w:color="auto"/>
                    <w:right w:val="none" w:sz="0" w:space="0" w:color="auto"/>
                  </w:divBdr>
                  <w:divsChild>
                    <w:div w:id="821242452">
                      <w:marLeft w:val="0"/>
                      <w:marRight w:val="0"/>
                      <w:marTop w:val="0"/>
                      <w:marBottom w:val="0"/>
                      <w:divBdr>
                        <w:top w:val="none" w:sz="0" w:space="0" w:color="auto"/>
                        <w:left w:val="none" w:sz="0" w:space="0" w:color="auto"/>
                        <w:bottom w:val="none" w:sz="0" w:space="0" w:color="auto"/>
                        <w:right w:val="none" w:sz="0" w:space="0" w:color="auto"/>
                      </w:divBdr>
                    </w:div>
                  </w:divsChild>
                </w:div>
                <w:div w:id="1943414351">
                  <w:marLeft w:val="0"/>
                  <w:marRight w:val="0"/>
                  <w:marTop w:val="0"/>
                  <w:marBottom w:val="0"/>
                  <w:divBdr>
                    <w:top w:val="none" w:sz="0" w:space="0" w:color="auto"/>
                    <w:left w:val="none" w:sz="0" w:space="0" w:color="auto"/>
                    <w:bottom w:val="none" w:sz="0" w:space="0" w:color="auto"/>
                    <w:right w:val="none" w:sz="0" w:space="0" w:color="auto"/>
                  </w:divBdr>
                  <w:divsChild>
                    <w:div w:id="1464302684">
                      <w:marLeft w:val="0"/>
                      <w:marRight w:val="0"/>
                      <w:marTop w:val="0"/>
                      <w:marBottom w:val="0"/>
                      <w:divBdr>
                        <w:top w:val="none" w:sz="0" w:space="0" w:color="auto"/>
                        <w:left w:val="none" w:sz="0" w:space="0" w:color="auto"/>
                        <w:bottom w:val="none" w:sz="0" w:space="0" w:color="auto"/>
                        <w:right w:val="none" w:sz="0" w:space="0" w:color="auto"/>
                      </w:divBdr>
                    </w:div>
                  </w:divsChild>
                </w:div>
                <w:div w:id="1974553314">
                  <w:marLeft w:val="0"/>
                  <w:marRight w:val="0"/>
                  <w:marTop w:val="0"/>
                  <w:marBottom w:val="0"/>
                  <w:divBdr>
                    <w:top w:val="none" w:sz="0" w:space="0" w:color="auto"/>
                    <w:left w:val="none" w:sz="0" w:space="0" w:color="auto"/>
                    <w:bottom w:val="none" w:sz="0" w:space="0" w:color="auto"/>
                    <w:right w:val="none" w:sz="0" w:space="0" w:color="auto"/>
                  </w:divBdr>
                  <w:divsChild>
                    <w:div w:id="1620604028">
                      <w:marLeft w:val="0"/>
                      <w:marRight w:val="0"/>
                      <w:marTop w:val="0"/>
                      <w:marBottom w:val="0"/>
                      <w:divBdr>
                        <w:top w:val="none" w:sz="0" w:space="0" w:color="auto"/>
                        <w:left w:val="none" w:sz="0" w:space="0" w:color="auto"/>
                        <w:bottom w:val="none" w:sz="0" w:space="0" w:color="auto"/>
                        <w:right w:val="none" w:sz="0" w:space="0" w:color="auto"/>
                      </w:divBdr>
                    </w:div>
                  </w:divsChild>
                </w:div>
                <w:div w:id="2029335706">
                  <w:marLeft w:val="0"/>
                  <w:marRight w:val="0"/>
                  <w:marTop w:val="0"/>
                  <w:marBottom w:val="0"/>
                  <w:divBdr>
                    <w:top w:val="none" w:sz="0" w:space="0" w:color="auto"/>
                    <w:left w:val="none" w:sz="0" w:space="0" w:color="auto"/>
                    <w:bottom w:val="none" w:sz="0" w:space="0" w:color="auto"/>
                    <w:right w:val="none" w:sz="0" w:space="0" w:color="auto"/>
                  </w:divBdr>
                  <w:divsChild>
                    <w:div w:id="18547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31056">
          <w:marLeft w:val="0"/>
          <w:marRight w:val="0"/>
          <w:marTop w:val="0"/>
          <w:marBottom w:val="0"/>
          <w:divBdr>
            <w:top w:val="none" w:sz="0" w:space="0" w:color="auto"/>
            <w:left w:val="none" w:sz="0" w:space="0" w:color="auto"/>
            <w:bottom w:val="none" w:sz="0" w:space="0" w:color="auto"/>
            <w:right w:val="none" w:sz="0" w:space="0" w:color="auto"/>
          </w:divBdr>
        </w:div>
        <w:div w:id="1915040885">
          <w:marLeft w:val="0"/>
          <w:marRight w:val="0"/>
          <w:marTop w:val="0"/>
          <w:marBottom w:val="0"/>
          <w:divBdr>
            <w:top w:val="none" w:sz="0" w:space="0" w:color="auto"/>
            <w:left w:val="none" w:sz="0" w:space="0" w:color="auto"/>
            <w:bottom w:val="none" w:sz="0" w:space="0" w:color="auto"/>
            <w:right w:val="none" w:sz="0" w:space="0" w:color="auto"/>
          </w:divBdr>
        </w:div>
        <w:div w:id="1930037723">
          <w:marLeft w:val="0"/>
          <w:marRight w:val="0"/>
          <w:marTop w:val="0"/>
          <w:marBottom w:val="0"/>
          <w:divBdr>
            <w:top w:val="none" w:sz="0" w:space="0" w:color="auto"/>
            <w:left w:val="none" w:sz="0" w:space="0" w:color="auto"/>
            <w:bottom w:val="none" w:sz="0" w:space="0" w:color="auto"/>
            <w:right w:val="none" w:sz="0" w:space="0" w:color="auto"/>
          </w:divBdr>
        </w:div>
      </w:divsChild>
    </w:div>
    <w:div w:id="381249859">
      <w:bodyDiv w:val="1"/>
      <w:marLeft w:val="0"/>
      <w:marRight w:val="0"/>
      <w:marTop w:val="0"/>
      <w:marBottom w:val="0"/>
      <w:divBdr>
        <w:top w:val="none" w:sz="0" w:space="0" w:color="auto"/>
        <w:left w:val="none" w:sz="0" w:space="0" w:color="auto"/>
        <w:bottom w:val="none" w:sz="0" w:space="0" w:color="auto"/>
        <w:right w:val="none" w:sz="0" w:space="0" w:color="auto"/>
      </w:divBdr>
    </w:div>
    <w:div w:id="387654852">
      <w:bodyDiv w:val="1"/>
      <w:marLeft w:val="0"/>
      <w:marRight w:val="0"/>
      <w:marTop w:val="0"/>
      <w:marBottom w:val="0"/>
      <w:divBdr>
        <w:top w:val="none" w:sz="0" w:space="0" w:color="auto"/>
        <w:left w:val="none" w:sz="0" w:space="0" w:color="auto"/>
        <w:bottom w:val="none" w:sz="0" w:space="0" w:color="auto"/>
        <w:right w:val="none" w:sz="0" w:space="0" w:color="auto"/>
      </w:divBdr>
    </w:div>
    <w:div w:id="388959748">
      <w:bodyDiv w:val="1"/>
      <w:marLeft w:val="0"/>
      <w:marRight w:val="0"/>
      <w:marTop w:val="0"/>
      <w:marBottom w:val="0"/>
      <w:divBdr>
        <w:top w:val="none" w:sz="0" w:space="0" w:color="auto"/>
        <w:left w:val="none" w:sz="0" w:space="0" w:color="auto"/>
        <w:bottom w:val="none" w:sz="0" w:space="0" w:color="auto"/>
        <w:right w:val="none" w:sz="0" w:space="0" w:color="auto"/>
      </w:divBdr>
    </w:div>
    <w:div w:id="393283070">
      <w:bodyDiv w:val="1"/>
      <w:marLeft w:val="0"/>
      <w:marRight w:val="0"/>
      <w:marTop w:val="0"/>
      <w:marBottom w:val="0"/>
      <w:divBdr>
        <w:top w:val="none" w:sz="0" w:space="0" w:color="auto"/>
        <w:left w:val="none" w:sz="0" w:space="0" w:color="auto"/>
        <w:bottom w:val="none" w:sz="0" w:space="0" w:color="auto"/>
        <w:right w:val="none" w:sz="0" w:space="0" w:color="auto"/>
      </w:divBdr>
    </w:div>
    <w:div w:id="414280912">
      <w:bodyDiv w:val="1"/>
      <w:marLeft w:val="0"/>
      <w:marRight w:val="0"/>
      <w:marTop w:val="0"/>
      <w:marBottom w:val="0"/>
      <w:divBdr>
        <w:top w:val="none" w:sz="0" w:space="0" w:color="auto"/>
        <w:left w:val="none" w:sz="0" w:space="0" w:color="auto"/>
        <w:bottom w:val="none" w:sz="0" w:space="0" w:color="auto"/>
        <w:right w:val="none" w:sz="0" w:space="0" w:color="auto"/>
      </w:divBdr>
    </w:div>
    <w:div w:id="425276192">
      <w:bodyDiv w:val="1"/>
      <w:marLeft w:val="0"/>
      <w:marRight w:val="0"/>
      <w:marTop w:val="0"/>
      <w:marBottom w:val="0"/>
      <w:divBdr>
        <w:top w:val="none" w:sz="0" w:space="0" w:color="auto"/>
        <w:left w:val="none" w:sz="0" w:space="0" w:color="auto"/>
        <w:bottom w:val="none" w:sz="0" w:space="0" w:color="auto"/>
        <w:right w:val="none" w:sz="0" w:space="0" w:color="auto"/>
      </w:divBdr>
    </w:div>
    <w:div w:id="445393862">
      <w:bodyDiv w:val="1"/>
      <w:marLeft w:val="0"/>
      <w:marRight w:val="0"/>
      <w:marTop w:val="0"/>
      <w:marBottom w:val="0"/>
      <w:divBdr>
        <w:top w:val="none" w:sz="0" w:space="0" w:color="auto"/>
        <w:left w:val="none" w:sz="0" w:space="0" w:color="auto"/>
        <w:bottom w:val="none" w:sz="0" w:space="0" w:color="auto"/>
        <w:right w:val="none" w:sz="0" w:space="0" w:color="auto"/>
      </w:divBdr>
    </w:div>
    <w:div w:id="497383534">
      <w:bodyDiv w:val="1"/>
      <w:marLeft w:val="0"/>
      <w:marRight w:val="0"/>
      <w:marTop w:val="0"/>
      <w:marBottom w:val="0"/>
      <w:divBdr>
        <w:top w:val="none" w:sz="0" w:space="0" w:color="auto"/>
        <w:left w:val="none" w:sz="0" w:space="0" w:color="auto"/>
        <w:bottom w:val="none" w:sz="0" w:space="0" w:color="auto"/>
        <w:right w:val="none" w:sz="0" w:space="0" w:color="auto"/>
      </w:divBdr>
    </w:div>
    <w:div w:id="516385615">
      <w:bodyDiv w:val="1"/>
      <w:marLeft w:val="0"/>
      <w:marRight w:val="0"/>
      <w:marTop w:val="0"/>
      <w:marBottom w:val="0"/>
      <w:divBdr>
        <w:top w:val="none" w:sz="0" w:space="0" w:color="auto"/>
        <w:left w:val="none" w:sz="0" w:space="0" w:color="auto"/>
        <w:bottom w:val="none" w:sz="0" w:space="0" w:color="auto"/>
        <w:right w:val="none" w:sz="0" w:space="0" w:color="auto"/>
      </w:divBdr>
    </w:div>
    <w:div w:id="522792244">
      <w:bodyDiv w:val="1"/>
      <w:marLeft w:val="0"/>
      <w:marRight w:val="0"/>
      <w:marTop w:val="0"/>
      <w:marBottom w:val="0"/>
      <w:divBdr>
        <w:top w:val="none" w:sz="0" w:space="0" w:color="auto"/>
        <w:left w:val="none" w:sz="0" w:space="0" w:color="auto"/>
        <w:bottom w:val="none" w:sz="0" w:space="0" w:color="auto"/>
        <w:right w:val="none" w:sz="0" w:space="0" w:color="auto"/>
      </w:divBdr>
    </w:div>
    <w:div w:id="547684622">
      <w:bodyDiv w:val="1"/>
      <w:marLeft w:val="0"/>
      <w:marRight w:val="0"/>
      <w:marTop w:val="0"/>
      <w:marBottom w:val="0"/>
      <w:divBdr>
        <w:top w:val="none" w:sz="0" w:space="0" w:color="auto"/>
        <w:left w:val="none" w:sz="0" w:space="0" w:color="auto"/>
        <w:bottom w:val="none" w:sz="0" w:space="0" w:color="auto"/>
        <w:right w:val="none" w:sz="0" w:space="0" w:color="auto"/>
      </w:divBdr>
    </w:div>
    <w:div w:id="553857340">
      <w:bodyDiv w:val="1"/>
      <w:marLeft w:val="0"/>
      <w:marRight w:val="0"/>
      <w:marTop w:val="0"/>
      <w:marBottom w:val="0"/>
      <w:divBdr>
        <w:top w:val="none" w:sz="0" w:space="0" w:color="auto"/>
        <w:left w:val="none" w:sz="0" w:space="0" w:color="auto"/>
        <w:bottom w:val="none" w:sz="0" w:space="0" w:color="auto"/>
        <w:right w:val="none" w:sz="0" w:space="0" w:color="auto"/>
      </w:divBdr>
    </w:div>
    <w:div w:id="579484925">
      <w:bodyDiv w:val="1"/>
      <w:marLeft w:val="0"/>
      <w:marRight w:val="0"/>
      <w:marTop w:val="0"/>
      <w:marBottom w:val="0"/>
      <w:divBdr>
        <w:top w:val="none" w:sz="0" w:space="0" w:color="auto"/>
        <w:left w:val="none" w:sz="0" w:space="0" w:color="auto"/>
        <w:bottom w:val="none" w:sz="0" w:space="0" w:color="auto"/>
        <w:right w:val="none" w:sz="0" w:space="0" w:color="auto"/>
      </w:divBdr>
    </w:div>
    <w:div w:id="602687815">
      <w:bodyDiv w:val="1"/>
      <w:marLeft w:val="0"/>
      <w:marRight w:val="0"/>
      <w:marTop w:val="0"/>
      <w:marBottom w:val="0"/>
      <w:divBdr>
        <w:top w:val="none" w:sz="0" w:space="0" w:color="auto"/>
        <w:left w:val="none" w:sz="0" w:space="0" w:color="auto"/>
        <w:bottom w:val="none" w:sz="0" w:space="0" w:color="auto"/>
        <w:right w:val="none" w:sz="0" w:space="0" w:color="auto"/>
      </w:divBdr>
      <w:divsChild>
        <w:div w:id="61416958">
          <w:marLeft w:val="0"/>
          <w:marRight w:val="0"/>
          <w:marTop w:val="0"/>
          <w:marBottom w:val="0"/>
          <w:divBdr>
            <w:top w:val="none" w:sz="0" w:space="0" w:color="auto"/>
            <w:left w:val="none" w:sz="0" w:space="0" w:color="auto"/>
            <w:bottom w:val="none" w:sz="0" w:space="0" w:color="auto"/>
            <w:right w:val="none" w:sz="0" w:space="0" w:color="auto"/>
          </w:divBdr>
          <w:divsChild>
            <w:div w:id="376784467">
              <w:marLeft w:val="-75"/>
              <w:marRight w:val="0"/>
              <w:marTop w:val="30"/>
              <w:marBottom w:val="30"/>
              <w:divBdr>
                <w:top w:val="none" w:sz="0" w:space="0" w:color="auto"/>
                <w:left w:val="none" w:sz="0" w:space="0" w:color="auto"/>
                <w:bottom w:val="none" w:sz="0" w:space="0" w:color="auto"/>
                <w:right w:val="none" w:sz="0" w:space="0" w:color="auto"/>
              </w:divBdr>
              <w:divsChild>
                <w:div w:id="167063542">
                  <w:marLeft w:val="0"/>
                  <w:marRight w:val="0"/>
                  <w:marTop w:val="0"/>
                  <w:marBottom w:val="0"/>
                  <w:divBdr>
                    <w:top w:val="none" w:sz="0" w:space="0" w:color="auto"/>
                    <w:left w:val="none" w:sz="0" w:space="0" w:color="auto"/>
                    <w:bottom w:val="none" w:sz="0" w:space="0" w:color="auto"/>
                    <w:right w:val="none" w:sz="0" w:space="0" w:color="auto"/>
                  </w:divBdr>
                  <w:divsChild>
                    <w:div w:id="77019674">
                      <w:marLeft w:val="0"/>
                      <w:marRight w:val="0"/>
                      <w:marTop w:val="0"/>
                      <w:marBottom w:val="0"/>
                      <w:divBdr>
                        <w:top w:val="none" w:sz="0" w:space="0" w:color="auto"/>
                        <w:left w:val="none" w:sz="0" w:space="0" w:color="auto"/>
                        <w:bottom w:val="none" w:sz="0" w:space="0" w:color="auto"/>
                        <w:right w:val="none" w:sz="0" w:space="0" w:color="auto"/>
                      </w:divBdr>
                    </w:div>
                  </w:divsChild>
                </w:div>
                <w:div w:id="542517310">
                  <w:marLeft w:val="0"/>
                  <w:marRight w:val="0"/>
                  <w:marTop w:val="0"/>
                  <w:marBottom w:val="0"/>
                  <w:divBdr>
                    <w:top w:val="none" w:sz="0" w:space="0" w:color="auto"/>
                    <w:left w:val="none" w:sz="0" w:space="0" w:color="auto"/>
                    <w:bottom w:val="none" w:sz="0" w:space="0" w:color="auto"/>
                    <w:right w:val="none" w:sz="0" w:space="0" w:color="auto"/>
                  </w:divBdr>
                  <w:divsChild>
                    <w:div w:id="1219198038">
                      <w:marLeft w:val="0"/>
                      <w:marRight w:val="0"/>
                      <w:marTop w:val="0"/>
                      <w:marBottom w:val="0"/>
                      <w:divBdr>
                        <w:top w:val="none" w:sz="0" w:space="0" w:color="auto"/>
                        <w:left w:val="none" w:sz="0" w:space="0" w:color="auto"/>
                        <w:bottom w:val="none" w:sz="0" w:space="0" w:color="auto"/>
                        <w:right w:val="none" w:sz="0" w:space="0" w:color="auto"/>
                      </w:divBdr>
                    </w:div>
                  </w:divsChild>
                </w:div>
                <w:div w:id="584923626">
                  <w:marLeft w:val="0"/>
                  <w:marRight w:val="0"/>
                  <w:marTop w:val="0"/>
                  <w:marBottom w:val="0"/>
                  <w:divBdr>
                    <w:top w:val="none" w:sz="0" w:space="0" w:color="auto"/>
                    <w:left w:val="none" w:sz="0" w:space="0" w:color="auto"/>
                    <w:bottom w:val="none" w:sz="0" w:space="0" w:color="auto"/>
                    <w:right w:val="none" w:sz="0" w:space="0" w:color="auto"/>
                  </w:divBdr>
                  <w:divsChild>
                    <w:div w:id="1831169009">
                      <w:marLeft w:val="0"/>
                      <w:marRight w:val="0"/>
                      <w:marTop w:val="0"/>
                      <w:marBottom w:val="0"/>
                      <w:divBdr>
                        <w:top w:val="none" w:sz="0" w:space="0" w:color="auto"/>
                        <w:left w:val="none" w:sz="0" w:space="0" w:color="auto"/>
                        <w:bottom w:val="none" w:sz="0" w:space="0" w:color="auto"/>
                        <w:right w:val="none" w:sz="0" w:space="0" w:color="auto"/>
                      </w:divBdr>
                    </w:div>
                  </w:divsChild>
                </w:div>
                <w:div w:id="651523144">
                  <w:marLeft w:val="0"/>
                  <w:marRight w:val="0"/>
                  <w:marTop w:val="0"/>
                  <w:marBottom w:val="0"/>
                  <w:divBdr>
                    <w:top w:val="none" w:sz="0" w:space="0" w:color="auto"/>
                    <w:left w:val="none" w:sz="0" w:space="0" w:color="auto"/>
                    <w:bottom w:val="none" w:sz="0" w:space="0" w:color="auto"/>
                    <w:right w:val="none" w:sz="0" w:space="0" w:color="auto"/>
                  </w:divBdr>
                  <w:divsChild>
                    <w:div w:id="1124154170">
                      <w:marLeft w:val="0"/>
                      <w:marRight w:val="0"/>
                      <w:marTop w:val="0"/>
                      <w:marBottom w:val="0"/>
                      <w:divBdr>
                        <w:top w:val="none" w:sz="0" w:space="0" w:color="auto"/>
                        <w:left w:val="none" w:sz="0" w:space="0" w:color="auto"/>
                        <w:bottom w:val="none" w:sz="0" w:space="0" w:color="auto"/>
                        <w:right w:val="none" w:sz="0" w:space="0" w:color="auto"/>
                      </w:divBdr>
                    </w:div>
                  </w:divsChild>
                </w:div>
                <w:div w:id="657072199">
                  <w:marLeft w:val="0"/>
                  <w:marRight w:val="0"/>
                  <w:marTop w:val="0"/>
                  <w:marBottom w:val="0"/>
                  <w:divBdr>
                    <w:top w:val="none" w:sz="0" w:space="0" w:color="auto"/>
                    <w:left w:val="none" w:sz="0" w:space="0" w:color="auto"/>
                    <w:bottom w:val="none" w:sz="0" w:space="0" w:color="auto"/>
                    <w:right w:val="none" w:sz="0" w:space="0" w:color="auto"/>
                  </w:divBdr>
                  <w:divsChild>
                    <w:div w:id="1051152501">
                      <w:marLeft w:val="0"/>
                      <w:marRight w:val="0"/>
                      <w:marTop w:val="0"/>
                      <w:marBottom w:val="0"/>
                      <w:divBdr>
                        <w:top w:val="none" w:sz="0" w:space="0" w:color="auto"/>
                        <w:left w:val="none" w:sz="0" w:space="0" w:color="auto"/>
                        <w:bottom w:val="none" w:sz="0" w:space="0" w:color="auto"/>
                        <w:right w:val="none" w:sz="0" w:space="0" w:color="auto"/>
                      </w:divBdr>
                    </w:div>
                  </w:divsChild>
                </w:div>
                <w:div w:id="682049955">
                  <w:marLeft w:val="0"/>
                  <w:marRight w:val="0"/>
                  <w:marTop w:val="0"/>
                  <w:marBottom w:val="0"/>
                  <w:divBdr>
                    <w:top w:val="none" w:sz="0" w:space="0" w:color="auto"/>
                    <w:left w:val="none" w:sz="0" w:space="0" w:color="auto"/>
                    <w:bottom w:val="none" w:sz="0" w:space="0" w:color="auto"/>
                    <w:right w:val="none" w:sz="0" w:space="0" w:color="auto"/>
                  </w:divBdr>
                  <w:divsChild>
                    <w:div w:id="1299410135">
                      <w:marLeft w:val="0"/>
                      <w:marRight w:val="0"/>
                      <w:marTop w:val="0"/>
                      <w:marBottom w:val="0"/>
                      <w:divBdr>
                        <w:top w:val="none" w:sz="0" w:space="0" w:color="auto"/>
                        <w:left w:val="none" w:sz="0" w:space="0" w:color="auto"/>
                        <w:bottom w:val="none" w:sz="0" w:space="0" w:color="auto"/>
                        <w:right w:val="none" w:sz="0" w:space="0" w:color="auto"/>
                      </w:divBdr>
                    </w:div>
                  </w:divsChild>
                </w:div>
                <w:div w:id="837040871">
                  <w:marLeft w:val="0"/>
                  <w:marRight w:val="0"/>
                  <w:marTop w:val="0"/>
                  <w:marBottom w:val="0"/>
                  <w:divBdr>
                    <w:top w:val="none" w:sz="0" w:space="0" w:color="auto"/>
                    <w:left w:val="none" w:sz="0" w:space="0" w:color="auto"/>
                    <w:bottom w:val="none" w:sz="0" w:space="0" w:color="auto"/>
                    <w:right w:val="none" w:sz="0" w:space="0" w:color="auto"/>
                  </w:divBdr>
                  <w:divsChild>
                    <w:div w:id="1516073286">
                      <w:marLeft w:val="0"/>
                      <w:marRight w:val="0"/>
                      <w:marTop w:val="0"/>
                      <w:marBottom w:val="0"/>
                      <w:divBdr>
                        <w:top w:val="none" w:sz="0" w:space="0" w:color="auto"/>
                        <w:left w:val="none" w:sz="0" w:space="0" w:color="auto"/>
                        <w:bottom w:val="none" w:sz="0" w:space="0" w:color="auto"/>
                        <w:right w:val="none" w:sz="0" w:space="0" w:color="auto"/>
                      </w:divBdr>
                    </w:div>
                  </w:divsChild>
                </w:div>
                <w:div w:id="1070663950">
                  <w:marLeft w:val="0"/>
                  <w:marRight w:val="0"/>
                  <w:marTop w:val="0"/>
                  <w:marBottom w:val="0"/>
                  <w:divBdr>
                    <w:top w:val="none" w:sz="0" w:space="0" w:color="auto"/>
                    <w:left w:val="none" w:sz="0" w:space="0" w:color="auto"/>
                    <w:bottom w:val="none" w:sz="0" w:space="0" w:color="auto"/>
                    <w:right w:val="none" w:sz="0" w:space="0" w:color="auto"/>
                  </w:divBdr>
                  <w:divsChild>
                    <w:div w:id="223419352">
                      <w:marLeft w:val="0"/>
                      <w:marRight w:val="0"/>
                      <w:marTop w:val="0"/>
                      <w:marBottom w:val="0"/>
                      <w:divBdr>
                        <w:top w:val="none" w:sz="0" w:space="0" w:color="auto"/>
                        <w:left w:val="none" w:sz="0" w:space="0" w:color="auto"/>
                        <w:bottom w:val="none" w:sz="0" w:space="0" w:color="auto"/>
                        <w:right w:val="none" w:sz="0" w:space="0" w:color="auto"/>
                      </w:divBdr>
                    </w:div>
                  </w:divsChild>
                </w:div>
                <w:div w:id="1239631795">
                  <w:marLeft w:val="0"/>
                  <w:marRight w:val="0"/>
                  <w:marTop w:val="0"/>
                  <w:marBottom w:val="0"/>
                  <w:divBdr>
                    <w:top w:val="none" w:sz="0" w:space="0" w:color="auto"/>
                    <w:left w:val="none" w:sz="0" w:space="0" w:color="auto"/>
                    <w:bottom w:val="none" w:sz="0" w:space="0" w:color="auto"/>
                    <w:right w:val="none" w:sz="0" w:space="0" w:color="auto"/>
                  </w:divBdr>
                  <w:divsChild>
                    <w:div w:id="1121806509">
                      <w:marLeft w:val="0"/>
                      <w:marRight w:val="0"/>
                      <w:marTop w:val="0"/>
                      <w:marBottom w:val="0"/>
                      <w:divBdr>
                        <w:top w:val="none" w:sz="0" w:space="0" w:color="auto"/>
                        <w:left w:val="none" w:sz="0" w:space="0" w:color="auto"/>
                        <w:bottom w:val="none" w:sz="0" w:space="0" w:color="auto"/>
                        <w:right w:val="none" w:sz="0" w:space="0" w:color="auto"/>
                      </w:divBdr>
                    </w:div>
                  </w:divsChild>
                </w:div>
                <w:div w:id="1487287306">
                  <w:marLeft w:val="0"/>
                  <w:marRight w:val="0"/>
                  <w:marTop w:val="0"/>
                  <w:marBottom w:val="0"/>
                  <w:divBdr>
                    <w:top w:val="none" w:sz="0" w:space="0" w:color="auto"/>
                    <w:left w:val="none" w:sz="0" w:space="0" w:color="auto"/>
                    <w:bottom w:val="none" w:sz="0" w:space="0" w:color="auto"/>
                    <w:right w:val="none" w:sz="0" w:space="0" w:color="auto"/>
                  </w:divBdr>
                  <w:divsChild>
                    <w:div w:id="1254703985">
                      <w:marLeft w:val="0"/>
                      <w:marRight w:val="0"/>
                      <w:marTop w:val="0"/>
                      <w:marBottom w:val="0"/>
                      <w:divBdr>
                        <w:top w:val="none" w:sz="0" w:space="0" w:color="auto"/>
                        <w:left w:val="none" w:sz="0" w:space="0" w:color="auto"/>
                        <w:bottom w:val="none" w:sz="0" w:space="0" w:color="auto"/>
                        <w:right w:val="none" w:sz="0" w:space="0" w:color="auto"/>
                      </w:divBdr>
                    </w:div>
                  </w:divsChild>
                </w:div>
                <w:div w:id="1615480625">
                  <w:marLeft w:val="0"/>
                  <w:marRight w:val="0"/>
                  <w:marTop w:val="0"/>
                  <w:marBottom w:val="0"/>
                  <w:divBdr>
                    <w:top w:val="none" w:sz="0" w:space="0" w:color="auto"/>
                    <w:left w:val="none" w:sz="0" w:space="0" w:color="auto"/>
                    <w:bottom w:val="none" w:sz="0" w:space="0" w:color="auto"/>
                    <w:right w:val="none" w:sz="0" w:space="0" w:color="auto"/>
                  </w:divBdr>
                  <w:divsChild>
                    <w:div w:id="405037412">
                      <w:marLeft w:val="0"/>
                      <w:marRight w:val="0"/>
                      <w:marTop w:val="0"/>
                      <w:marBottom w:val="0"/>
                      <w:divBdr>
                        <w:top w:val="none" w:sz="0" w:space="0" w:color="auto"/>
                        <w:left w:val="none" w:sz="0" w:space="0" w:color="auto"/>
                        <w:bottom w:val="none" w:sz="0" w:space="0" w:color="auto"/>
                        <w:right w:val="none" w:sz="0" w:space="0" w:color="auto"/>
                      </w:divBdr>
                    </w:div>
                  </w:divsChild>
                </w:div>
                <w:div w:id="1629123455">
                  <w:marLeft w:val="0"/>
                  <w:marRight w:val="0"/>
                  <w:marTop w:val="0"/>
                  <w:marBottom w:val="0"/>
                  <w:divBdr>
                    <w:top w:val="none" w:sz="0" w:space="0" w:color="auto"/>
                    <w:left w:val="none" w:sz="0" w:space="0" w:color="auto"/>
                    <w:bottom w:val="none" w:sz="0" w:space="0" w:color="auto"/>
                    <w:right w:val="none" w:sz="0" w:space="0" w:color="auto"/>
                  </w:divBdr>
                  <w:divsChild>
                    <w:div w:id="1064719985">
                      <w:marLeft w:val="0"/>
                      <w:marRight w:val="0"/>
                      <w:marTop w:val="0"/>
                      <w:marBottom w:val="0"/>
                      <w:divBdr>
                        <w:top w:val="none" w:sz="0" w:space="0" w:color="auto"/>
                        <w:left w:val="none" w:sz="0" w:space="0" w:color="auto"/>
                        <w:bottom w:val="none" w:sz="0" w:space="0" w:color="auto"/>
                        <w:right w:val="none" w:sz="0" w:space="0" w:color="auto"/>
                      </w:divBdr>
                    </w:div>
                  </w:divsChild>
                </w:div>
                <w:div w:id="1713993599">
                  <w:marLeft w:val="0"/>
                  <w:marRight w:val="0"/>
                  <w:marTop w:val="0"/>
                  <w:marBottom w:val="0"/>
                  <w:divBdr>
                    <w:top w:val="none" w:sz="0" w:space="0" w:color="auto"/>
                    <w:left w:val="none" w:sz="0" w:space="0" w:color="auto"/>
                    <w:bottom w:val="none" w:sz="0" w:space="0" w:color="auto"/>
                    <w:right w:val="none" w:sz="0" w:space="0" w:color="auto"/>
                  </w:divBdr>
                  <w:divsChild>
                    <w:div w:id="346059393">
                      <w:marLeft w:val="0"/>
                      <w:marRight w:val="0"/>
                      <w:marTop w:val="0"/>
                      <w:marBottom w:val="0"/>
                      <w:divBdr>
                        <w:top w:val="none" w:sz="0" w:space="0" w:color="auto"/>
                        <w:left w:val="none" w:sz="0" w:space="0" w:color="auto"/>
                        <w:bottom w:val="none" w:sz="0" w:space="0" w:color="auto"/>
                        <w:right w:val="none" w:sz="0" w:space="0" w:color="auto"/>
                      </w:divBdr>
                    </w:div>
                  </w:divsChild>
                </w:div>
                <w:div w:id="1887109450">
                  <w:marLeft w:val="0"/>
                  <w:marRight w:val="0"/>
                  <w:marTop w:val="0"/>
                  <w:marBottom w:val="0"/>
                  <w:divBdr>
                    <w:top w:val="none" w:sz="0" w:space="0" w:color="auto"/>
                    <w:left w:val="none" w:sz="0" w:space="0" w:color="auto"/>
                    <w:bottom w:val="none" w:sz="0" w:space="0" w:color="auto"/>
                    <w:right w:val="none" w:sz="0" w:space="0" w:color="auto"/>
                  </w:divBdr>
                  <w:divsChild>
                    <w:div w:id="2049525858">
                      <w:marLeft w:val="0"/>
                      <w:marRight w:val="0"/>
                      <w:marTop w:val="0"/>
                      <w:marBottom w:val="0"/>
                      <w:divBdr>
                        <w:top w:val="none" w:sz="0" w:space="0" w:color="auto"/>
                        <w:left w:val="none" w:sz="0" w:space="0" w:color="auto"/>
                        <w:bottom w:val="none" w:sz="0" w:space="0" w:color="auto"/>
                        <w:right w:val="none" w:sz="0" w:space="0" w:color="auto"/>
                      </w:divBdr>
                    </w:div>
                  </w:divsChild>
                </w:div>
                <w:div w:id="1957366099">
                  <w:marLeft w:val="0"/>
                  <w:marRight w:val="0"/>
                  <w:marTop w:val="0"/>
                  <w:marBottom w:val="0"/>
                  <w:divBdr>
                    <w:top w:val="none" w:sz="0" w:space="0" w:color="auto"/>
                    <w:left w:val="none" w:sz="0" w:space="0" w:color="auto"/>
                    <w:bottom w:val="none" w:sz="0" w:space="0" w:color="auto"/>
                    <w:right w:val="none" w:sz="0" w:space="0" w:color="auto"/>
                  </w:divBdr>
                  <w:divsChild>
                    <w:div w:id="1842619287">
                      <w:marLeft w:val="0"/>
                      <w:marRight w:val="0"/>
                      <w:marTop w:val="0"/>
                      <w:marBottom w:val="0"/>
                      <w:divBdr>
                        <w:top w:val="none" w:sz="0" w:space="0" w:color="auto"/>
                        <w:left w:val="none" w:sz="0" w:space="0" w:color="auto"/>
                        <w:bottom w:val="none" w:sz="0" w:space="0" w:color="auto"/>
                        <w:right w:val="none" w:sz="0" w:space="0" w:color="auto"/>
                      </w:divBdr>
                    </w:div>
                  </w:divsChild>
                </w:div>
                <w:div w:id="1995142156">
                  <w:marLeft w:val="0"/>
                  <w:marRight w:val="0"/>
                  <w:marTop w:val="0"/>
                  <w:marBottom w:val="0"/>
                  <w:divBdr>
                    <w:top w:val="none" w:sz="0" w:space="0" w:color="auto"/>
                    <w:left w:val="none" w:sz="0" w:space="0" w:color="auto"/>
                    <w:bottom w:val="none" w:sz="0" w:space="0" w:color="auto"/>
                    <w:right w:val="none" w:sz="0" w:space="0" w:color="auto"/>
                  </w:divBdr>
                  <w:divsChild>
                    <w:div w:id="763959167">
                      <w:marLeft w:val="0"/>
                      <w:marRight w:val="0"/>
                      <w:marTop w:val="0"/>
                      <w:marBottom w:val="0"/>
                      <w:divBdr>
                        <w:top w:val="none" w:sz="0" w:space="0" w:color="auto"/>
                        <w:left w:val="none" w:sz="0" w:space="0" w:color="auto"/>
                        <w:bottom w:val="none" w:sz="0" w:space="0" w:color="auto"/>
                        <w:right w:val="none" w:sz="0" w:space="0" w:color="auto"/>
                      </w:divBdr>
                    </w:div>
                  </w:divsChild>
                </w:div>
                <w:div w:id="2021159931">
                  <w:marLeft w:val="0"/>
                  <w:marRight w:val="0"/>
                  <w:marTop w:val="0"/>
                  <w:marBottom w:val="0"/>
                  <w:divBdr>
                    <w:top w:val="none" w:sz="0" w:space="0" w:color="auto"/>
                    <w:left w:val="none" w:sz="0" w:space="0" w:color="auto"/>
                    <w:bottom w:val="none" w:sz="0" w:space="0" w:color="auto"/>
                    <w:right w:val="none" w:sz="0" w:space="0" w:color="auto"/>
                  </w:divBdr>
                  <w:divsChild>
                    <w:div w:id="688607284">
                      <w:marLeft w:val="0"/>
                      <w:marRight w:val="0"/>
                      <w:marTop w:val="0"/>
                      <w:marBottom w:val="0"/>
                      <w:divBdr>
                        <w:top w:val="none" w:sz="0" w:space="0" w:color="auto"/>
                        <w:left w:val="none" w:sz="0" w:space="0" w:color="auto"/>
                        <w:bottom w:val="none" w:sz="0" w:space="0" w:color="auto"/>
                        <w:right w:val="none" w:sz="0" w:space="0" w:color="auto"/>
                      </w:divBdr>
                    </w:div>
                  </w:divsChild>
                </w:div>
                <w:div w:id="2054840583">
                  <w:marLeft w:val="0"/>
                  <w:marRight w:val="0"/>
                  <w:marTop w:val="0"/>
                  <w:marBottom w:val="0"/>
                  <w:divBdr>
                    <w:top w:val="none" w:sz="0" w:space="0" w:color="auto"/>
                    <w:left w:val="none" w:sz="0" w:space="0" w:color="auto"/>
                    <w:bottom w:val="none" w:sz="0" w:space="0" w:color="auto"/>
                    <w:right w:val="none" w:sz="0" w:space="0" w:color="auto"/>
                  </w:divBdr>
                  <w:divsChild>
                    <w:div w:id="475881835">
                      <w:marLeft w:val="0"/>
                      <w:marRight w:val="0"/>
                      <w:marTop w:val="0"/>
                      <w:marBottom w:val="0"/>
                      <w:divBdr>
                        <w:top w:val="none" w:sz="0" w:space="0" w:color="auto"/>
                        <w:left w:val="none" w:sz="0" w:space="0" w:color="auto"/>
                        <w:bottom w:val="none" w:sz="0" w:space="0" w:color="auto"/>
                        <w:right w:val="none" w:sz="0" w:space="0" w:color="auto"/>
                      </w:divBdr>
                    </w:div>
                  </w:divsChild>
                </w:div>
                <w:div w:id="2072538919">
                  <w:marLeft w:val="0"/>
                  <w:marRight w:val="0"/>
                  <w:marTop w:val="0"/>
                  <w:marBottom w:val="0"/>
                  <w:divBdr>
                    <w:top w:val="none" w:sz="0" w:space="0" w:color="auto"/>
                    <w:left w:val="none" w:sz="0" w:space="0" w:color="auto"/>
                    <w:bottom w:val="none" w:sz="0" w:space="0" w:color="auto"/>
                    <w:right w:val="none" w:sz="0" w:space="0" w:color="auto"/>
                  </w:divBdr>
                  <w:divsChild>
                    <w:div w:id="2106419187">
                      <w:marLeft w:val="0"/>
                      <w:marRight w:val="0"/>
                      <w:marTop w:val="0"/>
                      <w:marBottom w:val="0"/>
                      <w:divBdr>
                        <w:top w:val="none" w:sz="0" w:space="0" w:color="auto"/>
                        <w:left w:val="none" w:sz="0" w:space="0" w:color="auto"/>
                        <w:bottom w:val="none" w:sz="0" w:space="0" w:color="auto"/>
                        <w:right w:val="none" w:sz="0" w:space="0" w:color="auto"/>
                      </w:divBdr>
                    </w:div>
                  </w:divsChild>
                </w:div>
                <w:div w:id="2118937262">
                  <w:marLeft w:val="0"/>
                  <w:marRight w:val="0"/>
                  <w:marTop w:val="0"/>
                  <w:marBottom w:val="0"/>
                  <w:divBdr>
                    <w:top w:val="none" w:sz="0" w:space="0" w:color="auto"/>
                    <w:left w:val="none" w:sz="0" w:space="0" w:color="auto"/>
                    <w:bottom w:val="none" w:sz="0" w:space="0" w:color="auto"/>
                    <w:right w:val="none" w:sz="0" w:space="0" w:color="auto"/>
                  </w:divBdr>
                  <w:divsChild>
                    <w:div w:id="17399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369452">
          <w:marLeft w:val="0"/>
          <w:marRight w:val="0"/>
          <w:marTop w:val="0"/>
          <w:marBottom w:val="0"/>
          <w:divBdr>
            <w:top w:val="none" w:sz="0" w:space="0" w:color="auto"/>
            <w:left w:val="none" w:sz="0" w:space="0" w:color="auto"/>
            <w:bottom w:val="none" w:sz="0" w:space="0" w:color="auto"/>
            <w:right w:val="none" w:sz="0" w:space="0" w:color="auto"/>
          </w:divBdr>
        </w:div>
        <w:div w:id="336268890">
          <w:marLeft w:val="0"/>
          <w:marRight w:val="0"/>
          <w:marTop w:val="0"/>
          <w:marBottom w:val="0"/>
          <w:divBdr>
            <w:top w:val="none" w:sz="0" w:space="0" w:color="auto"/>
            <w:left w:val="none" w:sz="0" w:space="0" w:color="auto"/>
            <w:bottom w:val="none" w:sz="0" w:space="0" w:color="auto"/>
            <w:right w:val="none" w:sz="0" w:space="0" w:color="auto"/>
          </w:divBdr>
        </w:div>
        <w:div w:id="1656177482">
          <w:marLeft w:val="0"/>
          <w:marRight w:val="0"/>
          <w:marTop w:val="0"/>
          <w:marBottom w:val="0"/>
          <w:divBdr>
            <w:top w:val="none" w:sz="0" w:space="0" w:color="auto"/>
            <w:left w:val="none" w:sz="0" w:space="0" w:color="auto"/>
            <w:bottom w:val="none" w:sz="0" w:space="0" w:color="auto"/>
            <w:right w:val="none" w:sz="0" w:space="0" w:color="auto"/>
          </w:divBdr>
        </w:div>
        <w:div w:id="2002854356">
          <w:marLeft w:val="0"/>
          <w:marRight w:val="0"/>
          <w:marTop w:val="0"/>
          <w:marBottom w:val="0"/>
          <w:divBdr>
            <w:top w:val="none" w:sz="0" w:space="0" w:color="auto"/>
            <w:left w:val="none" w:sz="0" w:space="0" w:color="auto"/>
            <w:bottom w:val="none" w:sz="0" w:space="0" w:color="auto"/>
            <w:right w:val="none" w:sz="0" w:space="0" w:color="auto"/>
          </w:divBdr>
        </w:div>
      </w:divsChild>
    </w:div>
    <w:div w:id="633798868">
      <w:bodyDiv w:val="1"/>
      <w:marLeft w:val="0"/>
      <w:marRight w:val="0"/>
      <w:marTop w:val="0"/>
      <w:marBottom w:val="0"/>
      <w:divBdr>
        <w:top w:val="none" w:sz="0" w:space="0" w:color="auto"/>
        <w:left w:val="none" w:sz="0" w:space="0" w:color="auto"/>
        <w:bottom w:val="none" w:sz="0" w:space="0" w:color="auto"/>
        <w:right w:val="none" w:sz="0" w:space="0" w:color="auto"/>
      </w:divBdr>
    </w:div>
    <w:div w:id="650017405">
      <w:bodyDiv w:val="1"/>
      <w:marLeft w:val="0"/>
      <w:marRight w:val="0"/>
      <w:marTop w:val="0"/>
      <w:marBottom w:val="0"/>
      <w:divBdr>
        <w:top w:val="none" w:sz="0" w:space="0" w:color="auto"/>
        <w:left w:val="none" w:sz="0" w:space="0" w:color="auto"/>
        <w:bottom w:val="none" w:sz="0" w:space="0" w:color="auto"/>
        <w:right w:val="none" w:sz="0" w:space="0" w:color="auto"/>
      </w:divBdr>
    </w:div>
    <w:div w:id="719669662">
      <w:bodyDiv w:val="1"/>
      <w:marLeft w:val="0"/>
      <w:marRight w:val="0"/>
      <w:marTop w:val="0"/>
      <w:marBottom w:val="0"/>
      <w:divBdr>
        <w:top w:val="none" w:sz="0" w:space="0" w:color="auto"/>
        <w:left w:val="none" w:sz="0" w:space="0" w:color="auto"/>
        <w:bottom w:val="none" w:sz="0" w:space="0" w:color="auto"/>
        <w:right w:val="none" w:sz="0" w:space="0" w:color="auto"/>
      </w:divBdr>
    </w:div>
    <w:div w:id="733554141">
      <w:bodyDiv w:val="1"/>
      <w:marLeft w:val="0"/>
      <w:marRight w:val="0"/>
      <w:marTop w:val="0"/>
      <w:marBottom w:val="0"/>
      <w:divBdr>
        <w:top w:val="none" w:sz="0" w:space="0" w:color="auto"/>
        <w:left w:val="none" w:sz="0" w:space="0" w:color="auto"/>
        <w:bottom w:val="none" w:sz="0" w:space="0" w:color="auto"/>
        <w:right w:val="none" w:sz="0" w:space="0" w:color="auto"/>
      </w:divBdr>
    </w:div>
    <w:div w:id="752897142">
      <w:bodyDiv w:val="1"/>
      <w:marLeft w:val="0"/>
      <w:marRight w:val="0"/>
      <w:marTop w:val="0"/>
      <w:marBottom w:val="0"/>
      <w:divBdr>
        <w:top w:val="none" w:sz="0" w:space="0" w:color="auto"/>
        <w:left w:val="none" w:sz="0" w:space="0" w:color="auto"/>
        <w:bottom w:val="none" w:sz="0" w:space="0" w:color="auto"/>
        <w:right w:val="none" w:sz="0" w:space="0" w:color="auto"/>
      </w:divBdr>
    </w:div>
    <w:div w:id="815755281">
      <w:bodyDiv w:val="1"/>
      <w:marLeft w:val="0"/>
      <w:marRight w:val="0"/>
      <w:marTop w:val="0"/>
      <w:marBottom w:val="0"/>
      <w:divBdr>
        <w:top w:val="none" w:sz="0" w:space="0" w:color="auto"/>
        <w:left w:val="none" w:sz="0" w:space="0" w:color="auto"/>
        <w:bottom w:val="none" w:sz="0" w:space="0" w:color="auto"/>
        <w:right w:val="none" w:sz="0" w:space="0" w:color="auto"/>
      </w:divBdr>
    </w:div>
    <w:div w:id="850949379">
      <w:bodyDiv w:val="1"/>
      <w:marLeft w:val="0"/>
      <w:marRight w:val="0"/>
      <w:marTop w:val="0"/>
      <w:marBottom w:val="0"/>
      <w:divBdr>
        <w:top w:val="none" w:sz="0" w:space="0" w:color="auto"/>
        <w:left w:val="none" w:sz="0" w:space="0" w:color="auto"/>
        <w:bottom w:val="none" w:sz="0" w:space="0" w:color="auto"/>
        <w:right w:val="none" w:sz="0" w:space="0" w:color="auto"/>
      </w:divBdr>
    </w:div>
    <w:div w:id="883716246">
      <w:bodyDiv w:val="1"/>
      <w:marLeft w:val="0"/>
      <w:marRight w:val="0"/>
      <w:marTop w:val="0"/>
      <w:marBottom w:val="0"/>
      <w:divBdr>
        <w:top w:val="none" w:sz="0" w:space="0" w:color="auto"/>
        <w:left w:val="none" w:sz="0" w:space="0" w:color="auto"/>
        <w:bottom w:val="none" w:sz="0" w:space="0" w:color="auto"/>
        <w:right w:val="none" w:sz="0" w:space="0" w:color="auto"/>
      </w:divBdr>
    </w:div>
    <w:div w:id="912742429">
      <w:bodyDiv w:val="1"/>
      <w:marLeft w:val="0"/>
      <w:marRight w:val="0"/>
      <w:marTop w:val="0"/>
      <w:marBottom w:val="0"/>
      <w:divBdr>
        <w:top w:val="none" w:sz="0" w:space="0" w:color="auto"/>
        <w:left w:val="none" w:sz="0" w:space="0" w:color="auto"/>
        <w:bottom w:val="none" w:sz="0" w:space="0" w:color="auto"/>
        <w:right w:val="none" w:sz="0" w:space="0" w:color="auto"/>
      </w:divBdr>
    </w:div>
    <w:div w:id="921065123">
      <w:bodyDiv w:val="1"/>
      <w:marLeft w:val="0"/>
      <w:marRight w:val="0"/>
      <w:marTop w:val="0"/>
      <w:marBottom w:val="0"/>
      <w:divBdr>
        <w:top w:val="none" w:sz="0" w:space="0" w:color="auto"/>
        <w:left w:val="none" w:sz="0" w:space="0" w:color="auto"/>
        <w:bottom w:val="none" w:sz="0" w:space="0" w:color="auto"/>
        <w:right w:val="none" w:sz="0" w:space="0" w:color="auto"/>
      </w:divBdr>
    </w:div>
    <w:div w:id="944847599">
      <w:bodyDiv w:val="1"/>
      <w:marLeft w:val="0"/>
      <w:marRight w:val="0"/>
      <w:marTop w:val="0"/>
      <w:marBottom w:val="0"/>
      <w:divBdr>
        <w:top w:val="none" w:sz="0" w:space="0" w:color="auto"/>
        <w:left w:val="none" w:sz="0" w:space="0" w:color="auto"/>
        <w:bottom w:val="none" w:sz="0" w:space="0" w:color="auto"/>
        <w:right w:val="none" w:sz="0" w:space="0" w:color="auto"/>
      </w:divBdr>
    </w:div>
    <w:div w:id="976447681">
      <w:bodyDiv w:val="1"/>
      <w:marLeft w:val="0"/>
      <w:marRight w:val="0"/>
      <w:marTop w:val="0"/>
      <w:marBottom w:val="0"/>
      <w:divBdr>
        <w:top w:val="none" w:sz="0" w:space="0" w:color="auto"/>
        <w:left w:val="none" w:sz="0" w:space="0" w:color="auto"/>
        <w:bottom w:val="none" w:sz="0" w:space="0" w:color="auto"/>
        <w:right w:val="none" w:sz="0" w:space="0" w:color="auto"/>
      </w:divBdr>
    </w:div>
    <w:div w:id="1001858212">
      <w:bodyDiv w:val="1"/>
      <w:marLeft w:val="0"/>
      <w:marRight w:val="0"/>
      <w:marTop w:val="0"/>
      <w:marBottom w:val="0"/>
      <w:divBdr>
        <w:top w:val="none" w:sz="0" w:space="0" w:color="auto"/>
        <w:left w:val="none" w:sz="0" w:space="0" w:color="auto"/>
        <w:bottom w:val="none" w:sz="0" w:space="0" w:color="auto"/>
        <w:right w:val="none" w:sz="0" w:space="0" w:color="auto"/>
      </w:divBdr>
      <w:divsChild>
        <w:div w:id="1657419865">
          <w:marLeft w:val="0"/>
          <w:marRight w:val="0"/>
          <w:marTop w:val="0"/>
          <w:marBottom w:val="0"/>
          <w:divBdr>
            <w:top w:val="none" w:sz="0" w:space="0" w:color="auto"/>
            <w:left w:val="none" w:sz="0" w:space="0" w:color="auto"/>
            <w:bottom w:val="none" w:sz="0" w:space="0" w:color="auto"/>
            <w:right w:val="none" w:sz="0" w:space="0" w:color="auto"/>
          </w:divBdr>
          <w:divsChild>
            <w:div w:id="4761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309">
      <w:bodyDiv w:val="1"/>
      <w:marLeft w:val="0"/>
      <w:marRight w:val="0"/>
      <w:marTop w:val="0"/>
      <w:marBottom w:val="0"/>
      <w:divBdr>
        <w:top w:val="none" w:sz="0" w:space="0" w:color="auto"/>
        <w:left w:val="none" w:sz="0" w:space="0" w:color="auto"/>
        <w:bottom w:val="none" w:sz="0" w:space="0" w:color="auto"/>
        <w:right w:val="none" w:sz="0" w:space="0" w:color="auto"/>
      </w:divBdr>
    </w:div>
    <w:div w:id="1090126611">
      <w:bodyDiv w:val="1"/>
      <w:marLeft w:val="0"/>
      <w:marRight w:val="0"/>
      <w:marTop w:val="0"/>
      <w:marBottom w:val="0"/>
      <w:divBdr>
        <w:top w:val="none" w:sz="0" w:space="0" w:color="auto"/>
        <w:left w:val="none" w:sz="0" w:space="0" w:color="auto"/>
        <w:bottom w:val="none" w:sz="0" w:space="0" w:color="auto"/>
        <w:right w:val="none" w:sz="0" w:space="0" w:color="auto"/>
      </w:divBdr>
    </w:div>
    <w:div w:id="1115448293">
      <w:bodyDiv w:val="1"/>
      <w:marLeft w:val="0"/>
      <w:marRight w:val="0"/>
      <w:marTop w:val="0"/>
      <w:marBottom w:val="0"/>
      <w:divBdr>
        <w:top w:val="none" w:sz="0" w:space="0" w:color="auto"/>
        <w:left w:val="none" w:sz="0" w:space="0" w:color="auto"/>
        <w:bottom w:val="none" w:sz="0" w:space="0" w:color="auto"/>
        <w:right w:val="none" w:sz="0" w:space="0" w:color="auto"/>
      </w:divBdr>
    </w:div>
    <w:div w:id="1117408241">
      <w:bodyDiv w:val="1"/>
      <w:marLeft w:val="0"/>
      <w:marRight w:val="0"/>
      <w:marTop w:val="0"/>
      <w:marBottom w:val="0"/>
      <w:divBdr>
        <w:top w:val="none" w:sz="0" w:space="0" w:color="auto"/>
        <w:left w:val="none" w:sz="0" w:space="0" w:color="auto"/>
        <w:bottom w:val="none" w:sz="0" w:space="0" w:color="auto"/>
        <w:right w:val="none" w:sz="0" w:space="0" w:color="auto"/>
      </w:divBdr>
    </w:div>
    <w:div w:id="1140272256">
      <w:bodyDiv w:val="1"/>
      <w:marLeft w:val="0"/>
      <w:marRight w:val="0"/>
      <w:marTop w:val="0"/>
      <w:marBottom w:val="0"/>
      <w:divBdr>
        <w:top w:val="none" w:sz="0" w:space="0" w:color="auto"/>
        <w:left w:val="none" w:sz="0" w:space="0" w:color="auto"/>
        <w:bottom w:val="none" w:sz="0" w:space="0" w:color="auto"/>
        <w:right w:val="none" w:sz="0" w:space="0" w:color="auto"/>
      </w:divBdr>
    </w:div>
    <w:div w:id="1155537487">
      <w:bodyDiv w:val="1"/>
      <w:marLeft w:val="0"/>
      <w:marRight w:val="0"/>
      <w:marTop w:val="0"/>
      <w:marBottom w:val="0"/>
      <w:divBdr>
        <w:top w:val="none" w:sz="0" w:space="0" w:color="auto"/>
        <w:left w:val="none" w:sz="0" w:space="0" w:color="auto"/>
        <w:bottom w:val="none" w:sz="0" w:space="0" w:color="auto"/>
        <w:right w:val="none" w:sz="0" w:space="0" w:color="auto"/>
      </w:divBdr>
    </w:div>
    <w:div w:id="1171220333">
      <w:bodyDiv w:val="1"/>
      <w:marLeft w:val="0"/>
      <w:marRight w:val="0"/>
      <w:marTop w:val="0"/>
      <w:marBottom w:val="0"/>
      <w:divBdr>
        <w:top w:val="none" w:sz="0" w:space="0" w:color="auto"/>
        <w:left w:val="none" w:sz="0" w:space="0" w:color="auto"/>
        <w:bottom w:val="none" w:sz="0" w:space="0" w:color="auto"/>
        <w:right w:val="none" w:sz="0" w:space="0" w:color="auto"/>
      </w:divBdr>
    </w:div>
    <w:div w:id="1224098787">
      <w:bodyDiv w:val="1"/>
      <w:marLeft w:val="0"/>
      <w:marRight w:val="0"/>
      <w:marTop w:val="0"/>
      <w:marBottom w:val="0"/>
      <w:divBdr>
        <w:top w:val="none" w:sz="0" w:space="0" w:color="auto"/>
        <w:left w:val="none" w:sz="0" w:space="0" w:color="auto"/>
        <w:bottom w:val="none" w:sz="0" w:space="0" w:color="auto"/>
        <w:right w:val="none" w:sz="0" w:space="0" w:color="auto"/>
      </w:divBdr>
    </w:div>
    <w:div w:id="1229151570">
      <w:bodyDiv w:val="1"/>
      <w:marLeft w:val="0"/>
      <w:marRight w:val="0"/>
      <w:marTop w:val="0"/>
      <w:marBottom w:val="0"/>
      <w:divBdr>
        <w:top w:val="none" w:sz="0" w:space="0" w:color="auto"/>
        <w:left w:val="none" w:sz="0" w:space="0" w:color="auto"/>
        <w:bottom w:val="none" w:sz="0" w:space="0" w:color="auto"/>
        <w:right w:val="none" w:sz="0" w:space="0" w:color="auto"/>
      </w:divBdr>
    </w:div>
    <w:div w:id="1244218186">
      <w:bodyDiv w:val="1"/>
      <w:marLeft w:val="0"/>
      <w:marRight w:val="0"/>
      <w:marTop w:val="0"/>
      <w:marBottom w:val="0"/>
      <w:divBdr>
        <w:top w:val="none" w:sz="0" w:space="0" w:color="auto"/>
        <w:left w:val="none" w:sz="0" w:space="0" w:color="auto"/>
        <w:bottom w:val="none" w:sz="0" w:space="0" w:color="auto"/>
        <w:right w:val="none" w:sz="0" w:space="0" w:color="auto"/>
      </w:divBdr>
    </w:div>
    <w:div w:id="1250893855">
      <w:bodyDiv w:val="1"/>
      <w:marLeft w:val="0"/>
      <w:marRight w:val="0"/>
      <w:marTop w:val="0"/>
      <w:marBottom w:val="0"/>
      <w:divBdr>
        <w:top w:val="none" w:sz="0" w:space="0" w:color="auto"/>
        <w:left w:val="none" w:sz="0" w:space="0" w:color="auto"/>
        <w:bottom w:val="none" w:sz="0" w:space="0" w:color="auto"/>
        <w:right w:val="none" w:sz="0" w:space="0" w:color="auto"/>
      </w:divBdr>
    </w:div>
    <w:div w:id="1256019463">
      <w:bodyDiv w:val="1"/>
      <w:marLeft w:val="0"/>
      <w:marRight w:val="0"/>
      <w:marTop w:val="0"/>
      <w:marBottom w:val="0"/>
      <w:divBdr>
        <w:top w:val="none" w:sz="0" w:space="0" w:color="auto"/>
        <w:left w:val="none" w:sz="0" w:space="0" w:color="auto"/>
        <w:bottom w:val="none" w:sz="0" w:space="0" w:color="auto"/>
        <w:right w:val="none" w:sz="0" w:space="0" w:color="auto"/>
      </w:divBdr>
    </w:div>
    <w:div w:id="1257448350">
      <w:bodyDiv w:val="1"/>
      <w:marLeft w:val="0"/>
      <w:marRight w:val="0"/>
      <w:marTop w:val="0"/>
      <w:marBottom w:val="0"/>
      <w:divBdr>
        <w:top w:val="none" w:sz="0" w:space="0" w:color="auto"/>
        <w:left w:val="none" w:sz="0" w:space="0" w:color="auto"/>
        <w:bottom w:val="none" w:sz="0" w:space="0" w:color="auto"/>
        <w:right w:val="none" w:sz="0" w:space="0" w:color="auto"/>
      </w:divBdr>
    </w:div>
    <w:div w:id="1260408255">
      <w:bodyDiv w:val="1"/>
      <w:marLeft w:val="0"/>
      <w:marRight w:val="0"/>
      <w:marTop w:val="0"/>
      <w:marBottom w:val="0"/>
      <w:divBdr>
        <w:top w:val="none" w:sz="0" w:space="0" w:color="auto"/>
        <w:left w:val="none" w:sz="0" w:space="0" w:color="auto"/>
        <w:bottom w:val="none" w:sz="0" w:space="0" w:color="auto"/>
        <w:right w:val="none" w:sz="0" w:space="0" w:color="auto"/>
      </w:divBdr>
    </w:div>
    <w:div w:id="1261797108">
      <w:bodyDiv w:val="1"/>
      <w:marLeft w:val="0"/>
      <w:marRight w:val="0"/>
      <w:marTop w:val="0"/>
      <w:marBottom w:val="0"/>
      <w:divBdr>
        <w:top w:val="none" w:sz="0" w:space="0" w:color="auto"/>
        <w:left w:val="none" w:sz="0" w:space="0" w:color="auto"/>
        <w:bottom w:val="none" w:sz="0" w:space="0" w:color="auto"/>
        <w:right w:val="none" w:sz="0" w:space="0" w:color="auto"/>
      </w:divBdr>
    </w:div>
    <w:div w:id="1285310076">
      <w:bodyDiv w:val="1"/>
      <w:marLeft w:val="0"/>
      <w:marRight w:val="0"/>
      <w:marTop w:val="0"/>
      <w:marBottom w:val="0"/>
      <w:divBdr>
        <w:top w:val="none" w:sz="0" w:space="0" w:color="auto"/>
        <w:left w:val="none" w:sz="0" w:space="0" w:color="auto"/>
        <w:bottom w:val="none" w:sz="0" w:space="0" w:color="auto"/>
        <w:right w:val="none" w:sz="0" w:space="0" w:color="auto"/>
      </w:divBdr>
    </w:div>
    <w:div w:id="1291789928">
      <w:bodyDiv w:val="1"/>
      <w:marLeft w:val="0"/>
      <w:marRight w:val="0"/>
      <w:marTop w:val="0"/>
      <w:marBottom w:val="0"/>
      <w:divBdr>
        <w:top w:val="none" w:sz="0" w:space="0" w:color="auto"/>
        <w:left w:val="none" w:sz="0" w:space="0" w:color="auto"/>
        <w:bottom w:val="none" w:sz="0" w:space="0" w:color="auto"/>
        <w:right w:val="none" w:sz="0" w:space="0" w:color="auto"/>
      </w:divBdr>
    </w:div>
    <w:div w:id="1309745875">
      <w:bodyDiv w:val="1"/>
      <w:marLeft w:val="0"/>
      <w:marRight w:val="0"/>
      <w:marTop w:val="0"/>
      <w:marBottom w:val="0"/>
      <w:divBdr>
        <w:top w:val="none" w:sz="0" w:space="0" w:color="auto"/>
        <w:left w:val="none" w:sz="0" w:space="0" w:color="auto"/>
        <w:bottom w:val="none" w:sz="0" w:space="0" w:color="auto"/>
        <w:right w:val="none" w:sz="0" w:space="0" w:color="auto"/>
      </w:divBdr>
    </w:div>
    <w:div w:id="1320118329">
      <w:bodyDiv w:val="1"/>
      <w:marLeft w:val="0"/>
      <w:marRight w:val="0"/>
      <w:marTop w:val="0"/>
      <w:marBottom w:val="0"/>
      <w:divBdr>
        <w:top w:val="none" w:sz="0" w:space="0" w:color="auto"/>
        <w:left w:val="none" w:sz="0" w:space="0" w:color="auto"/>
        <w:bottom w:val="none" w:sz="0" w:space="0" w:color="auto"/>
        <w:right w:val="none" w:sz="0" w:space="0" w:color="auto"/>
      </w:divBdr>
    </w:div>
    <w:div w:id="1338461236">
      <w:bodyDiv w:val="1"/>
      <w:marLeft w:val="0"/>
      <w:marRight w:val="0"/>
      <w:marTop w:val="0"/>
      <w:marBottom w:val="0"/>
      <w:divBdr>
        <w:top w:val="none" w:sz="0" w:space="0" w:color="auto"/>
        <w:left w:val="none" w:sz="0" w:space="0" w:color="auto"/>
        <w:bottom w:val="none" w:sz="0" w:space="0" w:color="auto"/>
        <w:right w:val="none" w:sz="0" w:space="0" w:color="auto"/>
      </w:divBdr>
    </w:div>
    <w:div w:id="1339045467">
      <w:bodyDiv w:val="1"/>
      <w:marLeft w:val="0"/>
      <w:marRight w:val="0"/>
      <w:marTop w:val="0"/>
      <w:marBottom w:val="0"/>
      <w:divBdr>
        <w:top w:val="none" w:sz="0" w:space="0" w:color="auto"/>
        <w:left w:val="none" w:sz="0" w:space="0" w:color="auto"/>
        <w:bottom w:val="none" w:sz="0" w:space="0" w:color="auto"/>
        <w:right w:val="none" w:sz="0" w:space="0" w:color="auto"/>
      </w:divBdr>
    </w:div>
    <w:div w:id="1345593743">
      <w:bodyDiv w:val="1"/>
      <w:marLeft w:val="0"/>
      <w:marRight w:val="0"/>
      <w:marTop w:val="0"/>
      <w:marBottom w:val="0"/>
      <w:divBdr>
        <w:top w:val="none" w:sz="0" w:space="0" w:color="auto"/>
        <w:left w:val="none" w:sz="0" w:space="0" w:color="auto"/>
        <w:bottom w:val="none" w:sz="0" w:space="0" w:color="auto"/>
        <w:right w:val="none" w:sz="0" w:space="0" w:color="auto"/>
      </w:divBdr>
    </w:div>
    <w:div w:id="1367369737">
      <w:bodyDiv w:val="1"/>
      <w:marLeft w:val="0"/>
      <w:marRight w:val="0"/>
      <w:marTop w:val="0"/>
      <w:marBottom w:val="0"/>
      <w:divBdr>
        <w:top w:val="none" w:sz="0" w:space="0" w:color="auto"/>
        <w:left w:val="none" w:sz="0" w:space="0" w:color="auto"/>
        <w:bottom w:val="none" w:sz="0" w:space="0" w:color="auto"/>
        <w:right w:val="none" w:sz="0" w:space="0" w:color="auto"/>
      </w:divBdr>
      <w:divsChild>
        <w:div w:id="1989238679">
          <w:marLeft w:val="0"/>
          <w:marRight w:val="0"/>
          <w:marTop w:val="0"/>
          <w:marBottom w:val="0"/>
          <w:divBdr>
            <w:top w:val="none" w:sz="0" w:space="0" w:color="auto"/>
            <w:left w:val="none" w:sz="0" w:space="0" w:color="auto"/>
            <w:bottom w:val="none" w:sz="0" w:space="0" w:color="auto"/>
            <w:right w:val="none" w:sz="0" w:space="0" w:color="auto"/>
          </w:divBdr>
          <w:divsChild>
            <w:div w:id="16914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78870">
      <w:bodyDiv w:val="1"/>
      <w:marLeft w:val="0"/>
      <w:marRight w:val="0"/>
      <w:marTop w:val="0"/>
      <w:marBottom w:val="0"/>
      <w:divBdr>
        <w:top w:val="none" w:sz="0" w:space="0" w:color="auto"/>
        <w:left w:val="none" w:sz="0" w:space="0" w:color="auto"/>
        <w:bottom w:val="none" w:sz="0" w:space="0" w:color="auto"/>
        <w:right w:val="none" w:sz="0" w:space="0" w:color="auto"/>
      </w:divBdr>
    </w:div>
    <w:div w:id="1438984073">
      <w:bodyDiv w:val="1"/>
      <w:marLeft w:val="0"/>
      <w:marRight w:val="0"/>
      <w:marTop w:val="0"/>
      <w:marBottom w:val="0"/>
      <w:divBdr>
        <w:top w:val="none" w:sz="0" w:space="0" w:color="auto"/>
        <w:left w:val="none" w:sz="0" w:space="0" w:color="auto"/>
        <w:bottom w:val="none" w:sz="0" w:space="0" w:color="auto"/>
        <w:right w:val="none" w:sz="0" w:space="0" w:color="auto"/>
      </w:divBdr>
    </w:div>
    <w:div w:id="1446995807">
      <w:bodyDiv w:val="1"/>
      <w:marLeft w:val="0"/>
      <w:marRight w:val="0"/>
      <w:marTop w:val="0"/>
      <w:marBottom w:val="0"/>
      <w:divBdr>
        <w:top w:val="none" w:sz="0" w:space="0" w:color="auto"/>
        <w:left w:val="none" w:sz="0" w:space="0" w:color="auto"/>
        <w:bottom w:val="none" w:sz="0" w:space="0" w:color="auto"/>
        <w:right w:val="none" w:sz="0" w:space="0" w:color="auto"/>
      </w:divBdr>
    </w:div>
    <w:div w:id="1463307564">
      <w:bodyDiv w:val="1"/>
      <w:marLeft w:val="0"/>
      <w:marRight w:val="0"/>
      <w:marTop w:val="0"/>
      <w:marBottom w:val="0"/>
      <w:divBdr>
        <w:top w:val="none" w:sz="0" w:space="0" w:color="auto"/>
        <w:left w:val="none" w:sz="0" w:space="0" w:color="auto"/>
        <w:bottom w:val="none" w:sz="0" w:space="0" w:color="auto"/>
        <w:right w:val="none" w:sz="0" w:space="0" w:color="auto"/>
      </w:divBdr>
    </w:div>
    <w:div w:id="1493720884">
      <w:bodyDiv w:val="1"/>
      <w:marLeft w:val="0"/>
      <w:marRight w:val="0"/>
      <w:marTop w:val="0"/>
      <w:marBottom w:val="0"/>
      <w:divBdr>
        <w:top w:val="none" w:sz="0" w:space="0" w:color="auto"/>
        <w:left w:val="none" w:sz="0" w:space="0" w:color="auto"/>
        <w:bottom w:val="none" w:sz="0" w:space="0" w:color="auto"/>
        <w:right w:val="none" w:sz="0" w:space="0" w:color="auto"/>
      </w:divBdr>
    </w:div>
    <w:div w:id="1590624353">
      <w:bodyDiv w:val="1"/>
      <w:marLeft w:val="0"/>
      <w:marRight w:val="0"/>
      <w:marTop w:val="0"/>
      <w:marBottom w:val="0"/>
      <w:divBdr>
        <w:top w:val="none" w:sz="0" w:space="0" w:color="auto"/>
        <w:left w:val="none" w:sz="0" w:space="0" w:color="auto"/>
        <w:bottom w:val="none" w:sz="0" w:space="0" w:color="auto"/>
        <w:right w:val="none" w:sz="0" w:space="0" w:color="auto"/>
      </w:divBdr>
    </w:div>
    <w:div w:id="1596087102">
      <w:bodyDiv w:val="1"/>
      <w:marLeft w:val="0"/>
      <w:marRight w:val="0"/>
      <w:marTop w:val="0"/>
      <w:marBottom w:val="0"/>
      <w:divBdr>
        <w:top w:val="none" w:sz="0" w:space="0" w:color="auto"/>
        <w:left w:val="none" w:sz="0" w:space="0" w:color="auto"/>
        <w:bottom w:val="none" w:sz="0" w:space="0" w:color="auto"/>
        <w:right w:val="none" w:sz="0" w:space="0" w:color="auto"/>
      </w:divBdr>
    </w:div>
    <w:div w:id="1606306867">
      <w:bodyDiv w:val="1"/>
      <w:marLeft w:val="0"/>
      <w:marRight w:val="0"/>
      <w:marTop w:val="0"/>
      <w:marBottom w:val="0"/>
      <w:divBdr>
        <w:top w:val="none" w:sz="0" w:space="0" w:color="auto"/>
        <w:left w:val="none" w:sz="0" w:space="0" w:color="auto"/>
        <w:bottom w:val="none" w:sz="0" w:space="0" w:color="auto"/>
        <w:right w:val="none" w:sz="0" w:space="0" w:color="auto"/>
      </w:divBdr>
    </w:div>
    <w:div w:id="1607083598">
      <w:bodyDiv w:val="1"/>
      <w:marLeft w:val="0"/>
      <w:marRight w:val="0"/>
      <w:marTop w:val="0"/>
      <w:marBottom w:val="0"/>
      <w:divBdr>
        <w:top w:val="none" w:sz="0" w:space="0" w:color="auto"/>
        <w:left w:val="none" w:sz="0" w:space="0" w:color="auto"/>
        <w:bottom w:val="none" w:sz="0" w:space="0" w:color="auto"/>
        <w:right w:val="none" w:sz="0" w:space="0" w:color="auto"/>
      </w:divBdr>
    </w:div>
    <w:div w:id="1656181121">
      <w:bodyDiv w:val="1"/>
      <w:marLeft w:val="0"/>
      <w:marRight w:val="0"/>
      <w:marTop w:val="0"/>
      <w:marBottom w:val="0"/>
      <w:divBdr>
        <w:top w:val="none" w:sz="0" w:space="0" w:color="auto"/>
        <w:left w:val="none" w:sz="0" w:space="0" w:color="auto"/>
        <w:bottom w:val="none" w:sz="0" w:space="0" w:color="auto"/>
        <w:right w:val="none" w:sz="0" w:space="0" w:color="auto"/>
      </w:divBdr>
    </w:div>
    <w:div w:id="1788818186">
      <w:bodyDiv w:val="1"/>
      <w:marLeft w:val="0"/>
      <w:marRight w:val="0"/>
      <w:marTop w:val="0"/>
      <w:marBottom w:val="0"/>
      <w:divBdr>
        <w:top w:val="none" w:sz="0" w:space="0" w:color="auto"/>
        <w:left w:val="none" w:sz="0" w:space="0" w:color="auto"/>
        <w:bottom w:val="none" w:sz="0" w:space="0" w:color="auto"/>
        <w:right w:val="none" w:sz="0" w:space="0" w:color="auto"/>
      </w:divBdr>
    </w:div>
    <w:div w:id="1812365276">
      <w:bodyDiv w:val="1"/>
      <w:marLeft w:val="0"/>
      <w:marRight w:val="0"/>
      <w:marTop w:val="0"/>
      <w:marBottom w:val="0"/>
      <w:divBdr>
        <w:top w:val="none" w:sz="0" w:space="0" w:color="auto"/>
        <w:left w:val="none" w:sz="0" w:space="0" w:color="auto"/>
        <w:bottom w:val="none" w:sz="0" w:space="0" w:color="auto"/>
        <w:right w:val="none" w:sz="0" w:space="0" w:color="auto"/>
      </w:divBdr>
    </w:div>
    <w:div w:id="1821579227">
      <w:bodyDiv w:val="1"/>
      <w:marLeft w:val="0"/>
      <w:marRight w:val="0"/>
      <w:marTop w:val="0"/>
      <w:marBottom w:val="0"/>
      <w:divBdr>
        <w:top w:val="none" w:sz="0" w:space="0" w:color="auto"/>
        <w:left w:val="none" w:sz="0" w:space="0" w:color="auto"/>
        <w:bottom w:val="none" w:sz="0" w:space="0" w:color="auto"/>
        <w:right w:val="none" w:sz="0" w:space="0" w:color="auto"/>
      </w:divBdr>
    </w:div>
    <w:div w:id="1825900015">
      <w:bodyDiv w:val="1"/>
      <w:marLeft w:val="0"/>
      <w:marRight w:val="0"/>
      <w:marTop w:val="0"/>
      <w:marBottom w:val="0"/>
      <w:divBdr>
        <w:top w:val="none" w:sz="0" w:space="0" w:color="auto"/>
        <w:left w:val="none" w:sz="0" w:space="0" w:color="auto"/>
        <w:bottom w:val="none" w:sz="0" w:space="0" w:color="auto"/>
        <w:right w:val="none" w:sz="0" w:space="0" w:color="auto"/>
      </w:divBdr>
    </w:div>
    <w:div w:id="1839031648">
      <w:bodyDiv w:val="1"/>
      <w:marLeft w:val="0"/>
      <w:marRight w:val="0"/>
      <w:marTop w:val="0"/>
      <w:marBottom w:val="0"/>
      <w:divBdr>
        <w:top w:val="none" w:sz="0" w:space="0" w:color="auto"/>
        <w:left w:val="none" w:sz="0" w:space="0" w:color="auto"/>
        <w:bottom w:val="none" w:sz="0" w:space="0" w:color="auto"/>
        <w:right w:val="none" w:sz="0" w:space="0" w:color="auto"/>
      </w:divBdr>
    </w:div>
    <w:div w:id="1872720001">
      <w:bodyDiv w:val="1"/>
      <w:marLeft w:val="0"/>
      <w:marRight w:val="0"/>
      <w:marTop w:val="0"/>
      <w:marBottom w:val="0"/>
      <w:divBdr>
        <w:top w:val="none" w:sz="0" w:space="0" w:color="auto"/>
        <w:left w:val="none" w:sz="0" w:space="0" w:color="auto"/>
        <w:bottom w:val="none" w:sz="0" w:space="0" w:color="auto"/>
        <w:right w:val="none" w:sz="0" w:space="0" w:color="auto"/>
      </w:divBdr>
    </w:div>
    <w:div w:id="1897084583">
      <w:bodyDiv w:val="1"/>
      <w:marLeft w:val="0"/>
      <w:marRight w:val="0"/>
      <w:marTop w:val="0"/>
      <w:marBottom w:val="0"/>
      <w:divBdr>
        <w:top w:val="none" w:sz="0" w:space="0" w:color="auto"/>
        <w:left w:val="none" w:sz="0" w:space="0" w:color="auto"/>
        <w:bottom w:val="none" w:sz="0" w:space="0" w:color="auto"/>
        <w:right w:val="none" w:sz="0" w:space="0" w:color="auto"/>
      </w:divBdr>
    </w:div>
    <w:div w:id="1966886888">
      <w:bodyDiv w:val="1"/>
      <w:marLeft w:val="0"/>
      <w:marRight w:val="0"/>
      <w:marTop w:val="0"/>
      <w:marBottom w:val="0"/>
      <w:divBdr>
        <w:top w:val="none" w:sz="0" w:space="0" w:color="auto"/>
        <w:left w:val="none" w:sz="0" w:space="0" w:color="auto"/>
        <w:bottom w:val="none" w:sz="0" w:space="0" w:color="auto"/>
        <w:right w:val="none" w:sz="0" w:space="0" w:color="auto"/>
      </w:divBdr>
    </w:div>
    <w:div w:id="2010130949">
      <w:bodyDiv w:val="1"/>
      <w:marLeft w:val="0"/>
      <w:marRight w:val="0"/>
      <w:marTop w:val="0"/>
      <w:marBottom w:val="0"/>
      <w:divBdr>
        <w:top w:val="none" w:sz="0" w:space="0" w:color="auto"/>
        <w:left w:val="none" w:sz="0" w:space="0" w:color="auto"/>
        <w:bottom w:val="none" w:sz="0" w:space="0" w:color="auto"/>
        <w:right w:val="none" w:sz="0" w:space="0" w:color="auto"/>
      </w:divBdr>
    </w:div>
    <w:div w:id="2068530871">
      <w:bodyDiv w:val="1"/>
      <w:marLeft w:val="0"/>
      <w:marRight w:val="0"/>
      <w:marTop w:val="0"/>
      <w:marBottom w:val="0"/>
      <w:divBdr>
        <w:top w:val="none" w:sz="0" w:space="0" w:color="auto"/>
        <w:left w:val="none" w:sz="0" w:space="0" w:color="auto"/>
        <w:bottom w:val="none" w:sz="0" w:space="0" w:color="auto"/>
        <w:right w:val="none" w:sz="0" w:space="0" w:color="auto"/>
      </w:divBdr>
    </w:div>
    <w:div w:id="2104757405">
      <w:bodyDiv w:val="1"/>
      <w:marLeft w:val="0"/>
      <w:marRight w:val="0"/>
      <w:marTop w:val="0"/>
      <w:marBottom w:val="0"/>
      <w:divBdr>
        <w:top w:val="none" w:sz="0" w:space="0" w:color="auto"/>
        <w:left w:val="none" w:sz="0" w:space="0" w:color="auto"/>
        <w:bottom w:val="none" w:sz="0" w:space="0" w:color="auto"/>
        <w:right w:val="none" w:sz="0" w:space="0" w:color="auto"/>
      </w:divBdr>
    </w:div>
    <w:div w:id="21312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sac.gov.au/applications/1593-1" TargetMode="External"/><Relationship Id="rId17" Type="http://schemas.openxmlformats.org/officeDocument/2006/relationships/hyperlink" Target="http://msac.gov.au/internet/msac/publishing.nsf/Content/Home-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sac.gov.au/applications/1593-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ac.gov.au/applications/159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sac.gov.au/applications/1593" TargetMode="External"/><Relationship Id="rId23" Type="http://schemas.openxmlformats.org/officeDocument/2006/relationships/footer" Target="footer3.xml"/><Relationship Id="rId10" Type="http://schemas.openxmlformats.org/officeDocument/2006/relationships/hyperlink" Target="https://www9.health.gov.au/mbs/fullDisplay.cfm?type=item&amp;q=48960&amp;qt=item&amp;criteria=4896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9.health.gov.au/mbs/fullDisplay.cfm?type=item&amp;q=48960&amp;qt=item&amp;criteria=48960" TargetMode="External"/><Relationship Id="rId14" Type="http://schemas.openxmlformats.org/officeDocument/2006/relationships/hyperlink" Target="https://www9.health.gov.au/mbs/fullDisplay.cfm?type=item&amp;q=48960&amp;qt=item&amp;criteria=48960"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msac.gov.au/applications/1711" TargetMode="External"/><Relationship Id="rId3" Type="http://schemas.openxmlformats.org/officeDocument/2006/relationships/hyperlink" Target="https://www.msac.gov.au/sites/default/files/2024-10/guidelines-for-preparing-assessments-for-msac.pdf" TargetMode="External"/><Relationship Id="rId7" Type="http://schemas.openxmlformats.org/officeDocument/2006/relationships/hyperlink" Target="https://www.msac.gov.au/applications/1593-1" TargetMode="External"/><Relationship Id="rId2" Type="http://schemas.openxmlformats.org/officeDocument/2006/relationships/hyperlink" Target="https://www.nhmrc.gov.au/sites/default/files/images/appendix-f-levels-of-evidence.pdf" TargetMode="External"/><Relationship Id="rId1" Type="http://schemas.openxmlformats.org/officeDocument/2006/relationships/hyperlink" Target="https://clinicaltrials.gov/study/NCT04450342?intr=REGENETEN%E2%84%A2%20Bioinductive%20Implant&amp;rank=2&amp;tab=results" TargetMode="External"/><Relationship Id="rId6" Type="http://schemas.openxmlformats.org/officeDocument/2006/relationships/hyperlink" Target="https://www.msac.gov.au/applications/1593" TargetMode="External"/><Relationship Id="rId11" Type="http://schemas.openxmlformats.org/officeDocument/2006/relationships/hyperlink" Target="https://www.msac.gov.au/sites/default/files/2024-10/guidelines-for-preparing-assessments-for-msac.pdf" TargetMode="External"/><Relationship Id="rId5" Type="http://schemas.openxmlformats.org/officeDocument/2006/relationships/hyperlink" Target="https://www.msac.gov.au/sites/default/files/2024-10/guidelines-for-preparing-assessments-for-msac.pdf" TargetMode="External"/><Relationship Id="rId10" Type="http://schemas.openxmlformats.org/officeDocument/2006/relationships/hyperlink" Target="https://clinicaltrials.gov/study/NCT04450342?intr=REGENETEN%E2%84%A2%20Bioinductive%20Implant&amp;rank=2&amp;tab=results" TargetMode="External"/><Relationship Id="rId4" Type="http://schemas.openxmlformats.org/officeDocument/2006/relationships/hyperlink" Target="https://www.msac.gov.au/resources/guidelines-preparing-assessments-msac" TargetMode="External"/><Relationship Id="rId9" Type="http://schemas.openxmlformats.org/officeDocument/2006/relationships/hyperlink" Target="https://www.msac.gov.au/sites/default/files/2024-10/guidelines-for-preparing-assessments-for-msa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7703-A24C-4C87-98C7-16C364BB0774}">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 id="{273106dc-2878-42eb-b7c8-069dcf334687}" enabled="0" method="" siteId="{273106dc-2878-42eb-b7c8-069dcf334687}" removed="1"/>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18505</Words>
  <Characters>100302</Characters>
  <Application>Microsoft Office Word</Application>
  <DocSecurity>0</DocSecurity>
  <Lines>2865</Lines>
  <Paragraphs>1605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117202</CharactersWithSpaces>
  <SharedDoc>false</SharedDoc>
  <HyperlinkBase/>
  <HLinks>
    <vt:vector size="126" baseType="variant">
      <vt:variant>
        <vt:i4>6684716</vt:i4>
      </vt:variant>
      <vt:variant>
        <vt:i4>144</vt:i4>
      </vt:variant>
      <vt:variant>
        <vt:i4>0</vt:i4>
      </vt:variant>
      <vt:variant>
        <vt:i4>5</vt:i4>
      </vt:variant>
      <vt:variant>
        <vt:lpwstr>http://msac.gov.au/internet/msac/publishing.nsf/Content/Home-1</vt:lpwstr>
      </vt:variant>
      <vt:variant>
        <vt:lpwstr/>
      </vt:variant>
      <vt:variant>
        <vt:i4>3473505</vt:i4>
      </vt:variant>
      <vt:variant>
        <vt:i4>135</vt:i4>
      </vt:variant>
      <vt:variant>
        <vt:i4>0</vt:i4>
      </vt:variant>
      <vt:variant>
        <vt:i4>5</vt:i4>
      </vt:variant>
      <vt:variant>
        <vt:lpwstr>https://www.msac.gov.au/applications/1593-1</vt:lpwstr>
      </vt:variant>
      <vt:variant>
        <vt:lpwstr/>
      </vt:variant>
      <vt:variant>
        <vt:i4>1572946</vt:i4>
      </vt:variant>
      <vt:variant>
        <vt:i4>132</vt:i4>
      </vt:variant>
      <vt:variant>
        <vt:i4>0</vt:i4>
      </vt:variant>
      <vt:variant>
        <vt:i4>5</vt:i4>
      </vt:variant>
      <vt:variant>
        <vt:lpwstr>https://www.msac.gov.au/applications/1593</vt:lpwstr>
      </vt:variant>
      <vt:variant>
        <vt:lpwstr/>
      </vt:variant>
      <vt:variant>
        <vt:i4>2883694</vt:i4>
      </vt:variant>
      <vt:variant>
        <vt:i4>129</vt:i4>
      </vt:variant>
      <vt:variant>
        <vt:i4>0</vt:i4>
      </vt:variant>
      <vt:variant>
        <vt:i4>5</vt:i4>
      </vt:variant>
      <vt:variant>
        <vt:lpwstr>https://www9.health.gov.au/mbs/fullDisplay.cfm?type=item&amp;q=48960&amp;qt=item&amp;criteria=48960</vt:lpwstr>
      </vt:variant>
      <vt:variant>
        <vt:lpwstr/>
      </vt:variant>
      <vt:variant>
        <vt:i4>5701741</vt:i4>
      </vt:variant>
      <vt:variant>
        <vt:i4>60</vt:i4>
      </vt:variant>
      <vt:variant>
        <vt:i4>0</vt:i4>
      </vt:variant>
      <vt:variant>
        <vt:i4>5</vt:i4>
      </vt:variant>
      <vt:variant>
        <vt:lpwstr/>
      </vt:variant>
      <vt:variant>
        <vt:lpwstr>_Patient_reported_outcomes</vt:lpwstr>
      </vt:variant>
      <vt:variant>
        <vt:i4>3473505</vt:i4>
      </vt:variant>
      <vt:variant>
        <vt:i4>12</vt:i4>
      </vt:variant>
      <vt:variant>
        <vt:i4>0</vt:i4>
      </vt:variant>
      <vt:variant>
        <vt:i4>5</vt:i4>
      </vt:variant>
      <vt:variant>
        <vt:lpwstr>https://www.msac.gov.au/applications/1593-1</vt:lpwstr>
      </vt:variant>
      <vt:variant>
        <vt:lpwstr/>
      </vt:variant>
      <vt:variant>
        <vt:i4>1572946</vt:i4>
      </vt:variant>
      <vt:variant>
        <vt:i4>9</vt:i4>
      </vt:variant>
      <vt:variant>
        <vt:i4>0</vt:i4>
      </vt:variant>
      <vt:variant>
        <vt:i4>5</vt:i4>
      </vt:variant>
      <vt:variant>
        <vt:lpwstr>https://www.msac.gov.au/applications/1593</vt:lpwstr>
      </vt:variant>
      <vt:variant>
        <vt:lpwstr/>
      </vt:variant>
      <vt:variant>
        <vt:i4>2883694</vt:i4>
      </vt:variant>
      <vt:variant>
        <vt:i4>6</vt:i4>
      </vt:variant>
      <vt:variant>
        <vt:i4>0</vt:i4>
      </vt:variant>
      <vt:variant>
        <vt:i4>5</vt:i4>
      </vt:variant>
      <vt:variant>
        <vt:lpwstr>https://www9.health.gov.au/mbs/fullDisplay.cfm?type=item&amp;q=48960&amp;qt=item&amp;criteria=48960</vt:lpwstr>
      </vt:variant>
      <vt:variant>
        <vt:lpwstr/>
      </vt:variant>
      <vt:variant>
        <vt:i4>2883694</vt:i4>
      </vt:variant>
      <vt:variant>
        <vt:i4>3</vt:i4>
      </vt:variant>
      <vt:variant>
        <vt:i4>0</vt:i4>
      </vt:variant>
      <vt:variant>
        <vt:i4>5</vt:i4>
      </vt:variant>
      <vt:variant>
        <vt:lpwstr>https://www9.health.gov.au/mbs/fullDisplay.cfm?type=item&amp;q=48960&amp;qt=item&amp;criteria=48960</vt:lpwstr>
      </vt:variant>
      <vt:variant>
        <vt:lpwstr/>
      </vt:variant>
      <vt:variant>
        <vt:i4>3997744</vt:i4>
      </vt:variant>
      <vt:variant>
        <vt:i4>0</vt:i4>
      </vt:variant>
      <vt:variant>
        <vt:i4>0</vt:i4>
      </vt:variant>
      <vt:variant>
        <vt:i4>5</vt:i4>
      </vt:variant>
      <vt:variant>
        <vt:lpwstr>http://www.msac.gov.au/</vt:lpwstr>
      </vt:variant>
      <vt:variant>
        <vt:lpwstr/>
      </vt:variant>
      <vt:variant>
        <vt:i4>1507333</vt:i4>
      </vt:variant>
      <vt:variant>
        <vt:i4>30</vt:i4>
      </vt:variant>
      <vt:variant>
        <vt:i4>0</vt:i4>
      </vt:variant>
      <vt:variant>
        <vt:i4>5</vt:i4>
      </vt:variant>
      <vt:variant>
        <vt:lpwstr>https://www.msac.gov.au/sites/default/files/2024-10/guidelines-for-preparing-assessments-for-msac.pdf</vt:lpwstr>
      </vt:variant>
      <vt:variant>
        <vt:lpwstr/>
      </vt:variant>
      <vt:variant>
        <vt:i4>5898313</vt:i4>
      </vt:variant>
      <vt:variant>
        <vt:i4>27</vt:i4>
      </vt:variant>
      <vt:variant>
        <vt:i4>0</vt:i4>
      </vt:variant>
      <vt:variant>
        <vt:i4>5</vt:i4>
      </vt:variant>
      <vt:variant>
        <vt:lpwstr>https://clinicaltrials.gov/study/NCT04450342?intr=REGENETEN%E2%84%A2%20Bioinductive%20Implant&amp;rank=2&amp;tab=results</vt:lpwstr>
      </vt:variant>
      <vt:variant>
        <vt:lpwstr/>
      </vt:variant>
      <vt:variant>
        <vt:i4>1507333</vt:i4>
      </vt:variant>
      <vt:variant>
        <vt:i4>24</vt:i4>
      </vt:variant>
      <vt:variant>
        <vt:i4>0</vt:i4>
      </vt:variant>
      <vt:variant>
        <vt:i4>5</vt:i4>
      </vt:variant>
      <vt:variant>
        <vt:lpwstr>https://www.msac.gov.au/sites/default/files/2024-10/guidelines-for-preparing-assessments-for-msac.pdf</vt:lpwstr>
      </vt:variant>
      <vt:variant>
        <vt:lpwstr/>
      </vt:variant>
      <vt:variant>
        <vt:i4>1048656</vt:i4>
      </vt:variant>
      <vt:variant>
        <vt:i4>21</vt:i4>
      </vt:variant>
      <vt:variant>
        <vt:i4>0</vt:i4>
      </vt:variant>
      <vt:variant>
        <vt:i4>5</vt:i4>
      </vt:variant>
      <vt:variant>
        <vt:lpwstr>https://www.msac.gov.au/applications/1711</vt:lpwstr>
      </vt:variant>
      <vt:variant>
        <vt:lpwstr/>
      </vt:variant>
      <vt:variant>
        <vt:i4>3473505</vt:i4>
      </vt:variant>
      <vt:variant>
        <vt:i4>18</vt:i4>
      </vt:variant>
      <vt:variant>
        <vt:i4>0</vt:i4>
      </vt:variant>
      <vt:variant>
        <vt:i4>5</vt:i4>
      </vt:variant>
      <vt:variant>
        <vt:lpwstr>https://www.msac.gov.au/applications/1593-1</vt:lpwstr>
      </vt:variant>
      <vt:variant>
        <vt:lpwstr/>
      </vt:variant>
      <vt:variant>
        <vt:i4>1572946</vt:i4>
      </vt:variant>
      <vt:variant>
        <vt:i4>15</vt:i4>
      </vt:variant>
      <vt:variant>
        <vt:i4>0</vt:i4>
      </vt:variant>
      <vt:variant>
        <vt:i4>5</vt:i4>
      </vt:variant>
      <vt:variant>
        <vt:lpwstr>https://www.msac.gov.au/applications/1593</vt:lpwstr>
      </vt:variant>
      <vt:variant>
        <vt:lpwstr/>
      </vt:variant>
      <vt:variant>
        <vt:i4>1507333</vt:i4>
      </vt:variant>
      <vt:variant>
        <vt:i4>12</vt:i4>
      </vt:variant>
      <vt:variant>
        <vt:i4>0</vt:i4>
      </vt:variant>
      <vt:variant>
        <vt:i4>5</vt:i4>
      </vt:variant>
      <vt:variant>
        <vt:lpwstr>https://www.msac.gov.au/sites/default/files/2024-10/guidelines-for-preparing-assessments-for-msac.pdf</vt:lpwstr>
      </vt:variant>
      <vt:variant>
        <vt:lpwstr/>
      </vt:variant>
      <vt:variant>
        <vt:i4>3276897</vt:i4>
      </vt:variant>
      <vt:variant>
        <vt:i4>9</vt:i4>
      </vt:variant>
      <vt:variant>
        <vt:i4>0</vt:i4>
      </vt:variant>
      <vt:variant>
        <vt:i4>5</vt:i4>
      </vt:variant>
      <vt:variant>
        <vt:lpwstr>https://www.msac.gov.au/resources/guidelines-preparing-assessments-msac</vt:lpwstr>
      </vt:variant>
      <vt:variant>
        <vt:lpwstr/>
      </vt:variant>
      <vt:variant>
        <vt:i4>1507333</vt:i4>
      </vt:variant>
      <vt:variant>
        <vt:i4>6</vt:i4>
      </vt:variant>
      <vt:variant>
        <vt:i4>0</vt:i4>
      </vt:variant>
      <vt:variant>
        <vt:i4>5</vt:i4>
      </vt:variant>
      <vt:variant>
        <vt:lpwstr>https://www.msac.gov.au/sites/default/files/2024-10/guidelines-for-preparing-assessments-for-msac.pdf</vt:lpwstr>
      </vt:variant>
      <vt:variant>
        <vt:lpwstr/>
      </vt:variant>
      <vt:variant>
        <vt:i4>1441807</vt:i4>
      </vt:variant>
      <vt:variant>
        <vt:i4>3</vt:i4>
      </vt:variant>
      <vt:variant>
        <vt:i4>0</vt:i4>
      </vt:variant>
      <vt:variant>
        <vt:i4>5</vt:i4>
      </vt:variant>
      <vt:variant>
        <vt:lpwstr>https://www.nhmrc.gov.au/sites/default/files/images/appendix-f-levels-of-evidence.pdf</vt:lpwstr>
      </vt:variant>
      <vt:variant>
        <vt:lpwstr/>
      </vt:variant>
      <vt:variant>
        <vt:i4>5898313</vt:i4>
      </vt:variant>
      <vt:variant>
        <vt:i4>0</vt:i4>
      </vt:variant>
      <vt:variant>
        <vt:i4>0</vt:i4>
      </vt:variant>
      <vt:variant>
        <vt:i4>5</vt:i4>
      </vt:variant>
      <vt:variant>
        <vt:lpwstr>https://clinicaltrials.gov/study/NCT04450342?intr=REGENETEN%E2%84%A2%20Bioinductive%20Implant&amp;rank=2&amp;tab=results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2025-11-25T00:12:00Z</dcterms:created>
  <dcterms:modified xsi:type="dcterms:W3CDTF">2025-12-17T03:33:00Z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3cdeb112,32194402,67a12a8b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68ae4c24,15a39599,5040b8a0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2025-11-25T00:11:55Z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f9e25788-e636-406b-bb9f-f28cf227ad48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