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0663" w14:textId="0FB66276" w:rsidR="00617874" w:rsidRPr="00742A01" w:rsidRDefault="00617874" w:rsidP="00617874">
      <w:pPr>
        <w:shd w:val="clear" w:color="auto" w:fill="FFFFFF"/>
        <w:spacing w:before="100" w:beforeAutospacing="1" w:after="100" w:afterAutospacing="1" w:line="240" w:lineRule="auto"/>
        <w:outlineLvl w:val="1"/>
        <w:rPr>
          <w:rFonts w:asciiTheme="minorHAnsi" w:eastAsia="Times New Roman" w:hAnsiTheme="minorHAnsi" w:cstheme="minorHAnsi"/>
          <w:b/>
          <w:bCs/>
          <w:color w:val="333333"/>
          <w:kern w:val="0"/>
          <w:sz w:val="24"/>
          <w:lang w:eastAsia="en-AU"/>
          <w14:ligatures w14:val="none"/>
        </w:rPr>
      </w:pPr>
      <w:r>
        <w:rPr>
          <w:rFonts w:asciiTheme="minorHAnsi" w:eastAsia="Times New Roman" w:hAnsiTheme="minorHAnsi" w:cstheme="minorHAnsi"/>
          <w:b/>
          <w:bCs/>
          <w:color w:val="333333"/>
          <w:kern w:val="0"/>
          <w:sz w:val="24"/>
          <w:lang w:eastAsia="en-AU"/>
          <w14:ligatures w14:val="none"/>
        </w:rPr>
        <w:t>Guide to m</w:t>
      </w:r>
      <w:r w:rsidRPr="00742A01">
        <w:rPr>
          <w:rFonts w:asciiTheme="minorHAnsi" w:eastAsia="Times New Roman" w:hAnsiTheme="minorHAnsi" w:cstheme="minorHAnsi"/>
          <w:b/>
          <w:bCs/>
          <w:color w:val="333333"/>
          <w:kern w:val="0"/>
          <w:sz w:val="24"/>
          <w:lang w:eastAsia="en-AU"/>
          <w14:ligatures w14:val="none"/>
        </w:rPr>
        <w:t>aking the most of an MSAC Hearing</w:t>
      </w:r>
    </w:p>
    <w:p w14:paraId="3EF3E2AD" w14:textId="77777777" w:rsidR="00617874" w:rsidRPr="00742A01" w:rsidRDefault="00617874" w:rsidP="00617874">
      <w:pPr>
        <w:shd w:val="clear" w:color="auto" w:fill="FFFFFF"/>
        <w:spacing w:after="200" w:line="240" w:lineRule="auto"/>
        <w:outlineLvl w:val="1"/>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A hearing is an opportunity for you to help MSAC understand your response to the main findings of the ESC Report. This guidance aims to facilitate effective hearings. </w:t>
      </w:r>
    </w:p>
    <w:p w14:paraId="2D4BD11A" w14:textId="77777777" w:rsidR="00617874" w:rsidRPr="00742A01" w:rsidRDefault="00617874" w:rsidP="00617874">
      <w:pPr>
        <w:numPr>
          <w:ilvl w:val="0"/>
          <w:numId w:val="1"/>
        </w:numPr>
        <w:spacing w:after="200"/>
        <w:ind w:left="357" w:hanging="357"/>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You should assume that MSAC members are familiar with the application and associated documents, including the assessment report, ESC report, and your pre-MSAC response. There is no need to reiterate content from these documents unless there are key items you think are critical for MSACs deliberations. </w:t>
      </w:r>
    </w:p>
    <w:p w14:paraId="50A1AC82" w14:textId="77777777" w:rsidR="00617874" w:rsidRPr="00742A01" w:rsidRDefault="00617874" w:rsidP="00617874">
      <w:pPr>
        <w:numPr>
          <w:ilvl w:val="0"/>
          <w:numId w:val="1"/>
        </w:numPr>
        <w:shd w:val="clear" w:color="auto" w:fill="FFFFFF"/>
        <w:spacing w:after="200" w:line="240" w:lineRule="auto"/>
        <w:ind w:left="357" w:hanging="357"/>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Hearings are for a maximum of 10 minutes. This time limit is strictly adhered to. </w:t>
      </w:r>
    </w:p>
    <w:p w14:paraId="6563DDCD" w14:textId="77777777" w:rsidR="00617874" w:rsidRPr="00742A01" w:rsidRDefault="00617874" w:rsidP="00617874">
      <w:pPr>
        <w:numPr>
          <w:ilvl w:val="1"/>
          <w:numId w:val="1"/>
        </w:numPr>
        <w:shd w:val="clear" w:color="auto" w:fill="FFFFFF"/>
        <w:spacing w:after="200" w:line="240" w:lineRule="auto"/>
        <w:ind w:left="851"/>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All hearings involve a question-and-answer session, but they may also include an </w:t>
      </w:r>
      <w:r w:rsidRPr="00742A01">
        <w:rPr>
          <w:rFonts w:asciiTheme="minorHAnsi" w:eastAsia="Times New Roman" w:hAnsiTheme="minorHAnsi" w:cstheme="minorHAnsi"/>
          <w:color w:val="333333"/>
          <w:kern w:val="0"/>
          <w:sz w:val="22"/>
          <w:szCs w:val="22"/>
          <w:u w:val="single"/>
          <w:lang w:eastAsia="en-AU"/>
          <w14:ligatures w14:val="none"/>
        </w:rPr>
        <w:t>optional</w:t>
      </w:r>
      <w:r w:rsidRPr="00742A01">
        <w:rPr>
          <w:rFonts w:asciiTheme="minorHAnsi" w:eastAsia="Times New Roman" w:hAnsiTheme="minorHAnsi" w:cstheme="minorHAnsi"/>
          <w:color w:val="333333"/>
          <w:kern w:val="0"/>
          <w:sz w:val="22"/>
          <w:szCs w:val="22"/>
          <w:lang w:eastAsia="en-AU"/>
          <w14:ligatures w14:val="none"/>
        </w:rPr>
        <w:t xml:space="preserve"> presentation by the applicant. Optional presentations are for five minutes or less. </w:t>
      </w:r>
    </w:p>
    <w:p w14:paraId="4340F4DD" w14:textId="77777777" w:rsidR="00617874" w:rsidRPr="00742A01" w:rsidRDefault="00617874" w:rsidP="00617874">
      <w:pPr>
        <w:numPr>
          <w:ilvl w:val="1"/>
          <w:numId w:val="1"/>
        </w:numPr>
        <w:shd w:val="clear" w:color="auto" w:fill="FFFFFF"/>
        <w:spacing w:after="200" w:line="240" w:lineRule="auto"/>
        <w:ind w:left="851"/>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Given the duration of a hearing (including any optional presentation) is  </w:t>
      </w:r>
      <w:r w:rsidRPr="00742A01">
        <w:rPr>
          <w:rFonts w:asciiTheme="minorHAnsi" w:eastAsia="Times New Roman" w:hAnsiTheme="minorHAnsi" w:cstheme="minorHAnsi"/>
          <w:color w:val="333333"/>
          <w:kern w:val="0"/>
          <w:sz w:val="22"/>
          <w:szCs w:val="22"/>
          <w:lang w:eastAsia="en-AU"/>
          <w14:ligatures w14:val="none"/>
        </w:rPr>
        <w:br/>
        <w:t xml:space="preserve">10-minutes, please minimise time spent on introductions. </w:t>
      </w:r>
    </w:p>
    <w:p w14:paraId="2DFE91A3" w14:textId="77777777" w:rsidR="00617874" w:rsidRPr="00742A01" w:rsidRDefault="00617874" w:rsidP="00617874">
      <w:pPr>
        <w:numPr>
          <w:ilvl w:val="0"/>
          <w:numId w:val="1"/>
        </w:numPr>
        <w:shd w:val="clear" w:color="auto" w:fill="FFFFFF"/>
        <w:spacing w:after="200" w:line="240" w:lineRule="auto"/>
        <w:ind w:left="357" w:hanging="357"/>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The question-and-answer component of hearings is highly valuable to MSAC. If you choose not to make a presentation, the hearing will comprise solely of questions and answers/discussion. </w:t>
      </w:r>
    </w:p>
    <w:p w14:paraId="1A25DB68" w14:textId="77777777" w:rsidR="00617874" w:rsidRPr="00742A01" w:rsidRDefault="00617874" w:rsidP="00617874">
      <w:pPr>
        <w:numPr>
          <w:ilvl w:val="0"/>
          <w:numId w:val="1"/>
        </w:numPr>
        <w:shd w:val="clear" w:color="auto" w:fill="FFFFFF"/>
        <w:spacing w:after="200" w:line="240" w:lineRule="auto"/>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A key focus for MSAC is the issues raised in the ESC report. As such, you might expect MSAC members to seek clarification or further information about matters raised in the ESC report or about your pre-MSAC response to the ESC report. </w:t>
      </w:r>
    </w:p>
    <w:p w14:paraId="395ED94F" w14:textId="77777777" w:rsidR="00617874" w:rsidRPr="00742A01" w:rsidRDefault="00617874" w:rsidP="00617874">
      <w:pPr>
        <w:numPr>
          <w:ilvl w:val="0"/>
          <w:numId w:val="1"/>
        </w:numPr>
        <w:spacing w:after="200"/>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If you choose to make a short (maximum five minutes) presentation, focus on helping MSAC decision-making by enhancing your response to the issues raised in the ESC Report. Avoid using the presentation as a ‘marketing’ opportunity. </w:t>
      </w:r>
    </w:p>
    <w:p w14:paraId="06C36BD7" w14:textId="77777777" w:rsidR="00617874" w:rsidRPr="00742A01" w:rsidRDefault="00617874" w:rsidP="00617874">
      <w:pPr>
        <w:numPr>
          <w:ilvl w:val="1"/>
          <w:numId w:val="1"/>
        </w:numPr>
        <w:spacing w:after="200"/>
        <w:ind w:left="851" w:hanging="357"/>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The presentation may provide further detail on evidence included in your application or related documents but </w:t>
      </w:r>
      <w:r w:rsidRPr="00742A01">
        <w:rPr>
          <w:rFonts w:asciiTheme="minorHAnsi" w:eastAsia="Times New Roman" w:hAnsiTheme="minorHAnsi" w:cstheme="minorHAnsi"/>
          <w:color w:val="333333"/>
          <w:kern w:val="0"/>
          <w:sz w:val="22"/>
          <w:szCs w:val="22"/>
          <w:u w:val="single"/>
          <w:lang w:eastAsia="en-AU"/>
          <w14:ligatures w14:val="none"/>
        </w:rPr>
        <w:t>must not</w:t>
      </w:r>
      <w:r w:rsidRPr="00742A01">
        <w:rPr>
          <w:rFonts w:asciiTheme="minorHAnsi" w:eastAsia="Times New Roman" w:hAnsiTheme="minorHAnsi" w:cstheme="minorHAnsi"/>
          <w:color w:val="333333"/>
          <w:kern w:val="0"/>
          <w:sz w:val="22"/>
          <w:szCs w:val="22"/>
          <w:lang w:eastAsia="en-AU"/>
          <w14:ligatures w14:val="none"/>
        </w:rPr>
        <w:t xml:space="preserve"> introduce new evidence. If your presentation includes new evidence the MSAC secretariat will cancel the hearing.</w:t>
      </w:r>
    </w:p>
    <w:p w14:paraId="120CDD2B" w14:textId="77777777" w:rsidR="00617874" w:rsidRPr="00742A01" w:rsidRDefault="00617874" w:rsidP="00617874">
      <w:pPr>
        <w:numPr>
          <w:ilvl w:val="0"/>
          <w:numId w:val="1"/>
        </w:numPr>
        <w:spacing w:after="200"/>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Make sure that those attending the hearing on your behalf:</w:t>
      </w:r>
    </w:p>
    <w:p w14:paraId="128D67BB" w14:textId="77777777" w:rsidR="00617874" w:rsidRPr="00742A01" w:rsidRDefault="00617874" w:rsidP="00617874">
      <w:pPr>
        <w:numPr>
          <w:ilvl w:val="1"/>
          <w:numId w:val="1"/>
        </w:numPr>
        <w:spacing w:after="200"/>
        <w:ind w:left="851"/>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Are familiar with your application and the issues raised during the evaluation process. </w:t>
      </w:r>
    </w:p>
    <w:p w14:paraId="55D131BF" w14:textId="77777777" w:rsidR="00617874" w:rsidRPr="00742A01" w:rsidRDefault="00617874" w:rsidP="00617874">
      <w:pPr>
        <w:numPr>
          <w:ilvl w:val="1"/>
          <w:numId w:val="1"/>
        </w:numPr>
        <w:spacing w:after="200"/>
        <w:ind w:left="851"/>
        <w:rPr>
          <w:rFonts w:asciiTheme="minorHAnsi" w:eastAsia="Times New Roman" w:hAnsiTheme="minorHAnsi" w:cstheme="minorHAnsi"/>
          <w:color w:val="333333"/>
          <w:kern w:val="0"/>
          <w:sz w:val="22"/>
          <w:szCs w:val="22"/>
          <w:lang w:eastAsia="en-AU"/>
          <w14:ligatures w14:val="none"/>
        </w:rPr>
      </w:pPr>
      <w:r w:rsidRPr="00742A01">
        <w:rPr>
          <w:rFonts w:asciiTheme="minorHAnsi" w:eastAsia="Times New Roman" w:hAnsiTheme="minorHAnsi" w:cstheme="minorHAnsi"/>
          <w:color w:val="333333"/>
          <w:kern w:val="0"/>
          <w:sz w:val="22"/>
          <w:szCs w:val="22"/>
          <w:lang w:eastAsia="en-AU"/>
          <w14:ligatures w14:val="none"/>
        </w:rPr>
        <w:t xml:space="preserve">Can respond to questions about the application, clinical practice, matters raised by PASC and ESC, and issues related to public funding of the service or technology. </w:t>
      </w:r>
    </w:p>
    <w:p w14:paraId="0B2F071C" w14:textId="4DFDFDE6" w:rsidR="00617874" w:rsidRPr="005872B2" w:rsidRDefault="00617874" w:rsidP="00617874">
      <w:pPr>
        <w:numPr>
          <w:ilvl w:val="2"/>
          <w:numId w:val="1"/>
        </w:numPr>
        <w:shd w:val="clear" w:color="auto" w:fill="FFFFFF"/>
        <w:spacing w:after="200" w:line="240" w:lineRule="auto"/>
        <w:ind w:left="851"/>
        <w:rPr>
          <w:rFonts w:asciiTheme="minorHAnsi" w:hAnsiTheme="minorHAnsi" w:cstheme="minorBidi"/>
          <w:kern w:val="0"/>
          <w:sz w:val="22"/>
          <w:szCs w:val="22"/>
          <w14:ligatures w14:val="none"/>
        </w:rPr>
      </w:pPr>
      <w:r w:rsidRPr="005872B2">
        <w:rPr>
          <w:rFonts w:asciiTheme="minorHAnsi" w:eastAsia="Times New Roman" w:hAnsiTheme="minorHAnsi" w:cstheme="minorHAnsi"/>
          <w:color w:val="333333"/>
          <w:kern w:val="0"/>
          <w:sz w:val="22"/>
          <w:szCs w:val="22"/>
          <w:lang w:eastAsia="en-AU"/>
          <w14:ligatures w14:val="none"/>
        </w:rPr>
        <w:t xml:space="preserve">Including your clinical expert(s) when discussing clinical issues can be helpful to MSAC. </w:t>
      </w:r>
    </w:p>
    <w:p w14:paraId="26306290" w14:textId="77777777" w:rsidR="00617874" w:rsidRPr="00742A01" w:rsidRDefault="00617874" w:rsidP="00617874">
      <w:pPr>
        <w:rPr>
          <w:rFonts w:asciiTheme="minorHAnsi" w:hAnsiTheme="minorHAnsi" w:cstheme="minorBidi"/>
          <w:kern w:val="0"/>
          <w:sz w:val="22"/>
          <w:szCs w:val="22"/>
          <w14:ligatures w14:val="none"/>
        </w:rPr>
      </w:pPr>
    </w:p>
    <w:p w14:paraId="6042A5F2" w14:textId="77777777" w:rsidR="00A74030" w:rsidRDefault="00A74030" w:rsidP="00617874"/>
    <w:p w14:paraId="6522A4CB" w14:textId="77777777" w:rsidR="00280050" w:rsidRPr="00F746C0" w:rsidRDefault="00280050"/>
    <w:sectPr w:rsidR="00280050" w:rsidRPr="00F746C0">
      <w:headerReference w:type="even" r:id="rId10"/>
      <w:footerReference w:type="even"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DEC8" w14:textId="77777777" w:rsidR="00A74030" w:rsidRDefault="00A74030" w:rsidP="00A74030">
      <w:pPr>
        <w:spacing w:after="0" w:line="240" w:lineRule="auto"/>
      </w:pPr>
      <w:r>
        <w:separator/>
      </w:r>
    </w:p>
  </w:endnote>
  <w:endnote w:type="continuationSeparator" w:id="0">
    <w:p w14:paraId="04979884" w14:textId="77777777" w:rsidR="00A74030" w:rsidRDefault="00A74030" w:rsidP="00A7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66B7" w14:textId="603755E3" w:rsidR="005872B2" w:rsidRDefault="005872B2">
    <w:pPr>
      <w:pStyle w:val="Footer"/>
    </w:pPr>
    <w:r>
      <w:rPr>
        <w:noProof/>
      </w:rPr>
      <mc:AlternateContent>
        <mc:Choice Requires="wps">
          <w:drawing>
            <wp:anchor distT="0" distB="0" distL="0" distR="0" simplePos="0" relativeHeight="251662336" behindDoc="0" locked="0" layoutInCell="1" allowOverlap="1" wp14:anchorId="45E6C034" wp14:editId="06FD3AD0">
              <wp:simplePos x="635" y="635"/>
              <wp:positionH relativeFrom="page">
                <wp:align>center</wp:align>
              </wp:positionH>
              <wp:positionV relativeFrom="page">
                <wp:align>bottom</wp:align>
              </wp:positionV>
              <wp:extent cx="622300" cy="391160"/>
              <wp:effectExtent l="0" t="0" r="6350" b="0"/>
              <wp:wrapNone/>
              <wp:docPr id="20732521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01AA8E" w14:textId="38F8F7CE"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6C034"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601AA8E" w14:textId="38F8F7CE"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458B" w14:textId="392BE20D" w:rsidR="005872B2" w:rsidRDefault="005872B2">
    <w:pPr>
      <w:pStyle w:val="Footer"/>
    </w:pPr>
    <w:r>
      <w:rPr>
        <w:noProof/>
      </w:rPr>
      <mc:AlternateContent>
        <mc:Choice Requires="wps">
          <w:drawing>
            <wp:anchor distT="0" distB="0" distL="0" distR="0" simplePos="0" relativeHeight="251661312" behindDoc="0" locked="0" layoutInCell="1" allowOverlap="1" wp14:anchorId="638BD613" wp14:editId="223F0E8D">
              <wp:simplePos x="635" y="635"/>
              <wp:positionH relativeFrom="page">
                <wp:align>center</wp:align>
              </wp:positionH>
              <wp:positionV relativeFrom="page">
                <wp:align>bottom</wp:align>
              </wp:positionV>
              <wp:extent cx="622300" cy="391160"/>
              <wp:effectExtent l="0" t="0" r="6350" b="0"/>
              <wp:wrapNone/>
              <wp:docPr id="5457347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244FCF" w14:textId="17166516"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BD613"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07244FCF" w14:textId="17166516"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68EF" w14:textId="77777777" w:rsidR="00A74030" w:rsidRDefault="00A74030" w:rsidP="00A74030">
      <w:pPr>
        <w:spacing w:after="0" w:line="240" w:lineRule="auto"/>
      </w:pPr>
      <w:r>
        <w:separator/>
      </w:r>
    </w:p>
  </w:footnote>
  <w:footnote w:type="continuationSeparator" w:id="0">
    <w:p w14:paraId="08B71504" w14:textId="77777777" w:rsidR="00A74030" w:rsidRDefault="00A74030" w:rsidP="00A7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7769" w14:textId="6F62AB9D" w:rsidR="005872B2" w:rsidRDefault="005872B2">
    <w:pPr>
      <w:pStyle w:val="Header"/>
    </w:pPr>
    <w:r>
      <w:rPr>
        <w:noProof/>
      </w:rPr>
      <mc:AlternateContent>
        <mc:Choice Requires="wps">
          <w:drawing>
            <wp:anchor distT="0" distB="0" distL="0" distR="0" simplePos="0" relativeHeight="251659264" behindDoc="0" locked="0" layoutInCell="1" allowOverlap="1" wp14:anchorId="375E9EAC" wp14:editId="6D1C8756">
              <wp:simplePos x="635" y="635"/>
              <wp:positionH relativeFrom="page">
                <wp:align>center</wp:align>
              </wp:positionH>
              <wp:positionV relativeFrom="page">
                <wp:align>top</wp:align>
              </wp:positionV>
              <wp:extent cx="622300" cy="391160"/>
              <wp:effectExtent l="0" t="0" r="6350" b="8890"/>
              <wp:wrapNone/>
              <wp:docPr id="1203105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9E5218" w14:textId="70C039A2"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E9EAC"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C9E5218" w14:textId="70C039A2"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5210" w14:textId="746D7B92" w:rsidR="005872B2" w:rsidRDefault="005872B2">
    <w:pPr>
      <w:pStyle w:val="Header"/>
    </w:pPr>
    <w:r>
      <w:rPr>
        <w:noProof/>
      </w:rPr>
      <mc:AlternateContent>
        <mc:Choice Requires="wps">
          <w:drawing>
            <wp:anchor distT="0" distB="0" distL="0" distR="0" simplePos="0" relativeHeight="251658240" behindDoc="0" locked="0" layoutInCell="1" allowOverlap="1" wp14:anchorId="272A798A" wp14:editId="6BA595CF">
              <wp:simplePos x="635" y="635"/>
              <wp:positionH relativeFrom="page">
                <wp:align>center</wp:align>
              </wp:positionH>
              <wp:positionV relativeFrom="page">
                <wp:align>top</wp:align>
              </wp:positionV>
              <wp:extent cx="622300" cy="391160"/>
              <wp:effectExtent l="0" t="0" r="6350" b="8890"/>
              <wp:wrapNone/>
              <wp:docPr id="394085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798F60" w14:textId="587E1A82"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A798A"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3E798F60" w14:textId="587E1A82" w:rsidR="005872B2" w:rsidRPr="005872B2" w:rsidRDefault="005872B2" w:rsidP="005872B2">
                    <w:pPr>
                      <w:spacing w:after="0"/>
                      <w:rPr>
                        <w:rFonts w:ascii="Aptos" w:eastAsia="Aptos" w:hAnsi="Aptos" w:cs="Aptos"/>
                        <w:noProof/>
                        <w:color w:val="FF0000"/>
                        <w:sz w:val="24"/>
                      </w:rPr>
                    </w:pPr>
                    <w:r w:rsidRPr="005872B2">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49D"/>
    <w:multiLevelType w:val="hybridMultilevel"/>
    <w:tmpl w:val="D758E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5484C"/>
    <w:multiLevelType w:val="hybridMultilevel"/>
    <w:tmpl w:val="89A2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907BEB"/>
    <w:multiLevelType w:val="hybridMultilevel"/>
    <w:tmpl w:val="F6FA5A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11671BF"/>
    <w:multiLevelType w:val="hybridMultilevel"/>
    <w:tmpl w:val="EE1E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776690"/>
    <w:multiLevelType w:val="hybridMultilevel"/>
    <w:tmpl w:val="CF3A7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983A3D"/>
    <w:multiLevelType w:val="hybridMultilevel"/>
    <w:tmpl w:val="0230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201104"/>
    <w:multiLevelType w:val="multilevel"/>
    <w:tmpl w:val="1396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059427">
    <w:abstractNumId w:val="2"/>
  </w:num>
  <w:num w:numId="2" w16cid:durableId="1458524663">
    <w:abstractNumId w:val="6"/>
  </w:num>
  <w:num w:numId="3" w16cid:durableId="2076269419">
    <w:abstractNumId w:val="5"/>
  </w:num>
  <w:num w:numId="4" w16cid:durableId="2130736337">
    <w:abstractNumId w:val="3"/>
  </w:num>
  <w:num w:numId="5" w16cid:durableId="1405451224">
    <w:abstractNumId w:val="4"/>
  </w:num>
  <w:num w:numId="6" w16cid:durableId="1124809494">
    <w:abstractNumId w:val="0"/>
  </w:num>
  <w:num w:numId="7" w16cid:durableId="90237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74"/>
    <w:rsid w:val="00023CDE"/>
    <w:rsid w:val="00026B2B"/>
    <w:rsid w:val="00030E92"/>
    <w:rsid w:val="000372DF"/>
    <w:rsid w:val="00054F31"/>
    <w:rsid w:val="000560EE"/>
    <w:rsid w:val="00057CD4"/>
    <w:rsid w:val="00083EB9"/>
    <w:rsid w:val="00086D0A"/>
    <w:rsid w:val="000A3D4C"/>
    <w:rsid w:val="000B46E3"/>
    <w:rsid w:val="000F6D4F"/>
    <w:rsid w:val="0010138B"/>
    <w:rsid w:val="00106BE9"/>
    <w:rsid w:val="00125AC6"/>
    <w:rsid w:val="00133395"/>
    <w:rsid w:val="00146ADD"/>
    <w:rsid w:val="00163325"/>
    <w:rsid w:val="00176D8A"/>
    <w:rsid w:val="001B1093"/>
    <w:rsid w:val="001D1CD8"/>
    <w:rsid w:val="001D4359"/>
    <w:rsid w:val="001D7462"/>
    <w:rsid w:val="00201B6E"/>
    <w:rsid w:val="00207416"/>
    <w:rsid w:val="00210B44"/>
    <w:rsid w:val="00252374"/>
    <w:rsid w:val="002617F4"/>
    <w:rsid w:val="00263471"/>
    <w:rsid w:val="00276FE9"/>
    <w:rsid w:val="00280050"/>
    <w:rsid w:val="002875B8"/>
    <w:rsid w:val="002B1E82"/>
    <w:rsid w:val="00322A10"/>
    <w:rsid w:val="003305A1"/>
    <w:rsid w:val="0033559E"/>
    <w:rsid w:val="00365775"/>
    <w:rsid w:val="00381D23"/>
    <w:rsid w:val="0039256E"/>
    <w:rsid w:val="003B2550"/>
    <w:rsid w:val="003B33D3"/>
    <w:rsid w:val="003B613E"/>
    <w:rsid w:val="003D3A93"/>
    <w:rsid w:val="00400102"/>
    <w:rsid w:val="00425121"/>
    <w:rsid w:val="00427856"/>
    <w:rsid w:val="0043573C"/>
    <w:rsid w:val="00465BD5"/>
    <w:rsid w:val="00471649"/>
    <w:rsid w:val="00473D06"/>
    <w:rsid w:val="00482742"/>
    <w:rsid w:val="00484508"/>
    <w:rsid w:val="004E43C1"/>
    <w:rsid w:val="0053569B"/>
    <w:rsid w:val="00546EEC"/>
    <w:rsid w:val="005872B2"/>
    <w:rsid w:val="005912A6"/>
    <w:rsid w:val="005A1BC8"/>
    <w:rsid w:val="005D570A"/>
    <w:rsid w:val="00617874"/>
    <w:rsid w:val="00645084"/>
    <w:rsid w:val="00663D6E"/>
    <w:rsid w:val="00666DCB"/>
    <w:rsid w:val="00672601"/>
    <w:rsid w:val="006A7465"/>
    <w:rsid w:val="006B479E"/>
    <w:rsid w:val="006B7D00"/>
    <w:rsid w:val="006D04D1"/>
    <w:rsid w:val="0070310C"/>
    <w:rsid w:val="00734310"/>
    <w:rsid w:val="0075549D"/>
    <w:rsid w:val="007A41BF"/>
    <w:rsid w:val="007B0D22"/>
    <w:rsid w:val="007B1CDE"/>
    <w:rsid w:val="007D4215"/>
    <w:rsid w:val="007E0BFB"/>
    <w:rsid w:val="007F21EA"/>
    <w:rsid w:val="007F5BE5"/>
    <w:rsid w:val="00800772"/>
    <w:rsid w:val="00803D3E"/>
    <w:rsid w:val="00866EC9"/>
    <w:rsid w:val="00870244"/>
    <w:rsid w:val="00885D93"/>
    <w:rsid w:val="00887156"/>
    <w:rsid w:val="00887AB5"/>
    <w:rsid w:val="00893536"/>
    <w:rsid w:val="00893EEA"/>
    <w:rsid w:val="008A5C96"/>
    <w:rsid w:val="008B02C8"/>
    <w:rsid w:val="008B1A00"/>
    <w:rsid w:val="008C731E"/>
    <w:rsid w:val="008D483E"/>
    <w:rsid w:val="008F3D12"/>
    <w:rsid w:val="009279F0"/>
    <w:rsid w:val="009A46F1"/>
    <w:rsid w:val="009F32A0"/>
    <w:rsid w:val="00A205A5"/>
    <w:rsid w:val="00A34DF7"/>
    <w:rsid w:val="00A41353"/>
    <w:rsid w:val="00A45E16"/>
    <w:rsid w:val="00A4748F"/>
    <w:rsid w:val="00A74030"/>
    <w:rsid w:val="00A96DD3"/>
    <w:rsid w:val="00AA12CD"/>
    <w:rsid w:val="00AA2EB3"/>
    <w:rsid w:val="00B12151"/>
    <w:rsid w:val="00B35886"/>
    <w:rsid w:val="00B416EE"/>
    <w:rsid w:val="00B52045"/>
    <w:rsid w:val="00B77834"/>
    <w:rsid w:val="00B90694"/>
    <w:rsid w:val="00BD0004"/>
    <w:rsid w:val="00C26118"/>
    <w:rsid w:val="00C44C28"/>
    <w:rsid w:val="00C64A1E"/>
    <w:rsid w:val="00C90C1D"/>
    <w:rsid w:val="00CD007B"/>
    <w:rsid w:val="00CE2513"/>
    <w:rsid w:val="00CE7CE4"/>
    <w:rsid w:val="00D45198"/>
    <w:rsid w:val="00D56E69"/>
    <w:rsid w:val="00D61629"/>
    <w:rsid w:val="00DC1E14"/>
    <w:rsid w:val="00DC3630"/>
    <w:rsid w:val="00DE58FE"/>
    <w:rsid w:val="00DF10F6"/>
    <w:rsid w:val="00DF1530"/>
    <w:rsid w:val="00E401FA"/>
    <w:rsid w:val="00E70597"/>
    <w:rsid w:val="00E70BCC"/>
    <w:rsid w:val="00E76475"/>
    <w:rsid w:val="00E81F6A"/>
    <w:rsid w:val="00E97B4D"/>
    <w:rsid w:val="00EA7DD4"/>
    <w:rsid w:val="00EB5660"/>
    <w:rsid w:val="00EC2961"/>
    <w:rsid w:val="00EE7DD2"/>
    <w:rsid w:val="00F078BE"/>
    <w:rsid w:val="00F14428"/>
    <w:rsid w:val="00F14D6C"/>
    <w:rsid w:val="00F16C29"/>
    <w:rsid w:val="00F35C97"/>
    <w:rsid w:val="00F63871"/>
    <w:rsid w:val="00F746C0"/>
    <w:rsid w:val="00F809B3"/>
    <w:rsid w:val="00F82133"/>
    <w:rsid w:val="00FA797B"/>
    <w:rsid w:val="00FE4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4501"/>
  <w15:chartTrackingRefBased/>
  <w15:docId w15:val="{C6431462-4383-4724-B588-342A5944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874"/>
  </w:style>
  <w:style w:type="paragraph" w:styleId="Heading1">
    <w:name w:val="heading 1"/>
    <w:basedOn w:val="Normal"/>
    <w:next w:val="Normal"/>
    <w:link w:val="Heading1Char"/>
    <w:uiPriority w:val="9"/>
    <w:qFormat/>
    <w:rsid w:val="00617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8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8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78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78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78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78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78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8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8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78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78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8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8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8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7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8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8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7874"/>
    <w:pPr>
      <w:spacing w:before="160"/>
      <w:jc w:val="center"/>
    </w:pPr>
    <w:rPr>
      <w:i/>
      <w:iCs/>
      <w:color w:val="404040" w:themeColor="text1" w:themeTint="BF"/>
    </w:rPr>
  </w:style>
  <w:style w:type="character" w:customStyle="1" w:styleId="QuoteChar">
    <w:name w:val="Quote Char"/>
    <w:basedOn w:val="DefaultParagraphFont"/>
    <w:link w:val="Quote"/>
    <w:uiPriority w:val="29"/>
    <w:rsid w:val="00617874"/>
    <w:rPr>
      <w:i/>
      <w:iCs/>
      <w:color w:val="404040" w:themeColor="text1" w:themeTint="BF"/>
    </w:rPr>
  </w:style>
  <w:style w:type="paragraph" w:styleId="ListParagraph">
    <w:name w:val="List Paragraph"/>
    <w:basedOn w:val="Normal"/>
    <w:uiPriority w:val="34"/>
    <w:qFormat/>
    <w:rsid w:val="00617874"/>
    <w:pPr>
      <w:ind w:left="720"/>
      <w:contextualSpacing/>
    </w:pPr>
  </w:style>
  <w:style w:type="character" w:styleId="IntenseEmphasis">
    <w:name w:val="Intense Emphasis"/>
    <w:basedOn w:val="DefaultParagraphFont"/>
    <w:uiPriority w:val="21"/>
    <w:qFormat/>
    <w:rsid w:val="00617874"/>
    <w:rPr>
      <w:i/>
      <w:iCs/>
      <w:color w:val="0F4761" w:themeColor="accent1" w:themeShade="BF"/>
    </w:rPr>
  </w:style>
  <w:style w:type="paragraph" w:styleId="IntenseQuote">
    <w:name w:val="Intense Quote"/>
    <w:basedOn w:val="Normal"/>
    <w:next w:val="Normal"/>
    <w:link w:val="IntenseQuoteChar"/>
    <w:uiPriority w:val="30"/>
    <w:qFormat/>
    <w:rsid w:val="00617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874"/>
    <w:rPr>
      <w:i/>
      <w:iCs/>
      <w:color w:val="0F4761" w:themeColor="accent1" w:themeShade="BF"/>
    </w:rPr>
  </w:style>
  <w:style w:type="character" w:styleId="IntenseReference">
    <w:name w:val="Intense Reference"/>
    <w:basedOn w:val="DefaultParagraphFont"/>
    <w:uiPriority w:val="32"/>
    <w:qFormat/>
    <w:rsid w:val="00617874"/>
    <w:rPr>
      <w:b/>
      <w:bCs/>
      <w:smallCaps/>
      <w:color w:val="0F4761" w:themeColor="accent1" w:themeShade="BF"/>
      <w:spacing w:val="5"/>
    </w:rPr>
  </w:style>
  <w:style w:type="paragraph" w:styleId="Header">
    <w:name w:val="header"/>
    <w:basedOn w:val="Normal"/>
    <w:link w:val="HeaderChar"/>
    <w:uiPriority w:val="99"/>
    <w:unhideWhenUsed/>
    <w:rsid w:val="00A74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030"/>
  </w:style>
  <w:style w:type="paragraph" w:styleId="Footer">
    <w:name w:val="footer"/>
    <w:basedOn w:val="Normal"/>
    <w:link w:val="FooterChar"/>
    <w:uiPriority w:val="99"/>
    <w:unhideWhenUsed/>
    <w:rsid w:val="00A74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555D7-CF2B-4C31-83E9-3F7B37FAAF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078129-EDA1-4FD0-B787-05C3D0081D77}">
  <ds:schemaRefs>
    <ds:schemaRef ds:uri="http://schemas.microsoft.com/sharepoint/v3/contenttype/forms"/>
  </ds:schemaRefs>
</ds:datastoreItem>
</file>

<file path=customXml/itemProps3.xml><?xml version="1.0" encoding="utf-8"?>
<ds:datastoreItem xmlns:ds="http://schemas.openxmlformats.org/officeDocument/2006/customXml" ds:itemID="{F35C70FD-4789-4721-ABC3-18A0A6395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 to making the most of an MSAC Hearing</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making the most of an MSAC Hearing</dc:title>
  <dc:subject>MSAC Hearing</dc:subject>
  <dc:creator>Australian Government Department of Health, Disability and Ageing</dc:creator>
  <cp:keywords/>
  <dc:description/>
  <dcterms:created xsi:type="dcterms:W3CDTF">2025-12-09T06:09:00Z</dcterms:created>
  <dcterms:modified xsi:type="dcterms:W3CDTF">2025-12-10T02:40:00Z</dcterms:modified>
</cp:coreProperties>
</file>