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F26E" w14:textId="77777777" w:rsidR="00CE57E1" w:rsidRDefault="00CE57E1" w:rsidP="00CE57E1">
      <w:pPr>
        <w:pStyle w:val="Title"/>
        <w:jc w:val="center"/>
        <w:rPr>
          <w:rFonts w:ascii="Segoe UI" w:hAnsi="Segoe UI" w:cs="Segoe UI"/>
          <w:b/>
          <w:bCs/>
        </w:rPr>
      </w:pPr>
    </w:p>
    <w:p w14:paraId="74D9463E" w14:textId="77777777" w:rsidR="00CE57E1" w:rsidRDefault="00CE57E1" w:rsidP="00CE57E1">
      <w:pPr>
        <w:pStyle w:val="Title"/>
        <w:jc w:val="center"/>
        <w:rPr>
          <w:rFonts w:ascii="Segoe UI" w:hAnsi="Segoe UI" w:cs="Segoe UI"/>
          <w:b/>
          <w:bCs/>
        </w:rPr>
      </w:pPr>
    </w:p>
    <w:p w14:paraId="4E68A206" w14:textId="1328D298" w:rsidR="00CE57E1" w:rsidRPr="00414C7F" w:rsidRDefault="00CE57E1" w:rsidP="00CE57E1">
      <w:pPr>
        <w:pStyle w:val="Title"/>
        <w:jc w:val="center"/>
        <w:rPr>
          <w:rFonts w:ascii="Segoe UI" w:hAnsi="Segoe UI" w:cs="Segoe UI"/>
          <w:b/>
          <w:bCs/>
        </w:rPr>
      </w:pPr>
      <w:r w:rsidRPr="00414C7F">
        <w:rPr>
          <w:rFonts w:ascii="Segoe UI" w:hAnsi="Segoe UI" w:cs="Segoe UI"/>
          <w:b/>
          <w:bCs/>
        </w:rPr>
        <w:t>MSAC Application</w:t>
      </w:r>
      <w:r w:rsidR="0019082A">
        <w:rPr>
          <w:rFonts w:ascii="Segoe UI" w:hAnsi="Segoe UI" w:cs="Segoe UI"/>
          <w:b/>
          <w:bCs/>
        </w:rPr>
        <w:t xml:space="preserve"> 1816</w:t>
      </w:r>
    </w:p>
    <w:p w14:paraId="1F1C906E" w14:textId="77777777" w:rsidR="00CE57E1" w:rsidRPr="00414C7F" w:rsidRDefault="00CE57E1" w:rsidP="00CE57E1"/>
    <w:p w14:paraId="408539CC" w14:textId="65C30BB0" w:rsidR="00CE57E1" w:rsidRDefault="0019082A" w:rsidP="0019082A">
      <w:pPr>
        <w:jc w:val="center"/>
        <w:rPr>
          <w:rFonts w:ascii="Segoe UI" w:eastAsiaTheme="minorEastAsia" w:hAnsi="Segoe UI" w:cs="Segoe UI"/>
          <w:b/>
          <w:bCs/>
          <w:color w:val="002060"/>
          <w:spacing w:val="15"/>
          <w:sz w:val="48"/>
          <w:szCs w:val="48"/>
        </w:rPr>
      </w:pPr>
      <w:r w:rsidRPr="0019082A">
        <w:rPr>
          <w:rFonts w:ascii="Segoe UI" w:eastAsiaTheme="minorEastAsia" w:hAnsi="Segoe UI" w:cs="Segoe UI"/>
          <w:b/>
          <w:bCs/>
          <w:color w:val="002060"/>
          <w:spacing w:val="15"/>
          <w:sz w:val="48"/>
          <w:szCs w:val="48"/>
        </w:rPr>
        <w:t>Genetic testing to detect estrogen receptor 1 (ESR1) variants in patients with hormone receptor (HR)-positive, HER-2 negative, locally advanced or metastatic breast cancer to determine eligibility for treatment with PBS subsidised camizestrant</w:t>
      </w:r>
    </w:p>
    <w:p w14:paraId="00A22D00" w14:textId="77777777" w:rsidR="0019082A" w:rsidRPr="00414C7F" w:rsidRDefault="0019082A" w:rsidP="0019082A">
      <w:pPr>
        <w:jc w:val="center"/>
      </w:pPr>
    </w:p>
    <w:p w14:paraId="52070BBE" w14:textId="77777777" w:rsidR="00CE57E1" w:rsidRDefault="00CE57E1" w:rsidP="00CE57E1">
      <w:pPr>
        <w:pStyle w:val="Subtitle"/>
        <w:jc w:val="center"/>
        <w:rPr>
          <w:rFonts w:ascii="Segoe UI" w:hAnsi="Segoe UI" w:cs="Segoe UI"/>
          <w:b/>
          <w:bCs/>
          <w:color w:val="002060"/>
          <w:sz w:val="48"/>
          <w:szCs w:val="48"/>
        </w:rPr>
      </w:pPr>
      <w:r w:rsidRPr="00414C7F">
        <w:rPr>
          <w:rFonts w:ascii="Segoe UI" w:hAnsi="Segoe UI" w:cs="Segoe UI"/>
          <w:b/>
          <w:bCs/>
          <w:color w:val="002060"/>
          <w:sz w:val="48"/>
          <w:szCs w:val="48"/>
        </w:rPr>
        <w:t>PICO Set</w:t>
      </w:r>
    </w:p>
    <w:p w14:paraId="3526E981" w14:textId="77777777" w:rsidR="00CE57E1" w:rsidRDefault="00CE57E1" w:rsidP="00CE57E1">
      <w:pPr>
        <w:sectPr w:rsidR="00CE57E1" w:rsidSect="00CE57E1">
          <w:headerReference w:type="even" r:id="rId8"/>
          <w:footerReference w:type="even" r:id="rId9"/>
          <w:footerReference w:type="default" r:id="rId10"/>
          <w:headerReference w:type="first" r:id="rId11"/>
          <w:footerReference w:type="first" r:id="rId12"/>
          <w:pgSz w:w="11906" w:h="16838"/>
          <w:pgMar w:top="1440" w:right="991" w:bottom="1135" w:left="1440" w:header="426" w:footer="252" w:gutter="0"/>
          <w:pgNumType w:start="1"/>
          <w:cols w:space="708"/>
          <w:docGrid w:linePitch="360"/>
        </w:sectPr>
      </w:pPr>
    </w:p>
    <w:p w14:paraId="5BEAFFDE" w14:textId="7679B11D" w:rsidR="00051843" w:rsidRDefault="00051843" w:rsidP="00051843">
      <w:pPr>
        <w:rPr>
          <w:rFonts w:ascii="Segoe UI" w:eastAsia="Segoe UI" w:hAnsi="Segoe UI"/>
          <w:b/>
          <w:color w:val="000000"/>
          <w:sz w:val="32"/>
          <w:szCs w:val="32"/>
        </w:rPr>
      </w:pPr>
      <w:r w:rsidRPr="6BD791AF">
        <w:rPr>
          <w:rFonts w:ascii="Segoe UI" w:eastAsia="Segoe UI" w:hAnsi="Segoe UI"/>
          <w:b/>
          <w:color w:val="000000" w:themeColor="text1"/>
          <w:sz w:val="32"/>
          <w:szCs w:val="32"/>
        </w:rPr>
        <w:lastRenderedPageBreak/>
        <w:t>Population</w:t>
      </w:r>
    </w:p>
    <w:p w14:paraId="6166CFB9" w14:textId="77777777" w:rsidR="00051843" w:rsidRDefault="00051843" w:rsidP="00051843">
      <w:pPr>
        <w:spacing w:after="0" w:line="240" w:lineRule="auto"/>
        <w:rPr>
          <w:rFonts w:ascii="Segoe UI" w:eastAsia="Segoe UI" w:hAnsi="Segoe UI"/>
          <w:b/>
          <w:color w:val="000000"/>
          <w:sz w:val="22"/>
        </w:rPr>
      </w:pPr>
      <w:r>
        <w:rPr>
          <w:rFonts w:ascii="Segoe UI" w:eastAsia="Segoe UI" w:hAnsi="Segoe UI"/>
          <w:b/>
          <w:color w:val="000000"/>
          <w:sz w:val="22"/>
        </w:rPr>
        <w:t>Describe the population in which the proposed health technology is intended to be used:</w:t>
      </w:r>
    </w:p>
    <w:p w14:paraId="403BD183" w14:textId="77777777" w:rsidR="00051843" w:rsidRDefault="00051843" w:rsidP="00051843">
      <w:pPr>
        <w:spacing w:after="0" w:line="240" w:lineRule="auto"/>
        <w:rPr>
          <w:rFonts w:ascii="Segoe UI" w:eastAsia="Segoe UI" w:hAnsi="Segoe UI"/>
          <w:b/>
          <w:color w:val="000000"/>
          <w:sz w:val="22"/>
        </w:rPr>
      </w:pPr>
    </w:p>
    <w:p w14:paraId="4D033191" w14:textId="058403DF" w:rsidR="00051843" w:rsidRDefault="0013741B" w:rsidP="053BEDB4">
      <w:pPr>
        <w:spacing w:after="0" w:line="240" w:lineRule="auto"/>
        <w:rPr>
          <w:rFonts w:ascii="Segoe UI" w:eastAsia="Segoe UI" w:hAnsi="Segoe UI"/>
          <w:color w:val="000000"/>
          <w:sz w:val="22"/>
          <w:szCs w:val="22"/>
        </w:rPr>
      </w:pPr>
      <w:r w:rsidRPr="053BEDB4">
        <w:rPr>
          <w:rFonts w:ascii="Segoe UI" w:hAnsi="Segoe UI" w:cs="Segoe UI"/>
          <w:sz w:val="22"/>
          <w:szCs w:val="22"/>
        </w:rPr>
        <w:t>P</w:t>
      </w:r>
      <w:r w:rsidR="00B80B18" w:rsidRPr="053BEDB4">
        <w:rPr>
          <w:rFonts w:ascii="Segoe UI" w:hAnsi="Segoe UI" w:cs="Segoe UI"/>
          <w:sz w:val="22"/>
          <w:szCs w:val="22"/>
        </w:rPr>
        <w:t xml:space="preserve">atients with </w:t>
      </w:r>
      <w:r w:rsidR="00063CBB">
        <w:rPr>
          <w:rFonts w:ascii="Segoe UI" w:hAnsi="Segoe UI" w:cs="Segoe UI"/>
          <w:sz w:val="22"/>
          <w:szCs w:val="22"/>
        </w:rPr>
        <w:t xml:space="preserve">newly diagnosed </w:t>
      </w:r>
      <w:r w:rsidR="00B80B18" w:rsidRPr="053BEDB4">
        <w:rPr>
          <w:rFonts w:ascii="Segoe UI" w:eastAsia="Segoe UI" w:hAnsi="Segoe UI"/>
          <w:color w:val="000000" w:themeColor="text1"/>
          <w:sz w:val="22"/>
          <w:szCs w:val="22"/>
        </w:rPr>
        <w:t xml:space="preserve">locally advanced or metastatic HR-positive, HER2-negative breast cancer who have received </w:t>
      </w:r>
      <w:r w:rsidR="00063CBB">
        <w:rPr>
          <w:rFonts w:ascii="Segoe UI" w:eastAsia="Segoe UI" w:hAnsi="Segoe UI"/>
          <w:color w:val="000000" w:themeColor="text1"/>
          <w:sz w:val="22"/>
          <w:szCs w:val="22"/>
        </w:rPr>
        <w:t>first line treatment</w:t>
      </w:r>
      <w:r w:rsidR="00B80B18" w:rsidRPr="053BEDB4">
        <w:rPr>
          <w:rFonts w:ascii="Segoe UI" w:eastAsia="Segoe UI" w:hAnsi="Segoe UI"/>
          <w:color w:val="000000" w:themeColor="text1"/>
          <w:sz w:val="22"/>
          <w:szCs w:val="22"/>
        </w:rPr>
        <w:t xml:space="preserve"> with a </w:t>
      </w:r>
      <w:r w:rsidR="00DF5AB6">
        <w:rPr>
          <w:rFonts w:ascii="Segoe UI" w:eastAsia="Segoe UI" w:hAnsi="Segoe UI"/>
          <w:color w:val="000000" w:themeColor="text1"/>
          <w:sz w:val="22"/>
          <w:szCs w:val="22"/>
        </w:rPr>
        <w:t>CDK4/6</w:t>
      </w:r>
      <w:r w:rsidR="00B80B18" w:rsidRPr="053BEDB4">
        <w:rPr>
          <w:rFonts w:ascii="Segoe UI" w:eastAsia="Segoe UI" w:hAnsi="Segoe UI"/>
          <w:color w:val="000000" w:themeColor="text1"/>
          <w:sz w:val="22"/>
          <w:szCs w:val="22"/>
        </w:rPr>
        <w:t xml:space="preserve"> inhibitor in combination with an aromatase inhibitor</w:t>
      </w:r>
      <w:r w:rsidR="003A3EDA" w:rsidRPr="053BEDB4">
        <w:rPr>
          <w:rFonts w:ascii="Segoe UI" w:eastAsia="Segoe UI" w:hAnsi="Segoe UI"/>
          <w:color w:val="000000" w:themeColor="text1"/>
          <w:sz w:val="22"/>
          <w:szCs w:val="22"/>
        </w:rPr>
        <w:t xml:space="preserve"> (AI)</w:t>
      </w:r>
      <w:r w:rsidR="00063CBB">
        <w:rPr>
          <w:rFonts w:ascii="Segoe UI" w:eastAsia="Segoe UI" w:hAnsi="Segoe UI"/>
          <w:color w:val="000000" w:themeColor="text1"/>
          <w:sz w:val="22"/>
          <w:szCs w:val="22"/>
        </w:rPr>
        <w:t>, for at least 6 months,</w:t>
      </w:r>
      <w:r w:rsidR="00B80B18" w:rsidRPr="053BEDB4">
        <w:rPr>
          <w:rFonts w:ascii="Segoe UI" w:eastAsia="Segoe UI" w:hAnsi="Segoe UI"/>
          <w:color w:val="000000" w:themeColor="text1"/>
          <w:sz w:val="22"/>
          <w:szCs w:val="22"/>
        </w:rPr>
        <w:t xml:space="preserve"> and whose disease has not progressed clinically or radiographically</w:t>
      </w:r>
      <w:r w:rsidRPr="053BEDB4">
        <w:rPr>
          <w:rFonts w:ascii="Segoe UI" w:eastAsia="Segoe UI" w:hAnsi="Segoe UI"/>
          <w:color w:val="000000" w:themeColor="text1"/>
          <w:sz w:val="22"/>
          <w:szCs w:val="22"/>
        </w:rPr>
        <w:t>.</w:t>
      </w:r>
    </w:p>
    <w:p w14:paraId="7E6D5E35" w14:textId="77777777" w:rsidR="00ED3A63" w:rsidRDefault="00ED3A63" w:rsidP="00051843">
      <w:pPr>
        <w:spacing w:after="0" w:line="240" w:lineRule="auto"/>
        <w:rPr>
          <w:rFonts w:ascii="Segoe UI" w:eastAsia="Segoe UI" w:hAnsi="Segoe UI"/>
          <w:color w:val="000000"/>
          <w:sz w:val="22"/>
        </w:rPr>
      </w:pPr>
    </w:p>
    <w:p w14:paraId="4416B97E" w14:textId="39602D6D" w:rsidR="002A023C" w:rsidRDefault="002A023C" w:rsidP="00051843">
      <w:pPr>
        <w:spacing w:after="0" w:line="240" w:lineRule="auto"/>
        <w:rPr>
          <w:rFonts w:ascii="Segoe UI" w:eastAsia="Segoe UI" w:hAnsi="Segoe UI"/>
          <w:color w:val="000000"/>
          <w:sz w:val="22"/>
        </w:rPr>
      </w:pPr>
      <w:r w:rsidRPr="002A023C">
        <w:rPr>
          <w:rFonts w:ascii="Segoe UI" w:eastAsia="Segoe UI" w:hAnsi="Segoe UI"/>
          <w:color w:val="000000"/>
          <w:sz w:val="22"/>
        </w:rPr>
        <w:t xml:space="preserve">The application is to request public funding for the testing of </w:t>
      </w:r>
      <w:r w:rsidRPr="002A023C">
        <w:rPr>
          <w:rFonts w:ascii="Segoe UI" w:eastAsia="Segoe UI" w:hAnsi="Segoe UI"/>
          <w:i/>
          <w:iCs/>
          <w:color w:val="000000"/>
          <w:sz w:val="22"/>
        </w:rPr>
        <w:t>ESR1</w:t>
      </w:r>
      <w:r w:rsidRPr="002A023C">
        <w:rPr>
          <w:rFonts w:ascii="Segoe UI" w:eastAsia="Segoe UI" w:hAnsi="Segoe UI"/>
          <w:color w:val="000000"/>
          <w:sz w:val="22"/>
        </w:rPr>
        <w:t xml:space="preserve"> mutations in ctDNA extracted from blood (liquid biopsy) from patients with newly diagnosed locally advanced or metastatic HR-positive, HER2-negative breast cancer who have received first line treatment with a </w:t>
      </w:r>
      <w:r w:rsidR="00DF5AB6">
        <w:rPr>
          <w:rFonts w:ascii="Segoe UI" w:eastAsia="Segoe UI" w:hAnsi="Segoe UI"/>
          <w:color w:val="000000"/>
          <w:sz w:val="22"/>
        </w:rPr>
        <w:t>CDK4/6</w:t>
      </w:r>
      <w:r w:rsidRPr="002A023C">
        <w:rPr>
          <w:rFonts w:ascii="Segoe UI" w:eastAsia="Segoe UI" w:hAnsi="Segoe UI"/>
          <w:color w:val="000000"/>
          <w:sz w:val="22"/>
        </w:rPr>
        <w:t xml:space="preserve"> inhibitor in combination with an aromatase inhibitor for at least 6 months, and who disease has not progressed clinically or radiographically. </w:t>
      </w:r>
    </w:p>
    <w:p w14:paraId="0F708090" w14:textId="77777777" w:rsidR="00DE3C04" w:rsidRDefault="00DE3C04" w:rsidP="00051843">
      <w:pPr>
        <w:spacing w:after="0" w:line="240" w:lineRule="auto"/>
        <w:rPr>
          <w:rFonts w:ascii="Segoe UI" w:eastAsia="Segoe UI" w:hAnsi="Segoe UI"/>
          <w:color w:val="000000"/>
          <w:sz w:val="22"/>
        </w:rPr>
      </w:pPr>
    </w:p>
    <w:p w14:paraId="30632516" w14:textId="006585B0" w:rsidR="00ED3A63" w:rsidRDefault="006B7384" w:rsidP="00961F82">
      <w:pPr>
        <w:spacing w:after="0" w:line="240" w:lineRule="auto"/>
        <w:rPr>
          <w:rFonts w:ascii="Segoe UI" w:eastAsia="Segoe UI" w:hAnsi="Segoe UI" w:cs="Segoe UI"/>
          <w:color w:val="000000"/>
          <w:sz w:val="22"/>
          <w:szCs w:val="22"/>
        </w:rPr>
      </w:pPr>
      <w:r w:rsidRPr="6BD791AF">
        <w:rPr>
          <w:rFonts w:ascii="Segoe UI" w:eastAsia="Segoe UI" w:hAnsi="Segoe UI"/>
          <w:color w:val="000000" w:themeColor="text1"/>
          <w:sz w:val="22"/>
          <w:szCs w:val="22"/>
        </w:rPr>
        <w:t xml:space="preserve">Patients who are test positive for </w:t>
      </w:r>
      <w:r w:rsidRPr="6BD791AF">
        <w:rPr>
          <w:rFonts w:ascii="Segoe UI" w:eastAsia="Segoe UI" w:hAnsi="Segoe UI"/>
          <w:i/>
          <w:color w:val="000000" w:themeColor="text1"/>
          <w:sz w:val="22"/>
          <w:szCs w:val="22"/>
        </w:rPr>
        <w:t>ESR1</w:t>
      </w:r>
      <w:r w:rsidRPr="6BD791AF">
        <w:rPr>
          <w:rFonts w:ascii="Segoe UI" w:eastAsia="Segoe UI" w:hAnsi="Segoe UI"/>
          <w:color w:val="000000" w:themeColor="text1"/>
          <w:sz w:val="22"/>
          <w:szCs w:val="22"/>
        </w:rPr>
        <w:t xml:space="preserve"> mutation</w:t>
      </w:r>
      <w:r w:rsidR="00AB3930" w:rsidRPr="6BD791AF">
        <w:rPr>
          <w:rFonts w:ascii="Segoe UI" w:eastAsia="Segoe UI" w:hAnsi="Segoe UI"/>
          <w:color w:val="000000" w:themeColor="text1"/>
          <w:sz w:val="22"/>
          <w:szCs w:val="22"/>
        </w:rPr>
        <w:t>s</w:t>
      </w:r>
      <w:r w:rsidR="00961F82" w:rsidRPr="6BD791AF">
        <w:rPr>
          <w:rFonts w:ascii="Segoe UI" w:eastAsia="Segoe UI" w:hAnsi="Segoe UI"/>
          <w:color w:val="000000" w:themeColor="text1"/>
          <w:sz w:val="22"/>
          <w:szCs w:val="22"/>
        </w:rPr>
        <w:t>, may be eligible</w:t>
      </w:r>
      <w:r w:rsidR="00961F82" w:rsidRPr="6BD791AF">
        <w:rPr>
          <w:rFonts w:ascii="Segoe UI" w:eastAsia="Segoe UI" w:hAnsi="Segoe UI" w:cs="Segoe UI"/>
          <w:color w:val="000000" w:themeColor="text1"/>
          <w:sz w:val="22"/>
          <w:szCs w:val="22"/>
        </w:rPr>
        <w:t xml:space="preserve"> </w:t>
      </w:r>
      <w:r w:rsidR="00BB3BB9" w:rsidRPr="6BD791AF">
        <w:rPr>
          <w:rFonts w:ascii="Segoe UI" w:eastAsia="Segoe UI" w:hAnsi="Segoe UI" w:cs="Segoe UI"/>
          <w:color w:val="000000" w:themeColor="text1"/>
          <w:sz w:val="22"/>
          <w:szCs w:val="22"/>
        </w:rPr>
        <w:t xml:space="preserve">to switch from the current AI to </w:t>
      </w:r>
      <w:r w:rsidR="0019462D" w:rsidRPr="6BD791AF">
        <w:rPr>
          <w:rFonts w:ascii="Segoe UI" w:eastAsia="Segoe UI" w:hAnsi="Segoe UI" w:cs="Segoe UI"/>
          <w:color w:val="000000" w:themeColor="text1"/>
          <w:sz w:val="22"/>
          <w:szCs w:val="22"/>
        </w:rPr>
        <w:t xml:space="preserve">PBS subsidised </w:t>
      </w:r>
      <w:r w:rsidR="00FA6B2B" w:rsidRPr="6BD791AF">
        <w:rPr>
          <w:rFonts w:ascii="Segoe UI" w:eastAsia="Segoe UI" w:hAnsi="Segoe UI" w:cs="Segoe UI"/>
          <w:color w:val="000000" w:themeColor="text1"/>
          <w:sz w:val="22"/>
          <w:szCs w:val="22"/>
        </w:rPr>
        <w:t>camizestrant,</w:t>
      </w:r>
      <w:r w:rsidR="0019462D" w:rsidRPr="6BD791AF">
        <w:rPr>
          <w:rFonts w:ascii="Segoe UI" w:eastAsia="Segoe UI" w:hAnsi="Segoe UI" w:cs="Segoe UI"/>
          <w:color w:val="000000" w:themeColor="text1"/>
          <w:sz w:val="22"/>
          <w:szCs w:val="22"/>
        </w:rPr>
        <w:t xml:space="preserve"> a novel selective oestrogen receptor degrader (SERD), </w:t>
      </w:r>
      <w:r w:rsidR="00751E2A" w:rsidRPr="6BD791AF">
        <w:rPr>
          <w:rFonts w:ascii="Segoe UI" w:eastAsia="Segoe UI" w:hAnsi="Segoe UI" w:cs="Segoe UI"/>
          <w:color w:val="000000" w:themeColor="text1"/>
          <w:sz w:val="22"/>
          <w:szCs w:val="22"/>
        </w:rPr>
        <w:t xml:space="preserve">in combination with the </w:t>
      </w:r>
      <w:r w:rsidR="00DF5AB6" w:rsidRPr="6BD791AF">
        <w:rPr>
          <w:rFonts w:ascii="Segoe UI" w:eastAsia="Segoe UI" w:hAnsi="Segoe UI" w:cs="Segoe UI"/>
          <w:color w:val="000000" w:themeColor="text1"/>
          <w:sz w:val="22"/>
          <w:szCs w:val="22"/>
        </w:rPr>
        <w:t>CDK4/6</w:t>
      </w:r>
      <w:r w:rsidR="008A016B" w:rsidRPr="6BD791AF">
        <w:rPr>
          <w:rFonts w:ascii="Segoe UI" w:eastAsia="Segoe UI" w:hAnsi="Segoe UI" w:cs="Segoe UI"/>
          <w:color w:val="000000" w:themeColor="text1"/>
          <w:sz w:val="22"/>
          <w:szCs w:val="22"/>
        </w:rPr>
        <w:t xml:space="preserve"> inhibitor they are already receiving</w:t>
      </w:r>
      <w:r w:rsidR="0019462D" w:rsidRPr="6BD791AF">
        <w:rPr>
          <w:rFonts w:ascii="Segoe UI" w:eastAsia="Segoe UI" w:hAnsi="Segoe UI" w:cs="Segoe UI"/>
          <w:color w:val="000000" w:themeColor="text1"/>
          <w:sz w:val="22"/>
          <w:szCs w:val="22"/>
        </w:rPr>
        <w:t>.</w:t>
      </w:r>
    </w:p>
    <w:p w14:paraId="17BF1C32" w14:textId="77777777" w:rsidR="00E279D1" w:rsidRDefault="00E279D1" w:rsidP="00051843">
      <w:pPr>
        <w:spacing w:after="0" w:line="240" w:lineRule="auto"/>
        <w:rPr>
          <w:rFonts w:ascii="Segoe UI" w:eastAsia="Segoe UI" w:hAnsi="Segoe UI" w:cs="Segoe UI"/>
          <w:color w:val="000000"/>
          <w:sz w:val="22"/>
          <w:szCs w:val="22"/>
        </w:rPr>
      </w:pPr>
    </w:p>
    <w:p w14:paraId="1400F128" w14:textId="386AB5C0" w:rsidR="00E279D1" w:rsidRDefault="00E279D1" w:rsidP="053BEDB4">
      <w:pPr>
        <w:spacing w:after="0" w:line="240" w:lineRule="auto"/>
        <w:rPr>
          <w:rFonts w:ascii="Segoe UI" w:eastAsia="Segoe UI" w:hAnsi="Segoe UI" w:cs="Segoe UI"/>
          <w:color w:val="000000" w:themeColor="text1"/>
          <w:sz w:val="22"/>
          <w:szCs w:val="22"/>
        </w:rPr>
      </w:pPr>
      <w:r w:rsidRPr="053BEDB4">
        <w:rPr>
          <w:rFonts w:ascii="Segoe UI" w:eastAsia="Segoe UI" w:hAnsi="Segoe UI" w:cs="Segoe UI"/>
          <w:color w:val="000000" w:themeColor="text1"/>
          <w:sz w:val="22"/>
          <w:szCs w:val="22"/>
        </w:rPr>
        <w:t>Camizestrant is currently undergoing TGA evaluation in this patient population.</w:t>
      </w:r>
      <w:r w:rsidR="0076507E">
        <w:rPr>
          <w:rFonts w:ascii="Segoe UI" w:eastAsia="Segoe UI" w:hAnsi="Segoe UI" w:cs="Segoe UI"/>
          <w:color w:val="000000" w:themeColor="text1"/>
          <w:sz w:val="22"/>
          <w:szCs w:val="22"/>
        </w:rPr>
        <w:t xml:space="preserve"> The proposed indication wording is:</w:t>
      </w:r>
    </w:p>
    <w:p w14:paraId="5546C466" w14:textId="77777777" w:rsidR="0076507E" w:rsidRDefault="0076507E" w:rsidP="053BEDB4">
      <w:pPr>
        <w:spacing w:after="0" w:line="240" w:lineRule="auto"/>
        <w:rPr>
          <w:rFonts w:ascii="Segoe UI" w:eastAsia="Segoe UI" w:hAnsi="Segoe UI" w:cs="Segoe UI"/>
          <w:color w:val="000000" w:themeColor="text1"/>
          <w:sz w:val="22"/>
          <w:szCs w:val="22"/>
        </w:rPr>
      </w:pPr>
    </w:p>
    <w:p w14:paraId="0ACDDF28" w14:textId="77777777" w:rsidR="001C57C2" w:rsidRPr="001C57C2" w:rsidRDefault="001C57C2" w:rsidP="001C57C2">
      <w:pPr>
        <w:spacing w:after="0" w:line="240" w:lineRule="auto"/>
        <w:rPr>
          <w:rFonts w:ascii="Segoe UI" w:eastAsia="Segoe UI" w:hAnsi="Segoe UI"/>
          <w:i/>
          <w:iCs/>
          <w:color w:val="000000"/>
          <w:sz w:val="22"/>
          <w:szCs w:val="22"/>
          <w:u w:val="single"/>
        </w:rPr>
      </w:pPr>
      <w:r w:rsidRPr="001C57C2">
        <w:rPr>
          <w:rFonts w:ascii="Segoe UI" w:eastAsia="Segoe UI" w:hAnsi="Segoe UI"/>
          <w:i/>
          <w:iCs/>
          <w:color w:val="000000"/>
          <w:sz w:val="22"/>
          <w:szCs w:val="22"/>
          <w:u w:val="single"/>
        </w:rPr>
        <w:t>Advanced breast cancer upon emergence of ESR1 mutation during first-line endocrine-based</w:t>
      </w:r>
    </w:p>
    <w:p w14:paraId="16F6C80B" w14:textId="77777777" w:rsidR="001C57C2" w:rsidRPr="001C57C2" w:rsidRDefault="001C57C2" w:rsidP="001C57C2">
      <w:pPr>
        <w:spacing w:after="0" w:line="240" w:lineRule="auto"/>
        <w:rPr>
          <w:rFonts w:ascii="Segoe UI" w:eastAsia="Segoe UI" w:hAnsi="Segoe UI"/>
          <w:i/>
          <w:iCs/>
          <w:color w:val="000000"/>
          <w:sz w:val="22"/>
          <w:szCs w:val="22"/>
          <w:u w:val="single"/>
        </w:rPr>
      </w:pPr>
      <w:r w:rsidRPr="001C57C2">
        <w:rPr>
          <w:rFonts w:ascii="Segoe UI" w:eastAsia="Segoe UI" w:hAnsi="Segoe UI"/>
          <w:i/>
          <w:iCs/>
          <w:color w:val="000000"/>
          <w:sz w:val="22"/>
          <w:szCs w:val="22"/>
          <w:u w:val="single"/>
        </w:rPr>
        <w:t>therapy</w:t>
      </w:r>
    </w:p>
    <w:p w14:paraId="4CB8B77F" w14:textId="77777777" w:rsidR="001C57C2" w:rsidRDefault="001C57C2" w:rsidP="001C57C2">
      <w:pPr>
        <w:spacing w:after="0" w:line="240" w:lineRule="auto"/>
        <w:rPr>
          <w:rFonts w:ascii="Segoe UI" w:eastAsia="Segoe UI" w:hAnsi="Segoe UI"/>
          <w:color w:val="000000"/>
          <w:sz w:val="22"/>
          <w:szCs w:val="22"/>
        </w:rPr>
      </w:pPr>
    </w:p>
    <w:p w14:paraId="1464FE8D" w14:textId="6A2B7893" w:rsidR="001C57C2" w:rsidRPr="001C57C2" w:rsidRDefault="001C57C2" w:rsidP="001C57C2">
      <w:pPr>
        <w:spacing w:after="0" w:line="240" w:lineRule="auto"/>
        <w:rPr>
          <w:rFonts w:ascii="Segoe UI" w:eastAsia="Segoe UI" w:hAnsi="Segoe UI"/>
          <w:i/>
          <w:iCs/>
          <w:color w:val="000000"/>
          <w:sz w:val="22"/>
          <w:szCs w:val="22"/>
        </w:rPr>
      </w:pPr>
      <w:r w:rsidRPr="001C57C2">
        <w:rPr>
          <w:rFonts w:ascii="Segoe UI" w:eastAsia="Segoe UI" w:hAnsi="Segoe UI"/>
          <w:i/>
          <w:iCs/>
          <w:color w:val="000000"/>
          <w:sz w:val="22"/>
          <w:szCs w:val="22"/>
        </w:rPr>
        <w:t>Camizestrant in combination with a CDK4/6 inhibitor is indicated for the treatment of adult</w:t>
      </w:r>
    </w:p>
    <w:p w14:paraId="018635AD" w14:textId="77777777" w:rsidR="001C57C2" w:rsidRPr="001C57C2" w:rsidRDefault="001C57C2" w:rsidP="001C57C2">
      <w:pPr>
        <w:spacing w:after="0" w:line="240" w:lineRule="auto"/>
        <w:rPr>
          <w:rFonts w:ascii="Segoe UI" w:eastAsia="Segoe UI" w:hAnsi="Segoe UI"/>
          <w:i/>
          <w:iCs/>
          <w:color w:val="000000"/>
          <w:sz w:val="22"/>
          <w:szCs w:val="22"/>
        </w:rPr>
      </w:pPr>
      <w:r w:rsidRPr="001C57C2">
        <w:rPr>
          <w:rFonts w:ascii="Segoe UI" w:eastAsia="Segoe UI" w:hAnsi="Segoe UI"/>
          <w:i/>
          <w:iCs/>
          <w:color w:val="000000"/>
          <w:sz w:val="22"/>
          <w:szCs w:val="22"/>
        </w:rPr>
        <w:t>patients with hormone receptor (HR)-positive, human epidermal growth factor receptor 2</w:t>
      </w:r>
    </w:p>
    <w:p w14:paraId="14C5E825" w14:textId="77777777" w:rsidR="001C57C2" w:rsidRPr="001C57C2" w:rsidRDefault="001C57C2" w:rsidP="001C57C2">
      <w:pPr>
        <w:spacing w:after="0" w:line="240" w:lineRule="auto"/>
        <w:rPr>
          <w:rFonts w:ascii="Segoe UI" w:eastAsia="Segoe UI" w:hAnsi="Segoe UI"/>
          <w:i/>
          <w:iCs/>
          <w:color w:val="000000"/>
          <w:sz w:val="22"/>
          <w:szCs w:val="22"/>
        </w:rPr>
      </w:pPr>
      <w:r w:rsidRPr="001C57C2">
        <w:rPr>
          <w:rFonts w:ascii="Segoe UI" w:eastAsia="Segoe UI" w:hAnsi="Segoe UI"/>
          <w:i/>
          <w:iCs/>
          <w:color w:val="000000"/>
          <w:sz w:val="22"/>
          <w:szCs w:val="22"/>
        </w:rPr>
        <w:t>(HER2)-negative, locally advanced or metastatic breast cancer upon emergence of ESR1</w:t>
      </w:r>
    </w:p>
    <w:p w14:paraId="2AEA40B3" w14:textId="0767930F" w:rsidR="0076507E" w:rsidRPr="001C57C2" w:rsidRDefault="001C57C2" w:rsidP="001C57C2">
      <w:pPr>
        <w:spacing w:after="0" w:line="240" w:lineRule="auto"/>
        <w:rPr>
          <w:rFonts w:ascii="Segoe UI" w:eastAsia="Segoe UI" w:hAnsi="Segoe UI"/>
          <w:i/>
          <w:iCs/>
          <w:color w:val="000000"/>
          <w:sz w:val="22"/>
          <w:szCs w:val="22"/>
        </w:rPr>
      </w:pPr>
      <w:r w:rsidRPr="001C57C2">
        <w:rPr>
          <w:rFonts w:ascii="Segoe UI" w:eastAsia="Segoe UI" w:hAnsi="Segoe UI"/>
          <w:i/>
          <w:iCs/>
          <w:color w:val="000000"/>
          <w:sz w:val="22"/>
          <w:szCs w:val="22"/>
        </w:rPr>
        <w:t>mutation during first-line endocrine-based therapy.</w:t>
      </w:r>
    </w:p>
    <w:p w14:paraId="5F460BE0" w14:textId="77777777" w:rsidR="0013741B" w:rsidRDefault="0013741B" w:rsidP="00051843">
      <w:pPr>
        <w:spacing w:after="0" w:line="240" w:lineRule="auto"/>
        <w:rPr>
          <w:rFonts w:ascii="Segoe UI" w:eastAsia="Segoe UI" w:hAnsi="Segoe UI"/>
          <w:b/>
          <w:color w:val="000000"/>
          <w:sz w:val="22"/>
        </w:rPr>
      </w:pPr>
    </w:p>
    <w:p w14:paraId="27691ACD" w14:textId="647547DD" w:rsidR="00051843" w:rsidRDefault="00051843" w:rsidP="00051843">
      <w:pPr>
        <w:spacing w:after="0" w:line="240" w:lineRule="auto"/>
        <w:rPr>
          <w:rFonts w:ascii="Segoe UI" w:eastAsia="Segoe UI" w:hAnsi="Segoe UI"/>
          <w:b/>
          <w:color w:val="000000"/>
          <w:sz w:val="22"/>
        </w:rPr>
      </w:pPr>
      <w:r>
        <w:rPr>
          <w:rFonts w:ascii="Segoe UI" w:eastAsia="Segoe UI" w:hAnsi="Segoe UI"/>
          <w:b/>
          <w:color w:val="000000"/>
          <w:sz w:val="22"/>
        </w:rPr>
        <w:t>Specify any characteristics of patients with the medical condition, or suspected of, who are proposed to be eligible for the proposed health technology, describing how a patient would be investigated, managed and referred within the Australian health care system in the lead up to being considered eligible for the technology:</w:t>
      </w:r>
    </w:p>
    <w:p w14:paraId="60979413" w14:textId="77777777" w:rsidR="006D10EA" w:rsidRDefault="006D10EA" w:rsidP="00051843">
      <w:pPr>
        <w:spacing w:after="0" w:line="240" w:lineRule="auto"/>
        <w:rPr>
          <w:rFonts w:ascii="Segoe UI" w:eastAsia="Segoe UI" w:hAnsi="Segoe UI"/>
          <w:b/>
          <w:color w:val="000000"/>
          <w:sz w:val="22"/>
        </w:rPr>
      </w:pPr>
    </w:p>
    <w:p w14:paraId="2BCA1D2B" w14:textId="77777777" w:rsidR="006D10EA" w:rsidRPr="00491812" w:rsidRDefault="006D10EA" w:rsidP="006D10EA">
      <w:pPr>
        <w:rPr>
          <w:rFonts w:ascii="Segoe UI" w:hAnsi="Segoe UI" w:cs="Segoe UI"/>
          <w:sz w:val="22"/>
          <w:szCs w:val="22"/>
        </w:rPr>
      </w:pPr>
      <w:r w:rsidRPr="00491812">
        <w:rPr>
          <w:rFonts w:ascii="Segoe UI" w:hAnsi="Segoe UI" w:cs="Segoe UI"/>
          <w:sz w:val="22"/>
          <w:szCs w:val="22"/>
        </w:rPr>
        <w:t xml:space="preserve">Breast cancer (BC) is the most commonly diagnosed cancer among women in Australia. There were 21,194 patients diagnosed in 2024 and 3,305 deaths from the disease (AIHW, 2024). Advanced BC comprises both locally advanced (inoperable) and metastatic disease, referred hereon collectively as mBC. </w:t>
      </w:r>
    </w:p>
    <w:p w14:paraId="03CDBA17" w14:textId="77777777" w:rsidR="006D10EA" w:rsidRPr="00491812" w:rsidRDefault="006D10EA" w:rsidP="006D10EA">
      <w:pPr>
        <w:rPr>
          <w:rFonts w:ascii="Segoe UI" w:hAnsi="Segoe UI" w:cs="Segoe UI"/>
          <w:sz w:val="22"/>
          <w:szCs w:val="22"/>
          <w:lang w:val="en-GB"/>
        </w:rPr>
      </w:pPr>
      <w:r w:rsidRPr="00491812">
        <w:rPr>
          <w:rFonts w:ascii="Segoe UI" w:hAnsi="Segoe UI" w:cs="Segoe UI"/>
          <w:sz w:val="22"/>
          <w:szCs w:val="22"/>
          <w:lang w:val="en-GB"/>
        </w:rPr>
        <w:t>Due to funded breast cancer screening programs and education on self-examination, approximately 80% of BC is diagnosed in Stages I-II before disease has spread (AIHW 2024). Being diagnosed earlier results in a more favourable prognosis where 5-year survival for patients with Stage I BC is 100% and Stage II is 94.6% (AIHW 2024).  Patients diagnosed in the advanced stages of the disease, when the tumour has spread significantly within the breast or to other organs in the body, have lower 5-year survival rates, 80.6% for Stage III, dropping dramatically to 32% for Stage IV patients (AIHW 2024). Approximately 30% of patients diagnosed with early BC (eBC) will subsequently develop either a local recurrence or metastatic disease (Redig et al 2013).</w:t>
      </w:r>
    </w:p>
    <w:p w14:paraId="0668B211" w14:textId="77777777" w:rsidR="006D10EA" w:rsidRPr="00491812" w:rsidRDefault="006D10EA" w:rsidP="006D10EA">
      <w:pPr>
        <w:spacing w:after="120" w:line="240" w:lineRule="auto"/>
        <w:rPr>
          <w:rFonts w:ascii="Segoe UI" w:hAnsi="Segoe UI" w:cs="Segoe UI"/>
          <w:sz w:val="22"/>
          <w:szCs w:val="22"/>
        </w:rPr>
      </w:pPr>
      <w:r w:rsidRPr="00491812">
        <w:rPr>
          <w:rFonts w:ascii="Segoe UI" w:hAnsi="Segoe UI" w:cs="Segoe UI"/>
          <w:sz w:val="22"/>
          <w:szCs w:val="22"/>
        </w:rPr>
        <w:lastRenderedPageBreak/>
        <w:t xml:space="preserve">Several prognostic indicators for BC have been identified including HER2, ER and progesterone receptor (PR) (ER and PR are also collectively referred to as hormone receptors [HR]). The most common subtype is ER-positive, HER2-negative, accounting for about 70% of cases of BC (Howlader, et al., 2014; Iwase, et al., 2021; Anderson, et al., 2017; Zhou, et al., 2023). </w:t>
      </w:r>
    </w:p>
    <w:p w14:paraId="7983E201" w14:textId="1F5CAF7C" w:rsidR="006D10EA" w:rsidRPr="00491812" w:rsidRDefault="006D10EA" w:rsidP="006D10EA">
      <w:pPr>
        <w:spacing w:after="120" w:line="240" w:lineRule="auto"/>
        <w:rPr>
          <w:rFonts w:ascii="Segoe UI" w:hAnsi="Segoe UI" w:cs="Segoe UI"/>
          <w:sz w:val="22"/>
          <w:szCs w:val="22"/>
        </w:rPr>
      </w:pPr>
      <w:r w:rsidRPr="00491812">
        <w:rPr>
          <w:rFonts w:ascii="Segoe UI" w:hAnsi="Segoe UI" w:cs="Segoe UI"/>
          <w:sz w:val="22"/>
          <w:szCs w:val="22"/>
        </w:rPr>
        <w:t xml:space="preserve">The standard of care (SoC) for the first line treatment of </w:t>
      </w:r>
      <w:r w:rsidR="003A3EDA">
        <w:rPr>
          <w:rFonts w:ascii="Segoe UI" w:hAnsi="Segoe UI" w:cs="Segoe UI"/>
          <w:sz w:val="22"/>
          <w:szCs w:val="22"/>
        </w:rPr>
        <w:t>HR</w:t>
      </w:r>
      <w:r w:rsidRPr="00491812">
        <w:rPr>
          <w:rFonts w:ascii="Segoe UI" w:hAnsi="Segoe UI" w:cs="Segoe UI"/>
          <w:sz w:val="22"/>
          <w:szCs w:val="22"/>
        </w:rPr>
        <w:t xml:space="preserve">-positive, HER2-negative mBC is the combination of a CDK4/6 inhibitor with an AI until disease progression. All tumours will eventually develop resistance to endocrine therapies and </w:t>
      </w:r>
      <w:r w:rsidRPr="00491812">
        <w:rPr>
          <w:rFonts w:ascii="Segoe UI" w:hAnsi="Segoe UI" w:cs="Segoe UI"/>
          <w:i/>
          <w:iCs/>
          <w:sz w:val="22"/>
          <w:szCs w:val="22"/>
        </w:rPr>
        <w:t>ESR1</w:t>
      </w:r>
      <w:r w:rsidRPr="00491812">
        <w:rPr>
          <w:rFonts w:ascii="Segoe UI" w:hAnsi="Segoe UI" w:cs="Segoe UI"/>
          <w:sz w:val="22"/>
          <w:szCs w:val="22"/>
        </w:rPr>
        <w:t xml:space="preserve"> mutations represent a type of acquired resistance in up to 40-50% of patients after initial ET in the metastatic setting (Brett et al 2021; Santiago Novello et al 2023). </w:t>
      </w:r>
      <w:r w:rsidRPr="00491812">
        <w:rPr>
          <w:rFonts w:ascii="Segoe UI" w:hAnsi="Segoe UI" w:cs="Segoe UI"/>
          <w:i/>
          <w:iCs/>
          <w:sz w:val="22"/>
          <w:szCs w:val="22"/>
        </w:rPr>
        <w:t>ESR1</w:t>
      </w:r>
      <w:r w:rsidRPr="00491812">
        <w:rPr>
          <w:rFonts w:ascii="Segoe UI" w:hAnsi="Segoe UI" w:cs="Segoe UI"/>
          <w:sz w:val="22"/>
          <w:szCs w:val="22"/>
        </w:rPr>
        <w:t xml:space="preserve">-mutations alter the conformation of the ER ligand binding domain that results in ligand independent ER activation and constitutive ER signalling that promotes tumour growth and resistance, predominantly after ET (Brett et al 2021; Santiago Novello et al 2023; Lin et al 2023; Bhave et al 2023; Toy et al 2013). Once patients progress on 1L therapy, the subsequent endocrine based therapies have limited efficacy, and patients will eventfully require treatment with chemotherapy. Disease progression and the use of chemotherapy are associated with a deterioration in quality of life (Giuliano et al 2019), underscoring the need to continue to improve 1L treatments, to keep patients free of disease progression for as long as possible. </w:t>
      </w:r>
    </w:p>
    <w:p w14:paraId="53824A88" w14:textId="77777777" w:rsidR="006D10EA" w:rsidRPr="00491812" w:rsidRDefault="006D10EA" w:rsidP="006D10EA">
      <w:pPr>
        <w:spacing w:after="120" w:line="240" w:lineRule="auto"/>
        <w:rPr>
          <w:rFonts w:ascii="Segoe UI" w:hAnsi="Segoe UI" w:cs="Segoe UI"/>
          <w:sz w:val="22"/>
          <w:szCs w:val="22"/>
        </w:rPr>
      </w:pPr>
      <w:r w:rsidRPr="00491812">
        <w:rPr>
          <w:rFonts w:ascii="Segoe UI" w:hAnsi="Segoe UI" w:cs="Segoe UI"/>
          <w:sz w:val="22"/>
          <w:szCs w:val="22"/>
        </w:rPr>
        <w:t xml:space="preserve">The PlasmaMATCH study (Turner et al 2020) showed fulvestrant, an intramuscular injected selective oestrogen receptor downgrader (SERD) has very limited activity in patients who are </w:t>
      </w:r>
      <w:r w:rsidRPr="00491812">
        <w:rPr>
          <w:rFonts w:ascii="Segoe UI" w:hAnsi="Segoe UI" w:cs="Segoe UI"/>
          <w:i/>
          <w:iCs/>
          <w:sz w:val="22"/>
          <w:szCs w:val="22"/>
        </w:rPr>
        <w:t>ESR1</w:t>
      </w:r>
      <w:r w:rsidRPr="00491812">
        <w:rPr>
          <w:rFonts w:ascii="Segoe UI" w:hAnsi="Segoe UI" w:cs="Segoe UI"/>
          <w:sz w:val="22"/>
          <w:szCs w:val="22"/>
        </w:rPr>
        <w:t xml:space="preserve">m-positive even with higher than current standard doses. Of note, all of the partial responses observed in the </w:t>
      </w:r>
      <w:r w:rsidRPr="00491812">
        <w:rPr>
          <w:rFonts w:ascii="Segoe UI" w:hAnsi="Segoe UI" w:cs="Segoe UI"/>
          <w:i/>
          <w:iCs/>
          <w:sz w:val="22"/>
          <w:szCs w:val="22"/>
        </w:rPr>
        <w:t>ESR1</w:t>
      </w:r>
      <w:r w:rsidRPr="00491812">
        <w:rPr>
          <w:rFonts w:ascii="Segoe UI" w:hAnsi="Segoe UI" w:cs="Segoe UI"/>
          <w:sz w:val="22"/>
          <w:szCs w:val="22"/>
        </w:rPr>
        <w:t xml:space="preserve">m positive cohort were in patients where a dominant </w:t>
      </w:r>
      <w:r w:rsidRPr="00491812">
        <w:rPr>
          <w:rFonts w:ascii="Segoe UI" w:hAnsi="Segoe UI" w:cs="Segoe UI"/>
          <w:i/>
          <w:iCs/>
          <w:sz w:val="22"/>
          <w:szCs w:val="22"/>
        </w:rPr>
        <w:t>ESR1</w:t>
      </w:r>
      <w:r w:rsidRPr="00491812">
        <w:rPr>
          <w:rFonts w:ascii="Segoe UI" w:hAnsi="Segoe UI" w:cs="Segoe UI"/>
          <w:sz w:val="22"/>
          <w:szCs w:val="22"/>
        </w:rPr>
        <w:t xml:space="preserve">m was detected in their circulating DNA (ctDNA), not in patients with multiple </w:t>
      </w:r>
      <w:r w:rsidRPr="00491812">
        <w:rPr>
          <w:rFonts w:ascii="Segoe UI" w:hAnsi="Segoe UI" w:cs="Segoe UI"/>
          <w:i/>
          <w:iCs/>
          <w:sz w:val="22"/>
          <w:szCs w:val="22"/>
        </w:rPr>
        <w:t>ESR1</w:t>
      </w:r>
      <w:r w:rsidRPr="00491812">
        <w:rPr>
          <w:rFonts w:ascii="Segoe UI" w:hAnsi="Segoe UI" w:cs="Segoe UI"/>
          <w:sz w:val="22"/>
          <w:szCs w:val="22"/>
        </w:rPr>
        <w:t xml:space="preserve">m. This is consistent with the hypothesis that patients with a more genetically diverse tumour burden are more likely to be resistant to intervention with a SERD and that early intervention, before too much genetic drift has occurred, may be advantageous i.e. switching from AI to a SERD before disease progression has occurred. </w:t>
      </w:r>
    </w:p>
    <w:p w14:paraId="48721B26" w14:textId="36D21317" w:rsidR="006D10EA" w:rsidRPr="00491812" w:rsidRDefault="006D10EA" w:rsidP="006D10EA">
      <w:pPr>
        <w:spacing w:after="120" w:line="240" w:lineRule="auto"/>
        <w:rPr>
          <w:rFonts w:ascii="Segoe UI" w:hAnsi="Segoe UI" w:cs="Segoe UI"/>
          <w:sz w:val="22"/>
          <w:szCs w:val="22"/>
        </w:rPr>
      </w:pPr>
      <w:r w:rsidRPr="00491812">
        <w:rPr>
          <w:rFonts w:ascii="Segoe UI" w:hAnsi="Segoe UI" w:cs="Segoe UI"/>
          <w:sz w:val="22"/>
          <w:szCs w:val="22"/>
        </w:rPr>
        <w:t xml:space="preserve">Evidence suggests that detection of </w:t>
      </w:r>
      <w:r w:rsidRPr="007A72D1">
        <w:rPr>
          <w:rFonts w:ascii="Segoe UI" w:hAnsi="Segoe UI" w:cs="Segoe UI"/>
          <w:i/>
          <w:iCs/>
          <w:sz w:val="22"/>
          <w:szCs w:val="22"/>
        </w:rPr>
        <w:t>ESR1</w:t>
      </w:r>
      <w:r w:rsidRPr="00491812">
        <w:rPr>
          <w:rFonts w:ascii="Segoe UI" w:hAnsi="Segoe UI" w:cs="Segoe UI"/>
          <w:sz w:val="22"/>
          <w:szCs w:val="22"/>
        </w:rPr>
        <w:t xml:space="preserve">m is associated with poor treatment outcomes in terms of </w:t>
      </w:r>
      <w:r w:rsidR="00CC77E6">
        <w:rPr>
          <w:rFonts w:ascii="Segoe UI" w:hAnsi="Segoe UI" w:cs="Segoe UI"/>
          <w:sz w:val="22"/>
          <w:szCs w:val="22"/>
        </w:rPr>
        <w:t>progression-free survival (</w:t>
      </w:r>
      <w:r w:rsidRPr="00491812">
        <w:rPr>
          <w:rFonts w:ascii="Segoe UI" w:hAnsi="Segoe UI" w:cs="Segoe UI"/>
          <w:sz w:val="22"/>
          <w:szCs w:val="22"/>
        </w:rPr>
        <w:t>PFS</w:t>
      </w:r>
      <w:r w:rsidR="00CC77E6">
        <w:rPr>
          <w:rFonts w:ascii="Segoe UI" w:hAnsi="Segoe UI" w:cs="Segoe UI"/>
          <w:sz w:val="22"/>
          <w:szCs w:val="22"/>
        </w:rPr>
        <w:t>)</w:t>
      </w:r>
      <w:r w:rsidRPr="00491812">
        <w:rPr>
          <w:rFonts w:ascii="Segoe UI" w:hAnsi="Segoe UI" w:cs="Segoe UI"/>
          <w:sz w:val="22"/>
          <w:szCs w:val="22"/>
        </w:rPr>
        <w:t xml:space="preserve"> and </w:t>
      </w:r>
      <w:r w:rsidR="00CC77E6">
        <w:rPr>
          <w:rFonts w:ascii="Segoe UI" w:hAnsi="Segoe UI" w:cs="Segoe UI"/>
          <w:sz w:val="22"/>
          <w:szCs w:val="22"/>
        </w:rPr>
        <w:t>o</w:t>
      </w:r>
      <w:r w:rsidR="00060E7A">
        <w:rPr>
          <w:rFonts w:ascii="Segoe UI" w:hAnsi="Segoe UI" w:cs="Segoe UI"/>
          <w:sz w:val="22"/>
          <w:szCs w:val="22"/>
        </w:rPr>
        <w:t>verall survival (</w:t>
      </w:r>
      <w:r w:rsidRPr="00491812">
        <w:rPr>
          <w:rFonts w:ascii="Segoe UI" w:hAnsi="Segoe UI" w:cs="Segoe UI"/>
          <w:sz w:val="22"/>
          <w:szCs w:val="22"/>
        </w:rPr>
        <w:t>OS</w:t>
      </w:r>
      <w:r w:rsidR="00060E7A">
        <w:rPr>
          <w:rFonts w:ascii="Segoe UI" w:hAnsi="Segoe UI" w:cs="Segoe UI"/>
          <w:sz w:val="22"/>
          <w:szCs w:val="22"/>
        </w:rPr>
        <w:t>)</w:t>
      </w:r>
      <w:r w:rsidR="00CC1470">
        <w:rPr>
          <w:rFonts w:ascii="Segoe UI" w:hAnsi="Segoe UI" w:cs="Segoe UI"/>
          <w:sz w:val="22"/>
          <w:szCs w:val="22"/>
        </w:rPr>
        <w:t xml:space="preserve"> (</w:t>
      </w:r>
      <w:r w:rsidRPr="00491812">
        <w:rPr>
          <w:rFonts w:ascii="Segoe UI" w:hAnsi="Segoe UI" w:cs="Segoe UI"/>
          <w:sz w:val="22"/>
          <w:szCs w:val="22"/>
        </w:rPr>
        <w:t xml:space="preserve">Turner et al 2020), mainly owing to a lack of effective treatment options to address this driver mutation. Elacestrant is currently being evaluated by the TGA and is the first treatment targeting </w:t>
      </w:r>
      <w:r w:rsidRPr="00491812">
        <w:rPr>
          <w:rFonts w:ascii="Segoe UI" w:hAnsi="Segoe UI" w:cs="Segoe UI"/>
          <w:i/>
          <w:iCs/>
          <w:sz w:val="22"/>
          <w:szCs w:val="22"/>
        </w:rPr>
        <w:t>ESR1</w:t>
      </w:r>
      <w:r w:rsidRPr="00491812">
        <w:rPr>
          <w:rFonts w:ascii="Segoe UI" w:hAnsi="Segoe UI" w:cs="Segoe UI"/>
          <w:sz w:val="22"/>
          <w:szCs w:val="22"/>
        </w:rPr>
        <w:t xml:space="preserve">m, in patients with </w:t>
      </w:r>
      <w:r w:rsidRPr="00491812">
        <w:rPr>
          <w:rFonts w:ascii="Segoe UI" w:hAnsi="Segoe UI" w:cs="Segoe UI"/>
          <w:i/>
          <w:iCs/>
          <w:sz w:val="22"/>
          <w:szCs w:val="22"/>
        </w:rPr>
        <w:t>ESR1</w:t>
      </w:r>
      <w:r w:rsidRPr="00491812">
        <w:rPr>
          <w:rFonts w:ascii="Segoe UI" w:hAnsi="Segoe UI" w:cs="Segoe UI"/>
          <w:sz w:val="22"/>
          <w:szCs w:val="22"/>
        </w:rPr>
        <w:t xml:space="preserve">m after disease progression following at least one line of ET. As monotherapy in the post-CDK4/6 inhibitor treatment setting, the treatment effect is modest, with a median PFS of 3.8 months for elacestrant vs 1.9 months for fulvestrant (Shah et al 2024). </w:t>
      </w:r>
    </w:p>
    <w:p w14:paraId="5C884F2E" w14:textId="2EB23916" w:rsidR="006D10EA" w:rsidRPr="00491812" w:rsidRDefault="006D10EA" w:rsidP="006D10EA">
      <w:pPr>
        <w:spacing w:after="120" w:line="240" w:lineRule="auto"/>
        <w:rPr>
          <w:rFonts w:ascii="Segoe UI" w:hAnsi="Segoe UI" w:cs="Segoe UI"/>
          <w:sz w:val="22"/>
          <w:szCs w:val="22"/>
        </w:rPr>
      </w:pPr>
      <w:r w:rsidRPr="053BEDB4">
        <w:rPr>
          <w:rFonts w:ascii="Segoe UI" w:hAnsi="Segoe UI" w:cs="Segoe UI"/>
          <w:sz w:val="22"/>
          <w:szCs w:val="22"/>
        </w:rPr>
        <w:t xml:space="preserve">The advent of highly sensitive ctDNA technology allows early detection of emerging </w:t>
      </w:r>
      <w:r w:rsidR="00C27CDB">
        <w:rPr>
          <w:rFonts w:ascii="Segoe UI" w:hAnsi="Segoe UI" w:cs="Segoe UI"/>
          <w:sz w:val="22"/>
          <w:szCs w:val="22"/>
        </w:rPr>
        <w:t xml:space="preserve">endocrine therapy resistance </w:t>
      </w:r>
      <w:r w:rsidRPr="053BEDB4">
        <w:rPr>
          <w:rFonts w:ascii="Segoe UI" w:hAnsi="Segoe UI" w:cs="Segoe UI"/>
          <w:sz w:val="22"/>
          <w:szCs w:val="22"/>
        </w:rPr>
        <w:t xml:space="preserve">mutations </w:t>
      </w:r>
      <w:r w:rsidR="009B105B">
        <w:rPr>
          <w:rFonts w:ascii="Segoe UI" w:hAnsi="Segoe UI" w:cs="Segoe UI"/>
          <w:sz w:val="22"/>
          <w:szCs w:val="22"/>
        </w:rPr>
        <w:t xml:space="preserve">(during first line </w:t>
      </w:r>
      <w:r w:rsidRPr="053BEDB4">
        <w:rPr>
          <w:rFonts w:ascii="Segoe UI" w:hAnsi="Segoe UI" w:cs="Segoe UI"/>
          <w:sz w:val="22"/>
          <w:szCs w:val="22"/>
        </w:rPr>
        <w:t>treatment</w:t>
      </w:r>
      <w:r w:rsidR="009B105B">
        <w:rPr>
          <w:rFonts w:ascii="Segoe UI" w:hAnsi="Segoe UI" w:cs="Segoe UI"/>
          <w:sz w:val="22"/>
          <w:szCs w:val="22"/>
        </w:rPr>
        <w:t>)</w:t>
      </w:r>
      <w:r w:rsidRPr="053BEDB4">
        <w:rPr>
          <w:rFonts w:ascii="Segoe UI" w:hAnsi="Segoe UI" w:cs="Segoe UI"/>
          <w:sz w:val="22"/>
          <w:szCs w:val="22"/>
        </w:rPr>
        <w:t xml:space="preserve"> before </w:t>
      </w:r>
      <w:r w:rsidR="00B25A15">
        <w:rPr>
          <w:rFonts w:ascii="Segoe UI" w:hAnsi="Segoe UI" w:cs="Segoe UI"/>
          <w:sz w:val="22"/>
          <w:szCs w:val="22"/>
        </w:rPr>
        <w:t>radio</w:t>
      </w:r>
      <w:r w:rsidR="00FD2EE3">
        <w:rPr>
          <w:rFonts w:ascii="Segoe UI" w:hAnsi="Segoe UI" w:cs="Segoe UI"/>
          <w:sz w:val="22"/>
          <w:szCs w:val="22"/>
        </w:rPr>
        <w:t>logic</w:t>
      </w:r>
      <w:r w:rsidR="00B25A15">
        <w:rPr>
          <w:rFonts w:ascii="Segoe UI" w:hAnsi="Segoe UI" w:cs="Segoe UI"/>
          <w:sz w:val="22"/>
          <w:szCs w:val="22"/>
        </w:rPr>
        <w:t xml:space="preserve"> or clinical </w:t>
      </w:r>
      <w:r w:rsidRPr="053BEDB4">
        <w:rPr>
          <w:rFonts w:ascii="Segoe UI" w:hAnsi="Segoe UI" w:cs="Segoe UI"/>
          <w:sz w:val="22"/>
          <w:szCs w:val="22"/>
        </w:rPr>
        <w:t>disease progression</w:t>
      </w:r>
      <w:r w:rsidR="001B158C">
        <w:rPr>
          <w:rFonts w:ascii="Segoe UI" w:hAnsi="Segoe UI" w:cs="Segoe UI"/>
          <w:sz w:val="22"/>
          <w:szCs w:val="22"/>
        </w:rPr>
        <w:t xml:space="preserve"> has occurred</w:t>
      </w:r>
      <w:r w:rsidR="00BF5AF8">
        <w:rPr>
          <w:rFonts w:ascii="Segoe UI" w:hAnsi="Segoe UI" w:cs="Segoe UI"/>
          <w:sz w:val="22"/>
          <w:szCs w:val="22"/>
        </w:rPr>
        <w:t>.</w:t>
      </w:r>
      <w:r w:rsidR="007160BA">
        <w:rPr>
          <w:rFonts w:ascii="Segoe UI" w:hAnsi="Segoe UI" w:cs="Segoe UI"/>
          <w:sz w:val="22"/>
          <w:szCs w:val="22"/>
        </w:rPr>
        <w:t xml:space="preserve"> </w:t>
      </w:r>
      <w:r w:rsidR="00C27CDB">
        <w:rPr>
          <w:rFonts w:ascii="Segoe UI" w:hAnsi="Segoe UI" w:cs="Segoe UI"/>
          <w:sz w:val="22"/>
          <w:szCs w:val="22"/>
        </w:rPr>
        <w:t>Switching from an AI to c</w:t>
      </w:r>
      <w:r w:rsidRPr="053BEDB4">
        <w:rPr>
          <w:rFonts w:ascii="Segoe UI" w:hAnsi="Segoe UI" w:cs="Segoe UI"/>
          <w:sz w:val="22"/>
          <w:szCs w:val="22"/>
        </w:rPr>
        <w:t xml:space="preserve">amizestrant at </w:t>
      </w:r>
      <w:r w:rsidR="00C27CDB">
        <w:rPr>
          <w:rFonts w:ascii="Segoe UI" w:hAnsi="Segoe UI" w:cs="Segoe UI"/>
          <w:sz w:val="22"/>
          <w:szCs w:val="22"/>
        </w:rPr>
        <w:t xml:space="preserve">this </w:t>
      </w:r>
      <w:r w:rsidRPr="053BEDB4">
        <w:rPr>
          <w:rFonts w:ascii="Segoe UI" w:hAnsi="Segoe UI" w:cs="Segoe UI"/>
          <w:sz w:val="22"/>
          <w:szCs w:val="22"/>
        </w:rPr>
        <w:t>early stage, ahead of disease progression, to target</w:t>
      </w:r>
      <w:r w:rsidRPr="053BEDB4">
        <w:rPr>
          <w:rFonts w:ascii="Segoe UI" w:hAnsi="Segoe UI" w:cs="Segoe UI"/>
          <w:i/>
          <w:iCs/>
          <w:sz w:val="22"/>
          <w:szCs w:val="22"/>
        </w:rPr>
        <w:t xml:space="preserve"> ESR1</w:t>
      </w:r>
      <w:r w:rsidRPr="053BEDB4">
        <w:rPr>
          <w:rFonts w:ascii="Segoe UI" w:hAnsi="Segoe UI" w:cs="Segoe UI"/>
          <w:sz w:val="22"/>
          <w:szCs w:val="22"/>
        </w:rPr>
        <w:t xml:space="preserve"> mutation clonal expansion</w:t>
      </w:r>
      <w:r w:rsidR="00C27CDB">
        <w:rPr>
          <w:rFonts w:ascii="Segoe UI" w:hAnsi="Segoe UI" w:cs="Segoe UI"/>
          <w:sz w:val="22"/>
          <w:szCs w:val="22"/>
        </w:rPr>
        <w:t>,</w:t>
      </w:r>
      <w:r w:rsidRPr="053BEDB4">
        <w:rPr>
          <w:rFonts w:ascii="Segoe UI" w:hAnsi="Segoe UI" w:cs="Segoe UI"/>
          <w:sz w:val="22"/>
          <w:szCs w:val="22"/>
        </w:rPr>
        <w:t xml:space="preserve"> has the potential to restore endocrine sensitivity and</w:t>
      </w:r>
      <w:r w:rsidR="00C27CDB">
        <w:rPr>
          <w:rFonts w:ascii="Segoe UI" w:hAnsi="Segoe UI" w:cs="Segoe UI"/>
          <w:sz w:val="22"/>
          <w:szCs w:val="22"/>
        </w:rPr>
        <w:t xml:space="preserve"> </w:t>
      </w:r>
      <w:r w:rsidRPr="053BEDB4">
        <w:rPr>
          <w:rFonts w:ascii="Segoe UI" w:hAnsi="Segoe UI" w:cs="Segoe UI"/>
          <w:sz w:val="22"/>
          <w:szCs w:val="22"/>
        </w:rPr>
        <w:t>extend the duration patients remain free from progressive disease.</w:t>
      </w:r>
    </w:p>
    <w:p w14:paraId="74527166" w14:textId="77777777" w:rsidR="006D10EA" w:rsidRPr="00491812" w:rsidRDefault="006D10EA" w:rsidP="006D10EA">
      <w:pPr>
        <w:spacing w:after="120" w:line="240" w:lineRule="auto"/>
        <w:rPr>
          <w:rFonts w:ascii="Segoe UI" w:hAnsi="Segoe UI" w:cs="Segoe UI"/>
          <w:sz w:val="22"/>
          <w:szCs w:val="22"/>
        </w:rPr>
      </w:pPr>
      <w:r w:rsidRPr="00491812">
        <w:rPr>
          <w:rFonts w:ascii="Segoe UI" w:hAnsi="Segoe UI" w:cs="Segoe UI"/>
          <w:sz w:val="22"/>
          <w:szCs w:val="22"/>
        </w:rPr>
        <w:t xml:space="preserve">Camizestrant is an oral next generation SERD (ngSERD) and complete ER antagonist. Camizestrant binds to the ligand binding domain of ERα, antagonising the activity of ERα encoded by both wild-type </w:t>
      </w:r>
      <w:r w:rsidRPr="00491812">
        <w:rPr>
          <w:rFonts w:ascii="Segoe UI" w:hAnsi="Segoe UI" w:cs="Segoe UI"/>
          <w:i/>
          <w:iCs/>
          <w:sz w:val="22"/>
          <w:szCs w:val="22"/>
        </w:rPr>
        <w:t xml:space="preserve">ESR1 </w:t>
      </w:r>
      <w:r w:rsidRPr="00491812">
        <w:rPr>
          <w:rFonts w:ascii="Segoe UI" w:hAnsi="Segoe UI" w:cs="Segoe UI"/>
          <w:sz w:val="22"/>
          <w:szCs w:val="22"/>
        </w:rPr>
        <w:t xml:space="preserve">and mutated </w:t>
      </w:r>
      <w:r w:rsidRPr="00491812">
        <w:rPr>
          <w:rFonts w:ascii="Segoe UI" w:hAnsi="Segoe UI" w:cs="Segoe UI"/>
          <w:i/>
          <w:iCs/>
          <w:sz w:val="22"/>
          <w:szCs w:val="22"/>
        </w:rPr>
        <w:t>ESR1</w:t>
      </w:r>
      <w:r w:rsidRPr="00491812">
        <w:rPr>
          <w:rFonts w:ascii="Segoe UI" w:hAnsi="Segoe UI" w:cs="Segoe UI"/>
          <w:sz w:val="22"/>
          <w:szCs w:val="22"/>
        </w:rPr>
        <w:t xml:space="preserve">, and inducing proteasome-dependent degradation of ERα, without agonising ERα. </w:t>
      </w:r>
    </w:p>
    <w:p w14:paraId="19D54028" w14:textId="40E8C901" w:rsidR="006D10EA" w:rsidRDefault="006D10EA" w:rsidP="006D10EA">
      <w:pPr>
        <w:spacing w:after="120" w:line="240" w:lineRule="auto"/>
        <w:rPr>
          <w:rFonts w:ascii="Segoe UI" w:hAnsi="Segoe UI" w:cs="Segoe UI"/>
          <w:sz w:val="22"/>
          <w:szCs w:val="22"/>
        </w:rPr>
      </w:pPr>
      <w:r w:rsidRPr="00491812">
        <w:rPr>
          <w:rFonts w:ascii="Segoe UI" w:hAnsi="Segoe UI" w:cs="Segoe UI"/>
          <w:sz w:val="22"/>
          <w:szCs w:val="22"/>
        </w:rPr>
        <w:t xml:space="preserve">An early switch of the ET backbone from AI to camizestrant in patients on </w:t>
      </w:r>
      <w:r w:rsidR="005D7C48">
        <w:rPr>
          <w:rFonts w:ascii="Segoe UI" w:hAnsi="Segoe UI" w:cs="Segoe UI"/>
          <w:sz w:val="22"/>
          <w:szCs w:val="22"/>
        </w:rPr>
        <w:t>first line</w:t>
      </w:r>
      <w:r w:rsidRPr="00491812">
        <w:rPr>
          <w:rFonts w:ascii="Segoe UI" w:hAnsi="Segoe UI" w:cs="Segoe UI"/>
          <w:sz w:val="22"/>
          <w:szCs w:val="22"/>
        </w:rPr>
        <w:t xml:space="preserve"> treatment with a CDK4/6 inhibitor, upon emergence of </w:t>
      </w:r>
      <w:r w:rsidRPr="00491812">
        <w:rPr>
          <w:rFonts w:ascii="Segoe UI" w:hAnsi="Segoe UI" w:cs="Segoe UI"/>
          <w:i/>
          <w:iCs/>
          <w:sz w:val="22"/>
          <w:szCs w:val="22"/>
        </w:rPr>
        <w:t>ESR1</w:t>
      </w:r>
      <w:r w:rsidR="00BA5DA4">
        <w:rPr>
          <w:rFonts w:ascii="Segoe UI" w:hAnsi="Segoe UI" w:cs="Segoe UI"/>
          <w:sz w:val="22"/>
          <w:szCs w:val="22"/>
        </w:rPr>
        <w:t>m</w:t>
      </w:r>
      <w:r w:rsidRPr="00491812">
        <w:rPr>
          <w:rFonts w:ascii="Segoe UI" w:hAnsi="Segoe UI" w:cs="Segoe UI"/>
          <w:sz w:val="22"/>
          <w:szCs w:val="22"/>
        </w:rPr>
        <w:t>, has been shown in the phase 3 randomised controlled trial, S</w:t>
      </w:r>
      <w:r w:rsidR="00091C60">
        <w:rPr>
          <w:rFonts w:ascii="Segoe UI" w:hAnsi="Segoe UI" w:cs="Segoe UI"/>
          <w:sz w:val="22"/>
          <w:szCs w:val="22"/>
        </w:rPr>
        <w:t>ERENA</w:t>
      </w:r>
      <w:r w:rsidRPr="00491812">
        <w:rPr>
          <w:rFonts w:ascii="Segoe UI" w:hAnsi="Segoe UI" w:cs="Segoe UI"/>
          <w:sz w:val="22"/>
          <w:szCs w:val="22"/>
        </w:rPr>
        <w:t xml:space="preserve">-6, to prolong the benefit of </w:t>
      </w:r>
      <w:r w:rsidR="005D7C48">
        <w:rPr>
          <w:rFonts w:ascii="Segoe UI" w:hAnsi="Segoe UI" w:cs="Segoe UI"/>
          <w:sz w:val="22"/>
          <w:szCs w:val="22"/>
        </w:rPr>
        <w:t>first line</w:t>
      </w:r>
      <w:r w:rsidRPr="00491812">
        <w:rPr>
          <w:rFonts w:ascii="Segoe UI" w:hAnsi="Segoe UI" w:cs="Segoe UI"/>
          <w:sz w:val="22"/>
          <w:szCs w:val="22"/>
        </w:rPr>
        <w:t xml:space="preserve"> therapy. This approach effectively suppresses and delays the resistance to treatment that ultimately leads to clinical disease </w:t>
      </w:r>
      <w:r w:rsidRPr="00491812">
        <w:rPr>
          <w:rFonts w:ascii="Segoe UI" w:hAnsi="Segoe UI" w:cs="Segoe UI"/>
          <w:sz w:val="22"/>
          <w:szCs w:val="22"/>
        </w:rPr>
        <w:lastRenderedPageBreak/>
        <w:t xml:space="preserve">progression and decline in quality of life (QoL). Extending the duration of benefit on </w:t>
      </w:r>
      <w:r w:rsidR="005D7C48">
        <w:rPr>
          <w:rFonts w:ascii="Segoe UI" w:hAnsi="Segoe UI" w:cs="Segoe UI"/>
          <w:sz w:val="22"/>
          <w:szCs w:val="22"/>
        </w:rPr>
        <w:t>first line</w:t>
      </w:r>
      <w:r w:rsidRPr="00491812">
        <w:rPr>
          <w:rFonts w:ascii="Segoe UI" w:hAnsi="Segoe UI" w:cs="Segoe UI"/>
          <w:sz w:val="22"/>
          <w:szCs w:val="22"/>
        </w:rPr>
        <w:t xml:space="preserve"> therapy translates into better patient outcomes, addressing this important and high unmet medical need.</w:t>
      </w:r>
    </w:p>
    <w:p w14:paraId="633DD70E" w14:textId="7E9718AE" w:rsidR="00CD3F6D" w:rsidRPr="00491812" w:rsidRDefault="00CD3F6D" w:rsidP="006D10EA">
      <w:pPr>
        <w:spacing w:after="120" w:line="240" w:lineRule="auto"/>
        <w:rPr>
          <w:rFonts w:ascii="Segoe UI" w:hAnsi="Segoe UI" w:cs="Segoe UI"/>
          <w:sz w:val="22"/>
          <w:szCs w:val="22"/>
        </w:rPr>
      </w:pPr>
      <w:r>
        <w:rPr>
          <w:rFonts w:ascii="Segoe UI" w:hAnsi="Segoe UI" w:cs="Segoe UI"/>
          <w:sz w:val="22"/>
          <w:szCs w:val="22"/>
        </w:rPr>
        <w:t xml:space="preserve">Patients </w:t>
      </w:r>
      <w:r w:rsidR="00253E39">
        <w:rPr>
          <w:rFonts w:ascii="Segoe UI" w:hAnsi="Segoe UI" w:cs="Segoe UI"/>
          <w:sz w:val="22"/>
          <w:szCs w:val="22"/>
        </w:rPr>
        <w:t xml:space="preserve">who would be considered eligible for </w:t>
      </w:r>
      <w:r w:rsidR="00253E39" w:rsidRPr="005D7C48">
        <w:rPr>
          <w:rFonts w:ascii="Segoe UI" w:hAnsi="Segoe UI" w:cs="Segoe UI"/>
          <w:i/>
          <w:iCs/>
          <w:sz w:val="22"/>
          <w:szCs w:val="22"/>
        </w:rPr>
        <w:t>ESR1</w:t>
      </w:r>
      <w:r w:rsidR="00BA5DA4">
        <w:rPr>
          <w:rFonts w:ascii="Segoe UI" w:hAnsi="Segoe UI" w:cs="Segoe UI"/>
          <w:sz w:val="22"/>
          <w:szCs w:val="22"/>
        </w:rPr>
        <w:t>m</w:t>
      </w:r>
      <w:r w:rsidR="00253E39">
        <w:rPr>
          <w:rFonts w:ascii="Segoe UI" w:hAnsi="Segoe UI" w:cs="Segoe UI"/>
          <w:sz w:val="22"/>
          <w:szCs w:val="22"/>
        </w:rPr>
        <w:t xml:space="preserve"> testing, are patients </w:t>
      </w:r>
      <w:r w:rsidR="00BA5DA4">
        <w:rPr>
          <w:rFonts w:ascii="Segoe UI" w:hAnsi="Segoe UI" w:cs="Segoe UI"/>
          <w:sz w:val="22"/>
          <w:szCs w:val="22"/>
        </w:rPr>
        <w:t xml:space="preserve">with newly </w:t>
      </w:r>
      <w:r w:rsidR="00253E39">
        <w:rPr>
          <w:rFonts w:ascii="Segoe UI" w:hAnsi="Segoe UI" w:cs="Segoe UI"/>
          <w:sz w:val="22"/>
          <w:szCs w:val="22"/>
        </w:rPr>
        <w:t xml:space="preserve">diagnosed HR-positive, HER2-negative locally advanced or metastatic breast cancer who have received </w:t>
      </w:r>
      <w:r w:rsidR="00BA5DA4">
        <w:rPr>
          <w:rFonts w:ascii="Segoe UI" w:hAnsi="Segoe UI" w:cs="Segoe UI"/>
          <w:sz w:val="22"/>
          <w:szCs w:val="22"/>
        </w:rPr>
        <w:t xml:space="preserve">treatment </w:t>
      </w:r>
      <w:r w:rsidR="00253E39">
        <w:rPr>
          <w:rFonts w:ascii="Segoe UI" w:hAnsi="Segoe UI" w:cs="Segoe UI"/>
          <w:sz w:val="22"/>
          <w:szCs w:val="22"/>
        </w:rPr>
        <w:t xml:space="preserve">with a </w:t>
      </w:r>
      <w:r w:rsidR="00DF5AB6">
        <w:rPr>
          <w:rFonts w:ascii="Segoe UI" w:hAnsi="Segoe UI" w:cs="Segoe UI"/>
          <w:sz w:val="22"/>
          <w:szCs w:val="22"/>
        </w:rPr>
        <w:t>CDK4/6</w:t>
      </w:r>
      <w:r w:rsidR="00253E39">
        <w:rPr>
          <w:rFonts w:ascii="Segoe UI" w:hAnsi="Segoe UI" w:cs="Segoe UI"/>
          <w:sz w:val="22"/>
          <w:szCs w:val="22"/>
        </w:rPr>
        <w:t xml:space="preserve"> </w:t>
      </w:r>
      <w:r w:rsidR="00BA085E">
        <w:rPr>
          <w:rFonts w:ascii="Segoe UI" w:hAnsi="Segoe UI" w:cs="Segoe UI"/>
          <w:sz w:val="22"/>
          <w:szCs w:val="22"/>
        </w:rPr>
        <w:t>inhibitor</w:t>
      </w:r>
      <w:r w:rsidR="00253E39">
        <w:rPr>
          <w:rFonts w:ascii="Segoe UI" w:hAnsi="Segoe UI" w:cs="Segoe UI"/>
          <w:sz w:val="22"/>
          <w:szCs w:val="22"/>
        </w:rPr>
        <w:t xml:space="preserve"> in combination with an AI</w:t>
      </w:r>
      <w:r w:rsidR="00BA5DA4">
        <w:rPr>
          <w:rFonts w:ascii="Segoe UI" w:hAnsi="Segoe UI" w:cs="Segoe UI"/>
          <w:sz w:val="22"/>
          <w:szCs w:val="22"/>
        </w:rPr>
        <w:t>, for at least 6 months,</w:t>
      </w:r>
      <w:r w:rsidR="00BA085E">
        <w:rPr>
          <w:rFonts w:ascii="Segoe UI" w:hAnsi="Segoe UI" w:cs="Segoe UI"/>
          <w:sz w:val="22"/>
          <w:szCs w:val="22"/>
        </w:rPr>
        <w:t xml:space="preserve"> and whose disease has not progressed clinically or radiographically. T</w:t>
      </w:r>
      <w:r w:rsidR="00EC200C">
        <w:rPr>
          <w:rFonts w:ascii="Segoe UI" w:hAnsi="Segoe UI" w:cs="Segoe UI"/>
          <w:sz w:val="22"/>
          <w:szCs w:val="22"/>
        </w:rPr>
        <w:t xml:space="preserve">he </w:t>
      </w:r>
      <w:r w:rsidR="00EC200C" w:rsidRPr="00BA5DA4">
        <w:rPr>
          <w:rFonts w:ascii="Segoe UI" w:hAnsi="Segoe UI" w:cs="Segoe UI"/>
          <w:i/>
          <w:iCs/>
          <w:sz w:val="22"/>
          <w:szCs w:val="22"/>
        </w:rPr>
        <w:t>ESR1</w:t>
      </w:r>
      <w:r w:rsidR="00BA5DA4">
        <w:rPr>
          <w:rFonts w:ascii="Segoe UI" w:hAnsi="Segoe UI" w:cs="Segoe UI"/>
          <w:sz w:val="22"/>
          <w:szCs w:val="22"/>
        </w:rPr>
        <w:t>m</w:t>
      </w:r>
      <w:r w:rsidR="00EC200C">
        <w:rPr>
          <w:rFonts w:ascii="Segoe UI" w:hAnsi="Segoe UI" w:cs="Segoe UI"/>
          <w:sz w:val="22"/>
          <w:szCs w:val="22"/>
        </w:rPr>
        <w:t xml:space="preserve"> testing would be requested by the treating clinician (most likely a medical oncologist)</w:t>
      </w:r>
      <w:r w:rsidR="002165E6">
        <w:rPr>
          <w:rFonts w:ascii="Segoe UI" w:hAnsi="Segoe UI" w:cs="Segoe UI"/>
          <w:sz w:val="22"/>
          <w:szCs w:val="22"/>
        </w:rPr>
        <w:t xml:space="preserve"> and the blood taken to enable the test likely to be completed at the same time as other routine blood monitoring</w:t>
      </w:r>
      <w:r w:rsidR="001E1542">
        <w:rPr>
          <w:rFonts w:ascii="Segoe UI" w:hAnsi="Segoe UI" w:cs="Segoe UI"/>
          <w:sz w:val="22"/>
          <w:szCs w:val="22"/>
        </w:rPr>
        <w:t xml:space="preserve"> (</w:t>
      </w:r>
      <w:r w:rsidR="000F2FB1">
        <w:rPr>
          <w:rFonts w:ascii="Segoe UI" w:hAnsi="Segoe UI" w:cs="Segoe UI"/>
          <w:sz w:val="22"/>
          <w:szCs w:val="22"/>
        </w:rPr>
        <w:t>up to 6 times per year</w:t>
      </w:r>
      <w:r w:rsidR="001E1542">
        <w:rPr>
          <w:rFonts w:ascii="Segoe UI" w:hAnsi="Segoe UI" w:cs="Segoe UI"/>
          <w:sz w:val="22"/>
          <w:szCs w:val="22"/>
        </w:rPr>
        <w:t xml:space="preserve">). </w:t>
      </w:r>
    </w:p>
    <w:p w14:paraId="7045408C" w14:textId="77777777" w:rsidR="006D10EA" w:rsidRPr="00491812" w:rsidRDefault="006D10EA" w:rsidP="00051843">
      <w:pPr>
        <w:spacing w:after="0" w:line="240" w:lineRule="auto"/>
        <w:rPr>
          <w:rFonts w:ascii="Segoe UI" w:eastAsia="Segoe UI" w:hAnsi="Segoe UI" w:cs="Segoe UI"/>
          <w:b/>
          <w:color w:val="000000"/>
          <w:sz w:val="22"/>
          <w:szCs w:val="22"/>
        </w:rPr>
      </w:pPr>
    </w:p>
    <w:p w14:paraId="0635F721" w14:textId="77777777" w:rsidR="00051843" w:rsidRDefault="00051843" w:rsidP="00051843">
      <w:pPr>
        <w:spacing w:after="0" w:line="240" w:lineRule="auto"/>
        <w:rPr>
          <w:rFonts w:ascii="Segoe UI" w:eastAsia="Segoe UI" w:hAnsi="Segoe UI"/>
          <w:b/>
          <w:color w:val="000000"/>
          <w:sz w:val="22"/>
        </w:rPr>
      </w:pPr>
    </w:p>
    <w:p w14:paraId="5F56597E" w14:textId="77777777" w:rsidR="00051843" w:rsidRDefault="00051843" w:rsidP="00051843">
      <w:pPr>
        <w:spacing w:after="0" w:line="240" w:lineRule="auto"/>
        <w:rPr>
          <w:rFonts w:ascii="Segoe UI" w:eastAsia="Segoe UI" w:hAnsi="Segoe UI"/>
          <w:b/>
          <w:color w:val="000000"/>
          <w:sz w:val="22"/>
        </w:rPr>
      </w:pPr>
      <w:r>
        <w:rPr>
          <w:rFonts w:ascii="Segoe UI" w:eastAsia="Segoe UI" w:hAnsi="Segoe UI"/>
          <w:b/>
          <w:color w:val="000000"/>
          <w:sz w:val="22"/>
        </w:rPr>
        <w:t>Provide a rationale for the specifics of the eligible population:</w:t>
      </w:r>
    </w:p>
    <w:p w14:paraId="0EB432EF" w14:textId="77777777" w:rsidR="00051843" w:rsidRDefault="00051843" w:rsidP="00051843">
      <w:pPr>
        <w:spacing w:after="0" w:line="240" w:lineRule="auto"/>
        <w:rPr>
          <w:rFonts w:ascii="Segoe UI" w:eastAsia="Segoe UI" w:hAnsi="Segoe UI"/>
          <w:b/>
          <w:color w:val="000000"/>
          <w:sz w:val="22"/>
        </w:rPr>
      </w:pPr>
    </w:p>
    <w:p w14:paraId="3212AD7A" w14:textId="4ADA83CB" w:rsidR="00051843" w:rsidRDefault="002D53C2" w:rsidP="00051843">
      <w:pPr>
        <w:spacing w:after="0" w:line="240" w:lineRule="auto"/>
        <w:rPr>
          <w:rFonts w:ascii="Segoe UI" w:hAnsi="Segoe UI" w:cs="Segoe UI"/>
          <w:sz w:val="22"/>
          <w:szCs w:val="22"/>
        </w:rPr>
      </w:pPr>
      <w:r>
        <w:rPr>
          <w:rFonts w:ascii="Segoe UI" w:hAnsi="Segoe UI" w:cs="Segoe UI"/>
          <w:sz w:val="22"/>
          <w:szCs w:val="22"/>
        </w:rPr>
        <w:t>For patients with locally advanced or metastatic BC, the treatment goal</w:t>
      </w:r>
      <w:r w:rsidR="00120F46">
        <w:rPr>
          <w:rFonts w:ascii="Segoe UI" w:hAnsi="Segoe UI" w:cs="Segoe UI"/>
          <w:sz w:val="22"/>
          <w:szCs w:val="22"/>
        </w:rPr>
        <w:t>s</w:t>
      </w:r>
      <w:r>
        <w:rPr>
          <w:rFonts w:ascii="Segoe UI" w:hAnsi="Segoe UI" w:cs="Segoe UI"/>
          <w:sz w:val="22"/>
          <w:szCs w:val="22"/>
        </w:rPr>
        <w:t xml:space="preserve"> </w:t>
      </w:r>
      <w:r w:rsidR="00120F46">
        <w:rPr>
          <w:rFonts w:ascii="Segoe UI" w:hAnsi="Segoe UI" w:cs="Segoe UI"/>
          <w:sz w:val="22"/>
          <w:szCs w:val="22"/>
        </w:rPr>
        <w:t>are</w:t>
      </w:r>
      <w:r>
        <w:rPr>
          <w:rFonts w:ascii="Segoe UI" w:hAnsi="Segoe UI" w:cs="Segoe UI"/>
          <w:sz w:val="22"/>
          <w:szCs w:val="22"/>
        </w:rPr>
        <w:t xml:space="preserve"> </w:t>
      </w:r>
      <w:r w:rsidR="00531513">
        <w:rPr>
          <w:rFonts w:ascii="Segoe UI" w:hAnsi="Segoe UI" w:cs="Segoe UI"/>
          <w:sz w:val="22"/>
          <w:szCs w:val="22"/>
        </w:rPr>
        <w:t xml:space="preserve">extending time spent free of disease progression, </w:t>
      </w:r>
      <w:r w:rsidR="009141F7">
        <w:rPr>
          <w:rFonts w:ascii="Segoe UI" w:hAnsi="Segoe UI" w:cs="Segoe UI"/>
          <w:sz w:val="22"/>
          <w:szCs w:val="22"/>
        </w:rPr>
        <w:t>prolonging</w:t>
      </w:r>
      <w:r w:rsidR="00531513">
        <w:rPr>
          <w:rFonts w:ascii="Segoe UI" w:hAnsi="Segoe UI" w:cs="Segoe UI"/>
          <w:sz w:val="22"/>
          <w:szCs w:val="22"/>
        </w:rPr>
        <w:t xml:space="preserve"> overall survival and improving or at a minimum, not negatively impacting quality of life. </w:t>
      </w:r>
      <w:r w:rsidR="009C1E5D">
        <w:rPr>
          <w:rFonts w:ascii="Segoe UI" w:hAnsi="Segoe UI" w:cs="Segoe UI"/>
          <w:sz w:val="22"/>
          <w:szCs w:val="22"/>
        </w:rPr>
        <w:t xml:space="preserve">International treatment guidelines </w:t>
      </w:r>
      <w:r w:rsidR="009F71A8">
        <w:rPr>
          <w:rFonts w:ascii="Segoe UI" w:hAnsi="Segoe UI" w:cs="Segoe UI"/>
          <w:sz w:val="22"/>
          <w:szCs w:val="22"/>
        </w:rPr>
        <w:t xml:space="preserve">recommend </w:t>
      </w:r>
      <w:r w:rsidR="00F954A5">
        <w:rPr>
          <w:rFonts w:ascii="Segoe UI" w:hAnsi="Segoe UI" w:cs="Segoe UI"/>
          <w:sz w:val="22"/>
          <w:szCs w:val="22"/>
        </w:rPr>
        <w:t xml:space="preserve">the requested population </w:t>
      </w:r>
      <w:r w:rsidR="00AD4364">
        <w:rPr>
          <w:rFonts w:ascii="Segoe UI" w:hAnsi="Segoe UI" w:cs="Segoe UI"/>
          <w:sz w:val="22"/>
          <w:szCs w:val="22"/>
        </w:rPr>
        <w:t xml:space="preserve">be </w:t>
      </w:r>
      <w:r w:rsidR="009F71A8">
        <w:rPr>
          <w:rFonts w:ascii="Segoe UI" w:hAnsi="Segoe UI" w:cs="Segoe UI"/>
          <w:sz w:val="22"/>
          <w:szCs w:val="22"/>
        </w:rPr>
        <w:t xml:space="preserve">treated with </w:t>
      </w:r>
      <w:r w:rsidR="00F954A5">
        <w:rPr>
          <w:rFonts w:ascii="Segoe UI" w:hAnsi="Segoe UI" w:cs="Segoe UI"/>
          <w:sz w:val="22"/>
          <w:szCs w:val="22"/>
        </w:rPr>
        <w:t xml:space="preserve">a </w:t>
      </w:r>
      <w:r w:rsidR="00DF5AB6">
        <w:rPr>
          <w:rFonts w:ascii="Segoe UI" w:hAnsi="Segoe UI" w:cs="Segoe UI"/>
          <w:sz w:val="22"/>
          <w:szCs w:val="22"/>
        </w:rPr>
        <w:t>CDK4/6</w:t>
      </w:r>
      <w:r w:rsidR="00F954A5">
        <w:rPr>
          <w:rFonts w:ascii="Segoe UI" w:hAnsi="Segoe UI" w:cs="Segoe UI"/>
          <w:sz w:val="22"/>
          <w:szCs w:val="22"/>
        </w:rPr>
        <w:t xml:space="preserve"> inhibitor in combination with an AI</w:t>
      </w:r>
      <w:r w:rsidR="006831B5">
        <w:rPr>
          <w:rFonts w:ascii="Segoe UI" w:hAnsi="Segoe UI" w:cs="Segoe UI"/>
          <w:sz w:val="22"/>
          <w:szCs w:val="22"/>
        </w:rPr>
        <w:t xml:space="preserve">. If organ failure is imminent, chemotherapy is recommended. </w:t>
      </w:r>
    </w:p>
    <w:p w14:paraId="0E9CDDA9" w14:textId="77777777" w:rsidR="00F87675" w:rsidRDefault="00F87675" w:rsidP="00051843">
      <w:pPr>
        <w:spacing w:after="0" w:line="240" w:lineRule="auto"/>
        <w:rPr>
          <w:rFonts w:ascii="Segoe UI" w:hAnsi="Segoe UI" w:cs="Segoe UI"/>
          <w:sz w:val="22"/>
          <w:szCs w:val="22"/>
        </w:rPr>
      </w:pPr>
    </w:p>
    <w:p w14:paraId="34689B52" w14:textId="45D31AFC" w:rsidR="005A2389" w:rsidRDefault="00F87675" w:rsidP="00B407DE">
      <w:pPr>
        <w:spacing w:after="120" w:line="240" w:lineRule="auto"/>
        <w:rPr>
          <w:rFonts w:ascii="Segoe UI" w:hAnsi="Segoe UI" w:cs="Segoe UI"/>
          <w:sz w:val="22"/>
          <w:szCs w:val="22"/>
        </w:rPr>
      </w:pPr>
      <w:r>
        <w:rPr>
          <w:rFonts w:ascii="Segoe UI" w:hAnsi="Segoe UI" w:cs="Segoe UI"/>
          <w:sz w:val="22"/>
          <w:szCs w:val="22"/>
        </w:rPr>
        <w:t xml:space="preserve">As described above, </w:t>
      </w:r>
      <w:r w:rsidR="003F3D90">
        <w:rPr>
          <w:rFonts w:ascii="Segoe UI" w:hAnsi="Segoe UI" w:cs="Segoe UI"/>
          <w:sz w:val="22"/>
          <w:szCs w:val="22"/>
        </w:rPr>
        <w:t xml:space="preserve">all patients will develop endocrine resistance to </w:t>
      </w:r>
      <w:r w:rsidR="002B532B">
        <w:rPr>
          <w:rFonts w:ascii="Segoe UI" w:hAnsi="Segoe UI" w:cs="Segoe UI"/>
          <w:sz w:val="22"/>
          <w:szCs w:val="22"/>
        </w:rPr>
        <w:t>ET</w:t>
      </w:r>
      <w:r w:rsidR="003F3D90">
        <w:rPr>
          <w:rFonts w:ascii="Segoe UI" w:hAnsi="Segoe UI" w:cs="Segoe UI"/>
          <w:sz w:val="22"/>
          <w:szCs w:val="22"/>
        </w:rPr>
        <w:t xml:space="preserve"> and</w:t>
      </w:r>
      <w:r w:rsidR="00B059BF">
        <w:rPr>
          <w:rFonts w:ascii="Segoe UI" w:hAnsi="Segoe UI" w:cs="Segoe UI"/>
          <w:sz w:val="22"/>
          <w:szCs w:val="22"/>
        </w:rPr>
        <w:t xml:space="preserve"> </w:t>
      </w:r>
      <w:r w:rsidR="00B059BF" w:rsidRPr="00491812">
        <w:rPr>
          <w:rFonts w:ascii="Segoe UI" w:hAnsi="Segoe UI" w:cs="Segoe UI"/>
          <w:i/>
          <w:iCs/>
          <w:sz w:val="22"/>
          <w:szCs w:val="22"/>
        </w:rPr>
        <w:t>ESR1</w:t>
      </w:r>
      <w:r w:rsidR="00A335C7">
        <w:rPr>
          <w:rFonts w:ascii="Segoe UI" w:hAnsi="Segoe UI" w:cs="Segoe UI"/>
          <w:sz w:val="22"/>
          <w:szCs w:val="22"/>
        </w:rPr>
        <w:t>m</w:t>
      </w:r>
      <w:r w:rsidR="00B059BF" w:rsidRPr="00491812">
        <w:rPr>
          <w:rFonts w:ascii="Segoe UI" w:hAnsi="Segoe UI" w:cs="Segoe UI"/>
          <w:sz w:val="22"/>
          <w:szCs w:val="22"/>
        </w:rPr>
        <w:t xml:space="preserve"> represent a type of acquired resistance in up to 40-50% of patients after initial ET in the metastatic setting (Brett et al 2021; Santiago Novello et al 2023)</w:t>
      </w:r>
      <w:r w:rsidR="00B059BF">
        <w:rPr>
          <w:rFonts w:ascii="Segoe UI" w:hAnsi="Segoe UI" w:cs="Segoe UI"/>
          <w:sz w:val="22"/>
          <w:szCs w:val="22"/>
        </w:rPr>
        <w:t xml:space="preserve">. </w:t>
      </w:r>
      <w:r w:rsidR="00B407DE" w:rsidRPr="00491812">
        <w:rPr>
          <w:rFonts w:ascii="Segoe UI" w:hAnsi="Segoe UI" w:cs="Segoe UI"/>
          <w:sz w:val="22"/>
          <w:szCs w:val="22"/>
        </w:rPr>
        <w:t xml:space="preserve">Once patients progress on </w:t>
      </w:r>
      <w:r w:rsidR="00A335C7">
        <w:rPr>
          <w:rFonts w:ascii="Segoe UI" w:hAnsi="Segoe UI" w:cs="Segoe UI"/>
          <w:sz w:val="22"/>
          <w:szCs w:val="22"/>
        </w:rPr>
        <w:t>first line</w:t>
      </w:r>
      <w:r w:rsidR="00B407DE" w:rsidRPr="00491812">
        <w:rPr>
          <w:rFonts w:ascii="Segoe UI" w:hAnsi="Segoe UI" w:cs="Segoe UI"/>
          <w:sz w:val="22"/>
          <w:szCs w:val="22"/>
        </w:rPr>
        <w:t xml:space="preserve"> therapy, the subsequent endocrine based therapies have limited efficacy, and patients will eventfully require treatment with chemotherapy. Disease progression and the use of chemotherapy are associated with a deterioration in quality of life (Giuliano et al 2019), underscoring the need to continue to improve </w:t>
      </w:r>
      <w:r w:rsidR="00A335C7">
        <w:rPr>
          <w:rFonts w:ascii="Segoe UI" w:hAnsi="Segoe UI" w:cs="Segoe UI"/>
          <w:sz w:val="22"/>
          <w:szCs w:val="22"/>
        </w:rPr>
        <w:t>first line</w:t>
      </w:r>
      <w:r w:rsidR="00B407DE" w:rsidRPr="00491812">
        <w:rPr>
          <w:rFonts w:ascii="Segoe UI" w:hAnsi="Segoe UI" w:cs="Segoe UI"/>
          <w:sz w:val="22"/>
          <w:szCs w:val="22"/>
        </w:rPr>
        <w:t xml:space="preserve"> treatments, to keep patients free of disease progression for as long as possible. </w:t>
      </w:r>
    </w:p>
    <w:p w14:paraId="29BA7AA5" w14:textId="77777777" w:rsidR="00EE47D4" w:rsidRDefault="006400F6" w:rsidP="00B407DE">
      <w:pPr>
        <w:spacing w:after="120" w:line="240" w:lineRule="auto"/>
        <w:rPr>
          <w:rFonts w:ascii="Segoe UI" w:hAnsi="Segoe UI" w:cs="Segoe UI"/>
          <w:sz w:val="22"/>
          <w:szCs w:val="22"/>
        </w:rPr>
      </w:pPr>
      <w:r>
        <w:rPr>
          <w:rFonts w:ascii="Segoe UI" w:hAnsi="Segoe UI" w:cs="Segoe UI"/>
          <w:sz w:val="22"/>
          <w:szCs w:val="22"/>
        </w:rPr>
        <w:t xml:space="preserve">Sadly, many patients will not </w:t>
      </w:r>
      <w:r w:rsidR="00A827B3">
        <w:rPr>
          <w:rFonts w:ascii="Segoe UI" w:hAnsi="Segoe UI" w:cs="Segoe UI"/>
          <w:sz w:val="22"/>
          <w:szCs w:val="22"/>
        </w:rPr>
        <w:t xml:space="preserve">go on to receive second line treatment for their disease. </w:t>
      </w:r>
      <w:r w:rsidR="00B33DC4">
        <w:rPr>
          <w:rFonts w:ascii="Segoe UI" w:hAnsi="Segoe UI" w:cs="Segoe UI"/>
          <w:sz w:val="22"/>
          <w:szCs w:val="22"/>
        </w:rPr>
        <w:t xml:space="preserve">Currently available second line treatments including </w:t>
      </w:r>
      <w:r w:rsidR="00800F1A">
        <w:rPr>
          <w:rFonts w:ascii="Segoe UI" w:hAnsi="Segoe UI" w:cs="Segoe UI"/>
          <w:sz w:val="22"/>
          <w:szCs w:val="22"/>
        </w:rPr>
        <w:t xml:space="preserve">SERD as monotherapy provide </w:t>
      </w:r>
      <w:r>
        <w:rPr>
          <w:rFonts w:ascii="Segoe UI" w:hAnsi="Segoe UI" w:cs="Segoe UI"/>
          <w:sz w:val="22"/>
          <w:szCs w:val="22"/>
        </w:rPr>
        <w:t>suboptimal</w:t>
      </w:r>
      <w:r w:rsidR="00800F1A">
        <w:rPr>
          <w:rFonts w:ascii="Segoe UI" w:hAnsi="Segoe UI" w:cs="Segoe UI"/>
          <w:sz w:val="22"/>
          <w:szCs w:val="22"/>
        </w:rPr>
        <w:t xml:space="preserve"> efficacy and limited progression free survival (PFS)</w:t>
      </w:r>
      <w:r>
        <w:rPr>
          <w:rFonts w:ascii="Segoe UI" w:hAnsi="Segoe UI" w:cs="Segoe UI"/>
          <w:sz w:val="22"/>
          <w:szCs w:val="22"/>
        </w:rPr>
        <w:t xml:space="preserve"> outcomes. </w:t>
      </w:r>
      <w:r w:rsidR="004C4C24">
        <w:rPr>
          <w:rFonts w:ascii="Segoe UI" w:hAnsi="Segoe UI" w:cs="Segoe UI"/>
          <w:sz w:val="22"/>
          <w:szCs w:val="22"/>
        </w:rPr>
        <w:t xml:space="preserve">The limited benefit of second line treatments </w:t>
      </w:r>
      <w:r w:rsidR="00DF544F">
        <w:rPr>
          <w:rFonts w:ascii="Segoe UI" w:hAnsi="Segoe UI" w:cs="Segoe UI"/>
          <w:sz w:val="22"/>
          <w:szCs w:val="22"/>
        </w:rPr>
        <w:t>highlights</w:t>
      </w:r>
      <w:r w:rsidR="004C4C24">
        <w:rPr>
          <w:rFonts w:ascii="Segoe UI" w:hAnsi="Segoe UI" w:cs="Segoe UI"/>
          <w:sz w:val="22"/>
          <w:szCs w:val="22"/>
        </w:rPr>
        <w:t xml:space="preserve"> the need for durable first line </w:t>
      </w:r>
      <w:r w:rsidR="00C92BC3">
        <w:rPr>
          <w:rFonts w:ascii="Segoe UI" w:hAnsi="Segoe UI" w:cs="Segoe UI"/>
          <w:sz w:val="22"/>
          <w:szCs w:val="22"/>
        </w:rPr>
        <w:t>treatment options</w:t>
      </w:r>
      <w:r w:rsidR="0098404B">
        <w:rPr>
          <w:rFonts w:ascii="Segoe UI" w:hAnsi="Segoe UI" w:cs="Segoe UI"/>
          <w:sz w:val="22"/>
          <w:szCs w:val="22"/>
        </w:rPr>
        <w:t xml:space="preserve">. </w:t>
      </w:r>
    </w:p>
    <w:p w14:paraId="7D049336" w14:textId="43081DB1" w:rsidR="00290249" w:rsidRPr="00645244" w:rsidRDefault="00F3474B" w:rsidP="00B407DE">
      <w:pPr>
        <w:spacing w:after="120" w:line="240" w:lineRule="auto"/>
        <w:rPr>
          <w:rFonts w:ascii="Segoe UI" w:hAnsi="Segoe UI" w:cs="Segoe UI"/>
          <w:sz w:val="22"/>
          <w:szCs w:val="22"/>
        </w:rPr>
      </w:pPr>
      <w:r>
        <w:rPr>
          <w:rFonts w:ascii="Segoe UI" w:hAnsi="Segoe UI" w:cs="Segoe UI"/>
          <w:sz w:val="22"/>
          <w:szCs w:val="22"/>
        </w:rPr>
        <w:t>Switching from AI to camizestrant</w:t>
      </w:r>
      <w:r w:rsidR="00645244">
        <w:rPr>
          <w:rFonts w:ascii="Segoe UI" w:hAnsi="Segoe UI" w:cs="Segoe UI"/>
          <w:sz w:val="22"/>
          <w:szCs w:val="22"/>
        </w:rPr>
        <w:t xml:space="preserve"> following detection of an </w:t>
      </w:r>
      <w:r w:rsidR="00645244">
        <w:rPr>
          <w:rFonts w:ascii="Segoe UI" w:hAnsi="Segoe UI" w:cs="Segoe UI"/>
          <w:i/>
          <w:iCs/>
          <w:sz w:val="22"/>
          <w:szCs w:val="22"/>
        </w:rPr>
        <w:t>ESR1</w:t>
      </w:r>
      <w:r w:rsidR="00645244">
        <w:rPr>
          <w:rFonts w:ascii="Segoe UI" w:hAnsi="Segoe UI" w:cs="Segoe UI"/>
          <w:sz w:val="22"/>
          <w:szCs w:val="22"/>
        </w:rPr>
        <w:t xml:space="preserve">m, and continuing the </w:t>
      </w:r>
      <w:r w:rsidR="00DF5AB6">
        <w:rPr>
          <w:rFonts w:ascii="Segoe UI" w:hAnsi="Segoe UI" w:cs="Segoe UI"/>
          <w:sz w:val="22"/>
          <w:szCs w:val="22"/>
        </w:rPr>
        <w:t>CDK4/6</w:t>
      </w:r>
      <w:r w:rsidR="00645244">
        <w:rPr>
          <w:rFonts w:ascii="Segoe UI" w:hAnsi="Segoe UI" w:cs="Segoe UI"/>
          <w:sz w:val="22"/>
          <w:szCs w:val="22"/>
        </w:rPr>
        <w:t xml:space="preserve"> inhibitor, provides patients with an average of almost 7 months of additional time spent free of disease progression</w:t>
      </w:r>
      <w:r w:rsidR="00DF544F">
        <w:rPr>
          <w:rFonts w:ascii="Segoe UI" w:hAnsi="Segoe UI" w:cs="Segoe UI"/>
          <w:sz w:val="22"/>
          <w:szCs w:val="22"/>
        </w:rPr>
        <w:t xml:space="preserve">. </w:t>
      </w:r>
    </w:p>
    <w:p w14:paraId="1A1A8761" w14:textId="20073BE0" w:rsidR="00B059BF" w:rsidRPr="00B059BF" w:rsidRDefault="00B059BF" w:rsidP="00051843">
      <w:pPr>
        <w:spacing w:after="0" w:line="240" w:lineRule="auto"/>
        <w:rPr>
          <w:rFonts w:ascii="Segoe UI" w:hAnsi="Segoe UI" w:cs="Segoe UI"/>
          <w:sz w:val="22"/>
          <w:szCs w:val="22"/>
        </w:rPr>
      </w:pPr>
    </w:p>
    <w:p w14:paraId="1195F312" w14:textId="77777777" w:rsidR="00051843" w:rsidRPr="00BE6B22" w:rsidRDefault="00051843" w:rsidP="00051843">
      <w:pPr>
        <w:spacing w:after="0" w:line="240" w:lineRule="auto"/>
        <w:rPr>
          <w:rFonts w:asciiTheme="minorHAnsi" w:eastAsia="Segoe UI" w:hAnsiTheme="minorHAnsi" w:cstheme="minorHAnsi"/>
          <w:color w:val="000000"/>
          <w:sz w:val="22"/>
          <w:szCs w:val="22"/>
        </w:rPr>
      </w:pPr>
    </w:p>
    <w:p w14:paraId="58FB847B" w14:textId="77777777" w:rsidR="00D32DD1" w:rsidRDefault="00D32DD1" w:rsidP="00051843"/>
    <w:p w14:paraId="1E91D6D2" w14:textId="77777777" w:rsidR="00051843" w:rsidRDefault="00051843">
      <w:pPr>
        <w:rPr>
          <w:rFonts w:ascii="Segoe UI" w:eastAsia="Segoe UI" w:hAnsi="Segoe UI"/>
          <w:b/>
          <w:color w:val="000000"/>
          <w:sz w:val="32"/>
        </w:rPr>
      </w:pPr>
    </w:p>
    <w:p w14:paraId="19F42368" w14:textId="77777777" w:rsidR="00051843" w:rsidRDefault="00051843">
      <w:pPr>
        <w:rPr>
          <w:rFonts w:ascii="Segoe UI" w:eastAsia="Segoe UI" w:hAnsi="Segoe UI"/>
          <w:b/>
          <w:color w:val="000000"/>
          <w:sz w:val="32"/>
        </w:rPr>
      </w:pPr>
      <w:r>
        <w:rPr>
          <w:rFonts w:ascii="Segoe UI" w:eastAsia="Segoe UI" w:hAnsi="Segoe UI"/>
          <w:b/>
          <w:color w:val="000000"/>
          <w:sz w:val="32"/>
        </w:rPr>
        <w:br w:type="page"/>
      </w:r>
    </w:p>
    <w:p w14:paraId="730114B1" w14:textId="17224D17" w:rsidR="00280050" w:rsidRDefault="00051843">
      <w:pPr>
        <w:rPr>
          <w:rFonts w:ascii="Segoe UI" w:eastAsia="Segoe UI" w:hAnsi="Segoe UI"/>
          <w:b/>
          <w:color w:val="000000"/>
          <w:sz w:val="32"/>
        </w:rPr>
      </w:pPr>
      <w:r>
        <w:rPr>
          <w:rFonts w:ascii="Segoe UI" w:eastAsia="Segoe UI" w:hAnsi="Segoe UI"/>
          <w:b/>
          <w:color w:val="000000"/>
          <w:sz w:val="32"/>
        </w:rPr>
        <w:lastRenderedPageBreak/>
        <w:t>Intervention</w:t>
      </w:r>
    </w:p>
    <w:p w14:paraId="14667EFE" w14:textId="3F80E52D" w:rsidR="00BE6B22" w:rsidRDefault="00665487" w:rsidP="00BE6B22">
      <w:pPr>
        <w:spacing w:after="0" w:line="240" w:lineRule="auto"/>
        <w:rPr>
          <w:rFonts w:ascii="Segoe UI" w:eastAsia="Segoe UI" w:hAnsi="Segoe UI"/>
          <w:b/>
          <w:color w:val="000000"/>
          <w:sz w:val="22"/>
        </w:rPr>
      </w:pPr>
      <w:r w:rsidRPr="00B15CDF">
        <w:rPr>
          <w:rFonts w:ascii="Segoe UI" w:eastAsia="Segoe UI" w:hAnsi="Segoe UI"/>
          <w:b/>
          <w:color w:val="000000"/>
          <w:sz w:val="22"/>
        </w:rPr>
        <w:t>Name of the proposed health technology:</w:t>
      </w:r>
    </w:p>
    <w:p w14:paraId="4EE4D8C5" w14:textId="77777777" w:rsidR="00665487" w:rsidRDefault="00665487" w:rsidP="00BE6B22">
      <w:pPr>
        <w:spacing w:after="0" w:line="240" w:lineRule="auto"/>
        <w:rPr>
          <w:rFonts w:ascii="Segoe UI" w:eastAsia="Segoe UI" w:hAnsi="Segoe UI"/>
          <w:b/>
          <w:color w:val="000000"/>
          <w:sz w:val="22"/>
        </w:rPr>
      </w:pPr>
    </w:p>
    <w:p w14:paraId="39FF5A69" w14:textId="1590CD2D" w:rsidR="00BE6B22" w:rsidRPr="00BE6B22" w:rsidRDefault="009A23DD" w:rsidP="00BE6B22">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 xml:space="preserve">Testing for </w:t>
      </w:r>
      <w:r w:rsidRPr="00B6161B">
        <w:rPr>
          <w:rFonts w:ascii="Segoe UI" w:hAnsi="Segoe UI" w:cs="Segoe UI"/>
          <w:i/>
          <w:iCs/>
          <w:sz w:val="22"/>
          <w:szCs w:val="22"/>
        </w:rPr>
        <w:t>ESR1</w:t>
      </w:r>
      <w:r>
        <w:rPr>
          <w:rFonts w:ascii="Segoe UI" w:hAnsi="Segoe UI" w:cs="Segoe UI"/>
          <w:sz w:val="22"/>
          <w:szCs w:val="22"/>
        </w:rPr>
        <w:t xml:space="preserve"> mutations in ctDNA via liquid biopsy </w:t>
      </w:r>
      <w:r w:rsidR="00E85398">
        <w:rPr>
          <w:rFonts w:ascii="Segoe UI" w:hAnsi="Segoe UI" w:cs="Segoe UI"/>
          <w:sz w:val="22"/>
          <w:szCs w:val="22"/>
        </w:rPr>
        <w:t xml:space="preserve">in patients with HR-positive, HER2-negative locally advanced or metastatic BC </w:t>
      </w:r>
      <w:r w:rsidR="00AA3E43">
        <w:rPr>
          <w:rFonts w:ascii="Segoe UI" w:hAnsi="Segoe UI" w:cs="Segoe UI"/>
          <w:sz w:val="22"/>
          <w:szCs w:val="22"/>
        </w:rPr>
        <w:t xml:space="preserve">who have received at least 6 months of treatment with a </w:t>
      </w:r>
      <w:r w:rsidR="00DF5AB6">
        <w:rPr>
          <w:rFonts w:ascii="Segoe UI" w:hAnsi="Segoe UI" w:cs="Segoe UI"/>
          <w:sz w:val="22"/>
          <w:szCs w:val="22"/>
        </w:rPr>
        <w:t>CDK4/6</w:t>
      </w:r>
      <w:r w:rsidR="00AA3E43">
        <w:rPr>
          <w:rFonts w:ascii="Segoe UI" w:hAnsi="Segoe UI" w:cs="Segoe UI"/>
          <w:sz w:val="22"/>
          <w:szCs w:val="22"/>
        </w:rPr>
        <w:t xml:space="preserve"> inhibitor in combination with an AI and whose disease has not yet progressed </w:t>
      </w:r>
      <w:r w:rsidR="00617F70">
        <w:rPr>
          <w:rFonts w:ascii="Segoe UI" w:hAnsi="Segoe UI" w:cs="Segoe UI"/>
          <w:sz w:val="22"/>
          <w:szCs w:val="22"/>
        </w:rPr>
        <w:t>clinically or radiographically, to determine eligibility</w:t>
      </w:r>
      <w:r w:rsidR="0008518C">
        <w:rPr>
          <w:rFonts w:ascii="Segoe UI" w:hAnsi="Segoe UI" w:cs="Segoe UI"/>
          <w:sz w:val="22"/>
          <w:szCs w:val="22"/>
        </w:rPr>
        <w:t xml:space="preserve"> for PBS</w:t>
      </w:r>
      <w:r w:rsidR="0026204A">
        <w:rPr>
          <w:rFonts w:ascii="Segoe UI" w:hAnsi="Segoe UI" w:cs="Segoe UI"/>
          <w:sz w:val="22"/>
          <w:szCs w:val="22"/>
        </w:rPr>
        <w:t xml:space="preserve">-funded </w:t>
      </w:r>
      <w:r w:rsidR="0008518C">
        <w:rPr>
          <w:rFonts w:ascii="Segoe UI" w:hAnsi="Segoe UI" w:cs="Segoe UI"/>
          <w:sz w:val="22"/>
          <w:szCs w:val="22"/>
        </w:rPr>
        <w:t xml:space="preserve">treatment with camizestrant in combination with </w:t>
      </w:r>
      <w:r w:rsidR="00D77F44">
        <w:rPr>
          <w:rFonts w:ascii="Segoe UI" w:hAnsi="Segoe UI" w:cs="Segoe UI"/>
          <w:sz w:val="22"/>
          <w:szCs w:val="22"/>
        </w:rPr>
        <w:t>the same</w:t>
      </w:r>
      <w:r w:rsidR="0008518C">
        <w:rPr>
          <w:rFonts w:ascii="Segoe UI" w:hAnsi="Segoe UI" w:cs="Segoe UI"/>
          <w:sz w:val="22"/>
          <w:szCs w:val="22"/>
        </w:rPr>
        <w:t xml:space="preserve"> </w:t>
      </w:r>
      <w:r w:rsidR="00DF5AB6">
        <w:rPr>
          <w:rFonts w:ascii="Segoe UI" w:hAnsi="Segoe UI" w:cs="Segoe UI"/>
          <w:sz w:val="22"/>
          <w:szCs w:val="22"/>
        </w:rPr>
        <w:t>CDK4/6</w:t>
      </w:r>
      <w:r w:rsidR="0008518C">
        <w:rPr>
          <w:rFonts w:ascii="Segoe UI" w:hAnsi="Segoe UI" w:cs="Segoe UI"/>
          <w:sz w:val="22"/>
          <w:szCs w:val="22"/>
        </w:rPr>
        <w:t xml:space="preserve"> inhibitor</w:t>
      </w:r>
      <w:r w:rsidR="00D77F44">
        <w:rPr>
          <w:rFonts w:ascii="Segoe UI" w:hAnsi="Segoe UI" w:cs="Segoe UI"/>
          <w:sz w:val="22"/>
          <w:szCs w:val="22"/>
        </w:rPr>
        <w:t xml:space="preserve"> they</w:t>
      </w:r>
      <w:r w:rsidR="00A92546">
        <w:rPr>
          <w:rFonts w:ascii="Segoe UI" w:hAnsi="Segoe UI" w:cs="Segoe UI"/>
          <w:sz w:val="22"/>
          <w:szCs w:val="22"/>
        </w:rPr>
        <w:t xml:space="preserve"> are a</w:t>
      </w:r>
      <w:r w:rsidR="00D77F44">
        <w:rPr>
          <w:rFonts w:ascii="Segoe UI" w:hAnsi="Segoe UI" w:cs="Segoe UI"/>
          <w:sz w:val="22"/>
          <w:szCs w:val="22"/>
        </w:rPr>
        <w:t>lready receiving.</w:t>
      </w:r>
    </w:p>
    <w:p w14:paraId="661E51AD" w14:textId="3430467F" w:rsidR="00BE6B22" w:rsidRDefault="00BE6B22" w:rsidP="00BE6B22">
      <w:pPr>
        <w:spacing w:after="0" w:line="240" w:lineRule="auto"/>
        <w:rPr>
          <w:rFonts w:ascii="Segoe UI" w:eastAsia="Segoe UI" w:hAnsi="Segoe UI"/>
          <w:b/>
          <w:color w:val="000000"/>
          <w:sz w:val="22"/>
        </w:rPr>
      </w:pPr>
    </w:p>
    <w:p w14:paraId="3B0D3826" w14:textId="36BDDBA3" w:rsidR="00BE6B22" w:rsidRDefault="00665487" w:rsidP="00BE6B22">
      <w:pPr>
        <w:spacing w:after="0" w:line="240" w:lineRule="auto"/>
        <w:rPr>
          <w:rFonts w:ascii="Segoe UI" w:eastAsia="Segoe UI" w:hAnsi="Segoe UI"/>
          <w:b/>
          <w:color w:val="000000"/>
          <w:sz w:val="22"/>
        </w:rPr>
      </w:pPr>
      <w:r w:rsidRPr="00B15CDF">
        <w:rPr>
          <w:rFonts w:ascii="Segoe UI" w:eastAsia="Segoe UI" w:hAnsi="Segoe UI"/>
          <w:b/>
          <w:color w:val="000000"/>
          <w:sz w:val="22"/>
        </w:rPr>
        <w:t>Describe the key components and clinical steps involved in delivering the proposed health technology</w:t>
      </w:r>
      <w:r w:rsidR="00BE6B22">
        <w:rPr>
          <w:rFonts w:ascii="Segoe UI" w:eastAsia="Segoe UI" w:hAnsi="Segoe UI"/>
          <w:b/>
          <w:color w:val="000000"/>
          <w:sz w:val="22"/>
        </w:rPr>
        <w:t>:</w:t>
      </w:r>
    </w:p>
    <w:p w14:paraId="61D4A875" w14:textId="364F7B47" w:rsidR="00BE6B22" w:rsidRDefault="00BE6B22" w:rsidP="00BE6B22">
      <w:pPr>
        <w:spacing w:after="0" w:line="240" w:lineRule="auto"/>
        <w:rPr>
          <w:rFonts w:ascii="Segoe UI" w:eastAsia="Segoe UI" w:hAnsi="Segoe UI"/>
          <w:b/>
          <w:color w:val="000000"/>
          <w:sz w:val="22"/>
        </w:rPr>
      </w:pPr>
    </w:p>
    <w:p w14:paraId="20B5DD25" w14:textId="695A6E6E" w:rsidR="00BE6B22" w:rsidRDefault="00614C2D" w:rsidP="00BE6B22">
      <w:pPr>
        <w:spacing w:after="0" w:line="240" w:lineRule="auto"/>
        <w:rPr>
          <w:rFonts w:ascii="Segoe UI" w:hAnsi="Segoe UI" w:cs="Segoe UI"/>
          <w:sz w:val="22"/>
          <w:szCs w:val="22"/>
        </w:rPr>
      </w:pPr>
      <w:r>
        <w:rPr>
          <w:rFonts w:ascii="Segoe UI" w:hAnsi="Segoe UI" w:cs="Segoe UI"/>
          <w:sz w:val="22"/>
          <w:szCs w:val="22"/>
        </w:rPr>
        <w:t xml:space="preserve">Identification of </w:t>
      </w:r>
      <w:r w:rsidRPr="00B6161B">
        <w:rPr>
          <w:rFonts w:ascii="Segoe UI" w:hAnsi="Segoe UI" w:cs="Segoe UI"/>
          <w:i/>
          <w:iCs/>
          <w:sz w:val="22"/>
          <w:szCs w:val="22"/>
        </w:rPr>
        <w:t>ESR1</w:t>
      </w:r>
      <w:r>
        <w:rPr>
          <w:rFonts w:ascii="Segoe UI" w:hAnsi="Segoe UI" w:cs="Segoe UI"/>
          <w:sz w:val="22"/>
          <w:szCs w:val="22"/>
        </w:rPr>
        <w:t xml:space="preserve"> mutations in ctDNA via liquid biopsy using either digital </w:t>
      </w:r>
      <w:r w:rsidRPr="6BD791AF">
        <w:rPr>
          <w:rFonts w:ascii="Segoe UI" w:hAnsi="Segoe UI" w:cs="Segoe UI"/>
          <w:sz w:val="22"/>
          <w:szCs w:val="22"/>
        </w:rPr>
        <w:t xml:space="preserve">PCR </w:t>
      </w:r>
      <w:r w:rsidR="00945892" w:rsidRPr="6BD791AF">
        <w:rPr>
          <w:rFonts w:ascii="Segoe UI" w:hAnsi="Segoe UI" w:cs="Segoe UI"/>
          <w:sz w:val="22"/>
          <w:szCs w:val="22"/>
        </w:rPr>
        <w:t>(dPCR)</w:t>
      </w:r>
      <w:r w:rsidRPr="6BD791AF">
        <w:rPr>
          <w:rFonts w:ascii="Segoe UI" w:hAnsi="Segoe UI" w:cs="Segoe UI"/>
          <w:sz w:val="22"/>
          <w:szCs w:val="22"/>
        </w:rPr>
        <w:t xml:space="preserve"> or </w:t>
      </w:r>
      <w:r w:rsidR="00945892" w:rsidRPr="6BD791AF">
        <w:rPr>
          <w:rFonts w:ascii="Segoe UI" w:hAnsi="Segoe UI" w:cs="Segoe UI"/>
          <w:sz w:val="22"/>
          <w:szCs w:val="22"/>
        </w:rPr>
        <w:t>Next Generation Sequencing (</w:t>
      </w:r>
      <w:r w:rsidRPr="6BD791AF">
        <w:rPr>
          <w:rFonts w:ascii="Segoe UI" w:hAnsi="Segoe UI" w:cs="Segoe UI"/>
          <w:sz w:val="22"/>
          <w:szCs w:val="22"/>
        </w:rPr>
        <w:t>NGS</w:t>
      </w:r>
      <w:r w:rsidR="00945892" w:rsidRPr="6BD791AF">
        <w:rPr>
          <w:rFonts w:ascii="Segoe UI" w:hAnsi="Segoe UI" w:cs="Segoe UI"/>
          <w:sz w:val="22"/>
          <w:szCs w:val="22"/>
        </w:rPr>
        <w:t>)</w:t>
      </w:r>
      <w:r w:rsidR="00D55BEC" w:rsidRPr="6BD791AF">
        <w:rPr>
          <w:rFonts w:ascii="Segoe UI" w:hAnsi="Segoe UI" w:cs="Segoe UI"/>
          <w:sz w:val="22"/>
          <w:szCs w:val="22"/>
        </w:rPr>
        <w:t xml:space="preserve">. </w:t>
      </w:r>
      <w:r w:rsidR="000E0316" w:rsidRPr="6BD791AF">
        <w:rPr>
          <w:rFonts w:ascii="Segoe UI" w:hAnsi="Segoe UI" w:cs="Segoe UI"/>
          <w:sz w:val="22"/>
          <w:szCs w:val="22"/>
        </w:rPr>
        <w:t xml:space="preserve">The concordance studies currently underway will determine </w:t>
      </w:r>
      <w:r w:rsidR="0005376E" w:rsidRPr="6BD791AF">
        <w:rPr>
          <w:rFonts w:ascii="Segoe UI" w:hAnsi="Segoe UI" w:cs="Segoe UI"/>
          <w:sz w:val="22"/>
          <w:szCs w:val="22"/>
        </w:rPr>
        <w:t>which methodology is recommended in the co-dependent submission.</w:t>
      </w:r>
    </w:p>
    <w:p w14:paraId="77E3FE3A" w14:textId="77777777" w:rsidR="00614C2D" w:rsidRDefault="00614C2D" w:rsidP="00BE6B22">
      <w:pPr>
        <w:spacing w:after="0" w:line="240" w:lineRule="auto"/>
        <w:rPr>
          <w:rFonts w:ascii="Segoe UI" w:eastAsia="Segoe UI" w:hAnsi="Segoe UI"/>
          <w:b/>
          <w:color w:val="000000"/>
          <w:sz w:val="22"/>
        </w:rPr>
      </w:pPr>
    </w:p>
    <w:p w14:paraId="01111955" w14:textId="01AAB0CE" w:rsidR="00BE6B22" w:rsidRDefault="00665487" w:rsidP="00BE6B22">
      <w:pPr>
        <w:spacing w:after="0" w:line="240" w:lineRule="auto"/>
        <w:rPr>
          <w:rFonts w:ascii="Segoe UI" w:eastAsia="Segoe UI" w:hAnsi="Segoe UI"/>
          <w:b/>
          <w:color w:val="000000"/>
          <w:sz w:val="22"/>
        </w:rPr>
      </w:pPr>
      <w:r w:rsidRPr="00B15CDF">
        <w:rPr>
          <w:rFonts w:ascii="Segoe UI" w:eastAsia="Segoe UI" w:hAnsi="Segoe UI"/>
          <w:b/>
          <w:color w:val="000000"/>
          <w:sz w:val="22"/>
        </w:rPr>
        <w:t>Identify how the proposed technology achieves the intended patient outcomes</w:t>
      </w:r>
      <w:r w:rsidR="00BE6B22">
        <w:rPr>
          <w:rFonts w:ascii="Segoe UI" w:eastAsia="Segoe UI" w:hAnsi="Segoe UI"/>
          <w:b/>
          <w:color w:val="000000"/>
          <w:sz w:val="22"/>
        </w:rPr>
        <w:t>:</w:t>
      </w:r>
    </w:p>
    <w:p w14:paraId="496F861E" w14:textId="56790DA1" w:rsidR="00BE6B22" w:rsidRDefault="00BE6B22" w:rsidP="00BE6B22">
      <w:pPr>
        <w:spacing w:after="0" w:line="240" w:lineRule="auto"/>
        <w:rPr>
          <w:rFonts w:ascii="Segoe UI" w:eastAsia="Segoe UI" w:hAnsi="Segoe UI"/>
          <w:b/>
          <w:color w:val="000000"/>
          <w:sz w:val="22"/>
        </w:rPr>
      </w:pPr>
    </w:p>
    <w:p w14:paraId="371A275D" w14:textId="6ADFF241" w:rsidR="00E6671F" w:rsidRDefault="00E6671F" w:rsidP="00BE6B22">
      <w:pPr>
        <w:spacing w:after="0" w:line="240" w:lineRule="auto"/>
        <w:rPr>
          <w:rFonts w:ascii="Segoe UI" w:hAnsi="Segoe UI" w:cs="Segoe UI"/>
          <w:sz w:val="22"/>
          <w:szCs w:val="22"/>
        </w:rPr>
      </w:pPr>
      <w:r w:rsidRPr="00E6671F">
        <w:rPr>
          <w:rFonts w:ascii="Segoe UI" w:hAnsi="Segoe UI" w:cs="Segoe UI"/>
          <w:sz w:val="22"/>
          <w:szCs w:val="22"/>
        </w:rPr>
        <w:t>The proposed technology (</w:t>
      </w:r>
      <w:r w:rsidRPr="00E6671F">
        <w:rPr>
          <w:rFonts w:ascii="Segoe UI" w:hAnsi="Segoe UI" w:cs="Segoe UI"/>
          <w:i/>
          <w:iCs/>
          <w:sz w:val="22"/>
          <w:szCs w:val="22"/>
        </w:rPr>
        <w:t>ESR1</w:t>
      </w:r>
      <w:r>
        <w:rPr>
          <w:rFonts w:ascii="Segoe UI" w:hAnsi="Segoe UI" w:cs="Segoe UI"/>
          <w:sz w:val="22"/>
          <w:szCs w:val="22"/>
        </w:rPr>
        <w:t>m</w:t>
      </w:r>
      <w:r w:rsidRPr="00E6671F">
        <w:rPr>
          <w:rFonts w:ascii="Segoe UI" w:hAnsi="Segoe UI" w:cs="Segoe UI"/>
          <w:sz w:val="22"/>
          <w:szCs w:val="22"/>
        </w:rPr>
        <w:t xml:space="preserve"> testing) will identify patients who are mutation positive to determine eligibility for PBS-funded treatment with camizestrant, while continuing </w:t>
      </w:r>
      <w:r>
        <w:rPr>
          <w:rFonts w:ascii="Segoe UI" w:hAnsi="Segoe UI" w:cs="Segoe UI"/>
          <w:sz w:val="22"/>
          <w:szCs w:val="22"/>
        </w:rPr>
        <w:t xml:space="preserve">the </w:t>
      </w:r>
      <w:r w:rsidRPr="00E6671F">
        <w:rPr>
          <w:rFonts w:ascii="Segoe UI" w:hAnsi="Segoe UI" w:cs="Segoe UI"/>
          <w:sz w:val="22"/>
          <w:szCs w:val="22"/>
        </w:rPr>
        <w:t xml:space="preserve">CDK4/6 inhibitor. This applies to patients with </w:t>
      </w:r>
      <w:r>
        <w:rPr>
          <w:rFonts w:ascii="Segoe UI" w:hAnsi="Segoe UI" w:cs="Segoe UI"/>
          <w:sz w:val="22"/>
          <w:szCs w:val="22"/>
        </w:rPr>
        <w:t xml:space="preserve">newly diagnosed </w:t>
      </w:r>
      <w:r w:rsidRPr="00E6671F">
        <w:rPr>
          <w:rFonts w:ascii="Segoe UI" w:hAnsi="Segoe UI" w:cs="Segoe UI"/>
          <w:sz w:val="22"/>
          <w:szCs w:val="22"/>
        </w:rPr>
        <w:t xml:space="preserve">locally advanced or metastatic HR-positive, HER2-negative BC, who have received </w:t>
      </w:r>
      <w:r w:rsidR="0024453B">
        <w:rPr>
          <w:rFonts w:ascii="Segoe UI" w:hAnsi="Segoe UI" w:cs="Segoe UI"/>
          <w:sz w:val="22"/>
          <w:szCs w:val="22"/>
        </w:rPr>
        <w:t>first line treatment</w:t>
      </w:r>
      <w:r w:rsidRPr="00E6671F">
        <w:rPr>
          <w:rFonts w:ascii="Segoe UI" w:hAnsi="Segoe UI" w:cs="Segoe UI"/>
          <w:sz w:val="22"/>
          <w:szCs w:val="22"/>
        </w:rPr>
        <w:t xml:space="preserve"> with a CDK4/6 inhibitor in combination with an AI</w:t>
      </w:r>
      <w:r w:rsidR="0024453B">
        <w:rPr>
          <w:rFonts w:ascii="Segoe UI" w:hAnsi="Segoe UI" w:cs="Segoe UI"/>
          <w:sz w:val="22"/>
          <w:szCs w:val="22"/>
        </w:rPr>
        <w:t>, for at least 6 months,</w:t>
      </w:r>
      <w:r w:rsidRPr="00E6671F">
        <w:rPr>
          <w:rFonts w:ascii="Segoe UI" w:hAnsi="Segoe UI" w:cs="Segoe UI"/>
          <w:sz w:val="22"/>
          <w:szCs w:val="22"/>
        </w:rPr>
        <w:t xml:space="preserve"> and whose disease develops molecular resistance to AI (detected by </w:t>
      </w:r>
      <w:r w:rsidRPr="0024453B">
        <w:rPr>
          <w:rFonts w:ascii="Segoe UI" w:hAnsi="Segoe UI" w:cs="Segoe UI"/>
          <w:i/>
          <w:iCs/>
          <w:sz w:val="22"/>
          <w:szCs w:val="22"/>
        </w:rPr>
        <w:t>ESR1</w:t>
      </w:r>
      <w:r w:rsidR="0039133B">
        <w:rPr>
          <w:rFonts w:ascii="Segoe UI" w:hAnsi="Segoe UI" w:cs="Segoe UI"/>
          <w:sz w:val="22"/>
          <w:szCs w:val="22"/>
        </w:rPr>
        <w:t>m</w:t>
      </w:r>
      <w:r w:rsidRPr="00E6671F">
        <w:rPr>
          <w:rFonts w:ascii="Segoe UI" w:hAnsi="Segoe UI" w:cs="Segoe UI"/>
          <w:sz w:val="22"/>
          <w:szCs w:val="22"/>
        </w:rPr>
        <w:t>) without clinical or radiographic progression.</w:t>
      </w:r>
    </w:p>
    <w:p w14:paraId="4D217378" w14:textId="77777777" w:rsidR="00B06EDD" w:rsidRDefault="00B06EDD" w:rsidP="00BE6B22">
      <w:pPr>
        <w:spacing w:after="0" w:line="240" w:lineRule="auto"/>
        <w:rPr>
          <w:rFonts w:ascii="Segoe UI" w:hAnsi="Segoe UI" w:cs="Segoe UI"/>
          <w:sz w:val="22"/>
          <w:szCs w:val="22"/>
        </w:rPr>
      </w:pPr>
    </w:p>
    <w:p w14:paraId="15169726" w14:textId="7B7E04B8" w:rsidR="00B06EDD" w:rsidRDefault="0039133B" w:rsidP="00BE6B22">
      <w:pPr>
        <w:spacing w:after="0" w:line="240" w:lineRule="auto"/>
        <w:rPr>
          <w:rFonts w:ascii="Segoe UI" w:hAnsi="Segoe UI" w:cs="Segoe UI"/>
          <w:sz w:val="22"/>
          <w:szCs w:val="22"/>
        </w:rPr>
      </w:pPr>
      <w:r>
        <w:rPr>
          <w:rFonts w:ascii="Segoe UI" w:hAnsi="Segoe UI" w:cs="Segoe UI"/>
          <w:sz w:val="22"/>
          <w:szCs w:val="22"/>
        </w:rPr>
        <w:t xml:space="preserve">The SERENA-6 trial demonstrates the clinical utility of </w:t>
      </w:r>
      <w:r w:rsidR="007C7566">
        <w:rPr>
          <w:rFonts w:ascii="Segoe UI" w:hAnsi="Segoe UI" w:cs="Segoe UI"/>
          <w:sz w:val="22"/>
          <w:szCs w:val="22"/>
        </w:rPr>
        <w:t xml:space="preserve">testing ctDNA for emerging </w:t>
      </w:r>
      <w:r w:rsidR="00DD1F83" w:rsidRPr="00DD1F83">
        <w:rPr>
          <w:rFonts w:ascii="Segoe UI" w:hAnsi="Segoe UI" w:cs="Segoe UI"/>
          <w:i/>
          <w:iCs/>
          <w:sz w:val="22"/>
          <w:szCs w:val="22"/>
        </w:rPr>
        <w:t>ESR1</w:t>
      </w:r>
      <w:r w:rsidR="00DD1F83">
        <w:rPr>
          <w:rFonts w:ascii="Segoe UI" w:hAnsi="Segoe UI" w:cs="Segoe UI"/>
          <w:sz w:val="22"/>
          <w:szCs w:val="22"/>
        </w:rPr>
        <w:t>m and</w:t>
      </w:r>
      <w:r w:rsidR="002A05B2">
        <w:rPr>
          <w:rFonts w:ascii="Segoe UI" w:hAnsi="Segoe UI" w:cs="Segoe UI"/>
          <w:sz w:val="22"/>
          <w:szCs w:val="22"/>
        </w:rPr>
        <w:t xml:space="preserve"> s</w:t>
      </w:r>
      <w:r w:rsidR="005217A1">
        <w:rPr>
          <w:rFonts w:ascii="Segoe UI" w:hAnsi="Segoe UI" w:cs="Segoe UI"/>
          <w:sz w:val="22"/>
          <w:szCs w:val="22"/>
        </w:rPr>
        <w:t>witch</w:t>
      </w:r>
      <w:r w:rsidR="002A05B2">
        <w:rPr>
          <w:rFonts w:ascii="Segoe UI" w:hAnsi="Segoe UI" w:cs="Segoe UI"/>
          <w:sz w:val="22"/>
          <w:szCs w:val="22"/>
        </w:rPr>
        <w:t>ing</w:t>
      </w:r>
      <w:r w:rsidR="00B06EDD">
        <w:rPr>
          <w:rFonts w:ascii="Segoe UI" w:hAnsi="Segoe UI" w:cs="Segoe UI"/>
          <w:sz w:val="22"/>
          <w:szCs w:val="22"/>
        </w:rPr>
        <w:t xml:space="preserve"> from AI to </w:t>
      </w:r>
      <w:r w:rsidR="005217A1">
        <w:rPr>
          <w:rFonts w:ascii="Segoe UI" w:hAnsi="Segoe UI" w:cs="Segoe UI"/>
          <w:sz w:val="22"/>
          <w:szCs w:val="22"/>
        </w:rPr>
        <w:t>camizestrant</w:t>
      </w:r>
      <w:r w:rsidR="00F9151D">
        <w:rPr>
          <w:rFonts w:ascii="Segoe UI" w:hAnsi="Segoe UI" w:cs="Segoe UI"/>
          <w:sz w:val="22"/>
          <w:szCs w:val="22"/>
        </w:rPr>
        <w:t xml:space="preserve">: an average of almost 7 months </w:t>
      </w:r>
      <w:r w:rsidR="00FE609F">
        <w:rPr>
          <w:rFonts w:ascii="Segoe UI" w:hAnsi="Segoe UI" w:cs="Segoe UI"/>
          <w:sz w:val="22"/>
          <w:szCs w:val="22"/>
        </w:rPr>
        <w:t xml:space="preserve">gain in </w:t>
      </w:r>
      <w:r w:rsidR="00B06EDD">
        <w:rPr>
          <w:rFonts w:ascii="Segoe UI" w:hAnsi="Segoe UI" w:cs="Segoe UI"/>
          <w:sz w:val="22"/>
          <w:szCs w:val="22"/>
        </w:rPr>
        <w:t xml:space="preserve">PFS </w:t>
      </w:r>
      <w:r w:rsidR="00FE609F">
        <w:rPr>
          <w:rFonts w:ascii="Segoe UI" w:hAnsi="Segoe UI" w:cs="Segoe UI"/>
          <w:sz w:val="22"/>
          <w:szCs w:val="22"/>
        </w:rPr>
        <w:t>(HR 0.44 95% CI .31-0.60</w:t>
      </w:r>
      <w:r w:rsidR="00E11244">
        <w:rPr>
          <w:rFonts w:ascii="Segoe UI" w:hAnsi="Segoe UI" w:cs="Segoe UI"/>
          <w:sz w:val="22"/>
          <w:szCs w:val="22"/>
        </w:rPr>
        <w:t>, p&lt;0.00001) i</w:t>
      </w:r>
      <w:r w:rsidR="00B06EDD">
        <w:rPr>
          <w:rFonts w:ascii="Segoe UI" w:hAnsi="Segoe UI" w:cs="Segoe UI"/>
          <w:sz w:val="22"/>
          <w:szCs w:val="22"/>
        </w:rPr>
        <w:t>n this patient population</w:t>
      </w:r>
      <w:r w:rsidR="001C1D5E">
        <w:rPr>
          <w:rFonts w:ascii="Segoe UI" w:hAnsi="Segoe UI" w:cs="Segoe UI"/>
          <w:sz w:val="22"/>
          <w:szCs w:val="22"/>
        </w:rPr>
        <w:t xml:space="preserve"> (Bidard et al 2025)</w:t>
      </w:r>
      <w:r w:rsidR="00E11244">
        <w:rPr>
          <w:rFonts w:ascii="Segoe UI" w:hAnsi="Segoe UI" w:cs="Segoe UI"/>
          <w:sz w:val="22"/>
          <w:szCs w:val="22"/>
        </w:rPr>
        <w:t xml:space="preserve">. Further, patients </w:t>
      </w:r>
      <w:r w:rsidR="00BE3264">
        <w:rPr>
          <w:rFonts w:ascii="Segoe UI" w:hAnsi="Segoe UI" w:cs="Segoe UI"/>
          <w:sz w:val="22"/>
          <w:szCs w:val="22"/>
        </w:rPr>
        <w:t xml:space="preserve">switched to </w:t>
      </w:r>
      <w:r w:rsidR="00E11244">
        <w:rPr>
          <w:rFonts w:ascii="Segoe UI" w:hAnsi="Segoe UI" w:cs="Segoe UI"/>
          <w:sz w:val="22"/>
          <w:szCs w:val="22"/>
        </w:rPr>
        <w:t>camizestrant</w:t>
      </w:r>
      <w:r w:rsidR="00556C23">
        <w:rPr>
          <w:rFonts w:ascii="Segoe UI" w:hAnsi="Segoe UI" w:cs="Segoe UI"/>
          <w:sz w:val="22"/>
          <w:szCs w:val="22"/>
        </w:rPr>
        <w:t xml:space="preserve">, </w:t>
      </w:r>
      <w:r w:rsidR="00BF0582">
        <w:rPr>
          <w:rFonts w:ascii="Segoe UI" w:hAnsi="Segoe UI" w:cs="Segoe UI"/>
          <w:sz w:val="22"/>
          <w:szCs w:val="22"/>
        </w:rPr>
        <w:t>experienced</w:t>
      </w:r>
      <w:r w:rsidR="00BE3264">
        <w:rPr>
          <w:rFonts w:ascii="Segoe UI" w:hAnsi="Segoe UI" w:cs="Segoe UI"/>
          <w:sz w:val="22"/>
          <w:szCs w:val="22"/>
        </w:rPr>
        <w:t xml:space="preserve"> a red</w:t>
      </w:r>
      <w:r w:rsidR="00BF0582">
        <w:rPr>
          <w:rFonts w:ascii="Segoe UI" w:hAnsi="Segoe UI" w:cs="Segoe UI"/>
          <w:sz w:val="22"/>
          <w:szCs w:val="22"/>
        </w:rPr>
        <w:t>uc</w:t>
      </w:r>
      <w:r w:rsidR="00BE3264">
        <w:rPr>
          <w:rFonts w:ascii="Segoe UI" w:hAnsi="Segoe UI" w:cs="Segoe UI"/>
          <w:sz w:val="22"/>
          <w:szCs w:val="22"/>
        </w:rPr>
        <w:t xml:space="preserve">ed risk of </w:t>
      </w:r>
      <w:r w:rsidR="00BF0582">
        <w:rPr>
          <w:rFonts w:ascii="Segoe UI" w:hAnsi="Segoe UI" w:cs="Segoe UI"/>
          <w:sz w:val="22"/>
          <w:szCs w:val="22"/>
        </w:rPr>
        <w:t>deterioration</w:t>
      </w:r>
      <w:r w:rsidR="00BE3264">
        <w:rPr>
          <w:rFonts w:ascii="Segoe UI" w:hAnsi="Segoe UI" w:cs="Segoe UI"/>
          <w:sz w:val="22"/>
          <w:szCs w:val="22"/>
        </w:rPr>
        <w:t xml:space="preserve"> in patient reported </w:t>
      </w:r>
      <w:r w:rsidR="00BF0582">
        <w:rPr>
          <w:rFonts w:ascii="Segoe UI" w:hAnsi="Segoe UI" w:cs="Segoe UI"/>
          <w:sz w:val="22"/>
          <w:szCs w:val="22"/>
        </w:rPr>
        <w:t>overall health and QoL</w:t>
      </w:r>
      <w:r w:rsidR="00144A47">
        <w:rPr>
          <w:rFonts w:ascii="Segoe UI" w:hAnsi="Segoe UI" w:cs="Segoe UI"/>
          <w:sz w:val="22"/>
          <w:szCs w:val="22"/>
        </w:rPr>
        <w:t xml:space="preserve"> and reduction in several symptom and function domains: </w:t>
      </w:r>
      <w:r w:rsidR="00831902">
        <w:rPr>
          <w:rFonts w:ascii="Segoe UI" w:hAnsi="Segoe UI" w:cs="Segoe UI"/>
          <w:sz w:val="22"/>
          <w:szCs w:val="22"/>
        </w:rPr>
        <w:t>pain, shortness of breath/dyspnoea, breast and arm symptoms</w:t>
      </w:r>
      <w:r w:rsidR="00165F66">
        <w:rPr>
          <w:rFonts w:ascii="Segoe UI" w:hAnsi="Segoe UI" w:cs="Segoe UI"/>
          <w:sz w:val="22"/>
          <w:szCs w:val="22"/>
        </w:rPr>
        <w:t>;</w:t>
      </w:r>
      <w:r w:rsidR="002B24B4">
        <w:rPr>
          <w:rFonts w:ascii="Segoe UI" w:hAnsi="Segoe UI" w:cs="Segoe UI"/>
          <w:sz w:val="22"/>
          <w:szCs w:val="22"/>
        </w:rPr>
        <w:t xml:space="preserve"> and physical, role and emotional</w:t>
      </w:r>
      <w:r w:rsidR="000E5B6A">
        <w:rPr>
          <w:rFonts w:ascii="Segoe UI" w:hAnsi="Segoe UI" w:cs="Segoe UI"/>
          <w:sz w:val="22"/>
          <w:szCs w:val="22"/>
        </w:rPr>
        <w:t xml:space="preserve"> functions</w:t>
      </w:r>
      <w:r w:rsidR="00DD1F83">
        <w:rPr>
          <w:rFonts w:ascii="Segoe UI" w:hAnsi="Segoe UI" w:cs="Segoe UI"/>
          <w:sz w:val="22"/>
          <w:szCs w:val="22"/>
        </w:rPr>
        <w:t>,</w:t>
      </w:r>
      <w:r w:rsidR="002B24B4">
        <w:rPr>
          <w:rFonts w:ascii="Segoe UI" w:hAnsi="Segoe UI" w:cs="Segoe UI"/>
          <w:sz w:val="22"/>
          <w:szCs w:val="22"/>
        </w:rPr>
        <w:t xml:space="preserve"> compared with </w:t>
      </w:r>
      <w:r w:rsidR="00753578">
        <w:rPr>
          <w:rFonts w:ascii="Segoe UI" w:hAnsi="Segoe UI" w:cs="Segoe UI"/>
          <w:sz w:val="22"/>
          <w:szCs w:val="22"/>
        </w:rPr>
        <w:t xml:space="preserve">continuing </w:t>
      </w:r>
      <w:r w:rsidR="002B24B4">
        <w:rPr>
          <w:rFonts w:ascii="Segoe UI" w:hAnsi="Segoe UI" w:cs="Segoe UI"/>
          <w:sz w:val="22"/>
          <w:szCs w:val="22"/>
        </w:rPr>
        <w:t xml:space="preserve">the current standard of care, AI in combination with </w:t>
      </w:r>
      <w:r w:rsidR="00DF5AB6">
        <w:rPr>
          <w:rFonts w:ascii="Segoe UI" w:hAnsi="Segoe UI" w:cs="Segoe UI"/>
          <w:sz w:val="22"/>
          <w:szCs w:val="22"/>
        </w:rPr>
        <w:t>CDK4/6</w:t>
      </w:r>
      <w:r w:rsidR="002B24B4">
        <w:rPr>
          <w:rFonts w:ascii="Segoe UI" w:hAnsi="Segoe UI" w:cs="Segoe UI"/>
          <w:sz w:val="22"/>
          <w:szCs w:val="22"/>
        </w:rPr>
        <w:t xml:space="preserve"> inhibitor</w:t>
      </w:r>
      <w:r w:rsidR="00B67DEE">
        <w:rPr>
          <w:rFonts w:ascii="Segoe UI" w:hAnsi="Segoe UI" w:cs="Segoe UI"/>
          <w:sz w:val="22"/>
          <w:szCs w:val="22"/>
        </w:rPr>
        <w:t xml:space="preserve"> (</w:t>
      </w:r>
      <w:r w:rsidR="002F1573" w:rsidRPr="002F1573">
        <w:rPr>
          <w:rFonts w:ascii="Segoe UI" w:hAnsi="Segoe UI" w:cs="Segoe UI"/>
          <w:sz w:val="22"/>
          <w:szCs w:val="22"/>
        </w:rPr>
        <w:t>Bidard et al 2025</w:t>
      </w:r>
      <w:r w:rsidR="002F1573">
        <w:rPr>
          <w:rFonts w:ascii="Segoe UI" w:hAnsi="Segoe UI" w:cs="Segoe UI"/>
          <w:sz w:val="22"/>
          <w:szCs w:val="22"/>
        </w:rPr>
        <w:t xml:space="preserve">; </w:t>
      </w:r>
      <w:r w:rsidR="00B67DEE">
        <w:rPr>
          <w:rFonts w:ascii="Segoe UI" w:hAnsi="Segoe UI" w:cs="Segoe UI"/>
          <w:sz w:val="22"/>
          <w:szCs w:val="22"/>
        </w:rPr>
        <w:t xml:space="preserve">Mayer et al 2025). </w:t>
      </w:r>
    </w:p>
    <w:p w14:paraId="3BD3694C" w14:textId="77777777" w:rsidR="00122F3E" w:rsidRDefault="00122F3E" w:rsidP="00BE6B22">
      <w:pPr>
        <w:spacing w:after="0" w:line="240" w:lineRule="auto"/>
        <w:rPr>
          <w:rFonts w:ascii="Segoe UI" w:hAnsi="Segoe UI" w:cs="Segoe UI"/>
          <w:sz w:val="22"/>
          <w:szCs w:val="22"/>
        </w:rPr>
      </w:pPr>
    </w:p>
    <w:p w14:paraId="6D1E4E3F" w14:textId="53E3B2A8" w:rsidR="00122F3E" w:rsidRDefault="00122F3E" w:rsidP="00BE6B22">
      <w:pPr>
        <w:spacing w:after="0" w:line="240" w:lineRule="auto"/>
        <w:rPr>
          <w:rFonts w:ascii="Segoe UI" w:hAnsi="Segoe UI" w:cs="Segoe UI"/>
          <w:sz w:val="22"/>
          <w:szCs w:val="22"/>
        </w:rPr>
      </w:pPr>
      <w:r>
        <w:rPr>
          <w:rFonts w:ascii="Segoe UI" w:hAnsi="Segoe UI" w:cs="Segoe UI"/>
          <w:sz w:val="22"/>
          <w:szCs w:val="22"/>
        </w:rPr>
        <w:t xml:space="preserve">Camizestrant is currently undergoing TGA evaluation for treatment in this patient population. </w:t>
      </w:r>
    </w:p>
    <w:p w14:paraId="7711F0D2" w14:textId="77777777" w:rsidR="00CA0A3C" w:rsidRPr="00BE6B22" w:rsidRDefault="00CA0A3C" w:rsidP="00BE6B22">
      <w:pPr>
        <w:spacing w:after="0" w:line="240" w:lineRule="auto"/>
        <w:rPr>
          <w:rFonts w:asciiTheme="minorHAnsi" w:eastAsia="Segoe UI" w:hAnsiTheme="minorHAnsi" w:cstheme="minorHAnsi"/>
          <w:color w:val="000000"/>
          <w:sz w:val="22"/>
          <w:szCs w:val="22"/>
        </w:rPr>
      </w:pPr>
    </w:p>
    <w:p w14:paraId="0F9D3230" w14:textId="58842253" w:rsidR="00BE6B22" w:rsidRPr="00665487" w:rsidRDefault="00665487">
      <w:pPr>
        <w:rPr>
          <w:rFonts w:ascii="Segoe UI" w:eastAsia="Segoe UI" w:hAnsi="Segoe UI"/>
          <w:b/>
          <w:color w:val="000000"/>
          <w:sz w:val="22"/>
        </w:rPr>
      </w:pPr>
      <w:r w:rsidRPr="00B15CDF">
        <w:rPr>
          <w:rFonts w:ascii="Segoe UI" w:eastAsia="Segoe UI" w:hAnsi="Segoe UI"/>
          <w:b/>
          <w:color w:val="000000"/>
          <w:sz w:val="22"/>
        </w:rPr>
        <w:t>Does the proposed health technology include a registered trademark component with characteristics that distinguishes it from other similar health components</w:t>
      </w:r>
      <w:r w:rsidR="00BE6B22">
        <w:rPr>
          <w:rFonts w:ascii="Segoe UI" w:eastAsia="Segoe UI" w:hAnsi="Segoe UI"/>
          <w:b/>
          <w:color w:val="000000"/>
          <w:sz w:val="22"/>
        </w:rPr>
        <w:t xml:space="preserve">? </w:t>
      </w:r>
    </w:p>
    <w:p w14:paraId="01202F94" w14:textId="797E3605" w:rsidR="00BE6B22" w:rsidRPr="00DF2D79" w:rsidRDefault="0019082A" w:rsidP="0019082A">
      <w:pPr>
        <w:spacing w:after="0" w:line="240" w:lineRule="auto"/>
        <w:rPr>
          <w:rFonts w:ascii="Segoe UI" w:eastAsia="Segoe UI" w:hAnsi="Segoe UI"/>
          <w:bCs/>
          <w:color w:val="000000"/>
          <w:sz w:val="22"/>
        </w:rPr>
      </w:pPr>
      <w:r>
        <w:rPr>
          <w:rFonts w:ascii="Segoe UI" w:eastAsia="Segoe UI" w:hAnsi="Segoe UI"/>
          <w:bCs/>
          <w:color w:val="000000"/>
          <w:sz w:val="22"/>
        </w:rPr>
        <w:t>No</w:t>
      </w:r>
    </w:p>
    <w:p w14:paraId="6F3B5B06" w14:textId="77777777" w:rsidR="00BE6B22" w:rsidRDefault="00BE6B22">
      <w:pPr>
        <w:rPr>
          <w:rFonts w:ascii="Segoe UI" w:eastAsia="Segoe UI" w:hAnsi="Segoe UI"/>
          <w:bCs/>
          <w:color w:val="000000"/>
          <w:sz w:val="22"/>
        </w:rPr>
      </w:pPr>
    </w:p>
    <w:p w14:paraId="1D12A8E7" w14:textId="7C8A4546" w:rsidR="00B759D1" w:rsidRDefault="00665487" w:rsidP="00B759D1">
      <w:pPr>
        <w:spacing w:after="0" w:line="240" w:lineRule="auto"/>
        <w:rPr>
          <w:rFonts w:ascii="Segoe UI" w:eastAsia="Segoe UI" w:hAnsi="Segoe UI"/>
          <w:b/>
          <w:color w:val="000000"/>
          <w:sz w:val="22"/>
        </w:rPr>
      </w:pPr>
      <w:r w:rsidRPr="00B15CDF">
        <w:rPr>
          <w:rFonts w:ascii="Segoe UI" w:eastAsia="Segoe UI" w:hAnsi="Segoe UI"/>
          <w:b/>
          <w:color w:val="000000"/>
          <w:sz w:val="22"/>
        </w:rPr>
        <w:t>Explain whether it is essential to have this trademark component or whether there would be other components that would be suitable</w:t>
      </w:r>
      <w:r w:rsidR="00B759D1">
        <w:rPr>
          <w:rFonts w:ascii="Segoe UI" w:eastAsia="Segoe UI" w:hAnsi="Segoe UI"/>
          <w:b/>
          <w:color w:val="000000"/>
          <w:sz w:val="22"/>
        </w:rPr>
        <w:t>:</w:t>
      </w:r>
    </w:p>
    <w:p w14:paraId="6FE677F6" w14:textId="77777777" w:rsidR="00B759D1" w:rsidRDefault="00B759D1" w:rsidP="00B759D1">
      <w:pPr>
        <w:spacing w:after="0" w:line="240" w:lineRule="auto"/>
        <w:rPr>
          <w:rFonts w:ascii="Segoe UI" w:eastAsia="Segoe UI" w:hAnsi="Segoe UI"/>
          <w:b/>
          <w:color w:val="000000"/>
          <w:sz w:val="22"/>
        </w:rPr>
      </w:pPr>
    </w:p>
    <w:p w14:paraId="77951498" w14:textId="17F8C761" w:rsidR="00B759D1" w:rsidRDefault="005217A1" w:rsidP="00B759D1">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NA</w:t>
      </w:r>
    </w:p>
    <w:p w14:paraId="2D4411B7" w14:textId="77777777" w:rsidR="00B759D1" w:rsidRPr="00BE6B22" w:rsidRDefault="00B759D1" w:rsidP="00B759D1">
      <w:pPr>
        <w:spacing w:after="0" w:line="240" w:lineRule="auto"/>
        <w:rPr>
          <w:rFonts w:asciiTheme="minorHAnsi" w:eastAsia="Segoe UI" w:hAnsiTheme="minorHAnsi" w:cstheme="minorHAnsi"/>
          <w:color w:val="000000"/>
          <w:sz w:val="22"/>
          <w:szCs w:val="22"/>
        </w:rPr>
      </w:pPr>
    </w:p>
    <w:p w14:paraId="55FAE963" w14:textId="77777777" w:rsidR="00E512FE" w:rsidRDefault="00EA7B42" w:rsidP="0019082A">
      <w:pPr>
        <w:rPr>
          <w:rFonts w:ascii="Segoe UI" w:eastAsia="Segoe UI" w:hAnsi="Segoe UI"/>
          <w:b/>
          <w:color w:val="000000"/>
          <w:sz w:val="22"/>
        </w:rPr>
      </w:pPr>
      <w:r w:rsidRPr="00B15CDF">
        <w:rPr>
          <w:rFonts w:ascii="Segoe UI" w:eastAsia="Segoe UI" w:hAnsi="Segoe UI"/>
          <w:b/>
          <w:color w:val="000000"/>
          <w:sz w:val="22"/>
        </w:rPr>
        <w:lastRenderedPageBreak/>
        <w:t>Are there any proposed limitations on the provision of the proposed health technology delivered to the patient (For example: accessibility, dosage, quantity, duration or frequency)</w:t>
      </w:r>
      <w:r>
        <w:rPr>
          <w:rFonts w:ascii="Segoe UI" w:eastAsia="Segoe UI" w:hAnsi="Segoe UI"/>
          <w:b/>
          <w:color w:val="000000"/>
          <w:sz w:val="22"/>
        </w:rPr>
        <w:t>:</w:t>
      </w:r>
      <w:r w:rsidR="00665487">
        <w:rPr>
          <w:rFonts w:ascii="Segoe UI" w:eastAsia="Segoe UI" w:hAnsi="Segoe UI"/>
          <w:b/>
          <w:color w:val="000000"/>
          <w:sz w:val="22"/>
        </w:rPr>
        <w:t xml:space="preserve"> </w:t>
      </w:r>
    </w:p>
    <w:p w14:paraId="094CE936" w14:textId="2C7FDCAA" w:rsidR="00665487" w:rsidRPr="00DF2D79" w:rsidRDefault="00E512FE" w:rsidP="0019082A">
      <w:pPr>
        <w:rPr>
          <w:rFonts w:ascii="Segoe UI" w:eastAsia="Segoe UI" w:hAnsi="Segoe UI"/>
          <w:bCs/>
          <w:color w:val="000000"/>
          <w:sz w:val="22"/>
        </w:rPr>
      </w:pPr>
      <w:r>
        <w:rPr>
          <w:rFonts w:ascii="Segoe UI" w:eastAsia="Segoe UI" w:hAnsi="Segoe UI"/>
          <w:bCs/>
          <w:color w:val="000000"/>
          <w:sz w:val="22"/>
        </w:rPr>
        <w:t>No</w:t>
      </w:r>
    </w:p>
    <w:p w14:paraId="669B5F75" w14:textId="77777777" w:rsidR="00665487" w:rsidRDefault="00665487" w:rsidP="00665487"/>
    <w:p w14:paraId="71A9F719" w14:textId="30914161" w:rsidR="00665487" w:rsidRDefault="00EA7B42" w:rsidP="00665487">
      <w:pPr>
        <w:spacing w:after="0" w:line="240" w:lineRule="auto"/>
        <w:rPr>
          <w:rFonts w:ascii="Segoe UI" w:eastAsia="Segoe UI" w:hAnsi="Segoe UI"/>
          <w:b/>
          <w:color w:val="000000"/>
          <w:sz w:val="22"/>
        </w:rPr>
      </w:pPr>
      <w:r>
        <w:rPr>
          <w:rFonts w:ascii="Segoe UI" w:eastAsia="Segoe UI" w:hAnsi="Segoe UI"/>
          <w:b/>
          <w:color w:val="000000"/>
          <w:sz w:val="22"/>
        </w:rPr>
        <w:t>Provide details and explain</w:t>
      </w:r>
      <w:r w:rsidR="00665487">
        <w:rPr>
          <w:rFonts w:ascii="Segoe UI" w:eastAsia="Segoe UI" w:hAnsi="Segoe UI"/>
          <w:b/>
          <w:color w:val="000000"/>
          <w:sz w:val="22"/>
        </w:rPr>
        <w:t>:</w:t>
      </w:r>
    </w:p>
    <w:p w14:paraId="207973FE" w14:textId="77777777" w:rsidR="00665487" w:rsidRDefault="00665487" w:rsidP="00665487">
      <w:pPr>
        <w:spacing w:after="0" w:line="240" w:lineRule="auto"/>
        <w:rPr>
          <w:rFonts w:ascii="Segoe UI" w:eastAsia="Segoe UI" w:hAnsi="Segoe UI"/>
          <w:b/>
          <w:color w:val="000000"/>
          <w:sz w:val="22"/>
        </w:rPr>
      </w:pPr>
    </w:p>
    <w:p w14:paraId="5B218278" w14:textId="4BDF8AF0" w:rsidR="00ED5B23" w:rsidRPr="00ED5B23" w:rsidRDefault="00A1273C" w:rsidP="00ED5B23">
      <w:pPr>
        <w:spacing w:after="0" w:line="240" w:lineRule="auto"/>
        <w:rPr>
          <w:rFonts w:ascii="Segoe UI" w:hAnsi="Segoe UI" w:cs="Segoe UI"/>
          <w:sz w:val="22"/>
          <w:szCs w:val="22"/>
          <w:highlight w:val="yellow"/>
        </w:rPr>
      </w:pPr>
      <w:r>
        <w:rPr>
          <w:rFonts w:ascii="Segoe UI" w:hAnsi="Segoe UI" w:cs="Segoe UI"/>
          <w:sz w:val="22"/>
          <w:szCs w:val="22"/>
        </w:rPr>
        <w:t xml:space="preserve">Due to the design of the SERENA-6 trial, where patients were tested for </w:t>
      </w:r>
      <w:r w:rsidRPr="00DB51D8">
        <w:rPr>
          <w:rFonts w:ascii="Segoe UI" w:hAnsi="Segoe UI" w:cs="Segoe UI"/>
          <w:i/>
          <w:iCs/>
          <w:sz w:val="22"/>
          <w:szCs w:val="22"/>
        </w:rPr>
        <w:t>ESR1</w:t>
      </w:r>
      <w:r w:rsidR="00DD1F83">
        <w:rPr>
          <w:rFonts w:ascii="Segoe UI" w:hAnsi="Segoe UI" w:cs="Segoe UI"/>
          <w:sz w:val="22"/>
          <w:szCs w:val="22"/>
        </w:rPr>
        <w:t>m</w:t>
      </w:r>
      <w:r>
        <w:rPr>
          <w:rFonts w:ascii="Segoe UI" w:hAnsi="Segoe UI" w:cs="Segoe UI"/>
          <w:sz w:val="22"/>
          <w:szCs w:val="22"/>
        </w:rPr>
        <w:t xml:space="preserve"> every 2-3 months</w:t>
      </w:r>
      <w:r w:rsidR="00B85AC9">
        <w:rPr>
          <w:rFonts w:ascii="Segoe UI" w:hAnsi="Segoe UI" w:cs="Segoe UI"/>
          <w:sz w:val="22"/>
          <w:szCs w:val="22"/>
        </w:rPr>
        <w:t xml:space="preserve"> </w:t>
      </w:r>
      <w:r w:rsidR="00B85AC9" w:rsidRPr="00B85AC9">
        <w:rPr>
          <w:rFonts w:ascii="Segoe UI" w:hAnsi="Segoe UI" w:cs="Segoe UI"/>
          <w:sz w:val="22"/>
          <w:szCs w:val="22"/>
        </w:rPr>
        <w:t>(coinciding with routine clinical assessments),</w:t>
      </w:r>
      <w:r>
        <w:rPr>
          <w:rFonts w:ascii="Segoe UI" w:hAnsi="Segoe UI" w:cs="Segoe UI"/>
          <w:sz w:val="22"/>
          <w:szCs w:val="22"/>
        </w:rPr>
        <w:t xml:space="preserve"> </w:t>
      </w:r>
      <w:r w:rsidR="00FE2593">
        <w:rPr>
          <w:rFonts w:ascii="Segoe UI" w:hAnsi="Segoe UI" w:cs="Segoe UI"/>
          <w:sz w:val="22"/>
          <w:szCs w:val="22"/>
        </w:rPr>
        <w:t xml:space="preserve">whilst remaining free of disease progression, </w:t>
      </w:r>
      <w:r w:rsidR="00946D40">
        <w:rPr>
          <w:rFonts w:ascii="Segoe UI" w:hAnsi="Segoe UI" w:cs="Segoe UI"/>
          <w:sz w:val="22"/>
          <w:szCs w:val="22"/>
        </w:rPr>
        <w:t xml:space="preserve">the proposed </w:t>
      </w:r>
      <w:r w:rsidR="00FE2593" w:rsidRPr="00DB51D8">
        <w:rPr>
          <w:rFonts w:ascii="Segoe UI" w:hAnsi="Segoe UI" w:cs="Segoe UI"/>
          <w:i/>
          <w:iCs/>
          <w:sz w:val="22"/>
          <w:szCs w:val="22"/>
        </w:rPr>
        <w:t>ESR1</w:t>
      </w:r>
      <w:r w:rsidR="00DD1F83">
        <w:rPr>
          <w:rFonts w:ascii="Segoe UI" w:hAnsi="Segoe UI" w:cs="Segoe UI"/>
          <w:sz w:val="22"/>
          <w:szCs w:val="22"/>
        </w:rPr>
        <w:t>m</w:t>
      </w:r>
      <w:r w:rsidR="00FE2593">
        <w:rPr>
          <w:rFonts w:ascii="Segoe UI" w:hAnsi="Segoe UI" w:cs="Segoe UI"/>
          <w:sz w:val="22"/>
          <w:szCs w:val="22"/>
        </w:rPr>
        <w:t xml:space="preserve"> test may be requested more than once per patient.</w:t>
      </w:r>
      <w:r w:rsidR="00452DF6">
        <w:rPr>
          <w:rFonts w:ascii="Segoe UI" w:hAnsi="Segoe UI" w:cs="Segoe UI"/>
          <w:sz w:val="22"/>
          <w:szCs w:val="22"/>
        </w:rPr>
        <w:t xml:space="preserve"> </w:t>
      </w:r>
      <w:r w:rsidR="00EB3A2D">
        <w:rPr>
          <w:rFonts w:ascii="Segoe UI" w:hAnsi="Segoe UI" w:cs="Segoe UI"/>
          <w:sz w:val="22"/>
          <w:szCs w:val="22"/>
        </w:rPr>
        <w:t>In SERENA-</w:t>
      </w:r>
      <w:r w:rsidR="00EB3A2D" w:rsidRPr="00195113">
        <w:rPr>
          <w:rFonts w:ascii="Segoe UI" w:hAnsi="Segoe UI" w:cs="Segoe UI"/>
          <w:sz w:val="22"/>
          <w:szCs w:val="22"/>
        </w:rPr>
        <w:t>6, a</w:t>
      </w:r>
      <w:r w:rsidR="00ED5B23" w:rsidRPr="00195113">
        <w:rPr>
          <w:rFonts w:ascii="Segoe UI" w:hAnsi="Segoe UI" w:cs="Segoe UI"/>
          <w:sz w:val="22"/>
          <w:szCs w:val="22"/>
        </w:rPr>
        <w:t xml:space="preserve">n </w:t>
      </w:r>
      <w:r w:rsidR="00ED5B23" w:rsidRPr="00195113">
        <w:rPr>
          <w:rFonts w:ascii="Segoe UI" w:hAnsi="Segoe UI" w:cs="Segoe UI"/>
          <w:i/>
          <w:iCs/>
          <w:sz w:val="22"/>
          <w:szCs w:val="22"/>
        </w:rPr>
        <w:t>ESR1</w:t>
      </w:r>
      <w:r w:rsidR="00ED5B23" w:rsidRPr="00195113">
        <w:rPr>
          <w:rFonts w:ascii="Segoe UI" w:hAnsi="Segoe UI" w:cs="Segoe UI"/>
          <w:sz w:val="22"/>
          <w:szCs w:val="22"/>
        </w:rPr>
        <w:t xml:space="preserve">m was detected by the first test in 51% of the patients. In subsequent tests, between the second to the fifth test, </w:t>
      </w:r>
      <w:r w:rsidR="00ED5B23" w:rsidRPr="00195113">
        <w:rPr>
          <w:rFonts w:ascii="Segoe UI" w:hAnsi="Segoe UI" w:cs="Segoe UI"/>
          <w:i/>
          <w:iCs/>
          <w:sz w:val="22"/>
          <w:szCs w:val="22"/>
        </w:rPr>
        <w:t>ESR1</w:t>
      </w:r>
      <w:r w:rsidR="00ED5B23" w:rsidRPr="00195113">
        <w:rPr>
          <w:rFonts w:ascii="Segoe UI" w:hAnsi="Segoe UI" w:cs="Segoe UI"/>
          <w:sz w:val="22"/>
          <w:szCs w:val="22"/>
        </w:rPr>
        <w:t xml:space="preserve">m was detected in 38% of the patients, and about 11% of the patients demonstrated </w:t>
      </w:r>
      <w:r w:rsidR="00ED5B23" w:rsidRPr="00195113">
        <w:rPr>
          <w:rFonts w:ascii="Segoe UI" w:hAnsi="Segoe UI" w:cs="Segoe UI"/>
          <w:i/>
          <w:iCs/>
          <w:sz w:val="22"/>
          <w:szCs w:val="22"/>
        </w:rPr>
        <w:t>ESR1</w:t>
      </w:r>
      <w:r w:rsidR="00ED5B23" w:rsidRPr="00195113">
        <w:rPr>
          <w:rFonts w:ascii="Segoe UI" w:hAnsi="Segoe UI" w:cs="Segoe UI"/>
          <w:sz w:val="22"/>
          <w:szCs w:val="22"/>
        </w:rPr>
        <w:t xml:space="preserve">m after the fifth test (Turner et al 2025, presented at ASCO). </w:t>
      </w:r>
      <w:r w:rsidR="00195113">
        <w:rPr>
          <w:rFonts w:ascii="Segoe UI" w:hAnsi="Segoe UI" w:cs="Segoe UI"/>
          <w:sz w:val="22"/>
          <w:szCs w:val="22"/>
        </w:rPr>
        <w:t xml:space="preserve">Further details on the number of tests administered in the trial and what is expected to happen in practice will be presented in the integrated co-dependent submission. </w:t>
      </w:r>
    </w:p>
    <w:p w14:paraId="7EDC963E" w14:textId="2F9727DC" w:rsidR="00665487" w:rsidRDefault="00665487" w:rsidP="00665487">
      <w:pPr>
        <w:spacing w:after="0" w:line="240" w:lineRule="auto"/>
        <w:rPr>
          <w:rFonts w:ascii="Segoe UI" w:hAnsi="Segoe UI" w:cs="Segoe UI"/>
          <w:sz w:val="22"/>
          <w:szCs w:val="22"/>
        </w:rPr>
      </w:pPr>
    </w:p>
    <w:p w14:paraId="479BCB9C" w14:textId="77777777" w:rsidR="008C2617" w:rsidRPr="00BE6B22" w:rsidRDefault="008C2617" w:rsidP="00665487">
      <w:pPr>
        <w:spacing w:after="0" w:line="240" w:lineRule="auto"/>
        <w:rPr>
          <w:rFonts w:asciiTheme="minorHAnsi" w:eastAsia="Segoe UI" w:hAnsiTheme="minorHAnsi" w:cstheme="minorHAnsi"/>
          <w:color w:val="000000"/>
          <w:sz w:val="22"/>
          <w:szCs w:val="22"/>
        </w:rPr>
      </w:pPr>
    </w:p>
    <w:p w14:paraId="277ADD85" w14:textId="59994BEE" w:rsidR="006227EF" w:rsidRDefault="006227EF" w:rsidP="006227EF">
      <w:pPr>
        <w:spacing w:after="0" w:line="240" w:lineRule="auto"/>
        <w:rPr>
          <w:rFonts w:ascii="Segoe UI" w:eastAsia="Segoe UI" w:hAnsi="Segoe UI"/>
          <w:b/>
          <w:color w:val="000000"/>
          <w:sz w:val="22"/>
        </w:rPr>
      </w:pPr>
      <w:r>
        <w:rPr>
          <w:rFonts w:ascii="Segoe UI" w:eastAsia="Segoe UI" w:hAnsi="Segoe UI"/>
          <w:b/>
          <w:color w:val="000000"/>
          <w:sz w:val="22"/>
        </w:rPr>
        <w:t>If applicable, advise which health professionals will be needed to provide the proposed health technology:</w:t>
      </w:r>
    </w:p>
    <w:p w14:paraId="2F90F356" w14:textId="77777777" w:rsidR="006227EF" w:rsidRDefault="006227EF" w:rsidP="006227EF">
      <w:pPr>
        <w:spacing w:after="0" w:line="240" w:lineRule="auto"/>
        <w:rPr>
          <w:rFonts w:ascii="Segoe UI" w:eastAsia="Segoe UI" w:hAnsi="Segoe UI"/>
          <w:b/>
          <w:color w:val="000000"/>
          <w:sz w:val="22"/>
        </w:rPr>
      </w:pPr>
    </w:p>
    <w:p w14:paraId="0E0D8DAA" w14:textId="77777777" w:rsidR="00AC61BC" w:rsidRDefault="00AC61BC" w:rsidP="00AC61BC">
      <w:pPr>
        <w:spacing w:after="0" w:line="240" w:lineRule="auto"/>
        <w:rPr>
          <w:rFonts w:ascii="Segoe UI" w:eastAsia="Segoe UI" w:hAnsi="Segoe UI"/>
          <w:color w:val="000000"/>
          <w:sz w:val="22"/>
          <w:szCs w:val="22"/>
        </w:rPr>
      </w:pPr>
      <w:r w:rsidRPr="32E9E30F">
        <w:rPr>
          <w:rFonts w:ascii="Segoe UI" w:eastAsia="Segoe UI" w:hAnsi="Segoe UI"/>
          <w:color w:val="000000" w:themeColor="text1"/>
          <w:sz w:val="22"/>
          <w:szCs w:val="22"/>
        </w:rPr>
        <w:t xml:space="preserve">A </w:t>
      </w:r>
      <w:r>
        <w:rPr>
          <w:rFonts w:ascii="Segoe UI" w:eastAsia="Segoe UI" w:hAnsi="Segoe UI"/>
          <w:color w:val="000000" w:themeColor="text1"/>
          <w:sz w:val="22"/>
          <w:szCs w:val="22"/>
        </w:rPr>
        <w:t xml:space="preserve">registered molecular pathologist and a registered anatomical pathologist are responsible for </w:t>
      </w:r>
      <w:r w:rsidRPr="32E9E30F">
        <w:rPr>
          <w:rFonts w:ascii="Segoe UI" w:eastAsia="Segoe UI" w:hAnsi="Segoe UI"/>
          <w:color w:val="000000" w:themeColor="text1"/>
          <w:sz w:val="22"/>
          <w:szCs w:val="22"/>
        </w:rPr>
        <w:t>conducting the detection, diagnosis and reporting of the pathology result to help guide and determine treatment.</w:t>
      </w:r>
    </w:p>
    <w:p w14:paraId="6BC4ECCB" w14:textId="77777777" w:rsidR="006227EF" w:rsidRPr="00BE6B22" w:rsidRDefault="006227EF" w:rsidP="006227EF">
      <w:pPr>
        <w:spacing w:after="0" w:line="240" w:lineRule="auto"/>
        <w:rPr>
          <w:rFonts w:asciiTheme="minorHAnsi" w:eastAsia="Segoe UI" w:hAnsiTheme="minorHAnsi" w:cstheme="minorHAnsi"/>
          <w:color w:val="000000"/>
          <w:sz w:val="22"/>
          <w:szCs w:val="22"/>
        </w:rPr>
      </w:pPr>
    </w:p>
    <w:p w14:paraId="1618878E" w14:textId="3213AAEC" w:rsidR="006227EF" w:rsidRDefault="006227EF" w:rsidP="006227EF">
      <w:pPr>
        <w:spacing w:after="0" w:line="240" w:lineRule="auto"/>
        <w:rPr>
          <w:rFonts w:ascii="Segoe UI" w:eastAsia="Segoe UI" w:hAnsi="Segoe UI"/>
          <w:b/>
          <w:color w:val="000000"/>
          <w:sz w:val="22"/>
        </w:rPr>
      </w:pPr>
      <w:r w:rsidRPr="00BE0612">
        <w:rPr>
          <w:rFonts w:ascii="Segoe UI" w:eastAsia="Segoe UI" w:hAnsi="Segoe UI"/>
          <w:b/>
          <w:color w:val="000000"/>
          <w:sz w:val="22"/>
        </w:rPr>
        <w:t xml:space="preserve">If applicable, advise </w:t>
      </w:r>
      <w:r w:rsidR="00BE0612" w:rsidRPr="00BE0612">
        <w:rPr>
          <w:rFonts w:ascii="Segoe UI" w:eastAsia="Segoe UI" w:hAnsi="Segoe UI"/>
          <w:b/>
          <w:color w:val="000000"/>
          <w:sz w:val="22"/>
        </w:rPr>
        <w:t>whether delivery of the proposed health technology can be delegated to another</w:t>
      </w:r>
      <w:r w:rsidRPr="00BE0612">
        <w:rPr>
          <w:rFonts w:ascii="Segoe UI" w:eastAsia="Segoe UI" w:hAnsi="Segoe UI"/>
          <w:b/>
          <w:color w:val="000000"/>
          <w:sz w:val="22"/>
        </w:rPr>
        <w:t xml:space="preserve"> health professional:</w:t>
      </w:r>
    </w:p>
    <w:p w14:paraId="46150CA8" w14:textId="77777777" w:rsidR="006227EF" w:rsidRDefault="006227EF" w:rsidP="006227EF">
      <w:pPr>
        <w:spacing w:after="0" w:line="240" w:lineRule="auto"/>
        <w:rPr>
          <w:rFonts w:ascii="Segoe UI" w:eastAsia="Segoe UI" w:hAnsi="Segoe UI"/>
          <w:b/>
          <w:color w:val="000000"/>
          <w:sz w:val="22"/>
        </w:rPr>
      </w:pPr>
    </w:p>
    <w:p w14:paraId="30935A1B" w14:textId="170294F3" w:rsidR="006227EF" w:rsidRDefault="00AC61BC" w:rsidP="006227EF">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NA</w:t>
      </w:r>
    </w:p>
    <w:p w14:paraId="5A95FA3B" w14:textId="1FF485D1" w:rsidR="00665487" w:rsidRDefault="00665487"/>
    <w:p w14:paraId="5E38BA3B" w14:textId="5598DC0C" w:rsidR="006227EF" w:rsidRDefault="006227EF" w:rsidP="006227EF">
      <w:pPr>
        <w:spacing w:after="0" w:line="240" w:lineRule="auto"/>
        <w:rPr>
          <w:rFonts w:ascii="Segoe UI" w:eastAsia="Segoe UI" w:hAnsi="Segoe UI"/>
          <w:b/>
          <w:color w:val="000000"/>
          <w:sz w:val="22"/>
        </w:rPr>
      </w:pPr>
      <w:r w:rsidRPr="00BE0612">
        <w:rPr>
          <w:rFonts w:ascii="Segoe UI" w:eastAsia="Segoe UI" w:hAnsi="Segoe UI"/>
          <w:b/>
          <w:color w:val="000000"/>
          <w:sz w:val="22"/>
        </w:rPr>
        <w:t xml:space="preserve">If applicable, advise </w:t>
      </w:r>
      <w:r w:rsidR="00BE0612" w:rsidRPr="00BE0612">
        <w:rPr>
          <w:rFonts w:ascii="Segoe UI" w:eastAsia="Segoe UI" w:hAnsi="Segoe UI"/>
          <w:b/>
          <w:color w:val="000000"/>
          <w:sz w:val="22"/>
        </w:rPr>
        <w:t>if there are any limitations on which health professionals might provide a referral for</w:t>
      </w:r>
      <w:r w:rsidRPr="00BE0612">
        <w:rPr>
          <w:rFonts w:ascii="Segoe UI" w:eastAsia="Segoe UI" w:hAnsi="Segoe UI"/>
          <w:b/>
          <w:color w:val="000000"/>
          <w:sz w:val="22"/>
        </w:rPr>
        <w:t xml:space="preserve"> the proposed health technology:</w:t>
      </w:r>
    </w:p>
    <w:p w14:paraId="414D5196" w14:textId="77777777" w:rsidR="006227EF" w:rsidRDefault="006227EF" w:rsidP="006227EF">
      <w:pPr>
        <w:spacing w:after="0" w:line="240" w:lineRule="auto"/>
        <w:rPr>
          <w:rFonts w:ascii="Segoe UI" w:eastAsia="Segoe UI" w:hAnsi="Segoe UI"/>
          <w:b/>
          <w:color w:val="000000"/>
          <w:sz w:val="22"/>
        </w:rPr>
      </w:pPr>
    </w:p>
    <w:p w14:paraId="081CCAE7" w14:textId="1D5CEC5D" w:rsidR="00781177" w:rsidRDefault="00781177" w:rsidP="00781177">
      <w:pPr>
        <w:spacing w:after="0" w:line="240" w:lineRule="auto"/>
        <w:rPr>
          <w:rFonts w:ascii="Segoe UI" w:eastAsia="Segoe UI" w:hAnsi="Segoe UI"/>
          <w:color w:val="000000"/>
          <w:sz w:val="22"/>
          <w:szCs w:val="22"/>
        </w:rPr>
      </w:pPr>
      <w:r w:rsidRPr="6BD791AF">
        <w:rPr>
          <w:rFonts w:ascii="Segoe UI" w:eastAsia="Segoe UI" w:hAnsi="Segoe UI"/>
          <w:color w:val="000000" w:themeColor="text1"/>
          <w:sz w:val="22"/>
          <w:szCs w:val="22"/>
        </w:rPr>
        <w:t xml:space="preserve">A registered anatomical pathologist is responsible for conducting the detection, diagnosis and reporting of the pathology results which guide and determine treatment. A specialist (e.g., medical oncologist, breast surgeon, interventional radiologist) provides the </w:t>
      </w:r>
      <w:r w:rsidR="0095574B" w:rsidRPr="6BD791AF">
        <w:rPr>
          <w:rFonts w:ascii="Segoe UI" w:eastAsia="Segoe UI" w:hAnsi="Segoe UI"/>
          <w:color w:val="000000" w:themeColor="text1"/>
          <w:sz w:val="22"/>
          <w:szCs w:val="22"/>
        </w:rPr>
        <w:t xml:space="preserve">referral for </w:t>
      </w:r>
      <w:r w:rsidR="005C400B" w:rsidRPr="6BD791AF">
        <w:rPr>
          <w:rFonts w:ascii="Segoe UI" w:eastAsia="Segoe UI" w:hAnsi="Segoe UI"/>
          <w:color w:val="000000" w:themeColor="text1"/>
          <w:sz w:val="22"/>
          <w:szCs w:val="22"/>
        </w:rPr>
        <w:t xml:space="preserve">blood collection </w:t>
      </w:r>
      <w:r w:rsidRPr="6BD791AF">
        <w:rPr>
          <w:rFonts w:ascii="Segoe UI" w:eastAsia="Segoe UI" w:hAnsi="Segoe UI"/>
          <w:color w:val="000000" w:themeColor="text1"/>
          <w:sz w:val="22"/>
          <w:szCs w:val="22"/>
        </w:rPr>
        <w:t>and a test request form for testing.</w:t>
      </w:r>
    </w:p>
    <w:p w14:paraId="02BE6BC3" w14:textId="48253016" w:rsidR="006227EF" w:rsidRDefault="006227EF"/>
    <w:p w14:paraId="30AC00A8" w14:textId="3EDA1219" w:rsidR="00380C41" w:rsidRDefault="00380C41" w:rsidP="00380C41">
      <w:pPr>
        <w:rPr>
          <w:rFonts w:ascii="Segoe UI" w:eastAsia="Segoe UI" w:hAnsi="Segoe UI"/>
          <w:bCs/>
          <w:color w:val="000000"/>
          <w:sz w:val="22"/>
        </w:rPr>
      </w:pPr>
      <w:r>
        <w:rPr>
          <w:rFonts w:ascii="Segoe UI" w:eastAsia="Segoe UI" w:hAnsi="Segoe UI"/>
          <w:b/>
          <w:color w:val="000000"/>
          <w:sz w:val="22"/>
        </w:rPr>
        <w:t xml:space="preserve">Is there specific training or qualifications required to provide or deliver the proposed service, and/or any accreditation requirements to support delivery of the health technology? </w:t>
      </w:r>
    </w:p>
    <w:p w14:paraId="51A1FACE" w14:textId="03F3E070" w:rsidR="00380C41" w:rsidRPr="00DF2D79" w:rsidRDefault="00E512FE" w:rsidP="00E512FE">
      <w:pPr>
        <w:spacing w:after="0" w:line="240" w:lineRule="auto"/>
        <w:rPr>
          <w:rFonts w:ascii="Segoe UI" w:eastAsia="Segoe UI" w:hAnsi="Segoe UI"/>
          <w:bCs/>
          <w:color w:val="000000"/>
          <w:sz w:val="22"/>
        </w:rPr>
      </w:pPr>
      <w:r>
        <w:rPr>
          <w:rFonts w:ascii="Segoe UI" w:eastAsia="Segoe UI" w:hAnsi="Segoe UI"/>
          <w:bCs/>
          <w:color w:val="000000"/>
          <w:sz w:val="22"/>
        </w:rPr>
        <w:t>Yes</w:t>
      </w:r>
    </w:p>
    <w:p w14:paraId="51793252" w14:textId="77777777" w:rsidR="00331490" w:rsidRDefault="00331490" w:rsidP="00380C41"/>
    <w:p w14:paraId="1DEEF335" w14:textId="77777777" w:rsidR="00E512FE" w:rsidRDefault="00E512FE">
      <w:pPr>
        <w:rPr>
          <w:rFonts w:ascii="Segoe UI" w:eastAsia="Segoe UI" w:hAnsi="Segoe UI"/>
          <w:b/>
          <w:color w:val="000000"/>
          <w:sz w:val="22"/>
        </w:rPr>
      </w:pPr>
      <w:r>
        <w:rPr>
          <w:rFonts w:ascii="Segoe UI" w:eastAsia="Segoe UI" w:hAnsi="Segoe UI"/>
          <w:b/>
          <w:color w:val="000000"/>
          <w:sz w:val="22"/>
        </w:rPr>
        <w:br w:type="page"/>
      </w:r>
    </w:p>
    <w:p w14:paraId="2E36FC91" w14:textId="3DF5E8C0" w:rsidR="00380C41" w:rsidRDefault="00380C41" w:rsidP="00380C41">
      <w:pPr>
        <w:spacing w:after="0" w:line="240" w:lineRule="auto"/>
        <w:rPr>
          <w:rFonts w:ascii="Segoe UI" w:eastAsia="Segoe UI" w:hAnsi="Segoe UI"/>
          <w:b/>
          <w:color w:val="000000"/>
          <w:sz w:val="22"/>
        </w:rPr>
      </w:pPr>
      <w:r>
        <w:rPr>
          <w:rFonts w:ascii="Segoe UI" w:eastAsia="Segoe UI" w:hAnsi="Segoe UI"/>
          <w:b/>
          <w:color w:val="000000"/>
          <w:sz w:val="22"/>
        </w:rPr>
        <w:lastRenderedPageBreak/>
        <w:t>Provide details and explain:</w:t>
      </w:r>
    </w:p>
    <w:p w14:paraId="0E842550" w14:textId="77777777" w:rsidR="00380C41" w:rsidRDefault="00380C41" w:rsidP="00380C41">
      <w:pPr>
        <w:spacing w:after="0" w:line="240" w:lineRule="auto"/>
        <w:rPr>
          <w:rFonts w:ascii="Segoe UI" w:eastAsia="Segoe UI" w:hAnsi="Segoe UI"/>
          <w:b/>
          <w:color w:val="000000"/>
          <w:sz w:val="22"/>
        </w:rPr>
      </w:pPr>
    </w:p>
    <w:p w14:paraId="2FBB2C77" w14:textId="29E9D703" w:rsidR="002B1ABB" w:rsidRPr="00891070" w:rsidRDefault="00CC5058" w:rsidP="00CC5058">
      <w:pPr>
        <w:spacing w:after="0" w:line="240" w:lineRule="auto"/>
        <w:rPr>
          <w:rFonts w:ascii="Segoe UI" w:eastAsia="Segoe UI" w:hAnsi="Segoe UI"/>
          <w:color w:val="000000" w:themeColor="text1"/>
          <w:sz w:val="22"/>
          <w:szCs w:val="22"/>
        </w:rPr>
      </w:pPr>
      <w:r w:rsidRPr="1D370C85">
        <w:rPr>
          <w:rFonts w:ascii="Segoe UI" w:eastAsia="Segoe UI" w:hAnsi="Segoe UI"/>
          <w:color w:val="000000" w:themeColor="text1"/>
          <w:sz w:val="22"/>
          <w:szCs w:val="22"/>
        </w:rPr>
        <w:t xml:space="preserve">Training and qualifications for laboratory personnel performing the </w:t>
      </w:r>
      <w:r w:rsidR="005A5DE9" w:rsidRPr="0055026D">
        <w:rPr>
          <w:rFonts w:ascii="Segoe UI" w:eastAsia="Segoe UI" w:hAnsi="Segoe UI"/>
          <w:i/>
          <w:iCs/>
          <w:color w:val="000000" w:themeColor="text1"/>
          <w:sz w:val="22"/>
          <w:szCs w:val="22"/>
        </w:rPr>
        <w:t>ESR1</w:t>
      </w:r>
      <w:r w:rsidR="005A5DE9">
        <w:rPr>
          <w:rFonts w:ascii="Segoe UI" w:eastAsia="Segoe UI" w:hAnsi="Segoe UI"/>
          <w:color w:val="000000" w:themeColor="text1"/>
          <w:sz w:val="22"/>
          <w:szCs w:val="22"/>
        </w:rPr>
        <w:t xml:space="preserve">m ctDNA </w:t>
      </w:r>
      <w:r w:rsidR="00121DDB">
        <w:rPr>
          <w:rFonts w:ascii="Segoe UI" w:eastAsia="Segoe UI" w:hAnsi="Segoe UI"/>
          <w:color w:val="000000" w:themeColor="text1"/>
          <w:sz w:val="22"/>
          <w:szCs w:val="22"/>
        </w:rPr>
        <w:t xml:space="preserve">dPCR and/or </w:t>
      </w:r>
      <w:r w:rsidRPr="1D370C85">
        <w:rPr>
          <w:rFonts w:ascii="Segoe UI" w:eastAsia="Segoe UI" w:hAnsi="Segoe UI"/>
          <w:color w:val="000000" w:themeColor="text1"/>
          <w:sz w:val="22"/>
          <w:szCs w:val="22"/>
        </w:rPr>
        <w:t>NGS test</w:t>
      </w:r>
      <w:r w:rsidR="00121DDB">
        <w:rPr>
          <w:rFonts w:ascii="Segoe UI" w:eastAsia="Segoe UI" w:hAnsi="Segoe UI"/>
          <w:color w:val="000000" w:themeColor="text1"/>
          <w:sz w:val="22"/>
          <w:szCs w:val="22"/>
        </w:rPr>
        <w:t>s</w:t>
      </w:r>
      <w:r w:rsidRPr="1D370C85">
        <w:rPr>
          <w:rFonts w:ascii="Segoe UI" w:eastAsia="Segoe UI" w:hAnsi="Segoe UI"/>
          <w:color w:val="000000" w:themeColor="text1"/>
          <w:sz w:val="22"/>
          <w:szCs w:val="22"/>
        </w:rPr>
        <w:t xml:space="preserve"> would be the same as those required for laboratory personnel currently performing other cancer biomarker testing. Pathology laboratories performing testing would need to be NATA-accredited, and as per other cancer biomarker tests, competence in </w:t>
      </w:r>
      <w:r w:rsidR="005A5DE9">
        <w:rPr>
          <w:rFonts w:ascii="Segoe UI" w:eastAsia="Segoe UI" w:hAnsi="Segoe UI"/>
          <w:color w:val="000000" w:themeColor="text1"/>
          <w:sz w:val="22"/>
          <w:szCs w:val="22"/>
        </w:rPr>
        <w:t xml:space="preserve">ctDNA </w:t>
      </w:r>
      <w:r w:rsidR="00756874">
        <w:rPr>
          <w:rFonts w:ascii="Segoe UI" w:eastAsia="Segoe UI" w:hAnsi="Segoe UI"/>
          <w:color w:val="000000" w:themeColor="text1"/>
          <w:sz w:val="22"/>
          <w:szCs w:val="22"/>
        </w:rPr>
        <w:t>dPCR/</w:t>
      </w:r>
      <w:r w:rsidRPr="1D370C85">
        <w:rPr>
          <w:rFonts w:ascii="Segoe UI" w:eastAsia="Segoe UI" w:hAnsi="Segoe UI"/>
          <w:color w:val="000000" w:themeColor="text1"/>
          <w:sz w:val="22"/>
          <w:szCs w:val="22"/>
        </w:rPr>
        <w:t>NGS testing would be monitored via a Quality Assurance Program (QAP) by the Royal College of Pathologists of Australia (RCPA).</w:t>
      </w:r>
    </w:p>
    <w:p w14:paraId="0CA33323" w14:textId="77777777" w:rsidR="005A5DE9" w:rsidRDefault="005A5DE9" w:rsidP="00CC5058">
      <w:pPr>
        <w:spacing w:after="0" w:line="240" w:lineRule="auto"/>
        <w:rPr>
          <w:rFonts w:ascii="Segoe UI" w:eastAsia="Segoe UI" w:hAnsi="Segoe UI"/>
          <w:color w:val="000000" w:themeColor="text1"/>
          <w:sz w:val="22"/>
          <w:szCs w:val="22"/>
        </w:rPr>
      </w:pPr>
    </w:p>
    <w:p w14:paraId="4716E4E4" w14:textId="37B34415" w:rsidR="005A5DE9" w:rsidRPr="00891070" w:rsidRDefault="005A5DE9" w:rsidP="00CC5058">
      <w:pPr>
        <w:spacing w:after="0" w:line="240" w:lineRule="auto"/>
        <w:rPr>
          <w:rFonts w:ascii="Segoe UI" w:eastAsia="Segoe UI" w:hAnsi="Segoe UI"/>
          <w:color w:val="000000" w:themeColor="text1"/>
          <w:sz w:val="22"/>
          <w:szCs w:val="22"/>
        </w:rPr>
      </w:pPr>
      <w:r>
        <w:rPr>
          <w:rFonts w:ascii="Segoe UI" w:eastAsia="Segoe UI" w:hAnsi="Segoe UI"/>
          <w:color w:val="000000" w:themeColor="text1"/>
          <w:sz w:val="22"/>
          <w:szCs w:val="22"/>
        </w:rPr>
        <w:t xml:space="preserve">Special </w:t>
      </w:r>
      <w:r w:rsidR="0026578F">
        <w:rPr>
          <w:rFonts w:ascii="Segoe UI" w:eastAsia="Segoe UI" w:hAnsi="Segoe UI"/>
          <w:color w:val="000000" w:themeColor="text1"/>
          <w:sz w:val="22"/>
          <w:szCs w:val="22"/>
        </w:rPr>
        <w:t>training</w:t>
      </w:r>
      <w:r w:rsidR="00A44FD5">
        <w:rPr>
          <w:rFonts w:ascii="Segoe UI" w:eastAsia="Segoe UI" w:hAnsi="Segoe UI"/>
          <w:color w:val="000000" w:themeColor="text1"/>
          <w:sz w:val="22"/>
          <w:szCs w:val="22"/>
        </w:rPr>
        <w:t xml:space="preserve"> (education and awareness) from the pathology laboratories</w:t>
      </w:r>
      <w:r w:rsidR="0026578F">
        <w:rPr>
          <w:rFonts w:ascii="Segoe UI" w:eastAsia="Segoe UI" w:hAnsi="Segoe UI"/>
          <w:color w:val="000000" w:themeColor="text1"/>
          <w:sz w:val="22"/>
          <w:szCs w:val="22"/>
        </w:rPr>
        <w:t xml:space="preserve"> maybe required at collection centres to ensure that blood samples are collected and transported in special tubes that are suitable sample stability and for subsequent ctDNA testing. </w:t>
      </w:r>
    </w:p>
    <w:p w14:paraId="2FAA0185" w14:textId="77777777" w:rsidR="00380C41" w:rsidRDefault="00380C41" w:rsidP="00380C41"/>
    <w:p w14:paraId="40213484" w14:textId="72F4E97B" w:rsidR="00380C41" w:rsidRDefault="00BB494A" w:rsidP="00380C41">
      <w:pPr>
        <w:spacing w:after="0" w:line="240" w:lineRule="auto"/>
        <w:rPr>
          <w:rFonts w:ascii="Segoe UI" w:eastAsia="Segoe UI" w:hAnsi="Segoe UI"/>
          <w:b/>
          <w:color w:val="000000"/>
          <w:sz w:val="22"/>
        </w:rPr>
      </w:pPr>
      <w:r>
        <w:rPr>
          <w:rFonts w:ascii="Segoe UI" w:eastAsia="Segoe UI" w:hAnsi="Segoe UI"/>
          <w:b/>
          <w:color w:val="000000"/>
          <w:sz w:val="22"/>
        </w:rPr>
        <w:t xml:space="preserve">Indicate the proposed setting(s) in which the proposed health technology will be delivered: </w:t>
      </w:r>
    </w:p>
    <w:p w14:paraId="54E88C9C" w14:textId="77777777" w:rsidR="00380C41" w:rsidRDefault="00380C41" w:rsidP="00380C41">
      <w:pPr>
        <w:spacing w:after="0" w:line="240" w:lineRule="auto"/>
        <w:rPr>
          <w:rFonts w:ascii="Segoe UI" w:eastAsia="Segoe UI" w:hAnsi="Segoe UI"/>
          <w:b/>
          <w:color w:val="000000"/>
          <w:sz w:val="22"/>
        </w:rPr>
      </w:pPr>
    </w:p>
    <w:p w14:paraId="27F6F022"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Consulting rooms</w:t>
      </w:r>
      <w:r w:rsidRPr="000627EF">
        <w:rPr>
          <w:rFonts w:ascii="Segoe UI" w:hAnsi="Segoe UI" w:cs="Segoe UI"/>
          <w:sz w:val="22"/>
          <w:szCs w:val="22"/>
        </w:rPr>
        <w:t xml:space="preserve"> </w:t>
      </w:r>
    </w:p>
    <w:p w14:paraId="47670E2F"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Day surgery centre</w:t>
      </w:r>
    </w:p>
    <w:p w14:paraId="57980600"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Emergency Department</w:t>
      </w:r>
      <w:r w:rsidRPr="000627EF">
        <w:rPr>
          <w:rFonts w:ascii="Segoe UI" w:hAnsi="Segoe UI" w:cs="Segoe UI"/>
          <w:sz w:val="22"/>
          <w:szCs w:val="22"/>
        </w:rPr>
        <w:t xml:space="preserve"> </w:t>
      </w:r>
    </w:p>
    <w:p w14:paraId="7E2B2189" w14:textId="77777777" w:rsidR="00217234"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Pr>
          <w:rFonts w:ascii="Segoe UI" w:hAnsi="Segoe UI" w:cs="Segoe UI"/>
          <w:sz w:val="22"/>
          <w:szCs w:val="22"/>
        </w:rPr>
        <w:t xml:space="preserve"> Inpatient private hospital</w:t>
      </w:r>
    </w:p>
    <w:p w14:paraId="57B2886B"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Inpatient public hospital</w:t>
      </w:r>
      <w:r w:rsidRPr="000627EF">
        <w:rPr>
          <w:rFonts w:ascii="Segoe UI" w:hAnsi="Segoe UI" w:cs="Segoe UI"/>
          <w:sz w:val="22"/>
          <w:szCs w:val="22"/>
        </w:rPr>
        <w:t xml:space="preserve"> </w:t>
      </w:r>
    </w:p>
    <w:p w14:paraId="77285040" w14:textId="77777777" w:rsidR="00217234" w:rsidRPr="000627EF" w:rsidRDefault="00217234" w:rsidP="00217234">
      <w:pPr>
        <w:pStyle w:val="Tickboxes"/>
        <w:ind w:left="0"/>
        <w:rPr>
          <w:rFonts w:ascii="Segoe UI" w:hAnsi="Segoe UI" w:cs="Segoe UI"/>
          <w:sz w:val="22"/>
          <w:szCs w:val="22"/>
        </w:rPr>
      </w:pPr>
      <w:r>
        <w:rPr>
          <w:rFonts w:ascii="Segoe UI" w:hAnsi="Segoe UI" w:cs="Segoe UI"/>
          <w:sz w:val="22"/>
          <w:szCs w:val="22"/>
        </w:rPr>
        <w:fldChar w:fldCharType="begin">
          <w:ffData>
            <w:name w:val="Check2"/>
            <w:enabled/>
            <w:calcOnExit w:val="0"/>
            <w:checkBox>
              <w:sizeAuto/>
              <w:default w:val="1"/>
            </w:checkBox>
          </w:ffData>
        </w:fldChar>
      </w:r>
      <w:bookmarkStart w:id="0" w:name="Check2"/>
      <w:r>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fldChar w:fldCharType="end"/>
      </w:r>
      <w:bookmarkEnd w:id="0"/>
      <w:r w:rsidRPr="000627EF">
        <w:rPr>
          <w:rFonts w:ascii="Segoe UI" w:hAnsi="Segoe UI" w:cs="Segoe UI"/>
          <w:sz w:val="22"/>
          <w:szCs w:val="22"/>
        </w:rPr>
        <w:t xml:space="preserve"> </w:t>
      </w:r>
      <w:r>
        <w:rPr>
          <w:rFonts w:ascii="Segoe UI" w:hAnsi="Segoe UI" w:cs="Segoe UI"/>
          <w:sz w:val="22"/>
          <w:szCs w:val="22"/>
        </w:rPr>
        <w:t>Laboratory</w:t>
      </w:r>
    </w:p>
    <w:p w14:paraId="609BB038"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Outpatient clinic</w:t>
      </w:r>
      <w:r w:rsidRPr="000627EF">
        <w:rPr>
          <w:rFonts w:ascii="Segoe UI" w:hAnsi="Segoe UI" w:cs="Segoe UI"/>
          <w:sz w:val="22"/>
          <w:szCs w:val="22"/>
        </w:rPr>
        <w:t xml:space="preserve"> </w:t>
      </w:r>
    </w:p>
    <w:p w14:paraId="4FC42FAE" w14:textId="77777777" w:rsidR="00217234"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Pr>
          <w:rFonts w:ascii="Segoe UI" w:hAnsi="Segoe UI" w:cs="Segoe UI"/>
          <w:sz w:val="22"/>
          <w:szCs w:val="22"/>
        </w:rPr>
        <w:t xml:space="preserve"> Patient’s home</w:t>
      </w:r>
    </w:p>
    <w:p w14:paraId="34661029"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Point of care testing</w:t>
      </w:r>
      <w:r w:rsidRPr="000627EF">
        <w:rPr>
          <w:rFonts w:ascii="Segoe UI" w:hAnsi="Segoe UI" w:cs="Segoe UI"/>
          <w:sz w:val="22"/>
          <w:szCs w:val="22"/>
        </w:rPr>
        <w:t xml:space="preserve"> </w:t>
      </w:r>
    </w:p>
    <w:p w14:paraId="4A86C897"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Residential aged care facility</w:t>
      </w:r>
    </w:p>
    <w:p w14:paraId="2FCA1E93" w14:textId="77777777" w:rsidR="00217234" w:rsidRPr="000627EF" w:rsidRDefault="00217234" w:rsidP="00217234">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Other (please specify)</w:t>
      </w:r>
      <w:r w:rsidRPr="000627EF">
        <w:rPr>
          <w:rFonts w:ascii="Segoe UI" w:hAnsi="Segoe UI" w:cs="Segoe UI"/>
          <w:sz w:val="22"/>
          <w:szCs w:val="22"/>
        </w:rPr>
        <w:t xml:space="preserve"> </w:t>
      </w:r>
    </w:p>
    <w:p w14:paraId="594B3A20" w14:textId="77777777" w:rsidR="00BB494A" w:rsidRPr="000627EF" w:rsidRDefault="00BB494A" w:rsidP="00380C41">
      <w:pPr>
        <w:pStyle w:val="Tickboxes"/>
        <w:ind w:left="-284"/>
        <w:rPr>
          <w:rFonts w:ascii="Segoe UI" w:hAnsi="Segoe UI" w:cs="Segoe UI"/>
          <w:b/>
          <w:bCs w:val="0"/>
          <w:sz w:val="22"/>
          <w:szCs w:val="22"/>
        </w:rPr>
      </w:pPr>
    </w:p>
    <w:p w14:paraId="0D56AD3D" w14:textId="784DDF34" w:rsidR="00BB494A" w:rsidRDefault="00BB494A" w:rsidP="00BB494A">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fldChar w:fldCharType="begin">
          <w:ffData>
            <w:name w:val=""/>
            <w:enabled/>
            <w:calcOnExit w:val="0"/>
            <w:textInput>
              <w:default w:val="Specify further details here"/>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Specify further details here</w:t>
      </w:r>
      <w:r>
        <w:rPr>
          <w:rFonts w:ascii="Segoe UI" w:hAnsi="Segoe UI" w:cs="Segoe UI"/>
          <w:sz w:val="22"/>
          <w:szCs w:val="22"/>
        </w:rPr>
        <w:fldChar w:fldCharType="end"/>
      </w:r>
    </w:p>
    <w:p w14:paraId="552DCBE3" w14:textId="77777777" w:rsidR="00380C41" w:rsidRPr="00BE6B22" w:rsidRDefault="00380C41" w:rsidP="00380C41">
      <w:pPr>
        <w:spacing w:after="0" w:line="240" w:lineRule="auto"/>
        <w:rPr>
          <w:rFonts w:asciiTheme="minorHAnsi" w:eastAsia="Segoe UI" w:hAnsiTheme="minorHAnsi" w:cstheme="minorHAnsi"/>
          <w:color w:val="000000"/>
          <w:sz w:val="22"/>
          <w:szCs w:val="22"/>
        </w:rPr>
      </w:pPr>
    </w:p>
    <w:p w14:paraId="2A1C0D0A" w14:textId="38ADFA7C" w:rsidR="002D7216" w:rsidRDefault="002D7216" w:rsidP="002D7216">
      <w:pPr>
        <w:rPr>
          <w:rFonts w:ascii="Segoe UI" w:eastAsia="Segoe UI" w:hAnsi="Segoe UI"/>
          <w:bCs/>
          <w:color w:val="000000"/>
          <w:sz w:val="22"/>
        </w:rPr>
      </w:pPr>
      <w:r>
        <w:rPr>
          <w:rFonts w:ascii="Segoe UI" w:eastAsia="Segoe UI" w:hAnsi="Segoe UI"/>
          <w:b/>
          <w:color w:val="000000"/>
          <w:sz w:val="22"/>
        </w:rPr>
        <w:t xml:space="preserve">Is the proposed health technology intended to be entirely rendered inside Australia? </w:t>
      </w:r>
    </w:p>
    <w:p w14:paraId="112CF328" w14:textId="3718B430" w:rsidR="002D7216" w:rsidRPr="00DF2D79" w:rsidRDefault="00E512FE" w:rsidP="00E512FE">
      <w:pPr>
        <w:spacing w:after="0" w:line="240" w:lineRule="auto"/>
        <w:rPr>
          <w:rFonts w:ascii="Segoe UI" w:eastAsia="Segoe UI" w:hAnsi="Segoe UI"/>
          <w:bCs/>
          <w:color w:val="000000"/>
          <w:sz w:val="22"/>
        </w:rPr>
      </w:pPr>
      <w:r>
        <w:rPr>
          <w:rFonts w:ascii="Segoe UI" w:eastAsia="Segoe UI" w:hAnsi="Segoe UI"/>
          <w:bCs/>
          <w:color w:val="000000"/>
          <w:sz w:val="22"/>
        </w:rPr>
        <w:t>Yes</w:t>
      </w:r>
    </w:p>
    <w:p w14:paraId="0478F3B1" w14:textId="77777777" w:rsidR="002D7216" w:rsidRDefault="002D7216" w:rsidP="002D7216"/>
    <w:p w14:paraId="2F297C95" w14:textId="518F319E" w:rsidR="002D7216" w:rsidRDefault="002D7216" w:rsidP="002D7216">
      <w:pPr>
        <w:spacing w:after="0" w:line="240" w:lineRule="auto"/>
        <w:rPr>
          <w:rFonts w:ascii="Segoe UI" w:eastAsia="Segoe UI" w:hAnsi="Segoe UI"/>
          <w:b/>
          <w:color w:val="000000"/>
          <w:sz w:val="22"/>
        </w:rPr>
      </w:pPr>
      <w:r>
        <w:rPr>
          <w:rFonts w:ascii="Segoe UI" w:eastAsia="Segoe UI" w:hAnsi="Segoe UI"/>
          <w:b/>
          <w:color w:val="000000"/>
          <w:sz w:val="22"/>
        </w:rPr>
        <w:t>Please provide additional details on the proposed health technology to be rendered outside of Australia:</w:t>
      </w:r>
    </w:p>
    <w:p w14:paraId="659D2B35" w14:textId="77777777" w:rsidR="002D7216" w:rsidRDefault="002D7216" w:rsidP="002D7216">
      <w:pPr>
        <w:spacing w:after="0" w:line="240" w:lineRule="auto"/>
        <w:rPr>
          <w:rFonts w:ascii="Segoe UI" w:eastAsia="Segoe UI" w:hAnsi="Segoe UI"/>
          <w:b/>
          <w:color w:val="000000"/>
          <w:sz w:val="22"/>
        </w:rPr>
      </w:pPr>
    </w:p>
    <w:p w14:paraId="55B2A005" w14:textId="208D80C8" w:rsidR="00380C41" w:rsidRPr="00217234" w:rsidRDefault="00217234" w:rsidP="00217234">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NA</w:t>
      </w:r>
    </w:p>
    <w:p w14:paraId="50B7B1F9" w14:textId="77777777" w:rsidR="00BE0612" w:rsidRDefault="00BE0612"/>
    <w:p w14:paraId="126849C1" w14:textId="77777777" w:rsidR="00E512FE" w:rsidRDefault="00E512FE">
      <w:pPr>
        <w:rPr>
          <w:rFonts w:ascii="Segoe UI" w:eastAsia="Segoe UI" w:hAnsi="Segoe UI"/>
          <w:b/>
          <w:color w:val="000000"/>
          <w:sz w:val="32"/>
        </w:rPr>
      </w:pPr>
      <w:r>
        <w:rPr>
          <w:rFonts w:ascii="Segoe UI" w:eastAsia="Segoe UI" w:hAnsi="Segoe UI"/>
          <w:b/>
          <w:color w:val="000000"/>
          <w:sz w:val="32"/>
        </w:rPr>
        <w:br w:type="page"/>
      </w:r>
    </w:p>
    <w:p w14:paraId="5B9D9A2F" w14:textId="204501F1" w:rsidR="00FE257E" w:rsidRDefault="00FE257E" w:rsidP="00FE257E">
      <w:pPr>
        <w:rPr>
          <w:rFonts w:ascii="Segoe UI" w:eastAsia="Segoe UI" w:hAnsi="Segoe UI"/>
          <w:b/>
          <w:color w:val="000000"/>
          <w:sz w:val="32"/>
        </w:rPr>
      </w:pPr>
      <w:r>
        <w:rPr>
          <w:rFonts w:ascii="Segoe UI" w:eastAsia="Segoe UI" w:hAnsi="Segoe UI"/>
          <w:b/>
          <w:color w:val="000000"/>
          <w:sz w:val="32"/>
        </w:rPr>
        <w:lastRenderedPageBreak/>
        <w:t>Comparator</w:t>
      </w:r>
    </w:p>
    <w:p w14:paraId="236B2BF5" w14:textId="71FA6F24" w:rsidR="00FE257E" w:rsidRDefault="00FE257E" w:rsidP="00FE257E">
      <w:pPr>
        <w:spacing w:after="0" w:line="240" w:lineRule="auto"/>
        <w:rPr>
          <w:rFonts w:ascii="Segoe UI" w:hAnsi="Segoe UI" w:cs="Segoe UI"/>
          <w:b/>
          <w:bCs/>
          <w:sz w:val="22"/>
          <w:szCs w:val="22"/>
        </w:rPr>
      </w:pPr>
      <w:r w:rsidRPr="00FE257E">
        <w:rPr>
          <w:rFonts w:ascii="Segoe UI" w:hAnsi="Segoe UI" w:cs="Segoe UI"/>
          <w:b/>
          <w:bCs/>
          <w:sz w:val="22"/>
          <w:szCs w:val="22"/>
        </w:rPr>
        <w:t xml:space="preserve">Nominate the appropriate comparator(s) for the proposed medical service (i.e. how is the proposed population currently managed in the absence of the proposed medical service being available in the </w:t>
      </w:r>
      <w:r w:rsidRPr="00FE257E">
        <w:rPr>
          <w:rFonts w:ascii="Segoe UI" w:hAnsi="Segoe UI" w:cs="Segoe UI"/>
          <w:b/>
          <w:bCs/>
          <w:sz w:val="22"/>
          <w:szCs w:val="22"/>
          <w:u w:val="single"/>
        </w:rPr>
        <w:t>Australian health care system)</w:t>
      </w:r>
      <w:r w:rsidRPr="00FE257E">
        <w:rPr>
          <w:rFonts w:ascii="Segoe UI" w:hAnsi="Segoe UI" w:cs="Segoe UI"/>
          <w:b/>
          <w:bCs/>
          <w:sz w:val="22"/>
          <w:szCs w:val="22"/>
        </w:rPr>
        <w:t>. This includes identifying health care resources that are needed to be delivered at the same time as the comparator service</w:t>
      </w:r>
      <w:r>
        <w:rPr>
          <w:rFonts w:ascii="Segoe UI" w:hAnsi="Segoe UI" w:cs="Segoe UI"/>
          <w:b/>
          <w:bCs/>
          <w:sz w:val="22"/>
          <w:szCs w:val="22"/>
        </w:rPr>
        <w:t>:</w:t>
      </w:r>
    </w:p>
    <w:p w14:paraId="4FFBF7A2" w14:textId="400B8918" w:rsidR="00FE257E" w:rsidRDefault="00FE257E" w:rsidP="00FE257E">
      <w:pPr>
        <w:spacing w:after="0" w:line="240" w:lineRule="auto"/>
        <w:rPr>
          <w:rFonts w:ascii="Segoe UI" w:eastAsia="Segoe UI" w:hAnsi="Segoe UI"/>
          <w:b/>
          <w:color w:val="000000"/>
          <w:sz w:val="22"/>
        </w:rPr>
      </w:pPr>
    </w:p>
    <w:p w14:paraId="7D5CE288" w14:textId="49C55859" w:rsidR="0047658B" w:rsidRDefault="0047658B" w:rsidP="0047658B">
      <w:pPr>
        <w:spacing w:after="0" w:line="240" w:lineRule="auto"/>
        <w:rPr>
          <w:rFonts w:ascii="Segoe UI" w:eastAsia="Segoe UI" w:hAnsi="Segoe UI"/>
          <w:b/>
          <w:color w:val="000000"/>
          <w:sz w:val="22"/>
        </w:rPr>
      </w:pPr>
      <w:r>
        <w:rPr>
          <w:rFonts w:ascii="Segoe UI" w:eastAsia="Segoe UI" w:hAnsi="Segoe UI"/>
          <w:b/>
          <w:color w:val="000000"/>
          <w:sz w:val="22"/>
        </w:rPr>
        <w:t>Please provide a name for your comparator:</w:t>
      </w:r>
    </w:p>
    <w:p w14:paraId="16600999" w14:textId="77777777" w:rsidR="0047658B" w:rsidRDefault="0047658B" w:rsidP="00FE257E">
      <w:pPr>
        <w:spacing w:after="0" w:line="240" w:lineRule="auto"/>
        <w:rPr>
          <w:rFonts w:ascii="Segoe UI" w:eastAsia="Segoe UI" w:hAnsi="Segoe UI"/>
          <w:b/>
          <w:color w:val="000000"/>
          <w:sz w:val="22"/>
        </w:rPr>
      </w:pPr>
    </w:p>
    <w:p w14:paraId="1057EECD" w14:textId="411BE611" w:rsidR="00FE257E" w:rsidRPr="00BE6B22" w:rsidRDefault="00C91215" w:rsidP="00FE257E">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 xml:space="preserve">No testing </w:t>
      </w:r>
    </w:p>
    <w:p w14:paraId="1870E5FF" w14:textId="0254FAAD" w:rsidR="00FE257E" w:rsidRDefault="00FE257E" w:rsidP="00FE257E">
      <w:pPr>
        <w:spacing w:after="0" w:line="240" w:lineRule="auto"/>
        <w:rPr>
          <w:rFonts w:ascii="Segoe UI" w:eastAsia="Segoe UI" w:hAnsi="Segoe UI"/>
          <w:b/>
          <w:color w:val="000000"/>
          <w:sz w:val="22"/>
        </w:rPr>
      </w:pPr>
    </w:p>
    <w:p w14:paraId="210BF75F" w14:textId="5B3915B6" w:rsidR="0047658B" w:rsidRDefault="0047658B" w:rsidP="0047658B">
      <w:pPr>
        <w:spacing w:after="0" w:line="240" w:lineRule="auto"/>
        <w:rPr>
          <w:rFonts w:ascii="Segoe UI" w:eastAsia="Segoe UI" w:hAnsi="Segoe UI"/>
          <w:b/>
          <w:color w:val="000000"/>
          <w:sz w:val="22"/>
        </w:rPr>
      </w:pPr>
      <w:r>
        <w:rPr>
          <w:rFonts w:ascii="Segoe UI" w:eastAsia="Segoe UI" w:hAnsi="Segoe UI"/>
          <w:b/>
          <w:color w:val="000000"/>
          <w:sz w:val="22"/>
        </w:rPr>
        <w:t>Please provide an identifying number for your comparator (if applicable):</w:t>
      </w:r>
    </w:p>
    <w:p w14:paraId="631DB3AD" w14:textId="77777777" w:rsidR="0047658B" w:rsidRDefault="0047658B" w:rsidP="0047658B">
      <w:pPr>
        <w:spacing w:after="0" w:line="240" w:lineRule="auto"/>
        <w:rPr>
          <w:rFonts w:ascii="Segoe UI" w:eastAsia="Segoe UI" w:hAnsi="Segoe UI"/>
          <w:b/>
          <w:color w:val="000000"/>
          <w:sz w:val="22"/>
        </w:rPr>
      </w:pPr>
    </w:p>
    <w:p w14:paraId="0582EE96" w14:textId="3BAD6850" w:rsidR="0047658B" w:rsidRPr="00BE6B22" w:rsidRDefault="00070D59" w:rsidP="0047658B">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NA</w:t>
      </w:r>
    </w:p>
    <w:p w14:paraId="412030A6" w14:textId="0BE51D45" w:rsidR="00930344" w:rsidRDefault="00930344" w:rsidP="00930344">
      <w:pPr>
        <w:spacing w:after="0" w:line="240" w:lineRule="auto"/>
        <w:rPr>
          <w:rFonts w:ascii="Segoe UI" w:eastAsia="Segoe UI" w:hAnsi="Segoe UI"/>
          <w:b/>
          <w:color w:val="000000"/>
          <w:sz w:val="22"/>
        </w:rPr>
      </w:pPr>
    </w:p>
    <w:p w14:paraId="24FC375A" w14:textId="16C38F6E" w:rsidR="00FE257E" w:rsidRDefault="005B5A58" w:rsidP="00FE257E">
      <w:pPr>
        <w:spacing w:after="0" w:line="240" w:lineRule="auto"/>
        <w:rPr>
          <w:rFonts w:ascii="Segoe UI" w:eastAsia="Segoe UI" w:hAnsi="Segoe UI"/>
          <w:b/>
          <w:color w:val="000000"/>
          <w:sz w:val="22"/>
        </w:rPr>
      </w:pPr>
      <w:r>
        <w:rPr>
          <w:rFonts w:ascii="Segoe UI" w:eastAsia="Segoe UI" w:hAnsi="Segoe UI"/>
          <w:b/>
          <w:color w:val="000000"/>
          <w:sz w:val="22"/>
        </w:rPr>
        <w:t>Please provide a rationale for why this is a comparator</w:t>
      </w:r>
      <w:r w:rsidR="000627EF">
        <w:rPr>
          <w:rFonts w:ascii="Segoe UI" w:eastAsia="Segoe UI" w:hAnsi="Segoe UI"/>
          <w:b/>
          <w:color w:val="000000"/>
          <w:sz w:val="22"/>
        </w:rPr>
        <w:t>:</w:t>
      </w:r>
    </w:p>
    <w:p w14:paraId="7AE42CF7" w14:textId="77777777" w:rsidR="00FE257E" w:rsidRDefault="00FE257E" w:rsidP="00FE257E">
      <w:pPr>
        <w:spacing w:after="0" w:line="240" w:lineRule="auto"/>
        <w:rPr>
          <w:rFonts w:ascii="Segoe UI" w:eastAsia="Segoe UI" w:hAnsi="Segoe UI"/>
          <w:b/>
          <w:color w:val="000000"/>
          <w:sz w:val="22"/>
        </w:rPr>
      </w:pPr>
    </w:p>
    <w:p w14:paraId="3266FA47" w14:textId="528330FA" w:rsidR="00C67494" w:rsidRDefault="00070D59" w:rsidP="00FE257E">
      <w:pPr>
        <w:spacing w:after="0" w:line="240" w:lineRule="auto"/>
        <w:rPr>
          <w:rFonts w:ascii="Segoe UI" w:hAnsi="Segoe UI" w:cs="Segoe UI"/>
          <w:sz w:val="22"/>
          <w:szCs w:val="22"/>
        </w:rPr>
      </w:pPr>
      <w:r>
        <w:rPr>
          <w:rFonts w:ascii="Segoe UI" w:hAnsi="Segoe UI" w:cs="Segoe UI"/>
          <w:sz w:val="22"/>
          <w:szCs w:val="22"/>
        </w:rPr>
        <w:t xml:space="preserve">Patients are not currently tested for </w:t>
      </w:r>
      <w:r>
        <w:rPr>
          <w:rFonts w:ascii="Segoe UI" w:hAnsi="Segoe UI" w:cs="Segoe UI"/>
          <w:i/>
          <w:iCs/>
          <w:sz w:val="22"/>
          <w:szCs w:val="22"/>
        </w:rPr>
        <w:t>ESR1</w:t>
      </w:r>
      <w:r>
        <w:rPr>
          <w:rFonts w:ascii="Segoe UI" w:hAnsi="Segoe UI" w:cs="Segoe UI"/>
          <w:sz w:val="22"/>
          <w:szCs w:val="22"/>
        </w:rPr>
        <w:t>m</w:t>
      </w:r>
      <w:r w:rsidR="00C67494">
        <w:rPr>
          <w:rFonts w:ascii="Segoe UI" w:hAnsi="Segoe UI" w:cs="Segoe UI"/>
          <w:sz w:val="22"/>
          <w:szCs w:val="22"/>
        </w:rPr>
        <w:t xml:space="preserve"> because there are currently no </w:t>
      </w:r>
      <w:r w:rsidR="00C67494">
        <w:rPr>
          <w:rFonts w:ascii="Segoe UI" w:hAnsi="Segoe UI" w:cs="Segoe UI"/>
          <w:i/>
          <w:iCs/>
          <w:sz w:val="22"/>
          <w:szCs w:val="22"/>
        </w:rPr>
        <w:t>ESR1</w:t>
      </w:r>
      <w:r w:rsidR="00C67494">
        <w:rPr>
          <w:rFonts w:ascii="Segoe UI" w:hAnsi="Segoe UI" w:cs="Segoe UI"/>
          <w:sz w:val="22"/>
          <w:szCs w:val="22"/>
        </w:rPr>
        <w:t>m targeted therapies listed on the PBS.</w:t>
      </w:r>
    </w:p>
    <w:p w14:paraId="6659751A" w14:textId="77777777" w:rsidR="00C67494" w:rsidRPr="00C67494" w:rsidRDefault="00C67494" w:rsidP="00FE257E">
      <w:pPr>
        <w:spacing w:after="0" w:line="240" w:lineRule="auto"/>
        <w:rPr>
          <w:rFonts w:ascii="Segoe UI" w:hAnsi="Segoe UI" w:cs="Segoe UI"/>
          <w:sz w:val="22"/>
          <w:szCs w:val="22"/>
        </w:rPr>
      </w:pPr>
    </w:p>
    <w:p w14:paraId="1E9E058E" w14:textId="1444E738" w:rsidR="00FE257E" w:rsidRPr="002C6D2C" w:rsidRDefault="002C6D2C" w:rsidP="00FE257E">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 xml:space="preserve">AstraZeneca notes MSAC did not recommend the recent Application 1782, requesting reimbursement of </w:t>
      </w:r>
      <w:r>
        <w:rPr>
          <w:rFonts w:ascii="Segoe UI" w:hAnsi="Segoe UI" w:cs="Segoe UI"/>
          <w:i/>
          <w:iCs/>
          <w:sz w:val="22"/>
          <w:szCs w:val="22"/>
        </w:rPr>
        <w:t>ESR1</w:t>
      </w:r>
      <w:r>
        <w:rPr>
          <w:rFonts w:ascii="Segoe UI" w:hAnsi="Segoe UI" w:cs="Segoe UI"/>
          <w:sz w:val="22"/>
          <w:szCs w:val="22"/>
        </w:rPr>
        <w:t xml:space="preserve">m testing in </w:t>
      </w:r>
      <w:r w:rsidR="00C9151D">
        <w:rPr>
          <w:rFonts w:ascii="Segoe UI" w:hAnsi="Segoe UI" w:cs="Segoe UI"/>
          <w:sz w:val="22"/>
          <w:szCs w:val="22"/>
        </w:rPr>
        <w:t>HR-positive, HER2-negative mBC patients</w:t>
      </w:r>
      <w:r>
        <w:rPr>
          <w:rFonts w:ascii="Segoe UI" w:hAnsi="Segoe UI" w:cs="Segoe UI"/>
          <w:sz w:val="22"/>
          <w:szCs w:val="22"/>
        </w:rPr>
        <w:t>, but from the start of second line treatment</w:t>
      </w:r>
      <w:r w:rsidR="00934846">
        <w:rPr>
          <w:rFonts w:ascii="Segoe UI" w:hAnsi="Segoe UI" w:cs="Segoe UI"/>
          <w:sz w:val="22"/>
          <w:szCs w:val="22"/>
        </w:rPr>
        <w:t xml:space="preserve">. This application did request patients could be re-tested. At the time of the submission of this application, AstraZeneca was not aware of any re-submission of Application 1782. </w:t>
      </w:r>
    </w:p>
    <w:p w14:paraId="2F47DBF3" w14:textId="593AB2A2" w:rsidR="00FE257E" w:rsidRDefault="00FE257E" w:rsidP="00FE257E">
      <w:pPr>
        <w:spacing w:after="0" w:line="240" w:lineRule="auto"/>
        <w:rPr>
          <w:rFonts w:ascii="Segoe UI" w:eastAsia="Segoe UI" w:hAnsi="Segoe UI"/>
          <w:b/>
          <w:color w:val="000000"/>
          <w:sz w:val="22"/>
        </w:rPr>
      </w:pPr>
    </w:p>
    <w:p w14:paraId="3BE3CF30" w14:textId="237486BC" w:rsidR="005B5A58" w:rsidRDefault="005B5A58" w:rsidP="00FE257E">
      <w:pPr>
        <w:spacing w:after="0" w:line="240" w:lineRule="auto"/>
        <w:rPr>
          <w:rFonts w:ascii="Segoe UI" w:eastAsia="Segoe UI" w:hAnsi="Segoe UI"/>
          <w:b/>
          <w:color w:val="000000"/>
          <w:sz w:val="22"/>
        </w:rPr>
      </w:pPr>
      <w:r>
        <w:rPr>
          <w:rFonts w:ascii="Segoe UI" w:eastAsia="Segoe UI" w:hAnsi="Segoe UI"/>
          <w:b/>
          <w:color w:val="000000"/>
          <w:sz w:val="22"/>
        </w:rPr>
        <w:t xml:space="preserve">Pattern of substitution – Will the proposed health technology wholly replace the proposed comparator, partially replace </w:t>
      </w:r>
      <w:r w:rsidR="000627EF">
        <w:rPr>
          <w:rFonts w:ascii="Segoe UI" w:eastAsia="Segoe UI" w:hAnsi="Segoe UI"/>
          <w:b/>
          <w:color w:val="000000"/>
          <w:sz w:val="22"/>
        </w:rPr>
        <w:t>the proposed comparator, displace the proposed comparator or be used in combination with the proposed comparator?</w:t>
      </w:r>
      <w:r w:rsidR="00DB2D53">
        <w:rPr>
          <w:rFonts w:ascii="Segoe UI" w:eastAsia="Segoe UI" w:hAnsi="Segoe UI"/>
          <w:b/>
          <w:color w:val="000000"/>
          <w:sz w:val="22"/>
        </w:rPr>
        <w:t xml:space="preserve"> </w:t>
      </w:r>
      <w:r w:rsidR="00DB2D53" w:rsidRPr="00B63A61">
        <w:rPr>
          <w:rFonts w:ascii="Segoe UI" w:eastAsia="Segoe UI" w:hAnsi="Segoe UI"/>
          <w:bCs/>
          <w:color w:val="000000"/>
          <w:sz w:val="22"/>
        </w:rPr>
        <w:t xml:space="preserve">(please </w:t>
      </w:r>
      <w:r w:rsidR="00DB2D53">
        <w:rPr>
          <w:rFonts w:ascii="Segoe UI" w:eastAsia="Segoe UI" w:hAnsi="Segoe UI"/>
          <w:bCs/>
          <w:color w:val="000000"/>
          <w:sz w:val="22"/>
        </w:rPr>
        <w:t>select</w:t>
      </w:r>
      <w:r w:rsidR="00DB2D53" w:rsidRPr="00B63A61">
        <w:rPr>
          <w:rFonts w:ascii="Segoe UI" w:eastAsia="Segoe UI" w:hAnsi="Segoe UI"/>
          <w:bCs/>
          <w:color w:val="000000"/>
          <w:sz w:val="22"/>
        </w:rPr>
        <w:t xml:space="preserve"> your response)</w:t>
      </w:r>
    </w:p>
    <w:p w14:paraId="1DB01406" w14:textId="06FCFE07" w:rsidR="000627EF" w:rsidRDefault="000627EF" w:rsidP="00FE257E">
      <w:pPr>
        <w:spacing w:after="0" w:line="240" w:lineRule="auto"/>
        <w:rPr>
          <w:rFonts w:ascii="Segoe UI" w:eastAsia="Segoe UI" w:hAnsi="Segoe UI"/>
          <w:b/>
          <w:color w:val="000000"/>
          <w:sz w:val="22"/>
        </w:rPr>
      </w:pPr>
    </w:p>
    <w:p w14:paraId="0A5F4C44" w14:textId="77219CFE" w:rsidR="000627EF" w:rsidRPr="000627EF" w:rsidRDefault="00E3162F" w:rsidP="000627EF">
      <w:pPr>
        <w:pStyle w:val="Tickboxes"/>
        <w:ind w:left="-284"/>
        <w:rPr>
          <w:rFonts w:ascii="Segoe UI" w:hAnsi="Segoe UI" w:cs="Segoe UI"/>
          <w:sz w:val="22"/>
          <w:szCs w:val="22"/>
        </w:rPr>
      </w:pPr>
      <w:r>
        <w:rPr>
          <w:rFonts w:ascii="Segoe UI" w:hAnsi="Segoe UI" w:cs="Segoe UI"/>
          <w:sz w:val="22"/>
          <w:szCs w:val="22"/>
        </w:rPr>
        <w:fldChar w:fldCharType="begin">
          <w:ffData>
            <w:name w:val="Check1"/>
            <w:enabled/>
            <w:calcOnExit w:val="0"/>
            <w:checkBox>
              <w:sizeAuto/>
              <w:default w:val="1"/>
            </w:checkBox>
          </w:ffData>
        </w:fldChar>
      </w:r>
      <w:bookmarkStart w:id="1" w:name="Check1"/>
      <w:r>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fldChar w:fldCharType="end"/>
      </w:r>
      <w:bookmarkEnd w:id="1"/>
      <w:r>
        <w:rPr>
          <w:rFonts w:ascii="Segoe UI" w:hAnsi="Segoe UI" w:cs="Segoe UI"/>
          <w:sz w:val="22"/>
          <w:szCs w:val="22"/>
        </w:rPr>
        <w:t xml:space="preserve"> </w:t>
      </w:r>
      <w:r w:rsidR="000627EF" w:rsidRPr="000627EF">
        <w:rPr>
          <w:rFonts w:ascii="Segoe UI" w:hAnsi="Segoe UI" w:cs="Segoe UI"/>
          <w:sz w:val="22"/>
          <w:szCs w:val="22"/>
        </w:rPr>
        <w:t xml:space="preserve">None – used with the comparator </w:t>
      </w:r>
    </w:p>
    <w:p w14:paraId="04FD711F" w14:textId="03E32ADB" w:rsidR="000627EF" w:rsidRPr="000627EF" w:rsidRDefault="000627EF" w:rsidP="000627EF">
      <w:pPr>
        <w:pStyle w:val="Tickboxes"/>
        <w:ind w:left="-284"/>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Displaced – comparator will likely be used following the proposed technology in some patient</w:t>
      </w:r>
      <w:r>
        <w:rPr>
          <w:rFonts w:ascii="Segoe UI" w:hAnsi="Segoe UI" w:cs="Segoe UI"/>
          <w:sz w:val="22"/>
          <w:szCs w:val="22"/>
        </w:rPr>
        <w:t>s</w:t>
      </w:r>
    </w:p>
    <w:p w14:paraId="3243B3BE" w14:textId="579F091A" w:rsidR="000627EF" w:rsidRPr="000627EF" w:rsidRDefault="000627EF" w:rsidP="000627EF">
      <w:pPr>
        <w:pStyle w:val="Tickboxes"/>
        <w:ind w:left="-284"/>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Partial – in some cases, the proposed technology will replace the use of the comparator, but not in all cases </w:t>
      </w:r>
    </w:p>
    <w:p w14:paraId="6A535D15" w14:textId="51E2E3BA" w:rsidR="000627EF" w:rsidRPr="000627EF" w:rsidRDefault="000627EF" w:rsidP="000627EF">
      <w:pPr>
        <w:pStyle w:val="Tickboxes"/>
        <w:ind w:left="-284"/>
        <w:rPr>
          <w:rFonts w:ascii="Segoe UI" w:hAnsi="Segoe UI" w:cs="Segoe UI"/>
          <w:b/>
          <w:bCs w:val="0"/>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Pr>
          <w:rFonts w:ascii="Segoe UI" w:hAnsi="Segoe UI" w:cs="Segoe UI"/>
          <w:sz w:val="22"/>
          <w:szCs w:val="22"/>
        </w:rPr>
        <w:t xml:space="preserve"> </w:t>
      </w:r>
      <w:r w:rsidRPr="000627EF">
        <w:rPr>
          <w:rFonts w:ascii="Segoe UI" w:hAnsi="Segoe UI" w:cs="Segoe UI"/>
          <w:sz w:val="22"/>
          <w:szCs w:val="22"/>
        </w:rPr>
        <w:t>Full – subjects who receive the proposed intervention will not receive the comparato</w:t>
      </w:r>
      <w:r>
        <w:rPr>
          <w:rFonts w:ascii="Segoe UI" w:hAnsi="Segoe UI" w:cs="Segoe UI"/>
          <w:sz w:val="22"/>
          <w:szCs w:val="22"/>
        </w:rPr>
        <w:t>r</w:t>
      </w:r>
    </w:p>
    <w:p w14:paraId="32AA0FD6" w14:textId="55C0ECCF" w:rsidR="000627EF" w:rsidRDefault="000627EF" w:rsidP="00FE257E">
      <w:pPr>
        <w:spacing w:after="0" w:line="240" w:lineRule="auto"/>
        <w:rPr>
          <w:rFonts w:ascii="Segoe UI" w:eastAsia="Segoe UI" w:hAnsi="Segoe UI"/>
          <w:b/>
          <w:color w:val="000000"/>
          <w:sz w:val="22"/>
        </w:rPr>
      </w:pPr>
    </w:p>
    <w:p w14:paraId="5565CDF0" w14:textId="0BCDE2AD" w:rsidR="000627EF" w:rsidRDefault="000627EF" w:rsidP="000627EF">
      <w:pPr>
        <w:spacing w:after="0" w:line="240" w:lineRule="auto"/>
        <w:rPr>
          <w:rFonts w:ascii="Segoe UI" w:eastAsia="Segoe UI" w:hAnsi="Segoe UI"/>
          <w:b/>
          <w:color w:val="000000"/>
          <w:sz w:val="22"/>
        </w:rPr>
      </w:pPr>
      <w:r>
        <w:rPr>
          <w:rFonts w:ascii="Segoe UI" w:eastAsia="Segoe UI" w:hAnsi="Segoe UI"/>
          <w:b/>
          <w:color w:val="000000"/>
          <w:sz w:val="22"/>
        </w:rPr>
        <w:t>Please outline and explain the extent to which the current comparator is expected to be substituted:</w:t>
      </w:r>
    </w:p>
    <w:p w14:paraId="3D9A6633" w14:textId="77777777" w:rsidR="000627EF" w:rsidRDefault="000627EF" w:rsidP="000627EF">
      <w:pPr>
        <w:spacing w:after="0" w:line="240" w:lineRule="auto"/>
        <w:rPr>
          <w:rFonts w:ascii="Segoe UI" w:eastAsia="Segoe UI" w:hAnsi="Segoe UI"/>
          <w:b/>
          <w:color w:val="000000"/>
          <w:sz w:val="22"/>
        </w:rPr>
      </w:pPr>
    </w:p>
    <w:p w14:paraId="674F8F96" w14:textId="7E944871" w:rsidR="000627EF" w:rsidRPr="00BE6B22" w:rsidRDefault="00E3162F" w:rsidP="000627EF">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There is no test as the comparator</w:t>
      </w:r>
    </w:p>
    <w:p w14:paraId="72445E42" w14:textId="77777777" w:rsidR="000627EF" w:rsidRDefault="000627EF" w:rsidP="000627EF">
      <w:pPr>
        <w:spacing w:after="0" w:line="240" w:lineRule="auto"/>
        <w:rPr>
          <w:rFonts w:ascii="Segoe UI" w:eastAsia="Segoe UI" w:hAnsi="Segoe UI"/>
          <w:b/>
          <w:color w:val="000000"/>
          <w:sz w:val="22"/>
        </w:rPr>
      </w:pPr>
    </w:p>
    <w:p w14:paraId="6549A5AD" w14:textId="77777777" w:rsidR="000627EF" w:rsidRDefault="000627EF" w:rsidP="00FE257E">
      <w:pPr>
        <w:spacing w:after="0" w:line="240" w:lineRule="auto"/>
        <w:rPr>
          <w:rFonts w:ascii="Segoe UI" w:eastAsia="Segoe UI" w:hAnsi="Segoe UI"/>
          <w:b/>
          <w:color w:val="000000"/>
          <w:sz w:val="22"/>
        </w:rPr>
      </w:pPr>
    </w:p>
    <w:p w14:paraId="14825D70" w14:textId="77777777" w:rsidR="0016065A" w:rsidRDefault="0016065A">
      <w:pPr>
        <w:rPr>
          <w:rFonts w:ascii="Segoe UI" w:eastAsia="Segoe UI" w:hAnsi="Segoe UI"/>
          <w:b/>
          <w:color w:val="000000"/>
          <w:sz w:val="32"/>
        </w:rPr>
      </w:pPr>
    </w:p>
    <w:p w14:paraId="21550A9A" w14:textId="77777777" w:rsidR="000627EF" w:rsidRDefault="000627EF">
      <w:pPr>
        <w:rPr>
          <w:rFonts w:ascii="Segoe UI" w:eastAsia="Segoe UI" w:hAnsi="Segoe UI"/>
          <w:b/>
          <w:color w:val="000000"/>
          <w:sz w:val="32"/>
        </w:rPr>
      </w:pPr>
      <w:r>
        <w:rPr>
          <w:rFonts w:ascii="Segoe UI" w:eastAsia="Segoe UI" w:hAnsi="Segoe UI"/>
          <w:b/>
          <w:color w:val="000000"/>
          <w:sz w:val="32"/>
        </w:rPr>
        <w:br w:type="page"/>
      </w:r>
    </w:p>
    <w:p w14:paraId="68475C50" w14:textId="048B3745" w:rsidR="0016065A" w:rsidRDefault="0016065A" w:rsidP="0016065A">
      <w:pPr>
        <w:rPr>
          <w:rFonts w:ascii="Segoe UI" w:eastAsia="Segoe UI" w:hAnsi="Segoe UI"/>
          <w:b/>
          <w:color w:val="000000"/>
          <w:sz w:val="32"/>
        </w:rPr>
      </w:pPr>
      <w:r>
        <w:rPr>
          <w:rFonts w:ascii="Segoe UI" w:eastAsia="Segoe UI" w:hAnsi="Segoe UI"/>
          <w:b/>
          <w:color w:val="000000"/>
          <w:sz w:val="32"/>
        </w:rPr>
        <w:lastRenderedPageBreak/>
        <w:t>Outcome</w:t>
      </w:r>
      <w:r w:rsidR="00770FA6">
        <w:rPr>
          <w:rFonts w:ascii="Segoe UI" w:eastAsia="Segoe UI" w:hAnsi="Segoe UI"/>
          <w:b/>
          <w:color w:val="000000"/>
          <w:sz w:val="32"/>
        </w:rPr>
        <w:t>s</w:t>
      </w:r>
    </w:p>
    <w:p w14:paraId="11303CD6" w14:textId="7783701A" w:rsidR="004C02B7" w:rsidRDefault="004C02B7" w:rsidP="004C02B7">
      <w:pPr>
        <w:spacing w:after="0" w:line="240" w:lineRule="auto"/>
        <w:rPr>
          <w:rFonts w:ascii="Segoe UI" w:eastAsia="Segoe UI" w:hAnsi="Segoe UI"/>
          <w:b/>
          <w:color w:val="000000"/>
          <w:sz w:val="22"/>
        </w:rPr>
      </w:pPr>
      <w:r>
        <w:rPr>
          <w:rFonts w:ascii="Segoe UI" w:eastAsia="Segoe UI" w:hAnsi="Segoe UI"/>
          <w:b/>
          <w:color w:val="000000"/>
          <w:sz w:val="22"/>
        </w:rPr>
        <w:t>List the key health outcomes (major and minor – prioritising major key health outcomes first) that will need to be measured in assessing the clinical claim for the proposed medical service/technology (versus the comparator):</w:t>
      </w:r>
    </w:p>
    <w:p w14:paraId="7DF00C74" w14:textId="77777777" w:rsidR="004C02B7" w:rsidRDefault="004C02B7" w:rsidP="004C02B7">
      <w:pPr>
        <w:spacing w:after="0" w:line="240" w:lineRule="auto"/>
        <w:rPr>
          <w:rFonts w:ascii="Segoe UI" w:eastAsia="Segoe UI" w:hAnsi="Segoe UI"/>
          <w:b/>
          <w:color w:val="000000"/>
          <w:sz w:val="22"/>
        </w:rPr>
      </w:pPr>
    </w:p>
    <w:p w14:paraId="2BA09AC5" w14:textId="51BE3187" w:rsidR="004C02B7" w:rsidRPr="000627EF" w:rsidRDefault="00734C73" w:rsidP="00DB2D53">
      <w:pPr>
        <w:pStyle w:val="Tickboxes"/>
        <w:ind w:left="0"/>
        <w:rPr>
          <w:rFonts w:ascii="Segoe UI" w:hAnsi="Segoe UI" w:cs="Segoe UI"/>
          <w:sz w:val="22"/>
          <w:szCs w:val="22"/>
        </w:rPr>
      </w:pPr>
      <w:r>
        <w:rPr>
          <w:rFonts w:ascii="Segoe UI" w:hAnsi="Segoe UI" w:cs="Segoe UI"/>
          <w:sz w:val="22"/>
          <w:szCs w:val="22"/>
        </w:rPr>
        <w:fldChar w:fldCharType="begin">
          <w:ffData>
            <w:name w:val=""/>
            <w:enabled/>
            <w:calcOnExit w:val="0"/>
            <w:checkBox>
              <w:sizeAuto/>
              <w:default w:val="1"/>
            </w:checkBox>
          </w:ffData>
        </w:fldChar>
      </w:r>
      <w:r>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fldChar w:fldCharType="end"/>
      </w:r>
      <w:r>
        <w:rPr>
          <w:rFonts w:ascii="Segoe UI" w:hAnsi="Segoe UI" w:cs="Segoe UI"/>
          <w:sz w:val="22"/>
          <w:szCs w:val="22"/>
        </w:rPr>
        <w:t xml:space="preserve"> </w:t>
      </w:r>
      <w:r w:rsidR="004C02B7">
        <w:rPr>
          <w:rFonts w:ascii="Segoe UI" w:hAnsi="Segoe UI" w:cs="Segoe UI"/>
          <w:sz w:val="22"/>
          <w:szCs w:val="22"/>
        </w:rPr>
        <w:t>Health benefits</w:t>
      </w:r>
      <w:r w:rsidR="004C02B7" w:rsidRPr="000627EF">
        <w:rPr>
          <w:rFonts w:ascii="Segoe UI" w:hAnsi="Segoe UI" w:cs="Segoe UI"/>
          <w:sz w:val="22"/>
          <w:szCs w:val="22"/>
        </w:rPr>
        <w:t xml:space="preserve"> </w:t>
      </w:r>
    </w:p>
    <w:p w14:paraId="4B5E35E8" w14:textId="5E46D4C4" w:rsidR="004C02B7" w:rsidRPr="000627EF" w:rsidRDefault="004C02B7" w:rsidP="00DB2D53">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Health harms</w:t>
      </w:r>
    </w:p>
    <w:p w14:paraId="7846E3EA" w14:textId="2FF72254" w:rsidR="004C02B7" w:rsidRPr="000627EF" w:rsidRDefault="004C02B7" w:rsidP="00DB2D53">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Resources</w:t>
      </w:r>
      <w:r w:rsidRPr="000627EF">
        <w:rPr>
          <w:rFonts w:ascii="Segoe UI" w:hAnsi="Segoe UI" w:cs="Segoe UI"/>
          <w:sz w:val="22"/>
          <w:szCs w:val="22"/>
        </w:rPr>
        <w:t xml:space="preserve"> </w:t>
      </w:r>
    </w:p>
    <w:p w14:paraId="3CEF185E" w14:textId="2BB141F8" w:rsidR="004C02B7" w:rsidRDefault="004C02B7" w:rsidP="004C02B7">
      <w:pPr>
        <w:spacing w:after="0" w:line="240" w:lineRule="auto"/>
        <w:rPr>
          <w:rFonts w:ascii="Segoe UI" w:eastAsia="Segoe UI" w:hAnsi="Segoe UI"/>
          <w:b/>
          <w:color w:val="000000"/>
          <w:sz w:val="22"/>
        </w:rPr>
      </w:pPr>
    </w:p>
    <w:p w14:paraId="3B869BED" w14:textId="15B522BC" w:rsidR="004C02B7" w:rsidRDefault="00E00CD3" w:rsidP="004C02B7">
      <w:pPr>
        <w:spacing w:after="0" w:line="240" w:lineRule="auto"/>
        <w:rPr>
          <w:rFonts w:ascii="Segoe UI" w:eastAsia="Segoe UI" w:hAnsi="Segoe UI"/>
          <w:b/>
          <w:color w:val="000000"/>
          <w:sz w:val="22"/>
        </w:rPr>
      </w:pPr>
      <w:r>
        <w:rPr>
          <w:rFonts w:ascii="Segoe UI" w:eastAsia="Segoe UI" w:hAnsi="Segoe UI"/>
          <w:b/>
          <w:color w:val="000000"/>
          <w:sz w:val="22"/>
        </w:rPr>
        <w:t>O</w:t>
      </w:r>
      <w:r w:rsidR="00CB5480">
        <w:rPr>
          <w:rFonts w:ascii="Segoe UI" w:eastAsia="Segoe UI" w:hAnsi="Segoe UI"/>
          <w:b/>
          <w:color w:val="000000"/>
          <w:sz w:val="22"/>
        </w:rPr>
        <w:t>utcome description</w:t>
      </w:r>
      <w:r>
        <w:rPr>
          <w:rFonts w:ascii="Segoe UI" w:eastAsia="Segoe UI" w:hAnsi="Segoe UI"/>
          <w:b/>
          <w:color w:val="000000"/>
          <w:sz w:val="22"/>
        </w:rPr>
        <w:t xml:space="preserve"> – please include information about whether a change in patient management, or prognosis, occurs as a result of the test information</w:t>
      </w:r>
      <w:r w:rsidR="004C02B7">
        <w:rPr>
          <w:rFonts w:ascii="Segoe UI" w:eastAsia="Segoe UI" w:hAnsi="Segoe UI"/>
          <w:b/>
          <w:color w:val="000000"/>
          <w:sz w:val="22"/>
        </w:rPr>
        <w:t>:</w:t>
      </w:r>
    </w:p>
    <w:p w14:paraId="36189B68" w14:textId="77777777" w:rsidR="004C02B7" w:rsidRDefault="004C02B7" w:rsidP="004C02B7">
      <w:pPr>
        <w:spacing w:after="0" w:line="240" w:lineRule="auto"/>
        <w:rPr>
          <w:rFonts w:ascii="Segoe UI" w:eastAsia="Segoe UI" w:hAnsi="Segoe UI"/>
          <w:b/>
          <w:color w:val="000000"/>
          <w:sz w:val="22"/>
        </w:rPr>
      </w:pPr>
    </w:p>
    <w:p w14:paraId="0F7DA62D" w14:textId="5820818E" w:rsidR="00CA4BB9" w:rsidRDefault="00FF156C" w:rsidP="00CA4BB9">
      <w:pPr>
        <w:spacing w:after="0" w:line="240" w:lineRule="auto"/>
        <w:rPr>
          <w:rFonts w:ascii="Segoe UI" w:hAnsi="Segoe UI" w:cs="Segoe UI"/>
          <w:sz w:val="22"/>
          <w:szCs w:val="22"/>
        </w:rPr>
      </w:pPr>
      <w:r>
        <w:rPr>
          <w:rFonts w:ascii="Segoe UI" w:hAnsi="Segoe UI" w:cs="Segoe UI"/>
          <w:sz w:val="22"/>
          <w:szCs w:val="22"/>
        </w:rPr>
        <w:t xml:space="preserve">In the SERENA-6 trial, the switch from AI to camizestrant </w:t>
      </w:r>
      <w:r w:rsidR="005B7584">
        <w:rPr>
          <w:rFonts w:ascii="Segoe UI" w:hAnsi="Segoe UI" w:cs="Segoe UI"/>
          <w:sz w:val="22"/>
          <w:szCs w:val="22"/>
        </w:rPr>
        <w:t>(in combination with the existing CDK</w:t>
      </w:r>
      <w:r w:rsidR="0039585E">
        <w:rPr>
          <w:rFonts w:ascii="Segoe UI" w:hAnsi="Segoe UI" w:cs="Segoe UI"/>
          <w:sz w:val="22"/>
          <w:szCs w:val="22"/>
        </w:rPr>
        <w:t> </w:t>
      </w:r>
      <w:r w:rsidR="005B7584">
        <w:rPr>
          <w:rFonts w:ascii="Segoe UI" w:hAnsi="Segoe UI" w:cs="Segoe UI"/>
          <w:sz w:val="22"/>
          <w:szCs w:val="22"/>
        </w:rPr>
        <w:t xml:space="preserve"> 4/6 </w:t>
      </w:r>
      <w:r w:rsidR="00CA4BB9">
        <w:rPr>
          <w:rFonts w:ascii="Segoe UI" w:hAnsi="Segoe UI" w:cs="Segoe UI"/>
          <w:sz w:val="22"/>
          <w:szCs w:val="22"/>
        </w:rPr>
        <w:t>inhibitor</w:t>
      </w:r>
      <w:r w:rsidR="005B7584">
        <w:rPr>
          <w:rFonts w:ascii="Segoe UI" w:hAnsi="Segoe UI" w:cs="Segoe UI"/>
          <w:sz w:val="22"/>
          <w:szCs w:val="22"/>
        </w:rPr>
        <w:t xml:space="preserve">) </w:t>
      </w:r>
      <w:r w:rsidR="00F85F9A" w:rsidRPr="00F85F9A">
        <w:rPr>
          <w:rFonts w:ascii="Segoe UI" w:hAnsi="Segoe UI" w:cs="Segoe UI"/>
          <w:sz w:val="22"/>
          <w:szCs w:val="22"/>
        </w:rPr>
        <w:t xml:space="preserve">upon detection of </w:t>
      </w:r>
      <w:r w:rsidR="00F85F9A" w:rsidRPr="0010370D">
        <w:rPr>
          <w:rFonts w:ascii="Segoe UI" w:hAnsi="Segoe UI" w:cs="Segoe UI"/>
          <w:i/>
          <w:iCs/>
          <w:sz w:val="22"/>
          <w:szCs w:val="22"/>
        </w:rPr>
        <w:t>ESR1</w:t>
      </w:r>
      <w:r w:rsidR="00F85F9A" w:rsidRPr="00F85F9A">
        <w:rPr>
          <w:rFonts w:ascii="Segoe UI" w:hAnsi="Segoe UI" w:cs="Segoe UI"/>
          <w:sz w:val="22"/>
          <w:szCs w:val="22"/>
        </w:rPr>
        <w:t xml:space="preserve">m and ahead of disease progression, extended the duration of benefit of </w:t>
      </w:r>
      <w:r w:rsidR="0010370D">
        <w:rPr>
          <w:rFonts w:ascii="Segoe UI" w:hAnsi="Segoe UI" w:cs="Segoe UI"/>
          <w:sz w:val="22"/>
          <w:szCs w:val="22"/>
        </w:rPr>
        <w:t>first line</w:t>
      </w:r>
      <w:r w:rsidR="00F85F9A" w:rsidRPr="00F85F9A">
        <w:rPr>
          <w:rFonts w:ascii="Segoe UI" w:hAnsi="Segoe UI" w:cs="Segoe UI"/>
          <w:sz w:val="22"/>
          <w:szCs w:val="22"/>
        </w:rPr>
        <w:t xml:space="preserve"> treatment in patients whose disease develop</w:t>
      </w:r>
      <w:r w:rsidR="0010370D">
        <w:rPr>
          <w:rFonts w:ascii="Segoe UI" w:hAnsi="Segoe UI" w:cs="Segoe UI"/>
          <w:sz w:val="22"/>
          <w:szCs w:val="22"/>
        </w:rPr>
        <w:t>ed</w:t>
      </w:r>
      <w:r w:rsidR="00F85F9A" w:rsidRPr="00F85F9A">
        <w:rPr>
          <w:rFonts w:ascii="Segoe UI" w:hAnsi="Segoe UI" w:cs="Segoe UI"/>
          <w:sz w:val="22"/>
          <w:szCs w:val="22"/>
        </w:rPr>
        <w:t xml:space="preserve"> molecular resistance to AI and substantially delayed disease progression.</w:t>
      </w:r>
      <w:r w:rsidR="00F25BFF">
        <w:rPr>
          <w:rFonts w:ascii="Segoe UI" w:hAnsi="Segoe UI" w:cs="Segoe UI"/>
          <w:sz w:val="22"/>
          <w:szCs w:val="22"/>
        </w:rPr>
        <w:t xml:space="preserve"> Patients experienced a </w:t>
      </w:r>
      <w:r w:rsidR="005B7584">
        <w:rPr>
          <w:rFonts w:ascii="Segoe UI" w:hAnsi="Segoe UI" w:cs="Segoe UI"/>
          <w:sz w:val="22"/>
          <w:szCs w:val="22"/>
        </w:rPr>
        <w:t xml:space="preserve">highly clinically and </w:t>
      </w:r>
      <w:r w:rsidR="002E2E41">
        <w:rPr>
          <w:rFonts w:ascii="Segoe UI" w:hAnsi="Segoe UI" w:cs="Segoe UI"/>
          <w:sz w:val="22"/>
          <w:szCs w:val="22"/>
        </w:rPr>
        <w:t xml:space="preserve">statistically </w:t>
      </w:r>
      <w:r w:rsidR="005B7584">
        <w:rPr>
          <w:rFonts w:ascii="Segoe UI" w:hAnsi="Segoe UI" w:cs="Segoe UI"/>
          <w:sz w:val="22"/>
          <w:szCs w:val="22"/>
        </w:rPr>
        <w:t>significa</w:t>
      </w:r>
      <w:r w:rsidR="002E2E41">
        <w:rPr>
          <w:rFonts w:ascii="Segoe UI" w:hAnsi="Segoe UI" w:cs="Segoe UI"/>
          <w:sz w:val="22"/>
          <w:szCs w:val="22"/>
        </w:rPr>
        <w:t>nt</w:t>
      </w:r>
      <w:r w:rsidR="005B7584">
        <w:rPr>
          <w:rFonts w:ascii="Segoe UI" w:hAnsi="Segoe UI" w:cs="Segoe UI"/>
          <w:sz w:val="22"/>
          <w:szCs w:val="22"/>
        </w:rPr>
        <w:t xml:space="preserve"> improvement in</w:t>
      </w:r>
      <w:r w:rsidR="00C24BE9" w:rsidRPr="00C24BE9">
        <w:t xml:space="preserve"> </w:t>
      </w:r>
      <w:r w:rsidR="00C24BE9" w:rsidRPr="00C24BE9">
        <w:rPr>
          <w:rFonts w:ascii="Segoe UI" w:hAnsi="Segoe UI" w:cs="Segoe UI"/>
          <w:sz w:val="22"/>
          <w:szCs w:val="22"/>
        </w:rPr>
        <w:t>investigator assessed</w:t>
      </w:r>
      <w:r w:rsidR="005B7584">
        <w:rPr>
          <w:rFonts w:ascii="Segoe UI" w:hAnsi="Segoe UI" w:cs="Segoe UI"/>
          <w:sz w:val="22"/>
          <w:szCs w:val="22"/>
        </w:rPr>
        <w:t xml:space="preserve"> PFS</w:t>
      </w:r>
      <w:r w:rsidR="00A53C4E">
        <w:rPr>
          <w:rFonts w:ascii="Segoe UI" w:hAnsi="Segoe UI" w:cs="Segoe UI"/>
          <w:sz w:val="22"/>
          <w:szCs w:val="22"/>
        </w:rPr>
        <w:t xml:space="preserve">: </w:t>
      </w:r>
      <w:r w:rsidR="004035F4">
        <w:rPr>
          <w:rFonts w:ascii="Segoe UI" w:hAnsi="Segoe UI" w:cs="Segoe UI"/>
          <w:sz w:val="22"/>
          <w:szCs w:val="22"/>
        </w:rPr>
        <w:t>mPFS 15.9</w:t>
      </w:r>
      <w:r w:rsidR="006225AD">
        <w:rPr>
          <w:rFonts w:ascii="Segoe UI" w:hAnsi="Segoe UI" w:cs="Segoe UI"/>
          <w:sz w:val="22"/>
          <w:szCs w:val="22"/>
        </w:rPr>
        <w:t>7</w:t>
      </w:r>
      <w:r w:rsidR="004035F4">
        <w:rPr>
          <w:rFonts w:ascii="Segoe UI" w:hAnsi="Segoe UI" w:cs="Segoe UI"/>
          <w:sz w:val="22"/>
          <w:szCs w:val="22"/>
        </w:rPr>
        <w:t xml:space="preserve"> </w:t>
      </w:r>
      <w:r w:rsidR="00A53C4E">
        <w:rPr>
          <w:rFonts w:ascii="Segoe UI" w:hAnsi="Segoe UI" w:cs="Segoe UI"/>
          <w:sz w:val="22"/>
          <w:szCs w:val="22"/>
        </w:rPr>
        <w:t xml:space="preserve">months </w:t>
      </w:r>
      <w:r w:rsidR="004035F4">
        <w:rPr>
          <w:rFonts w:ascii="Segoe UI" w:hAnsi="Segoe UI" w:cs="Segoe UI"/>
          <w:sz w:val="22"/>
          <w:szCs w:val="22"/>
        </w:rPr>
        <w:t>compared to 9.</w:t>
      </w:r>
      <w:r w:rsidR="006225AD">
        <w:rPr>
          <w:rFonts w:ascii="Segoe UI" w:hAnsi="Segoe UI" w:cs="Segoe UI"/>
          <w:sz w:val="22"/>
          <w:szCs w:val="22"/>
        </w:rPr>
        <w:t>23 months (HR 0.44</w:t>
      </w:r>
      <w:r w:rsidR="00D52DC4">
        <w:rPr>
          <w:rFonts w:ascii="Segoe UI" w:hAnsi="Segoe UI" w:cs="Segoe UI"/>
          <w:sz w:val="22"/>
          <w:szCs w:val="22"/>
        </w:rPr>
        <w:t>;</w:t>
      </w:r>
      <w:r w:rsidR="006225AD">
        <w:rPr>
          <w:rFonts w:ascii="Segoe UI" w:hAnsi="Segoe UI" w:cs="Segoe UI"/>
          <w:sz w:val="22"/>
          <w:szCs w:val="22"/>
        </w:rPr>
        <w:t xml:space="preserve"> 95% CI</w:t>
      </w:r>
      <w:r w:rsidR="006C5D73">
        <w:rPr>
          <w:rFonts w:ascii="Segoe UI" w:hAnsi="Segoe UI" w:cs="Segoe UI"/>
          <w:sz w:val="22"/>
          <w:szCs w:val="22"/>
        </w:rPr>
        <w:t>,</w:t>
      </w:r>
      <w:r w:rsidR="006225AD">
        <w:rPr>
          <w:rFonts w:ascii="Segoe UI" w:hAnsi="Segoe UI" w:cs="Segoe UI"/>
          <w:sz w:val="22"/>
          <w:szCs w:val="22"/>
        </w:rPr>
        <w:t xml:space="preserve"> 0.31-0.60, p&lt;0.00001)</w:t>
      </w:r>
      <w:r w:rsidR="000A6596">
        <w:rPr>
          <w:rFonts w:ascii="Segoe UI" w:hAnsi="Segoe UI" w:cs="Segoe UI"/>
          <w:sz w:val="22"/>
          <w:szCs w:val="22"/>
        </w:rPr>
        <w:t xml:space="preserve">. </w:t>
      </w:r>
      <w:r w:rsidR="00247549" w:rsidRPr="00247549">
        <w:rPr>
          <w:rFonts w:ascii="Segoe UI" w:hAnsi="Segoe UI" w:cs="Segoe UI"/>
          <w:sz w:val="22"/>
          <w:szCs w:val="22"/>
        </w:rPr>
        <w:t xml:space="preserve">Analysis of PFS according to blinded independent central review was also consistent with the primary analysis (HR: 0.43; 95% CI: 0.29–0.63; median 19.3 months vs 11.5 month; Bidard et al 2025). </w:t>
      </w:r>
      <w:r w:rsidR="1DD18FE0" w:rsidRPr="6BD791AF">
        <w:rPr>
          <w:rFonts w:ascii="Segoe UI" w:hAnsi="Segoe UI" w:cs="Segoe UI"/>
          <w:sz w:val="22"/>
          <w:szCs w:val="22"/>
        </w:rPr>
        <w:t>Patients</w:t>
      </w:r>
      <w:r w:rsidR="000A6596">
        <w:rPr>
          <w:rFonts w:ascii="Segoe UI" w:hAnsi="Segoe UI" w:cs="Segoe UI"/>
          <w:sz w:val="22"/>
          <w:szCs w:val="22"/>
        </w:rPr>
        <w:t xml:space="preserve"> receiving camizestrant also </w:t>
      </w:r>
      <w:r w:rsidR="009171C0">
        <w:rPr>
          <w:rFonts w:ascii="Segoe UI" w:hAnsi="Segoe UI" w:cs="Segoe UI"/>
          <w:sz w:val="22"/>
          <w:szCs w:val="22"/>
        </w:rPr>
        <w:t>experienced a</w:t>
      </w:r>
      <w:r w:rsidR="00765F14">
        <w:rPr>
          <w:rFonts w:ascii="Segoe UI" w:hAnsi="Segoe UI" w:cs="Segoe UI"/>
          <w:sz w:val="22"/>
          <w:szCs w:val="22"/>
        </w:rPr>
        <w:t xml:space="preserve"> </w:t>
      </w:r>
      <w:r w:rsidR="000A6596">
        <w:rPr>
          <w:rFonts w:ascii="Segoe UI" w:hAnsi="Segoe UI" w:cs="Segoe UI"/>
          <w:sz w:val="22"/>
          <w:szCs w:val="22"/>
        </w:rPr>
        <w:t xml:space="preserve">significant reduced risk of deterioration in </w:t>
      </w:r>
      <w:r w:rsidR="00CA4BB9">
        <w:rPr>
          <w:rFonts w:ascii="Segoe UI" w:hAnsi="Segoe UI" w:cs="Segoe UI"/>
          <w:sz w:val="22"/>
          <w:szCs w:val="22"/>
        </w:rPr>
        <w:t xml:space="preserve">patient-reported cancer symptoms (pain, shortness of breath/dyspnoea, breast and arm symptoms) and functioning (physical, role and emotional) compared with the current standard of care, AI in combination with </w:t>
      </w:r>
      <w:r w:rsidR="00DF5AB6">
        <w:rPr>
          <w:rFonts w:ascii="Segoe UI" w:hAnsi="Segoe UI" w:cs="Segoe UI"/>
          <w:sz w:val="22"/>
          <w:szCs w:val="22"/>
        </w:rPr>
        <w:t>CDK4/6</w:t>
      </w:r>
      <w:r w:rsidR="00CA4BB9">
        <w:rPr>
          <w:rFonts w:ascii="Segoe UI" w:hAnsi="Segoe UI" w:cs="Segoe UI"/>
          <w:sz w:val="22"/>
          <w:szCs w:val="22"/>
        </w:rPr>
        <w:t xml:space="preserve"> inhibitor (Mayer et al 2025). </w:t>
      </w:r>
    </w:p>
    <w:p w14:paraId="73003453" w14:textId="167A08A9" w:rsidR="6BD791AF" w:rsidRDefault="6BD791AF" w:rsidP="6BD791AF">
      <w:pPr>
        <w:spacing w:after="0" w:line="240" w:lineRule="auto"/>
        <w:rPr>
          <w:rFonts w:ascii="Segoe UI" w:hAnsi="Segoe UI" w:cs="Segoe UI"/>
          <w:sz w:val="22"/>
          <w:szCs w:val="22"/>
        </w:rPr>
      </w:pPr>
    </w:p>
    <w:p w14:paraId="6A92A10E" w14:textId="4D789977" w:rsidR="4E547346" w:rsidRDefault="4E547346" w:rsidP="6BD791AF">
      <w:pPr>
        <w:spacing w:after="0" w:line="240" w:lineRule="auto"/>
        <w:rPr>
          <w:rFonts w:ascii="Segoe UI" w:hAnsi="Segoe UI" w:cs="Segoe UI"/>
          <w:sz w:val="22"/>
          <w:szCs w:val="22"/>
        </w:rPr>
      </w:pPr>
      <w:r w:rsidRPr="6BD791AF">
        <w:rPr>
          <w:rFonts w:ascii="Segoe UI" w:hAnsi="Segoe UI" w:cs="Segoe UI"/>
          <w:sz w:val="22"/>
          <w:szCs w:val="22"/>
        </w:rPr>
        <w:t>The most common adverse event of any grade was neutropenia (54.8% in the camizestrant arm and 44.5% in the control arm)</w:t>
      </w:r>
      <w:r w:rsidR="303F4746" w:rsidRPr="6BD791AF">
        <w:rPr>
          <w:rFonts w:ascii="Segoe UI" w:hAnsi="Segoe UI" w:cs="Segoe UI"/>
          <w:sz w:val="22"/>
          <w:szCs w:val="22"/>
        </w:rPr>
        <w:t xml:space="preserve">, consistent with the known safety profile of CDK4/6 inhibitors. The </w:t>
      </w:r>
      <w:r w:rsidR="35CD024A" w:rsidRPr="6BD791AF">
        <w:rPr>
          <w:rFonts w:ascii="Segoe UI" w:hAnsi="Segoe UI" w:cs="Segoe UI"/>
          <w:sz w:val="22"/>
          <w:szCs w:val="22"/>
        </w:rPr>
        <w:t xml:space="preserve">frequency of discontinuation due to adverse events was 1.3% in the camizestrant arm and 1.9% in the control arm </w:t>
      </w:r>
      <w:r w:rsidR="2CD7C33F" w:rsidRPr="6BD791AF">
        <w:rPr>
          <w:rFonts w:ascii="Segoe UI" w:hAnsi="Segoe UI" w:cs="Segoe UI"/>
          <w:sz w:val="22"/>
          <w:szCs w:val="22"/>
        </w:rPr>
        <w:t xml:space="preserve">and the incidence of serious adverse events was 10.3% in camizestrant arm and 12.3% in the control arm. </w:t>
      </w:r>
    </w:p>
    <w:p w14:paraId="32D0BA40" w14:textId="77777777" w:rsidR="00444D84" w:rsidRDefault="00444D84" w:rsidP="6BD791AF">
      <w:pPr>
        <w:spacing w:after="0" w:line="240" w:lineRule="auto"/>
        <w:rPr>
          <w:rFonts w:ascii="Segoe UI" w:hAnsi="Segoe UI" w:cs="Segoe UI"/>
          <w:sz w:val="22"/>
          <w:szCs w:val="22"/>
        </w:rPr>
      </w:pPr>
    </w:p>
    <w:p w14:paraId="66ECB4C2" w14:textId="77777777" w:rsidR="00E512FE" w:rsidRDefault="00E512FE" w:rsidP="00E512FE">
      <w:pPr>
        <w:rPr>
          <w:rFonts w:ascii="Segoe UI" w:eastAsia="Segoe UI" w:hAnsi="Segoe UI"/>
          <w:b/>
          <w:color w:val="000000"/>
          <w:sz w:val="32"/>
        </w:rPr>
      </w:pPr>
      <w:r>
        <w:rPr>
          <w:rFonts w:ascii="Segoe UI" w:eastAsia="Segoe UI" w:hAnsi="Segoe UI"/>
          <w:b/>
          <w:color w:val="000000"/>
          <w:sz w:val="32"/>
        </w:rPr>
        <w:t>Algorithms</w:t>
      </w:r>
    </w:p>
    <w:p w14:paraId="21DF7123" w14:textId="77777777" w:rsidR="00E512FE" w:rsidRDefault="00E512FE" w:rsidP="00E512FE">
      <w:pPr>
        <w:rPr>
          <w:rFonts w:ascii="Segoe UI" w:eastAsia="Segoe UI" w:hAnsi="Segoe UI"/>
          <w:b/>
          <w:color w:val="000000"/>
          <w:sz w:val="22"/>
        </w:rPr>
      </w:pPr>
      <w:r w:rsidRPr="0090168B">
        <w:rPr>
          <w:rFonts w:ascii="Segoe UI" w:eastAsia="Segoe UI" w:hAnsi="Segoe UI"/>
          <w:b/>
          <w:color w:val="000000"/>
          <w:u w:val="single"/>
        </w:rPr>
        <w:t>Preparation for using the health technology</w:t>
      </w:r>
      <w:r>
        <w:rPr>
          <w:rFonts w:ascii="Segoe UI" w:eastAsia="Segoe UI" w:hAnsi="Segoe UI"/>
          <w:b/>
          <w:color w:val="000000"/>
          <w:u w:val="single"/>
        </w:rPr>
        <w:br/>
      </w:r>
      <w:r>
        <w:rPr>
          <w:rFonts w:ascii="Segoe UI" w:eastAsia="Segoe UI" w:hAnsi="Segoe UI"/>
          <w:b/>
          <w:color w:val="000000"/>
          <w:sz w:val="22"/>
        </w:rPr>
        <w:t xml:space="preserve">Define and summarise the clinical management algorithm, including any required tests or healthcare resources, before patients would be eligible for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w:t>
      </w:r>
    </w:p>
    <w:p w14:paraId="14040C75" w14:textId="77777777" w:rsidR="00E512FE" w:rsidRDefault="00E512FE" w:rsidP="00E512FE">
      <w:pPr>
        <w:spacing w:after="0" w:line="240" w:lineRule="auto"/>
        <w:rPr>
          <w:rFonts w:ascii="Segoe UI" w:hAnsi="Segoe UI" w:cs="Segoe UI"/>
          <w:sz w:val="22"/>
          <w:szCs w:val="22"/>
        </w:rPr>
      </w:pPr>
      <w:r>
        <w:rPr>
          <w:rFonts w:ascii="Segoe UI" w:hAnsi="Segoe UI" w:cs="Segoe UI"/>
          <w:sz w:val="22"/>
          <w:szCs w:val="22"/>
        </w:rPr>
        <w:t>A clinical management algorithm is provided below.</w:t>
      </w:r>
    </w:p>
    <w:p w14:paraId="7A5E9594" w14:textId="77777777" w:rsidR="00E512FE" w:rsidRDefault="00E512FE" w:rsidP="00E512FE">
      <w:pPr>
        <w:spacing w:after="0" w:line="240" w:lineRule="auto"/>
        <w:rPr>
          <w:rFonts w:ascii="Segoe UI" w:hAnsi="Segoe UI" w:cs="Segoe UI"/>
          <w:sz w:val="22"/>
          <w:szCs w:val="22"/>
        </w:rPr>
      </w:pPr>
    </w:p>
    <w:p w14:paraId="199D4DFF" w14:textId="77777777" w:rsidR="00E512FE" w:rsidRDefault="00E512FE" w:rsidP="00E512FE">
      <w:pPr>
        <w:spacing w:after="0" w:line="240" w:lineRule="auto"/>
        <w:rPr>
          <w:rFonts w:ascii="Segoe UI" w:hAnsi="Segoe UI" w:cs="Segoe UI"/>
          <w:sz w:val="22"/>
          <w:szCs w:val="22"/>
        </w:rPr>
      </w:pPr>
      <w:r>
        <w:rPr>
          <w:rFonts w:ascii="Segoe UI" w:hAnsi="Segoe UI" w:cs="Segoe UI"/>
          <w:sz w:val="22"/>
          <w:szCs w:val="22"/>
        </w:rPr>
        <w:t xml:space="preserve">Prior to being eligible for the proposed health technology, patients will have been diagnosed with HR-positive, HER2-negative mBC and have received at least 6 months of AI + CDK4/6 inhibitor and remain free of disease progression. </w:t>
      </w:r>
    </w:p>
    <w:p w14:paraId="42C5F399" w14:textId="77777777" w:rsidR="00E512FE" w:rsidRPr="00D02BA0" w:rsidRDefault="00E512FE" w:rsidP="00E512FE">
      <w:pPr>
        <w:spacing w:after="0" w:line="240" w:lineRule="auto"/>
        <w:rPr>
          <w:rFonts w:ascii="Segoe UI" w:eastAsia="Segoe UI" w:hAnsi="Segoe UI"/>
          <w:b/>
          <w:color w:val="000000"/>
          <w:sz w:val="22"/>
        </w:rPr>
      </w:pPr>
    </w:p>
    <w:p w14:paraId="3F1F04C1" w14:textId="77777777" w:rsidR="00E512FE" w:rsidRDefault="00E512FE" w:rsidP="00E512FE">
      <w:pPr>
        <w:rPr>
          <w:rFonts w:ascii="Segoe UI" w:eastAsia="Segoe UI" w:hAnsi="Segoe UI"/>
          <w:bCs/>
          <w:color w:val="000000"/>
          <w:sz w:val="22"/>
        </w:rPr>
      </w:pPr>
      <w:r>
        <w:rPr>
          <w:rFonts w:ascii="Segoe UI" w:eastAsia="Segoe UI" w:hAnsi="Segoe UI"/>
          <w:b/>
          <w:color w:val="000000"/>
          <w:sz w:val="22"/>
        </w:rPr>
        <w:t xml:space="preserve">Is there any expectation that the clinical management algorithm </w:t>
      </w:r>
      <w:r w:rsidRPr="00B10A36">
        <w:rPr>
          <w:rFonts w:ascii="Segoe UI" w:eastAsia="Segoe UI" w:hAnsi="Segoe UI"/>
          <w:b/>
          <w:i/>
          <w:iCs/>
          <w:color w:val="000000"/>
          <w:sz w:val="22"/>
        </w:rPr>
        <w:t>before</w:t>
      </w:r>
      <w:r>
        <w:rPr>
          <w:rFonts w:ascii="Segoe UI" w:eastAsia="Segoe UI" w:hAnsi="Segoe UI"/>
          <w:b/>
          <w:color w:val="000000"/>
          <w:sz w:val="22"/>
        </w:rPr>
        <w:t xml:space="preserve"> the health technology is used will change due to the introduction of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 xml:space="preserve">? </w:t>
      </w:r>
    </w:p>
    <w:p w14:paraId="24064797" w14:textId="77777777" w:rsidR="00E512FE" w:rsidRPr="00DF2D79" w:rsidRDefault="00E512FE" w:rsidP="00E512FE">
      <w:pPr>
        <w:spacing w:after="0" w:line="240" w:lineRule="auto"/>
        <w:rPr>
          <w:rFonts w:ascii="Segoe UI" w:eastAsia="Segoe UI" w:hAnsi="Segoe UI"/>
          <w:bCs/>
          <w:color w:val="000000"/>
          <w:sz w:val="22"/>
        </w:rPr>
      </w:pPr>
      <w:r>
        <w:rPr>
          <w:rFonts w:ascii="Segoe UI" w:eastAsia="Segoe UI" w:hAnsi="Segoe UI"/>
          <w:bCs/>
          <w:color w:val="000000"/>
          <w:sz w:val="22"/>
        </w:rPr>
        <w:t>No</w:t>
      </w:r>
    </w:p>
    <w:p w14:paraId="1E9C798E"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lastRenderedPageBreak/>
        <w:t xml:space="preserve">Describe and explain any differences in the clinical management algorithm prior to the use of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 xml:space="preserve"> vs. the </w:t>
      </w:r>
      <w:r w:rsidRPr="00DD0A06">
        <w:rPr>
          <w:rFonts w:ascii="Segoe UI" w:eastAsia="Segoe UI" w:hAnsi="Segoe UI"/>
          <w:b/>
          <w:color w:val="000000"/>
          <w:sz w:val="22"/>
          <w:u w:val="single"/>
        </w:rPr>
        <w:t>comparator health technology</w:t>
      </w:r>
      <w:r>
        <w:rPr>
          <w:rFonts w:ascii="Segoe UI" w:eastAsia="Segoe UI" w:hAnsi="Segoe UI"/>
          <w:b/>
          <w:color w:val="000000"/>
          <w:sz w:val="22"/>
        </w:rPr>
        <w:t>:</w:t>
      </w:r>
    </w:p>
    <w:p w14:paraId="73F00244" w14:textId="77777777" w:rsidR="00E512FE" w:rsidRDefault="00E512FE" w:rsidP="00E512FE">
      <w:pPr>
        <w:spacing w:after="0" w:line="240" w:lineRule="auto"/>
        <w:rPr>
          <w:rFonts w:ascii="Segoe UI" w:eastAsia="Segoe UI" w:hAnsi="Segoe UI"/>
          <w:b/>
          <w:color w:val="000000"/>
          <w:sz w:val="22"/>
        </w:rPr>
      </w:pPr>
    </w:p>
    <w:p w14:paraId="5993E80F" w14:textId="77777777" w:rsidR="00E512FE" w:rsidRDefault="00E512FE" w:rsidP="00E512FE">
      <w:r>
        <w:rPr>
          <w:rFonts w:ascii="Segoe UI" w:hAnsi="Segoe UI" w:cs="Segoe UI"/>
          <w:sz w:val="22"/>
          <w:szCs w:val="22"/>
        </w:rPr>
        <w:t>NA</w:t>
      </w:r>
    </w:p>
    <w:p w14:paraId="1A3A5CF2"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u w:val="single"/>
        </w:rPr>
        <w:t>Use of</w:t>
      </w:r>
      <w:r w:rsidRPr="0090168B">
        <w:rPr>
          <w:rFonts w:ascii="Segoe UI" w:eastAsia="Segoe UI" w:hAnsi="Segoe UI"/>
          <w:b/>
          <w:color w:val="000000"/>
          <w:u w:val="single"/>
        </w:rPr>
        <w:t xml:space="preserve"> the health technology</w:t>
      </w:r>
    </w:p>
    <w:p w14:paraId="4C0C6D0E"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Explain what other healthcare resources are used in conjunction with delivering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w:t>
      </w:r>
    </w:p>
    <w:p w14:paraId="13C09452" w14:textId="77777777" w:rsidR="00E512FE" w:rsidRDefault="00E512FE" w:rsidP="00E512FE">
      <w:pPr>
        <w:spacing w:after="0" w:line="240" w:lineRule="auto"/>
        <w:rPr>
          <w:rFonts w:ascii="Segoe UI" w:eastAsia="Segoe UI" w:hAnsi="Segoe UI"/>
          <w:b/>
          <w:color w:val="000000"/>
          <w:sz w:val="22"/>
        </w:rPr>
      </w:pPr>
    </w:p>
    <w:p w14:paraId="5E06C649" w14:textId="77777777" w:rsidR="00E512FE" w:rsidRPr="000A3E7D" w:rsidRDefault="00E512FE" w:rsidP="00E512FE">
      <w:pPr>
        <w:spacing w:after="0" w:line="240" w:lineRule="auto"/>
        <w:rPr>
          <w:rFonts w:ascii="Segoe UI" w:hAnsi="Segoe UI" w:cs="Segoe UI"/>
          <w:sz w:val="22"/>
          <w:szCs w:val="22"/>
        </w:rPr>
      </w:pPr>
      <w:r w:rsidRPr="000A3E7D">
        <w:rPr>
          <w:rFonts w:ascii="Segoe UI" w:hAnsi="Segoe UI" w:cs="Segoe UI"/>
          <w:sz w:val="22"/>
          <w:szCs w:val="22"/>
        </w:rPr>
        <w:t xml:space="preserve">The key components and clinical steps involved in delivering a ctDNA extracted from blood plasma (liquid biopsy) genetic mutation test in patients with HR-positive/HER2-negative </w:t>
      </w:r>
      <w:r>
        <w:rPr>
          <w:rFonts w:ascii="Segoe UI" w:hAnsi="Segoe UI" w:cs="Segoe UI"/>
          <w:sz w:val="22"/>
          <w:szCs w:val="22"/>
        </w:rPr>
        <w:t>mBC</w:t>
      </w:r>
      <w:r w:rsidRPr="000A3E7D">
        <w:rPr>
          <w:rFonts w:ascii="Segoe UI" w:hAnsi="Segoe UI" w:cs="Segoe UI"/>
          <w:sz w:val="22"/>
          <w:szCs w:val="22"/>
        </w:rPr>
        <w:t xml:space="preserve"> are as follows:</w:t>
      </w:r>
    </w:p>
    <w:p w14:paraId="44F1B6B6" w14:textId="77777777" w:rsidR="00E512FE" w:rsidRPr="000A3E7D" w:rsidRDefault="00E512FE" w:rsidP="00E512FE">
      <w:pPr>
        <w:spacing w:after="0" w:line="240" w:lineRule="auto"/>
        <w:ind w:left="720"/>
        <w:rPr>
          <w:rFonts w:ascii="Segoe UI" w:hAnsi="Segoe UI" w:cs="Segoe UI"/>
          <w:sz w:val="22"/>
          <w:szCs w:val="22"/>
        </w:rPr>
      </w:pPr>
      <w:r w:rsidRPr="053BEDB4">
        <w:rPr>
          <w:rFonts w:ascii="Segoe UI" w:hAnsi="Segoe UI" w:cs="Segoe UI"/>
          <w:sz w:val="22"/>
          <w:szCs w:val="22"/>
        </w:rPr>
        <w:t xml:space="preserve">• Oncologists who assess eligibility of patients for </w:t>
      </w:r>
      <w:r w:rsidRPr="00A71B02">
        <w:rPr>
          <w:rFonts w:ascii="Segoe UI" w:hAnsi="Segoe UI" w:cs="Segoe UI"/>
          <w:i/>
          <w:iCs/>
          <w:sz w:val="22"/>
          <w:szCs w:val="22"/>
        </w:rPr>
        <w:t>ESR1</w:t>
      </w:r>
      <w:r w:rsidRPr="053BEDB4">
        <w:rPr>
          <w:rFonts w:ascii="Segoe UI" w:hAnsi="Segoe UI" w:cs="Segoe UI"/>
          <w:sz w:val="22"/>
          <w:szCs w:val="22"/>
        </w:rPr>
        <w:t>m testing</w:t>
      </w:r>
      <w:r>
        <w:rPr>
          <w:rFonts w:ascii="Segoe UI" w:hAnsi="Segoe UI" w:cs="Segoe UI"/>
          <w:sz w:val="22"/>
          <w:szCs w:val="22"/>
        </w:rPr>
        <w:t xml:space="preserve"> and refer to a pathology collector or nurse to</w:t>
      </w:r>
      <w:r w:rsidRPr="053BEDB4">
        <w:rPr>
          <w:rFonts w:ascii="Segoe UI" w:hAnsi="Segoe UI" w:cs="Segoe UI"/>
          <w:sz w:val="22"/>
          <w:szCs w:val="22"/>
        </w:rPr>
        <w:t xml:space="preserve"> draw a blood sample from the patient</w:t>
      </w:r>
      <w:r>
        <w:rPr>
          <w:rFonts w:ascii="Segoe UI" w:hAnsi="Segoe UI" w:cs="Segoe UI"/>
          <w:sz w:val="22"/>
          <w:szCs w:val="22"/>
        </w:rPr>
        <w:t>.</w:t>
      </w:r>
      <w:r w:rsidRPr="053BEDB4">
        <w:rPr>
          <w:rFonts w:ascii="Segoe UI" w:hAnsi="Segoe UI" w:cs="Segoe UI"/>
          <w:sz w:val="22"/>
          <w:szCs w:val="22"/>
        </w:rPr>
        <w:t xml:space="preserve"> </w:t>
      </w:r>
      <w:r>
        <w:rPr>
          <w:rFonts w:ascii="Segoe UI" w:hAnsi="Segoe UI" w:cs="Segoe UI"/>
          <w:sz w:val="22"/>
          <w:szCs w:val="22"/>
        </w:rPr>
        <w:t>S</w:t>
      </w:r>
      <w:r w:rsidRPr="053BEDB4">
        <w:rPr>
          <w:rFonts w:ascii="Segoe UI" w:hAnsi="Segoe UI" w:cs="Segoe UI"/>
          <w:sz w:val="22"/>
          <w:szCs w:val="22"/>
        </w:rPr>
        <w:t xml:space="preserve">amples are then sent to </w:t>
      </w:r>
      <w:r>
        <w:rPr>
          <w:rFonts w:ascii="Segoe UI" w:hAnsi="Segoe UI" w:cs="Segoe UI"/>
          <w:sz w:val="22"/>
          <w:szCs w:val="22"/>
        </w:rPr>
        <w:t xml:space="preserve">a NATA accredited </w:t>
      </w:r>
      <w:r w:rsidRPr="053BEDB4">
        <w:rPr>
          <w:rFonts w:ascii="Segoe UI" w:hAnsi="Segoe UI" w:cs="Segoe UI"/>
          <w:sz w:val="22"/>
          <w:szCs w:val="22"/>
        </w:rPr>
        <w:t xml:space="preserve">clinical laboratory. </w:t>
      </w:r>
    </w:p>
    <w:p w14:paraId="07FB35F1" w14:textId="77777777" w:rsidR="00E512FE" w:rsidRPr="000A3E7D" w:rsidRDefault="00E512FE" w:rsidP="00E512FE">
      <w:pPr>
        <w:spacing w:after="0" w:line="240" w:lineRule="auto"/>
        <w:ind w:left="720"/>
        <w:rPr>
          <w:rFonts w:ascii="Segoe UI" w:hAnsi="Segoe UI" w:cs="Segoe UI"/>
          <w:sz w:val="22"/>
          <w:szCs w:val="22"/>
        </w:rPr>
      </w:pPr>
      <w:r w:rsidRPr="000A3E7D">
        <w:rPr>
          <w:rFonts w:ascii="Segoe UI" w:hAnsi="Segoe UI" w:cs="Segoe UI"/>
          <w:sz w:val="22"/>
          <w:szCs w:val="22"/>
        </w:rPr>
        <w:t>• A registered molecular pathologist and a registered anatomical pathologist are responsible for conducting the detection, diagnosis and reporting of the pathology result in a NATA accredited laboratory using NGS or dPCR to help guide and determine treatment.</w:t>
      </w:r>
    </w:p>
    <w:p w14:paraId="4B511F83" w14:textId="77777777" w:rsidR="00E512FE" w:rsidRPr="00A168A7" w:rsidRDefault="00E512FE" w:rsidP="00E512FE">
      <w:pPr>
        <w:pStyle w:val="ListParagraph"/>
        <w:numPr>
          <w:ilvl w:val="0"/>
          <w:numId w:val="1"/>
        </w:numPr>
        <w:spacing w:after="0" w:line="240" w:lineRule="auto"/>
        <w:rPr>
          <w:rFonts w:ascii="Segoe UI" w:eastAsia="Segoe UI" w:hAnsi="Segoe UI"/>
          <w:color w:val="000000" w:themeColor="text1"/>
          <w:sz w:val="22"/>
          <w:szCs w:val="22"/>
        </w:rPr>
      </w:pPr>
      <w:r w:rsidRPr="00A168A7">
        <w:rPr>
          <w:rFonts w:ascii="Segoe UI" w:eastAsia="Segoe UI" w:hAnsi="Segoe UI"/>
          <w:color w:val="000000" w:themeColor="text1"/>
          <w:sz w:val="22"/>
          <w:szCs w:val="22"/>
        </w:rPr>
        <w:t xml:space="preserve">Special training (education and awareness) from the pathology laboratories maybe required at collection centres to ensure that blood samples are collected and transported in special tubes that are suitable sample stability and for subsequent ctDNA testing. </w:t>
      </w:r>
    </w:p>
    <w:p w14:paraId="0232D0F1" w14:textId="77777777" w:rsidR="00E512FE" w:rsidRPr="000A3E7D" w:rsidRDefault="00E512FE" w:rsidP="00E512FE">
      <w:pPr>
        <w:spacing w:after="0" w:line="240" w:lineRule="auto"/>
        <w:ind w:left="720"/>
        <w:rPr>
          <w:rFonts w:ascii="Segoe UI" w:hAnsi="Segoe UI" w:cs="Segoe UI"/>
          <w:sz w:val="22"/>
          <w:szCs w:val="22"/>
        </w:rPr>
      </w:pPr>
    </w:p>
    <w:p w14:paraId="728653B0" w14:textId="77777777" w:rsidR="00E512FE" w:rsidRDefault="00E512FE" w:rsidP="00E512FE">
      <w:pPr>
        <w:spacing w:after="0" w:line="240" w:lineRule="auto"/>
        <w:rPr>
          <w:rFonts w:ascii="Segoe UI" w:hAnsi="Segoe UI" w:cs="Segoe UI"/>
          <w:sz w:val="22"/>
          <w:szCs w:val="22"/>
        </w:rPr>
      </w:pPr>
      <w:r w:rsidRPr="000A3E7D">
        <w:rPr>
          <w:rFonts w:ascii="Segoe UI" w:hAnsi="Segoe UI" w:cs="Segoe UI"/>
          <w:sz w:val="22"/>
          <w:szCs w:val="22"/>
        </w:rPr>
        <w:t xml:space="preserve">If the presence of </w:t>
      </w:r>
      <w:r w:rsidRPr="00C91D3D">
        <w:rPr>
          <w:rFonts w:ascii="Segoe UI" w:hAnsi="Segoe UI" w:cs="Segoe UI"/>
          <w:i/>
          <w:iCs/>
          <w:sz w:val="22"/>
          <w:szCs w:val="22"/>
        </w:rPr>
        <w:t>ESR1</w:t>
      </w:r>
      <w:r w:rsidRPr="000A3E7D">
        <w:rPr>
          <w:rFonts w:ascii="Segoe UI" w:hAnsi="Segoe UI" w:cs="Segoe UI"/>
          <w:sz w:val="22"/>
          <w:szCs w:val="22"/>
        </w:rPr>
        <w:t xml:space="preserve"> activating mutations is confirmed</w:t>
      </w:r>
      <w:r>
        <w:rPr>
          <w:rFonts w:ascii="Segoe UI" w:hAnsi="Segoe UI" w:cs="Segoe UI"/>
          <w:sz w:val="22"/>
          <w:szCs w:val="22"/>
        </w:rPr>
        <w:t>, the patient may be eligible to receive PBS subsidised treatment with camizestrant.</w:t>
      </w:r>
    </w:p>
    <w:p w14:paraId="2645723D" w14:textId="77777777" w:rsidR="00E512FE" w:rsidRDefault="00E512FE" w:rsidP="00E512FE">
      <w:pPr>
        <w:spacing w:after="0" w:line="240" w:lineRule="auto"/>
        <w:rPr>
          <w:rFonts w:ascii="Segoe UI" w:hAnsi="Segoe UI" w:cs="Segoe UI"/>
          <w:sz w:val="22"/>
          <w:szCs w:val="22"/>
        </w:rPr>
      </w:pPr>
    </w:p>
    <w:p w14:paraId="513C5CE9" w14:textId="77777777" w:rsidR="00E512FE" w:rsidRPr="00BE6B22" w:rsidRDefault="00E512FE" w:rsidP="00E512FE">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A full cost effectiveness analysis will be presented in the integrated co-dependent submission including other healthcare resources used in conjunction with delivering the proposed testing.</w:t>
      </w:r>
    </w:p>
    <w:p w14:paraId="13C52CD1" w14:textId="77777777" w:rsidR="00E512FE" w:rsidRDefault="00E512FE" w:rsidP="00E512FE">
      <w:pPr>
        <w:spacing w:after="0" w:line="240" w:lineRule="auto"/>
        <w:rPr>
          <w:rFonts w:ascii="Segoe UI" w:eastAsia="Segoe UI" w:hAnsi="Segoe UI"/>
          <w:b/>
          <w:color w:val="000000"/>
          <w:sz w:val="22"/>
        </w:rPr>
      </w:pPr>
    </w:p>
    <w:p w14:paraId="0E54FD0F"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Explain what other healthcare resources are used in conjunction with the </w:t>
      </w:r>
      <w:r w:rsidRPr="00DD0A06">
        <w:rPr>
          <w:rFonts w:ascii="Segoe UI" w:eastAsia="Segoe UI" w:hAnsi="Segoe UI"/>
          <w:b/>
          <w:color w:val="000000"/>
          <w:sz w:val="22"/>
          <w:u w:val="single"/>
        </w:rPr>
        <w:t>comparator health technology</w:t>
      </w:r>
      <w:r>
        <w:rPr>
          <w:rFonts w:ascii="Segoe UI" w:eastAsia="Segoe UI" w:hAnsi="Segoe UI"/>
          <w:b/>
          <w:color w:val="000000"/>
          <w:sz w:val="22"/>
        </w:rPr>
        <w:t>:</w:t>
      </w:r>
    </w:p>
    <w:p w14:paraId="6D7CE597" w14:textId="77777777" w:rsidR="00E512FE" w:rsidRDefault="00E512FE" w:rsidP="00E512FE">
      <w:pPr>
        <w:spacing w:after="0" w:line="240" w:lineRule="auto"/>
        <w:rPr>
          <w:rFonts w:ascii="Segoe UI" w:eastAsia="Segoe UI" w:hAnsi="Segoe UI"/>
          <w:b/>
          <w:color w:val="000000"/>
          <w:sz w:val="22"/>
        </w:rPr>
      </w:pPr>
    </w:p>
    <w:p w14:paraId="6B80B416" w14:textId="77777777" w:rsidR="00E512FE" w:rsidRPr="002A5C63" w:rsidRDefault="00E512FE" w:rsidP="00E512FE">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 xml:space="preserve">As shown in the current treatment algorithm below, patients would receive no </w:t>
      </w:r>
      <w:r>
        <w:rPr>
          <w:rFonts w:ascii="Segoe UI" w:hAnsi="Segoe UI" w:cs="Segoe UI"/>
          <w:i/>
          <w:iCs/>
          <w:sz w:val="22"/>
          <w:szCs w:val="22"/>
        </w:rPr>
        <w:t>ESR1</w:t>
      </w:r>
      <w:r>
        <w:rPr>
          <w:rFonts w:ascii="Segoe UI" w:hAnsi="Segoe UI" w:cs="Segoe UI"/>
          <w:sz w:val="22"/>
          <w:szCs w:val="22"/>
        </w:rPr>
        <w:t>m testing and receive CDK4/6 inhibitor + AI, via the PBS.</w:t>
      </w:r>
    </w:p>
    <w:p w14:paraId="43898EED" w14:textId="77777777" w:rsidR="00E512FE" w:rsidRPr="00BE6B22" w:rsidRDefault="00E512FE" w:rsidP="00E512FE">
      <w:pPr>
        <w:spacing w:after="0" w:line="240" w:lineRule="auto"/>
        <w:rPr>
          <w:rFonts w:asciiTheme="minorHAnsi" w:eastAsia="Segoe UI" w:hAnsiTheme="minorHAnsi" w:cstheme="minorHAnsi"/>
          <w:color w:val="000000"/>
          <w:sz w:val="22"/>
          <w:szCs w:val="22"/>
        </w:rPr>
      </w:pPr>
    </w:p>
    <w:p w14:paraId="0F3CF956"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Describe and explain any differences in the healthcare resources used in conjunction with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 xml:space="preserve"> vs. the </w:t>
      </w:r>
      <w:r w:rsidRPr="00DD0A06">
        <w:rPr>
          <w:rFonts w:ascii="Segoe UI" w:eastAsia="Segoe UI" w:hAnsi="Segoe UI"/>
          <w:b/>
          <w:color w:val="000000"/>
          <w:sz w:val="22"/>
          <w:u w:val="single"/>
        </w:rPr>
        <w:t>comparator health technology</w:t>
      </w:r>
      <w:r>
        <w:rPr>
          <w:rFonts w:ascii="Segoe UI" w:eastAsia="Segoe UI" w:hAnsi="Segoe UI"/>
          <w:b/>
          <w:color w:val="000000"/>
          <w:sz w:val="22"/>
        </w:rPr>
        <w:t>:</w:t>
      </w:r>
    </w:p>
    <w:p w14:paraId="3136068D" w14:textId="77777777" w:rsidR="00E512FE" w:rsidRDefault="00E512FE" w:rsidP="00E512FE">
      <w:pPr>
        <w:spacing w:after="0" w:line="240" w:lineRule="auto"/>
        <w:rPr>
          <w:rFonts w:ascii="Segoe UI" w:eastAsia="Segoe UI" w:hAnsi="Segoe UI"/>
          <w:bCs/>
          <w:color w:val="000000"/>
          <w:sz w:val="22"/>
        </w:rPr>
      </w:pPr>
    </w:p>
    <w:p w14:paraId="00A60C71" w14:textId="77777777" w:rsidR="00E512FE" w:rsidRPr="00B24C6C" w:rsidRDefault="00E512FE" w:rsidP="00E512FE">
      <w:pPr>
        <w:spacing w:after="0" w:line="240" w:lineRule="auto"/>
        <w:rPr>
          <w:rFonts w:ascii="Segoe UI" w:eastAsia="Segoe UI" w:hAnsi="Segoe UI"/>
          <w:bCs/>
          <w:color w:val="000000"/>
          <w:sz w:val="22"/>
        </w:rPr>
      </w:pPr>
      <w:r w:rsidRPr="00B24C6C">
        <w:rPr>
          <w:rFonts w:ascii="Segoe UI" w:eastAsia="Segoe UI" w:hAnsi="Segoe UI"/>
          <w:bCs/>
          <w:color w:val="000000"/>
          <w:sz w:val="22"/>
        </w:rPr>
        <w:t>Currently, there are no</w:t>
      </w:r>
      <w:r>
        <w:rPr>
          <w:rFonts w:ascii="Segoe UI" w:eastAsia="Segoe UI" w:hAnsi="Segoe UI"/>
          <w:bCs/>
          <w:color w:val="000000"/>
          <w:sz w:val="22"/>
        </w:rPr>
        <w:t xml:space="preserve"> PBS-funded</w:t>
      </w:r>
      <w:r w:rsidRPr="00B24C6C">
        <w:rPr>
          <w:rFonts w:ascii="Segoe UI" w:eastAsia="Segoe UI" w:hAnsi="Segoe UI"/>
          <w:bCs/>
          <w:color w:val="000000"/>
          <w:sz w:val="22"/>
        </w:rPr>
        <w:t xml:space="preserve"> treatments</w:t>
      </w:r>
      <w:r>
        <w:rPr>
          <w:rFonts w:ascii="Segoe UI" w:eastAsia="Segoe UI" w:hAnsi="Segoe UI"/>
          <w:bCs/>
          <w:color w:val="000000"/>
          <w:sz w:val="22"/>
        </w:rPr>
        <w:t xml:space="preserve"> available</w:t>
      </w:r>
      <w:r w:rsidRPr="00B24C6C">
        <w:rPr>
          <w:rFonts w:ascii="Segoe UI" w:eastAsia="Segoe UI" w:hAnsi="Segoe UI"/>
          <w:bCs/>
          <w:color w:val="000000"/>
          <w:sz w:val="22"/>
        </w:rPr>
        <w:t xml:space="preserve"> that specifically target patients with </w:t>
      </w:r>
      <w:r w:rsidRPr="00B24C6C">
        <w:rPr>
          <w:rFonts w:ascii="Segoe UI" w:eastAsia="Segoe UI" w:hAnsi="Segoe UI"/>
          <w:bCs/>
          <w:i/>
          <w:iCs/>
          <w:color w:val="000000"/>
          <w:sz w:val="22"/>
        </w:rPr>
        <w:t>ESR1</w:t>
      </w:r>
      <w:r w:rsidRPr="00B24C6C">
        <w:rPr>
          <w:rFonts w:ascii="Segoe UI" w:eastAsia="Segoe UI" w:hAnsi="Segoe UI"/>
          <w:bCs/>
          <w:color w:val="000000"/>
          <w:sz w:val="22"/>
        </w:rPr>
        <w:t xml:space="preserve"> activating mutation tumours and as such, no testing for this mutation occurs as part of routine clinical practice.</w:t>
      </w:r>
    </w:p>
    <w:p w14:paraId="7D380DE2" w14:textId="77777777" w:rsidR="00E512FE" w:rsidRDefault="00E512FE" w:rsidP="00E512FE">
      <w:pPr>
        <w:spacing w:after="0" w:line="240" w:lineRule="auto"/>
        <w:rPr>
          <w:rFonts w:ascii="Segoe UI" w:eastAsia="Segoe UI" w:hAnsi="Segoe UI"/>
          <w:bCs/>
          <w:color w:val="000000"/>
          <w:sz w:val="22"/>
        </w:rPr>
      </w:pPr>
    </w:p>
    <w:p w14:paraId="6A799834" w14:textId="77777777" w:rsidR="00E512FE" w:rsidRDefault="00E512FE" w:rsidP="00E512FE">
      <w:pPr>
        <w:spacing w:after="0" w:line="240" w:lineRule="auto"/>
        <w:rPr>
          <w:rFonts w:ascii="Segoe UI" w:eastAsia="Segoe UI" w:hAnsi="Segoe UI"/>
          <w:bCs/>
          <w:color w:val="000000"/>
          <w:sz w:val="22"/>
        </w:rPr>
      </w:pPr>
      <w:r w:rsidRPr="00B24C6C">
        <w:rPr>
          <w:rFonts w:ascii="Segoe UI" w:eastAsia="Segoe UI" w:hAnsi="Segoe UI"/>
          <w:bCs/>
          <w:color w:val="000000"/>
          <w:sz w:val="22"/>
        </w:rPr>
        <w:t xml:space="preserve">With the availability of </w:t>
      </w:r>
      <w:r w:rsidRPr="00B24C6C">
        <w:rPr>
          <w:rFonts w:ascii="Segoe UI" w:eastAsia="Segoe UI" w:hAnsi="Segoe UI"/>
          <w:bCs/>
          <w:i/>
          <w:iCs/>
          <w:color w:val="000000"/>
          <w:sz w:val="22"/>
        </w:rPr>
        <w:t>ESR1</w:t>
      </w:r>
      <w:r>
        <w:rPr>
          <w:rFonts w:ascii="Segoe UI" w:eastAsia="Segoe UI" w:hAnsi="Segoe UI"/>
          <w:bCs/>
          <w:color w:val="000000"/>
          <w:sz w:val="22"/>
        </w:rPr>
        <w:t xml:space="preserve">m </w:t>
      </w:r>
      <w:r w:rsidRPr="00B24C6C">
        <w:rPr>
          <w:rFonts w:ascii="Segoe UI" w:eastAsia="Segoe UI" w:hAnsi="Segoe UI"/>
          <w:bCs/>
          <w:color w:val="000000"/>
          <w:sz w:val="22"/>
        </w:rPr>
        <w:t xml:space="preserve">testing, patients with confirmed </w:t>
      </w:r>
      <w:r w:rsidRPr="00B24C6C">
        <w:rPr>
          <w:rFonts w:ascii="Segoe UI" w:eastAsia="Segoe UI" w:hAnsi="Segoe UI"/>
          <w:bCs/>
          <w:i/>
          <w:iCs/>
          <w:color w:val="000000"/>
          <w:sz w:val="22"/>
        </w:rPr>
        <w:t>ESR1</w:t>
      </w:r>
      <w:r w:rsidRPr="00B24C6C">
        <w:rPr>
          <w:rFonts w:ascii="Segoe UI" w:eastAsia="Segoe UI" w:hAnsi="Segoe UI"/>
          <w:bCs/>
          <w:color w:val="000000"/>
          <w:sz w:val="22"/>
        </w:rPr>
        <w:t xml:space="preserve"> activating mutations may be eligible for PBS-</w:t>
      </w:r>
      <w:r>
        <w:rPr>
          <w:rFonts w:ascii="Segoe UI" w:eastAsia="Segoe UI" w:hAnsi="Segoe UI"/>
          <w:bCs/>
          <w:color w:val="000000"/>
          <w:sz w:val="22"/>
        </w:rPr>
        <w:t>subsidised</w:t>
      </w:r>
      <w:r w:rsidRPr="00B24C6C">
        <w:rPr>
          <w:rFonts w:ascii="Segoe UI" w:eastAsia="Segoe UI" w:hAnsi="Segoe UI"/>
          <w:bCs/>
          <w:color w:val="000000"/>
          <w:sz w:val="22"/>
        </w:rPr>
        <w:t xml:space="preserve"> treatment</w:t>
      </w:r>
      <w:r>
        <w:rPr>
          <w:rFonts w:ascii="Segoe UI" w:eastAsia="Segoe UI" w:hAnsi="Segoe UI"/>
          <w:bCs/>
          <w:color w:val="000000"/>
          <w:sz w:val="22"/>
        </w:rPr>
        <w:t xml:space="preserve"> with camizestrant.</w:t>
      </w:r>
    </w:p>
    <w:p w14:paraId="55D0E712" w14:textId="77777777" w:rsidR="00E512FE" w:rsidRPr="00B24C6C" w:rsidRDefault="00E512FE" w:rsidP="00E512FE">
      <w:pPr>
        <w:spacing w:after="0" w:line="240" w:lineRule="auto"/>
        <w:rPr>
          <w:rFonts w:ascii="Segoe UI" w:eastAsia="Segoe UI" w:hAnsi="Segoe UI"/>
          <w:bCs/>
          <w:color w:val="000000"/>
          <w:sz w:val="22"/>
        </w:rPr>
      </w:pPr>
    </w:p>
    <w:p w14:paraId="4A3D71C2" w14:textId="77777777" w:rsidR="00E512FE" w:rsidRPr="00B24C6C" w:rsidRDefault="00E512FE" w:rsidP="00E512FE">
      <w:pPr>
        <w:spacing w:after="0" w:line="240" w:lineRule="auto"/>
        <w:rPr>
          <w:rFonts w:ascii="Segoe UI" w:eastAsia="Segoe UI" w:hAnsi="Segoe UI"/>
          <w:bCs/>
          <w:color w:val="000000"/>
          <w:sz w:val="22"/>
        </w:rPr>
      </w:pPr>
      <w:r w:rsidRPr="00B24C6C">
        <w:rPr>
          <w:rFonts w:ascii="Segoe UI" w:eastAsia="Segoe UI" w:hAnsi="Segoe UI"/>
          <w:bCs/>
          <w:color w:val="000000"/>
          <w:sz w:val="22"/>
        </w:rPr>
        <w:t xml:space="preserve">Using </w:t>
      </w:r>
      <w:r w:rsidRPr="00F00291">
        <w:rPr>
          <w:rFonts w:ascii="Segoe UI" w:eastAsia="Segoe UI" w:hAnsi="Segoe UI"/>
          <w:bCs/>
          <w:i/>
          <w:iCs/>
          <w:color w:val="000000"/>
          <w:sz w:val="22"/>
        </w:rPr>
        <w:t>ESR1</w:t>
      </w:r>
      <w:r>
        <w:rPr>
          <w:rFonts w:ascii="Segoe UI" w:eastAsia="Segoe UI" w:hAnsi="Segoe UI"/>
          <w:bCs/>
          <w:color w:val="000000"/>
          <w:sz w:val="22"/>
        </w:rPr>
        <w:t>m</w:t>
      </w:r>
      <w:r w:rsidRPr="00B24C6C">
        <w:rPr>
          <w:rFonts w:ascii="Segoe UI" w:eastAsia="Segoe UI" w:hAnsi="Segoe UI"/>
          <w:bCs/>
          <w:color w:val="000000"/>
          <w:sz w:val="22"/>
        </w:rPr>
        <w:t xml:space="preserve"> as a predictive biomarker for the benefit of </w:t>
      </w:r>
      <w:r>
        <w:rPr>
          <w:rFonts w:ascii="Segoe UI" w:eastAsia="Segoe UI" w:hAnsi="Segoe UI"/>
          <w:bCs/>
          <w:color w:val="000000"/>
          <w:sz w:val="22"/>
        </w:rPr>
        <w:t>camizestrant</w:t>
      </w:r>
      <w:r w:rsidRPr="00B24C6C">
        <w:rPr>
          <w:rFonts w:ascii="Segoe UI" w:eastAsia="Segoe UI" w:hAnsi="Segoe UI"/>
          <w:bCs/>
          <w:color w:val="000000"/>
          <w:sz w:val="22"/>
        </w:rPr>
        <w:t xml:space="preserve"> optimises treatment outcomes. This may create healthcare system efficiencies, in terms of costs and resource allocation.</w:t>
      </w:r>
    </w:p>
    <w:p w14:paraId="3241FF9C" w14:textId="77777777" w:rsidR="00E512FE" w:rsidRPr="00784D71" w:rsidRDefault="00E512FE" w:rsidP="00E512FE">
      <w:pPr>
        <w:spacing w:after="0" w:line="240" w:lineRule="auto"/>
        <w:rPr>
          <w:rFonts w:ascii="Segoe UI" w:eastAsia="Segoe UI" w:hAnsi="Segoe UI" w:cs="Segoe UI"/>
          <w:color w:val="000000"/>
          <w:sz w:val="22"/>
          <w:szCs w:val="22"/>
        </w:rPr>
      </w:pPr>
    </w:p>
    <w:p w14:paraId="28F7DF3C"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u w:val="single"/>
        </w:rPr>
        <w:lastRenderedPageBreak/>
        <w:t>Clinical management after the use of</w:t>
      </w:r>
      <w:r w:rsidRPr="0090168B">
        <w:rPr>
          <w:rFonts w:ascii="Segoe UI" w:eastAsia="Segoe UI" w:hAnsi="Segoe UI"/>
          <w:b/>
          <w:color w:val="000000"/>
          <w:u w:val="single"/>
        </w:rPr>
        <w:t xml:space="preserve"> health technology</w:t>
      </w:r>
    </w:p>
    <w:p w14:paraId="483BD949" w14:textId="77777777" w:rsidR="00E512FE" w:rsidRDefault="00E512FE" w:rsidP="00E512FE">
      <w:pPr>
        <w:spacing w:after="0" w:line="240" w:lineRule="auto"/>
        <w:rPr>
          <w:rFonts w:ascii="Segoe UI" w:eastAsia="Segoe UI" w:hAnsi="Segoe UI"/>
          <w:b/>
          <w:color w:val="000000"/>
          <w:sz w:val="22"/>
        </w:rPr>
      </w:pPr>
    </w:p>
    <w:p w14:paraId="3B0BB337"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Define and summarise the clinical management algorithm, including any required tests or healthcare resources, </w:t>
      </w:r>
      <w:r w:rsidRPr="00DD0A06">
        <w:rPr>
          <w:rFonts w:ascii="Segoe UI" w:eastAsia="Segoe UI" w:hAnsi="Segoe UI"/>
          <w:b/>
          <w:i/>
          <w:iCs/>
          <w:color w:val="000000"/>
          <w:sz w:val="22"/>
        </w:rPr>
        <w:t>after</w:t>
      </w:r>
      <w:r>
        <w:rPr>
          <w:rFonts w:ascii="Segoe UI" w:eastAsia="Segoe UI" w:hAnsi="Segoe UI"/>
          <w:b/>
          <w:color w:val="000000"/>
          <w:sz w:val="22"/>
        </w:rPr>
        <w:t xml:space="preserve"> the use of the </w:t>
      </w:r>
      <w:r w:rsidRPr="00DD0A06">
        <w:rPr>
          <w:rFonts w:ascii="Segoe UI" w:eastAsia="Segoe UI" w:hAnsi="Segoe UI"/>
          <w:b/>
          <w:color w:val="000000"/>
          <w:sz w:val="22"/>
          <w:u w:val="single"/>
        </w:rPr>
        <w:t>proposed health technology</w:t>
      </w:r>
      <w:r>
        <w:rPr>
          <w:rFonts w:ascii="Segoe UI" w:eastAsia="Segoe UI" w:hAnsi="Segoe UI"/>
          <w:b/>
          <w:color w:val="000000"/>
          <w:sz w:val="22"/>
        </w:rPr>
        <w:t>:</w:t>
      </w:r>
    </w:p>
    <w:p w14:paraId="4AE71BD2" w14:textId="77777777" w:rsidR="00E512FE" w:rsidRDefault="00E512FE" w:rsidP="00E512FE">
      <w:pPr>
        <w:spacing w:after="0" w:line="240" w:lineRule="auto"/>
        <w:rPr>
          <w:rFonts w:ascii="Segoe UI" w:eastAsia="Segoe UI" w:hAnsi="Segoe UI"/>
          <w:b/>
          <w:color w:val="000000"/>
          <w:sz w:val="22"/>
        </w:rPr>
      </w:pPr>
    </w:p>
    <w:p w14:paraId="1F233523" w14:textId="77777777" w:rsidR="00E512FE" w:rsidRDefault="00E512FE" w:rsidP="00E512FE">
      <w:pPr>
        <w:spacing w:after="0" w:line="240" w:lineRule="auto"/>
        <w:rPr>
          <w:rFonts w:ascii="Segoe UI" w:hAnsi="Segoe UI" w:cs="Segoe UI"/>
          <w:sz w:val="22"/>
          <w:szCs w:val="22"/>
        </w:rPr>
      </w:pPr>
      <w:r>
        <w:rPr>
          <w:rFonts w:ascii="Segoe UI" w:hAnsi="Segoe UI" w:cs="Segoe UI"/>
          <w:sz w:val="22"/>
          <w:szCs w:val="22"/>
        </w:rPr>
        <w:t xml:space="preserve">With the MBS listing of </w:t>
      </w:r>
      <w:r>
        <w:rPr>
          <w:rFonts w:ascii="Segoe UI" w:hAnsi="Segoe UI" w:cs="Segoe UI"/>
          <w:i/>
          <w:iCs/>
          <w:sz w:val="22"/>
          <w:szCs w:val="22"/>
        </w:rPr>
        <w:t>ESR1</w:t>
      </w:r>
      <w:r>
        <w:rPr>
          <w:rFonts w:ascii="Segoe UI" w:hAnsi="Segoe UI" w:cs="Segoe UI"/>
          <w:sz w:val="22"/>
          <w:szCs w:val="22"/>
        </w:rPr>
        <w:t xml:space="preserve">m testing, patients with confirmed </w:t>
      </w:r>
      <w:r>
        <w:rPr>
          <w:rFonts w:ascii="Segoe UI" w:hAnsi="Segoe UI" w:cs="Segoe UI"/>
          <w:i/>
          <w:iCs/>
          <w:sz w:val="22"/>
          <w:szCs w:val="22"/>
        </w:rPr>
        <w:t>ESR1</w:t>
      </w:r>
      <w:r>
        <w:rPr>
          <w:rFonts w:ascii="Segoe UI" w:hAnsi="Segoe UI" w:cs="Segoe UI"/>
          <w:sz w:val="22"/>
          <w:szCs w:val="22"/>
        </w:rPr>
        <w:t xml:space="preserve"> activating mutations may be eligible to receive treatment with camizestrant (+ the CDK4/6 inhibitor the patient is already receiving).</w:t>
      </w:r>
    </w:p>
    <w:p w14:paraId="24BA3E22" w14:textId="77777777" w:rsidR="00E512FE" w:rsidRPr="00BE6B22" w:rsidRDefault="00E512FE" w:rsidP="00E512FE">
      <w:pPr>
        <w:spacing w:after="0" w:line="240" w:lineRule="auto"/>
        <w:rPr>
          <w:rFonts w:asciiTheme="minorHAnsi" w:eastAsia="Segoe UI" w:hAnsiTheme="minorHAnsi" w:cstheme="minorHAnsi"/>
          <w:color w:val="000000"/>
          <w:sz w:val="22"/>
          <w:szCs w:val="22"/>
        </w:rPr>
      </w:pPr>
    </w:p>
    <w:p w14:paraId="17EE5D98"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Define and summarise the clinical management algorithm, including any required tests or healthcare resources, </w:t>
      </w:r>
      <w:r w:rsidRPr="00545A4C">
        <w:rPr>
          <w:rFonts w:ascii="Segoe UI" w:eastAsia="Segoe UI" w:hAnsi="Segoe UI"/>
          <w:b/>
          <w:i/>
          <w:iCs/>
          <w:color w:val="000000"/>
          <w:sz w:val="22"/>
        </w:rPr>
        <w:t>after</w:t>
      </w:r>
      <w:r>
        <w:rPr>
          <w:rFonts w:ascii="Segoe UI" w:eastAsia="Segoe UI" w:hAnsi="Segoe UI"/>
          <w:b/>
          <w:color w:val="000000"/>
          <w:sz w:val="22"/>
        </w:rPr>
        <w:t xml:space="preserve"> the use of the </w:t>
      </w:r>
      <w:r w:rsidRPr="00545A4C">
        <w:rPr>
          <w:rFonts w:ascii="Segoe UI" w:eastAsia="Segoe UI" w:hAnsi="Segoe UI"/>
          <w:b/>
          <w:color w:val="000000"/>
          <w:sz w:val="22"/>
          <w:u w:val="single"/>
        </w:rPr>
        <w:t>comparator health technology</w:t>
      </w:r>
      <w:r>
        <w:rPr>
          <w:rFonts w:ascii="Segoe UI" w:eastAsia="Segoe UI" w:hAnsi="Segoe UI"/>
          <w:b/>
          <w:color w:val="000000"/>
          <w:sz w:val="22"/>
        </w:rPr>
        <w:t>:</w:t>
      </w:r>
    </w:p>
    <w:p w14:paraId="2E894F62" w14:textId="77777777" w:rsidR="00E512FE" w:rsidRDefault="00E512FE" w:rsidP="00E512FE">
      <w:pPr>
        <w:spacing w:after="0" w:line="240" w:lineRule="auto"/>
        <w:rPr>
          <w:rFonts w:ascii="Segoe UI" w:eastAsia="Segoe UI" w:hAnsi="Segoe UI"/>
          <w:b/>
          <w:color w:val="000000"/>
          <w:sz w:val="22"/>
        </w:rPr>
      </w:pPr>
    </w:p>
    <w:p w14:paraId="64B74129" w14:textId="77777777" w:rsidR="00E512FE" w:rsidRPr="0094281D" w:rsidRDefault="00E512FE" w:rsidP="00E512FE">
      <w:pPr>
        <w:spacing w:after="0" w:line="240" w:lineRule="auto"/>
        <w:rPr>
          <w:rFonts w:ascii="Segoe UI" w:eastAsia="Segoe UI" w:hAnsi="Segoe UI"/>
          <w:bCs/>
          <w:color w:val="000000"/>
          <w:sz w:val="22"/>
        </w:rPr>
      </w:pPr>
      <w:r>
        <w:rPr>
          <w:rFonts w:ascii="Segoe UI" w:eastAsia="Segoe UI" w:hAnsi="Segoe UI"/>
          <w:bCs/>
          <w:color w:val="000000"/>
          <w:sz w:val="22"/>
        </w:rPr>
        <w:t xml:space="preserve">Patients with newly diagnosed HR-positive, HER2-negative mBC will generally receive treatment with a CDK4/6 inhibitor + AI until disease progression or unacceptable toxicity </w:t>
      </w:r>
      <w:r w:rsidRPr="00345836">
        <w:rPr>
          <w:rFonts w:ascii="Segoe UI" w:eastAsia="Segoe UI" w:hAnsi="Segoe UI"/>
          <w:bCs/>
          <w:color w:val="000000"/>
          <w:sz w:val="22"/>
        </w:rPr>
        <w:t>(</w:t>
      </w:r>
      <w:r>
        <w:rPr>
          <w:rFonts w:ascii="Segoe UI" w:eastAsia="Segoe UI" w:hAnsi="Segoe UI"/>
          <w:bCs/>
          <w:color w:val="000000"/>
          <w:sz w:val="22"/>
        </w:rPr>
        <w:fldChar w:fldCharType="begin"/>
      </w:r>
      <w:r>
        <w:rPr>
          <w:rFonts w:ascii="Segoe UI" w:eastAsia="Segoe UI" w:hAnsi="Segoe UI"/>
          <w:bCs/>
          <w:color w:val="000000"/>
          <w:sz w:val="22"/>
        </w:rPr>
        <w:instrText xml:space="preserve"> REF _Ref214435055 \h </w:instrText>
      </w:r>
      <w:r>
        <w:rPr>
          <w:rFonts w:ascii="Segoe UI" w:eastAsia="Segoe UI" w:hAnsi="Segoe UI"/>
          <w:bCs/>
          <w:color w:val="000000"/>
          <w:sz w:val="22"/>
        </w:rPr>
      </w:r>
      <w:r>
        <w:rPr>
          <w:rFonts w:ascii="Segoe UI" w:eastAsia="Segoe UI" w:hAnsi="Segoe UI"/>
          <w:bCs/>
          <w:color w:val="000000"/>
          <w:sz w:val="22"/>
        </w:rPr>
        <w:fldChar w:fldCharType="separate"/>
      </w:r>
      <w:r w:rsidRPr="5C82A288">
        <w:rPr>
          <w:rFonts w:ascii="Segoe UI" w:hAnsi="Segoe UI" w:cs="Segoe UI"/>
          <w:b/>
          <w:i/>
          <w:sz w:val="22"/>
          <w:szCs w:val="22"/>
          <w:lang w:val="fr-FR"/>
        </w:rPr>
        <w:t>Figure 1</w:t>
      </w:r>
      <w:r>
        <w:rPr>
          <w:rFonts w:ascii="Segoe UI" w:eastAsia="Segoe UI" w:hAnsi="Segoe UI"/>
          <w:bCs/>
          <w:color w:val="000000"/>
          <w:sz w:val="22"/>
        </w:rPr>
        <w:fldChar w:fldCharType="end"/>
      </w:r>
      <w:r>
        <w:rPr>
          <w:rFonts w:ascii="Segoe UI" w:eastAsia="Segoe UI" w:hAnsi="Segoe UI"/>
          <w:bCs/>
          <w:color w:val="000000"/>
          <w:sz w:val="22"/>
        </w:rPr>
        <w:t>). In a small proportion of patients (primarily patients with primary ET resistance</w:t>
      </w:r>
      <w:r w:rsidRPr="00002572">
        <w:t xml:space="preserve"> </w:t>
      </w:r>
      <w:r w:rsidRPr="00002572">
        <w:rPr>
          <w:rFonts w:ascii="Segoe UI" w:eastAsia="Segoe UI" w:hAnsi="Segoe UI"/>
          <w:bCs/>
          <w:color w:val="000000"/>
          <w:sz w:val="22"/>
        </w:rPr>
        <w:t>or early relapse on/after adjuvant AI</w:t>
      </w:r>
      <w:r>
        <w:rPr>
          <w:rFonts w:ascii="Segoe UI" w:eastAsia="Segoe UI" w:hAnsi="Segoe UI"/>
          <w:bCs/>
          <w:color w:val="000000"/>
          <w:sz w:val="22"/>
        </w:rPr>
        <w:t xml:space="preserve">), fulvestrant is used in combination with a CDK4/6 inhibitor instead of an AI. Patients who have received adjuvant CDK4/6 inhibitor in the early BC setting are unable to be re-treated with a CDK4/6 inhibitor due to the current PBS once in a lifetime restriction and will therefore receive ET or chemotherapy, depending on their disease characteristics. </w:t>
      </w:r>
    </w:p>
    <w:p w14:paraId="654BA493" w14:textId="77777777" w:rsidR="00E512FE" w:rsidRDefault="00E512FE" w:rsidP="00E512FE">
      <w:pPr>
        <w:spacing w:after="0" w:line="240" w:lineRule="auto"/>
        <w:rPr>
          <w:rFonts w:ascii="Segoe UI" w:eastAsia="Segoe UI" w:hAnsi="Segoe UI"/>
          <w:b/>
          <w:color w:val="000000"/>
          <w:sz w:val="22"/>
        </w:rPr>
      </w:pPr>
    </w:p>
    <w:p w14:paraId="21F57DB6" w14:textId="77777777" w:rsidR="00E512FE" w:rsidRDefault="00E512FE" w:rsidP="00E512FE">
      <w:pPr>
        <w:spacing w:after="0" w:line="240" w:lineRule="auto"/>
        <w:rPr>
          <w:rFonts w:ascii="Segoe UI" w:eastAsia="Segoe UI" w:hAnsi="Segoe UI"/>
          <w:b/>
          <w:color w:val="000000"/>
          <w:sz w:val="22"/>
        </w:rPr>
      </w:pPr>
      <w:r>
        <w:rPr>
          <w:rFonts w:ascii="Segoe UI" w:eastAsia="Segoe UI" w:hAnsi="Segoe UI"/>
          <w:b/>
          <w:color w:val="000000"/>
          <w:sz w:val="22"/>
        </w:rPr>
        <w:t xml:space="preserve">Describe and explain any differences in the healthcare resources used </w:t>
      </w:r>
      <w:r w:rsidRPr="00545A4C">
        <w:rPr>
          <w:rFonts w:ascii="Segoe UI" w:eastAsia="Segoe UI" w:hAnsi="Segoe UI"/>
          <w:b/>
          <w:i/>
          <w:iCs/>
          <w:color w:val="000000"/>
          <w:sz w:val="22"/>
        </w:rPr>
        <w:t>after</w:t>
      </w:r>
      <w:r>
        <w:rPr>
          <w:rFonts w:ascii="Segoe UI" w:eastAsia="Segoe UI" w:hAnsi="Segoe UI"/>
          <w:b/>
          <w:color w:val="000000"/>
          <w:sz w:val="22"/>
        </w:rPr>
        <w:t xml:space="preserve"> the </w:t>
      </w:r>
      <w:r w:rsidRPr="00545A4C">
        <w:rPr>
          <w:rFonts w:ascii="Segoe UI" w:eastAsia="Segoe UI" w:hAnsi="Segoe UI"/>
          <w:b/>
          <w:color w:val="000000"/>
          <w:sz w:val="22"/>
          <w:u w:val="single"/>
        </w:rPr>
        <w:t>proposed health technology</w:t>
      </w:r>
      <w:r>
        <w:rPr>
          <w:rFonts w:ascii="Segoe UI" w:eastAsia="Segoe UI" w:hAnsi="Segoe UI"/>
          <w:b/>
          <w:color w:val="000000"/>
          <w:sz w:val="22"/>
        </w:rPr>
        <w:t xml:space="preserve"> vs. the </w:t>
      </w:r>
      <w:r w:rsidRPr="00545A4C">
        <w:rPr>
          <w:rFonts w:ascii="Segoe UI" w:eastAsia="Segoe UI" w:hAnsi="Segoe UI"/>
          <w:b/>
          <w:color w:val="000000"/>
          <w:sz w:val="22"/>
          <w:u w:val="single"/>
        </w:rPr>
        <w:t>comparator health technology</w:t>
      </w:r>
      <w:r>
        <w:rPr>
          <w:rFonts w:ascii="Segoe UI" w:eastAsia="Segoe UI" w:hAnsi="Segoe UI"/>
          <w:b/>
          <w:color w:val="000000"/>
          <w:sz w:val="22"/>
        </w:rPr>
        <w:t>:</w:t>
      </w:r>
    </w:p>
    <w:p w14:paraId="61E46E94" w14:textId="77777777" w:rsidR="00E512FE" w:rsidRDefault="00E512FE" w:rsidP="00E512FE">
      <w:pPr>
        <w:spacing w:after="0" w:line="240" w:lineRule="auto"/>
        <w:rPr>
          <w:rFonts w:ascii="Segoe UI" w:eastAsia="Segoe UI" w:hAnsi="Segoe UI"/>
          <w:b/>
          <w:color w:val="000000"/>
          <w:sz w:val="22"/>
        </w:rPr>
      </w:pPr>
    </w:p>
    <w:p w14:paraId="13731E34" w14:textId="4858BCEA" w:rsidR="00E512FE" w:rsidRPr="0051426C" w:rsidRDefault="00E512FE" w:rsidP="00F610C3">
      <w:pPr>
        <w:rPr>
          <w:rFonts w:ascii="Segoe UI" w:hAnsi="Segoe UI" w:cs="Segoe UI"/>
          <w:sz w:val="22"/>
          <w:szCs w:val="22"/>
        </w:rPr>
      </w:pPr>
      <w:r>
        <w:rPr>
          <w:rFonts w:ascii="Segoe UI" w:hAnsi="Segoe UI" w:cs="Segoe UI"/>
          <w:sz w:val="22"/>
          <w:szCs w:val="22"/>
        </w:rPr>
        <w:t xml:space="preserve">As shown in the proposed treatment algorithm below </w:t>
      </w:r>
      <w:r w:rsidRPr="00345836">
        <w:rPr>
          <w:rFonts w:ascii="Segoe UI" w:hAnsi="Segoe UI" w:cs="Segoe UI"/>
          <w:sz w:val="22"/>
          <w:szCs w:val="22"/>
        </w:rPr>
        <w:t>(</w:t>
      </w:r>
      <w:r w:rsidR="00F610C3">
        <w:rPr>
          <w:rFonts w:ascii="Segoe UI" w:hAnsi="Segoe UI" w:cs="Segoe UI"/>
          <w:sz w:val="22"/>
          <w:szCs w:val="22"/>
        </w:rPr>
        <w:t>Figure 2</w:t>
      </w:r>
      <w:r>
        <w:rPr>
          <w:rFonts w:ascii="Segoe UI" w:hAnsi="Segoe UI" w:cs="Segoe UI"/>
          <w:sz w:val="22"/>
          <w:szCs w:val="22"/>
        </w:rPr>
        <w:t xml:space="preserve">), the key difference between the current algorithm and the proposed algorithm, is that patients who have been treated with 1L CDK4/6 inhibitor + AI for at least 6 months, become eligible to be tested for </w:t>
      </w:r>
      <w:r>
        <w:rPr>
          <w:rFonts w:ascii="Segoe UI" w:hAnsi="Segoe UI" w:cs="Segoe UI"/>
          <w:i/>
          <w:iCs/>
          <w:sz w:val="22"/>
          <w:szCs w:val="22"/>
        </w:rPr>
        <w:t>ESR1</w:t>
      </w:r>
      <w:r>
        <w:rPr>
          <w:rFonts w:ascii="Segoe UI" w:hAnsi="Segoe UI" w:cs="Segoe UI"/>
          <w:sz w:val="22"/>
          <w:szCs w:val="22"/>
        </w:rPr>
        <w:t xml:space="preserve">m </w:t>
      </w:r>
      <w:r w:rsidR="000F2FB1">
        <w:rPr>
          <w:rFonts w:ascii="Segoe UI" w:hAnsi="Segoe UI" w:cs="Segoe UI"/>
          <w:sz w:val="22"/>
          <w:szCs w:val="22"/>
        </w:rPr>
        <w:t>up to 6 times per year</w:t>
      </w:r>
      <w:r>
        <w:rPr>
          <w:rFonts w:ascii="Segoe UI" w:hAnsi="Segoe UI" w:cs="Segoe UI"/>
          <w:sz w:val="22"/>
          <w:szCs w:val="22"/>
        </w:rPr>
        <w:t xml:space="preserve">, at the same time as other routine testing. After a patient has tested positive for </w:t>
      </w:r>
      <w:r>
        <w:rPr>
          <w:rFonts w:ascii="Segoe UI" w:hAnsi="Segoe UI" w:cs="Segoe UI"/>
          <w:i/>
          <w:iCs/>
          <w:sz w:val="22"/>
          <w:szCs w:val="22"/>
        </w:rPr>
        <w:t>ESR1</w:t>
      </w:r>
      <w:r>
        <w:rPr>
          <w:rFonts w:ascii="Segoe UI" w:hAnsi="Segoe UI" w:cs="Segoe UI"/>
          <w:sz w:val="22"/>
          <w:szCs w:val="22"/>
        </w:rPr>
        <w:t xml:space="preserve">m, they may be eligible to receive PBS subsidised camizestrant in combination with the same CDK4/6 inhibitor they were receiving at the time of the testing. This change results in an increase in </w:t>
      </w:r>
      <w:r>
        <w:rPr>
          <w:rFonts w:ascii="Segoe UI" w:hAnsi="Segoe UI" w:cs="Segoe UI"/>
          <w:i/>
          <w:iCs/>
          <w:sz w:val="22"/>
          <w:szCs w:val="22"/>
        </w:rPr>
        <w:t>ESR1</w:t>
      </w:r>
      <w:r>
        <w:rPr>
          <w:rFonts w:ascii="Segoe UI" w:hAnsi="Segoe UI" w:cs="Segoe UI"/>
          <w:sz w:val="22"/>
          <w:szCs w:val="22"/>
        </w:rPr>
        <w:t xml:space="preserve">m testing and a decrease in AI utilisation in patients who test positive for </w:t>
      </w:r>
      <w:r>
        <w:rPr>
          <w:rFonts w:ascii="Segoe UI" w:hAnsi="Segoe UI" w:cs="Segoe UI"/>
          <w:i/>
          <w:iCs/>
          <w:sz w:val="22"/>
          <w:szCs w:val="22"/>
        </w:rPr>
        <w:t>ESR1</w:t>
      </w:r>
      <w:r>
        <w:rPr>
          <w:rFonts w:ascii="Segoe UI" w:hAnsi="Segoe UI" w:cs="Segoe UI"/>
          <w:sz w:val="22"/>
          <w:szCs w:val="22"/>
        </w:rPr>
        <w:t xml:space="preserve">m. </w:t>
      </w:r>
    </w:p>
    <w:p w14:paraId="425A5CB9" w14:textId="77777777" w:rsidR="00E512FE" w:rsidRDefault="00E512FE" w:rsidP="00E512FE">
      <w:pPr>
        <w:spacing w:after="0" w:line="240" w:lineRule="auto"/>
        <w:rPr>
          <w:rFonts w:ascii="Segoe UI" w:hAnsi="Segoe UI" w:cs="Segoe UI"/>
          <w:sz w:val="22"/>
          <w:szCs w:val="22"/>
        </w:rPr>
      </w:pPr>
    </w:p>
    <w:p w14:paraId="1FA40904" w14:textId="77777777" w:rsidR="00E512FE" w:rsidRDefault="00E512FE" w:rsidP="00E512FE">
      <w:pPr>
        <w:spacing w:after="0" w:line="240" w:lineRule="auto"/>
        <w:rPr>
          <w:rFonts w:ascii="Segoe UI" w:hAnsi="Segoe UI" w:cs="Segoe UI"/>
          <w:sz w:val="22"/>
          <w:szCs w:val="22"/>
        </w:rPr>
      </w:pPr>
      <w:r>
        <w:rPr>
          <w:rFonts w:ascii="Segoe UI" w:hAnsi="Segoe UI" w:cs="Segoe UI"/>
          <w:sz w:val="22"/>
          <w:szCs w:val="22"/>
        </w:rPr>
        <w:t xml:space="preserve">As per the study design of SERENA-6, some patients will require more than one </w:t>
      </w:r>
      <w:r w:rsidRPr="00823339">
        <w:rPr>
          <w:rFonts w:ascii="Segoe UI" w:hAnsi="Segoe UI" w:cs="Segoe UI"/>
          <w:i/>
          <w:iCs/>
          <w:sz w:val="22"/>
          <w:szCs w:val="22"/>
        </w:rPr>
        <w:t xml:space="preserve">ESR1 </w:t>
      </w:r>
      <w:r>
        <w:rPr>
          <w:rFonts w:ascii="Segoe UI" w:hAnsi="Segoe UI" w:cs="Segoe UI"/>
          <w:sz w:val="22"/>
          <w:szCs w:val="22"/>
        </w:rPr>
        <w:t xml:space="preserve">mutation test, as </w:t>
      </w:r>
      <w:r>
        <w:rPr>
          <w:rFonts w:ascii="Segoe UI" w:hAnsi="Segoe UI" w:cs="Segoe UI"/>
          <w:i/>
          <w:iCs/>
          <w:sz w:val="22"/>
          <w:szCs w:val="22"/>
        </w:rPr>
        <w:t>ESR1</w:t>
      </w:r>
      <w:r>
        <w:rPr>
          <w:rFonts w:ascii="Segoe UI" w:hAnsi="Segoe UI" w:cs="Segoe UI"/>
          <w:sz w:val="22"/>
          <w:szCs w:val="22"/>
        </w:rPr>
        <w:t xml:space="preserve"> mutations develop over time i.e. the requested MBS listing is for serial testing in patients who have HR-positive, HER2-negative mBC and have received at least 6 months of first line treatment with a CDK4/6 inhibitor + AI and who have not progressed radiographically or clinically. </w:t>
      </w:r>
    </w:p>
    <w:p w14:paraId="72FA8FD4" w14:textId="77777777" w:rsidR="00E512FE" w:rsidRDefault="00E512FE" w:rsidP="00E512FE">
      <w:pPr>
        <w:rPr>
          <w:rFonts w:ascii="Segoe UI" w:eastAsia="Segoe UI" w:hAnsi="Segoe UI"/>
          <w:bCs/>
          <w:color w:val="000000"/>
          <w:sz w:val="22"/>
        </w:rPr>
      </w:pPr>
    </w:p>
    <w:p w14:paraId="2DB92B4D" w14:textId="77777777" w:rsidR="00E512FE" w:rsidRDefault="00E512FE">
      <w:pPr>
        <w:rPr>
          <w:rFonts w:ascii="Segoe UI" w:eastAsia="Segoe UI" w:hAnsi="Segoe UI"/>
          <w:b/>
          <w:color w:val="000000"/>
          <w:u w:val="single"/>
        </w:rPr>
      </w:pPr>
      <w:r>
        <w:rPr>
          <w:rFonts w:ascii="Segoe UI" w:eastAsia="Segoe UI" w:hAnsi="Segoe UI"/>
          <w:b/>
          <w:color w:val="000000"/>
          <w:u w:val="single"/>
        </w:rPr>
        <w:br w:type="page"/>
      </w:r>
    </w:p>
    <w:p w14:paraId="116CACC2" w14:textId="0B96A809" w:rsidR="00E512FE" w:rsidRPr="00F16239" w:rsidRDefault="00E512FE" w:rsidP="00E512FE">
      <w:pPr>
        <w:rPr>
          <w:rFonts w:ascii="Segoe UI" w:eastAsia="Segoe UI" w:hAnsi="Segoe UI"/>
          <w:b/>
          <w:color w:val="000000"/>
          <w:u w:val="single"/>
        </w:rPr>
      </w:pPr>
      <w:r w:rsidRPr="00F16239">
        <w:rPr>
          <w:rFonts w:ascii="Segoe UI" w:eastAsia="Segoe UI" w:hAnsi="Segoe UI"/>
          <w:b/>
          <w:color w:val="000000"/>
          <w:u w:val="single"/>
        </w:rPr>
        <w:lastRenderedPageBreak/>
        <w:t>Algorithms</w:t>
      </w:r>
    </w:p>
    <w:p w14:paraId="112C41F5" w14:textId="77777777" w:rsidR="00E512FE" w:rsidRDefault="00E512FE" w:rsidP="00E512FE">
      <w:pPr>
        <w:rPr>
          <w:rFonts w:ascii="Segoe UI" w:eastAsia="Segoe UI" w:hAnsi="Segoe UI"/>
          <w:b/>
          <w:color w:val="000000"/>
          <w:sz w:val="22"/>
        </w:rPr>
      </w:pPr>
      <w:r>
        <w:rPr>
          <w:rFonts w:ascii="Segoe UI" w:eastAsia="Segoe UI" w:hAnsi="Segoe UI"/>
          <w:b/>
          <w:color w:val="000000"/>
          <w:sz w:val="22"/>
        </w:rPr>
        <w:t>Insert diagrams demonstrating the clinical management algorithm with and without the proposed health technology:</w:t>
      </w:r>
    </w:p>
    <w:p w14:paraId="69EAFF4F" w14:textId="77777777" w:rsidR="00E512FE" w:rsidRDefault="00E512FE" w:rsidP="00E512FE">
      <w:pPr>
        <w:rPr>
          <w:rFonts w:ascii="Segoe UI" w:eastAsia="Segoe UI" w:hAnsi="Segoe UI"/>
          <w:bCs/>
          <w:color w:val="000000"/>
          <w:sz w:val="22"/>
        </w:rPr>
      </w:pPr>
      <w:r w:rsidRPr="00C96E92">
        <w:rPr>
          <w:rFonts w:ascii="Segoe UI" w:eastAsia="Segoe UI" w:hAnsi="Segoe UI"/>
          <w:b/>
          <w:color w:val="000000"/>
          <w:sz w:val="22"/>
        </w:rPr>
        <w:t>Note:</w:t>
      </w:r>
      <w:r>
        <w:rPr>
          <w:rFonts w:ascii="Segoe UI" w:eastAsia="Segoe UI" w:hAnsi="Segoe UI"/>
          <w:bCs/>
          <w:color w:val="000000"/>
          <w:sz w:val="22"/>
        </w:rPr>
        <w:t xml:space="preserve"> Please ensure that the diagrams provided do not contain information under copyright. </w:t>
      </w:r>
    </w:p>
    <w:p w14:paraId="77517973" w14:textId="52FDEC2F" w:rsidR="00E512FE" w:rsidRPr="00A81375" w:rsidRDefault="00E512FE" w:rsidP="00E512FE">
      <w:pPr>
        <w:pStyle w:val="Caption"/>
        <w:rPr>
          <w:rFonts w:ascii="Segoe UI" w:hAnsi="Segoe UI" w:cs="Segoe UI"/>
          <w:i w:val="0"/>
          <w:iCs w:val="0"/>
          <w:color w:val="auto"/>
          <w:sz w:val="22"/>
          <w:szCs w:val="22"/>
        </w:rPr>
      </w:pPr>
      <w:r w:rsidRPr="006A7FF9">
        <w:rPr>
          <w:rFonts w:ascii="Segoe UI" w:hAnsi="Segoe UI" w:cs="Segoe UI"/>
          <w:i w:val="0"/>
          <w:iCs w:val="0"/>
          <w:color w:val="auto"/>
          <w:sz w:val="22"/>
          <w:szCs w:val="22"/>
        </w:rPr>
        <w:t xml:space="preserve">The current and proposed treatment algorithms are provided below in Figure 1 and Figure 2, respectively. The key change between the two algorithms is the addition of serial </w:t>
      </w:r>
      <w:r w:rsidRPr="00BC7321">
        <w:rPr>
          <w:rFonts w:ascii="Segoe UI" w:hAnsi="Segoe UI" w:cs="Segoe UI"/>
          <w:color w:val="auto"/>
          <w:sz w:val="22"/>
          <w:szCs w:val="22"/>
        </w:rPr>
        <w:t>ESR1</w:t>
      </w:r>
      <w:r w:rsidRPr="006A7FF9">
        <w:rPr>
          <w:rFonts w:ascii="Segoe UI" w:hAnsi="Segoe UI" w:cs="Segoe UI"/>
          <w:i w:val="0"/>
          <w:iCs w:val="0"/>
          <w:color w:val="auto"/>
          <w:sz w:val="22"/>
          <w:szCs w:val="22"/>
        </w:rPr>
        <w:t xml:space="preserve">m testing </w:t>
      </w:r>
      <w:r>
        <w:rPr>
          <w:rFonts w:ascii="Segoe UI" w:hAnsi="Segoe UI" w:cs="Segoe UI"/>
          <w:i w:val="0"/>
          <w:iCs w:val="0"/>
          <w:color w:val="auto"/>
          <w:sz w:val="22"/>
          <w:szCs w:val="22"/>
        </w:rPr>
        <w:t xml:space="preserve">by ctDNA </w:t>
      </w:r>
      <w:r w:rsidRPr="006A7FF9">
        <w:rPr>
          <w:rFonts w:ascii="Segoe UI" w:hAnsi="Segoe UI" w:cs="Segoe UI"/>
          <w:i w:val="0"/>
          <w:iCs w:val="0"/>
          <w:color w:val="auto"/>
          <w:sz w:val="22"/>
          <w:szCs w:val="22"/>
        </w:rPr>
        <w:t xml:space="preserve">commencing after at least 6 months of treatment with a CDK4/6 inhibitor (CDK4/6i) in combination with an AI. If the test result is ESR1m-positive, and there is no evidence of disease progression, camizestrant can be substituted in place of the AI. If the test result is ESR1m negative, the patient continues to receive the current therapy regimen and will be re-tested </w:t>
      </w:r>
      <w:r w:rsidR="000F2FB1">
        <w:rPr>
          <w:rFonts w:ascii="Segoe UI" w:hAnsi="Segoe UI" w:cs="Segoe UI"/>
          <w:i w:val="0"/>
          <w:iCs w:val="0"/>
          <w:color w:val="auto"/>
          <w:sz w:val="22"/>
          <w:szCs w:val="22"/>
        </w:rPr>
        <w:t>up to 6 times per year</w:t>
      </w:r>
      <w:r w:rsidRPr="006A7FF9">
        <w:rPr>
          <w:rFonts w:ascii="Segoe UI" w:hAnsi="Segoe UI" w:cs="Segoe UI"/>
          <w:i w:val="0"/>
          <w:iCs w:val="0"/>
          <w:color w:val="auto"/>
          <w:sz w:val="22"/>
          <w:szCs w:val="22"/>
        </w:rPr>
        <w:t>, if there is no evidence of disease progression.</w:t>
      </w:r>
    </w:p>
    <w:p w14:paraId="0BAD255F" w14:textId="77777777" w:rsidR="00E512FE" w:rsidRPr="00334178" w:rsidRDefault="00E512FE" w:rsidP="00E512FE">
      <w:pPr>
        <w:pStyle w:val="Caption"/>
        <w:rPr>
          <w:rFonts w:ascii="Segoe UI" w:eastAsia="Segoe UI" w:hAnsi="Segoe UI" w:cs="Segoe UI"/>
          <w:b/>
          <w:i w:val="0"/>
          <w:color w:val="auto"/>
          <w:sz w:val="28"/>
          <w:szCs w:val="28"/>
          <w:lang w:val="fr-FR"/>
        </w:rPr>
      </w:pPr>
      <w:bookmarkStart w:id="2" w:name="_Ref214435055"/>
      <w:r w:rsidRPr="5C82A288">
        <w:rPr>
          <w:rFonts w:ascii="Segoe UI" w:hAnsi="Segoe UI" w:cs="Segoe UI"/>
          <w:b/>
          <w:i w:val="0"/>
          <w:color w:val="auto"/>
          <w:sz w:val="22"/>
          <w:szCs w:val="22"/>
          <w:lang w:val="fr-FR"/>
        </w:rPr>
        <w:t xml:space="preserve">Figure </w:t>
      </w:r>
      <w:r w:rsidRPr="00334178">
        <w:rPr>
          <w:rFonts w:ascii="Segoe UI" w:hAnsi="Segoe UI" w:cs="Segoe UI"/>
          <w:b/>
          <w:bCs/>
          <w:i w:val="0"/>
          <w:iCs w:val="0"/>
          <w:color w:val="auto"/>
          <w:sz w:val="22"/>
          <w:szCs w:val="22"/>
        </w:rPr>
        <w:fldChar w:fldCharType="begin"/>
      </w:r>
      <w:r w:rsidRPr="00334178">
        <w:rPr>
          <w:rFonts w:ascii="Segoe UI" w:hAnsi="Segoe UI" w:cs="Segoe UI"/>
          <w:b/>
          <w:bCs/>
          <w:i w:val="0"/>
          <w:iCs w:val="0"/>
          <w:color w:val="auto"/>
          <w:sz w:val="22"/>
          <w:szCs w:val="22"/>
        </w:rPr>
        <w:instrText xml:space="preserve"> SEQ Figure \* ARABIC </w:instrText>
      </w:r>
      <w:r w:rsidRPr="00334178">
        <w:rPr>
          <w:rFonts w:ascii="Segoe UI" w:hAnsi="Segoe UI" w:cs="Segoe UI"/>
          <w:b/>
          <w:bCs/>
          <w:i w:val="0"/>
          <w:iCs w:val="0"/>
          <w:color w:val="auto"/>
          <w:sz w:val="22"/>
          <w:szCs w:val="22"/>
        </w:rPr>
        <w:fldChar w:fldCharType="separate"/>
      </w:r>
      <w:r w:rsidRPr="5C82A288">
        <w:rPr>
          <w:rFonts w:ascii="Segoe UI" w:hAnsi="Segoe UI" w:cs="Segoe UI"/>
          <w:b/>
          <w:i w:val="0"/>
          <w:color w:val="auto"/>
          <w:sz w:val="22"/>
          <w:szCs w:val="22"/>
          <w:lang w:val="fr-FR"/>
        </w:rPr>
        <w:t>1</w:t>
      </w:r>
      <w:r w:rsidRPr="00334178">
        <w:rPr>
          <w:rFonts w:ascii="Segoe UI" w:hAnsi="Segoe UI" w:cs="Segoe UI"/>
          <w:b/>
          <w:bCs/>
          <w:i w:val="0"/>
          <w:iCs w:val="0"/>
          <w:color w:val="auto"/>
          <w:sz w:val="22"/>
          <w:szCs w:val="22"/>
        </w:rPr>
        <w:fldChar w:fldCharType="end"/>
      </w:r>
      <w:bookmarkEnd w:id="2"/>
      <w:r>
        <w:tab/>
      </w:r>
      <w:r w:rsidRPr="5C82A288">
        <w:rPr>
          <w:rFonts w:ascii="Segoe UI" w:hAnsi="Segoe UI" w:cs="Segoe UI"/>
          <w:b/>
          <w:i w:val="0"/>
          <w:color w:val="auto"/>
          <w:sz w:val="22"/>
          <w:szCs w:val="22"/>
          <w:lang w:val="fr-FR"/>
        </w:rPr>
        <w:t>Current Clinical Management Algorithm</w:t>
      </w:r>
    </w:p>
    <w:p w14:paraId="0C7F52E8" w14:textId="77777777" w:rsidR="00E512FE" w:rsidRDefault="00E512FE" w:rsidP="00E512FE">
      <w:pPr>
        <w:rPr>
          <w:rFonts w:ascii="Segoe UI" w:eastAsia="Segoe UI" w:hAnsi="Segoe UI"/>
          <w:bCs/>
          <w:color w:val="000000"/>
          <w:sz w:val="22"/>
        </w:rPr>
      </w:pPr>
      <w:r w:rsidRPr="00C734A0">
        <w:rPr>
          <w:rFonts w:cstheme="minorBidi"/>
          <w:noProof/>
        </w:rPr>
        <w:drawing>
          <wp:inline distT="0" distB="0" distL="0" distR="0" wp14:anchorId="785F7FD1" wp14:editId="26985768">
            <wp:extent cx="4513385" cy="2133600"/>
            <wp:effectExtent l="0" t="0" r="1905" b="0"/>
            <wp:docPr id="461655468" name="Picture 1" descr="A diagram showing the clinical management of patients from disagnosis of HR-positive HER2-negative mBC through endocrine therapy and onto either chemotherapy or further endocrine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55468" name="Picture 1" descr="A diagram showing the clinical management of patients from disagnosis of HR-positive HER2-negative mBC through endocrine therapy and onto either chemotherapy or further endocrine therapy."/>
                    <pic:cNvPicPr/>
                  </pic:nvPicPr>
                  <pic:blipFill>
                    <a:blip r:embed="rId13"/>
                    <a:stretch>
                      <a:fillRect/>
                    </a:stretch>
                  </pic:blipFill>
                  <pic:spPr>
                    <a:xfrm>
                      <a:off x="0" y="0"/>
                      <a:ext cx="4519112" cy="2136307"/>
                    </a:xfrm>
                    <a:prstGeom prst="rect">
                      <a:avLst/>
                    </a:prstGeom>
                  </pic:spPr>
                </pic:pic>
              </a:graphicData>
            </a:graphic>
          </wp:inline>
        </w:drawing>
      </w:r>
    </w:p>
    <w:p w14:paraId="0B9C33E6" w14:textId="77777777" w:rsidR="00E512FE" w:rsidRPr="000E38B2" w:rsidRDefault="00E512FE" w:rsidP="00E512FE">
      <w:pPr>
        <w:pStyle w:val="Caption"/>
        <w:rPr>
          <w:rFonts w:ascii="Segoe UI" w:hAnsi="Segoe UI" w:cs="Segoe UI"/>
          <w:b/>
          <w:i w:val="0"/>
          <w:color w:val="auto"/>
          <w:sz w:val="16"/>
          <w:szCs w:val="16"/>
        </w:rPr>
      </w:pPr>
      <w:r w:rsidRPr="000E38B2">
        <w:rPr>
          <w:rFonts w:ascii="Segoe UI" w:hAnsi="Segoe UI" w:cs="Segoe UI"/>
          <w:i w:val="0"/>
          <w:color w:val="auto"/>
          <w:sz w:val="16"/>
          <w:szCs w:val="16"/>
        </w:rPr>
        <w:t xml:space="preserve">Abbreviations: </w:t>
      </w:r>
      <w:r>
        <w:rPr>
          <w:rFonts w:ascii="Segoe UI" w:hAnsi="Segoe UI" w:cs="Segoe UI"/>
          <w:i w:val="0"/>
          <w:color w:val="auto"/>
          <w:sz w:val="16"/>
          <w:szCs w:val="16"/>
        </w:rPr>
        <w:t xml:space="preserve">CDK4/6i: cyclin dependent kinase 4/6 inhibitor; ET: </w:t>
      </w:r>
      <w:r w:rsidRPr="000E38B2">
        <w:rPr>
          <w:rFonts w:ascii="Segoe UI" w:hAnsi="Segoe UI" w:cs="Segoe UI"/>
          <w:i w:val="0"/>
          <w:color w:val="auto"/>
          <w:sz w:val="16"/>
          <w:szCs w:val="16"/>
        </w:rPr>
        <w:t>endocrine therapy</w:t>
      </w:r>
      <w:r>
        <w:rPr>
          <w:rFonts w:ascii="Segoe UI" w:hAnsi="Segoe UI" w:cs="Segoe UI"/>
          <w:i w:val="0"/>
          <w:color w:val="auto"/>
          <w:sz w:val="16"/>
          <w:szCs w:val="16"/>
        </w:rPr>
        <w:t>; IV: intravenous</w:t>
      </w:r>
    </w:p>
    <w:p w14:paraId="3EC25AEE" w14:textId="77777777" w:rsidR="00E512FE" w:rsidRDefault="00E512FE">
      <w:pPr>
        <w:rPr>
          <w:rFonts w:ascii="Segoe UI" w:hAnsi="Segoe UI" w:cs="Segoe UI"/>
          <w:b/>
          <w:bCs/>
          <w:sz w:val="22"/>
          <w:szCs w:val="22"/>
        </w:rPr>
      </w:pPr>
      <w:bookmarkStart w:id="3" w:name="_Ref213658845"/>
      <w:r>
        <w:rPr>
          <w:rFonts w:ascii="Segoe UI" w:hAnsi="Segoe UI" w:cs="Segoe UI"/>
          <w:b/>
          <w:bCs/>
          <w:i/>
          <w:iCs/>
          <w:sz w:val="22"/>
          <w:szCs w:val="22"/>
        </w:rPr>
        <w:br w:type="page"/>
      </w:r>
    </w:p>
    <w:p w14:paraId="027FB914" w14:textId="33BEEE22" w:rsidR="00E512FE" w:rsidRPr="00340FD0" w:rsidRDefault="00E512FE" w:rsidP="00E512FE">
      <w:pPr>
        <w:pStyle w:val="Caption"/>
        <w:rPr>
          <w:rFonts w:ascii="Segoe UI" w:eastAsia="Segoe UI" w:hAnsi="Segoe UI" w:cs="Segoe UI"/>
          <w:b/>
          <w:bCs/>
          <w:i w:val="0"/>
          <w:iCs w:val="0"/>
          <w:color w:val="auto"/>
          <w:sz w:val="28"/>
          <w:szCs w:val="22"/>
        </w:rPr>
      </w:pPr>
      <w:r w:rsidRPr="00340FD0">
        <w:rPr>
          <w:rFonts w:ascii="Segoe UI" w:hAnsi="Segoe UI" w:cs="Segoe UI"/>
          <w:b/>
          <w:bCs/>
          <w:i w:val="0"/>
          <w:iCs w:val="0"/>
          <w:color w:val="auto"/>
          <w:sz w:val="22"/>
          <w:szCs w:val="22"/>
        </w:rPr>
        <w:lastRenderedPageBreak/>
        <w:t xml:space="preserve">Figure </w:t>
      </w:r>
      <w:r w:rsidRPr="00340FD0">
        <w:rPr>
          <w:rFonts w:ascii="Segoe UI" w:hAnsi="Segoe UI" w:cs="Segoe UI"/>
          <w:b/>
          <w:bCs/>
          <w:i w:val="0"/>
          <w:iCs w:val="0"/>
          <w:color w:val="auto"/>
          <w:sz w:val="22"/>
          <w:szCs w:val="22"/>
        </w:rPr>
        <w:fldChar w:fldCharType="begin"/>
      </w:r>
      <w:r w:rsidRPr="00340FD0">
        <w:rPr>
          <w:rFonts w:ascii="Segoe UI" w:hAnsi="Segoe UI" w:cs="Segoe UI"/>
          <w:b/>
          <w:bCs/>
          <w:i w:val="0"/>
          <w:iCs w:val="0"/>
          <w:color w:val="auto"/>
          <w:sz w:val="22"/>
          <w:szCs w:val="22"/>
        </w:rPr>
        <w:instrText xml:space="preserve"> SEQ Figure \* ARABIC </w:instrText>
      </w:r>
      <w:r w:rsidRPr="00340FD0">
        <w:rPr>
          <w:rFonts w:ascii="Segoe UI" w:hAnsi="Segoe UI" w:cs="Segoe UI"/>
          <w:b/>
          <w:bCs/>
          <w:i w:val="0"/>
          <w:iCs w:val="0"/>
          <w:color w:val="auto"/>
          <w:sz w:val="22"/>
          <w:szCs w:val="22"/>
        </w:rPr>
        <w:fldChar w:fldCharType="separate"/>
      </w:r>
      <w:r>
        <w:rPr>
          <w:rFonts w:ascii="Segoe UI" w:hAnsi="Segoe UI" w:cs="Segoe UI"/>
          <w:b/>
          <w:bCs/>
          <w:i w:val="0"/>
          <w:iCs w:val="0"/>
          <w:noProof/>
          <w:color w:val="auto"/>
          <w:sz w:val="22"/>
          <w:szCs w:val="22"/>
        </w:rPr>
        <w:t>2</w:t>
      </w:r>
      <w:r w:rsidRPr="00340FD0">
        <w:rPr>
          <w:rFonts w:ascii="Segoe UI" w:hAnsi="Segoe UI" w:cs="Segoe UI"/>
          <w:b/>
          <w:bCs/>
          <w:i w:val="0"/>
          <w:iCs w:val="0"/>
          <w:color w:val="auto"/>
          <w:sz w:val="22"/>
          <w:szCs w:val="22"/>
        </w:rPr>
        <w:fldChar w:fldCharType="end"/>
      </w:r>
      <w:bookmarkEnd w:id="3"/>
      <w:r w:rsidRPr="00340FD0">
        <w:rPr>
          <w:rFonts w:ascii="Segoe UI" w:hAnsi="Segoe UI" w:cs="Segoe UI"/>
          <w:b/>
          <w:bCs/>
          <w:i w:val="0"/>
          <w:iCs w:val="0"/>
          <w:color w:val="auto"/>
          <w:sz w:val="22"/>
          <w:szCs w:val="22"/>
        </w:rPr>
        <w:tab/>
        <w:t>Proposed Clinical Management Algorithm</w:t>
      </w:r>
    </w:p>
    <w:p w14:paraId="78EBE26B" w14:textId="5CBA7197" w:rsidR="00E512FE" w:rsidRDefault="00E512FE" w:rsidP="00E512FE">
      <w:pPr>
        <w:rPr>
          <w:rFonts w:ascii="Segoe UI" w:eastAsia="Segoe UI" w:hAnsi="Segoe UI"/>
          <w:color w:val="000000"/>
          <w:sz w:val="22"/>
          <w:szCs w:val="22"/>
        </w:rPr>
      </w:pPr>
      <w:r w:rsidRPr="6BD791AF">
        <w:rPr>
          <w:rFonts w:ascii="Segoe UI" w:eastAsia="Segoe UI" w:hAnsi="Segoe UI"/>
          <w:color w:val="000000" w:themeColor="text1"/>
          <w:sz w:val="22"/>
          <w:szCs w:val="22"/>
        </w:rPr>
        <w:t xml:space="preserve"> </w:t>
      </w:r>
      <w:r w:rsidRPr="00BC7321">
        <w:rPr>
          <w:noProof/>
        </w:rPr>
        <w:t xml:space="preserve"> </w:t>
      </w:r>
      <w:r w:rsidR="000B4D89" w:rsidRPr="003701DC">
        <w:rPr>
          <w:rFonts w:ascii="Segoe UI" w:eastAsia="Segoe UI" w:hAnsi="Segoe UI"/>
          <w:noProof/>
          <w:color w:val="000000"/>
          <w:sz w:val="22"/>
          <w:szCs w:val="22"/>
        </w:rPr>
        <w:drawing>
          <wp:inline distT="0" distB="0" distL="0" distR="0" wp14:anchorId="77A48B23" wp14:editId="7F1BEE4A">
            <wp:extent cx="5040173" cy="4681111"/>
            <wp:effectExtent l="0" t="0" r="8255" b="5715"/>
            <wp:docPr id="1363445731" name="Picture 1" descr="A diagram showing the proposed clinical management of patients if ESR1 testing is added. The algorithm starts with disagnosis of HR-positive HER2-negative mBC through endocrine therapy after which patients are tested for ESR1 variants and start treamtnet with camizestrant if they are found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45731" name="Picture 1" descr="A diagram showing the proposed clinical management of patients if ESR1 testing is added. The algorithm starts with disagnosis of HR-positive HER2-negative mBC through endocrine therapy after which patients are tested for ESR1 variants and start treamtnet with camizestrant if they are found positive."/>
                    <pic:cNvPicPr/>
                  </pic:nvPicPr>
                  <pic:blipFill>
                    <a:blip r:embed="rId14"/>
                    <a:stretch>
                      <a:fillRect/>
                    </a:stretch>
                  </pic:blipFill>
                  <pic:spPr>
                    <a:xfrm>
                      <a:off x="0" y="0"/>
                      <a:ext cx="5044396" cy="4685033"/>
                    </a:xfrm>
                    <a:prstGeom prst="rect">
                      <a:avLst/>
                    </a:prstGeom>
                  </pic:spPr>
                </pic:pic>
              </a:graphicData>
            </a:graphic>
          </wp:inline>
        </w:drawing>
      </w:r>
    </w:p>
    <w:p w14:paraId="0C5A1EE2" w14:textId="77777777" w:rsidR="00E512FE" w:rsidRPr="000E38B2" w:rsidRDefault="00E512FE" w:rsidP="00E512FE">
      <w:pPr>
        <w:pStyle w:val="Caption"/>
        <w:rPr>
          <w:rFonts w:ascii="Segoe UI" w:hAnsi="Segoe UI" w:cs="Segoe UI"/>
          <w:b/>
          <w:i w:val="0"/>
          <w:color w:val="auto"/>
          <w:sz w:val="16"/>
          <w:szCs w:val="16"/>
        </w:rPr>
      </w:pPr>
      <w:r w:rsidRPr="000E38B2">
        <w:rPr>
          <w:rFonts w:ascii="Segoe UI" w:hAnsi="Segoe UI" w:cs="Segoe UI"/>
          <w:i w:val="0"/>
          <w:color w:val="auto"/>
          <w:sz w:val="16"/>
          <w:szCs w:val="16"/>
        </w:rPr>
        <w:t xml:space="preserve">Abbreviations: </w:t>
      </w:r>
      <w:r>
        <w:rPr>
          <w:rFonts w:ascii="Segoe UI" w:hAnsi="Segoe UI" w:cs="Segoe UI"/>
          <w:i w:val="0"/>
          <w:color w:val="auto"/>
          <w:sz w:val="16"/>
          <w:szCs w:val="16"/>
        </w:rPr>
        <w:t xml:space="preserve">CDK4/6i: cyclin dependent kinase 4/6 inhibitor; ET: </w:t>
      </w:r>
      <w:r w:rsidRPr="000E38B2">
        <w:rPr>
          <w:rFonts w:ascii="Segoe UI" w:hAnsi="Segoe UI" w:cs="Segoe UI"/>
          <w:i w:val="0"/>
          <w:color w:val="auto"/>
          <w:sz w:val="16"/>
          <w:szCs w:val="16"/>
        </w:rPr>
        <w:t>endocrine therapy</w:t>
      </w:r>
      <w:r>
        <w:rPr>
          <w:rFonts w:ascii="Segoe UI" w:hAnsi="Segoe UI" w:cs="Segoe UI"/>
          <w:i w:val="0"/>
          <w:color w:val="auto"/>
          <w:sz w:val="16"/>
          <w:szCs w:val="16"/>
        </w:rPr>
        <w:t>; IV: intravenous</w:t>
      </w:r>
    </w:p>
    <w:p w14:paraId="0F33880B" w14:textId="0CFD7033" w:rsidR="00566CF9" w:rsidRDefault="00566CF9">
      <w:pPr>
        <w:rPr>
          <w:rFonts w:ascii="Segoe UI" w:eastAsia="Segoe UI" w:hAnsi="Segoe UI"/>
          <w:b/>
          <w:color w:val="000000"/>
          <w:sz w:val="32"/>
        </w:rPr>
      </w:pPr>
    </w:p>
    <w:p w14:paraId="16AA46BC" w14:textId="77777777" w:rsidR="00C566B5" w:rsidRDefault="00C566B5" w:rsidP="00C566B5">
      <w:pPr>
        <w:rPr>
          <w:rFonts w:ascii="Segoe UI" w:eastAsia="Segoe UI" w:hAnsi="Segoe UI"/>
          <w:b/>
          <w:color w:val="000000"/>
          <w:sz w:val="32"/>
        </w:rPr>
      </w:pPr>
      <w:r>
        <w:rPr>
          <w:rFonts w:ascii="Segoe UI" w:eastAsia="Segoe UI" w:hAnsi="Segoe UI"/>
          <w:b/>
          <w:color w:val="000000"/>
          <w:sz w:val="32"/>
        </w:rPr>
        <w:t>Claims</w:t>
      </w:r>
    </w:p>
    <w:p w14:paraId="1D685677" w14:textId="5E98BCCA" w:rsidR="00C566B5" w:rsidRDefault="00C566B5" w:rsidP="00C566B5">
      <w:pPr>
        <w:rPr>
          <w:rFonts w:ascii="Segoe UI" w:eastAsia="Segoe UI" w:hAnsi="Segoe UI"/>
          <w:bCs/>
          <w:color w:val="000000"/>
          <w:sz w:val="22"/>
        </w:rPr>
      </w:pPr>
      <w:r>
        <w:rPr>
          <w:rFonts w:ascii="Segoe UI" w:eastAsia="Segoe UI" w:hAnsi="Segoe UI"/>
          <w:b/>
          <w:color w:val="000000"/>
          <w:sz w:val="22"/>
        </w:rPr>
        <w:t xml:space="preserve">In terms of health outcomes (comparative benefits and harms), is the proposed technology claimed to be superior, non-inferior or inferior to the comparator(s)? </w:t>
      </w:r>
    </w:p>
    <w:p w14:paraId="46C9E79A" w14:textId="20FB69FC" w:rsidR="00C566B5" w:rsidRPr="000627EF" w:rsidRDefault="00B97F97" w:rsidP="00C566B5">
      <w:pPr>
        <w:pStyle w:val="Tickboxes"/>
        <w:ind w:left="0"/>
        <w:rPr>
          <w:rFonts w:ascii="Segoe UI" w:hAnsi="Segoe UI" w:cs="Segoe UI"/>
          <w:sz w:val="22"/>
          <w:szCs w:val="22"/>
        </w:rPr>
      </w:pPr>
      <w:r>
        <w:rPr>
          <w:rFonts w:ascii="Segoe UI" w:hAnsi="Segoe UI" w:cs="Segoe UI"/>
          <w:sz w:val="22"/>
          <w:szCs w:val="22"/>
        </w:rPr>
        <w:fldChar w:fldCharType="begin">
          <w:ffData>
            <w:name w:val=""/>
            <w:enabled/>
            <w:calcOnExit w:val="0"/>
            <w:checkBox>
              <w:sizeAuto/>
              <w:default w:val="1"/>
            </w:checkBox>
          </w:ffData>
        </w:fldChar>
      </w:r>
      <w:r>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fldChar w:fldCharType="end"/>
      </w:r>
      <w:r>
        <w:rPr>
          <w:rFonts w:ascii="Segoe UI" w:hAnsi="Segoe UI" w:cs="Segoe UI"/>
          <w:sz w:val="22"/>
          <w:szCs w:val="22"/>
        </w:rPr>
        <w:t xml:space="preserve"> </w:t>
      </w:r>
      <w:r w:rsidR="00C566B5">
        <w:rPr>
          <w:rFonts w:ascii="Segoe UI" w:hAnsi="Segoe UI" w:cs="Segoe UI"/>
          <w:sz w:val="22"/>
          <w:szCs w:val="22"/>
        </w:rPr>
        <w:t>Superior</w:t>
      </w:r>
      <w:r w:rsidR="00C566B5" w:rsidRPr="000627EF">
        <w:rPr>
          <w:rFonts w:ascii="Segoe UI" w:hAnsi="Segoe UI" w:cs="Segoe UI"/>
          <w:sz w:val="22"/>
          <w:szCs w:val="22"/>
        </w:rPr>
        <w:t xml:space="preserve"> </w:t>
      </w:r>
    </w:p>
    <w:p w14:paraId="4AC6C6A7" w14:textId="77777777" w:rsidR="00C566B5" w:rsidRPr="000627EF" w:rsidRDefault="00C566B5" w:rsidP="00C566B5">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Non-inferior</w:t>
      </w:r>
    </w:p>
    <w:p w14:paraId="46BFC7FD" w14:textId="77777777" w:rsidR="00C566B5" w:rsidRPr="000627EF" w:rsidRDefault="00C566B5" w:rsidP="00C566B5">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Inferior</w:t>
      </w:r>
      <w:r w:rsidRPr="000627EF">
        <w:rPr>
          <w:rFonts w:ascii="Segoe UI" w:hAnsi="Segoe UI" w:cs="Segoe UI"/>
          <w:sz w:val="22"/>
          <w:szCs w:val="22"/>
        </w:rPr>
        <w:t xml:space="preserve"> </w:t>
      </w:r>
    </w:p>
    <w:p w14:paraId="20F3AE75" w14:textId="5C44B247" w:rsidR="00C566B5" w:rsidRDefault="00C566B5" w:rsidP="00C566B5">
      <w:pPr>
        <w:spacing w:after="0" w:line="240" w:lineRule="auto"/>
        <w:rPr>
          <w:rFonts w:ascii="Segoe UI" w:eastAsia="Segoe UI" w:hAnsi="Segoe UI"/>
          <w:b/>
          <w:color w:val="000000"/>
          <w:sz w:val="22"/>
        </w:rPr>
      </w:pPr>
    </w:p>
    <w:p w14:paraId="5E736703" w14:textId="77777777" w:rsidR="00F47AFE" w:rsidRPr="00364572" w:rsidRDefault="00F47AFE" w:rsidP="00F47AFE">
      <w:pPr>
        <w:spacing w:after="0" w:line="240" w:lineRule="auto"/>
        <w:rPr>
          <w:rFonts w:ascii="Segoe UI" w:eastAsia="Segoe UI" w:hAnsi="Segoe UI"/>
          <w:b/>
          <w:color w:val="000000"/>
          <w:sz w:val="22"/>
        </w:rPr>
      </w:pPr>
      <w:r w:rsidRPr="0026282C">
        <w:rPr>
          <w:rFonts w:ascii="Segoe UI" w:eastAsia="Segoe UI" w:hAnsi="Segoe UI" w:cs="Segoe UI"/>
          <w:b/>
          <w:bCs/>
          <w:color w:val="000000"/>
          <w:sz w:val="22"/>
          <w:szCs w:val="22"/>
        </w:rPr>
        <w:t>Please state what the overall claim is, and provide a rationale</w:t>
      </w:r>
      <w:r w:rsidRPr="00B15CDF">
        <w:rPr>
          <w:rFonts w:ascii="Segoe UI" w:eastAsia="Segoe UI" w:hAnsi="Segoe UI"/>
          <w:b/>
          <w:color w:val="000000"/>
          <w:sz w:val="22"/>
        </w:rPr>
        <w:t>:</w:t>
      </w:r>
    </w:p>
    <w:p w14:paraId="0F9903BB" w14:textId="50CD7054" w:rsidR="00C566B5" w:rsidRPr="00BE6B22" w:rsidRDefault="00472211" w:rsidP="00C566B5">
      <w:pPr>
        <w:spacing w:after="0" w:line="240" w:lineRule="auto"/>
        <w:rPr>
          <w:rFonts w:asciiTheme="minorHAnsi" w:eastAsia="Segoe UI" w:hAnsiTheme="minorHAnsi" w:cstheme="minorHAnsi"/>
          <w:color w:val="000000"/>
          <w:sz w:val="22"/>
          <w:szCs w:val="22"/>
        </w:rPr>
      </w:pPr>
      <w:r>
        <w:rPr>
          <w:rFonts w:ascii="Segoe UI" w:hAnsi="Segoe UI" w:cs="Segoe UI"/>
          <w:sz w:val="22"/>
          <w:szCs w:val="22"/>
        </w:rPr>
        <w:t>Superiority versus no testing + standard of care</w:t>
      </w:r>
    </w:p>
    <w:p w14:paraId="7C30DE7E" w14:textId="77777777" w:rsidR="00C566B5" w:rsidRDefault="00C566B5" w:rsidP="00C566B5">
      <w:pPr>
        <w:spacing w:after="0" w:line="240" w:lineRule="auto"/>
        <w:rPr>
          <w:rFonts w:ascii="Segoe UI" w:eastAsia="Segoe UI" w:hAnsi="Segoe UI"/>
          <w:b/>
          <w:color w:val="000000"/>
          <w:sz w:val="22"/>
        </w:rPr>
      </w:pPr>
    </w:p>
    <w:p w14:paraId="79D48580" w14:textId="77777777" w:rsidR="00C566B5" w:rsidRDefault="00C566B5" w:rsidP="00C566B5">
      <w:pPr>
        <w:spacing w:after="0" w:line="240" w:lineRule="auto"/>
        <w:rPr>
          <w:rFonts w:ascii="Segoe UI" w:eastAsia="Segoe UI" w:hAnsi="Segoe UI"/>
          <w:b/>
          <w:color w:val="000000"/>
          <w:sz w:val="22"/>
        </w:rPr>
      </w:pPr>
      <w:r>
        <w:rPr>
          <w:rFonts w:ascii="Segoe UI" w:eastAsia="Segoe UI" w:hAnsi="Segoe UI"/>
          <w:b/>
          <w:color w:val="000000"/>
          <w:sz w:val="22"/>
        </w:rPr>
        <w:t>Why would the requestor seek to use the proposed investigative technology rather than the comparator(s)?</w:t>
      </w:r>
    </w:p>
    <w:p w14:paraId="7C569071" w14:textId="6AF9A073" w:rsidR="00C566B5" w:rsidRDefault="00963863" w:rsidP="00C566B5">
      <w:pPr>
        <w:spacing w:after="0" w:line="240" w:lineRule="auto"/>
        <w:rPr>
          <w:rFonts w:ascii="Segoe UI" w:eastAsia="Segoe UI" w:hAnsi="Segoe UI"/>
          <w:bCs/>
          <w:color w:val="000000"/>
          <w:sz w:val="22"/>
        </w:rPr>
      </w:pPr>
      <w:r>
        <w:rPr>
          <w:rFonts w:ascii="Segoe UI" w:eastAsia="Segoe UI" w:hAnsi="Segoe UI"/>
          <w:bCs/>
          <w:color w:val="000000"/>
          <w:sz w:val="22"/>
        </w:rPr>
        <w:t xml:space="preserve">This application requests public funding for </w:t>
      </w:r>
      <w:r>
        <w:rPr>
          <w:rFonts w:ascii="Segoe UI" w:eastAsia="Segoe UI" w:hAnsi="Segoe UI"/>
          <w:bCs/>
          <w:i/>
          <w:iCs/>
          <w:color w:val="000000"/>
          <w:sz w:val="22"/>
        </w:rPr>
        <w:t>ESR1</w:t>
      </w:r>
      <w:r>
        <w:rPr>
          <w:rFonts w:ascii="Segoe UI" w:eastAsia="Segoe UI" w:hAnsi="Segoe UI"/>
          <w:bCs/>
          <w:color w:val="000000"/>
          <w:sz w:val="22"/>
        </w:rPr>
        <w:t>m testing</w:t>
      </w:r>
      <w:r w:rsidR="00601E04">
        <w:rPr>
          <w:rFonts w:ascii="Segoe UI" w:eastAsia="Segoe UI" w:hAnsi="Segoe UI"/>
          <w:bCs/>
          <w:color w:val="000000"/>
          <w:sz w:val="22"/>
        </w:rPr>
        <w:t xml:space="preserve"> as a diagnostic service to determine eligibility for camizestrant in combination with a </w:t>
      </w:r>
      <w:r w:rsidR="00DF5AB6">
        <w:rPr>
          <w:rFonts w:ascii="Segoe UI" w:eastAsia="Segoe UI" w:hAnsi="Segoe UI"/>
          <w:bCs/>
          <w:color w:val="000000"/>
          <w:sz w:val="22"/>
        </w:rPr>
        <w:t>CDK4/6</w:t>
      </w:r>
      <w:r w:rsidR="00601E04">
        <w:rPr>
          <w:rFonts w:ascii="Segoe UI" w:eastAsia="Segoe UI" w:hAnsi="Segoe UI"/>
          <w:bCs/>
          <w:color w:val="000000"/>
          <w:sz w:val="22"/>
        </w:rPr>
        <w:t xml:space="preserve"> inhibitor </w:t>
      </w:r>
      <w:r w:rsidR="001A4D66">
        <w:rPr>
          <w:rFonts w:ascii="Segoe UI" w:eastAsia="Segoe UI" w:hAnsi="Segoe UI"/>
          <w:bCs/>
          <w:color w:val="000000"/>
          <w:sz w:val="22"/>
        </w:rPr>
        <w:t xml:space="preserve">for patients who have HR-positive, HER2-negative mBC who have received at least 6 months of </w:t>
      </w:r>
      <w:r w:rsidR="0010473C">
        <w:rPr>
          <w:rFonts w:ascii="Segoe UI" w:eastAsia="Segoe UI" w:hAnsi="Segoe UI"/>
          <w:bCs/>
          <w:color w:val="000000"/>
          <w:sz w:val="22"/>
        </w:rPr>
        <w:t xml:space="preserve">first line </w:t>
      </w:r>
      <w:r w:rsidR="001A4D66">
        <w:rPr>
          <w:rFonts w:ascii="Segoe UI" w:eastAsia="Segoe UI" w:hAnsi="Segoe UI"/>
          <w:bCs/>
          <w:color w:val="000000"/>
          <w:sz w:val="22"/>
        </w:rPr>
        <w:t xml:space="preserve">treatment with a </w:t>
      </w:r>
      <w:r w:rsidR="00DF5AB6">
        <w:rPr>
          <w:rFonts w:ascii="Segoe UI" w:eastAsia="Segoe UI" w:hAnsi="Segoe UI"/>
          <w:bCs/>
          <w:color w:val="000000"/>
          <w:sz w:val="22"/>
        </w:rPr>
        <w:lastRenderedPageBreak/>
        <w:t>CDK4/6</w:t>
      </w:r>
      <w:r w:rsidR="001A4D66">
        <w:rPr>
          <w:rFonts w:ascii="Segoe UI" w:eastAsia="Segoe UI" w:hAnsi="Segoe UI"/>
          <w:bCs/>
          <w:color w:val="000000"/>
          <w:sz w:val="22"/>
        </w:rPr>
        <w:t xml:space="preserve"> inhibitor in combination with an AI and whose disease has not progressed radiographically. </w:t>
      </w:r>
    </w:p>
    <w:p w14:paraId="7B2EE6A0" w14:textId="77777777" w:rsidR="001A4D66" w:rsidRDefault="001A4D66" w:rsidP="00C566B5">
      <w:pPr>
        <w:spacing w:after="0" w:line="240" w:lineRule="auto"/>
        <w:rPr>
          <w:rFonts w:ascii="Segoe UI" w:eastAsia="Segoe UI" w:hAnsi="Segoe UI"/>
          <w:bCs/>
          <w:color w:val="000000"/>
          <w:sz w:val="22"/>
        </w:rPr>
      </w:pPr>
    </w:p>
    <w:p w14:paraId="14CAA790" w14:textId="18957696" w:rsidR="00FD2293" w:rsidRDefault="00FD2293" w:rsidP="00C566B5">
      <w:pPr>
        <w:spacing w:after="0" w:line="240" w:lineRule="auto"/>
        <w:rPr>
          <w:rFonts w:ascii="Segoe UI" w:eastAsia="Segoe UI" w:hAnsi="Segoe UI"/>
          <w:bCs/>
          <w:color w:val="000000"/>
          <w:sz w:val="22"/>
        </w:rPr>
      </w:pPr>
      <w:r>
        <w:rPr>
          <w:rFonts w:ascii="Segoe UI" w:eastAsia="Segoe UI" w:hAnsi="Segoe UI"/>
          <w:bCs/>
          <w:color w:val="000000"/>
          <w:sz w:val="22"/>
        </w:rPr>
        <w:t xml:space="preserve">As described above, the results from the SERENA-6 trial demonstrate that switching from AI to camizestrant upon testing positive for </w:t>
      </w:r>
      <w:r>
        <w:rPr>
          <w:rFonts w:ascii="Segoe UI" w:eastAsia="Segoe UI" w:hAnsi="Segoe UI"/>
          <w:bCs/>
          <w:i/>
          <w:iCs/>
          <w:color w:val="000000"/>
          <w:sz w:val="22"/>
        </w:rPr>
        <w:t>ESR1</w:t>
      </w:r>
      <w:r>
        <w:rPr>
          <w:rFonts w:ascii="Segoe UI" w:eastAsia="Segoe UI" w:hAnsi="Segoe UI"/>
          <w:bCs/>
          <w:color w:val="000000"/>
          <w:sz w:val="22"/>
        </w:rPr>
        <w:t>m</w:t>
      </w:r>
      <w:r w:rsidR="00766496">
        <w:rPr>
          <w:rFonts w:ascii="Segoe UI" w:eastAsia="Segoe UI" w:hAnsi="Segoe UI"/>
          <w:bCs/>
          <w:color w:val="000000"/>
          <w:sz w:val="22"/>
        </w:rPr>
        <w:t>,</w:t>
      </w:r>
      <w:r>
        <w:rPr>
          <w:rFonts w:ascii="Segoe UI" w:eastAsia="Segoe UI" w:hAnsi="Segoe UI"/>
          <w:bCs/>
          <w:color w:val="000000"/>
          <w:sz w:val="22"/>
        </w:rPr>
        <w:t xml:space="preserve"> results in an extension of time spent free of disease progression, with improved </w:t>
      </w:r>
      <w:r w:rsidR="000269C7">
        <w:rPr>
          <w:rFonts w:ascii="Segoe UI" w:eastAsia="Segoe UI" w:hAnsi="Segoe UI"/>
          <w:bCs/>
          <w:color w:val="000000"/>
          <w:sz w:val="22"/>
        </w:rPr>
        <w:t xml:space="preserve">quality of life outcomes versus no testing and </w:t>
      </w:r>
      <w:r w:rsidR="00380922">
        <w:rPr>
          <w:rFonts w:ascii="Segoe UI" w:eastAsia="Segoe UI" w:hAnsi="Segoe UI"/>
          <w:bCs/>
          <w:color w:val="000000"/>
          <w:sz w:val="22"/>
        </w:rPr>
        <w:t xml:space="preserve">maintaining </w:t>
      </w:r>
      <w:r w:rsidR="000269C7">
        <w:rPr>
          <w:rFonts w:ascii="Segoe UI" w:eastAsia="Segoe UI" w:hAnsi="Segoe UI"/>
          <w:bCs/>
          <w:color w:val="000000"/>
          <w:sz w:val="22"/>
        </w:rPr>
        <w:t xml:space="preserve">standard of care therapy. </w:t>
      </w:r>
    </w:p>
    <w:p w14:paraId="7AC6BB35" w14:textId="77777777" w:rsidR="000269C7" w:rsidRPr="00FD2293" w:rsidRDefault="000269C7" w:rsidP="00C566B5">
      <w:pPr>
        <w:spacing w:after="0" w:line="240" w:lineRule="auto"/>
        <w:rPr>
          <w:rFonts w:ascii="Segoe UI" w:eastAsia="Segoe UI" w:hAnsi="Segoe UI"/>
          <w:bCs/>
          <w:color w:val="000000"/>
          <w:sz w:val="22"/>
        </w:rPr>
      </w:pPr>
    </w:p>
    <w:p w14:paraId="1FF02EEC" w14:textId="77777777" w:rsidR="00C566B5" w:rsidRDefault="00C566B5" w:rsidP="00C566B5">
      <w:pPr>
        <w:spacing w:after="0" w:line="240" w:lineRule="auto"/>
        <w:rPr>
          <w:rFonts w:ascii="Segoe UI" w:eastAsia="Segoe UI" w:hAnsi="Segoe UI"/>
          <w:b/>
          <w:color w:val="000000"/>
          <w:sz w:val="22"/>
        </w:rPr>
      </w:pPr>
      <w:r w:rsidRPr="00B15CDF">
        <w:rPr>
          <w:rFonts w:ascii="Segoe UI" w:eastAsia="Segoe UI" w:hAnsi="Segoe UI"/>
          <w:b/>
          <w:color w:val="000000"/>
          <w:sz w:val="22"/>
        </w:rPr>
        <w:t>Identify how the proposed technology achieves the intended patient outcomes</w:t>
      </w:r>
      <w:r>
        <w:rPr>
          <w:rFonts w:ascii="Segoe UI" w:eastAsia="Segoe UI" w:hAnsi="Segoe UI"/>
          <w:b/>
          <w:color w:val="000000"/>
          <w:sz w:val="22"/>
        </w:rPr>
        <w:t>:</w:t>
      </w:r>
    </w:p>
    <w:p w14:paraId="56B4E79D" w14:textId="0BD8531A" w:rsidR="00C566B5" w:rsidRPr="004F7AAE" w:rsidRDefault="004F7AAE" w:rsidP="00C566B5">
      <w:pPr>
        <w:spacing w:after="0" w:line="240" w:lineRule="auto"/>
        <w:rPr>
          <w:rFonts w:asciiTheme="minorHAnsi" w:eastAsia="Segoe UI" w:hAnsiTheme="minorHAnsi" w:cstheme="minorHAnsi"/>
          <w:color w:val="000000"/>
          <w:sz w:val="22"/>
          <w:szCs w:val="22"/>
        </w:rPr>
      </w:pPr>
      <w:r>
        <w:rPr>
          <w:rFonts w:ascii="Segoe UI" w:hAnsi="Segoe UI" w:cs="Segoe UI"/>
          <w:i/>
          <w:iCs/>
          <w:sz w:val="22"/>
          <w:szCs w:val="22"/>
        </w:rPr>
        <w:t>ESR1</w:t>
      </w:r>
      <w:r>
        <w:rPr>
          <w:rFonts w:ascii="Segoe UI" w:hAnsi="Segoe UI" w:cs="Segoe UI"/>
          <w:sz w:val="22"/>
          <w:szCs w:val="22"/>
        </w:rPr>
        <w:t>m testing identifies the patients who are eligible to receive camizestrant</w:t>
      </w:r>
      <w:r w:rsidR="003208F8">
        <w:rPr>
          <w:rFonts w:ascii="Segoe UI" w:hAnsi="Segoe UI" w:cs="Segoe UI"/>
          <w:sz w:val="22"/>
          <w:szCs w:val="22"/>
        </w:rPr>
        <w:t>.</w:t>
      </w:r>
    </w:p>
    <w:p w14:paraId="75265D8E" w14:textId="77777777" w:rsidR="00C566B5" w:rsidRPr="00BE6B22" w:rsidRDefault="00C566B5" w:rsidP="00C566B5">
      <w:pPr>
        <w:spacing w:after="0" w:line="240" w:lineRule="auto"/>
        <w:rPr>
          <w:rFonts w:asciiTheme="minorHAnsi" w:eastAsia="Segoe UI" w:hAnsiTheme="minorHAnsi" w:cstheme="minorHAnsi"/>
          <w:color w:val="000000"/>
          <w:sz w:val="22"/>
          <w:szCs w:val="22"/>
        </w:rPr>
      </w:pPr>
    </w:p>
    <w:p w14:paraId="5BE00386" w14:textId="1E3C84C3" w:rsidR="00C566B5" w:rsidRPr="00665487" w:rsidRDefault="00C566B5" w:rsidP="00C566B5">
      <w:pPr>
        <w:rPr>
          <w:rFonts w:ascii="Segoe UI" w:eastAsia="Segoe UI" w:hAnsi="Segoe UI"/>
          <w:b/>
          <w:color w:val="000000"/>
          <w:sz w:val="22"/>
        </w:rPr>
      </w:pPr>
      <w:r>
        <w:rPr>
          <w:rFonts w:ascii="Segoe UI" w:eastAsia="Segoe UI" w:hAnsi="Segoe UI"/>
          <w:b/>
          <w:color w:val="000000"/>
          <w:sz w:val="22"/>
        </w:rPr>
        <w:t xml:space="preserve">For some people, compared with the comparator(s), does the test information result in: </w:t>
      </w:r>
    </w:p>
    <w:p w14:paraId="3BF41E19" w14:textId="21D80A88" w:rsidR="00C566B5" w:rsidRDefault="00C566B5" w:rsidP="00C566B5">
      <w:pPr>
        <w:spacing w:after="0" w:line="240" w:lineRule="auto"/>
        <w:ind w:firstLine="720"/>
        <w:rPr>
          <w:rFonts w:ascii="Segoe UI" w:eastAsia="Segoe UI" w:hAnsi="Segoe UI"/>
          <w:bCs/>
          <w:color w:val="000000"/>
          <w:sz w:val="22"/>
        </w:rPr>
      </w:pPr>
      <w:r w:rsidRPr="004A45BE">
        <w:rPr>
          <w:rFonts w:ascii="Segoe UI" w:eastAsia="Segoe UI" w:hAnsi="Segoe UI"/>
          <w:b/>
          <w:color w:val="000000"/>
          <w:sz w:val="22"/>
        </w:rPr>
        <w:t>A change in clinical management?</w:t>
      </w:r>
      <w:r>
        <w:rPr>
          <w:rFonts w:ascii="Segoe UI" w:eastAsia="Segoe UI" w:hAnsi="Segoe UI"/>
          <w:bCs/>
          <w:color w:val="000000"/>
          <w:sz w:val="22"/>
        </w:rPr>
        <w:tab/>
      </w:r>
      <w:r>
        <w:rPr>
          <w:rFonts w:ascii="Segoe UI" w:eastAsia="Segoe UI" w:hAnsi="Segoe UI"/>
          <w:bCs/>
          <w:color w:val="000000"/>
          <w:sz w:val="22"/>
        </w:rPr>
        <w:tab/>
      </w:r>
      <w:r w:rsidR="00E512FE">
        <w:rPr>
          <w:rFonts w:ascii="Segoe UI" w:eastAsia="Segoe UI" w:hAnsi="Segoe UI"/>
          <w:bCs/>
          <w:color w:val="000000"/>
          <w:sz w:val="22"/>
        </w:rPr>
        <w:t>Yes</w:t>
      </w:r>
    </w:p>
    <w:p w14:paraId="1F336692" w14:textId="77777777" w:rsidR="00C566B5" w:rsidRDefault="00C566B5" w:rsidP="00C566B5">
      <w:pPr>
        <w:spacing w:after="0" w:line="240" w:lineRule="auto"/>
        <w:ind w:firstLine="720"/>
        <w:rPr>
          <w:rFonts w:ascii="Segoe UI" w:eastAsia="Segoe UI" w:hAnsi="Segoe UI"/>
          <w:bCs/>
          <w:color w:val="000000"/>
          <w:sz w:val="22"/>
        </w:rPr>
      </w:pPr>
    </w:p>
    <w:p w14:paraId="11F2BF71" w14:textId="51330D31" w:rsidR="00C566B5" w:rsidRPr="00DF2D79" w:rsidRDefault="00C566B5" w:rsidP="00C566B5">
      <w:pPr>
        <w:spacing w:after="0" w:line="240" w:lineRule="auto"/>
        <w:ind w:firstLine="720"/>
        <w:rPr>
          <w:rFonts w:ascii="Segoe UI" w:eastAsia="Segoe UI" w:hAnsi="Segoe UI"/>
          <w:bCs/>
          <w:color w:val="000000"/>
          <w:sz w:val="22"/>
        </w:rPr>
      </w:pPr>
      <w:r w:rsidRPr="004A45BE">
        <w:rPr>
          <w:rFonts w:ascii="Segoe UI" w:eastAsia="Segoe UI" w:hAnsi="Segoe UI"/>
          <w:b/>
          <w:color w:val="000000"/>
          <w:sz w:val="22"/>
        </w:rPr>
        <w:t xml:space="preserve">A change in </w:t>
      </w:r>
      <w:r>
        <w:rPr>
          <w:rFonts w:ascii="Segoe UI" w:eastAsia="Segoe UI" w:hAnsi="Segoe UI"/>
          <w:b/>
          <w:color w:val="000000"/>
          <w:sz w:val="22"/>
        </w:rPr>
        <w:t>health outcome</w:t>
      </w:r>
      <w:r w:rsidRPr="004A45BE">
        <w:rPr>
          <w:rFonts w:ascii="Segoe UI" w:eastAsia="Segoe UI" w:hAnsi="Segoe UI"/>
          <w:b/>
          <w:color w:val="000000"/>
          <w:sz w:val="22"/>
        </w:rPr>
        <w:t>?</w:t>
      </w:r>
      <w:r>
        <w:rPr>
          <w:rFonts w:ascii="Segoe UI" w:eastAsia="Segoe UI" w:hAnsi="Segoe UI"/>
          <w:bCs/>
          <w:color w:val="000000"/>
          <w:sz w:val="22"/>
        </w:rPr>
        <w:tab/>
      </w:r>
      <w:r>
        <w:rPr>
          <w:rFonts w:ascii="Segoe UI" w:eastAsia="Segoe UI" w:hAnsi="Segoe UI"/>
          <w:bCs/>
          <w:color w:val="000000"/>
          <w:sz w:val="22"/>
        </w:rPr>
        <w:tab/>
      </w:r>
      <w:r w:rsidR="00E512FE">
        <w:rPr>
          <w:rFonts w:ascii="Segoe UI" w:eastAsia="Segoe UI" w:hAnsi="Segoe UI"/>
          <w:bCs/>
          <w:color w:val="000000"/>
          <w:sz w:val="22"/>
        </w:rPr>
        <w:t>Yes</w:t>
      </w:r>
    </w:p>
    <w:p w14:paraId="28A701B5" w14:textId="77777777" w:rsidR="00C566B5" w:rsidRDefault="00C566B5" w:rsidP="00C566B5">
      <w:pPr>
        <w:spacing w:after="0" w:line="240" w:lineRule="auto"/>
        <w:ind w:firstLine="720"/>
        <w:rPr>
          <w:rFonts w:ascii="Segoe UI" w:eastAsia="Segoe UI" w:hAnsi="Segoe UI"/>
          <w:bCs/>
          <w:color w:val="000000"/>
          <w:sz w:val="22"/>
        </w:rPr>
      </w:pPr>
    </w:p>
    <w:p w14:paraId="29F94450" w14:textId="6EC00295" w:rsidR="00C566B5" w:rsidRPr="00DF2D79" w:rsidRDefault="00C566B5" w:rsidP="00C566B5">
      <w:pPr>
        <w:spacing w:after="0" w:line="240" w:lineRule="auto"/>
        <w:ind w:firstLine="720"/>
        <w:rPr>
          <w:rFonts w:ascii="Segoe UI" w:eastAsia="Segoe UI" w:hAnsi="Segoe UI"/>
          <w:bCs/>
          <w:color w:val="000000"/>
          <w:sz w:val="22"/>
        </w:rPr>
      </w:pPr>
      <w:r>
        <w:rPr>
          <w:rFonts w:ascii="Segoe UI" w:eastAsia="Segoe UI" w:hAnsi="Segoe UI"/>
          <w:b/>
          <w:color w:val="000000"/>
          <w:sz w:val="22"/>
        </w:rPr>
        <w:t>Other benefits</w:t>
      </w:r>
      <w:r w:rsidRPr="004A45BE">
        <w:rPr>
          <w:rFonts w:ascii="Segoe UI" w:eastAsia="Segoe UI" w:hAnsi="Segoe UI"/>
          <w:b/>
          <w:color w:val="000000"/>
          <w:sz w:val="22"/>
        </w:rPr>
        <w:t>?</w:t>
      </w:r>
      <w:r>
        <w:rPr>
          <w:rFonts w:ascii="Segoe UI" w:eastAsia="Segoe UI" w:hAnsi="Segoe UI"/>
          <w:bCs/>
          <w:color w:val="000000"/>
          <w:sz w:val="22"/>
        </w:rPr>
        <w:tab/>
      </w:r>
      <w:r>
        <w:rPr>
          <w:rFonts w:ascii="Segoe UI" w:eastAsia="Segoe UI" w:hAnsi="Segoe UI"/>
          <w:bCs/>
          <w:color w:val="000000"/>
          <w:sz w:val="22"/>
        </w:rPr>
        <w:tab/>
      </w:r>
      <w:r>
        <w:rPr>
          <w:rFonts w:ascii="Segoe UI" w:eastAsia="Segoe UI" w:hAnsi="Segoe UI"/>
          <w:bCs/>
          <w:color w:val="000000"/>
          <w:sz w:val="22"/>
        </w:rPr>
        <w:tab/>
      </w:r>
      <w:r>
        <w:rPr>
          <w:rFonts w:ascii="Segoe UI" w:eastAsia="Segoe UI" w:hAnsi="Segoe UI"/>
          <w:bCs/>
          <w:color w:val="000000"/>
          <w:sz w:val="22"/>
        </w:rPr>
        <w:tab/>
      </w:r>
      <w:r w:rsidR="00E512FE">
        <w:rPr>
          <w:rFonts w:ascii="Segoe UI" w:eastAsia="Segoe UI" w:hAnsi="Segoe UI"/>
          <w:bCs/>
          <w:color w:val="000000"/>
          <w:sz w:val="22"/>
        </w:rPr>
        <w:t>Yes</w:t>
      </w:r>
    </w:p>
    <w:p w14:paraId="5ABE7672" w14:textId="77777777" w:rsidR="00C566B5" w:rsidRPr="00DF2D79" w:rsidRDefault="00C566B5" w:rsidP="00C566B5">
      <w:pPr>
        <w:spacing w:after="0" w:line="240" w:lineRule="auto"/>
        <w:ind w:firstLine="720"/>
        <w:rPr>
          <w:rFonts w:ascii="Segoe UI" w:eastAsia="Segoe UI" w:hAnsi="Segoe UI"/>
          <w:bCs/>
          <w:color w:val="000000"/>
          <w:sz w:val="22"/>
        </w:rPr>
      </w:pPr>
    </w:p>
    <w:p w14:paraId="46A0FA8D" w14:textId="77777777" w:rsidR="00C566B5" w:rsidRPr="00BE6B22" w:rsidRDefault="00C566B5" w:rsidP="00C566B5">
      <w:pPr>
        <w:spacing w:after="0" w:line="240" w:lineRule="auto"/>
        <w:rPr>
          <w:rFonts w:asciiTheme="minorHAnsi" w:eastAsia="Segoe UI" w:hAnsiTheme="minorHAnsi" w:cstheme="minorHAnsi"/>
          <w:color w:val="000000"/>
          <w:sz w:val="22"/>
          <w:szCs w:val="22"/>
        </w:rPr>
      </w:pPr>
    </w:p>
    <w:p w14:paraId="28B8D767" w14:textId="674726E2" w:rsidR="00C566B5" w:rsidRDefault="00C566B5" w:rsidP="00C566B5">
      <w:pPr>
        <w:rPr>
          <w:rFonts w:ascii="Segoe UI" w:eastAsia="Segoe UI" w:hAnsi="Segoe UI"/>
          <w:bCs/>
          <w:color w:val="000000"/>
          <w:sz w:val="22"/>
        </w:rPr>
      </w:pPr>
      <w:r>
        <w:rPr>
          <w:rFonts w:ascii="Segoe UI" w:eastAsia="Segoe UI" w:hAnsi="Segoe UI"/>
          <w:b/>
          <w:color w:val="000000"/>
          <w:sz w:val="22"/>
        </w:rPr>
        <w:t xml:space="preserve">In terms of the immediate costs of the proposed technology (and immediate cost consequences, such as procedural costs, testing costs etc.), is the proposed technology claimed to be more costly, the same cost or less costly than the comparator? </w:t>
      </w:r>
    </w:p>
    <w:p w14:paraId="562C5EA3" w14:textId="39BAE907" w:rsidR="00C566B5" w:rsidRPr="000627EF" w:rsidRDefault="00930D6F" w:rsidP="00C566B5">
      <w:pPr>
        <w:pStyle w:val="Tickboxes"/>
        <w:ind w:left="0"/>
        <w:rPr>
          <w:rFonts w:ascii="Segoe UI" w:hAnsi="Segoe UI" w:cs="Segoe UI"/>
          <w:sz w:val="22"/>
          <w:szCs w:val="22"/>
          <w:highlight w:val="yellow"/>
        </w:rPr>
      </w:pPr>
      <w:r>
        <w:rPr>
          <w:rFonts w:ascii="Segoe UI" w:hAnsi="Segoe UI" w:cs="Segoe UI"/>
          <w:sz w:val="22"/>
          <w:szCs w:val="22"/>
        </w:rPr>
        <w:fldChar w:fldCharType="begin">
          <w:ffData>
            <w:name w:val=""/>
            <w:enabled/>
            <w:calcOnExit w:val="0"/>
            <w:checkBox>
              <w:sizeAuto/>
              <w:default w:val="1"/>
            </w:checkBox>
          </w:ffData>
        </w:fldChar>
      </w:r>
      <w:r>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fldChar w:fldCharType="end"/>
      </w:r>
      <w:r>
        <w:rPr>
          <w:rFonts w:ascii="Segoe UI" w:hAnsi="Segoe UI" w:cs="Segoe UI"/>
          <w:sz w:val="22"/>
          <w:szCs w:val="22"/>
        </w:rPr>
        <w:t xml:space="preserve"> </w:t>
      </w:r>
      <w:r w:rsidR="00C566B5" w:rsidRPr="002435C2">
        <w:rPr>
          <w:rFonts w:ascii="Segoe UI" w:hAnsi="Segoe UI" w:cs="Segoe UI"/>
          <w:sz w:val="22"/>
          <w:szCs w:val="22"/>
        </w:rPr>
        <w:t>More costly</w:t>
      </w:r>
      <w:r w:rsidR="00C566B5" w:rsidRPr="000627EF">
        <w:rPr>
          <w:rFonts w:ascii="Segoe UI" w:hAnsi="Segoe UI" w:cs="Segoe UI"/>
          <w:sz w:val="22"/>
          <w:szCs w:val="22"/>
        </w:rPr>
        <w:t xml:space="preserve"> </w:t>
      </w:r>
    </w:p>
    <w:p w14:paraId="7F377358" w14:textId="77777777" w:rsidR="00C566B5" w:rsidRPr="000627EF" w:rsidRDefault="00C566B5" w:rsidP="00C566B5">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2"/>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Same cost</w:t>
      </w:r>
    </w:p>
    <w:p w14:paraId="0D50F8E6" w14:textId="77777777" w:rsidR="00C566B5" w:rsidRPr="000627EF" w:rsidRDefault="00C566B5" w:rsidP="00C566B5">
      <w:pPr>
        <w:pStyle w:val="Tickboxes"/>
        <w:ind w:left="0"/>
        <w:rPr>
          <w:rFonts w:ascii="Segoe UI" w:hAnsi="Segoe UI" w:cs="Segoe UI"/>
          <w:sz w:val="22"/>
          <w:szCs w:val="22"/>
        </w:rPr>
      </w:pPr>
      <w:r w:rsidRPr="000627EF">
        <w:rPr>
          <w:rFonts w:ascii="Segoe UI" w:hAnsi="Segoe UI" w:cs="Segoe UI"/>
          <w:sz w:val="22"/>
          <w:szCs w:val="22"/>
        </w:rPr>
        <w:fldChar w:fldCharType="begin">
          <w:ffData>
            <w:name w:val="Check1"/>
            <w:enabled/>
            <w:calcOnExit w:val="0"/>
            <w:checkBox>
              <w:sizeAuto/>
              <w:default w:val="0"/>
            </w:checkBox>
          </w:ffData>
        </w:fldChar>
      </w:r>
      <w:r w:rsidRPr="000627EF">
        <w:rPr>
          <w:rFonts w:ascii="Segoe UI" w:hAnsi="Segoe UI" w:cs="Segoe UI"/>
          <w:sz w:val="22"/>
          <w:szCs w:val="22"/>
        </w:rPr>
        <w:instrText xml:space="preserve"> FORMCHECKBOX </w:instrText>
      </w:r>
      <w:r w:rsidRPr="000627EF">
        <w:rPr>
          <w:rFonts w:ascii="Segoe UI" w:hAnsi="Segoe UI" w:cs="Segoe UI"/>
          <w:sz w:val="22"/>
          <w:szCs w:val="22"/>
        </w:rPr>
      </w:r>
      <w:r w:rsidRPr="000627EF">
        <w:rPr>
          <w:rFonts w:ascii="Segoe UI" w:hAnsi="Segoe UI" w:cs="Segoe UI"/>
          <w:sz w:val="22"/>
          <w:szCs w:val="22"/>
        </w:rPr>
        <w:fldChar w:fldCharType="separate"/>
      </w:r>
      <w:r w:rsidRPr="000627EF">
        <w:rPr>
          <w:rFonts w:ascii="Segoe UI" w:hAnsi="Segoe UI" w:cs="Segoe UI"/>
          <w:sz w:val="22"/>
          <w:szCs w:val="22"/>
        </w:rPr>
        <w:fldChar w:fldCharType="end"/>
      </w:r>
      <w:r w:rsidRPr="000627EF">
        <w:rPr>
          <w:rFonts w:ascii="Segoe UI" w:hAnsi="Segoe UI" w:cs="Segoe UI"/>
          <w:sz w:val="22"/>
          <w:szCs w:val="22"/>
        </w:rPr>
        <w:t xml:space="preserve"> </w:t>
      </w:r>
      <w:r>
        <w:rPr>
          <w:rFonts w:ascii="Segoe UI" w:hAnsi="Segoe UI" w:cs="Segoe UI"/>
          <w:sz w:val="22"/>
          <w:szCs w:val="22"/>
        </w:rPr>
        <w:t>Less costly</w:t>
      </w:r>
      <w:r w:rsidRPr="000627EF">
        <w:rPr>
          <w:rFonts w:ascii="Segoe UI" w:hAnsi="Segoe UI" w:cs="Segoe UI"/>
          <w:sz w:val="22"/>
          <w:szCs w:val="22"/>
        </w:rPr>
        <w:t xml:space="preserve"> </w:t>
      </w:r>
    </w:p>
    <w:p w14:paraId="23386A58" w14:textId="77777777" w:rsidR="000F2FB1" w:rsidRDefault="000F2FB1" w:rsidP="00C566B5">
      <w:pPr>
        <w:spacing w:after="0" w:line="240" w:lineRule="auto"/>
        <w:rPr>
          <w:rFonts w:ascii="Segoe UI" w:eastAsia="Segoe UI" w:hAnsi="Segoe UI"/>
          <w:b/>
          <w:color w:val="000000"/>
          <w:sz w:val="22"/>
        </w:rPr>
      </w:pPr>
    </w:p>
    <w:p w14:paraId="4B88780E" w14:textId="46546897" w:rsidR="00C566B5" w:rsidRDefault="00C566B5" w:rsidP="00C566B5">
      <w:pPr>
        <w:spacing w:after="0" w:line="240" w:lineRule="auto"/>
        <w:rPr>
          <w:rFonts w:ascii="Segoe UI" w:eastAsia="Segoe UI" w:hAnsi="Segoe UI"/>
          <w:b/>
          <w:color w:val="000000"/>
          <w:sz w:val="22"/>
        </w:rPr>
      </w:pPr>
      <w:r>
        <w:rPr>
          <w:rFonts w:ascii="Segoe UI" w:eastAsia="Segoe UI" w:hAnsi="Segoe UI"/>
          <w:b/>
          <w:color w:val="000000"/>
          <w:sz w:val="22"/>
        </w:rPr>
        <w:t>Provide a brief rationale for the claim:</w:t>
      </w:r>
    </w:p>
    <w:p w14:paraId="4D728741" w14:textId="77777777" w:rsidR="00C566B5" w:rsidRDefault="00C566B5" w:rsidP="00C566B5">
      <w:pPr>
        <w:spacing w:after="0" w:line="240" w:lineRule="auto"/>
        <w:rPr>
          <w:rFonts w:ascii="Segoe UI" w:eastAsia="Segoe UI" w:hAnsi="Segoe UI"/>
          <w:b/>
          <w:color w:val="000000"/>
          <w:sz w:val="22"/>
        </w:rPr>
      </w:pPr>
    </w:p>
    <w:p w14:paraId="3DBB9E1B" w14:textId="40885A82" w:rsidR="00C566B5" w:rsidRPr="00D33E94" w:rsidRDefault="00930D6F" w:rsidP="00C566B5">
      <w:pPr>
        <w:spacing w:after="0" w:line="240" w:lineRule="auto"/>
        <w:rPr>
          <w:rFonts w:ascii="Segoe UI" w:hAnsi="Segoe UI" w:cs="Segoe UI"/>
          <w:sz w:val="22"/>
          <w:szCs w:val="22"/>
        </w:rPr>
      </w:pPr>
      <w:r>
        <w:rPr>
          <w:rFonts w:ascii="Segoe UI" w:hAnsi="Segoe UI" w:cs="Segoe UI"/>
          <w:sz w:val="22"/>
          <w:szCs w:val="22"/>
        </w:rPr>
        <w:t xml:space="preserve">The </w:t>
      </w:r>
      <w:r w:rsidR="00D82450">
        <w:rPr>
          <w:rFonts w:ascii="Segoe UI" w:hAnsi="Segoe UI" w:cs="Segoe UI"/>
          <w:sz w:val="22"/>
          <w:szCs w:val="22"/>
        </w:rPr>
        <w:t>PBS listing of camizestran</w:t>
      </w:r>
      <w:r w:rsidR="00D33E94">
        <w:rPr>
          <w:rFonts w:ascii="Segoe UI" w:hAnsi="Segoe UI" w:cs="Segoe UI"/>
          <w:sz w:val="22"/>
          <w:szCs w:val="22"/>
        </w:rPr>
        <w:t xml:space="preserve">t will impact the utilisation of </w:t>
      </w:r>
      <w:r w:rsidR="00D33E94">
        <w:rPr>
          <w:rFonts w:ascii="Segoe UI" w:hAnsi="Segoe UI" w:cs="Segoe UI"/>
          <w:i/>
          <w:iCs/>
          <w:sz w:val="22"/>
          <w:szCs w:val="22"/>
        </w:rPr>
        <w:t>ESR1</w:t>
      </w:r>
      <w:r w:rsidR="00D33E94">
        <w:rPr>
          <w:rFonts w:ascii="Segoe UI" w:hAnsi="Segoe UI" w:cs="Segoe UI"/>
          <w:sz w:val="22"/>
          <w:szCs w:val="22"/>
        </w:rPr>
        <w:t xml:space="preserve">m testing by ctDNA liquid biopsy. A detailed utilisation analysis will be presented in the integrated co-dependent submission. </w:t>
      </w:r>
    </w:p>
    <w:p w14:paraId="61AD5550" w14:textId="77777777" w:rsidR="00C566B5" w:rsidRDefault="00C566B5" w:rsidP="00C566B5"/>
    <w:p w14:paraId="40AD4D0E" w14:textId="682C8E93" w:rsidR="00B578E9" w:rsidRDefault="00B578E9" w:rsidP="00B578E9">
      <w:pPr>
        <w:rPr>
          <w:rFonts w:ascii="Segoe UI" w:eastAsia="Segoe UI" w:hAnsi="Segoe UI"/>
          <w:b/>
          <w:color w:val="000000"/>
          <w:sz w:val="32"/>
        </w:rPr>
      </w:pPr>
      <w:r>
        <w:rPr>
          <w:rFonts w:ascii="Segoe UI" w:eastAsia="Segoe UI" w:hAnsi="Segoe UI"/>
          <w:b/>
          <w:color w:val="000000"/>
          <w:sz w:val="32"/>
        </w:rPr>
        <w:t>Summary of Evidence</w:t>
      </w:r>
    </w:p>
    <w:p w14:paraId="5371E63B" w14:textId="77777777" w:rsidR="00B578E9" w:rsidRPr="0030566C" w:rsidRDefault="00B578E9" w:rsidP="00B578E9">
      <w:pPr>
        <w:rPr>
          <w:rFonts w:ascii="Segoe UI" w:eastAsia="Segoe UI" w:hAnsi="Segoe UI"/>
          <w:b/>
          <w:color w:val="000000"/>
          <w:sz w:val="22"/>
        </w:rPr>
      </w:pPr>
      <w:r w:rsidRPr="0030566C">
        <w:rPr>
          <w:rFonts w:ascii="Segoe UI" w:eastAsia="Segoe UI" w:hAnsi="Segoe UI"/>
          <w:b/>
          <w:color w:val="000000"/>
          <w:sz w:val="22"/>
        </w:rPr>
        <w:t>Provide one or more recent (published) high quality clinical studies that support use of the proposed health service/technology. At ‘Application Form lodgement’, please do not attach full text articles; just provide a summary</w:t>
      </w:r>
      <w:r>
        <w:rPr>
          <w:rFonts w:ascii="Segoe UI" w:eastAsia="Segoe UI" w:hAnsi="Segoe UI"/>
          <w:b/>
          <w:color w:val="000000"/>
          <w:sz w:val="22"/>
        </w:rPr>
        <w:t xml:space="preserve"> (repeat columns as required)</w:t>
      </w:r>
      <w:r w:rsidRPr="0030566C">
        <w:rPr>
          <w:rFonts w:ascii="Segoe UI" w:eastAsia="Segoe UI" w:hAnsi="Segoe UI"/>
          <w:b/>
          <w:color w:val="000000"/>
          <w:sz w:val="22"/>
        </w:rPr>
        <w:t>.</w:t>
      </w:r>
    </w:p>
    <w:p w14:paraId="539A3E99" w14:textId="77777777" w:rsidR="00B578E9" w:rsidRDefault="00B578E9" w:rsidP="00B578E9">
      <w:pPr>
        <w:rPr>
          <w:rFonts w:ascii="Segoe UI" w:eastAsia="Segoe UI" w:hAnsi="Segoe UI"/>
          <w:b/>
          <w:color w:val="000000"/>
          <w:sz w:val="22"/>
        </w:rPr>
      </w:pPr>
      <w:r w:rsidRPr="0030566C">
        <w:rPr>
          <w:rFonts w:ascii="Segoe UI" w:eastAsia="Segoe UI" w:hAnsi="Segoe UI"/>
          <w:b/>
          <w:color w:val="000000"/>
          <w:sz w:val="22"/>
        </w:rPr>
        <w:t>Identify yet-to-be-published research that may have results available in the near future (that could be relevant to your application). Do not attach full text articles; this is just a summary</w:t>
      </w:r>
      <w:r>
        <w:rPr>
          <w:rFonts w:ascii="Segoe UI" w:eastAsia="Segoe UI" w:hAnsi="Segoe UI"/>
          <w:b/>
          <w:color w:val="000000"/>
          <w:sz w:val="22"/>
        </w:rPr>
        <w:t xml:space="preserve"> (repeat columns as required)</w:t>
      </w:r>
      <w:r w:rsidRPr="0030566C">
        <w:rPr>
          <w:rFonts w:ascii="Segoe UI" w:eastAsia="Segoe UI" w:hAnsi="Segoe UI"/>
          <w:b/>
          <w:color w:val="000000"/>
          <w:sz w:val="22"/>
        </w:rPr>
        <w:t>.</w:t>
      </w:r>
    </w:p>
    <w:p w14:paraId="5F12A2B3" w14:textId="77777777" w:rsidR="00FF1E88" w:rsidRDefault="00FF1E88" w:rsidP="00B578E9">
      <w:pPr>
        <w:rPr>
          <w:rFonts w:ascii="Segoe UI" w:eastAsia="Segoe UI" w:hAnsi="Segoe UI"/>
          <w:b/>
          <w:color w:val="000000"/>
          <w:sz w:val="22"/>
        </w:rPr>
      </w:pPr>
    </w:p>
    <w:p w14:paraId="25E9CFD1" w14:textId="77777777" w:rsidR="00FF1E88" w:rsidRDefault="00FF1E88" w:rsidP="00B578E9">
      <w:pPr>
        <w:rPr>
          <w:rFonts w:ascii="Segoe UI" w:eastAsia="Segoe UI" w:hAnsi="Segoe UI"/>
          <w:b/>
          <w:color w:val="000000"/>
          <w:sz w:val="22"/>
        </w:rPr>
      </w:pPr>
    </w:p>
    <w:p w14:paraId="58668042" w14:textId="77777777" w:rsidR="00FF1E88" w:rsidRDefault="00FF1E88" w:rsidP="00B578E9">
      <w:pPr>
        <w:rPr>
          <w:rFonts w:ascii="Segoe UI" w:eastAsia="Segoe UI" w:hAnsi="Segoe UI"/>
          <w:b/>
          <w:color w:val="000000"/>
          <w:sz w:val="22"/>
        </w:rPr>
      </w:pPr>
    </w:p>
    <w:p w14:paraId="31156A36" w14:textId="77777777" w:rsidR="0040754E" w:rsidRDefault="0040754E">
      <w:pPr>
        <w:rPr>
          <w:rFonts w:ascii="Segoe UI" w:hAnsi="Segoe UI" w:cs="Segoe UI"/>
          <w:b/>
          <w:sz w:val="20"/>
          <w:szCs w:val="20"/>
        </w:rPr>
        <w:sectPr w:rsidR="0040754E" w:rsidSect="00CE57E1">
          <w:headerReference w:type="default" r:id="rId15"/>
          <w:footerReference w:type="default" r:id="rId16"/>
          <w:pgSz w:w="11906" w:h="16838"/>
          <w:pgMar w:top="1440" w:right="991" w:bottom="1135" w:left="1440" w:header="426" w:footer="252" w:gutter="0"/>
          <w:pgNumType w:start="1"/>
          <w:cols w:space="708"/>
          <w:docGrid w:linePitch="360"/>
        </w:sectPr>
      </w:pPr>
    </w:p>
    <w:tbl>
      <w:tblPr>
        <w:tblStyle w:val="TableGrid"/>
        <w:tblW w:w="5000" w:type="pct"/>
        <w:tblLayout w:type="fixed"/>
        <w:tblLook w:val="04A0" w:firstRow="1" w:lastRow="0" w:firstColumn="1" w:lastColumn="0" w:noHBand="0" w:noVBand="1"/>
        <w:tblCaption w:val="Summary of Evidence - Published"/>
      </w:tblPr>
      <w:tblGrid>
        <w:gridCol w:w="369"/>
        <w:gridCol w:w="930"/>
        <w:gridCol w:w="1957"/>
        <w:gridCol w:w="3828"/>
        <w:gridCol w:w="5296"/>
        <w:gridCol w:w="1873"/>
      </w:tblGrid>
      <w:tr w:rsidR="00A225D9" w:rsidRPr="005A3AFC" w14:paraId="0490E3D8" w14:textId="77777777" w:rsidTr="005555E9">
        <w:trPr>
          <w:cantSplit/>
          <w:tblHeader/>
        </w:trPr>
        <w:tc>
          <w:tcPr>
            <w:tcW w:w="129" w:type="pct"/>
          </w:tcPr>
          <w:p w14:paraId="5F605344" w14:textId="77777777" w:rsidR="00B578E9" w:rsidRPr="005A3AFC" w:rsidRDefault="00B578E9">
            <w:pPr>
              <w:spacing w:after="160" w:line="259" w:lineRule="auto"/>
              <w:rPr>
                <w:rFonts w:ascii="Arial Narrow" w:hAnsi="Arial Narrow" w:cs="Segoe UI"/>
                <w:b/>
                <w:sz w:val="20"/>
                <w:szCs w:val="20"/>
              </w:rPr>
            </w:pPr>
          </w:p>
        </w:tc>
        <w:tc>
          <w:tcPr>
            <w:tcW w:w="326" w:type="pct"/>
          </w:tcPr>
          <w:p w14:paraId="0D672FD2" w14:textId="3DB6F4EA" w:rsidR="00B578E9" w:rsidRPr="005A3AFC" w:rsidRDefault="00B578E9">
            <w:pPr>
              <w:spacing w:after="160" w:line="259" w:lineRule="auto"/>
              <w:rPr>
                <w:rFonts w:ascii="Arial Narrow" w:hAnsi="Arial Narrow" w:cs="Segoe UI"/>
                <w:b/>
                <w:sz w:val="20"/>
                <w:szCs w:val="20"/>
              </w:rPr>
            </w:pPr>
            <w:r w:rsidRPr="005A3AFC">
              <w:rPr>
                <w:rFonts w:ascii="Arial Narrow" w:hAnsi="Arial Narrow" w:cs="Segoe UI"/>
                <w:b/>
                <w:sz w:val="20"/>
                <w:szCs w:val="20"/>
              </w:rPr>
              <w:t>Type of study design*</w:t>
            </w:r>
          </w:p>
        </w:tc>
        <w:tc>
          <w:tcPr>
            <w:tcW w:w="686" w:type="pct"/>
          </w:tcPr>
          <w:p w14:paraId="4AA25624" w14:textId="77777777" w:rsidR="00B578E9" w:rsidRPr="005A3AFC" w:rsidRDefault="00B578E9">
            <w:pPr>
              <w:spacing w:after="160" w:line="259" w:lineRule="auto"/>
              <w:rPr>
                <w:rFonts w:ascii="Arial Narrow" w:hAnsi="Arial Narrow" w:cs="Segoe UI"/>
                <w:b/>
                <w:sz w:val="20"/>
                <w:szCs w:val="20"/>
              </w:rPr>
            </w:pPr>
            <w:r w:rsidRPr="005A3AFC">
              <w:rPr>
                <w:rFonts w:ascii="Arial Narrow" w:hAnsi="Arial Narrow" w:cs="Segoe UI"/>
                <w:b/>
                <w:sz w:val="20"/>
                <w:szCs w:val="20"/>
              </w:rPr>
              <w:t>Title of journal article  or research project (including any trial identifier or study lead if relevant)</w:t>
            </w:r>
          </w:p>
        </w:tc>
        <w:tc>
          <w:tcPr>
            <w:tcW w:w="1343" w:type="pct"/>
          </w:tcPr>
          <w:p w14:paraId="50CF8E86" w14:textId="77777777" w:rsidR="00B578E9" w:rsidRPr="005A3AFC" w:rsidRDefault="00B578E9">
            <w:pPr>
              <w:spacing w:after="160" w:line="259" w:lineRule="auto"/>
              <w:rPr>
                <w:rFonts w:ascii="Arial Narrow" w:hAnsi="Arial Narrow" w:cs="Segoe UI"/>
                <w:b/>
                <w:sz w:val="20"/>
                <w:szCs w:val="20"/>
              </w:rPr>
            </w:pPr>
            <w:r w:rsidRPr="005A3AFC">
              <w:rPr>
                <w:rFonts w:ascii="Arial Narrow" w:hAnsi="Arial Narrow" w:cs="Segoe UI"/>
                <w:b/>
                <w:sz w:val="20"/>
                <w:szCs w:val="20"/>
              </w:rPr>
              <w:t>Short description of research  (max 50 words)**</w:t>
            </w:r>
          </w:p>
        </w:tc>
        <w:tc>
          <w:tcPr>
            <w:tcW w:w="1858" w:type="pct"/>
          </w:tcPr>
          <w:p w14:paraId="459B96A7" w14:textId="77777777" w:rsidR="00B578E9" w:rsidRPr="005A3AFC" w:rsidRDefault="00B578E9">
            <w:pPr>
              <w:spacing w:after="160" w:line="259" w:lineRule="auto"/>
              <w:rPr>
                <w:rFonts w:ascii="Arial Narrow" w:hAnsi="Arial Narrow" w:cs="Segoe UI"/>
                <w:b/>
                <w:sz w:val="20"/>
                <w:szCs w:val="20"/>
              </w:rPr>
            </w:pPr>
            <w:r w:rsidRPr="005A3AFC">
              <w:rPr>
                <w:rFonts w:ascii="Arial Narrow" w:hAnsi="Arial Narrow" w:cs="Segoe UI"/>
                <w:b/>
                <w:sz w:val="20"/>
                <w:szCs w:val="20"/>
              </w:rPr>
              <w:t>Website link to journal article or research (if available)</w:t>
            </w:r>
          </w:p>
        </w:tc>
        <w:tc>
          <w:tcPr>
            <w:tcW w:w="657" w:type="pct"/>
          </w:tcPr>
          <w:p w14:paraId="7CEF54B0" w14:textId="77777777" w:rsidR="00B578E9" w:rsidRPr="005A3AFC" w:rsidRDefault="00B578E9">
            <w:pPr>
              <w:spacing w:after="160" w:line="259" w:lineRule="auto"/>
              <w:rPr>
                <w:rFonts w:ascii="Arial Narrow" w:hAnsi="Arial Narrow" w:cs="Segoe UI"/>
                <w:b/>
                <w:sz w:val="20"/>
                <w:szCs w:val="20"/>
              </w:rPr>
            </w:pPr>
            <w:r w:rsidRPr="005A3AFC">
              <w:rPr>
                <w:rFonts w:ascii="Arial Narrow" w:hAnsi="Arial Narrow" w:cs="Segoe UI"/>
                <w:b/>
                <w:sz w:val="20"/>
                <w:szCs w:val="20"/>
              </w:rPr>
              <w:t>Date of publication***</w:t>
            </w:r>
          </w:p>
        </w:tc>
      </w:tr>
      <w:tr w:rsidR="00A225D9" w:rsidRPr="005A3AFC" w14:paraId="15100CD3" w14:textId="77777777" w:rsidTr="005555E9">
        <w:trPr>
          <w:cantSplit/>
        </w:trPr>
        <w:tc>
          <w:tcPr>
            <w:tcW w:w="129" w:type="pct"/>
          </w:tcPr>
          <w:p w14:paraId="45818B58" w14:textId="2B5EE07B" w:rsidR="00B578E9" w:rsidRPr="005A3AFC" w:rsidRDefault="00B578E9">
            <w:pPr>
              <w:spacing w:after="160" w:line="259" w:lineRule="auto"/>
              <w:rPr>
                <w:rFonts w:ascii="Arial Narrow" w:hAnsi="Arial Narrow" w:cs="Segoe UI"/>
                <w:sz w:val="20"/>
                <w:szCs w:val="20"/>
              </w:rPr>
            </w:pPr>
            <w:r w:rsidRPr="005A3AFC">
              <w:rPr>
                <w:rFonts w:ascii="Arial Narrow" w:hAnsi="Arial Narrow" w:cs="Segoe UI"/>
                <w:sz w:val="20"/>
                <w:szCs w:val="20"/>
              </w:rPr>
              <w:t>1</w:t>
            </w:r>
          </w:p>
        </w:tc>
        <w:tc>
          <w:tcPr>
            <w:tcW w:w="326" w:type="pct"/>
          </w:tcPr>
          <w:p w14:paraId="15CB7973" w14:textId="69301917" w:rsidR="00B578E9" w:rsidRPr="005A3AFC" w:rsidRDefault="006A0833">
            <w:pPr>
              <w:spacing w:after="160" w:line="259" w:lineRule="auto"/>
              <w:rPr>
                <w:rFonts w:ascii="Arial Narrow" w:hAnsi="Arial Narrow" w:cs="Segoe UI"/>
                <w:b/>
                <w:sz w:val="20"/>
                <w:szCs w:val="20"/>
              </w:rPr>
            </w:pPr>
            <w:r w:rsidRPr="005A3AFC">
              <w:rPr>
                <w:rFonts w:ascii="Arial Narrow" w:hAnsi="Arial Narrow" w:cs="Segoe UI"/>
                <w:sz w:val="20"/>
                <w:szCs w:val="20"/>
              </w:rPr>
              <w:t>Phase 3 RCT</w:t>
            </w:r>
          </w:p>
        </w:tc>
        <w:tc>
          <w:tcPr>
            <w:tcW w:w="686" w:type="pct"/>
          </w:tcPr>
          <w:p w14:paraId="39FEF962" w14:textId="651BADC3" w:rsidR="00B578E9" w:rsidRPr="005A3AFC" w:rsidRDefault="006A0833">
            <w:pPr>
              <w:spacing w:after="160" w:line="259" w:lineRule="auto"/>
              <w:rPr>
                <w:rFonts w:ascii="Arial Narrow" w:hAnsi="Arial Narrow" w:cs="Segoe UI"/>
                <w:b/>
                <w:sz w:val="20"/>
                <w:szCs w:val="20"/>
              </w:rPr>
            </w:pPr>
            <w:r w:rsidRPr="005A3AFC">
              <w:rPr>
                <w:rFonts w:ascii="Arial Narrow" w:hAnsi="Arial Narrow" w:cs="Segoe UI"/>
                <w:sz w:val="20"/>
                <w:szCs w:val="20"/>
              </w:rPr>
              <w:t xml:space="preserve">First line Camizestrant for Emerging </w:t>
            </w:r>
            <w:r w:rsidRPr="005A3AFC">
              <w:rPr>
                <w:rFonts w:ascii="Arial Narrow" w:hAnsi="Arial Narrow" w:cs="Segoe UI"/>
                <w:i/>
                <w:iCs/>
                <w:sz w:val="20"/>
                <w:szCs w:val="20"/>
              </w:rPr>
              <w:t>ESR1</w:t>
            </w:r>
            <w:r w:rsidRPr="005A3AFC">
              <w:rPr>
                <w:rFonts w:ascii="Arial Narrow" w:hAnsi="Arial Narrow" w:cs="Segoe UI"/>
                <w:sz w:val="20"/>
                <w:szCs w:val="20"/>
              </w:rPr>
              <w:t>-mutated Advanced Breast Cancer</w:t>
            </w:r>
          </w:p>
        </w:tc>
        <w:tc>
          <w:tcPr>
            <w:tcW w:w="1343" w:type="pct"/>
          </w:tcPr>
          <w:p w14:paraId="05CC0E12" w14:textId="0565B730" w:rsidR="00F31F68" w:rsidRPr="00F31F68" w:rsidRDefault="00F31F68" w:rsidP="00F31F68">
            <w:pPr>
              <w:spacing w:after="160" w:line="259" w:lineRule="auto"/>
              <w:rPr>
                <w:rFonts w:ascii="Arial Narrow" w:hAnsi="Arial Narrow" w:cs="Segoe UI"/>
                <w:bCs/>
                <w:sz w:val="20"/>
                <w:szCs w:val="20"/>
              </w:rPr>
            </w:pPr>
            <w:r w:rsidRPr="00F31F68">
              <w:rPr>
                <w:rFonts w:ascii="Arial Narrow" w:hAnsi="Arial Narrow" w:cs="Segoe UI"/>
                <w:bCs/>
                <w:sz w:val="20"/>
                <w:szCs w:val="20"/>
              </w:rPr>
              <w:t>Double-blind control</w:t>
            </w:r>
            <w:r>
              <w:rPr>
                <w:rFonts w:ascii="Arial Narrow" w:hAnsi="Arial Narrow" w:cs="Segoe UI"/>
                <w:bCs/>
                <w:sz w:val="20"/>
                <w:szCs w:val="20"/>
              </w:rPr>
              <w:t>led</w:t>
            </w:r>
            <w:r w:rsidRPr="00F31F68">
              <w:rPr>
                <w:rFonts w:ascii="Arial Narrow" w:hAnsi="Arial Narrow" w:cs="Segoe UI"/>
                <w:bCs/>
                <w:sz w:val="20"/>
                <w:szCs w:val="20"/>
              </w:rPr>
              <w:t xml:space="preserve"> study using ctDNA-</w:t>
            </w:r>
            <w:r w:rsidR="002649CB">
              <w:rPr>
                <w:rFonts w:ascii="Arial Narrow" w:hAnsi="Arial Narrow" w:cs="Segoe UI"/>
                <w:bCs/>
                <w:sz w:val="20"/>
                <w:szCs w:val="20"/>
              </w:rPr>
              <w:t>testing</w:t>
            </w:r>
            <w:r w:rsidRPr="00F31F68">
              <w:rPr>
                <w:rFonts w:ascii="Arial Narrow" w:hAnsi="Arial Narrow" w:cs="Segoe UI"/>
                <w:bCs/>
                <w:sz w:val="20"/>
                <w:szCs w:val="20"/>
              </w:rPr>
              <w:t xml:space="preserve"> to detect emergent </w:t>
            </w:r>
            <w:r w:rsidRPr="00F31F68">
              <w:rPr>
                <w:rFonts w:ascii="Arial Narrow" w:hAnsi="Arial Narrow" w:cs="Segoe UI"/>
                <w:bCs/>
                <w:i/>
                <w:iCs/>
                <w:sz w:val="20"/>
                <w:szCs w:val="20"/>
              </w:rPr>
              <w:t>ESR1</w:t>
            </w:r>
            <w:r w:rsidRPr="00F31F68">
              <w:rPr>
                <w:rFonts w:ascii="Arial Narrow" w:hAnsi="Arial Narrow" w:cs="Segoe UI"/>
                <w:bCs/>
                <w:sz w:val="20"/>
                <w:szCs w:val="20"/>
              </w:rPr>
              <w:t xml:space="preserve"> mutations during 1L AI+CDK4/6 therapy in HR+/HER2– mBC. </w:t>
            </w:r>
          </w:p>
          <w:p w14:paraId="004476C6" w14:textId="77777777" w:rsidR="00F31F68" w:rsidRPr="00F31F68" w:rsidRDefault="00F31F68" w:rsidP="00F31F68">
            <w:pPr>
              <w:spacing w:after="160" w:line="259" w:lineRule="auto"/>
              <w:rPr>
                <w:rFonts w:ascii="Arial Narrow" w:hAnsi="Arial Narrow" w:cs="Segoe UI"/>
                <w:bCs/>
                <w:sz w:val="20"/>
                <w:szCs w:val="20"/>
              </w:rPr>
            </w:pPr>
            <w:r w:rsidRPr="00F31F68">
              <w:rPr>
                <w:rFonts w:ascii="Arial Narrow" w:hAnsi="Arial Narrow" w:cs="Segoe UI"/>
                <w:bCs/>
                <w:sz w:val="20"/>
                <w:szCs w:val="20"/>
              </w:rPr>
              <w:t>Switching to camizestrant while continuing the same CDK4/6 inhibitor significantly prolonged mPFS and delayed quality-of-life deterioration versus continuing AI, with manageable safety</w:t>
            </w:r>
          </w:p>
          <w:p w14:paraId="05B1FED2" w14:textId="2258241B" w:rsidR="00243B6A" w:rsidRPr="00761B46" w:rsidRDefault="00243B6A">
            <w:pPr>
              <w:spacing w:after="160" w:line="259" w:lineRule="auto"/>
              <w:rPr>
                <w:rFonts w:ascii="Arial Narrow" w:hAnsi="Arial Narrow" w:cs="Segoe UI"/>
                <w:bCs/>
                <w:i/>
                <w:iCs/>
                <w:sz w:val="20"/>
                <w:szCs w:val="20"/>
              </w:rPr>
            </w:pPr>
            <w:r w:rsidRPr="00761B46">
              <w:rPr>
                <w:rFonts w:ascii="Arial Narrow" w:hAnsi="Arial Narrow" w:cs="Segoe UI"/>
                <w:bCs/>
                <w:i/>
                <w:iCs/>
                <w:sz w:val="20"/>
                <w:szCs w:val="20"/>
              </w:rPr>
              <w:t>This publication is from DCO1</w:t>
            </w:r>
            <w:r w:rsidR="00761B46" w:rsidRPr="00761B46">
              <w:rPr>
                <w:rFonts w:ascii="Arial Narrow" w:hAnsi="Arial Narrow" w:cs="Segoe UI"/>
                <w:bCs/>
                <w:i/>
                <w:iCs/>
                <w:sz w:val="20"/>
                <w:szCs w:val="20"/>
              </w:rPr>
              <w:t>. Data from DCO2 anticipated to be available for the integrated co-dependent submission.</w:t>
            </w:r>
          </w:p>
        </w:tc>
        <w:tc>
          <w:tcPr>
            <w:tcW w:w="1858" w:type="pct"/>
          </w:tcPr>
          <w:p w14:paraId="4C5732A4" w14:textId="369B464A" w:rsidR="00153240" w:rsidRDefault="000A527B">
            <w:pPr>
              <w:spacing w:after="160" w:line="259" w:lineRule="auto"/>
              <w:rPr>
                <w:rFonts w:ascii="Arial Narrow" w:hAnsi="Arial Narrow" w:cs="Segoe UI"/>
                <w:bCs/>
                <w:sz w:val="20"/>
                <w:szCs w:val="20"/>
              </w:rPr>
            </w:pPr>
            <w:hyperlink r:id="rId17" w:history="1">
              <w:r w:rsidRPr="008138A3">
                <w:rPr>
                  <w:rStyle w:val="Hyperlink"/>
                  <w:rFonts w:ascii="Arial Narrow" w:hAnsi="Arial Narrow" w:cs="Segoe UI"/>
                  <w:bCs/>
                  <w:sz w:val="20"/>
                  <w:szCs w:val="20"/>
                </w:rPr>
                <w:t>https://www.nejm.org/doi/full/10.1056/NEJMoa2502929</w:t>
              </w:r>
            </w:hyperlink>
          </w:p>
          <w:p w14:paraId="3D17F4EB" w14:textId="77777777" w:rsidR="000A527B" w:rsidRDefault="000A527B">
            <w:pPr>
              <w:spacing w:after="160" w:line="259" w:lineRule="auto"/>
              <w:rPr>
                <w:rFonts w:ascii="Arial Narrow" w:hAnsi="Arial Narrow" w:cs="Segoe UI"/>
                <w:bCs/>
                <w:sz w:val="20"/>
                <w:szCs w:val="20"/>
              </w:rPr>
            </w:pPr>
          </w:p>
          <w:p w14:paraId="18896614" w14:textId="2F20051B" w:rsidR="00C95DCD" w:rsidRPr="005A3AFC" w:rsidRDefault="00C95DCD">
            <w:pPr>
              <w:spacing w:after="160" w:line="259" w:lineRule="auto"/>
              <w:rPr>
                <w:rFonts w:ascii="Arial Narrow" w:hAnsi="Arial Narrow" w:cs="Segoe UI"/>
                <w:bCs/>
                <w:sz w:val="20"/>
                <w:szCs w:val="20"/>
              </w:rPr>
            </w:pPr>
          </w:p>
        </w:tc>
        <w:tc>
          <w:tcPr>
            <w:tcW w:w="657" w:type="pct"/>
          </w:tcPr>
          <w:p w14:paraId="6A1DD20C" w14:textId="080E1496" w:rsidR="00B578E9" w:rsidRPr="005A3AFC" w:rsidRDefault="00C0110B">
            <w:pPr>
              <w:spacing w:after="160" w:line="259" w:lineRule="auto"/>
              <w:rPr>
                <w:rFonts w:ascii="Arial Narrow" w:hAnsi="Arial Narrow" w:cs="Segoe UI"/>
                <w:b/>
                <w:sz w:val="20"/>
                <w:szCs w:val="20"/>
              </w:rPr>
            </w:pPr>
            <w:r w:rsidRPr="005A3AFC">
              <w:rPr>
                <w:rFonts w:ascii="Arial Narrow" w:hAnsi="Arial Narrow" w:cs="Segoe UI"/>
                <w:sz w:val="20"/>
                <w:szCs w:val="20"/>
              </w:rPr>
              <w:t>2025</w:t>
            </w:r>
          </w:p>
        </w:tc>
      </w:tr>
      <w:tr w:rsidR="00C0110B" w:rsidRPr="005A3AFC" w14:paraId="42A1192B" w14:textId="77777777" w:rsidTr="005555E9">
        <w:trPr>
          <w:cantSplit/>
        </w:trPr>
        <w:tc>
          <w:tcPr>
            <w:tcW w:w="129" w:type="pct"/>
          </w:tcPr>
          <w:p w14:paraId="46785E4F" w14:textId="5E94CC03" w:rsidR="00C0110B" w:rsidRPr="005A3AFC" w:rsidRDefault="0031396C">
            <w:pPr>
              <w:rPr>
                <w:rFonts w:ascii="Arial Narrow" w:hAnsi="Arial Narrow" w:cs="Segoe UI"/>
                <w:sz w:val="20"/>
                <w:szCs w:val="20"/>
              </w:rPr>
            </w:pPr>
            <w:r w:rsidRPr="005A3AFC">
              <w:rPr>
                <w:rFonts w:ascii="Arial Narrow" w:hAnsi="Arial Narrow" w:cs="Segoe UI"/>
                <w:sz w:val="20"/>
                <w:szCs w:val="20"/>
              </w:rPr>
              <w:t>2</w:t>
            </w:r>
          </w:p>
        </w:tc>
        <w:tc>
          <w:tcPr>
            <w:tcW w:w="326" w:type="pct"/>
          </w:tcPr>
          <w:p w14:paraId="12C6CA07" w14:textId="18FF1C5E" w:rsidR="00C0110B" w:rsidRPr="005A3AFC" w:rsidRDefault="003A720D">
            <w:pPr>
              <w:rPr>
                <w:rFonts w:ascii="Arial Narrow" w:hAnsi="Arial Narrow" w:cs="Segoe UI"/>
                <w:sz w:val="20"/>
                <w:szCs w:val="20"/>
              </w:rPr>
            </w:pPr>
            <w:r w:rsidRPr="005A3AFC">
              <w:rPr>
                <w:rFonts w:ascii="Arial Narrow" w:hAnsi="Arial Narrow" w:cs="Segoe UI"/>
                <w:sz w:val="20"/>
                <w:szCs w:val="20"/>
              </w:rPr>
              <w:t>Phase 3 RCT</w:t>
            </w:r>
          </w:p>
        </w:tc>
        <w:tc>
          <w:tcPr>
            <w:tcW w:w="686" w:type="pct"/>
          </w:tcPr>
          <w:p w14:paraId="6F413366" w14:textId="23B134A5" w:rsidR="00C0110B" w:rsidRPr="005A3AFC" w:rsidRDefault="00D83E3A">
            <w:pPr>
              <w:rPr>
                <w:rFonts w:ascii="Arial Narrow" w:hAnsi="Arial Narrow" w:cs="Segoe UI"/>
                <w:sz w:val="20"/>
                <w:szCs w:val="20"/>
              </w:rPr>
            </w:pPr>
            <w:r w:rsidRPr="005A3AFC">
              <w:rPr>
                <w:rFonts w:ascii="Arial Narrow" w:hAnsi="Arial Narrow" w:cs="Segoe UI"/>
                <w:sz w:val="20"/>
                <w:szCs w:val="20"/>
              </w:rPr>
              <w:t xml:space="preserve">Patient-reported outcomes in the SERENA-6 trial of camizestrant plus </w:t>
            </w:r>
            <w:r w:rsidR="00DF5AB6">
              <w:rPr>
                <w:rFonts w:ascii="Arial Narrow" w:hAnsi="Arial Narrow" w:cs="Segoe UI"/>
                <w:sz w:val="20"/>
                <w:szCs w:val="20"/>
              </w:rPr>
              <w:t>CDK4/6</w:t>
            </w:r>
            <w:r w:rsidRPr="005A3AFC">
              <w:rPr>
                <w:rFonts w:ascii="Arial Narrow" w:hAnsi="Arial Narrow" w:cs="Segoe UI"/>
                <w:sz w:val="20"/>
                <w:szCs w:val="20"/>
              </w:rPr>
              <w:t xml:space="preserve"> inhibitor in patients with advanced breast cancer and emergent </w:t>
            </w:r>
            <w:r w:rsidRPr="005A3AFC">
              <w:rPr>
                <w:rFonts w:ascii="Arial Narrow" w:hAnsi="Arial Narrow" w:cs="Segoe UI"/>
                <w:i/>
                <w:iCs/>
                <w:sz w:val="20"/>
                <w:szCs w:val="20"/>
              </w:rPr>
              <w:t>ESR1</w:t>
            </w:r>
            <w:r w:rsidR="00A27F82" w:rsidRPr="005A3AFC">
              <w:rPr>
                <w:rFonts w:ascii="Arial Narrow" w:hAnsi="Arial Narrow" w:cs="Segoe UI"/>
                <w:sz w:val="20"/>
                <w:szCs w:val="20"/>
              </w:rPr>
              <w:t xml:space="preserve"> mutations during 1</w:t>
            </w:r>
            <w:r w:rsidR="00A27F82" w:rsidRPr="005A3AFC">
              <w:rPr>
                <w:rFonts w:ascii="Arial Narrow" w:hAnsi="Arial Narrow" w:cs="Segoe UI"/>
                <w:sz w:val="20"/>
                <w:szCs w:val="20"/>
                <w:vertAlign w:val="superscript"/>
              </w:rPr>
              <w:t>st</w:t>
            </w:r>
            <w:r w:rsidR="00A27F82" w:rsidRPr="005A3AFC">
              <w:rPr>
                <w:rFonts w:ascii="Arial Narrow" w:hAnsi="Arial Narrow" w:cs="Segoe UI"/>
                <w:sz w:val="20"/>
                <w:szCs w:val="20"/>
              </w:rPr>
              <w:t>-line endocrine-based therapy</w:t>
            </w:r>
          </w:p>
        </w:tc>
        <w:tc>
          <w:tcPr>
            <w:tcW w:w="1343" w:type="pct"/>
          </w:tcPr>
          <w:p w14:paraId="22FFECB1" w14:textId="77777777" w:rsidR="00C0110B" w:rsidRPr="005A3AFC" w:rsidRDefault="00FC5C91">
            <w:pPr>
              <w:rPr>
                <w:rFonts w:ascii="Arial Narrow" w:hAnsi="Arial Narrow" w:cs="Segoe UI"/>
                <w:bCs/>
                <w:sz w:val="20"/>
                <w:szCs w:val="20"/>
              </w:rPr>
            </w:pPr>
            <w:r w:rsidRPr="005A3AFC">
              <w:rPr>
                <w:rFonts w:ascii="Arial Narrow" w:hAnsi="Arial Narrow" w:cs="Segoe UI"/>
                <w:bCs/>
                <w:sz w:val="20"/>
                <w:szCs w:val="20"/>
              </w:rPr>
              <w:t xml:space="preserve">This publication reports on Patient Reported Outcomes </w:t>
            </w:r>
            <w:r w:rsidR="003B0DE8" w:rsidRPr="005A3AFC">
              <w:rPr>
                <w:rFonts w:ascii="Arial Narrow" w:hAnsi="Arial Narrow" w:cs="Segoe UI"/>
                <w:bCs/>
                <w:sz w:val="20"/>
                <w:szCs w:val="20"/>
              </w:rPr>
              <w:t>from the phase 3 SERENA-6 trial (ref 1).</w:t>
            </w:r>
          </w:p>
          <w:p w14:paraId="335DCD7C" w14:textId="1F1B6B54" w:rsidR="003B0DE8" w:rsidRPr="005A3AFC" w:rsidRDefault="00944BC6">
            <w:pPr>
              <w:rPr>
                <w:rFonts w:ascii="Arial Narrow" w:hAnsi="Arial Narrow" w:cs="Segoe UI"/>
                <w:bCs/>
                <w:sz w:val="20"/>
                <w:szCs w:val="20"/>
              </w:rPr>
            </w:pPr>
            <w:r w:rsidRPr="005A3AFC">
              <w:rPr>
                <w:rFonts w:ascii="Arial Narrow" w:hAnsi="Arial Narrow" w:cs="Segoe UI"/>
                <w:bCs/>
                <w:sz w:val="20"/>
                <w:szCs w:val="20"/>
              </w:rPr>
              <w:t>Switching to camizestrant-</w:t>
            </w:r>
            <w:r w:rsidR="00DF5AB6">
              <w:rPr>
                <w:rFonts w:ascii="Arial Narrow" w:hAnsi="Arial Narrow" w:cs="Segoe UI"/>
                <w:bCs/>
                <w:sz w:val="20"/>
                <w:szCs w:val="20"/>
              </w:rPr>
              <w:t>CDK4/6</w:t>
            </w:r>
            <w:r w:rsidRPr="005A3AFC">
              <w:rPr>
                <w:rFonts w:ascii="Arial Narrow" w:hAnsi="Arial Narrow" w:cs="Segoe UI"/>
                <w:bCs/>
                <w:sz w:val="20"/>
                <w:szCs w:val="20"/>
              </w:rPr>
              <w:t xml:space="preserve">i delayed time to deterioration </w:t>
            </w:r>
            <w:r w:rsidR="7E040AFB" w:rsidRPr="6BD791AF">
              <w:rPr>
                <w:rFonts w:ascii="Arial Narrow" w:hAnsi="Arial Narrow" w:cs="Segoe UI"/>
                <w:sz w:val="20"/>
                <w:szCs w:val="20"/>
              </w:rPr>
              <w:t>and</w:t>
            </w:r>
            <w:r w:rsidR="009524FC" w:rsidRPr="005A3AFC">
              <w:rPr>
                <w:rFonts w:ascii="Arial Narrow" w:hAnsi="Arial Narrow" w:cs="Segoe UI"/>
                <w:bCs/>
                <w:sz w:val="20"/>
                <w:szCs w:val="20"/>
              </w:rPr>
              <w:t xml:space="preserve"> reduced risk of </w:t>
            </w:r>
            <w:r w:rsidR="00077D00" w:rsidRPr="005A3AFC">
              <w:rPr>
                <w:rFonts w:ascii="Arial Narrow" w:hAnsi="Arial Narrow" w:cs="Segoe UI"/>
                <w:bCs/>
                <w:sz w:val="20"/>
                <w:szCs w:val="20"/>
              </w:rPr>
              <w:t>deterioration</w:t>
            </w:r>
            <w:r w:rsidR="009524FC" w:rsidRPr="005A3AFC">
              <w:rPr>
                <w:rFonts w:ascii="Arial Narrow" w:hAnsi="Arial Narrow" w:cs="Segoe UI"/>
                <w:bCs/>
                <w:sz w:val="20"/>
                <w:szCs w:val="20"/>
              </w:rPr>
              <w:t xml:space="preserve"> in cancer </w:t>
            </w:r>
            <w:r w:rsidR="00077D00" w:rsidRPr="005A3AFC">
              <w:rPr>
                <w:rFonts w:ascii="Arial Narrow" w:hAnsi="Arial Narrow" w:cs="Segoe UI"/>
                <w:bCs/>
                <w:sz w:val="20"/>
                <w:szCs w:val="20"/>
              </w:rPr>
              <w:t>symptoms</w:t>
            </w:r>
            <w:r w:rsidR="009524FC" w:rsidRPr="005A3AFC">
              <w:rPr>
                <w:rFonts w:ascii="Arial Narrow" w:hAnsi="Arial Narrow" w:cs="Segoe UI"/>
                <w:bCs/>
                <w:sz w:val="20"/>
                <w:szCs w:val="20"/>
              </w:rPr>
              <w:t xml:space="preserve"> (pain HR 0.57; fatigue HR </w:t>
            </w:r>
            <w:r w:rsidR="00ED61F8" w:rsidRPr="005A3AFC">
              <w:rPr>
                <w:rFonts w:ascii="Arial Narrow" w:hAnsi="Arial Narrow" w:cs="Segoe UI"/>
                <w:bCs/>
                <w:sz w:val="20"/>
                <w:szCs w:val="20"/>
              </w:rPr>
              <w:t xml:space="preserve">0.75; </w:t>
            </w:r>
            <w:r w:rsidR="00077D00" w:rsidRPr="005A3AFC">
              <w:rPr>
                <w:rFonts w:ascii="Arial Narrow" w:hAnsi="Arial Narrow" w:cs="Segoe UI"/>
                <w:bCs/>
                <w:sz w:val="20"/>
                <w:szCs w:val="20"/>
              </w:rPr>
              <w:t>dyspnoea</w:t>
            </w:r>
            <w:r w:rsidR="00ED61F8" w:rsidRPr="005A3AFC">
              <w:rPr>
                <w:rFonts w:ascii="Arial Narrow" w:hAnsi="Arial Narrow" w:cs="Segoe UI"/>
                <w:bCs/>
                <w:sz w:val="20"/>
                <w:szCs w:val="20"/>
              </w:rPr>
              <w:t xml:space="preserve"> HR 0.52), breast (HR 0.74)</w:t>
            </w:r>
            <w:r w:rsidR="00BA2A31" w:rsidRPr="005A3AFC">
              <w:rPr>
                <w:rFonts w:ascii="Arial Narrow" w:hAnsi="Arial Narrow" w:cs="Segoe UI"/>
                <w:bCs/>
                <w:sz w:val="20"/>
                <w:szCs w:val="20"/>
              </w:rPr>
              <w:t xml:space="preserve"> </w:t>
            </w:r>
            <w:r w:rsidR="149FE4D0" w:rsidRPr="6BD791AF">
              <w:rPr>
                <w:rFonts w:ascii="Arial Narrow" w:hAnsi="Arial Narrow" w:cs="Segoe UI"/>
                <w:sz w:val="20"/>
                <w:szCs w:val="20"/>
              </w:rPr>
              <w:t>and</w:t>
            </w:r>
            <w:r w:rsidR="00BA2A31" w:rsidRPr="005A3AFC">
              <w:rPr>
                <w:rFonts w:ascii="Arial Narrow" w:hAnsi="Arial Narrow" w:cs="Segoe UI"/>
                <w:bCs/>
                <w:sz w:val="20"/>
                <w:szCs w:val="20"/>
              </w:rPr>
              <w:t xml:space="preserve"> arm symptoms (HR 0.69) &amp; functioning (physical HR0.74; </w:t>
            </w:r>
            <w:r w:rsidR="00077D00" w:rsidRPr="005A3AFC">
              <w:rPr>
                <w:rFonts w:ascii="Arial Narrow" w:hAnsi="Arial Narrow" w:cs="Segoe UI"/>
                <w:bCs/>
                <w:sz w:val="20"/>
                <w:szCs w:val="20"/>
              </w:rPr>
              <w:t>role HR 0.73; emotional HR 0.51) versus continuing on AI+</w:t>
            </w:r>
            <w:r w:rsidR="00DF5AB6">
              <w:rPr>
                <w:rFonts w:ascii="Arial Narrow" w:hAnsi="Arial Narrow" w:cs="Segoe UI"/>
                <w:bCs/>
                <w:sz w:val="20"/>
                <w:szCs w:val="20"/>
              </w:rPr>
              <w:t>CDK4/6</w:t>
            </w:r>
            <w:r w:rsidR="00077D00" w:rsidRPr="005A3AFC">
              <w:rPr>
                <w:rFonts w:ascii="Arial Narrow" w:hAnsi="Arial Narrow" w:cs="Segoe UI"/>
                <w:bCs/>
                <w:sz w:val="20"/>
                <w:szCs w:val="20"/>
              </w:rPr>
              <w:t>i</w:t>
            </w:r>
            <w:r w:rsidR="383CBC06" w:rsidRPr="6BD791AF">
              <w:rPr>
                <w:rFonts w:ascii="Arial Narrow" w:hAnsi="Arial Narrow" w:cs="Segoe UI"/>
                <w:sz w:val="20"/>
                <w:szCs w:val="20"/>
              </w:rPr>
              <w:t>.</w:t>
            </w:r>
            <w:r w:rsidR="5184F8C7" w:rsidRPr="6BD791AF">
              <w:rPr>
                <w:rFonts w:ascii="Arial Narrow" w:hAnsi="Arial Narrow" w:cs="Segoe UI"/>
                <w:sz w:val="20"/>
                <w:szCs w:val="20"/>
              </w:rPr>
              <w:t xml:space="preserve"> Tolerability was high</w:t>
            </w:r>
            <w:r w:rsidR="00D213B8" w:rsidRPr="005A3AFC">
              <w:rPr>
                <w:rFonts w:ascii="Arial Narrow" w:hAnsi="Arial Narrow" w:cs="Segoe UI"/>
                <w:bCs/>
                <w:sz w:val="20"/>
                <w:szCs w:val="20"/>
              </w:rPr>
              <w:t>.</w:t>
            </w:r>
          </w:p>
        </w:tc>
        <w:tc>
          <w:tcPr>
            <w:tcW w:w="1858" w:type="pct"/>
          </w:tcPr>
          <w:p w14:paraId="126A8F32" w14:textId="7AFC47E5" w:rsidR="00C0110B" w:rsidRPr="003248B5" w:rsidRDefault="00D213B8">
            <w:pPr>
              <w:rPr>
                <w:rFonts w:ascii="Arial Narrow" w:hAnsi="Arial Narrow" w:cs="Segoe UI"/>
                <w:bCs/>
                <w:sz w:val="20"/>
                <w:szCs w:val="20"/>
                <w:lang w:val="fr-FR"/>
              </w:rPr>
            </w:pPr>
            <w:hyperlink r:id="rId18" w:history="1">
              <w:r w:rsidRPr="003248B5">
                <w:rPr>
                  <w:rStyle w:val="Hyperlink"/>
                  <w:rFonts w:ascii="Arial Narrow" w:hAnsi="Arial Narrow" w:cs="Segoe UI"/>
                  <w:bCs/>
                  <w:sz w:val="20"/>
                  <w:szCs w:val="20"/>
                  <w:lang w:val="fr-FR"/>
                </w:rPr>
                <w:t>https://doi.org/10.1016/ j.annonc.2025.10.006</w:t>
              </w:r>
            </w:hyperlink>
          </w:p>
          <w:p w14:paraId="30A0EA96" w14:textId="3602A0F1" w:rsidR="00D213B8" w:rsidRPr="003248B5" w:rsidRDefault="00D213B8">
            <w:pPr>
              <w:rPr>
                <w:rFonts w:ascii="Arial Narrow" w:hAnsi="Arial Narrow" w:cs="Segoe UI"/>
                <w:bCs/>
                <w:sz w:val="20"/>
                <w:szCs w:val="20"/>
                <w:lang w:val="fr-FR"/>
              </w:rPr>
            </w:pPr>
          </w:p>
        </w:tc>
        <w:tc>
          <w:tcPr>
            <w:tcW w:w="657" w:type="pct"/>
          </w:tcPr>
          <w:p w14:paraId="28543C7C" w14:textId="2DCF2F2E" w:rsidR="00C0110B" w:rsidRPr="005A3AFC" w:rsidRDefault="00FF1E88">
            <w:pPr>
              <w:rPr>
                <w:rFonts w:ascii="Arial Narrow" w:hAnsi="Arial Narrow" w:cs="Segoe UI"/>
                <w:sz w:val="20"/>
                <w:szCs w:val="20"/>
              </w:rPr>
            </w:pPr>
            <w:r w:rsidRPr="005A3AFC">
              <w:rPr>
                <w:rFonts w:ascii="Arial Narrow" w:hAnsi="Arial Narrow" w:cs="Segoe UI"/>
                <w:sz w:val="20"/>
                <w:szCs w:val="20"/>
              </w:rPr>
              <w:t>2025</w:t>
            </w:r>
          </w:p>
        </w:tc>
      </w:tr>
      <w:tr w:rsidR="00C0110B" w:rsidRPr="005A3AFC" w14:paraId="68B4490B" w14:textId="77777777" w:rsidTr="005555E9">
        <w:trPr>
          <w:cantSplit/>
        </w:trPr>
        <w:tc>
          <w:tcPr>
            <w:tcW w:w="129" w:type="pct"/>
          </w:tcPr>
          <w:p w14:paraId="5B8E8185" w14:textId="7B2370AD" w:rsidR="00C0110B" w:rsidRPr="005A3AFC" w:rsidRDefault="007F524E">
            <w:pPr>
              <w:rPr>
                <w:rFonts w:ascii="Arial Narrow" w:hAnsi="Arial Narrow" w:cs="Segoe UI"/>
                <w:sz w:val="20"/>
                <w:szCs w:val="20"/>
              </w:rPr>
            </w:pPr>
            <w:r w:rsidRPr="005A3AFC">
              <w:rPr>
                <w:rFonts w:ascii="Arial Narrow" w:hAnsi="Arial Narrow" w:cs="Segoe UI"/>
                <w:sz w:val="20"/>
                <w:szCs w:val="20"/>
              </w:rPr>
              <w:t>3</w:t>
            </w:r>
          </w:p>
        </w:tc>
        <w:tc>
          <w:tcPr>
            <w:tcW w:w="326" w:type="pct"/>
          </w:tcPr>
          <w:p w14:paraId="050BB45F" w14:textId="1EF97238" w:rsidR="00C0110B" w:rsidRPr="005A3AFC" w:rsidRDefault="007F524E">
            <w:pPr>
              <w:rPr>
                <w:rFonts w:ascii="Arial Narrow" w:hAnsi="Arial Narrow" w:cs="Segoe UI"/>
                <w:sz w:val="20"/>
                <w:szCs w:val="20"/>
              </w:rPr>
            </w:pPr>
            <w:r w:rsidRPr="005A3AFC">
              <w:rPr>
                <w:rFonts w:ascii="Arial Narrow" w:hAnsi="Arial Narrow" w:cs="Segoe UI"/>
                <w:sz w:val="20"/>
                <w:szCs w:val="20"/>
              </w:rPr>
              <w:t>Phase 3 RCT</w:t>
            </w:r>
          </w:p>
        </w:tc>
        <w:tc>
          <w:tcPr>
            <w:tcW w:w="686" w:type="pct"/>
          </w:tcPr>
          <w:p w14:paraId="2D1346F4" w14:textId="208FC809" w:rsidR="00C0110B" w:rsidRPr="005A3AFC" w:rsidRDefault="0040655F">
            <w:pPr>
              <w:rPr>
                <w:rFonts w:ascii="Arial Narrow" w:hAnsi="Arial Narrow" w:cs="Segoe UI"/>
                <w:sz w:val="20"/>
                <w:szCs w:val="20"/>
              </w:rPr>
            </w:pPr>
            <w:r w:rsidRPr="005A3AFC">
              <w:rPr>
                <w:rFonts w:ascii="Arial Narrow" w:hAnsi="Arial Narrow" w:cs="Segoe UI"/>
                <w:sz w:val="20"/>
                <w:szCs w:val="20"/>
              </w:rPr>
              <w:t xml:space="preserve">Switch to fulvestrant and </w:t>
            </w:r>
            <w:r w:rsidR="00A805B2" w:rsidRPr="005A3AFC">
              <w:rPr>
                <w:rFonts w:ascii="Arial Narrow" w:hAnsi="Arial Narrow" w:cs="Segoe UI"/>
                <w:sz w:val="20"/>
                <w:szCs w:val="20"/>
              </w:rPr>
              <w:t>palbociclib</w:t>
            </w:r>
            <w:r w:rsidRPr="005A3AFC">
              <w:rPr>
                <w:rFonts w:ascii="Arial Narrow" w:hAnsi="Arial Narrow" w:cs="Segoe UI"/>
                <w:sz w:val="20"/>
                <w:szCs w:val="20"/>
              </w:rPr>
              <w:t xml:space="preserve"> versus no switch in advanced breast cancer with rising </w:t>
            </w:r>
            <w:r w:rsidRPr="005A3AFC">
              <w:rPr>
                <w:rFonts w:ascii="Arial Narrow" w:hAnsi="Arial Narrow" w:cs="Segoe UI"/>
                <w:i/>
                <w:iCs/>
                <w:sz w:val="20"/>
                <w:szCs w:val="20"/>
              </w:rPr>
              <w:t>ESR1</w:t>
            </w:r>
            <w:r w:rsidRPr="005A3AFC">
              <w:rPr>
                <w:rFonts w:ascii="Arial Narrow" w:hAnsi="Arial Narrow" w:cs="Segoe UI"/>
                <w:sz w:val="20"/>
                <w:szCs w:val="20"/>
              </w:rPr>
              <w:t xml:space="preserve"> mutation</w:t>
            </w:r>
            <w:r w:rsidR="00D31B08" w:rsidRPr="005A3AFC">
              <w:rPr>
                <w:rFonts w:ascii="Arial Narrow" w:hAnsi="Arial Narrow" w:cs="Segoe UI"/>
                <w:sz w:val="20"/>
                <w:szCs w:val="20"/>
              </w:rPr>
              <w:t xml:space="preserve"> during AI + palbociclib therapy (PADA-1): a randomised, open-label, </w:t>
            </w:r>
            <w:r w:rsidR="003526CA" w:rsidRPr="005A3AFC">
              <w:rPr>
                <w:rFonts w:ascii="Arial Narrow" w:hAnsi="Arial Narrow" w:cs="Segoe UI"/>
                <w:sz w:val="20"/>
                <w:szCs w:val="20"/>
              </w:rPr>
              <w:t>multi-centre, phase 3 trial</w:t>
            </w:r>
          </w:p>
        </w:tc>
        <w:tc>
          <w:tcPr>
            <w:tcW w:w="1343" w:type="pct"/>
          </w:tcPr>
          <w:p w14:paraId="7E4D18EB" w14:textId="20B5863D" w:rsidR="003526CA" w:rsidRPr="005A3AFC" w:rsidRDefault="003C2549" w:rsidP="003526CA">
            <w:pPr>
              <w:pStyle w:val="Default"/>
              <w:rPr>
                <w:rFonts w:ascii="Arial Narrow" w:hAnsi="Arial Narrow"/>
                <w:sz w:val="20"/>
                <w:szCs w:val="20"/>
              </w:rPr>
            </w:pPr>
            <w:r w:rsidRPr="005A3AFC">
              <w:rPr>
                <w:rFonts w:ascii="Arial Narrow" w:hAnsi="Arial Narrow"/>
                <w:sz w:val="20"/>
                <w:szCs w:val="20"/>
              </w:rPr>
              <w:t xml:space="preserve">The </w:t>
            </w:r>
            <w:r w:rsidR="00A805B2" w:rsidRPr="005A3AFC">
              <w:rPr>
                <w:rFonts w:ascii="Arial Narrow" w:hAnsi="Arial Narrow"/>
                <w:sz w:val="20"/>
                <w:szCs w:val="20"/>
              </w:rPr>
              <w:t>PADA-1 trial was the first prospective RCT</w:t>
            </w:r>
            <w:r w:rsidR="00E064F2" w:rsidRPr="005A3AFC">
              <w:rPr>
                <w:rFonts w:ascii="Arial Narrow" w:hAnsi="Arial Narrow"/>
                <w:sz w:val="20"/>
                <w:szCs w:val="20"/>
              </w:rPr>
              <w:t xml:space="preserve"> showing that the early </w:t>
            </w:r>
            <w:r w:rsidRPr="005A3AFC">
              <w:rPr>
                <w:rFonts w:ascii="Arial Narrow" w:hAnsi="Arial Narrow"/>
                <w:sz w:val="20"/>
                <w:szCs w:val="20"/>
              </w:rPr>
              <w:t>therapeutic</w:t>
            </w:r>
            <w:r w:rsidR="00E064F2" w:rsidRPr="005A3AFC">
              <w:rPr>
                <w:rFonts w:ascii="Arial Narrow" w:hAnsi="Arial Narrow"/>
                <w:sz w:val="20"/>
                <w:szCs w:val="20"/>
              </w:rPr>
              <w:t xml:space="preserve"> targeting of ESR1 mutations</w:t>
            </w:r>
            <w:r w:rsidR="00196A66" w:rsidRPr="005A3AFC">
              <w:rPr>
                <w:rFonts w:ascii="Arial Narrow" w:hAnsi="Arial Narrow"/>
                <w:sz w:val="20"/>
                <w:szCs w:val="20"/>
              </w:rPr>
              <w:t xml:space="preserve"> detected in blood results in significant clinical benefit</w:t>
            </w:r>
            <w:r w:rsidRPr="005A3AFC">
              <w:rPr>
                <w:rFonts w:ascii="Arial Narrow" w:hAnsi="Arial Narrow"/>
                <w:sz w:val="20"/>
                <w:szCs w:val="20"/>
              </w:rPr>
              <w:t xml:space="preserve">. </w:t>
            </w:r>
            <w:r w:rsidR="003526CA" w:rsidRPr="005A3AFC">
              <w:rPr>
                <w:rFonts w:ascii="Arial Narrow" w:hAnsi="Arial Narrow"/>
                <w:sz w:val="20"/>
                <w:szCs w:val="20"/>
              </w:rPr>
              <w:t xml:space="preserve"> </w:t>
            </w:r>
            <w:r w:rsidR="001E7E10" w:rsidRPr="001E7E10">
              <w:rPr>
                <w:rFonts w:ascii="Arial Narrow" w:hAnsi="Arial Narrow"/>
                <w:sz w:val="20"/>
                <w:szCs w:val="20"/>
              </w:rPr>
              <w:t xml:space="preserve">At rising </w:t>
            </w:r>
            <w:r w:rsidR="001E7E10" w:rsidRPr="6BD791AF">
              <w:rPr>
                <w:rFonts w:ascii="Arial Narrow" w:hAnsi="Arial Narrow"/>
                <w:i/>
                <w:sz w:val="20"/>
                <w:szCs w:val="20"/>
              </w:rPr>
              <w:t>ESR1</w:t>
            </w:r>
            <w:r w:rsidR="000E3DEA">
              <w:rPr>
                <w:rFonts w:ascii="Arial Narrow" w:hAnsi="Arial Narrow"/>
                <w:sz w:val="20"/>
                <w:szCs w:val="20"/>
              </w:rPr>
              <w:t>m</w:t>
            </w:r>
            <w:r w:rsidR="001E7E10" w:rsidRPr="001E7E10">
              <w:rPr>
                <w:rFonts w:ascii="Arial Narrow" w:hAnsi="Arial Narrow"/>
                <w:sz w:val="20"/>
                <w:szCs w:val="20"/>
              </w:rPr>
              <w:t xml:space="preserve"> without progression, </w:t>
            </w:r>
            <w:r w:rsidR="00980D14">
              <w:rPr>
                <w:rFonts w:ascii="Arial Narrow" w:hAnsi="Arial Narrow"/>
                <w:sz w:val="20"/>
                <w:szCs w:val="20"/>
              </w:rPr>
              <w:t xml:space="preserve">HR+ </w:t>
            </w:r>
            <w:r w:rsidR="001E7E10" w:rsidRPr="001E7E10">
              <w:rPr>
                <w:rFonts w:ascii="Arial Narrow" w:hAnsi="Arial Narrow"/>
                <w:sz w:val="20"/>
                <w:szCs w:val="20"/>
              </w:rPr>
              <w:t>patients were randomi</w:t>
            </w:r>
            <w:r w:rsidR="001E7E10">
              <w:rPr>
                <w:rFonts w:ascii="Arial Narrow" w:hAnsi="Arial Narrow"/>
                <w:sz w:val="20"/>
                <w:szCs w:val="20"/>
              </w:rPr>
              <w:t>s</w:t>
            </w:r>
            <w:r w:rsidR="001E7E10" w:rsidRPr="001E7E10">
              <w:rPr>
                <w:rFonts w:ascii="Arial Narrow" w:hAnsi="Arial Narrow"/>
                <w:sz w:val="20"/>
                <w:szCs w:val="20"/>
              </w:rPr>
              <w:t>ed to switch AI</w:t>
            </w:r>
            <w:r w:rsidR="001E7E10">
              <w:rPr>
                <w:rFonts w:ascii="Arial Narrow" w:hAnsi="Arial Narrow"/>
                <w:sz w:val="20"/>
                <w:szCs w:val="20"/>
              </w:rPr>
              <w:t xml:space="preserve"> to </w:t>
            </w:r>
            <w:r w:rsidR="001E7E10" w:rsidRPr="001E7E10">
              <w:rPr>
                <w:rFonts w:ascii="Arial Narrow" w:hAnsi="Arial Narrow"/>
                <w:sz w:val="20"/>
                <w:szCs w:val="20"/>
              </w:rPr>
              <w:t>fulvestrant (continue palbociclib) or continue AI+palbociclib. Switching improved median PFS (11.9 vs 5.7 months; HR 0.61) with similar safety.</w:t>
            </w:r>
          </w:p>
          <w:p w14:paraId="5795B915" w14:textId="77777777" w:rsidR="00C0110B" w:rsidRPr="005A3AFC" w:rsidRDefault="00C0110B">
            <w:pPr>
              <w:rPr>
                <w:rFonts w:ascii="Arial Narrow" w:hAnsi="Arial Narrow" w:cs="Segoe UI"/>
                <w:bCs/>
                <w:sz w:val="20"/>
                <w:szCs w:val="20"/>
              </w:rPr>
            </w:pPr>
          </w:p>
        </w:tc>
        <w:tc>
          <w:tcPr>
            <w:tcW w:w="1858" w:type="pct"/>
          </w:tcPr>
          <w:p w14:paraId="25EA4E8B" w14:textId="4A7379AD" w:rsidR="00C0110B" w:rsidRPr="005A3AFC" w:rsidRDefault="00A225D9">
            <w:pPr>
              <w:rPr>
                <w:rFonts w:ascii="Arial Narrow" w:hAnsi="Arial Narrow" w:cs="Segoe UI"/>
                <w:bCs/>
                <w:sz w:val="20"/>
                <w:szCs w:val="20"/>
              </w:rPr>
            </w:pPr>
            <w:hyperlink r:id="rId19" w:history="1">
              <w:r w:rsidRPr="005A3AFC">
                <w:rPr>
                  <w:rStyle w:val="Hyperlink"/>
                  <w:rFonts w:ascii="Arial Narrow" w:hAnsi="Arial Narrow" w:cs="Segoe UI"/>
                  <w:bCs/>
                  <w:sz w:val="20"/>
                  <w:szCs w:val="20"/>
                </w:rPr>
                <w:t>https://www.thelancet.com/journals/lanonc/article/PIIS1</w:t>
              </w:r>
              <w:r w:rsidR="009756EA" w:rsidRPr="005A3AFC">
                <w:rPr>
                  <w:rStyle w:val="Hyperlink"/>
                  <w:rFonts w:ascii="Arial Narrow" w:hAnsi="Arial Narrow" w:cs="Segoe UI"/>
                  <w:bCs/>
                  <w:sz w:val="20"/>
                  <w:szCs w:val="20"/>
                </w:rPr>
                <w:t>4</w:t>
              </w:r>
              <w:r w:rsidRPr="005A3AFC">
                <w:rPr>
                  <w:rStyle w:val="Hyperlink"/>
                  <w:rFonts w:ascii="Arial Narrow" w:hAnsi="Arial Narrow" w:cs="Segoe UI"/>
                  <w:bCs/>
                  <w:sz w:val="20"/>
                  <w:szCs w:val="20"/>
                </w:rPr>
                <w:t>70-2045(22)00555-1/fulltext</w:t>
              </w:r>
            </w:hyperlink>
          </w:p>
        </w:tc>
        <w:tc>
          <w:tcPr>
            <w:tcW w:w="657" w:type="pct"/>
          </w:tcPr>
          <w:p w14:paraId="28D40443" w14:textId="1741AC95" w:rsidR="00C0110B" w:rsidRPr="005A3AFC" w:rsidRDefault="000F43F4">
            <w:pPr>
              <w:rPr>
                <w:rFonts w:ascii="Arial Narrow" w:hAnsi="Arial Narrow" w:cs="Segoe UI"/>
                <w:sz w:val="20"/>
                <w:szCs w:val="20"/>
              </w:rPr>
            </w:pPr>
            <w:r>
              <w:rPr>
                <w:rFonts w:ascii="Arial Narrow" w:hAnsi="Arial Narrow" w:cs="Segoe UI"/>
                <w:sz w:val="20"/>
                <w:szCs w:val="20"/>
              </w:rPr>
              <w:t>2022</w:t>
            </w:r>
          </w:p>
        </w:tc>
      </w:tr>
      <w:tr w:rsidR="005A3AFC" w:rsidRPr="005A3AFC" w14:paraId="019B45C3" w14:textId="77777777">
        <w:trPr>
          <w:cantSplit/>
        </w:trPr>
        <w:tc>
          <w:tcPr>
            <w:tcW w:w="129" w:type="pct"/>
          </w:tcPr>
          <w:p w14:paraId="5F9E373A" w14:textId="5ED84EA3" w:rsidR="005A3AFC" w:rsidRPr="005A3AFC" w:rsidRDefault="005A3AFC" w:rsidP="005A3AFC">
            <w:pPr>
              <w:rPr>
                <w:rFonts w:ascii="Arial Narrow" w:hAnsi="Arial Narrow" w:cs="Segoe UI"/>
                <w:sz w:val="20"/>
                <w:szCs w:val="20"/>
              </w:rPr>
            </w:pPr>
            <w:r w:rsidRPr="005A3AFC">
              <w:rPr>
                <w:rFonts w:ascii="Arial Narrow" w:hAnsi="Arial Narrow" w:cs="Segoe UI"/>
                <w:sz w:val="20"/>
                <w:szCs w:val="20"/>
              </w:rPr>
              <w:lastRenderedPageBreak/>
              <w:t>4</w:t>
            </w:r>
          </w:p>
        </w:tc>
        <w:tc>
          <w:tcPr>
            <w:tcW w:w="326" w:type="pct"/>
          </w:tcPr>
          <w:p w14:paraId="53B9A381" w14:textId="28A4D995" w:rsidR="005A3AFC" w:rsidRPr="005A3AFC" w:rsidRDefault="005A3AFC" w:rsidP="005A3AFC">
            <w:pPr>
              <w:rPr>
                <w:rFonts w:ascii="Arial Narrow" w:hAnsi="Arial Narrow" w:cs="Segoe UI"/>
                <w:sz w:val="20"/>
                <w:szCs w:val="20"/>
              </w:rPr>
            </w:pPr>
            <w:r w:rsidRPr="005A3AFC">
              <w:rPr>
                <w:rFonts w:ascii="Arial Narrow" w:hAnsi="Arial Narrow" w:cs="Segoe UI"/>
                <w:sz w:val="20"/>
                <w:szCs w:val="20"/>
              </w:rPr>
              <w:t>Review</w:t>
            </w:r>
          </w:p>
        </w:tc>
        <w:tc>
          <w:tcPr>
            <w:tcW w:w="686" w:type="pct"/>
            <w:tcBorders>
              <w:top w:val="none" w:sz="6" w:space="0" w:color="auto"/>
              <w:bottom w:val="none" w:sz="6" w:space="0" w:color="auto"/>
            </w:tcBorders>
          </w:tcPr>
          <w:p w14:paraId="13C27A3C" w14:textId="6A2F9B8D" w:rsidR="005A3AFC" w:rsidRPr="005A3AFC" w:rsidRDefault="005A3AFC" w:rsidP="005A3AFC">
            <w:pPr>
              <w:rPr>
                <w:rFonts w:ascii="Arial Narrow" w:hAnsi="Arial Narrow" w:cs="Segoe UI"/>
                <w:sz w:val="20"/>
                <w:szCs w:val="20"/>
              </w:rPr>
            </w:pPr>
            <w:r w:rsidRPr="005A3AFC">
              <w:rPr>
                <w:rFonts w:ascii="Arial Narrow" w:hAnsi="Arial Narrow"/>
                <w:sz w:val="20"/>
                <w:szCs w:val="20"/>
              </w:rPr>
              <w:t xml:space="preserve">ESR1 mutations as an emerging clinical biomarker in metastatic hormone receptor-positive breast cancer </w:t>
            </w:r>
          </w:p>
        </w:tc>
        <w:tc>
          <w:tcPr>
            <w:tcW w:w="1343" w:type="pct"/>
          </w:tcPr>
          <w:p w14:paraId="26D818A1" w14:textId="2849CABE" w:rsidR="005A3AFC" w:rsidRPr="005A3AFC" w:rsidRDefault="000F43F4" w:rsidP="005A3AFC">
            <w:pPr>
              <w:pStyle w:val="Default"/>
              <w:rPr>
                <w:rFonts w:ascii="Arial Narrow" w:hAnsi="Arial Narrow"/>
                <w:sz w:val="20"/>
                <w:szCs w:val="20"/>
              </w:rPr>
            </w:pPr>
            <w:r w:rsidRPr="000F43F4">
              <w:rPr>
                <w:rFonts w:ascii="Arial Narrow" w:hAnsi="Arial Narrow"/>
                <w:sz w:val="20"/>
                <w:szCs w:val="20"/>
              </w:rPr>
              <w:t>ESR1-MUT arises in patients who receive AI in the metastatic setting, and this causes resistance to AI monotherapy, with cfDNA detection of ESR1-MUT preceding radiologic progression by 3-7 months</w:t>
            </w:r>
          </w:p>
        </w:tc>
        <w:tc>
          <w:tcPr>
            <w:tcW w:w="1858" w:type="pct"/>
          </w:tcPr>
          <w:p w14:paraId="129548F0" w14:textId="6B6DAC83" w:rsidR="005A3AFC" w:rsidRPr="002435C2" w:rsidRDefault="000F43F4" w:rsidP="000F43F4">
            <w:pPr>
              <w:pStyle w:val="Default"/>
              <w:rPr>
                <w:rFonts w:ascii="Arial" w:hAnsi="Arial" w:cs="Arial"/>
                <w:sz w:val="20"/>
                <w:szCs w:val="20"/>
              </w:rPr>
            </w:pPr>
            <w:hyperlink r:id="rId20" w:history="1">
              <w:r w:rsidRPr="007E1E2C">
                <w:rPr>
                  <w:rStyle w:val="Hyperlink"/>
                  <w:rFonts w:ascii="Arial" w:hAnsi="Arial" w:cs="Arial"/>
                  <w:sz w:val="20"/>
                  <w:szCs w:val="20"/>
                </w:rPr>
                <w:t>https://doi.org/10.1186/s13058-021-01462-3</w:t>
              </w:r>
            </w:hyperlink>
          </w:p>
          <w:p w14:paraId="4B35A13E" w14:textId="3FB579F3" w:rsidR="000F43F4" w:rsidRPr="002435C2" w:rsidRDefault="000F43F4" w:rsidP="000F43F4">
            <w:pPr>
              <w:pStyle w:val="Default"/>
              <w:rPr>
                <w:rFonts w:ascii="Arial" w:hAnsi="Arial" w:cs="Arial"/>
                <w:sz w:val="20"/>
                <w:szCs w:val="20"/>
              </w:rPr>
            </w:pPr>
          </w:p>
        </w:tc>
        <w:tc>
          <w:tcPr>
            <w:tcW w:w="657" w:type="pct"/>
          </w:tcPr>
          <w:p w14:paraId="6377AFAC" w14:textId="11EE6A11" w:rsidR="005A3AFC" w:rsidRPr="005A3AFC" w:rsidRDefault="000F43F4" w:rsidP="005A3AFC">
            <w:pPr>
              <w:rPr>
                <w:rFonts w:ascii="Arial Narrow" w:hAnsi="Arial Narrow" w:cs="Segoe UI"/>
                <w:sz w:val="20"/>
                <w:szCs w:val="20"/>
              </w:rPr>
            </w:pPr>
            <w:r>
              <w:rPr>
                <w:rFonts w:ascii="Arial Narrow" w:hAnsi="Arial Narrow" w:cs="Segoe UI"/>
                <w:sz w:val="20"/>
                <w:szCs w:val="20"/>
              </w:rPr>
              <w:t>2021</w:t>
            </w:r>
          </w:p>
        </w:tc>
      </w:tr>
      <w:tr w:rsidR="005A3AFC" w:rsidRPr="005A3AFC" w14:paraId="61F2AE1F" w14:textId="77777777" w:rsidTr="005555E9">
        <w:trPr>
          <w:cantSplit/>
        </w:trPr>
        <w:tc>
          <w:tcPr>
            <w:tcW w:w="129" w:type="pct"/>
          </w:tcPr>
          <w:p w14:paraId="48BFB689" w14:textId="38E0290D" w:rsidR="005A3AFC" w:rsidRPr="005A3AFC" w:rsidRDefault="00A70C3F" w:rsidP="005A3AFC">
            <w:pPr>
              <w:rPr>
                <w:rFonts w:ascii="Arial Narrow" w:hAnsi="Arial Narrow" w:cs="Segoe UI"/>
                <w:sz w:val="20"/>
                <w:szCs w:val="20"/>
              </w:rPr>
            </w:pPr>
            <w:r>
              <w:rPr>
                <w:rFonts w:ascii="Arial Narrow" w:hAnsi="Arial Narrow" w:cs="Segoe UI"/>
                <w:sz w:val="20"/>
                <w:szCs w:val="20"/>
              </w:rPr>
              <w:t xml:space="preserve">5 </w:t>
            </w:r>
          </w:p>
        </w:tc>
        <w:tc>
          <w:tcPr>
            <w:tcW w:w="326" w:type="pct"/>
          </w:tcPr>
          <w:p w14:paraId="7DCA830D" w14:textId="17789BEE" w:rsidR="005A3AFC" w:rsidRPr="005A3AFC" w:rsidRDefault="00A70C3F" w:rsidP="005A3AFC">
            <w:pPr>
              <w:rPr>
                <w:rFonts w:ascii="Arial Narrow" w:hAnsi="Arial Narrow" w:cs="Segoe UI"/>
                <w:sz w:val="20"/>
                <w:szCs w:val="20"/>
              </w:rPr>
            </w:pPr>
            <w:r>
              <w:rPr>
                <w:rFonts w:ascii="Arial Narrow" w:hAnsi="Arial Narrow" w:cs="Segoe UI"/>
                <w:sz w:val="20"/>
                <w:szCs w:val="20"/>
              </w:rPr>
              <w:t xml:space="preserve">Real-world </w:t>
            </w:r>
            <w:r w:rsidR="007775D8">
              <w:rPr>
                <w:rFonts w:ascii="Arial Narrow" w:hAnsi="Arial Narrow" w:cs="Segoe UI"/>
                <w:sz w:val="20"/>
                <w:szCs w:val="20"/>
              </w:rPr>
              <w:t>data study</w:t>
            </w:r>
          </w:p>
        </w:tc>
        <w:tc>
          <w:tcPr>
            <w:tcW w:w="686" w:type="pct"/>
          </w:tcPr>
          <w:p w14:paraId="5D128F65" w14:textId="5FA5D8F3" w:rsidR="005A3AFC" w:rsidRPr="005A3AFC" w:rsidRDefault="007775D8" w:rsidP="005A3AFC">
            <w:pPr>
              <w:rPr>
                <w:rFonts w:ascii="Arial Narrow" w:hAnsi="Arial Narrow" w:cs="Segoe UI"/>
                <w:sz w:val="20"/>
                <w:szCs w:val="20"/>
              </w:rPr>
            </w:pPr>
            <w:r w:rsidRPr="007775D8">
              <w:rPr>
                <w:rFonts w:ascii="Arial Narrow" w:hAnsi="Arial Narrow" w:cs="Segoe UI"/>
                <w:sz w:val="20"/>
                <w:szCs w:val="20"/>
              </w:rPr>
              <w:t>Real-world clinical-genomic data identifies the ESR1 clonal and subclonal circulating tumor DNA (ctDNA) landscape and provides insight into clinical outcomes</w:t>
            </w:r>
          </w:p>
        </w:tc>
        <w:tc>
          <w:tcPr>
            <w:tcW w:w="1343" w:type="pct"/>
          </w:tcPr>
          <w:p w14:paraId="2C13F155" w14:textId="15DDF8AF" w:rsidR="005A3AFC" w:rsidRPr="005A3AFC" w:rsidRDefault="007775D8" w:rsidP="005A3AFC">
            <w:pPr>
              <w:pStyle w:val="Default"/>
              <w:rPr>
                <w:rFonts w:ascii="Arial Narrow" w:hAnsi="Arial Narrow"/>
                <w:sz w:val="20"/>
                <w:szCs w:val="20"/>
              </w:rPr>
            </w:pPr>
            <w:r w:rsidRPr="007775D8">
              <w:rPr>
                <w:rFonts w:ascii="Arial Narrow" w:hAnsi="Arial Narrow"/>
                <w:sz w:val="20"/>
                <w:szCs w:val="20"/>
              </w:rPr>
              <w:t xml:space="preserve">Uniquely well-characterized clinical-genomic data in a proprietary dataset identified that approx. 30% of patients with advanced breast cancer had somatic </w:t>
            </w:r>
            <w:r w:rsidRPr="6BD791AF">
              <w:rPr>
                <w:rFonts w:ascii="Arial Narrow" w:hAnsi="Arial Narrow"/>
                <w:i/>
                <w:sz w:val="20"/>
                <w:szCs w:val="20"/>
              </w:rPr>
              <w:t>ESR1</w:t>
            </w:r>
            <w:r w:rsidRPr="007775D8">
              <w:rPr>
                <w:rFonts w:ascii="Arial Narrow" w:hAnsi="Arial Narrow"/>
                <w:sz w:val="20"/>
                <w:szCs w:val="20"/>
              </w:rPr>
              <w:t xml:space="preserve"> mutations following AI therapy, consistent with previously published data. The majority of patients had multiple subclonal ESR1 resistance mutations following AI treatment.</w:t>
            </w:r>
          </w:p>
        </w:tc>
        <w:tc>
          <w:tcPr>
            <w:tcW w:w="1858" w:type="pct"/>
          </w:tcPr>
          <w:p w14:paraId="77665B4A" w14:textId="7245D26B" w:rsidR="005A3AFC" w:rsidRPr="002435C2" w:rsidRDefault="00AF1B6B" w:rsidP="00AF1B6B">
            <w:pPr>
              <w:pStyle w:val="Default"/>
              <w:rPr>
                <w:rFonts w:ascii="Arial" w:hAnsi="Arial" w:cs="Arial"/>
                <w:sz w:val="20"/>
                <w:szCs w:val="20"/>
              </w:rPr>
            </w:pPr>
            <w:hyperlink r:id="rId21" w:history="1">
              <w:r w:rsidRPr="007E1E2C">
                <w:rPr>
                  <w:rStyle w:val="Hyperlink"/>
                  <w:rFonts w:ascii="Arial" w:hAnsi="Arial" w:cs="Arial"/>
                  <w:sz w:val="20"/>
                  <w:szCs w:val="20"/>
                </w:rPr>
                <w:t>https://doi.org/10.1158/1538-7445.SABCS20-PS18-15</w:t>
              </w:r>
            </w:hyperlink>
          </w:p>
          <w:p w14:paraId="141E02FA" w14:textId="01CD16DB" w:rsidR="00AF1B6B" w:rsidRPr="002435C2" w:rsidRDefault="00AF1B6B" w:rsidP="00AF1B6B">
            <w:pPr>
              <w:pStyle w:val="Default"/>
              <w:rPr>
                <w:rFonts w:ascii="Arial" w:hAnsi="Arial" w:cs="Arial"/>
                <w:sz w:val="20"/>
                <w:szCs w:val="20"/>
              </w:rPr>
            </w:pPr>
          </w:p>
        </w:tc>
        <w:tc>
          <w:tcPr>
            <w:tcW w:w="657" w:type="pct"/>
          </w:tcPr>
          <w:p w14:paraId="5E64F408" w14:textId="4B924071" w:rsidR="005A3AFC" w:rsidRPr="005A3AFC" w:rsidRDefault="00AF1B6B" w:rsidP="005A3AFC">
            <w:pPr>
              <w:rPr>
                <w:rFonts w:ascii="Arial Narrow" w:hAnsi="Arial Narrow" w:cs="Segoe UI"/>
                <w:sz w:val="20"/>
                <w:szCs w:val="20"/>
              </w:rPr>
            </w:pPr>
            <w:r>
              <w:rPr>
                <w:rFonts w:ascii="Arial Narrow" w:hAnsi="Arial Narrow" w:cs="Segoe UI"/>
                <w:sz w:val="20"/>
                <w:szCs w:val="20"/>
              </w:rPr>
              <w:t>2021</w:t>
            </w:r>
          </w:p>
        </w:tc>
      </w:tr>
      <w:tr w:rsidR="00F10108" w:rsidRPr="005A3AFC" w14:paraId="3131FAC5" w14:textId="77777777" w:rsidTr="005555E9">
        <w:trPr>
          <w:cantSplit/>
        </w:trPr>
        <w:tc>
          <w:tcPr>
            <w:tcW w:w="129" w:type="pct"/>
          </w:tcPr>
          <w:p w14:paraId="1B4E65F0" w14:textId="6B55650A" w:rsidR="00F10108" w:rsidRDefault="00F10108" w:rsidP="005A3AFC">
            <w:pPr>
              <w:rPr>
                <w:rFonts w:ascii="Arial Narrow" w:hAnsi="Arial Narrow" w:cs="Segoe UI"/>
                <w:sz w:val="20"/>
                <w:szCs w:val="20"/>
              </w:rPr>
            </w:pPr>
            <w:r>
              <w:rPr>
                <w:rFonts w:ascii="Arial Narrow" w:hAnsi="Arial Narrow" w:cs="Segoe UI"/>
                <w:sz w:val="20"/>
                <w:szCs w:val="20"/>
              </w:rPr>
              <w:t>6</w:t>
            </w:r>
          </w:p>
        </w:tc>
        <w:tc>
          <w:tcPr>
            <w:tcW w:w="326" w:type="pct"/>
          </w:tcPr>
          <w:p w14:paraId="29A95DC3" w14:textId="0F514AAA" w:rsidR="00F10108" w:rsidRDefault="4E2B5081" w:rsidP="005A3AFC">
            <w:pPr>
              <w:rPr>
                <w:rFonts w:ascii="Arial Narrow" w:hAnsi="Arial Narrow" w:cs="Segoe UI"/>
                <w:sz w:val="20"/>
                <w:szCs w:val="20"/>
              </w:rPr>
            </w:pPr>
            <w:r w:rsidRPr="6BD791AF">
              <w:rPr>
                <w:rFonts w:ascii="Arial Narrow" w:hAnsi="Arial Narrow" w:cs="Segoe UI"/>
                <w:sz w:val="20"/>
                <w:szCs w:val="20"/>
              </w:rPr>
              <w:t>Prospective observational cohort study</w:t>
            </w:r>
          </w:p>
        </w:tc>
        <w:tc>
          <w:tcPr>
            <w:tcW w:w="686" w:type="pct"/>
          </w:tcPr>
          <w:p w14:paraId="617ED6CF" w14:textId="1DB72EC3" w:rsidR="00F10108" w:rsidRPr="002B7BA5" w:rsidRDefault="002B7BA5" w:rsidP="005A3AFC">
            <w:pPr>
              <w:rPr>
                <w:rFonts w:ascii="Arial Narrow" w:hAnsi="Arial Narrow" w:cs="Segoe UI"/>
                <w:sz w:val="20"/>
                <w:szCs w:val="20"/>
              </w:rPr>
            </w:pPr>
            <w:r w:rsidRPr="002B7BA5">
              <w:rPr>
                <w:rFonts w:ascii="Arial Narrow" w:hAnsi="Arial Narrow" w:cs="Segoe UI"/>
                <w:sz w:val="20"/>
                <w:szCs w:val="20"/>
              </w:rPr>
              <w:t>Tracking evolution of aromatase inhibitor resistance with circulating tumour DNA analysis in metastatic breast cancer</w:t>
            </w:r>
          </w:p>
        </w:tc>
        <w:tc>
          <w:tcPr>
            <w:tcW w:w="1343" w:type="pct"/>
          </w:tcPr>
          <w:p w14:paraId="5A039C4A" w14:textId="21623C20" w:rsidR="00F10108" w:rsidRPr="007775D8" w:rsidRDefault="002B7BA5" w:rsidP="005A3AFC">
            <w:pPr>
              <w:pStyle w:val="Default"/>
              <w:rPr>
                <w:rFonts w:ascii="Arial Narrow" w:hAnsi="Arial Narrow"/>
                <w:sz w:val="20"/>
                <w:szCs w:val="20"/>
              </w:rPr>
            </w:pPr>
            <w:r w:rsidRPr="002B7BA5">
              <w:rPr>
                <w:rFonts w:ascii="Arial Narrow" w:hAnsi="Arial Narrow"/>
                <w:sz w:val="20"/>
                <w:szCs w:val="20"/>
              </w:rPr>
              <w:t>In a prospective cohort of HR+/HER2- mBC patients treated with AIs, serial ctDNA testing showed ESR1 mutations in 56% at progression, detectable a median 6.7 months before clinical progression and often polyclonal/subclonal. Findings highlight substantial genomic heterogeneity and early, ctDNA</w:t>
            </w:r>
            <w:r w:rsidRPr="002B7BA5">
              <w:rPr>
                <w:rFonts w:ascii="Arial Narrow" w:hAnsi="Arial Narrow"/>
                <w:sz w:val="20"/>
                <w:szCs w:val="20"/>
              </w:rPr>
              <w:noBreakHyphen/>
              <w:t>detectable resistance, informing pre</w:t>
            </w:r>
            <w:r w:rsidRPr="002B7BA5">
              <w:rPr>
                <w:rFonts w:ascii="Arial Narrow" w:hAnsi="Arial Narrow"/>
                <w:sz w:val="20"/>
                <w:szCs w:val="20"/>
              </w:rPr>
              <w:noBreakHyphen/>
              <w:t>progression treatment adaptation strategies.</w:t>
            </w:r>
          </w:p>
        </w:tc>
        <w:tc>
          <w:tcPr>
            <w:tcW w:w="1858" w:type="pct"/>
          </w:tcPr>
          <w:p w14:paraId="578F9B99" w14:textId="337140AD" w:rsidR="00F10108" w:rsidRPr="00F10108" w:rsidRDefault="0C4F21AC" w:rsidP="00AF1B6B">
            <w:pPr>
              <w:pStyle w:val="Default"/>
              <w:rPr>
                <w:rFonts w:ascii="Arial" w:hAnsi="Arial" w:cs="Arial"/>
                <w:sz w:val="20"/>
                <w:szCs w:val="20"/>
              </w:rPr>
            </w:pPr>
            <w:r w:rsidRPr="6BD791AF">
              <w:rPr>
                <w:rFonts w:ascii="Arial" w:hAnsi="Arial" w:cs="Arial"/>
                <w:sz w:val="20"/>
                <w:szCs w:val="20"/>
              </w:rPr>
              <w:t>https://www.sciencedirect.com/science/article/pii/S0923753419349774</w:t>
            </w:r>
          </w:p>
        </w:tc>
        <w:tc>
          <w:tcPr>
            <w:tcW w:w="657" w:type="pct"/>
          </w:tcPr>
          <w:p w14:paraId="3B5118D2" w14:textId="1121FFEF" w:rsidR="00F10108" w:rsidRDefault="13403EF4" w:rsidP="005A3AFC">
            <w:pPr>
              <w:rPr>
                <w:rFonts w:ascii="Arial Narrow" w:hAnsi="Arial Narrow" w:cs="Segoe UI"/>
                <w:sz w:val="20"/>
                <w:szCs w:val="20"/>
              </w:rPr>
            </w:pPr>
            <w:r w:rsidRPr="6BD791AF">
              <w:rPr>
                <w:rFonts w:ascii="Arial Narrow" w:hAnsi="Arial Narrow" w:cs="Segoe UI"/>
                <w:sz w:val="20"/>
                <w:szCs w:val="20"/>
              </w:rPr>
              <w:t>2018</w:t>
            </w:r>
          </w:p>
        </w:tc>
      </w:tr>
      <w:tr w:rsidR="003E621C" w:rsidRPr="005A3AFC" w14:paraId="1A6903F8" w14:textId="77777777" w:rsidTr="6BD791AF">
        <w:trPr>
          <w:cantSplit/>
          <w:trHeight w:val="300"/>
        </w:trPr>
        <w:tc>
          <w:tcPr>
            <w:tcW w:w="129" w:type="pct"/>
          </w:tcPr>
          <w:p w14:paraId="24DF1BBE" w14:textId="3F97CD45" w:rsidR="003E621C" w:rsidRDefault="45464FB1" w:rsidP="005A3AFC">
            <w:pPr>
              <w:rPr>
                <w:rFonts w:ascii="Arial Narrow" w:hAnsi="Arial Narrow" w:cs="Segoe UI"/>
                <w:sz w:val="20"/>
                <w:szCs w:val="20"/>
              </w:rPr>
            </w:pPr>
            <w:r w:rsidRPr="6BD791AF">
              <w:rPr>
                <w:rFonts w:ascii="Arial Narrow" w:hAnsi="Arial Narrow" w:cs="Segoe UI"/>
                <w:sz w:val="20"/>
                <w:szCs w:val="20"/>
              </w:rPr>
              <w:lastRenderedPageBreak/>
              <w:t>7</w:t>
            </w:r>
          </w:p>
        </w:tc>
        <w:tc>
          <w:tcPr>
            <w:tcW w:w="326" w:type="pct"/>
          </w:tcPr>
          <w:p w14:paraId="1E38088A" w14:textId="2FF99C10" w:rsidR="003E621C" w:rsidRDefault="45464FB1" w:rsidP="005A3AFC">
            <w:pPr>
              <w:rPr>
                <w:rFonts w:ascii="Arial Narrow" w:hAnsi="Arial Narrow" w:cs="Segoe UI"/>
                <w:sz w:val="20"/>
                <w:szCs w:val="20"/>
              </w:rPr>
            </w:pPr>
            <w:r w:rsidRPr="6BD791AF">
              <w:rPr>
                <w:rFonts w:ascii="Arial Narrow" w:hAnsi="Arial Narrow" w:cs="Segoe UI"/>
                <w:sz w:val="20"/>
                <w:szCs w:val="20"/>
              </w:rPr>
              <w:t>Phase 3 RCT</w:t>
            </w:r>
          </w:p>
        </w:tc>
        <w:tc>
          <w:tcPr>
            <w:tcW w:w="686" w:type="pct"/>
          </w:tcPr>
          <w:p w14:paraId="66AC58AB" w14:textId="73467586" w:rsidR="003E621C" w:rsidRPr="002B7BA5" w:rsidRDefault="7B4726B1" w:rsidP="005A3AFC">
            <w:pPr>
              <w:rPr>
                <w:rFonts w:ascii="Arial Narrow" w:hAnsi="Arial Narrow" w:cs="Segoe UI"/>
                <w:sz w:val="20"/>
                <w:szCs w:val="20"/>
              </w:rPr>
            </w:pPr>
            <w:r w:rsidRPr="6BD791AF">
              <w:rPr>
                <w:rFonts w:ascii="Arial Narrow" w:hAnsi="Arial Narrow" w:cs="Segoe UI"/>
                <w:sz w:val="20"/>
                <w:szCs w:val="20"/>
              </w:rPr>
              <w:t>Elacestrant (oral selective estrogen receptor degrader) Versus Standard Endocrine Therapy for Estrogen Receptor-Positive, Human Epidermal Growth Factor Receptor 2-Negative Advanced Breast Cancer: Results From the Randomized Phase III EMERALD Trial</w:t>
            </w:r>
          </w:p>
        </w:tc>
        <w:tc>
          <w:tcPr>
            <w:tcW w:w="1343" w:type="pct"/>
          </w:tcPr>
          <w:p w14:paraId="7CD27D59" w14:textId="6BA755D5" w:rsidR="003E621C" w:rsidRPr="002B7BA5" w:rsidRDefault="1D1AFE9D" w:rsidP="005A3AFC">
            <w:pPr>
              <w:pStyle w:val="Default"/>
              <w:rPr>
                <w:rFonts w:ascii="Arial Narrow" w:hAnsi="Arial Narrow"/>
                <w:sz w:val="20"/>
                <w:szCs w:val="20"/>
              </w:rPr>
            </w:pPr>
            <w:r w:rsidRPr="6BD791AF">
              <w:rPr>
                <w:rFonts w:ascii="Arial Narrow" w:hAnsi="Arial Narrow"/>
                <w:sz w:val="20"/>
                <w:szCs w:val="20"/>
              </w:rPr>
              <w:t>Randomised</w:t>
            </w:r>
            <w:r w:rsidR="62B38562" w:rsidRPr="6BD791AF">
              <w:rPr>
                <w:rFonts w:ascii="Arial Narrow" w:hAnsi="Arial Narrow"/>
                <w:sz w:val="20"/>
                <w:szCs w:val="20"/>
              </w:rPr>
              <w:t>, open-label</w:t>
            </w:r>
            <w:r w:rsidRPr="6BD791AF">
              <w:rPr>
                <w:rFonts w:ascii="Arial Narrow" w:hAnsi="Arial Narrow"/>
                <w:sz w:val="20"/>
                <w:szCs w:val="20"/>
              </w:rPr>
              <w:t xml:space="preserve"> </w:t>
            </w:r>
            <w:r w:rsidR="6323B1AE" w:rsidRPr="6BD791AF">
              <w:rPr>
                <w:rFonts w:ascii="Arial Narrow" w:hAnsi="Arial Narrow"/>
                <w:sz w:val="20"/>
                <w:szCs w:val="20"/>
              </w:rPr>
              <w:t>study</w:t>
            </w:r>
            <w:r w:rsidRPr="6BD791AF">
              <w:rPr>
                <w:rFonts w:ascii="Arial Narrow" w:hAnsi="Arial Narrow"/>
                <w:sz w:val="20"/>
                <w:szCs w:val="20"/>
              </w:rPr>
              <w:t xml:space="preserve"> in ER-positive/HER2-negative </w:t>
            </w:r>
            <w:r w:rsidR="7B712D8C" w:rsidRPr="6BD791AF">
              <w:rPr>
                <w:rFonts w:ascii="Arial Narrow" w:hAnsi="Arial Narrow"/>
                <w:sz w:val="20"/>
                <w:szCs w:val="20"/>
              </w:rPr>
              <w:t>advanced</w:t>
            </w:r>
            <w:r w:rsidRPr="6BD791AF">
              <w:rPr>
                <w:rFonts w:ascii="Arial Narrow" w:hAnsi="Arial Narrow"/>
                <w:sz w:val="20"/>
                <w:szCs w:val="20"/>
              </w:rPr>
              <w:t xml:space="preserve"> breast cancer post-CDK4/6 inhibitors. Elacestrant 400 mg daily improved progression-free survival versus standard endocrine therapy overall (HR 0.70), with a more pronounced benefit in </w:t>
            </w:r>
            <w:r w:rsidRPr="6BD791AF">
              <w:rPr>
                <w:rFonts w:ascii="Arial Narrow" w:hAnsi="Arial Narrow"/>
                <w:i/>
                <w:iCs/>
                <w:sz w:val="20"/>
                <w:szCs w:val="20"/>
              </w:rPr>
              <w:t>ESR1</w:t>
            </w:r>
            <w:r w:rsidRPr="6BD791AF">
              <w:rPr>
                <w:rFonts w:ascii="Arial Narrow" w:hAnsi="Arial Narrow"/>
                <w:sz w:val="20"/>
                <w:szCs w:val="20"/>
              </w:rPr>
              <w:t xml:space="preserve">-mutant disease (HR 0.55). PFS improvement in the ITT population was largely driven by </w:t>
            </w:r>
            <w:r w:rsidRPr="6BD791AF">
              <w:rPr>
                <w:rFonts w:ascii="Arial Narrow" w:hAnsi="Arial Narrow"/>
                <w:i/>
                <w:iCs/>
                <w:sz w:val="20"/>
                <w:szCs w:val="20"/>
              </w:rPr>
              <w:t>ESR1</w:t>
            </w:r>
            <w:r w:rsidRPr="6BD791AF">
              <w:rPr>
                <w:rFonts w:ascii="Arial Narrow" w:hAnsi="Arial Narrow"/>
                <w:sz w:val="20"/>
                <w:szCs w:val="20"/>
              </w:rPr>
              <w:t>-mutant results. Safety was manageable.</w:t>
            </w:r>
          </w:p>
        </w:tc>
        <w:tc>
          <w:tcPr>
            <w:tcW w:w="1858" w:type="pct"/>
          </w:tcPr>
          <w:p w14:paraId="321FA862" w14:textId="6967D3DF" w:rsidR="003E621C" w:rsidRPr="00C45EF8" w:rsidRDefault="05A6AD3D" w:rsidP="00AF1B6B">
            <w:pPr>
              <w:pStyle w:val="Default"/>
              <w:rPr>
                <w:rFonts w:ascii="Arial" w:hAnsi="Arial" w:cs="Arial"/>
                <w:sz w:val="20"/>
                <w:szCs w:val="20"/>
              </w:rPr>
            </w:pPr>
            <w:r w:rsidRPr="6BD791AF">
              <w:rPr>
                <w:rFonts w:ascii="Arial" w:hAnsi="Arial" w:cs="Arial"/>
                <w:sz w:val="20"/>
                <w:szCs w:val="20"/>
              </w:rPr>
              <w:t>https://ascopubs.org/doi/pdf/10.1200/JCO.22.00338</w:t>
            </w:r>
          </w:p>
        </w:tc>
        <w:tc>
          <w:tcPr>
            <w:tcW w:w="657" w:type="pct"/>
          </w:tcPr>
          <w:p w14:paraId="038B848F" w14:textId="7C680309" w:rsidR="003E621C" w:rsidRDefault="2F7084F5" w:rsidP="005A3AFC">
            <w:pPr>
              <w:rPr>
                <w:rFonts w:ascii="Arial Narrow" w:hAnsi="Arial Narrow" w:cs="Segoe UI"/>
                <w:sz w:val="20"/>
                <w:szCs w:val="20"/>
              </w:rPr>
            </w:pPr>
            <w:r w:rsidRPr="6BD791AF">
              <w:rPr>
                <w:rFonts w:ascii="Arial Narrow" w:hAnsi="Arial Narrow" w:cs="Segoe UI"/>
                <w:sz w:val="20"/>
                <w:szCs w:val="20"/>
              </w:rPr>
              <w:t>2022</w:t>
            </w:r>
          </w:p>
        </w:tc>
      </w:tr>
      <w:tr w:rsidR="003E621C" w:rsidRPr="005A3AFC" w14:paraId="44B24E45" w14:textId="77777777" w:rsidTr="6BD791AF">
        <w:trPr>
          <w:cantSplit/>
          <w:trHeight w:val="300"/>
        </w:trPr>
        <w:tc>
          <w:tcPr>
            <w:tcW w:w="129" w:type="pct"/>
          </w:tcPr>
          <w:p w14:paraId="24B11711" w14:textId="6BD30EB0" w:rsidR="003E621C" w:rsidRDefault="45464FB1" w:rsidP="005A3AFC">
            <w:pPr>
              <w:rPr>
                <w:rFonts w:ascii="Arial Narrow" w:hAnsi="Arial Narrow" w:cs="Segoe UI"/>
                <w:sz w:val="20"/>
                <w:szCs w:val="20"/>
              </w:rPr>
            </w:pPr>
            <w:r w:rsidRPr="6BD791AF">
              <w:rPr>
                <w:rFonts w:ascii="Arial Narrow" w:hAnsi="Arial Narrow" w:cs="Segoe UI"/>
                <w:sz w:val="20"/>
                <w:szCs w:val="20"/>
              </w:rPr>
              <w:t>8</w:t>
            </w:r>
          </w:p>
        </w:tc>
        <w:tc>
          <w:tcPr>
            <w:tcW w:w="326" w:type="pct"/>
          </w:tcPr>
          <w:p w14:paraId="38CE9C87" w14:textId="38A6D84C" w:rsidR="003E621C" w:rsidRDefault="45464FB1" w:rsidP="005A3AFC">
            <w:pPr>
              <w:rPr>
                <w:rFonts w:ascii="Arial Narrow" w:hAnsi="Arial Narrow" w:cs="Segoe UI"/>
                <w:sz w:val="20"/>
                <w:szCs w:val="20"/>
              </w:rPr>
            </w:pPr>
            <w:r w:rsidRPr="6BD791AF">
              <w:rPr>
                <w:rFonts w:ascii="Arial Narrow" w:hAnsi="Arial Narrow" w:cs="Segoe UI"/>
                <w:sz w:val="20"/>
                <w:szCs w:val="20"/>
              </w:rPr>
              <w:t>Phase 3 RCT</w:t>
            </w:r>
          </w:p>
        </w:tc>
        <w:tc>
          <w:tcPr>
            <w:tcW w:w="686" w:type="pct"/>
          </w:tcPr>
          <w:p w14:paraId="6957A71B" w14:textId="1C515780" w:rsidR="003E621C" w:rsidRPr="002B7BA5" w:rsidRDefault="5F8A3A3E" w:rsidP="005A3AFC">
            <w:pPr>
              <w:rPr>
                <w:rFonts w:ascii="Arial Narrow" w:hAnsi="Arial Narrow" w:cs="Segoe UI"/>
                <w:sz w:val="20"/>
                <w:szCs w:val="20"/>
              </w:rPr>
            </w:pPr>
            <w:r w:rsidRPr="6BD791AF">
              <w:rPr>
                <w:rFonts w:ascii="Arial Narrow" w:hAnsi="Arial Narrow" w:cs="Segoe UI"/>
                <w:sz w:val="20"/>
                <w:szCs w:val="20"/>
              </w:rPr>
              <w:t>Imlunestrant with or without Abemaciclib in Advanced Breast Cancer</w:t>
            </w:r>
          </w:p>
        </w:tc>
        <w:tc>
          <w:tcPr>
            <w:tcW w:w="1343" w:type="pct"/>
          </w:tcPr>
          <w:p w14:paraId="62B29C42" w14:textId="71143E76" w:rsidR="003E621C" w:rsidRPr="002B7BA5" w:rsidRDefault="1F479EC8" w:rsidP="005A3AFC">
            <w:pPr>
              <w:pStyle w:val="Default"/>
              <w:rPr>
                <w:rFonts w:ascii="Arial Narrow" w:hAnsi="Arial Narrow"/>
                <w:sz w:val="20"/>
                <w:szCs w:val="20"/>
              </w:rPr>
            </w:pPr>
            <w:r w:rsidRPr="6BD791AF">
              <w:rPr>
                <w:rFonts w:ascii="Arial Narrow" w:hAnsi="Arial Narrow"/>
                <w:sz w:val="20"/>
                <w:szCs w:val="20"/>
              </w:rPr>
              <w:t xml:space="preserve">Randomised, open-label study in ER-positive/HER2-negative advanced breast cancer after aromatase inhibitor ± CDK4/6. Imlunestrant (oral SERD) improved PFS versus standard therapy in </w:t>
            </w:r>
            <w:r w:rsidRPr="6BD791AF">
              <w:rPr>
                <w:rFonts w:ascii="Arial Narrow" w:hAnsi="Arial Narrow"/>
                <w:i/>
                <w:iCs/>
                <w:sz w:val="20"/>
                <w:szCs w:val="20"/>
              </w:rPr>
              <w:t>ESR1</w:t>
            </w:r>
            <w:r w:rsidRPr="6BD791AF">
              <w:rPr>
                <w:rFonts w:ascii="Arial Narrow" w:hAnsi="Arial Narrow"/>
                <w:sz w:val="20"/>
                <w:szCs w:val="20"/>
              </w:rPr>
              <w:t xml:space="preserve">-mutant patients (median 5.5 vs 3.8 months). PFS in the overall population was not significant (HR 0.87). Imlunestrant–abemaciclib significantly improved PFS versus imlunestrant, regardless of </w:t>
            </w:r>
            <w:r w:rsidRPr="6BD791AF">
              <w:rPr>
                <w:rFonts w:ascii="Arial Narrow" w:hAnsi="Arial Narrow"/>
                <w:i/>
                <w:iCs/>
                <w:sz w:val="20"/>
                <w:szCs w:val="20"/>
              </w:rPr>
              <w:t>ESR1</w:t>
            </w:r>
            <w:r w:rsidRPr="6BD791AF">
              <w:rPr>
                <w:rFonts w:ascii="Arial Narrow" w:hAnsi="Arial Narrow"/>
                <w:sz w:val="20"/>
                <w:szCs w:val="20"/>
              </w:rPr>
              <w:t>-mutation status</w:t>
            </w:r>
          </w:p>
        </w:tc>
        <w:tc>
          <w:tcPr>
            <w:tcW w:w="1858" w:type="pct"/>
          </w:tcPr>
          <w:p w14:paraId="79218DEE" w14:textId="1BA945F3" w:rsidR="003E621C" w:rsidRPr="00C45EF8" w:rsidRDefault="3EB84F14" w:rsidP="00AF1B6B">
            <w:pPr>
              <w:pStyle w:val="Default"/>
              <w:rPr>
                <w:rFonts w:ascii="Arial" w:hAnsi="Arial" w:cs="Arial"/>
                <w:sz w:val="20"/>
                <w:szCs w:val="20"/>
              </w:rPr>
            </w:pPr>
            <w:r w:rsidRPr="6BD791AF">
              <w:rPr>
                <w:rFonts w:ascii="Arial" w:hAnsi="Arial" w:cs="Arial"/>
                <w:sz w:val="20"/>
                <w:szCs w:val="20"/>
              </w:rPr>
              <w:t>https://www.nejm.org/doi/pdf/10.1056/NEJMoa2410858</w:t>
            </w:r>
          </w:p>
        </w:tc>
        <w:tc>
          <w:tcPr>
            <w:tcW w:w="657" w:type="pct"/>
          </w:tcPr>
          <w:p w14:paraId="174ECA44" w14:textId="30B537B5" w:rsidR="003E621C" w:rsidRDefault="2F7084F5" w:rsidP="005A3AFC">
            <w:pPr>
              <w:rPr>
                <w:rFonts w:ascii="Arial Narrow" w:hAnsi="Arial Narrow" w:cs="Segoe UI"/>
                <w:sz w:val="20"/>
                <w:szCs w:val="20"/>
              </w:rPr>
            </w:pPr>
            <w:r w:rsidRPr="6BD791AF">
              <w:rPr>
                <w:rFonts w:ascii="Arial Narrow" w:hAnsi="Arial Narrow" w:cs="Segoe UI"/>
                <w:sz w:val="20"/>
                <w:szCs w:val="20"/>
              </w:rPr>
              <w:t>202</w:t>
            </w:r>
            <w:r w:rsidR="535045F6" w:rsidRPr="6BD791AF">
              <w:rPr>
                <w:rFonts w:ascii="Arial Narrow" w:hAnsi="Arial Narrow" w:cs="Segoe UI"/>
                <w:sz w:val="20"/>
                <w:szCs w:val="20"/>
              </w:rPr>
              <w:t>5</w:t>
            </w:r>
          </w:p>
        </w:tc>
      </w:tr>
      <w:tr w:rsidR="003E621C" w:rsidRPr="005A3AFC" w14:paraId="1A5A2B00" w14:textId="77777777" w:rsidTr="6BD791AF">
        <w:trPr>
          <w:cantSplit/>
          <w:trHeight w:val="300"/>
        </w:trPr>
        <w:tc>
          <w:tcPr>
            <w:tcW w:w="129" w:type="pct"/>
          </w:tcPr>
          <w:p w14:paraId="180B82CD" w14:textId="5318700D" w:rsidR="003E621C" w:rsidRDefault="45464FB1" w:rsidP="005A3AFC">
            <w:pPr>
              <w:rPr>
                <w:rFonts w:ascii="Arial Narrow" w:hAnsi="Arial Narrow" w:cs="Segoe UI"/>
                <w:sz w:val="20"/>
                <w:szCs w:val="20"/>
              </w:rPr>
            </w:pPr>
            <w:r w:rsidRPr="6BD791AF">
              <w:rPr>
                <w:rFonts w:ascii="Arial Narrow" w:hAnsi="Arial Narrow" w:cs="Segoe UI"/>
                <w:sz w:val="20"/>
                <w:szCs w:val="20"/>
              </w:rPr>
              <w:t>9</w:t>
            </w:r>
          </w:p>
        </w:tc>
        <w:tc>
          <w:tcPr>
            <w:tcW w:w="326" w:type="pct"/>
          </w:tcPr>
          <w:p w14:paraId="0CA5A521" w14:textId="4E0E1145" w:rsidR="003E621C" w:rsidRDefault="45464FB1" w:rsidP="005A3AFC">
            <w:pPr>
              <w:rPr>
                <w:rFonts w:ascii="Arial Narrow" w:hAnsi="Arial Narrow" w:cs="Segoe UI"/>
                <w:sz w:val="20"/>
                <w:szCs w:val="20"/>
              </w:rPr>
            </w:pPr>
            <w:r w:rsidRPr="6BD791AF">
              <w:rPr>
                <w:rFonts w:ascii="Arial Narrow" w:hAnsi="Arial Narrow" w:cs="Segoe UI"/>
                <w:sz w:val="20"/>
                <w:szCs w:val="20"/>
              </w:rPr>
              <w:t>Phase 3 RCT</w:t>
            </w:r>
          </w:p>
        </w:tc>
        <w:tc>
          <w:tcPr>
            <w:tcW w:w="686" w:type="pct"/>
          </w:tcPr>
          <w:p w14:paraId="173189A4" w14:textId="77777777" w:rsidR="00D22EB1" w:rsidRPr="00D22EB1" w:rsidRDefault="45341EAE" w:rsidP="00D22EB1">
            <w:pPr>
              <w:rPr>
                <w:rFonts w:ascii="Arial Narrow" w:hAnsi="Arial Narrow" w:cs="Segoe UI"/>
                <w:sz w:val="20"/>
                <w:szCs w:val="20"/>
              </w:rPr>
            </w:pPr>
            <w:r w:rsidRPr="6BD791AF">
              <w:rPr>
                <w:rFonts w:ascii="Arial Narrow" w:hAnsi="Arial Narrow" w:cs="Segoe UI"/>
                <w:sz w:val="20"/>
                <w:szCs w:val="20"/>
              </w:rPr>
              <w:t>Vepdegestrant, a PROTAC Estrogen Receptor</w:t>
            </w:r>
          </w:p>
          <w:p w14:paraId="49BC8E5F" w14:textId="627A11E6" w:rsidR="003E621C" w:rsidRPr="002B7BA5" w:rsidRDefault="45341EAE" w:rsidP="00D22EB1">
            <w:pPr>
              <w:rPr>
                <w:rFonts w:ascii="Arial Narrow" w:hAnsi="Arial Narrow" w:cs="Segoe UI"/>
                <w:sz w:val="20"/>
                <w:szCs w:val="20"/>
              </w:rPr>
            </w:pPr>
            <w:r w:rsidRPr="6BD791AF">
              <w:rPr>
                <w:rFonts w:ascii="Arial Narrow" w:hAnsi="Arial Narrow" w:cs="Segoe UI"/>
                <w:sz w:val="20"/>
                <w:szCs w:val="20"/>
              </w:rPr>
              <w:t>Degrader, in Advanced Breast Cancer</w:t>
            </w:r>
          </w:p>
        </w:tc>
        <w:tc>
          <w:tcPr>
            <w:tcW w:w="1343" w:type="pct"/>
          </w:tcPr>
          <w:p w14:paraId="61AEB2DE" w14:textId="50F88D75" w:rsidR="003E621C" w:rsidRPr="002B7BA5" w:rsidRDefault="1B18C69E" w:rsidP="005A3AFC">
            <w:pPr>
              <w:pStyle w:val="Default"/>
              <w:rPr>
                <w:rFonts w:ascii="Arial Narrow" w:hAnsi="Arial Narrow"/>
                <w:sz w:val="20"/>
                <w:szCs w:val="20"/>
              </w:rPr>
            </w:pPr>
            <w:r w:rsidRPr="6BD791AF">
              <w:rPr>
                <w:rFonts w:ascii="Arial Narrow" w:hAnsi="Arial Narrow"/>
                <w:sz w:val="20"/>
                <w:szCs w:val="20"/>
              </w:rPr>
              <w:t xml:space="preserve">Randomised, open-label study comparing vepdegestrant (PROTAC ER degrader) versus fulvestrant in ER-positive/HER2-negative advanced breast cancer after prior CDK4/6. Blinded central review showed higher ORR and clinical benefit with vepdegestrant, especially in </w:t>
            </w:r>
            <w:r w:rsidRPr="6BD791AF">
              <w:rPr>
                <w:rFonts w:ascii="Arial Narrow" w:hAnsi="Arial Narrow"/>
                <w:i/>
                <w:iCs/>
                <w:sz w:val="20"/>
                <w:szCs w:val="20"/>
              </w:rPr>
              <w:t>ESR1</w:t>
            </w:r>
            <w:r w:rsidRPr="6BD791AF">
              <w:rPr>
                <w:rFonts w:ascii="Arial Narrow" w:hAnsi="Arial Narrow"/>
                <w:sz w:val="20"/>
                <w:szCs w:val="20"/>
              </w:rPr>
              <w:t xml:space="preserve">-mutant disease (ORR 18.6% vs 4.0; CBR 42.1% vs 20.2%). PFS benefit concentrated in </w:t>
            </w:r>
            <w:r w:rsidRPr="6BD791AF">
              <w:rPr>
                <w:rFonts w:ascii="Arial Narrow" w:hAnsi="Arial Narrow"/>
                <w:i/>
                <w:iCs/>
                <w:sz w:val="20"/>
                <w:szCs w:val="20"/>
              </w:rPr>
              <w:t>ESR1</w:t>
            </w:r>
            <w:r w:rsidRPr="6BD791AF">
              <w:rPr>
                <w:rFonts w:ascii="Arial Narrow" w:hAnsi="Arial Narrow"/>
                <w:sz w:val="20"/>
                <w:szCs w:val="20"/>
              </w:rPr>
              <w:t>-mutants, not overall. Safety was manageable.</w:t>
            </w:r>
          </w:p>
        </w:tc>
        <w:tc>
          <w:tcPr>
            <w:tcW w:w="1858" w:type="pct"/>
          </w:tcPr>
          <w:p w14:paraId="0610DF1F" w14:textId="5B00D3D1" w:rsidR="003E621C" w:rsidRPr="00C45EF8" w:rsidRDefault="11FBF5F8" w:rsidP="00AF1B6B">
            <w:pPr>
              <w:pStyle w:val="Default"/>
              <w:rPr>
                <w:rFonts w:ascii="Arial" w:hAnsi="Arial" w:cs="Arial"/>
                <w:sz w:val="20"/>
                <w:szCs w:val="20"/>
              </w:rPr>
            </w:pPr>
            <w:r w:rsidRPr="6BD791AF">
              <w:rPr>
                <w:rFonts w:ascii="Arial" w:hAnsi="Arial" w:cs="Arial"/>
                <w:sz w:val="20"/>
                <w:szCs w:val="20"/>
              </w:rPr>
              <w:t>https://www.nejm.org/doi/pdf/10.1056/NEJMoa2505725</w:t>
            </w:r>
          </w:p>
        </w:tc>
        <w:tc>
          <w:tcPr>
            <w:tcW w:w="657" w:type="pct"/>
          </w:tcPr>
          <w:p w14:paraId="504C4E06" w14:textId="7A8E6531" w:rsidR="003E621C" w:rsidRDefault="2F7084F5" w:rsidP="005A3AFC">
            <w:pPr>
              <w:rPr>
                <w:rFonts w:ascii="Arial Narrow" w:hAnsi="Arial Narrow" w:cs="Segoe UI"/>
                <w:sz w:val="20"/>
                <w:szCs w:val="20"/>
              </w:rPr>
            </w:pPr>
            <w:r w:rsidRPr="6BD791AF">
              <w:rPr>
                <w:rFonts w:ascii="Arial Narrow" w:hAnsi="Arial Narrow" w:cs="Segoe UI"/>
                <w:sz w:val="20"/>
                <w:szCs w:val="20"/>
              </w:rPr>
              <w:t>2025</w:t>
            </w:r>
          </w:p>
        </w:tc>
      </w:tr>
    </w:tbl>
    <w:p w14:paraId="6F0CDD95" w14:textId="7B488E91" w:rsidR="00FE257E" w:rsidRDefault="00FE257E" w:rsidP="00E512FE">
      <w:pPr>
        <w:rPr>
          <w:rFonts w:ascii="Segoe UI" w:eastAsia="Segoe UI" w:hAnsi="Segoe UI"/>
          <w:b/>
          <w:color w:val="000000"/>
          <w:sz w:val="32"/>
        </w:rPr>
      </w:pPr>
    </w:p>
    <w:sectPr w:rsidR="00FE257E" w:rsidSect="00E512FE">
      <w:pgSz w:w="16838" w:h="11906" w:orient="landscape"/>
      <w:pgMar w:top="1440" w:right="1440" w:bottom="991" w:left="1135"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C005" w14:textId="77777777" w:rsidR="00841078" w:rsidRDefault="00841078" w:rsidP="00BE6B22">
      <w:pPr>
        <w:spacing w:after="0" w:line="240" w:lineRule="auto"/>
      </w:pPr>
      <w:r>
        <w:separator/>
      </w:r>
    </w:p>
  </w:endnote>
  <w:endnote w:type="continuationSeparator" w:id="0">
    <w:p w14:paraId="7B6BABF1" w14:textId="77777777" w:rsidR="00841078" w:rsidRDefault="00841078" w:rsidP="00BE6B22">
      <w:pPr>
        <w:spacing w:after="0" w:line="240" w:lineRule="auto"/>
      </w:pPr>
      <w:r>
        <w:continuationSeparator/>
      </w:r>
    </w:p>
  </w:endnote>
  <w:endnote w:type="continuationNotice" w:id="1">
    <w:p w14:paraId="40932460" w14:textId="77777777" w:rsidR="00841078" w:rsidRDefault="0084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BBA8" w14:textId="41840609" w:rsidR="00CE57E1" w:rsidRDefault="000D7302">
    <w:pPr>
      <w:pStyle w:val="Footer"/>
    </w:pPr>
    <w:r>
      <w:rPr>
        <w:noProof/>
      </w:rPr>
      <mc:AlternateContent>
        <mc:Choice Requires="wps">
          <w:drawing>
            <wp:anchor distT="0" distB="0" distL="0" distR="0" simplePos="0" relativeHeight="251669505" behindDoc="0" locked="0" layoutInCell="1" allowOverlap="1" wp14:anchorId="00E84F6E" wp14:editId="040EE3E5">
              <wp:simplePos x="635" y="635"/>
              <wp:positionH relativeFrom="page">
                <wp:align>center</wp:align>
              </wp:positionH>
              <wp:positionV relativeFrom="page">
                <wp:align>bottom</wp:align>
              </wp:positionV>
              <wp:extent cx="622300" cy="391160"/>
              <wp:effectExtent l="0" t="0" r="6350" b="0"/>
              <wp:wrapNone/>
              <wp:docPr id="15218386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2F4D9A9" w14:textId="364F1CE9"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84F6E" id="_x0000_t202" coordsize="21600,21600" o:spt="202" path="m,l,21600r21600,l21600,xe">
              <v:stroke joinstyle="miter"/>
              <v:path gradientshapeok="t" o:connecttype="rect"/>
            </v:shapetype>
            <v:shape id="Text Box 6" o:spid="_x0000_s1027" type="#_x0000_t202" alt="OFFICIAL" style="position:absolute;margin-left:0;margin-top:0;width:49pt;height:30.8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72F4D9A9" w14:textId="364F1CE9"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0607" w14:textId="70E574BD" w:rsidR="00CE57E1" w:rsidRPr="00CE57E1" w:rsidRDefault="00CE57E1" w:rsidP="00CE57E1">
    <w:pPr>
      <w:tabs>
        <w:tab w:val="center" w:pos="4513"/>
        <w:tab w:val="right" w:pos="9026"/>
      </w:tabs>
      <w:spacing w:after="0" w:line="240" w:lineRule="auto"/>
      <w:jc w:val="right"/>
      <w:rPr>
        <w:rFonts w:ascii="Segoe UI" w:hAnsi="Segoe UI" w:cs="Segoe UI"/>
        <w:sz w:val="22"/>
        <w:szCs w:val="22"/>
      </w:rPr>
    </w:pPr>
  </w:p>
  <w:p w14:paraId="355A1DA5" w14:textId="77777777" w:rsidR="0090168B" w:rsidRDefault="00901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4270" w14:textId="695D33CB" w:rsidR="00CE57E1" w:rsidRDefault="000D7302">
    <w:pPr>
      <w:pStyle w:val="Footer"/>
    </w:pPr>
    <w:r>
      <w:rPr>
        <w:noProof/>
      </w:rPr>
      <mc:AlternateContent>
        <mc:Choice Requires="wps">
          <w:drawing>
            <wp:anchor distT="0" distB="0" distL="0" distR="0" simplePos="0" relativeHeight="251668481" behindDoc="0" locked="0" layoutInCell="1" allowOverlap="1" wp14:anchorId="3798E34A" wp14:editId="1F4C4DF8">
              <wp:simplePos x="635" y="635"/>
              <wp:positionH relativeFrom="page">
                <wp:align>center</wp:align>
              </wp:positionH>
              <wp:positionV relativeFrom="page">
                <wp:align>bottom</wp:align>
              </wp:positionV>
              <wp:extent cx="622300" cy="391160"/>
              <wp:effectExtent l="0" t="0" r="6350" b="0"/>
              <wp:wrapNone/>
              <wp:docPr id="3378276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194184" w14:textId="5AF357F7"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8E34A" id="_x0000_t202" coordsize="21600,21600" o:spt="202" path="m,l,21600r21600,l21600,xe">
              <v:stroke joinstyle="miter"/>
              <v:path gradientshapeok="t" o:connecttype="rect"/>
            </v:shapetype>
            <v:shape id="Text Box 5" o:spid="_x0000_s1029" type="#_x0000_t202" alt="OFFICIAL" style="position:absolute;margin-left:0;margin-top:0;width:49pt;height:30.8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fill o:detectmouseclick="t"/>
              <v:textbox style="mso-fit-shape-to-text:t" inset="0,0,0,15pt">
                <w:txbxContent>
                  <w:p w14:paraId="63194184" w14:textId="5AF357F7"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CA0C" w14:textId="319ED43E" w:rsidR="00CE57E1" w:rsidRPr="00CE57E1" w:rsidRDefault="00F610C3" w:rsidP="00CE57E1">
    <w:pPr>
      <w:tabs>
        <w:tab w:val="center" w:pos="4513"/>
        <w:tab w:val="right" w:pos="9026"/>
      </w:tabs>
      <w:spacing w:after="0" w:line="240" w:lineRule="auto"/>
      <w:jc w:val="right"/>
      <w:rPr>
        <w:rFonts w:ascii="Segoe UI" w:hAnsi="Segoe UI" w:cs="Segoe UI"/>
        <w:sz w:val="22"/>
        <w:szCs w:val="22"/>
      </w:rPr>
    </w:pPr>
    <w:sdt>
      <w:sdtPr>
        <w:rPr>
          <w:rFonts w:ascii="Segoe UI" w:hAnsi="Segoe UI" w:cs="Segoe UI"/>
          <w:sz w:val="22"/>
          <w:szCs w:val="22"/>
        </w:rPr>
        <w:id w:val="-723988514"/>
        <w:docPartObj>
          <w:docPartGallery w:val="Page Numbers (Bottom of Page)"/>
          <w:docPartUnique/>
        </w:docPartObj>
      </w:sdtPr>
      <w:sdtEndPr/>
      <w:sdtContent>
        <w:r w:rsidR="00CE57E1" w:rsidRPr="00CE57E1">
          <w:rPr>
            <w:rFonts w:ascii="Segoe UI" w:hAnsi="Segoe UI" w:cs="Segoe UI"/>
            <w:sz w:val="21"/>
            <w:szCs w:val="21"/>
          </w:rPr>
          <w:fldChar w:fldCharType="begin"/>
        </w:r>
        <w:r w:rsidR="00CE57E1" w:rsidRPr="00CE57E1">
          <w:rPr>
            <w:rFonts w:ascii="Segoe UI" w:hAnsi="Segoe UI" w:cs="Segoe UI"/>
            <w:sz w:val="21"/>
            <w:szCs w:val="21"/>
          </w:rPr>
          <w:instrText xml:space="preserve"> PAGE  \* Arabic  \* MERGEFORMAT </w:instrText>
        </w:r>
        <w:r w:rsidR="00CE57E1" w:rsidRPr="00CE57E1">
          <w:rPr>
            <w:rFonts w:ascii="Segoe UI" w:hAnsi="Segoe UI" w:cs="Segoe UI"/>
            <w:sz w:val="21"/>
            <w:szCs w:val="21"/>
          </w:rPr>
          <w:fldChar w:fldCharType="separate"/>
        </w:r>
        <w:r w:rsidR="00CE57E1" w:rsidRPr="00CE57E1">
          <w:rPr>
            <w:rFonts w:ascii="Segoe UI" w:hAnsi="Segoe UI" w:cs="Segoe UI"/>
            <w:sz w:val="21"/>
            <w:szCs w:val="21"/>
          </w:rPr>
          <w:t>1</w:t>
        </w:r>
        <w:r w:rsidR="00CE57E1" w:rsidRPr="00CE57E1">
          <w:rPr>
            <w:rFonts w:ascii="Segoe UI" w:hAnsi="Segoe UI" w:cs="Segoe UI"/>
            <w:sz w:val="21"/>
            <w:szCs w:val="21"/>
          </w:rPr>
          <w:fldChar w:fldCharType="end"/>
        </w:r>
      </w:sdtContent>
    </w:sdt>
  </w:p>
  <w:p w14:paraId="6B64F0AB" w14:textId="77777777" w:rsidR="00CE57E1" w:rsidRPr="00CE57E1" w:rsidRDefault="00CE57E1" w:rsidP="00CE57E1">
    <w:pPr>
      <w:tabs>
        <w:tab w:val="center" w:pos="4513"/>
        <w:tab w:val="right" w:pos="9026"/>
      </w:tabs>
      <w:spacing w:after="0" w:line="240" w:lineRule="auto"/>
      <w:rPr>
        <w:rFonts w:ascii="Segoe UI" w:hAnsi="Segoe UI" w:cs="Segoe U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8F95" w14:textId="77777777" w:rsidR="00841078" w:rsidRDefault="00841078" w:rsidP="00BE6B22">
      <w:pPr>
        <w:spacing w:after="0" w:line="240" w:lineRule="auto"/>
      </w:pPr>
      <w:r>
        <w:separator/>
      </w:r>
    </w:p>
  </w:footnote>
  <w:footnote w:type="continuationSeparator" w:id="0">
    <w:p w14:paraId="1782002F" w14:textId="77777777" w:rsidR="00841078" w:rsidRDefault="00841078" w:rsidP="00BE6B22">
      <w:pPr>
        <w:spacing w:after="0" w:line="240" w:lineRule="auto"/>
      </w:pPr>
      <w:r>
        <w:continuationSeparator/>
      </w:r>
    </w:p>
  </w:footnote>
  <w:footnote w:type="continuationNotice" w:id="1">
    <w:p w14:paraId="4F3C2154" w14:textId="77777777" w:rsidR="00841078" w:rsidRDefault="00841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F5C2" w14:textId="2F9D6BBC" w:rsidR="00CE57E1" w:rsidRDefault="000D7302">
    <w:pPr>
      <w:pStyle w:val="Header"/>
    </w:pPr>
    <w:r>
      <w:rPr>
        <w:noProof/>
      </w:rPr>
      <mc:AlternateContent>
        <mc:Choice Requires="wps">
          <w:drawing>
            <wp:anchor distT="0" distB="0" distL="0" distR="0" simplePos="0" relativeHeight="251665409" behindDoc="0" locked="0" layoutInCell="1" allowOverlap="1" wp14:anchorId="453AE91B" wp14:editId="56E2E4EF">
              <wp:simplePos x="635" y="635"/>
              <wp:positionH relativeFrom="page">
                <wp:align>center</wp:align>
              </wp:positionH>
              <wp:positionV relativeFrom="page">
                <wp:align>top</wp:align>
              </wp:positionV>
              <wp:extent cx="622300" cy="391160"/>
              <wp:effectExtent l="0" t="0" r="6350" b="8890"/>
              <wp:wrapNone/>
              <wp:docPr id="1331133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EE3890" w14:textId="61FCA808"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AE91B"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24EE3890" w14:textId="61FCA808"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72CA" w14:textId="0A5BEEB4" w:rsidR="00CE57E1" w:rsidRDefault="000D7302">
    <w:pPr>
      <w:pStyle w:val="Header"/>
    </w:pPr>
    <w:r>
      <w:rPr>
        <w:noProof/>
      </w:rPr>
      <mc:AlternateContent>
        <mc:Choice Requires="wps">
          <w:drawing>
            <wp:anchor distT="0" distB="0" distL="0" distR="0" simplePos="0" relativeHeight="251664385" behindDoc="0" locked="0" layoutInCell="1" allowOverlap="1" wp14:anchorId="03E13275" wp14:editId="7175251D">
              <wp:simplePos x="635" y="635"/>
              <wp:positionH relativeFrom="page">
                <wp:align>center</wp:align>
              </wp:positionH>
              <wp:positionV relativeFrom="page">
                <wp:align>top</wp:align>
              </wp:positionV>
              <wp:extent cx="622300" cy="391160"/>
              <wp:effectExtent l="0" t="0" r="6350" b="8890"/>
              <wp:wrapNone/>
              <wp:docPr id="15655465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B2EDC71" w14:textId="1FCB8430"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13275"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0B2EDC71" w14:textId="1FCB8430" w:rsidR="000D7302" w:rsidRPr="000D7302" w:rsidRDefault="000D7302" w:rsidP="000D7302">
                    <w:pPr>
                      <w:spacing w:after="0"/>
                      <w:rPr>
                        <w:rFonts w:ascii="Aptos" w:eastAsia="Aptos" w:hAnsi="Aptos" w:cs="Aptos"/>
                        <w:noProof/>
                        <w:color w:val="FF0000"/>
                      </w:rPr>
                    </w:pPr>
                    <w:r w:rsidRPr="000D7302">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BE9" w14:textId="2DBC7344" w:rsidR="00CE57E1" w:rsidRPr="0019082A" w:rsidRDefault="00CE57E1" w:rsidP="00190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A4738"/>
    <w:multiLevelType w:val="hybridMultilevel"/>
    <w:tmpl w:val="DFDC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8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02572"/>
    <w:rsid w:val="000101A4"/>
    <w:rsid w:val="00011E13"/>
    <w:rsid w:val="00013562"/>
    <w:rsid w:val="00014227"/>
    <w:rsid w:val="00016A25"/>
    <w:rsid w:val="00016B0A"/>
    <w:rsid w:val="00016EE2"/>
    <w:rsid w:val="00025969"/>
    <w:rsid w:val="000269C7"/>
    <w:rsid w:val="00026D53"/>
    <w:rsid w:val="0003212E"/>
    <w:rsid w:val="00033655"/>
    <w:rsid w:val="00051843"/>
    <w:rsid w:val="000535C2"/>
    <w:rsid w:val="0005376E"/>
    <w:rsid w:val="0005731C"/>
    <w:rsid w:val="00060E7A"/>
    <w:rsid w:val="000627EF"/>
    <w:rsid w:val="00062E53"/>
    <w:rsid w:val="00063CBB"/>
    <w:rsid w:val="00070236"/>
    <w:rsid w:val="00070D59"/>
    <w:rsid w:val="00072CD2"/>
    <w:rsid w:val="000732D5"/>
    <w:rsid w:val="00077D00"/>
    <w:rsid w:val="00080F4C"/>
    <w:rsid w:val="00084001"/>
    <w:rsid w:val="0008518C"/>
    <w:rsid w:val="00086746"/>
    <w:rsid w:val="0009097A"/>
    <w:rsid w:val="00091C60"/>
    <w:rsid w:val="000934AF"/>
    <w:rsid w:val="00095541"/>
    <w:rsid w:val="00095686"/>
    <w:rsid w:val="00096C5F"/>
    <w:rsid w:val="00096E7C"/>
    <w:rsid w:val="000A1AB4"/>
    <w:rsid w:val="000A3E7D"/>
    <w:rsid w:val="000A527B"/>
    <w:rsid w:val="000A6596"/>
    <w:rsid w:val="000B0856"/>
    <w:rsid w:val="000B25E5"/>
    <w:rsid w:val="000B4D89"/>
    <w:rsid w:val="000B5686"/>
    <w:rsid w:val="000C204B"/>
    <w:rsid w:val="000C5D91"/>
    <w:rsid w:val="000C6914"/>
    <w:rsid w:val="000D7302"/>
    <w:rsid w:val="000E0316"/>
    <w:rsid w:val="000E38B2"/>
    <w:rsid w:val="000E3DEA"/>
    <w:rsid w:val="000E5B6A"/>
    <w:rsid w:val="000F2FB1"/>
    <w:rsid w:val="000F3063"/>
    <w:rsid w:val="000F43F4"/>
    <w:rsid w:val="000F6426"/>
    <w:rsid w:val="0010370D"/>
    <w:rsid w:val="0010473C"/>
    <w:rsid w:val="00107828"/>
    <w:rsid w:val="00116718"/>
    <w:rsid w:val="001209C8"/>
    <w:rsid w:val="00120F46"/>
    <w:rsid w:val="00121DDB"/>
    <w:rsid w:val="00122F3E"/>
    <w:rsid w:val="001232D9"/>
    <w:rsid w:val="0013153E"/>
    <w:rsid w:val="001361CA"/>
    <w:rsid w:val="0013741B"/>
    <w:rsid w:val="001377CA"/>
    <w:rsid w:val="0014228E"/>
    <w:rsid w:val="00144A47"/>
    <w:rsid w:val="00145BC2"/>
    <w:rsid w:val="001507C6"/>
    <w:rsid w:val="00151909"/>
    <w:rsid w:val="00153240"/>
    <w:rsid w:val="0015D435"/>
    <w:rsid w:val="0016065A"/>
    <w:rsid w:val="00161865"/>
    <w:rsid w:val="00163A82"/>
    <w:rsid w:val="00163E09"/>
    <w:rsid w:val="00165F66"/>
    <w:rsid w:val="00166744"/>
    <w:rsid w:val="0017762B"/>
    <w:rsid w:val="0019082A"/>
    <w:rsid w:val="00190B27"/>
    <w:rsid w:val="0019462D"/>
    <w:rsid w:val="00195113"/>
    <w:rsid w:val="001953B7"/>
    <w:rsid w:val="001967F2"/>
    <w:rsid w:val="00196A66"/>
    <w:rsid w:val="0019782E"/>
    <w:rsid w:val="001A124B"/>
    <w:rsid w:val="001A4D66"/>
    <w:rsid w:val="001A66FF"/>
    <w:rsid w:val="001A6DF6"/>
    <w:rsid w:val="001B158C"/>
    <w:rsid w:val="001B62C1"/>
    <w:rsid w:val="001B7CD1"/>
    <w:rsid w:val="001C01C7"/>
    <w:rsid w:val="001C1D5E"/>
    <w:rsid w:val="001C2596"/>
    <w:rsid w:val="001C5338"/>
    <w:rsid w:val="001C57C2"/>
    <w:rsid w:val="001D00F6"/>
    <w:rsid w:val="001D4613"/>
    <w:rsid w:val="001D4EDA"/>
    <w:rsid w:val="001E0D78"/>
    <w:rsid w:val="001E1542"/>
    <w:rsid w:val="001E28DD"/>
    <w:rsid w:val="001E3015"/>
    <w:rsid w:val="001E717B"/>
    <w:rsid w:val="001E7E10"/>
    <w:rsid w:val="001F02E9"/>
    <w:rsid w:val="001F7A7F"/>
    <w:rsid w:val="00201B8A"/>
    <w:rsid w:val="0021128B"/>
    <w:rsid w:val="00216400"/>
    <w:rsid w:val="002165E6"/>
    <w:rsid w:val="00217234"/>
    <w:rsid w:val="00224E42"/>
    <w:rsid w:val="00233398"/>
    <w:rsid w:val="002435C2"/>
    <w:rsid w:val="00243B6A"/>
    <w:rsid w:val="0024453B"/>
    <w:rsid w:val="00247549"/>
    <w:rsid w:val="0025299A"/>
    <w:rsid w:val="00253E39"/>
    <w:rsid w:val="00255C00"/>
    <w:rsid w:val="0026149D"/>
    <w:rsid w:val="0026204A"/>
    <w:rsid w:val="002649CB"/>
    <w:rsid w:val="0026515D"/>
    <w:rsid w:val="0026578F"/>
    <w:rsid w:val="002723F8"/>
    <w:rsid w:val="00273C55"/>
    <w:rsid w:val="00274DFC"/>
    <w:rsid w:val="00280050"/>
    <w:rsid w:val="0028342A"/>
    <w:rsid w:val="00283AFE"/>
    <w:rsid w:val="002845B0"/>
    <w:rsid w:val="00285595"/>
    <w:rsid w:val="00290249"/>
    <w:rsid w:val="0029099D"/>
    <w:rsid w:val="00291722"/>
    <w:rsid w:val="00292C4C"/>
    <w:rsid w:val="002956EB"/>
    <w:rsid w:val="002A023C"/>
    <w:rsid w:val="002A05B2"/>
    <w:rsid w:val="002A46DB"/>
    <w:rsid w:val="002A5C63"/>
    <w:rsid w:val="002A7711"/>
    <w:rsid w:val="002A7B1A"/>
    <w:rsid w:val="002B1ABB"/>
    <w:rsid w:val="002B24B4"/>
    <w:rsid w:val="002B330D"/>
    <w:rsid w:val="002B532B"/>
    <w:rsid w:val="002B7B2B"/>
    <w:rsid w:val="002B7BA5"/>
    <w:rsid w:val="002C018B"/>
    <w:rsid w:val="002C1322"/>
    <w:rsid w:val="002C1AFE"/>
    <w:rsid w:val="002C6D2C"/>
    <w:rsid w:val="002D4AC3"/>
    <w:rsid w:val="002D53C2"/>
    <w:rsid w:val="002D7216"/>
    <w:rsid w:val="002E2E41"/>
    <w:rsid w:val="002E357C"/>
    <w:rsid w:val="002F1573"/>
    <w:rsid w:val="002F6485"/>
    <w:rsid w:val="003005C2"/>
    <w:rsid w:val="00303779"/>
    <w:rsid w:val="00307023"/>
    <w:rsid w:val="00311057"/>
    <w:rsid w:val="0031396C"/>
    <w:rsid w:val="003152FD"/>
    <w:rsid w:val="0032071B"/>
    <w:rsid w:val="003208F8"/>
    <w:rsid w:val="00321F27"/>
    <w:rsid w:val="003248B5"/>
    <w:rsid w:val="00325081"/>
    <w:rsid w:val="00331490"/>
    <w:rsid w:val="00332538"/>
    <w:rsid w:val="003333D8"/>
    <w:rsid w:val="00333F7D"/>
    <w:rsid w:val="00334178"/>
    <w:rsid w:val="00335F91"/>
    <w:rsid w:val="0033619B"/>
    <w:rsid w:val="00340FD0"/>
    <w:rsid w:val="00345156"/>
    <w:rsid w:val="0034579A"/>
    <w:rsid w:val="00345836"/>
    <w:rsid w:val="00346E9A"/>
    <w:rsid w:val="003503A9"/>
    <w:rsid w:val="00350E1E"/>
    <w:rsid w:val="003526CA"/>
    <w:rsid w:val="0035321F"/>
    <w:rsid w:val="00353875"/>
    <w:rsid w:val="00354D4A"/>
    <w:rsid w:val="003763FE"/>
    <w:rsid w:val="00376572"/>
    <w:rsid w:val="00376A2D"/>
    <w:rsid w:val="00377C83"/>
    <w:rsid w:val="00380922"/>
    <w:rsid w:val="00380C41"/>
    <w:rsid w:val="00385736"/>
    <w:rsid w:val="0039133B"/>
    <w:rsid w:val="00393E99"/>
    <w:rsid w:val="0039430A"/>
    <w:rsid w:val="0039585E"/>
    <w:rsid w:val="00397C79"/>
    <w:rsid w:val="003A16D1"/>
    <w:rsid w:val="003A268B"/>
    <w:rsid w:val="003A3EDA"/>
    <w:rsid w:val="003A5120"/>
    <w:rsid w:val="003A611C"/>
    <w:rsid w:val="003A720D"/>
    <w:rsid w:val="003B0DE8"/>
    <w:rsid w:val="003B1D84"/>
    <w:rsid w:val="003B68E2"/>
    <w:rsid w:val="003C1C21"/>
    <w:rsid w:val="003C2549"/>
    <w:rsid w:val="003C2A5A"/>
    <w:rsid w:val="003D4EAF"/>
    <w:rsid w:val="003D72D4"/>
    <w:rsid w:val="003E2B5D"/>
    <w:rsid w:val="003E439D"/>
    <w:rsid w:val="003E621C"/>
    <w:rsid w:val="003F39D1"/>
    <w:rsid w:val="003F3D90"/>
    <w:rsid w:val="00400995"/>
    <w:rsid w:val="004035F4"/>
    <w:rsid w:val="0040655F"/>
    <w:rsid w:val="0040754E"/>
    <w:rsid w:val="00417809"/>
    <w:rsid w:val="00417E83"/>
    <w:rsid w:val="004209FC"/>
    <w:rsid w:val="0042180F"/>
    <w:rsid w:val="00425442"/>
    <w:rsid w:val="00436545"/>
    <w:rsid w:val="004426F8"/>
    <w:rsid w:val="00444D84"/>
    <w:rsid w:val="00452657"/>
    <w:rsid w:val="00452DF6"/>
    <w:rsid w:val="00453562"/>
    <w:rsid w:val="00461898"/>
    <w:rsid w:val="00461B4B"/>
    <w:rsid w:val="0046251F"/>
    <w:rsid w:val="00464444"/>
    <w:rsid w:val="00464E1A"/>
    <w:rsid w:val="00472211"/>
    <w:rsid w:val="00473362"/>
    <w:rsid w:val="0047658B"/>
    <w:rsid w:val="00480914"/>
    <w:rsid w:val="004825DC"/>
    <w:rsid w:val="00482716"/>
    <w:rsid w:val="0048646F"/>
    <w:rsid w:val="00486D7C"/>
    <w:rsid w:val="0048760C"/>
    <w:rsid w:val="00491812"/>
    <w:rsid w:val="0049240E"/>
    <w:rsid w:val="0049360B"/>
    <w:rsid w:val="004958DA"/>
    <w:rsid w:val="00497C32"/>
    <w:rsid w:val="004A45BE"/>
    <w:rsid w:val="004B0D30"/>
    <w:rsid w:val="004B28CD"/>
    <w:rsid w:val="004C02B7"/>
    <w:rsid w:val="004C4C24"/>
    <w:rsid w:val="004D508D"/>
    <w:rsid w:val="004D7ADA"/>
    <w:rsid w:val="004E0CC4"/>
    <w:rsid w:val="004F3965"/>
    <w:rsid w:val="004F69FA"/>
    <w:rsid w:val="004F7AAE"/>
    <w:rsid w:val="00500391"/>
    <w:rsid w:val="005034A9"/>
    <w:rsid w:val="0050359D"/>
    <w:rsid w:val="00503BEE"/>
    <w:rsid w:val="0051426C"/>
    <w:rsid w:val="005148C1"/>
    <w:rsid w:val="005217A1"/>
    <w:rsid w:val="00521B7F"/>
    <w:rsid w:val="0052274F"/>
    <w:rsid w:val="005233A8"/>
    <w:rsid w:val="00531513"/>
    <w:rsid w:val="00537AC0"/>
    <w:rsid w:val="00545A4C"/>
    <w:rsid w:val="0055026D"/>
    <w:rsid w:val="00550CC3"/>
    <w:rsid w:val="00552111"/>
    <w:rsid w:val="00555307"/>
    <w:rsid w:val="005555E9"/>
    <w:rsid w:val="00555BD5"/>
    <w:rsid w:val="00556C23"/>
    <w:rsid w:val="00557D4D"/>
    <w:rsid w:val="00561235"/>
    <w:rsid w:val="00566CF9"/>
    <w:rsid w:val="005804BB"/>
    <w:rsid w:val="00582481"/>
    <w:rsid w:val="005837E9"/>
    <w:rsid w:val="005A2389"/>
    <w:rsid w:val="005A3AFC"/>
    <w:rsid w:val="005A3E57"/>
    <w:rsid w:val="005A465F"/>
    <w:rsid w:val="005A5DE9"/>
    <w:rsid w:val="005B0699"/>
    <w:rsid w:val="005B1A20"/>
    <w:rsid w:val="005B48FB"/>
    <w:rsid w:val="005B5A58"/>
    <w:rsid w:val="005B7584"/>
    <w:rsid w:val="005B7C06"/>
    <w:rsid w:val="005C400B"/>
    <w:rsid w:val="005D5EC1"/>
    <w:rsid w:val="005D7C48"/>
    <w:rsid w:val="005E161E"/>
    <w:rsid w:val="005E1CFB"/>
    <w:rsid w:val="005E6F50"/>
    <w:rsid w:val="005F23FF"/>
    <w:rsid w:val="00601E04"/>
    <w:rsid w:val="00610738"/>
    <w:rsid w:val="0061292B"/>
    <w:rsid w:val="00614C2D"/>
    <w:rsid w:val="00615E4D"/>
    <w:rsid w:val="00617F70"/>
    <w:rsid w:val="006225AD"/>
    <w:rsid w:val="006227EF"/>
    <w:rsid w:val="00624F74"/>
    <w:rsid w:val="00625C5E"/>
    <w:rsid w:val="006400F6"/>
    <w:rsid w:val="006402D1"/>
    <w:rsid w:val="006429A1"/>
    <w:rsid w:val="006437E6"/>
    <w:rsid w:val="00643C4C"/>
    <w:rsid w:val="00645244"/>
    <w:rsid w:val="00655EF7"/>
    <w:rsid w:val="00664AA2"/>
    <w:rsid w:val="00665487"/>
    <w:rsid w:val="00666693"/>
    <w:rsid w:val="006737A3"/>
    <w:rsid w:val="006746C2"/>
    <w:rsid w:val="006763A1"/>
    <w:rsid w:val="006766C4"/>
    <w:rsid w:val="00682A76"/>
    <w:rsid w:val="006831B5"/>
    <w:rsid w:val="00690E73"/>
    <w:rsid w:val="00693280"/>
    <w:rsid w:val="0069614D"/>
    <w:rsid w:val="006A0833"/>
    <w:rsid w:val="006A3830"/>
    <w:rsid w:val="006A4143"/>
    <w:rsid w:val="006A7FF9"/>
    <w:rsid w:val="006B625D"/>
    <w:rsid w:val="006B7384"/>
    <w:rsid w:val="006B7CD8"/>
    <w:rsid w:val="006C5D73"/>
    <w:rsid w:val="006D10EA"/>
    <w:rsid w:val="006E0FD5"/>
    <w:rsid w:val="006E505B"/>
    <w:rsid w:val="006E6D85"/>
    <w:rsid w:val="006F02A6"/>
    <w:rsid w:val="006F0AF7"/>
    <w:rsid w:val="006F0AFD"/>
    <w:rsid w:val="007037BE"/>
    <w:rsid w:val="007038B3"/>
    <w:rsid w:val="00704F6D"/>
    <w:rsid w:val="00706E54"/>
    <w:rsid w:val="00711DB2"/>
    <w:rsid w:val="007160BA"/>
    <w:rsid w:val="00727C1A"/>
    <w:rsid w:val="007301B6"/>
    <w:rsid w:val="00734C73"/>
    <w:rsid w:val="00743A49"/>
    <w:rsid w:val="00751E2A"/>
    <w:rsid w:val="00753578"/>
    <w:rsid w:val="00756874"/>
    <w:rsid w:val="00757789"/>
    <w:rsid w:val="00760CD6"/>
    <w:rsid w:val="00761B46"/>
    <w:rsid w:val="0076224C"/>
    <w:rsid w:val="00764278"/>
    <w:rsid w:val="0076507E"/>
    <w:rsid w:val="00765F14"/>
    <w:rsid w:val="00766496"/>
    <w:rsid w:val="007704C2"/>
    <w:rsid w:val="00770FA6"/>
    <w:rsid w:val="00774FB9"/>
    <w:rsid w:val="0077508D"/>
    <w:rsid w:val="007775D8"/>
    <w:rsid w:val="00781177"/>
    <w:rsid w:val="00784D71"/>
    <w:rsid w:val="007904F1"/>
    <w:rsid w:val="00792569"/>
    <w:rsid w:val="00796AAF"/>
    <w:rsid w:val="007A5E44"/>
    <w:rsid w:val="007A68AA"/>
    <w:rsid w:val="007A6E22"/>
    <w:rsid w:val="007A72D1"/>
    <w:rsid w:val="007B0878"/>
    <w:rsid w:val="007B0922"/>
    <w:rsid w:val="007B3B5C"/>
    <w:rsid w:val="007B515F"/>
    <w:rsid w:val="007B67CA"/>
    <w:rsid w:val="007C2D97"/>
    <w:rsid w:val="007C685C"/>
    <w:rsid w:val="007C7566"/>
    <w:rsid w:val="007D1613"/>
    <w:rsid w:val="007D1E5C"/>
    <w:rsid w:val="007D3FC0"/>
    <w:rsid w:val="007D4F89"/>
    <w:rsid w:val="007D5892"/>
    <w:rsid w:val="007E1E2C"/>
    <w:rsid w:val="007E7CF5"/>
    <w:rsid w:val="007F524E"/>
    <w:rsid w:val="00800F1A"/>
    <w:rsid w:val="00801A3B"/>
    <w:rsid w:val="00804DEC"/>
    <w:rsid w:val="0081287A"/>
    <w:rsid w:val="00812E63"/>
    <w:rsid w:val="0082110D"/>
    <w:rsid w:val="00823339"/>
    <w:rsid w:val="008246E8"/>
    <w:rsid w:val="00826FE4"/>
    <w:rsid w:val="00831902"/>
    <w:rsid w:val="00832BD2"/>
    <w:rsid w:val="00836A15"/>
    <w:rsid w:val="00841078"/>
    <w:rsid w:val="00841F8C"/>
    <w:rsid w:val="0084358F"/>
    <w:rsid w:val="008515D0"/>
    <w:rsid w:val="00851736"/>
    <w:rsid w:val="00861AEC"/>
    <w:rsid w:val="0087383A"/>
    <w:rsid w:val="00874979"/>
    <w:rsid w:val="008821EB"/>
    <w:rsid w:val="00883377"/>
    <w:rsid w:val="00884F92"/>
    <w:rsid w:val="00890054"/>
    <w:rsid w:val="00891070"/>
    <w:rsid w:val="00897E43"/>
    <w:rsid w:val="008A016B"/>
    <w:rsid w:val="008A33C6"/>
    <w:rsid w:val="008A6FEC"/>
    <w:rsid w:val="008B20F8"/>
    <w:rsid w:val="008B2BEB"/>
    <w:rsid w:val="008B4CE2"/>
    <w:rsid w:val="008B5DA9"/>
    <w:rsid w:val="008C2617"/>
    <w:rsid w:val="008D0CC3"/>
    <w:rsid w:val="008D4ABB"/>
    <w:rsid w:val="008F3EE3"/>
    <w:rsid w:val="008F6482"/>
    <w:rsid w:val="0090168B"/>
    <w:rsid w:val="00901DBF"/>
    <w:rsid w:val="0090480C"/>
    <w:rsid w:val="00906C34"/>
    <w:rsid w:val="00910849"/>
    <w:rsid w:val="00913E8A"/>
    <w:rsid w:val="009141F7"/>
    <w:rsid w:val="009154D7"/>
    <w:rsid w:val="009171C0"/>
    <w:rsid w:val="00924513"/>
    <w:rsid w:val="00930344"/>
    <w:rsid w:val="00930D6F"/>
    <w:rsid w:val="0093273B"/>
    <w:rsid w:val="00933029"/>
    <w:rsid w:val="00934846"/>
    <w:rsid w:val="0093511F"/>
    <w:rsid w:val="00936BD3"/>
    <w:rsid w:val="00940A38"/>
    <w:rsid w:val="0094281D"/>
    <w:rsid w:val="00944BC6"/>
    <w:rsid w:val="00945892"/>
    <w:rsid w:val="00946D40"/>
    <w:rsid w:val="009471D5"/>
    <w:rsid w:val="00950DDD"/>
    <w:rsid w:val="009524FC"/>
    <w:rsid w:val="0095574B"/>
    <w:rsid w:val="00955904"/>
    <w:rsid w:val="009617B3"/>
    <w:rsid w:val="00961F82"/>
    <w:rsid w:val="00962A68"/>
    <w:rsid w:val="00963863"/>
    <w:rsid w:val="00964629"/>
    <w:rsid w:val="009651BD"/>
    <w:rsid w:val="00974E91"/>
    <w:rsid w:val="009756EA"/>
    <w:rsid w:val="00975B6D"/>
    <w:rsid w:val="00980D14"/>
    <w:rsid w:val="0098404B"/>
    <w:rsid w:val="009868DE"/>
    <w:rsid w:val="00990A3C"/>
    <w:rsid w:val="0099333F"/>
    <w:rsid w:val="00995BCD"/>
    <w:rsid w:val="009A0C54"/>
    <w:rsid w:val="009A23DD"/>
    <w:rsid w:val="009A4086"/>
    <w:rsid w:val="009A6543"/>
    <w:rsid w:val="009B105B"/>
    <w:rsid w:val="009B2874"/>
    <w:rsid w:val="009B4E50"/>
    <w:rsid w:val="009B500D"/>
    <w:rsid w:val="009B710D"/>
    <w:rsid w:val="009B7FBE"/>
    <w:rsid w:val="009C0554"/>
    <w:rsid w:val="009C1D3E"/>
    <w:rsid w:val="009C1E5D"/>
    <w:rsid w:val="009C407B"/>
    <w:rsid w:val="009D5D20"/>
    <w:rsid w:val="009F2B17"/>
    <w:rsid w:val="009F71A8"/>
    <w:rsid w:val="00A030AA"/>
    <w:rsid w:val="00A0407E"/>
    <w:rsid w:val="00A04C43"/>
    <w:rsid w:val="00A06978"/>
    <w:rsid w:val="00A1273C"/>
    <w:rsid w:val="00A1304C"/>
    <w:rsid w:val="00A14590"/>
    <w:rsid w:val="00A168A7"/>
    <w:rsid w:val="00A212DF"/>
    <w:rsid w:val="00A225D9"/>
    <w:rsid w:val="00A23A63"/>
    <w:rsid w:val="00A24A04"/>
    <w:rsid w:val="00A24A80"/>
    <w:rsid w:val="00A2575B"/>
    <w:rsid w:val="00A27F82"/>
    <w:rsid w:val="00A308E0"/>
    <w:rsid w:val="00A31E48"/>
    <w:rsid w:val="00A335C7"/>
    <w:rsid w:val="00A37CA7"/>
    <w:rsid w:val="00A42FBA"/>
    <w:rsid w:val="00A435D2"/>
    <w:rsid w:val="00A44FD5"/>
    <w:rsid w:val="00A46A0F"/>
    <w:rsid w:val="00A5196B"/>
    <w:rsid w:val="00A52B2D"/>
    <w:rsid w:val="00A53C4E"/>
    <w:rsid w:val="00A55307"/>
    <w:rsid w:val="00A57940"/>
    <w:rsid w:val="00A6304B"/>
    <w:rsid w:val="00A64E97"/>
    <w:rsid w:val="00A70C3F"/>
    <w:rsid w:val="00A71B02"/>
    <w:rsid w:val="00A72471"/>
    <w:rsid w:val="00A729F4"/>
    <w:rsid w:val="00A76575"/>
    <w:rsid w:val="00A77245"/>
    <w:rsid w:val="00A805B2"/>
    <w:rsid w:val="00A81375"/>
    <w:rsid w:val="00A827B3"/>
    <w:rsid w:val="00A827B4"/>
    <w:rsid w:val="00A874AD"/>
    <w:rsid w:val="00A92546"/>
    <w:rsid w:val="00A97582"/>
    <w:rsid w:val="00AA2B70"/>
    <w:rsid w:val="00AA3E43"/>
    <w:rsid w:val="00AB3930"/>
    <w:rsid w:val="00AC2F02"/>
    <w:rsid w:val="00AC41C8"/>
    <w:rsid w:val="00AC61BC"/>
    <w:rsid w:val="00AC7653"/>
    <w:rsid w:val="00AD0232"/>
    <w:rsid w:val="00AD4364"/>
    <w:rsid w:val="00AD59B0"/>
    <w:rsid w:val="00AD77B2"/>
    <w:rsid w:val="00AE348D"/>
    <w:rsid w:val="00AF0AF7"/>
    <w:rsid w:val="00AF1B6B"/>
    <w:rsid w:val="00AF7E95"/>
    <w:rsid w:val="00B035A7"/>
    <w:rsid w:val="00B059BF"/>
    <w:rsid w:val="00B05A2A"/>
    <w:rsid w:val="00B06EDD"/>
    <w:rsid w:val="00B10A36"/>
    <w:rsid w:val="00B24C6C"/>
    <w:rsid w:val="00B25A15"/>
    <w:rsid w:val="00B33994"/>
    <w:rsid w:val="00B33DC4"/>
    <w:rsid w:val="00B34BD9"/>
    <w:rsid w:val="00B40720"/>
    <w:rsid w:val="00B407DE"/>
    <w:rsid w:val="00B578E9"/>
    <w:rsid w:val="00B6161B"/>
    <w:rsid w:val="00B666BB"/>
    <w:rsid w:val="00B6769D"/>
    <w:rsid w:val="00B67DEE"/>
    <w:rsid w:val="00B73F83"/>
    <w:rsid w:val="00B741A2"/>
    <w:rsid w:val="00B74BB7"/>
    <w:rsid w:val="00B759D1"/>
    <w:rsid w:val="00B76F90"/>
    <w:rsid w:val="00B80145"/>
    <w:rsid w:val="00B80B18"/>
    <w:rsid w:val="00B8226E"/>
    <w:rsid w:val="00B8340F"/>
    <w:rsid w:val="00B85AC9"/>
    <w:rsid w:val="00B87DDF"/>
    <w:rsid w:val="00B87EEF"/>
    <w:rsid w:val="00B900BC"/>
    <w:rsid w:val="00B907F5"/>
    <w:rsid w:val="00B936AF"/>
    <w:rsid w:val="00B93A64"/>
    <w:rsid w:val="00B9785F"/>
    <w:rsid w:val="00B97F97"/>
    <w:rsid w:val="00BA085E"/>
    <w:rsid w:val="00BA2A31"/>
    <w:rsid w:val="00BA3E4A"/>
    <w:rsid w:val="00BA5DA4"/>
    <w:rsid w:val="00BB37B6"/>
    <w:rsid w:val="00BB3BB9"/>
    <w:rsid w:val="00BB3BD0"/>
    <w:rsid w:val="00BB494A"/>
    <w:rsid w:val="00BB5356"/>
    <w:rsid w:val="00BB6906"/>
    <w:rsid w:val="00BC0B5D"/>
    <w:rsid w:val="00BC3B53"/>
    <w:rsid w:val="00BC4982"/>
    <w:rsid w:val="00BC7321"/>
    <w:rsid w:val="00BE0612"/>
    <w:rsid w:val="00BE3264"/>
    <w:rsid w:val="00BE5174"/>
    <w:rsid w:val="00BE666A"/>
    <w:rsid w:val="00BE6B22"/>
    <w:rsid w:val="00BF0582"/>
    <w:rsid w:val="00BF1CBC"/>
    <w:rsid w:val="00BF5A19"/>
    <w:rsid w:val="00BF5AF8"/>
    <w:rsid w:val="00C0110B"/>
    <w:rsid w:val="00C04B46"/>
    <w:rsid w:val="00C21C93"/>
    <w:rsid w:val="00C24BE9"/>
    <w:rsid w:val="00C26369"/>
    <w:rsid w:val="00C2721E"/>
    <w:rsid w:val="00C27CDB"/>
    <w:rsid w:val="00C305B6"/>
    <w:rsid w:val="00C37E04"/>
    <w:rsid w:val="00C450F8"/>
    <w:rsid w:val="00C45EF8"/>
    <w:rsid w:val="00C50AE9"/>
    <w:rsid w:val="00C50E54"/>
    <w:rsid w:val="00C524B9"/>
    <w:rsid w:val="00C566B5"/>
    <w:rsid w:val="00C57631"/>
    <w:rsid w:val="00C61900"/>
    <w:rsid w:val="00C657A0"/>
    <w:rsid w:val="00C66C51"/>
    <w:rsid w:val="00C67494"/>
    <w:rsid w:val="00C75367"/>
    <w:rsid w:val="00C80205"/>
    <w:rsid w:val="00C86EF9"/>
    <w:rsid w:val="00C91215"/>
    <w:rsid w:val="00C9151D"/>
    <w:rsid w:val="00C91D3D"/>
    <w:rsid w:val="00C92BC3"/>
    <w:rsid w:val="00C95DCD"/>
    <w:rsid w:val="00C96E92"/>
    <w:rsid w:val="00CA0A3C"/>
    <w:rsid w:val="00CA1DFD"/>
    <w:rsid w:val="00CA2880"/>
    <w:rsid w:val="00CA419A"/>
    <w:rsid w:val="00CA42D6"/>
    <w:rsid w:val="00CA4BB9"/>
    <w:rsid w:val="00CA5F34"/>
    <w:rsid w:val="00CA7D31"/>
    <w:rsid w:val="00CB19E1"/>
    <w:rsid w:val="00CB1BEB"/>
    <w:rsid w:val="00CB5480"/>
    <w:rsid w:val="00CC1470"/>
    <w:rsid w:val="00CC5058"/>
    <w:rsid w:val="00CC554B"/>
    <w:rsid w:val="00CC77E6"/>
    <w:rsid w:val="00CC7C62"/>
    <w:rsid w:val="00CD3F6D"/>
    <w:rsid w:val="00CE0B35"/>
    <w:rsid w:val="00CE3D5F"/>
    <w:rsid w:val="00CE57E1"/>
    <w:rsid w:val="00CE768A"/>
    <w:rsid w:val="00CE7B55"/>
    <w:rsid w:val="00CF0339"/>
    <w:rsid w:val="00CF16EE"/>
    <w:rsid w:val="00CF4F79"/>
    <w:rsid w:val="00D02BA0"/>
    <w:rsid w:val="00D032A5"/>
    <w:rsid w:val="00D0467C"/>
    <w:rsid w:val="00D17F56"/>
    <w:rsid w:val="00D213B8"/>
    <w:rsid w:val="00D229F7"/>
    <w:rsid w:val="00D22AD5"/>
    <w:rsid w:val="00D22EB1"/>
    <w:rsid w:val="00D25E23"/>
    <w:rsid w:val="00D31B08"/>
    <w:rsid w:val="00D31FEF"/>
    <w:rsid w:val="00D32DD1"/>
    <w:rsid w:val="00D33E94"/>
    <w:rsid w:val="00D35489"/>
    <w:rsid w:val="00D42274"/>
    <w:rsid w:val="00D42858"/>
    <w:rsid w:val="00D46B70"/>
    <w:rsid w:val="00D47176"/>
    <w:rsid w:val="00D52DC4"/>
    <w:rsid w:val="00D55BEC"/>
    <w:rsid w:val="00D627D6"/>
    <w:rsid w:val="00D656A4"/>
    <w:rsid w:val="00D729AE"/>
    <w:rsid w:val="00D73971"/>
    <w:rsid w:val="00D77F44"/>
    <w:rsid w:val="00D82450"/>
    <w:rsid w:val="00D82659"/>
    <w:rsid w:val="00D83E3A"/>
    <w:rsid w:val="00D86CF5"/>
    <w:rsid w:val="00DA05E9"/>
    <w:rsid w:val="00DA744E"/>
    <w:rsid w:val="00DB1573"/>
    <w:rsid w:val="00DB2D53"/>
    <w:rsid w:val="00DB51D8"/>
    <w:rsid w:val="00DB7500"/>
    <w:rsid w:val="00DC545C"/>
    <w:rsid w:val="00DD0A06"/>
    <w:rsid w:val="00DD1F83"/>
    <w:rsid w:val="00DE05DE"/>
    <w:rsid w:val="00DE1689"/>
    <w:rsid w:val="00DE3C04"/>
    <w:rsid w:val="00DF1B84"/>
    <w:rsid w:val="00DF544F"/>
    <w:rsid w:val="00DF5AB6"/>
    <w:rsid w:val="00E00CD3"/>
    <w:rsid w:val="00E02487"/>
    <w:rsid w:val="00E064F2"/>
    <w:rsid w:val="00E11244"/>
    <w:rsid w:val="00E1349D"/>
    <w:rsid w:val="00E13901"/>
    <w:rsid w:val="00E2126F"/>
    <w:rsid w:val="00E247EA"/>
    <w:rsid w:val="00E2589F"/>
    <w:rsid w:val="00E279D1"/>
    <w:rsid w:val="00E3162F"/>
    <w:rsid w:val="00E51163"/>
    <w:rsid w:val="00E512FE"/>
    <w:rsid w:val="00E56137"/>
    <w:rsid w:val="00E5716D"/>
    <w:rsid w:val="00E60616"/>
    <w:rsid w:val="00E6671F"/>
    <w:rsid w:val="00E71E76"/>
    <w:rsid w:val="00E773B5"/>
    <w:rsid w:val="00E77E46"/>
    <w:rsid w:val="00E806B8"/>
    <w:rsid w:val="00E85398"/>
    <w:rsid w:val="00E978D5"/>
    <w:rsid w:val="00EA21CB"/>
    <w:rsid w:val="00EA7B42"/>
    <w:rsid w:val="00EB3A2D"/>
    <w:rsid w:val="00EB6406"/>
    <w:rsid w:val="00EC200C"/>
    <w:rsid w:val="00ED00C5"/>
    <w:rsid w:val="00ED0AA6"/>
    <w:rsid w:val="00ED26B2"/>
    <w:rsid w:val="00ED3A63"/>
    <w:rsid w:val="00ED5069"/>
    <w:rsid w:val="00ED5B23"/>
    <w:rsid w:val="00ED61F8"/>
    <w:rsid w:val="00ED6865"/>
    <w:rsid w:val="00EE2E4E"/>
    <w:rsid w:val="00EE47D4"/>
    <w:rsid w:val="00EF6D1E"/>
    <w:rsid w:val="00F00291"/>
    <w:rsid w:val="00F10108"/>
    <w:rsid w:val="00F117A3"/>
    <w:rsid w:val="00F12A1D"/>
    <w:rsid w:val="00F14897"/>
    <w:rsid w:val="00F14D6C"/>
    <w:rsid w:val="00F15ECD"/>
    <w:rsid w:val="00F160DE"/>
    <w:rsid w:val="00F16239"/>
    <w:rsid w:val="00F16546"/>
    <w:rsid w:val="00F17985"/>
    <w:rsid w:val="00F217FC"/>
    <w:rsid w:val="00F25BFF"/>
    <w:rsid w:val="00F31C3C"/>
    <w:rsid w:val="00F31F68"/>
    <w:rsid w:val="00F3474B"/>
    <w:rsid w:val="00F41FC4"/>
    <w:rsid w:val="00F462CF"/>
    <w:rsid w:val="00F47AFE"/>
    <w:rsid w:val="00F53115"/>
    <w:rsid w:val="00F572D4"/>
    <w:rsid w:val="00F6024D"/>
    <w:rsid w:val="00F610C3"/>
    <w:rsid w:val="00F61759"/>
    <w:rsid w:val="00F61898"/>
    <w:rsid w:val="00F62A26"/>
    <w:rsid w:val="00F6791A"/>
    <w:rsid w:val="00F72D0A"/>
    <w:rsid w:val="00F85A19"/>
    <w:rsid w:val="00F85F9A"/>
    <w:rsid w:val="00F8628D"/>
    <w:rsid w:val="00F87675"/>
    <w:rsid w:val="00F9062D"/>
    <w:rsid w:val="00F9151D"/>
    <w:rsid w:val="00F9235F"/>
    <w:rsid w:val="00F950FC"/>
    <w:rsid w:val="00F954A5"/>
    <w:rsid w:val="00FA26B8"/>
    <w:rsid w:val="00FA6B2B"/>
    <w:rsid w:val="00FB2483"/>
    <w:rsid w:val="00FB63A6"/>
    <w:rsid w:val="00FB6E32"/>
    <w:rsid w:val="00FC03CD"/>
    <w:rsid w:val="00FC282C"/>
    <w:rsid w:val="00FC505C"/>
    <w:rsid w:val="00FC5C91"/>
    <w:rsid w:val="00FC7B16"/>
    <w:rsid w:val="00FD2293"/>
    <w:rsid w:val="00FD2981"/>
    <w:rsid w:val="00FD2B0C"/>
    <w:rsid w:val="00FD2EE3"/>
    <w:rsid w:val="00FD37BF"/>
    <w:rsid w:val="00FE257E"/>
    <w:rsid w:val="00FE2593"/>
    <w:rsid w:val="00FE2674"/>
    <w:rsid w:val="00FE54E5"/>
    <w:rsid w:val="00FE609F"/>
    <w:rsid w:val="00FF013F"/>
    <w:rsid w:val="00FF156C"/>
    <w:rsid w:val="00FF1E88"/>
    <w:rsid w:val="00FF4D9E"/>
    <w:rsid w:val="00FF5D32"/>
    <w:rsid w:val="02B24317"/>
    <w:rsid w:val="0454BB20"/>
    <w:rsid w:val="053BEDB4"/>
    <w:rsid w:val="05A6AD3D"/>
    <w:rsid w:val="06BB55BF"/>
    <w:rsid w:val="0BA13924"/>
    <w:rsid w:val="0C4F21AC"/>
    <w:rsid w:val="0CC66710"/>
    <w:rsid w:val="0D9EA102"/>
    <w:rsid w:val="0F1C00D1"/>
    <w:rsid w:val="11FBF5F8"/>
    <w:rsid w:val="13403EF4"/>
    <w:rsid w:val="149FE4D0"/>
    <w:rsid w:val="15B65FD2"/>
    <w:rsid w:val="16063C1D"/>
    <w:rsid w:val="180F630C"/>
    <w:rsid w:val="181F55E5"/>
    <w:rsid w:val="1AF7341B"/>
    <w:rsid w:val="1B18C69E"/>
    <w:rsid w:val="1C03A45D"/>
    <w:rsid w:val="1D1AFE9D"/>
    <w:rsid w:val="1D3AC3F0"/>
    <w:rsid w:val="1DD18FE0"/>
    <w:rsid w:val="1F479EC8"/>
    <w:rsid w:val="1F6B177F"/>
    <w:rsid w:val="2121F89C"/>
    <w:rsid w:val="2A587AA7"/>
    <w:rsid w:val="2CD7C33F"/>
    <w:rsid w:val="2F7084F5"/>
    <w:rsid w:val="3006AA9F"/>
    <w:rsid w:val="303F4746"/>
    <w:rsid w:val="331A2C7E"/>
    <w:rsid w:val="35CD024A"/>
    <w:rsid w:val="3814D5E5"/>
    <w:rsid w:val="381C0464"/>
    <w:rsid w:val="383CBC06"/>
    <w:rsid w:val="3EB84F14"/>
    <w:rsid w:val="41862D83"/>
    <w:rsid w:val="42509A9E"/>
    <w:rsid w:val="4500B10C"/>
    <w:rsid w:val="45341EAE"/>
    <w:rsid w:val="45464FB1"/>
    <w:rsid w:val="45AC9826"/>
    <w:rsid w:val="4947103C"/>
    <w:rsid w:val="4E2B5081"/>
    <w:rsid w:val="4E547346"/>
    <w:rsid w:val="5184F8C7"/>
    <w:rsid w:val="535045F6"/>
    <w:rsid w:val="540D61C4"/>
    <w:rsid w:val="587F254A"/>
    <w:rsid w:val="597297C7"/>
    <w:rsid w:val="5C82A288"/>
    <w:rsid w:val="5F8A3A3E"/>
    <w:rsid w:val="62867BE6"/>
    <w:rsid w:val="62B38562"/>
    <w:rsid w:val="6323B1AE"/>
    <w:rsid w:val="64201C8B"/>
    <w:rsid w:val="670FC165"/>
    <w:rsid w:val="6A7B46AF"/>
    <w:rsid w:val="6B9500E7"/>
    <w:rsid w:val="6BD791AF"/>
    <w:rsid w:val="6FFD897E"/>
    <w:rsid w:val="7415BA97"/>
    <w:rsid w:val="74E61CFC"/>
    <w:rsid w:val="76B85D1D"/>
    <w:rsid w:val="7833AC02"/>
    <w:rsid w:val="7B4726B1"/>
    <w:rsid w:val="7B712D8C"/>
    <w:rsid w:val="7E040AFB"/>
    <w:rsid w:val="7FA42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0627EF"/>
    <w:pPr>
      <w:spacing w:after="0" w:line="240" w:lineRule="auto"/>
      <w:ind w:left="360"/>
    </w:pPr>
    <w:rPr>
      <w:rFonts w:asciiTheme="minorHAnsi" w:hAnsiTheme="minorHAnsi" w:cstheme="minorBidi"/>
      <w:bCs/>
      <w:sz w:val="20"/>
      <w:szCs w:val="20"/>
    </w:rPr>
  </w:style>
  <w:style w:type="character" w:customStyle="1" w:styleId="TickboxesChar">
    <w:name w:val="Tick boxes Char"/>
    <w:basedOn w:val="DefaultParagraphFont"/>
    <w:link w:val="Tickboxes"/>
    <w:rsid w:val="000627EF"/>
    <w:rPr>
      <w:rFonts w:asciiTheme="minorHAnsi" w:hAnsiTheme="minorHAnsi" w:cstheme="minorBidi"/>
      <w:bCs/>
      <w:sz w:val="20"/>
      <w:szCs w:val="20"/>
    </w:rPr>
  </w:style>
  <w:style w:type="paragraph" w:styleId="NormalWeb">
    <w:name w:val="Normal (Web)"/>
    <w:basedOn w:val="Normal"/>
    <w:uiPriority w:val="99"/>
    <w:semiHidden/>
    <w:unhideWhenUsed/>
    <w:rsid w:val="000627EF"/>
    <w:pPr>
      <w:spacing w:before="100" w:beforeAutospacing="1" w:after="100" w:afterAutospacing="1" w:line="240" w:lineRule="auto"/>
    </w:pPr>
    <w:rPr>
      <w:rFonts w:eastAsia="Times New Roman"/>
      <w:lang w:eastAsia="en-AU"/>
    </w:rPr>
  </w:style>
  <w:style w:type="character" w:styleId="CommentReference">
    <w:name w:val="annotation reference"/>
    <w:basedOn w:val="DefaultParagraphFont"/>
    <w:uiPriority w:val="99"/>
    <w:semiHidden/>
    <w:unhideWhenUsed/>
    <w:rsid w:val="0039430A"/>
    <w:rPr>
      <w:sz w:val="16"/>
      <w:szCs w:val="16"/>
    </w:rPr>
  </w:style>
  <w:style w:type="paragraph" w:styleId="CommentText">
    <w:name w:val="annotation text"/>
    <w:basedOn w:val="Normal"/>
    <w:link w:val="CommentTextChar"/>
    <w:uiPriority w:val="99"/>
    <w:unhideWhenUsed/>
    <w:rsid w:val="0039430A"/>
    <w:pPr>
      <w:spacing w:line="240" w:lineRule="auto"/>
    </w:pPr>
    <w:rPr>
      <w:sz w:val="20"/>
      <w:szCs w:val="20"/>
    </w:rPr>
  </w:style>
  <w:style w:type="character" w:customStyle="1" w:styleId="CommentTextChar">
    <w:name w:val="Comment Text Char"/>
    <w:basedOn w:val="DefaultParagraphFont"/>
    <w:link w:val="CommentText"/>
    <w:uiPriority w:val="99"/>
    <w:rsid w:val="0039430A"/>
    <w:rPr>
      <w:sz w:val="20"/>
      <w:szCs w:val="20"/>
    </w:rPr>
  </w:style>
  <w:style w:type="paragraph" w:styleId="CommentSubject">
    <w:name w:val="annotation subject"/>
    <w:basedOn w:val="CommentText"/>
    <w:next w:val="CommentText"/>
    <w:link w:val="CommentSubjectChar"/>
    <w:uiPriority w:val="99"/>
    <w:semiHidden/>
    <w:unhideWhenUsed/>
    <w:rsid w:val="0039430A"/>
    <w:rPr>
      <w:b/>
      <w:bCs/>
    </w:rPr>
  </w:style>
  <w:style w:type="character" w:customStyle="1" w:styleId="CommentSubjectChar">
    <w:name w:val="Comment Subject Char"/>
    <w:basedOn w:val="CommentTextChar"/>
    <w:link w:val="CommentSubject"/>
    <w:uiPriority w:val="99"/>
    <w:semiHidden/>
    <w:rsid w:val="0039430A"/>
    <w:rPr>
      <w:b/>
      <w:bCs/>
      <w:sz w:val="20"/>
      <w:szCs w:val="20"/>
    </w:rPr>
  </w:style>
  <w:style w:type="character" w:styleId="Hyperlink">
    <w:name w:val="Hyperlink"/>
    <w:basedOn w:val="DefaultParagraphFont"/>
    <w:uiPriority w:val="99"/>
    <w:unhideWhenUsed/>
    <w:rsid w:val="006402D1"/>
    <w:rPr>
      <w:color w:val="0563C1" w:themeColor="hyperlink"/>
      <w:u w:val="single"/>
    </w:rPr>
  </w:style>
  <w:style w:type="character" w:styleId="UnresolvedMention">
    <w:name w:val="Unresolved Mention"/>
    <w:basedOn w:val="DefaultParagraphFont"/>
    <w:uiPriority w:val="99"/>
    <w:semiHidden/>
    <w:unhideWhenUsed/>
    <w:rsid w:val="006402D1"/>
    <w:rPr>
      <w:color w:val="605E5C"/>
      <w:shd w:val="clear" w:color="auto" w:fill="E1DFDD"/>
    </w:rPr>
  </w:style>
  <w:style w:type="character" w:styleId="FollowedHyperlink">
    <w:name w:val="FollowedHyperlink"/>
    <w:basedOn w:val="DefaultParagraphFont"/>
    <w:uiPriority w:val="99"/>
    <w:semiHidden/>
    <w:unhideWhenUsed/>
    <w:rsid w:val="00C0110B"/>
    <w:rPr>
      <w:color w:val="954F72" w:themeColor="followedHyperlink"/>
      <w:u w:val="single"/>
    </w:rPr>
  </w:style>
  <w:style w:type="paragraph" w:customStyle="1" w:styleId="Default">
    <w:name w:val="Default"/>
    <w:rsid w:val="003526CA"/>
    <w:pPr>
      <w:autoSpaceDE w:val="0"/>
      <w:autoSpaceDN w:val="0"/>
      <w:adjustRightInd w:val="0"/>
      <w:spacing w:after="0" w:line="240" w:lineRule="auto"/>
    </w:pPr>
    <w:rPr>
      <w:rFonts w:ascii="Segoe UI" w:hAnsi="Segoe UI" w:cs="Segoe UI"/>
      <w:color w:val="000000"/>
    </w:rPr>
  </w:style>
  <w:style w:type="paragraph" w:styleId="Caption">
    <w:name w:val="caption"/>
    <w:basedOn w:val="Normal"/>
    <w:next w:val="Normal"/>
    <w:uiPriority w:val="35"/>
    <w:unhideWhenUsed/>
    <w:qFormat/>
    <w:rsid w:val="0026149D"/>
    <w:pPr>
      <w:spacing w:after="200" w:line="240" w:lineRule="auto"/>
    </w:pPr>
    <w:rPr>
      <w:i/>
      <w:iCs/>
      <w:color w:val="44546A" w:themeColor="text2"/>
      <w:sz w:val="18"/>
      <w:szCs w:val="18"/>
    </w:rPr>
  </w:style>
  <w:style w:type="paragraph" w:styleId="Revision">
    <w:name w:val="Revision"/>
    <w:hidden/>
    <w:uiPriority w:val="99"/>
    <w:semiHidden/>
    <w:rsid w:val="00A14590"/>
    <w:pPr>
      <w:spacing w:after="0" w:line="240" w:lineRule="auto"/>
    </w:pPr>
  </w:style>
  <w:style w:type="character" w:styleId="Mention">
    <w:name w:val="Mention"/>
    <w:basedOn w:val="DefaultParagraphFont"/>
    <w:uiPriority w:val="99"/>
    <w:unhideWhenUsed/>
    <w:rsid w:val="001A66FF"/>
    <w:rPr>
      <w:color w:val="2B579A"/>
      <w:shd w:val="clear" w:color="auto" w:fill="E1DFDD"/>
    </w:rPr>
  </w:style>
  <w:style w:type="paragraph" w:styleId="ListParagraph">
    <w:name w:val="List Paragraph"/>
    <w:basedOn w:val="Normal"/>
    <w:uiPriority w:val="34"/>
    <w:qFormat/>
    <w:rsid w:val="003B68E2"/>
    <w:pPr>
      <w:ind w:left="720"/>
      <w:contextualSpacing/>
    </w:pPr>
  </w:style>
  <w:style w:type="paragraph" w:styleId="Title">
    <w:name w:val="Title"/>
    <w:basedOn w:val="Normal"/>
    <w:next w:val="Normal"/>
    <w:link w:val="TitleChar"/>
    <w:uiPriority w:val="10"/>
    <w:qFormat/>
    <w:rsid w:val="00CE57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E1"/>
    <w:pPr>
      <w:numPr>
        <w:ilvl w:val="1"/>
      </w:numPr>
      <w:spacing w:line="240"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E57E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661">
      <w:bodyDiv w:val="1"/>
      <w:marLeft w:val="0"/>
      <w:marRight w:val="0"/>
      <w:marTop w:val="0"/>
      <w:marBottom w:val="0"/>
      <w:divBdr>
        <w:top w:val="none" w:sz="0" w:space="0" w:color="auto"/>
        <w:left w:val="none" w:sz="0" w:space="0" w:color="auto"/>
        <w:bottom w:val="none" w:sz="0" w:space="0" w:color="auto"/>
        <w:right w:val="none" w:sz="0" w:space="0" w:color="auto"/>
      </w:divBdr>
    </w:div>
    <w:div w:id="1755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doi.org/10.1016/%20j.annonc.2025.10.006" TargetMode="External"/><Relationship Id="rId3" Type="http://schemas.openxmlformats.org/officeDocument/2006/relationships/styles" Target="styles.xml"/><Relationship Id="rId21" Type="http://schemas.openxmlformats.org/officeDocument/2006/relationships/hyperlink" Target="https://doi.org/10.1158/1538-7445.SABCS20-PS18-15"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nejm.org/doi/full/10.1056/NEJMoa2502929"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186/s13058-021-014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thelancet.com/journals/lanonc/article/PIIS1470-2045(22)00555-1/fulltex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D2DE-39C5-401D-9785-68455DE9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5146</Words>
  <Characters>30158</Characters>
  <Application>Microsoft Office Word</Application>
  <DocSecurity>0</DocSecurity>
  <Lines>773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Links>
    <vt:vector size="48" baseType="variant">
      <vt:variant>
        <vt:i4>5308483</vt:i4>
      </vt:variant>
      <vt:variant>
        <vt:i4>90</vt:i4>
      </vt:variant>
      <vt:variant>
        <vt:i4>0</vt:i4>
      </vt:variant>
      <vt:variant>
        <vt:i4>5</vt:i4>
      </vt:variant>
      <vt:variant>
        <vt:lpwstr>https://doi.org/10.1158/1538-7445.SABCS20-PS18-15</vt:lpwstr>
      </vt:variant>
      <vt:variant>
        <vt:lpwstr/>
      </vt:variant>
      <vt:variant>
        <vt:i4>2490416</vt:i4>
      </vt:variant>
      <vt:variant>
        <vt:i4>87</vt:i4>
      </vt:variant>
      <vt:variant>
        <vt:i4>0</vt:i4>
      </vt:variant>
      <vt:variant>
        <vt:i4>5</vt:i4>
      </vt:variant>
      <vt:variant>
        <vt:lpwstr>https://doi.org/10.1186/s13058-021-01462-3</vt:lpwstr>
      </vt:variant>
      <vt:variant>
        <vt:lpwstr/>
      </vt:variant>
      <vt:variant>
        <vt:i4>3670066</vt:i4>
      </vt:variant>
      <vt:variant>
        <vt:i4>84</vt:i4>
      </vt:variant>
      <vt:variant>
        <vt:i4>0</vt:i4>
      </vt:variant>
      <vt:variant>
        <vt:i4>5</vt:i4>
      </vt:variant>
      <vt:variant>
        <vt:lpwstr>https://www.thelancet.com/journals/lanonc/article/PIIS1470-2045(22)00555-1/fulltext</vt:lpwstr>
      </vt:variant>
      <vt:variant>
        <vt:lpwstr/>
      </vt:variant>
      <vt:variant>
        <vt:i4>1900574</vt:i4>
      </vt:variant>
      <vt:variant>
        <vt:i4>81</vt:i4>
      </vt:variant>
      <vt:variant>
        <vt:i4>0</vt:i4>
      </vt:variant>
      <vt:variant>
        <vt:i4>5</vt:i4>
      </vt:variant>
      <vt:variant>
        <vt:lpwstr>https://doi.org/10.1016/ j.annonc.2025.10.006</vt:lpwstr>
      </vt:variant>
      <vt:variant>
        <vt:lpwstr/>
      </vt:variant>
      <vt:variant>
        <vt:i4>2555943</vt:i4>
      </vt:variant>
      <vt:variant>
        <vt:i4>78</vt:i4>
      </vt:variant>
      <vt:variant>
        <vt:i4>0</vt:i4>
      </vt:variant>
      <vt:variant>
        <vt:i4>5</vt:i4>
      </vt:variant>
      <vt:variant>
        <vt:lpwstr>https://www.nejm.org/doi/full/10.1056/NEJMoa2502929</vt:lpwstr>
      </vt:variant>
      <vt:variant>
        <vt:lpwstr/>
      </vt:variant>
      <vt:variant>
        <vt:i4>8257539</vt:i4>
      </vt:variant>
      <vt:variant>
        <vt:i4>6</vt:i4>
      </vt:variant>
      <vt:variant>
        <vt:i4>0</vt:i4>
      </vt:variant>
      <vt:variant>
        <vt:i4>5</vt:i4>
      </vt:variant>
      <vt:variant>
        <vt:lpwstr>mailto:kkxg787@astrazeneca.net</vt:lpwstr>
      </vt:variant>
      <vt:variant>
        <vt:lpwstr/>
      </vt:variant>
      <vt:variant>
        <vt:i4>8257539</vt:i4>
      </vt:variant>
      <vt:variant>
        <vt:i4>3</vt:i4>
      </vt:variant>
      <vt:variant>
        <vt:i4>0</vt:i4>
      </vt:variant>
      <vt:variant>
        <vt:i4>5</vt:i4>
      </vt:variant>
      <vt:variant>
        <vt:lpwstr>mailto:kkxg787@astrazeneca.net</vt:lpwstr>
      </vt:variant>
      <vt:variant>
        <vt:lpwstr/>
      </vt:variant>
      <vt:variant>
        <vt:i4>8257539</vt:i4>
      </vt:variant>
      <vt:variant>
        <vt:i4>0</vt:i4>
      </vt:variant>
      <vt:variant>
        <vt:i4>0</vt:i4>
      </vt:variant>
      <vt:variant>
        <vt:i4>5</vt:i4>
      </vt:variant>
      <vt:variant>
        <vt:lpwstr>mailto:kkxg787@astrazeneca.net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2026-01-27T03:02:00Z</dcterms:created>
  <dcterms:modified xsi:type="dcterms:W3CDTF">2026-01-27T03:06:00Z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5d50582a,4f577d58,1c1e2f1c,416b1a65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1422d760,5ab56a62,3ad9ffe1,28ea6f7e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2026-01-27T03:02:36Z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01d6cb7c-a500-459c-a2e0-15dd5ab4dd19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