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7CE325B1" w:rsidR="00133449" w:rsidRPr="0065027C" w:rsidRDefault="00D34EF1"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1815</w:t>
      </w:r>
    </w:p>
    <w:p w14:paraId="3802E353" w14:textId="77777777" w:rsidR="001A6A67" w:rsidRDefault="001A6A67" w:rsidP="001A6A67">
      <w:pPr>
        <w:jc w:val="center"/>
        <w:rPr>
          <w:rFonts w:ascii="Segoe UI" w:eastAsiaTheme="minorHAnsi" w:hAnsi="Segoe UI" w:cs="Segoe UI"/>
          <w:b/>
          <w:bCs/>
          <w:color w:val="153D63" w:themeColor="text2" w:themeTint="E6"/>
          <w:spacing w:val="15"/>
          <w:sz w:val="48"/>
          <w:szCs w:val="48"/>
          <w:lang w:eastAsia="en-US"/>
        </w:rPr>
      </w:pPr>
      <w:r w:rsidRPr="001A6A67">
        <w:rPr>
          <w:rFonts w:ascii="Segoe UI" w:eastAsiaTheme="minorHAnsi" w:hAnsi="Segoe UI" w:cs="Segoe UI"/>
          <w:b/>
          <w:bCs/>
          <w:color w:val="153D63" w:themeColor="text2" w:themeTint="E6"/>
          <w:spacing w:val="15"/>
          <w:sz w:val="48"/>
          <w:szCs w:val="48"/>
          <w:lang w:eastAsia="en-US"/>
        </w:rPr>
        <w:t>Computed tomography (CT) of the coronary arteries to determine coronary artery calcium score</w:t>
      </w:r>
    </w:p>
    <w:p w14:paraId="08D98030" w14:textId="00682FEA"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HPP200370</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New item number and reimbursement for coronary artery calcium scoring</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CAD FRONTIERS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93662094626</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Coronary atherosclerosis is a disease in which cholesterol, and other substances accumulate in the walls of the blood vessels supplying the heart muscle, causing the vessels to harden and narrow, and increasing a person's risk of a heart attack. Subclinical atherosclerosis is a very common condition where these fatty deposits (atherosclerotic plaques) are present in the heart's blood vessels, but haven't yet caused any symptoms or signs of disease. Subclinical atherosclerosis affects people of any age, even young people, and if left untreated, can lead to a life-threatening heart attack.</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A coronary artery calcium score is a number that indicates the amount of atherosclerotic plaque present in the walls of the blood vessels (arteries) supplying the heart muscle. A higher score indicates that more plaque is present, and that a person has a higher risk of having a heart attack or stroke. The score is measured using a quick, non-invasive computed tomography (CT) scan of the heart that does not require any injections of dye or contrast material. The scanner detects tiny calcium deposits, which are a sign of atherosclerotic plaque. A coronary artery calcium score can be used, along with other risk factors like high blood pressure, cholesterol, smoking, diabetes and family history to help a patient and their doctor decide on the medications and lifestyle changes that will work best for them.</w:t>
      </w:r>
    </w:p>
    <w:p w14:paraId="6B61DA55" w14:textId="77777777" w:rsidR="00133449" w:rsidRPr="0010048D" w:rsidRDefault="00133449" w:rsidP="00133449">
      <w:pPr>
        <w:pStyle w:val="Heading1"/>
        <w:rPr>
          <w:rFonts w:cs="Segoe UI"/>
        </w:rPr>
      </w:pPr>
      <w:r w:rsidRPr="0010048D">
        <w:rPr>
          <w:rFonts w:cs="Segoe UI"/>
        </w:rPr>
        <w:lastRenderedPageBreak/>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CAD FRONTIERS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526A43B2" w14:textId="14ACDC74"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2686730F" w14:textId="469218B2" w:rsidR="00133449" w:rsidRPr="005B57C1"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5E23C160"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49DF4F00" w14:textId="0142DE42" w:rsidR="00133449" w:rsidRPr="0010048D" w:rsidRDefault="00133449" w:rsidP="00133449">
      <w:pPr>
        <w:rPr>
          <w:rFonts w:ascii="Segoe UI" w:eastAsia="Segoe UI" w:hAnsi="Segoe UI" w:cs="Segoe UI"/>
          <w:color w:val="000000"/>
        </w:rPr>
      </w:pPr>
      <w:r w:rsidRPr="005B57C1">
        <w:rPr>
          <w:rFonts w:ascii="Segoe UI" w:eastAsia="Segoe UI" w:hAnsi="Segoe UI" w:cs="Segoe UI"/>
          <w:color w:val="000000"/>
        </w:rPr>
        <w:t>Computed tomography scans</w:t>
      </w:r>
    </w:p>
    <w:p w14:paraId="16E68CEB" w14:textId="77777777" w:rsidR="00133449" w:rsidRPr="0010048D" w:rsidRDefault="00133449" w:rsidP="00133449">
      <w:pPr>
        <w:pStyle w:val="Heading1"/>
        <w:rPr>
          <w:rFonts w:cs="Segoe UI"/>
        </w:rPr>
      </w:pPr>
      <w:r w:rsidRPr="0010048D">
        <w:rPr>
          <w:rFonts w:cs="Segoe UI"/>
        </w:rPr>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p w14:paraId="21F77E1C" w14:textId="70EE679F" w:rsidR="003E71E2" w:rsidRDefault="003E71E2" w:rsidP="00133449">
      <w:pPr>
        <w:rPr>
          <w:rFonts w:ascii="Segoe UI" w:hAnsi="Segoe UI" w:cs="Segoe UI"/>
        </w:rPr>
      </w:pPr>
      <w:r w:rsidRPr="003E71E2">
        <w:rPr>
          <w:rFonts w:ascii="Segoe UI" w:hAnsi="Segoe UI" w:cs="Segoe UI"/>
        </w:rPr>
        <w:t>New item number and reimbursement for coronary artery calcium scoring</w:t>
      </w:r>
      <w:r>
        <w:rPr>
          <w:rFonts w:ascii="Segoe UI" w:hAnsi="Segoe UI" w:cs="Segoe UI"/>
        </w:rPr>
        <w:t>.</w:t>
      </w:r>
    </w:p>
    <w:p w14:paraId="75607893" w14:textId="5F2C0D08" w:rsidR="003E71E2" w:rsidRDefault="003E71E2" w:rsidP="00133449">
      <w:pPr>
        <w:rPr>
          <w:rFonts w:ascii="Segoe UI" w:hAnsi="Segoe UI" w:cs="Segoe UI"/>
          <w:b/>
        </w:rPr>
      </w:pPr>
      <w:r w:rsidRPr="003E71E2">
        <w:rPr>
          <w:rFonts w:ascii="Segoe UI" w:hAnsi="Segoe UI" w:cs="Segoe UI"/>
          <w:b/>
        </w:rPr>
        <w:t>State the purpose(s) of the health technology for this PICO set and provide a rationale:</w:t>
      </w:r>
    </w:p>
    <w:p w14:paraId="5B0F2281" w14:textId="2EADEA5A" w:rsidR="003E71E2" w:rsidRDefault="003E71E2" w:rsidP="00133449">
      <w:pPr>
        <w:rPr>
          <w:rFonts w:ascii="Segoe UI" w:hAnsi="Segoe UI" w:cs="Segoe UI"/>
          <w:b/>
          <w:bCs/>
        </w:rPr>
      </w:pPr>
      <w:r w:rsidRPr="003E71E2">
        <w:rPr>
          <w:rFonts w:ascii="Segoe UI" w:hAnsi="Segoe UI" w:cs="Segoe UI"/>
          <w:b/>
          <w:bCs/>
        </w:rPr>
        <w:t>Purpose category:</w:t>
      </w:r>
    </w:p>
    <w:p w14:paraId="7C35EEED" w14:textId="2162B38C" w:rsidR="003E71E2" w:rsidRPr="003E71E2" w:rsidRDefault="003E71E2" w:rsidP="00133449">
      <w:pPr>
        <w:rPr>
          <w:rFonts w:ascii="Segoe UI" w:hAnsi="Segoe UI" w:cs="Segoe UI"/>
        </w:rPr>
      </w:pPr>
      <w:r>
        <w:rPr>
          <w:rFonts w:ascii="Segoe UI" w:hAnsi="Segoe UI" w:cs="Segoe UI"/>
        </w:rPr>
        <w:t>Target testing</w:t>
      </w:r>
    </w:p>
    <w:p w14:paraId="05CD0A31" w14:textId="77777777" w:rsidR="003E71E2" w:rsidRDefault="003E71E2" w:rsidP="00133449">
      <w:pPr>
        <w:rPr>
          <w:rFonts w:ascii="Segoe UI" w:hAnsi="Segoe UI" w:cs="Segoe UI"/>
          <w:b/>
          <w:bCs/>
        </w:rPr>
      </w:pPr>
      <w:r>
        <w:rPr>
          <w:rFonts w:ascii="Segoe UI" w:hAnsi="Segoe UI" w:cs="Segoe UI"/>
          <w:b/>
          <w:bCs/>
        </w:rPr>
        <w:t>Purpose description:</w:t>
      </w:r>
    </w:p>
    <w:p w14:paraId="358D3966" w14:textId="260CA077" w:rsidR="00133449" w:rsidRDefault="007B5BCE" w:rsidP="00133449">
      <w:pPr>
        <w:rPr>
          <w:rFonts w:ascii="Segoe UI" w:hAnsi="Segoe UI" w:cs="Segoe UI"/>
        </w:rPr>
      </w:pPr>
      <w:r w:rsidRPr="007B5BCE">
        <w:rPr>
          <w:rFonts w:ascii="Segoe UI" w:hAnsi="Segoe UI" w:cs="Segoe UI"/>
        </w:rPr>
        <w:t>To test currently unaffected or asymptomatic individual(s) identified as at increased risk for the condition. For example: cascade testing</w:t>
      </w:r>
      <w:r w:rsidR="003E71E2">
        <w:rPr>
          <w:rFonts w:ascii="Segoe UI" w:hAnsi="Segoe UI" w:cs="Segoe UI"/>
        </w:rPr>
        <w:t>.</w:t>
      </w:r>
    </w:p>
    <w:p w14:paraId="13A64952" w14:textId="353EC7D9" w:rsidR="003E71E2" w:rsidRDefault="003E71E2" w:rsidP="00133449">
      <w:pPr>
        <w:rPr>
          <w:rFonts w:ascii="Segoe UI" w:hAnsi="Segoe UI" w:cs="Segoe UI"/>
          <w:b/>
          <w:bCs/>
        </w:rPr>
      </w:pPr>
      <w:r>
        <w:rPr>
          <w:rFonts w:ascii="Segoe UI" w:hAnsi="Segoe UI" w:cs="Segoe UI"/>
          <w:b/>
          <w:bCs/>
        </w:rPr>
        <w:t>Purpose category:</w:t>
      </w:r>
    </w:p>
    <w:p w14:paraId="55C848CB" w14:textId="21158877" w:rsidR="003E71E2" w:rsidRDefault="003E71E2" w:rsidP="00133449">
      <w:pPr>
        <w:rPr>
          <w:rFonts w:ascii="Segoe UI" w:hAnsi="Segoe UI" w:cs="Segoe UI"/>
        </w:rPr>
      </w:pPr>
      <w:r>
        <w:rPr>
          <w:rFonts w:ascii="Segoe UI" w:hAnsi="Segoe UI" w:cs="Segoe UI"/>
        </w:rPr>
        <w:t>Value of knowing</w:t>
      </w:r>
    </w:p>
    <w:p w14:paraId="57D59DDC" w14:textId="33BB410C" w:rsidR="003E71E2" w:rsidRDefault="003E71E2" w:rsidP="00133449">
      <w:pPr>
        <w:rPr>
          <w:rFonts w:ascii="Segoe UI" w:hAnsi="Segoe UI" w:cs="Segoe UI"/>
          <w:b/>
          <w:bCs/>
        </w:rPr>
      </w:pPr>
      <w:r>
        <w:rPr>
          <w:rFonts w:ascii="Segoe UI" w:hAnsi="Segoe UI" w:cs="Segoe UI"/>
          <w:b/>
          <w:bCs/>
        </w:rPr>
        <w:t>Purpose description:</w:t>
      </w:r>
    </w:p>
    <w:p w14:paraId="746D56F8" w14:textId="5A46BD37" w:rsidR="003E71E2" w:rsidRPr="00626849" w:rsidRDefault="00626849" w:rsidP="00133449">
      <w:pPr>
        <w:rPr>
          <w:rFonts w:ascii="Segoe UI" w:hAnsi="Segoe UI" w:cs="Segoe UI"/>
        </w:rPr>
      </w:pPr>
      <w:r w:rsidRPr="00626849">
        <w:rPr>
          <w:rFonts w:ascii="Segoe UI" w:hAnsi="Segoe UI" w:cs="Segoe UI"/>
        </w:rPr>
        <w:t>Tests may also provide additional non-health value to patients or to their family members and carers, and discussion of these outcomes could supplement an assessment of the clinical utility of the technology</w:t>
      </w:r>
      <w:r>
        <w:rPr>
          <w:rFonts w:ascii="Segoe UI" w:hAnsi="Segoe UI" w:cs="Segoe UI"/>
        </w:rPr>
        <w:t>.</w:t>
      </w:r>
    </w:p>
    <w:p w14:paraId="7B183217" w14:textId="1B29C785" w:rsidR="007B5BCE" w:rsidRDefault="007B5BCE" w:rsidP="007B5BCE">
      <w:pPr>
        <w:pStyle w:val="Heading1"/>
        <w:rPr>
          <w:rFonts w:cs="Segoe UI"/>
        </w:rPr>
      </w:pPr>
      <w:r>
        <w:rPr>
          <w:rFonts w:cs="Segoe UI"/>
        </w:rPr>
        <w:t>Population</w:t>
      </w:r>
    </w:p>
    <w:p w14:paraId="0B4ED5C8" w14:textId="77777777" w:rsidR="007B5BCE" w:rsidRPr="007B5BCE" w:rsidRDefault="007B5BCE" w:rsidP="007B5BCE">
      <w:pPr>
        <w:rPr>
          <w:rFonts w:ascii="Segoe UI" w:hAnsi="Segoe UI" w:cs="Segoe UI"/>
          <w:b/>
          <w:bCs/>
        </w:rPr>
      </w:pPr>
      <w:r w:rsidRPr="007B5BCE">
        <w:rPr>
          <w:rFonts w:ascii="Segoe UI" w:hAnsi="Segoe UI" w:cs="Segoe UI"/>
          <w:b/>
          <w:bCs/>
        </w:rPr>
        <w:t>Describe the population in which the proposed health technology is intended to be used:</w:t>
      </w:r>
    </w:p>
    <w:p w14:paraId="6A6C21E3" w14:textId="77777777" w:rsidR="007B5BCE" w:rsidRPr="007B5BCE" w:rsidRDefault="007B5BCE" w:rsidP="007B5BCE">
      <w:pPr>
        <w:rPr>
          <w:rFonts w:ascii="Segoe UI" w:hAnsi="Segoe UI" w:cs="Segoe UI"/>
        </w:rPr>
      </w:pPr>
      <w:r w:rsidRPr="007B5BCE">
        <w:rPr>
          <w:rFonts w:ascii="Segoe UI" w:hAnsi="Segoe UI" w:cs="Segoe UI"/>
        </w:rPr>
        <w:t>Asymptomatic Australian patients 45 – 79 years of age who do not have known coronary artery disease and who are:</w:t>
      </w:r>
    </w:p>
    <w:p w14:paraId="515CDF33" w14:textId="77777777" w:rsidR="007B5BCE" w:rsidRPr="007B5BCE" w:rsidRDefault="007B5BCE" w:rsidP="007B5BCE">
      <w:pPr>
        <w:rPr>
          <w:rFonts w:ascii="Segoe UI" w:hAnsi="Segoe UI" w:cs="Segoe UI"/>
        </w:rPr>
      </w:pPr>
      <w:r w:rsidRPr="007B5BCE">
        <w:rPr>
          <w:rFonts w:ascii="Segoe UI" w:hAnsi="Segoe UI" w:cs="Segoe UI"/>
        </w:rPr>
        <w:t>a. classified at intermediate (or moderate) risk of experiencing a cardiovascular event (myocardial infarction, stroke, cardiovascular death) using contemporary cardiovascular risk calculators, or</w:t>
      </w:r>
    </w:p>
    <w:p w14:paraId="76F9877F" w14:textId="465699F0" w:rsidR="007B5BCE" w:rsidRDefault="007B5BCE" w:rsidP="007B5BCE">
      <w:pPr>
        <w:rPr>
          <w:rFonts w:ascii="Segoe UI" w:hAnsi="Segoe UI" w:cs="Segoe UI"/>
        </w:rPr>
      </w:pPr>
      <w:r w:rsidRPr="007B5BCE">
        <w:rPr>
          <w:rFonts w:ascii="Segoe UI" w:hAnsi="Segoe UI" w:cs="Segoe UI"/>
        </w:rPr>
        <w:t>b. patients who are calculated to be at low risk by calculator but who have specific cardiovascular risk enhancers (for example, family history of premature cardiovascular disease, elevated Lp(a), persistently elevated hs-CRP, ATSI-status, PRS indicating enhanced risk) in whom imaging evidence of coronary atherosclerosis will change management decisions</w:t>
      </w:r>
      <w:r w:rsidR="00DA20FA">
        <w:rPr>
          <w:rFonts w:ascii="Segoe UI" w:hAnsi="Segoe UI" w:cs="Segoe UI"/>
        </w:rPr>
        <w:t>.</w:t>
      </w:r>
    </w:p>
    <w:p w14:paraId="2C1538F6" w14:textId="77777777" w:rsidR="00DA20FA" w:rsidRPr="00DA20FA" w:rsidRDefault="00DA20FA" w:rsidP="00DA20FA">
      <w:pPr>
        <w:rPr>
          <w:rFonts w:ascii="Segoe UI" w:hAnsi="Segoe UI" w:cs="Segoe UI"/>
          <w:b/>
          <w:bCs/>
        </w:rPr>
      </w:pPr>
      <w:r w:rsidRPr="00DA20FA">
        <w:rPr>
          <w:rFonts w:ascii="Segoe UI" w:hAnsi="Segoe UI" w:cs="Segoe UI"/>
          <w:b/>
          <w:bCs/>
        </w:rPr>
        <w:t>Select the most applicable Medical condition terminology (SNOMED CT):</w:t>
      </w:r>
    </w:p>
    <w:p w14:paraId="0D2450CD" w14:textId="64BE3C00" w:rsidR="00DA20FA" w:rsidRPr="007B5BCE" w:rsidRDefault="00DA20FA" w:rsidP="007B5BCE">
      <w:pPr>
        <w:rPr>
          <w:rFonts w:ascii="Segoe UI" w:hAnsi="Segoe UI" w:cs="Segoe UI"/>
        </w:rPr>
      </w:pPr>
      <w:r w:rsidRPr="00DA20FA">
        <w:rPr>
          <w:rFonts w:ascii="Segoe UI" w:hAnsi="Segoe UI" w:cs="Segoe UI"/>
        </w:rPr>
        <w:t>Coronary atherosclerosis</w:t>
      </w:r>
    </w:p>
    <w:p w14:paraId="2BD00011" w14:textId="5D29F7E2" w:rsidR="00DA20FA" w:rsidRPr="0010048D" w:rsidRDefault="00DA20FA" w:rsidP="00DA20FA">
      <w:pPr>
        <w:pStyle w:val="Heading1"/>
        <w:rPr>
          <w:rFonts w:cs="Segoe UI"/>
        </w:rPr>
      </w:pPr>
      <w:r>
        <w:rPr>
          <w:rFonts w:cs="Segoe UI"/>
        </w:rPr>
        <w:t>Intervention</w:t>
      </w:r>
    </w:p>
    <w:p w14:paraId="59B0158F" w14:textId="77777777" w:rsidR="00DA20FA" w:rsidRPr="00DA20FA" w:rsidRDefault="00DA20FA" w:rsidP="00DA20FA">
      <w:pPr>
        <w:rPr>
          <w:rFonts w:ascii="Segoe UI" w:hAnsi="Segoe UI" w:cs="Segoe UI"/>
          <w:b/>
          <w:bCs/>
        </w:rPr>
      </w:pPr>
      <w:r w:rsidRPr="00DA20FA">
        <w:rPr>
          <w:rFonts w:ascii="Segoe UI" w:hAnsi="Segoe UI" w:cs="Segoe UI"/>
          <w:b/>
          <w:bCs/>
        </w:rPr>
        <w:t>Name of the proposed health technology:</w:t>
      </w:r>
    </w:p>
    <w:p w14:paraId="390B4A01" w14:textId="5AA8E8A1" w:rsidR="007B5BCE" w:rsidRDefault="00DA20FA" w:rsidP="00133449">
      <w:pPr>
        <w:rPr>
          <w:rFonts w:ascii="Segoe UI" w:hAnsi="Segoe UI" w:cs="Segoe UI"/>
        </w:rPr>
      </w:pPr>
      <w:r w:rsidRPr="00DA20FA">
        <w:rPr>
          <w:rFonts w:ascii="Segoe UI" w:hAnsi="Segoe UI" w:cs="Segoe UI"/>
        </w:rPr>
        <w:t>Computed tomography of the coronary arteries for the determination of coronary artery calcium score (CACS)</w:t>
      </w:r>
    </w:p>
    <w:p w14:paraId="320B01AF" w14:textId="77777777" w:rsidR="00626849" w:rsidRDefault="00626849">
      <w:pPr>
        <w:rPr>
          <w:rFonts w:ascii="Segoe UI" w:eastAsia="Segoe UI" w:hAnsi="Segoe UI" w:cs="Segoe UI"/>
          <w:b/>
          <w:color w:val="213E60"/>
          <w:kern w:val="0"/>
          <w:sz w:val="32"/>
          <w:szCs w:val="20"/>
          <w14:ligatures w14:val="none"/>
        </w:rPr>
      </w:pPr>
      <w:r>
        <w:rPr>
          <w:rFonts w:cs="Segoe UI"/>
        </w:rPr>
        <w:br w:type="page"/>
      </w:r>
    </w:p>
    <w:p w14:paraId="7898F6B9" w14:textId="66D5C59D" w:rsidR="00637FF6" w:rsidRPr="0010048D" w:rsidRDefault="00637FF6" w:rsidP="00637FF6">
      <w:pPr>
        <w:pStyle w:val="Heading1"/>
        <w:rPr>
          <w:rFonts w:cs="Segoe UI"/>
        </w:rPr>
      </w:pPr>
      <w:r>
        <w:rPr>
          <w:rFonts w:cs="Segoe UI"/>
        </w:rPr>
        <w:t>Comparator</w:t>
      </w:r>
    </w:p>
    <w:p w14:paraId="5F8B9A67" w14:textId="77777777" w:rsidR="00637FF6" w:rsidRPr="00637FF6" w:rsidRDefault="00637FF6" w:rsidP="00637FF6">
      <w:pPr>
        <w:rPr>
          <w:rFonts w:ascii="Segoe UI" w:hAnsi="Segoe UI" w:cs="Segoe UI"/>
          <w:b/>
          <w:bCs/>
        </w:rPr>
      </w:pPr>
      <w:r w:rsidRPr="00637FF6">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0ACD1485" w14:textId="09AF59E8" w:rsidR="00637FF6" w:rsidRDefault="00637FF6" w:rsidP="00637FF6">
      <w:pPr>
        <w:rPr>
          <w:rFonts w:ascii="Segoe UI" w:hAnsi="Segoe UI" w:cs="Segoe UI"/>
        </w:rPr>
      </w:pPr>
      <w:r w:rsidRPr="00637FF6">
        <w:rPr>
          <w:rFonts w:ascii="Segoe UI" w:hAnsi="Segoe UI" w:cs="Segoe UI"/>
        </w:rPr>
        <w:t>Heart Health Check or equivalent consultation performed by a specialist physician</w:t>
      </w:r>
    </w:p>
    <w:p w14:paraId="2309A1FC" w14:textId="1AE11A08" w:rsidR="00637FF6" w:rsidRDefault="00637FF6" w:rsidP="00637FF6">
      <w:pPr>
        <w:pStyle w:val="Heading1"/>
        <w:rPr>
          <w:rFonts w:cs="Segoe UI"/>
        </w:rPr>
      </w:pPr>
      <w:r>
        <w:rPr>
          <w:rFonts w:cs="Segoe UI"/>
        </w:rPr>
        <w:t>Outcomes</w:t>
      </w:r>
    </w:p>
    <w:p w14:paraId="5EC5C1A5" w14:textId="77777777" w:rsidR="00637FF6" w:rsidRPr="00637FF6" w:rsidRDefault="00637FF6" w:rsidP="00637FF6">
      <w:pPr>
        <w:rPr>
          <w:rFonts w:ascii="Segoe UI" w:hAnsi="Segoe UI" w:cs="Segoe UI"/>
          <w:b/>
          <w:bCs/>
        </w:rPr>
      </w:pPr>
      <w:r w:rsidRPr="00637FF6">
        <w:rPr>
          <w:rFonts w:ascii="Segoe UI" w:hAnsi="Segoe UI" w:cs="Segoe UI"/>
          <w:b/>
          <w:bCs/>
        </w:rPr>
        <w:t>Outcome description – please include information about whether a change in patient management, or prognosis, occurs as a result of the test information:</w:t>
      </w:r>
    </w:p>
    <w:p w14:paraId="1022E829" w14:textId="77777777" w:rsidR="00626849" w:rsidRDefault="00637FF6" w:rsidP="00637FF6">
      <w:pPr>
        <w:rPr>
          <w:rFonts w:ascii="Segoe UI" w:hAnsi="Segoe UI" w:cs="Segoe UI"/>
        </w:rPr>
      </w:pPr>
      <w:r w:rsidRPr="00637FF6">
        <w:rPr>
          <w:rFonts w:ascii="Segoe UI" w:hAnsi="Segoe UI" w:cs="Segoe UI"/>
        </w:rPr>
        <w:t>Outcome 1: Reduction in Major Adverse Cardiovascular Events (MACE) – composite endpoint of acute myocardial infarction, stroke and cardiovascular death. CACS may change (initiate, intensify or cease) pharmacological management based on presence/absence of subclinical atherosclerosis</w:t>
      </w:r>
      <w:r w:rsidRPr="00637FF6">
        <w:rPr>
          <w:rFonts w:ascii="Segoe UI" w:hAnsi="Segoe UI" w:cs="Segoe UI"/>
        </w:rPr>
        <w:br/>
      </w:r>
      <w:r w:rsidRPr="00637FF6">
        <w:rPr>
          <w:rFonts w:ascii="Segoe UI" w:hAnsi="Segoe UI" w:cs="Segoe UI"/>
        </w:rPr>
        <w:br/>
        <w:t>Outcome 2: Reduction in patient uncertainty. There may be considerable additional value for the patient in knowing that they have subclinical atherosclerosis, reducing the uncertainty that comes with risk estimates derived from standard cardiovascular risk tools (the comparator). The value of knowing also manifests in the patient’s opportunity to take a more informed role in shared decision-making and increases their sense of control over their life (planning value). However, knowing is not universally positive. For some individuals, knowing they have subclinical atherosclerosis can be adaptive, driving changes in lifestyle and increased adherence to prescribed medications, whereas in others in can lead to maladaptive feelings of hopelessness and distress.</w:t>
      </w:r>
      <w:r w:rsidRPr="00637FF6">
        <w:rPr>
          <w:rFonts w:ascii="Segoe UI" w:hAnsi="Segoe UI" w:cs="Segoe UI"/>
        </w:rPr>
        <w:br/>
      </w:r>
      <w:r w:rsidRPr="00637FF6">
        <w:rPr>
          <w:rFonts w:ascii="Segoe UI" w:hAnsi="Segoe UI" w:cs="Segoe UI"/>
        </w:rPr>
        <w:br/>
        <w:t>Outcome 3: Change in rate of prescribing of lipid-lowering medications (statins, ezetimibe, PCSK9 inhibitors, bile acid sequestrants) for primary prevention in patients. Using population-based risk calculators (the comparator) to guide pharmacotherapy exposes the estimated 45% - 55% of intermediate/moderate risk patients with a CAC score of zero to unnecessary financial costs, inconvenience, and to the risk of adverse drug effects</w:t>
      </w:r>
      <w:r w:rsidRPr="00637FF6">
        <w:rPr>
          <w:rFonts w:ascii="Segoe UI" w:hAnsi="Segoe UI" w:cs="Segoe UI"/>
        </w:rPr>
        <w:br/>
      </w:r>
      <w:r w:rsidRPr="00637FF6">
        <w:rPr>
          <w:rFonts w:ascii="Segoe UI" w:hAnsi="Segoe UI" w:cs="Segoe UI"/>
        </w:rPr>
        <w:br/>
      </w:r>
    </w:p>
    <w:p w14:paraId="009D065C" w14:textId="325F6142" w:rsidR="00637FF6" w:rsidRDefault="00637FF6" w:rsidP="00637FF6">
      <w:pPr>
        <w:rPr>
          <w:rFonts w:ascii="Segoe UI" w:hAnsi="Segoe UI" w:cs="Segoe UI"/>
        </w:rPr>
      </w:pPr>
      <w:r w:rsidRPr="00637FF6">
        <w:rPr>
          <w:rFonts w:ascii="Segoe UI" w:hAnsi="Segoe UI" w:cs="Segoe UI"/>
        </w:rPr>
        <w:t>Outcome 4:  Incidental findings. CAC scoring is performed with a CT scan of the chest and may result in incidental findings. The Australian Lung Cancer Screening program has an existing framework for follow up of pulmonary nodules and other relevant findings. Incidental findings may result in increased healthcare resource expenditure and psychological harm due to the unexpected nature of the findings.</w:t>
      </w:r>
      <w:r w:rsidRPr="00637FF6">
        <w:rPr>
          <w:rFonts w:ascii="Segoe UI" w:hAnsi="Segoe UI" w:cs="Segoe UI"/>
        </w:rPr>
        <w:br/>
      </w:r>
      <w:r w:rsidRPr="00637FF6">
        <w:rPr>
          <w:rFonts w:ascii="Segoe UI" w:hAnsi="Segoe UI" w:cs="Segoe UI"/>
        </w:rPr>
        <w:br/>
        <w:t>Outcome 5: Radiation exposure. CAC scoring using ECG-gated CT scanning typically exposes an individual to approximately 1mSv of radiation, compared with no exposure for the comparator.</w:t>
      </w:r>
    </w:p>
    <w:p w14:paraId="4A37EC42" w14:textId="2FB028F3" w:rsidR="00D34EF1" w:rsidRPr="0010048D" w:rsidRDefault="00D34EF1" w:rsidP="00D34EF1">
      <w:pPr>
        <w:pStyle w:val="Heading1"/>
        <w:rPr>
          <w:rFonts w:cs="Segoe UI"/>
        </w:rPr>
      </w:pPr>
      <w:r w:rsidRPr="00D34EF1">
        <w:rPr>
          <w:rFonts w:cs="Segoe UI"/>
        </w:rPr>
        <w:t>Proposed MBS items</w:t>
      </w:r>
    </w:p>
    <w:p w14:paraId="3B04FF24" w14:textId="77777777" w:rsidR="00D34EF1" w:rsidRPr="00D34EF1" w:rsidRDefault="00D34EF1" w:rsidP="00D34EF1">
      <w:pPr>
        <w:rPr>
          <w:rFonts w:ascii="Segoe UI" w:hAnsi="Segoe UI" w:cs="Segoe UI"/>
          <w:b/>
        </w:rPr>
      </w:pPr>
    </w:p>
    <w:tbl>
      <w:tblPr>
        <w:tblStyle w:val="TableGrid"/>
        <w:tblW w:w="0" w:type="auto"/>
        <w:tblLook w:val="04A0" w:firstRow="1" w:lastRow="0" w:firstColumn="1" w:lastColumn="0" w:noHBand="0" w:noVBand="1"/>
      </w:tblPr>
      <w:tblGrid>
        <w:gridCol w:w="9015"/>
      </w:tblGrid>
      <w:tr w:rsidR="00D34EF1" w:rsidRPr="00D34EF1" w14:paraId="115E5860" w14:textId="77777777">
        <w:tc>
          <w:tcPr>
            <w:tcW w:w="9628" w:type="dxa"/>
            <w:tcBorders>
              <w:top w:val="single" w:sz="4" w:space="0" w:color="auto"/>
              <w:left w:val="single" w:sz="4" w:space="0" w:color="auto"/>
              <w:bottom w:val="single" w:sz="4" w:space="0" w:color="auto"/>
              <w:right w:val="single" w:sz="4" w:space="0" w:color="auto"/>
            </w:tcBorders>
          </w:tcPr>
          <w:p w14:paraId="49BCDC86" w14:textId="4BD86731"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 xml:space="preserve">Please provide at least one proposed item with their descriptor and associated costs, for each population / intervention: </w:t>
            </w:r>
          </w:p>
          <w:p w14:paraId="6D64CF5A"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Proposed item:</w:t>
            </w:r>
          </w:p>
          <w:p w14:paraId="4F73A542" w14:textId="77777777" w:rsidR="00D34EF1" w:rsidRPr="00D34EF1" w:rsidRDefault="00D34EF1" w:rsidP="00D34EF1">
            <w:pPr>
              <w:spacing w:after="160" w:line="278" w:lineRule="auto"/>
              <w:rPr>
                <w:rFonts w:ascii="Segoe UI" w:hAnsi="Segoe UI" w:cs="Segoe UI"/>
                <w:bCs/>
                <w:sz w:val="24"/>
                <w:szCs w:val="24"/>
              </w:rPr>
            </w:pPr>
            <w:r w:rsidRPr="00D34EF1">
              <w:rPr>
                <w:rFonts w:ascii="Segoe UI" w:hAnsi="Segoe UI" w:cs="Segoe UI"/>
                <w:bCs/>
                <w:sz w:val="24"/>
                <w:szCs w:val="24"/>
              </w:rPr>
              <w:t>AAAAA</w:t>
            </w:r>
          </w:p>
          <w:p w14:paraId="2297AEAB"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MBS item number (where used as a template for the proposed item):</w:t>
            </w:r>
          </w:p>
          <w:p w14:paraId="301499DC" w14:textId="48E9C932" w:rsidR="00D34EF1" w:rsidRPr="00D34EF1" w:rsidRDefault="00626849" w:rsidP="00D34EF1">
            <w:pPr>
              <w:spacing w:after="160" w:line="278" w:lineRule="auto"/>
              <w:rPr>
                <w:rFonts w:ascii="Segoe UI" w:hAnsi="Segoe UI" w:cs="Segoe UI"/>
                <w:bCs/>
                <w:sz w:val="24"/>
                <w:szCs w:val="24"/>
              </w:rPr>
            </w:pPr>
            <w:r>
              <w:rPr>
                <w:rFonts w:ascii="Segoe UI" w:hAnsi="Segoe UI" w:cs="Segoe UI"/>
                <w:bCs/>
                <w:sz w:val="24"/>
                <w:szCs w:val="24"/>
              </w:rPr>
              <w:t>NA</w:t>
            </w:r>
          </w:p>
          <w:p w14:paraId="215F4831"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Category number:</w:t>
            </w:r>
          </w:p>
          <w:p w14:paraId="5F614D46" w14:textId="77777777" w:rsidR="00D34EF1" w:rsidRPr="00D34EF1" w:rsidRDefault="00D34EF1" w:rsidP="00D34EF1">
            <w:pPr>
              <w:spacing w:after="160" w:line="278" w:lineRule="auto"/>
              <w:rPr>
                <w:rFonts w:ascii="Segoe UI" w:hAnsi="Segoe UI" w:cs="Segoe UI"/>
                <w:bCs/>
                <w:sz w:val="24"/>
                <w:szCs w:val="24"/>
              </w:rPr>
            </w:pPr>
            <w:r w:rsidRPr="00D34EF1">
              <w:rPr>
                <w:rFonts w:ascii="Segoe UI" w:hAnsi="Segoe UI" w:cs="Segoe UI"/>
                <w:bCs/>
                <w:sz w:val="24"/>
                <w:szCs w:val="24"/>
              </w:rPr>
              <w:t>DIAGNOSTIC IMAGING SERVICES</w:t>
            </w:r>
          </w:p>
          <w:p w14:paraId="32DE6F97"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Category description:</w:t>
            </w:r>
          </w:p>
          <w:p w14:paraId="1A6BC2AF" w14:textId="77777777" w:rsidR="00D34EF1" w:rsidRPr="00D34EF1" w:rsidRDefault="00D34EF1" w:rsidP="00D34EF1">
            <w:pPr>
              <w:spacing w:after="160" w:line="278" w:lineRule="auto"/>
              <w:rPr>
                <w:rFonts w:ascii="Segoe UI" w:hAnsi="Segoe UI" w:cs="Segoe UI"/>
                <w:bCs/>
                <w:sz w:val="24"/>
                <w:szCs w:val="24"/>
              </w:rPr>
            </w:pPr>
            <w:r w:rsidRPr="00D34EF1">
              <w:rPr>
                <w:rFonts w:ascii="Segoe UI" w:hAnsi="Segoe UI" w:cs="Segoe UI"/>
                <w:bCs/>
                <w:sz w:val="24"/>
                <w:szCs w:val="24"/>
              </w:rPr>
              <w:t>COMPUTED TOMOGRAPHY</w:t>
            </w:r>
          </w:p>
          <w:p w14:paraId="33186A59"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Proposed item descriptor:</w:t>
            </w:r>
          </w:p>
          <w:p w14:paraId="4AB4A9B4" w14:textId="77777777" w:rsidR="00D34EF1" w:rsidRPr="00D34EF1" w:rsidRDefault="00D34EF1" w:rsidP="00D34EF1">
            <w:pPr>
              <w:spacing w:after="160" w:line="278" w:lineRule="auto"/>
              <w:rPr>
                <w:rFonts w:ascii="Segoe UI" w:hAnsi="Segoe UI" w:cs="Segoe UI"/>
                <w:bCs/>
                <w:sz w:val="24"/>
                <w:szCs w:val="24"/>
              </w:rPr>
            </w:pPr>
            <w:r w:rsidRPr="00D34EF1">
              <w:rPr>
                <w:rFonts w:ascii="Segoe UI" w:hAnsi="Segoe UI" w:cs="Segoe UI"/>
                <w:bCs/>
                <w:sz w:val="24"/>
                <w:szCs w:val="24"/>
              </w:rPr>
              <w:t>Non-contrast ECG-gated computed tomography of the coronary arteries on a minimum of a 64 slice (or equivalent) scanner, with the calculation of Coronary Artery Calcium Score in Agatston units to identify sub-clinical atherosclerosis in individuals who are:</w:t>
            </w:r>
            <w:r w:rsidRPr="00D34EF1">
              <w:rPr>
                <w:rFonts w:ascii="Segoe UI" w:hAnsi="Segoe UI" w:cs="Segoe UI"/>
                <w:bCs/>
                <w:sz w:val="24"/>
                <w:szCs w:val="24"/>
              </w:rPr>
              <w:br/>
              <w:t>a. Aged 45 - 79 years of age who do NOT have known cardiovascular/coronary artery disease, AND</w:t>
            </w:r>
            <w:r w:rsidRPr="00D34EF1">
              <w:rPr>
                <w:rFonts w:ascii="Segoe UI" w:hAnsi="Segoe UI" w:cs="Segoe UI"/>
                <w:bCs/>
                <w:sz w:val="24"/>
                <w:szCs w:val="24"/>
              </w:rPr>
              <w:br/>
              <w:t>b. are intermediate cardiovascular risk according to existing risk calculator algorithms, OR</w:t>
            </w:r>
            <w:r w:rsidRPr="00D34EF1">
              <w:rPr>
                <w:rFonts w:ascii="Segoe UI" w:hAnsi="Segoe UI" w:cs="Segoe UI"/>
                <w:bCs/>
                <w:sz w:val="24"/>
                <w:szCs w:val="24"/>
              </w:rPr>
              <w:br/>
              <w:t>c. have risk enhancers (Lp0a0, ATSI-status, other), OR</w:t>
            </w:r>
            <w:r w:rsidRPr="00D34EF1">
              <w:rPr>
                <w:rFonts w:ascii="Segoe UI" w:hAnsi="Segoe UI" w:cs="Segoe UI"/>
                <w:bCs/>
                <w:sz w:val="24"/>
                <w:szCs w:val="24"/>
              </w:rPr>
              <w:br/>
              <w:t>d. are at indeterminate risk and clinically require reclassification</w:t>
            </w:r>
          </w:p>
          <w:p w14:paraId="0FDF4246"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Proposed MBS fee:</w:t>
            </w:r>
          </w:p>
          <w:p w14:paraId="02FE2FC8" w14:textId="77777777" w:rsidR="00D34EF1" w:rsidRPr="00D34EF1" w:rsidRDefault="00D34EF1" w:rsidP="00D34EF1">
            <w:pPr>
              <w:spacing w:after="160" w:line="278" w:lineRule="auto"/>
              <w:rPr>
                <w:rFonts w:ascii="Segoe UI" w:hAnsi="Segoe UI" w:cs="Segoe UI"/>
                <w:bCs/>
                <w:sz w:val="24"/>
                <w:szCs w:val="24"/>
              </w:rPr>
            </w:pPr>
            <w:r w:rsidRPr="00D34EF1">
              <w:rPr>
                <w:rFonts w:ascii="Segoe UI" w:hAnsi="Segoe UI" w:cs="Segoe UI"/>
                <w:bCs/>
                <w:sz w:val="24"/>
                <w:szCs w:val="24"/>
              </w:rPr>
              <w:t>$250.00</w:t>
            </w:r>
          </w:p>
          <w:p w14:paraId="6C7BAF8B"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Indicate the overall cost per patient of providing the proposed health technology:</w:t>
            </w:r>
          </w:p>
          <w:p w14:paraId="600A67ED" w14:textId="77777777" w:rsidR="00D34EF1" w:rsidRPr="00D34EF1" w:rsidRDefault="00D34EF1" w:rsidP="00D34EF1">
            <w:pPr>
              <w:spacing w:after="160" w:line="278" w:lineRule="auto"/>
              <w:rPr>
                <w:rFonts w:ascii="Segoe UI" w:hAnsi="Segoe UI" w:cs="Segoe UI"/>
                <w:bCs/>
                <w:sz w:val="24"/>
                <w:szCs w:val="24"/>
              </w:rPr>
            </w:pPr>
            <w:r w:rsidRPr="00D34EF1">
              <w:rPr>
                <w:rFonts w:ascii="Segoe UI" w:hAnsi="Segoe UI" w:cs="Segoe UI"/>
                <w:bCs/>
                <w:sz w:val="24"/>
                <w:szCs w:val="24"/>
              </w:rPr>
              <w:t>$250.00</w:t>
            </w:r>
          </w:p>
          <w:p w14:paraId="0A41C665" w14:textId="77777777" w:rsidR="00D34EF1" w:rsidRPr="00D34EF1" w:rsidRDefault="00D34EF1" w:rsidP="00D34EF1">
            <w:pPr>
              <w:spacing w:after="160" w:line="278" w:lineRule="auto"/>
              <w:rPr>
                <w:rFonts w:ascii="Segoe UI" w:hAnsi="Segoe UI" w:cs="Segoe UI"/>
                <w:b/>
                <w:sz w:val="24"/>
                <w:szCs w:val="24"/>
              </w:rPr>
            </w:pPr>
            <w:r w:rsidRPr="00D34EF1">
              <w:rPr>
                <w:rFonts w:ascii="Segoe UI" w:hAnsi="Segoe UI" w:cs="Segoe UI"/>
                <w:b/>
                <w:sz w:val="24"/>
                <w:szCs w:val="24"/>
              </w:rPr>
              <w:t>Please specify any anticipated out of pocket expenses:</w:t>
            </w:r>
          </w:p>
          <w:p w14:paraId="1864B542" w14:textId="77777777" w:rsidR="00D34EF1" w:rsidRPr="00D34EF1" w:rsidRDefault="00D34EF1" w:rsidP="00D34EF1">
            <w:pPr>
              <w:spacing w:after="160" w:line="278" w:lineRule="auto"/>
              <w:rPr>
                <w:rFonts w:ascii="Segoe UI" w:hAnsi="Segoe UI" w:cs="Segoe UI"/>
                <w:bCs/>
                <w:sz w:val="24"/>
                <w:szCs w:val="24"/>
              </w:rPr>
            </w:pPr>
            <w:r w:rsidRPr="00D34EF1">
              <w:rPr>
                <w:rFonts w:ascii="Segoe UI" w:hAnsi="Segoe UI" w:cs="Segoe UI"/>
                <w:bCs/>
                <w:sz w:val="24"/>
                <w:szCs w:val="24"/>
              </w:rPr>
              <w:t>$0.00</w:t>
            </w:r>
          </w:p>
          <w:p w14:paraId="2C855017" w14:textId="77777777" w:rsidR="00D34EF1" w:rsidRPr="00D34EF1" w:rsidRDefault="00D34EF1" w:rsidP="00626849">
            <w:pPr>
              <w:rPr>
                <w:rFonts w:ascii="Segoe UI" w:hAnsi="Segoe UI" w:cs="Segoe UI"/>
                <w:sz w:val="24"/>
                <w:szCs w:val="24"/>
              </w:rPr>
            </w:pPr>
          </w:p>
        </w:tc>
      </w:tr>
    </w:tbl>
    <w:p w14:paraId="6B71226E" w14:textId="77777777" w:rsidR="00D34EF1" w:rsidRPr="00D34EF1" w:rsidRDefault="00D34EF1" w:rsidP="00D34EF1">
      <w:pPr>
        <w:rPr>
          <w:rFonts w:ascii="Segoe UI" w:hAnsi="Segoe UI" w:cs="Segoe UI"/>
        </w:rPr>
      </w:pPr>
    </w:p>
    <w:p w14:paraId="6E42C1B5" w14:textId="77777777" w:rsidR="00D34EF1" w:rsidRPr="00D34EF1" w:rsidRDefault="00D34EF1" w:rsidP="00D34EF1">
      <w:pPr>
        <w:rPr>
          <w:rFonts w:ascii="Segoe UI" w:hAnsi="Segoe UI" w:cs="Segoe UI"/>
          <w:b/>
        </w:rPr>
      </w:pPr>
      <w:r w:rsidRPr="00D34EF1">
        <w:rPr>
          <w:rFonts w:ascii="Segoe UI" w:hAnsi="Segoe UI" w:cs="Segoe UI"/>
          <w:b/>
        </w:rPr>
        <w:t>How is the technology / service funded at present? (For example: research funding; State-based funding; self-funded by patients; no funding or payments):</w:t>
      </w:r>
    </w:p>
    <w:p w14:paraId="205DD16C" w14:textId="5D18F4A7" w:rsidR="00D34EF1" w:rsidRDefault="00D34EF1" w:rsidP="00637FF6">
      <w:pPr>
        <w:rPr>
          <w:rFonts w:ascii="Segoe UI" w:hAnsi="Segoe UI" w:cs="Segoe UI"/>
        </w:rPr>
      </w:pPr>
      <w:r w:rsidRPr="00D34EF1">
        <w:rPr>
          <w:rFonts w:ascii="Segoe UI" w:hAnsi="Segoe UI" w:cs="Segoe UI"/>
        </w:rPr>
        <w:t>Self-funded by patients</w:t>
      </w:r>
    </w:p>
    <w:p w14:paraId="071FD76A" w14:textId="5922F2E1" w:rsidR="00D34EF1" w:rsidRPr="0010048D" w:rsidRDefault="00D34EF1" w:rsidP="00D34EF1">
      <w:pPr>
        <w:pStyle w:val="Heading1"/>
        <w:rPr>
          <w:rFonts w:cs="Segoe UI"/>
        </w:rPr>
      </w:pPr>
      <w:r w:rsidRPr="0010048D">
        <w:rPr>
          <w:rFonts w:cs="Segoe UI"/>
        </w:rPr>
        <w:t>C</w:t>
      </w:r>
      <w:r>
        <w:rPr>
          <w:rFonts w:cs="Segoe UI"/>
        </w:rPr>
        <w:t>laims</w:t>
      </w:r>
    </w:p>
    <w:p w14:paraId="5AE47480" w14:textId="77777777" w:rsidR="00D34EF1" w:rsidRPr="00D34EF1" w:rsidRDefault="00D34EF1" w:rsidP="00D34EF1">
      <w:pPr>
        <w:rPr>
          <w:rFonts w:ascii="Segoe UI" w:hAnsi="Segoe UI" w:cs="Segoe UI"/>
          <w:b/>
        </w:rPr>
      </w:pPr>
      <w:r w:rsidRPr="00D34EF1">
        <w:rPr>
          <w:rFonts w:ascii="Segoe UI" w:hAnsi="Segoe UI" w:cs="Segoe UI"/>
          <w:b/>
        </w:rPr>
        <w:t>In terms of health outcomes (comparative benefits and harms), is the proposed technology claimed to be superior, non-inferior or inferior to the comparator(s)?</w:t>
      </w:r>
    </w:p>
    <w:p w14:paraId="0956437F" w14:textId="77777777" w:rsidR="00D34EF1" w:rsidRPr="00D34EF1" w:rsidRDefault="00D34EF1" w:rsidP="00D34EF1">
      <w:pPr>
        <w:rPr>
          <w:rFonts w:ascii="Segoe UI" w:hAnsi="Segoe UI" w:cs="Segoe UI"/>
        </w:rPr>
      </w:pPr>
      <w:r w:rsidRPr="00D34EF1">
        <w:rPr>
          <w:rFonts w:ascii="Segoe UI" w:hAnsi="Segoe UI" w:cs="Segoe UI"/>
        </w:rPr>
        <w:t>Non-inferior</w:t>
      </w:r>
    </w:p>
    <w:p w14:paraId="4D680F51" w14:textId="77777777" w:rsidR="00D34EF1" w:rsidRPr="00D34EF1" w:rsidRDefault="00D34EF1" w:rsidP="00D34EF1">
      <w:pPr>
        <w:rPr>
          <w:rFonts w:ascii="Segoe UI" w:hAnsi="Segoe UI" w:cs="Segoe UI"/>
          <w:b/>
        </w:rPr>
      </w:pPr>
      <w:r w:rsidRPr="00D34EF1">
        <w:rPr>
          <w:rFonts w:ascii="Segoe UI" w:hAnsi="Segoe UI" w:cs="Segoe UI"/>
          <w:b/>
        </w:rPr>
        <w:t>Please state what the overall claim is, and provide a rationale:</w:t>
      </w:r>
    </w:p>
    <w:p w14:paraId="7595991D" w14:textId="7162A7F5" w:rsidR="00D34EF1" w:rsidRDefault="00D34EF1" w:rsidP="00637FF6">
      <w:pPr>
        <w:rPr>
          <w:rFonts w:ascii="Segoe UI" w:hAnsi="Segoe UI" w:cs="Segoe UI"/>
        </w:rPr>
      </w:pPr>
      <w:r w:rsidRPr="00D34EF1">
        <w:rPr>
          <w:rFonts w:ascii="Segoe UI" w:hAnsi="Segoe UI" w:cs="Segoe UI"/>
        </w:rPr>
        <w:t>Coronary artery calcium (CAC) scoring allows for the identification of subclinical atherosclerotic cardiovascular disease (ASCVD) in asymptomatic individuals to guide the initiation or intensification of evidence-based, preventative pharmacotherapies to reduce the risk of subsequent acute cardiovascular events. The identification of ASCVD also has an inherent ‘value of knowing’ for the patient and caregivers, discussed in the ‘Outcomes’ section of this document. A CAC score can be used to re-classify individuals previously classified at intermediate risk into a lower risk group, thereby preventing or de-escalating unnecessary treatment.</w:t>
      </w:r>
    </w:p>
    <w:p w14:paraId="1D8690CB" w14:textId="77777777" w:rsidR="00626849" w:rsidRDefault="00626849">
      <w:pPr>
        <w:rPr>
          <w:rFonts w:ascii="Segoe UI" w:eastAsia="Segoe UI" w:hAnsi="Segoe UI" w:cs="Segoe UI"/>
          <w:b/>
          <w:color w:val="213E60"/>
          <w:kern w:val="0"/>
          <w:sz w:val="32"/>
          <w:szCs w:val="20"/>
          <w14:ligatures w14:val="none"/>
        </w:rPr>
      </w:pPr>
      <w:r>
        <w:rPr>
          <w:rFonts w:cs="Segoe UI"/>
        </w:rPr>
        <w:br w:type="page"/>
      </w:r>
    </w:p>
    <w:p w14:paraId="51C095C2" w14:textId="47FBAF72" w:rsidR="00D34EF1" w:rsidRPr="0010048D" w:rsidRDefault="00D34EF1" w:rsidP="00D34EF1">
      <w:pPr>
        <w:pStyle w:val="Heading1"/>
        <w:rPr>
          <w:rFonts w:cs="Segoe UI"/>
        </w:rPr>
      </w:pPr>
      <w:r w:rsidRPr="00D34EF1">
        <w:rPr>
          <w:rFonts w:cs="Segoe UI"/>
        </w:rPr>
        <w:t>Estimated utilisation</w:t>
      </w:r>
    </w:p>
    <w:p w14:paraId="729583EC" w14:textId="77777777" w:rsidR="00D34EF1" w:rsidRPr="00D34EF1" w:rsidRDefault="00D34EF1" w:rsidP="00D34EF1">
      <w:pPr>
        <w:rPr>
          <w:rFonts w:ascii="Segoe UI" w:hAnsi="Segoe UI" w:cs="Segoe UI"/>
          <w:b/>
        </w:rPr>
      </w:pPr>
      <w:r w:rsidRPr="00D34EF1">
        <w:rPr>
          <w:rFonts w:ascii="Segoe UI" w:hAnsi="Segoe UI" w:cs="Segoe UI"/>
          <w:b/>
        </w:rPr>
        <w:t>Estimate the prevalence and/or incidence of the proposed population:</w:t>
      </w:r>
    </w:p>
    <w:p w14:paraId="6CF2F263" w14:textId="77777777" w:rsidR="00D34EF1" w:rsidRPr="00D34EF1" w:rsidRDefault="00D34EF1" w:rsidP="00D34EF1">
      <w:pPr>
        <w:rPr>
          <w:rFonts w:ascii="Segoe UI" w:hAnsi="Segoe UI" w:cs="Segoe UI"/>
        </w:rPr>
      </w:pPr>
      <w:r w:rsidRPr="00D34EF1">
        <w:rPr>
          <w:rFonts w:ascii="Segoe UI" w:hAnsi="Segoe UI" w:cs="Segoe UI"/>
        </w:rPr>
        <w:t>An estimated 26% of the Australian population are classified as at 'intermediate' 10 year risk of an acute cardiovascular event (stroke, myocardial infarction or cardiovascular death), based on data from 115,873 people aged 45-74 years without existing CVD from MedicineInsight, a longitudinal primary-care database covering 8% of Australian general practices</w:t>
      </w:r>
    </w:p>
    <w:p w14:paraId="3F49B155" w14:textId="77777777" w:rsidR="00D34EF1" w:rsidRPr="00D34EF1" w:rsidRDefault="00D34EF1" w:rsidP="00D34EF1">
      <w:pPr>
        <w:rPr>
          <w:rFonts w:ascii="Segoe UI" w:hAnsi="Segoe UI" w:cs="Segoe UI"/>
          <w:b/>
        </w:rPr>
      </w:pPr>
      <w:r w:rsidRPr="00D34EF1">
        <w:rPr>
          <w:rFonts w:ascii="Segoe UI" w:hAnsi="Segoe UI" w:cs="Segoe UI"/>
          <w:b/>
        </w:rPr>
        <w:t>Provide the percentage uptake of the proposed health technology by the proposed population:</w:t>
      </w:r>
    </w:p>
    <w:p w14:paraId="0924DCFA" w14:textId="77777777" w:rsidR="00D34EF1" w:rsidRPr="00D34EF1" w:rsidRDefault="00D34EF1" w:rsidP="00D34EF1">
      <w:pPr>
        <w:rPr>
          <w:rFonts w:ascii="Segoe UI" w:hAnsi="Segoe UI" w:cs="Segoe UI"/>
          <w:b/>
        </w:rPr>
      </w:pPr>
      <w:r w:rsidRPr="00D34EF1">
        <w:rPr>
          <w:rFonts w:ascii="Segoe UI" w:hAnsi="Segoe UI" w:cs="Segoe UI"/>
          <w:b/>
        </w:rPr>
        <w:t xml:space="preserve">Year 1 estimated uptake (%): </w:t>
      </w:r>
    </w:p>
    <w:p w14:paraId="663E2727" w14:textId="77777777" w:rsidR="00D34EF1" w:rsidRPr="00D34EF1" w:rsidRDefault="00D34EF1" w:rsidP="00D34EF1">
      <w:pPr>
        <w:rPr>
          <w:rFonts w:ascii="Segoe UI" w:hAnsi="Segoe UI" w:cs="Segoe UI"/>
        </w:rPr>
      </w:pPr>
      <w:r w:rsidRPr="00D34EF1">
        <w:rPr>
          <w:rFonts w:ascii="Segoe UI" w:hAnsi="Segoe UI" w:cs="Segoe UI"/>
        </w:rPr>
        <w:t>10</w:t>
      </w:r>
    </w:p>
    <w:p w14:paraId="7970F62E" w14:textId="77777777" w:rsidR="00D34EF1" w:rsidRPr="00D34EF1" w:rsidRDefault="00D34EF1" w:rsidP="00D34EF1">
      <w:pPr>
        <w:rPr>
          <w:rFonts w:ascii="Segoe UI" w:hAnsi="Segoe UI" w:cs="Segoe UI"/>
          <w:b/>
        </w:rPr>
      </w:pPr>
      <w:r w:rsidRPr="00D34EF1">
        <w:rPr>
          <w:rFonts w:ascii="Segoe UI" w:hAnsi="Segoe UI" w:cs="Segoe UI"/>
          <w:b/>
        </w:rPr>
        <w:t xml:space="preserve">Year 2 estimated uptake (%): </w:t>
      </w:r>
    </w:p>
    <w:p w14:paraId="7DA13BF1" w14:textId="77777777" w:rsidR="00D34EF1" w:rsidRPr="00D34EF1" w:rsidRDefault="00D34EF1" w:rsidP="00D34EF1">
      <w:pPr>
        <w:rPr>
          <w:rFonts w:ascii="Segoe UI" w:hAnsi="Segoe UI" w:cs="Segoe UI"/>
        </w:rPr>
      </w:pPr>
      <w:r w:rsidRPr="00D34EF1">
        <w:rPr>
          <w:rFonts w:ascii="Segoe UI" w:hAnsi="Segoe UI" w:cs="Segoe UI"/>
        </w:rPr>
        <w:t>20</w:t>
      </w:r>
    </w:p>
    <w:p w14:paraId="2D8588DC" w14:textId="77777777" w:rsidR="00D34EF1" w:rsidRPr="00D34EF1" w:rsidRDefault="00D34EF1" w:rsidP="00D34EF1">
      <w:pPr>
        <w:rPr>
          <w:rFonts w:ascii="Segoe UI" w:hAnsi="Segoe UI" w:cs="Segoe UI"/>
          <w:b/>
        </w:rPr>
      </w:pPr>
      <w:r w:rsidRPr="00D34EF1">
        <w:rPr>
          <w:rFonts w:ascii="Segoe UI" w:hAnsi="Segoe UI" w:cs="Segoe UI"/>
          <w:b/>
        </w:rPr>
        <w:t xml:space="preserve">Year 3 estimated uptake (%): </w:t>
      </w:r>
    </w:p>
    <w:p w14:paraId="76E02095" w14:textId="77777777" w:rsidR="00D34EF1" w:rsidRPr="00D34EF1" w:rsidRDefault="00D34EF1" w:rsidP="00D34EF1">
      <w:pPr>
        <w:rPr>
          <w:rFonts w:ascii="Segoe UI" w:hAnsi="Segoe UI" w:cs="Segoe UI"/>
        </w:rPr>
      </w:pPr>
      <w:r w:rsidRPr="00D34EF1">
        <w:rPr>
          <w:rFonts w:ascii="Segoe UI" w:hAnsi="Segoe UI" w:cs="Segoe UI"/>
        </w:rPr>
        <w:t>30</w:t>
      </w:r>
    </w:p>
    <w:p w14:paraId="0F4EEAF8" w14:textId="77777777" w:rsidR="00D34EF1" w:rsidRPr="00D34EF1" w:rsidRDefault="00D34EF1" w:rsidP="00D34EF1">
      <w:pPr>
        <w:rPr>
          <w:rFonts w:ascii="Segoe UI" w:hAnsi="Segoe UI" w:cs="Segoe UI"/>
          <w:b/>
        </w:rPr>
      </w:pPr>
      <w:r w:rsidRPr="00D34EF1">
        <w:rPr>
          <w:rFonts w:ascii="Segoe UI" w:hAnsi="Segoe UI" w:cs="Segoe UI"/>
          <w:b/>
        </w:rPr>
        <w:t xml:space="preserve">Year 4 estimated uptake (%): </w:t>
      </w:r>
    </w:p>
    <w:p w14:paraId="6198E2DD" w14:textId="77777777" w:rsidR="00D34EF1" w:rsidRPr="00D34EF1" w:rsidRDefault="00D34EF1" w:rsidP="00D34EF1">
      <w:pPr>
        <w:rPr>
          <w:rFonts w:ascii="Segoe UI" w:hAnsi="Segoe UI" w:cs="Segoe UI"/>
        </w:rPr>
      </w:pPr>
      <w:r w:rsidRPr="00D34EF1">
        <w:rPr>
          <w:rFonts w:ascii="Segoe UI" w:hAnsi="Segoe UI" w:cs="Segoe UI"/>
        </w:rPr>
        <w:t>30</w:t>
      </w:r>
    </w:p>
    <w:p w14:paraId="41443005" w14:textId="77777777" w:rsidR="00D34EF1" w:rsidRPr="00D34EF1" w:rsidRDefault="00D34EF1" w:rsidP="00D34EF1">
      <w:pPr>
        <w:rPr>
          <w:rFonts w:ascii="Segoe UI" w:hAnsi="Segoe UI" w:cs="Segoe UI"/>
          <w:b/>
        </w:rPr>
      </w:pPr>
      <w:r w:rsidRPr="00D34EF1">
        <w:rPr>
          <w:rFonts w:ascii="Segoe UI" w:hAnsi="Segoe UI" w:cs="Segoe UI"/>
          <w:b/>
        </w:rPr>
        <w:t xml:space="preserve">Estimate the number of patients who will utilise the proposed technology for the first full year: </w:t>
      </w:r>
    </w:p>
    <w:p w14:paraId="6FF313B1" w14:textId="77777777" w:rsidR="00D34EF1" w:rsidRPr="00D34EF1" w:rsidRDefault="00D34EF1" w:rsidP="00D34EF1">
      <w:pPr>
        <w:rPr>
          <w:rFonts w:ascii="Segoe UI" w:hAnsi="Segoe UI" w:cs="Segoe UI"/>
        </w:rPr>
      </w:pPr>
      <w:r w:rsidRPr="00D34EF1">
        <w:rPr>
          <w:rFonts w:ascii="Segoe UI" w:hAnsi="Segoe UI" w:cs="Segoe UI"/>
        </w:rPr>
        <w:t>~247,000</w:t>
      </w:r>
    </w:p>
    <w:p w14:paraId="5B47725F" w14:textId="77777777" w:rsidR="00D34EF1" w:rsidRPr="00D34EF1" w:rsidRDefault="00D34EF1" w:rsidP="00D34EF1">
      <w:pPr>
        <w:rPr>
          <w:rFonts w:ascii="Segoe UI" w:hAnsi="Segoe UI" w:cs="Segoe UI"/>
          <w:b/>
        </w:rPr>
      </w:pPr>
      <w:r w:rsidRPr="00D34EF1">
        <w:rPr>
          <w:rFonts w:ascii="Segoe UI" w:hAnsi="Segoe UI" w:cs="Segoe UI"/>
          <w:b/>
        </w:rPr>
        <w:t xml:space="preserve">Optionally, provide details: </w:t>
      </w:r>
    </w:p>
    <w:p w14:paraId="5EFB9721" w14:textId="77777777" w:rsidR="00D34EF1" w:rsidRPr="00D34EF1" w:rsidRDefault="00D34EF1" w:rsidP="00D34EF1">
      <w:pPr>
        <w:rPr>
          <w:rFonts w:ascii="Segoe UI" w:hAnsi="Segoe UI" w:cs="Segoe UI"/>
        </w:rPr>
      </w:pPr>
      <w:r w:rsidRPr="00D34EF1">
        <w:rPr>
          <w:rFonts w:ascii="Segoe UI" w:hAnsi="Segoe UI" w:cs="Segoe UI"/>
        </w:rPr>
        <w:t>Estimation of number of patients who will utilise the proposed technology in the first year based on March 2025 Australian Census figures for population:</w:t>
      </w:r>
      <w:r w:rsidRPr="00D34EF1">
        <w:rPr>
          <w:rFonts w:ascii="Segoe UI" w:hAnsi="Segoe UI" w:cs="Segoe UI"/>
        </w:rPr>
        <w:br/>
        <w:t>Approximately 9,500,000 individuals aged  between 45 and 79 years</w:t>
      </w:r>
      <w:r w:rsidRPr="00D34EF1">
        <w:rPr>
          <w:rFonts w:ascii="Segoe UI" w:hAnsi="Segoe UI" w:cs="Segoe UI"/>
        </w:rPr>
        <w:br/>
        <w:t>26% of these at intermediate cardiovascular risk: 2,470,000</w:t>
      </w:r>
      <w:r w:rsidRPr="00D34EF1">
        <w:rPr>
          <w:rFonts w:ascii="Segoe UI" w:hAnsi="Segoe UI" w:cs="Segoe UI"/>
        </w:rPr>
        <w:br/>
        <w:t>Estimated 10% uptake in Year 1: 247,000</w:t>
      </w:r>
      <w:r w:rsidRPr="00D34EF1">
        <w:rPr>
          <w:rFonts w:ascii="Segoe UI" w:hAnsi="Segoe UI" w:cs="Segoe UI"/>
        </w:rPr>
        <w:br/>
      </w:r>
    </w:p>
    <w:p w14:paraId="74E1A70D" w14:textId="77777777" w:rsidR="00D34EF1" w:rsidRPr="00D34EF1" w:rsidRDefault="00D34EF1" w:rsidP="00D34EF1">
      <w:pPr>
        <w:rPr>
          <w:rFonts w:ascii="Segoe UI" w:hAnsi="Segoe UI" w:cs="Segoe UI"/>
          <w:b/>
        </w:rPr>
      </w:pPr>
      <w:r w:rsidRPr="00D34EF1">
        <w:rPr>
          <w:rFonts w:ascii="Segoe UI" w:hAnsi="Segoe UI" w:cs="Segoe UI"/>
          <w:b/>
        </w:rPr>
        <w:t xml:space="preserve">Will the technology be needed more than once per patient? </w:t>
      </w:r>
    </w:p>
    <w:p w14:paraId="0FD2844E" w14:textId="77777777" w:rsidR="00D34EF1" w:rsidRPr="00D34EF1" w:rsidRDefault="00D34EF1" w:rsidP="00D34EF1">
      <w:pPr>
        <w:rPr>
          <w:rFonts w:ascii="Segoe UI" w:hAnsi="Segoe UI" w:cs="Segoe UI"/>
        </w:rPr>
      </w:pPr>
      <w:r w:rsidRPr="00D34EF1">
        <w:rPr>
          <w:rFonts w:ascii="Segoe UI" w:hAnsi="Segoe UI" w:cs="Segoe UI"/>
        </w:rPr>
        <w:t>Yes, multiple times</w:t>
      </w:r>
    </w:p>
    <w:p w14:paraId="638EEE38" w14:textId="60100259" w:rsidR="00D34EF1" w:rsidRPr="00D34EF1" w:rsidRDefault="00D34EF1" w:rsidP="00D34EF1">
      <w:pPr>
        <w:rPr>
          <w:rFonts w:ascii="Segoe UI" w:hAnsi="Segoe UI" w:cs="Segoe UI"/>
        </w:rPr>
      </w:pPr>
      <w:r w:rsidRPr="00D34EF1">
        <w:rPr>
          <w:rFonts w:ascii="Segoe UI" w:hAnsi="Segoe UI" w:cs="Segoe UI"/>
          <w:b/>
        </w:rPr>
        <w:t xml:space="preserve">Over what duration will the health technology or service be provided for a patient? (preferably a number of years): </w:t>
      </w:r>
      <w:r w:rsidR="00626849">
        <w:rPr>
          <w:rFonts w:ascii="Segoe UI" w:hAnsi="Segoe UI" w:cs="Segoe UI"/>
          <w:b/>
        </w:rPr>
        <w:br/>
      </w:r>
      <w:r w:rsidRPr="00D34EF1">
        <w:rPr>
          <w:rFonts w:ascii="Segoe UI" w:hAnsi="Segoe UI" w:cs="Segoe UI"/>
        </w:rPr>
        <w:t>5</w:t>
      </w:r>
    </w:p>
    <w:p w14:paraId="1A895237" w14:textId="15492E90" w:rsidR="00D34EF1" w:rsidRPr="00D34EF1" w:rsidRDefault="00D34EF1" w:rsidP="00D34EF1">
      <w:pPr>
        <w:rPr>
          <w:rFonts w:ascii="Segoe UI" w:hAnsi="Segoe UI" w:cs="Segoe UI"/>
        </w:rPr>
      </w:pPr>
      <w:r w:rsidRPr="00D34EF1">
        <w:rPr>
          <w:rFonts w:ascii="Segoe UI" w:hAnsi="Segoe UI" w:cs="Segoe UI"/>
          <w:b/>
        </w:rPr>
        <w:t xml:space="preserve">What frequency will the health technology or service be required by the patient over the duration? (range, preferably on an annual basis): </w:t>
      </w:r>
      <w:r w:rsidR="00626849">
        <w:rPr>
          <w:rFonts w:ascii="Segoe UI" w:hAnsi="Segoe UI" w:cs="Segoe UI"/>
          <w:b/>
        </w:rPr>
        <w:br/>
      </w:r>
      <w:r w:rsidRPr="00D34EF1">
        <w:rPr>
          <w:rFonts w:ascii="Segoe UI" w:hAnsi="Segoe UI" w:cs="Segoe UI"/>
        </w:rPr>
        <w:t>1</w:t>
      </w:r>
    </w:p>
    <w:p w14:paraId="05DFC11F" w14:textId="7777777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51EA0DF7" w14:textId="55C39762" w:rsidR="00434980" w:rsidRDefault="00434980" w:rsidP="00133449">
      <w:pPr>
        <w:rPr>
          <w:rFonts w:ascii="Segoe UI" w:hAnsi="Segoe UI" w:cs="Segoe UI"/>
          <w:b/>
        </w:rPr>
      </w:pPr>
      <w:r w:rsidRPr="00434980">
        <w:rPr>
          <w:rFonts w:ascii="Segoe UI" w:hAnsi="Segoe UI" w:cs="Segoe UI"/>
          <w:b/>
        </w:rPr>
        <w:t>Entities who provide the health technology/service:</w:t>
      </w:r>
    </w:p>
    <w:p w14:paraId="1BBECCE5" w14:textId="77777777" w:rsidR="00434980" w:rsidRDefault="00434980" w:rsidP="00434980">
      <w:pPr>
        <w:rPr>
          <w:rFonts w:ascii="Segoe UI" w:hAnsi="Segoe UI" w:cs="Segoe UI"/>
          <w:bCs/>
        </w:rPr>
      </w:pPr>
      <w:r>
        <w:rPr>
          <w:rFonts w:ascii="Segoe UI" w:hAnsi="Segoe UI" w:cs="Segoe UI"/>
          <w:bCs/>
        </w:rPr>
        <w:t>Royal Australian and New Zealand College of Radiologists (RANZCR)</w:t>
      </w:r>
    </w:p>
    <w:p w14:paraId="0D063BCC" w14:textId="77777777" w:rsidR="00BC54E1" w:rsidRDefault="00BC54E1" w:rsidP="00BC54E1">
      <w:pPr>
        <w:rPr>
          <w:rFonts w:ascii="Segoe UI" w:hAnsi="Segoe UI" w:cs="Segoe UI"/>
          <w:bCs/>
        </w:rPr>
      </w:pPr>
      <w:r>
        <w:rPr>
          <w:rFonts w:ascii="Segoe UI" w:hAnsi="Segoe UI" w:cs="Segoe UI"/>
          <w:bCs/>
        </w:rPr>
        <w:t>Australian Diagnostic Imaging Association (ADIA)</w:t>
      </w:r>
    </w:p>
    <w:p w14:paraId="2FAFF993" w14:textId="3007B733" w:rsidR="00BC54E1" w:rsidRPr="00BC54E1" w:rsidRDefault="00BC54E1" w:rsidP="00434980">
      <w:pPr>
        <w:rPr>
          <w:rFonts w:ascii="Segoe UI" w:hAnsi="Segoe UI" w:cs="Segoe UI"/>
          <w:b/>
        </w:rPr>
      </w:pPr>
      <w:r w:rsidRPr="00BC54E1">
        <w:rPr>
          <w:rFonts w:ascii="Segoe UI" w:hAnsi="Segoe UI" w:cs="Segoe UI"/>
          <w:b/>
        </w:rPr>
        <w:t>Entities who request the health technology/service:</w:t>
      </w:r>
    </w:p>
    <w:p w14:paraId="55DCA4C1" w14:textId="77777777" w:rsidR="00BC54E1" w:rsidRDefault="00BC54E1" w:rsidP="00BC54E1">
      <w:pPr>
        <w:rPr>
          <w:rFonts w:ascii="Segoe UI" w:hAnsi="Segoe UI" w:cs="Segoe UI"/>
          <w:bCs/>
        </w:rPr>
      </w:pPr>
      <w:r>
        <w:rPr>
          <w:rFonts w:ascii="Segoe UI" w:hAnsi="Segoe UI" w:cs="Segoe UI"/>
          <w:bCs/>
        </w:rPr>
        <w:t>Royal Australian College of General Practitioners (RACGP)</w:t>
      </w:r>
    </w:p>
    <w:p w14:paraId="6779C90E" w14:textId="77777777" w:rsidR="00BC54E1" w:rsidRDefault="00BC54E1" w:rsidP="00BC54E1">
      <w:pPr>
        <w:rPr>
          <w:rFonts w:ascii="Segoe UI" w:hAnsi="Segoe UI" w:cs="Segoe UI"/>
          <w:bCs/>
        </w:rPr>
      </w:pPr>
      <w:r>
        <w:rPr>
          <w:rFonts w:ascii="Segoe UI" w:hAnsi="Segoe UI" w:cs="Segoe UI"/>
          <w:bCs/>
        </w:rPr>
        <w:t>Cardiac Society of Australia and New Zealand (CSANZ)</w:t>
      </w:r>
    </w:p>
    <w:p w14:paraId="0A9A9604" w14:textId="34C0E2AB" w:rsidR="00BC54E1" w:rsidRPr="00BC54E1" w:rsidRDefault="00BC54E1" w:rsidP="00BC54E1">
      <w:pPr>
        <w:rPr>
          <w:rFonts w:ascii="Segoe UI" w:hAnsi="Segoe UI" w:cs="Segoe UI"/>
          <w:b/>
        </w:rPr>
      </w:pPr>
      <w:r w:rsidRPr="00BC54E1">
        <w:rPr>
          <w:rFonts w:ascii="Segoe UI" w:hAnsi="Segoe UI" w:cs="Segoe UI"/>
          <w:b/>
        </w:rPr>
        <w:t>Patient and consumer advocacy organisations relevant to the proposed service/health technology:</w:t>
      </w:r>
    </w:p>
    <w:p w14:paraId="26DBB7F6" w14:textId="77777777" w:rsidR="00BC54E1" w:rsidRDefault="00BC54E1" w:rsidP="00BC54E1">
      <w:pPr>
        <w:rPr>
          <w:rFonts w:ascii="Segoe UI" w:hAnsi="Segoe UI" w:cs="Segoe UI"/>
          <w:bCs/>
        </w:rPr>
      </w:pPr>
      <w:r>
        <w:rPr>
          <w:rFonts w:ascii="Segoe UI" w:hAnsi="Segoe UI" w:cs="Segoe UI"/>
          <w:bCs/>
        </w:rPr>
        <w:t>National Heart Foundation</w:t>
      </w:r>
    </w:p>
    <w:p w14:paraId="4EBBD186" w14:textId="57760DB2" w:rsidR="004515B9" w:rsidRDefault="004515B9" w:rsidP="004515B9">
      <w:pPr>
        <w:rPr>
          <w:rFonts w:ascii="Segoe UI" w:hAnsi="Segoe UI" w:cs="Segoe UI"/>
          <w:bCs/>
        </w:rPr>
      </w:pPr>
      <w:r>
        <w:rPr>
          <w:rFonts w:ascii="Segoe UI" w:hAnsi="Segoe UI" w:cs="Segoe UI"/>
          <w:bCs/>
        </w:rPr>
        <w:t>CAD Frontiers</w:t>
      </w:r>
    </w:p>
    <w:p w14:paraId="2AD1B0AB" w14:textId="757467E5" w:rsidR="004515B9" w:rsidRPr="004515B9" w:rsidRDefault="004515B9" w:rsidP="00BC54E1">
      <w:pPr>
        <w:rPr>
          <w:rFonts w:ascii="Segoe UI" w:hAnsi="Segoe UI" w:cs="Segoe UI"/>
          <w:b/>
        </w:rPr>
      </w:pPr>
      <w:r w:rsidRPr="004515B9">
        <w:rPr>
          <w:rFonts w:ascii="Segoe UI" w:hAnsi="Segoe UI" w:cs="Segoe UI"/>
          <w:b/>
        </w:rPr>
        <w:t>Entity who may be impacted by the health technology/service:</w:t>
      </w:r>
    </w:p>
    <w:p w14:paraId="2001F271" w14:textId="2A82438A" w:rsidR="00133449" w:rsidRPr="004515B9" w:rsidRDefault="004515B9" w:rsidP="00133449">
      <w:pPr>
        <w:rPr>
          <w:rFonts w:ascii="Segoe UI" w:hAnsi="Segoe UI" w:cs="Segoe UI"/>
          <w:bCs/>
        </w:rPr>
      </w:pPr>
      <w:r>
        <w:rPr>
          <w:rFonts w:ascii="Segoe UI" w:hAnsi="Segoe UI" w:cs="Segoe UI"/>
          <w:bCs/>
        </w:rPr>
        <w:t>Royal Australian and New Zealand College of Radiologists (RANZCR)</w:t>
      </w: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118D91EB" w14:textId="28BD5774" w:rsidR="008F2EF0" w:rsidRPr="009A31D6" w:rsidRDefault="00133449">
      <w:pPr>
        <w:rPr>
          <w:rFonts w:ascii="Segoe UI" w:eastAsia="Segoe UI" w:hAnsi="Segoe UI" w:cs="Segoe UI"/>
          <w:color w:val="000000"/>
        </w:rPr>
      </w:pPr>
      <w:r w:rsidRPr="00646B43">
        <w:rPr>
          <w:rFonts w:ascii="Segoe UI" w:eastAsia="Segoe UI" w:hAnsi="Segoe UI" w:cs="Segoe UI"/>
          <w:color w:val="000000"/>
        </w:rPr>
        <w:t>No</w:t>
      </w:r>
      <w:bookmarkEnd w:id="0"/>
    </w:p>
    <w:sectPr w:rsidR="008F2EF0" w:rsidRPr="009A31D6"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215E" w14:textId="77777777" w:rsidR="00F23873" w:rsidRDefault="00F23873">
      <w:pPr>
        <w:spacing w:after="0" w:line="240" w:lineRule="auto"/>
      </w:pPr>
      <w:r>
        <w:separator/>
      </w:r>
    </w:p>
  </w:endnote>
  <w:endnote w:type="continuationSeparator" w:id="0">
    <w:p w14:paraId="1B587847" w14:textId="77777777" w:rsidR="00F23873" w:rsidRDefault="00F2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EFEC" w14:textId="12057EE7" w:rsidR="003D2A70" w:rsidRDefault="00DA7EDB">
    <w:pPr>
      <w:pStyle w:val="Footer"/>
    </w:pPr>
    <w:r>
      <w:rPr>
        <w:noProof/>
      </w:rPr>
      <mc:AlternateContent>
        <mc:Choice Requires="wps">
          <w:drawing>
            <wp:anchor distT="0" distB="0" distL="0" distR="0" simplePos="0" relativeHeight="251667456" behindDoc="0" locked="0" layoutInCell="1" allowOverlap="1" wp14:anchorId="77E2197D" wp14:editId="35E34A08">
              <wp:simplePos x="635" y="635"/>
              <wp:positionH relativeFrom="page">
                <wp:align>center</wp:align>
              </wp:positionH>
              <wp:positionV relativeFrom="page">
                <wp:align>bottom</wp:align>
              </wp:positionV>
              <wp:extent cx="622300" cy="405765"/>
              <wp:effectExtent l="0" t="0" r="6350" b="0"/>
              <wp:wrapNone/>
              <wp:docPr id="5206756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07C1DFE" w14:textId="24976D45" w:rsidR="00DA7EDB" w:rsidRPr="00DA7EDB" w:rsidRDefault="00DA7EDB" w:rsidP="00DA7EDB">
                          <w:pPr>
                            <w:spacing w:after="0"/>
                            <w:rPr>
                              <w:rFonts w:ascii="Aptos" w:eastAsia="Aptos" w:hAnsi="Aptos" w:cs="Aptos"/>
                              <w:noProof/>
                              <w:color w:val="FF0000"/>
                            </w:rPr>
                          </w:pPr>
                          <w:r w:rsidRPr="00DA7ED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E2197D"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307C1DFE" w14:textId="24976D45" w:rsidR="00DA7EDB" w:rsidRPr="00DA7EDB" w:rsidRDefault="00DA7EDB" w:rsidP="00DA7EDB">
                    <w:pPr>
                      <w:spacing w:after="0"/>
                      <w:rPr>
                        <w:rFonts w:ascii="Aptos" w:eastAsia="Aptos" w:hAnsi="Aptos" w:cs="Aptos"/>
                        <w:noProof/>
                        <w:color w:val="FF0000"/>
                      </w:rPr>
                    </w:pPr>
                    <w:r w:rsidRPr="00DA7ED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3361A095" w:rsidR="008F2EF0" w:rsidRDefault="001C6FFD">
    <w:pPr>
      <w:pStyle w:val="Footer"/>
      <w:jc w:val="right"/>
    </w:pPr>
    <w:sdt>
      <w:sdtPr>
        <w:id w:val="1288928947"/>
        <w:docPartObj>
          <w:docPartGallery w:val="Page Numbers (Bottom of Page)"/>
          <w:docPartUnique/>
        </w:docPartObj>
      </w:sdtPr>
      <w:sdtEndPr>
        <w:rPr>
          <w:noProof/>
        </w:rPr>
      </w:sdtEndPr>
      <w:sdtContent>
        <w:r w:rsidR="00F23873">
          <w:fldChar w:fldCharType="begin"/>
        </w:r>
        <w:r w:rsidR="00F23873">
          <w:instrText xml:space="preserve"> PAGE   \* MERGEFORMAT </w:instrText>
        </w:r>
        <w:r w:rsidR="00F23873">
          <w:fldChar w:fldCharType="separate"/>
        </w:r>
        <w:r w:rsidR="00F23873">
          <w:rPr>
            <w:noProof/>
          </w:rPr>
          <w:t>2</w:t>
        </w:r>
        <w:r w:rsidR="00F23873">
          <w:rPr>
            <w:noProof/>
          </w:rPr>
          <w:fldChar w:fldCharType="end"/>
        </w:r>
      </w:sdtContent>
    </w:sdt>
  </w:p>
  <w:p w14:paraId="6552B54D" w14:textId="77777777" w:rsidR="008F2EF0" w:rsidRDefault="008F2EF0">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B0B6" w14:textId="77777777" w:rsidR="00F23873" w:rsidRDefault="00F23873">
      <w:pPr>
        <w:spacing w:after="0" w:line="240" w:lineRule="auto"/>
      </w:pPr>
      <w:r>
        <w:separator/>
      </w:r>
    </w:p>
  </w:footnote>
  <w:footnote w:type="continuationSeparator" w:id="0">
    <w:p w14:paraId="614E8258" w14:textId="77777777" w:rsidR="00F23873" w:rsidRDefault="00F2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A50C" w14:textId="4C11CCAC" w:rsidR="003D2A70" w:rsidRDefault="00DA7EDB">
    <w:pPr>
      <w:pStyle w:val="Header"/>
    </w:pPr>
    <w:r>
      <w:rPr>
        <w:noProof/>
      </w:rPr>
      <mc:AlternateContent>
        <mc:Choice Requires="wps">
          <w:drawing>
            <wp:anchor distT="0" distB="0" distL="0" distR="0" simplePos="0" relativeHeight="251664384" behindDoc="0" locked="0" layoutInCell="1" allowOverlap="1" wp14:anchorId="61E5C444" wp14:editId="0CF03B9A">
              <wp:simplePos x="635" y="635"/>
              <wp:positionH relativeFrom="page">
                <wp:align>center</wp:align>
              </wp:positionH>
              <wp:positionV relativeFrom="page">
                <wp:align>top</wp:align>
              </wp:positionV>
              <wp:extent cx="622300" cy="405765"/>
              <wp:effectExtent l="0" t="0" r="6350" b="13335"/>
              <wp:wrapNone/>
              <wp:docPr id="8783546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9538974" w14:textId="34CCF6B7" w:rsidR="00DA7EDB" w:rsidRPr="00DA7EDB" w:rsidRDefault="00DA7EDB" w:rsidP="00DA7EDB">
                          <w:pPr>
                            <w:spacing w:after="0"/>
                            <w:rPr>
                              <w:rFonts w:ascii="Aptos" w:eastAsia="Aptos" w:hAnsi="Aptos" w:cs="Aptos"/>
                              <w:noProof/>
                              <w:color w:val="FF0000"/>
                            </w:rPr>
                          </w:pPr>
                          <w:r w:rsidRPr="00DA7ED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E5C444"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19538974" w14:textId="34CCF6B7" w:rsidR="00DA7EDB" w:rsidRPr="00DA7EDB" w:rsidRDefault="00DA7EDB" w:rsidP="00DA7EDB">
                    <w:pPr>
                      <w:spacing w:after="0"/>
                      <w:rPr>
                        <w:rFonts w:ascii="Aptos" w:eastAsia="Aptos" w:hAnsi="Aptos" w:cs="Aptos"/>
                        <w:noProof/>
                        <w:color w:val="FF0000"/>
                      </w:rPr>
                    </w:pPr>
                    <w:r w:rsidRPr="00DA7ED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267A0D6C" w:rsidR="008F2EF0" w:rsidRDefault="00F23873">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133449"/>
    <w:rsid w:val="001A6A67"/>
    <w:rsid w:val="001C6FFD"/>
    <w:rsid w:val="00246B59"/>
    <w:rsid w:val="00314306"/>
    <w:rsid w:val="003D2A70"/>
    <w:rsid w:val="003E71E2"/>
    <w:rsid w:val="00434980"/>
    <w:rsid w:val="004515B9"/>
    <w:rsid w:val="00490E62"/>
    <w:rsid w:val="0058769B"/>
    <w:rsid w:val="00626849"/>
    <w:rsid w:val="00637FF6"/>
    <w:rsid w:val="007B5BCE"/>
    <w:rsid w:val="00813CF3"/>
    <w:rsid w:val="008F2EF0"/>
    <w:rsid w:val="009801CD"/>
    <w:rsid w:val="009A31D6"/>
    <w:rsid w:val="00AC68F5"/>
    <w:rsid w:val="00AD1FAF"/>
    <w:rsid w:val="00BC54E1"/>
    <w:rsid w:val="00D34EF1"/>
    <w:rsid w:val="00DA20FA"/>
    <w:rsid w:val="00DA7EDB"/>
    <w:rsid w:val="00F23873"/>
    <w:rsid w:val="00F61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D34EF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3D2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A70"/>
  </w:style>
  <w:style w:type="character" w:customStyle="1" w:styleId="Heading2Char">
    <w:name w:val="Heading 2 Char"/>
    <w:basedOn w:val="DefaultParagraphFont"/>
    <w:link w:val="Heading2"/>
    <w:uiPriority w:val="9"/>
    <w:semiHidden/>
    <w:rsid w:val="00D34EF1"/>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1699</Words>
  <Characters>10131</Characters>
  <Application>Microsoft Office Word</Application>
  <DocSecurity>0</DocSecurity>
  <Lines>247</Lines>
  <Paragraphs>142</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2026-01-22T05:26:00Z</dcterms:created>
  <dcterms:modified xsi:type="dcterms:W3CDTF">2026-01-22T05:27:00Z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6df037fe,345aa106,5c4be14e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51136bb2,1f08e15c,3b5856f9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2026-01-22T05:26:35Z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e948849a-77b6-4145-bdc4-d063a26783a4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