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A186" w14:textId="77777777" w:rsidR="00077C99" w:rsidRPr="00DD31A7" w:rsidRDefault="0056569B" w:rsidP="0018750D">
      <w:pPr>
        <w:pStyle w:val="Heading1"/>
        <w:numPr>
          <w:ilvl w:val="0"/>
          <w:numId w:val="0"/>
        </w:numPr>
        <w:pBdr>
          <w:bottom w:val="none" w:sz="0" w:space="0" w:color="auto"/>
        </w:pBdr>
        <w:spacing w:before="0" w:after="0"/>
        <w:ind w:left="788"/>
        <w:jc w:val="center"/>
        <w:rPr>
          <w:rFonts w:ascii="Arial" w:hAnsi="Arial" w:cs="Arial"/>
          <w:b/>
          <w:bCs/>
          <w:color w:val="000080"/>
          <w:sz w:val="36"/>
          <w:szCs w:val="36"/>
        </w:rPr>
      </w:pPr>
      <w:r w:rsidRPr="00DD31A7">
        <w:rPr>
          <w:rFonts w:ascii="Arial" w:hAnsi="Arial" w:cs="Arial"/>
          <w:b/>
          <w:bCs/>
          <w:color w:val="000080"/>
          <w:sz w:val="36"/>
          <w:szCs w:val="36"/>
        </w:rPr>
        <w:t>Me</w:t>
      </w:r>
      <w:r w:rsidR="00077C99" w:rsidRPr="00DD31A7">
        <w:rPr>
          <w:rFonts w:ascii="Arial" w:hAnsi="Arial" w:cs="Arial"/>
          <w:b/>
          <w:bCs/>
          <w:color w:val="000080"/>
          <w:sz w:val="36"/>
          <w:szCs w:val="36"/>
        </w:rPr>
        <w:t xml:space="preserve">dical </w:t>
      </w:r>
      <w:r w:rsidRPr="00DD31A7">
        <w:rPr>
          <w:rFonts w:ascii="Arial" w:hAnsi="Arial" w:cs="Arial"/>
          <w:b/>
          <w:bCs/>
          <w:color w:val="000080"/>
          <w:sz w:val="36"/>
          <w:szCs w:val="36"/>
        </w:rPr>
        <w:t>Services</w:t>
      </w:r>
      <w:r w:rsidR="00077C99" w:rsidRPr="00DD31A7">
        <w:rPr>
          <w:rFonts w:ascii="Arial" w:hAnsi="Arial" w:cs="Arial"/>
          <w:b/>
          <w:bCs/>
          <w:color w:val="000080"/>
          <w:sz w:val="36"/>
          <w:szCs w:val="36"/>
        </w:rPr>
        <w:t xml:space="preserve"> Advisory Committee (MSAC)</w:t>
      </w:r>
    </w:p>
    <w:p w14:paraId="73B91427" w14:textId="77777777" w:rsidR="0018750D" w:rsidRPr="0018750D" w:rsidRDefault="0018750D" w:rsidP="0018750D">
      <w:pPr>
        <w:pStyle w:val="Heading1"/>
        <w:numPr>
          <w:ilvl w:val="0"/>
          <w:numId w:val="0"/>
        </w:numPr>
        <w:pBdr>
          <w:bottom w:val="none" w:sz="0" w:space="0" w:color="auto"/>
        </w:pBdr>
        <w:spacing w:before="0" w:after="360"/>
        <w:ind w:left="788"/>
        <w:jc w:val="center"/>
        <w:rPr>
          <w:rFonts w:ascii="Arial" w:hAnsi="Arial" w:cs="Arial"/>
          <w:b/>
          <w:bCs/>
          <w:color w:val="000080"/>
          <w:sz w:val="36"/>
          <w:szCs w:val="36"/>
        </w:rPr>
      </w:pPr>
      <w:bookmarkStart w:id="0" w:name="_Hlk213744477"/>
      <w:r w:rsidRPr="00F76D74">
        <w:rPr>
          <w:rFonts w:ascii="Arial" w:hAnsi="Arial" w:cs="Arial"/>
          <w:b/>
          <w:bCs/>
          <w:color w:val="000080"/>
          <w:sz w:val="36"/>
          <w:szCs w:val="36"/>
        </w:rPr>
        <w:t>Public Summary Document</w:t>
      </w:r>
      <w:r w:rsidRPr="0018750D">
        <w:rPr>
          <w:rFonts w:ascii="Arial" w:hAnsi="Arial" w:cs="Arial"/>
          <w:b/>
          <w:bCs/>
          <w:color w:val="000080"/>
          <w:sz w:val="36"/>
          <w:szCs w:val="36"/>
        </w:rPr>
        <w:t xml:space="preserve"> </w:t>
      </w:r>
    </w:p>
    <w:bookmarkEnd w:id="0"/>
    <w:p w14:paraId="34BBE27F" w14:textId="01429E21" w:rsidR="00DD31A7" w:rsidRDefault="00772829" w:rsidP="0067373D">
      <w:pPr>
        <w:pStyle w:val="Subtitle"/>
      </w:pPr>
      <w:r w:rsidRPr="00CE28E3">
        <w:t xml:space="preserve">Application No. </w:t>
      </w:r>
      <w:r w:rsidR="00F5542E" w:rsidRPr="00F5542E">
        <w:t xml:space="preserve">1797 – </w:t>
      </w:r>
      <w:r w:rsidR="00DD31A7" w:rsidRPr="00DD31A7">
        <w:t>Vibration-Controlled Transient Elastography (VCTE™) for identifying advanced fibrosis in patients with metabolic dysfunction-associated fatty liver disease</w:t>
      </w:r>
    </w:p>
    <w:p w14:paraId="780E9716" w14:textId="190B4762" w:rsidR="00665214" w:rsidRPr="00B64142" w:rsidRDefault="00772829" w:rsidP="00B64142">
      <w:pPr>
        <w:pStyle w:val="Subtitle"/>
        <w:tabs>
          <w:tab w:val="left" w:pos="3686"/>
        </w:tabs>
        <w:spacing w:after="120"/>
        <w:jc w:val="left"/>
        <w:rPr>
          <w:i w:val="0"/>
          <w:color w:val="auto"/>
          <w:sz w:val="22"/>
          <w:szCs w:val="22"/>
        </w:rPr>
      </w:pPr>
      <w:r w:rsidRPr="00B64142">
        <w:rPr>
          <w:i w:val="0"/>
          <w:color w:val="auto"/>
          <w:sz w:val="22"/>
          <w:szCs w:val="22"/>
        </w:rPr>
        <w:t>Applicant:</w:t>
      </w:r>
      <w:r>
        <w:rPr>
          <w:i w:val="0"/>
          <w:color w:val="auto"/>
          <w:sz w:val="22"/>
          <w:szCs w:val="22"/>
        </w:rPr>
        <w:tab/>
      </w:r>
      <w:r w:rsidR="00665214" w:rsidRPr="00B64142">
        <w:rPr>
          <w:i w:val="0"/>
          <w:color w:val="auto"/>
          <w:sz w:val="22"/>
          <w:szCs w:val="22"/>
        </w:rPr>
        <w:t>Health Technology Analysts Pty Limited</w:t>
      </w:r>
    </w:p>
    <w:p w14:paraId="15DA9C4A" w14:textId="168EEA54" w:rsidR="009A3778" w:rsidRDefault="00B73E44" w:rsidP="00B64142">
      <w:pPr>
        <w:rPr>
          <w:rFonts w:ascii="Arial" w:hAnsi="Arial" w:cs="Arial"/>
          <w:b/>
          <w:lang w:eastAsia="en-AU"/>
        </w:rPr>
      </w:pPr>
      <w:r w:rsidRPr="00B64142">
        <w:rPr>
          <w:rFonts w:ascii="Arial" w:hAnsi="Arial" w:cs="Arial"/>
          <w:b/>
          <w:lang w:eastAsia="en-AU"/>
        </w:rPr>
        <w:t xml:space="preserve">Date of </w:t>
      </w:r>
      <w:r w:rsidR="0018750D">
        <w:rPr>
          <w:rFonts w:ascii="Arial" w:hAnsi="Arial" w:cs="Arial"/>
          <w:b/>
          <w:lang w:eastAsia="en-AU"/>
        </w:rPr>
        <w:t>MSAC</w:t>
      </w:r>
      <w:r w:rsidRPr="00B64142">
        <w:rPr>
          <w:rFonts w:ascii="Arial" w:hAnsi="Arial" w:cs="Arial"/>
          <w:b/>
          <w:lang w:eastAsia="en-AU"/>
        </w:rPr>
        <w:t xml:space="preserve"> consideration: </w:t>
      </w:r>
      <w:r w:rsidRPr="00B64142">
        <w:rPr>
          <w:rFonts w:ascii="Arial" w:hAnsi="Arial" w:cs="Arial"/>
          <w:b/>
          <w:lang w:eastAsia="en-AU"/>
        </w:rPr>
        <w:tab/>
      </w:r>
      <w:r w:rsidR="0018750D">
        <w:rPr>
          <w:rFonts w:ascii="Arial" w:hAnsi="Arial" w:cs="Arial"/>
          <w:b/>
          <w:lang w:eastAsia="en-AU"/>
        </w:rPr>
        <w:t>27 November</w:t>
      </w:r>
      <w:r w:rsidRPr="00B64142">
        <w:rPr>
          <w:rFonts w:ascii="Arial" w:hAnsi="Arial" w:cs="Arial"/>
          <w:b/>
          <w:lang w:eastAsia="en-AU"/>
        </w:rPr>
        <w:t xml:space="preserve"> 2025</w:t>
      </w:r>
    </w:p>
    <w:p w14:paraId="524A3F22" w14:textId="77777777" w:rsidR="0018750D" w:rsidRPr="00333EDF" w:rsidRDefault="0018750D" w:rsidP="0018750D">
      <w:pPr>
        <w:spacing w:after="200"/>
        <w:rPr>
          <w:color w:val="0000FF"/>
          <w:u w:val="single"/>
        </w:rPr>
      </w:pPr>
      <w:bookmarkStart w:id="1" w:name="_Hlk194308493"/>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p>
    <w:p w14:paraId="7EAA7262" w14:textId="77335A16" w:rsidR="00772829" w:rsidRPr="00CE28E3" w:rsidRDefault="00C36633" w:rsidP="00C36633">
      <w:pPr>
        <w:pStyle w:val="Heading2"/>
        <w:numPr>
          <w:ilvl w:val="0"/>
          <w:numId w:val="0"/>
        </w:numPr>
      </w:pPr>
      <w:bookmarkStart w:id="2" w:name="_Toc69491415"/>
      <w:bookmarkEnd w:id="1"/>
      <w:r>
        <w:t>1.</w:t>
      </w:r>
      <w:r>
        <w:tab/>
      </w:r>
      <w:r w:rsidR="00772829" w:rsidRPr="00CE28E3">
        <w:t xml:space="preserve">Purpose </w:t>
      </w:r>
      <w:r w:rsidR="00772829" w:rsidRPr="00CE28E3">
        <w:rPr>
          <w:szCs w:val="32"/>
        </w:rPr>
        <w:t>of</w:t>
      </w:r>
      <w:r w:rsidR="00772829" w:rsidRPr="00CE28E3">
        <w:t xml:space="preserve"> application</w:t>
      </w:r>
      <w:bookmarkEnd w:id="2"/>
    </w:p>
    <w:p w14:paraId="6BF31FF2" w14:textId="3DA72171" w:rsidR="00772829" w:rsidRPr="00565D02" w:rsidRDefault="00772829" w:rsidP="00772829">
      <w:pPr>
        <w:spacing w:after="240"/>
        <w:rPr>
          <w:iCs/>
        </w:rPr>
      </w:pPr>
      <w:bookmarkStart w:id="3" w:name="_Hlk69734469"/>
      <w:r w:rsidRPr="009A3778">
        <w:rPr>
          <w:iCs/>
        </w:rPr>
        <w:t xml:space="preserve">An application requesting </w:t>
      </w:r>
      <w:r w:rsidRPr="0016614E">
        <w:rPr>
          <w:iCs/>
        </w:rPr>
        <w:t>public funding</w:t>
      </w:r>
      <w:r w:rsidRPr="009A3778">
        <w:rPr>
          <w:iCs/>
        </w:rPr>
        <w:t xml:space="preserve"> </w:t>
      </w:r>
      <w:r w:rsidR="00CF243D" w:rsidRPr="00CF243D">
        <w:rPr>
          <w:iCs/>
        </w:rPr>
        <w:t>for a diagnostic test vibration-controlled transient elastography (VCT</w:t>
      </w:r>
      <w:r w:rsidR="0016614E">
        <w:rPr>
          <w:iCs/>
        </w:rPr>
        <w:t>E</w:t>
      </w:r>
      <w:r w:rsidR="000D428C">
        <w:rPr>
          <w:iCs/>
        </w:rPr>
        <w:t>™</w:t>
      </w:r>
      <w:r w:rsidR="00CF243D" w:rsidRPr="00CF243D">
        <w:rPr>
          <w:iCs/>
        </w:rPr>
        <w:t xml:space="preserve">), delivered by FibroScan® devices, to detect advanced liver fibrosis </w:t>
      </w:r>
      <w:r w:rsidR="00F3371D">
        <w:rPr>
          <w:iCs/>
        </w:rPr>
        <w:t xml:space="preserve">(AF) </w:t>
      </w:r>
      <w:r w:rsidR="00CF243D" w:rsidRPr="00CF243D">
        <w:rPr>
          <w:iCs/>
        </w:rPr>
        <w:t>in people with metabolic dysfunction-associated fatty liver disease (MAFLD)</w:t>
      </w:r>
      <w:r w:rsidR="00C663E9">
        <w:rPr>
          <w:iCs/>
        </w:rPr>
        <w:t xml:space="preserve"> </w:t>
      </w:r>
      <w:r w:rsidRPr="009A3778">
        <w:rPr>
          <w:iCs/>
        </w:rPr>
        <w:t xml:space="preserve">was received from the </w:t>
      </w:r>
      <w:r w:rsidR="00565D02" w:rsidRPr="00565D02">
        <w:rPr>
          <w:iCs/>
        </w:rPr>
        <w:t>Health Technology Analysts Pty Limited</w:t>
      </w:r>
      <w:r w:rsidRPr="009A3778">
        <w:rPr>
          <w:iCs/>
        </w:rPr>
        <w:t xml:space="preserve"> by the Department of Health</w:t>
      </w:r>
      <w:r w:rsidR="13AF06A6">
        <w:t>, Disability and Ageing</w:t>
      </w:r>
      <w:r w:rsidR="0E144618">
        <w:t>.</w:t>
      </w:r>
      <w:r w:rsidR="0081642F">
        <w:rPr>
          <w:iCs/>
        </w:rPr>
        <w:t xml:space="preserve"> </w:t>
      </w:r>
      <w:r w:rsidR="00565D02">
        <w:rPr>
          <w:iCs/>
        </w:rPr>
        <w:t xml:space="preserve">The </w:t>
      </w:r>
      <w:r w:rsidR="00160B1A">
        <w:rPr>
          <w:iCs/>
        </w:rPr>
        <w:t xml:space="preserve">ADAR used the terms </w:t>
      </w:r>
      <w:r w:rsidR="0073520D">
        <w:rPr>
          <w:iCs/>
        </w:rPr>
        <w:t>VCTE and FibroScan interchangeably</w:t>
      </w:r>
      <w:r w:rsidR="006D599B">
        <w:rPr>
          <w:iCs/>
        </w:rPr>
        <w:t>, while VCTE</w:t>
      </w:r>
      <w:r w:rsidR="007633E7">
        <w:rPr>
          <w:iCs/>
        </w:rPr>
        <w:t>™</w:t>
      </w:r>
      <w:r w:rsidR="006D599B">
        <w:rPr>
          <w:iCs/>
        </w:rPr>
        <w:t xml:space="preserve"> </w:t>
      </w:r>
      <w:r w:rsidR="00E90A45">
        <w:rPr>
          <w:iCs/>
        </w:rPr>
        <w:t xml:space="preserve">was </w:t>
      </w:r>
      <w:r w:rsidR="00272376">
        <w:rPr>
          <w:iCs/>
        </w:rPr>
        <w:t>primarily</w:t>
      </w:r>
      <w:r w:rsidR="00E90A45">
        <w:rPr>
          <w:iCs/>
        </w:rPr>
        <w:t xml:space="preserve"> used in the </w:t>
      </w:r>
      <w:r w:rsidR="00085285">
        <w:rPr>
          <w:iCs/>
        </w:rPr>
        <w:t>Public Summary Document (</w:t>
      </w:r>
      <w:r w:rsidR="00E90A45">
        <w:rPr>
          <w:iCs/>
        </w:rPr>
        <w:t>PS</w:t>
      </w:r>
      <w:r w:rsidR="00EE5910">
        <w:rPr>
          <w:iCs/>
        </w:rPr>
        <w:t>D)</w:t>
      </w:r>
      <w:r w:rsidR="0073520D">
        <w:rPr>
          <w:iCs/>
        </w:rPr>
        <w:t>.</w:t>
      </w:r>
    </w:p>
    <w:p w14:paraId="53EE40ED" w14:textId="23B3AB41" w:rsidR="008529A7" w:rsidRDefault="008529A7" w:rsidP="00772829">
      <w:pPr>
        <w:spacing w:after="240"/>
        <w:rPr>
          <w:iCs/>
        </w:rPr>
      </w:pPr>
      <w:r w:rsidRPr="008529A7">
        <w:rPr>
          <w:iCs/>
        </w:rPr>
        <w:t xml:space="preserve">The ADAR proposed </w:t>
      </w:r>
      <w:r w:rsidR="38BCEE65">
        <w:t>using</w:t>
      </w:r>
      <w:r w:rsidRPr="008529A7">
        <w:rPr>
          <w:iCs/>
        </w:rPr>
        <w:t xml:space="preserve"> VCTE</w:t>
      </w:r>
      <w:r w:rsidR="00724D91">
        <w:rPr>
          <w:iCs/>
        </w:rPr>
        <w:t>™</w:t>
      </w:r>
      <w:r w:rsidRPr="008529A7">
        <w:rPr>
          <w:iCs/>
        </w:rPr>
        <w:t xml:space="preserve"> as a follow-up to FIB-4 testing when</w:t>
      </w:r>
      <w:r w:rsidR="00DB2573">
        <w:rPr>
          <w:iCs/>
        </w:rPr>
        <w:t xml:space="preserve"> </w:t>
      </w:r>
      <w:r w:rsidR="00AD0540">
        <w:rPr>
          <w:iCs/>
        </w:rPr>
        <w:t>risk</w:t>
      </w:r>
      <w:r w:rsidR="00DB2573">
        <w:rPr>
          <w:iCs/>
        </w:rPr>
        <w:t xml:space="preserve"> of</w:t>
      </w:r>
      <w:r w:rsidR="00253B28">
        <w:rPr>
          <w:iCs/>
        </w:rPr>
        <w:t xml:space="preserve"> advanced</w:t>
      </w:r>
      <w:r w:rsidRPr="008529A7">
        <w:rPr>
          <w:iCs/>
        </w:rPr>
        <w:t xml:space="preserve"> liver fibrosis remains inconclusive, positioning it </w:t>
      </w:r>
      <w:r w:rsidR="00DD223A">
        <w:rPr>
          <w:iCs/>
        </w:rPr>
        <w:t xml:space="preserve">for use </w:t>
      </w:r>
      <w:r w:rsidR="1785E6FE">
        <w:t>in</w:t>
      </w:r>
      <w:r w:rsidRPr="008529A7">
        <w:rPr>
          <w:iCs/>
        </w:rPr>
        <w:t xml:space="preserve"> both primary and specialist care settings.</w:t>
      </w:r>
    </w:p>
    <w:p w14:paraId="71AA5CD0" w14:textId="77777777" w:rsidR="0018750D" w:rsidRPr="00D155C0" w:rsidRDefault="00C36633" w:rsidP="0018750D">
      <w:pPr>
        <w:pStyle w:val="Heading2"/>
        <w:numPr>
          <w:ilvl w:val="0"/>
          <w:numId w:val="0"/>
        </w:numPr>
      </w:pPr>
      <w:bookmarkStart w:id="4" w:name="_Toc69491416"/>
      <w:bookmarkEnd w:id="3"/>
      <w:r>
        <w:t>2.</w:t>
      </w:r>
      <w:r>
        <w:tab/>
      </w:r>
      <w:bookmarkStart w:id="5" w:name="_Hlk213743646"/>
      <w:bookmarkStart w:id="6" w:name="_Hlk213744689"/>
      <w:r w:rsidR="0018750D" w:rsidRPr="00D155C0">
        <w:t>MSAC’s advice to the Minister</w:t>
      </w:r>
      <w:bookmarkEnd w:id="5"/>
    </w:p>
    <w:p w14:paraId="5231BB9A" w14:textId="0715CEFE" w:rsidR="00F3269D" w:rsidRDefault="0018750D" w:rsidP="00F3269D">
      <w:bookmarkStart w:id="7" w:name="_Hlk213751700"/>
      <w:bookmarkStart w:id="8" w:name="_Hlk213743656"/>
      <w:r>
        <w:t>After considering the strength of the available evidence in relation to comparative safety, clinical effectiveness, cost-effectiveness and total cost, MSAC</w:t>
      </w:r>
      <w:r w:rsidR="00F3269D">
        <w:t xml:space="preserve"> did not support public funding of Vibration-Controlled Transient Elastography (VCTE</w:t>
      </w:r>
      <w:r w:rsidR="00AD05DB">
        <w:t>™</w:t>
      </w:r>
      <w:r w:rsidR="00F3269D">
        <w:t xml:space="preserve">) for identifying advanced liver fibrosis in patients with metabolic dysfunction-associated fatty liver disease (MAFLD). MSAC considered that the evidence presented did not demonstrate that the use of VCTE in patients with MAFLD would result in changes in clinical management </w:t>
      </w:r>
      <w:r w:rsidR="0CE415E3">
        <w:t>and</w:t>
      </w:r>
      <w:r w:rsidR="00F3269D">
        <w:t xml:space="preserve"> improve health outcomes. MSAC further considered that much of the evidence that was presented for other aspects of clinical effectiveness, such as test accuracy, was indirect, non-comparative and of low generalisability and applicability to the proposed testing scenario. MSAC noted that while </w:t>
      </w:r>
      <w:r w:rsidR="009E06F8">
        <w:t>procedure</w:t>
      </w:r>
      <w:r w:rsidR="003E5B33">
        <w:t xml:space="preserve"> </w:t>
      </w:r>
      <w:r w:rsidR="00F3269D">
        <w:t xml:space="preserve">related safety concerns were negligible, there was a lack of evidence presented on potential safety issues relating to the clinical implications of false positive or false negative results. MSAC noted the high prevalence of MAFLD and the likely financial implications. </w:t>
      </w:r>
    </w:p>
    <w:p w14:paraId="5A5B6504" w14:textId="1AB45537" w:rsidR="0018750D" w:rsidRDefault="00F3269D" w:rsidP="0018750D">
      <w:r>
        <w:t>MSAC considered the use of an inappropriate comparator (abdominal ultrasound) and the limited evidence of improved clinical management resulted in the economic modelling and financial impact being highly uncertain. MSAC also considered that while the application positioned the use of VCTE in patients with MAFLD as a risk assessment tool, there is potential risk for it to be used inappropriately for monitoring liver fibrosis or for risk assessment or monitoring in other conditions which have not been supported by MSAC.</w:t>
      </w:r>
      <w:bookmarkEnd w:id="7"/>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sumer summary of MSAC consideration"/>
      </w:tblPr>
      <w:tblGrid>
        <w:gridCol w:w="9016"/>
      </w:tblGrid>
      <w:tr w:rsidR="00765A47" w:rsidRPr="00F91D6E" w14:paraId="6A54AE56" w14:textId="77777777" w:rsidTr="21BB0721">
        <w:trPr>
          <w:tblHeader/>
        </w:trPr>
        <w:tc>
          <w:tcPr>
            <w:tcW w:w="9016" w:type="dxa"/>
          </w:tcPr>
          <w:p w14:paraId="1A4F2BEC" w14:textId="77777777" w:rsidR="0018750D" w:rsidRPr="00F91D6E" w:rsidRDefault="0018750D">
            <w:pPr>
              <w:keepNext/>
              <w:keepLines/>
              <w:spacing w:before="40" w:after="40" w:line="259" w:lineRule="auto"/>
              <w:rPr>
                <w:rFonts w:eastAsia="Calibri"/>
                <w:b/>
                <w:bCs/>
              </w:rPr>
            </w:pPr>
            <w:bookmarkStart w:id="9" w:name="_Hlk213744995"/>
            <w:r w:rsidRPr="00F91D6E">
              <w:rPr>
                <w:b/>
                <w:bCs/>
              </w:rPr>
              <w:lastRenderedPageBreak/>
              <w:t>Consumer summary</w:t>
            </w:r>
          </w:p>
        </w:tc>
      </w:tr>
      <w:tr w:rsidR="00765A47" w:rsidRPr="00F91D6E" w14:paraId="30F58BB9" w14:textId="77777777" w:rsidTr="21BB0721">
        <w:tc>
          <w:tcPr>
            <w:tcW w:w="9016" w:type="dxa"/>
          </w:tcPr>
          <w:p w14:paraId="6F3F0D45" w14:textId="60C7B6F7" w:rsidR="00963F27" w:rsidRPr="00963F27" w:rsidRDefault="00963F27" w:rsidP="002729CB">
            <w:pPr>
              <w:pStyle w:val="Heading3"/>
              <w:keepNext w:val="0"/>
              <w:spacing w:before="120" w:after="120"/>
              <w:rPr>
                <w:rFonts w:ascii="Franklin Gothic Book" w:hAnsi="Franklin Gothic Book"/>
                <w:sz w:val="22"/>
                <w:szCs w:val="22"/>
              </w:rPr>
            </w:pPr>
            <w:r w:rsidRPr="5E55DC47">
              <w:rPr>
                <w:rFonts w:ascii="Franklin Gothic Book" w:hAnsi="Franklin Gothic Book"/>
                <w:sz w:val="22"/>
                <w:szCs w:val="22"/>
              </w:rPr>
              <w:t xml:space="preserve">This is an application from Medical Technologies Australia Pty Ltd requesting Medicare Benefits Schedule (MBS) listing of </w:t>
            </w:r>
            <w:r w:rsidR="5849F0EF" w:rsidRPr="5E55DC47">
              <w:rPr>
                <w:rFonts w:ascii="Franklin Gothic Book" w:hAnsi="Franklin Gothic Book"/>
                <w:sz w:val="22"/>
                <w:szCs w:val="22"/>
              </w:rPr>
              <w:t>a liver scan called</w:t>
            </w:r>
            <w:r w:rsidR="5F28D541" w:rsidRPr="5E55DC47">
              <w:rPr>
                <w:rFonts w:ascii="Franklin Gothic Book" w:hAnsi="Franklin Gothic Book"/>
                <w:sz w:val="22"/>
                <w:szCs w:val="22"/>
              </w:rPr>
              <w:t xml:space="preserve"> “</w:t>
            </w:r>
            <w:r w:rsidRPr="5E55DC47">
              <w:rPr>
                <w:rFonts w:ascii="Franklin Gothic Book" w:hAnsi="Franklin Gothic Book"/>
                <w:sz w:val="22"/>
                <w:szCs w:val="22"/>
              </w:rPr>
              <w:t>Vibration-Controlled Transient Elastography (VCTE)</w:t>
            </w:r>
            <w:r w:rsidR="5F28D541" w:rsidRPr="5E55DC47">
              <w:rPr>
                <w:rFonts w:ascii="Franklin Gothic Book" w:hAnsi="Franklin Gothic Book"/>
                <w:sz w:val="22"/>
                <w:szCs w:val="22"/>
              </w:rPr>
              <w:t>”, which is used</w:t>
            </w:r>
            <w:r w:rsidRPr="5E55DC47">
              <w:rPr>
                <w:rFonts w:ascii="Franklin Gothic Book" w:hAnsi="Franklin Gothic Book"/>
                <w:sz w:val="22"/>
                <w:szCs w:val="22"/>
              </w:rPr>
              <w:t xml:space="preserve"> to detect </w:t>
            </w:r>
            <w:r w:rsidR="6A9D375C" w:rsidRPr="5E55DC47">
              <w:rPr>
                <w:rFonts w:ascii="Franklin Gothic Book" w:hAnsi="Franklin Gothic Book"/>
                <w:sz w:val="22"/>
                <w:szCs w:val="22"/>
              </w:rPr>
              <w:t xml:space="preserve">liver </w:t>
            </w:r>
            <w:r w:rsidR="7EB30CFB" w:rsidRPr="5E55DC47">
              <w:rPr>
                <w:rFonts w:ascii="Franklin Gothic Book" w:hAnsi="Franklin Gothic Book"/>
                <w:sz w:val="22"/>
                <w:szCs w:val="22"/>
              </w:rPr>
              <w:t>damage, called “</w:t>
            </w:r>
            <w:r w:rsidR="71B37D1A" w:rsidRPr="5E55DC47">
              <w:rPr>
                <w:rFonts w:ascii="Franklin Gothic Book" w:hAnsi="Franklin Gothic Book"/>
                <w:sz w:val="22"/>
                <w:szCs w:val="22"/>
              </w:rPr>
              <w:t xml:space="preserve">advanced </w:t>
            </w:r>
            <w:r w:rsidRPr="5E55DC47">
              <w:rPr>
                <w:rFonts w:ascii="Franklin Gothic Book" w:hAnsi="Franklin Gothic Book"/>
                <w:sz w:val="22"/>
                <w:szCs w:val="22"/>
              </w:rPr>
              <w:t>fibrosis</w:t>
            </w:r>
            <w:r w:rsidR="7EB30CFB" w:rsidRPr="5E55DC47">
              <w:rPr>
                <w:rFonts w:ascii="Franklin Gothic Book" w:hAnsi="Franklin Gothic Book"/>
                <w:sz w:val="22"/>
                <w:szCs w:val="22"/>
              </w:rPr>
              <w:t>”. The scan is for</w:t>
            </w:r>
            <w:r w:rsidRPr="5E55DC47">
              <w:rPr>
                <w:rFonts w:ascii="Franklin Gothic Book" w:hAnsi="Franklin Gothic Book"/>
                <w:sz w:val="22"/>
                <w:szCs w:val="22"/>
              </w:rPr>
              <w:t xml:space="preserve"> people with </w:t>
            </w:r>
            <w:r w:rsidR="7EB30CFB" w:rsidRPr="5E55DC47">
              <w:rPr>
                <w:rFonts w:ascii="Franklin Gothic Book" w:hAnsi="Franklin Gothic Book"/>
                <w:sz w:val="22"/>
                <w:szCs w:val="22"/>
              </w:rPr>
              <w:t xml:space="preserve">a condition called </w:t>
            </w:r>
            <w:r w:rsidR="09215E30" w:rsidRPr="5E55DC47">
              <w:rPr>
                <w:rFonts w:ascii="Franklin Gothic Book" w:hAnsi="Franklin Gothic Book"/>
                <w:sz w:val="22"/>
                <w:szCs w:val="22"/>
              </w:rPr>
              <w:t>“</w:t>
            </w:r>
            <w:r w:rsidRPr="5E55DC47">
              <w:rPr>
                <w:rFonts w:ascii="Franklin Gothic Book" w:hAnsi="Franklin Gothic Book"/>
                <w:sz w:val="22"/>
                <w:szCs w:val="22"/>
              </w:rPr>
              <w:t>metabolic-associated fatty liver disease (MAFLD)</w:t>
            </w:r>
            <w:r w:rsidR="09215E30" w:rsidRPr="5E55DC47">
              <w:rPr>
                <w:rFonts w:ascii="Franklin Gothic Book" w:hAnsi="Franklin Gothic Book"/>
                <w:sz w:val="22"/>
                <w:szCs w:val="22"/>
              </w:rPr>
              <w:t>”</w:t>
            </w:r>
            <w:r w:rsidR="4434E8B1" w:rsidRPr="5E55DC47">
              <w:rPr>
                <w:rFonts w:ascii="Franklin Gothic Book" w:hAnsi="Franklin Gothic Book"/>
                <w:sz w:val="22"/>
                <w:szCs w:val="22"/>
              </w:rPr>
              <w:t xml:space="preserve"> and who have a score on the </w:t>
            </w:r>
            <w:r w:rsidRPr="5E55DC47">
              <w:rPr>
                <w:rFonts w:ascii="Franklin Gothic Book" w:hAnsi="Franklin Gothic Book"/>
                <w:sz w:val="22"/>
                <w:szCs w:val="22"/>
              </w:rPr>
              <w:t xml:space="preserve">fibrosis index score of </w:t>
            </w:r>
            <w:r w:rsidR="39F4F9F2" w:rsidRPr="5E55DC47">
              <w:rPr>
                <w:rFonts w:ascii="Franklin Gothic Book" w:hAnsi="Franklin Gothic Book"/>
                <w:sz w:val="22"/>
                <w:szCs w:val="22"/>
              </w:rPr>
              <w:t xml:space="preserve">greater than </w:t>
            </w:r>
            <w:r w:rsidRPr="5E55DC47">
              <w:rPr>
                <w:rFonts w:ascii="Franklin Gothic Book" w:hAnsi="Franklin Gothic Book"/>
                <w:sz w:val="22"/>
                <w:szCs w:val="22"/>
              </w:rPr>
              <w:t>1.3.</w:t>
            </w:r>
          </w:p>
          <w:p w14:paraId="60ECF9B7" w14:textId="3DDC1DAC" w:rsidR="00963F27" w:rsidRPr="00963F27" w:rsidRDefault="00963F27" w:rsidP="002125DB">
            <w:pPr>
              <w:pStyle w:val="Heading3"/>
              <w:keepNext w:val="0"/>
              <w:spacing w:before="240" w:after="120"/>
              <w:rPr>
                <w:rFonts w:ascii="Franklin Gothic Book" w:hAnsi="Franklin Gothic Book"/>
                <w:sz w:val="22"/>
                <w:szCs w:val="22"/>
              </w:rPr>
            </w:pPr>
            <w:r w:rsidRPr="21BB0721">
              <w:rPr>
                <w:rFonts w:ascii="Franklin Gothic Book" w:hAnsi="Franklin Gothic Book"/>
                <w:sz w:val="22"/>
                <w:szCs w:val="22"/>
              </w:rPr>
              <w:t xml:space="preserve">MAFLD is caused by </w:t>
            </w:r>
            <w:r w:rsidR="00FB2DBD" w:rsidRPr="21BB0721">
              <w:rPr>
                <w:rFonts w:ascii="Franklin Gothic Book" w:hAnsi="Franklin Gothic Book"/>
                <w:sz w:val="22"/>
                <w:szCs w:val="22"/>
              </w:rPr>
              <w:t>a</w:t>
            </w:r>
            <w:r w:rsidRPr="21BB0721">
              <w:rPr>
                <w:rFonts w:ascii="Franklin Gothic Book" w:hAnsi="Franklin Gothic Book"/>
                <w:sz w:val="22"/>
                <w:szCs w:val="22"/>
              </w:rPr>
              <w:t xml:space="preserve"> build-up of fat in the liver</w:t>
            </w:r>
            <w:r w:rsidR="004E2EA2" w:rsidRPr="21BB0721">
              <w:rPr>
                <w:rFonts w:ascii="Franklin Gothic Book" w:hAnsi="Franklin Gothic Book"/>
                <w:sz w:val="22"/>
                <w:szCs w:val="22"/>
              </w:rPr>
              <w:t xml:space="preserve">. This </w:t>
            </w:r>
            <w:r w:rsidRPr="21BB0721">
              <w:rPr>
                <w:rFonts w:ascii="Franklin Gothic Book" w:hAnsi="Franklin Gothic Book"/>
                <w:sz w:val="22"/>
                <w:szCs w:val="22"/>
              </w:rPr>
              <w:t xml:space="preserve">can cause </w:t>
            </w:r>
            <w:r w:rsidR="00F40EA1" w:rsidRPr="21BB0721">
              <w:rPr>
                <w:rFonts w:ascii="Franklin Gothic Book" w:hAnsi="Franklin Gothic Book"/>
                <w:sz w:val="22"/>
                <w:szCs w:val="22"/>
              </w:rPr>
              <w:t xml:space="preserve">the </w:t>
            </w:r>
            <w:r w:rsidRPr="21BB0721">
              <w:rPr>
                <w:rFonts w:ascii="Franklin Gothic Book" w:hAnsi="Franklin Gothic Book"/>
                <w:sz w:val="22"/>
                <w:szCs w:val="22"/>
              </w:rPr>
              <w:t xml:space="preserve">liver </w:t>
            </w:r>
            <w:r w:rsidR="00F40EA1" w:rsidRPr="21BB0721">
              <w:rPr>
                <w:rFonts w:ascii="Franklin Gothic Book" w:hAnsi="Franklin Gothic Book"/>
                <w:sz w:val="22"/>
                <w:szCs w:val="22"/>
              </w:rPr>
              <w:t>to swell (</w:t>
            </w:r>
            <w:r w:rsidRPr="21BB0721">
              <w:rPr>
                <w:rFonts w:ascii="Franklin Gothic Book" w:hAnsi="Franklin Gothic Book"/>
                <w:sz w:val="22"/>
                <w:szCs w:val="22"/>
              </w:rPr>
              <w:t>inflammation</w:t>
            </w:r>
            <w:r w:rsidR="00F40EA1" w:rsidRPr="21BB0721">
              <w:rPr>
                <w:rFonts w:ascii="Franklin Gothic Book" w:hAnsi="Franklin Gothic Book"/>
                <w:sz w:val="22"/>
                <w:szCs w:val="22"/>
              </w:rPr>
              <w:t>)</w:t>
            </w:r>
            <w:r w:rsidRPr="21BB0721">
              <w:rPr>
                <w:rFonts w:ascii="Franklin Gothic Book" w:hAnsi="Franklin Gothic Book"/>
                <w:sz w:val="22"/>
                <w:szCs w:val="22"/>
              </w:rPr>
              <w:t xml:space="preserve"> and </w:t>
            </w:r>
            <w:r w:rsidR="009769F3" w:rsidRPr="21BB0721">
              <w:rPr>
                <w:rFonts w:ascii="Franklin Gothic Book" w:hAnsi="Franklin Gothic Book"/>
                <w:sz w:val="22"/>
                <w:szCs w:val="22"/>
              </w:rPr>
              <w:t>become</w:t>
            </w:r>
            <w:r w:rsidRPr="21BB0721">
              <w:rPr>
                <w:rFonts w:ascii="Franklin Gothic Book" w:hAnsi="Franklin Gothic Book"/>
                <w:sz w:val="22"/>
                <w:szCs w:val="22"/>
              </w:rPr>
              <w:t xml:space="preserve"> </w:t>
            </w:r>
            <w:r w:rsidR="009769F3" w:rsidRPr="21BB0721">
              <w:rPr>
                <w:rFonts w:ascii="Franklin Gothic Book" w:hAnsi="Franklin Gothic Book"/>
                <w:sz w:val="22"/>
                <w:szCs w:val="22"/>
              </w:rPr>
              <w:t>scarred</w:t>
            </w:r>
            <w:r w:rsidR="004E7592" w:rsidRPr="21BB0721">
              <w:rPr>
                <w:rFonts w:ascii="Franklin Gothic Book" w:hAnsi="Franklin Gothic Book"/>
                <w:sz w:val="22"/>
                <w:szCs w:val="22"/>
              </w:rPr>
              <w:t xml:space="preserve"> (</w:t>
            </w:r>
            <w:r w:rsidRPr="21BB0721">
              <w:rPr>
                <w:rFonts w:ascii="Franklin Gothic Book" w:hAnsi="Franklin Gothic Book"/>
                <w:sz w:val="22"/>
                <w:szCs w:val="22"/>
              </w:rPr>
              <w:t>fibrosis</w:t>
            </w:r>
            <w:r w:rsidR="004E7592" w:rsidRPr="21BB0721">
              <w:rPr>
                <w:rFonts w:ascii="Franklin Gothic Book" w:hAnsi="Franklin Gothic Book"/>
                <w:sz w:val="22"/>
                <w:szCs w:val="22"/>
              </w:rPr>
              <w:t>)</w:t>
            </w:r>
            <w:r w:rsidR="009D410D" w:rsidRPr="21BB0721">
              <w:rPr>
                <w:rFonts w:ascii="Franklin Gothic Book" w:hAnsi="Franklin Gothic Book"/>
                <w:sz w:val="22"/>
                <w:szCs w:val="22"/>
              </w:rPr>
              <w:t xml:space="preserve"> and hard</w:t>
            </w:r>
            <w:r w:rsidRPr="21BB0721">
              <w:rPr>
                <w:rFonts w:ascii="Franklin Gothic Book" w:hAnsi="Franklin Gothic Book"/>
                <w:sz w:val="22"/>
                <w:szCs w:val="22"/>
              </w:rPr>
              <w:t xml:space="preserve">. Advanced liver fibrosis can lead to cirrhosis </w:t>
            </w:r>
            <w:r w:rsidR="00FC07A2" w:rsidRPr="21BB0721">
              <w:rPr>
                <w:rFonts w:ascii="Franklin Gothic Book" w:hAnsi="Franklin Gothic Book"/>
                <w:sz w:val="22"/>
                <w:szCs w:val="22"/>
              </w:rPr>
              <w:t xml:space="preserve">- </w:t>
            </w:r>
            <w:r w:rsidR="00A25938" w:rsidRPr="21BB0721">
              <w:rPr>
                <w:rFonts w:ascii="Franklin Gothic Book" w:hAnsi="Franklin Gothic Book"/>
                <w:sz w:val="22"/>
                <w:szCs w:val="22"/>
              </w:rPr>
              <w:t>w</w:t>
            </w:r>
            <w:r w:rsidR="00F36610" w:rsidRPr="21BB0721">
              <w:rPr>
                <w:rFonts w:ascii="Franklin Gothic Book" w:hAnsi="Franklin Gothic Book"/>
                <w:sz w:val="22"/>
                <w:szCs w:val="22"/>
              </w:rPr>
              <w:t>here the liver</w:t>
            </w:r>
            <w:r w:rsidR="001D5838" w:rsidRPr="21BB0721">
              <w:rPr>
                <w:rFonts w:ascii="Franklin Gothic Book" w:hAnsi="Franklin Gothic Book"/>
                <w:sz w:val="22"/>
                <w:szCs w:val="22"/>
              </w:rPr>
              <w:t xml:space="preserve"> has</w:t>
            </w:r>
            <w:r w:rsidR="00A25938" w:rsidRPr="21BB0721">
              <w:rPr>
                <w:rFonts w:ascii="Franklin Gothic Book" w:hAnsi="Franklin Gothic Book"/>
                <w:sz w:val="22"/>
                <w:szCs w:val="22"/>
              </w:rPr>
              <w:t xml:space="preserve"> </w:t>
            </w:r>
            <w:r w:rsidR="70A20715" w:rsidRPr="21BB0721">
              <w:rPr>
                <w:rFonts w:ascii="Franklin Gothic Book" w:hAnsi="Franklin Gothic Book"/>
                <w:sz w:val="22"/>
                <w:szCs w:val="22"/>
              </w:rPr>
              <w:t>developed</w:t>
            </w:r>
            <w:r w:rsidR="00FB645B" w:rsidRPr="21BB0721">
              <w:rPr>
                <w:rFonts w:ascii="Franklin Gothic Book" w:hAnsi="Franklin Gothic Book"/>
                <w:sz w:val="22"/>
                <w:szCs w:val="22"/>
              </w:rPr>
              <w:t xml:space="preserve"> scarring and damage</w:t>
            </w:r>
            <w:r w:rsidR="004D6675" w:rsidRPr="21BB0721">
              <w:rPr>
                <w:rFonts w:ascii="Franklin Gothic Book" w:hAnsi="Franklin Gothic Book"/>
                <w:sz w:val="22"/>
                <w:szCs w:val="22"/>
              </w:rPr>
              <w:t xml:space="preserve">. </w:t>
            </w:r>
            <w:r w:rsidR="63FA4210" w:rsidRPr="21BB0721">
              <w:rPr>
                <w:rFonts w:ascii="Franklin Gothic Book" w:hAnsi="Franklin Gothic Book"/>
                <w:sz w:val="22"/>
                <w:szCs w:val="22"/>
              </w:rPr>
              <w:t>Cirrhosis</w:t>
            </w:r>
            <w:r w:rsidR="00CC5750" w:rsidRPr="21BB0721">
              <w:rPr>
                <w:rFonts w:ascii="Franklin Gothic Book" w:hAnsi="Franklin Gothic Book"/>
                <w:sz w:val="22"/>
                <w:szCs w:val="22"/>
              </w:rPr>
              <w:t xml:space="preserve"> can lead to serious problems like fluid buildup, infections,</w:t>
            </w:r>
            <w:r w:rsidR="004D6675" w:rsidRPr="21BB0721">
              <w:rPr>
                <w:rFonts w:ascii="Franklin Gothic Book" w:hAnsi="Franklin Gothic Book"/>
                <w:sz w:val="22"/>
                <w:szCs w:val="22"/>
              </w:rPr>
              <w:t xml:space="preserve"> </w:t>
            </w:r>
            <w:r w:rsidRPr="21BB0721">
              <w:rPr>
                <w:rFonts w:ascii="Franklin Gothic Book" w:hAnsi="Franklin Gothic Book"/>
                <w:sz w:val="22"/>
                <w:szCs w:val="22"/>
              </w:rPr>
              <w:t xml:space="preserve">and </w:t>
            </w:r>
            <w:r w:rsidR="00CC5750" w:rsidRPr="21BB0721">
              <w:rPr>
                <w:rFonts w:ascii="Franklin Gothic Book" w:hAnsi="Franklin Gothic Book"/>
                <w:sz w:val="22"/>
                <w:szCs w:val="22"/>
              </w:rPr>
              <w:t xml:space="preserve">liver failure. </w:t>
            </w:r>
            <w:r w:rsidR="004D6675" w:rsidRPr="21BB0721">
              <w:rPr>
                <w:rFonts w:ascii="Franklin Gothic Book" w:hAnsi="Franklin Gothic Book"/>
                <w:sz w:val="22"/>
                <w:szCs w:val="22"/>
              </w:rPr>
              <w:t xml:space="preserve">In </w:t>
            </w:r>
            <w:r w:rsidR="00593126" w:rsidRPr="21BB0721">
              <w:rPr>
                <w:rFonts w:ascii="Franklin Gothic Book" w:hAnsi="Franklin Gothic Book"/>
                <w:sz w:val="22"/>
                <w:szCs w:val="22"/>
              </w:rPr>
              <w:t xml:space="preserve">some cases, </w:t>
            </w:r>
            <w:r w:rsidR="00CC5750" w:rsidRPr="21BB0721">
              <w:rPr>
                <w:rFonts w:ascii="Franklin Gothic Book" w:hAnsi="Franklin Gothic Book"/>
                <w:sz w:val="22"/>
                <w:szCs w:val="22"/>
              </w:rPr>
              <w:t>people with cirrhosis</w:t>
            </w:r>
            <w:r w:rsidR="00593126" w:rsidRPr="21BB0721">
              <w:rPr>
                <w:rFonts w:ascii="Franklin Gothic Book" w:hAnsi="Franklin Gothic Book"/>
                <w:sz w:val="22"/>
                <w:szCs w:val="22"/>
              </w:rPr>
              <w:t xml:space="preserve"> </w:t>
            </w:r>
            <w:r w:rsidRPr="21BB0721">
              <w:rPr>
                <w:rFonts w:ascii="Franklin Gothic Book" w:hAnsi="Franklin Gothic Book"/>
                <w:sz w:val="22"/>
                <w:szCs w:val="22"/>
              </w:rPr>
              <w:t xml:space="preserve">need a liver transplant. MAFLD </w:t>
            </w:r>
            <w:r w:rsidR="00FC42BB">
              <w:rPr>
                <w:rFonts w:ascii="Franklin Gothic Book" w:hAnsi="Franklin Gothic Book"/>
                <w:sz w:val="22"/>
                <w:szCs w:val="22"/>
              </w:rPr>
              <w:t>is also associated with an increased risk of</w:t>
            </w:r>
            <w:r w:rsidRPr="21BB0721">
              <w:rPr>
                <w:rFonts w:ascii="Franklin Gothic Book" w:hAnsi="Franklin Gothic Book"/>
                <w:sz w:val="22"/>
                <w:szCs w:val="22"/>
              </w:rPr>
              <w:t xml:space="preserve"> </w:t>
            </w:r>
            <w:r w:rsidR="00A30B21" w:rsidRPr="21BB0721">
              <w:rPr>
                <w:rFonts w:ascii="Franklin Gothic Book" w:hAnsi="Franklin Gothic Book"/>
                <w:sz w:val="22"/>
                <w:szCs w:val="22"/>
              </w:rPr>
              <w:t xml:space="preserve">developing </w:t>
            </w:r>
            <w:r w:rsidRPr="21BB0721">
              <w:rPr>
                <w:rFonts w:ascii="Franklin Gothic Book" w:hAnsi="Franklin Gothic Book"/>
                <w:sz w:val="22"/>
                <w:szCs w:val="22"/>
              </w:rPr>
              <w:t xml:space="preserve">diabetes, heart attack and stroke. </w:t>
            </w:r>
            <w:r w:rsidR="00137423" w:rsidRPr="21BB0721">
              <w:rPr>
                <w:rFonts w:ascii="Franklin Gothic Book" w:hAnsi="Franklin Gothic Book"/>
                <w:sz w:val="22"/>
                <w:szCs w:val="22"/>
              </w:rPr>
              <w:t>Currently</w:t>
            </w:r>
            <w:r w:rsidR="00D570E5" w:rsidRPr="21BB0721">
              <w:rPr>
                <w:rFonts w:ascii="Franklin Gothic Book" w:hAnsi="Franklin Gothic Book"/>
                <w:sz w:val="22"/>
                <w:szCs w:val="22"/>
              </w:rPr>
              <w:t>,</w:t>
            </w:r>
            <w:r w:rsidR="00137423" w:rsidRPr="21BB0721">
              <w:rPr>
                <w:rFonts w:ascii="Franklin Gothic Book" w:hAnsi="Franklin Gothic Book"/>
                <w:sz w:val="22"/>
                <w:szCs w:val="22"/>
              </w:rPr>
              <w:t xml:space="preserve"> </w:t>
            </w:r>
            <w:r w:rsidRPr="21BB0721">
              <w:rPr>
                <w:rFonts w:ascii="Franklin Gothic Book" w:hAnsi="Franklin Gothic Book"/>
                <w:sz w:val="22"/>
                <w:szCs w:val="22"/>
              </w:rPr>
              <w:t>MAFLD</w:t>
            </w:r>
            <w:r w:rsidR="009A01C5" w:rsidRPr="21BB0721">
              <w:rPr>
                <w:rFonts w:ascii="Franklin Gothic Book" w:hAnsi="Franklin Gothic Book"/>
                <w:sz w:val="22"/>
                <w:szCs w:val="22"/>
              </w:rPr>
              <w:t xml:space="preserve"> is </w:t>
            </w:r>
            <w:r w:rsidR="00705051" w:rsidRPr="21BB0721">
              <w:rPr>
                <w:rFonts w:ascii="Franklin Gothic Book" w:hAnsi="Franklin Gothic Book"/>
                <w:sz w:val="22"/>
                <w:szCs w:val="22"/>
              </w:rPr>
              <w:t xml:space="preserve">managed </w:t>
            </w:r>
            <w:r w:rsidR="003A4BA8" w:rsidRPr="21BB0721">
              <w:rPr>
                <w:rFonts w:ascii="Franklin Gothic Book" w:hAnsi="Franklin Gothic Book"/>
                <w:sz w:val="22"/>
                <w:szCs w:val="22"/>
              </w:rPr>
              <w:t xml:space="preserve">mainly </w:t>
            </w:r>
            <w:r w:rsidR="006C0E05" w:rsidRPr="21BB0721">
              <w:rPr>
                <w:rFonts w:ascii="Franklin Gothic Book" w:hAnsi="Franklin Gothic Book"/>
                <w:sz w:val="22"/>
                <w:szCs w:val="22"/>
              </w:rPr>
              <w:t xml:space="preserve">through </w:t>
            </w:r>
            <w:r w:rsidRPr="21BB0721">
              <w:rPr>
                <w:rFonts w:ascii="Franklin Gothic Book" w:hAnsi="Franklin Gothic Book"/>
                <w:sz w:val="22"/>
                <w:szCs w:val="22"/>
              </w:rPr>
              <w:t xml:space="preserve">lifestyle changes such as diet and exercise. There are </w:t>
            </w:r>
            <w:r w:rsidR="004A50B1" w:rsidRPr="21BB0721">
              <w:rPr>
                <w:rFonts w:ascii="Franklin Gothic Book" w:hAnsi="Franklin Gothic Book"/>
                <w:sz w:val="22"/>
                <w:szCs w:val="22"/>
              </w:rPr>
              <w:t xml:space="preserve">currently </w:t>
            </w:r>
            <w:r w:rsidRPr="21BB0721">
              <w:rPr>
                <w:rFonts w:ascii="Franklin Gothic Book" w:hAnsi="Franklin Gothic Book"/>
                <w:sz w:val="22"/>
                <w:szCs w:val="22"/>
              </w:rPr>
              <w:t xml:space="preserve">no medicines </w:t>
            </w:r>
            <w:r w:rsidR="00F611D1" w:rsidRPr="21BB0721">
              <w:rPr>
                <w:rFonts w:ascii="Franklin Gothic Book" w:hAnsi="Franklin Gothic Book"/>
                <w:sz w:val="22"/>
                <w:szCs w:val="22"/>
              </w:rPr>
              <w:t>available</w:t>
            </w:r>
            <w:r w:rsidRPr="21BB0721">
              <w:rPr>
                <w:rFonts w:ascii="Franklin Gothic Book" w:hAnsi="Franklin Gothic Book"/>
                <w:sz w:val="22"/>
                <w:szCs w:val="22"/>
              </w:rPr>
              <w:t xml:space="preserve"> </w:t>
            </w:r>
            <w:r w:rsidR="005D0364" w:rsidRPr="21BB0721">
              <w:rPr>
                <w:rFonts w:ascii="Franklin Gothic Book" w:hAnsi="Franklin Gothic Book"/>
                <w:sz w:val="22"/>
                <w:szCs w:val="22"/>
              </w:rPr>
              <w:t>in Australia</w:t>
            </w:r>
            <w:r w:rsidRPr="21BB0721">
              <w:rPr>
                <w:rFonts w:ascii="Franklin Gothic Book" w:hAnsi="Franklin Gothic Book"/>
                <w:sz w:val="22"/>
                <w:szCs w:val="22"/>
              </w:rPr>
              <w:t xml:space="preserve"> to </w:t>
            </w:r>
            <w:r w:rsidR="005D0364" w:rsidRPr="21BB0721">
              <w:rPr>
                <w:rFonts w:ascii="Franklin Gothic Book" w:hAnsi="Franklin Gothic Book"/>
                <w:sz w:val="22"/>
                <w:szCs w:val="22"/>
              </w:rPr>
              <w:t xml:space="preserve">specifically </w:t>
            </w:r>
            <w:r w:rsidRPr="21BB0721">
              <w:rPr>
                <w:rFonts w:ascii="Franklin Gothic Book" w:hAnsi="Franklin Gothic Book"/>
                <w:sz w:val="22"/>
                <w:szCs w:val="22"/>
              </w:rPr>
              <w:t>treat MAFLD.</w:t>
            </w:r>
          </w:p>
          <w:p w14:paraId="7E34BFD0" w14:textId="414641A9" w:rsidR="00963F27" w:rsidRPr="00963F27" w:rsidRDefault="008828FD" w:rsidP="002125DB">
            <w:pPr>
              <w:pStyle w:val="Heading3"/>
              <w:keepNext w:val="0"/>
              <w:spacing w:before="240" w:after="120"/>
              <w:rPr>
                <w:rFonts w:ascii="Franklin Gothic Book" w:hAnsi="Franklin Gothic Book"/>
                <w:sz w:val="22"/>
                <w:szCs w:val="22"/>
              </w:rPr>
            </w:pPr>
            <w:r>
              <w:rPr>
                <w:rFonts w:ascii="Franklin Gothic Book" w:hAnsi="Franklin Gothic Book"/>
                <w:sz w:val="22"/>
                <w:szCs w:val="22"/>
              </w:rPr>
              <w:t>VCTE</w:t>
            </w:r>
            <w:r w:rsidRPr="00963F27">
              <w:rPr>
                <w:rFonts w:ascii="Franklin Gothic Book" w:hAnsi="Franklin Gothic Book"/>
                <w:sz w:val="22"/>
                <w:szCs w:val="22"/>
              </w:rPr>
              <w:t xml:space="preserve"> </w:t>
            </w:r>
            <w:r w:rsidR="00AA27BC">
              <w:rPr>
                <w:rFonts w:ascii="Franklin Gothic Book" w:hAnsi="Franklin Gothic Book"/>
                <w:sz w:val="22"/>
                <w:szCs w:val="22"/>
              </w:rPr>
              <w:t xml:space="preserve">is a non-invasive and painless test that </w:t>
            </w:r>
            <w:r w:rsidR="00963F27" w:rsidRPr="00963F27">
              <w:rPr>
                <w:rFonts w:ascii="Franklin Gothic Book" w:hAnsi="Franklin Gothic Book"/>
                <w:sz w:val="22"/>
                <w:szCs w:val="22"/>
              </w:rPr>
              <w:t xml:space="preserve">uses soundwaves to detect how stiff </w:t>
            </w:r>
            <w:r w:rsidR="00BD771E">
              <w:rPr>
                <w:rFonts w:ascii="Franklin Gothic Book" w:hAnsi="Franklin Gothic Book"/>
                <w:sz w:val="22"/>
                <w:szCs w:val="22"/>
              </w:rPr>
              <w:t>the</w:t>
            </w:r>
            <w:r w:rsidR="00BD771E" w:rsidRPr="00963F27">
              <w:rPr>
                <w:rFonts w:ascii="Franklin Gothic Book" w:hAnsi="Franklin Gothic Book"/>
                <w:sz w:val="22"/>
                <w:szCs w:val="22"/>
              </w:rPr>
              <w:t xml:space="preserve"> </w:t>
            </w:r>
            <w:r w:rsidR="00963F27" w:rsidRPr="00963F27">
              <w:rPr>
                <w:rFonts w:ascii="Franklin Gothic Book" w:hAnsi="Franklin Gothic Book"/>
                <w:sz w:val="22"/>
                <w:szCs w:val="22"/>
              </w:rPr>
              <w:t xml:space="preserve">liver is. </w:t>
            </w:r>
            <w:r w:rsidR="00052B71">
              <w:rPr>
                <w:rFonts w:ascii="Franklin Gothic Book" w:hAnsi="Franklin Gothic Book"/>
                <w:sz w:val="22"/>
                <w:szCs w:val="22"/>
              </w:rPr>
              <w:t>A</w:t>
            </w:r>
            <w:r w:rsidR="00F60783">
              <w:rPr>
                <w:rFonts w:ascii="Franklin Gothic Book" w:hAnsi="Franklin Gothic Book"/>
                <w:sz w:val="22"/>
                <w:szCs w:val="22"/>
              </w:rPr>
              <w:t xml:space="preserve"> probe </w:t>
            </w:r>
            <w:r w:rsidR="00052B71">
              <w:rPr>
                <w:rFonts w:ascii="Franklin Gothic Book" w:hAnsi="Franklin Gothic Book"/>
                <w:sz w:val="22"/>
                <w:szCs w:val="22"/>
              </w:rPr>
              <w:t xml:space="preserve">is </w:t>
            </w:r>
            <w:r w:rsidR="00F60783">
              <w:rPr>
                <w:rFonts w:ascii="Franklin Gothic Book" w:hAnsi="Franklin Gothic Book"/>
                <w:sz w:val="22"/>
                <w:szCs w:val="22"/>
              </w:rPr>
              <w:t>placed on the abdomen</w:t>
            </w:r>
            <w:r w:rsidR="00963F27" w:rsidRPr="00963F27">
              <w:rPr>
                <w:rFonts w:ascii="Franklin Gothic Book" w:hAnsi="Franklin Gothic Book"/>
                <w:sz w:val="22"/>
                <w:szCs w:val="22"/>
              </w:rPr>
              <w:t xml:space="preserve">, </w:t>
            </w:r>
            <w:r w:rsidR="00052B71">
              <w:rPr>
                <w:rFonts w:ascii="Franklin Gothic Book" w:hAnsi="Franklin Gothic Book"/>
                <w:sz w:val="22"/>
                <w:szCs w:val="22"/>
              </w:rPr>
              <w:t>similar to</w:t>
            </w:r>
            <w:r w:rsidR="00052B71" w:rsidRPr="00963F27">
              <w:rPr>
                <w:rFonts w:ascii="Franklin Gothic Book" w:hAnsi="Franklin Gothic Book"/>
                <w:sz w:val="22"/>
                <w:szCs w:val="22"/>
              </w:rPr>
              <w:t xml:space="preserve"> </w:t>
            </w:r>
            <w:r w:rsidR="001251D9">
              <w:rPr>
                <w:rFonts w:ascii="Franklin Gothic Book" w:hAnsi="Franklin Gothic Book"/>
                <w:sz w:val="22"/>
                <w:szCs w:val="22"/>
              </w:rPr>
              <w:t xml:space="preserve">performing </w:t>
            </w:r>
            <w:r w:rsidR="00963F27" w:rsidRPr="00963F27">
              <w:rPr>
                <w:rFonts w:ascii="Franklin Gothic Book" w:hAnsi="Franklin Gothic Book"/>
                <w:sz w:val="22"/>
                <w:szCs w:val="22"/>
              </w:rPr>
              <w:t xml:space="preserve">an ultrasound, </w:t>
            </w:r>
            <w:r w:rsidR="008F3A80">
              <w:rPr>
                <w:rFonts w:ascii="Franklin Gothic Book" w:hAnsi="Franklin Gothic Book"/>
                <w:sz w:val="22"/>
                <w:szCs w:val="22"/>
              </w:rPr>
              <w:t xml:space="preserve">and </w:t>
            </w:r>
            <w:r w:rsidR="006802AD">
              <w:rPr>
                <w:rFonts w:ascii="Franklin Gothic Book" w:hAnsi="Franklin Gothic Book"/>
                <w:sz w:val="22"/>
                <w:szCs w:val="22"/>
              </w:rPr>
              <w:t xml:space="preserve">produces a </w:t>
            </w:r>
            <w:r w:rsidR="00090257">
              <w:rPr>
                <w:rFonts w:ascii="Franklin Gothic Book" w:hAnsi="Franklin Gothic Book"/>
                <w:sz w:val="22"/>
                <w:szCs w:val="22"/>
              </w:rPr>
              <w:t xml:space="preserve">numerical score called a liver stiffness </w:t>
            </w:r>
            <w:r w:rsidR="000A5DB6">
              <w:rPr>
                <w:rFonts w:ascii="Franklin Gothic Book" w:hAnsi="Franklin Gothic Book"/>
                <w:sz w:val="22"/>
                <w:szCs w:val="22"/>
              </w:rPr>
              <w:t>measurement</w:t>
            </w:r>
            <w:r w:rsidR="00C21013">
              <w:rPr>
                <w:rFonts w:ascii="Franklin Gothic Book" w:hAnsi="Franklin Gothic Book"/>
                <w:sz w:val="22"/>
                <w:szCs w:val="22"/>
              </w:rPr>
              <w:t xml:space="preserve">, shown </w:t>
            </w:r>
            <w:r w:rsidR="76D04C0A" w:rsidRPr="070C04E4">
              <w:rPr>
                <w:rFonts w:ascii="Franklin Gothic Book" w:hAnsi="Franklin Gothic Book"/>
                <w:sz w:val="22"/>
                <w:szCs w:val="22"/>
              </w:rPr>
              <w:t>in kilopascals (</w:t>
            </w:r>
            <w:r w:rsidR="76D04C0A" w:rsidRPr="48FFA790">
              <w:rPr>
                <w:rFonts w:ascii="Franklin Gothic Book" w:hAnsi="Franklin Gothic Book"/>
                <w:sz w:val="22"/>
                <w:szCs w:val="22"/>
              </w:rPr>
              <w:t>kPa)</w:t>
            </w:r>
            <w:r w:rsidR="00963F27" w:rsidRPr="48FFA790">
              <w:rPr>
                <w:rFonts w:ascii="Franklin Gothic Book" w:hAnsi="Franklin Gothic Book"/>
                <w:sz w:val="22"/>
                <w:szCs w:val="22"/>
              </w:rPr>
              <w:t>.</w:t>
            </w:r>
            <w:r w:rsidR="00963F27" w:rsidRPr="00963F27">
              <w:rPr>
                <w:rFonts w:ascii="Franklin Gothic Book" w:hAnsi="Franklin Gothic Book"/>
                <w:sz w:val="22"/>
                <w:szCs w:val="22"/>
              </w:rPr>
              <w:t xml:space="preserve"> </w:t>
            </w:r>
            <w:r w:rsidR="00712747">
              <w:rPr>
                <w:rFonts w:ascii="Franklin Gothic Book" w:hAnsi="Franklin Gothic Book"/>
                <w:sz w:val="22"/>
                <w:szCs w:val="22"/>
              </w:rPr>
              <w:t xml:space="preserve">The </w:t>
            </w:r>
            <w:r w:rsidR="00440FC7">
              <w:rPr>
                <w:rFonts w:ascii="Franklin Gothic Book" w:hAnsi="Franklin Gothic Book"/>
                <w:sz w:val="22"/>
                <w:szCs w:val="22"/>
              </w:rPr>
              <w:t>liver stiffness measurement</w:t>
            </w:r>
            <w:r w:rsidR="00963F27" w:rsidRPr="00963F27">
              <w:rPr>
                <w:rFonts w:ascii="Franklin Gothic Book" w:hAnsi="Franklin Gothic Book"/>
                <w:sz w:val="22"/>
                <w:szCs w:val="22"/>
              </w:rPr>
              <w:t xml:space="preserve"> can </w:t>
            </w:r>
            <w:r w:rsidR="007A31E0">
              <w:rPr>
                <w:rFonts w:ascii="Franklin Gothic Book" w:hAnsi="Franklin Gothic Book"/>
                <w:sz w:val="22"/>
                <w:szCs w:val="22"/>
              </w:rPr>
              <w:t xml:space="preserve">suggest the </w:t>
            </w:r>
            <w:r w:rsidR="00674555">
              <w:rPr>
                <w:rFonts w:ascii="Franklin Gothic Book" w:hAnsi="Franklin Gothic Book"/>
                <w:sz w:val="22"/>
                <w:szCs w:val="22"/>
              </w:rPr>
              <w:t xml:space="preserve">degree of </w:t>
            </w:r>
            <w:r w:rsidR="00963F27" w:rsidRPr="00963F27">
              <w:rPr>
                <w:rFonts w:ascii="Franklin Gothic Book" w:hAnsi="Franklin Gothic Book"/>
                <w:sz w:val="22"/>
                <w:szCs w:val="22"/>
              </w:rPr>
              <w:t>liver fibrosis</w:t>
            </w:r>
            <w:r w:rsidR="00BA4E3E">
              <w:rPr>
                <w:rFonts w:ascii="Franklin Gothic Book" w:hAnsi="Franklin Gothic Book"/>
                <w:sz w:val="22"/>
                <w:szCs w:val="22"/>
              </w:rPr>
              <w:t>,</w:t>
            </w:r>
            <w:r w:rsidR="003E4478">
              <w:rPr>
                <w:rFonts w:ascii="Franklin Gothic Book" w:hAnsi="Franklin Gothic Book"/>
                <w:sz w:val="22"/>
                <w:szCs w:val="22"/>
              </w:rPr>
              <w:t xml:space="preserve"> with higher result</w:t>
            </w:r>
            <w:r w:rsidR="004E0F74">
              <w:rPr>
                <w:rFonts w:ascii="Franklin Gothic Book" w:hAnsi="Franklin Gothic Book"/>
                <w:sz w:val="22"/>
                <w:szCs w:val="22"/>
              </w:rPr>
              <w:t>s</w:t>
            </w:r>
            <w:r w:rsidR="003E4478">
              <w:rPr>
                <w:rFonts w:ascii="Franklin Gothic Book" w:hAnsi="Franklin Gothic Book"/>
                <w:sz w:val="22"/>
                <w:szCs w:val="22"/>
              </w:rPr>
              <w:t xml:space="preserve"> suggesting more severe fibrosis</w:t>
            </w:r>
            <w:r w:rsidR="00963F27" w:rsidRPr="00963F27">
              <w:rPr>
                <w:rFonts w:ascii="Franklin Gothic Book" w:hAnsi="Franklin Gothic Book"/>
                <w:sz w:val="22"/>
                <w:szCs w:val="22"/>
              </w:rPr>
              <w:t>.</w:t>
            </w:r>
          </w:p>
          <w:p w14:paraId="48AF82B3" w14:textId="1F78EE9F" w:rsidR="00963F27" w:rsidRPr="00963F27" w:rsidRDefault="00963F27" w:rsidP="002125DB">
            <w:pPr>
              <w:pStyle w:val="Heading3"/>
              <w:keepNext w:val="0"/>
              <w:spacing w:before="240" w:after="120"/>
              <w:rPr>
                <w:rFonts w:ascii="Franklin Gothic Book" w:hAnsi="Franklin Gothic Book"/>
                <w:sz w:val="22"/>
                <w:szCs w:val="22"/>
              </w:rPr>
            </w:pPr>
            <w:r w:rsidRPr="00963F27">
              <w:rPr>
                <w:rFonts w:ascii="Franklin Gothic Book" w:hAnsi="Franklin Gothic Book"/>
                <w:sz w:val="22"/>
                <w:szCs w:val="22"/>
              </w:rPr>
              <w:t xml:space="preserve">In this application, </w:t>
            </w:r>
            <w:r w:rsidR="001D2337">
              <w:rPr>
                <w:rFonts w:ascii="Franklin Gothic Book" w:hAnsi="Franklin Gothic Book"/>
                <w:sz w:val="22"/>
                <w:szCs w:val="22"/>
              </w:rPr>
              <w:t>VCTE</w:t>
            </w:r>
            <w:r w:rsidRPr="00963F27">
              <w:rPr>
                <w:rFonts w:ascii="Franklin Gothic Book" w:hAnsi="Franklin Gothic Book"/>
                <w:sz w:val="22"/>
                <w:szCs w:val="22"/>
              </w:rPr>
              <w:t xml:space="preserve"> is proposed to </w:t>
            </w:r>
            <w:r w:rsidR="00EF5930">
              <w:rPr>
                <w:rFonts w:ascii="Franklin Gothic Book" w:hAnsi="Franklin Gothic Book"/>
                <w:sz w:val="22"/>
                <w:szCs w:val="22"/>
              </w:rPr>
              <w:t xml:space="preserve">be </w:t>
            </w:r>
            <w:r w:rsidR="002C459C">
              <w:rPr>
                <w:rFonts w:ascii="Franklin Gothic Book" w:hAnsi="Franklin Gothic Book"/>
                <w:sz w:val="22"/>
                <w:szCs w:val="22"/>
              </w:rPr>
              <w:t xml:space="preserve">funded </w:t>
            </w:r>
            <w:r w:rsidRPr="00963F27">
              <w:rPr>
                <w:rFonts w:ascii="Franklin Gothic Book" w:hAnsi="Franklin Gothic Book"/>
                <w:sz w:val="22"/>
                <w:szCs w:val="22"/>
              </w:rPr>
              <w:t>in</w:t>
            </w:r>
            <w:r w:rsidR="003E789F">
              <w:rPr>
                <w:rFonts w:ascii="Franklin Gothic Book" w:hAnsi="Franklin Gothic Book"/>
                <w:sz w:val="22"/>
                <w:szCs w:val="22"/>
              </w:rPr>
              <w:t xml:space="preserve"> the</w:t>
            </w:r>
            <w:r w:rsidR="00950BF5">
              <w:rPr>
                <w:rFonts w:ascii="Franklin Gothic Book" w:hAnsi="Franklin Gothic Book"/>
                <w:sz w:val="22"/>
                <w:szCs w:val="22"/>
              </w:rPr>
              <w:t xml:space="preserve"> specialist setting </w:t>
            </w:r>
            <w:r w:rsidR="00096338">
              <w:rPr>
                <w:rFonts w:ascii="Franklin Gothic Book" w:hAnsi="Franklin Gothic Book"/>
                <w:sz w:val="22"/>
                <w:szCs w:val="22"/>
              </w:rPr>
              <w:t>where</w:t>
            </w:r>
            <w:r w:rsidR="00950BF5">
              <w:rPr>
                <w:rFonts w:ascii="Franklin Gothic Book" w:hAnsi="Franklin Gothic Book"/>
                <w:sz w:val="22"/>
                <w:szCs w:val="22"/>
              </w:rPr>
              <w:t xml:space="preserve"> </w:t>
            </w:r>
            <w:r w:rsidR="00DF01D3">
              <w:rPr>
                <w:rFonts w:ascii="Franklin Gothic Book" w:hAnsi="Franklin Gothic Book"/>
                <w:sz w:val="22"/>
                <w:szCs w:val="22"/>
              </w:rPr>
              <w:t>it is currently</w:t>
            </w:r>
            <w:r w:rsidR="009B1D38">
              <w:rPr>
                <w:rFonts w:ascii="Franklin Gothic Book" w:hAnsi="Franklin Gothic Book"/>
                <w:sz w:val="22"/>
                <w:szCs w:val="22"/>
              </w:rPr>
              <w:t xml:space="preserve"> use</w:t>
            </w:r>
            <w:r w:rsidR="00DF01D3">
              <w:rPr>
                <w:rFonts w:ascii="Franklin Gothic Book" w:hAnsi="Franklin Gothic Book"/>
                <w:sz w:val="22"/>
                <w:szCs w:val="22"/>
              </w:rPr>
              <w:t>d</w:t>
            </w:r>
            <w:r w:rsidR="009B1D38">
              <w:rPr>
                <w:rFonts w:ascii="Franklin Gothic Book" w:hAnsi="Franklin Gothic Book"/>
                <w:sz w:val="22"/>
                <w:szCs w:val="22"/>
              </w:rPr>
              <w:t xml:space="preserve"> </w:t>
            </w:r>
            <w:r w:rsidR="00E21457">
              <w:rPr>
                <w:rFonts w:ascii="Franklin Gothic Book" w:hAnsi="Franklin Gothic Book"/>
                <w:sz w:val="22"/>
                <w:szCs w:val="22"/>
              </w:rPr>
              <w:t xml:space="preserve">by </w:t>
            </w:r>
            <w:r w:rsidR="00EF5930">
              <w:rPr>
                <w:rFonts w:ascii="Franklin Gothic Book" w:hAnsi="Franklin Gothic Book"/>
                <w:sz w:val="22"/>
                <w:szCs w:val="22"/>
              </w:rPr>
              <w:t>liver specialist</w:t>
            </w:r>
            <w:r w:rsidR="00A4000A">
              <w:rPr>
                <w:rFonts w:ascii="Franklin Gothic Book" w:hAnsi="Franklin Gothic Book"/>
                <w:sz w:val="22"/>
                <w:szCs w:val="22"/>
              </w:rPr>
              <w:t>s</w:t>
            </w:r>
            <w:r w:rsidR="00E21457">
              <w:rPr>
                <w:rFonts w:ascii="Franklin Gothic Book" w:hAnsi="Franklin Gothic Book"/>
                <w:sz w:val="22"/>
                <w:szCs w:val="22"/>
              </w:rPr>
              <w:t>, a</w:t>
            </w:r>
            <w:r w:rsidR="00F8675E">
              <w:rPr>
                <w:rFonts w:ascii="Franklin Gothic Book" w:hAnsi="Franklin Gothic Book"/>
                <w:sz w:val="22"/>
                <w:szCs w:val="22"/>
              </w:rPr>
              <w:t xml:space="preserve">nd </w:t>
            </w:r>
            <w:r w:rsidR="00282F72">
              <w:rPr>
                <w:rFonts w:ascii="Franklin Gothic Book" w:hAnsi="Franklin Gothic Book"/>
                <w:sz w:val="22"/>
                <w:szCs w:val="22"/>
              </w:rPr>
              <w:t>also</w:t>
            </w:r>
            <w:r w:rsidR="00F8675E">
              <w:rPr>
                <w:rFonts w:ascii="Franklin Gothic Book" w:hAnsi="Franklin Gothic Book"/>
                <w:sz w:val="22"/>
                <w:szCs w:val="22"/>
              </w:rPr>
              <w:t xml:space="preserve"> in the</w:t>
            </w:r>
            <w:r w:rsidRPr="00963F27">
              <w:rPr>
                <w:rFonts w:ascii="Franklin Gothic Book" w:hAnsi="Franklin Gothic Book"/>
                <w:sz w:val="22"/>
                <w:szCs w:val="22"/>
              </w:rPr>
              <w:t xml:space="preserve"> primary care</w:t>
            </w:r>
            <w:r w:rsidR="0050359D">
              <w:rPr>
                <w:rFonts w:ascii="Franklin Gothic Book" w:hAnsi="Franklin Gothic Book"/>
                <w:sz w:val="22"/>
                <w:szCs w:val="22"/>
              </w:rPr>
              <w:t xml:space="preserve"> setting</w:t>
            </w:r>
            <w:r w:rsidR="009D30F2">
              <w:rPr>
                <w:rFonts w:ascii="Franklin Gothic Book" w:hAnsi="Franklin Gothic Book"/>
                <w:sz w:val="22"/>
                <w:szCs w:val="22"/>
              </w:rPr>
              <w:t>,</w:t>
            </w:r>
            <w:r w:rsidR="0050359D">
              <w:rPr>
                <w:rFonts w:ascii="Franklin Gothic Book" w:hAnsi="Franklin Gothic Book"/>
                <w:sz w:val="22"/>
                <w:szCs w:val="22"/>
              </w:rPr>
              <w:t xml:space="preserve"> such as </w:t>
            </w:r>
            <w:r w:rsidR="00035036">
              <w:rPr>
                <w:rFonts w:ascii="Franklin Gothic Book" w:hAnsi="Franklin Gothic Book"/>
                <w:sz w:val="22"/>
                <w:szCs w:val="22"/>
              </w:rPr>
              <w:t>general practi</w:t>
            </w:r>
            <w:r w:rsidR="00540CA0">
              <w:rPr>
                <w:rFonts w:ascii="Franklin Gothic Book" w:hAnsi="Franklin Gothic Book"/>
                <w:sz w:val="22"/>
                <w:szCs w:val="22"/>
              </w:rPr>
              <w:t>tioner</w:t>
            </w:r>
            <w:r w:rsidR="00035036">
              <w:rPr>
                <w:rFonts w:ascii="Franklin Gothic Book" w:hAnsi="Franklin Gothic Book"/>
                <w:sz w:val="22"/>
                <w:szCs w:val="22"/>
              </w:rPr>
              <w:t xml:space="preserve"> (GP) clinics</w:t>
            </w:r>
            <w:r w:rsidR="00D32D83">
              <w:rPr>
                <w:rFonts w:ascii="Franklin Gothic Book" w:hAnsi="Franklin Gothic Book"/>
                <w:sz w:val="22"/>
                <w:szCs w:val="22"/>
              </w:rPr>
              <w:t>, so that GPs can work out whether patients need referral to a</w:t>
            </w:r>
            <w:r w:rsidR="006F1973">
              <w:rPr>
                <w:rFonts w:ascii="Franklin Gothic Book" w:hAnsi="Franklin Gothic Book"/>
                <w:sz w:val="22"/>
                <w:szCs w:val="22"/>
              </w:rPr>
              <w:t xml:space="preserve"> </w:t>
            </w:r>
            <w:r w:rsidR="00D32D83">
              <w:rPr>
                <w:rFonts w:ascii="Franklin Gothic Book" w:hAnsi="Franklin Gothic Book"/>
                <w:sz w:val="22"/>
                <w:szCs w:val="22"/>
              </w:rPr>
              <w:t xml:space="preserve">liver </w:t>
            </w:r>
            <w:r w:rsidR="00D765E5">
              <w:rPr>
                <w:rFonts w:ascii="Franklin Gothic Book" w:hAnsi="Franklin Gothic Book"/>
                <w:sz w:val="22"/>
                <w:szCs w:val="22"/>
              </w:rPr>
              <w:t>specialist</w:t>
            </w:r>
            <w:r w:rsidRPr="00963F27">
              <w:rPr>
                <w:rFonts w:ascii="Franklin Gothic Book" w:hAnsi="Franklin Gothic Book"/>
                <w:sz w:val="22"/>
                <w:szCs w:val="22"/>
              </w:rPr>
              <w:t xml:space="preserve">. </w:t>
            </w:r>
            <w:r w:rsidR="00AC2714">
              <w:rPr>
                <w:rFonts w:ascii="Franklin Gothic Book" w:hAnsi="Franklin Gothic Book"/>
                <w:sz w:val="22"/>
                <w:szCs w:val="22"/>
              </w:rPr>
              <w:t xml:space="preserve">To work out whether someone needs </w:t>
            </w:r>
            <w:r w:rsidR="004E5AB5">
              <w:rPr>
                <w:rFonts w:ascii="Franklin Gothic Book" w:hAnsi="Franklin Gothic Book"/>
                <w:sz w:val="22"/>
                <w:szCs w:val="22"/>
              </w:rPr>
              <w:t>VCTE</w:t>
            </w:r>
            <w:r w:rsidR="002A3414">
              <w:rPr>
                <w:rFonts w:ascii="Franklin Gothic Book" w:hAnsi="Franklin Gothic Book"/>
                <w:sz w:val="22"/>
                <w:szCs w:val="22"/>
              </w:rPr>
              <w:t>™</w:t>
            </w:r>
            <w:r w:rsidR="004E5AB5">
              <w:rPr>
                <w:rFonts w:ascii="Franklin Gothic Book" w:hAnsi="Franklin Gothic Book"/>
                <w:sz w:val="22"/>
                <w:szCs w:val="22"/>
              </w:rPr>
              <w:t>,</w:t>
            </w:r>
            <w:r w:rsidR="00C755C2">
              <w:rPr>
                <w:rFonts w:ascii="Franklin Gothic Book" w:hAnsi="Franklin Gothic Book"/>
                <w:sz w:val="22"/>
                <w:szCs w:val="22"/>
              </w:rPr>
              <w:t xml:space="preserve"> p</w:t>
            </w:r>
            <w:r w:rsidRPr="00963F27">
              <w:rPr>
                <w:rFonts w:ascii="Franklin Gothic Book" w:hAnsi="Franklin Gothic Book"/>
                <w:sz w:val="22"/>
                <w:szCs w:val="22"/>
              </w:rPr>
              <w:t xml:space="preserve">eople </w:t>
            </w:r>
            <w:r w:rsidR="00C755C2">
              <w:rPr>
                <w:rFonts w:ascii="Franklin Gothic Book" w:hAnsi="Franklin Gothic Book"/>
                <w:sz w:val="22"/>
                <w:szCs w:val="22"/>
              </w:rPr>
              <w:t>with</w:t>
            </w:r>
            <w:r w:rsidRPr="00963F27">
              <w:rPr>
                <w:rFonts w:ascii="Franklin Gothic Book" w:hAnsi="Franklin Gothic Book"/>
                <w:sz w:val="22"/>
                <w:szCs w:val="22"/>
              </w:rPr>
              <w:t xml:space="preserve"> MAFLD first </w:t>
            </w:r>
            <w:r w:rsidR="00D32D83">
              <w:rPr>
                <w:rFonts w:ascii="Franklin Gothic Book" w:hAnsi="Franklin Gothic Book"/>
                <w:sz w:val="22"/>
                <w:szCs w:val="22"/>
              </w:rPr>
              <w:t>need their</w:t>
            </w:r>
            <w:r w:rsidRPr="00963F27">
              <w:rPr>
                <w:rFonts w:ascii="Franklin Gothic Book" w:hAnsi="Franklin Gothic Book"/>
                <w:sz w:val="22"/>
                <w:szCs w:val="22"/>
              </w:rPr>
              <w:t xml:space="preserve"> </w:t>
            </w:r>
            <w:r w:rsidR="00E554CF" w:rsidRPr="5E55DC47">
              <w:rPr>
                <w:rFonts w:ascii="Franklin Gothic Book" w:hAnsi="Franklin Gothic Book"/>
                <w:sz w:val="22"/>
                <w:szCs w:val="22"/>
              </w:rPr>
              <w:t>fibrosis index</w:t>
            </w:r>
            <w:r w:rsidR="00E554CF" w:rsidRPr="00963F27" w:rsidDel="00E554CF">
              <w:rPr>
                <w:rFonts w:ascii="Franklin Gothic Book" w:hAnsi="Franklin Gothic Book"/>
                <w:sz w:val="22"/>
                <w:szCs w:val="22"/>
              </w:rPr>
              <w:t xml:space="preserve"> </w:t>
            </w:r>
            <w:r w:rsidR="0016432F">
              <w:rPr>
                <w:rFonts w:ascii="Franklin Gothic Book" w:hAnsi="Franklin Gothic Book"/>
                <w:sz w:val="22"/>
                <w:szCs w:val="22"/>
              </w:rPr>
              <w:t>score</w:t>
            </w:r>
            <w:r w:rsidRPr="00963F27">
              <w:rPr>
                <w:rFonts w:ascii="Franklin Gothic Book" w:hAnsi="Franklin Gothic Book"/>
                <w:sz w:val="22"/>
                <w:szCs w:val="22"/>
              </w:rPr>
              <w:t xml:space="preserve"> to </w:t>
            </w:r>
            <w:r w:rsidR="006820E6">
              <w:rPr>
                <w:rFonts w:ascii="Franklin Gothic Book" w:hAnsi="Franklin Gothic Book"/>
                <w:sz w:val="22"/>
                <w:szCs w:val="22"/>
              </w:rPr>
              <w:t xml:space="preserve">be calculated. The </w:t>
            </w:r>
            <w:r w:rsidR="00E554CF" w:rsidRPr="5E55DC47">
              <w:rPr>
                <w:rFonts w:ascii="Franklin Gothic Book" w:hAnsi="Franklin Gothic Book"/>
                <w:sz w:val="22"/>
                <w:szCs w:val="22"/>
              </w:rPr>
              <w:t>fibrosis index</w:t>
            </w:r>
            <w:r w:rsidR="00E554CF" w:rsidDel="00E554CF">
              <w:rPr>
                <w:rFonts w:ascii="Franklin Gothic Book" w:hAnsi="Franklin Gothic Book"/>
                <w:sz w:val="22"/>
                <w:szCs w:val="22"/>
              </w:rPr>
              <w:t xml:space="preserve"> </w:t>
            </w:r>
            <w:r w:rsidR="006D0E9E">
              <w:rPr>
                <w:rFonts w:ascii="Franklin Gothic Book" w:hAnsi="Franklin Gothic Book"/>
                <w:sz w:val="22"/>
                <w:szCs w:val="22"/>
              </w:rPr>
              <w:t>score</w:t>
            </w:r>
            <w:r w:rsidRPr="00963F27">
              <w:rPr>
                <w:rFonts w:ascii="Franklin Gothic Book" w:hAnsi="Franklin Gothic Book"/>
                <w:sz w:val="22"/>
                <w:szCs w:val="22"/>
              </w:rPr>
              <w:t xml:space="preserve"> </w:t>
            </w:r>
            <w:r w:rsidR="006C53CD">
              <w:rPr>
                <w:rFonts w:ascii="Franklin Gothic Book" w:hAnsi="Franklin Gothic Book"/>
                <w:sz w:val="22"/>
                <w:szCs w:val="22"/>
              </w:rPr>
              <w:t xml:space="preserve">is calculated from the results of blood tests and </w:t>
            </w:r>
            <w:r w:rsidR="006D0E9E">
              <w:rPr>
                <w:rFonts w:ascii="Franklin Gothic Book" w:hAnsi="Franklin Gothic Book"/>
                <w:sz w:val="22"/>
                <w:szCs w:val="22"/>
              </w:rPr>
              <w:t xml:space="preserve">works out </w:t>
            </w:r>
            <w:r w:rsidR="007B1CE2">
              <w:rPr>
                <w:rFonts w:ascii="Franklin Gothic Book" w:hAnsi="Franklin Gothic Book"/>
                <w:sz w:val="22"/>
                <w:szCs w:val="22"/>
              </w:rPr>
              <w:t>whether someone might be at</w:t>
            </w:r>
            <w:r w:rsidRPr="00963F27">
              <w:rPr>
                <w:rFonts w:ascii="Franklin Gothic Book" w:hAnsi="Franklin Gothic Book"/>
                <w:sz w:val="22"/>
                <w:szCs w:val="22"/>
              </w:rPr>
              <w:t xml:space="preserve"> </w:t>
            </w:r>
            <w:r w:rsidR="00893C13">
              <w:rPr>
                <w:rFonts w:ascii="Franklin Gothic Book" w:hAnsi="Franklin Gothic Book"/>
                <w:sz w:val="22"/>
                <w:szCs w:val="22"/>
              </w:rPr>
              <w:t xml:space="preserve">risk </w:t>
            </w:r>
            <w:r w:rsidR="007B1CE2">
              <w:rPr>
                <w:rFonts w:ascii="Franklin Gothic Book" w:hAnsi="Franklin Gothic Book"/>
                <w:sz w:val="22"/>
                <w:szCs w:val="22"/>
              </w:rPr>
              <w:t>of</w:t>
            </w:r>
            <w:r w:rsidR="00FD5252">
              <w:rPr>
                <w:rFonts w:ascii="Franklin Gothic Book" w:hAnsi="Franklin Gothic Book"/>
                <w:sz w:val="22"/>
                <w:szCs w:val="22"/>
              </w:rPr>
              <w:t xml:space="preserve"> </w:t>
            </w:r>
            <w:r w:rsidR="007B1CE2">
              <w:rPr>
                <w:rFonts w:ascii="Franklin Gothic Book" w:hAnsi="Franklin Gothic Book"/>
                <w:sz w:val="22"/>
                <w:szCs w:val="22"/>
              </w:rPr>
              <w:t>liver</w:t>
            </w:r>
            <w:r w:rsidR="00FD5252">
              <w:rPr>
                <w:rFonts w:ascii="Franklin Gothic Book" w:hAnsi="Franklin Gothic Book"/>
                <w:sz w:val="22"/>
                <w:szCs w:val="22"/>
              </w:rPr>
              <w:t xml:space="preserve"> </w:t>
            </w:r>
            <w:r w:rsidRPr="00963F27">
              <w:rPr>
                <w:rFonts w:ascii="Franklin Gothic Book" w:hAnsi="Franklin Gothic Book"/>
                <w:sz w:val="22"/>
                <w:szCs w:val="22"/>
              </w:rPr>
              <w:t xml:space="preserve">fibrosis. People with </w:t>
            </w:r>
            <w:r w:rsidR="00E554CF" w:rsidRPr="5E55DC47">
              <w:rPr>
                <w:rFonts w:ascii="Franklin Gothic Book" w:hAnsi="Franklin Gothic Book"/>
                <w:sz w:val="22"/>
                <w:szCs w:val="22"/>
              </w:rPr>
              <w:t>fibrosis index</w:t>
            </w:r>
            <w:r w:rsidR="00E554CF" w:rsidRPr="00963F27" w:rsidDel="00E554CF">
              <w:rPr>
                <w:rFonts w:ascii="Franklin Gothic Book" w:hAnsi="Franklin Gothic Book"/>
                <w:sz w:val="22"/>
                <w:szCs w:val="22"/>
              </w:rPr>
              <w:t xml:space="preserve"> </w:t>
            </w:r>
            <w:r w:rsidRPr="00963F27">
              <w:rPr>
                <w:rFonts w:ascii="Franklin Gothic Book" w:hAnsi="Franklin Gothic Book"/>
                <w:sz w:val="22"/>
                <w:szCs w:val="22"/>
              </w:rPr>
              <w:t xml:space="preserve">scores of more than 1.3 would be recommended to have </w:t>
            </w:r>
            <w:r w:rsidR="00451488">
              <w:rPr>
                <w:rFonts w:ascii="Franklin Gothic Book" w:hAnsi="Franklin Gothic Book"/>
                <w:sz w:val="22"/>
                <w:szCs w:val="22"/>
              </w:rPr>
              <w:t>VCTE</w:t>
            </w:r>
            <w:r w:rsidRPr="00963F27">
              <w:rPr>
                <w:rFonts w:ascii="Franklin Gothic Book" w:hAnsi="Franklin Gothic Book"/>
                <w:sz w:val="22"/>
                <w:szCs w:val="22"/>
              </w:rPr>
              <w:t xml:space="preserve">. </w:t>
            </w:r>
            <w:r w:rsidR="00A6518D">
              <w:rPr>
                <w:rFonts w:ascii="Franklin Gothic Book" w:hAnsi="Franklin Gothic Book"/>
                <w:sz w:val="22"/>
                <w:szCs w:val="22"/>
              </w:rPr>
              <w:t>Of those p</w:t>
            </w:r>
            <w:r w:rsidRPr="00963F27">
              <w:rPr>
                <w:rFonts w:ascii="Franklin Gothic Book" w:hAnsi="Franklin Gothic Book"/>
                <w:sz w:val="22"/>
                <w:szCs w:val="22"/>
              </w:rPr>
              <w:t xml:space="preserve">eople </w:t>
            </w:r>
            <w:r w:rsidR="00A6518D">
              <w:rPr>
                <w:rFonts w:ascii="Franklin Gothic Book" w:hAnsi="Franklin Gothic Book"/>
                <w:sz w:val="22"/>
                <w:szCs w:val="22"/>
              </w:rPr>
              <w:t>test</w:t>
            </w:r>
            <w:r w:rsidR="00306EA3">
              <w:rPr>
                <w:rFonts w:ascii="Franklin Gothic Book" w:hAnsi="Franklin Gothic Book"/>
                <w:sz w:val="22"/>
                <w:szCs w:val="22"/>
              </w:rPr>
              <w:t>ed</w:t>
            </w:r>
            <w:r w:rsidR="00A6518D">
              <w:rPr>
                <w:rFonts w:ascii="Franklin Gothic Book" w:hAnsi="Franklin Gothic Book"/>
                <w:sz w:val="22"/>
                <w:szCs w:val="22"/>
              </w:rPr>
              <w:t xml:space="preserve"> with </w:t>
            </w:r>
            <w:r w:rsidR="00AD05DB">
              <w:rPr>
                <w:rFonts w:ascii="Franklin Gothic Book" w:hAnsi="Franklin Gothic Book"/>
                <w:sz w:val="22"/>
                <w:szCs w:val="22"/>
              </w:rPr>
              <w:t>VCTE</w:t>
            </w:r>
            <w:r w:rsidR="00A6518D">
              <w:rPr>
                <w:rFonts w:ascii="Franklin Gothic Book" w:hAnsi="Franklin Gothic Book"/>
                <w:sz w:val="22"/>
                <w:szCs w:val="22"/>
              </w:rPr>
              <w:t xml:space="preserve">, those </w:t>
            </w:r>
            <w:r w:rsidR="00306EA3">
              <w:rPr>
                <w:rFonts w:ascii="Franklin Gothic Book" w:hAnsi="Franklin Gothic Book"/>
                <w:sz w:val="22"/>
                <w:szCs w:val="22"/>
              </w:rPr>
              <w:t>with</w:t>
            </w:r>
            <w:r w:rsidRPr="00963F27">
              <w:rPr>
                <w:rFonts w:ascii="Franklin Gothic Book" w:hAnsi="Franklin Gothic Book"/>
                <w:sz w:val="22"/>
                <w:szCs w:val="22"/>
              </w:rPr>
              <w:t xml:space="preserve"> a </w:t>
            </w:r>
            <w:r w:rsidR="00440FC7">
              <w:rPr>
                <w:rFonts w:ascii="Franklin Gothic Book" w:hAnsi="Franklin Gothic Book"/>
                <w:sz w:val="22"/>
                <w:szCs w:val="22"/>
              </w:rPr>
              <w:t>liver stiffness measurement</w:t>
            </w:r>
            <w:r w:rsidRPr="00963F27">
              <w:rPr>
                <w:rFonts w:ascii="Franklin Gothic Book" w:hAnsi="Franklin Gothic Book"/>
                <w:sz w:val="22"/>
                <w:szCs w:val="22"/>
              </w:rPr>
              <w:t xml:space="preserve"> </w:t>
            </w:r>
            <w:r w:rsidR="00F9325E">
              <w:rPr>
                <w:rFonts w:ascii="Franklin Gothic Book" w:hAnsi="Franklin Gothic Book"/>
                <w:sz w:val="22"/>
                <w:szCs w:val="22"/>
              </w:rPr>
              <w:t>less</w:t>
            </w:r>
            <w:r w:rsidR="00C97D10">
              <w:rPr>
                <w:rFonts w:ascii="Franklin Gothic Book" w:hAnsi="Franklin Gothic Book"/>
                <w:sz w:val="22"/>
                <w:szCs w:val="22"/>
              </w:rPr>
              <w:t xml:space="preserve"> than </w:t>
            </w:r>
            <w:r w:rsidRPr="00963F27">
              <w:rPr>
                <w:rFonts w:ascii="Franklin Gothic Book" w:hAnsi="Franklin Gothic Book"/>
                <w:sz w:val="22"/>
                <w:szCs w:val="22"/>
              </w:rPr>
              <w:t>8 </w:t>
            </w:r>
            <w:r w:rsidRPr="0DB0392A">
              <w:rPr>
                <w:rFonts w:ascii="Franklin Gothic Book" w:hAnsi="Franklin Gothic Book"/>
                <w:sz w:val="22"/>
                <w:szCs w:val="22"/>
              </w:rPr>
              <w:t>k</w:t>
            </w:r>
            <w:r w:rsidR="52A6E84F" w:rsidRPr="0DB0392A">
              <w:rPr>
                <w:rFonts w:ascii="Franklin Gothic Book" w:hAnsi="Franklin Gothic Book"/>
                <w:sz w:val="22"/>
                <w:szCs w:val="22"/>
              </w:rPr>
              <w:t>P</w:t>
            </w:r>
            <w:r w:rsidRPr="00963F27">
              <w:rPr>
                <w:rFonts w:ascii="Franklin Gothic Book" w:hAnsi="Franklin Gothic Book"/>
                <w:sz w:val="22"/>
                <w:szCs w:val="22"/>
              </w:rPr>
              <w:t xml:space="preserve">a </w:t>
            </w:r>
            <w:r w:rsidR="00C12073">
              <w:rPr>
                <w:rFonts w:ascii="Franklin Gothic Book" w:hAnsi="Franklin Gothic Book"/>
                <w:sz w:val="22"/>
                <w:szCs w:val="22"/>
              </w:rPr>
              <w:t>c</w:t>
            </w:r>
            <w:r w:rsidRPr="00963F27">
              <w:rPr>
                <w:rFonts w:ascii="Franklin Gothic Book" w:hAnsi="Franklin Gothic Book"/>
                <w:sz w:val="22"/>
                <w:szCs w:val="22"/>
              </w:rPr>
              <w:t>ould</w:t>
            </w:r>
            <w:r w:rsidR="00FE06DA">
              <w:rPr>
                <w:rFonts w:ascii="Franklin Gothic Book" w:hAnsi="Franklin Gothic Book"/>
                <w:sz w:val="22"/>
                <w:szCs w:val="22"/>
              </w:rPr>
              <w:t xml:space="preserve"> be ruled</w:t>
            </w:r>
            <w:r w:rsidR="37A12ADC" w:rsidRPr="33EAF987">
              <w:rPr>
                <w:rFonts w:ascii="Franklin Gothic Book" w:hAnsi="Franklin Gothic Book"/>
                <w:sz w:val="22"/>
                <w:szCs w:val="22"/>
              </w:rPr>
              <w:t xml:space="preserve"> </w:t>
            </w:r>
            <w:r w:rsidR="00FE06DA">
              <w:rPr>
                <w:rFonts w:ascii="Franklin Gothic Book" w:hAnsi="Franklin Gothic Book"/>
                <w:sz w:val="22"/>
                <w:szCs w:val="22"/>
              </w:rPr>
              <w:t xml:space="preserve">out </w:t>
            </w:r>
            <w:r w:rsidR="00F81B16">
              <w:rPr>
                <w:rFonts w:ascii="Franklin Gothic Book" w:hAnsi="Franklin Gothic Book"/>
                <w:sz w:val="22"/>
                <w:szCs w:val="22"/>
              </w:rPr>
              <w:t>from</w:t>
            </w:r>
            <w:r w:rsidR="00FE06DA">
              <w:rPr>
                <w:rFonts w:ascii="Franklin Gothic Book" w:hAnsi="Franklin Gothic Book"/>
                <w:sz w:val="22"/>
                <w:szCs w:val="22"/>
              </w:rPr>
              <w:t xml:space="preserve"> having </w:t>
            </w:r>
            <w:r w:rsidR="00583C2C">
              <w:rPr>
                <w:rFonts w:ascii="Franklin Gothic Book" w:hAnsi="Franklin Gothic Book"/>
                <w:sz w:val="22"/>
                <w:szCs w:val="22"/>
              </w:rPr>
              <w:t xml:space="preserve">advanced </w:t>
            </w:r>
            <w:r w:rsidR="00FE06DA">
              <w:rPr>
                <w:rFonts w:ascii="Franklin Gothic Book" w:hAnsi="Franklin Gothic Book"/>
                <w:sz w:val="22"/>
                <w:szCs w:val="22"/>
              </w:rPr>
              <w:t>liver fibrosis</w:t>
            </w:r>
            <w:r w:rsidR="00901DE8">
              <w:rPr>
                <w:rFonts w:ascii="Franklin Gothic Book" w:hAnsi="Franklin Gothic Book"/>
                <w:sz w:val="22"/>
                <w:szCs w:val="22"/>
              </w:rPr>
              <w:t>.</w:t>
            </w:r>
            <w:r w:rsidR="00FE06DA">
              <w:rPr>
                <w:rFonts w:ascii="Franklin Gothic Book" w:hAnsi="Franklin Gothic Book"/>
                <w:sz w:val="22"/>
                <w:szCs w:val="22"/>
              </w:rPr>
              <w:t xml:space="preserve"> </w:t>
            </w:r>
            <w:r w:rsidR="00901DE8">
              <w:rPr>
                <w:rFonts w:ascii="Franklin Gothic Book" w:hAnsi="Franklin Gothic Book"/>
                <w:sz w:val="22"/>
                <w:szCs w:val="22"/>
              </w:rPr>
              <w:t>P</w:t>
            </w:r>
            <w:r w:rsidR="00E063B4">
              <w:rPr>
                <w:rFonts w:ascii="Franklin Gothic Book" w:hAnsi="Franklin Gothic Book"/>
                <w:sz w:val="22"/>
                <w:szCs w:val="22"/>
              </w:rPr>
              <w:t xml:space="preserve">eople </w:t>
            </w:r>
            <w:r w:rsidR="00F81B16">
              <w:rPr>
                <w:rFonts w:ascii="Franklin Gothic Book" w:hAnsi="Franklin Gothic Book"/>
                <w:sz w:val="22"/>
                <w:szCs w:val="22"/>
              </w:rPr>
              <w:t>with</w:t>
            </w:r>
            <w:r w:rsidR="00991325">
              <w:rPr>
                <w:rFonts w:ascii="Franklin Gothic Book" w:hAnsi="Franklin Gothic Book"/>
                <w:sz w:val="22"/>
                <w:szCs w:val="22"/>
              </w:rPr>
              <w:t xml:space="preserve"> </w:t>
            </w:r>
            <w:r w:rsidR="00AD05DB">
              <w:rPr>
                <w:rFonts w:ascii="Franklin Gothic Book" w:hAnsi="Franklin Gothic Book"/>
                <w:sz w:val="22"/>
                <w:szCs w:val="22"/>
              </w:rPr>
              <w:t>VCTE</w:t>
            </w:r>
            <w:r w:rsidR="00991325">
              <w:rPr>
                <w:rFonts w:ascii="Franklin Gothic Book" w:hAnsi="Franklin Gothic Book"/>
                <w:sz w:val="22"/>
                <w:szCs w:val="22"/>
              </w:rPr>
              <w:t xml:space="preserve"> result</w:t>
            </w:r>
            <w:r w:rsidR="00E063B4">
              <w:rPr>
                <w:rFonts w:ascii="Franklin Gothic Book" w:hAnsi="Franklin Gothic Book"/>
                <w:sz w:val="22"/>
                <w:szCs w:val="22"/>
              </w:rPr>
              <w:t>s</w:t>
            </w:r>
            <w:r w:rsidR="00991325">
              <w:rPr>
                <w:rFonts w:ascii="Franklin Gothic Book" w:hAnsi="Franklin Gothic Book"/>
                <w:sz w:val="22"/>
                <w:szCs w:val="22"/>
              </w:rPr>
              <w:t xml:space="preserve"> of 8 </w:t>
            </w:r>
            <w:r w:rsidR="00991325" w:rsidRPr="0DB0392A">
              <w:rPr>
                <w:rFonts w:ascii="Franklin Gothic Book" w:hAnsi="Franklin Gothic Book"/>
                <w:sz w:val="22"/>
                <w:szCs w:val="22"/>
              </w:rPr>
              <w:t>k</w:t>
            </w:r>
            <w:r w:rsidR="533BFA18" w:rsidRPr="0DB0392A">
              <w:rPr>
                <w:rFonts w:ascii="Franklin Gothic Book" w:hAnsi="Franklin Gothic Book"/>
                <w:sz w:val="22"/>
                <w:szCs w:val="22"/>
              </w:rPr>
              <w:t>P</w:t>
            </w:r>
            <w:r w:rsidR="00991325" w:rsidRPr="0DB0392A">
              <w:rPr>
                <w:rFonts w:ascii="Franklin Gothic Book" w:hAnsi="Franklin Gothic Book"/>
                <w:sz w:val="22"/>
                <w:szCs w:val="22"/>
              </w:rPr>
              <w:t>a</w:t>
            </w:r>
            <w:r w:rsidR="00E063B4">
              <w:rPr>
                <w:rFonts w:ascii="Franklin Gothic Book" w:hAnsi="Franklin Gothic Book"/>
                <w:sz w:val="22"/>
                <w:szCs w:val="22"/>
              </w:rPr>
              <w:t xml:space="preserve"> or higher</w:t>
            </w:r>
            <w:r w:rsidRPr="00963F27">
              <w:rPr>
                <w:rFonts w:ascii="Franklin Gothic Book" w:hAnsi="Franklin Gothic Book"/>
                <w:sz w:val="22"/>
                <w:szCs w:val="22"/>
              </w:rPr>
              <w:t xml:space="preserve"> </w:t>
            </w:r>
            <w:r w:rsidR="7CBD1D8B" w:rsidRPr="49F888AD">
              <w:rPr>
                <w:rFonts w:ascii="Franklin Gothic Book" w:hAnsi="Franklin Gothic Book"/>
                <w:sz w:val="22"/>
                <w:szCs w:val="22"/>
              </w:rPr>
              <w:t xml:space="preserve">may </w:t>
            </w:r>
            <w:r w:rsidR="7CBD1D8B" w:rsidRPr="0D4A1504">
              <w:rPr>
                <w:rFonts w:ascii="Franklin Gothic Book" w:hAnsi="Franklin Gothic Book"/>
                <w:sz w:val="22"/>
                <w:szCs w:val="22"/>
              </w:rPr>
              <w:t>be</w:t>
            </w:r>
            <w:r w:rsidR="006F1357">
              <w:rPr>
                <w:rFonts w:ascii="Franklin Gothic Book" w:hAnsi="Franklin Gothic Book"/>
                <w:sz w:val="22"/>
                <w:szCs w:val="22"/>
              </w:rPr>
              <w:t xml:space="preserve"> at </w:t>
            </w:r>
            <w:r w:rsidR="3A8DA592" w:rsidRPr="38FC7A81">
              <w:rPr>
                <w:rFonts w:ascii="Franklin Gothic Book" w:hAnsi="Franklin Gothic Book"/>
                <w:sz w:val="22"/>
                <w:szCs w:val="22"/>
              </w:rPr>
              <w:t>high</w:t>
            </w:r>
            <w:r w:rsidR="76C41815" w:rsidRPr="38FC7A81">
              <w:rPr>
                <w:rFonts w:ascii="Franklin Gothic Book" w:hAnsi="Franklin Gothic Book"/>
                <w:sz w:val="22"/>
                <w:szCs w:val="22"/>
              </w:rPr>
              <w:t>er</w:t>
            </w:r>
            <w:r w:rsidR="006F1357">
              <w:rPr>
                <w:rFonts w:ascii="Franklin Gothic Book" w:hAnsi="Franklin Gothic Book"/>
                <w:sz w:val="22"/>
                <w:szCs w:val="22"/>
              </w:rPr>
              <w:t xml:space="preserve"> risk of </w:t>
            </w:r>
            <w:r w:rsidR="00F20293">
              <w:rPr>
                <w:rFonts w:ascii="Franklin Gothic Book" w:hAnsi="Franklin Gothic Book"/>
                <w:sz w:val="22"/>
                <w:szCs w:val="22"/>
              </w:rPr>
              <w:t xml:space="preserve">advanced </w:t>
            </w:r>
            <w:r w:rsidR="006F1357">
              <w:rPr>
                <w:rFonts w:ascii="Franklin Gothic Book" w:hAnsi="Franklin Gothic Book"/>
                <w:sz w:val="22"/>
                <w:szCs w:val="22"/>
              </w:rPr>
              <w:t>liver fibrosis and</w:t>
            </w:r>
            <w:r w:rsidRPr="00963F27">
              <w:rPr>
                <w:rFonts w:ascii="Franklin Gothic Book" w:hAnsi="Franklin Gothic Book"/>
                <w:sz w:val="22"/>
                <w:szCs w:val="22"/>
              </w:rPr>
              <w:t xml:space="preserve"> </w:t>
            </w:r>
            <w:r w:rsidR="002601D5">
              <w:rPr>
                <w:rFonts w:ascii="Franklin Gothic Book" w:hAnsi="Franklin Gothic Book"/>
                <w:sz w:val="22"/>
                <w:szCs w:val="22"/>
              </w:rPr>
              <w:t>should</w:t>
            </w:r>
            <w:r w:rsidRPr="00963F27">
              <w:rPr>
                <w:rFonts w:ascii="Franklin Gothic Book" w:hAnsi="Franklin Gothic Book"/>
                <w:sz w:val="22"/>
                <w:szCs w:val="22"/>
              </w:rPr>
              <w:t xml:space="preserve"> be referred to a </w:t>
            </w:r>
            <w:r w:rsidR="002601D5">
              <w:rPr>
                <w:rFonts w:ascii="Franklin Gothic Book" w:hAnsi="Franklin Gothic Book"/>
                <w:sz w:val="22"/>
                <w:szCs w:val="22"/>
              </w:rPr>
              <w:t>liver</w:t>
            </w:r>
            <w:r w:rsidRPr="00963F27">
              <w:rPr>
                <w:rFonts w:ascii="Franklin Gothic Book" w:hAnsi="Franklin Gothic Book"/>
                <w:sz w:val="22"/>
                <w:szCs w:val="22"/>
              </w:rPr>
              <w:t xml:space="preserve"> specialist for further assessment.</w:t>
            </w:r>
          </w:p>
          <w:p w14:paraId="1035FBD9" w14:textId="560A681D" w:rsidR="00963F27" w:rsidRPr="00963F27" w:rsidRDefault="00963F27" w:rsidP="002125DB">
            <w:pPr>
              <w:pStyle w:val="Heading3"/>
              <w:keepNext w:val="0"/>
              <w:spacing w:before="240" w:after="120"/>
              <w:rPr>
                <w:rFonts w:ascii="Franklin Gothic Book" w:hAnsi="Franklin Gothic Book"/>
                <w:sz w:val="22"/>
                <w:szCs w:val="22"/>
              </w:rPr>
            </w:pPr>
            <w:r w:rsidRPr="00963F27">
              <w:rPr>
                <w:rFonts w:ascii="Franklin Gothic Book" w:hAnsi="Franklin Gothic Book"/>
                <w:sz w:val="22"/>
                <w:szCs w:val="22"/>
              </w:rPr>
              <w:t xml:space="preserve">The applicant claimed that </w:t>
            </w:r>
            <w:r w:rsidR="00AD05DB">
              <w:rPr>
                <w:rFonts w:ascii="Franklin Gothic Book" w:hAnsi="Franklin Gothic Book"/>
                <w:sz w:val="22"/>
                <w:szCs w:val="22"/>
              </w:rPr>
              <w:t>VCTE</w:t>
            </w:r>
            <w:r w:rsidR="004C0DB4" w:rsidRPr="00963F27">
              <w:rPr>
                <w:rFonts w:ascii="Franklin Gothic Book" w:hAnsi="Franklin Gothic Book"/>
                <w:sz w:val="22"/>
                <w:szCs w:val="22"/>
              </w:rPr>
              <w:t xml:space="preserve"> </w:t>
            </w:r>
            <w:r w:rsidRPr="00963F27">
              <w:rPr>
                <w:rFonts w:ascii="Franklin Gothic Book" w:hAnsi="Franklin Gothic Book"/>
                <w:sz w:val="22"/>
                <w:szCs w:val="22"/>
              </w:rPr>
              <w:t xml:space="preserve">is a risk assessment tool that can be used in primary care </w:t>
            </w:r>
            <w:r w:rsidR="00963FCA">
              <w:rPr>
                <w:rFonts w:ascii="Franklin Gothic Book" w:hAnsi="Franklin Gothic Book"/>
                <w:sz w:val="22"/>
                <w:szCs w:val="22"/>
              </w:rPr>
              <w:t>settings (e.g. GP clinics)</w:t>
            </w:r>
            <w:r w:rsidRPr="00963F27">
              <w:rPr>
                <w:rFonts w:ascii="Franklin Gothic Book" w:hAnsi="Franklin Gothic Book"/>
                <w:sz w:val="22"/>
                <w:szCs w:val="22"/>
              </w:rPr>
              <w:t xml:space="preserve"> to identify people with MAFLD who may have advanced </w:t>
            </w:r>
            <w:r w:rsidR="00963FCA">
              <w:rPr>
                <w:rFonts w:ascii="Franklin Gothic Book" w:hAnsi="Franklin Gothic Book"/>
                <w:sz w:val="22"/>
                <w:szCs w:val="22"/>
              </w:rPr>
              <w:t>liver</w:t>
            </w:r>
            <w:r w:rsidRPr="00963F27">
              <w:rPr>
                <w:rFonts w:ascii="Franklin Gothic Book" w:hAnsi="Franklin Gothic Book"/>
                <w:sz w:val="22"/>
                <w:szCs w:val="22"/>
              </w:rPr>
              <w:t xml:space="preserve"> fibrosis. However, MSAC considered that the </w:t>
            </w:r>
            <w:r w:rsidR="00440FC7">
              <w:rPr>
                <w:rFonts w:ascii="Franklin Gothic Book" w:hAnsi="Franklin Gothic Book"/>
                <w:sz w:val="22"/>
                <w:szCs w:val="22"/>
              </w:rPr>
              <w:t>liver stiffness measurement</w:t>
            </w:r>
            <w:r w:rsidR="002A2DBE">
              <w:rPr>
                <w:rFonts w:ascii="Franklin Gothic Book" w:hAnsi="Franklin Gothic Book"/>
                <w:sz w:val="22"/>
                <w:szCs w:val="22"/>
              </w:rPr>
              <w:t xml:space="preserve"> </w:t>
            </w:r>
            <w:r w:rsidRPr="00963F27">
              <w:rPr>
                <w:rFonts w:ascii="Franklin Gothic Book" w:hAnsi="Franklin Gothic Book"/>
                <w:sz w:val="22"/>
                <w:szCs w:val="22"/>
              </w:rPr>
              <w:t>cut-off of 8 k</w:t>
            </w:r>
            <w:r w:rsidR="78A4008E" w:rsidRPr="1EA66FD0">
              <w:rPr>
                <w:rFonts w:ascii="Franklin Gothic Book" w:hAnsi="Franklin Gothic Book"/>
                <w:sz w:val="22"/>
                <w:szCs w:val="22"/>
              </w:rPr>
              <w:t>P</w:t>
            </w:r>
            <w:r w:rsidRPr="1EA66FD0">
              <w:rPr>
                <w:rFonts w:ascii="Franklin Gothic Book" w:hAnsi="Franklin Gothic Book"/>
                <w:sz w:val="22"/>
                <w:szCs w:val="22"/>
              </w:rPr>
              <w:t>a</w:t>
            </w:r>
            <w:r w:rsidRPr="00963F27">
              <w:rPr>
                <w:rFonts w:ascii="Franklin Gothic Book" w:hAnsi="Franklin Gothic Book"/>
                <w:sz w:val="22"/>
                <w:szCs w:val="22"/>
              </w:rPr>
              <w:t xml:space="preserve"> </w:t>
            </w:r>
            <w:r w:rsidR="00963FCA">
              <w:rPr>
                <w:rFonts w:ascii="Franklin Gothic Book" w:hAnsi="Franklin Gothic Book"/>
                <w:sz w:val="22"/>
                <w:szCs w:val="22"/>
              </w:rPr>
              <w:t>was</w:t>
            </w:r>
            <w:r w:rsidRPr="00963F27">
              <w:rPr>
                <w:rFonts w:ascii="Franklin Gothic Book" w:hAnsi="Franklin Gothic Book"/>
                <w:sz w:val="22"/>
                <w:szCs w:val="22"/>
              </w:rPr>
              <w:t xml:space="preserve"> too low and would lead to many </w:t>
            </w:r>
            <w:r w:rsidR="00FD60FF">
              <w:rPr>
                <w:rFonts w:ascii="Franklin Gothic Book" w:hAnsi="Franklin Gothic Book"/>
                <w:sz w:val="22"/>
                <w:szCs w:val="22"/>
              </w:rPr>
              <w:t xml:space="preserve">people with normal livers </w:t>
            </w:r>
            <w:r w:rsidR="008E0DCD">
              <w:rPr>
                <w:rFonts w:ascii="Franklin Gothic Book" w:hAnsi="Franklin Gothic Book"/>
                <w:sz w:val="22"/>
                <w:szCs w:val="22"/>
              </w:rPr>
              <w:t xml:space="preserve">being told they are at high risk of </w:t>
            </w:r>
            <w:r w:rsidR="00AA3599">
              <w:rPr>
                <w:rFonts w:ascii="Franklin Gothic Book" w:hAnsi="Franklin Gothic Book"/>
                <w:sz w:val="22"/>
                <w:szCs w:val="22"/>
              </w:rPr>
              <w:t>ad</w:t>
            </w:r>
            <w:r w:rsidR="006B0D64">
              <w:rPr>
                <w:rFonts w:ascii="Franklin Gothic Book" w:hAnsi="Franklin Gothic Book"/>
                <w:sz w:val="22"/>
                <w:szCs w:val="22"/>
              </w:rPr>
              <w:t xml:space="preserve">vanced </w:t>
            </w:r>
            <w:r w:rsidR="008E0DCD">
              <w:rPr>
                <w:rFonts w:ascii="Franklin Gothic Book" w:hAnsi="Franklin Gothic Book"/>
                <w:sz w:val="22"/>
                <w:szCs w:val="22"/>
              </w:rPr>
              <w:t xml:space="preserve">liver fibrosis (also known as </w:t>
            </w:r>
            <w:r w:rsidRPr="00963F27">
              <w:rPr>
                <w:rFonts w:ascii="Franklin Gothic Book" w:hAnsi="Franklin Gothic Book"/>
                <w:sz w:val="22"/>
                <w:szCs w:val="22"/>
              </w:rPr>
              <w:t>false positive</w:t>
            </w:r>
            <w:r w:rsidR="00963FCA">
              <w:rPr>
                <w:rFonts w:ascii="Franklin Gothic Book" w:hAnsi="Franklin Gothic Book"/>
                <w:sz w:val="22"/>
                <w:szCs w:val="22"/>
              </w:rPr>
              <w:t xml:space="preserve"> results</w:t>
            </w:r>
            <w:r w:rsidR="008E0DCD">
              <w:rPr>
                <w:rFonts w:ascii="Franklin Gothic Book" w:hAnsi="Franklin Gothic Book"/>
                <w:sz w:val="22"/>
                <w:szCs w:val="22"/>
              </w:rPr>
              <w:t>)</w:t>
            </w:r>
            <w:r w:rsidRPr="00963F27">
              <w:rPr>
                <w:rFonts w:ascii="Franklin Gothic Book" w:hAnsi="Franklin Gothic Book"/>
                <w:sz w:val="22"/>
                <w:szCs w:val="22"/>
              </w:rPr>
              <w:t xml:space="preserve">. This could mean that </w:t>
            </w:r>
            <w:r w:rsidR="008E0DCD">
              <w:rPr>
                <w:rFonts w:ascii="Franklin Gothic Book" w:hAnsi="Franklin Gothic Book"/>
                <w:sz w:val="22"/>
                <w:szCs w:val="22"/>
              </w:rPr>
              <w:t xml:space="preserve">many </w:t>
            </w:r>
            <w:r w:rsidRPr="00963F27">
              <w:rPr>
                <w:rFonts w:ascii="Franklin Gothic Book" w:hAnsi="Franklin Gothic Book"/>
                <w:sz w:val="22"/>
                <w:szCs w:val="22"/>
              </w:rPr>
              <w:t xml:space="preserve">people would </w:t>
            </w:r>
            <w:r w:rsidR="000A41BA">
              <w:rPr>
                <w:rFonts w:ascii="Franklin Gothic Book" w:hAnsi="Franklin Gothic Book"/>
                <w:sz w:val="22"/>
                <w:szCs w:val="22"/>
              </w:rPr>
              <w:t>be referred to</w:t>
            </w:r>
            <w:r w:rsidRPr="00963F27">
              <w:rPr>
                <w:rFonts w:ascii="Franklin Gothic Book" w:hAnsi="Franklin Gothic Book"/>
                <w:sz w:val="22"/>
                <w:szCs w:val="22"/>
              </w:rPr>
              <w:t xml:space="preserve"> a specialist </w:t>
            </w:r>
            <w:r w:rsidR="000A41BA">
              <w:rPr>
                <w:rFonts w:ascii="Franklin Gothic Book" w:hAnsi="Franklin Gothic Book"/>
                <w:sz w:val="22"/>
                <w:szCs w:val="22"/>
              </w:rPr>
              <w:t>unnecessarily</w:t>
            </w:r>
            <w:r w:rsidR="00E26C3E">
              <w:rPr>
                <w:rFonts w:ascii="Franklin Gothic Book" w:hAnsi="Franklin Gothic Book"/>
                <w:sz w:val="22"/>
                <w:szCs w:val="22"/>
              </w:rPr>
              <w:t xml:space="preserve">, because </w:t>
            </w:r>
            <w:r w:rsidRPr="00963F27">
              <w:rPr>
                <w:rFonts w:ascii="Franklin Gothic Book" w:hAnsi="Franklin Gothic Book"/>
                <w:sz w:val="22"/>
                <w:szCs w:val="22"/>
              </w:rPr>
              <w:t xml:space="preserve">they </w:t>
            </w:r>
            <w:r w:rsidR="004A3E19">
              <w:rPr>
                <w:rFonts w:ascii="Franklin Gothic Book" w:hAnsi="Franklin Gothic Book"/>
                <w:sz w:val="22"/>
                <w:szCs w:val="22"/>
              </w:rPr>
              <w:t>do</w:t>
            </w:r>
            <w:r w:rsidRPr="00963F27">
              <w:rPr>
                <w:rFonts w:ascii="Franklin Gothic Book" w:hAnsi="Franklin Gothic Book"/>
                <w:sz w:val="22"/>
                <w:szCs w:val="22"/>
              </w:rPr>
              <w:t xml:space="preserve"> not </w:t>
            </w:r>
            <w:r w:rsidR="00E26C3E">
              <w:rPr>
                <w:rFonts w:ascii="Franklin Gothic Book" w:hAnsi="Franklin Gothic Book"/>
                <w:sz w:val="22"/>
                <w:szCs w:val="22"/>
              </w:rPr>
              <w:t xml:space="preserve">actually </w:t>
            </w:r>
            <w:r w:rsidRPr="00963F27">
              <w:rPr>
                <w:rFonts w:ascii="Franklin Gothic Book" w:hAnsi="Franklin Gothic Book"/>
                <w:sz w:val="22"/>
                <w:szCs w:val="22"/>
              </w:rPr>
              <w:t xml:space="preserve">have advanced </w:t>
            </w:r>
            <w:r w:rsidR="00E26C3E">
              <w:rPr>
                <w:rFonts w:ascii="Franklin Gothic Book" w:hAnsi="Franklin Gothic Book"/>
                <w:sz w:val="22"/>
                <w:szCs w:val="22"/>
              </w:rPr>
              <w:t xml:space="preserve">liver </w:t>
            </w:r>
            <w:r w:rsidRPr="00963F27">
              <w:rPr>
                <w:rFonts w:ascii="Franklin Gothic Book" w:hAnsi="Franklin Gothic Book"/>
                <w:sz w:val="22"/>
                <w:szCs w:val="22"/>
              </w:rPr>
              <w:t xml:space="preserve">fibrosis. The application stated that using </w:t>
            </w:r>
            <w:r w:rsidR="00AD05DB">
              <w:rPr>
                <w:rFonts w:ascii="Franklin Gothic Book" w:hAnsi="Franklin Gothic Book"/>
                <w:sz w:val="22"/>
                <w:szCs w:val="22"/>
              </w:rPr>
              <w:t>VCTE</w:t>
            </w:r>
            <w:r w:rsidRPr="00963F27">
              <w:rPr>
                <w:rFonts w:ascii="Franklin Gothic Book" w:hAnsi="Franklin Gothic Book"/>
                <w:sz w:val="22"/>
                <w:szCs w:val="22"/>
              </w:rPr>
              <w:t xml:space="preserve"> would lead to a decrease in </w:t>
            </w:r>
            <w:r w:rsidR="00646B0F">
              <w:rPr>
                <w:rFonts w:ascii="Franklin Gothic Book" w:hAnsi="Franklin Gothic Book"/>
                <w:sz w:val="22"/>
                <w:szCs w:val="22"/>
              </w:rPr>
              <w:t xml:space="preserve">unnecessary </w:t>
            </w:r>
            <w:r w:rsidRPr="00963F27">
              <w:rPr>
                <w:rFonts w:ascii="Franklin Gothic Book" w:hAnsi="Franklin Gothic Book"/>
                <w:sz w:val="22"/>
                <w:szCs w:val="22"/>
              </w:rPr>
              <w:t xml:space="preserve">specialist referrals, but MSAC considered </w:t>
            </w:r>
            <w:r w:rsidR="004A3E19">
              <w:rPr>
                <w:rFonts w:ascii="Franklin Gothic Book" w:hAnsi="Franklin Gothic Book"/>
                <w:sz w:val="22"/>
                <w:szCs w:val="22"/>
              </w:rPr>
              <w:t xml:space="preserve">that </w:t>
            </w:r>
            <w:r w:rsidR="00ED7222">
              <w:rPr>
                <w:rFonts w:ascii="Franklin Gothic Book" w:hAnsi="Franklin Gothic Book"/>
                <w:sz w:val="22"/>
                <w:szCs w:val="22"/>
              </w:rPr>
              <w:t xml:space="preserve">the suggested cut-off </w:t>
            </w:r>
            <w:r w:rsidR="00F00D82">
              <w:rPr>
                <w:rFonts w:ascii="Franklin Gothic Book" w:hAnsi="Franklin Gothic Book"/>
                <w:sz w:val="22"/>
                <w:szCs w:val="22"/>
              </w:rPr>
              <w:t xml:space="preserve">of </w:t>
            </w:r>
            <w:r w:rsidR="004B4A01">
              <w:rPr>
                <w:rFonts w:ascii="Franklin Gothic Book" w:hAnsi="Franklin Gothic Book"/>
                <w:sz w:val="22"/>
                <w:szCs w:val="22"/>
              </w:rPr>
              <w:t>8kPa</w:t>
            </w:r>
            <w:r w:rsidRPr="00963F27">
              <w:rPr>
                <w:rFonts w:ascii="Franklin Gothic Book" w:hAnsi="Franklin Gothic Book"/>
                <w:sz w:val="22"/>
                <w:szCs w:val="22"/>
              </w:rPr>
              <w:t xml:space="preserve"> could actually lead to more </w:t>
            </w:r>
            <w:r w:rsidR="00EB638A">
              <w:rPr>
                <w:rFonts w:ascii="Franklin Gothic Book" w:hAnsi="Franklin Gothic Book"/>
                <w:sz w:val="22"/>
                <w:szCs w:val="22"/>
              </w:rPr>
              <w:t xml:space="preserve">unnecessary </w:t>
            </w:r>
            <w:r w:rsidRPr="00963F27">
              <w:rPr>
                <w:rFonts w:ascii="Franklin Gothic Book" w:hAnsi="Franklin Gothic Book"/>
                <w:sz w:val="22"/>
                <w:szCs w:val="22"/>
              </w:rPr>
              <w:t>referrals. MSAC was concerned about this, as more people visiting specialists when they d</w:t>
            </w:r>
            <w:r w:rsidR="006E5FDA">
              <w:rPr>
                <w:rFonts w:ascii="Franklin Gothic Book" w:hAnsi="Franklin Gothic Book"/>
                <w:sz w:val="22"/>
                <w:szCs w:val="22"/>
              </w:rPr>
              <w:t>o</w:t>
            </w:r>
            <w:r w:rsidRPr="00963F27">
              <w:rPr>
                <w:rFonts w:ascii="Franklin Gothic Book" w:hAnsi="Franklin Gothic Book"/>
                <w:sz w:val="22"/>
                <w:szCs w:val="22"/>
              </w:rPr>
              <w:t xml:space="preserve"> not need to</w:t>
            </w:r>
            <w:r w:rsidR="00CC64B2">
              <w:rPr>
                <w:rFonts w:ascii="Franklin Gothic Book" w:hAnsi="Franklin Gothic Book"/>
                <w:sz w:val="22"/>
                <w:szCs w:val="22"/>
              </w:rPr>
              <w:t>,</w:t>
            </w:r>
            <w:r w:rsidRPr="00963F27">
              <w:rPr>
                <w:rFonts w:ascii="Franklin Gothic Book" w:hAnsi="Franklin Gothic Book"/>
                <w:sz w:val="22"/>
                <w:szCs w:val="22"/>
              </w:rPr>
              <w:t xml:space="preserve"> could be </w:t>
            </w:r>
            <w:r w:rsidR="006A6299">
              <w:rPr>
                <w:rFonts w:ascii="Franklin Gothic Book" w:hAnsi="Franklin Gothic Book"/>
                <w:sz w:val="22"/>
                <w:szCs w:val="22"/>
              </w:rPr>
              <w:t xml:space="preserve">both </w:t>
            </w:r>
            <w:r w:rsidR="006804B7">
              <w:rPr>
                <w:rFonts w:ascii="Franklin Gothic Book" w:hAnsi="Franklin Gothic Book"/>
                <w:sz w:val="22"/>
                <w:szCs w:val="22"/>
              </w:rPr>
              <w:t xml:space="preserve">costly and </w:t>
            </w:r>
            <w:r w:rsidRPr="00963F27">
              <w:rPr>
                <w:rFonts w:ascii="Franklin Gothic Book" w:hAnsi="Franklin Gothic Book"/>
                <w:sz w:val="22"/>
                <w:szCs w:val="22"/>
              </w:rPr>
              <w:t>harmful. This potential harm was not explored in the application.</w:t>
            </w:r>
          </w:p>
          <w:p w14:paraId="020B801D" w14:textId="0FBD64E0" w:rsidR="00963F27" w:rsidRPr="00963F27" w:rsidRDefault="00963F27" w:rsidP="002125DB">
            <w:pPr>
              <w:pStyle w:val="Heading3"/>
              <w:keepNext w:val="0"/>
              <w:spacing w:before="240" w:after="120"/>
              <w:rPr>
                <w:rFonts w:ascii="Franklin Gothic Book" w:hAnsi="Franklin Gothic Book"/>
                <w:sz w:val="22"/>
                <w:szCs w:val="22"/>
              </w:rPr>
            </w:pPr>
            <w:r w:rsidRPr="00963F27">
              <w:rPr>
                <w:rFonts w:ascii="Franklin Gothic Book" w:hAnsi="Franklin Gothic Book"/>
                <w:sz w:val="22"/>
                <w:szCs w:val="22"/>
              </w:rPr>
              <w:t xml:space="preserve">MSAC was also concerned that there was no evidence </w:t>
            </w:r>
            <w:r w:rsidR="00127A83">
              <w:rPr>
                <w:rFonts w:ascii="Franklin Gothic Book" w:hAnsi="Franklin Gothic Book"/>
                <w:sz w:val="22"/>
                <w:szCs w:val="22"/>
              </w:rPr>
              <w:t xml:space="preserve">that having a </w:t>
            </w:r>
            <w:r w:rsidR="00AD05DB">
              <w:rPr>
                <w:rFonts w:ascii="Franklin Gothic Book" w:hAnsi="Franklin Gothic Book"/>
                <w:sz w:val="22"/>
                <w:szCs w:val="22"/>
              </w:rPr>
              <w:t>VCTE</w:t>
            </w:r>
            <w:r w:rsidR="00127A83">
              <w:rPr>
                <w:rFonts w:ascii="Franklin Gothic Book" w:hAnsi="Franklin Gothic Book"/>
                <w:sz w:val="22"/>
                <w:szCs w:val="22"/>
              </w:rPr>
              <w:t xml:space="preserve"> </w:t>
            </w:r>
            <w:r w:rsidR="00D41911">
              <w:rPr>
                <w:rFonts w:ascii="Franklin Gothic Book" w:hAnsi="Franklin Gothic Book"/>
                <w:sz w:val="22"/>
                <w:szCs w:val="22"/>
              </w:rPr>
              <w:t xml:space="preserve">scan </w:t>
            </w:r>
            <w:r w:rsidR="00127A83">
              <w:rPr>
                <w:rFonts w:ascii="Franklin Gothic Book" w:hAnsi="Franklin Gothic Book"/>
                <w:sz w:val="22"/>
                <w:szCs w:val="22"/>
              </w:rPr>
              <w:t xml:space="preserve">would </w:t>
            </w:r>
            <w:r w:rsidR="00035C05">
              <w:rPr>
                <w:rFonts w:ascii="Franklin Gothic Book" w:hAnsi="Franklin Gothic Book"/>
                <w:sz w:val="22"/>
                <w:szCs w:val="22"/>
              </w:rPr>
              <w:t xml:space="preserve">change the medical treatment of </w:t>
            </w:r>
            <w:r w:rsidR="00A37003">
              <w:rPr>
                <w:rFonts w:ascii="Franklin Gothic Book" w:hAnsi="Franklin Gothic Book"/>
                <w:sz w:val="22"/>
                <w:szCs w:val="22"/>
              </w:rPr>
              <w:t xml:space="preserve">people </w:t>
            </w:r>
            <w:r w:rsidR="00F53CF4">
              <w:rPr>
                <w:rFonts w:ascii="Franklin Gothic Book" w:hAnsi="Franklin Gothic Book"/>
                <w:sz w:val="22"/>
                <w:szCs w:val="22"/>
              </w:rPr>
              <w:t>with MALFD</w:t>
            </w:r>
            <w:r w:rsidR="00073C68">
              <w:rPr>
                <w:rFonts w:ascii="Franklin Gothic Book" w:hAnsi="Franklin Gothic Book"/>
                <w:sz w:val="22"/>
                <w:szCs w:val="22"/>
              </w:rPr>
              <w:t xml:space="preserve">. </w:t>
            </w:r>
            <w:r w:rsidR="002E0981">
              <w:rPr>
                <w:rFonts w:ascii="Franklin Gothic Book" w:hAnsi="Franklin Gothic Book"/>
                <w:sz w:val="22"/>
                <w:szCs w:val="22"/>
              </w:rPr>
              <w:t xml:space="preserve">MSAC considered that this </w:t>
            </w:r>
            <w:r w:rsidR="00204C5A">
              <w:rPr>
                <w:rFonts w:ascii="Franklin Gothic Book" w:hAnsi="Franklin Gothic Book"/>
                <w:sz w:val="22"/>
                <w:szCs w:val="22"/>
              </w:rPr>
              <w:t>also</w:t>
            </w:r>
            <w:r w:rsidR="0008650E">
              <w:rPr>
                <w:rFonts w:ascii="Franklin Gothic Book" w:hAnsi="Franklin Gothic Book"/>
                <w:sz w:val="22"/>
                <w:szCs w:val="22"/>
              </w:rPr>
              <w:t xml:space="preserve"> means </w:t>
            </w:r>
            <w:r w:rsidR="002E0981">
              <w:rPr>
                <w:rFonts w:ascii="Franklin Gothic Book" w:hAnsi="Franklin Gothic Book"/>
                <w:sz w:val="22"/>
                <w:szCs w:val="22"/>
              </w:rPr>
              <w:t xml:space="preserve">that there is no evidence that having a </w:t>
            </w:r>
            <w:r w:rsidR="00AD05DB">
              <w:rPr>
                <w:rFonts w:ascii="Franklin Gothic Book" w:hAnsi="Franklin Gothic Book"/>
                <w:sz w:val="22"/>
                <w:szCs w:val="22"/>
              </w:rPr>
              <w:t>VCTE</w:t>
            </w:r>
            <w:r w:rsidR="002E0981">
              <w:rPr>
                <w:rFonts w:ascii="Franklin Gothic Book" w:hAnsi="Franklin Gothic Book"/>
                <w:sz w:val="22"/>
                <w:szCs w:val="22"/>
              </w:rPr>
              <w:t xml:space="preserve"> scan</w:t>
            </w:r>
            <w:r w:rsidR="0008650E">
              <w:rPr>
                <w:rFonts w:ascii="Franklin Gothic Book" w:hAnsi="Franklin Gothic Book"/>
                <w:sz w:val="22"/>
                <w:szCs w:val="22"/>
              </w:rPr>
              <w:t xml:space="preserve"> </w:t>
            </w:r>
            <w:r w:rsidR="00E25A35">
              <w:rPr>
                <w:rFonts w:ascii="Franklin Gothic Book" w:hAnsi="Franklin Gothic Book"/>
                <w:sz w:val="22"/>
                <w:szCs w:val="22"/>
              </w:rPr>
              <w:t xml:space="preserve">would improve </w:t>
            </w:r>
            <w:r w:rsidR="002E0981">
              <w:rPr>
                <w:rFonts w:ascii="Franklin Gothic Book" w:hAnsi="Franklin Gothic Book"/>
                <w:sz w:val="22"/>
                <w:szCs w:val="22"/>
              </w:rPr>
              <w:t>the</w:t>
            </w:r>
            <w:r w:rsidR="002E0981" w:rsidRPr="00963F27">
              <w:rPr>
                <w:rFonts w:ascii="Franklin Gothic Book" w:hAnsi="Franklin Gothic Book"/>
                <w:sz w:val="22"/>
                <w:szCs w:val="22"/>
              </w:rPr>
              <w:t xml:space="preserve"> </w:t>
            </w:r>
            <w:r w:rsidRPr="00963F27">
              <w:rPr>
                <w:rFonts w:ascii="Franklin Gothic Book" w:hAnsi="Franklin Gothic Book"/>
                <w:sz w:val="22"/>
                <w:szCs w:val="22"/>
              </w:rPr>
              <w:t>health</w:t>
            </w:r>
            <w:r w:rsidR="002E0981">
              <w:rPr>
                <w:rFonts w:ascii="Franklin Gothic Book" w:hAnsi="Franklin Gothic Book"/>
                <w:sz w:val="22"/>
                <w:szCs w:val="22"/>
              </w:rPr>
              <w:t xml:space="preserve"> of people with MALFD</w:t>
            </w:r>
            <w:r w:rsidRPr="00963F27">
              <w:rPr>
                <w:rFonts w:ascii="Franklin Gothic Book" w:hAnsi="Franklin Gothic Book"/>
                <w:sz w:val="22"/>
                <w:szCs w:val="22"/>
              </w:rPr>
              <w:t xml:space="preserve">. </w:t>
            </w:r>
          </w:p>
          <w:p w14:paraId="16FB6487" w14:textId="680C9981" w:rsidR="00F70C07" w:rsidRDefault="0088778C" w:rsidP="00F70C07">
            <w:pPr>
              <w:pStyle w:val="Heading3"/>
              <w:keepNext w:val="0"/>
              <w:spacing w:before="240" w:after="120"/>
              <w:rPr>
                <w:rFonts w:ascii="Franklin Gothic Book" w:hAnsi="Franklin Gothic Book"/>
                <w:sz w:val="22"/>
                <w:szCs w:val="22"/>
              </w:rPr>
            </w:pPr>
            <w:r w:rsidRPr="62CAE7E7">
              <w:rPr>
                <w:rFonts w:ascii="Franklin Gothic Book" w:hAnsi="Franklin Gothic Book"/>
                <w:sz w:val="22"/>
                <w:szCs w:val="22"/>
              </w:rPr>
              <w:t xml:space="preserve">MSAC could not determine whether using </w:t>
            </w:r>
            <w:r w:rsidR="00AD05DB">
              <w:rPr>
                <w:rFonts w:ascii="Franklin Gothic Book" w:hAnsi="Franklin Gothic Book"/>
                <w:sz w:val="22"/>
                <w:szCs w:val="22"/>
              </w:rPr>
              <w:t>VCTE</w:t>
            </w:r>
            <w:r w:rsidRPr="62CAE7E7">
              <w:rPr>
                <w:rFonts w:ascii="Franklin Gothic Book" w:hAnsi="Franklin Gothic Book"/>
                <w:sz w:val="22"/>
                <w:szCs w:val="22"/>
              </w:rPr>
              <w:t xml:space="preserve"> was good value for money. This was</w:t>
            </w:r>
            <w:r w:rsidR="00963F27" w:rsidRPr="62CAE7E7">
              <w:rPr>
                <w:rFonts w:ascii="Franklin Gothic Book" w:hAnsi="Franklin Gothic Book"/>
                <w:sz w:val="22"/>
                <w:szCs w:val="22"/>
              </w:rPr>
              <w:t xml:space="preserve"> </w:t>
            </w:r>
            <w:r w:rsidRPr="62CAE7E7">
              <w:rPr>
                <w:rFonts w:ascii="Franklin Gothic Book" w:hAnsi="Franklin Gothic Book"/>
                <w:sz w:val="22"/>
                <w:szCs w:val="22"/>
              </w:rPr>
              <w:t>partly</w:t>
            </w:r>
            <w:r w:rsidR="004200A3" w:rsidRPr="62CAE7E7">
              <w:rPr>
                <w:rFonts w:ascii="Franklin Gothic Book" w:hAnsi="Franklin Gothic Book"/>
                <w:sz w:val="22"/>
                <w:szCs w:val="22"/>
              </w:rPr>
              <w:t xml:space="preserve"> </w:t>
            </w:r>
            <w:r w:rsidRPr="62CAE7E7">
              <w:rPr>
                <w:rFonts w:ascii="Franklin Gothic Book" w:hAnsi="Franklin Gothic Book"/>
                <w:sz w:val="22"/>
                <w:szCs w:val="22"/>
              </w:rPr>
              <w:t xml:space="preserve">due to the </w:t>
            </w:r>
            <w:r w:rsidR="009E3DA6" w:rsidRPr="62CAE7E7">
              <w:rPr>
                <w:rFonts w:ascii="Franklin Gothic Book" w:hAnsi="Franklin Gothic Book"/>
                <w:sz w:val="22"/>
                <w:szCs w:val="22"/>
              </w:rPr>
              <w:t xml:space="preserve">issues with </w:t>
            </w:r>
            <w:r w:rsidR="00963F27" w:rsidRPr="62CAE7E7">
              <w:rPr>
                <w:rFonts w:ascii="Franklin Gothic Book" w:hAnsi="Franklin Gothic Book"/>
                <w:sz w:val="22"/>
                <w:szCs w:val="22"/>
              </w:rPr>
              <w:t xml:space="preserve">the clinical evidence </w:t>
            </w:r>
            <w:r w:rsidRPr="62CAE7E7">
              <w:rPr>
                <w:rFonts w:ascii="Franklin Gothic Book" w:hAnsi="Franklin Gothic Book"/>
                <w:sz w:val="22"/>
                <w:szCs w:val="22"/>
              </w:rPr>
              <w:t>mentioned above</w:t>
            </w:r>
            <w:r w:rsidR="009E3DA6" w:rsidRPr="62CAE7E7">
              <w:rPr>
                <w:rFonts w:ascii="Franklin Gothic Book" w:hAnsi="Franklin Gothic Book"/>
                <w:sz w:val="22"/>
                <w:szCs w:val="22"/>
              </w:rPr>
              <w:t>. MSAC</w:t>
            </w:r>
            <w:r w:rsidRPr="62CAE7E7">
              <w:rPr>
                <w:rFonts w:ascii="Franklin Gothic Book" w:hAnsi="Franklin Gothic Book"/>
                <w:sz w:val="22"/>
                <w:szCs w:val="22"/>
              </w:rPr>
              <w:t xml:space="preserve"> </w:t>
            </w:r>
            <w:r w:rsidR="00963F27" w:rsidRPr="62CAE7E7">
              <w:rPr>
                <w:rFonts w:ascii="Franklin Gothic Book" w:hAnsi="Franklin Gothic Book"/>
                <w:sz w:val="22"/>
                <w:szCs w:val="22"/>
              </w:rPr>
              <w:t xml:space="preserve">could not advise the government about how much it would cost the MBS if </w:t>
            </w:r>
            <w:r w:rsidR="00AD05DB">
              <w:rPr>
                <w:rFonts w:ascii="Franklin Gothic Book" w:hAnsi="Franklin Gothic Book"/>
                <w:sz w:val="22"/>
                <w:szCs w:val="22"/>
              </w:rPr>
              <w:t>VCTE</w:t>
            </w:r>
            <w:r w:rsidR="007C49B0" w:rsidRPr="62CAE7E7">
              <w:rPr>
                <w:rFonts w:ascii="Franklin Gothic Book" w:hAnsi="Franklin Gothic Book"/>
                <w:sz w:val="22"/>
                <w:szCs w:val="22"/>
              </w:rPr>
              <w:t xml:space="preserve"> </w:t>
            </w:r>
            <w:r w:rsidR="00963F27" w:rsidRPr="62CAE7E7">
              <w:rPr>
                <w:rFonts w:ascii="Franklin Gothic Book" w:hAnsi="Franklin Gothic Book"/>
                <w:sz w:val="22"/>
                <w:szCs w:val="22"/>
              </w:rPr>
              <w:t>were</w:t>
            </w:r>
            <w:r w:rsidR="00A86730" w:rsidRPr="62CAE7E7">
              <w:rPr>
                <w:rFonts w:ascii="Franklin Gothic Book" w:hAnsi="Franklin Gothic Book"/>
                <w:sz w:val="22"/>
                <w:szCs w:val="22"/>
              </w:rPr>
              <w:t xml:space="preserve"> </w:t>
            </w:r>
            <w:r w:rsidR="00E25A35" w:rsidRPr="62CAE7E7">
              <w:rPr>
                <w:rFonts w:ascii="Franklin Gothic Book" w:hAnsi="Franklin Gothic Book"/>
                <w:sz w:val="22"/>
                <w:szCs w:val="22"/>
              </w:rPr>
              <w:t>funded</w:t>
            </w:r>
            <w:r w:rsidR="00963F27" w:rsidRPr="62CAE7E7">
              <w:rPr>
                <w:rFonts w:ascii="Franklin Gothic Book" w:hAnsi="Franklin Gothic Book"/>
                <w:sz w:val="22"/>
                <w:szCs w:val="22"/>
              </w:rPr>
              <w:t>.</w:t>
            </w:r>
            <w:r w:rsidR="00B26723" w:rsidRPr="62CAE7E7">
              <w:rPr>
                <w:rFonts w:ascii="Franklin Gothic Book" w:hAnsi="Franklin Gothic Book"/>
                <w:sz w:val="22"/>
                <w:szCs w:val="22"/>
              </w:rPr>
              <w:t xml:space="preserve"> MSAC noted the high number of people with MAFLD </w:t>
            </w:r>
            <w:r w:rsidR="00B45B9D" w:rsidRPr="62CAE7E7">
              <w:rPr>
                <w:rFonts w:ascii="Franklin Gothic Book" w:hAnsi="Franklin Gothic Book"/>
                <w:sz w:val="22"/>
                <w:szCs w:val="22"/>
              </w:rPr>
              <w:t>in Australia</w:t>
            </w:r>
            <w:r w:rsidR="00DD3942">
              <w:rPr>
                <w:rFonts w:ascii="Franklin Gothic Book" w:hAnsi="Franklin Gothic Book"/>
                <w:sz w:val="22"/>
                <w:szCs w:val="22"/>
              </w:rPr>
              <w:t>,</w:t>
            </w:r>
            <w:r w:rsidR="00B45B9D" w:rsidRPr="62CAE7E7">
              <w:rPr>
                <w:rFonts w:ascii="Franklin Gothic Book" w:hAnsi="Franklin Gothic Book"/>
                <w:sz w:val="22"/>
                <w:szCs w:val="22"/>
              </w:rPr>
              <w:t xml:space="preserve"> </w:t>
            </w:r>
            <w:r w:rsidR="00B26723" w:rsidRPr="62CAE7E7">
              <w:rPr>
                <w:rFonts w:ascii="Franklin Gothic Book" w:hAnsi="Franklin Gothic Book"/>
                <w:sz w:val="22"/>
                <w:szCs w:val="22"/>
              </w:rPr>
              <w:t>and</w:t>
            </w:r>
            <w:r w:rsidR="00DD3942">
              <w:rPr>
                <w:rFonts w:ascii="Franklin Gothic Book" w:hAnsi="Franklin Gothic Book"/>
                <w:sz w:val="22"/>
                <w:szCs w:val="22"/>
              </w:rPr>
              <w:t xml:space="preserve"> that funding </w:t>
            </w:r>
            <w:r w:rsidR="00AD05DB">
              <w:rPr>
                <w:rFonts w:ascii="Franklin Gothic Book" w:hAnsi="Franklin Gothic Book"/>
                <w:sz w:val="22"/>
                <w:szCs w:val="22"/>
              </w:rPr>
              <w:t>VCTE</w:t>
            </w:r>
            <w:r w:rsidR="00B26723" w:rsidRPr="62CAE7E7">
              <w:rPr>
                <w:rFonts w:ascii="Franklin Gothic Book" w:hAnsi="Franklin Gothic Book"/>
                <w:sz w:val="22"/>
                <w:szCs w:val="22"/>
              </w:rPr>
              <w:t xml:space="preserve"> </w:t>
            </w:r>
            <w:r w:rsidR="00DD3942">
              <w:rPr>
                <w:rFonts w:ascii="Franklin Gothic Book" w:hAnsi="Franklin Gothic Book"/>
                <w:sz w:val="22"/>
                <w:szCs w:val="22"/>
              </w:rPr>
              <w:t xml:space="preserve">was </w:t>
            </w:r>
            <w:r w:rsidR="00B26723" w:rsidRPr="62CAE7E7">
              <w:rPr>
                <w:rFonts w:ascii="Franklin Gothic Book" w:hAnsi="Franklin Gothic Book"/>
                <w:sz w:val="22"/>
                <w:szCs w:val="22"/>
              </w:rPr>
              <w:t>the</w:t>
            </w:r>
            <w:r w:rsidR="00266A17" w:rsidRPr="62CAE7E7">
              <w:rPr>
                <w:rFonts w:ascii="Franklin Gothic Book" w:hAnsi="Franklin Gothic Book"/>
                <w:sz w:val="22"/>
                <w:szCs w:val="22"/>
              </w:rPr>
              <w:t>refore</w:t>
            </w:r>
            <w:r w:rsidR="00B26723" w:rsidRPr="62CAE7E7">
              <w:rPr>
                <w:rFonts w:ascii="Franklin Gothic Book" w:hAnsi="Franklin Gothic Book"/>
                <w:sz w:val="22"/>
                <w:szCs w:val="22"/>
              </w:rPr>
              <w:t xml:space="preserve"> likely </w:t>
            </w:r>
            <w:r w:rsidR="76F59413" w:rsidRPr="62CAE7E7">
              <w:rPr>
                <w:rFonts w:ascii="Franklin Gothic Book" w:hAnsi="Franklin Gothic Book"/>
                <w:sz w:val="22"/>
                <w:szCs w:val="22"/>
              </w:rPr>
              <w:t xml:space="preserve">to have </w:t>
            </w:r>
            <w:r w:rsidR="00456998">
              <w:rPr>
                <w:rFonts w:ascii="Franklin Gothic Book" w:hAnsi="Franklin Gothic Book"/>
                <w:sz w:val="22"/>
                <w:szCs w:val="22"/>
              </w:rPr>
              <w:t>large</w:t>
            </w:r>
            <w:r w:rsidR="76F59413" w:rsidRPr="62CAE7E7">
              <w:rPr>
                <w:rFonts w:ascii="Franklin Gothic Book" w:hAnsi="Franklin Gothic Book"/>
                <w:sz w:val="22"/>
                <w:szCs w:val="22"/>
              </w:rPr>
              <w:t xml:space="preserve"> </w:t>
            </w:r>
            <w:r w:rsidR="00B26723" w:rsidRPr="62CAE7E7">
              <w:rPr>
                <w:rFonts w:ascii="Franklin Gothic Book" w:hAnsi="Franklin Gothic Book"/>
                <w:sz w:val="22"/>
                <w:szCs w:val="22"/>
              </w:rPr>
              <w:t>financial implications.</w:t>
            </w:r>
            <w:r w:rsidR="00F70C07" w:rsidRPr="62CAE7E7">
              <w:rPr>
                <w:rFonts w:ascii="Franklin Gothic Book" w:hAnsi="Franklin Gothic Book"/>
                <w:sz w:val="22"/>
                <w:szCs w:val="22"/>
              </w:rPr>
              <w:t xml:space="preserve"> </w:t>
            </w:r>
          </w:p>
          <w:p w14:paraId="1009E6B7" w14:textId="66073E10" w:rsidR="00963F27" w:rsidRPr="00963F27" w:rsidRDefault="00F70C07" w:rsidP="002125DB">
            <w:pPr>
              <w:pStyle w:val="Heading3"/>
              <w:keepNext w:val="0"/>
              <w:spacing w:before="240" w:after="120"/>
              <w:rPr>
                <w:rFonts w:ascii="Franklin Gothic Book" w:hAnsi="Franklin Gothic Book"/>
                <w:sz w:val="22"/>
                <w:szCs w:val="22"/>
              </w:rPr>
            </w:pPr>
            <w:r w:rsidRPr="00963F27">
              <w:rPr>
                <w:rFonts w:ascii="Franklin Gothic Book" w:hAnsi="Franklin Gothic Book"/>
                <w:sz w:val="22"/>
                <w:szCs w:val="22"/>
              </w:rPr>
              <w:lastRenderedPageBreak/>
              <w:t>MSAC</w:t>
            </w:r>
            <w:r>
              <w:rPr>
                <w:rFonts w:ascii="Franklin Gothic Book" w:hAnsi="Franklin Gothic Book"/>
                <w:sz w:val="22"/>
                <w:szCs w:val="22"/>
              </w:rPr>
              <w:t xml:space="preserve"> considered that </w:t>
            </w:r>
            <w:r w:rsidR="00E13E48">
              <w:rPr>
                <w:rFonts w:ascii="Franklin Gothic Book" w:hAnsi="Franklin Gothic Book"/>
                <w:sz w:val="22"/>
                <w:szCs w:val="22"/>
              </w:rPr>
              <w:t xml:space="preserve">if this application </w:t>
            </w:r>
            <w:r w:rsidR="007E5441">
              <w:rPr>
                <w:rFonts w:ascii="Franklin Gothic Book" w:hAnsi="Franklin Gothic Book"/>
                <w:sz w:val="22"/>
                <w:szCs w:val="22"/>
              </w:rPr>
              <w:t>i</w:t>
            </w:r>
            <w:r w:rsidR="00E13E48">
              <w:rPr>
                <w:rFonts w:ascii="Franklin Gothic Book" w:hAnsi="Franklin Gothic Book"/>
                <w:sz w:val="22"/>
                <w:szCs w:val="22"/>
              </w:rPr>
              <w:t xml:space="preserve">s resubmitted, it </w:t>
            </w:r>
            <w:r>
              <w:rPr>
                <w:rFonts w:ascii="Franklin Gothic Book" w:hAnsi="Franklin Gothic Book"/>
                <w:sz w:val="22"/>
                <w:szCs w:val="22"/>
              </w:rPr>
              <w:t xml:space="preserve">would need to </w:t>
            </w:r>
            <w:r w:rsidR="00E13E48">
              <w:rPr>
                <w:rFonts w:ascii="Franklin Gothic Book" w:hAnsi="Franklin Gothic Book"/>
                <w:sz w:val="22"/>
                <w:szCs w:val="22"/>
              </w:rPr>
              <w:t xml:space="preserve">show evidence that </w:t>
            </w:r>
            <w:r w:rsidR="009D3238">
              <w:rPr>
                <w:rFonts w:ascii="Franklin Gothic Book" w:hAnsi="Franklin Gothic Book"/>
                <w:sz w:val="22"/>
                <w:szCs w:val="22"/>
              </w:rPr>
              <w:t xml:space="preserve">using </w:t>
            </w:r>
            <w:r w:rsidR="00AD05DB">
              <w:rPr>
                <w:rFonts w:ascii="Franklin Gothic Book" w:hAnsi="Franklin Gothic Book"/>
                <w:sz w:val="22"/>
                <w:szCs w:val="22"/>
              </w:rPr>
              <w:t>VCTE</w:t>
            </w:r>
            <w:r w:rsidR="00E13E48">
              <w:rPr>
                <w:rFonts w:ascii="Franklin Gothic Book" w:hAnsi="Franklin Gothic Book"/>
                <w:sz w:val="22"/>
                <w:szCs w:val="22"/>
              </w:rPr>
              <w:t xml:space="preserve"> </w:t>
            </w:r>
            <w:r w:rsidR="00A35549">
              <w:rPr>
                <w:rFonts w:ascii="Franklin Gothic Book" w:hAnsi="Franklin Gothic Book"/>
                <w:sz w:val="22"/>
                <w:szCs w:val="22"/>
              </w:rPr>
              <w:t>i</w:t>
            </w:r>
            <w:r w:rsidR="18DAABDE" w:rsidRPr="45CAD076">
              <w:rPr>
                <w:rFonts w:ascii="Franklin Gothic Book" w:hAnsi="Franklin Gothic Book"/>
                <w:sz w:val="22"/>
                <w:szCs w:val="22"/>
              </w:rPr>
              <w:t>mproves</w:t>
            </w:r>
            <w:r w:rsidR="232E3DC6" w:rsidRPr="45CAD076">
              <w:rPr>
                <w:rFonts w:ascii="Franklin Gothic Book" w:hAnsi="Franklin Gothic Book"/>
                <w:sz w:val="22"/>
                <w:szCs w:val="22"/>
              </w:rPr>
              <w:t xml:space="preserve"> </w:t>
            </w:r>
            <w:r w:rsidR="5E5F4F7A" w:rsidRPr="45CAD076">
              <w:rPr>
                <w:rFonts w:ascii="Franklin Gothic Book" w:hAnsi="Franklin Gothic Book"/>
                <w:sz w:val="22"/>
                <w:szCs w:val="22"/>
              </w:rPr>
              <w:t>people’s health.</w:t>
            </w:r>
            <w:r w:rsidR="232E3DC6" w:rsidRPr="368D1701">
              <w:rPr>
                <w:rFonts w:ascii="Franklin Gothic Book" w:hAnsi="Franklin Gothic Book"/>
                <w:sz w:val="22"/>
                <w:szCs w:val="22"/>
              </w:rPr>
              <w:t xml:space="preserve"> </w:t>
            </w:r>
            <w:r w:rsidR="00E13E48">
              <w:rPr>
                <w:rFonts w:ascii="Franklin Gothic Book" w:hAnsi="Franklin Gothic Book"/>
                <w:sz w:val="22"/>
                <w:szCs w:val="22"/>
              </w:rPr>
              <w:t>MSAC also</w:t>
            </w:r>
            <w:r w:rsidRPr="00963F27">
              <w:rPr>
                <w:rFonts w:ascii="Franklin Gothic Book" w:hAnsi="Franklin Gothic Book"/>
                <w:sz w:val="22"/>
                <w:szCs w:val="22"/>
              </w:rPr>
              <w:t xml:space="preserve"> </w:t>
            </w:r>
            <w:r>
              <w:rPr>
                <w:rFonts w:ascii="Franklin Gothic Book" w:hAnsi="Franklin Gothic Book"/>
                <w:sz w:val="22"/>
                <w:szCs w:val="22"/>
              </w:rPr>
              <w:t>noted that</w:t>
            </w:r>
            <w:r w:rsidRPr="00963F27">
              <w:rPr>
                <w:rFonts w:ascii="Franklin Gothic Book" w:hAnsi="Franklin Gothic Book"/>
                <w:sz w:val="22"/>
                <w:szCs w:val="22"/>
              </w:rPr>
              <w:t xml:space="preserve"> MAFLD is just one form of liver disease that can lead to advanced fibrosis</w:t>
            </w:r>
            <w:r>
              <w:rPr>
                <w:rFonts w:ascii="Franklin Gothic Book" w:hAnsi="Franklin Gothic Book"/>
                <w:sz w:val="22"/>
                <w:szCs w:val="22"/>
              </w:rPr>
              <w:t xml:space="preserve"> </w:t>
            </w:r>
            <w:r w:rsidR="60447686" w:rsidRPr="7AECCB58">
              <w:rPr>
                <w:rFonts w:ascii="Franklin Gothic Book" w:hAnsi="Franklin Gothic Book"/>
                <w:sz w:val="22"/>
                <w:szCs w:val="22"/>
              </w:rPr>
              <w:t>(</w:t>
            </w:r>
            <w:r w:rsidR="60447686" w:rsidRPr="1CA67863">
              <w:rPr>
                <w:rFonts w:ascii="Franklin Gothic Book" w:hAnsi="Franklin Gothic Book"/>
                <w:sz w:val="22"/>
                <w:szCs w:val="22"/>
              </w:rPr>
              <w:t xml:space="preserve">scarring) </w:t>
            </w:r>
            <w:r>
              <w:rPr>
                <w:rFonts w:ascii="Franklin Gothic Book" w:hAnsi="Franklin Gothic Book"/>
                <w:sz w:val="22"/>
                <w:szCs w:val="22"/>
              </w:rPr>
              <w:t xml:space="preserve">where </w:t>
            </w:r>
            <w:r w:rsidR="00AD05DB">
              <w:rPr>
                <w:rFonts w:ascii="Franklin Gothic Book" w:hAnsi="Franklin Gothic Book"/>
                <w:sz w:val="22"/>
                <w:szCs w:val="22"/>
              </w:rPr>
              <w:t>VCTE</w:t>
            </w:r>
            <w:r>
              <w:rPr>
                <w:rFonts w:ascii="Franklin Gothic Book" w:hAnsi="Franklin Gothic Book"/>
                <w:sz w:val="22"/>
                <w:szCs w:val="22"/>
              </w:rPr>
              <w:t xml:space="preserve"> can be used</w:t>
            </w:r>
            <w:r w:rsidRPr="00963F27">
              <w:rPr>
                <w:rFonts w:ascii="Franklin Gothic Book" w:hAnsi="Franklin Gothic Book"/>
                <w:sz w:val="22"/>
                <w:szCs w:val="22"/>
              </w:rPr>
              <w:t xml:space="preserve">, and </w:t>
            </w:r>
            <w:r w:rsidR="00E13E48">
              <w:rPr>
                <w:rFonts w:ascii="Franklin Gothic Book" w:hAnsi="Franklin Gothic Book"/>
                <w:sz w:val="22"/>
                <w:szCs w:val="22"/>
              </w:rPr>
              <w:t>so</w:t>
            </w:r>
            <w:r w:rsidRPr="00963F27">
              <w:rPr>
                <w:rFonts w:ascii="Franklin Gothic Book" w:hAnsi="Franklin Gothic Book"/>
                <w:sz w:val="22"/>
                <w:szCs w:val="22"/>
              </w:rPr>
              <w:t xml:space="preserve"> </w:t>
            </w:r>
            <w:r>
              <w:rPr>
                <w:rFonts w:ascii="Franklin Gothic Book" w:hAnsi="Franklin Gothic Book"/>
                <w:sz w:val="22"/>
                <w:szCs w:val="22"/>
              </w:rPr>
              <w:t>for the purpose of equity</w:t>
            </w:r>
            <w:r w:rsidR="00E13E48">
              <w:rPr>
                <w:rFonts w:ascii="Franklin Gothic Book" w:hAnsi="Franklin Gothic Book"/>
                <w:sz w:val="22"/>
                <w:szCs w:val="22"/>
              </w:rPr>
              <w:t xml:space="preserve">, if </w:t>
            </w:r>
            <w:r w:rsidR="00736EF9">
              <w:rPr>
                <w:rFonts w:ascii="Franklin Gothic Book" w:hAnsi="Franklin Gothic Book"/>
                <w:sz w:val="22"/>
                <w:szCs w:val="22"/>
              </w:rPr>
              <w:t>the application</w:t>
            </w:r>
            <w:r w:rsidR="00E13E48">
              <w:rPr>
                <w:rFonts w:ascii="Franklin Gothic Book" w:hAnsi="Franklin Gothic Book"/>
                <w:sz w:val="22"/>
                <w:szCs w:val="22"/>
              </w:rPr>
              <w:t xml:space="preserve"> is resubmitted it might </w:t>
            </w:r>
            <w:r w:rsidR="00981DE3">
              <w:rPr>
                <w:rFonts w:ascii="Franklin Gothic Book" w:hAnsi="Franklin Gothic Book"/>
                <w:sz w:val="22"/>
                <w:szCs w:val="22"/>
              </w:rPr>
              <w:t xml:space="preserve">be </w:t>
            </w:r>
            <w:r w:rsidR="000F5533">
              <w:rPr>
                <w:rFonts w:ascii="Franklin Gothic Book" w:hAnsi="Franklin Gothic Book"/>
                <w:sz w:val="22"/>
                <w:szCs w:val="22"/>
              </w:rPr>
              <w:t>appropriate</w:t>
            </w:r>
            <w:r w:rsidRPr="00963F27">
              <w:rPr>
                <w:rFonts w:ascii="Franklin Gothic Book" w:hAnsi="Franklin Gothic Book"/>
                <w:sz w:val="22"/>
                <w:szCs w:val="22"/>
              </w:rPr>
              <w:t xml:space="preserve"> to </w:t>
            </w:r>
            <w:r w:rsidR="000F5533">
              <w:rPr>
                <w:rFonts w:ascii="Franklin Gothic Book" w:hAnsi="Franklin Gothic Book"/>
                <w:sz w:val="22"/>
                <w:szCs w:val="22"/>
              </w:rPr>
              <w:t>include</w:t>
            </w:r>
            <w:r w:rsidRPr="00963F27">
              <w:rPr>
                <w:rFonts w:ascii="Franklin Gothic Book" w:hAnsi="Franklin Gothic Book"/>
                <w:sz w:val="22"/>
                <w:szCs w:val="22"/>
              </w:rPr>
              <w:t xml:space="preserve"> people with other forms of liver disease.</w:t>
            </w:r>
            <w:r>
              <w:rPr>
                <w:rFonts w:ascii="Franklin Gothic Book" w:hAnsi="Franklin Gothic Book"/>
                <w:sz w:val="22"/>
                <w:szCs w:val="22"/>
              </w:rPr>
              <w:t xml:space="preserve"> </w:t>
            </w:r>
            <w:r w:rsidRPr="6F4D046E">
              <w:rPr>
                <w:rFonts w:ascii="Franklin Gothic Book" w:hAnsi="Franklin Gothic Book"/>
                <w:sz w:val="22"/>
                <w:szCs w:val="22"/>
              </w:rPr>
              <w:t xml:space="preserve">This would mean extra evidence would be needed to show the benefits of </w:t>
            </w:r>
            <w:r w:rsidR="000322DE">
              <w:rPr>
                <w:rFonts w:ascii="Franklin Gothic Book" w:hAnsi="Franklin Gothic Book"/>
                <w:sz w:val="22"/>
                <w:szCs w:val="22"/>
              </w:rPr>
              <w:t xml:space="preserve">using </w:t>
            </w:r>
            <w:r w:rsidR="00AD05DB">
              <w:rPr>
                <w:rFonts w:ascii="Franklin Gothic Book" w:hAnsi="Franklin Gothic Book"/>
                <w:sz w:val="22"/>
                <w:szCs w:val="22"/>
              </w:rPr>
              <w:t>VCTE</w:t>
            </w:r>
            <w:r w:rsidRPr="6F4D046E">
              <w:rPr>
                <w:rFonts w:ascii="Franklin Gothic Book" w:hAnsi="Franklin Gothic Book"/>
                <w:sz w:val="22"/>
                <w:szCs w:val="22"/>
              </w:rPr>
              <w:t xml:space="preserve"> in</w:t>
            </w:r>
            <w:r w:rsidR="000322DE">
              <w:rPr>
                <w:rFonts w:ascii="Franklin Gothic Book" w:hAnsi="Franklin Gothic Book"/>
                <w:sz w:val="22"/>
                <w:szCs w:val="22"/>
              </w:rPr>
              <w:t xml:space="preserve"> these</w:t>
            </w:r>
            <w:r w:rsidRPr="6F4D046E">
              <w:rPr>
                <w:rFonts w:ascii="Franklin Gothic Book" w:hAnsi="Franklin Gothic Book"/>
                <w:sz w:val="22"/>
                <w:szCs w:val="22"/>
              </w:rPr>
              <w:t xml:space="preserve"> other liver conditions</w:t>
            </w:r>
            <w:r w:rsidR="00580D69">
              <w:rPr>
                <w:rFonts w:ascii="Franklin Gothic Book" w:hAnsi="Franklin Gothic Book"/>
                <w:sz w:val="22"/>
                <w:szCs w:val="22"/>
              </w:rPr>
              <w:t>,</w:t>
            </w:r>
            <w:r w:rsidR="000F5533">
              <w:rPr>
                <w:rFonts w:ascii="Franklin Gothic Book" w:hAnsi="Franklin Gothic Book"/>
                <w:sz w:val="22"/>
                <w:szCs w:val="22"/>
              </w:rPr>
              <w:t xml:space="preserve"> as well as </w:t>
            </w:r>
            <w:r w:rsidR="00484918">
              <w:rPr>
                <w:rFonts w:ascii="Franklin Gothic Book" w:hAnsi="Franklin Gothic Book"/>
                <w:sz w:val="22"/>
                <w:szCs w:val="22"/>
              </w:rPr>
              <w:t xml:space="preserve">in </w:t>
            </w:r>
            <w:r w:rsidR="000F5533">
              <w:rPr>
                <w:rFonts w:ascii="Franklin Gothic Book" w:hAnsi="Franklin Gothic Book"/>
                <w:sz w:val="22"/>
                <w:szCs w:val="22"/>
              </w:rPr>
              <w:t>MAFLD</w:t>
            </w:r>
            <w:r w:rsidRPr="6F4D046E">
              <w:rPr>
                <w:rFonts w:ascii="Franklin Gothic Book" w:hAnsi="Franklin Gothic Book"/>
                <w:sz w:val="22"/>
                <w:szCs w:val="22"/>
              </w:rPr>
              <w:t>.</w:t>
            </w:r>
          </w:p>
          <w:p w14:paraId="2DAEB584" w14:textId="54C011B3" w:rsidR="0018750D" w:rsidRPr="00992343" w:rsidRDefault="0018750D" w:rsidP="002125DB">
            <w:pPr>
              <w:pStyle w:val="Heading3"/>
              <w:keepNext w:val="0"/>
              <w:spacing w:before="240" w:after="120"/>
              <w:rPr>
                <w:sz w:val="22"/>
                <w:szCs w:val="22"/>
              </w:rPr>
            </w:pPr>
            <w:r w:rsidRPr="00992343">
              <w:rPr>
                <w:sz w:val="22"/>
                <w:szCs w:val="22"/>
              </w:rPr>
              <w:t>MSAC’s advice to the Commonwealth Minister for Health, Disability and Ageing</w:t>
            </w:r>
          </w:p>
          <w:p w14:paraId="22765708" w14:textId="18AB25BB" w:rsidR="0018750D" w:rsidRPr="00F91D6E" w:rsidRDefault="00430832" w:rsidP="002729CB">
            <w:pPr>
              <w:spacing w:after="120"/>
            </w:pPr>
            <w:r w:rsidRPr="00430832">
              <w:t xml:space="preserve">MSAC did not support listing </w:t>
            </w:r>
            <w:r w:rsidR="00AD05DB">
              <w:t>VCTE</w:t>
            </w:r>
            <w:r w:rsidRPr="00430832">
              <w:t xml:space="preserve"> to detect advanced </w:t>
            </w:r>
            <w:r w:rsidR="00282DF8">
              <w:t xml:space="preserve">liver </w:t>
            </w:r>
            <w:r w:rsidRPr="00430832">
              <w:t xml:space="preserve">fibrosis in people with MAFLD on the MBS. The clinical evidence </w:t>
            </w:r>
            <w:r w:rsidR="0014755D">
              <w:t xml:space="preserve">  </w:t>
            </w:r>
            <w:r w:rsidRPr="00430832">
              <w:t xml:space="preserve">did not </w:t>
            </w:r>
            <w:r w:rsidR="00B75C13">
              <w:t xml:space="preserve">show that </w:t>
            </w:r>
            <w:r w:rsidR="00AD05DB">
              <w:t>VCTE</w:t>
            </w:r>
            <w:r w:rsidR="00DC329C">
              <w:t xml:space="preserve"> </w:t>
            </w:r>
            <w:r w:rsidR="005139D3">
              <w:t>improve</w:t>
            </w:r>
            <w:r w:rsidR="006D7F29">
              <w:t>s</w:t>
            </w:r>
            <w:r w:rsidR="005139D3">
              <w:t xml:space="preserve"> the medical treatment of peopl</w:t>
            </w:r>
            <w:r w:rsidR="0057113A">
              <w:t>e with MAF</w:t>
            </w:r>
            <w:r w:rsidR="00682583">
              <w:t>LD</w:t>
            </w:r>
            <w:r w:rsidR="00981DE3">
              <w:t>,</w:t>
            </w:r>
            <w:r w:rsidR="0057113A">
              <w:t xml:space="preserve"> nor </w:t>
            </w:r>
            <w:r w:rsidRPr="00430832">
              <w:t xml:space="preserve">that it would </w:t>
            </w:r>
            <w:r w:rsidR="0057113A">
              <w:t>improve their</w:t>
            </w:r>
            <w:r w:rsidR="006D79F9">
              <w:t xml:space="preserve"> health</w:t>
            </w:r>
            <w:r w:rsidR="0057113A">
              <w:t>.</w:t>
            </w:r>
            <w:r w:rsidRPr="00430832">
              <w:t xml:space="preserve"> MSAC was concerned that there may be harms that were not addressed in the application. MSAC could not determine if the test was good value for money.</w:t>
            </w:r>
          </w:p>
        </w:tc>
      </w:tr>
    </w:tbl>
    <w:bookmarkEnd w:id="6"/>
    <w:bookmarkEnd w:id="8"/>
    <w:bookmarkEnd w:id="9"/>
    <w:p w14:paraId="381A8BE5" w14:textId="49B0DD8A" w:rsidR="0018750D" w:rsidRPr="00D155C0" w:rsidRDefault="0018750D" w:rsidP="008F33E8">
      <w:pPr>
        <w:pStyle w:val="Heading2"/>
        <w:numPr>
          <w:ilvl w:val="0"/>
          <w:numId w:val="0"/>
        </w:numPr>
      </w:pPr>
      <w:r>
        <w:lastRenderedPageBreak/>
        <w:t>3.</w:t>
      </w:r>
      <w:r>
        <w:tab/>
      </w:r>
      <w:bookmarkStart w:id="10" w:name="_Hlk213745013"/>
      <w:r w:rsidRPr="003A793E">
        <w:t>Summary of consideration and rationale for MSAC’s advice</w:t>
      </w:r>
      <w:bookmarkEnd w:id="10"/>
    </w:p>
    <w:p w14:paraId="6E6187E9" w14:textId="35340678" w:rsidR="00F4287E" w:rsidRPr="00F4287E" w:rsidRDefault="00F4287E" w:rsidP="00F4287E">
      <w:r w:rsidRPr="00F4287E">
        <w:t xml:space="preserve">MSAC noted that this application from Medical Technologies Australia Pty Ltd was for the MBS listing of Vibration-Controlled Transient Elastography </w:t>
      </w:r>
      <w:r w:rsidR="00330590">
        <w:t>(</w:t>
      </w:r>
      <w:r w:rsidRPr="00F4287E">
        <w:t>VCTE™/</w:t>
      </w:r>
      <w:r w:rsidR="00192B67">
        <w:t>FibroScan</w:t>
      </w:r>
      <w:r w:rsidR="00461A7B">
        <w:t>®</w:t>
      </w:r>
      <w:r w:rsidR="00330590">
        <w:t>)</w:t>
      </w:r>
      <w:r w:rsidRPr="00F4287E">
        <w:t xml:space="preserve"> to detect advanced fibrosis in people with metabolic-associated fatty liver disease (MAFLD), stratified by a previous fibrosis</w:t>
      </w:r>
      <w:r w:rsidR="00E903EF">
        <w:t xml:space="preserve">-4 </w:t>
      </w:r>
      <w:r w:rsidR="00E903EF" w:rsidRPr="00F4287E">
        <w:t>(FIB-4)</w:t>
      </w:r>
      <w:r w:rsidRPr="00F4287E">
        <w:t xml:space="preserve"> index score &gt;1.3.</w:t>
      </w:r>
    </w:p>
    <w:p w14:paraId="2EA7E67D" w14:textId="77777777" w:rsidR="00F4287E" w:rsidRPr="00F4287E" w:rsidRDefault="00F4287E" w:rsidP="00F4287E">
      <w:r w:rsidRPr="00F4287E">
        <w:t>This was the first time that MSAC considered this application; however, MSAC recalled 2 similar previous applications:</w:t>
      </w:r>
    </w:p>
    <w:p w14:paraId="7A42122A" w14:textId="4AB81BF8" w:rsidR="00F4287E" w:rsidRPr="00F4287E" w:rsidRDefault="00F4287E" w:rsidP="00F81C40">
      <w:pPr>
        <w:pStyle w:val="ListParagraph"/>
        <w:numPr>
          <w:ilvl w:val="0"/>
          <w:numId w:val="43"/>
        </w:numPr>
      </w:pPr>
      <w:hyperlink r:id="rId12">
        <w:r w:rsidRPr="2DF72336">
          <w:rPr>
            <w:rStyle w:val="Hyperlink"/>
          </w:rPr>
          <w:t>Application 1366</w:t>
        </w:r>
      </w:hyperlink>
      <w:r>
        <w:t xml:space="preserve"> (2016; Transient Elastography at 50Hz for the diagnosis of Liver Fibrosis in patients with confirmed Hepatitis B or confirmed Hepatitis C). MSAC did not support this application </w:t>
      </w:r>
      <w:r w:rsidR="00AF2448">
        <w:t>because the</w:t>
      </w:r>
      <w:r w:rsidR="00342786">
        <w:t>re was no compelling</w:t>
      </w:r>
      <w:r w:rsidR="00AF2448">
        <w:t xml:space="preserve"> evidence that it improves patient outcomes by changing treatment decisions for either </w:t>
      </w:r>
      <w:r w:rsidR="009A0AF7">
        <w:t>H</w:t>
      </w:r>
      <w:r w:rsidR="00B1110E">
        <w:t xml:space="preserve">epatitis B </w:t>
      </w:r>
      <w:r w:rsidR="00AF2448">
        <w:t xml:space="preserve">or </w:t>
      </w:r>
      <w:r w:rsidR="009A0AF7">
        <w:t>Hepatitis</w:t>
      </w:r>
      <w:r w:rsidR="00AF2448">
        <w:t xml:space="preserve"> C</w:t>
      </w:r>
      <w:r>
        <w:t>.</w:t>
      </w:r>
    </w:p>
    <w:p w14:paraId="53BFBD68" w14:textId="307B28D3" w:rsidR="00F4287E" w:rsidRPr="00F4287E" w:rsidRDefault="00F4287E" w:rsidP="00F81C40">
      <w:pPr>
        <w:pStyle w:val="ListParagraph"/>
        <w:numPr>
          <w:ilvl w:val="0"/>
          <w:numId w:val="43"/>
        </w:numPr>
      </w:pPr>
      <w:hyperlink r:id="rId13" w:history="1">
        <w:r w:rsidRPr="00F4287E">
          <w:rPr>
            <w:rStyle w:val="Hyperlink"/>
          </w:rPr>
          <w:t>Application 1446</w:t>
        </w:r>
      </w:hyperlink>
      <w:r w:rsidRPr="00F4287E">
        <w:t xml:space="preserve"> (2020; Hepascore test to diagnose and monitor liver fibrosis severity in chronic liver disease). MSAC did not support this application </w:t>
      </w:r>
      <w:r w:rsidR="00471210">
        <w:t xml:space="preserve">mainly </w:t>
      </w:r>
      <w:r w:rsidRPr="00F4287E">
        <w:t xml:space="preserve">because </w:t>
      </w:r>
      <w:r w:rsidR="00471210">
        <w:t xml:space="preserve">MSAC considered Hepascore had limited clinical utility over existing tests and is unlikely to improve clinical management or health outcomes for patients with chronic hepatitis B or C. </w:t>
      </w:r>
      <w:r w:rsidRPr="00F4287E">
        <w:t xml:space="preserve"> </w:t>
      </w:r>
    </w:p>
    <w:p w14:paraId="13C3DA84" w14:textId="62DF700A" w:rsidR="003F28D2" w:rsidRDefault="003F28D2" w:rsidP="00F4287E">
      <w:r w:rsidRPr="003F28D2">
        <w:t xml:space="preserve">MSAC noted and welcomed consumer input from </w:t>
      </w:r>
      <w:r>
        <w:t>7</w:t>
      </w:r>
      <w:r w:rsidRPr="003F28D2">
        <w:t xml:space="preserve"> organisations, </w:t>
      </w:r>
      <w:r>
        <w:t>3</w:t>
      </w:r>
      <w:r w:rsidRPr="003F28D2">
        <w:t xml:space="preserve"> </w:t>
      </w:r>
      <w:r w:rsidR="00423914">
        <w:t>consumers</w:t>
      </w:r>
      <w:r w:rsidRPr="003F28D2">
        <w:t xml:space="preserve"> and </w:t>
      </w:r>
      <w:r>
        <w:t>5</w:t>
      </w:r>
      <w:r w:rsidRPr="003F28D2">
        <w:t xml:space="preserve"> health professionals</w:t>
      </w:r>
      <w:r w:rsidR="00834D57">
        <w:t>, which</w:t>
      </w:r>
      <w:r w:rsidR="003A75F5">
        <w:t xml:space="preserve"> </w:t>
      </w:r>
      <w:r w:rsidR="003A75F5" w:rsidRPr="00594A0F">
        <w:rPr>
          <w:rFonts w:eastAsia="Franklin Gothic Book" w:cs="Franklin Gothic Book"/>
        </w:rPr>
        <w:t xml:space="preserve">was mostly supportive of public funding for </w:t>
      </w:r>
      <w:r w:rsidR="00AD05DB">
        <w:rPr>
          <w:rFonts w:eastAsia="Franklin Gothic Book" w:cs="Franklin Gothic Book"/>
        </w:rPr>
        <w:t>VCTE</w:t>
      </w:r>
      <w:r w:rsidR="003A75F5" w:rsidRPr="00594A0F">
        <w:rPr>
          <w:rFonts w:eastAsia="Franklin Gothic Book" w:cs="Franklin Gothic Book"/>
        </w:rPr>
        <w:t xml:space="preserve"> for identifying advanced fibrosis in patients with MAFLD</w:t>
      </w:r>
      <w:r w:rsidR="003A75F5">
        <w:rPr>
          <w:rFonts w:eastAsia="Franklin Gothic Book" w:cs="Franklin Gothic Book"/>
        </w:rPr>
        <w:t xml:space="preserve">, </w:t>
      </w:r>
      <w:r w:rsidR="003A75F5" w:rsidRPr="53A85835">
        <w:rPr>
          <w:rFonts w:eastAsia="Franklin Gothic Book" w:cs="Franklin Gothic Book"/>
        </w:rPr>
        <w:t xml:space="preserve">although some feedback </w:t>
      </w:r>
      <w:r w:rsidR="003A75F5">
        <w:rPr>
          <w:rFonts w:eastAsia="Franklin Gothic Book" w:cs="Franklin Gothic Book"/>
        </w:rPr>
        <w:t>did not support the application in its current form</w:t>
      </w:r>
      <w:r w:rsidRPr="003F28D2">
        <w:t>.</w:t>
      </w:r>
    </w:p>
    <w:p w14:paraId="7DD22B33" w14:textId="11A2C987" w:rsidR="00F4287E" w:rsidRPr="00F4287E" w:rsidRDefault="00F4287E" w:rsidP="00F4287E">
      <w:r w:rsidRPr="00F4287E">
        <w:t xml:space="preserve">MSAC noted that </w:t>
      </w:r>
      <w:r w:rsidR="00AD05DB">
        <w:t>VCTE</w:t>
      </w:r>
      <w:r w:rsidRPr="00F4287E">
        <w:t xml:space="preserve"> is an ultrasound-based technology that uses soundwaves to </w:t>
      </w:r>
      <w:r w:rsidR="0059471C">
        <w:t>measure</w:t>
      </w:r>
      <w:r w:rsidR="0059471C" w:rsidRPr="00F4287E">
        <w:t xml:space="preserve"> </w:t>
      </w:r>
      <w:r w:rsidRPr="00F4287E">
        <w:t xml:space="preserve">stiffness in the liver. It is safe, non-invasive and can be delivered by a technician. </w:t>
      </w:r>
      <w:r w:rsidR="00AD05DB">
        <w:t>VCTE</w:t>
      </w:r>
      <w:r w:rsidRPr="00F4287E">
        <w:t xml:space="preserve"> generates a single </w:t>
      </w:r>
      <w:r w:rsidR="00C41C92">
        <w:t xml:space="preserve">numerical </w:t>
      </w:r>
      <w:r w:rsidR="007AF5F4">
        <w:t>measurement</w:t>
      </w:r>
      <w:r w:rsidR="00472E84">
        <w:t xml:space="preserve"> called a liver stiffness measurement (LSM)</w:t>
      </w:r>
      <w:r w:rsidRPr="00F4287E">
        <w:t xml:space="preserve">, which is </w:t>
      </w:r>
      <w:r w:rsidR="002A2915">
        <w:t xml:space="preserve">then </w:t>
      </w:r>
      <w:r w:rsidR="00F9139C">
        <w:t>assessed</w:t>
      </w:r>
      <w:r w:rsidR="00F9139C" w:rsidRPr="00F4287E">
        <w:t xml:space="preserve"> </w:t>
      </w:r>
      <w:r w:rsidRPr="00F4287E">
        <w:t xml:space="preserve">against </w:t>
      </w:r>
      <w:r w:rsidR="00831FAC">
        <w:t xml:space="preserve">LSM </w:t>
      </w:r>
      <w:r w:rsidRPr="00F4287E">
        <w:t xml:space="preserve">thresholds </w:t>
      </w:r>
      <w:r w:rsidR="41F0C5CA">
        <w:t>to</w:t>
      </w:r>
      <w:r w:rsidR="00F9139C">
        <w:t xml:space="preserve"> either </w:t>
      </w:r>
      <w:r w:rsidRPr="00F4287E">
        <w:t>‘rule</w:t>
      </w:r>
      <w:r w:rsidR="0045179F">
        <w:t>-</w:t>
      </w:r>
      <w:r w:rsidRPr="00F4287E">
        <w:t>in’ or ‘rule</w:t>
      </w:r>
      <w:r w:rsidR="002D76EF">
        <w:t>-</w:t>
      </w:r>
      <w:r w:rsidRPr="00F4287E">
        <w:t xml:space="preserve">out’ </w:t>
      </w:r>
      <w:r w:rsidR="00083237">
        <w:t xml:space="preserve">whether a patient is at </w:t>
      </w:r>
      <w:r w:rsidR="4939E88B">
        <w:t>high risk of</w:t>
      </w:r>
      <w:r>
        <w:t xml:space="preserve"> </w:t>
      </w:r>
      <w:r w:rsidRPr="00F4287E">
        <w:t xml:space="preserve">advanced fibrosis. This application </w:t>
      </w:r>
      <w:r w:rsidR="006A3BA5">
        <w:t>proposes</w:t>
      </w:r>
      <w:r w:rsidRPr="00F4287E">
        <w:t xml:space="preserve"> </w:t>
      </w:r>
      <w:r w:rsidR="4BB6A433">
        <w:t xml:space="preserve">that, </w:t>
      </w:r>
      <w:r w:rsidRPr="00F4287E">
        <w:t>for people in primary care who have a FIB-4 score &gt;1.3</w:t>
      </w:r>
      <w:r w:rsidR="00F3099B">
        <w:t>,</w:t>
      </w:r>
      <w:r w:rsidRPr="00F4287E">
        <w:t xml:space="preserve"> </w:t>
      </w:r>
      <w:r w:rsidR="00DA4426">
        <w:t xml:space="preserve">a </w:t>
      </w:r>
      <w:r w:rsidR="445DEBD5">
        <w:t>single</w:t>
      </w:r>
      <w:r w:rsidR="00F151D3">
        <w:t xml:space="preserve"> LSM </w:t>
      </w:r>
      <w:r w:rsidR="06F3F661">
        <w:t xml:space="preserve">(measured by </w:t>
      </w:r>
      <w:r w:rsidR="00AD05DB">
        <w:t>VCTE</w:t>
      </w:r>
      <w:r w:rsidR="06F3F661">
        <w:t>)</w:t>
      </w:r>
      <w:r w:rsidR="00F151D3">
        <w:t xml:space="preserve"> </w:t>
      </w:r>
      <w:r w:rsidRPr="00F4287E">
        <w:t xml:space="preserve">threshold </w:t>
      </w:r>
      <w:r w:rsidR="6EEFBFD0">
        <w:t>is used to both rule</w:t>
      </w:r>
      <w:r w:rsidR="00581B1B">
        <w:t>-</w:t>
      </w:r>
      <w:r w:rsidR="6EEFBFD0">
        <w:t>in and rule</w:t>
      </w:r>
      <w:r w:rsidR="00581B1B">
        <w:t>-</w:t>
      </w:r>
      <w:r w:rsidR="6EEFBFD0">
        <w:t xml:space="preserve">out </w:t>
      </w:r>
      <w:r w:rsidR="00E56D78">
        <w:t>referral to</w:t>
      </w:r>
      <w:r w:rsidR="00740B67">
        <w:t xml:space="preserve"> </w:t>
      </w:r>
      <w:r w:rsidR="002936DB">
        <w:t xml:space="preserve">a specialist </w:t>
      </w:r>
      <w:r w:rsidR="00305122">
        <w:t xml:space="preserve">on the basis of </w:t>
      </w:r>
      <w:r w:rsidR="6EEFBFD0">
        <w:t xml:space="preserve">risk of advanced fibrosis. </w:t>
      </w:r>
      <w:r w:rsidRPr="00F4287E">
        <w:t xml:space="preserve">If the </w:t>
      </w:r>
      <w:r w:rsidR="00EC4B34">
        <w:t>LSM</w:t>
      </w:r>
      <w:r w:rsidRPr="00F4287E">
        <w:t xml:space="preserve"> is &lt;8 </w:t>
      </w:r>
      <w:r>
        <w:t>k</w:t>
      </w:r>
      <w:r w:rsidR="4A317070">
        <w:t>P</w:t>
      </w:r>
      <w:r>
        <w:t>a</w:t>
      </w:r>
      <w:r w:rsidRPr="00F4287E">
        <w:t xml:space="preserve">, the patient </w:t>
      </w:r>
      <w:r w:rsidR="76E6532B">
        <w:t>is categorised as low risk, and</w:t>
      </w:r>
      <w:r>
        <w:t xml:space="preserve"> </w:t>
      </w:r>
      <w:r w:rsidRPr="00F4287E">
        <w:t xml:space="preserve">would remain in primary care. If </w:t>
      </w:r>
      <w:r w:rsidR="24AB68B3">
        <w:t xml:space="preserve">the LSM is </w:t>
      </w:r>
      <w:r w:rsidR="0FADB368">
        <w:t>≥</w:t>
      </w:r>
      <w:r w:rsidRPr="00F4287E">
        <w:t xml:space="preserve">8 kPa, the patient </w:t>
      </w:r>
      <w:r w:rsidR="5B1F0F2B">
        <w:t>is considered high risk and</w:t>
      </w:r>
      <w:r>
        <w:t xml:space="preserve"> </w:t>
      </w:r>
      <w:r w:rsidRPr="00F4287E">
        <w:t>would be referred to a specialist</w:t>
      </w:r>
      <w:r w:rsidR="00083237">
        <w:t xml:space="preserve"> for further management</w:t>
      </w:r>
      <w:r w:rsidRPr="00F4287E">
        <w:t>.</w:t>
      </w:r>
    </w:p>
    <w:p w14:paraId="52BC80EA" w14:textId="58358043" w:rsidR="00B23815" w:rsidRPr="00F4287E" w:rsidRDefault="00B23815" w:rsidP="00F4287E">
      <w:r>
        <w:t xml:space="preserve">MSAC noted that </w:t>
      </w:r>
      <w:r w:rsidR="00AD05DB">
        <w:t>VCTE</w:t>
      </w:r>
      <w:r>
        <w:t xml:space="preserve"> </w:t>
      </w:r>
      <w:r w:rsidR="00F10ECA">
        <w:t>may be</w:t>
      </w:r>
      <w:r>
        <w:t xml:space="preserve"> performed in the clinic, rather than </w:t>
      </w:r>
      <w:r w:rsidR="005E09D9">
        <w:t xml:space="preserve">patients </w:t>
      </w:r>
      <w:r>
        <w:t xml:space="preserve">being referred to an imaging provider, although noted that the number of machines in primary care is currently very </w:t>
      </w:r>
      <w:r>
        <w:lastRenderedPageBreak/>
        <w:t>small</w:t>
      </w:r>
      <w:r w:rsidR="001B4A6D">
        <w:t>, across both GP clinics and community-based health centres</w:t>
      </w:r>
      <w:r>
        <w:t xml:space="preserve">. </w:t>
      </w:r>
      <w:r w:rsidR="00A73EBF">
        <w:t xml:space="preserve">MSAC also considered that because the machine is costly, GP practices are unlikely to purchase the machine, meaning that access in primary care would </w:t>
      </w:r>
      <w:r w:rsidR="00595B16">
        <w:t xml:space="preserve">remain </w:t>
      </w:r>
      <w:r w:rsidR="00A73EBF">
        <w:t>limited.</w:t>
      </w:r>
    </w:p>
    <w:p w14:paraId="02D03D5D" w14:textId="2B63AA45" w:rsidR="00F4287E" w:rsidRPr="00F4287E" w:rsidRDefault="00F4287E" w:rsidP="00F4287E">
      <w:r w:rsidRPr="00F4287E">
        <w:t xml:space="preserve">MSAC noted the </w:t>
      </w:r>
      <w:r w:rsidR="0EBFD3B6">
        <w:t>application initially proposed 2 PICO sets</w:t>
      </w:r>
      <w:r w:rsidRPr="00F4287E">
        <w:t xml:space="preserve"> (population 1 for </w:t>
      </w:r>
      <w:r w:rsidR="00AD05DB">
        <w:t>VCTE</w:t>
      </w:r>
      <w:r w:rsidRPr="00F4287E">
        <w:t xml:space="preserve"> in primary care and population 2 for </w:t>
      </w:r>
      <w:r w:rsidR="00AD05DB">
        <w:t>VCTE</w:t>
      </w:r>
      <w:r w:rsidRPr="00F4287E">
        <w:t xml:space="preserve"> in specialist care</w:t>
      </w:r>
      <w:r>
        <w:t>)</w:t>
      </w:r>
      <w:r w:rsidR="744CF955">
        <w:t xml:space="preserve">, and that </w:t>
      </w:r>
      <w:r w:rsidR="6FCA1FA9">
        <w:t>t</w:t>
      </w:r>
      <w:r>
        <w:t xml:space="preserve">he </w:t>
      </w:r>
      <w:r w:rsidR="01BAAA66">
        <w:t>proposed</w:t>
      </w:r>
      <w:r w:rsidRPr="00F4287E">
        <w:t xml:space="preserve"> outcomes related to change in management were:</w:t>
      </w:r>
    </w:p>
    <w:p w14:paraId="09CED9C0" w14:textId="77777777" w:rsidR="00F4287E" w:rsidRPr="00F4287E" w:rsidRDefault="00F4287E" w:rsidP="00F81C40">
      <w:pPr>
        <w:pStyle w:val="ListParagraph"/>
        <w:numPr>
          <w:ilvl w:val="0"/>
          <w:numId w:val="42"/>
        </w:numPr>
      </w:pPr>
      <w:r w:rsidRPr="00F4287E">
        <w:t xml:space="preserve">time to test and accessibility </w:t>
      </w:r>
    </w:p>
    <w:p w14:paraId="5F8460BC" w14:textId="77777777" w:rsidR="00F4287E" w:rsidRPr="00F4287E" w:rsidRDefault="00F4287E" w:rsidP="00F81C40">
      <w:pPr>
        <w:pStyle w:val="ListParagraph"/>
        <w:numPr>
          <w:ilvl w:val="0"/>
          <w:numId w:val="42"/>
        </w:numPr>
      </w:pPr>
      <w:r w:rsidRPr="00F4287E">
        <w:t>equity of access and patient adherence</w:t>
      </w:r>
    </w:p>
    <w:p w14:paraId="747FEFCA" w14:textId="77777777" w:rsidR="00F4287E" w:rsidRPr="00F4287E" w:rsidRDefault="00F4287E" w:rsidP="00F81C40">
      <w:pPr>
        <w:pStyle w:val="ListParagraph"/>
        <w:numPr>
          <w:ilvl w:val="0"/>
          <w:numId w:val="42"/>
        </w:numPr>
      </w:pPr>
      <w:r w:rsidRPr="00F4287E">
        <w:t>reduced referrals to a specialist for population 1</w:t>
      </w:r>
    </w:p>
    <w:p w14:paraId="6B1F11B0" w14:textId="77777777" w:rsidR="00F4287E" w:rsidRPr="00F4287E" w:rsidRDefault="00F4287E" w:rsidP="00F81C40">
      <w:pPr>
        <w:pStyle w:val="ListParagraph"/>
        <w:numPr>
          <w:ilvl w:val="0"/>
          <w:numId w:val="42"/>
        </w:numPr>
      </w:pPr>
      <w:r w:rsidRPr="00F4287E">
        <w:t>reduction in use of liver biopsy for population 2.</w:t>
      </w:r>
    </w:p>
    <w:p w14:paraId="6BF86A48" w14:textId="6F3D56AC" w:rsidR="00F4287E" w:rsidRPr="00F4287E" w:rsidRDefault="00F4287E" w:rsidP="00F4287E">
      <w:r w:rsidRPr="00F4287E">
        <w:t xml:space="preserve">MSAC noted PASC’s advice that </w:t>
      </w:r>
      <w:r w:rsidR="6B480988">
        <w:t>a single population including all patients with MAFLD and a FIB-4 score &gt; 1.3, regardless of the care pathway, would be appropriate</w:t>
      </w:r>
      <w:r w:rsidR="60715AD9">
        <w:t>, and</w:t>
      </w:r>
      <w:r w:rsidR="6B480988">
        <w:t xml:space="preserve"> that </w:t>
      </w:r>
      <w:r w:rsidRPr="00F4287E">
        <w:t>outcomes should include patient-related outcomes and the consequences of misclassification</w:t>
      </w:r>
      <w:r w:rsidR="00E1F7D4">
        <w:t xml:space="preserve">. MSAC noted that </w:t>
      </w:r>
      <w:r w:rsidRPr="00F4287E">
        <w:t xml:space="preserve">the applicant-developed assessment report (ADAR) did not </w:t>
      </w:r>
      <w:r w:rsidR="3FD0A9BE">
        <w:t>incorporate this advice, as it included 2 PICO sets (although with a single proposed MBS item for use in both populations), and did not address patient-related outcomes</w:t>
      </w:r>
      <w:r w:rsidR="5840074C">
        <w:t xml:space="preserve"> or misclassification</w:t>
      </w:r>
      <w:r>
        <w:t>.</w:t>
      </w:r>
    </w:p>
    <w:p w14:paraId="21F69024" w14:textId="5DE65251" w:rsidR="00F4287E" w:rsidRPr="00F4287E" w:rsidRDefault="00F4287E" w:rsidP="00F4287E">
      <w:r>
        <w:t xml:space="preserve">MSAC </w:t>
      </w:r>
      <w:r w:rsidR="5F2BBC7B">
        <w:t xml:space="preserve">noted that the pre-MSAC response </w:t>
      </w:r>
      <w:r w:rsidR="6DED3910">
        <w:t xml:space="preserve">justified </w:t>
      </w:r>
      <w:r w:rsidR="5F2BBC7B">
        <w:t xml:space="preserve">the use of abdominal ultrasound (US) as </w:t>
      </w:r>
      <w:r w:rsidR="6C2D56EC">
        <w:t xml:space="preserve">the </w:t>
      </w:r>
      <w:r w:rsidR="5F2BBC7B">
        <w:t xml:space="preserve">comparator, </w:t>
      </w:r>
      <w:r w:rsidR="10033949">
        <w:t>stating</w:t>
      </w:r>
      <w:r w:rsidR="10033949" w:rsidRPr="000567B1">
        <w:rPr>
          <w:rFonts w:asciiTheme="minorHAnsi" w:eastAsiaTheme="minorEastAsia" w:hAnsiTheme="minorHAnsi"/>
        </w:rPr>
        <w:t xml:space="preserve"> </w:t>
      </w:r>
      <w:r w:rsidR="10033949" w:rsidRPr="000567B1">
        <w:rPr>
          <w:rFonts w:eastAsiaTheme="minorEastAsia"/>
        </w:rPr>
        <w:t xml:space="preserve">that in the absence of </w:t>
      </w:r>
      <w:r w:rsidR="5FAAC408" w:rsidRPr="000567B1">
        <w:rPr>
          <w:rFonts w:eastAsiaTheme="minorEastAsia"/>
        </w:rPr>
        <w:t>an MBS-funded second-line non-invasive test, abdominal US is regularly used in practice by GPs for patients with suspected liver disease after an indeterminate FIB-4 result. However,</w:t>
      </w:r>
      <w:r w:rsidR="5FAAC408" w:rsidRPr="0D889F3C">
        <w:rPr>
          <w:rFonts w:asciiTheme="minorHAnsi" w:eastAsiaTheme="minorEastAsia" w:hAnsiTheme="minorHAnsi"/>
        </w:rPr>
        <w:t xml:space="preserve"> </w:t>
      </w:r>
      <w:r w:rsidR="5F2BBC7B" w:rsidRPr="000567B1">
        <w:rPr>
          <w:rFonts w:asciiTheme="minorHAnsi" w:eastAsiaTheme="minorEastAsia" w:hAnsiTheme="minorHAnsi"/>
        </w:rPr>
        <w:t>M</w:t>
      </w:r>
      <w:r w:rsidR="5F2BBC7B">
        <w:t xml:space="preserve">SAC </w:t>
      </w:r>
      <w:r w:rsidRPr="00F4287E">
        <w:t xml:space="preserve">agreed with ESC that US is </w:t>
      </w:r>
      <w:r w:rsidR="2ED3A95D">
        <w:t xml:space="preserve">not an </w:t>
      </w:r>
      <w:r w:rsidR="00CF6F21">
        <w:t>appropriate</w:t>
      </w:r>
      <w:r w:rsidRPr="00F4287E">
        <w:t xml:space="preserve"> comparator</w:t>
      </w:r>
      <w:r w:rsidR="55782785">
        <w:t xml:space="preserve"> for </w:t>
      </w:r>
      <w:r w:rsidR="00AD05DB">
        <w:t>VCTE</w:t>
      </w:r>
      <w:r w:rsidR="13115F03">
        <w:t xml:space="preserve">, noting that </w:t>
      </w:r>
      <w:r w:rsidRPr="00F4287E">
        <w:t xml:space="preserve">US does not assess liver fibrosis severity </w:t>
      </w:r>
      <w:r w:rsidR="00356D4C">
        <w:t xml:space="preserve">and </w:t>
      </w:r>
      <w:r w:rsidRPr="00F4287E">
        <w:t>is not MBS-supported</w:t>
      </w:r>
      <w:r w:rsidR="08EDF78A">
        <w:t xml:space="preserve"> for use as a liver fibrosis test</w:t>
      </w:r>
      <w:r>
        <w:t>.</w:t>
      </w:r>
      <w:r w:rsidRPr="00F4287E">
        <w:t xml:space="preserve"> </w:t>
      </w:r>
      <w:r w:rsidR="4027E036">
        <w:t>MSAC considered that the clinical place of</w:t>
      </w:r>
      <w:r>
        <w:t xml:space="preserve"> </w:t>
      </w:r>
      <w:r w:rsidR="00900295">
        <w:t xml:space="preserve">standard abdominal </w:t>
      </w:r>
      <w:r w:rsidRPr="00F4287E">
        <w:t xml:space="preserve">US </w:t>
      </w:r>
      <w:r w:rsidR="199F7374">
        <w:t>is</w:t>
      </w:r>
      <w:r w:rsidRPr="00F4287E">
        <w:t xml:space="preserve"> before FIB-4 </w:t>
      </w:r>
      <w:r w:rsidR="06B7D430">
        <w:t>scoring, not as a second-line test</w:t>
      </w:r>
      <w:r w:rsidR="004F473B">
        <w:t xml:space="preserve"> for liver fibrosis</w:t>
      </w:r>
      <w:r w:rsidRPr="00F4287E">
        <w:t>.</w:t>
      </w:r>
    </w:p>
    <w:p w14:paraId="0B046AA8" w14:textId="1730BB65" w:rsidR="00F4287E" w:rsidRPr="00F4287E" w:rsidRDefault="00F4287E" w:rsidP="00F4287E">
      <w:r w:rsidRPr="00F4287E">
        <w:t xml:space="preserve">MSAC noted the </w:t>
      </w:r>
      <w:r w:rsidR="1D958AEB">
        <w:t xml:space="preserve">proposed </w:t>
      </w:r>
      <w:r w:rsidRPr="00F4287E">
        <w:t xml:space="preserve">MBS </w:t>
      </w:r>
      <w:r w:rsidR="30901B6F">
        <w:t xml:space="preserve">item </w:t>
      </w:r>
      <w:r w:rsidRPr="00F4287E">
        <w:t>descriptor</w:t>
      </w:r>
      <w:r w:rsidR="003969AB">
        <w:t xml:space="preserve"> and</w:t>
      </w:r>
      <w:r w:rsidRPr="00F4287E">
        <w:t xml:space="preserve"> considered that it required clear wording regarding restrictions on </w:t>
      </w:r>
      <w:r w:rsidR="000B61DC">
        <w:t xml:space="preserve">scope and </w:t>
      </w:r>
      <w:r w:rsidRPr="00F4287E">
        <w:t xml:space="preserve">frequency, to which the applicant </w:t>
      </w:r>
      <w:r w:rsidR="00A9676E">
        <w:t xml:space="preserve">had </w:t>
      </w:r>
      <w:r w:rsidRPr="00F4287E">
        <w:t xml:space="preserve">agreed in the pre-MSAC response. MSAC also considered that there was a high chance of </w:t>
      </w:r>
      <w:r w:rsidR="1E727B71">
        <w:t xml:space="preserve">unintended use in </w:t>
      </w:r>
      <w:r w:rsidR="000F5B1F">
        <w:t xml:space="preserve">patients </w:t>
      </w:r>
      <w:r w:rsidR="00595135">
        <w:t xml:space="preserve">other than </w:t>
      </w:r>
      <w:r w:rsidR="000F5B1F">
        <w:t xml:space="preserve">those with </w:t>
      </w:r>
      <w:r w:rsidR="00595135">
        <w:t>MAFLD</w:t>
      </w:r>
      <w:r w:rsidRPr="00F4287E">
        <w:t xml:space="preserve">, particularly </w:t>
      </w:r>
      <w:r w:rsidR="0070662E">
        <w:t>in people</w:t>
      </w:r>
      <w:r w:rsidRPr="00F4287E">
        <w:t xml:space="preserve"> </w:t>
      </w:r>
      <w:r w:rsidR="002D4928">
        <w:t>with other liver disease</w:t>
      </w:r>
      <w:r w:rsidR="00345D20">
        <w:t>s</w:t>
      </w:r>
      <w:r w:rsidR="002D4928">
        <w:t xml:space="preserve"> tha</w:t>
      </w:r>
      <w:r w:rsidR="002B2857">
        <w:t>t</w:t>
      </w:r>
      <w:r w:rsidR="002D4928">
        <w:t xml:space="preserve"> can </w:t>
      </w:r>
      <w:r w:rsidR="00BF784F">
        <w:t xml:space="preserve">lead to cirrhosis, including </w:t>
      </w:r>
      <w:r w:rsidR="00C90184">
        <w:t xml:space="preserve">those </w:t>
      </w:r>
      <w:r w:rsidR="592AC278">
        <w:t xml:space="preserve">proposed in </w:t>
      </w:r>
      <w:r w:rsidRPr="00F4287E">
        <w:t xml:space="preserve">application 1366 </w:t>
      </w:r>
      <w:r w:rsidR="2F846873">
        <w:t xml:space="preserve">which </w:t>
      </w:r>
      <w:r w:rsidR="00EC593D">
        <w:t xml:space="preserve">MSAC </w:t>
      </w:r>
      <w:r w:rsidR="2F846873">
        <w:t xml:space="preserve">previously </w:t>
      </w:r>
      <w:r w:rsidR="00EC593D">
        <w:t xml:space="preserve">did </w:t>
      </w:r>
      <w:r w:rsidR="2F846873">
        <w:t>not support</w:t>
      </w:r>
      <w:r>
        <w:t>.</w:t>
      </w:r>
      <w:r w:rsidRPr="00F4287E">
        <w:t xml:space="preserve"> MSAC also considered that the proposed fee may be too high</w:t>
      </w:r>
      <w:r w:rsidR="00CB27A3">
        <w:t xml:space="preserve"> based on the </w:t>
      </w:r>
      <w:r w:rsidR="00145975">
        <w:t xml:space="preserve">short </w:t>
      </w:r>
      <w:r w:rsidR="00CB27A3">
        <w:t xml:space="preserve">time </w:t>
      </w:r>
      <w:r w:rsidR="00C37522">
        <w:t xml:space="preserve">required </w:t>
      </w:r>
      <w:r w:rsidR="005F150B">
        <w:t>for the procedure</w:t>
      </w:r>
      <w:r w:rsidR="00CB27A3">
        <w:t xml:space="preserve"> and </w:t>
      </w:r>
      <w:r w:rsidR="00FA7B36">
        <w:t xml:space="preserve">that </w:t>
      </w:r>
      <w:r w:rsidR="00D10AC5">
        <w:t xml:space="preserve">a </w:t>
      </w:r>
      <w:r w:rsidR="00A27ED7">
        <w:t>range of health professionals</w:t>
      </w:r>
      <w:r w:rsidR="003C0D15">
        <w:t xml:space="preserve"> can be trained to perform the scan</w:t>
      </w:r>
      <w:r w:rsidRPr="00F4287E">
        <w:t>.</w:t>
      </w:r>
    </w:p>
    <w:p w14:paraId="437C5DA3" w14:textId="54D2BDAB" w:rsidR="00F4287E" w:rsidRPr="00F4287E" w:rsidRDefault="00F4287E" w:rsidP="00F4287E">
      <w:r>
        <w:t>MSAC noted that the ADAR did not explicitly define the clinical claim, but referenced improvements to clinical outcomes</w:t>
      </w:r>
      <w:r w:rsidR="00C02016">
        <w:t>. The ADAR stated that</w:t>
      </w:r>
      <w:r>
        <w:t xml:space="preserve"> ‘use of VCTE by GPs and liver specialists leads to superior effectiveness, and superior in terms of efficient use of healthcare resources to diagnose advanced fibrosis in patients with MAFLD</w:t>
      </w:r>
      <w:r w:rsidR="68B48BB8">
        <w:t xml:space="preserve"> [</w:t>
      </w:r>
      <w:r w:rsidR="68B48BB8" w:rsidRPr="1300023C">
        <w:rPr>
          <w:i/>
          <w:iCs/>
        </w:rPr>
        <w:t>sic</w:t>
      </w:r>
      <w:r w:rsidR="68B48BB8">
        <w:t>]</w:t>
      </w:r>
      <w:r>
        <w:t xml:space="preserve">’. </w:t>
      </w:r>
    </w:p>
    <w:p w14:paraId="15210F4F" w14:textId="4014E65B" w:rsidR="00F4287E" w:rsidRPr="00F4287E" w:rsidRDefault="00F4287E" w:rsidP="00F4287E">
      <w:r w:rsidRPr="00F4287E">
        <w:t xml:space="preserve">The clinical evidence </w:t>
      </w:r>
      <w:r w:rsidR="6D65343E">
        <w:t>presented</w:t>
      </w:r>
      <w:r>
        <w:t xml:space="preserve"> </w:t>
      </w:r>
      <w:r w:rsidRPr="00F4287E">
        <w:t xml:space="preserve">was based on a linked </w:t>
      </w:r>
      <w:r w:rsidR="00C72BE2">
        <w:t xml:space="preserve">evidence </w:t>
      </w:r>
      <w:r w:rsidRPr="00F4287E">
        <w:t xml:space="preserve">approach. MSAC </w:t>
      </w:r>
      <w:r w:rsidR="00E01994">
        <w:t>noted there w</w:t>
      </w:r>
      <w:r w:rsidR="00EE2049">
        <w:t>ere</w:t>
      </w:r>
      <w:r w:rsidR="00E01994">
        <w:t xml:space="preserve"> n</w:t>
      </w:r>
      <w:r w:rsidR="00014809">
        <w:t>o data presented on safety</w:t>
      </w:r>
      <w:r w:rsidR="1D912853">
        <w:t>,</w:t>
      </w:r>
      <w:r w:rsidR="00014809">
        <w:t xml:space="preserve"> </w:t>
      </w:r>
      <w:r w:rsidR="001A00EA">
        <w:t>but</w:t>
      </w:r>
      <w:r w:rsidR="00014809">
        <w:t xml:space="preserve"> </w:t>
      </w:r>
      <w:r w:rsidRPr="00F4287E">
        <w:t xml:space="preserve">considered </w:t>
      </w:r>
      <w:r>
        <w:t xml:space="preserve">safety </w:t>
      </w:r>
      <w:r w:rsidRPr="00F4287E">
        <w:t>concerns related to the procedure itself</w:t>
      </w:r>
      <w:r w:rsidR="00555B51">
        <w:t xml:space="preserve"> were negligible</w:t>
      </w:r>
      <w:r w:rsidRPr="00F4287E">
        <w:t xml:space="preserve">. </w:t>
      </w:r>
      <w:r w:rsidR="001A00EA">
        <w:t>However</w:t>
      </w:r>
      <w:r w:rsidR="004E0D6B">
        <w:t>,</w:t>
      </w:r>
      <w:r w:rsidR="001A00EA">
        <w:t xml:space="preserve"> MSAC considered </w:t>
      </w:r>
      <w:r w:rsidR="004E0D6B">
        <w:t xml:space="preserve">that test related safety due to </w:t>
      </w:r>
      <w:r w:rsidR="00EA2D5D">
        <w:t xml:space="preserve">misclassification had not been </w:t>
      </w:r>
      <w:r w:rsidR="00BE25DD">
        <w:t>addressed,</w:t>
      </w:r>
      <w:r w:rsidR="00EA2D5D">
        <w:t xml:space="preserve"> and </w:t>
      </w:r>
      <w:r w:rsidR="004C5F1D">
        <w:t xml:space="preserve">the </w:t>
      </w:r>
      <w:r w:rsidR="00EA2D5D">
        <w:t>consequence</w:t>
      </w:r>
      <w:r w:rsidR="0002275D">
        <w:t xml:space="preserve">s of false positive and false negative </w:t>
      </w:r>
      <w:r w:rsidR="004C5F1D">
        <w:t>results</w:t>
      </w:r>
      <w:r w:rsidR="0002275D">
        <w:t xml:space="preserve"> </w:t>
      </w:r>
      <w:r w:rsidR="00E320C1">
        <w:t>were not</w:t>
      </w:r>
      <w:r w:rsidR="004C5F1D">
        <w:t xml:space="preserve"> explored in the ADAR</w:t>
      </w:r>
      <w:r w:rsidR="0002275D">
        <w:t xml:space="preserve">. </w:t>
      </w:r>
      <w:r w:rsidR="00344B6F">
        <w:t xml:space="preserve">MSAC noted from </w:t>
      </w:r>
      <w:r w:rsidR="00CB79A9">
        <w:t>the evidence</w:t>
      </w:r>
      <w:r w:rsidR="00EE1B29">
        <w:t xml:space="preserve"> presented</w:t>
      </w:r>
      <w:r w:rsidR="00CD7D8B">
        <w:t xml:space="preserve">, </w:t>
      </w:r>
      <w:r w:rsidR="00CD7D8B" w:rsidRPr="00CD7D8B">
        <w:t>which used a higher rule-in threshold than proposed in this application</w:t>
      </w:r>
      <w:r w:rsidR="00B84BE2">
        <w:t>,</w:t>
      </w:r>
      <w:r w:rsidR="00CB79A9">
        <w:t xml:space="preserve"> that </w:t>
      </w:r>
      <w:r w:rsidRPr="00F4287E">
        <w:t xml:space="preserve">misclassification rates were high – </w:t>
      </w:r>
      <w:r w:rsidR="00171668">
        <w:t>for instance</w:t>
      </w:r>
      <w:r w:rsidR="47F2C64E">
        <w:t>,</w:t>
      </w:r>
      <w:r w:rsidR="00171668">
        <w:t xml:space="preserve"> </w:t>
      </w:r>
      <w:r w:rsidR="0021096B">
        <w:t>the reported</w:t>
      </w:r>
      <w:r w:rsidR="00171668">
        <w:t xml:space="preserve"> sensitivity rate of 66% would imply </w:t>
      </w:r>
      <w:r w:rsidR="00FE371A">
        <w:t>that more than 30% of patients tested would be misclassified as negative</w:t>
      </w:r>
      <w:r w:rsidR="007B592F">
        <w:t>.</w:t>
      </w:r>
      <w:r w:rsidRPr="00F4287E">
        <w:t xml:space="preserve"> The pre-MSAC response argued that ‘in primary care, </w:t>
      </w:r>
      <w:r w:rsidR="00A81C04">
        <w:t>false positive</w:t>
      </w:r>
      <w:r w:rsidR="00A81C04" w:rsidRPr="00F4287E">
        <w:t xml:space="preserve">s </w:t>
      </w:r>
      <w:r w:rsidRPr="00F4287E">
        <w:t>lead only to specialist review and not to inappropriate treatment’. However, MSAC disagreed and considered that</w:t>
      </w:r>
      <w:r w:rsidR="00D7471A">
        <w:t xml:space="preserve"> patients receiving a</w:t>
      </w:r>
      <w:r w:rsidRPr="00F4287E">
        <w:t xml:space="preserve"> </w:t>
      </w:r>
      <w:r w:rsidR="00DB1BAC">
        <w:t>false positive</w:t>
      </w:r>
      <w:r w:rsidR="00D7471A">
        <w:t xml:space="preserve"> result</w:t>
      </w:r>
      <w:r w:rsidR="00075031">
        <w:t xml:space="preserve"> may</w:t>
      </w:r>
      <w:r w:rsidR="00DB1BAC">
        <w:t xml:space="preserve"> </w:t>
      </w:r>
      <w:r w:rsidR="0028046D">
        <w:t xml:space="preserve">be referred unnecessarily </w:t>
      </w:r>
      <w:r w:rsidR="00D7471A">
        <w:t>for</w:t>
      </w:r>
      <w:r w:rsidR="0028046D">
        <w:t xml:space="preserve"> specialist </w:t>
      </w:r>
      <w:r w:rsidR="00E92DE6">
        <w:t xml:space="preserve">review, </w:t>
      </w:r>
      <w:r w:rsidR="00BC004C">
        <w:t>with</w:t>
      </w:r>
      <w:r w:rsidR="00E92DE6">
        <w:t xml:space="preserve"> implications for cost and safety</w:t>
      </w:r>
      <w:r w:rsidRPr="00F4287E">
        <w:t xml:space="preserve">. </w:t>
      </w:r>
      <w:r w:rsidR="00472E17">
        <w:t>MSAC considered that t</w:t>
      </w:r>
      <w:r w:rsidRPr="00F4287E">
        <w:t>he</w:t>
      </w:r>
      <w:r w:rsidR="003A153D">
        <w:t xml:space="preserve"> </w:t>
      </w:r>
      <w:r w:rsidR="00A01B58">
        <w:t>impact of</w:t>
      </w:r>
      <w:r w:rsidRPr="00F4287E">
        <w:t xml:space="preserve"> misclassification </w:t>
      </w:r>
      <w:r w:rsidR="0F3898A2">
        <w:t>should</w:t>
      </w:r>
      <w:r>
        <w:t xml:space="preserve"> </w:t>
      </w:r>
      <w:r w:rsidR="0040504C">
        <w:t xml:space="preserve">have </w:t>
      </w:r>
      <w:r>
        <w:t>be</w:t>
      </w:r>
      <w:r w:rsidR="0040504C">
        <w:t>en</w:t>
      </w:r>
      <w:r w:rsidRPr="00F4287E">
        <w:t xml:space="preserve"> further explored</w:t>
      </w:r>
      <w:r w:rsidR="003A153D">
        <w:t xml:space="preserve"> in the ADAR</w:t>
      </w:r>
      <w:r w:rsidRPr="00F4287E">
        <w:t>.</w:t>
      </w:r>
    </w:p>
    <w:p w14:paraId="3054FC0D" w14:textId="17D0D6E4" w:rsidR="00F4287E" w:rsidRPr="00F4287E" w:rsidRDefault="00F4287E" w:rsidP="00F4287E">
      <w:r w:rsidRPr="00F4287E">
        <w:lastRenderedPageBreak/>
        <w:t xml:space="preserve">Regarding clinical effectiveness, </w:t>
      </w:r>
      <w:r w:rsidR="00482EC4">
        <w:t xml:space="preserve">MSAC noted that while linked evidence was provided regarding </w:t>
      </w:r>
      <w:r w:rsidRPr="00F4287E">
        <w:t xml:space="preserve">diagnostic and prognostic accuracy there were several issues with </w:t>
      </w:r>
      <w:r w:rsidR="008651F8">
        <w:t>this evidence</w:t>
      </w:r>
      <w:r w:rsidRPr="00F4287E">
        <w:t>.</w:t>
      </w:r>
    </w:p>
    <w:p w14:paraId="47565AF6" w14:textId="1C7DBD57" w:rsidR="00F4287E" w:rsidRPr="00F4287E" w:rsidRDefault="00F901C9" w:rsidP="00F4287E">
      <w:r>
        <w:t>In particular</w:t>
      </w:r>
      <w:r w:rsidR="3CE8ED6F">
        <w:t>,</w:t>
      </w:r>
      <w:r>
        <w:t xml:space="preserve"> MSAC noted that the e</w:t>
      </w:r>
      <w:r w:rsidR="00CD4FD5">
        <w:t xml:space="preserve">vidence for </w:t>
      </w:r>
      <w:r w:rsidR="000270EF">
        <w:t>diagnostic</w:t>
      </w:r>
      <w:r w:rsidR="00CD4FD5">
        <w:t xml:space="preserve"> accuracy </w:t>
      </w:r>
      <w:r w:rsidR="00F4287E" w:rsidRPr="00F4287E">
        <w:t xml:space="preserve">used a tertiary population with </w:t>
      </w:r>
      <w:r w:rsidR="00AD05DB">
        <w:t>VCTE</w:t>
      </w:r>
      <w:r w:rsidR="00F4287E" w:rsidRPr="00F4287E">
        <w:t xml:space="preserve"> thresholds</w:t>
      </w:r>
      <w:r w:rsidR="0056158B">
        <w:t xml:space="preserve"> different to </w:t>
      </w:r>
      <w:r w:rsidR="00C96CAE">
        <w:t>the ADAR’s proposed threshold</w:t>
      </w:r>
      <w:r w:rsidR="00F4287E" w:rsidRPr="00F4287E">
        <w:t>, making applicability to the</w:t>
      </w:r>
      <w:r w:rsidR="00064598">
        <w:t xml:space="preserve"> primary care population</w:t>
      </w:r>
      <w:r w:rsidR="00F4287E" w:rsidRPr="00F4287E">
        <w:t xml:space="preserve"> </w:t>
      </w:r>
      <w:r w:rsidR="00E545E6">
        <w:t xml:space="preserve">considered </w:t>
      </w:r>
      <w:r w:rsidR="0D454934">
        <w:t xml:space="preserve">in this application </w:t>
      </w:r>
      <w:r w:rsidR="00F4287E">
        <w:t>unclear.</w:t>
      </w:r>
      <w:r w:rsidR="00F4287E" w:rsidRPr="00F4287E">
        <w:t xml:space="preserve"> MSAC </w:t>
      </w:r>
      <w:r w:rsidR="0045205C">
        <w:t>also</w:t>
      </w:r>
      <w:r w:rsidR="00F4287E" w:rsidRPr="00F4287E">
        <w:t xml:space="preserve"> considered that the issue of predictive values </w:t>
      </w:r>
      <w:r w:rsidR="01D3390A">
        <w:t>wa</w:t>
      </w:r>
      <w:r w:rsidR="00F4287E" w:rsidRPr="00F4287E">
        <w:t xml:space="preserve">s not adequately addressed </w:t>
      </w:r>
      <w:r w:rsidR="002B2B24">
        <w:t>in the pre-MSAC response</w:t>
      </w:r>
      <w:r w:rsidR="00E65A22">
        <w:t>.</w:t>
      </w:r>
      <w:r w:rsidR="00202908">
        <w:t xml:space="preserve"> </w:t>
      </w:r>
      <w:r w:rsidR="00E65A22">
        <w:t xml:space="preserve">MSAC noted that </w:t>
      </w:r>
      <w:r w:rsidR="00202908">
        <w:t xml:space="preserve">the data </w:t>
      </w:r>
      <w:r w:rsidR="003265A9">
        <w:t>informing predictive values was based on a</w:t>
      </w:r>
      <w:r w:rsidR="00F4287E" w:rsidRPr="00F4287E">
        <w:t xml:space="preserve"> tertiary population</w:t>
      </w:r>
      <w:r w:rsidR="00FC0DC4">
        <w:t xml:space="preserve"> which </w:t>
      </w:r>
      <w:r w:rsidR="002B2B24">
        <w:t>would have</w:t>
      </w:r>
      <w:r w:rsidR="00FC0DC4">
        <w:t xml:space="preserve"> a different </w:t>
      </w:r>
      <w:r w:rsidR="003064D2">
        <w:t xml:space="preserve">(likely higher) </w:t>
      </w:r>
      <w:r w:rsidR="00FC0DC4">
        <w:t xml:space="preserve">prevalence of </w:t>
      </w:r>
      <w:r w:rsidR="002B2B24">
        <w:t>liver fibrosis compared to a primary care population</w:t>
      </w:r>
      <w:r w:rsidR="00E65A22">
        <w:t xml:space="preserve">, and therefore the predictive values quoted in the ADAR were </w:t>
      </w:r>
      <w:r w:rsidR="001D3975">
        <w:t>unlikely to be</w:t>
      </w:r>
      <w:r w:rsidR="00E65A22">
        <w:t xml:space="preserve"> applicable to </w:t>
      </w:r>
      <w:r w:rsidR="00916F30">
        <w:t>the</w:t>
      </w:r>
      <w:r w:rsidR="00E65A22">
        <w:t xml:space="preserve"> primary care </w:t>
      </w:r>
      <w:r w:rsidR="00916F30">
        <w:t xml:space="preserve">setting </w:t>
      </w:r>
      <w:r w:rsidR="00AA7174">
        <w:t>(due to the impact of prevalence on predictive values)</w:t>
      </w:r>
      <w:r w:rsidR="00F4287E" w:rsidRPr="00F4287E">
        <w:t>.</w:t>
      </w:r>
    </w:p>
    <w:p w14:paraId="56EC59D8" w14:textId="5B52701D" w:rsidR="00F4287E" w:rsidRPr="00F4287E" w:rsidRDefault="00E40176" w:rsidP="00F4287E">
      <w:r>
        <w:t>MSAC noted that t</w:t>
      </w:r>
      <w:r w:rsidR="00F4287E" w:rsidRPr="00F4287E">
        <w:t xml:space="preserve">here was no evidence </w:t>
      </w:r>
      <w:r>
        <w:t xml:space="preserve">presented in the ADAR </w:t>
      </w:r>
      <w:r w:rsidR="00F4287E" w:rsidRPr="00F4287E">
        <w:t>to support change</w:t>
      </w:r>
      <w:r>
        <w:t>s</w:t>
      </w:r>
      <w:r w:rsidR="00F4287E" w:rsidRPr="00F4287E">
        <w:t xml:space="preserve"> in treatment decisions or clinical outcomes. MSAC </w:t>
      </w:r>
      <w:r>
        <w:t>considered</w:t>
      </w:r>
      <w:r w:rsidRPr="00F4287E">
        <w:t xml:space="preserve"> </w:t>
      </w:r>
      <w:r w:rsidR="00F4287E" w:rsidRPr="00F4287E">
        <w:t>that</w:t>
      </w:r>
      <w:r>
        <w:t xml:space="preserve"> for investigative technologies</w:t>
      </w:r>
      <w:r w:rsidR="00F4287E" w:rsidRPr="00F4287E">
        <w:t xml:space="preserve"> it is the subsequent choice of clinical management that generates health outcomes, not the test </w:t>
      </w:r>
      <w:r>
        <w:t>results</w:t>
      </w:r>
      <w:r w:rsidR="00F4287E" w:rsidRPr="00F4287E">
        <w:t xml:space="preserve"> themselves, as implied in the ADAR.</w:t>
      </w:r>
    </w:p>
    <w:p w14:paraId="443FA270" w14:textId="278B86FE" w:rsidR="00F4287E" w:rsidRPr="00F4287E" w:rsidRDefault="00F4287E" w:rsidP="00F4287E">
      <w:r>
        <w:t>MSAC noted that the single</w:t>
      </w:r>
      <w:r w:rsidR="15A618F0">
        <w:t xml:space="preserve"> LSM</w:t>
      </w:r>
      <w:r w:rsidR="00EB45A9">
        <w:t xml:space="preserve"> </w:t>
      </w:r>
      <w:r>
        <w:t>threshold of 8 k</w:t>
      </w:r>
      <w:r w:rsidR="217C672E">
        <w:t>P</w:t>
      </w:r>
      <w:r>
        <w:t>a was based on expert consensus guidelines, but was not supported by evidence in the literature</w:t>
      </w:r>
      <w:r w:rsidR="004B2A0C">
        <w:t>.</w:t>
      </w:r>
      <w:r w:rsidR="6D1B81F0">
        <w:t xml:space="preserve"> </w:t>
      </w:r>
      <w:r w:rsidR="004B2A0C">
        <w:t>The evidence</w:t>
      </w:r>
      <w:r w:rsidR="6D1B81F0">
        <w:t xml:space="preserve"> largely </w:t>
      </w:r>
      <w:r w:rsidR="00F2447F">
        <w:t xml:space="preserve">used </w:t>
      </w:r>
      <w:r w:rsidR="6D1B81F0">
        <w:t xml:space="preserve">2 separate rule-in and rule-out LSM thresholds, </w:t>
      </w:r>
      <w:r w:rsidR="00D74CBE">
        <w:t>with a</w:t>
      </w:r>
      <w:r w:rsidR="6D1B81F0">
        <w:t xml:space="preserve"> rule-in threshold higher than 8 kPa</w:t>
      </w:r>
      <w:r>
        <w:t xml:space="preserve">. MSAC suggested </w:t>
      </w:r>
      <w:r w:rsidR="009B0C00">
        <w:t>that</w:t>
      </w:r>
      <w:r w:rsidR="54E7DB84">
        <w:t>,</w:t>
      </w:r>
      <w:r w:rsidR="009B0C00">
        <w:t xml:space="preserve"> per</w:t>
      </w:r>
      <w:r w:rsidR="00794E37">
        <w:t xml:space="preserve"> the evidence</w:t>
      </w:r>
      <w:r w:rsidR="00AF6C1F">
        <w:t>,</w:t>
      </w:r>
      <w:r w:rsidR="00794E37">
        <w:t xml:space="preserve"> </w:t>
      </w:r>
      <w:r w:rsidR="009E5645">
        <w:t>incorp</w:t>
      </w:r>
      <w:r w:rsidR="009B0C00">
        <w:t xml:space="preserve">orating </w:t>
      </w:r>
      <w:r>
        <w:t xml:space="preserve">a </w:t>
      </w:r>
      <w:r w:rsidR="5738748A">
        <w:t xml:space="preserve">higher </w:t>
      </w:r>
      <w:r w:rsidR="00794E37">
        <w:t xml:space="preserve">rule-in </w:t>
      </w:r>
      <w:r>
        <w:t>threshold</w:t>
      </w:r>
      <w:r w:rsidR="3B7D69C5">
        <w:t>,</w:t>
      </w:r>
      <w:r>
        <w:t xml:space="preserve"> </w:t>
      </w:r>
      <w:r w:rsidR="3B7D69C5">
        <w:t>such as</w:t>
      </w:r>
      <w:r>
        <w:t xml:space="preserve"> 12 k</w:t>
      </w:r>
      <w:r w:rsidR="1DCF26E4">
        <w:t>P</w:t>
      </w:r>
      <w:r>
        <w:t>a</w:t>
      </w:r>
      <w:r w:rsidR="3351BDAD">
        <w:t xml:space="preserve">, </w:t>
      </w:r>
      <w:r w:rsidR="2CD55570">
        <w:t xml:space="preserve">may </w:t>
      </w:r>
      <w:r>
        <w:t xml:space="preserve">be more </w:t>
      </w:r>
      <w:r w:rsidR="1712B662">
        <w:t xml:space="preserve">appropriate. MSAC considered that this was particularly relevant to primary care, where prevalence of </w:t>
      </w:r>
      <w:r w:rsidR="00480B33">
        <w:t>liver fibrosis</w:t>
      </w:r>
      <w:r w:rsidR="007A3534">
        <w:t xml:space="preserve"> </w:t>
      </w:r>
      <w:r w:rsidR="1712B662">
        <w:t>is low</w:t>
      </w:r>
      <w:r w:rsidR="00B909DD">
        <w:t>,</w:t>
      </w:r>
      <w:r w:rsidR="000A4F8E">
        <w:t xml:space="preserve"> and </w:t>
      </w:r>
      <w:r w:rsidR="00B909DD">
        <w:t>therefore</w:t>
      </w:r>
      <w:r w:rsidR="000A4F8E">
        <w:t xml:space="preserve"> using </w:t>
      </w:r>
      <w:r w:rsidR="007360A1">
        <w:t xml:space="preserve">a lower threshold </w:t>
      </w:r>
      <w:r w:rsidR="60F03E92">
        <w:t xml:space="preserve">to identify patients at high risk of advanced liver fibrosis </w:t>
      </w:r>
      <w:r w:rsidR="007360A1">
        <w:t xml:space="preserve">will </w:t>
      </w:r>
      <w:r w:rsidR="000E3573">
        <w:t xml:space="preserve">lead to more patients being </w:t>
      </w:r>
      <w:r w:rsidR="00572C8C">
        <w:t>incorrectly</w:t>
      </w:r>
      <w:r w:rsidR="007360A1">
        <w:t xml:space="preserve"> </w:t>
      </w:r>
      <w:r w:rsidR="0099024D">
        <w:t>identif</w:t>
      </w:r>
      <w:r w:rsidR="000E3573">
        <w:t xml:space="preserve">ied as </w:t>
      </w:r>
      <w:r w:rsidR="00D56766">
        <w:t>“</w:t>
      </w:r>
      <w:r w:rsidR="000E3573">
        <w:t>high risk</w:t>
      </w:r>
      <w:r w:rsidR="00D56766">
        <w:t>”</w:t>
      </w:r>
      <w:r w:rsidR="000E3573">
        <w:t xml:space="preserve"> </w:t>
      </w:r>
      <w:r w:rsidR="2259DF68">
        <w:t>(i.e.</w:t>
      </w:r>
      <w:r w:rsidR="00D56766">
        <w:t xml:space="preserve"> the</w:t>
      </w:r>
      <w:r w:rsidR="2259DF68">
        <w:t xml:space="preserve"> false positive rate </w:t>
      </w:r>
      <w:r w:rsidR="00D56766">
        <w:t>will be</w:t>
      </w:r>
      <w:r w:rsidR="2259DF68">
        <w:t xml:space="preserve"> higher)</w:t>
      </w:r>
      <w:r>
        <w:t>. MSAC noted that</w:t>
      </w:r>
      <w:r w:rsidR="67C1FA4E">
        <w:t>, during the applicant hearing, the</w:t>
      </w:r>
      <w:r>
        <w:t xml:space="preserve"> applicant’s representative stated that </w:t>
      </w:r>
      <w:r w:rsidR="308576A1">
        <w:t>the proposed</w:t>
      </w:r>
      <w:r w:rsidR="6515ED43">
        <w:t xml:space="preserve"> </w:t>
      </w:r>
      <w:r>
        <w:t>8 k</w:t>
      </w:r>
      <w:r w:rsidR="7B345E3F">
        <w:t>P</w:t>
      </w:r>
      <w:r>
        <w:t xml:space="preserve">a </w:t>
      </w:r>
      <w:r w:rsidR="008C559B">
        <w:t xml:space="preserve">threshold </w:t>
      </w:r>
      <w:r>
        <w:t xml:space="preserve">was </w:t>
      </w:r>
      <w:r w:rsidR="3709EBCB">
        <w:t>effectively being used only as</w:t>
      </w:r>
      <w:r>
        <w:t xml:space="preserve"> a </w:t>
      </w:r>
      <w:r w:rsidR="44AB0ED2">
        <w:t>rule-out threshold, and was selected as</w:t>
      </w:r>
      <w:r>
        <w:t xml:space="preserve"> </w:t>
      </w:r>
      <w:r w:rsidR="44AB0ED2">
        <w:t>a</w:t>
      </w:r>
      <w:r>
        <w:t xml:space="preserve"> ‘safe’ cutoff</w:t>
      </w:r>
      <w:r w:rsidR="6B7C5036">
        <w:t xml:space="preserve">; the applicant noted that patients </w:t>
      </w:r>
      <w:r w:rsidR="0F9486E3">
        <w:t>referred to specialist care on the basis of an LSM ≥ 8 kPa would return to primary care if specialist assessment determined they did not have advanced liver fibrosis</w:t>
      </w:r>
      <w:r w:rsidR="7F88D575">
        <w:t>. However,</w:t>
      </w:r>
      <w:r>
        <w:t xml:space="preserve"> MSAC considered that </w:t>
      </w:r>
      <w:r w:rsidR="0CD9C771">
        <w:t>the proposed 8</w:t>
      </w:r>
      <w:r>
        <w:t xml:space="preserve"> </w:t>
      </w:r>
      <w:r w:rsidR="0CD9C771">
        <w:t xml:space="preserve">kPa threshold </w:t>
      </w:r>
      <w:r>
        <w:t xml:space="preserve">would lead to </w:t>
      </w:r>
      <w:r w:rsidR="007D208C">
        <w:t>excessive</w:t>
      </w:r>
      <w:r>
        <w:t xml:space="preserve"> </w:t>
      </w:r>
      <w:r w:rsidR="002D1875">
        <w:t>false positives</w:t>
      </w:r>
      <w:r w:rsidR="1BD70FA0">
        <w:t>,</w:t>
      </w:r>
      <w:r>
        <w:t xml:space="preserve"> </w:t>
      </w:r>
      <w:r w:rsidR="1BD70FA0">
        <w:t>particularly in the primary care population,</w:t>
      </w:r>
      <w:r>
        <w:t xml:space="preserve"> and </w:t>
      </w:r>
      <w:r w:rsidR="2713BC21">
        <w:t xml:space="preserve">unnecessary </w:t>
      </w:r>
      <w:r>
        <w:t xml:space="preserve">specialist referrals. </w:t>
      </w:r>
      <w:r w:rsidR="00C0629B">
        <w:t>MSAC</w:t>
      </w:r>
      <w:r w:rsidR="007D5529">
        <w:t xml:space="preserve"> considered</w:t>
      </w:r>
      <w:r w:rsidR="00C0629B">
        <w:t xml:space="preserve"> that</w:t>
      </w:r>
      <w:r w:rsidR="428FFBCB">
        <w:t>,</w:t>
      </w:r>
      <w:r w:rsidR="00C0629B">
        <w:t xml:space="preserve"> </w:t>
      </w:r>
      <w:r w:rsidR="007F3A34">
        <w:t>s</w:t>
      </w:r>
      <w:r>
        <w:t xml:space="preserve">ince MAFLD was a slow-progressing disease, a higher cutoff </w:t>
      </w:r>
      <w:r w:rsidR="75FCB1D2">
        <w:t xml:space="preserve">that </w:t>
      </w:r>
      <w:r w:rsidR="00F42720">
        <w:t>reduc</w:t>
      </w:r>
      <w:r w:rsidR="00CA25BE">
        <w:t>ed</w:t>
      </w:r>
      <w:r w:rsidR="00F42720">
        <w:t xml:space="preserve"> </w:t>
      </w:r>
      <w:r w:rsidR="00F150F4">
        <w:t xml:space="preserve">false </w:t>
      </w:r>
      <w:r w:rsidR="7D138CBE">
        <w:t>positive</w:t>
      </w:r>
      <w:r w:rsidR="29797C74">
        <w:t xml:space="preserve"> result</w:t>
      </w:r>
      <w:r w:rsidR="7D138CBE">
        <w:t>s</w:t>
      </w:r>
      <w:r w:rsidR="00F150F4">
        <w:t xml:space="preserve"> </w:t>
      </w:r>
      <w:r>
        <w:t xml:space="preserve">would </w:t>
      </w:r>
      <w:r w:rsidR="00F42720">
        <w:t>be preferred and</w:t>
      </w:r>
      <w:r w:rsidR="007C01D9">
        <w:t xml:space="preserve"> </w:t>
      </w:r>
      <w:r>
        <w:t xml:space="preserve">would not negatively affect patient outcomes. </w:t>
      </w:r>
    </w:p>
    <w:p w14:paraId="58477CE6" w14:textId="42CA4100" w:rsidR="00F4287E" w:rsidRPr="00F4287E" w:rsidRDefault="00F4287E" w:rsidP="00F4287E">
      <w:r>
        <w:t xml:space="preserve">MSAC queried the Hayward et al. (2022) data, </w:t>
      </w:r>
      <w:r w:rsidR="45AFB8AC">
        <w:t xml:space="preserve">which demonstrated that 75–80% of participants were seen by a specialist regardless of whether or not they had VCTE. MSAC </w:t>
      </w:r>
      <w:r w:rsidR="4AF1C546">
        <w:t>not</w:t>
      </w:r>
      <w:r w:rsidR="181A9CA1">
        <w:t>ed</w:t>
      </w:r>
      <w:r w:rsidR="4AF1C546">
        <w:t xml:space="preserve"> that </w:t>
      </w:r>
      <w:r w:rsidR="007C258F">
        <w:t xml:space="preserve">although </w:t>
      </w:r>
      <w:r w:rsidR="2DB2E47C">
        <w:t>this trial</w:t>
      </w:r>
      <w:r w:rsidR="4AF1C546">
        <w:t xml:space="preserve"> </w:t>
      </w:r>
      <w:r w:rsidR="6E0FFCDB">
        <w:t xml:space="preserve">appeared relevant for the application </w:t>
      </w:r>
      <w:r w:rsidR="6AA901F7">
        <w:t>b</w:t>
      </w:r>
      <w:r w:rsidR="00CF59C3">
        <w:t>y</w:t>
      </w:r>
      <w:r w:rsidR="6AA901F7">
        <w:t xml:space="preserve"> </w:t>
      </w:r>
      <w:r w:rsidR="4AF1C546">
        <w:t>demonstrat</w:t>
      </w:r>
      <w:r w:rsidR="00CF59C3">
        <w:t>ing</w:t>
      </w:r>
      <w:r>
        <w:t xml:space="preserve"> </w:t>
      </w:r>
      <w:r w:rsidR="1E0E13B2">
        <w:t xml:space="preserve">that </w:t>
      </w:r>
      <w:r w:rsidR="00AD05DB">
        <w:t>VCTE</w:t>
      </w:r>
      <w:r w:rsidR="4AF1C546">
        <w:t xml:space="preserve"> resulted in a shorter </w:t>
      </w:r>
      <w:r>
        <w:t xml:space="preserve">time to diagnosis of severe liver disease, </w:t>
      </w:r>
      <w:r w:rsidR="399EC499">
        <w:t xml:space="preserve">there </w:t>
      </w:r>
      <w:r>
        <w:t>did not appear to be a difference in referral pathways</w:t>
      </w:r>
      <w:r w:rsidR="23EABFDF">
        <w:t>, contrary to what was claimed in the ADAR</w:t>
      </w:r>
      <w:r w:rsidR="005A0E9E">
        <w:t>.</w:t>
      </w:r>
      <w:r w:rsidR="00EB109C">
        <w:t xml:space="preserve"> </w:t>
      </w:r>
      <w:r>
        <w:t xml:space="preserve"> At the hearing, the applicant’s representative agreed </w:t>
      </w:r>
      <w:r w:rsidR="00336F9C">
        <w:t>with this interpretation</w:t>
      </w:r>
      <w:r>
        <w:t xml:space="preserve">, but </w:t>
      </w:r>
      <w:r w:rsidR="1B1C0A2F">
        <w:t xml:space="preserve">clarified </w:t>
      </w:r>
      <w:r w:rsidR="00205444">
        <w:t xml:space="preserve">that </w:t>
      </w:r>
      <w:r>
        <w:t xml:space="preserve">the trial was </w:t>
      </w:r>
      <w:r w:rsidR="006D60F3">
        <w:t>designed</w:t>
      </w:r>
      <w:r>
        <w:t xml:space="preserve"> to ensure that </w:t>
      </w:r>
      <w:r w:rsidR="006D60F3">
        <w:t>all participants were</w:t>
      </w:r>
      <w:r>
        <w:t xml:space="preserve"> referred to a specialist at some point and was not designed to detect differences in referral pathways. </w:t>
      </w:r>
    </w:p>
    <w:p w14:paraId="498F7811" w14:textId="1AD6A203" w:rsidR="00F4287E" w:rsidRPr="00F4287E" w:rsidRDefault="00164A72" w:rsidP="00F4287E">
      <w:r>
        <w:t>MSAC considered that the l</w:t>
      </w:r>
      <w:r w:rsidRPr="00164A72">
        <w:t>ongitudinal accuracy evidence provided in the ADAR had poor applicability, as it did not assess the proposed sequential triage testing, management impact, or use the single 8.0 kPa LSM rule-in/rule-out threshold</w:t>
      </w:r>
      <w:r w:rsidR="00F4287E" w:rsidRPr="00F4287E">
        <w:t xml:space="preserve">. In the hearing, the applicant’s representative defended this </w:t>
      </w:r>
      <w:r w:rsidR="00BD7D11">
        <w:t>approach</w:t>
      </w:r>
      <w:r w:rsidR="00F4287E" w:rsidRPr="00F4287E">
        <w:t xml:space="preserve">, stating that the </w:t>
      </w:r>
      <w:r w:rsidR="00864F09">
        <w:t xml:space="preserve">single </w:t>
      </w:r>
      <w:r w:rsidR="00F4287E" w:rsidRPr="00F4287E">
        <w:t xml:space="preserve">threshold was </w:t>
      </w:r>
      <w:r w:rsidR="007C2E32">
        <w:t xml:space="preserve">sufficient to be used </w:t>
      </w:r>
      <w:r w:rsidR="00283281">
        <w:t>as</w:t>
      </w:r>
      <w:r w:rsidR="000C6BF7">
        <w:t xml:space="preserve"> </w:t>
      </w:r>
      <w:r w:rsidR="00F4287E" w:rsidRPr="00F4287E">
        <w:t>a risk stratification tool</w:t>
      </w:r>
      <w:r w:rsidR="009A347E">
        <w:t>. However</w:t>
      </w:r>
      <w:r w:rsidR="004D51F3">
        <w:t>,</w:t>
      </w:r>
      <w:r w:rsidR="009A347E">
        <w:t xml:space="preserve"> </w:t>
      </w:r>
      <w:r w:rsidR="00F4287E" w:rsidRPr="00F4287E">
        <w:t>MSAC considered that th</w:t>
      </w:r>
      <w:r w:rsidR="009A347E">
        <w:t xml:space="preserve">e approach and in particular the lack of </w:t>
      </w:r>
      <w:r w:rsidR="00864F09">
        <w:t xml:space="preserve">evidence </w:t>
      </w:r>
      <w:r w:rsidR="00A70296">
        <w:t>regarding</w:t>
      </w:r>
      <w:r w:rsidR="00864F09">
        <w:t xml:space="preserve"> change in health outcomes </w:t>
      </w:r>
      <w:r w:rsidR="003579FE">
        <w:t xml:space="preserve">did not </w:t>
      </w:r>
      <w:r w:rsidR="002C31CD">
        <w:t>provid</w:t>
      </w:r>
      <w:r w:rsidR="00440942">
        <w:t>e</w:t>
      </w:r>
      <w:r w:rsidR="00080FBF">
        <w:t xml:space="preserve"> MSAC with </w:t>
      </w:r>
      <w:r w:rsidR="00700684">
        <w:t>sufficient information to determine</w:t>
      </w:r>
      <w:r w:rsidR="001722CE">
        <w:t xml:space="preserve"> the </w:t>
      </w:r>
      <w:r w:rsidR="00700684">
        <w:t xml:space="preserve">appropriateness of </w:t>
      </w:r>
      <w:r w:rsidR="00233137">
        <w:t xml:space="preserve">public </w:t>
      </w:r>
      <w:r w:rsidR="00700684">
        <w:t>funding</w:t>
      </w:r>
      <w:r w:rsidR="00A75993">
        <w:t xml:space="preserve"> </w:t>
      </w:r>
      <w:r w:rsidR="00233137">
        <w:t xml:space="preserve">for </w:t>
      </w:r>
      <w:r w:rsidR="00AD05DB">
        <w:t>VCTE</w:t>
      </w:r>
      <w:r w:rsidR="00F4287E">
        <w:t>.</w:t>
      </w:r>
    </w:p>
    <w:p w14:paraId="1FFE0F53" w14:textId="27E8F160" w:rsidR="00F4287E" w:rsidRPr="00F4287E" w:rsidRDefault="00F4287E" w:rsidP="00F4287E">
      <w:r w:rsidRPr="00F4287E">
        <w:t>MSAC noted that the application was for a device-specific listing</w:t>
      </w:r>
      <w:r w:rsidR="001B7A57">
        <w:t xml:space="preserve">. However, MSAC considered that </w:t>
      </w:r>
      <w:r w:rsidR="000D5DE1">
        <w:t xml:space="preserve">there was </w:t>
      </w:r>
      <w:r w:rsidR="001B7A57" w:rsidRPr="00F4287E">
        <w:t>no evidence presented</w:t>
      </w:r>
      <w:r w:rsidR="000D5DE1">
        <w:t xml:space="preserve"> in the ADAR</w:t>
      </w:r>
      <w:r w:rsidR="001B7A57" w:rsidRPr="00F4287E">
        <w:t xml:space="preserve"> to support a</w:t>
      </w:r>
      <w:r w:rsidR="001B7A57">
        <w:t>n</w:t>
      </w:r>
      <w:r w:rsidR="001B7A57" w:rsidRPr="00F4287E">
        <w:t xml:space="preserve"> MBS item</w:t>
      </w:r>
      <w:r w:rsidR="001B7A57">
        <w:t xml:space="preserve"> specifically for </w:t>
      </w:r>
      <w:r w:rsidR="00192B67">
        <w:t>FibroScan</w:t>
      </w:r>
      <w:r w:rsidR="001B7A57">
        <w:t>/</w:t>
      </w:r>
      <w:r w:rsidR="00AD05DB">
        <w:t>VCTE</w:t>
      </w:r>
      <w:r w:rsidR="008C743E">
        <w:t>. MSAC noted</w:t>
      </w:r>
      <w:r w:rsidR="00CE2223">
        <w:t xml:space="preserve"> the department’s preference for device agnostic MBS items and</w:t>
      </w:r>
      <w:r w:rsidR="008C743E">
        <w:t xml:space="preserve"> </w:t>
      </w:r>
      <w:r w:rsidR="00A1370A">
        <w:t xml:space="preserve">to </w:t>
      </w:r>
      <w:r w:rsidR="00A1370A">
        <w:lastRenderedPageBreak/>
        <w:t>align with this</w:t>
      </w:r>
      <w:r w:rsidR="00FC2E96">
        <w:t xml:space="preserve"> preference</w:t>
      </w:r>
      <w:r w:rsidR="00A1370A">
        <w:t xml:space="preserve">, the </w:t>
      </w:r>
      <w:r w:rsidR="00FC2E96">
        <w:t>proposed technology</w:t>
      </w:r>
      <w:r w:rsidR="00D07452">
        <w:t xml:space="preserve"> could be defined</w:t>
      </w:r>
      <w:r w:rsidR="008C743E">
        <w:t xml:space="preserve"> </w:t>
      </w:r>
      <w:r w:rsidR="00D07452">
        <w:t>as transient elastography</w:t>
      </w:r>
      <w:r w:rsidR="00BA3246">
        <w:t xml:space="preserve"> </w:t>
      </w:r>
      <w:r w:rsidR="01FFB5F2">
        <w:t>(TE)</w:t>
      </w:r>
      <w:r w:rsidRPr="00F4287E">
        <w:t xml:space="preserve">. In the hearing, the applicant’s representative argued that </w:t>
      </w:r>
      <w:r w:rsidR="0047569E">
        <w:t xml:space="preserve">only </w:t>
      </w:r>
      <w:r w:rsidR="00AD05DB">
        <w:t>VCTE</w:t>
      </w:r>
      <w:r w:rsidR="0047569E">
        <w:t xml:space="preserve"> has </w:t>
      </w:r>
      <w:r w:rsidR="0047569E" w:rsidRPr="00F4287E">
        <w:t>validated thresholds and longitudinal data</w:t>
      </w:r>
      <w:r w:rsidR="0047569E">
        <w:t xml:space="preserve"> to support it</w:t>
      </w:r>
      <w:r w:rsidR="0015127B">
        <w:t>s</w:t>
      </w:r>
      <w:r w:rsidR="0047569E">
        <w:t xml:space="preserve"> use</w:t>
      </w:r>
      <w:r w:rsidR="0015127B">
        <w:t xml:space="preserve">. The applicant noted that use of </w:t>
      </w:r>
      <w:r w:rsidR="004720E5" w:rsidRPr="004720E5">
        <w:t>shear wave elastography (SWE)</w:t>
      </w:r>
      <w:r w:rsidRPr="00F4287E">
        <w:t xml:space="preserve"> is not standardised, </w:t>
      </w:r>
      <w:r w:rsidR="000D5DE1">
        <w:t>there are</w:t>
      </w:r>
      <w:r w:rsidRPr="00F4287E">
        <w:t xml:space="preserve"> no validated universal cut-off</w:t>
      </w:r>
      <w:r w:rsidR="00DC6141">
        <w:t xml:space="preserve"> value</w:t>
      </w:r>
      <w:r w:rsidRPr="00F4287E">
        <w:t>s</w:t>
      </w:r>
      <w:r w:rsidR="002D2065">
        <w:t>,</w:t>
      </w:r>
      <w:r w:rsidRPr="00F4287E">
        <w:t xml:space="preserve"> and </w:t>
      </w:r>
      <w:r w:rsidR="000718B1">
        <w:t>concern</w:t>
      </w:r>
      <w:r w:rsidR="0080610E">
        <w:t>s</w:t>
      </w:r>
      <w:r w:rsidR="000718B1">
        <w:t xml:space="preserve"> about</w:t>
      </w:r>
      <w:r w:rsidR="00EE3640">
        <w:t xml:space="preserve"> </w:t>
      </w:r>
      <w:r w:rsidRPr="00F4287E">
        <w:t>inter</w:t>
      </w:r>
      <w:r w:rsidR="00D219E1">
        <w:t>-</w:t>
      </w:r>
      <w:r w:rsidRPr="00F4287E">
        <w:t>vendor variability</w:t>
      </w:r>
      <w:r>
        <w:t>.</w:t>
      </w:r>
      <w:r w:rsidR="00B87719">
        <w:t xml:space="preserve"> </w:t>
      </w:r>
      <w:r w:rsidR="656AB339">
        <w:t>While MSAC noted this argument, it</w:t>
      </w:r>
      <w:r w:rsidR="157B4E16">
        <w:t xml:space="preserve"> considered that a</w:t>
      </w:r>
      <w:r w:rsidR="000718B1">
        <w:t xml:space="preserve">n </w:t>
      </w:r>
      <w:r w:rsidR="157B4E16">
        <w:t xml:space="preserve">item </w:t>
      </w:r>
      <w:r w:rsidR="000718B1">
        <w:t xml:space="preserve">specifying TE </w:t>
      </w:r>
      <w:r w:rsidR="157B4E16">
        <w:t xml:space="preserve">would </w:t>
      </w:r>
      <w:r w:rsidR="0047569E">
        <w:t>be</w:t>
      </w:r>
      <w:r w:rsidR="157B4E16">
        <w:t xml:space="preserve"> more appropriate, </w:t>
      </w:r>
      <w:r w:rsidR="2839E0FD">
        <w:t xml:space="preserve">also </w:t>
      </w:r>
      <w:r w:rsidR="157B4E16">
        <w:t>not</w:t>
      </w:r>
      <w:r w:rsidR="22D38160">
        <w:t>ing</w:t>
      </w:r>
      <w:r w:rsidR="157B4E16">
        <w:t xml:space="preserve"> PASC advice that, if a </w:t>
      </w:r>
      <w:r w:rsidR="0047569E">
        <w:t>device</w:t>
      </w:r>
      <w:r w:rsidR="157B4E16">
        <w:t xml:space="preserve">-specific item was pursued in the ADAR, evidence </w:t>
      </w:r>
      <w:r w:rsidR="00FD461D" w:rsidRPr="00FD461D">
        <w:t xml:space="preserve">to justify limiting </w:t>
      </w:r>
      <w:r w:rsidR="00FD461D">
        <w:t xml:space="preserve">the </w:t>
      </w:r>
      <w:r w:rsidR="00FD461D" w:rsidRPr="00FD461D">
        <w:t xml:space="preserve">test to a </w:t>
      </w:r>
      <w:r w:rsidR="004D77F9">
        <w:t>proprietary</w:t>
      </w:r>
      <w:r w:rsidR="00FD461D" w:rsidRPr="00FD461D">
        <w:t xml:space="preserve"> </w:t>
      </w:r>
      <w:r w:rsidR="00732665">
        <w:t>technology</w:t>
      </w:r>
      <w:r w:rsidR="0047569E">
        <w:t xml:space="preserve"> </w:t>
      </w:r>
      <w:r w:rsidR="157B4E16">
        <w:t>would need to be provided.</w:t>
      </w:r>
    </w:p>
    <w:p w14:paraId="709EB340" w14:textId="7639FFBC" w:rsidR="00F4287E" w:rsidRPr="00F4287E" w:rsidRDefault="000718B1" w:rsidP="00F4287E">
      <w:r>
        <w:t>MSAC noted that</w:t>
      </w:r>
      <w:r w:rsidR="008F4FE8">
        <w:t xml:space="preserve"> t</w:t>
      </w:r>
      <w:r w:rsidR="00F4287E" w:rsidRPr="00F4287E">
        <w:t xml:space="preserve">he pre-MSAC response argued that the lack of comparative effectiveness or safety data </w:t>
      </w:r>
      <w:r w:rsidR="00BD0C69">
        <w:t xml:space="preserve">relative to the standard of care </w:t>
      </w:r>
      <w:r w:rsidR="00CF4B13">
        <w:t xml:space="preserve">(SoC) </w:t>
      </w:r>
      <w:r w:rsidR="00F4287E" w:rsidRPr="00F4287E">
        <w:t>was common for long-term conditions</w:t>
      </w:r>
      <w:r w:rsidR="005E12EB">
        <w:t xml:space="preserve"> where outcomes evolve slowly over years</w:t>
      </w:r>
      <w:r w:rsidR="00F4287E" w:rsidRPr="00F4287E">
        <w:t xml:space="preserve">, and referred to the Mozes (2022) study for diagnostic accuracy. </w:t>
      </w:r>
      <w:r w:rsidR="624F6982">
        <w:t>However,</w:t>
      </w:r>
      <w:r w:rsidR="00F4287E" w:rsidRPr="00F4287E">
        <w:t xml:space="preserve"> MSAC disagreed, stating that a linked evidence approach c</w:t>
      </w:r>
      <w:r w:rsidR="00CF0702">
        <w:t>ould</w:t>
      </w:r>
      <w:r w:rsidR="00F4287E" w:rsidRPr="00F4287E">
        <w:t xml:space="preserve"> be used to compare effectiveness and safety, and that the </w:t>
      </w:r>
      <w:r w:rsidR="00855966">
        <w:t xml:space="preserve">diagnostic accuracy </w:t>
      </w:r>
      <w:r w:rsidR="00BA5E9D">
        <w:t>data</w:t>
      </w:r>
      <w:r w:rsidR="00180707">
        <w:t xml:space="preserve"> provided by </w:t>
      </w:r>
      <w:r w:rsidR="00F4287E" w:rsidRPr="00F4287E">
        <w:t xml:space="preserve">Mozes (2022) is </w:t>
      </w:r>
      <w:r w:rsidR="00912EE7">
        <w:t>limited</w:t>
      </w:r>
      <w:r w:rsidR="00F4287E" w:rsidRPr="00F4287E">
        <w:t xml:space="preserve"> </w:t>
      </w:r>
      <w:r w:rsidR="00BA5E9D">
        <w:t>by</w:t>
      </w:r>
      <w:r w:rsidR="00F4287E" w:rsidRPr="00F4287E">
        <w:t xml:space="preserve"> </w:t>
      </w:r>
      <w:r w:rsidR="00465C59">
        <w:t>its</w:t>
      </w:r>
      <w:r w:rsidR="00F4287E" w:rsidRPr="00F4287E">
        <w:t xml:space="preserve"> lack of comparative data.</w:t>
      </w:r>
    </w:p>
    <w:p w14:paraId="46640321" w14:textId="025764A0" w:rsidR="00445165" w:rsidRPr="00F4287E" w:rsidRDefault="00F4287E" w:rsidP="00F4287E">
      <w:r>
        <w:t xml:space="preserve">MSAC acknowledged that, for some patients, the value of knowing that they might have advanced liver fibrosis </w:t>
      </w:r>
      <w:r w:rsidR="4CAAFC69">
        <w:t>may</w:t>
      </w:r>
      <w:r>
        <w:t xml:space="preserve"> help them to better adhere to SoC </w:t>
      </w:r>
      <w:r w:rsidR="00660E67">
        <w:t xml:space="preserve">lifestyle </w:t>
      </w:r>
      <w:r>
        <w:t xml:space="preserve">interventions. However, MSAC noted the lack of effective therapies </w:t>
      </w:r>
      <w:r w:rsidR="00887715">
        <w:t xml:space="preserve">specifically </w:t>
      </w:r>
      <w:r>
        <w:t xml:space="preserve">for MAFLD, leading MSAC to </w:t>
      </w:r>
      <w:r w:rsidR="00504E1D">
        <w:t xml:space="preserve">consider </w:t>
      </w:r>
      <w:r w:rsidR="002466E4">
        <w:t>that current</w:t>
      </w:r>
      <w:r w:rsidR="00504E1D">
        <w:t>ly</w:t>
      </w:r>
      <w:r w:rsidR="00612BF7">
        <w:t xml:space="preserve">, use of </w:t>
      </w:r>
      <w:r w:rsidR="00AD05DB">
        <w:t>VCTE</w:t>
      </w:r>
      <w:r w:rsidR="00612BF7">
        <w:t xml:space="preserve"> does not change</w:t>
      </w:r>
      <w:r>
        <w:t xml:space="preserve"> </w:t>
      </w:r>
      <w:r w:rsidR="00CE5DC6">
        <w:t xml:space="preserve">patient </w:t>
      </w:r>
      <w:r>
        <w:t>management</w:t>
      </w:r>
      <w:r w:rsidR="64798B58">
        <w:t xml:space="preserve"> or outcomes</w:t>
      </w:r>
      <w:r>
        <w:t xml:space="preserve">. </w:t>
      </w:r>
      <w:r w:rsidR="00A629A6">
        <w:t xml:space="preserve">That is, </w:t>
      </w:r>
      <w:r w:rsidR="00A15384">
        <w:t>management of patients with MAFLD</w:t>
      </w:r>
      <w:r w:rsidR="007E2D24">
        <w:t xml:space="preserve">, </w:t>
      </w:r>
      <w:r w:rsidR="00F26BEB">
        <w:t>irrespective of fibrosis stage</w:t>
      </w:r>
      <w:r w:rsidR="007E2D24">
        <w:t>,</w:t>
      </w:r>
      <w:r w:rsidR="00A629A6">
        <w:t xml:space="preserve"> </w:t>
      </w:r>
      <w:r w:rsidR="009B758A">
        <w:t>primarily consists of lifestyle modifications and education, which appears unlikely to change with or without</w:t>
      </w:r>
      <w:r w:rsidR="00A629A6">
        <w:t xml:space="preserve"> </w:t>
      </w:r>
      <w:r w:rsidR="007E2D24">
        <w:t xml:space="preserve">an LSM measured by </w:t>
      </w:r>
      <w:r w:rsidR="00AD05DB">
        <w:t>VCTE</w:t>
      </w:r>
      <w:r w:rsidR="007E2D24">
        <w:t>.</w:t>
      </w:r>
    </w:p>
    <w:p w14:paraId="6BBEB084" w14:textId="3AEAA926" w:rsidR="00F4287E" w:rsidRPr="00F4287E" w:rsidRDefault="00F4287E" w:rsidP="00F4287E">
      <w:r w:rsidRPr="00F4287E">
        <w:t xml:space="preserve">MSAC noted that the economic evaluation was a cost-consequence analysis with test accuracy and cost per correct diagnosis as outcomes. The </w:t>
      </w:r>
      <w:r w:rsidR="0045236E">
        <w:t>cost</w:t>
      </w:r>
      <w:r w:rsidR="57304B63">
        <w:t>s</w:t>
      </w:r>
      <w:r w:rsidR="0045236E">
        <w:t xml:space="preserve"> per correct diagnosis </w:t>
      </w:r>
      <w:r w:rsidRPr="00F4287E">
        <w:t>were</w:t>
      </w:r>
      <w:r w:rsidR="078D42EB">
        <w:t xml:space="preserve"> consistently lower for </w:t>
      </w:r>
      <w:r w:rsidR="00AD05DB">
        <w:t>VCTE</w:t>
      </w:r>
      <w:r w:rsidR="078D42EB">
        <w:t xml:space="preserve"> than SoC</w:t>
      </w:r>
      <w:r w:rsidRPr="00F4287E">
        <w:t xml:space="preserve">, </w:t>
      </w:r>
      <w:r w:rsidR="7FDFA1BC">
        <w:t>and were,</w:t>
      </w:r>
      <w:r>
        <w:t xml:space="preserve"> </w:t>
      </w:r>
      <w:r w:rsidRPr="00F4287E">
        <w:t>in primary and specialist care respectively</w:t>
      </w:r>
      <w:r w:rsidR="7793495A">
        <w:t>:</w:t>
      </w:r>
    </w:p>
    <w:p w14:paraId="0D86A234" w14:textId="4773F38A" w:rsidR="00F4287E" w:rsidRPr="00F4287E" w:rsidRDefault="00F4287E" w:rsidP="006520E0">
      <w:pPr>
        <w:pStyle w:val="ListParagraph"/>
        <w:numPr>
          <w:ilvl w:val="0"/>
          <w:numId w:val="41"/>
        </w:numPr>
      </w:pPr>
      <w:r w:rsidRPr="00F4287E">
        <w:t>$218.74</w:t>
      </w:r>
      <w:r w:rsidR="7C6C2E59">
        <w:t xml:space="preserve"> and </w:t>
      </w:r>
      <w:r w:rsidRPr="00F4287E">
        <w:t xml:space="preserve">$204.98 for </w:t>
      </w:r>
      <w:r w:rsidR="00AD05DB">
        <w:t>VCTE</w:t>
      </w:r>
      <w:r w:rsidRPr="00F4287E">
        <w:t xml:space="preserve"> </w:t>
      </w:r>
    </w:p>
    <w:p w14:paraId="01096E40" w14:textId="0D1C696C" w:rsidR="00F4287E" w:rsidRPr="00F4287E" w:rsidRDefault="00F4287E" w:rsidP="006520E0">
      <w:pPr>
        <w:pStyle w:val="ListParagraph"/>
        <w:numPr>
          <w:ilvl w:val="0"/>
          <w:numId w:val="41"/>
        </w:numPr>
      </w:pPr>
      <w:r w:rsidRPr="00F4287E">
        <w:t>$451.04</w:t>
      </w:r>
      <w:r w:rsidR="1BB4C6CB">
        <w:t xml:space="preserve"> and </w:t>
      </w:r>
      <w:r w:rsidRPr="00F4287E">
        <w:t>$392.22 for S</w:t>
      </w:r>
      <w:r w:rsidR="005E227F">
        <w:t>O</w:t>
      </w:r>
      <w:r w:rsidRPr="00F4287E">
        <w:t>C.</w:t>
      </w:r>
    </w:p>
    <w:p w14:paraId="61D73A0E" w14:textId="3D96D9DF" w:rsidR="00F4287E" w:rsidRPr="00F4287E" w:rsidRDefault="00F4287E" w:rsidP="00F4287E">
      <w:r w:rsidRPr="00F4287E">
        <w:t>However, MSAC considered the</w:t>
      </w:r>
      <w:r w:rsidR="0018180A">
        <w:t xml:space="preserve">se results </w:t>
      </w:r>
      <w:r w:rsidRPr="00F4287E">
        <w:t>to be highly uncertain, because:</w:t>
      </w:r>
    </w:p>
    <w:p w14:paraId="2ABADD0A" w14:textId="44A3BF9D" w:rsidR="00C0057F" w:rsidRPr="00F4287E" w:rsidDel="009233D6" w:rsidRDefault="00004982" w:rsidP="00BE36F8">
      <w:pPr>
        <w:pStyle w:val="ListParagraph"/>
        <w:numPr>
          <w:ilvl w:val="0"/>
          <w:numId w:val="40"/>
        </w:numPr>
      </w:pPr>
      <w:r>
        <w:t xml:space="preserve">There was no evidence </w:t>
      </w:r>
      <w:r w:rsidR="00B117EB">
        <w:t>present</w:t>
      </w:r>
      <w:r w:rsidR="009061B4">
        <w:t>ed</w:t>
      </w:r>
      <w:r w:rsidR="00B117EB">
        <w:t xml:space="preserve"> to demonstrate</w:t>
      </w:r>
      <w:r w:rsidR="00D03434">
        <w:t xml:space="preserve"> a</w:t>
      </w:r>
      <w:r w:rsidR="00C0057F">
        <w:t xml:space="preserve"> </w:t>
      </w:r>
      <w:r w:rsidR="00B36BCD">
        <w:t>correct diagnosis would change clinical management</w:t>
      </w:r>
      <w:r w:rsidR="00C0057F" w:rsidRPr="00F4287E">
        <w:t xml:space="preserve"> or </w:t>
      </w:r>
      <w:r w:rsidR="00B36BCD">
        <w:t xml:space="preserve">improve </w:t>
      </w:r>
      <w:r w:rsidR="00C0057F" w:rsidRPr="00F4287E">
        <w:t>health outcomes</w:t>
      </w:r>
      <w:r w:rsidR="00B36BCD">
        <w:t xml:space="preserve">. </w:t>
      </w:r>
    </w:p>
    <w:p w14:paraId="28EAEC1C" w14:textId="710EE14F" w:rsidR="00F4287E" w:rsidRPr="00F4287E" w:rsidRDefault="00F4287E" w:rsidP="00BE36F8">
      <w:pPr>
        <w:pStyle w:val="ListParagraph"/>
        <w:numPr>
          <w:ilvl w:val="0"/>
          <w:numId w:val="40"/>
        </w:numPr>
      </w:pPr>
      <w:r w:rsidRPr="00F4287E">
        <w:t xml:space="preserve">The US comparator was inappropriate and resulted in </w:t>
      </w:r>
      <w:r w:rsidR="00245BB1">
        <w:t xml:space="preserve">uncertain </w:t>
      </w:r>
      <w:r w:rsidRPr="00F4287E">
        <w:t xml:space="preserve">flow-on effects in the model. </w:t>
      </w:r>
      <w:r w:rsidR="00245BB1">
        <w:t>It was assumed that</w:t>
      </w:r>
      <w:r w:rsidR="13F5D601">
        <w:t>,</w:t>
      </w:r>
      <w:r w:rsidR="00245BB1">
        <w:t xml:space="preserve"> </w:t>
      </w:r>
      <w:r w:rsidR="006108F4">
        <w:t>i</w:t>
      </w:r>
      <w:r w:rsidRPr="00F4287E">
        <w:t xml:space="preserve">n the comparator arm, 15% of patients with fibrosis-suggestive US findings </w:t>
      </w:r>
      <w:r w:rsidR="00CF07D8">
        <w:t xml:space="preserve">would </w:t>
      </w:r>
      <w:r w:rsidRPr="00F4287E">
        <w:t>undergo a liver biopsy</w:t>
      </w:r>
      <w:r w:rsidR="006108F4">
        <w:t xml:space="preserve"> compared to </w:t>
      </w:r>
      <w:r w:rsidRPr="00F4287E">
        <w:t xml:space="preserve">only 5% of those with an increased liver stiffness as assessed by </w:t>
      </w:r>
      <w:r w:rsidR="00AD05DB">
        <w:t>VCTE</w:t>
      </w:r>
      <w:r w:rsidRPr="00F4287E">
        <w:t>. However, the</w:t>
      </w:r>
      <w:r w:rsidR="006108F4">
        <w:t xml:space="preserve">se </w:t>
      </w:r>
      <w:r w:rsidRPr="00F4287E">
        <w:t>p</w:t>
      </w:r>
      <w:r w:rsidR="00CF07D8">
        <w:t>roportions</w:t>
      </w:r>
      <w:r w:rsidR="006108F4">
        <w:t xml:space="preserve"> were </w:t>
      </w:r>
      <w:r w:rsidRPr="00F4287E">
        <w:t xml:space="preserve">based on expert opinion and </w:t>
      </w:r>
      <w:r w:rsidR="4F167A4D">
        <w:t>not further justified</w:t>
      </w:r>
      <w:r w:rsidR="00CF07D8">
        <w:t xml:space="preserve"> in the ADAR</w:t>
      </w:r>
      <w:r>
        <w:t>.</w:t>
      </w:r>
      <w:r w:rsidR="00E22272">
        <w:t xml:space="preserve"> </w:t>
      </w:r>
      <w:r w:rsidR="001B2F0A">
        <w:t>T</w:t>
      </w:r>
      <w:r w:rsidR="00BC7A7E">
        <w:t xml:space="preserve">he cost offsets </w:t>
      </w:r>
      <w:r w:rsidR="00A36917">
        <w:t>associated with US</w:t>
      </w:r>
      <w:r w:rsidR="00B72F04">
        <w:t xml:space="preserve">, because it is an inappropriate comparator, </w:t>
      </w:r>
      <w:r w:rsidR="00BA1AC8">
        <w:t xml:space="preserve">will therefore </w:t>
      </w:r>
      <w:r w:rsidR="00F3526A">
        <w:t>not be realised</w:t>
      </w:r>
      <w:r w:rsidR="00045A09">
        <w:t>.</w:t>
      </w:r>
    </w:p>
    <w:p w14:paraId="5770B966" w14:textId="7672B2F2" w:rsidR="00F4287E" w:rsidRPr="00F4287E" w:rsidRDefault="007C7467" w:rsidP="00BE36F8">
      <w:pPr>
        <w:pStyle w:val="ListParagraph"/>
        <w:numPr>
          <w:ilvl w:val="0"/>
          <w:numId w:val="40"/>
        </w:numPr>
      </w:pPr>
      <w:r>
        <w:t>The model outputs indicated</w:t>
      </w:r>
      <w:r w:rsidR="00F7564F">
        <w:t xml:space="preserve"> that </w:t>
      </w:r>
      <w:r w:rsidR="00F317ED">
        <w:t xml:space="preserve">there may </w:t>
      </w:r>
      <w:r>
        <w:t>have been issues with the model itself, the choice of outcomes, or the model assumptions</w:t>
      </w:r>
      <w:r w:rsidR="00F4287E">
        <w:t>.</w:t>
      </w:r>
      <w:r w:rsidR="00F4287E" w:rsidRPr="00F4287E">
        <w:t xml:space="preserve"> </w:t>
      </w:r>
      <w:r w:rsidR="00F014F9">
        <w:t>The ADAR nominated cost per correct</w:t>
      </w:r>
      <w:r w:rsidR="00B75995">
        <w:t xml:space="preserve"> diagnosis</w:t>
      </w:r>
      <w:r w:rsidR="00F014F9">
        <w:t xml:space="preserve"> as a primary outcome, </w:t>
      </w:r>
      <w:r w:rsidR="00F95565">
        <w:t xml:space="preserve">and indicated that a lower cost per correctly diagnosed patient is a positive outcome, which </w:t>
      </w:r>
      <w:r w:rsidR="005449DC">
        <w:t>would be expected to</w:t>
      </w:r>
      <w:r w:rsidR="00F95565">
        <w:t xml:space="preserve"> correlate with improved testing</w:t>
      </w:r>
      <w:r w:rsidR="005E1F04">
        <w:t xml:space="preserve"> accuracy</w:t>
      </w:r>
      <w:r w:rsidR="00F95565">
        <w:t>. However</w:t>
      </w:r>
      <w:r w:rsidR="00F4287E" w:rsidRPr="00F4287E">
        <w:t>, a sensitivity analysis show</w:t>
      </w:r>
      <w:r>
        <w:t>ed</w:t>
      </w:r>
      <w:r w:rsidR="00F4287E" w:rsidRPr="00F4287E">
        <w:t xml:space="preserve"> that increased sensitivity of </w:t>
      </w:r>
      <w:r w:rsidR="00AD05DB">
        <w:t>VCTE</w:t>
      </w:r>
      <w:r w:rsidR="00F4287E" w:rsidRPr="00F4287E">
        <w:t xml:space="preserve"> led to </w:t>
      </w:r>
      <w:r w:rsidR="00EB7CB9">
        <w:t>a</w:t>
      </w:r>
      <w:r w:rsidR="00F4287E" w:rsidRPr="00F4287E">
        <w:t xml:space="preserve"> higher cost per correct diagnosis</w:t>
      </w:r>
      <w:r w:rsidR="00E71106">
        <w:t>.</w:t>
      </w:r>
      <w:r w:rsidR="00F4287E" w:rsidRPr="00F4287E">
        <w:t xml:space="preserve"> </w:t>
      </w:r>
    </w:p>
    <w:p w14:paraId="5A26F919" w14:textId="441806D0" w:rsidR="009233D6" w:rsidRPr="00F4287E" w:rsidRDefault="00F4287E" w:rsidP="00AD05DB">
      <w:pPr>
        <w:pStyle w:val="ListParagraph"/>
        <w:numPr>
          <w:ilvl w:val="0"/>
          <w:numId w:val="40"/>
        </w:numPr>
      </w:pPr>
      <w:r w:rsidRPr="00F4287E">
        <w:t xml:space="preserve">Assumptions used in the model were unjustified – for example, differing rates of liver biopsies in both arms favouring </w:t>
      </w:r>
      <w:r w:rsidR="00AD05DB">
        <w:t>VCTE</w:t>
      </w:r>
      <w:r w:rsidR="00811F04" w:rsidRPr="00F4287E">
        <w:t xml:space="preserve"> </w:t>
      </w:r>
      <w:r w:rsidRPr="00F4287E">
        <w:t xml:space="preserve">and the lack of a failure rate for </w:t>
      </w:r>
      <w:r w:rsidR="00AD05DB">
        <w:t>VCTE</w:t>
      </w:r>
      <w:r w:rsidRPr="00F4287E">
        <w:t>.</w:t>
      </w:r>
    </w:p>
    <w:p w14:paraId="0AA6258E" w14:textId="598D0225" w:rsidR="00F4287E" w:rsidRPr="00F4287E" w:rsidRDefault="00F4287E" w:rsidP="00F4287E">
      <w:r w:rsidRPr="00F4287E">
        <w:t xml:space="preserve">MSAC noted that the financial impact was calculated using a mixed epidemiological and market-based approach, and </w:t>
      </w:r>
      <w:r w:rsidR="00E71BC6">
        <w:t xml:space="preserve">the cost to the MBS </w:t>
      </w:r>
      <w:r w:rsidRPr="00F4287E">
        <w:t>was:</w:t>
      </w:r>
    </w:p>
    <w:p w14:paraId="22FB641F" w14:textId="77777777" w:rsidR="00F4287E" w:rsidRPr="00F4287E" w:rsidRDefault="00F4287E" w:rsidP="00BE36F8">
      <w:pPr>
        <w:pStyle w:val="ListParagraph"/>
        <w:numPr>
          <w:ilvl w:val="0"/>
          <w:numId w:val="39"/>
        </w:numPr>
      </w:pPr>
      <w:r w:rsidRPr="00F4287E">
        <w:t>$3,641,063 in year 1, increasing to $9,123,754 in year 6 in primary care</w:t>
      </w:r>
    </w:p>
    <w:p w14:paraId="213CC132" w14:textId="77777777" w:rsidR="00F4287E" w:rsidRPr="00F4287E" w:rsidRDefault="00F4287E" w:rsidP="00BE36F8">
      <w:pPr>
        <w:pStyle w:val="ListParagraph"/>
        <w:numPr>
          <w:ilvl w:val="0"/>
          <w:numId w:val="39"/>
        </w:numPr>
      </w:pPr>
      <w:r w:rsidRPr="00F4287E">
        <w:t>$24,022,800 in year 1, decreasing to $10,885,142 in year 6 in specialist care.</w:t>
      </w:r>
    </w:p>
    <w:p w14:paraId="32CC5D07" w14:textId="77777777" w:rsidR="00F4287E" w:rsidRPr="00F4287E" w:rsidRDefault="00F4287E" w:rsidP="00F4287E">
      <w:r w:rsidRPr="00F4287E">
        <w:lastRenderedPageBreak/>
        <w:t>MSAC considered these costs to be highly uncertain, because:</w:t>
      </w:r>
    </w:p>
    <w:p w14:paraId="6519A26B" w14:textId="77777777" w:rsidR="00F4287E" w:rsidRPr="00F4287E" w:rsidRDefault="00F4287E" w:rsidP="00BE36F8">
      <w:pPr>
        <w:pStyle w:val="ListParagraph"/>
        <w:numPr>
          <w:ilvl w:val="0"/>
          <w:numId w:val="38"/>
        </w:numPr>
      </w:pPr>
      <w:r w:rsidRPr="00F4287E">
        <w:t xml:space="preserve">Key assumptions, such as the uptake estimate (90% for patients who have a high FIB-4 score), are based on expert opinion only. </w:t>
      </w:r>
    </w:p>
    <w:p w14:paraId="2378CAA6" w14:textId="77777777" w:rsidR="00F4287E" w:rsidRPr="00F4287E" w:rsidRDefault="00F4287E" w:rsidP="00BE36F8">
      <w:pPr>
        <w:pStyle w:val="ListParagraph"/>
        <w:numPr>
          <w:ilvl w:val="0"/>
          <w:numId w:val="38"/>
        </w:numPr>
      </w:pPr>
      <w:r w:rsidRPr="00F4287E">
        <w:t>The population size for testing is highly uncertain.</w:t>
      </w:r>
    </w:p>
    <w:p w14:paraId="6C030BBB" w14:textId="29E7692B" w:rsidR="00F4287E" w:rsidRPr="00F4287E" w:rsidRDefault="00F4287E" w:rsidP="00BE36F8">
      <w:pPr>
        <w:pStyle w:val="ListParagraph"/>
        <w:numPr>
          <w:ilvl w:val="0"/>
          <w:numId w:val="38"/>
        </w:numPr>
      </w:pPr>
      <w:r w:rsidRPr="00F4287E">
        <w:t>Cost offsets may be overestimated</w:t>
      </w:r>
      <w:r w:rsidR="005C1698">
        <w:t xml:space="preserve"> </w:t>
      </w:r>
      <w:r w:rsidR="00D66D03">
        <w:t xml:space="preserve">(particularly given the </w:t>
      </w:r>
      <w:r w:rsidR="00D670D7">
        <w:t xml:space="preserve">cost offsets </w:t>
      </w:r>
      <w:r w:rsidR="002E4F58">
        <w:t>from the inappropriate</w:t>
      </w:r>
      <w:r w:rsidR="00D670D7">
        <w:t xml:space="preserve"> </w:t>
      </w:r>
      <w:r w:rsidR="00D66D03">
        <w:t>use of US as a comparator)</w:t>
      </w:r>
      <w:r w:rsidRPr="00F4287E">
        <w:t>.</w:t>
      </w:r>
    </w:p>
    <w:p w14:paraId="4BE6056F" w14:textId="77777777" w:rsidR="00F4287E" w:rsidRPr="00F4287E" w:rsidRDefault="00F4287E" w:rsidP="00BE36F8">
      <w:pPr>
        <w:pStyle w:val="ListParagraph"/>
        <w:numPr>
          <w:ilvl w:val="0"/>
          <w:numId w:val="38"/>
        </w:numPr>
      </w:pPr>
      <w:r w:rsidRPr="00F4287E">
        <w:t>The total financial impact is estimated to be a cost saving in primary care, which is uncertain given concerns with model.</w:t>
      </w:r>
    </w:p>
    <w:p w14:paraId="526B60F2" w14:textId="2E80CA2A" w:rsidR="00F4287E" w:rsidRPr="00F4287E" w:rsidRDefault="00F4287E" w:rsidP="00F4287E">
      <w:r w:rsidRPr="00F4287E">
        <w:t xml:space="preserve">MSAC did not support </w:t>
      </w:r>
      <w:r w:rsidR="00842084">
        <w:t xml:space="preserve">MBS </w:t>
      </w:r>
      <w:r w:rsidRPr="00F4287E">
        <w:t xml:space="preserve">listing </w:t>
      </w:r>
      <w:r w:rsidR="00842084">
        <w:t xml:space="preserve">of </w:t>
      </w:r>
      <w:r w:rsidRPr="00F4287E">
        <w:t>VCTE™/</w:t>
      </w:r>
      <w:r w:rsidR="00192B67">
        <w:t>FibroScan</w:t>
      </w:r>
      <w:r w:rsidR="00E95C4B">
        <w:t>®</w:t>
      </w:r>
      <w:r w:rsidRPr="00F4287E">
        <w:t xml:space="preserve"> to detect advanced fibrosis in people with MAFLD for the following reasons:</w:t>
      </w:r>
    </w:p>
    <w:p w14:paraId="7C72F3C9" w14:textId="798558CC" w:rsidR="00F4287E" w:rsidRPr="00F4287E" w:rsidRDefault="00F4287E" w:rsidP="00F4287E">
      <w:pPr>
        <w:pStyle w:val="ListParagraph"/>
        <w:numPr>
          <w:ilvl w:val="0"/>
          <w:numId w:val="37"/>
        </w:numPr>
      </w:pPr>
      <w:r w:rsidRPr="00F4287E">
        <w:t xml:space="preserve">There is a lack of </w:t>
      </w:r>
      <w:r w:rsidR="00FE367E">
        <w:t>evidence to support</w:t>
      </w:r>
      <w:r w:rsidRPr="00F4287E">
        <w:t xml:space="preserve"> the clinical claim</w:t>
      </w:r>
      <w:r w:rsidR="00FE367E">
        <w:t xml:space="preserve"> or a change in health outcomes</w:t>
      </w:r>
      <w:r w:rsidR="001F3F0A">
        <w:t xml:space="preserve"> due to use of </w:t>
      </w:r>
      <w:r w:rsidR="00AD05DB">
        <w:t>VCTE</w:t>
      </w:r>
      <w:r w:rsidRPr="00F4287E">
        <w:t xml:space="preserve">. The evidence was </w:t>
      </w:r>
      <w:r w:rsidR="001F3F0A">
        <w:t xml:space="preserve">drawn </w:t>
      </w:r>
      <w:r w:rsidRPr="00F4287E">
        <w:t xml:space="preserve">from </w:t>
      </w:r>
      <w:r w:rsidR="00CB7B0E">
        <w:t>tertiary</w:t>
      </w:r>
      <w:r w:rsidRPr="00F4287E">
        <w:t xml:space="preserve"> populations, the </w:t>
      </w:r>
      <w:r w:rsidR="00AD05DB">
        <w:t>VCTE</w:t>
      </w:r>
      <w:r w:rsidR="00CA28B2">
        <w:t xml:space="preserve"> </w:t>
      </w:r>
      <w:r w:rsidRPr="00F4287E">
        <w:t>threshold</w:t>
      </w:r>
      <w:r w:rsidR="007420C9">
        <w:t xml:space="preserve"> proposed</w:t>
      </w:r>
      <w:r w:rsidRPr="00F4287E">
        <w:t xml:space="preserve"> for </w:t>
      </w:r>
      <w:r w:rsidR="00CA28B2">
        <w:t xml:space="preserve">clinical </w:t>
      </w:r>
      <w:r w:rsidRPr="00F4287E">
        <w:t xml:space="preserve">decision </w:t>
      </w:r>
      <w:r w:rsidR="00CA28B2">
        <w:t>making</w:t>
      </w:r>
      <w:r w:rsidRPr="00F4287E">
        <w:t xml:space="preserve"> differed from the evidence, and the proposed testing strategy and outcomes </w:t>
      </w:r>
      <w:r w:rsidR="001E63B2">
        <w:t xml:space="preserve">were </w:t>
      </w:r>
      <w:r w:rsidR="002462A9">
        <w:t xml:space="preserve">not </w:t>
      </w:r>
      <w:r w:rsidR="001E63B2">
        <w:t xml:space="preserve">supported by </w:t>
      </w:r>
      <w:r w:rsidRPr="00F4287E">
        <w:t>real-world evidence.</w:t>
      </w:r>
      <w:r w:rsidR="00FB391F">
        <w:t xml:space="preserve"> </w:t>
      </w:r>
      <w:r w:rsidR="00FF77BE">
        <w:t xml:space="preserve">MSAC considered </w:t>
      </w:r>
      <w:r w:rsidR="1A7831B5">
        <w:t xml:space="preserve">the </w:t>
      </w:r>
      <w:r w:rsidR="00FF77BE">
        <w:t>evidence</w:t>
      </w:r>
      <w:r w:rsidR="36EA7B04">
        <w:t xml:space="preserve"> provided</w:t>
      </w:r>
      <w:r w:rsidR="00FF77BE">
        <w:t xml:space="preserve"> </w:t>
      </w:r>
      <w:r w:rsidR="37F65B57">
        <w:t xml:space="preserve">to support </w:t>
      </w:r>
      <w:r w:rsidR="00FF77BE">
        <w:t xml:space="preserve">a change in referral patterns was insufficient to suggest improved health outcomes, and </w:t>
      </w:r>
      <w:r w:rsidR="00DE188B">
        <w:t xml:space="preserve">there was no </w:t>
      </w:r>
      <w:r w:rsidR="00CA26B6">
        <w:t xml:space="preserve">evidence </w:t>
      </w:r>
      <w:r w:rsidR="00DE188B">
        <w:t xml:space="preserve">provided for </w:t>
      </w:r>
      <w:r w:rsidR="00CA26B6">
        <w:t xml:space="preserve">change </w:t>
      </w:r>
      <w:r w:rsidR="00DF4A46">
        <w:t>in patient</w:t>
      </w:r>
      <w:r w:rsidR="00CA26B6">
        <w:t xml:space="preserve"> management.</w:t>
      </w:r>
    </w:p>
    <w:p w14:paraId="3EDF4307" w14:textId="49383468" w:rsidR="00F4287E" w:rsidRPr="00F4287E" w:rsidRDefault="00F4287E" w:rsidP="00F4287E">
      <w:pPr>
        <w:pStyle w:val="ListParagraph"/>
        <w:numPr>
          <w:ilvl w:val="0"/>
          <w:numId w:val="37"/>
        </w:numPr>
      </w:pPr>
      <w:r w:rsidRPr="00F4287E">
        <w:t xml:space="preserve">There </w:t>
      </w:r>
      <w:r w:rsidR="00847491">
        <w:t>was</w:t>
      </w:r>
      <w:r w:rsidRPr="00F4287E">
        <w:t xml:space="preserve"> no comparative evidence</w:t>
      </w:r>
      <w:r w:rsidR="00847491">
        <w:t xml:space="preserve"> presented</w:t>
      </w:r>
      <w:r w:rsidRPr="00F4287E">
        <w:t>.</w:t>
      </w:r>
    </w:p>
    <w:p w14:paraId="161B2D46" w14:textId="39CB8F2A" w:rsidR="00F4287E" w:rsidRPr="00F4287E" w:rsidRDefault="00F4287E" w:rsidP="00F4287E">
      <w:pPr>
        <w:pStyle w:val="ListParagraph"/>
        <w:numPr>
          <w:ilvl w:val="0"/>
          <w:numId w:val="37"/>
        </w:numPr>
      </w:pPr>
      <w:r w:rsidRPr="00F4287E">
        <w:t xml:space="preserve">An inappropriate comparator </w:t>
      </w:r>
      <w:r w:rsidR="00890AA4">
        <w:t>(US)</w:t>
      </w:r>
      <w:r w:rsidRPr="00F4287E">
        <w:t xml:space="preserve"> was used, affecting the </w:t>
      </w:r>
      <w:r w:rsidR="00C70C4C">
        <w:t>validity of the</w:t>
      </w:r>
      <w:r w:rsidRPr="00F4287E">
        <w:t xml:space="preserve"> economic evaluation and financial impact.</w:t>
      </w:r>
    </w:p>
    <w:p w14:paraId="2BA4A614" w14:textId="460CF329" w:rsidR="00F4287E" w:rsidRPr="00F4287E" w:rsidRDefault="00F4287E" w:rsidP="00F4287E">
      <w:pPr>
        <w:pStyle w:val="ListParagraph"/>
        <w:numPr>
          <w:ilvl w:val="0"/>
          <w:numId w:val="37"/>
        </w:numPr>
      </w:pPr>
      <w:r w:rsidRPr="00F4287E">
        <w:t xml:space="preserve">The ADAR did not explore </w:t>
      </w:r>
      <w:r w:rsidR="003C7694">
        <w:t xml:space="preserve">the impact of </w:t>
      </w:r>
      <w:r w:rsidRPr="00F4287E">
        <w:t>misclassif</w:t>
      </w:r>
      <w:r w:rsidR="0023642A">
        <w:t xml:space="preserve">ying </w:t>
      </w:r>
      <w:r w:rsidR="00B200AC">
        <w:t xml:space="preserve">liver </w:t>
      </w:r>
      <w:r w:rsidR="0023642A">
        <w:t>fibrosis status</w:t>
      </w:r>
      <w:r w:rsidRPr="00F4287E">
        <w:t xml:space="preserve"> </w:t>
      </w:r>
      <w:r w:rsidR="003C7694">
        <w:t xml:space="preserve">on </w:t>
      </w:r>
      <w:r w:rsidR="00AA15A0">
        <w:t>patient</w:t>
      </w:r>
      <w:r w:rsidR="003C7694">
        <w:t xml:space="preserve"> safety</w:t>
      </w:r>
      <w:r w:rsidRPr="00F4287E">
        <w:t>. The net benefit/harm across the entire</w:t>
      </w:r>
      <w:r w:rsidR="008A6B8A">
        <w:t xml:space="preserve"> proposed</w:t>
      </w:r>
      <w:r w:rsidRPr="00F4287E">
        <w:t xml:space="preserve"> population is unknown.</w:t>
      </w:r>
    </w:p>
    <w:p w14:paraId="66842A53" w14:textId="6DBBFF93" w:rsidR="00F4287E" w:rsidRPr="00F4287E" w:rsidRDefault="00F4287E" w:rsidP="00F4287E">
      <w:pPr>
        <w:pStyle w:val="ListParagraph"/>
        <w:numPr>
          <w:ilvl w:val="0"/>
          <w:numId w:val="37"/>
        </w:numPr>
      </w:pPr>
      <w:r>
        <w:t xml:space="preserve">The economic model is </w:t>
      </w:r>
      <w:r w:rsidR="5D01728B">
        <w:t>unreliable for decision making</w:t>
      </w:r>
      <w:r>
        <w:t xml:space="preserve">. </w:t>
      </w:r>
      <w:r w:rsidR="3BA32E47">
        <w:t xml:space="preserve">MSAC considered </w:t>
      </w:r>
      <w:r w:rsidR="2597E02F">
        <w:t>t</w:t>
      </w:r>
      <w:r>
        <w:t>he cost offsets relating to the comparator will not be realised</w:t>
      </w:r>
      <w:r w:rsidR="001D3110">
        <w:t xml:space="preserve">, </w:t>
      </w:r>
      <w:r w:rsidR="00890AA4">
        <w:t xml:space="preserve">given </w:t>
      </w:r>
      <w:r w:rsidR="001D3110">
        <w:t>that US is</w:t>
      </w:r>
      <w:r w:rsidR="00890AA4">
        <w:t xml:space="preserve"> an inappropriate comparator</w:t>
      </w:r>
      <w:r>
        <w:t xml:space="preserve">, and </w:t>
      </w:r>
      <w:r w:rsidR="6BA8A5F6">
        <w:t xml:space="preserve">that </w:t>
      </w:r>
      <w:r w:rsidR="3EB8491E">
        <w:t xml:space="preserve">the </w:t>
      </w:r>
      <w:r w:rsidR="6BA8A5F6">
        <w:t>estimate</w:t>
      </w:r>
      <w:r w:rsidR="4B787AF6">
        <w:t>d</w:t>
      </w:r>
      <w:r w:rsidR="6BA8A5F6">
        <w:t xml:space="preserve"> </w:t>
      </w:r>
      <w:r>
        <w:t xml:space="preserve">total utilisation </w:t>
      </w:r>
      <w:r w:rsidR="33B4CDAA">
        <w:t xml:space="preserve">was </w:t>
      </w:r>
      <w:r>
        <w:t>based on expert opinion</w:t>
      </w:r>
      <w:r w:rsidR="00D462F9">
        <w:t xml:space="preserve"> </w:t>
      </w:r>
      <w:r w:rsidR="15ECC425">
        <w:t>only.</w:t>
      </w:r>
    </w:p>
    <w:p w14:paraId="7758A2EB" w14:textId="60EFEEA9" w:rsidR="00F4287E" w:rsidRPr="00F4287E" w:rsidRDefault="00F4287E" w:rsidP="00F4287E">
      <w:r w:rsidRPr="00F4287E">
        <w:t xml:space="preserve">MSAC </w:t>
      </w:r>
      <w:r w:rsidR="364DD324">
        <w:t xml:space="preserve">advised </w:t>
      </w:r>
      <w:r>
        <w:t>that</w:t>
      </w:r>
      <w:r w:rsidRPr="00F4287E">
        <w:t xml:space="preserve"> </w:t>
      </w:r>
      <w:r w:rsidR="008A6B8A">
        <w:t xml:space="preserve">if </w:t>
      </w:r>
      <w:r w:rsidR="00FF3C93">
        <w:t xml:space="preserve">this matter were to be reconsidered a resubmission should </w:t>
      </w:r>
      <w:r w:rsidRPr="00F4287E">
        <w:t>include the following:</w:t>
      </w:r>
    </w:p>
    <w:p w14:paraId="1E6EF960" w14:textId="3017F959" w:rsidR="00F4287E" w:rsidRPr="00F4287E" w:rsidRDefault="00F4287E" w:rsidP="00F4287E">
      <w:pPr>
        <w:pStyle w:val="ListParagraph"/>
        <w:numPr>
          <w:ilvl w:val="0"/>
          <w:numId w:val="36"/>
        </w:numPr>
      </w:pPr>
      <w:r w:rsidRPr="00F4287E">
        <w:t xml:space="preserve">Evidence </w:t>
      </w:r>
      <w:r w:rsidR="00017269">
        <w:t xml:space="preserve">from the </w:t>
      </w:r>
      <w:r w:rsidRPr="00F4287E">
        <w:t>primary care</w:t>
      </w:r>
      <w:r w:rsidR="003279C3">
        <w:t xml:space="preserve"> </w:t>
      </w:r>
      <w:r w:rsidRPr="00F4287E">
        <w:t>population</w:t>
      </w:r>
      <w:r w:rsidR="00206FCD">
        <w:t xml:space="preserve"> that show</w:t>
      </w:r>
      <w:r w:rsidR="00975BD0">
        <w:t>s</w:t>
      </w:r>
      <w:r w:rsidR="00206FCD">
        <w:t xml:space="preserve"> changes in clinical management that </w:t>
      </w:r>
      <w:r w:rsidR="00310AAA">
        <w:t>lead to</w:t>
      </w:r>
      <w:r w:rsidR="00206FCD">
        <w:t xml:space="preserve"> improve</w:t>
      </w:r>
      <w:r w:rsidR="00310AAA">
        <w:t>d</w:t>
      </w:r>
      <w:r w:rsidR="00206FCD">
        <w:t xml:space="preserve"> clinical outcomes</w:t>
      </w:r>
      <w:r w:rsidR="00565FF7">
        <w:t xml:space="preserve"> due to </w:t>
      </w:r>
      <w:r w:rsidR="00AD05DB">
        <w:t>VCTE</w:t>
      </w:r>
      <w:r w:rsidR="00565FF7">
        <w:t xml:space="preserve"> testing</w:t>
      </w:r>
      <w:r w:rsidR="004F67E5" w:rsidRPr="00F4287E">
        <w:t xml:space="preserve">, noting that lifestyle modification is standard for all MAFLD patients </w:t>
      </w:r>
      <w:r w:rsidR="00361360">
        <w:t xml:space="preserve">regardless of </w:t>
      </w:r>
      <w:r w:rsidR="00367C1F">
        <w:t xml:space="preserve">liver </w:t>
      </w:r>
      <w:r w:rsidR="00361360">
        <w:t>fibrosis status</w:t>
      </w:r>
      <w:r w:rsidR="00217CF4">
        <w:t xml:space="preserve"> </w:t>
      </w:r>
      <w:r w:rsidR="004F67E5" w:rsidRPr="00F4287E">
        <w:t xml:space="preserve">and there are currently no therapies </w:t>
      </w:r>
      <w:r w:rsidR="73D4A849">
        <w:t>available in Australia</w:t>
      </w:r>
      <w:r w:rsidR="004F67E5">
        <w:t xml:space="preserve"> specifically </w:t>
      </w:r>
      <w:r w:rsidR="00496DEF">
        <w:t>to treat</w:t>
      </w:r>
      <w:r w:rsidR="004F67E5" w:rsidRPr="00F4287E">
        <w:t xml:space="preserve"> MAFLD</w:t>
      </w:r>
      <w:r w:rsidR="00017269">
        <w:t xml:space="preserve">. </w:t>
      </w:r>
    </w:p>
    <w:p w14:paraId="22618FD9" w14:textId="5E196CBE" w:rsidR="00F4287E" w:rsidRDefault="28A8BBB9" w:rsidP="00F4287E">
      <w:pPr>
        <w:pStyle w:val="ListParagraph"/>
        <w:numPr>
          <w:ilvl w:val="0"/>
          <w:numId w:val="36"/>
        </w:numPr>
      </w:pPr>
      <w:r>
        <w:t>E</w:t>
      </w:r>
      <w:r w:rsidR="00F4287E">
        <w:t xml:space="preserve">vidence </w:t>
      </w:r>
      <w:r w:rsidR="00643547">
        <w:t xml:space="preserve">supporting </w:t>
      </w:r>
      <w:r w:rsidR="00F4287E">
        <w:t xml:space="preserve">the proposed testing strategy (FIB-4 followed by </w:t>
      </w:r>
      <w:r w:rsidR="00AD05DB">
        <w:t>VCTE</w:t>
      </w:r>
      <w:r w:rsidR="00F4287E">
        <w:t>).</w:t>
      </w:r>
    </w:p>
    <w:p w14:paraId="7F637B73" w14:textId="1DD88261" w:rsidR="005A5F09" w:rsidRPr="00F4287E" w:rsidRDefault="00B365DF" w:rsidP="00F4287E">
      <w:pPr>
        <w:pStyle w:val="ListParagraph"/>
        <w:numPr>
          <w:ilvl w:val="0"/>
          <w:numId w:val="36"/>
        </w:numPr>
      </w:pPr>
      <w:r>
        <w:t>Clinical e</w:t>
      </w:r>
      <w:r w:rsidR="0019201A">
        <w:t xml:space="preserve">vidence </w:t>
      </w:r>
      <w:r w:rsidR="000B46FF">
        <w:t>to support the claim of</w:t>
      </w:r>
      <w:r w:rsidR="0019201A">
        <w:t xml:space="preserve"> </w:t>
      </w:r>
      <w:r w:rsidR="006516E8">
        <w:t>proprietar</w:t>
      </w:r>
      <w:r w:rsidR="00A637EC">
        <w:t xml:space="preserve">y </w:t>
      </w:r>
      <w:r w:rsidR="00AD05DB">
        <w:t>VCTE</w:t>
      </w:r>
      <w:r w:rsidR="008E2B93">
        <w:t>/</w:t>
      </w:r>
      <w:r w:rsidR="00192B67">
        <w:t>FibroScan</w:t>
      </w:r>
      <w:r w:rsidR="00C04349">
        <w:t xml:space="preserve"> </w:t>
      </w:r>
      <w:r w:rsidR="000B46FF">
        <w:t xml:space="preserve">superiority </w:t>
      </w:r>
      <w:r w:rsidR="00C04349">
        <w:t xml:space="preserve">over other devices that deliver </w:t>
      </w:r>
      <w:r w:rsidR="000036D1">
        <w:t>transient elastography</w:t>
      </w:r>
      <w:r w:rsidR="007B76F7">
        <w:t>.</w:t>
      </w:r>
    </w:p>
    <w:p w14:paraId="13D8459C" w14:textId="4F41E927" w:rsidR="00F4287E" w:rsidRPr="00F4287E" w:rsidRDefault="5D0B3E18" w:rsidP="00F4287E">
      <w:pPr>
        <w:pStyle w:val="ListParagraph"/>
        <w:numPr>
          <w:ilvl w:val="0"/>
          <w:numId w:val="36"/>
        </w:numPr>
      </w:pPr>
      <w:r>
        <w:t xml:space="preserve">Quantifying the effects of different </w:t>
      </w:r>
      <w:r w:rsidR="002A48B3">
        <w:t xml:space="preserve">LSM </w:t>
      </w:r>
      <w:r w:rsidR="00F4287E">
        <w:t>threshold</w:t>
      </w:r>
      <w:r w:rsidR="214AD6FB">
        <w:t>s</w:t>
      </w:r>
      <w:r w:rsidR="00F4287E">
        <w:t xml:space="preserve"> (such as </w:t>
      </w:r>
      <w:r w:rsidR="00E437E4">
        <w:t xml:space="preserve">a </w:t>
      </w:r>
      <w:r w:rsidR="00F4287E">
        <w:t>12 k</w:t>
      </w:r>
      <w:r w:rsidR="054315D0">
        <w:t>P</w:t>
      </w:r>
      <w:r w:rsidR="00F4287E">
        <w:t>a</w:t>
      </w:r>
      <w:r w:rsidR="00BC7EB0">
        <w:t xml:space="preserve"> rule-in</w:t>
      </w:r>
      <w:r w:rsidR="5B1E0E91">
        <w:t xml:space="preserve"> threshold</w:t>
      </w:r>
      <w:r w:rsidR="00F4287E">
        <w:t xml:space="preserve">) for </w:t>
      </w:r>
      <w:r w:rsidR="00AD05DB">
        <w:t>VCTE</w:t>
      </w:r>
      <w:r w:rsidR="00F4287E">
        <w:t xml:space="preserve"> that align</w:t>
      </w:r>
      <w:r w:rsidR="4CB5ED6A">
        <w:t>s</w:t>
      </w:r>
      <w:r w:rsidR="00F4287E">
        <w:t xml:space="preserve"> with thresholds identified in the literature </w:t>
      </w:r>
      <w:r w:rsidR="00B958BD">
        <w:t xml:space="preserve">as </w:t>
      </w:r>
      <w:r w:rsidR="301B5870">
        <w:t xml:space="preserve">being more </w:t>
      </w:r>
      <w:r w:rsidR="572C08E0">
        <w:t xml:space="preserve">appropriate </w:t>
      </w:r>
      <w:r w:rsidR="6C76D1CA">
        <w:t>f</w:t>
      </w:r>
      <w:r w:rsidR="301B5870">
        <w:t>or risk stratification</w:t>
      </w:r>
      <w:r w:rsidR="00F4287E">
        <w:t xml:space="preserve">. This would reduce </w:t>
      </w:r>
      <w:r w:rsidR="2DE90C4F">
        <w:t xml:space="preserve">the number of </w:t>
      </w:r>
      <w:r w:rsidR="006B738F">
        <w:t>false positive</w:t>
      </w:r>
      <w:r w:rsidR="00A5CCC2">
        <w:t xml:space="preserve"> result</w:t>
      </w:r>
      <w:r w:rsidR="006B738F">
        <w:t>s</w:t>
      </w:r>
      <w:r w:rsidR="00F4287E">
        <w:t xml:space="preserve">. </w:t>
      </w:r>
      <w:r w:rsidR="00BA3A6D">
        <w:t xml:space="preserve">While </w:t>
      </w:r>
      <w:r w:rsidR="00F4287E">
        <w:t>MSAC acknowledged that the 8 k</w:t>
      </w:r>
      <w:r w:rsidR="19390BDF">
        <w:t>P</w:t>
      </w:r>
      <w:r w:rsidR="00F4287E">
        <w:t xml:space="preserve">a </w:t>
      </w:r>
      <w:r w:rsidR="3C052684">
        <w:t xml:space="preserve">threshold </w:t>
      </w:r>
      <w:r w:rsidR="00E97834">
        <w:t xml:space="preserve">for </w:t>
      </w:r>
      <w:r w:rsidR="00AD05DB">
        <w:t>VCTE</w:t>
      </w:r>
      <w:r w:rsidR="00E97834">
        <w:t xml:space="preserve"> </w:t>
      </w:r>
      <w:r w:rsidR="00F4287E">
        <w:t xml:space="preserve">aligns with expert consensus, this is not supported by the available </w:t>
      </w:r>
      <w:r w:rsidR="00864CEA">
        <w:t xml:space="preserve">evidence </w:t>
      </w:r>
      <w:r w:rsidR="00F4287E">
        <w:t xml:space="preserve">and the HTA process requires that the highest-quality evidence </w:t>
      </w:r>
      <w:r w:rsidR="49802DFF">
        <w:t>is</w:t>
      </w:r>
      <w:r w:rsidR="00F4287E">
        <w:t xml:space="preserve"> used. </w:t>
      </w:r>
    </w:p>
    <w:p w14:paraId="6AF339FA" w14:textId="732E07FD" w:rsidR="00F4287E" w:rsidRPr="00F4287E" w:rsidRDefault="00AE13AB" w:rsidP="00F4287E">
      <w:pPr>
        <w:pStyle w:val="ListParagraph"/>
        <w:numPr>
          <w:ilvl w:val="0"/>
          <w:numId w:val="36"/>
        </w:numPr>
      </w:pPr>
      <w:r>
        <w:t>Evidence on</w:t>
      </w:r>
      <w:r w:rsidR="006D3AA1">
        <w:t>,</w:t>
      </w:r>
      <w:r w:rsidR="00B8743A">
        <w:t xml:space="preserve"> and discussion of</w:t>
      </w:r>
      <w:r w:rsidR="006D3AA1">
        <w:t>,</w:t>
      </w:r>
      <w:r w:rsidR="00F4287E" w:rsidRPr="00F4287E">
        <w:t xml:space="preserve"> misclassification rates and </w:t>
      </w:r>
      <w:r w:rsidR="00F1525C">
        <w:t xml:space="preserve">the </w:t>
      </w:r>
      <w:r w:rsidR="00F4287E" w:rsidRPr="00F4287E">
        <w:t xml:space="preserve">consequences of </w:t>
      </w:r>
      <w:r w:rsidR="002E4FF9">
        <w:t>false positive</w:t>
      </w:r>
      <w:r w:rsidR="00F4287E" w:rsidRPr="00F4287E">
        <w:t>s and false negatives.</w:t>
      </w:r>
    </w:p>
    <w:p w14:paraId="06FAC351" w14:textId="12986DD2" w:rsidR="00F4287E" w:rsidRPr="00F4287E" w:rsidRDefault="004E5699" w:rsidP="00F4287E">
      <w:pPr>
        <w:pStyle w:val="ListParagraph"/>
        <w:numPr>
          <w:ilvl w:val="0"/>
          <w:numId w:val="36"/>
        </w:numPr>
      </w:pPr>
      <w:r>
        <w:t>D</w:t>
      </w:r>
      <w:r w:rsidR="00635CCC">
        <w:t xml:space="preserve">iscussion of </w:t>
      </w:r>
      <w:r w:rsidR="0025368F">
        <w:t>appropriate</w:t>
      </w:r>
      <w:r w:rsidR="00F4287E" w:rsidRPr="00F4287E">
        <w:t xml:space="preserve"> FIB-4 cutoffs across different age groups (such as </w:t>
      </w:r>
      <w:r w:rsidR="00634C5D">
        <w:t xml:space="preserve">FIB-4 of </w:t>
      </w:r>
      <w:r w:rsidR="00F4287E" w:rsidRPr="00F4287E">
        <w:t>2.0 in adults aged &gt;65 years)</w:t>
      </w:r>
      <w:r w:rsidR="00691EF1">
        <w:t>,</w:t>
      </w:r>
      <w:r w:rsidR="00427FF9">
        <w:t xml:space="preserve"> </w:t>
      </w:r>
      <w:r w:rsidR="00F7132E">
        <w:t xml:space="preserve">given </w:t>
      </w:r>
      <w:r w:rsidR="00427FF9">
        <w:t>th</w:t>
      </w:r>
      <w:r w:rsidR="003E37EC">
        <w:t>at</w:t>
      </w:r>
      <w:r w:rsidR="00427FF9">
        <w:t xml:space="preserve"> inter</w:t>
      </w:r>
      <w:r w:rsidR="000D5E52">
        <w:t xml:space="preserve">pretation </w:t>
      </w:r>
      <w:r w:rsidR="00224F40">
        <w:t>o</w:t>
      </w:r>
      <w:r w:rsidR="000D5E52">
        <w:t>f FIB-</w:t>
      </w:r>
      <w:r w:rsidR="00EE362A">
        <w:t>4 values var</w:t>
      </w:r>
      <w:r w:rsidR="00224F40">
        <w:t>ies</w:t>
      </w:r>
      <w:r w:rsidR="00EE362A">
        <w:t xml:space="preserve"> with age</w:t>
      </w:r>
      <w:r w:rsidR="00F4287E" w:rsidRPr="00F4287E">
        <w:t>.</w:t>
      </w:r>
    </w:p>
    <w:p w14:paraId="3F31CD4D" w14:textId="0212B8FD" w:rsidR="00F4287E" w:rsidRDefault="0004198A" w:rsidP="00F4287E">
      <w:pPr>
        <w:pStyle w:val="ListParagraph"/>
        <w:numPr>
          <w:ilvl w:val="0"/>
          <w:numId w:val="36"/>
        </w:numPr>
      </w:pPr>
      <w:r>
        <w:t>A</w:t>
      </w:r>
      <w:r w:rsidR="00F4287E" w:rsidRPr="00F4287E">
        <w:t xml:space="preserve"> cost-utility analysis for the economic evaluation</w:t>
      </w:r>
      <w:r>
        <w:t xml:space="preserve"> would be strongly preferred in order to </w:t>
      </w:r>
      <w:r w:rsidR="00C06AC7">
        <w:t xml:space="preserve">take account of </w:t>
      </w:r>
      <w:r w:rsidR="00477A28">
        <w:t>changes in health outcomes from improved risk stratification</w:t>
      </w:r>
      <w:r w:rsidR="00F4287E" w:rsidRPr="00F4287E">
        <w:t>.</w:t>
      </w:r>
    </w:p>
    <w:p w14:paraId="30972FC4" w14:textId="15ADE469" w:rsidR="00F15913" w:rsidRPr="00F4287E" w:rsidRDefault="00575367" w:rsidP="00153EF9">
      <w:pPr>
        <w:pStyle w:val="ListParagraph"/>
        <w:numPr>
          <w:ilvl w:val="0"/>
          <w:numId w:val="36"/>
        </w:numPr>
      </w:pPr>
      <w:r>
        <w:lastRenderedPageBreak/>
        <w:t>T</w:t>
      </w:r>
      <w:r w:rsidR="004E7038">
        <w:t>o</w:t>
      </w:r>
      <w:r w:rsidR="004E7038" w:rsidRPr="00F4287E">
        <w:t xml:space="preserve"> address </w:t>
      </w:r>
      <w:r>
        <w:t xml:space="preserve">issues of patient </w:t>
      </w:r>
      <w:r w:rsidR="004E7038" w:rsidRPr="00F4287E">
        <w:t>equity</w:t>
      </w:r>
      <w:r>
        <w:t xml:space="preserve">, </w:t>
      </w:r>
      <w:r w:rsidR="005639C3">
        <w:t xml:space="preserve">consideration of other types of liver disease where </w:t>
      </w:r>
      <w:r w:rsidR="00AD05DB">
        <w:t>VCTE</w:t>
      </w:r>
      <w:r w:rsidR="005639C3">
        <w:t xml:space="preserve"> </w:t>
      </w:r>
      <w:r w:rsidR="0004341B">
        <w:t xml:space="preserve">technology </w:t>
      </w:r>
      <w:r w:rsidR="002658BF">
        <w:t>c</w:t>
      </w:r>
      <w:r w:rsidR="005639C3">
        <w:t>ould be beneficial</w:t>
      </w:r>
      <w:r w:rsidR="51676CD0">
        <w:t>, noting that evidence of improved patient outcomes would also be required for these other types of liver disease</w:t>
      </w:r>
      <w:r w:rsidR="005639C3">
        <w:t>.</w:t>
      </w:r>
    </w:p>
    <w:p w14:paraId="6710B69D" w14:textId="615C6897" w:rsidR="00772829" w:rsidRPr="00CE28E3" w:rsidRDefault="0018750D" w:rsidP="002A18BE">
      <w:pPr>
        <w:pStyle w:val="Heading2"/>
        <w:numPr>
          <w:ilvl w:val="0"/>
          <w:numId w:val="0"/>
        </w:numPr>
      </w:pPr>
      <w:r>
        <w:t>4.</w:t>
      </w:r>
      <w:r>
        <w:tab/>
      </w:r>
      <w:r w:rsidR="00772829" w:rsidRPr="00CE28E3">
        <w:t>Background</w:t>
      </w:r>
      <w:bookmarkEnd w:id="4"/>
    </w:p>
    <w:p w14:paraId="6F311894" w14:textId="563C6896" w:rsidR="005874BA" w:rsidRPr="005874BA" w:rsidRDefault="00143F45" w:rsidP="00C95AE6">
      <w:pPr>
        <w:pStyle w:val="Guidelinescross-ref"/>
        <w:spacing w:before="0" w:after="120"/>
        <w:rPr>
          <w:b w:val="0"/>
          <w:color w:val="auto"/>
          <w:sz w:val="22"/>
        </w:rPr>
      </w:pPr>
      <w:bookmarkStart w:id="11" w:name="_Hlk69734494"/>
      <w:r w:rsidRPr="005A0DBD">
        <w:rPr>
          <w:b w:val="0"/>
          <w:color w:val="auto"/>
          <w:sz w:val="22"/>
        </w:rPr>
        <w:t xml:space="preserve">The Medical Services Advisory Committee (MSAC) previously evaluated transient elastography (TE) under Application 1366 in March 2016. This application, submitted by Medical Technologies Australia Pty Ltd, sought a new Medicare Benefits Schedule (MBS) listing for TE at 50Hz to diagnose liver fibrosis in patients with confirmed </w:t>
      </w:r>
      <w:r w:rsidR="00743BBA">
        <w:rPr>
          <w:b w:val="0"/>
          <w:color w:val="auto"/>
          <w:sz w:val="22"/>
        </w:rPr>
        <w:t xml:space="preserve">chronic </w:t>
      </w:r>
      <w:r w:rsidRPr="005A0DBD">
        <w:rPr>
          <w:b w:val="0"/>
          <w:color w:val="auto"/>
          <w:sz w:val="22"/>
        </w:rPr>
        <w:t xml:space="preserve">hepatitis B or C. </w:t>
      </w:r>
      <w:r w:rsidR="00F41592" w:rsidRPr="00B95C66">
        <w:rPr>
          <w:b w:val="0"/>
          <w:color w:val="auto"/>
          <w:sz w:val="22"/>
        </w:rPr>
        <w:t>Although MSAC acknowledged TE’s safety and convenience over biopsy, it concluded that TE does not offer sufficient incremental benefit to justify public funding under the MBS.</w:t>
      </w:r>
      <w:r w:rsidR="00F41592">
        <w:rPr>
          <w:b w:val="0"/>
          <w:color w:val="auto"/>
          <w:sz w:val="22"/>
        </w:rPr>
        <w:t xml:space="preserve"> </w:t>
      </w:r>
      <w:r w:rsidRPr="005A0DBD">
        <w:rPr>
          <w:b w:val="0"/>
          <w:color w:val="auto"/>
          <w:sz w:val="22"/>
        </w:rPr>
        <w:t xml:space="preserve">MSAC acknowledged that TE was being used in routine clinical practice by hepatologists, </w:t>
      </w:r>
      <w:r w:rsidR="00D7631D">
        <w:rPr>
          <w:b w:val="0"/>
          <w:color w:val="auto"/>
          <w:sz w:val="22"/>
        </w:rPr>
        <w:t xml:space="preserve">but </w:t>
      </w:r>
      <w:r w:rsidRPr="005A0DBD">
        <w:rPr>
          <w:b w:val="0"/>
          <w:color w:val="auto"/>
          <w:sz w:val="22"/>
        </w:rPr>
        <w:t xml:space="preserve">it found little evidence that TE use leads to changes in treatment decisions or improved patient outcomes for </w:t>
      </w:r>
      <w:r w:rsidR="0023162D">
        <w:rPr>
          <w:b w:val="0"/>
          <w:color w:val="auto"/>
          <w:sz w:val="22"/>
        </w:rPr>
        <w:t>patients with</w:t>
      </w:r>
      <w:r w:rsidR="00743BBA">
        <w:rPr>
          <w:b w:val="0"/>
          <w:color w:val="auto"/>
          <w:sz w:val="22"/>
        </w:rPr>
        <w:t xml:space="preserve"> chronic </w:t>
      </w:r>
      <w:r w:rsidRPr="005A0DBD">
        <w:rPr>
          <w:b w:val="0"/>
          <w:color w:val="auto"/>
          <w:sz w:val="22"/>
        </w:rPr>
        <w:t xml:space="preserve">hepatitis B (HBV) or hepatitis C (HCV). </w:t>
      </w:r>
    </w:p>
    <w:p w14:paraId="1AC53F8E" w14:textId="09EBDB9A" w:rsidR="002B0BFA" w:rsidRPr="00011E2B" w:rsidRDefault="00EE4BFC" w:rsidP="00C95AE6">
      <w:pPr>
        <w:pStyle w:val="Guidelinescross-ref"/>
        <w:spacing w:before="0"/>
        <w:rPr>
          <w:b w:val="0"/>
          <w:color w:val="auto"/>
          <w:sz w:val="22"/>
        </w:rPr>
      </w:pPr>
      <w:r w:rsidRPr="00B95C66">
        <w:rPr>
          <w:b w:val="0"/>
          <w:bCs/>
          <w:color w:val="auto"/>
          <w:sz w:val="22"/>
        </w:rPr>
        <w:t xml:space="preserve">MSAC also previously evaluated Hepascore under Application 1446 in November 2020. Hepascore, a serum-based fibrosis panel, is recognised in MAFLD consensus guidelines as a second-line test following FIB-4 for liver fibrosis assessment in patients with </w:t>
      </w:r>
      <w:r w:rsidRPr="00B95C66" w:rsidDel="00152638">
        <w:rPr>
          <w:b w:val="0"/>
          <w:bCs/>
          <w:color w:val="auto"/>
          <w:sz w:val="22"/>
        </w:rPr>
        <w:t xml:space="preserve">chronic </w:t>
      </w:r>
      <w:r w:rsidR="00C73E5D">
        <w:rPr>
          <w:b w:val="0"/>
          <w:bCs/>
          <w:color w:val="auto"/>
          <w:sz w:val="22"/>
        </w:rPr>
        <w:t>H</w:t>
      </w:r>
      <w:r w:rsidR="007410A9">
        <w:rPr>
          <w:b w:val="0"/>
          <w:bCs/>
          <w:color w:val="auto"/>
          <w:sz w:val="22"/>
        </w:rPr>
        <w:t>CV</w:t>
      </w:r>
      <w:r w:rsidRPr="00B95C66">
        <w:rPr>
          <w:b w:val="0"/>
          <w:bCs/>
          <w:color w:val="auto"/>
          <w:sz w:val="22"/>
        </w:rPr>
        <w:t xml:space="preserve"> or </w:t>
      </w:r>
      <w:r w:rsidR="00442C7A">
        <w:rPr>
          <w:b w:val="0"/>
          <w:bCs/>
          <w:color w:val="auto"/>
          <w:sz w:val="22"/>
        </w:rPr>
        <w:t xml:space="preserve">chronic </w:t>
      </w:r>
      <w:r w:rsidR="007410A9">
        <w:rPr>
          <w:b w:val="0"/>
          <w:bCs/>
          <w:color w:val="auto"/>
          <w:sz w:val="22"/>
        </w:rPr>
        <w:t>HBV</w:t>
      </w:r>
      <w:r w:rsidRPr="00B95C66">
        <w:rPr>
          <w:b w:val="0"/>
          <w:bCs/>
          <w:color w:val="auto"/>
          <w:sz w:val="22"/>
        </w:rPr>
        <w:t xml:space="preserve">. MSAC concluded that Hepascore offered limited additional clinical value over existing tests and was unlikely to meaningfully improve patient management or health outcomes for </w:t>
      </w:r>
      <w:r w:rsidR="00F22417">
        <w:rPr>
          <w:b w:val="0"/>
          <w:bCs/>
          <w:color w:val="auto"/>
          <w:sz w:val="22"/>
        </w:rPr>
        <w:t>HBV</w:t>
      </w:r>
      <w:r w:rsidR="00F22417" w:rsidRPr="00B95C66">
        <w:rPr>
          <w:b w:val="0"/>
          <w:bCs/>
          <w:color w:val="auto"/>
          <w:sz w:val="22"/>
        </w:rPr>
        <w:t xml:space="preserve"> </w:t>
      </w:r>
      <w:r w:rsidRPr="00B95C66">
        <w:rPr>
          <w:b w:val="0"/>
          <w:bCs/>
          <w:color w:val="auto"/>
          <w:sz w:val="22"/>
        </w:rPr>
        <w:t xml:space="preserve">or </w:t>
      </w:r>
      <w:r w:rsidR="00F22417">
        <w:rPr>
          <w:b w:val="0"/>
          <w:bCs/>
          <w:color w:val="auto"/>
          <w:sz w:val="22"/>
        </w:rPr>
        <w:t>HCV</w:t>
      </w:r>
      <w:r w:rsidRPr="00B95C66">
        <w:rPr>
          <w:b w:val="0"/>
          <w:bCs/>
          <w:color w:val="auto"/>
          <w:sz w:val="22"/>
        </w:rPr>
        <w:t xml:space="preserve">. Furthermore, MSAC identified significant flaws in the economic model, rendering it unreliable for funding decisions. </w:t>
      </w:r>
      <w:r w:rsidR="00106622">
        <w:rPr>
          <w:b w:val="0"/>
          <w:bCs/>
          <w:color w:val="auto"/>
          <w:sz w:val="22"/>
        </w:rPr>
        <w:t>MSAC</w:t>
      </w:r>
      <w:r w:rsidRPr="00B95C66">
        <w:rPr>
          <w:b w:val="0"/>
          <w:bCs/>
          <w:color w:val="auto"/>
          <w:sz w:val="22"/>
        </w:rPr>
        <w:t xml:space="preserve"> also noted that the proposed MBS fee was lower than the current charge by pathology providers, potentially leading to out-of-pocket expenses for patients.</w:t>
      </w:r>
      <w:r w:rsidR="00486FC1">
        <w:rPr>
          <w:b w:val="0"/>
          <w:bCs/>
          <w:color w:val="auto"/>
          <w:sz w:val="22"/>
        </w:rPr>
        <w:t xml:space="preserve"> </w:t>
      </w:r>
    </w:p>
    <w:p w14:paraId="1108BE3A" w14:textId="19354B85" w:rsidR="00E14D94" w:rsidRPr="00011E2B" w:rsidRDefault="00F047AD" w:rsidP="00011E2B">
      <w:pPr>
        <w:pStyle w:val="Guidelinescross-ref"/>
        <w:spacing w:before="0"/>
        <w:rPr>
          <w:b w:val="0"/>
          <w:color w:val="auto"/>
          <w:sz w:val="22"/>
        </w:rPr>
      </w:pPr>
      <w:r>
        <w:rPr>
          <w:b w:val="0"/>
          <w:color w:val="auto"/>
          <w:sz w:val="22"/>
        </w:rPr>
        <w:fldChar w:fldCharType="begin"/>
      </w:r>
      <w:r>
        <w:rPr>
          <w:b w:val="0"/>
          <w:color w:val="auto"/>
          <w:sz w:val="22"/>
        </w:rPr>
        <w:instrText xml:space="preserve"> REF _Ref69480768 \h  \* MERGEFORMAT </w:instrText>
      </w:r>
      <w:r>
        <w:rPr>
          <w:b w:val="0"/>
          <w:color w:val="auto"/>
          <w:sz w:val="22"/>
        </w:rPr>
      </w:r>
      <w:r>
        <w:rPr>
          <w:b w:val="0"/>
          <w:color w:val="auto"/>
          <w:sz w:val="22"/>
        </w:rPr>
        <w:fldChar w:fldCharType="separate"/>
      </w:r>
      <w:r w:rsidR="00CE1B54" w:rsidRPr="00CE1B54">
        <w:rPr>
          <w:b w:val="0"/>
          <w:color w:val="auto"/>
          <w:sz w:val="22"/>
        </w:rPr>
        <w:t>Table 1</w:t>
      </w:r>
      <w:r>
        <w:rPr>
          <w:b w:val="0"/>
          <w:color w:val="auto"/>
          <w:sz w:val="22"/>
        </w:rPr>
        <w:fldChar w:fldCharType="end"/>
      </w:r>
      <w:r>
        <w:rPr>
          <w:b w:val="0"/>
          <w:color w:val="auto"/>
          <w:sz w:val="22"/>
        </w:rPr>
        <w:t xml:space="preserve"> </w:t>
      </w:r>
      <w:r w:rsidR="00106622">
        <w:rPr>
          <w:b w:val="0"/>
          <w:color w:val="auto"/>
          <w:sz w:val="22"/>
        </w:rPr>
        <w:t>provides an</w:t>
      </w:r>
      <w:r w:rsidR="001C7A59">
        <w:rPr>
          <w:b w:val="0"/>
          <w:color w:val="auto"/>
          <w:sz w:val="22"/>
        </w:rPr>
        <w:t xml:space="preserve"> </w:t>
      </w:r>
      <w:r w:rsidR="005F6E16">
        <w:rPr>
          <w:b w:val="0"/>
          <w:color w:val="auto"/>
          <w:sz w:val="22"/>
        </w:rPr>
        <w:t>o</w:t>
      </w:r>
      <w:r w:rsidR="005F6E16" w:rsidRPr="005F6E16">
        <w:rPr>
          <w:b w:val="0"/>
          <w:color w:val="auto"/>
          <w:sz w:val="22"/>
        </w:rPr>
        <w:t xml:space="preserve">verview of </w:t>
      </w:r>
      <w:r w:rsidR="00B514CF">
        <w:rPr>
          <w:b w:val="0"/>
          <w:color w:val="auto"/>
          <w:sz w:val="22"/>
        </w:rPr>
        <w:t>key concerns identified by MSAC</w:t>
      </w:r>
      <w:r w:rsidR="005F6E16" w:rsidRPr="005F6E16">
        <w:rPr>
          <w:b w:val="0"/>
          <w:color w:val="auto"/>
          <w:sz w:val="22"/>
        </w:rPr>
        <w:t xml:space="preserve"> in </w:t>
      </w:r>
      <w:r w:rsidR="005F6E16">
        <w:rPr>
          <w:b w:val="0"/>
          <w:color w:val="auto"/>
          <w:sz w:val="22"/>
        </w:rPr>
        <w:t>a</w:t>
      </w:r>
      <w:r w:rsidR="005F6E16" w:rsidRPr="005F6E16">
        <w:rPr>
          <w:b w:val="0"/>
          <w:color w:val="auto"/>
          <w:sz w:val="22"/>
        </w:rPr>
        <w:t>pplications 1366 and 1446</w:t>
      </w:r>
      <w:r w:rsidR="00B514CF">
        <w:rPr>
          <w:b w:val="0"/>
          <w:color w:val="auto"/>
          <w:sz w:val="22"/>
        </w:rPr>
        <w:t>, with evaluation comments on how these concerns may apply to 1797</w:t>
      </w:r>
      <w:r w:rsidR="001C7A59">
        <w:rPr>
          <w:b w:val="0"/>
          <w:color w:val="auto"/>
          <w:sz w:val="22"/>
        </w:rPr>
        <w:t>.</w:t>
      </w:r>
    </w:p>
    <w:p w14:paraId="6EC12EDF" w14:textId="764263A5" w:rsidR="0068682C" w:rsidRPr="00CE28E3" w:rsidRDefault="0068682C" w:rsidP="00F047AD">
      <w:pPr>
        <w:pStyle w:val="Caption"/>
        <w:spacing w:before="0" w:after="0"/>
      </w:pPr>
      <w:bookmarkStart w:id="12" w:name="_Ref69480768"/>
      <w:bookmarkStart w:id="13" w:name="_Hlk69734557"/>
      <w:bookmarkEnd w:id="11"/>
      <w:r w:rsidRPr="00CE28E3">
        <w:t>Table</w:t>
      </w:r>
      <w:r w:rsidR="004A4FDF">
        <w:t> </w:t>
      </w:r>
      <w:r w:rsidR="003D48F8">
        <w:fldChar w:fldCharType="begin"/>
      </w:r>
      <w:r w:rsidR="003D48F8">
        <w:instrText xml:space="preserve"> SEQ Table \* ARABIC </w:instrText>
      </w:r>
      <w:r w:rsidR="003D48F8">
        <w:fldChar w:fldCharType="separate"/>
      </w:r>
      <w:r w:rsidR="003D48F8">
        <w:rPr>
          <w:noProof/>
        </w:rPr>
        <w:t>1</w:t>
      </w:r>
      <w:r w:rsidR="003D48F8">
        <w:rPr>
          <w:noProof/>
        </w:rPr>
        <w:fldChar w:fldCharType="end"/>
      </w:r>
      <w:bookmarkEnd w:id="12"/>
      <w:r w:rsidRPr="00CE28E3">
        <w:tab/>
        <w:t>Summary of key matters of concern</w:t>
      </w:r>
      <w:r w:rsidR="005F6E16">
        <w:t>s</w:t>
      </w:r>
      <w:r w:rsidR="00E14D94">
        <w:t xml:space="preserve"> </w:t>
      </w:r>
      <w:r w:rsidR="00A32262">
        <w:t>regarding</w:t>
      </w:r>
      <w:r w:rsidR="00E14D94">
        <w:t xml:space="preserve"> applications 1366 and 1446.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9"/>
        <w:gridCol w:w="2357"/>
      </w:tblGrid>
      <w:tr w:rsidR="001E37D6" w:rsidRPr="00345C93" w14:paraId="2BDCC27B" w14:textId="77777777" w:rsidTr="005227FD">
        <w:trPr>
          <w:cantSplit/>
          <w:tblHeader/>
        </w:trPr>
        <w:tc>
          <w:tcPr>
            <w:tcW w:w="1098" w:type="pct"/>
            <w:vAlign w:val="center"/>
          </w:tcPr>
          <w:p w14:paraId="58F6A808" w14:textId="77777777" w:rsidR="00F57885" w:rsidRPr="00345C93" w:rsidRDefault="00F57885" w:rsidP="00345C93">
            <w:pPr>
              <w:pStyle w:val="In-tableHeading"/>
              <w:jc w:val="center"/>
            </w:pPr>
            <w:bookmarkStart w:id="14" w:name="ColumnTitle_Table1"/>
            <w:bookmarkStart w:id="15" w:name="_Hlk68275590"/>
            <w:bookmarkEnd w:id="14"/>
            <w:r w:rsidRPr="00345C93">
              <w:t>Component</w:t>
            </w:r>
          </w:p>
        </w:tc>
        <w:tc>
          <w:tcPr>
            <w:tcW w:w="2595" w:type="pct"/>
            <w:vAlign w:val="center"/>
          </w:tcPr>
          <w:p w14:paraId="09992FB9" w14:textId="77777777" w:rsidR="00F57885" w:rsidRPr="00345C93" w:rsidRDefault="00F57885" w:rsidP="00345C93">
            <w:pPr>
              <w:pStyle w:val="In-tableHeading"/>
              <w:jc w:val="center"/>
            </w:pPr>
            <w:r w:rsidRPr="00345C93">
              <w:t>Matter of concern</w:t>
            </w:r>
          </w:p>
        </w:tc>
        <w:tc>
          <w:tcPr>
            <w:tcW w:w="1307" w:type="pct"/>
            <w:vAlign w:val="center"/>
          </w:tcPr>
          <w:p w14:paraId="54C88680" w14:textId="3D788322" w:rsidR="00F57885" w:rsidRPr="00345C93" w:rsidRDefault="00F57885" w:rsidP="00345C93">
            <w:pPr>
              <w:pStyle w:val="In-tableHeading"/>
              <w:jc w:val="center"/>
            </w:pPr>
            <w:r w:rsidRPr="00345C93">
              <w:t xml:space="preserve">How the </w:t>
            </w:r>
            <w:r w:rsidR="00050473">
              <w:t xml:space="preserve">concern </w:t>
            </w:r>
            <w:r w:rsidR="000319FD">
              <w:t xml:space="preserve">is relevant to </w:t>
            </w:r>
            <w:r w:rsidRPr="00345C93">
              <w:t xml:space="preserve">current </w:t>
            </w:r>
            <w:r w:rsidR="000319FD">
              <w:t>ADAR</w:t>
            </w:r>
            <w:r w:rsidR="003744F4">
              <w:t xml:space="preserve"> per the </w:t>
            </w:r>
            <w:r w:rsidR="00C95AE6">
              <w:t>evaluation</w:t>
            </w:r>
          </w:p>
        </w:tc>
      </w:tr>
      <w:tr w:rsidR="001E37D6" w:rsidRPr="00345C93" w14:paraId="5BC60216" w14:textId="77777777" w:rsidTr="00112E06">
        <w:trPr>
          <w:cantSplit/>
        </w:trPr>
        <w:tc>
          <w:tcPr>
            <w:tcW w:w="1098" w:type="pct"/>
            <w:tcBorders>
              <w:right w:val="nil"/>
            </w:tcBorders>
            <w:vAlign w:val="center"/>
          </w:tcPr>
          <w:p w14:paraId="77D96B2A" w14:textId="147813FA" w:rsidR="00912711" w:rsidRPr="00345C93" w:rsidRDefault="00912711" w:rsidP="00345C93">
            <w:pPr>
              <w:pStyle w:val="In-tableHeading"/>
            </w:pPr>
          </w:p>
        </w:tc>
        <w:tc>
          <w:tcPr>
            <w:tcW w:w="2595" w:type="pct"/>
            <w:tcBorders>
              <w:left w:val="nil"/>
              <w:right w:val="nil"/>
            </w:tcBorders>
            <w:vAlign w:val="center"/>
          </w:tcPr>
          <w:p w14:paraId="6AF11F12" w14:textId="7BB1FDA4" w:rsidR="00912711" w:rsidRPr="00345C93" w:rsidRDefault="00750C74" w:rsidP="00345C93">
            <w:pPr>
              <w:pStyle w:val="In-tableHeading"/>
              <w:jc w:val="center"/>
            </w:pPr>
            <w:r w:rsidRPr="00345C93">
              <w:t>PSD 1366</w:t>
            </w:r>
          </w:p>
        </w:tc>
        <w:tc>
          <w:tcPr>
            <w:tcW w:w="1307" w:type="pct"/>
            <w:tcBorders>
              <w:left w:val="nil"/>
            </w:tcBorders>
            <w:vAlign w:val="center"/>
          </w:tcPr>
          <w:p w14:paraId="3F41D646" w14:textId="77777777" w:rsidR="00912711" w:rsidRPr="00345C93" w:rsidRDefault="00912711" w:rsidP="00345C93">
            <w:pPr>
              <w:pStyle w:val="In-tableHeading"/>
            </w:pPr>
          </w:p>
        </w:tc>
      </w:tr>
      <w:tr w:rsidR="001E37D6" w:rsidRPr="00345C93" w14:paraId="4C3B6A2C" w14:textId="77777777" w:rsidTr="005227FD">
        <w:trPr>
          <w:cantSplit/>
        </w:trPr>
        <w:tc>
          <w:tcPr>
            <w:tcW w:w="1098" w:type="pct"/>
            <w:vAlign w:val="center"/>
          </w:tcPr>
          <w:p w14:paraId="3ADC1FC4" w14:textId="799144F6" w:rsidR="00211ED0" w:rsidRPr="00345C93" w:rsidRDefault="00211ED0" w:rsidP="00345C93">
            <w:pPr>
              <w:pStyle w:val="TableText"/>
            </w:pPr>
            <w:r w:rsidRPr="00345C93">
              <w:t>TE’s diagnostic value was unclear when compared to routine clinical assessment, not biopsy.</w:t>
            </w:r>
          </w:p>
        </w:tc>
        <w:tc>
          <w:tcPr>
            <w:tcW w:w="2595" w:type="pct"/>
            <w:vAlign w:val="center"/>
          </w:tcPr>
          <w:p w14:paraId="29BB6916" w14:textId="4FEBEFD2" w:rsidR="00211ED0" w:rsidRPr="00345C93" w:rsidRDefault="00211ED0" w:rsidP="00345C93">
            <w:pPr>
              <w:pStyle w:val="TableText"/>
              <w:rPr>
                <w:rFonts w:eastAsia="Times New Roman" w:cs="Arial"/>
                <w:snapToGrid w:val="0"/>
                <w:szCs w:val="20"/>
              </w:rPr>
            </w:pPr>
            <w:r w:rsidRPr="00345C93">
              <w:rPr>
                <w:rFonts w:eastAsia="Times New Roman" w:cs="Arial"/>
                <w:snapToGrid w:val="0"/>
                <w:szCs w:val="20"/>
              </w:rPr>
              <w:t>“MSAC considered that the most appropriate comparator for TE was clinical assessment rather than liver biopsy... MSAC noted that evidence comparing the diagnostic accuracy of TE with clinical assessment relied on four observational studies of varying quality... substantial uncertainty remained about the relative diagnostic accuracy of TE compared with the combination of tests as used in current clinical practice.”</w:t>
            </w:r>
            <w:r w:rsidRPr="00345C93" w:rsidDel="00941DCA">
              <w:rPr>
                <w:rFonts w:eastAsia="Times New Roman" w:cs="Arial"/>
                <w:snapToGrid w:val="0"/>
                <w:szCs w:val="20"/>
              </w:rPr>
              <w:t xml:space="preserve"> </w:t>
            </w:r>
            <w:r w:rsidRPr="00345C93">
              <w:rPr>
                <w:rFonts w:eastAsia="Times New Roman" w:cs="Arial"/>
                <w:snapToGrid w:val="0"/>
                <w:szCs w:val="20"/>
              </w:rPr>
              <w:t>(PSD 1366, pp.2-3).</w:t>
            </w:r>
          </w:p>
        </w:tc>
        <w:tc>
          <w:tcPr>
            <w:tcW w:w="1307" w:type="pct"/>
            <w:vAlign w:val="center"/>
          </w:tcPr>
          <w:p w14:paraId="15BB4464" w14:textId="6A9B1AA1" w:rsidR="00211ED0" w:rsidRPr="00345C93" w:rsidRDefault="00211ED0" w:rsidP="00345C93">
            <w:pPr>
              <w:pStyle w:val="TableText"/>
              <w:rPr>
                <w:rFonts w:eastAsia="Times New Roman" w:cs="Arial"/>
                <w:bCs/>
                <w:snapToGrid w:val="0"/>
                <w:szCs w:val="20"/>
              </w:rPr>
            </w:pPr>
            <w:r w:rsidRPr="00345C93">
              <w:rPr>
                <w:rFonts w:eastAsia="Times New Roman" w:cs="Arial"/>
                <w:snapToGrid w:val="0"/>
                <w:szCs w:val="20"/>
              </w:rPr>
              <w:t>Not applicable because population is different</w:t>
            </w:r>
          </w:p>
        </w:tc>
      </w:tr>
      <w:tr w:rsidR="001E37D6" w:rsidRPr="00345C93" w14:paraId="3B9AD9C3" w14:textId="77777777" w:rsidTr="005227FD">
        <w:trPr>
          <w:cantSplit/>
        </w:trPr>
        <w:tc>
          <w:tcPr>
            <w:tcW w:w="1098" w:type="pct"/>
            <w:vAlign w:val="center"/>
          </w:tcPr>
          <w:p w14:paraId="23382853" w14:textId="534B879E" w:rsidR="00211ED0" w:rsidRPr="00345C93" w:rsidRDefault="00211ED0" w:rsidP="00345C93">
            <w:pPr>
              <w:pStyle w:val="TableText"/>
            </w:pPr>
            <w:r w:rsidRPr="00345C93">
              <w:t>Evidence came from tertiary settings; in primary care</w:t>
            </w:r>
            <w:r w:rsidR="00A701CF">
              <w:t xml:space="preserve"> (intended setting)</w:t>
            </w:r>
            <w:r w:rsidRPr="00345C93">
              <w:t xml:space="preserve">, false positive </w:t>
            </w:r>
            <w:r w:rsidR="00A701CF">
              <w:t>results</w:t>
            </w:r>
            <w:r w:rsidRPr="00345C93">
              <w:t xml:space="preserve"> may be higher due to lower disease prevalence.</w:t>
            </w:r>
          </w:p>
        </w:tc>
        <w:tc>
          <w:tcPr>
            <w:tcW w:w="2595" w:type="pct"/>
            <w:vAlign w:val="center"/>
          </w:tcPr>
          <w:p w14:paraId="3C6FBFDC" w14:textId="577ADF3C" w:rsidR="00211ED0" w:rsidRPr="00345C93" w:rsidRDefault="00211ED0" w:rsidP="00345C93">
            <w:pPr>
              <w:pStyle w:val="TableText"/>
            </w:pPr>
            <w:r w:rsidRPr="00345C93">
              <w:rPr>
                <w:rFonts w:eastAsia="Times New Roman" w:cs="Arial"/>
                <w:snapToGrid w:val="0"/>
                <w:szCs w:val="20"/>
              </w:rPr>
              <w:t>“MSAC noted that because all four studies comparing TE with clinical assessment were conducted in high-risk patients in tertiary care settings, the positive predictive value of TE could be lower if it is used in lower risk settings where the prevalence of significant fibrosis and/or cirrhosis may be lower.”</w:t>
            </w:r>
            <w:r w:rsidRPr="00345C93" w:rsidDel="00E41AAA">
              <w:rPr>
                <w:rFonts w:eastAsia="Times New Roman" w:cs="Arial"/>
                <w:snapToGrid w:val="0"/>
                <w:szCs w:val="20"/>
              </w:rPr>
              <w:t xml:space="preserve"> </w:t>
            </w:r>
            <w:r w:rsidRPr="00345C93">
              <w:rPr>
                <w:rFonts w:eastAsia="Times New Roman" w:cs="Arial"/>
                <w:snapToGrid w:val="0"/>
                <w:szCs w:val="20"/>
              </w:rPr>
              <w:t>(PSD 1366, pp.2-3)</w:t>
            </w:r>
          </w:p>
        </w:tc>
        <w:tc>
          <w:tcPr>
            <w:tcW w:w="1307" w:type="pct"/>
            <w:vAlign w:val="center"/>
          </w:tcPr>
          <w:p w14:paraId="26202E3E" w14:textId="12EDC98D" w:rsidR="00211ED0" w:rsidRPr="00345C93" w:rsidRDefault="00211ED0" w:rsidP="00345C93">
            <w:pPr>
              <w:pStyle w:val="TableText"/>
              <w:rPr>
                <w:rFonts w:eastAsia="Times New Roman" w:cs="Arial"/>
                <w:bCs/>
                <w:snapToGrid w:val="0"/>
                <w:szCs w:val="20"/>
              </w:rPr>
            </w:pPr>
            <w:r w:rsidRPr="00345C93">
              <w:rPr>
                <w:rFonts w:eastAsia="Times New Roman" w:cs="Arial"/>
                <w:snapToGrid w:val="0"/>
                <w:szCs w:val="20"/>
              </w:rPr>
              <w:t xml:space="preserve">Primary diagnostic evidence (Mozes 2022) in secondary care setting only. Diagnostic evidence in primary care setting unclear from ADAR. </w:t>
            </w:r>
          </w:p>
        </w:tc>
      </w:tr>
      <w:tr w:rsidR="001E37D6" w:rsidRPr="00345C93" w14:paraId="0D94638F" w14:textId="77777777" w:rsidTr="005227FD">
        <w:trPr>
          <w:cantSplit/>
        </w:trPr>
        <w:tc>
          <w:tcPr>
            <w:tcW w:w="1098" w:type="pct"/>
            <w:vAlign w:val="center"/>
          </w:tcPr>
          <w:p w14:paraId="574CF724" w14:textId="1393503A" w:rsidR="00211ED0" w:rsidRPr="00345C93" w:rsidRDefault="00211ED0" w:rsidP="00345C93">
            <w:pPr>
              <w:pStyle w:val="TableText"/>
            </w:pPr>
            <w:r w:rsidRPr="00345C93">
              <w:lastRenderedPageBreak/>
              <w:t xml:space="preserve">Treatment decisions for </w:t>
            </w:r>
            <w:r w:rsidR="00AA2DC5">
              <w:t>Hepatitis B</w:t>
            </w:r>
            <w:r w:rsidRPr="00345C93">
              <w:t xml:space="preserve"> </w:t>
            </w:r>
            <w:r w:rsidR="00AA2DC5">
              <w:t>(</w:t>
            </w:r>
            <w:r w:rsidRPr="00345C93">
              <w:t>HBV</w:t>
            </w:r>
            <w:r w:rsidR="00AA2DC5">
              <w:t>)</w:t>
            </w:r>
            <w:r w:rsidRPr="00345C93">
              <w:t xml:space="preserve"> are based on viral load, not fibrosis stage, limiting TE’s clinical utility.</w:t>
            </w:r>
          </w:p>
        </w:tc>
        <w:tc>
          <w:tcPr>
            <w:tcW w:w="2595" w:type="pct"/>
            <w:vAlign w:val="center"/>
          </w:tcPr>
          <w:p w14:paraId="3EB213D8" w14:textId="76230577" w:rsidR="00211ED0" w:rsidRPr="00345C93" w:rsidRDefault="00211ED0" w:rsidP="00345C93">
            <w:pPr>
              <w:pStyle w:val="TableText"/>
              <w:rPr>
                <w:rFonts w:eastAsia="Times New Roman" w:cs="Arial"/>
                <w:snapToGrid w:val="0"/>
                <w:szCs w:val="20"/>
              </w:rPr>
            </w:pPr>
            <w:r w:rsidRPr="00345C93">
              <w:rPr>
                <w:rFonts w:eastAsia="Times New Roman" w:cs="Arial"/>
                <w:snapToGrid w:val="0"/>
                <w:szCs w:val="20"/>
              </w:rPr>
              <w:t>“MSAC noted that the presence or absence of cirrhosis had little impact upon a patient’s ability to access medicines to treat HBV. The aim of HBV treatment is control — it is not curative. Patients can access PBS-subsidised treatment for HBV whether they have cirrhosis or not because access is dependent upon viral DNA load. If a patient has cirrhosis, then levels of HBV DNA must be detectable while patients without cirrhosis must have elevated levels of HBV DNA as well as elevated liver enzymes and/or a liver biopsy.” (PSD 1366, p. 3)</w:t>
            </w:r>
          </w:p>
        </w:tc>
        <w:tc>
          <w:tcPr>
            <w:tcW w:w="1307" w:type="pct"/>
            <w:vAlign w:val="center"/>
          </w:tcPr>
          <w:p w14:paraId="50B0114C" w14:textId="0D36E287" w:rsidR="00211ED0" w:rsidRPr="00345C93" w:rsidRDefault="00DD5263" w:rsidP="00345C93">
            <w:pPr>
              <w:pStyle w:val="TableText"/>
              <w:rPr>
                <w:rFonts w:eastAsia="Times New Roman" w:cs="Arial"/>
                <w:snapToGrid w:val="0"/>
                <w:szCs w:val="20"/>
              </w:rPr>
            </w:pPr>
            <w:r w:rsidRPr="00345C93">
              <w:rPr>
                <w:rFonts w:eastAsia="Times New Roman" w:cs="Arial"/>
                <w:snapToGrid w:val="0"/>
                <w:szCs w:val="20"/>
              </w:rPr>
              <w:t>Not applicable because population is different</w:t>
            </w:r>
          </w:p>
        </w:tc>
      </w:tr>
      <w:tr w:rsidR="001E37D6" w:rsidRPr="00345C93" w14:paraId="2DCC6D68" w14:textId="77777777" w:rsidTr="005227FD">
        <w:trPr>
          <w:cantSplit/>
        </w:trPr>
        <w:tc>
          <w:tcPr>
            <w:tcW w:w="1098" w:type="pct"/>
            <w:vAlign w:val="center"/>
          </w:tcPr>
          <w:p w14:paraId="1C2EABE7" w14:textId="461501A2" w:rsidR="00211ED0" w:rsidRPr="00345C93" w:rsidRDefault="00211ED0" w:rsidP="00345C93">
            <w:pPr>
              <w:pStyle w:val="TableText"/>
            </w:pPr>
            <w:r w:rsidRPr="00345C93">
              <w:t>Economic modelling was unconvincing: cost-effectiveness was poor under most scenarios.</w:t>
            </w:r>
          </w:p>
        </w:tc>
        <w:tc>
          <w:tcPr>
            <w:tcW w:w="2595" w:type="pct"/>
            <w:vAlign w:val="center"/>
          </w:tcPr>
          <w:p w14:paraId="4585836D" w14:textId="66585053" w:rsidR="00211ED0" w:rsidRPr="00345C93" w:rsidRDefault="00211ED0" w:rsidP="005227FD">
            <w:pPr>
              <w:pStyle w:val="TableText"/>
              <w:rPr>
                <w:rFonts w:eastAsia="Times New Roman" w:cs="Arial"/>
                <w:snapToGrid w:val="0"/>
                <w:szCs w:val="20"/>
              </w:rPr>
            </w:pPr>
            <w:r w:rsidRPr="00345C93">
              <w:rPr>
                <w:rFonts w:eastAsia="Times New Roman" w:cs="Arial"/>
                <w:snapToGrid w:val="0"/>
                <w:szCs w:val="20"/>
              </w:rPr>
              <w:t>“MSAC noted that there was considerable uncertainty around the economic modelling presented in the application.”</w:t>
            </w:r>
            <w:r w:rsidR="005227FD">
              <w:rPr>
                <w:rFonts w:eastAsia="Times New Roman" w:cs="Arial"/>
                <w:snapToGrid w:val="0"/>
                <w:szCs w:val="20"/>
              </w:rPr>
              <w:t xml:space="preserve"> </w:t>
            </w:r>
            <w:r w:rsidRPr="00345C93">
              <w:rPr>
                <w:rFonts w:eastAsia="Times New Roman" w:cs="Arial"/>
                <w:snapToGrid w:val="0"/>
                <w:szCs w:val="20"/>
              </w:rPr>
              <w:t>“In the version of the model in which TE was used for initial diagnosis only, the incremental cost-effectiveness of adding TE to clinical assessment was not acceptable (ICER of $112,992 per QALY gained).” (PSD 1366, p.4)</w:t>
            </w:r>
          </w:p>
        </w:tc>
        <w:tc>
          <w:tcPr>
            <w:tcW w:w="1307" w:type="pct"/>
            <w:vAlign w:val="center"/>
          </w:tcPr>
          <w:p w14:paraId="2E0FC384" w14:textId="5214C57F" w:rsidR="00211ED0" w:rsidRPr="00345C93" w:rsidRDefault="00211ED0" w:rsidP="00345C93">
            <w:pPr>
              <w:pStyle w:val="TableText"/>
              <w:rPr>
                <w:rFonts w:eastAsia="Times New Roman" w:cs="Arial"/>
                <w:snapToGrid w:val="0"/>
                <w:szCs w:val="20"/>
              </w:rPr>
            </w:pPr>
            <w:r w:rsidRPr="00345C93">
              <w:rPr>
                <w:rFonts w:eastAsia="Times New Roman" w:cs="Arial"/>
                <w:snapToGrid w:val="0"/>
                <w:szCs w:val="20"/>
              </w:rPr>
              <w:t>Not applicable as 1797 ADAR has a different economic model</w:t>
            </w:r>
          </w:p>
        </w:tc>
      </w:tr>
      <w:tr w:rsidR="001E37D6" w:rsidRPr="00345C93" w14:paraId="647B3E57" w14:textId="77777777" w:rsidTr="005227FD">
        <w:trPr>
          <w:cantSplit/>
        </w:trPr>
        <w:tc>
          <w:tcPr>
            <w:tcW w:w="1098" w:type="pct"/>
            <w:vAlign w:val="center"/>
          </w:tcPr>
          <w:p w14:paraId="5138FCF4" w14:textId="460AF6C4" w:rsidR="00211ED0" w:rsidRPr="00345C93" w:rsidRDefault="00211ED0" w:rsidP="00345C93">
            <w:pPr>
              <w:pStyle w:val="TableText"/>
            </w:pPr>
            <w:r w:rsidRPr="00345C93">
              <w:t>Cost of TE service was high, and broader, unsupported use (e.g., for fatty liver disease) may lead to budget underestimation.</w:t>
            </w:r>
          </w:p>
        </w:tc>
        <w:tc>
          <w:tcPr>
            <w:tcW w:w="2595" w:type="pct"/>
            <w:vAlign w:val="center"/>
          </w:tcPr>
          <w:p w14:paraId="52EB81D8" w14:textId="77777777" w:rsidR="00211ED0" w:rsidRPr="00345C93" w:rsidRDefault="00211ED0" w:rsidP="00345C93">
            <w:pPr>
              <w:pStyle w:val="TableText"/>
              <w:rPr>
                <w:rFonts w:eastAsia="Times New Roman" w:cs="Arial"/>
                <w:snapToGrid w:val="0"/>
                <w:szCs w:val="20"/>
              </w:rPr>
            </w:pPr>
            <w:r w:rsidRPr="00345C93">
              <w:rPr>
                <w:rFonts w:eastAsia="Times New Roman" w:cs="Arial"/>
                <w:snapToGrid w:val="0"/>
                <w:szCs w:val="20"/>
              </w:rPr>
              <w:t>“MSAC considered that the proposed fee for each TE service was high.”</w:t>
            </w:r>
          </w:p>
          <w:p w14:paraId="124D0026" w14:textId="08BE34A9" w:rsidR="00211ED0" w:rsidRPr="00345C93" w:rsidRDefault="00211ED0" w:rsidP="00345C93">
            <w:pPr>
              <w:pStyle w:val="TableText"/>
              <w:rPr>
                <w:rFonts w:eastAsia="Times New Roman" w:cs="Arial"/>
                <w:snapToGrid w:val="0"/>
                <w:szCs w:val="20"/>
              </w:rPr>
            </w:pPr>
            <w:r w:rsidRPr="00345C93">
              <w:rPr>
                <w:rFonts w:eastAsia="Times New Roman" w:cs="Arial"/>
                <w:snapToGrid w:val="0"/>
                <w:szCs w:val="20"/>
              </w:rPr>
              <w:t>“MSAC was concerned about the potential for TE to be used in other liver conditions (fatty liver disease, alcoholic liver disease)</w:t>
            </w:r>
            <w:r w:rsidR="00434F23">
              <w:rPr>
                <w:rFonts w:eastAsia="Times New Roman" w:cs="Arial"/>
                <w:snapToGrid w:val="0"/>
                <w:szCs w:val="20"/>
              </w:rPr>
              <w:t>.</w:t>
            </w:r>
            <w:r w:rsidRPr="00345C93">
              <w:rPr>
                <w:rFonts w:eastAsia="Times New Roman" w:cs="Arial"/>
                <w:snapToGrid w:val="0"/>
                <w:szCs w:val="20"/>
              </w:rPr>
              <w:t xml:space="preserve"> This could mean that the financial estimates of the use of TE provided to MSAC… would be substantial underestimates.” (PSD 1366, p.4)</w:t>
            </w:r>
          </w:p>
        </w:tc>
        <w:tc>
          <w:tcPr>
            <w:tcW w:w="1307" w:type="pct"/>
            <w:vAlign w:val="center"/>
          </w:tcPr>
          <w:p w14:paraId="7B44B1C2" w14:textId="321232D9" w:rsidR="00211ED0" w:rsidRPr="00345C93" w:rsidRDefault="00211ED0" w:rsidP="1A1E03D7">
            <w:pPr>
              <w:pStyle w:val="TableText"/>
              <w:rPr>
                <w:rFonts w:eastAsia="Times New Roman" w:cs="Arial"/>
              </w:rPr>
            </w:pPr>
            <w:r w:rsidRPr="1A1E03D7">
              <w:rPr>
                <w:rFonts w:eastAsia="Times New Roman" w:cs="Arial"/>
                <w:snapToGrid w:val="0"/>
              </w:rPr>
              <w:t>1797 ADAR propose</w:t>
            </w:r>
            <w:r w:rsidR="0013315C" w:rsidRPr="1A1E03D7">
              <w:rPr>
                <w:rFonts w:eastAsia="Times New Roman" w:cs="Arial"/>
              </w:rPr>
              <w:t>d</w:t>
            </w:r>
            <w:r w:rsidRPr="1A1E03D7">
              <w:rPr>
                <w:rFonts w:eastAsia="Times New Roman" w:cs="Arial"/>
                <w:snapToGrid w:val="0"/>
              </w:rPr>
              <w:t xml:space="preserve"> a fee of $58.85 per VCTE, based on fee for nurse practitioner attendance item 82210 ($58.85) compared to $55.65 in Application 1366 (based on cost of MBS item 55014 at March 2016)</w:t>
            </w:r>
            <w:r w:rsidR="00281CB6" w:rsidRPr="1A1E03D7">
              <w:rPr>
                <w:rFonts w:eastAsia="Times New Roman" w:cs="Arial"/>
              </w:rPr>
              <w:t>.</w:t>
            </w:r>
          </w:p>
          <w:p w14:paraId="664AF0FE" w14:textId="340C0CB1" w:rsidR="00211ED0" w:rsidRPr="00345C93" w:rsidRDefault="00211ED0" w:rsidP="48894625">
            <w:pPr>
              <w:pStyle w:val="TableText"/>
              <w:rPr>
                <w:rFonts w:eastAsia="Times New Roman" w:cs="Arial"/>
              </w:rPr>
            </w:pPr>
          </w:p>
          <w:p w14:paraId="2F0B6DAC" w14:textId="5867B8CD" w:rsidR="00211ED0" w:rsidRPr="00345C93" w:rsidRDefault="167D5564" w:rsidP="00345C93">
            <w:pPr>
              <w:pStyle w:val="TableText"/>
              <w:rPr>
                <w:rFonts w:eastAsia="Times New Roman" w:cs="Arial"/>
                <w:snapToGrid w:val="0"/>
              </w:rPr>
            </w:pPr>
            <w:r w:rsidRPr="48894625">
              <w:rPr>
                <w:rFonts w:eastAsia="Times New Roman" w:cs="Arial"/>
              </w:rPr>
              <w:t xml:space="preserve">The </w:t>
            </w:r>
            <w:r w:rsidRPr="66E22D2D">
              <w:rPr>
                <w:rFonts w:eastAsia="Times New Roman" w:cs="Arial"/>
              </w:rPr>
              <w:t>ADAR</w:t>
            </w:r>
            <w:r w:rsidRPr="48894625">
              <w:rPr>
                <w:rFonts w:eastAsia="Times New Roman" w:cs="Arial"/>
              </w:rPr>
              <w:t xml:space="preserve"> did not </w:t>
            </w:r>
            <w:r w:rsidRPr="43334CBD">
              <w:rPr>
                <w:rFonts w:eastAsia="Times New Roman" w:cs="Arial"/>
              </w:rPr>
              <w:t>address the use</w:t>
            </w:r>
            <w:r w:rsidRPr="020591B7">
              <w:rPr>
                <w:rFonts w:eastAsia="Times New Roman" w:cs="Arial"/>
              </w:rPr>
              <w:t xml:space="preserve"> </w:t>
            </w:r>
            <w:r w:rsidR="687B271D" w:rsidRPr="1488AF98">
              <w:rPr>
                <w:rFonts w:eastAsia="Times New Roman" w:cs="Arial"/>
              </w:rPr>
              <w:t xml:space="preserve">of VCTE </w:t>
            </w:r>
            <w:r w:rsidRPr="020591B7">
              <w:rPr>
                <w:rFonts w:eastAsia="Times New Roman" w:cs="Arial"/>
              </w:rPr>
              <w:t>in different populations.</w:t>
            </w:r>
          </w:p>
        </w:tc>
      </w:tr>
      <w:tr w:rsidR="001E37D6" w:rsidRPr="00345C93" w14:paraId="79F32806" w14:textId="77777777" w:rsidTr="00112E06">
        <w:trPr>
          <w:cantSplit/>
        </w:trPr>
        <w:tc>
          <w:tcPr>
            <w:tcW w:w="1098" w:type="pct"/>
            <w:tcBorders>
              <w:right w:val="nil"/>
            </w:tcBorders>
            <w:vAlign w:val="center"/>
          </w:tcPr>
          <w:p w14:paraId="75298886" w14:textId="77777777" w:rsidR="00FE3906" w:rsidRPr="00345C93" w:rsidRDefault="00FE3906" w:rsidP="005227FD">
            <w:pPr>
              <w:pStyle w:val="TableText"/>
              <w:keepNext/>
              <w:keepLines/>
              <w:spacing w:before="0" w:after="0"/>
            </w:pPr>
          </w:p>
        </w:tc>
        <w:tc>
          <w:tcPr>
            <w:tcW w:w="2595" w:type="pct"/>
            <w:tcBorders>
              <w:left w:val="nil"/>
              <w:right w:val="nil"/>
            </w:tcBorders>
            <w:vAlign w:val="center"/>
          </w:tcPr>
          <w:p w14:paraId="55676C8C" w14:textId="404C3A53" w:rsidR="00FE3906" w:rsidRPr="00345C93" w:rsidRDefault="00FE3906" w:rsidP="005227FD">
            <w:pPr>
              <w:pStyle w:val="TableText"/>
              <w:keepNext/>
              <w:keepLines/>
              <w:spacing w:before="0" w:after="0"/>
              <w:jc w:val="center"/>
              <w:rPr>
                <w:rFonts w:eastAsia="Times New Roman" w:cs="Arial"/>
                <w:b/>
                <w:bCs/>
                <w:snapToGrid w:val="0"/>
                <w:szCs w:val="20"/>
              </w:rPr>
            </w:pPr>
            <w:r w:rsidRPr="00345C93">
              <w:rPr>
                <w:rFonts w:eastAsia="Times New Roman" w:cs="Arial"/>
                <w:b/>
                <w:bCs/>
                <w:snapToGrid w:val="0"/>
                <w:szCs w:val="20"/>
              </w:rPr>
              <w:t>PSD 1446</w:t>
            </w:r>
          </w:p>
        </w:tc>
        <w:tc>
          <w:tcPr>
            <w:tcW w:w="1307" w:type="pct"/>
            <w:tcBorders>
              <w:left w:val="nil"/>
            </w:tcBorders>
            <w:vAlign w:val="center"/>
          </w:tcPr>
          <w:p w14:paraId="7BBC180A" w14:textId="77777777" w:rsidR="00FE3906" w:rsidRPr="00345C93" w:rsidRDefault="00FE3906" w:rsidP="005227FD">
            <w:pPr>
              <w:pStyle w:val="TableText"/>
              <w:keepNext/>
              <w:keepLines/>
              <w:spacing w:before="0" w:after="0"/>
              <w:jc w:val="center"/>
              <w:rPr>
                <w:rFonts w:eastAsia="Times New Roman" w:cs="Arial"/>
                <w:snapToGrid w:val="0"/>
                <w:szCs w:val="20"/>
              </w:rPr>
            </w:pPr>
          </w:p>
        </w:tc>
      </w:tr>
      <w:tr w:rsidR="001E37D6" w:rsidRPr="00345C93" w14:paraId="1EBE6548" w14:textId="77777777" w:rsidTr="005227FD">
        <w:trPr>
          <w:cantSplit/>
        </w:trPr>
        <w:tc>
          <w:tcPr>
            <w:tcW w:w="1098" w:type="pct"/>
            <w:vAlign w:val="center"/>
          </w:tcPr>
          <w:p w14:paraId="5B43B938" w14:textId="3F79A712" w:rsidR="00345C93" w:rsidRPr="00345C93" w:rsidRDefault="00345C93" w:rsidP="005227FD">
            <w:pPr>
              <w:pStyle w:val="TableText"/>
              <w:keepNext/>
              <w:keepLines/>
              <w:spacing w:before="0" w:after="0"/>
            </w:pPr>
            <w:r w:rsidRPr="00345C93">
              <w:t>Limited clinical utility: Hepascore would be used in addition to—not instead of—existing tests (e.g. APRI, FibroScan®), and has low positive predictive value requiring confirmatory testing.</w:t>
            </w:r>
          </w:p>
        </w:tc>
        <w:tc>
          <w:tcPr>
            <w:tcW w:w="2595" w:type="pct"/>
            <w:vAlign w:val="center"/>
          </w:tcPr>
          <w:p w14:paraId="50257A60" w14:textId="2005D5B8" w:rsidR="00345C93" w:rsidRPr="00345C93" w:rsidRDefault="00345C93" w:rsidP="005227FD">
            <w:pPr>
              <w:pStyle w:val="TableText"/>
              <w:keepNext/>
              <w:keepLines/>
              <w:spacing w:before="0" w:after="0"/>
              <w:rPr>
                <w:rFonts w:eastAsia="Times New Roman" w:cs="Arial"/>
                <w:snapToGrid w:val="0"/>
                <w:szCs w:val="20"/>
              </w:rPr>
            </w:pPr>
            <w:r w:rsidRPr="00345C93">
              <w:rPr>
                <w:rFonts w:eastAsia="Times New Roman" w:cs="Arial"/>
                <w:snapToGrid w:val="0"/>
                <w:szCs w:val="20"/>
              </w:rPr>
              <w:t>“MSAC considered that there was limited clinical need for an additional test... Hepascore would be an additional test (not a replacement test)... a positive result... would likely be confirmed with additional testing due to Hepascore’s low positive predictive value.” (PSD 1446, p.2)</w:t>
            </w:r>
          </w:p>
        </w:tc>
        <w:tc>
          <w:tcPr>
            <w:tcW w:w="1307" w:type="pct"/>
            <w:vAlign w:val="center"/>
          </w:tcPr>
          <w:p w14:paraId="48D49755" w14:textId="1F856D5E" w:rsidR="00345C93" w:rsidRPr="00345C93" w:rsidRDefault="00345C93" w:rsidP="005227FD">
            <w:pPr>
              <w:pStyle w:val="TableText"/>
              <w:keepNext/>
              <w:keepLines/>
              <w:spacing w:before="0" w:after="0"/>
              <w:rPr>
                <w:rFonts w:eastAsia="Times New Roman" w:cs="Arial"/>
                <w:snapToGrid w:val="0"/>
                <w:szCs w:val="20"/>
              </w:rPr>
            </w:pPr>
            <w:r w:rsidRPr="00345C93">
              <w:rPr>
                <w:rFonts w:eastAsia="Times New Roman" w:cs="Arial"/>
                <w:snapToGrid w:val="0"/>
                <w:szCs w:val="20"/>
              </w:rPr>
              <w:t>VCTE proposed as second line test after FIB-4,</w:t>
            </w:r>
            <w:r w:rsidR="00563290">
              <w:rPr>
                <w:rFonts w:eastAsia="Times New Roman" w:cs="Arial"/>
                <w:snapToGrid w:val="0"/>
                <w:szCs w:val="20"/>
              </w:rPr>
              <w:t xml:space="preserve"> and</w:t>
            </w:r>
            <w:r w:rsidRPr="00345C93">
              <w:rPr>
                <w:rFonts w:eastAsia="Times New Roman" w:cs="Arial"/>
                <w:snapToGrid w:val="0"/>
                <w:szCs w:val="20"/>
              </w:rPr>
              <w:t xml:space="preserve"> would likely occupy same clinical space as Hepascore, for which MSAC had considered there to be limited clinical need. </w:t>
            </w:r>
          </w:p>
        </w:tc>
      </w:tr>
      <w:tr w:rsidR="001E37D6" w:rsidRPr="00345C93" w14:paraId="078FD7C3" w14:textId="77777777" w:rsidTr="005227FD">
        <w:trPr>
          <w:cantSplit/>
        </w:trPr>
        <w:tc>
          <w:tcPr>
            <w:tcW w:w="1098" w:type="pct"/>
            <w:vAlign w:val="center"/>
          </w:tcPr>
          <w:p w14:paraId="6EEB8C56" w14:textId="497B59D7" w:rsidR="00345C93" w:rsidRPr="00345C93" w:rsidRDefault="00345C93" w:rsidP="00345C93">
            <w:pPr>
              <w:pStyle w:val="TableText"/>
            </w:pPr>
            <w:r w:rsidRPr="00345C93">
              <w:t>Inadequate evidence: No clear data showing Hepascore improves clinical management or health outcomes. Meta-analyses lacked transparency; prognostic validation (e.g., Huang 2020) was misinterpreted.</w:t>
            </w:r>
          </w:p>
        </w:tc>
        <w:tc>
          <w:tcPr>
            <w:tcW w:w="2595" w:type="pct"/>
            <w:vAlign w:val="center"/>
          </w:tcPr>
          <w:p w14:paraId="53B9F248" w14:textId="7777777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“A lack of evidence on how Hepascore would affect clinical management such as enabling earlier diagnosis of cirrhosis and reducing complications...”</w:t>
            </w:r>
          </w:p>
          <w:p w14:paraId="1F90A646" w14:textId="7777777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“The presentation of a meta-analysis that could not be replicated...”</w:t>
            </w:r>
          </w:p>
          <w:p w14:paraId="5D73A525" w14:textId="4E0F6640"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“MSAC considered this was not an accurate claim, as Huang (2020) evaluated liver-related outcomes... not the ability of Hepascore to predict liver health outcomes...” (PSD 1446, p.3)</w:t>
            </w:r>
          </w:p>
        </w:tc>
        <w:tc>
          <w:tcPr>
            <w:tcW w:w="1307" w:type="pct"/>
            <w:vAlign w:val="center"/>
          </w:tcPr>
          <w:p w14:paraId="3893577B" w14:textId="5312811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 xml:space="preserve">Primary diagnostic evidence (Mozes 2022) in secondary care setting only. Diagnostic evidence in primary care setting unclear from ADAR. </w:t>
            </w:r>
          </w:p>
        </w:tc>
      </w:tr>
      <w:tr w:rsidR="001E37D6" w:rsidRPr="00345C93" w14:paraId="668F8050" w14:textId="77777777" w:rsidTr="005227FD">
        <w:trPr>
          <w:cantSplit/>
        </w:trPr>
        <w:tc>
          <w:tcPr>
            <w:tcW w:w="1098" w:type="pct"/>
            <w:vAlign w:val="center"/>
          </w:tcPr>
          <w:p w14:paraId="3FF5616C" w14:textId="3F5A2DFB" w:rsidR="00345C93" w:rsidRPr="00345C93" w:rsidRDefault="00345C93" w:rsidP="00345C93">
            <w:pPr>
              <w:pStyle w:val="TableText"/>
            </w:pPr>
            <w:r w:rsidRPr="00345C93">
              <w:t>Comparative performance uncertain: Alternative tools like APRI offer similar diagnostic value and are routinely available.</w:t>
            </w:r>
          </w:p>
        </w:tc>
        <w:tc>
          <w:tcPr>
            <w:tcW w:w="2595" w:type="pct"/>
            <w:vAlign w:val="center"/>
          </w:tcPr>
          <w:p w14:paraId="2249B91B" w14:textId="7777777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“MSAC noted that the AST to platelet ratio index (APRI)... has similar specificity to Hepascore at a threshold of 2...”</w:t>
            </w:r>
          </w:p>
          <w:p w14:paraId="43A752BD" w14:textId="68D1C2A9"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“MSAC noted that although Hepascore was frequently used in Western Australia, this was not reflective of other parts of Australia.” (PSD 1446, p.2)</w:t>
            </w:r>
          </w:p>
        </w:tc>
        <w:tc>
          <w:tcPr>
            <w:tcW w:w="1307" w:type="pct"/>
            <w:vAlign w:val="center"/>
          </w:tcPr>
          <w:p w14:paraId="051DE2B9" w14:textId="7D9ECE3D"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 xml:space="preserve">FIB-4 is used instead of APRI and is not considered as part of comparator in 1797 </w:t>
            </w:r>
          </w:p>
        </w:tc>
      </w:tr>
      <w:tr w:rsidR="001E37D6" w:rsidRPr="00345C93" w14:paraId="74AD9F54" w14:textId="77777777" w:rsidTr="005227FD">
        <w:trPr>
          <w:cantSplit/>
        </w:trPr>
        <w:tc>
          <w:tcPr>
            <w:tcW w:w="1098" w:type="pct"/>
            <w:vAlign w:val="center"/>
          </w:tcPr>
          <w:p w14:paraId="08BF9C22" w14:textId="1815B81B" w:rsidR="00345C93" w:rsidRPr="00345C93" w:rsidRDefault="00345C93" w:rsidP="00345C93">
            <w:pPr>
              <w:pStyle w:val="TableText"/>
            </w:pPr>
            <w:r w:rsidRPr="00345C93">
              <w:lastRenderedPageBreak/>
              <w:t>Uncertain economic case: The economic model had unrealistic assumptions, used low-quality inputs, and underestimated real-world testing patterns and costs.</w:t>
            </w:r>
          </w:p>
        </w:tc>
        <w:tc>
          <w:tcPr>
            <w:tcW w:w="2595" w:type="pct"/>
            <w:vAlign w:val="center"/>
          </w:tcPr>
          <w:p w14:paraId="78A3FAF1" w14:textId="7777777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“Several implausible assumptions such as the assumption that only 10% of misdiagnosed patients would be retested.”</w:t>
            </w:r>
          </w:p>
          <w:p w14:paraId="45DEF466" w14:textId="7777777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“Many were based on clinical experience while others were sourced from poor quality studies...”</w:t>
            </w:r>
          </w:p>
          <w:p w14:paraId="39D57CA0" w14:textId="2FB93D48"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 did not reflect clinical practice as most patients would receive all three interventions.” (PSD 1446, p.3)</w:t>
            </w:r>
          </w:p>
        </w:tc>
        <w:tc>
          <w:tcPr>
            <w:tcW w:w="1307" w:type="pct"/>
            <w:vAlign w:val="center"/>
          </w:tcPr>
          <w:p w14:paraId="4E1AC969" w14:textId="4A7213EB"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Not applicable as 1797 ADAR has a different economic model</w:t>
            </w:r>
          </w:p>
        </w:tc>
      </w:tr>
      <w:tr w:rsidR="001E37D6" w:rsidRPr="00345C93" w14:paraId="433CEB81" w14:textId="77777777" w:rsidTr="005227FD">
        <w:trPr>
          <w:cantSplit/>
        </w:trPr>
        <w:tc>
          <w:tcPr>
            <w:tcW w:w="1098" w:type="pct"/>
            <w:vAlign w:val="center"/>
          </w:tcPr>
          <w:p w14:paraId="40EDE2D4" w14:textId="0059E079" w:rsidR="00345C93" w:rsidRPr="00345C93" w:rsidRDefault="00345C93" w:rsidP="00345C93">
            <w:pPr>
              <w:pStyle w:val="TableText"/>
            </w:pPr>
            <w:r w:rsidRPr="00345C93">
              <w:t>Equity concerns: Proposed fee ($40.50) was well below actual patient cost ($83.90), risking affordability and access disparities.</w:t>
            </w:r>
          </w:p>
        </w:tc>
        <w:tc>
          <w:tcPr>
            <w:tcW w:w="2595" w:type="pct"/>
            <w:vAlign w:val="center"/>
          </w:tcPr>
          <w:p w14:paraId="2CC73D92" w14:textId="77777777"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“MSAC raised concerns about the likely out-of-pocket costs for consumers... applicant stated that PathWest requires an up-front payment of $83.90, but the applicant’s proposed fee is $40.50.”</w:t>
            </w:r>
          </w:p>
          <w:p w14:paraId="0123AB5F" w14:textId="3DB6CAEF" w:rsidR="00345C93" w:rsidRPr="00345C93" w:rsidRDefault="00345C93" w:rsidP="00345C93">
            <w:pPr>
              <w:pStyle w:val="TableText"/>
              <w:rPr>
                <w:rFonts w:eastAsia="Times New Roman" w:cs="Arial"/>
                <w:snapToGrid w:val="0"/>
                <w:szCs w:val="20"/>
              </w:rPr>
            </w:pPr>
            <w:r w:rsidRPr="00345C93">
              <w:rPr>
                <w:rFonts w:eastAsia="Times New Roman" w:cs="Arial"/>
                <w:snapToGrid w:val="0"/>
                <w:szCs w:val="20"/>
              </w:rPr>
              <w:t>“MSAC considered that this would be unaffordable for many patients and may increase inequity.” (PSD 1446, p.4)</w:t>
            </w:r>
          </w:p>
        </w:tc>
        <w:tc>
          <w:tcPr>
            <w:tcW w:w="1307" w:type="pct"/>
            <w:vAlign w:val="center"/>
          </w:tcPr>
          <w:p w14:paraId="50721282" w14:textId="29D4FFF9" w:rsidR="00345C93" w:rsidRPr="00345C93" w:rsidRDefault="00345C93" w:rsidP="00345C93">
            <w:pPr>
              <w:pStyle w:val="TableText"/>
              <w:rPr>
                <w:rFonts w:eastAsia="Times New Roman" w:cs="Arial"/>
                <w:snapToGrid w:val="0"/>
              </w:rPr>
            </w:pPr>
            <w:r w:rsidRPr="3ED8DEE6">
              <w:rPr>
                <w:rFonts w:eastAsia="Times New Roman" w:cs="Arial"/>
                <w:snapToGrid w:val="0"/>
              </w:rPr>
              <w:t xml:space="preserve">No actual patient costs were presented in the 1797 ADAR. However, in the ADAR it was </w:t>
            </w:r>
            <w:r w:rsidR="00EA3379" w:rsidRPr="3ED8DEE6">
              <w:rPr>
                <w:rFonts w:eastAsia="Times New Roman" w:cs="Arial"/>
              </w:rPr>
              <w:t>noted</w:t>
            </w:r>
            <w:r w:rsidRPr="3ED8DEE6">
              <w:rPr>
                <w:rFonts w:eastAsia="Times New Roman" w:cs="Arial"/>
                <w:snapToGrid w:val="0"/>
              </w:rPr>
              <w:t xml:space="preserve"> that patients </w:t>
            </w:r>
            <w:r w:rsidR="00EA3379" w:rsidRPr="3ED8DEE6">
              <w:rPr>
                <w:rFonts w:eastAsia="Times New Roman" w:cs="Arial"/>
              </w:rPr>
              <w:t xml:space="preserve">may </w:t>
            </w:r>
            <w:r w:rsidRPr="3ED8DEE6">
              <w:rPr>
                <w:rFonts w:eastAsia="Times New Roman" w:cs="Arial"/>
                <w:snapToGrid w:val="0"/>
              </w:rPr>
              <w:t>currently pay</w:t>
            </w:r>
            <w:r w:rsidRPr="3ED8DEE6">
              <w:rPr>
                <w:rFonts w:eastAsia="Times New Roman" w:cs="Arial"/>
              </w:rPr>
              <w:t xml:space="preserve"> </w:t>
            </w:r>
            <w:r w:rsidR="00E71ACD" w:rsidRPr="3ED8DEE6">
              <w:rPr>
                <w:rFonts w:eastAsia="Times New Roman" w:cs="Arial"/>
              </w:rPr>
              <w:t>privately</w:t>
            </w:r>
            <w:r w:rsidRPr="3ED8DEE6">
              <w:rPr>
                <w:rFonts w:eastAsia="Times New Roman" w:cs="Arial"/>
                <w:snapToGrid w:val="0"/>
              </w:rPr>
              <w:t xml:space="preserve"> between $200-$300 for V</w:t>
            </w:r>
            <w:r w:rsidR="00161752">
              <w:rPr>
                <w:rFonts w:eastAsia="Times New Roman" w:cs="Arial"/>
                <w:snapToGrid w:val="0"/>
              </w:rPr>
              <w:t>C</w:t>
            </w:r>
            <w:r w:rsidRPr="3ED8DEE6">
              <w:rPr>
                <w:rFonts w:eastAsia="Times New Roman" w:cs="Arial"/>
                <w:snapToGrid w:val="0"/>
              </w:rPr>
              <w:t xml:space="preserve">TE </w:t>
            </w:r>
            <w:r w:rsidR="00E71ACD" w:rsidRPr="3ED8DEE6">
              <w:rPr>
                <w:rFonts w:eastAsia="Times New Roman" w:cs="Arial"/>
              </w:rPr>
              <w:t>testing</w:t>
            </w:r>
            <w:r w:rsidR="426C1EB3" w:rsidRPr="27B2E6CF">
              <w:rPr>
                <w:rFonts w:eastAsia="Times New Roman" w:cs="Arial"/>
              </w:rPr>
              <w:t>.</w:t>
            </w:r>
            <w:r w:rsidRPr="3ED8DEE6">
              <w:rPr>
                <w:rFonts w:eastAsia="Times New Roman" w:cs="Arial"/>
                <w:snapToGrid w:val="0"/>
              </w:rPr>
              <w:t xml:space="preserve"> Given the proposed </w:t>
            </w:r>
            <w:r w:rsidR="00540237" w:rsidRPr="3ED8DEE6">
              <w:rPr>
                <w:rFonts w:eastAsia="Times New Roman" w:cs="Arial"/>
              </w:rPr>
              <w:t>MBS</w:t>
            </w:r>
            <w:r w:rsidRPr="3ED8DEE6">
              <w:rPr>
                <w:rFonts w:eastAsia="Times New Roman" w:cs="Arial"/>
              </w:rPr>
              <w:t xml:space="preserve"> </w:t>
            </w:r>
            <w:r w:rsidRPr="3ED8DEE6">
              <w:rPr>
                <w:rFonts w:eastAsia="Times New Roman" w:cs="Arial"/>
                <w:snapToGrid w:val="0"/>
              </w:rPr>
              <w:t>fee of $58.85 for V</w:t>
            </w:r>
            <w:r w:rsidR="00161752">
              <w:rPr>
                <w:rFonts w:eastAsia="Times New Roman" w:cs="Arial"/>
                <w:snapToGrid w:val="0"/>
              </w:rPr>
              <w:t>CT</w:t>
            </w:r>
            <w:r w:rsidRPr="3ED8DEE6">
              <w:rPr>
                <w:rFonts w:eastAsia="Times New Roman" w:cs="Arial"/>
                <w:snapToGrid w:val="0"/>
              </w:rPr>
              <w:t xml:space="preserve">E, </w:t>
            </w:r>
            <w:r w:rsidR="00283BE4" w:rsidRPr="3ED8DEE6">
              <w:rPr>
                <w:rFonts w:eastAsia="Times New Roman" w:cs="Arial"/>
              </w:rPr>
              <w:t xml:space="preserve">there </w:t>
            </w:r>
            <w:r w:rsidR="00B40488" w:rsidRPr="3ED8DEE6">
              <w:rPr>
                <w:rFonts w:eastAsia="Times New Roman" w:cs="Arial"/>
              </w:rPr>
              <w:t>may</w:t>
            </w:r>
            <w:r w:rsidR="00283BE4" w:rsidRPr="3ED8DEE6">
              <w:rPr>
                <w:rFonts w:eastAsia="Times New Roman" w:cs="Arial"/>
              </w:rPr>
              <w:t xml:space="preserve"> </w:t>
            </w:r>
            <w:r w:rsidR="008A2BBE" w:rsidRPr="3ED8DEE6">
              <w:rPr>
                <w:rFonts w:eastAsia="Times New Roman" w:cs="Arial"/>
              </w:rPr>
              <w:t xml:space="preserve">be similar </w:t>
            </w:r>
            <w:r w:rsidR="007F1B65" w:rsidRPr="3ED8DEE6">
              <w:rPr>
                <w:rFonts w:eastAsia="Times New Roman" w:cs="Arial"/>
              </w:rPr>
              <w:t>e</w:t>
            </w:r>
            <w:r w:rsidR="000F17F0" w:rsidRPr="3ED8DEE6">
              <w:rPr>
                <w:rFonts w:eastAsia="Times New Roman" w:cs="Arial"/>
              </w:rPr>
              <w:t xml:space="preserve">quity concerns </w:t>
            </w:r>
            <w:r w:rsidR="00D80379" w:rsidRPr="3ED8DEE6">
              <w:rPr>
                <w:rFonts w:eastAsia="Times New Roman" w:cs="Arial"/>
              </w:rPr>
              <w:t>around</w:t>
            </w:r>
            <w:r w:rsidR="00AF0C20" w:rsidRPr="3ED8DEE6">
              <w:rPr>
                <w:rFonts w:eastAsia="Times New Roman" w:cs="Arial"/>
              </w:rPr>
              <w:t xml:space="preserve"> </w:t>
            </w:r>
            <w:r w:rsidRPr="3ED8DEE6">
              <w:rPr>
                <w:rFonts w:eastAsia="Times New Roman" w:cs="Arial"/>
                <w:snapToGrid w:val="0"/>
              </w:rPr>
              <w:t xml:space="preserve">affordability </w:t>
            </w:r>
            <w:r w:rsidR="00A060C7" w:rsidRPr="3ED8DEE6">
              <w:rPr>
                <w:rFonts w:eastAsia="Times New Roman" w:cs="Arial"/>
              </w:rPr>
              <w:t>and out-of-pocket costs</w:t>
            </w:r>
            <w:r w:rsidRPr="3ED8DEE6">
              <w:rPr>
                <w:rFonts w:eastAsia="Times New Roman" w:cs="Arial"/>
                <w:snapToGrid w:val="0"/>
              </w:rPr>
              <w:t>.</w:t>
            </w:r>
          </w:p>
        </w:tc>
      </w:tr>
    </w:tbl>
    <w:p w14:paraId="6DB3853E" w14:textId="668526BF" w:rsidR="004C453D" w:rsidRPr="004C453D" w:rsidRDefault="004C453D" w:rsidP="004C453D">
      <w:pPr>
        <w:tabs>
          <w:tab w:val="left" w:pos="284"/>
        </w:tabs>
        <w:spacing w:before="0" w:after="0" w:line="240" w:lineRule="auto"/>
        <w:rPr>
          <w:rFonts w:ascii="Arial Narrow" w:eastAsia="Times New Roman" w:hAnsi="Arial Narrow" w:cs="Arial"/>
          <w:snapToGrid w:val="0"/>
          <w:sz w:val="18"/>
          <w:szCs w:val="18"/>
          <w:lang w:eastAsia="en-AU"/>
        </w:rPr>
      </w:pPr>
      <w:bookmarkStart w:id="16" w:name="_Hlk68275617"/>
      <w:bookmarkStart w:id="17" w:name="_Toc69491417"/>
      <w:bookmarkEnd w:id="13"/>
      <w:bookmarkEnd w:id="15"/>
      <w:r w:rsidRPr="004C453D">
        <w:rPr>
          <w:rFonts w:ascii="Arial Narrow" w:eastAsia="Times New Roman" w:hAnsi="Arial Narrow" w:cs="Arial"/>
          <w:snapToGrid w:val="0"/>
          <w:sz w:val="18"/>
          <w:szCs w:val="18"/>
          <w:lang w:eastAsia="en-AU"/>
        </w:rPr>
        <w:t>ADAR =</w:t>
      </w:r>
      <w:r w:rsidRPr="004C453D">
        <w:rPr>
          <w:sz w:val="18"/>
          <w:szCs w:val="18"/>
        </w:rPr>
        <w:t xml:space="preserve"> </w:t>
      </w:r>
      <w:r w:rsidRPr="004C453D">
        <w:rPr>
          <w:rFonts w:ascii="Arial Narrow" w:eastAsia="Times New Roman" w:hAnsi="Arial Narrow" w:cs="Arial"/>
          <w:snapToGrid w:val="0"/>
          <w:sz w:val="18"/>
          <w:szCs w:val="18"/>
          <w:lang w:eastAsia="en-AU"/>
        </w:rPr>
        <w:t>Applicant Developed Assessment Report; APRI =</w:t>
      </w:r>
      <w:r w:rsidRPr="004C453D">
        <w:t xml:space="preserve"> </w:t>
      </w:r>
      <w:r w:rsidRPr="004C453D">
        <w:rPr>
          <w:rFonts w:ascii="Arial Narrow" w:eastAsia="Times New Roman" w:hAnsi="Arial Narrow" w:cs="Arial"/>
          <w:snapToGrid w:val="0"/>
          <w:sz w:val="18"/>
          <w:szCs w:val="18"/>
          <w:lang w:eastAsia="en-AU"/>
        </w:rPr>
        <w:t>Aminotransferase-to-platelet ratio index; AST =</w:t>
      </w:r>
      <w:r w:rsidRPr="004C453D">
        <w:rPr>
          <w:rFonts w:ascii="Arial Narrow" w:hAnsi="Arial Narrow"/>
          <w:sz w:val="18"/>
          <w:szCs w:val="18"/>
        </w:rPr>
        <w:t xml:space="preserve"> </w:t>
      </w:r>
      <w:r w:rsidRPr="004C453D">
        <w:rPr>
          <w:rFonts w:ascii="Arial Narrow" w:eastAsia="Times New Roman" w:hAnsi="Arial Narrow" w:cs="Arial"/>
          <w:snapToGrid w:val="0"/>
          <w:sz w:val="18"/>
          <w:szCs w:val="18"/>
          <w:lang w:eastAsia="en-AU"/>
        </w:rPr>
        <w:t xml:space="preserve">Aspartate Aminotransferase; DNA = Deoxyribonucleic acid; HBV =Hepatitis B Virus; ICER = incremental cost effectiveness </w:t>
      </w:r>
      <w:r w:rsidR="00112751" w:rsidRPr="004C453D">
        <w:rPr>
          <w:rFonts w:ascii="Arial Narrow" w:eastAsia="Times New Roman" w:hAnsi="Arial Narrow" w:cs="Arial"/>
          <w:snapToGrid w:val="0"/>
          <w:sz w:val="18"/>
          <w:szCs w:val="18"/>
          <w:lang w:eastAsia="en-AU"/>
        </w:rPr>
        <w:t>ratio; MSAC</w:t>
      </w:r>
      <w:r w:rsidRPr="004C453D">
        <w:rPr>
          <w:rFonts w:ascii="Arial Narrow" w:eastAsia="Times New Roman" w:hAnsi="Arial Narrow" w:cs="Arial"/>
          <w:snapToGrid w:val="0"/>
          <w:sz w:val="18"/>
          <w:szCs w:val="18"/>
          <w:lang w:eastAsia="en-AU"/>
        </w:rPr>
        <w:t xml:space="preserve"> = Medical Services Advisory Committee; PBS = Pharmaceutical Benefits Scheme; PSD = Public Summary Document. QALY = quality adjusted life years; TE = Transient Elastography; VCTE = Vibration-Controlled Transient Elastography  </w:t>
      </w:r>
    </w:p>
    <w:p w14:paraId="1B0B8925" w14:textId="77777777" w:rsidR="004C453D" w:rsidRPr="004C453D" w:rsidRDefault="004C453D" w:rsidP="004C453D">
      <w:pPr>
        <w:tabs>
          <w:tab w:val="left" w:pos="284"/>
        </w:tabs>
        <w:spacing w:before="0" w:after="0" w:line="240" w:lineRule="auto"/>
        <w:rPr>
          <w:rFonts w:ascii="Arial Narrow" w:eastAsia="Times New Roman" w:hAnsi="Arial Narrow" w:cs="Arial"/>
          <w:snapToGrid w:val="0"/>
          <w:sz w:val="18"/>
          <w:szCs w:val="18"/>
          <w:lang w:eastAsia="en-AU"/>
        </w:rPr>
      </w:pPr>
      <w:r w:rsidRPr="004C453D">
        <w:rPr>
          <w:rFonts w:ascii="Arial Narrow" w:eastAsia="Times New Roman" w:hAnsi="Arial Narrow" w:cs="Arial"/>
          <w:snapToGrid w:val="0"/>
          <w:sz w:val="18"/>
          <w:szCs w:val="18"/>
          <w:lang w:eastAsia="en-AU"/>
        </w:rPr>
        <w:t>Source: PSD 1336, PSD 1446.</w:t>
      </w:r>
    </w:p>
    <w:bookmarkEnd w:id="16"/>
    <w:p w14:paraId="6F52500A" w14:textId="1B8F8ECE" w:rsidR="00772829" w:rsidRPr="00CE28E3" w:rsidRDefault="0018750D" w:rsidP="002A18BE">
      <w:pPr>
        <w:pStyle w:val="Heading2"/>
        <w:numPr>
          <w:ilvl w:val="0"/>
          <w:numId w:val="0"/>
        </w:numPr>
      </w:pPr>
      <w:r>
        <w:t>5</w:t>
      </w:r>
      <w:r w:rsidR="00C36633">
        <w:t>.</w:t>
      </w:r>
      <w:r w:rsidR="00C36633">
        <w:tab/>
      </w:r>
      <w:r w:rsidR="00772829" w:rsidRPr="00CE28E3">
        <w:t>Prerequisites to implementation of any funding advice</w:t>
      </w:r>
      <w:bookmarkEnd w:id="17"/>
    </w:p>
    <w:p w14:paraId="52AC3D9A" w14:textId="22C5906B" w:rsidR="00310C3F" w:rsidRPr="00330A0A" w:rsidRDefault="002E6C75" w:rsidP="00E76AE0">
      <w:pPr>
        <w:pStyle w:val="Instructionaltext"/>
      </w:pPr>
      <w:r w:rsidRPr="004D60EC">
        <w:rPr>
          <w:color w:val="auto"/>
        </w:rPr>
        <w:t>VCTE</w:t>
      </w:r>
      <w:r w:rsidR="002A0ED0">
        <w:rPr>
          <w:color w:val="auto"/>
        </w:rPr>
        <w:t>™</w:t>
      </w:r>
      <w:r w:rsidRPr="004D60EC">
        <w:rPr>
          <w:color w:val="auto"/>
        </w:rPr>
        <w:t xml:space="preserve"> by FibroScan® at 50Hz is registered on the Australian Register of Therapeutic Goods (151894) as an ‘External non-invasive ultrasound elastography device for measuring elasticity of organs such as the liver’. The elastography ‘applicator’ is listed under 206567. The device is classified by the Therapeutic Goods Administration as a medical device Class IIa and is considered low-medium risk.</w:t>
      </w:r>
    </w:p>
    <w:p w14:paraId="44C3B242" w14:textId="0636136F" w:rsidR="00772829" w:rsidRPr="00CE28E3" w:rsidRDefault="0018750D" w:rsidP="002A18BE">
      <w:pPr>
        <w:pStyle w:val="Heading2"/>
        <w:numPr>
          <w:ilvl w:val="0"/>
          <w:numId w:val="0"/>
        </w:numPr>
      </w:pPr>
      <w:bookmarkStart w:id="18" w:name="_Toc69491418"/>
      <w:r>
        <w:t>6</w:t>
      </w:r>
      <w:r w:rsidR="00C36633">
        <w:t>.</w:t>
      </w:r>
      <w:r w:rsidR="00C36633">
        <w:tab/>
      </w:r>
      <w:r w:rsidR="00772829" w:rsidRPr="00CE28E3">
        <w:t>Proposal for public funding</w:t>
      </w:r>
      <w:bookmarkEnd w:id="18"/>
    </w:p>
    <w:p w14:paraId="1C8BC144" w14:textId="17A8F9F1" w:rsidR="00F17328" w:rsidRDefault="00F17328" w:rsidP="0031650F">
      <w:pPr>
        <w:spacing w:before="0" w:after="120" w:line="269" w:lineRule="auto"/>
        <w:rPr>
          <w:rFonts w:eastAsia="Calibri" w:cs="Calibri"/>
        </w:rPr>
      </w:pPr>
      <w:r w:rsidRPr="00F17328">
        <w:rPr>
          <w:rFonts w:eastAsia="Calibri" w:cs="Calibri"/>
        </w:rPr>
        <w:t>The proposed MBS item descriptor for VCTE in primary and specialist care</w:t>
      </w:r>
      <w:r w:rsidR="00617DE7">
        <w:rPr>
          <w:rFonts w:eastAsia="Calibri" w:cs="Calibri"/>
        </w:rPr>
        <w:t>,</w:t>
      </w:r>
      <w:r w:rsidR="00617DE7" w:rsidRPr="00617DE7">
        <w:rPr>
          <w:rFonts w:eastAsia="Calibri" w:cs="Calibri"/>
        </w:rPr>
        <w:t xml:space="preserve"> </w:t>
      </w:r>
      <w:r w:rsidR="00617DE7" w:rsidRPr="00F17328">
        <w:rPr>
          <w:rFonts w:eastAsia="Calibri" w:cs="Calibri"/>
        </w:rPr>
        <w:t>as outlined in Table 2</w:t>
      </w:r>
      <w:r w:rsidR="00617DE7">
        <w:rPr>
          <w:rFonts w:eastAsia="Calibri" w:cs="Calibri"/>
        </w:rPr>
        <w:t>,</w:t>
      </w:r>
      <w:r w:rsidRPr="00F17328">
        <w:rPr>
          <w:rFonts w:eastAsia="Calibri" w:cs="Calibri"/>
        </w:rPr>
        <w:t xml:space="preserve"> </w:t>
      </w:r>
      <w:r w:rsidR="002A6712">
        <w:rPr>
          <w:rFonts w:eastAsia="Calibri" w:cs="Calibri"/>
        </w:rPr>
        <w:t>wa</w:t>
      </w:r>
      <w:r w:rsidRPr="00F17328">
        <w:rPr>
          <w:rFonts w:eastAsia="Calibri" w:cs="Calibri"/>
        </w:rPr>
        <w:t>s not fully aligned with the recommendations of the PICO Confirmation Advisory Sub-Committee (PASC)</w:t>
      </w:r>
      <w:r w:rsidR="00E53251">
        <w:rPr>
          <w:rFonts w:eastAsia="Calibri" w:cs="Calibri"/>
        </w:rPr>
        <w:t>.</w:t>
      </w:r>
      <w:r w:rsidRPr="00F17328">
        <w:rPr>
          <w:rFonts w:eastAsia="Calibri" w:cs="Calibri"/>
        </w:rPr>
        <w:t xml:space="preserve"> </w:t>
      </w:r>
    </w:p>
    <w:p w14:paraId="3E9D7A92" w14:textId="77777777" w:rsidR="00257512" w:rsidRPr="00FD3B16" w:rsidRDefault="00257512" w:rsidP="00257512">
      <w:pPr>
        <w:keepNext/>
        <w:keepLines/>
        <w:spacing w:before="0" w:after="120" w:line="288" w:lineRule="auto"/>
        <w:ind w:left="992" w:hanging="992"/>
        <w:rPr>
          <w:rFonts w:ascii="Arial Narrow" w:eastAsia="Calibri" w:hAnsi="Arial Narrow" w:cs="Calibri"/>
          <w:b/>
          <w:bCs/>
          <w:sz w:val="20"/>
          <w:szCs w:val="20"/>
        </w:rPr>
      </w:pPr>
      <w:r w:rsidRPr="00FD3B16">
        <w:rPr>
          <w:rFonts w:ascii="Arial Narrow" w:eastAsia="Calibri" w:hAnsi="Arial Narrow" w:cs="Calibri"/>
          <w:b/>
          <w:bCs/>
          <w:sz w:val="20"/>
          <w:szCs w:val="20"/>
        </w:rPr>
        <w:lastRenderedPageBreak/>
        <w:t>Table </w:t>
      </w:r>
      <w:r w:rsidRPr="00FD3B16">
        <w:rPr>
          <w:rFonts w:ascii="Arial Narrow" w:eastAsia="Calibri" w:hAnsi="Arial Narrow" w:cs="Calibri"/>
          <w:b/>
          <w:bCs/>
          <w:sz w:val="20"/>
          <w:szCs w:val="20"/>
        </w:rPr>
        <w:fldChar w:fldCharType="begin"/>
      </w:r>
      <w:r w:rsidRPr="00FD3B16">
        <w:rPr>
          <w:rFonts w:ascii="Arial Narrow" w:eastAsia="Calibri" w:hAnsi="Arial Narrow" w:cs="Calibri"/>
          <w:b/>
          <w:bCs/>
          <w:sz w:val="20"/>
          <w:szCs w:val="20"/>
        </w:rPr>
        <w:instrText xml:space="preserve"> SEQ Table \* ARABIC </w:instrText>
      </w:r>
      <w:r w:rsidRPr="00FD3B16">
        <w:rPr>
          <w:rFonts w:ascii="Arial Narrow" w:eastAsia="Calibri" w:hAnsi="Arial Narrow" w:cs="Calibri"/>
          <w:b/>
          <w:bCs/>
          <w:sz w:val="20"/>
          <w:szCs w:val="20"/>
        </w:rPr>
        <w:fldChar w:fldCharType="separate"/>
      </w:r>
      <w:r w:rsidRPr="00FD3B16">
        <w:rPr>
          <w:rFonts w:ascii="Arial Narrow" w:eastAsia="Calibri" w:hAnsi="Arial Narrow" w:cs="Calibri"/>
          <w:b/>
          <w:bCs/>
          <w:noProof/>
          <w:sz w:val="20"/>
          <w:szCs w:val="20"/>
        </w:rPr>
        <w:t>2</w:t>
      </w:r>
      <w:r w:rsidRPr="00FD3B16">
        <w:rPr>
          <w:rFonts w:ascii="Arial Narrow" w:eastAsia="Calibri" w:hAnsi="Arial Narrow" w:cs="Calibri"/>
          <w:b/>
          <w:bCs/>
          <w:noProof/>
          <w:sz w:val="20"/>
          <w:szCs w:val="20"/>
        </w:rPr>
        <w:fldChar w:fldCharType="end"/>
      </w:r>
      <w:r w:rsidRPr="00FD3B16">
        <w:rPr>
          <w:rFonts w:ascii="Arial Narrow" w:eastAsia="Calibri" w:hAnsi="Arial Narrow" w:cs="Calibri"/>
          <w:b/>
          <w:bCs/>
          <w:sz w:val="20"/>
          <w:szCs w:val="20"/>
        </w:rPr>
        <w:tab/>
        <w:t>Proposed item descriptor for VCTE in primary/specialist care</w:t>
      </w:r>
    </w:p>
    <w:tbl>
      <w:tblPr>
        <w:tblStyle w:val="TableGridLight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item descriptor for diagnostic testing"/>
        <w:tblDescription w:val="Proposed item descriptor for diagnostic testing"/>
      </w:tblPr>
      <w:tblGrid>
        <w:gridCol w:w="9776"/>
      </w:tblGrid>
      <w:tr w:rsidR="00F8380C" w:rsidRPr="00FD3B16" w14:paraId="1124A528" w14:textId="77777777">
        <w:trPr>
          <w:cnfStyle w:val="100000000000" w:firstRow="1" w:lastRow="0" w:firstColumn="0" w:lastColumn="0" w:oddVBand="0" w:evenVBand="0" w:oddHBand="0" w:evenHBand="0" w:firstRowFirstColumn="0" w:firstRowLastColumn="0" w:lastRowFirstColumn="0" w:lastRowLastColumn="0"/>
          <w:trHeight w:val="350"/>
        </w:trPr>
        <w:tc>
          <w:tcPr>
            <w:tcW w:w="9776" w:type="dxa"/>
          </w:tcPr>
          <w:p w14:paraId="3A740D07" w14:textId="77777777" w:rsidR="00257512" w:rsidRPr="00FD3B16" w:rsidRDefault="00257512">
            <w:pPr>
              <w:keepNext/>
              <w:spacing w:before="40" w:after="40"/>
              <w:rPr>
                <w:rFonts w:ascii="Arial Narrow" w:hAnsi="Arial Narrow" w:cs="Times New Roman"/>
                <w:sz w:val="20"/>
                <w:szCs w:val="20"/>
              </w:rPr>
            </w:pPr>
            <w:r w:rsidRPr="00FD3B16">
              <w:rPr>
                <w:rFonts w:ascii="Arial Narrow" w:hAnsi="Arial Narrow" w:cs="Times New Roman"/>
                <w:sz w:val="20"/>
                <w:szCs w:val="20"/>
              </w:rPr>
              <w:t xml:space="preserve">Category 1 – Professional attendances </w:t>
            </w:r>
          </w:p>
        </w:tc>
      </w:tr>
      <w:tr w:rsidR="00F8380C" w:rsidRPr="00FD3B16" w14:paraId="050E04B7" w14:textId="77777777">
        <w:tc>
          <w:tcPr>
            <w:tcW w:w="9776" w:type="dxa"/>
          </w:tcPr>
          <w:p w14:paraId="45E09A51" w14:textId="77777777" w:rsidR="00257512" w:rsidRPr="00FD3B16" w:rsidRDefault="00257512">
            <w:pPr>
              <w:keepNext/>
              <w:spacing w:before="40" w:after="40"/>
              <w:rPr>
                <w:rFonts w:ascii="Arial Narrow" w:hAnsi="Arial Narrow" w:cs="Times New Roman"/>
                <w:sz w:val="20"/>
                <w:szCs w:val="20"/>
                <w:lang w:val="en-US" w:eastAsia="ja-JP"/>
              </w:rPr>
            </w:pPr>
            <w:r w:rsidRPr="00FD3B16">
              <w:rPr>
                <w:rFonts w:ascii="Arial Narrow" w:hAnsi="Arial Narrow" w:cs="Times New Roman"/>
                <w:sz w:val="20"/>
                <w:szCs w:val="20"/>
                <w:lang w:val="en-US" w:eastAsia="ja-JP"/>
              </w:rPr>
              <w:t>MBS item XXXX</w:t>
            </w:r>
          </w:p>
          <w:p w14:paraId="548CE466" w14:textId="77777777" w:rsidR="00257512" w:rsidRPr="00FD3B16" w:rsidRDefault="00257512">
            <w:pPr>
              <w:keepNext/>
              <w:spacing w:before="40" w:after="40"/>
              <w:rPr>
                <w:rFonts w:ascii="Arial Narrow" w:hAnsi="Arial Narrow" w:cs="Times New Roman"/>
                <w:sz w:val="20"/>
                <w:szCs w:val="20"/>
                <w:lang w:val="en-US" w:eastAsia="ja-JP"/>
              </w:rPr>
            </w:pPr>
          </w:p>
          <w:p w14:paraId="3C230821" w14:textId="77777777" w:rsidR="00257512" w:rsidRPr="00FD3B16" w:rsidRDefault="00257512">
            <w:pPr>
              <w:keepNext/>
              <w:spacing w:before="40" w:after="40"/>
              <w:rPr>
                <w:rFonts w:ascii="Arial Narrow" w:hAnsi="Arial Narrow" w:cs="Times New Roman"/>
                <w:sz w:val="20"/>
                <w:szCs w:val="20"/>
                <w:lang w:val="en-AU"/>
              </w:rPr>
            </w:pPr>
            <w:r w:rsidRPr="00FD3B16">
              <w:rPr>
                <w:rFonts w:ascii="Arial Narrow" w:hAnsi="Arial Narrow" w:cs="Times New Roman"/>
                <w:sz w:val="20"/>
                <w:szCs w:val="20"/>
              </w:rPr>
              <w:t>Vibration-Controlled Transient Elastography at 50 Hz performed by a suitably trained health professional for the assessment of liver fibrosis in patients with metabolic dysfunction-associated fatty liver disease, following an indeterminate or high FIB-4 test score (≥1.3)</w:t>
            </w:r>
          </w:p>
          <w:p w14:paraId="26FBA31F" w14:textId="77777777" w:rsidR="00257512" w:rsidRPr="00FD3B16" w:rsidRDefault="00257512">
            <w:pPr>
              <w:keepNext/>
              <w:spacing w:before="40" w:after="40"/>
              <w:rPr>
                <w:rFonts w:ascii="Arial Narrow" w:hAnsi="Arial Narrow" w:cs="Times New Roman"/>
                <w:sz w:val="20"/>
                <w:szCs w:val="20"/>
                <w:lang w:val="en-AU"/>
              </w:rPr>
            </w:pPr>
          </w:p>
          <w:p w14:paraId="1EAD9A88" w14:textId="77777777" w:rsidR="00257512" w:rsidRPr="00FD3B16" w:rsidRDefault="00257512">
            <w:pPr>
              <w:keepNext/>
              <w:spacing w:before="40" w:after="40"/>
              <w:rPr>
                <w:rFonts w:ascii="Arial Narrow" w:hAnsi="Arial Narrow" w:cs="Times New Roman"/>
                <w:sz w:val="20"/>
                <w:szCs w:val="20"/>
                <w:lang w:val="en-AU"/>
              </w:rPr>
            </w:pPr>
            <w:r w:rsidRPr="00FD3B16">
              <w:rPr>
                <w:rFonts w:ascii="Arial Narrow" w:hAnsi="Arial Narrow" w:cs="Times New Roman"/>
                <w:sz w:val="20"/>
                <w:szCs w:val="20"/>
              </w:rPr>
              <w:t xml:space="preserve">Available once per patient in a </w:t>
            </w:r>
            <w:r w:rsidRPr="00FD3B16">
              <w:rPr>
                <w:rFonts w:ascii="Arial Narrow" w:hAnsi="Arial Narrow" w:cs="Times New Roman"/>
                <w:sz w:val="20"/>
                <w:szCs w:val="20"/>
                <w:lang w:val="en-AU"/>
              </w:rPr>
              <w:t>36-month</w:t>
            </w:r>
            <w:r w:rsidRPr="00FD3B16">
              <w:rPr>
                <w:rFonts w:ascii="Arial Narrow" w:hAnsi="Arial Narrow" w:cs="Times New Roman"/>
                <w:sz w:val="20"/>
                <w:szCs w:val="20"/>
              </w:rPr>
              <w:t xml:space="preserve"> period</w:t>
            </w:r>
          </w:p>
        </w:tc>
      </w:tr>
      <w:tr w:rsidR="00F8380C" w:rsidRPr="00FD3B16" w14:paraId="3790CF7E" w14:textId="77777777">
        <w:trPr>
          <w:trHeight w:val="223"/>
        </w:trPr>
        <w:tc>
          <w:tcPr>
            <w:tcW w:w="9776" w:type="dxa"/>
          </w:tcPr>
          <w:p w14:paraId="05D78187" w14:textId="77777777" w:rsidR="00257512" w:rsidRPr="00FD3B16" w:rsidRDefault="00257512">
            <w:pPr>
              <w:keepNext/>
              <w:spacing w:before="40" w:after="40"/>
              <w:rPr>
                <w:rFonts w:ascii="Arial Narrow" w:hAnsi="Arial Narrow" w:cs="Times New Roman"/>
                <w:snapToGrid w:val="0"/>
                <w:sz w:val="20"/>
                <w:szCs w:val="20"/>
              </w:rPr>
            </w:pPr>
            <w:r w:rsidRPr="00FD3B16">
              <w:rPr>
                <w:rFonts w:ascii="Arial Narrow" w:hAnsi="Arial Narrow" w:cs="Times New Roman"/>
                <w:sz w:val="20"/>
                <w:szCs w:val="20"/>
              </w:rPr>
              <w:t>Fee: $58.85</w:t>
            </w:r>
          </w:p>
        </w:tc>
      </w:tr>
    </w:tbl>
    <w:p w14:paraId="1D0A794E" w14:textId="1D2C4894" w:rsidR="00617DE7" w:rsidRPr="000E64DE" w:rsidRDefault="00257512" w:rsidP="000E64DE">
      <w:pPr>
        <w:keepNext/>
        <w:tabs>
          <w:tab w:val="left" w:pos="284"/>
        </w:tabs>
        <w:spacing w:after="360"/>
      </w:pPr>
      <w:r w:rsidRPr="00FD3B16">
        <w:rPr>
          <w:rFonts w:ascii="Arial Narrow" w:eastAsia="Times New Roman" w:hAnsi="Arial Narrow" w:cs="Arial"/>
          <w:snapToGrid w:val="0"/>
          <w:sz w:val="18"/>
          <w:szCs w:val="18"/>
          <w:lang w:eastAsia="en-AU"/>
        </w:rPr>
        <w:t>Abbreviations: MBS, medical benefits scheme</w:t>
      </w:r>
    </w:p>
    <w:p w14:paraId="3B6CE525" w14:textId="7143E6C2" w:rsidR="00F17328" w:rsidRDefault="00F17328" w:rsidP="0031650F">
      <w:pPr>
        <w:spacing w:before="0" w:after="120" w:line="269" w:lineRule="auto"/>
        <w:rPr>
          <w:rFonts w:eastAsia="Calibri" w:cs="Calibri"/>
        </w:rPr>
      </w:pPr>
      <w:r w:rsidRPr="00F17328">
        <w:rPr>
          <w:rFonts w:eastAsia="Calibri" w:cs="Calibri"/>
        </w:rPr>
        <w:t>PASC advised limiting VCTE use to once every 36 months</w:t>
      </w:r>
      <w:r w:rsidR="00A9042D">
        <w:rPr>
          <w:rFonts w:eastAsia="Calibri" w:cs="Calibri"/>
        </w:rPr>
        <w:t>,</w:t>
      </w:r>
      <w:r w:rsidRPr="00F17328">
        <w:rPr>
          <w:rFonts w:eastAsia="Calibri" w:cs="Calibri"/>
        </w:rPr>
        <w:t xml:space="preserve"> unless a prior LSM is ≥8 kPa</w:t>
      </w:r>
      <w:r w:rsidR="001600AD">
        <w:rPr>
          <w:rFonts w:eastAsia="Calibri" w:cs="Calibri"/>
        </w:rPr>
        <w:t xml:space="preserve"> in which case no further VCTE is required</w:t>
      </w:r>
      <w:r w:rsidRPr="00F17328">
        <w:rPr>
          <w:rFonts w:eastAsia="Calibri" w:cs="Calibri"/>
        </w:rPr>
        <w:t>, to ensure its use as a triage tool rather than for ongoing monitoring</w:t>
      </w:r>
      <w:r w:rsidR="005A4720">
        <w:rPr>
          <w:rFonts w:eastAsia="Calibri" w:cs="Calibri"/>
        </w:rPr>
        <w:t xml:space="preserve"> </w:t>
      </w:r>
      <w:r w:rsidR="005A4720" w:rsidRPr="005A4720">
        <w:rPr>
          <w:rFonts w:eastAsia="Calibri" w:cs="Calibri"/>
        </w:rPr>
        <w:t xml:space="preserve">(1797 </w:t>
      </w:r>
      <w:r w:rsidR="007B5693">
        <w:rPr>
          <w:rFonts w:eastAsia="Calibri" w:cs="Calibri"/>
        </w:rPr>
        <w:t>Ratified</w:t>
      </w:r>
      <w:r w:rsidR="007B5693" w:rsidRPr="005A4720">
        <w:rPr>
          <w:rFonts w:eastAsia="Calibri" w:cs="Calibri"/>
        </w:rPr>
        <w:t xml:space="preserve"> </w:t>
      </w:r>
      <w:r w:rsidR="005A4720" w:rsidRPr="005A4720">
        <w:rPr>
          <w:rFonts w:eastAsia="Calibri" w:cs="Calibri"/>
        </w:rPr>
        <w:t xml:space="preserve">PICO Confirmation, </w:t>
      </w:r>
      <w:r w:rsidR="007B5693">
        <w:rPr>
          <w:rFonts w:eastAsia="Calibri" w:cs="Calibri"/>
        </w:rPr>
        <w:t>T</w:t>
      </w:r>
      <w:r w:rsidR="005A4720" w:rsidRPr="005A4720">
        <w:rPr>
          <w:rFonts w:eastAsia="Calibri" w:cs="Calibri"/>
        </w:rPr>
        <w:t>able 8, p.</w:t>
      </w:r>
      <w:r w:rsidR="00441087">
        <w:rPr>
          <w:rFonts w:eastAsia="Calibri" w:cs="Calibri"/>
        </w:rPr>
        <w:t xml:space="preserve"> </w:t>
      </w:r>
      <w:r w:rsidR="005A4720" w:rsidRPr="005A4720">
        <w:rPr>
          <w:rFonts w:eastAsia="Calibri" w:cs="Calibri"/>
        </w:rPr>
        <w:t>38)</w:t>
      </w:r>
      <w:r w:rsidRPr="00F17328">
        <w:rPr>
          <w:rFonts w:eastAsia="Calibri" w:cs="Calibri"/>
        </w:rPr>
        <w:t>. However, the ADAR considered that such a restriction could inadvertently prevent re-evaluation in patients whose risk status may change over time</w:t>
      </w:r>
      <w:r w:rsidR="00F909F0">
        <w:rPr>
          <w:rFonts w:eastAsia="Calibri" w:cs="Calibri"/>
        </w:rPr>
        <w:t xml:space="preserve">. The </w:t>
      </w:r>
      <w:r w:rsidR="00057BC8">
        <w:rPr>
          <w:rFonts w:eastAsia="Calibri" w:cs="Calibri"/>
        </w:rPr>
        <w:t xml:space="preserve">MBS item descriptor proposed in the ADAR </w:t>
      </w:r>
      <w:r w:rsidR="00DA7156">
        <w:rPr>
          <w:rFonts w:eastAsia="Calibri" w:cs="Calibri"/>
        </w:rPr>
        <w:t xml:space="preserve">(Table 2) </w:t>
      </w:r>
      <w:r w:rsidR="00057BC8">
        <w:rPr>
          <w:rFonts w:eastAsia="Calibri" w:cs="Calibri"/>
        </w:rPr>
        <w:t xml:space="preserve">includes the </w:t>
      </w:r>
      <w:r w:rsidR="00911CA7">
        <w:rPr>
          <w:rFonts w:eastAsia="Calibri" w:cs="Calibri"/>
        </w:rPr>
        <w:t xml:space="preserve">frequency restriction </w:t>
      </w:r>
      <w:r w:rsidR="006C3F5E">
        <w:rPr>
          <w:rFonts w:eastAsia="Calibri" w:cs="Calibri"/>
        </w:rPr>
        <w:t>(limiting VCTE to once every 36 months) but removed the condition that th</w:t>
      </w:r>
      <w:r w:rsidR="0000389F">
        <w:rPr>
          <w:rFonts w:eastAsia="Calibri" w:cs="Calibri"/>
        </w:rPr>
        <w:t>e service</w:t>
      </w:r>
      <w:r w:rsidR="006C3F5E">
        <w:rPr>
          <w:rFonts w:eastAsia="Calibri" w:cs="Calibri"/>
        </w:rPr>
        <w:t xml:space="preserve"> is only for patients</w:t>
      </w:r>
      <w:r w:rsidR="002A2139">
        <w:rPr>
          <w:rFonts w:eastAsia="Calibri" w:cs="Calibri"/>
        </w:rPr>
        <w:t xml:space="preserve"> with no prior LSM </w:t>
      </w:r>
      <w:r w:rsidR="002A2139" w:rsidRPr="00F17328">
        <w:rPr>
          <w:rFonts w:eastAsia="Calibri" w:cs="Calibri"/>
        </w:rPr>
        <w:t>≥8 kP</w:t>
      </w:r>
      <w:r w:rsidR="002A2139">
        <w:rPr>
          <w:rFonts w:eastAsia="Calibri" w:cs="Calibri"/>
        </w:rPr>
        <w:t xml:space="preserve">a, reintroducing the possibility that the proposed item </w:t>
      </w:r>
      <w:r w:rsidR="002050B6">
        <w:rPr>
          <w:rFonts w:eastAsia="Calibri" w:cs="Calibri"/>
        </w:rPr>
        <w:t>could</w:t>
      </w:r>
      <w:r w:rsidR="00AF02B2">
        <w:rPr>
          <w:rFonts w:eastAsia="Calibri" w:cs="Calibri"/>
        </w:rPr>
        <w:t xml:space="preserve"> be used for ongoing monitoring.</w:t>
      </w:r>
      <w:r w:rsidR="002A2139">
        <w:rPr>
          <w:rFonts w:eastAsia="Calibri" w:cs="Calibri"/>
        </w:rPr>
        <w:t xml:space="preserve"> </w:t>
      </w:r>
      <w:r w:rsidR="00596411">
        <w:rPr>
          <w:rFonts w:eastAsia="Calibri" w:cs="Calibri"/>
        </w:rPr>
        <w:t>Regarding other considerations for retesting</w:t>
      </w:r>
      <w:r w:rsidR="00F97C61">
        <w:rPr>
          <w:rFonts w:eastAsia="Calibri" w:cs="Calibri"/>
        </w:rPr>
        <w:t xml:space="preserve"> in the proposed </w:t>
      </w:r>
      <w:r w:rsidR="00FA78FD">
        <w:rPr>
          <w:rFonts w:eastAsia="Calibri" w:cs="Calibri"/>
        </w:rPr>
        <w:t xml:space="preserve">clinical management </w:t>
      </w:r>
      <w:r w:rsidR="00F97C61">
        <w:rPr>
          <w:rFonts w:eastAsia="Calibri" w:cs="Calibri"/>
        </w:rPr>
        <w:t>algorithm</w:t>
      </w:r>
      <w:r w:rsidR="00596411">
        <w:rPr>
          <w:rFonts w:eastAsia="Calibri" w:cs="Calibri"/>
        </w:rPr>
        <w:t>, t</w:t>
      </w:r>
      <w:r w:rsidR="00ED2704">
        <w:rPr>
          <w:rFonts w:eastAsia="Calibri" w:cs="Calibri"/>
        </w:rPr>
        <w:t xml:space="preserve">he commentary </w:t>
      </w:r>
      <w:r w:rsidR="002D2DD4">
        <w:rPr>
          <w:rFonts w:eastAsia="Calibri" w:cs="Calibri"/>
        </w:rPr>
        <w:t xml:space="preserve">considered </w:t>
      </w:r>
      <w:r w:rsidR="00396124" w:rsidRPr="00396124">
        <w:rPr>
          <w:rFonts w:eastAsia="Calibri" w:cs="Calibri"/>
        </w:rPr>
        <w:t xml:space="preserve">it unclear </w:t>
      </w:r>
      <w:r w:rsidR="00100C69">
        <w:rPr>
          <w:rFonts w:eastAsia="Calibri" w:cs="Calibri"/>
        </w:rPr>
        <w:t>whether</w:t>
      </w:r>
      <w:r w:rsidR="00100C69" w:rsidRPr="00396124">
        <w:rPr>
          <w:rFonts w:eastAsia="Calibri" w:cs="Calibri"/>
        </w:rPr>
        <w:t xml:space="preserve"> </w:t>
      </w:r>
      <w:r w:rsidR="00396124" w:rsidRPr="00396124">
        <w:rPr>
          <w:rFonts w:eastAsia="Calibri" w:cs="Calibri"/>
        </w:rPr>
        <w:t xml:space="preserve">there would be any difference in clinical management between patients with LSM ≥8 kPa </w:t>
      </w:r>
      <w:r w:rsidR="0022775E">
        <w:rPr>
          <w:rFonts w:eastAsia="Calibri" w:cs="Calibri"/>
        </w:rPr>
        <w:t>and</w:t>
      </w:r>
      <w:r w:rsidR="00396124" w:rsidRPr="00396124">
        <w:rPr>
          <w:rFonts w:eastAsia="Calibri" w:cs="Calibri"/>
        </w:rPr>
        <w:t xml:space="preserve">, </w:t>
      </w:r>
      <w:r w:rsidR="0022775E">
        <w:rPr>
          <w:rFonts w:eastAsia="Calibri" w:cs="Calibri"/>
        </w:rPr>
        <w:t>for example</w:t>
      </w:r>
      <w:r w:rsidR="00396124" w:rsidRPr="00396124">
        <w:rPr>
          <w:rFonts w:eastAsia="Calibri" w:cs="Calibri"/>
        </w:rPr>
        <w:t xml:space="preserve">, a patient with LSM ≥10 kPa. If there is no difference in clinical management of these patients, then </w:t>
      </w:r>
      <w:r w:rsidR="0094416E">
        <w:rPr>
          <w:rFonts w:eastAsia="Calibri" w:cs="Calibri"/>
        </w:rPr>
        <w:t>re</w:t>
      </w:r>
      <w:r w:rsidR="00396124" w:rsidRPr="00396124">
        <w:rPr>
          <w:rFonts w:eastAsia="Calibri" w:cs="Calibri"/>
        </w:rPr>
        <w:t xml:space="preserve">testing patients who </w:t>
      </w:r>
      <w:r w:rsidR="007457AF">
        <w:rPr>
          <w:rFonts w:eastAsia="Calibri" w:cs="Calibri"/>
        </w:rPr>
        <w:t>have</w:t>
      </w:r>
      <w:r w:rsidR="00396124" w:rsidRPr="00396124">
        <w:rPr>
          <w:rFonts w:eastAsia="Calibri" w:cs="Calibri"/>
        </w:rPr>
        <w:t xml:space="preserve"> a </w:t>
      </w:r>
      <w:r w:rsidR="007457AF">
        <w:rPr>
          <w:rFonts w:eastAsia="Calibri" w:cs="Calibri"/>
        </w:rPr>
        <w:t>pr</w:t>
      </w:r>
      <w:r w:rsidR="00AD1735">
        <w:rPr>
          <w:rFonts w:eastAsia="Calibri" w:cs="Calibri"/>
        </w:rPr>
        <w:t>ior</w:t>
      </w:r>
      <w:r w:rsidR="00396124" w:rsidRPr="00396124">
        <w:rPr>
          <w:rFonts w:eastAsia="Calibri" w:cs="Calibri"/>
        </w:rPr>
        <w:t xml:space="preserve"> test result of LSM ≥8 kPa would have no clinical utility and would simply incur more costs</w:t>
      </w:r>
      <w:r w:rsidR="00DC6FBF">
        <w:rPr>
          <w:rFonts w:eastAsia="Calibri" w:cs="Calibri"/>
        </w:rPr>
        <w:t>,</w:t>
      </w:r>
      <w:r w:rsidR="00396124" w:rsidRPr="00396124">
        <w:rPr>
          <w:rFonts w:eastAsia="Calibri" w:cs="Calibri"/>
        </w:rPr>
        <w:t xml:space="preserve"> as well as any potential safety risks and misclassification risks for the patient</w:t>
      </w:r>
      <w:r w:rsidR="00DC6FBF">
        <w:rPr>
          <w:rFonts w:eastAsia="Calibri" w:cs="Calibri"/>
        </w:rPr>
        <w:t>,</w:t>
      </w:r>
      <w:r w:rsidR="00396124" w:rsidRPr="00396124">
        <w:rPr>
          <w:rFonts w:eastAsia="Calibri" w:cs="Calibri"/>
        </w:rPr>
        <w:t xml:space="preserve"> for no benefit</w:t>
      </w:r>
      <w:r w:rsidR="00F9567A">
        <w:rPr>
          <w:rFonts w:eastAsia="Calibri" w:cs="Calibri"/>
        </w:rPr>
        <w:t>.</w:t>
      </w:r>
    </w:p>
    <w:p w14:paraId="76AF6050" w14:textId="6666EA88" w:rsidR="00F17328" w:rsidDel="00CA4E34" w:rsidRDefault="63E3E2D8" w:rsidP="0031650F">
      <w:pPr>
        <w:spacing w:before="0" w:after="120" w:line="269" w:lineRule="auto"/>
        <w:rPr>
          <w:rFonts w:eastAsia="Calibri" w:cs="Calibri"/>
        </w:rPr>
      </w:pPr>
      <w:r w:rsidRPr="7256099D">
        <w:rPr>
          <w:rFonts w:eastAsia="Calibri" w:cs="Calibri"/>
        </w:rPr>
        <w:t>W</w:t>
      </w:r>
      <w:r w:rsidR="00F17328" w:rsidRPr="7256099D">
        <w:rPr>
          <w:rFonts w:eastAsia="Calibri" w:cs="Calibri"/>
        </w:rPr>
        <w:t>hile</w:t>
      </w:r>
      <w:r w:rsidR="00F17328" w:rsidRPr="00F17328" w:rsidDel="00CA4E34">
        <w:rPr>
          <w:rFonts w:eastAsia="Calibri" w:cs="Calibri"/>
        </w:rPr>
        <w:t xml:space="preserve"> PASC </w:t>
      </w:r>
      <w:r w:rsidR="007B5693" w:rsidRPr="007B5693" w:rsidDel="00CA4E34">
        <w:rPr>
          <w:rFonts w:eastAsia="Calibri" w:cs="Calibri"/>
        </w:rPr>
        <w:t>queried the training required to perform VCTE</w:t>
      </w:r>
      <w:r w:rsidR="0077605D">
        <w:rPr>
          <w:rFonts w:eastAsia="Calibri" w:cs="Calibri"/>
        </w:rPr>
        <w:t>,</w:t>
      </w:r>
      <w:r w:rsidR="007B5693" w:rsidRPr="007B5693" w:rsidDel="00CA4E34">
        <w:rPr>
          <w:rFonts w:eastAsia="Calibri" w:cs="Calibri"/>
        </w:rPr>
        <w:t xml:space="preserve"> for the GP workforce</w:t>
      </w:r>
      <w:r w:rsidR="0077605D" w:rsidRPr="0077605D">
        <w:rPr>
          <w:rFonts w:eastAsia="Calibri" w:cs="Calibri"/>
        </w:rPr>
        <w:t xml:space="preserve"> </w:t>
      </w:r>
      <w:r w:rsidR="0077605D" w:rsidRPr="007B5693">
        <w:rPr>
          <w:rFonts w:eastAsia="Calibri" w:cs="Calibri"/>
        </w:rPr>
        <w:t>in particular</w:t>
      </w:r>
      <w:r w:rsidR="007B5693" w:rsidRPr="007B5693" w:rsidDel="00CA4E34">
        <w:rPr>
          <w:rFonts w:eastAsia="Calibri" w:cs="Calibri"/>
        </w:rPr>
        <w:t>, and noted consultation feedback that VCTE may be best conducted by specialists</w:t>
      </w:r>
      <w:r w:rsidR="007B5693" w:rsidDel="00CA4E34">
        <w:rPr>
          <w:rFonts w:eastAsia="Calibri" w:cs="Calibri"/>
        </w:rPr>
        <w:t xml:space="preserve"> (1797 Ratified PICO Confirmation, p. </w:t>
      </w:r>
      <w:r w:rsidR="007B5693">
        <w:rPr>
          <w:rFonts w:eastAsia="Calibri" w:cs="Calibri"/>
        </w:rPr>
        <w:t>20)</w:t>
      </w:r>
      <w:r w:rsidR="00F17328" w:rsidRPr="00F17328">
        <w:rPr>
          <w:rFonts w:eastAsia="Calibri" w:cs="Calibri"/>
        </w:rPr>
        <w:t>, the ADAR</w:t>
      </w:r>
      <w:r w:rsidR="00976E81">
        <w:rPr>
          <w:rFonts w:eastAsia="Calibri" w:cs="Calibri"/>
        </w:rPr>
        <w:t xml:space="preserve"> </w:t>
      </w:r>
      <w:r w:rsidR="00822755">
        <w:rPr>
          <w:rFonts w:eastAsia="Calibri" w:cs="Calibri"/>
        </w:rPr>
        <w:t xml:space="preserve">emphasised the </w:t>
      </w:r>
      <w:r w:rsidR="00B04653">
        <w:t>low</w:t>
      </w:r>
      <w:r w:rsidR="00822755" w:rsidRPr="00BD12A5">
        <w:t xml:space="preserve"> training </w:t>
      </w:r>
      <w:r w:rsidR="00B04653">
        <w:t>requirements</w:t>
      </w:r>
      <w:r w:rsidR="00822755" w:rsidRPr="00BD12A5">
        <w:t xml:space="preserve"> and standardised interpretation guidelines</w:t>
      </w:r>
      <w:r w:rsidR="00F17328" w:rsidRPr="00F17328">
        <w:rPr>
          <w:rFonts w:eastAsia="Calibri" w:cs="Calibri"/>
        </w:rPr>
        <w:t>.</w:t>
      </w:r>
      <w:r w:rsidR="000B69C0">
        <w:rPr>
          <w:rFonts w:eastAsia="Calibri" w:cs="Calibri"/>
        </w:rPr>
        <w:t xml:space="preserve"> </w:t>
      </w:r>
      <w:r w:rsidR="00A87F71">
        <w:rPr>
          <w:rFonts w:eastAsia="Calibri" w:cs="Calibri"/>
        </w:rPr>
        <w:t xml:space="preserve">However, </w:t>
      </w:r>
      <w:r w:rsidR="000F759C">
        <w:rPr>
          <w:rFonts w:eastAsia="Calibri" w:cs="Calibri"/>
        </w:rPr>
        <w:t>the commentary noted</w:t>
      </w:r>
      <w:r w:rsidR="00A87F71">
        <w:rPr>
          <w:rFonts w:eastAsia="Calibri" w:cs="Calibri"/>
        </w:rPr>
        <w:t xml:space="preserve"> </w:t>
      </w:r>
      <w:r w:rsidR="00661678">
        <w:rPr>
          <w:rFonts w:eastAsia="Calibri" w:cs="Calibri"/>
        </w:rPr>
        <w:t xml:space="preserve">published evidence </w:t>
      </w:r>
      <w:r w:rsidR="003C3A3E">
        <w:rPr>
          <w:rFonts w:eastAsia="Calibri" w:cs="Calibri"/>
        </w:rPr>
        <w:t>that</w:t>
      </w:r>
      <w:r w:rsidR="00661678">
        <w:rPr>
          <w:rFonts w:eastAsia="Calibri" w:cs="Calibri"/>
        </w:rPr>
        <w:t xml:space="preserve"> operator experience </w:t>
      </w:r>
      <w:r w:rsidR="002E1332">
        <w:rPr>
          <w:rFonts w:eastAsia="Calibri" w:cs="Calibri"/>
        </w:rPr>
        <w:t>significantly influences measurement validit</w:t>
      </w:r>
      <w:r w:rsidR="00D57AE7">
        <w:rPr>
          <w:rFonts w:eastAsia="Calibri" w:cs="Calibri"/>
        </w:rPr>
        <w:t xml:space="preserve">y, highlighting the need for </w:t>
      </w:r>
      <w:r w:rsidR="008D7574" w:rsidRPr="008D7574">
        <w:rPr>
          <w:rFonts w:eastAsia="Calibri" w:cs="Calibri"/>
        </w:rPr>
        <w:t xml:space="preserve">substantial practical experience despite </w:t>
      </w:r>
      <w:r w:rsidR="006656E3">
        <w:rPr>
          <w:rFonts w:eastAsia="Calibri" w:cs="Calibri"/>
        </w:rPr>
        <w:t>low</w:t>
      </w:r>
      <w:r w:rsidR="008D7574" w:rsidRPr="008D7574">
        <w:rPr>
          <w:rFonts w:eastAsia="Calibri" w:cs="Calibri"/>
        </w:rPr>
        <w:t xml:space="preserve"> formal training requirements.</w:t>
      </w:r>
    </w:p>
    <w:p w14:paraId="489D72C5" w14:textId="13DB80F0" w:rsidR="009E3892" w:rsidRDefault="00D87D9B" w:rsidP="0031650F">
      <w:pPr>
        <w:spacing w:before="0" w:after="120" w:line="269" w:lineRule="auto"/>
        <w:rPr>
          <w:rFonts w:eastAsia="Calibri" w:cs="Calibri"/>
        </w:rPr>
      </w:pPr>
      <w:r>
        <w:rPr>
          <w:rFonts w:eastAsia="Calibri" w:cs="Calibri"/>
        </w:rPr>
        <w:t>Under the proposed item descriptor, a</w:t>
      </w:r>
      <w:r w:rsidR="004E5EFE" w:rsidRPr="004E5EFE">
        <w:rPr>
          <w:rFonts w:eastAsia="Calibri" w:cs="Calibri"/>
        </w:rPr>
        <w:t xml:space="preserve">ll patients with a FIB-4 test score </w:t>
      </w:r>
      <w:r w:rsidR="004E5EFE">
        <w:rPr>
          <w:rFonts w:eastAsia="Calibri" w:cs="Calibri"/>
        </w:rPr>
        <w:t>≥</w:t>
      </w:r>
      <w:r w:rsidR="004E5EFE" w:rsidRPr="004E5EFE">
        <w:rPr>
          <w:rFonts w:eastAsia="Calibri" w:cs="Calibri"/>
        </w:rPr>
        <w:t xml:space="preserve">1.3 would be eligible for testing, </w:t>
      </w:r>
      <w:r w:rsidR="007B5693">
        <w:rPr>
          <w:rFonts w:eastAsia="Calibri" w:cs="Calibri"/>
        </w:rPr>
        <w:t xml:space="preserve">in both primary and secondary settings. </w:t>
      </w:r>
      <w:r w:rsidR="009A622E">
        <w:rPr>
          <w:rFonts w:eastAsia="Calibri" w:cs="Calibri"/>
        </w:rPr>
        <w:t>In line with PASC advice</w:t>
      </w:r>
      <w:r w:rsidR="006563AB" w:rsidRPr="006563AB">
        <w:rPr>
          <w:rFonts w:eastAsia="Calibri" w:cs="Calibri"/>
        </w:rPr>
        <w:t xml:space="preserve"> that the use of standard validated </w:t>
      </w:r>
      <w:r w:rsidR="00191A15">
        <w:rPr>
          <w:rFonts w:eastAsia="Calibri" w:cs="Calibri"/>
        </w:rPr>
        <w:t xml:space="preserve">FIB-4 </w:t>
      </w:r>
      <w:r w:rsidR="006563AB" w:rsidRPr="006563AB">
        <w:rPr>
          <w:rFonts w:eastAsia="Calibri" w:cs="Calibri"/>
        </w:rPr>
        <w:t xml:space="preserve">cutoffs for the eligible population was </w:t>
      </w:r>
      <w:r w:rsidR="009A622E">
        <w:rPr>
          <w:rFonts w:eastAsia="Calibri" w:cs="Calibri"/>
        </w:rPr>
        <w:t>appropriate, differen</w:t>
      </w:r>
      <w:r w:rsidR="005515BF">
        <w:rPr>
          <w:rFonts w:eastAsia="Calibri" w:cs="Calibri"/>
        </w:rPr>
        <w:t>t FIB-4 thresholds were not proposed for</w:t>
      </w:r>
      <w:r w:rsidR="009A622E" w:rsidRPr="006563AB">
        <w:rPr>
          <w:rFonts w:eastAsia="Calibri" w:cs="Calibri"/>
        </w:rPr>
        <w:t xml:space="preserve"> </w:t>
      </w:r>
      <w:r w:rsidR="006563AB" w:rsidRPr="006563AB">
        <w:rPr>
          <w:rFonts w:eastAsia="Calibri" w:cs="Calibri"/>
        </w:rPr>
        <w:t xml:space="preserve">different subgroups. </w:t>
      </w:r>
      <w:r w:rsidR="00EE54C7">
        <w:rPr>
          <w:rFonts w:eastAsia="Calibri" w:cs="Calibri"/>
        </w:rPr>
        <w:t>The</w:t>
      </w:r>
      <w:r w:rsidR="006563AB" w:rsidRPr="006563AB">
        <w:rPr>
          <w:rFonts w:eastAsia="Calibri" w:cs="Calibri"/>
        </w:rPr>
        <w:t xml:space="preserve"> proposed </w:t>
      </w:r>
      <w:r w:rsidR="00433812" w:rsidRPr="006563AB">
        <w:rPr>
          <w:rFonts w:eastAsia="Calibri" w:cs="Calibri"/>
        </w:rPr>
        <w:t xml:space="preserve">thresholds </w:t>
      </w:r>
      <w:r w:rsidR="00EE54C7">
        <w:rPr>
          <w:rFonts w:eastAsia="Calibri" w:cs="Calibri"/>
        </w:rPr>
        <w:t xml:space="preserve">are </w:t>
      </w:r>
      <w:r w:rsidR="006563AB" w:rsidRPr="006563AB">
        <w:rPr>
          <w:rFonts w:eastAsia="Calibri" w:cs="Calibri"/>
        </w:rPr>
        <w:t>align</w:t>
      </w:r>
      <w:r w:rsidR="00433812">
        <w:rPr>
          <w:rFonts w:eastAsia="Calibri" w:cs="Calibri"/>
        </w:rPr>
        <w:t>ed</w:t>
      </w:r>
      <w:r w:rsidR="006563AB" w:rsidRPr="006563AB">
        <w:rPr>
          <w:rFonts w:eastAsia="Calibri" w:cs="Calibri"/>
        </w:rPr>
        <w:t xml:space="preserve"> with the GESA consensus statement, </w:t>
      </w:r>
      <w:r w:rsidR="00EE54C7">
        <w:rPr>
          <w:rFonts w:eastAsia="Calibri" w:cs="Calibri"/>
        </w:rPr>
        <w:t xml:space="preserve">which PASC also </w:t>
      </w:r>
      <w:r w:rsidR="006563AB" w:rsidRPr="006563AB">
        <w:rPr>
          <w:rFonts w:eastAsia="Calibri" w:cs="Calibri"/>
        </w:rPr>
        <w:t>considered to be appropriate.</w:t>
      </w:r>
    </w:p>
    <w:p w14:paraId="49B8D24D" w14:textId="56B88D26" w:rsidR="00A31945" w:rsidRDefault="0071668E" w:rsidP="0031650F">
      <w:pPr>
        <w:spacing w:before="0" w:after="120" w:line="269" w:lineRule="auto"/>
        <w:rPr>
          <w:rFonts w:eastAsia="Calibri" w:cs="Calibri"/>
        </w:rPr>
      </w:pPr>
      <w:r>
        <w:rPr>
          <w:rFonts w:eastAsia="Calibri" w:cs="Calibri"/>
        </w:rPr>
        <w:t xml:space="preserve">As discussed in </w:t>
      </w:r>
      <w:r>
        <w:rPr>
          <w:rFonts w:eastAsia="Calibri" w:cs="Calibri"/>
        </w:rPr>
        <w:fldChar w:fldCharType="begin"/>
      </w:r>
      <w:r>
        <w:rPr>
          <w:rFonts w:eastAsia="Calibri" w:cs="Calibri"/>
        </w:rPr>
        <w:instrText xml:space="preserve"> REF _Ref69480768 \h </w:instrText>
      </w:r>
      <w:r>
        <w:rPr>
          <w:rFonts w:eastAsia="Calibri" w:cs="Calibri"/>
        </w:rPr>
      </w:r>
      <w:r>
        <w:rPr>
          <w:rFonts w:eastAsia="Calibri" w:cs="Calibri"/>
        </w:rPr>
        <w:fldChar w:fldCharType="separate"/>
      </w:r>
      <w:r w:rsidR="00CE1B54" w:rsidRPr="00CE28E3">
        <w:t>Table</w:t>
      </w:r>
      <w:r w:rsidR="00CE1B54">
        <w:t> </w:t>
      </w:r>
      <w:r w:rsidR="00CE1B54">
        <w:rPr>
          <w:noProof/>
        </w:rPr>
        <w:t>1</w:t>
      </w:r>
      <w:r>
        <w:rPr>
          <w:rFonts w:eastAsia="Calibri" w:cs="Calibri"/>
        </w:rPr>
        <w:fldChar w:fldCharType="end"/>
      </w:r>
      <w:r>
        <w:rPr>
          <w:rFonts w:eastAsia="Calibri" w:cs="Calibri"/>
        </w:rPr>
        <w:t>, t</w:t>
      </w:r>
      <w:r w:rsidR="00BE4DCB">
        <w:rPr>
          <w:rFonts w:eastAsia="Calibri" w:cs="Calibri"/>
        </w:rPr>
        <w:t xml:space="preserve">he commentary noted </w:t>
      </w:r>
      <w:r>
        <w:rPr>
          <w:rFonts w:eastAsia="Calibri" w:cs="Calibri"/>
        </w:rPr>
        <w:t>that</w:t>
      </w:r>
      <w:r w:rsidR="00916CD0">
        <w:rPr>
          <w:rFonts w:eastAsia="Calibri" w:cs="Calibri"/>
        </w:rPr>
        <w:t>,</w:t>
      </w:r>
      <w:r>
        <w:rPr>
          <w:rFonts w:eastAsia="Calibri" w:cs="Calibri"/>
        </w:rPr>
        <w:t xml:space="preserve"> </w:t>
      </w:r>
      <w:r w:rsidRPr="0071668E">
        <w:rPr>
          <w:rFonts w:eastAsia="Calibri" w:cs="Calibri"/>
        </w:rPr>
        <w:t xml:space="preserve">given the </w:t>
      </w:r>
      <w:r>
        <w:rPr>
          <w:rFonts w:eastAsia="Calibri" w:cs="Calibri"/>
        </w:rPr>
        <w:t xml:space="preserve">1797 ADAR’s </w:t>
      </w:r>
      <w:r w:rsidRPr="0071668E">
        <w:rPr>
          <w:rFonts w:eastAsia="Calibri" w:cs="Calibri"/>
        </w:rPr>
        <w:t>claim that patients currently face an out</w:t>
      </w:r>
      <w:r w:rsidR="0022775E">
        <w:rPr>
          <w:rFonts w:eastAsia="Calibri" w:cs="Calibri"/>
        </w:rPr>
        <w:t>-</w:t>
      </w:r>
      <w:r w:rsidRPr="0071668E">
        <w:rPr>
          <w:rFonts w:eastAsia="Calibri" w:cs="Calibri"/>
        </w:rPr>
        <w:t>of</w:t>
      </w:r>
      <w:r w:rsidR="0022775E">
        <w:rPr>
          <w:rFonts w:eastAsia="Calibri" w:cs="Calibri"/>
        </w:rPr>
        <w:t>-</w:t>
      </w:r>
      <w:r w:rsidRPr="0071668E">
        <w:rPr>
          <w:rFonts w:eastAsia="Calibri" w:cs="Calibri"/>
        </w:rPr>
        <w:t>pocket cost of between $200-300 for privately funded V</w:t>
      </w:r>
      <w:r w:rsidR="00B4551E">
        <w:rPr>
          <w:rFonts w:eastAsia="Calibri" w:cs="Calibri"/>
        </w:rPr>
        <w:t>C</w:t>
      </w:r>
      <w:r w:rsidRPr="0071668E">
        <w:rPr>
          <w:rFonts w:eastAsia="Calibri" w:cs="Calibri"/>
        </w:rPr>
        <w:t>TE, patients would still face substantial out</w:t>
      </w:r>
      <w:r w:rsidR="0022775E">
        <w:rPr>
          <w:rFonts w:eastAsia="Calibri" w:cs="Calibri"/>
        </w:rPr>
        <w:t>-</w:t>
      </w:r>
      <w:r w:rsidRPr="0071668E">
        <w:rPr>
          <w:rFonts w:eastAsia="Calibri" w:cs="Calibri"/>
        </w:rPr>
        <w:t>of</w:t>
      </w:r>
      <w:r w:rsidR="0022775E">
        <w:rPr>
          <w:rFonts w:eastAsia="Calibri" w:cs="Calibri"/>
        </w:rPr>
        <w:t>-</w:t>
      </w:r>
      <w:r w:rsidRPr="0071668E">
        <w:rPr>
          <w:rFonts w:eastAsia="Calibri" w:cs="Calibri"/>
        </w:rPr>
        <w:t xml:space="preserve">pocket costs for VCTE even if </w:t>
      </w:r>
      <w:r w:rsidR="00A61E4E">
        <w:rPr>
          <w:rFonts w:eastAsia="Calibri" w:cs="Calibri"/>
        </w:rPr>
        <w:t>delivery of the service</w:t>
      </w:r>
      <w:r w:rsidRPr="0071668E">
        <w:rPr>
          <w:rFonts w:eastAsia="Calibri" w:cs="Calibri"/>
        </w:rPr>
        <w:t xml:space="preserve"> w</w:t>
      </w:r>
      <w:r w:rsidR="0099364D">
        <w:rPr>
          <w:rFonts w:eastAsia="Calibri" w:cs="Calibri"/>
        </w:rPr>
        <w:t>ere</w:t>
      </w:r>
      <w:r w:rsidRPr="0071668E">
        <w:rPr>
          <w:rFonts w:eastAsia="Calibri" w:cs="Calibri"/>
        </w:rPr>
        <w:t xml:space="preserve"> subsidised </w:t>
      </w:r>
      <w:r w:rsidR="00F95DEB">
        <w:rPr>
          <w:rFonts w:eastAsia="Calibri" w:cs="Calibri"/>
        </w:rPr>
        <w:t>by</w:t>
      </w:r>
      <w:r w:rsidRPr="0071668E">
        <w:rPr>
          <w:rFonts w:eastAsia="Calibri" w:cs="Calibri"/>
        </w:rPr>
        <w:t xml:space="preserve"> the MBS</w:t>
      </w:r>
      <w:r w:rsidR="00F95DEB">
        <w:rPr>
          <w:rFonts w:eastAsia="Calibri" w:cs="Calibri"/>
        </w:rPr>
        <w:t>. T</w:t>
      </w:r>
      <w:r w:rsidRPr="0071668E">
        <w:rPr>
          <w:rFonts w:eastAsia="Calibri" w:cs="Calibri"/>
        </w:rPr>
        <w:t>he same issue of inequity previously identified by MSAC in Application 1446 would apply.</w:t>
      </w:r>
      <w:r w:rsidR="00967AF2">
        <w:rPr>
          <w:rFonts w:eastAsia="Calibri" w:cs="Calibri"/>
        </w:rPr>
        <w:t xml:space="preserve"> However, the department notes that </w:t>
      </w:r>
      <w:r w:rsidR="00F17E5D">
        <w:rPr>
          <w:rFonts w:eastAsia="Calibri" w:cs="Calibri"/>
        </w:rPr>
        <w:t xml:space="preserve">the current </w:t>
      </w:r>
      <w:r w:rsidR="00311EE0">
        <w:rPr>
          <w:rFonts w:eastAsia="Calibri" w:cs="Calibri"/>
        </w:rPr>
        <w:t>out</w:t>
      </w:r>
      <w:r w:rsidR="009218B9">
        <w:rPr>
          <w:rFonts w:eastAsia="Calibri" w:cs="Calibri"/>
        </w:rPr>
        <w:t>-</w:t>
      </w:r>
      <w:r w:rsidR="00311EE0">
        <w:rPr>
          <w:rFonts w:eastAsia="Calibri" w:cs="Calibri"/>
        </w:rPr>
        <w:t>of</w:t>
      </w:r>
      <w:r w:rsidR="009218B9">
        <w:rPr>
          <w:rFonts w:eastAsia="Calibri" w:cs="Calibri"/>
        </w:rPr>
        <w:t>-</w:t>
      </w:r>
      <w:r w:rsidR="00311EE0">
        <w:rPr>
          <w:rFonts w:eastAsia="Calibri" w:cs="Calibri"/>
        </w:rPr>
        <w:t>pocket costs</w:t>
      </w:r>
      <w:r w:rsidR="00530EE7">
        <w:rPr>
          <w:rFonts w:eastAsia="Calibri" w:cs="Calibri"/>
        </w:rPr>
        <w:t xml:space="preserve"> and fees</w:t>
      </w:r>
      <w:r w:rsidR="00E443EF">
        <w:rPr>
          <w:rFonts w:eastAsia="Calibri" w:cs="Calibri"/>
        </w:rPr>
        <w:t xml:space="preserve"> set</w:t>
      </w:r>
      <w:r w:rsidR="00311EE0">
        <w:rPr>
          <w:rFonts w:eastAsia="Calibri" w:cs="Calibri"/>
        </w:rPr>
        <w:t xml:space="preserve"> in </w:t>
      </w:r>
      <w:r w:rsidR="00A96E27">
        <w:rPr>
          <w:rFonts w:eastAsia="Calibri" w:cs="Calibri"/>
        </w:rPr>
        <w:t xml:space="preserve">the </w:t>
      </w:r>
      <w:r w:rsidR="00F17E5D">
        <w:rPr>
          <w:rFonts w:eastAsia="Calibri" w:cs="Calibri"/>
        </w:rPr>
        <w:t>private</w:t>
      </w:r>
      <w:r w:rsidR="00A96E27">
        <w:rPr>
          <w:rFonts w:eastAsia="Calibri" w:cs="Calibri"/>
        </w:rPr>
        <w:t xml:space="preserve"> system</w:t>
      </w:r>
      <w:r w:rsidR="00563EDC">
        <w:rPr>
          <w:rFonts w:eastAsia="Calibri" w:cs="Calibri"/>
        </w:rPr>
        <w:t xml:space="preserve"> likely incorporate </w:t>
      </w:r>
      <w:r w:rsidR="006821FD">
        <w:rPr>
          <w:rFonts w:eastAsia="Calibri" w:cs="Calibri"/>
        </w:rPr>
        <w:t xml:space="preserve">private practices </w:t>
      </w:r>
      <w:r w:rsidR="009F2EFB">
        <w:rPr>
          <w:rFonts w:eastAsia="Calibri" w:cs="Calibri"/>
        </w:rPr>
        <w:t xml:space="preserve">recouping </w:t>
      </w:r>
      <w:r w:rsidR="00563EDC">
        <w:rPr>
          <w:rFonts w:eastAsia="Calibri" w:cs="Calibri"/>
        </w:rPr>
        <w:t>the cost of purchasing</w:t>
      </w:r>
      <w:r w:rsidR="006C636D">
        <w:rPr>
          <w:rFonts w:eastAsia="Calibri" w:cs="Calibri"/>
        </w:rPr>
        <w:t xml:space="preserve"> the VCTE device </w:t>
      </w:r>
      <w:r w:rsidR="009F2EFB">
        <w:rPr>
          <w:rFonts w:eastAsia="Calibri" w:cs="Calibri"/>
        </w:rPr>
        <w:t>from their patients over time.</w:t>
      </w:r>
      <w:r w:rsidR="00A96E27">
        <w:rPr>
          <w:rFonts w:eastAsia="Calibri" w:cs="Calibri"/>
        </w:rPr>
        <w:t xml:space="preserve"> </w:t>
      </w:r>
      <w:r w:rsidR="00F17E5D">
        <w:rPr>
          <w:rFonts w:eastAsia="Calibri" w:cs="Calibri"/>
        </w:rPr>
        <w:t xml:space="preserve"> </w:t>
      </w:r>
    </w:p>
    <w:p w14:paraId="74778447" w14:textId="010BCC5E" w:rsidR="003D60E4" w:rsidRPr="00FD3B16" w:rsidRDefault="00BE2117" w:rsidP="0031650F">
      <w:pPr>
        <w:spacing w:before="0" w:after="120" w:line="269" w:lineRule="auto"/>
        <w:rPr>
          <w:rFonts w:eastAsia="Calibri" w:cs="Calibri"/>
        </w:rPr>
      </w:pPr>
      <w:r w:rsidRPr="00FD3B16">
        <w:rPr>
          <w:rFonts w:eastAsia="Calibri" w:cs="Calibri"/>
        </w:rPr>
        <w:t xml:space="preserve">The fee for the proposed item ($58.85) was </w:t>
      </w:r>
      <w:r w:rsidR="00C53C93">
        <w:rPr>
          <w:rFonts w:eastAsia="Calibri" w:cs="Calibri"/>
        </w:rPr>
        <w:t xml:space="preserve">based on </w:t>
      </w:r>
      <w:r w:rsidR="001F17DE">
        <w:rPr>
          <w:rFonts w:eastAsia="Calibri" w:cs="Calibri"/>
        </w:rPr>
        <w:t xml:space="preserve">providing </w:t>
      </w:r>
      <w:r w:rsidR="00C53C93">
        <w:rPr>
          <w:rFonts w:eastAsia="Calibri" w:cs="Calibri"/>
        </w:rPr>
        <w:t xml:space="preserve">the scan </w:t>
      </w:r>
      <w:r w:rsidR="00723761">
        <w:rPr>
          <w:rFonts w:eastAsia="Calibri" w:cs="Calibri"/>
        </w:rPr>
        <w:t>only</w:t>
      </w:r>
      <w:r w:rsidR="00C53C93">
        <w:rPr>
          <w:rFonts w:eastAsia="Calibri" w:cs="Calibri"/>
        </w:rPr>
        <w:t xml:space="preserve">, without the </w:t>
      </w:r>
      <w:r w:rsidR="00D206F0">
        <w:rPr>
          <w:rFonts w:eastAsia="Calibri" w:cs="Calibri"/>
        </w:rPr>
        <w:t>bundled</w:t>
      </w:r>
      <w:r w:rsidR="00C53C93">
        <w:rPr>
          <w:rFonts w:eastAsia="Calibri" w:cs="Calibri"/>
        </w:rPr>
        <w:t xml:space="preserve"> consultation elements originally proposed </w:t>
      </w:r>
      <w:r w:rsidR="00D206F0">
        <w:rPr>
          <w:rFonts w:eastAsia="Calibri" w:cs="Calibri"/>
        </w:rPr>
        <w:t xml:space="preserve">by the applicant. This is in line with PASC’s </w:t>
      </w:r>
      <w:r w:rsidR="00D206F0">
        <w:rPr>
          <w:rFonts w:eastAsia="Calibri" w:cs="Calibri"/>
        </w:rPr>
        <w:lastRenderedPageBreak/>
        <w:t xml:space="preserve">advice </w:t>
      </w:r>
      <w:r w:rsidR="001F17DE">
        <w:t>(1797 Ratified PICO Confirmation, p. 37-38)</w:t>
      </w:r>
      <w:r w:rsidRPr="00FD3B16">
        <w:rPr>
          <w:rFonts w:eastAsia="Calibri" w:cs="Calibri"/>
        </w:rPr>
        <w:t>. Th</w:t>
      </w:r>
      <w:r w:rsidR="008C125F">
        <w:rPr>
          <w:rFonts w:eastAsia="Calibri" w:cs="Calibri"/>
        </w:rPr>
        <w:t>e</w:t>
      </w:r>
      <w:r w:rsidRPr="00FD3B16">
        <w:rPr>
          <w:rFonts w:eastAsia="Calibri" w:cs="Calibri"/>
        </w:rPr>
        <w:t xml:space="preserve"> fee was based on nurse practitioner attendance item 82210 ($58.85)</w:t>
      </w:r>
      <w:r w:rsidRPr="00FD3B16" w:rsidDel="00802EAB">
        <w:rPr>
          <w:rFonts w:eastAsia="Calibri" w:cs="Calibri"/>
        </w:rPr>
        <w:t xml:space="preserve"> </w:t>
      </w:r>
      <w:r w:rsidR="00BF0EC0">
        <w:rPr>
          <w:rFonts w:eastAsia="Calibri" w:cs="Calibri"/>
        </w:rPr>
        <w:t>for a consultation lasting at leas</w:t>
      </w:r>
      <w:r w:rsidR="00CB2002">
        <w:rPr>
          <w:rFonts w:eastAsia="Calibri" w:cs="Calibri"/>
        </w:rPr>
        <w:t>t 20 minutes</w:t>
      </w:r>
      <w:r w:rsidR="003A2098" w:rsidRPr="00FD3B16">
        <w:rPr>
          <w:rFonts w:eastAsia="Calibri" w:cs="Calibri"/>
        </w:rPr>
        <w:t>.</w:t>
      </w:r>
    </w:p>
    <w:p w14:paraId="4F3B5BCA" w14:textId="33086B4D" w:rsidR="000801D2" w:rsidRDefault="000801D2" w:rsidP="00DC2B02">
      <w:pPr>
        <w:spacing w:before="0" w:after="120" w:line="269" w:lineRule="auto"/>
      </w:pPr>
      <w:r w:rsidRPr="000801D2">
        <w:t xml:space="preserve">The ADAR proposes MBS funding </w:t>
      </w:r>
      <w:r w:rsidR="00376F80">
        <w:t xml:space="preserve">exclusively </w:t>
      </w:r>
      <w:r w:rsidRPr="000801D2">
        <w:t>for VCTE</w:t>
      </w:r>
      <w:r w:rsidR="00997C12">
        <w:t xml:space="preserve"> by </w:t>
      </w:r>
      <w:r w:rsidR="00192B67">
        <w:t>FibroScan</w:t>
      </w:r>
      <w:r w:rsidR="00997C12">
        <w:t>®, a</w:t>
      </w:r>
      <w:r w:rsidR="00015EFF">
        <w:t xml:space="preserve">nd </w:t>
      </w:r>
      <w:r w:rsidR="007D1B35">
        <w:t>ex</w:t>
      </w:r>
      <w:r w:rsidR="00015EFF">
        <w:t>clude</w:t>
      </w:r>
      <w:r w:rsidR="007D1B35">
        <w:t>s</w:t>
      </w:r>
      <w:r w:rsidR="00015EFF">
        <w:t xml:space="preserve"> other methods of elastography</w:t>
      </w:r>
      <w:r w:rsidR="00662FDF">
        <w:t xml:space="preserve">. </w:t>
      </w:r>
      <w:r w:rsidRPr="000801D2">
        <w:t xml:space="preserve">PASC raised concerns about this brand-specific approach, </w:t>
      </w:r>
      <w:r w:rsidR="00015EFF">
        <w:t>advising that</w:t>
      </w:r>
      <w:r w:rsidR="00015EFF" w:rsidRPr="000801D2">
        <w:t xml:space="preserve"> </w:t>
      </w:r>
      <w:r w:rsidRPr="000801D2">
        <w:t xml:space="preserve">the use of a </w:t>
      </w:r>
      <w:r w:rsidR="00923F0D">
        <w:t>broader</w:t>
      </w:r>
      <w:r w:rsidRPr="000801D2">
        <w:t xml:space="preserve"> term (e.g. “transient elastography”</w:t>
      </w:r>
      <w:r w:rsidR="006D1809">
        <w:t xml:space="preserve"> or “elastography</w:t>
      </w:r>
      <w:r w:rsidRPr="000801D2">
        <w:t>”)</w:t>
      </w:r>
      <w:r w:rsidR="00015EFF">
        <w:t xml:space="preserve"> may be more appropriate,</w:t>
      </w:r>
      <w:r w:rsidRPr="000801D2">
        <w:t xml:space="preserve"> unless clear evidence supports VCTE’s superiority over alternatives.</w:t>
      </w:r>
      <w:r w:rsidR="00662FDF">
        <w:t xml:space="preserve"> The ADAR</w:t>
      </w:r>
      <w:r w:rsidR="00623AE0">
        <w:t xml:space="preserve"> referred to guidelines </w:t>
      </w:r>
      <w:r w:rsidR="00C540B8">
        <w:t>to defend the decision to limit to VCTE specifically</w:t>
      </w:r>
      <w:r w:rsidR="008E73AD">
        <w:t xml:space="preserve">, </w:t>
      </w:r>
      <w:r w:rsidR="00C540B8">
        <w:t>and</w:t>
      </w:r>
      <w:r w:rsidR="008E73AD">
        <w:t xml:space="preserve"> in their comments on the ratified PICO, the applicant stated that other </w:t>
      </w:r>
      <w:r w:rsidR="0057546E">
        <w:t>elastography</w:t>
      </w:r>
      <w:r w:rsidR="008E73AD">
        <w:t xml:space="preserve"> technologies were excluded</w:t>
      </w:r>
      <w:r w:rsidR="00586A71">
        <w:t xml:space="preserve"> from the application</w:t>
      </w:r>
      <w:r w:rsidR="008E73AD">
        <w:t xml:space="preserve"> due to the gap in clinical evidence and the lower diagnostic accuracy of alternative methods </w:t>
      </w:r>
      <w:r w:rsidR="00547A7A">
        <w:t xml:space="preserve">compared to VCTE </w:t>
      </w:r>
      <w:r w:rsidR="008E73AD">
        <w:t>(1797 Ratified PICO Confirmation, p. 41)</w:t>
      </w:r>
      <w:r w:rsidR="00641325">
        <w:t>.</w:t>
      </w:r>
      <w:r w:rsidR="008E73AD">
        <w:t xml:space="preserve"> </w:t>
      </w:r>
      <w:r w:rsidR="00F25826">
        <w:t>However, n</w:t>
      </w:r>
      <w:r w:rsidR="008E73AD">
        <w:t>o evidence was presented in the ADAR to demonstrate this lower accuracy</w:t>
      </w:r>
      <w:r w:rsidR="00662FDF">
        <w:t>.</w:t>
      </w:r>
    </w:p>
    <w:p w14:paraId="333D44B4" w14:textId="64637436" w:rsidR="000801D2" w:rsidRDefault="00851214" w:rsidP="00DC2B02">
      <w:pPr>
        <w:spacing w:before="0" w:after="120" w:line="269" w:lineRule="auto"/>
      </w:pPr>
      <w:r>
        <w:t>A</w:t>
      </w:r>
      <w:r w:rsidR="00271E53">
        <w:t xml:space="preserve"> </w:t>
      </w:r>
      <w:r w:rsidR="00480B90">
        <w:t xml:space="preserve">rapid </w:t>
      </w:r>
      <w:r w:rsidR="00271E53">
        <w:t xml:space="preserve">literature search </w:t>
      </w:r>
      <w:r w:rsidR="00271E53" w:rsidRPr="00DC2B02">
        <w:rPr>
          <w:rFonts w:eastAsia="Calibri" w:cs="Calibri"/>
        </w:rPr>
        <w:t>during</w:t>
      </w:r>
      <w:r w:rsidR="00271E53">
        <w:t xml:space="preserve"> </w:t>
      </w:r>
      <w:r w:rsidR="008F0223">
        <w:t xml:space="preserve">the </w:t>
      </w:r>
      <w:r w:rsidR="00271E53">
        <w:t>e</w:t>
      </w:r>
      <w:r w:rsidR="000801D2" w:rsidRPr="000801D2">
        <w:t xml:space="preserve">valuation confirmed that VCTE is </w:t>
      </w:r>
      <w:r w:rsidR="00662FDF">
        <w:t xml:space="preserve">a </w:t>
      </w:r>
      <w:r w:rsidR="000801D2" w:rsidRPr="000801D2">
        <w:t>widely used tool for fibrosis staging in MAFLD</w:t>
      </w:r>
      <w:r w:rsidR="00131DED">
        <w:t xml:space="preserve"> or non-alcohol</w:t>
      </w:r>
      <w:r w:rsidR="0090118C">
        <w:t>ic</w:t>
      </w:r>
      <w:r w:rsidR="00131DED">
        <w:t xml:space="preserve"> fatty liver disease (</w:t>
      </w:r>
      <w:r w:rsidR="000801D2" w:rsidRPr="000801D2">
        <w:t>NAFLD</w:t>
      </w:r>
      <w:r w:rsidR="00131DED">
        <w:t>)</w:t>
      </w:r>
      <w:r w:rsidR="000801D2" w:rsidRPr="000801D2">
        <w:t xml:space="preserve"> and chronic liver disease</w:t>
      </w:r>
      <w:r w:rsidR="00E05F0F">
        <w:t>. However</w:t>
      </w:r>
      <w:r w:rsidR="006D7FCA">
        <w:t>,</w:t>
      </w:r>
      <w:r w:rsidR="00662FDF">
        <w:t xml:space="preserve"> other </w:t>
      </w:r>
      <w:r w:rsidR="00CC1454">
        <w:t>elastography</w:t>
      </w:r>
      <w:r w:rsidR="00F7108E">
        <w:t xml:space="preserve"> modalities such as</w:t>
      </w:r>
      <w:r w:rsidR="000801D2" w:rsidRPr="000801D2">
        <w:t xml:space="preserve"> 2D-</w:t>
      </w:r>
      <w:r w:rsidR="001F4108" w:rsidRPr="001F4108">
        <w:t xml:space="preserve">Shear Wave Elastography </w:t>
      </w:r>
      <w:r w:rsidR="001F4108">
        <w:t>(</w:t>
      </w:r>
      <w:r w:rsidR="000801D2" w:rsidRPr="000801D2">
        <w:t>SWE</w:t>
      </w:r>
      <w:r w:rsidR="001F4108">
        <w:t>)</w:t>
      </w:r>
      <w:r w:rsidR="001451D6">
        <w:t xml:space="preserve"> and</w:t>
      </w:r>
      <w:r w:rsidR="000801D2" w:rsidRPr="000801D2">
        <w:t xml:space="preserve"> </w:t>
      </w:r>
      <w:r w:rsidR="00BE45BB">
        <w:t xml:space="preserve">point </w:t>
      </w:r>
      <w:r w:rsidR="00BE45BB" w:rsidRPr="00BD12A5">
        <w:t xml:space="preserve">Shear Wave Elastography </w:t>
      </w:r>
      <w:r w:rsidR="00BE45BB">
        <w:t>(</w:t>
      </w:r>
      <w:r w:rsidR="000801D2" w:rsidRPr="000801D2">
        <w:t>pSWE</w:t>
      </w:r>
      <w:r w:rsidR="00BE45BB">
        <w:t>)</w:t>
      </w:r>
      <w:r w:rsidR="000801D2" w:rsidRPr="000801D2">
        <w:t xml:space="preserve"> demonstrate comparable diagnostic performance and may be more suitable in patients with obesity or where VCTE access is limited. </w:t>
      </w:r>
      <w:r w:rsidR="00BF11D4" w:rsidRPr="00BF11D4">
        <w:t xml:space="preserve">Endoscopic ultrasound-guided </w:t>
      </w:r>
      <w:r w:rsidR="00BF11D4">
        <w:t>SWE (</w:t>
      </w:r>
      <w:r w:rsidR="000801D2" w:rsidRPr="000801D2">
        <w:t>EUS-SWE</w:t>
      </w:r>
      <w:r w:rsidR="00BF11D4">
        <w:t>)</w:t>
      </w:r>
      <w:r w:rsidR="000801D2" w:rsidRPr="000801D2">
        <w:t xml:space="preserve"> shows promise in technically challenging cases, and </w:t>
      </w:r>
      <w:r w:rsidR="00F11332" w:rsidRPr="00F11332">
        <w:t xml:space="preserve">magnetic resonance elastography </w:t>
      </w:r>
      <w:r w:rsidR="00F11332">
        <w:t>(</w:t>
      </w:r>
      <w:r w:rsidR="000801D2" w:rsidRPr="000801D2">
        <w:t>MRE</w:t>
      </w:r>
      <w:r w:rsidR="00F11332">
        <w:t>)</w:t>
      </w:r>
      <w:r w:rsidR="00366C14">
        <w:t xml:space="preserve"> is</w:t>
      </w:r>
      <w:r w:rsidR="000801D2" w:rsidRPr="000801D2">
        <w:t xml:space="preserve"> highly accurate</w:t>
      </w:r>
      <w:r w:rsidR="00366C14">
        <w:t xml:space="preserve">, although </w:t>
      </w:r>
      <w:r w:rsidR="000801D2" w:rsidRPr="000801D2">
        <w:t>is reserved for specialist use due to cost and access limitations. Cassinotto 2020</w:t>
      </w:r>
      <w:r w:rsidR="00567057">
        <w:rPr>
          <w:rStyle w:val="FootnoteReference"/>
        </w:rPr>
        <w:footnoteReference w:id="1"/>
      </w:r>
      <w:r w:rsidR="000801D2" w:rsidRPr="000801D2">
        <w:t xml:space="preserve"> validated the application of VCTE thresholds to 2D-SWE, supporting their clinical interchangeability. </w:t>
      </w:r>
      <w:r w:rsidR="00E758DE">
        <w:t>Other</w:t>
      </w:r>
      <w:r w:rsidR="000801D2" w:rsidRPr="000801D2">
        <w:t xml:space="preserve"> studies</w:t>
      </w:r>
      <w:r w:rsidR="000C46F6">
        <w:t xml:space="preserve"> identified by the ADAR </w:t>
      </w:r>
      <w:r w:rsidR="00E758DE">
        <w:t>(</w:t>
      </w:r>
      <w:r w:rsidR="000801D2" w:rsidRPr="000801D2">
        <w:t>including Tacke 2024</w:t>
      </w:r>
      <w:r w:rsidR="00E758DE">
        <w:t xml:space="preserve"> and</w:t>
      </w:r>
      <w:r w:rsidR="000801D2" w:rsidRPr="000801D2">
        <w:t xml:space="preserve"> Cassinotto 2021</w:t>
      </w:r>
      <w:r w:rsidR="00E758DE">
        <w:t xml:space="preserve">) also reported </w:t>
      </w:r>
      <w:r w:rsidR="000801D2" w:rsidRPr="000801D2">
        <w:t>that 2D-SWE performs equivalently to VCTE and may be preferable in certain populations</w:t>
      </w:r>
      <w:r w:rsidR="0082542B">
        <w:t>. Th</w:t>
      </w:r>
      <w:r w:rsidR="00BC2B55">
        <w:t>e commentary considered that this support</w:t>
      </w:r>
      <w:r w:rsidR="002F7264">
        <w:t>s</w:t>
      </w:r>
      <w:r w:rsidR="00BC2B55">
        <w:t xml:space="preserve"> PASC’s advice </w:t>
      </w:r>
      <w:r w:rsidR="0082542B">
        <w:t>that</w:t>
      </w:r>
      <w:r w:rsidR="00402AB7">
        <w:t xml:space="preserve"> restriction of </w:t>
      </w:r>
      <w:r w:rsidR="002F7264">
        <w:t xml:space="preserve">MBS </w:t>
      </w:r>
      <w:r w:rsidR="00402AB7">
        <w:t>listing to VCTE may not be clinically justified.</w:t>
      </w:r>
    </w:p>
    <w:p w14:paraId="34E0B08F" w14:textId="46FEEC63" w:rsidR="00772829" w:rsidRPr="00CE28E3" w:rsidRDefault="0018750D" w:rsidP="002A18BE">
      <w:pPr>
        <w:pStyle w:val="Heading2"/>
        <w:numPr>
          <w:ilvl w:val="0"/>
          <w:numId w:val="0"/>
        </w:numPr>
      </w:pPr>
      <w:bookmarkStart w:id="19" w:name="_Toc69491419"/>
      <w:r>
        <w:t>7</w:t>
      </w:r>
      <w:r w:rsidR="00C36633">
        <w:t>.</w:t>
      </w:r>
      <w:r w:rsidR="00C36633">
        <w:tab/>
      </w:r>
      <w:r w:rsidR="00772829" w:rsidRPr="00CE28E3">
        <w:t>Population</w:t>
      </w:r>
      <w:bookmarkEnd w:id="19"/>
      <w:r w:rsidR="00772829" w:rsidRPr="00CE28E3">
        <w:t xml:space="preserve"> </w:t>
      </w:r>
    </w:p>
    <w:p w14:paraId="5633CCAC" w14:textId="3D435747" w:rsidR="002F129A" w:rsidRDefault="008059F8" w:rsidP="00E30BA1">
      <w:pPr>
        <w:pStyle w:val="Guidelinescross-ref"/>
        <w:rPr>
          <w:b w:val="0"/>
          <w:bCs/>
          <w:color w:val="auto"/>
          <w:sz w:val="22"/>
        </w:rPr>
      </w:pPr>
      <w:r w:rsidRPr="00052AFF">
        <w:rPr>
          <w:b w:val="0"/>
          <w:bCs/>
          <w:color w:val="auto"/>
          <w:sz w:val="22"/>
        </w:rPr>
        <w:t>The ADAR proposed the use of VCTE</w:t>
      </w:r>
      <w:r w:rsidR="002A0ED0">
        <w:rPr>
          <w:b w:val="0"/>
          <w:bCs/>
          <w:color w:val="auto"/>
          <w:sz w:val="22"/>
        </w:rPr>
        <w:t>™</w:t>
      </w:r>
      <w:r w:rsidRPr="00052AFF">
        <w:rPr>
          <w:b w:val="0"/>
          <w:bCs/>
          <w:color w:val="auto"/>
          <w:sz w:val="22"/>
        </w:rPr>
        <w:t xml:space="preserve"> </w:t>
      </w:r>
      <w:r w:rsidR="00D43A2A">
        <w:rPr>
          <w:b w:val="0"/>
          <w:bCs/>
          <w:color w:val="auto"/>
          <w:sz w:val="22"/>
        </w:rPr>
        <w:t>in patients with a confirmed MAFLD diagnosis</w:t>
      </w:r>
      <w:r w:rsidR="00EE11FA">
        <w:rPr>
          <w:b w:val="0"/>
          <w:bCs/>
          <w:color w:val="auto"/>
          <w:sz w:val="22"/>
        </w:rPr>
        <w:t xml:space="preserve">. </w:t>
      </w:r>
      <w:r w:rsidR="00B7742C">
        <w:rPr>
          <w:b w:val="0"/>
          <w:bCs/>
          <w:color w:val="auto"/>
          <w:sz w:val="22"/>
        </w:rPr>
        <w:t xml:space="preserve">In the ADAR, </w:t>
      </w:r>
      <w:r w:rsidR="00EE11FA">
        <w:rPr>
          <w:b w:val="0"/>
          <w:bCs/>
          <w:color w:val="auto"/>
          <w:sz w:val="22"/>
        </w:rPr>
        <w:t>VCTE is to be used</w:t>
      </w:r>
      <w:r w:rsidR="00D43A2A">
        <w:rPr>
          <w:b w:val="0"/>
          <w:bCs/>
          <w:color w:val="auto"/>
          <w:sz w:val="22"/>
        </w:rPr>
        <w:t xml:space="preserve"> </w:t>
      </w:r>
      <w:r w:rsidRPr="00052AFF">
        <w:rPr>
          <w:b w:val="0"/>
          <w:bCs/>
          <w:color w:val="auto"/>
          <w:sz w:val="22"/>
        </w:rPr>
        <w:t xml:space="preserve">following FIB-4 testing </w:t>
      </w:r>
      <w:r w:rsidR="00F33937">
        <w:rPr>
          <w:b w:val="0"/>
          <w:bCs/>
          <w:color w:val="auto"/>
          <w:sz w:val="22"/>
        </w:rPr>
        <w:t>for those with</w:t>
      </w:r>
      <w:r w:rsidR="0090118C">
        <w:rPr>
          <w:b w:val="0"/>
          <w:bCs/>
          <w:color w:val="auto"/>
          <w:sz w:val="22"/>
        </w:rPr>
        <w:t xml:space="preserve"> an</w:t>
      </w:r>
      <w:r w:rsidR="00F33937">
        <w:rPr>
          <w:b w:val="0"/>
          <w:bCs/>
          <w:color w:val="auto"/>
          <w:sz w:val="22"/>
        </w:rPr>
        <w:t xml:space="preserve"> indeterminate risk of AF</w:t>
      </w:r>
      <w:r w:rsidRPr="00052AFF">
        <w:rPr>
          <w:b w:val="0"/>
          <w:bCs/>
          <w:color w:val="auto"/>
          <w:sz w:val="22"/>
        </w:rPr>
        <w:t xml:space="preserve">, positioning it as a </w:t>
      </w:r>
      <w:r w:rsidR="00162A76">
        <w:rPr>
          <w:b w:val="0"/>
          <w:bCs/>
          <w:color w:val="auto"/>
          <w:sz w:val="22"/>
        </w:rPr>
        <w:t>risk assessment</w:t>
      </w:r>
      <w:r w:rsidRPr="00052AFF">
        <w:rPr>
          <w:b w:val="0"/>
          <w:bCs/>
          <w:color w:val="auto"/>
          <w:sz w:val="22"/>
        </w:rPr>
        <w:t xml:space="preserve"> tool in both primary and specialist care settings. Currently, no elastography technologies</w:t>
      </w:r>
      <w:r w:rsidR="00E30BA1">
        <w:rPr>
          <w:b w:val="0"/>
          <w:bCs/>
          <w:color w:val="auto"/>
          <w:sz w:val="22"/>
        </w:rPr>
        <w:t xml:space="preserve"> or </w:t>
      </w:r>
      <w:r w:rsidR="00E30BA1" w:rsidRPr="00E30BA1">
        <w:rPr>
          <w:b w:val="0"/>
          <w:bCs/>
          <w:color w:val="auto"/>
          <w:sz w:val="22"/>
        </w:rPr>
        <w:t>direct serum fibrosis test</w:t>
      </w:r>
      <w:r w:rsidR="0026142E">
        <w:rPr>
          <w:b w:val="0"/>
          <w:bCs/>
          <w:color w:val="auto"/>
          <w:sz w:val="22"/>
        </w:rPr>
        <w:t>s</w:t>
      </w:r>
      <w:r w:rsidR="00E30BA1" w:rsidRPr="00E30BA1">
        <w:rPr>
          <w:b w:val="0"/>
          <w:bCs/>
          <w:color w:val="auto"/>
          <w:sz w:val="22"/>
        </w:rPr>
        <w:t xml:space="preserve"> (including</w:t>
      </w:r>
      <w:r w:rsidR="00E30BA1">
        <w:rPr>
          <w:b w:val="0"/>
          <w:bCs/>
          <w:color w:val="auto"/>
          <w:sz w:val="22"/>
        </w:rPr>
        <w:t xml:space="preserve"> </w:t>
      </w:r>
      <w:r w:rsidR="00E30BA1" w:rsidRPr="00E30BA1">
        <w:rPr>
          <w:b w:val="0"/>
          <w:bCs/>
          <w:color w:val="auto"/>
          <w:sz w:val="22"/>
        </w:rPr>
        <w:t>Hepascore and ELF)</w:t>
      </w:r>
      <w:r w:rsidRPr="00052AFF">
        <w:rPr>
          <w:b w:val="0"/>
          <w:bCs/>
          <w:color w:val="auto"/>
          <w:sz w:val="22"/>
        </w:rPr>
        <w:t xml:space="preserve"> are publicly funded in Australia.</w:t>
      </w:r>
      <w:r w:rsidRPr="00052AFF" w:rsidDel="00F75B64">
        <w:rPr>
          <w:b w:val="0"/>
          <w:bCs/>
          <w:color w:val="auto"/>
          <w:sz w:val="22"/>
        </w:rPr>
        <w:t xml:space="preserve"> </w:t>
      </w:r>
      <w:r w:rsidR="00CC5093">
        <w:rPr>
          <w:b w:val="0"/>
          <w:bCs/>
          <w:color w:val="auto"/>
          <w:sz w:val="22"/>
        </w:rPr>
        <w:t>T</w:t>
      </w:r>
      <w:r w:rsidR="002F129A">
        <w:rPr>
          <w:b w:val="0"/>
          <w:bCs/>
          <w:color w:val="auto"/>
          <w:sz w:val="22"/>
        </w:rPr>
        <w:t xml:space="preserve">he ADAR also proposed </w:t>
      </w:r>
      <w:r w:rsidR="000F6AF2">
        <w:rPr>
          <w:b w:val="0"/>
          <w:bCs/>
          <w:color w:val="auto"/>
          <w:sz w:val="22"/>
        </w:rPr>
        <w:t>two separate populations</w:t>
      </w:r>
      <w:r w:rsidR="00CC5093">
        <w:rPr>
          <w:b w:val="0"/>
          <w:bCs/>
          <w:color w:val="auto"/>
          <w:sz w:val="22"/>
        </w:rPr>
        <w:t>, one for</w:t>
      </w:r>
      <w:r w:rsidR="000F6AF2">
        <w:rPr>
          <w:b w:val="0"/>
          <w:bCs/>
          <w:color w:val="auto"/>
          <w:sz w:val="22"/>
        </w:rPr>
        <w:t xml:space="preserve"> </w:t>
      </w:r>
      <w:r w:rsidR="00CC5093">
        <w:rPr>
          <w:b w:val="0"/>
          <w:bCs/>
          <w:color w:val="auto"/>
          <w:sz w:val="22"/>
        </w:rPr>
        <w:t xml:space="preserve">primary </w:t>
      </w:r>
      <w:r w:rsidR="00075BCB">
        <w:rPr>
          <w:b w:val="0"/>
          <w:bCs/>
          <w:color w:val="auto"/>
          <w:sz w:val="22"/>
        </w:rPr>
        <w:t xml:space="preserve">or specialist care </w:t>
      </w:r>
      <w:r w:rsidR="00CC5093">
        <w:rPr>
          <w:b w:val="0"/>
          <w:bCs/>
          <w:color w:val="auto"/>
          <w:sz w:val="22"/>
        </w:rPr>
        <w:t xml:space="preserve">and </w:t>
      </w:r>
      <w:r w:rsidR="00075BCB">
        <w:rPr>
          <w:b w:val="0"/>
          <w:bCs/>
          <w:color w:val="auto"/>
          <w:sz w:val="22"/>
        </w:rPr>
        <w:t xml:space="preserve">one for </w:t>
      </w:r>
      <w:r w:rsidR="00CC5093">
        <w:rPr>
          <w:b w:val="0"/>
          <w:bCs/>
          <w:color w:val="auto"/>
          <w:sz w:val="22"/>
        </w:rPr>
        <w:t xml:space="preserve">specialist care </w:t>
      </w:r>
      <w:r w:rsidR="00075BCB">
        <w:rPr>
          <w:b w:val="0"/>
          <w:bCs/>
          <w:color w:val="auto"/>
          <w:sz w:val="22"/>
        </w:rPr>
        <w:t xml:space="preserve">only </w:t>
      </w:r>
      <w:r w:rsidR="000527F1">
        <w:rPr>
          <w:b w:val="0"/>
          <w:bCs/>
          <w:color w:val="auto"/>
          <w:sz w:val="22"/>
        </w:rPr>
        <w:t>(</w:t>
      </w:r>
      <w:r w:rsidR="000527F1">
        <w:rPr>
          <w:b w:val="0"/>
          <w:bCs/>
          <w:color w:val="auto"/>
          <w:sz w:val="22"/>
        </w:rPr>
        <w:fldChar w:fldCharType="begin"/>
      </w:r>
      <w:r w:rsidR="000527F1">
        <w:rPr>
          <w:b w:val="0"/>
          <w:bCs/>
          <w:color w:val="auto"/>
          <w:sz w:val="22"/>
        </w:rPr>
        <w:instrText xml:space="preserve"> REF _Ref205809874 \h  \* MERGEFORMAT </w:instrText>
      </w:r>
      <w:r w:rsidR="000527F1">
        <w:rPr>
          <w:b w:val="0"/>
          <w:bCs/>
          <w:color w:val="auto"/>
          <w:sz w:val="22"/>
        </w:rPr>
      </w:r>
      <w:r w:rsidR="000527F1">
        <w:rPr>
          <w:b w:val="0"/>
          <w:bCs/>
          <w:color w:val="auto"/>
          <w:sz w:val="22"/>
        </w:rPr>
        <w:fldChar w:fldCharType="separate"/>
      </w:r>
      <w:r w:rsidR="00CE1B54" w:rsidRPr="00CE1B54">
        <w:rPr>
          <w:b w:val="0"/>
          <w:bCs/>
          <w:color w:val="auto"/>
          <w:sz w:val="22"/>
        </w:rPr>
        <w:t>Table 3</w:t>
      </w:r>
      <w:r w:rsidR="000527F1">
        <w:rPr>
          <w:b w:val="0"/>
          <w:bCs/>
          <w:color w:val="auto"/>
          <w:sz w:val="22"/>
        </w:rPr>
        <w:fldChar w:fldCharType="end"/>
      </w:r>
      <w:r w:rsidR="000527F1">
        <w:rPr>
          <w:b w:val="0"/>
          <w:bCs/>
          <w:color w:val="auto"/>
          <w:sz w:val="22"/>
        </w:rPr>
        <w:t>)</w:t>
      </w:r>
      <w:r w:rsidR="00075BCB">
        <w:rPr>
          <w:b w:val="0"/>
          <w:bCs/>
          <w:color w:val="auto"/>
          <w:sz w:val="22"/>
        </w:rPr>
        <w:t xml:space="preserve">, depending on FIB-4, </w:t>
      </w:r>
      <w:r w:rsidR="000F6AF2">
        <w:rPr>
          <w:b w:val="0"/>
          <w:bCs/>
          <w:color w:val="auto"/>
          <w:sz w:val="22"/>
        </w:rPr>
        <w:t>with two separate PICO sets</w:t>
      </w:r>
      <w:r w:rsidR="00D2221D">
        <w:rPr>
          <w:b w:val="0"/>
          <w:bCs/>
          <w:color w:val="auto"/>
          <w:sz w:val="22"/>
        </w:rPr>
        <w:t> </w:t>
      </w:r>
      <w:r w:rsidR="000527F1">
        <w:rPr>
          <w:b w:val="0"/>
          <w:bCs/>
          <w:color w:val="auto"/>
          <w:sz w:val="22"/>
        </w:rPr>
        <w:t>(</w:t>
      </w:r>
      <w:r w:rsidR="00190EE8">
        <w:rPr>
          <w:b w:val="0"/>
          <w:bCs/>
          <w:color w:val="auto"/>
          <w:sz w:val="22"/>
        </w:rPr>
        <w:fldChar w:fldCharType="begin"/>
      </w:r>
      <w:r w:rsidR="00190EE8">
        <w:rPr>
          <w:b w:val="0"/>
          <w:bCs/>
          <w:color w:val="auto"/>
          <w:sz w:val="22"/>
        </w:rPr>
        <w:instrText xml:space="preserve"> REF _Ref205809939 \h  \* MERGEFORMAT </w:instrText>
      </w:r>
      <w:r w:rsidR="00190EE8">
        <w:rPr>
          <w:b w:val="0"/>
          <w:bCs/>
          <w:color w:val="auto"/>
          <w:sz w:val="22"/>
        </w:rPr>
      </w:r>
      <w:r w:rsidR="00190EE8">
        <w:rPr>
          <w:b w:val="0"/>
          <w:bCs/>
          <w:color w:val="auto"/>
          <w:sz w:val="22"/>
        </w:rPr>
        <w:fldChar w:fldCharType="separate"/>
      </w:r>
      <w:r w:rsidR="00CE1B54" w:rsidRPr="00CE1B54">
        <w:rPr>
          <w:b w:val="0"/>
          <w:bCs/>
          <w:color w:val="auto"/>
          <w:sz w:val="22"/>
        </w:rPr>
        <w:t>Table</w:t>
      </w:r>
      <w:r w:rsidR="00D2221D">
        <w:rPr>
          <w:b w:val="0"/>
          <w:bCs/>
          <w:color w:val="auto"/>
          <w:sz w:val="22"/>
        </w:rPr>
        <w:t> </w:t>
      </w:r>
      <w:r w:rsidR="00CE1B54" w:rsidRPr="00CE1B54">
        <w:rPr>
          <w:b w:val="0"/>
          <w:bCs/>
          <w:color w:val="auto"/>
          <w:sz w:val="22"/>
        </w:rPr>
        <w:t>4</w:t>
      </w:r>
      <w:r w:rsidR="00190EE8">
        <w:rPr>
          <w:b w:val="0"/>
          <w:bCs/>
          <w:color w:val="auto"/>
          <w:sz w:val="22"/>
        </w:rPr>
        <w:fldChar w:fldCharType="end"/>
      </w:r>
      <w:r w:rsidR="00190EE8">
        <w:rPr>
          <w:b w:val="0"/>
          <w:bCs/>
          <w:color w:val="auto"/>
          <w:sz w:val="22"/>
        </w:rPr>
        <w:t xml:space="preserve">). </w:t>
      </w:r>
      <w:r w:rsidR="00FE2A29">
        <w:rPr>
          <w:b w:val="0"/>
          <w:bCs/>
          <w:color w:val="auto"/>
          <w:sz w:val="22"/>
        </w:rPr>
        <w:t>As discussed above, the proposed item descriptor suggest</w:t>
      </w:r>
      <w:r w:rsidR="005D150F">
        <w:rPr>
          <w:b w:val="0"/>
          <w:bCs/>
          <w:color w:val="auto"/>
          <w:sz w:val="22"/>
        </w:rPr>
        <w:t>s</w:t>
      </w:r>
      <w:r w:rsidR="00FE2A29">
        <w:rPr>
          <w:b w:val="0"/>
          <w:bCs/>
          <w:color w:val="auto"/>
          <w:sz w:val="22"/>
        </w:rPr>
        <w:t xml:space="preserve"> that V</w:t>
      </w:r>
      <w:r w:rsidR="003707B7">
        <w:rPr>
          <w:b w:val="0"/>
          <w:bCs/>
          <w:color w:val="auto"/>
          <w:sz w:val="22"/>
        </w:rPr>
        <w:t>C</w:t>
      </w:r>
      <w:r w:rsidR="00FE2A29">
        <w:rPr>
          <w:b w:val="0"/>
          <w:bCs/>
          <w:color w:val="auto"/>
          <w:sz w:val="22"/>
        </w:rPr>
        <w:t xml:space="preserve">TE would be available for patients </w:t>
      </w:r>
      <w:r w:rsidR="009002B4">
        <w:rPr>
          <w:b w:val="0"/>
          <w:bCs/>
          <w:color w:val="auto"/>
          <w:sz w:val="22"/>
        </w:rPr>
        <w:t xml:space="preserve">in primary care </w:t>
      </w:r>
      <w:r w:rsidR="00FE2A29">
        <w:rPr>
          <w:b w:val="0"/>
          <w:bCs/>
          <w:color w:val="auto"/>
          <w:sz w:val="22"/>
        </w:rPr>
        <w:t xml:space="preserve">with </w:t>
      </w:r>
      <w:r w:rsidR="009002B4">
        <w:rPr>
          <w:b w:val="0"/>
          <w:bCs/>
          <w:color w:val="auto"/>
          <w:sz w:val="22"/>
        </w:rPr>
        <w:t>FIB-4 &gt;2.7 which would be inconsistent with what the ADAR propos</w:t>
      </w:r>
      <w:r w:rsidR="00927B31">
        <w:rPr>
          <w:b w:val="0"/>
          <w:bCs/>
          <w:color w:val="auto"/>
          <w:sz w:val="22"/>
        </w:rPr>
        <w:t>es</w:t>
      </w:r>
      <w:r w:rsidR="009651D1">
        <w:rPr>
          <w:b w:val="0"/>
          <w:bCs/>
          <w:color w:val="auto"/>
          <w:sz w:val="22"/>
        </w:rPr>
        <w:t xml:space="preserve"> but consistent with PASC’s advice.</w:t>
      </w:r>
    </w:p>
    <w:p w14:paraId="47947B1A" w14:textId="2AF7CAD6" w:rsidR="000527F1" w:rsidRPr="00BD12A5" w:rsidRDefault="000527F1" w:rsidP="000527F1">
      <w:pPr>
        <w:pStyle w:val="Caption"/>
        <w:spacing w:before="0" w:after="0"/>
      </w:pPr>
      <w:bookmarkStart w:id="20" w:name="_Ref205809874"/>
      <w:bookmarkStart w:id="21" w:name="_Toc200465025"/>
      <w:bookmarkStart w:id="22" w:name="_Toc200469515"/>
      <w:r>
        <w:t xml:space="preserve">Table </w:t>
      </w:r>
      <w:r w:rsidR="003D48F8">
        <w:fldChar w:fldCharType="begin"/>
      </w:r>
      <w:r w:rsidR="003D48F8">
        <w:instrText xml:space="preserve"> SEQ Table \* ARABIC </w:instrText>
      </w:r>
      <w:r w:rsidR="003D48F8">
        <w:fldChar w:fldCharType="separate"/>
      </w:r>
      <w:r w:rsidR="003D48F8">
        <w:rPr>
          <w:noProof/>
        </w:rPr>
        <w:t>3</w:t>
      </w:r>
      <w:r w:rsidR="003D48F8">
        <w:rPr>
          <w:noProof/>
        </w:rPr>
        <w:fldChar w:fldCharType="end"/>
      </w:r>
      <w:bookmarkEnd w:id="20"/>
      <w:r w:rsidRPr="00BD12A5">
        <w:tab/>
        <w:t>FIB-4 Index score and associated AF risk for patients with confirmed MAFLD</w:t>
      </w:r>
      <w:bookmarkEnd w:id="21"/>
      <w:bookmarkEnd w:id="22"/>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B-4 Index score and associated AF risk "/>
        <w:tblDescription w:val="FIB-4 Index score and associated AF risk "/>
      </w:tblPr>
      <w:tblGrid>
        <w:gridCol w:w="1453"/>
        <w:gridCol w:w="1899"/>
        <w:gridCol w:w="2492"/>
        <w:gridCol w:w="2026"/>
        <w:gridCol w:w="1146"/>
      </w:tblGrid>
      <w:tr w:rsidR="00782E0F" w:rsidRPr="00FD3B16" w14:paraId="4344159A" w14:textId="77777777" w:rsidTr="00FD3B16">
        <w:tc>
          <w:tcPr>
            <w:tcW w:w="1555" w:type="dxa"/>
            <w:vAlign w:val="center"/>
          </w:tcPr>
          <w:p w14:paraId="26437FE5" w14:textId="77777777" w:rsidR="000527F1" w:rsidRPr="00FD3B16" w:rsidRDefault="000527F1" w:rsidP="000527F1">
            <w:pPr>
              <w:pStyle w:val="Tabletext8pt"/>
              <w:spacing w:before="0" w:after="0"/>
              <w:jc w:val="center"/>
              <w:rPr>
                <w:rFonts w:ascii="Arial Narrow" w:hAnsi="Arial Narrow"/>
                <w:b/>
                <w:bCs/>
                <w:sz w:val="20"/>
                <w:szCs w:val="20"/>
              </w:rPr>
            </w:pPr>
            <w:r w:rsidRPr="00FD3B16">
              <w:rPr>
                <w:rFonts w:ascii="Arial Narrow" w:hAnsi="Arial Narrow"/>
                <w:b/>
                <w:bCs/>
                <w:sz w:val="20"/>
                <w:szCs w:val="20"/>
              </w:rPr>
              <w:t>FIB-4 Index score</w:t>
            </w:r>
          </w:p>
        </w:tc>
        <w:tc>
          <w:tcPr>
            <w:tcW w:w="1984" w:type="dxa"/>
            <w:vAlign w:val="center"/>
          </w:tcPr>
          <w:p w14:paraId="068E39CE" w14:textId="77777777" w:rsidR="000527F1" w:rsidRPr="00FD3B16" w:rsidRDefault="000527F1" w:rsidP="000527F1">
            <w:pPr>
              <w:pStyle w:val="Tabletext8pt"/>
              <w:spacing w:before="0" w:after="0"/>
              <w:jc w:val="center"/>
              <w:rPr>
                <w:rFonts w:ascii="Arial Narrow" w:hAnsi="Arial Narrow"/>
                <w:b/>
                <w:bCs/>
                <w:sz w:val="20"/>
                <w:szCs w:val="20"/>
              </w:rPr>
            </w:pPr>
            <w:r w:rsidRPr="00FD3B16">
              <w:rPr>
                <w:rFonts w:ascii="Arial Narrow" w:hAnsi="Arial Narrow"/>
                <w:b/>
                <w:bCs/>
                <w:sz w:val="20"/>
                <w:szCs w:val="20"/>
              </w:rPr>
              <w:t>Advanced fibrosis risk</w:t>
            </w:r>
          </w:p>
        </w:tc>
        <w:tc>
          <w:tcPr>
            <w:tcW w:w="2693" w:type="dxa"/>
            <w:vAlign w:val="center"/>
          </w:tcPr>
          <w:p w14:paraId="194C3D80" w14:textId="77777777" w:rsidR="000527F1" w:rsidRPr="00FD3B16" w:rsidRDefault="000527F1" w:rsidP="000527F1">
            <w:pPr>
              <w:pStyle w:val="Tabletext8pt"/>
              <w:spacing w:before="0" w:after="0"/>
              <w:jc w:val="center"/>
              <w:rPr>
                <w:rFonts w:ascii="Arial Narrow" w:hAnsi="Arial Narrow"/>
                <w:b/>
                <w:bCs/>
                <w:sz w:val="20"/>
                <w:szCs w:val="20"/>
              </w:rPr>
            </w:pPr>
            <w:r w:rsidRPr="00FD3B16">
              <w:rPr>
                <w:rFonts w:ascii="Arial Narrow" w:hAnsi="Arial Narrow"/>
                <w:b/>
                <w:bCs/>
                <w:sz w:val="20"/>
                <w:szCs w:val="20"/>
              </w:rPr>
              <w:t>Eligible for VCTE</w:t>
            </w:r>
          </w:p>
        </w:tc>
        <w:tc>
          <w:tcPr>
            <w:tcW w:w="2127" w:type="dxa"/>
            <w:vAlign w:val="center"/>
          </w:tcPr>
          <w:p w14:paraId="1CE00AAE" w14:textId="77777777" w:rsidR="000527F1" w:rsidRPr="00FD3B16" w:rsidRDefault="000527F1" w:rsidP="000527F1">
            <w:pPr>
              <w:pStyle w:val="Tabletext8pt"/>
              <w:spacing w:before="0" w:after="0"/>
              <w:jc w:val="center"/>
              <w:rPr>
                <w:rFonts w:ascii="Arial Narrow" w:hAnsi="Arial Narrow"/>
                <w:b/>
                <w:bCs/>
                <w:sz w:val="20"/>
                <w:szCs w:val="20"/>
              </w:rPr>
            </w:pPr>
            <w:r w:rsidRPr="00FD3B16">
              <w:rPr>
                <w:rFonts w:ascii="Arial Narrow" w:hAnsi="Arial Narrow"/>
                <w:b/>
                <w:bCs/>
                <w:sz w:val="20"/>
                <w:szCs w:val="20"/>
              </w:rPr>
              <w:t>Management</w:t>
            </w:r>
          </w:p>
        </w:tc>
        <w:tc>
          <w:tcPr>
            <w:tcW w:w="1212" w:type="dxa"/>
            <w:vAlign w:val="center"/>
          </w:tcPr>
          <w:p w14:paraId="5A066B02" w14:textId="77777777" w:rsidR="000527F1" w:rsidRPr="00FD3B16" w:rsidRDefault="000527F1" w:rsidP="000527F1">
            <w:pPr>
              <w:pStyle w:val="Tabletext8pt"/>
              <w:spacing w:before="0" w:after="0"/>
              <w:jc w:val="center"/>
              <w:rPr>
                <w:rFonts w:ascii="Arial Narrow" w:hAnsi="Arial Narrow"/>
                <w:b/>
                <w:bCs/>
                <w:sz w:val="20"/>
                <w:szCs w:val="20"/>
              </w:rPr>
            </w:pPr>
            <w:r w:rsidRPr="00FD3B16">
              <w:rPr>
                <w:rFonts w:ascii="Arial Narrow" w:hAnsi="Arial Narrow"/>
                <w:b/>
                <w:bCs/>
                <w:sz w:val="20"/>
                <w:szCs w:val="20"/>
              </w:rPr>
              <w:t>PICO Set</w:t>
            </w:r>
          </w:p>
        </w:tc>
      </w:tr>
      <w:tr w:rsidR="00782E0F" w:rsidRPr="00FD3B16" w14:paraId="55ADE454" w14:textId="77777777" w:rsidTr="00FD3B16">
        <w:tc>
          <w:tcPr>
            <w:tcW w:w="1555" w:type="dxa"/>
            <w:vAlign w:val="center"/>
          </w:tcPr>
          <w:p w14:paraId="25FD81AC"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&lt;1.3</w:t>
            </w:r>
          </w:p>
        </w:tc>
        <w:tc>
          <w:tcPr>
            <w:tcW w:w="1984" w:type="dxa"/>
            <w:vAlign w:val="center"/>
          </w:tcPr>
          <w:p w14:paraId="09647D54"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Low</w:t>
            </w:r>
          </w:p>
        </w:tc>
        <w:tc>
          <w:tcPr>
            <w:tcW w:w="2693" w:type="dxa"/>
            <w:vAlign w:val="center"/>
          </w:tcPr>
          <w:p w14:paraId="6F28AAD2"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No</w:t>
            </w:r>
          </w:p>
        </w:tc>
        <w:tc>
          <w:tcPr>
            <w:tcW w:w="2127" w:type="dxa"/>
            <w:vAlign w:val="center"/>
          </w:tcPr>
          <w:p w14:paraId="062E3A0C"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Primary care</w:t>
            </w:r>
          </w:p>
        </w:tc>
        <w:tc>
          <w:tcPr>
            <w:tcW w:w="1212" w:type="dxa"/>
            <w:vAlign w:val="center"/>
          </w:tcPr>
          <w:p w14:paraId="3675864C"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w:t>
            </w:r>
          </w:p>
        </w:tc>
      </w:tr>
      <w:tr w:rsidR="00782E0F" w:rsidRPr="00FD3B16" w14:paraId="116E91B2" w14:textId="77777777" w:rsidTr="00FD3B16">
        <w:tc>
          <w:tcPr>
            <w:tcW w:w="1555" w:type="dxa"/>
            <w:vAlign w:val="center"/>
          </w:tcPr>
          <w:p w14:paraId="0B1D58BD"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1.3-2.7</w:t>
            </w:r>
          </w:p>
        </w:tc>
        <w:tc>
          <w:tcPr>
            <w:tcW w:w="1984" w:type="dxa"/>
            <w:vAlign w:val="center"/>
          </w:tcPr>
          <w:p w14:paraId="7FE2058D"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Indeterminate</w:t>
            </w:r>
          </w:p>
        </w:tc>
        <w:tc>
          <w:tcPr>
            <w:tcW w:w="2693" w:type="dxa"/>
            <w:vAlign w:val="center"/>
          </w:tcPr>
          <w:p w14:paraId="1CFBE996" w14:textId="77777777" w:rsidR="000527F1" w:rsidRPr="00FD3B16" w:rsidRDefault="000527F1" w:rsidP="000527F1">
            <w:pPr>
              <w:pStyle w:val="Tabletext8pt"/>
              <w:spacing w:before="0" w:after="0"/>
              <w:jc w:val="center"/>
              <w:rPr>
                <w:rFonts w:ascii="Arial Narrow" w:hAnsi="Arial Narrow"/>
                <w:sz w:val="20"/>
                <w:szCs w:val="20"/>
                <w:vertAlign w:val="superscript"/>
              </w:rPr>
            </w:pPr>
            <w:r w:rsidRPr="00FD3B16">
              <w:rPr>
                <w:rFonts w:ascii="Arial Narrow" w:hAnsi="Arial Narrow"/>
                <w:sz w:val="20"/>
                <w:szCs w:val="20"/>
              </w:rPr>
              <w:t>Yes, primary care or specialist care</w:t>
            </w:r>
            <w:r w:rsidRPr="00FD3B16">
              <w:rPr>
                <w:rFonts w:ascii="Arial Narrow" w:hAnsi="Arial Narrow"/>
                <w:sz w:val="20"/>
                <w:szCs w:val="20"/>
                <w:vertAlign w:val="superscript"/>
              </w:rPr>
              <w:t>†</w:t>
            </w:r>
          </w:p>
        </w:tc>
        <w:tc>
          <w:tcPr>
            <w:tcW w:w="2127" w:type="dxa"/>
            <w:vAlign w:val="center"/>
          </w:tcPr>
          <w:p w14:paraId="073CE09C"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Primary or specialist care</w:t>
            </w:r>
          </w:p>
        </w:tc>
        <w:tc>
          <w:tcPr>
            <w:tcW w:w="1212" w:type="dxa"/>
            <w:vAlign w:val="center"/>
          </w:tcPr>
          <w:p w14:paraId="45816E3A"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PICO Set 1 &amp; 2</w:t>
            </w:r>
          </w:p>
        </w:tc>
      </w:tr>
      <w:tr w:rsidR="00782E0F" w:rsidRPr="00FD3B16" w14:paraId="7F901198" w14:textId="77777777" w:rsidTr="00FD3B16">
        <w:tc>
          <w:tcPr>
            <w:tcW w:w="1555" w:type="dxa"/>
            <w:vAlign w:val="center"/>
          </w:tcPr>
          <w:p w14:paraId="59D81F59"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&gt;2.7</w:t>
            </w:r>
          </w:p>
        </w:tc>
        <w:tc>
          <w:tcPr>
            <w:tcW w:w="1984" w:type="dxa"/>
            <w:vAlign w:val="center"/>
          </w:tcPr>
          <w:p w14:paraId="53377053"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High</w:t>
            </w:r>
          </w:p>
        </w:tc>
        <w:tc>
          <w:tcPr>
            <w:tcW w:w="2693" w:type="dxa"/>
            <w:vAlign w:val="center"/>
          </w:tcPr>
          <w:p w14:paraId="10DCF593"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Yes, specialist care</w:t>
            </w:r>
          </w:p>
        </w:tc>
        <w:tc>
          <w:tcPr>
            <w:tcW w:w="2127" w:type="dxa"/>
            <w:vAlign w:val="center"/>
          </w:tcPr>
          <w:p w14:paraId="07C5BE94"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Specialist care</w:t>
            </w:r>
          </w:p>
        </w:tc>
        <w:tc>
          <w:tcPr>
            <w:tcW w:w="1212" w:type="dxa"/>
            <w:vAlign w:val="center"/>
          </w:tcPr>
          <w:p w14:paraId="482CF3C1" w14:textId="77777777" w:rsidR="000527F1" w:rsidRPr="00FD3B16" w:rsidRDefault="000527F1" w:rsidP="000527F1">
            <w:pPr>
              <w:pStyle w:val="Tabletext8pt"/>
              <w:spacing w:before="0" w:after="0"/>
              <w:jc w:val="center"/>
              <w:rPr>
                <w:rFonts w:ascii="Arial Narrow" w:hAnsi="Arial Narrow"/>
                <w:sz w:val="20"/>
                <w:szCs w:val="20"/>
              </w:rPr>
            </w:pPr>
            <w:r w:rsidRPr="00FD3B16">
              <w:rPr>
                <w:rFonts w:ascii="Arial Narrow" w:hAnsi="Arial Narrow"/>
                <w:sz w:val="20"/>
                <w:szCs w:val="20"/>
              </w:rPr>
              <w:t>PICO Set 2</w:t>
            </w:r>
          </w:p>
        </w:tc>
      </w:tr>
    </w:tbl>
    <w:p w14:paraId="54FFF64B" w14:textId="77777777" w:rsidR="000527F1" w:rsidRPr="00BD12A5" w:rsidRDefault="000527F1" w:rsidP="000527F1">
      <w:pPr>
        <w:pStyle w:val="TableFigureFooter"/>
        <w:spacing w:before="0" w:after="0"/>
      </w:pPr>
      <w:r w:rsidRPr="00BD12A5">
        <w:rPr>
          <w:vertAlign w:val="superscript"/>
        </w:rPr>
        <w:t>†</w:t>
      </w:r>
      <w:r w:rsidRPr="00BD12A5">
        <w:t>VCTE conducted in specialist care if no access to VCTE in primary care setting</w:t>
      </w:r>
    </w:p>
    <w:p w14:paraId="7A9881AB" w14:textId="77777777" w:rsidR="000527F1" w:rsidRDefault="000527F1" w:rsidP="000527F1">
      <w:pPr>
        <w:pStyle w:val="TableFigureFooter"/>
        <w:spacing w:before="0" w:after="0"/>
      </w:pPr>
      <w:r w:rsidRPr="00BD12A5">
        <w:t>Abbreviations: VCTE, vibration-controlled transient elastography</w:t>
      </w:r>
    </w:p>
    <w:p w14:paraId="67CF90E5" w14:textId="186E3AC7" w:rsidR="00190EE8" w:rsidRPr="00BD12A5" w:rsidRDefault="00190EE8" w:rsidP="000527F1">
      <w:pPr>
        <w:pStyle w:val="TableFigureFooter"/>
        <w:spacing w:before="0" w:after="0"/>
      </w:pPr>
      <w:r>
        <w:t xml:space="preserve">Source: Table 13 of the 1797 ADAR. </w:t>
      </w:r>
    </w:p>
    <w:p w14:paraId="08306B81" w14:textId="26AF5E2A" w:rsidR="00096E72" w:rsidRDefault="00221D94" w:rsidP="00096E72">
      <w:pPr>
        <w:pStyle w:val="Guidelinescross-ref"/>
        <w:rPr>
          <w:b w:val="0"/>
          <w:bCs/>
          <w:color w:val="auto"/>
          <w:sz w:val="22"/>
        </w:rPr>
      </w:pPr>
      <w:r>
        <w:rPr>
          <w:b w:val="0"/>
          <w:bCs/>
          <w:color w:val="auto"/>
          <w:sz w:val="22"/>
        </w:rPr>
        <w:lastRenderedPageBreak/>
        <w:t>In the PICO consideration,</w:t>
      </w:r>
      <w:r w:rsidR="00096E72">
        <w:rPr>
          <w:b w:val="0"/>
          <w:bCs/>
          <w:color w:val="auto"/>
          <w:sz w:val="22"/>
        </w:rPr>
        <w:t xml:space="preserve"> </w:t>
      </w:r>
      <w:r w:rsidR="00096E72" w:rsidRPr="00096E72">
        <w:rPr>
          <w:b w:val="0"/>
          <w:bCs/>
          <w:color w:val="auto"/>
          <w:sz w:val="22"/>
        </w:rPr>
        <w:t xml:space="preserve">PASC </w:t>
      </w:r>
      <w:r w:rsidR="00F25826">
        <w:rPr>
          <w:b w:val="0"/>
          <w:bCs/>
          <w:color w:val="auto"/>
          <w:sz w:val="22"/>
        </w:rPr>
        <w:t xml:space="preserve">noted </w:t>
      </w:r>
      <w:r w:rsidR="00F71C8D">
        <w:rPr>
          <w:b w:val="0"/>
          <w:bCs/>
          <w:color w:val="auto"/>
          <w:sz w:val="22"/>
        </w:rPr>
        <w:t>that</w:t>
      </w:r>
      <w:r w:rsidR="00096E72" w:rsidRPr="00096E72">
        <w:rPr>
          <w:b w:val="0"/>
          <w:bCs/>
          <w:color w:val="auto"/>
          <w:sz w:val="22"/>
        </w:rPr>
        <w:t xml:space="preserve"> </w:t>
      </w:r>
      <w:r>
        <w:rPr>
          <w:b w:val="0"/>
          <w:bCs/>
          <w:color w:val="auto"/>
          <w:sz w:val="22"/>
        </w:rPr>
        <w:t>VC</w:t>
      </w:r>
      <w:r w:rsidR="00464C02">
        <w:rPr>
          <w:b w:val="0"/>
          <w:bCs/>
          <w:color w:val="auto"/>
          <w:sz w:val="22"/>
        </w:rPr>
        <w:t>T</w:t>
      </w:r>
      <w:r>
        <w:rPr>
          <w:b w:val="0"/>
          <w:bCs/>
          <w:color w:val="auto"/>
          <w:sz w:val="22"/>
        </w:rPr>
        <w:t xml:space="preserve">E may have </w:t>
      </w:r>
      <w:r w:rsidR="00096E72" w:rsidRPr="00096E72">
        <w:rPr>
          <w:b w:val="0"/>
          <w:bCs/>
          <w:color w:val="auto"/>
          <w:sz w:val="22"/>
        </w:rPr>
        <w:t xml:space="preserve">broader clinical utility </w:t>
      </w:r>
      <w:r w:rsidR="00835529">
        <w:rPr>
          <w:b w:val="0"/>
          <w:bCs/>
          <w:color w:val="auto"/>
          <w:sz w:val="22"/>
        </w:rPr>
        <w:t>for medical conditions other than</w:t>
      </w:r>
      <w:r w:rsidR="00096E72" w:rsidRPr="00096E72">
        <w:rPr>
          <w:b w:val="0"/>
          <w:bCs/>
          <w:color w:val="auto"/>
          <w:sz w:val="22"/>
        </w:rPr>
        <w:t xml:space="preserve"> MAFLD. </w:t>
      </w:r>
      <w:r w:rsidR="00075BCB">
        <w:rPr>
          <w:b w:val="0"/>
          <w:bCs/>
          <w:color w:val="auto"/>
          <w:sz w:val="22"/>
        </w:rPr>
        <w:t xml:space="preserve">While </w:t>
      </w:r>
      <w:r w:rsidR="00096E72" w:rsidRPr="00096E72">
        <w:rPr>
          <w:b w:val="0"/>
          <w:bCs/>
          <w:color w:val="auto"/>
          <w:sz w:val="22"/>
        </w:rPr>
        <w:t>the application’s focus on MAFLD was justified based on disease burden and existing validation</w:t>
      </w:r>
      <w:r w:rsidR="00075BCB">
        <w:rPr>
          <w:b w:val="0"/>
          <w:bCs/>
          <w:color w:val="auto"/>
          <w:sz w:val="22"/>
        </w:rPr>
        <w:t>,</w:t>
      </w:r>
      <w:r w:rsidR="00096E72" w:rsidRPr="00096E72">
        <w:rPr>
          <w:b w:val="0"/>
          <w:bCs/>
          <w:color w:val="auto"/>
          <w:sz w:val="22"/>
        </w:rPr>
        <w:t xml:space="preserve"> PASC highlighted a potential equity issue, </w:t>
      </w:r>
      <w:r w:rsidR="00D934B0">
        <w:rPr>
          <w:b w:val="0"/>
          <w:bCs/>
          <w:color w:val="auto"/>
          <w:sz w:val="22"/>
        </w:rPr>
        <w:t>noting</w:t>
      </w:r>
      <w:r w:rsidR="00D934B0" w:rsidRPr="00096E72">
        <w:rPr>
          <w:b w:val="0"/>
          <w:bCs/>
          <w:color w:val="auto"/>
          <w:sz w:val="22"/>
        </w:rPr>
        <w:t xml:space="preserve"> </w:t>
      </w:r>
      <w:r w:rsidR="00096E72" w:rsidRPr="00096E72">
        <w:rPr>
          <w:b w:val="0"/>
          <w:bCs/>
          <w:color w:val="auto"/>
          <w:sz w:val="22"/>
        </w:rPr>
        <w:t xml:space="preserve">that patients with other liver diseases </w:t>
      </w:r>
      <w:r w:rsidR="000134EB">
        <w:rPr>
          <w:b w:val="0"/>
          <w:bCs/>
          <w:color w:val="auto"/>
          <w:sz w:val="22"/>
        </w:rPr>
        <w:t xml:space="preserve">(e.g. chronic </w:t>
      </w:r>
      <w:r w:rsidR="3A842A8F" w:rsidRPr="681D561A">
        <w:rPr>
          <w:b w:val="0"/>
          <w:color w:val="auto"/>
          <w:sz w:val="22"/>
        </w:rPr>
        <w:t xml:space="preserve">HBV and </w:t>
      </w:r>
      <w:r w:rsidR="3A842A8F" w:rsidRPr="16AD420D">
        <w:rPr>
          <w:b w:val="0"/>
          <w:color w:val="auto"/>
          <w:sz w:val="22"/>
        </w:rPr>
        <w:t>HCV</w:t>
      </w:r>
      <w:r w:rsidR="000134EB">
        <w:rPr>
          <w:b w:val="0"/>
          <w:bCs/>
          <w:color w:val="auto"/>
          <w:sz w:val="22"/>
        </w:rPr>
        <w:t>)</w:t>
      </w:r>
      <w:r w:rsidR="00096E72" w:rsidRPr="00096E72">
        <w:rPr>
          <w:b w:val="0"/>
          <w:bCs/>
          <w:color w:val="auto"/>
          <w:sz w:val="22"/>
        </w:rPr>
        <w:t xml:space="preserve"> might be disadvantaged by a funding model</w:t>
      </w:r>
      <w:r w:rsidR="002815B7">
        <w:rPr>
          <w:b w:val="0"/>
          <w:bCs/>
          <w:color w:val="auto"/>
          <w:sz w:val="22"/>
        </w:rPr>
        <w:t xml:space="preserve"> restricted to patients with MAFLD only</w:t>
      </w:r>
      <w:r w:rsidR="00096E72" w:rsidRPr="00096E72">
        <w:rPr>
          <w:b w:val="0"/>
          <w:bCs/>
          <w:color w:val="auto"/>
          <w:sz w:val="22"/>
        </w:rPr>
        <w:t>.</w:t>
      </w:r>
      <w:r w:rsidR="00075BCB">
        <w:rPr>
          <w:b w:val="0"/>
          <w:bCs/>
          <w:color w:val="auto"/>
          <w:sz w:val="22"/>
        </w:rPr>
        <w:t xml:space="preserve"> The commentary noted that </w:t>
      </w:r>
      <w:r w:rsidR="00E87A24">
        <w:rPr>
          <w:b w:val="0"/>
          <w:bCs/>
          <w:color w:val="auto"/>
          <w:sz w:val="22"/>
        </w:rPr>
        <w:t>the item</w:t>
      </w:r>
      <w:r w:rsidR="007C2D36">
        <w:rPr>
          <w:b w:val="0"/>
          <w:bCs/>
          <w:color w:val="auto"/>
          <w:sz w:val="22"/>
        </w:rPr>
        <w:t xml:space="preserve"> may be used</w:t>
      </w:r>
      <w:r w:rsidR="00075BCB">
        <w:rPr>
          <w:b w:val="0"/>
          <w:bCs/>
          <w:color w:val="auto"/>
          <w:sz w:val="22"/>
        </w:rPr>
        <w:t xml:space="preserve"> outside </w:t>
      </w:r>
      <w:r w:rsidR="00A45519">
        <w:rPr>
          <w:b w:val="0"/>
          <w:bCs/>
          <w:color w:val="auto"/>
          <w:sz w:val="22"/>
        </w:rPr>
        <w:t xml:space="preserve">of </w:t>
      </w:r>
      <w:r w:rsidR="00075BCB">
        <w:rPr>
          <w:b w:val="0"/>
          <w:bCs/>
          <w:color w:val="auto"/>
          <w:sz w:val="22"/>
        </w:rPr>
        <w:t xml:space="preserve">the proposed </w:t>
      </w:r>
      <w:r w:rsidR="00D554D7">
        <w:rPr>
          <w:b w:val="0"/>
          <w:bCs/>
          <w:color w:val="auto"/>
          <w:sz w:val="22"/>
        </w:rPr>
        <w:t xml:space="preserve">population, similar to MSAC’s concerns in Application 1366 </w:t>
      </w:r>
      <w:r w:rsidR="00325C6A">
        <w:rPr>
          <w:b w:val="0"/>
          <w:bCs/>
          <w:color w:val="auto"/>
          <w:sz w:val="22"/>
        </w:rPr>
        <w:t xml:space="preserve">regarding use of TE </w:t>
      </w:r>
      <w:r w:rsidR="007941B0">
        <w:rPr>
          <w:b w:val="0"/>
          <w:bCs/>
          <w:color w:val="auto"/>
          <w:sz w:val="22"/>
        </w:rPr>
        <w:t>for</w:t>
      </w:r>
      <w:r w:rsidR="00325C6A">
        <w:rPr>
          <w:b w:val="0"/>
          <w:bCs/>
          <w:color w:val="auto"/>
          <w:sz w:val="22"/>
        </w:rPr>
        <w:t xml:space="preserve"> conditions</w:t>
      </w:r>
      <w:r w:rsidR="00FD6281">
        <w:rPr>
          <w:b w:val="0"/>
          <w:bCs/>
          <w:color w:val="auto"/>
          <w:sz w:val="22"/>
        </w:rPr>
        <w:t xml:space="preserve"> such as </w:t>
      </w:r>
      <w:r w:rsidR="00FD6281" w:rsidRPr="00FD6281">
        <w:rPr>
          <w:b w:val="0"/>
          <w:bCs/>
          <w:color w:val="auto"/>
          <w:sz w:val="22"/>
        </w:rPr>
        <w:t>fatty liver disease</w:t>
      </w:r>
      <w:r w:rsidR="005E2117">
        <w:rPr>
          <w:b w:val="0"/>
          <w:bCs/>
          <w:color w:val="auto"/>
          <w:sz w:val="22"/>
        </w:rPr>
        <w:t xml:space="preserve"> or</w:t>
      </w:r>
      <w:r w:rsidR="00FD6281" w:rsidRPr="00FD6281">
        <w:rPr>
          <w:b w:val="0"/>
          <w:bCs/>
          <w:color w:val="auto"/>
          <w:sz w:val="22"/>
        </w:rPr>
        <w:t xml:space="preserve"> alcoholic liver disease</w:t>
      </w:r>
      <w:r w:rsidR="00FD6281">
        <w:rPr>
          <w:b w:val="0"/>
          <w:bCs/>
          <w:color w:val="auto"/>
          <w:sz w:val="22"/>
        </w:rPr>
        <w:t>,</w:t>
      </w:r>
      <w:r w:rsidR="00325C6A">
        <w:rPr>
          <w:b w:val="0"/>
          <w:bCs/>
          <w:color w:val="auto"/>
          <w:sz w:val="22"/>
        </w:rPr>
        <w:t xml:space="preserve"> outside the proposed population of </w:t>
      </w:r>
      <w:r w:rsidR="00B16DEA">
        <w:rPr>
          <w:b w:val="0"/>
          <w:bCs/>
          <w:color w:val="auto"/>
          <w:sz w:val="22"/>
        </w:rPr>
        <w:t xml:space="preserve">chronic </w:t>
      </w:r>
      <w:r w:rsidR="00325C6A">
        <w:rPr>
          <w:b w:val="0"/>
          <w:bCs/>
          <w:color w:val="auto"/>
          <w:sz w:val="22"/>
        </w:rPr>
        <w:t xml:space="preserve">HBV and HCV </w:t>
      </w:r>
      <w:r w:rsidR="00D554D7">
        <w:rPr>
          <w:b w:val="0"/>
          <w:bCs/>
          <w:color w:val="auto"/>
          <w:sz w:val="22"/>
        </w:rPr>
        <w:t xml:space="preserve">(see </w:t>
      </w:r>
      <w:r w:rsidR="007E6EE4">
        <w:rPr>
          <w:b w:val="0"/>
          <w:bCs/>
          <w:color w:val="auto"/>
          <w:sz w:val="22"/>
        </w:rPr>
        <w:fldChar w:fldCharType="begin"/>
      </w:r>
      <w:r w:rsidR="007E6EE4">
        <w:rPr>
          <w:b w:val="0"/>
          <w:bCs/>
          <w:color w:val="auto"/>
          <w:sz w:val="22"/>
        </w:rPr>
        <w:instrText xml:space="preserve"> REF _Ref69480768 \h  \* MERGEFORMAT </w:instrText>
      </w:r>
      <w:r w:rsidR="007E6EE4">
        <w:rPr>
          <w:b w:val="0"/>
          <w:bCs/>
          <w:color w:val="auto"/>
          <w:sz w:val="22"/>
        </w:rPr>
      </w:r>
      <w:r w:rsidR="007E6EE4">
        <w:rPr>
          <w:b w:val="0"/>
          <w:bCs/>
          <w:color w:val="auto"/>
          <w:sz w:val="22"/>
        </w:rPr>
        <w:fldChar w:fldCharType="separate"/>
      </w:r>
      <w:r w:rsidR="00CE1B54" w:rsidRPr="00CE1B54">
        <w:rPr>
          <w:b w:val="0"/>
          <w:bCs/>
          <w:color w:val="auto"/>
          <w:sz w:val="22"/>
        </w:rPr>
        <w:t>Table 1</w:t>
      </w:r>
      <w:r w:rsidR="007E6EE4">
        <w:rPr>
          <w:b w:val="0"/>
          <w:bCs/>
          <w:color w:val="auto"/>
          <w:sz w:val="22"/>
        </w:rPr>
        <w:fldChar w:fldCharType="end"/>
      </w:r>
      <w:r w:rsidR="007E6EE4">
        <w:rPr>
          <w:b w:val="0"/>
          <w:bCs/>
          <w:color w:val="auto"/>
          <w:sz w:val="22"/>
        </w:rPr>
        <w:t xml:space="preserve">). </w:t>
      </w:r>
    </w:p>
    <w:p w14:paraId="7BD16A4A" w14:textId="08C90C5D" w:rsidR="00063F26" w:rsidRDefault="008059F8" w:rsidP="00502FFB">
      <w:pPr>
        <w:pStyle w:val="Guidelinescross-ref"/>
      </w:pPr>
      <w:r w:rsidRPr="008059F8">
        <w:rPr>
          <w:b w:val="0"/>
          <w:bCs/>
          <w:color w:val="auto"/>
          <w:sz w:val="22"/>
        </w:rPr>
        <w:t>Although the ADAR presented two separate PICOs for the use of VCTE in primary care and specialist settings, the proposed role of VCTE</w:t>
      </w:r>
      <w:r w:rsidR="0054150D">
        <w:rPr>
          <w:b w:val="0"/>
          <w:bCs/>
          <w:color w:val="auto"/>
          <w:sz w:val="22"/>
        </w:rPr>
        <w:t xml:space="preserve"> in the ADAR</w:t>
      </w:r>
      <w:r w:rsidRPr="008059F8">
        <w:rPr>
          <w:b w:val="0"/>
          <w:bCs/>
          <w:color w:val="auto"/>
          <w:sz w:val="22"/>
        </w:rPr>
        <w:t xml:space="preserve"> is limited to use as a tool following FIB-4 testing</w:t>
      </w:r>
      <w:r w:rsidR="00E54845">
        <w:rPr>
          <w:b w:val="0"/>
          <w:bCs/>
          <w:color w:val="auto"/>
          <w:sz w:val="22"/>
        </w:rPr>
        <w:t xml:space="preserve"> (</w:t>
      </w:r>
      <w:r w:rsidR="0065302A">
        <w:rPr>
          <w:b w:val="0"/>
          <w:bCs/>
          <w:color w:val="auto"/>
          <w:sz w:val="22"/>
        </w:rPr>
        <w:fldChar w:fldCharType="begin"/>
      </w:r>
      <w:r w:rsidR="0065302A">
        <w:rPr>
          <w:b w:val="0"/>
          <w:bCs/>
          <w:color w:val="auto"/>
          <w:sz w:val="22"/>
        </w:rPr>
        <w:instrText xml:space="preserve"> REF _Ref205809939 \h  \* MERGEFORMAT </w:instrText>
      </w:r>
      <w:r w:rsidR="0065302A">
        <w:rPr>
          <w:b w:val="0"/>
          <w:bCs/>
          <w:color w:val="auto"/>
          <w:sz w:val="22"/>
        </w:rPr>
      </w:r>
      <w:r w:rsidR="0065302A">
        <w:rPr>
          <w:b w:val="0"/>
          <w:bCs/>
          <w:color w:val="auto"/>
          <w:sz w:val="22"/>
        </w:rPr>
        <w:fldChar w:fldCharType="separate"/>
      </w:r>
      <w:r w:rsidR="00CE1B54" w:rsidRPr="00CE1B54">
        <w:rPr>
          <w:b w:val="0"/>
          <w:bCs/>
          <w:color w:val="auto"/>
          <w:sz w:val="22"/>
        </w:rPr>
        <w:t>Table 4</w:t>
      </w:r>
      <w:r w:rsidR="0065302A">
        <w:rPr>
          <w:b w:val="0"/>
          <w:bCs/>
          <w:color w:val="auto"/>
          <w:sz w:val="22"/>
        </w:rPr>
        <w:fldChar w:fldCharType="end"/>
      </w:r>
      <w:r w:rsidR="00E54845">
        <w:rPr>
          <w:b w:val="0"/>
          <w:bCs/>
          <w:color w:val="auto"/>
          <w:sz w:val="22"/>
        </w:rPr>
        <w:t>)</w:t>
      </w:r>
      <w:r w:rsidRPr="008059F8">
        <w:rPr>
          <w:b w:val="0"/>
          <w:bCs/>
          <w:color w:val="auto"/>
          <w:sz w:val="22"/>
        </w:rPr>
        <w:t>. PASC</w:t>
      </w:r>
      <w:r w:rsidR="0054150D">
        <w:rPr>
          <w:b w:val="0"/>
          <w:bCs/>
          <w:color w:val="auto"/>
          <w:sz w:val="22"/>
        </w:rPr>
        <w:t xml:space="preserve"> </w:t>
      </w:r>
      <w:r w:rsidRPr="008059F8">
        <w:rPr>
          <w:b w:val="0"/>
          <w:bCs/>
          <w:color w:val="auto"/>
          <w:sz w:val="22"/>
        </w:rPr>
        <w:t xml:space="preserve">advised that a single PICO would be appropriate for this purpose (1797 </w:t>
      </w:r>
      <w:r w:rsidR="008F0223">
        <w:rPr>
          <w:b w:val="0"/>
          <w:bCs/>
          <w:color w:val="auto"/>
          <w:sz w:val="22"/>
        </w:rPr>
        <w:t>Ratified</w:t>
      </w:r>
      <w:r w:rsidR="008F0223" w:rsidRPr="008059F8">
        <w:rPr>
          <w:b w:val="0"/>
          <w:bCs/>
          <w:color w:val="auto"/>
          <w:sz w:val="22"/>
        </w:rPr>
        <w:t xml:space="preserve"> </w:t>
      </w:r>
      <w:r w:rsidRPr="008059F8">
        <w:rPr>
          <w:b w:val="0"/>
          <w:bCs/>
          <w:color w:val="auto"/>
          <w:sz w:val="22"/>
        </w:rPr>
        <w:t>PICO Confirmation, p.</w:t>
      </w:r>
      <w:r w:rsidR="008F0223">
        <w:rPr>
          <w:b w:val="0"/>
          <w:bCs/>
          <w:color w:val="auto"/>
          <w:sz w:val="22"/>
        </w:rPr>
        <w:t xml:space="preserve"> </w:t>
      </w:r>
      <w:r w:rsidRPr="008059F8">
        <w:rPr>
          <w:b w:val="0"/>
          <w:bCs/>
          <w:color w:val="auto"/>
          <w:sz w:val="22"/>
        </w:rPr>
        <w:t>38</w:t>
      </w:r>
      <w:r w:rsidR="00056A68">
        <w:rPr>
          <w:b w:val="0"/>
          <w:bCs/>
          <w:color w:val="auto"/>
          <w:sz w:val="22"/>
        </w:rPr>
        <w:t xml:space="preserve"> &amp; </w:t>
      </w:r>
      <w:r w:rsidR="008F0223">
        <w:rPr>
          <w:b w:val="0"/>
          <w:bCs/>
          <w:color w:val="auto"/>
          <w:sz w:val="22"/>
        </w:rPr>
        <w:t>T</w:t>
      </w:r>
      <w:r w:rsidR="00056A68">
        <w:rPr>
          <w:b w:val="0"/>
          <w:bCs/>
          <w:color w:val="auto"/>
          <w:sz w:val="22"/>
        </w:rPr>
        <w:t>able 9, pp.</w:t>
      </w:r>
      <w:r w:rsidR="008F0223">
        <w:rPr>
          <w:b w:val="0"/>
          <w:bCs/>
          <w:color w:val="auto"/>
          <w:sz w:val="22"/>
        </w:rPr>
        <w:t xml:space="preserve"> </w:t>
      </w:r>
      <w:r w:rsidR="00056A68">
        <w:rPr>
          <w:b w:val="0"/>
          <w:bCs/>
          <w:color w:val="auto"/>
          <w:sz w:val="22"/>
        </w:rPr>
        <w:t>40-41</w:t>
      </w:r>
      <w:r w:rsidRPr="008059F8">
        <w:rPr>
          <w:b w:val="0"/>
          <w:bCs/>
          <w:color w:val="auto"/>
          <w:sz w:val="22"/>
        </w:rPr>
        <w:t xml:space="preserve">). </w:t>
      </w:r>
      <w:r w:rsidR="004B563B" w:rsidRPr="00052AFF">
        <w:rPr>
          <w:b w:val="0"/>
          <w:color w:val="auto"/>
          <w:sz w:val="22"/>
        </w:rPr>
        <w:t>The justification provided by the ADAR for maintaining two distinct PICOs</w:t>
      </w:r>
      <w:r w:rsidR="0065302A">
        <w:rPr>
          <w:b w:val="0"/>
          <w:color w:val="auto"/>
          <w:sz w:val="22"/>
        </w:rPr>
        <w:t xml:space="preserve"> </w:t>
      </w:r>
      <w:r w:rsidR="004E7AC8">
        <w:rPr>
          <w:b w:val="0"/>
          <w:color w:val="auto"/>
          <w:sz w:val="22"/>
        </w:rPr>
        <w:t>(</w:t>
      </w:r>
      <w:r w:rsidR="00EE3645">
        <w:rPr>
          <w:b w:val="0"/>
          <w:color w:val="auto"/>
          <w:sz w:val="22"/>
        </w:rPr>
        <w:t xml:space="preserve">differences </w:t>
      </w:r>
      <w:r w:rsidR="004A0EC3">
        <w:rPr>
          <w:b w:val="0"/>
          <w:color w:val="auto"/>
          <w:sz w:val="22"/>
        </w:rPr>
        <w:t xml:space="preserve">in the </w:t>
      </w:r>
      <w:r w:rsidR="0012299F">
        <w:rPr>
          <w:b w:val="0"/>
          <w:color w:val="auto"/>
          <w:sz w:val="22"/>
        </w:rPr>
        <w:t xml:space="preserve">use of VCTE in </w:t>
      </w:r>
      <w:r w:rsidR="00EE3645">
        <w:rPr>
          <w:b w:val="0"/>
          <w:color w:val="auto"/>
          <w:sz w:val="22"/>
        </w:rPr>
        <w:t xml:space="preserve">primary </w:t>
      </w:r>
      <w:r w:rsidR="009B68DE">
        <w:rPr>
          <w:b w:val="0"/>
          <w:color w:val="auto"/>
          <w:sz w:val="22"/>
        </w:rPr>
        <w:t xml:space="preserve">and specialist care, </w:t>
      </w:r>
      <w:r w:rsidR="009440A7">
        <w:rPr>
          <w:b w:val="0"/>
          <w:color w:val="auto"/>
          <w:sz w:val="22"/>
        </w:rPr>
        <w:t xml:space="preserve">clinical consequences </w:t>
      </w:r>
      <w:r w:rsidR="008E7963">
        <w:rPr>
          <w:b w:val="0"/>
          <w:color w:val="auto"/>
          <w:sz w:val="22"/>
        </w:rPr>
        <w:t xml:space="preserve">and </w:t>
      </w:r>
      <w:r w:rsidR="004A0EC3">
        <w:rPr>
          <w:b w:val="0"/>
          <w:color w:val="auto"/>
          <w:sz w:val="22"/>
        </w:rPr>
        <w:t xml:space="preserve">the </w:t>
      </w:r>
      <w:r w:rsidR="008E7963">
        <w:rPr>
          <w:b w:val="0"/>
          <w:color w:val="auto"/>
          <w:sz w:val="22"/>
        </w:rPr>
        <w:t>need for separate economic eval</w:t>
      </w:r>
      <w:r w:rsidR="00833067">
        <w:rPr>
          <w:b w:val="0"/>
          <w:color w:val="auto"/>
          <w:sz w:val="22"/>
        </w:rPr>
        <w:t>uations to capture these nuances)</w:t>
      </w:r>
      <w:r w:rsidR="0065302A">
        <w:rPr>
          <w:b w:val="0"/>
          <w:color w:val="auto"/>
          <w:sz w:val="22"/>
        </w:rPr>
        <w:t xml:space="preserve"> </w:t>
      </w:r>
      <w:r w:rsidR="004B563B" w:rsidRPr="00052AFF">
        <w:rPr>
          <w:b w:val="0"/>
          <w:color w:val="auto"/>
          <w:sz w:val="22"/>
        </w:rPr>
        <w:t xml:space="preserve">was inconsistent with the stated purpose of the </w:t>
      </w:r>
      <w:r w:rsidR="004E7AC8">
        <w:rPr>
          <w:b w:val="0"/>
          <w:color w:val="auto"/>
          <w:sz w:val="22"/>
        </w:rPr>
        <w:t>intervention</w:t>
      </w:r>
      <w:r w:rsidR="004B563B" w:rsidRPr="00052AFF">
        <w:rPr>
          <w:b w:val="0"/>
          <w:color w:val="auto"/>
          <w:sz w:val="22"/>
        </w:rPr>
        <w:t xml:space="preserve">. </w:t>
      </w:r>
      <w:r w:rsidR="002B58BD" w:rsidRPr="496C604D">
        <w:rPr>
          <w:b w:val="0"/>
          <w:color w:val="auto"/>
          <w:sz w:val="22"/>
        </w:rPr>
        <w:t>Its</w:t>
      </w:r>
      <w:r w:rsidR="004B563B" w:rsidRPr="00052AFF">
        <w:rPr>
          <w:b w:val="0"/>
          <w:color w:val="auto"/>
          <w:sz w:val="22"/>
        </w:rPr>
        <w:t xml:space="preserve"> intended use </w:t>
      </w:r>
      <w:r w:rsidR="00333626">
        <w:rPr>
          <w:b w:val="0"/>
          <w:color w:val="auto"/>
          <w:sz w:val="22"/>
        </w:rPr>
        <w:t xml:space="preserve">in stratifying risk of AF </w:t>
      </w:r>
      <w:r w:rsidR="004B563B" w:rsidRPr="00052AFF">
        <w:rPr>
          <w:b w:val="0"/>
          <w:color w:val="auto"/>
          <w:sz w:val="22"/>
        </w:rPr>
        <w:t>does not clearly warrant separate PICO frameworks.</w:t>
      </w:r>
    </w:p>
    <w:p w14:paraId="2C9B64F9" w14:textId="284B1D79" w:rsidR="0022732B" w:rsidRPr="00FD3B16" w:rsidRDefault="0022732B" w:rsidP="00502FFB">
      <w:pPr>
        <w:pStyle w:val="Guidelinescross-ref"/>
        <w:rPr>
          <w:b w:val="0"/>
          <w:color w:val="auto"/>
          <w:sz w:val="22"/>
        </w:rPr>
      </w:pPr>
      <w:r w:rsidRPr="00DA3151">
        <w:rPr>
          <w:b w:val="0"/>
          <w:color w:val="auto"/>
          <w:sz w:val="22"/>
        </w:rPr>
        <w:t xml:space="preserve">Regarding the inclusion of both “indeterminate and high” FIB-4 results, PASC advised that the </w:t>
      </w:r>
      <w:r w:rsidR="00004E03">
        <w:rPr>
          <w:b w:val="0"/>
          <w:color w:val="auto"/>
          <w:sz w:val="22"/>
        </w:rPr>
        <w:t xml:space="preserve">single </w:t>
      </w:r>
      <w:r w:rsidRPr="00DA3151">
        <w:rPr>
          <w:b w:val="0"/>
          <w:color w:val="auto"/>
          <w:sz w:val="22"/>
        </w:rPr>
        <w:t xml:space="preserve">population should include all patients with FIB-4 ≥1.3, </w:t>
      </w:r>
      <w:r w:rsidR="00004E03">
        <w:rPr>
          <w:b w:val="0"/>
          <w:color w:val="auto"/>
          <w:sz w:val="22"/>
        </w:rPr>
        <w:t>in</w:t>
      </w:r>
      <w:r w:rsidRPr="00DA3151">
        <w:rPr>
          <w:b w:val="0"/>
          <w:color w:val="auto"/>
          <w:sz w:val="22"/>
        </w:rPr>
        <w:t xml:space="preserve"> both GP and specialist settings, with the intervention limited to the scan itself. However, the ADAR’s presentation (particularly in the dual-PICO framework and the economic model) appears to have focused only on indeterminate FIB-4 results in GP settings, while implicitly </w:t>
      </w:r>
      <w:r w:rsidR="008D39EA">
        <w:rPr>
          <w:b w:val="0"/>
          <w:color w:val="auto"/>
          <w:sz w:val="22"/>
        </w:rPr>
        <w:t>considering patients with</w:t>
      </w:r>
      <w:r w:rsidR="008D39EA" w:rsidRPr="00DA3151">
        <w:rPr>
          <w:b w:val="0"/>
          <w:color w:val="auto"/>
          <w:sz w:val="22"/>
        </w:rPr>
        <w:t xml:space="preserve"> </w:t>
      </w:r>
      <w:r w:rsidRPr="00DA3151">
        <w:rPr>
          <w:b w:val="0"/>
          <w:color w:val="auto"/>
          <w:sz w:val="22"/>
        </w:rPr>
        <w:t xml:space="preserve">high FIB-4 scores as </w:t>
      </w:r>
      <w:r w:rsidR="008D39EA">
        <w:rPr>
          <w:b w:val="0"/>
          <w:color w:val="auto"/>
          <w:sz w:val="22"/>
        </w:rPr>
        <w:t xml:space="preserve">requiring </w:t>
      </w:r>
      <w:r w:rsidRPr="00DA3151">
        <w:rPr>
          <w:b w:val="0"/>
          <w:color w:val="auto"/>
          <w:sz w:val="22"/>
        </w:rPr>
        <w:t>specialist referral. This divergence has created ambiguity in interpretation, and clarification is warranted to ensure alignment with PASC’s advice that a single item and single PICO are sufficient to capture the proposed role of VCTE following FIB-4 testing.</w:t>
      </w:r>
    </w:p>
    <w:p w14:paraId="2DD9E434" w14:textId="429CAFA0" w:rsidR="003040BD" w:rsidRPr="00FD3B16" w:rsidRDefault="003040BD" w:rsidP="00502FFB">
      <w:pPr>
        <w:pStyle w:val="Guidelinescross-ref"/>
        <w:rPr>
          <w:b w:val="0"/>
          <w:color w:val="auto"/>
          <w:sz w:val="22"/>
        </w:rPr>
      </w:pPr>
      <w:r w:rsidRPr="00FD3B16">
        <w:rPr>
          <w:b w:val="0"/>
          <w:color w:val="auto"/>
          <w:sz w:val="22"/>
        </w:rPr>
        <w:t>This ambiguity is compounded by uncertainty about the intended role of VCTE</w:t>
      </w:r>
      <w:r w:rsidR="00BB5606">
        <w:rPr>
          <w:b w:val="0"/>
          <w:color w:val="auto"/>
          <w:sz w:val="22"/>
        </w:rPr>
        <w:t>, as presented in the ADAR</w:t>
      </w:r>
      <w:r w:rsidRPr="00FD3B16">
        <w:rPr>
          <w:b w:val="0"/>
          <w:color w:val="auto"/>
          <w:sz w:val="22"/>
        </w:rPr>
        <w:t xml:space="preserve">. </w:t>
      </w:r>
      <w:r w:rsidR="00545015">
        <w:rPr>
          <w:b w:val="0"/>
          <w:color w:val="auto"/>
          <w:sz w:val="22"/>
        </w:rPr>
        <w:t xml:space="preserve">VCTE is </w:t>
      </w:r>
      <w:r w:rsidR="00D6587E">
        <w:rPr>
          <w:b w:val="0"/>
          <w:color w:val="auto"/>
          <w:sz w:val="22"/>
        </w:rPr>
        <w:t xml:space="preserve">interchangeably referred to in the ADAR as a tool for risk stratification of AF, and a tool for diagnosis </w:t>
      </w:r>
      <w:r w:rsidR="3E795225" w:rsidRPr="0C90ED7D">
        <w:rPr>
          <w:b w:val="0"/>
          <w:color w:val="auto"/>
          <w:sz w:val="22"/>
        </w:rPr>
        <w:t xml:space="preserve">and </w:t>
      </w:r>
      <w:r w:rsidR="3E795225" w:rsidRPr="3150A279">
        <w:rPr>
          <w:b w:val="0"/>
          <w:color w:val="auto"/>
          <w:sz w:val="22"/>
        </w:rPr>
        <w:t xml:space="preserve">monitoring </w:t>
      </w:r>
      <w:r w:rsidR="00D6587E" w:rsidRPr="3150A279">
        <w:rPr>
          <w:b w:val="0"/>
          <w:color w:val="auto"/>
          <w:sz w:val="22"/>
        </w:rPr>
        <w:t>of</w:t>
      </w:r>
      <w:r w:rsidR="00D6587E">
        <w:rPr>
          <w:b w:val="0"/>
          <w:color w:val="auto"/>
          <w:sz w:val="22"/>
        </w:rPr>
        <w:t xml:space="preserve"> AF</w:t>
      </w:r>
      <w:r w:rsidR="0090249E">
        <w:rPr>
          <w:b w:val="0"/>
          <w:color w:val="auto"/>
          <w:sz w:val="22"/>
        </w:rPr>
        <w:t>, leaving its exact role unclear</w:t>
      </w:r>
      <w:r w:rsidRPr="00FD3B16">
        <w:rPr>
          <w:b w:val="0"/>
          <w:color w:val="auto"/>
          <w:sz w:val="22"/>
        </w:rPr>
        <w:t xml:space="preserve">. This lack of distinction </w:t>
      </w:r>
      <w:r w:rsidR="00C63CB3">
        <w:rPr>
          <w:b w:val="0"/>
          <w:color w:val="auto"/>
          <w:sz w:val="22"/>
        </w:rPr>
        <w:t>within the ADAR</w:t>
      </w:r>
      <w:r w:rsidRPr="00FD3B16">
        <w:rPr>
          <w:b w:val="0"/>
          <w:color w:val="auto"/>
          <w:sz w:val="22"/>
        </w:rPr>
        <w:t xml:space="preserve"> undermines alignment with the PICO, limits the transferability of evidence, risks double</w:t>
      </w:r>
      <w:r w:rsidR="004A0EC3">
        <w:rPr>
          <w:b w:val="0"/>
          <w:color w:val="auto"/>
          <w:sz w:val="22"/>
        </w:rPr>
        <w:t>-</w:t>
      </w:r>
      <w:r w:rsidRPr="00FD3B16">
        <w:rPr>
          <w:b w:val="0"/>
          <w:color w:val="auto"/>
          <w:sz w:val="22"/>
        </w:rPr>
        <w:t>counting benefits in the economic model, and raises concerns for MSAC regarding misclassification, inappropriate test use, and difficulties in defining targeted MBS items.</w:t>
      </w:r>
      <w:r w:rsidR="005C2FD0" w:rsidRPr="005C2FD0">
        <w:rPr>
          <w:b w:val="0"/>
          <w:color w:val="auto"/>
          <w:sz w:val="22"/>
        </w:rPr>
        <w:t xml:space="preserve"> </w:t>
      </w:r>
      <w:r w:rsidR="0060199F">
        <w:rPr>
          <w:b w:val="0"/>
          <w:color w:val="auto"/>
          <w:sz w:val="22"/>
        </w:rPr>
        <w:t>In contrast to the ADAR, the GESA guidelines appear to support VCTE use for determination of risk of AF only, rather than diagnosis of AF</w:t>
      </w:r>
      <w:r w:rsidR="0036394A">
        <w:rPr>
          <w:b w:val="0"/>
          <w:color w:val="auto"/>
          <w:sz w:val="22"/>
        </w:rPr>
        <w:t>.</w:t>
      </w:r>
    </w:p>
    <w:p w14:paraId="64983200" w14:textId="7A858479" w:rsidR="0023082F" w:rsidRPr="00DA3151" w:rsidRDefault="0023082F" w:rsidP="00502FFB">
      <w:pPr>
        <w:pStyle w:val="Guidelinescross-ref"/>
        <w:rPr>
          <w:b w:val="0"/>
          <w:color w:val="auto"/>
          <w:sz w:val="22"/>
        </w:rPr>
      </w:pPr>
      <w:r w:rsidRPr="00FD3B16">
        <w:rPr>
          <w:b w:val="0"/>
          <w:color w:val="auto"/>
          <w:sz w:val="22"/>
        </w:rPr>
        <w:t xml:space="preserve">The ambiguity is further compounded by the absence of a clear VCTE threshold. </w:t>
      </w:r>
      <w:r w:rsidR="006733AA">
        <w:rPr>
          <w:b w:val="0"/>
          <w:color w:val="auto"/>
          <w:sz w:val="22"/>
        </w:rPr>
        <w:t>The commentary considered that</w:t>
      </w:r>
      <w:r w:rsidRPr="00FD3B16">
        <w:rPr>
          <w:b w:val="0"/>
          <w:color w:val="auto"/>
          <w:sz w:val="22"/>
        </w:rPr>
        <w:t xml:space="preserve"> a universal cut-off (e.g. 8</w:t>
      </w:r>
      <w:r w:rsidR="00DA3151" w:rsidRPr="00FD3B16">
        <w:rPr>
          <w:b w:val="0"/>
          <w:color w:val="auto"/>
          <w:sz w:val="22"/>
        </w:rPr>
        <w:t>.0</w:t>
      </w:r>
      <w:r w:rsidRPr="00FD3B16">
        <w:rPr>
          <w:b w:val="0"/>
          <w:color w:val="auto"/>
          <w:sz w:val="22"/>
        </w:rPr>
        <w:t xml:space="preserve"> kPa) </w:t>
      </w:r>
      <w:r w:rsidR="006733AA">
        <w:rPr>
          <w:b w:val="0"/>
          <w:color w:val="auto"/>
          <w:sz w:val="22"/>
        </w:rPr>
        <w:t>may not be appropriate for</w:t>
      </w:r>
      <w:r w:rsidRPr="00FD3B16">
        <w:rPr>
          <w:b w:val="0"/>
          <w:color w:val="auto"/>
          <w:sz w:val="22"/>
        </w:rPr>
        <w:t xml:space="preserve"> both primary and specialist settings: in primary care, lower thresholds may prioritise sensitivity to avoid missed cases, while in specialist care higher thresholds may be required to balance specificity and clinical utility. In summary, VCTE cut-offs should be setting-specific, reflecting differences in patient risk profile, intended purpose of testing, and acceptable trade-offs between sensitivity and specificity.</w:t>
      </w:r>
      <w:r w:rsidR="006733AA">
        <w:rPr>
          <w:b w:val="0"/>
          <w:color w:val="auto"/>
          <w:sz w:val="22"/>
        </w:rPr>
        <w:t xml:space="preserve"> </w:t>
      </w:r>
    </w:p>
    <w:p w14:paraId="070BC841" w14:textId="3DCE31B9" w:rsidR="002F01A5" w:rsidRPr="000527F1" w:rsidRDefault="000527F1" w:rsidP="000150E9">
      <w:pPr>
        <w:pStyle w:val="Caption"/>
        <w:keepLines/>
        <w:spacing w:before="0" w:after="0"/>
      </w:pPr>
      <w:bookmarkStart w:id="23" w:name="_Ref205809939"/>
      <w:r>
        <w:lastRenderedPageBreak/>
        <w:t xml:space="preserve">Table </w:t>
      </w:r>
      <w:r w:rsidR="003D48F8">
        <w:fldChar w:fldCharType="begin"/>
      </w:r>
      <w:r w:rsidR="003D48F8">
        <w:instrText xml:space="preserve"> SEQ Table \* ARABIC </w:instrText>
      </w:r>
      <w:r w:rsidR="003D48F8">
        <w:fldChar w:fldCharType="separate"/>
      </w:r>
      <w:r w:rsidR="003D48F8">
        <w:rPr>
          <w:noProof/>
        </w:rPr>
        <w:t>4</w:t>
      </w:r>
      <w:r w:rsidR="003D48F8">
        <w:rPr>
          <w:noProof/>
        </w:rPr>
        <w:fldChar w:fldCharType="end"/>
      </w:r>
      <w:bookmarkEnd w:id="23"/>
      <w:r>
        <w:t>:</w:t>
      </w:r>
      <w:r w:rsidRPr="000527F1">
        <w:t xml:space="preserve"> </w:t>
      </w:r>
      <w:r w:rsidR="00F75B64" w:rsidRPr="000527F1">
        <w:t>PICO criteria for assessing VCTE for patients with MAFLD in primary and specialist care</w:t>
      </w:r>
    </w:p>
    <w:tbl>
      <w:tblPr>
        <w:tblStyle w:val="TableGridLight3"/>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71"/>
        <w:gridCol w:w="4755"/>
        <w:gridCol w:w="3710"/>
      </w:tblGrid>
      <w:tr w:rsidR="001E37D6" w:rsidRPr="00F75B64" w14:paraId="14A4E255" w14:textId="77777777" w:rsidTr="00FD3B16">
        <w:trPr>
          <w:cnfStyle w:val="100000000000" w:firstRow="1" w:lastRow="0" w:firstColumn="0" w:lastColumn="0" w:oddVBand="0" w:evenVBand="0" w:oddHBand="0" w:evenHBand="0" w:firstRowFirstColumn="0" w:firstRowLastColumn="0" w:lastRowFirstColumn="0" w:lastRowLastColumn="0"/>
          <w:trHeight w:val="20"/>
        </w:trPr>
        <w:tc>
          <w:tcPr>
            <w:tcW w:w="1271" w:type="dxa"/>
            <w:vAlign w:val="center"/>
          </w:tcPr>
          <w:p w14:paraId="69D6FCF6" w14:textId="77777777" w:rsidR="00AE079B" w:rsidRPr="00FD6281" w:rsidRDefault="00AE079B" w:rsidP="000150E9">
            <w:pPr>
              <w:keepNext/>
              <w:keepLines/>
              <w:spacing w:before="0"/>
              <w:rPr>
                <w:rFonts w:ascii="Arial Narrow" w:hAnsi="Arial Narrow" w:cs="Times New Roman"/>
                <w:bCs/>
                <w:sz w:val="20"/>
                <w:szCs w:val="20"/>
              </w:rPr>
            </w:pPr>
            <w:r w:rsidRPr="00FD6281">
              <w:rPr>
                <w:rFonts w:ascii="Arial Narrow" w:hAnsi="Arial Narrow" w:cs="Times New Roman"/>
                <w:bCs/>
                <w:sz w:val="20"/>
                <w:szCs w:val="20"/>
              </w:rPr>
              <w:t>Component</w:t>
            </w:r>
          </w:p>
        </w:tc>
        <w:tc>
          <w:tcPr>
            <w:tcW w:w="4755" w:type="dxa"/>
            <w:vAlign w:val="center"/>
          </w:tcPr>
          <w:p w14:paraId="77B348E6" w14:textId="77777777" w:rsidR="00AE079B" w:rsidRPr="00FD6281" w:rsidRDefault="00AE079B" w:rsidP="000150E9">
            <w:pPr>
              <w:keepNext/>
              <w:keepLines/>
              <w:spacing w:before="0"/>
              <w:jc w:val="center"/>
              <w:rPr>
                <w:rFonts w:ascii="Arial Narrow" w:hAnsi="Arial Narrow" w:cs="Times New Roman"/>
                <w:bCs/>
                <w:sz w:val="20"/>
                <w:szCs w:val="20"/>
              </w:rPr>
            </w:pPr>
            <w:r w:rsidRPr="00FD6281">
              <w:rPr>
                <w:rFonts w:ascii="Arial Narrow" w:hAnsi="Arial Narrow" w:cs="Times New Roman"/>
                <w:bCs/>
                <w:sz w:val="20"/>
                <w:szCs w:val="20"/>
              </w:rPr>
              <w:t>PICO 1</w:t>
            </w:r>
          </w:p>
        </w:tc>
        <w:tc>
          <w:tcPr>
            <w:tcW w:w="3710" w:type="dxa"/>
            <w:vAlign w:val="center"/>
          </w:tcPr>
          <w:p w14:paraId="34009019" w14:textId="77777777" w:rsidR="00AE079B" w:rsidRPr="00FD6281" w:rsidRDefault="00AE079B" w:rsidP="000150E9">
            <w:pPr>
              <w:keepNext/>
              <w:keepLines/>
              <w:spacing w:before="0"/>
              <w:jc w:val="center"/>
              <w:rPr>
                <w:rFonts w:ascii="Arial Narrow" w:hAnsi="Arial Narrow" w:cs="Times New Roman"/>
                <w:bCs/>
                <w:sz w:val="20"/>
                <w:szCs w:val="20"/>
              </w:rPr>
            </w:pPr>
            <w:r w:rsidRPr="00FD6281">
              <w:rPr>
                <w:rFonts w:ascii="Arial Narrow" w:hAnsi="Arial Narrow" w:cs="Times New Roman"/>
                <w:bCs/>
                <w:sz w:val="20"/>
                <w:szCs w:val="20"/>
              </w:rPr>
              <w:t>PICO 2</w:t>
            </w:r>
          </w:p>
        </w:tc>
      </w:tr>
      <w:tr w:rsidR="00E648D4" w:rsidRPr="00F75B64" w14:paraId="7BA6965D" w14:textId="77777777" w:rsidTr="00FD3B16">
        <w:trPr>
          <w:trHeight w:val="20"/>
        </w:trPr>
        <w:tc>
          <w:tcPr>
            <w:tcW w:w="1271" w:type="dxa"/>
          </w:tcPr>
          <w:p w14:paraId="148B82CA"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Population</w:t>
            </w:r>
          </w:p>
        </w:tc>
        <w:tc>
          <w:tcPr>
            <w:tcW w:w="8465" w:type="dxa"/>
            <w:gridSpan w:val="2"/>
          </w:tcPr>
          <w:p w14:paraId="472543CB"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Patients diagnosed with MAFLD</w:t>
            </w:r>
          </w:p>
        </w:tc>
      </w:tr>
      <w:tr w:rsidR="00E648D4" w:rsidRPr="00F75B64" w14:paraId="523B1592" w14:textId="77777777" w:rsidTr="00FD3B16">
        <w:trPr>
          <w:trHeight w:val="20"/>
        </w:trPr>
        <w:tc>
          <w:tcPr>
            <w:tcW w:w="1271" w:type="dxa"/>
          </w:tcPr>
          <w:p w14:paraId="40E362E6"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&lt;Prior tests&gt;</w:t>
            </w:r>
          </w:p>
        </w:tc>
        <w:tc>
          <w:tcPr>
            <w:tcW w:w="8465" w:type="dxa"/>
            <w:gridSpan w:val="2"/>
          </w:tcPr>
          <w:p w14:paraId="6E55E7CB" w14:textId="77777777" w:rsidR="00AE079B" w:rsidRPr="00FD6281" w:rsidRDefault="00AE079B" w:rsidP="005E01EA">
            <w:pPr>
              <w:keepNext/>
              <w:keepLines/>
              <w:numPr>
                <w:ilvl w:val="0"/>
                <w:numId w:val="11"/>
              </w:numPr>
              <w:spacing w:before="0"/>
              <w:ind w:left="229" w:hanging="229"/>
              <w:contextualSpacing/>
              <w:rPr>
                <w:rFonts w:ascii="Arial Narrow" w:hAnsi="Arial Narrow" w:cs="Calibri"/>
                <w:sz w:val="20"/>
                <w:szCs w:val="20"/>
                <w:lang w:val="en-AU"/>
              </w:rPr>
            </w:pPr>
            <w:r w:rsidRPr="00F512E6">
              <w:rPr>
                <w:rFonts w:ascii="Arial Narrow" w:hAnsi="Arial Narrow" w:cs="Calibri"/>
                <w:sz w:val="20"/>
                <w:szCs w:val="20"/>
              </w:rPr>
              <w:t>Diagnosis of MAFLD (≥5% hepatosteatosis; and at least one of the following (1) overweight; (2) type 2 diabetes mellitus [T2DM]; or (3) metabolic dysfunction</w:t>
            </w:r>
            <w:r w:rsidRPr="00F512E6">
              <w:rPr>
                <w:rFonts w:ascii="Arial Narrow" w:hAnsi="Arial Narrow" w:cs="Calibri"/>
                <w:sz w:val="20"/>
                <w:szCs w:val="20"/>
                <w:vertAlign w:val="superscript"/>
              </w:rPr>
              <w:t>†</w:t>
            </w:r>
            <w:r w:rsidRPr="00F512E6">
              <w:rPr>
                <w:rFonts w:ascii="Arial Narrow" w:hAnsi="Arial Narrow" w:cs="Calibri"/>
                <w:sz w:val="20"/>
                <w:szCs w:val="20"/>
              </w:rPr>
              <w:t>.</w:t>
            </w:r>
          </w:p>
          <w:p w14:paraId="70AA5991" w14:textId="77777777" w:rsidR="00AE079B" w:rsidRPr="00FD6281" w:rsidRDefault="00AE079B" w:rsidP="005E01EA">
            <w:pPr>
              <w:keepNext/>
              <w:keepLines/>
              <w:numPr>
                <w:ilvl w:val="0"/>
                <w:numId w:val="11"/>
              </w:numPr>
              <w:spacing w:before="0"/>
              <w:ind w:left="229" w:hanging="229"/>
              <w:contextualSpacing/>
              <w:rPr>
                <w:rFonts w:ascii="Arial Narrow" w:hAnsi="Arial Narrow" w:cs="Calibri"/>
                <w:sz w:val="20"/>
                <w:szCs w:val="20"/>
                <w:lang w:val="en-AU"/>
              </w:rPr>
            </w:pPr>
            <w:r w:rsidRPr="00F512E6">
              <w:rPr>
                <w:rFonts w:ascii="Arial Narrow" w:hAnsi="Arial Narrow" w:cs="Calibri"/>
                <w:sz w:val="20"/>
                <w:szCs w:val="20"/>
              </w:rPr>
              <w:t>Fibrosis-4 (FIB-4) score (requiring assessment of AST, ALT and platelet count).</w:t>
            </w:r>
          </w:p>
        </w:tc>
      </w:tr>
      <w:tr w:rsidR="001E37D6" w:rsidRPr="00F75B64" w14:paraId="059C0CB7" w14:textId="77777777" w:rsidTr="00FD3B16">
        <w:trPr>
          <w:trHeight w:val="20"/>
        </w:trPr>
        <w:tc>
          <w:tcPr>
            <w:tcW w:w="1271" w:type="dxa"/>
          </w:tcPr>
          <w:p w14:paraId="3FB772A8"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Intervention</w:t>
            </w:r>
          </w:p>
        </w:tc>
        <w:tc>
          <w:tcPr>
            <w:tcW w:w="4755" w:type="dxa"/>
          </w:tcPr>
          <w:p w14:paraId="7BB67117"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VCTE in primary care</w:t>
            </w:r>
          </w:p>
        </w:tc>
        <w:tc>
          <w:tcPr>
            <w:tcW w:w="3710" w:type="dxa"/>
          </w:tcPr>
          <w:p w14:paraId="211D8C4C"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VCTE in specialist care</w:t>
            </w:r>
          </w:p>
        </w:tc>
      </w:tr>
      <w:tr w:rsidR="00E648D4" w:rsidRPr="00F75B64" w14:paraId="13375061" w14:textId="77777777" w:rsidTr="00FD3B16">
        <w:trPr>
          <w:trHeight w:val="20"/>
        </w:trPr>
        <w:tc>
          <w:tcPr>
            <w:tcW w:w="1271" w:type="dxa"/>
          </w:tcPr>
          <w:p w14:paraId="4EA0786F"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Comparator</w:t>
            </w:r>
          </w:p>
        </w:tc>
        <w:tc>
          <w:tcPr>
            <w:tcW w:w="8465" w:type="dxa"/>
            <w:gridSpan w:val="2"/>
          </w:tcPr>
          <w:p w14:paraId="7D391DC0" w14:textId="77777777" w:rsidR="00AE079B" w:rsidRPr="00FD6281" w:rsidRDefault="00AE079B" w:rsidP="000150E9">
            <w:pPr>
              <w:keepNext/>
              <w:keepLines/>
              <w:spacing w:before="0"/>
              <w:rPr>
                <w:rFonts w:ascii="Arial Narrow" w:hAnsi="Arial Narrow" w:cs="Times New Roman"/>
                <w:sz w:val="20"/>
                <w:szCs w:val="20"/>
                <w:lang w:val="en-AU"/>
              </w:rPr>
            </w:pPr>
            <w:r w:rsidRPr="00F512E6">
              <w:rPr>
                <w:rFonts w:ascii="Arial Narrow" w:hAnsi="Arial Narrow" w:cs="Arial"/>
                <w:sz w:val="20"/>
                <w:szCs w:val="20"/>
              </w:rPr>
              <w:t>SOC which may include liver ultrasound, other non-funded tests for the diagnosis of advanced fibrosis, and/or referral to specialist care (where appropriate).</w:t>
            </w:r>
          </w:p>
        </w:tc>
      </w:tr>
      <w:tr w:rsidR="00E648D4" w:rsidRPr="00F75B64" w14:paraId="4A7A5462" w14:textId="77777777" w:rsidTr="00FD3B16">
        <w:trPr>
          <w:trHeight w:val="20"/>
        </w:trPr>
        <w:tc>
          <w:tcPr>
            <w:tcW w:w="1271" w:type="dxa"/>
          </w:tcPr>
          <w:p w14:paraId="4C135601" w14:textId="77777777" w:rsidR="00AE079B" w:rsidRPr="00FD6281" w:rsidRDefault="00AE079B" w:rsidP="000150E9">
            <w:pPr>
              <w:keepNext/>
              <w:keepLines/>
              <w:spacing w:before="0"/>
              <w:rPr>
                <w:rFonts w:ascii="Arial Narrow" w:hAnsi="Arial Narrow" w:cs="Times New Roman"/>
                <w:sz w:val="20"/>
                <w:szCs w:val="20"/>
              </w:rPr>
            </w:pPr>
            <w:r w:rsidRPr="00FD6281">
              <w:rPr>
                <w:rFonts w:ascii="Arial Narrow" w:hAnsi="Arial Narrow" w:cs="Times New Roman"/>
                <w:sz w:val="20"/>
                <w:szCs w:val="20"/>
              </w:rPr>
              <w:t>Outcomes</w:t>
            </w:r>
          </w:p>
        </w:tc>
        <w:tc>
          <w:tcPr>
            <w:tcW w:w="8465" w:type="dxa"/>
            <w:gridSpan w:val="2"/>
          </w:tcPr>
          <w:p w14:paraId="1CD74A1E" w14:textId="77777777" w:rsidR="00AE079B" w:rsidRPr="00FD6281" w:rsidRDefault="00AE079B" w:rsidP="000150E9">
            <w:pPr>
              <w:keepNext/>
              <w:keepLines/>
              <w:spacing w:before="0"/>
              <w:rPr>
                <w:rFonts w:ascii="Arial Narrow" w:hAnsi="Arial Narrow" w:cs="Times New Roman"/>
                <w:b/>
                <w:bCs/>
                <w:sz w:val="20"/>
                <w:szCs w:val="20"/>
              </w:rPr>
            </w:pPr>
            <w:r w:rsidRPr="00FD6281">
              <w:rPr>
                <w:rFonts w:ascii="Arial Narrow" w:hAnsi="Arial Narrow" w:cs="Times New Roman"/>
                <w:b/>
                <w:bCs/>
                <w:sz w:val="20"/>
                <w:szCs w:val="20"/>
              </w:rPr>
              <w:t>Effectiveness</w:t>
            </w:r>
          </w:p>
          <w:p w14:paraId="0A432E01" w14:textId="77777777" w:rsidR="00AE079B" w:rsidRPr="00FD6281" w:rsidRDefault="00AE079B" w:rsidP="005E01EA">
            <w:pPr>
              <w:keepNext/>
              <w:keepLines/>
              <w:numPr>
                <w:ilvl w:val="0"/>
                <w:numId w:val="12"/>
              </w:numPr>
              <w:spacing w:before="0"/>
              <w:rPr>
                <w:rFonts w:ascii="Arial Narrow" w:hAnsi="Arial Narrow" w:cs="Times New Roman"/>
                <w:sz w:val="20"/>
                <w:szCs w:val="20"/>
                <w:lang w:val="en-AU"/>
              </w:rPr>
            </w:pPr>
            <w:r w:rsidRPr="00F512E6">
              <w:rPr>
                <w:rFonts w:ascii="Arial Narrow" w:hAnsi="Arial Narrow" w:cs="Times New Roman"/>
                <w:sz w:val="20"/>
                <w:szCs w:val="20"/>
              </w:rPr>
              <w:t>Diagnostic accuracy (sensitivity, specificity, positive and negative predictive values) in comparison to liver biopsy (reference standard)</w:t>
            </w:r>
          </w:p>
          <w:p w14:paraId="4E488C51" w14:textId="77777777" w:rsidR="00AE079B" w:rsidRPr="00FD6281" w:rsidRDefault="00AE079B" w:rsidP="005E01EA">
            <w:pPr>
              <w:keepNext/>
              <w:keepLines/>
              <w:numPr>
                <w:ilvl w:val="0"/>
                <w:numId w:val="12"/>
              </w:numPr>
              <w:spacing w:before="0"/>
              <w:rPr>
                <w:rFonts w:ascii="Arial Narrow" w:hAnsi="Arial Narrow" w:cs="Times New Roman"/>
                <w:sz w:val="20"/>
                <w:szCs w:val="20"/>
                <w:lang w:val="en-AU"/>
              </w:rPr>
            </w:pPr>
            <w:r w:rsidRPr="00F512E6">
              <w:rPr>
                <w:rFonts w:ascii="Arial Narrow" w:hAnsi="Arial Narrow" w:cs="Times New Roman"/>
                <w:sz w:val="20"/>
                <w:szCs w:val="20"/>
              </w:rPr>
              <w:t xml:space="preserve">Diagnostic accuracy in comparison to SOC </w:t>
            </w:r>
          </w:p>
          <w:p w14:paraId="503BE2DB" w14:textId="77777777" w:rsidR="00AE079B" w:rsidRPr="00FD6281" w:rsidRDefault="00AE079B" w:rsidP="005E01EA">
            <w:pPr>
              <w:keepNext/>
              <w:keepLines/>
              <w:numPr>
                <w:ilvl w:val="0"/>
                <w:numId w:val="12"/>
              </w:numPr>
              <w:spacing w:before="0"/>
              <w:rPr>
                <w:rFonts w:ascii="Arial Narrow" w:hAnsi="Arial Narrow" w:cs="Times New Roman"/>
                <w:sz w:val="20"/>
                <w:szCs w:val="20"/>
              </w:rPr>
            </w:pPr>
            <w:r w:rsidRPr="00FD6281">
              <w:rPr>
                <w:rFonts w:ascii="Arial Narrow" w:hAnsi="Arial Narrow" w:cs="Times New Roman"/>
                <w:sz w:val="20"/>
                <w:szCs w:val="20"/>
              </w:rPr>
              <w:t>Prognostic accuracy</w:t>
            </w:r>
          </w:p>
          <w:p w14:paraId="247AC6D3" w14:textId="77777777" w:rsidR="00AE079B" w:rsidRPr="00FD6281" w:rsidRDefault="00AE079B" w:rsidP="000150E9">
            <w:pPr>
              <w:keepNext/>
              <w:keepLines/>
              <w:spacing w:before="0"/>
              <w:rPr>
                <w:rFonts w:ascii="Arial Narrow" w:hAnsi="Arial Narrow" w:cs="Times New Roman"/>
                <w:b/>
                <w:bCs/>
                <w:sz w:val="20"/>
                <w:szCs w:val="20"/>
              </w:rPr>
            </w:pPr>
            <w:r w:rsidRPr="00FD6281">
              <w:rPr>
                <w:rFonts w:ascii="Arial Narrow" w:hAnsi="Arial Narrow" w:cs="Times New Roman"/>
                <w:b/>
                <w:bCs/>
                <w:sz w:val="20"/>
                <w:szCs w:val="20"/>
              </w:rPr>
              <w:t>Change in patient management</w:t>
            </w:r>
          </w:p>
          <w:p w14:paraId="152A4946" w14:textId="77777777" w:rsidR="00AE079B" w:rsidRPr="00FD6281" w:rsidRDefault="00AE079B" w:rsidP="005E01EA">
            <w:pPr>
              <w:keepNext/>
              <w:keepLines/>
              <w:numPr>
                <w:ilvl w:val="0"/>
                <w:numId w:val="13"/>
              </w:numPr>
              <w:spacing w:before="0"/>
              <w:rPr>
                <w:rFonts w:ascii="Arial Narrow" w:hAnsi="Arial Narrow" w:cs="Times New Roman"/>
                <w:sz w:val="20"/>
                <w:szCs w:val="20"/>
                <w:lang w:val="en-AU"/>
              </w:rPr>
            </w:pPr>
            <w:r w:rsidRPr="00F512E6">
              <w:rPr>
                <w:rFonts w:ascii="Arial Narrow" w:hAnsi="Arial Narrow" w:cs="Times New Roman"/>
                <w:sz w:val="20"/>
                <w:szCs w:val="20"/>
              </w:rPr>
              <w:t>Reduced referrals to specialist care (Only PICO 1)</w:t>
            </w:r>
          </w:p>
          <w:p w14:paraId="1249B3E3" w14:textId="77777777" w:rsidR="00AE079B" w:rsidRPr="00FD6281" w:rsidRDefault="00AE079B" w:rsidP="005E01EA">
            <w:pPr>
              <w:keepNext/>
              <w:keepLines/>
              <w:numPr>
                <w:ilvl w:val="0"/>
                <w:numId w:val="13"/>
              </w:numPr>
              <w:spacing w:before="0"/>
              <w:rPr>
                <w:rFonts w:ascii="Arial Narrow" w:hAnsi="Arial Narrow" w:cs="Times New Roman"/>
                <w:sz w:val="20"/>
                <w:szCs w:val="20"/>
              </w:rPr>
            </w:pPr>
            <w:r w:rsidRPr="00FD6281">
              <w:rPr>
                <w:rFonts w:ascii="Arial Narrow" w:hAnsi="Arial Narrow" w:cs="Times New Roman"/>
                <w:sz w:val="20"/>
                <w:szCs w:val="20"/>
              </w:rPr>
              <w:t xml:space="preserve">Time to test and accessibility </w:t>
            </w:r>
          </w:p>
          <w:p w14:paraId="3086BA72" w14:textId="77777777" w:rsidR="00AE079B" w:rsidRPr="00FD6281" w:rsidRDefault="00AE079B" w:rsidP="005E01EA">
            <w:pPr>
              <w:keepNext/>
              <w:keepLines/>
              <w:numPr>
                <w:ilvl w:val="0"/>
                <w:numId w:val="13"/>
              </w:numPr>
              <w:spacing w:before="0"/>
              <w:rPr>
                <w:rFonts w:ascii="Arial Narrow" w:hAnsi="Arial Narrow" w:cs="Times New Roman"/>
                <w:sz w:val="20"/>
                <w:szCs w:val="20"/>
                <w:lang w:val="en-AU"/>
              </w:rPr>
            </w:pPr>
            <w:r w:rsidRPr="00F512E6">
              <w:rPr>
                <w:rFonts w:ascii="Arial Narrow" w:hAnsi="Arial Narrow" w:cs="Times New Roman"/>
                <w:sz w:val="20"/>
                <w:szCs w:val="20"/>
              </w:rPr>
              <w:t>Equity of access and patient adherence</w:t>
            </w:r>
          </w:p>
          <w:p w14:paraId="3BAB7CFC" w14:textId="77777777" w:rsidR="00AE079B" w:rsidRPr="00FD6281" w:rsidRDefault="00AE079B" w:rsidP="005E01EA">
            <w:pPr>
              <w:keepNext/>
              <w:keepLines/>
              <w:numPr>
                <w:ilvl w:val="0"/>
                <w:numId w:val="13"/>
              </w:numPr>
              <w:spacing w:before="0"/>
              <w:rPr>
                <w:rFonts w:ascii="Arial Narrow" w:hAnsi="Arial Narrow" w:cs="Times New Roman"/>
                <w:sz w:val="20"/>
                <w:szCs w:val="20"/>
                <w:lang w:val="en-AU"/>
              </w:rPr>
            </w:pPr>
            <w:r w:rsidRPr="00F512E6">
              <w:rPr>
                <w:rFonts w:ascii="Arial Narrow" w:hAnsi="Arial Narrow" w:cs="Times New Roman"/>
                <w:sz w:val="20"/>
                <w:szCs w:val="20"/>
              </w:rPr>
              <w:t>Reduction in use of liver biopsy (Only PICO 2)</w:t>
            </w:r>
          </w:p>
          <w:p w14:paraId="3CE693A8" w14:textId="77777777" w:rsidR="00AE079B" w:rsidRPr="00FD6281" w:rsidRDefault="00AE079B" w:rsidP="000150E9">
            <w:pPr>
              <w:keepNext/>
              <w:keepLines/>
              <w:spacing w:before="0"/>
              <w:rPr>
                <w:rFonts w:ascii="Arial Narrow" w:hAnsi="Arial Narrow" w:cs="Times New Roman"/>
                <w:b/>
                <w:bCs/>
                <w:sz w:val="20"/>
                <w:szCs w:val="20"/>
              </w:rPr>
            </w:pPr>
            <w:r w:rsidRPr="00FD6281">
              <w:rPr>
                <w:rFonts w:ascii="Arial Narrow" w:hAnsi="Arial Narrow" w:cs="Times New Roman"/>
                <w:b/>
                <w:bCs/>
                <w:sz w:val="20"/>
                <w:szCs w:val="20"/>
              </w:rPr>
              <w:t>Economic Outcomes</w:t>
            </w:r>
          </w:p>
          <w:p w14:paraId="74BB7223" w14:textId="77777777" w:rsidR="00AE079B" w:rsidRPr="00FD6281" w:rsidRDefault="00AE079B" w:rsidP="005E01EA">
            <w:pPr>
              <w:keepNext/>
              <w:keepLines/>
              <w:numPr>
                <w:ilvl w:val="0"/>
                <w:numId w:val="14"/>
              </w:numPr>
              <w:spacing w:before="0"/>
              <w:rPr>
                <w:rFonts w:ascii="Arial Narrow" w:hAnsi="Arial Narrow" w:cs="Times New Roman"/>
                <w:sz w:val="20"/>
                <w:szCs w:val="20"/>
              </w:rPr>
            </w:pPr>
            <w:r w:rsidRPr="00FD6281">
              <w:rPr>
                <w:rFonts w:ascii="Arial Narrow" w:hAnsi="Arial Narrow" w:cs="Times New Roman"/>
                <w:sz w:val="20"/>
                <w:szCs w:val="20"/>
              </w:rPr>
              <w:t>Health care resources</w:t>
            </w:r>
          </w:p>
          <w:p w14:paraId="5616AE50" w14:textId="77777777" w:rsidR="00AE079B" w:rsidRPr="00FD6281" w:rsidRDefault="00AE079B" w:rsidP="005E01EA">
            <w:pPr>
              <w:keepNext/>
              <w:keepLines/>
              <w:numPr>
                <w:ilvl w:val="0"/>
                <w:numId w:val="14"/>
              </w:numPr>
              <w:spacing w:before="0"/>
              <w:rPr>
                <w:rFonts w:ascii="Arial Narrow" w:hAnsi="Arial Narrow" w:cs="Times New Roman"/>
                <w:sz w:val="20"/>
                <w:szCs w:val="20"/>
              </w:rPr>
            </w:pPr>
            <w:r w:rsidRPr="00FD6281">
              <w:rPr>
                <w:rFonts w:ascii="Arial Narrow" w:hAnsi="Arial Narrow" w:cs="Times New Roman"/>
                <w:sz w:val="20"/>
                <w:szCs w:val="20"/>
              </w:rPr>
              <w:t>Cost-effectiveness</w:t>
            </w:r>
          </w:p>
          <w:p w14:paraId="3F2A07CF" w14:textId="77777777" w:rsidR="00AE079B" w:rsidRPr="00FD6281" w:rsidRDefault="00AE079B" w:rsidP="005E01EA">
            <w:pPr>
              <w:keepNext/>
              <w:keepLines/>
              <w:numPr>
                <w:ilvl w:val="0"/>
                <w:numId w:val="14"/>
              </w:numPr>
              <w:spacing w:before="0"/>
              <w:rPr>
                <w:rFonts w:ascii="Arial Narrow" w:hAnsi="Arial Narrow" w:cs="Times New Roman"/>
                <w:b/>
                <w:bCs/>
                <w:sz w:val="20"/>
                <w:szCs w:val="20"/>
                <w:lang w:val="en-AU"/>
              </w:rPr>
            </w:pPr>
            <w:r w:rsidRPr="00F512E6">
              <w:rPr>
                <w:rFonts w:ascii="Arial Narrow" w:hAnsi="Arial Narrow" w:cs="Times New Roman"/>
                <w:sz w:val="20"/>
                <w:szCs w:val="20"/>
              </w:rPr>
              <w:t>Total Australian Government health care costs</w:t>
            </w:r>
          </w:p>
        </w:tc>
      </w:tr>
      <w:tr w:rsidR="00F8380C" w:rsidRPr="00F75B64" w14:paraId="5DDA79F6" w14:textId="77777777" w:rsidTr="00FD3B16">
        <w:trPr>
          <w:trHeight w:val="20"/>
        </w:trPr>
        <w:tc>
          <w:tcPr>
            <w:tcW w:w="9736" w:type="dxa"/>
            <w:gridSpan w:val="3"/>
          </w:tcPr>
          <w:p w14:paraId="520418AE" w14:textId="77777777" w:rsidR="00AE079B" w:rsidRPr="001D0528" w:rsidRDefault="00AE079B" w:rsidP="000150E9">
            <w:pPr>
              <w:keepNext/>
              <w:keepLines/>
              <w:spacing w:before="0"/>
              <w:rPr>
                <w:rFonts w:ascii="Arial Narrow" w:hAnsi="Arial Narrow" w:cs="Times New Roman"/>
                <w:b/>
                <w:bCs/>
                <w:sz w:val="20"/>
                <w:szCs w:val="20"/>
              </w:rPr>
            </w:pPr>
            <w:r w:rsidRPr="001D0528">
              <w:rPr>
                <w:rFonts w:ascii="Arial Narrow" w:hAnsi="Arial Narrow" w:cs="Times New Roman"/>
                <w:b/>
                <w:sz w:val="20"/>
                <w:szCs w:val="20"/>
              </w:rPr>
              <w:t>Systematic review questions:</w:t>
            </w:r>
          </w:p>
          <w:p w14:paraId="0233A654" w14:textId="77777777" w:rsidR="00AE079B" w:rsidRPr="006B44CA" w:rsidRDefault="00AE079B" w:rsidP="000150E9">
            <w:pPr>
              <w:keepNext/>
              <w:keepLines/>
              <w:spacing w:before="0"/>
              <w:rPr>
                <w:rFonts w:ascii="Arial Narrow" w:hAnsi="Arial Narrow" w:cs="Times New Roman"/>
                <w:sz w:val="20"/>
                <w:szCs w:val="20"/>
              </w:rPr>
            </w:pPr>
            <w:r w:rsidRPr="006B44CA">
              <w:rPr>
                <w:rFonts w:ascii="Arial Narrow" w:hAnsi="Arial Narrow" w:cs="Times New Roman"/>
                <w:sz w:val="20"/>
                <w:szCs w:val="20"/>
              </w:rPr>
              <w:t>Test performance</w:t>
            </w:r>
          </w:p>
          <w:p w14:paraId="12809333" w14:textId="77777777" w:rsidR="00AE079B" w:rsidRPr="001D0528" w:rsidRDefault="00AE079B" w:rsidP="005E01EA">
            <w:pPr>
              <w:keepNext/>
              <w:keepLines/>
              <w:numPr>
                <w:ilvl w:val="0"/>
                <w:numId w:val="10"/>
              </w:numPr>
              <w:spacing w:before="0"/>
              <w:rPr>
                <w:rFonts w:ascii="Arial Narrow" w:hAnsi="Arial Narrow" w:cs="Times New Roman"/>
                <w:sz w:val="20"/>
                <w:szCs w:val="20"/>
                <w:lang w:val="en-AU"/>
              </w:rPr>
            </w:pPr>
            <w:r w:rsidRPr="001D0528">
              <w:rPr>
                <w:rFonts w:ascii="Arial Narrow" w:hAnsi="Arial Narrow" w:cs="Times New Roman"/>
                <w:sz w:val="20"/>
                <w:szCs w:val="20"/>
              </w:rPr>
              <w:t>What is the diagnostic accuracy of VCTE compared to the reference standard liver biopsy in identifying advanced fibrosis in patients who have MAFLD?</w:t>
            </w:r>
          </w:p>
          <w:p w14:paraId="17EA074F" w14:textId="20AD0DF3" w:rsidR="00AE079B" w:rsidRPr="001D0528" w:rsidRDefault="00AE079B" w:rsidP="005E01EA">
            <w:pPr>
              <w:keepNext/>
              <w:keepLines/>
              <w:numPr>
                <w:ilvl w:val="0"/>
                <w:numId w:val="10"/>
              </w:numPr>
              <w:spacing w:before="0"/>
              <w:rPr>
                <w:rFonts w:ascii="Arial Narrow" w:hAnsi="Arial Narrow" w:cs="Times New Roman"/>
                <w:sz w:val="20"/>
                <w:szCs w:val="20"/>
                <w:lang w:val="en-AU"/>
              </w:rPr>
            </w:pPr>
            <w:r w:rsidRPr="001D0528">
              <w:rPr>
                <w:rFonts w:ascii="Arial Narrow" w:hAnsi="Arial Narrow" w:cs="Times New Roman"/>
                <w:sz w:val="20"/>
                <w:szCs w:val="20"/>
              </w:rPr>
              <w:t>What is the diagnostic accuracy of VCTE compared to SOC as a second-line test to identify patients with advanced fibrosis in primary and specialist care?</w:t>
            </w:r>
          </w:p>
          <w:p w14:paraId="08270EE2" w14:textId="77777777" w:rsidR="00AE079B" w:rsidRPr="006B44CA" w:rsidRDefault="00AE079B" w:rsidP="000150E9">
            <w:pPr>
              <w:keepNext/>
              <w:keepLines/>
              <w:spacing w:before="0"/>
              <w:rPr>
                <w:rFonts w:ascii="Arial Narrow" w:hAnsi="Arial Narrow" w:cs="Times New Roman"/>
                <w:sz w:val="20"/>
                <w:szCs w:val="20"/>
              </w:rPr>
            </w:pPr>
            <w:r w:rsidRPr="006B44CA">
              <w:rPr>
                <w:rFonts w:ascii="Arial Narrow" w:hAnsi="Arial Narrow" w:cs="Times New Roman"/>
                <w:sz w:val="20"/>
                <w:szCs w:val="20"/>
              </w:rPr>
              <w:t>Change in management</w:t>
            </w:r>
          </w:p>
          <w:p w14:paraId="5D72BBE2" w14:textId="77777777" w:rsidR="00AE079B" w:rsidRPr="001D0528" w:rsidRDefault="00AE079B" w:rsidP="005E01EA">
            <w:pPr>
              <w:keepNext/>
              <w:keepLines/>
              <w:numPr>
                <w:ilvl w:val="0"/>
                <w:numId w:val="10"/>
              </w:numPr>
              <w:spacing w:before="0"/>
              <w:rPr>
                <w:rFonts w:ascii="Arial Narrow" w:hAnsi="Arial Narrow" w:cs="Times New Roman"/>
                <w:sz w:val="20"/>
                <w:szCs w:val="20"/>
                <w:lang w:val="en-AU"/>
              </w:rPr>
            </w:pPr>
            <w:r w:rsidRPr="001D0528">
              <w:rPr>
                <w:rFonts w:ascii="Arial Narrow" w:hAnsi="Arial Narrow" w:cs="Times New Roman"/>
                <w:sz w:val="20"/>
                <w:szCs w:val="20"/>
              </w:rPr>
              <w:t>Does the availability of new information from a VCTE test result in a change in management to the patients (Impact on specialist referrals, HCC surveillance, diabetes management, lifestyle intervention)</w:t>
            </w:r>
          </w:p>
          <w:p w14:paraId="02887C73" w14:textId="09E16651" w:rsidR="00AE079B" w:rsidRPr="001D0528" w:rsidRDefault="00AE079B" w:rsidP="005E01EA">
            <w:pPr>
              <w:keepNext/>
              <w:keepLines/>
              <w:numPr>
                <w:ilvl w:val="0"/>
                <w:numId w:val="10"/>
              </w:numPr>
              <w:spacing w:before="0"/>
              <w:rPr>
                <w:rFonts w:ascii="Arial Narrow" w:hAnsi="Arial Narrow" w:cs="Times New Roman"/>
                <w:sz w:val="20"/>
                <w:szCs w:val="20"/>
                <w:lang w:val="en-AU"/>
              </w:rPr>
            </w:pPr>
            <w:r w:rsidRPr="001D0528">
              <w:rPr>
                <w:rFonts w:ascii="Arial Narrow" w:hAnsi="Arial Narrow" w:cs="Times New Roman"/>
                <w:sz w:val="20"/>
                <w:szCs w:val="20"/>
              </w:rPr>
              <w:t>Does VCTE enable better time to access to care and patient adherence?</w:t>
            </w:r>
          </w:p>
          <w:p w14:paraId="491B0871" w14:textId="77777777" w:rsidR="00AE079B" w:rsidRPr="006B44CA" w:rsidRDefault="00AE079B" w:rsidP="000150E9">
            <w:pPr>
              <w:keepNext/>
              <w:keepLines/>
              <w:spacing w:before="0"/>
              <w:rPr>
                <w:rFonts w:ascii="Arial Narrow" w:hAnsi="Arial Narrow" w:cs="Times New Roman"/>
                <w:sz w:val="20"/>
                <w:szCs w:val="20"/>
                <w:lang w:val="en-AU"/>
              </w:rPr>
            </w:pPr>
            <w:r w:rsidRPr="006B44CA">
              <w:rPr>
                <w:rFonts w:ascii="Arial Narrow" w:hAnsi="Arial Narrow" w:cs="Times New Roman"/>
                <w:sz w:val="20"/>
                <w:szCs w:val="20"/>
              </w:rPr>
              <w:t>Health outcomes (to be assessed if there is a change in diagnosis, timing of diagnosis or treatment, or patient behaviour; health outcomes inferred to be non-inferior if no changes)</w:t>
            </w:r>
          </w:p>
          <w:p w14:paraId="326AB3AB" w14:textId="3F6F1BF7" w:rsidR="00AE079B" w:rsidRPr="001D0528" w:rsidRDefault="00AE079B" w:rsidP="005E01EA">
            <w:pPr>
              <w:keepNext/>
              <w:keepLines/>
              <w:numPr>
                <w:ilvl w:val="0"/>
                <w:numId w:val="10"/>
              </w:numPr>
              <w:spacing w:before="0"/>
              <w:rPr>
                <w:rFonts w:ascii="Arial Narrow" w:hAnsi="Arial Narrow" w:cs="Times New Roman"/>
                <w:sz w:val="20"/>
                <w:szCs w:val="20"/>
                <w:lang w:val="en-AU"/>
              </w:rPr>
            </w:pPr>
            <w:r w:rsidRPr="001D0528">
              <w:rPr>
                <w:rFonts w:ascii="Arial Narrow" w:hAnsi="Arial Narrow" w:cs="Times New Roman"/>
                <w:sz w:val="20"/>
                <w:szCs w:val="20"/>
              </w:rPr>
              <w:t>How do the changes in management, resulting from the use of VCTE in primary and specialist care impact health outcomes for patients with MAFLD?</w:t>
            </w:r>
          </w:p>
          <w:p w14:paraId="427B87DB" w14:textId="77777777" w:rsidR="00AE079B" w:rsidRPr="006B44CA" w:rsidRDefault="00AE079B" w:rsidP="000150E9">
            <w:pPr>
              <w:keepNext/>
              <w:keepLines/>
              <w:spacing w:before="0"/>
              <w:rPr>
                <w:rFonts w:ascii="Arial Narrow" w:hAnsi="Arial Narrow" w:cs="Times New Roman"/>
                <w:sz w:val="20"/>
                <w:szCs w:val="20"/>
                <w:lang w:val="en-AU"/>
              </w:rPr>
            </w:pPr>
            <w:r w:rsidRPr="006B44CA">
              <w:rPr>
                <w:rFonts w:ascii="Arial Narrow" w:hAnsi="Arial Narrow" w:cs="Times New Roman"/>
                <w:sz w:val="20"/>
                <w:szCs w:val="20"/>
              </w:rPr>
              <w:t>Cost-effectiveness</w:t>
            </w:r>
          </w:p>
          <w:p w14:paraId="1817A325" w14:textId="77777777" w:rsidR="00AE079B" w:rsidRPr="00FD6281" w:rsidRDefault="00AE079B" w:rsidP="000150E9">
            <w:pPr>
              <w:keepNext/>
              <w:keepLines/>
              <w:spacing w:before="0"/>
              <w:rPr>
                <w:rFonts w:ascii="Arial Narrow" w:hAnsi="Arial Narrow" w:cs="Times New Roman"/>
                <w:b/>
                <w:bCs/>
                <w:sz w:val="20"/>
                <w:szCs w:val="20"/>
                <w:lang w:val="en-AU"/>
              </w:rPr>
            </w:pPr>
            <w:r w:rsidRPr="001D0528">
              <w:rPr>
                <w:rFonts w:ascii="Arial Narrow" w:hAnsi="Arial Narrow" w:cs="Times New Roman"/>
                <w:sz w:val="20"/>
                <w:szCs w:val="20"/>
              </w:rPr>
              <w:t>What is the cost-effectiveness of the use of VCTE in primary and specialist care compared to the current SOC in managing MAFLD patients</w:t>
            </w:r>
          </w:p>
        </w:tc>
      </w:tr>
    </w:tbl>
    <w:p w14:paraId="2C18899A" w14:textId="77777777" w:rsidR="003A0848" w:rsidRDefault="00C91A4D" w:rsidP="000150E9">
      <w:pPr>
        <w:pStyle w:val="Instructionaltext"/>
        <w:keepNext/>
        <w:keepLines/>
        <w:spacing w:before="0" w:after="0"/>
        <w:rPr>
          <w:rFonts w:ascii="Arial Narrow" w:hAnsi="Arial Narrow"/>
          <w:color w:val="auto"/>
          <w:sz w:val="18"/>
          <w:szCs w:val="18"/>
        </w:rPr>
      </w:pPr>
      <w:r w:rsidRPr="003A0848">
        <w:rPr>
          <w:rFonts w:ascii="Arial Narrow" w:hAnsi="Arial Narrow"/>
          <w:color w:val="auto"/>
          <w:sz w:val="18"/>
          <w:szCs w:val="18"/>
        </w:rPr>
        <w:t>Abbreviations: Abbreviations: AST, aspartate aminotransferase; ALT, alanine aminotransferase; FIB-4, Fibrosis- 4; MAFLD, metabolic dysfunction-associated fatty liver disease; SOC, standard of care; VCTE, vibration-controlled transient elastography</w:t>
      </w:r>
      <w:r w:rsidR="00C759C7" w:rsidRPr="003A0848">
        <w:rPr>
          <w:rFonts w:ascii="Arial Narrow" w:hAnsi="Arial Narrow"/>
          <w:color w:val="auto"/>
          <w:sz w:val="18"/>
          <w:szCs w:val="18"/>
        </w:rPr>
        <w:t xml:space="preserve">. </w:t>
      </w:r>
    </w:p>
    <w:p w14:paraId="71115B3B" w14:textId="41E5E896" w:rsidR="003A0848" w:rsidRDefault="00C91A4D" w:rsidP="000150E9">
      <w:pPr>
        <w:pStyle w:val="Instructionaltext"/>
        <w:keepNext/>
        <w:keepLines/>
        <w:spacing w:before="0" w:after="0"/>
        <w:rPr>
          <w:rFonts w:ascii="Arial Narrow" w:hAnsi="Arial Narrow"/>
          <w:color w:val="auto"/>
          <w:sz w:val="18"/>
          <w:szCs w:val="18"/>
        </w:rPr>
      </w:pPr>
      <w:r w:rsidRPr="003A0848">
        <w:rPr>
          <w:rFonts w:ascii="Arial Narrow" w:hAnsi="Arial Narrow"/>
          <w:color w:val="auto"/>
          <w:sz w:val="18"/>
          <w:szCs w:val="18"/>
        </w:rPr>
        <w:t>†Noting that this includes those with a FIB-4 score &gt; 2.7, in line with PICO Confirmation Advisory Sub-Committee (PASC) advice that it is reasonable to include this group of patients in the proposed population.</w:t>
      </w:r>
      <w:r w:rsidR="00C759C7" w:rsidRPr="003A0848">
        <w:rPr>
          <w:rFonts w:ascii="Arial Narrow" w:hAnsi="Arial Narrow"/>
          <w:color w:val="auto"/>
          <w:sz w:val="18"/>
          <w:szCs w:val="18"/>
        </w:rPr>
        <w:t xml:space="preserve"> </w:t>
      </w:r>
    </w:p>
    <w:p w14:paraId="5805E3E3" w14:textId="39E714AF" w:rsidR="00AE079B" w:rsidRPr="003A0848" w:rsidRDefault="00C91A4D" w:rsidP="000150E9">
      <w:pPr>
        <w:pStyle w:val="Instructionaltext"/>
        <w:keepNext/>
        <w:keepLines/>
        <w:spacing w:before="0" w:after="0"/>
        <w:rPr>
          <w:rFonts w:ascii="Arial Narrow" w:hAnsi="Arial Narrow"/>
          <w:color w:val="auto"/>
          <w:sz w:val="18"/>
          <w:szCs w:val="18"/>
        </w:rPr>
      </w:pPr>
      <w:r w:rsidRPr="003A0848">
        <w:rPr>
          <w:rFonts w:ascii="Arial Narrow" w:hAnsi="Arial Narrow"/>
          <w:color w:val="auto"/>
          <w:sz w:val="18"/>
          <w:szCs w:val="18"/>
        </w:rPr>
        <w:t>Source: ADAR, table 1</w:t>
      </w:r>
    </w:p>
    <w:p w14:paraId="5E993D4E" w14:textId="77777777" w:rsidR="00D6138D" w:rsidRPr="00FD3B16" w:rsidRDefault="00D6138D" w:rsidP="00D6138D">
      <w:pPr>
        <w:pStyle w:val="Instructionaltext"/>
        <w:rPr>
          <w:color w:val="auto"/>
        </w:rPr>
      </w:pPr>
      <w:r w:rsidRPr="00FD3B16">
        <w:rPr>
          <w:color w:val="auto"/>
        </w:rPr>
        <w:t>PASC advised that the evaluation should demonstrate evidence along the full linked evidence chain, showing how VCTE use leads to changes in clinical management and, ultimately, patient outcomes. PASC also highlighted the need to assess safety (e.g., misclassification risks), equity, and to ensure that economic modelling was grounded in demonstrated clinical benefit.</w:t>
      </w:r>
    </w:p>
    <w:p w14:paraId="37D1C9F4" w14:textId="473B1622" w:rsidR="00D6138D" w:rsidRPr="00FD3B16" w:rsidRDefault="00D6138D" w:rsidP="00D6138D">
      <w:pPr>
        <w:pStyle w:val="Instructionaltext"/>
        <w:rPr>
          <w:color w:val="auto"/>
        </w:rPr>
      </w:pPr>
      <w:r w:rsidRPr="00FD3B16">
        <w:rPr>
          <w:color w:val="auto"/>
        </w:rPr>
        <w:t xml:space="preserve">In contrast, while the ADAR suggested general benefits such as reduced </w:t>
      </w:r>
      <w:r w:rsidR="005C2FD0">
        <w:rPr>
          <w:color w:val="auto"/>
        </w:rPr>
        <w:t xml:space="preserve">specialist </w:t>
      </w:r>
      <w:r w:rsidRPr="00FD3B16">
        <w:rPr>
          <w:color w:val="auto"/>
        </w:rPr>
        <w:t>referrals and improved access, the evidence provided was insufficient to satisfy the linked evidence approach. Specifically, evidence for change in management was limited</w:t>
      </w:r>
      <w:r w:rsidR="00B626E9">
        <w:rPr>
          <w:color w:val="auto"/>
        </w:rPr>
        <w:t xml:space="preserve"> to referral pathways only</w:t>
      </w:r>
      <w:r w:rsidRPr="00FD3B16">
        <w:rPr>
          <w:color w:val="auto"/>
        </w:rPr>
        <w:t xml:space="preserve">, and there was no evidence review of the final link from change in management to improved health outcomes. Similarly, the ADAR did not address potential harms or safety concerns. Thus, while </w:t>
      </w:r>
      <w:r w:rsidR="00C36CD9">
        <w:rPr>
          <w:color w:val="auto"/>
        </w:rPr>
        <w:t>the ADAR</w:t>
      </w:r>
      <w:r w:rsidRPr="00FD3B16">
        <w:rPr>
          <w:color w:val="auto"/>
        </w:rPr>
        <w:t xml:space="preserve"> sought to evaluate the utility of VCTE in assessing advanced fibrosis in patients with MAFLD, </w:t>
      </w:r>
      <w:r w:rsidR="00AE0822">
        <w:rPr>
          <w:color w:val="auto"/>
        </w:rPr>
        <w:t>it</w:t>
      </w:r>
      <w:r w:rsidRPr="00FD3B16">
        <w:rPr>
          <w:color w:val="auto"/>
        </w:rPr>
        <w:t xml:space="preserve"> did not fully address the evidentiary scope and outcome requirements set out by PASC.</w:t>
      </w:r>
    </w:p>
    <w:p w14:paraId="21D3DF16" w14:textId="692B3C98" w:rsidR="00194611" w:rsidRPr="00FD3B16" w:rsidRDefault="00194611" w:rsidP="00194611">
      <w:pPr>
        <w:pStyle w:val="Instructionaltext"/>
        <w:rPr>
          <w:color w:val="auto"/>
        </w:rPr>
      </w:pPr>
      <w:r w:rsidRPr="00FD3B16">
        <w:rPr>
          <w:color w:val="auto"/>
        </w:rPr>
        <w:lastRenderedPageBreak/>
        <w:t xml:space="preserve">The ADAR did not provide sufficient linked evidence to support claims of change in management. Key limitations included use of ineligible populations (Tulleners 2024 -included a substantial proportion of patients with FIB-4 &lt;1.3, who would not be eligible for second line VCTE under the proposed item descriptor), absence of </w:t>
      </w:r>
      <w:r w:rsidR="00B626E9">
        <w:rPr>
          <w:color w:val="auto"/>
        </w:rPr>
        <w:t xml:space="preserve">studies of </w:t>
      </w:r>
      <w:r w:rsidRPr="00FD3B16">
        <w:rPr>
          <w:color w:val="auto"/>
        </w:rPr>
        <w:t>sequential testing with FIB-4 followed by VCTE (Tulleners 2024, Hayward 2022), lack of an appropriate comparator (Hayward 2022), and application of non-aligned VCTE thresholds (Mozes 2022). While some studies suggested potential effects on referral patterns, no evidence review linked these changes to improved patient outcomes. Collectively, these gaps left the linked evidence chain incomplete and prevented conclusions about the incremental benefit of VCT</w:t>
      </w:r>
      <w:r w:rsidR="00DA3151">
        <w:rPr>
          <w:color w:val="auto"/>
        </w:rPr>
        <w:t>E</w:t>
      </w:r>
      <w:r w:rsidR="00262D25" w:rsidRPr="00FD3B16">
        <w:rPr>
          <w:color w:val="auto"/>
        </w:rPr>
        <w:t>.</w:t>
      </w:r>
    </w:p>
    <w:p w14:paraId="5FAD363B" w14:textId="6EFD08B3" w:rsidR="00262D25" w:rsidRPr="00FD3B16" w:rsidRDefault="00262D25" w:rsidP="00194611">
      <w:pPr>
        <w:pStyle w:val="Instructionaltext"/>
        <w:rPr>
          <w:color w:val="auto"/>
        </w:rPr>
      </w:pPr>
      <w:r w:rsidRPr="00FD3B16">
        <w:rPr>
          <w:color w:val="auto"/>
        </w:rPr>
        <w:t xml:space="preserve">The ADAR assessed VCTE’s clinical value primarily through improved diagnostic accuracy and timeliness following FIB-4, assuming this would inform management decisions. It did not directly evaluate downstream health outcomes, instead suggesting that earlier identification could potentially reduce future complications. From an HTA perspective, this approach is incomplete—by implying superior outcomes without directly linking evidence to health benefits, the ADAR does not fully meet </w:t>
      </w:r>
      <w:r w:rsidR="00A06914">
        <w:rPr>
          <w:color w:val="auto"/>
        </w:rPr>
        <w:t xml:space="preserve">the </w:t>
      </w:r>
      <w:r w:rsidRPr="00FD3B16">
        <w:rPr>
          <w:color w:val="auto"/>
        </w:rPr>
        <w:t>MSAC</w:t>
      </w:r>
      <w:r w:rsidR="00A06914">
        <w:rPr>
          <w:color w:val="auto"/>
        </w:rPr>
        <w:t xml:space="preserve"> </w:t>
      </w:r>
      <w:r w:rsidR="00A17F15">
        <w:rPr>
          <w:color w:val="auto"/>
        </w:rPr>
        <w:t>guidelines</w:t>
      </w:r>
      <w:r w:rsidR="00A17F15" w:rsidRPr="00FD3B16">
        <w:rPr>
          <w:color w:val="auto"/>
        </w:rPr>
        <w:t xml:space="preserve"> </w:t>
      </w:r>
      <w:r w:rsidR="00A17F15">
        <w:rPr>
          <w:color w:val="auto"/>
        </w:rPr>
        <w:t>detailed in</w:t>
      </w:r>
      <w:r w:rsidRPr="00FD3B16">
        <w:rPr>
          <w:color w:val="auto"/>
        </w:rPr>
        <w:t xml:space="preserve"> T</w:t>
      </w:r>
      <w:r w:rsidR="00A17F15">
        <w:rPr>
          <w:color w:val="auto"/>
        </w:rPr>
        <w:t xml:space="preserve">echnical </w:t>
      </w:r>
      <w:r w:rsidRPr="00FD3B16">
        <w:rPr>
          <w:color w:val="auto"/>
        </w:rPr>
        <w:t>G</w:t>
      </w:r>
      <w:r w:rsidR="00A17F15">
        <w:rPr>
          <w:color w:val="auto"/>
        </w:rPr>
        <w:t>uidance</w:t>
      </w:r>
      <w:r w:rsidRPr="00FD3B16">
        <w:rPr>
          <w:color w:val="auto"/>
        </w:rPr>
        <w:t xml:space="preserve"> 9</w:t>
      </w:r>
      <w:r w:rsidR="00622FD7">
        <w:rPr>
          <w:color w:val="auto"/>
        </w:rPr>
        <w:t xml:space="preserve"> (Assessment framework)</w:t>
      </w:r>
      <w:r w:rsidRPr="00FD3B16">
        <w:rPr>
          <w:color w:val="auto"/>
        </w:rPr>
        <w:t>.</w:t>
      </w:r>
    </w:p>
    <w:p w14:paraId="66BDFCC1" w14:textId="1943B0BB" w:rsidR="00772829" w:rsidRPr="00CE28E3" w:rsidRDefault="0018750D" w:rsidP="002A18BE">
      <w:pPr>
        <w:pStyle w:val="Heading2"/>
        <w:numPr>
          <w:ilvl w:val="0"/>
          <w:numId w:val="0"/>
        </w:numPr>
      </w:pPr>
      <w:bookmarkStart w:id="24" w:name="_Toc69491420"/>
      <w:r>
        <w:t>8</w:t>
      </w:r>
      <w:r w:rsidR="00C36633">
        <w:t>.</w:t>
      </w:r>
      <w:r w:rsidR="00C36633">
        <w:tab/>
      </w:r>
      <w:r w:rsidR="00772829" w:rsidRPr="00CE28E3">
        <w:t>Comparator</w:t>
      </w:r>
      <w:bookmarkEnd w:id="24"/>
    </w:p>
    <w:p w14:paraId="6476C400" w14:textId="0BA82674" w:rsidR="00682A37" w:rsidRPr="00FD3B16" w:rsidRDefault="00682A37" w:rsidP="00F20164">
      <w:pPr>
        <w:pStyle w:val="Guidelinescross-ref"/>
        <w:rPr>
          <w:b w:val="0"/>
          <w:color w:val="auto"/>
          <w:sz w:val="22"/>
        </w:rPr>
      </w:pPr>
      <w:r w:rsidRPr="00DA3151">
        <w:rPr>
          <w:b w:val="0"/>
          <w:color w:val="auto"/>
          <w:sz w:val="22"/>
        </w:rPr>
        <w:t xml:space="preserve">The ADAR identified standard of care (SOC) as an appropriate comparator, but </w:t>
      </w:r>
      <w:r w:rsidR="004749A8">
        <w:rPr>
          <w:b w:val="0"/>
          <w:color w:val="auto"/>
          <w:sz w:val="22"/>
        </w:rPr>
        <w:t>in practice</w:t>
      </w:r>
      <w:r w:rsidR="007B0F67">
        <w:rPr>
          <w:b w:val="0"/>
          <w:color w:val="auto"/>
          <w:sz w:val="22"/>
        </w:rPr>
        <w:t>,</w:t>
      </w:r>
      <w:r w:rsidR="004749A8">
        <w:rPr>
          <w:b w:val="0"/>
          <w:color w:val="auto"/>
          <w:sz w:val="22"/>
        </w:rPr>
        <w:t xml:space="preserve"> </w:t>
      </w:r>
      <w:r w:rsidRPr="00DA3151">
        <w:rPr>
          <w:b w:val="0"/>
          <w:color w:val="auto"/>
          <w:sz w:val="22"/>
        </w:rPr>
        <w:t xml:space="preserve">the actual components of SOC </w:t>
      </w:r>
      <w:r w:rsidR="004749A8">
        <w:rPr>
          <w:b w:val="0"/>
          <w:color w:val="auto"/>
          <w:sz w:val="22"/>
        </w:rPr>
        <w:t xml:space="preserve">may </w:t>
      </w:r>
      <w:r w:rsidRPr="00DA3151">
        <w:rPr>
          <w:b w:val="0"/>
          <w:color w:val="auto"/>
          <w:sz w:val="22"/>
        </w:rPr>
        <w:t xml:space="preserve">vary. In the primary care setting, </w:t>
      </w:r>
      <w:r w:rsidR="002D7CF6">
        <w:rPr>
          <w:b w:val="0"/>
          <w:color w:val="auto"/>
          <w:sz w:val="22"/>
        </w:rPr>
        <w:t>the ADAR stated that</w:t>
      </w:r>
      <w:r w:rsidRPr="00DA3151">
        <w:rPr>
          <w:b w:val="0"/>
          <w:color w:val="auto"/>
          <w:sz w:val="22"/>
        </w:rPr>
        <w:t xml:space="preserve"> SOC may involve referral to a specialist, or continued management within the primary care setting without referral</w:t>
      </w:r>
      <w:r w:rsidR="00966436">
        <w:rPr>
          <w:b w:val="0"/>
          <w:color w:val="auto"/>
          <w:sz w:val="22"/>
        </w:rPr>
        <w:t xml:space="preserve"> or second line testing with ultrasound</w:t>
      </w:r>
      <w:r w:rsidRPr="00DA3151">
        <w:rPr>
          <w:b w:val="0"/>
          <w:color w:val="auto"/>
          <w:sz w:val="22"/>
        </w:rPr>
        <w:t xml:space="preserve">. </w:t>
      </w:r>
      <w:r w:rsidR="000D1012">
        <w:rPr>
          <w:b w:val="0"/>
          <w:color w:val="auto"/>
          <w:sz w:val="22"/>
        </w:rPr>
        <w:t>SOC</w:t>
      </w:r>
      <w:r w:rsidRPr="00DA3151">
        <w:rPr>
          <w:b w:val="0"/>
          <w:color w:val="auto"/>
          <w:sz w:val="22"/>
        </w:rPr>
        <w:t xml:space="preserve"> may also include the use of other non-funded tests. In specialist settings, </w:t>
      </w:r>
      <w:r w:rsidR="000D1012">
        <w:rPr>
          <w:b w:val="0"/>
          <w:color w:val="auto"/>
          <w:sz w:val="22"/>
        </w:rPr>
        <w:t xml:space="preserve">the ADAR stated that </w:t>
      </w:r>
      <w:r w:rsidRPr="00DA3151">
        <w:rPr>
          <w:b w:val="0"/>
          <w:color w:val="auto"/>
          <w:sz w:val="22"/>
        </w:rPr>
        <w:t xml:space="preserve">SOC may include </w:t>
      </w:r>
      <w:r w:rsidR="000D1012">
        <w:rPr>
          <w:b w:val="0"/>
          <w:color w:val="auto"/>
          <w:sz w:val="22"/>
        </w:rPr>
        <w:t>liver ultrasound</w:t>
      </w:r>
      <w:r w:rsidR="00F136AA">
        <w:rPr>
          <w:b w:val="0"/>
          <w:color w:val="auto"/>
          <w:sz w:val="22"/>
        </w:rPr>
        <w:t>,</w:t>
      </w:r>
      <w:r w:rsidR="000D1012">
        <w:rPr>
          <w:b w:val="0"/>
          <w:color w:val="auto"/>
          <w:sz w:val="22"/>
        </w:rPr>
        <w:t xml:space="preserve"> </w:t>
      </w:r>
      <w:r w:rsidRPr="00DA3151">
        <w:rPr>
          <w:b w:val="0"/>
          <w:color w:val="auto"/>
          <w:sz w:val="22"/>
        </w:rPr>
        <w:t>ongoing clinical management</w:t>
      </w:r>
      <w:r w:rsidR="00BE5FEA">
        <w:rPr>
          <w:b w:val="0"/>
          <w:color w:val="auto"/>
          <w:sz w:val="22"/>
        </w:rPr>
        <w:t>,</w:t>
      </w:r>
      <w:r w:rsidRPr="00DA3151">
        <w:rPr>
          <w:b w:val="0"/>
          <w:color w:val="auto"/>
          <w:sz w:val="22"/>
        </w:rPr>
        <w:t xml:space="preserve"> and the use of other non-reimbursed diagnostic tests for advanced fibrosis.</w:t>
      </w:r>
    </w:p>
    <w:p w14:paraId="08396404" w14:textId="3FCD7012" w:rsidR="006C693E" w:rsidRPr="00DA3151" w:rsidRDefault="00A2539C" w:rsidP="00F20164">
      <w:pPr>
        <w:pStyle w:val="Guidelinescross-ref"/>
        <w:rPr>
          <w:b w:val="0"/>
          <w:color w:val="auto"/>
          <w:sz w:val="22"/>
        </w:rPr>
      </w:pPr>
      <w:r>
        <w:rPr>
          <w:b w:val="0"/>
          <w:color w:val="auto"/>
          <w:sz w:val="22"/>
        </w:rPr>
        <w:t>The choice of</w:t>
      </w:r>
      <w:r w:rsidR="00930CEC" w:rsidRPr="00FD3B16">
        <w:rPr>
          <w:b w:val="0"/>
          <w:color w:val="auto"/>
          <w:sz w:val="22"/>
        </w:rPr>
        <w:t xml:space="preserve"> ‘standard of care’ (SOC) as the most suitable comparator</w:t>
      </w:r>
      <w:r>
        <w:rPr>
          <w:b w:val="0"/>
          <w:color w:val="auto"/>
          <w:sz w:val="22"/>
        </w:rPr>
        <w:t xml:space="preserve"> was in line with PASC advice. </w:t>
      </w:r>
      <w:r w:rsidR="00540AA3">
        <w:rPr>
          <w:b w:val="0"/>
          <w:color w:val="auto"/>
          <w:sz w:val="22"/>
        </w:rPr>
        <w:t xml:space="preserve">However, </w:t>
      </w:r>
      <w:r>
        <w:rPr>
          <w:b w:val="0"/>
          <w:color w:val="auto"/>
          <w:sz w:val="22"/>
        </w:rPr>
        <w:t>PASC also</w:t>
      </w:r>
      <w:r w:rsidR="00930CEC" w:rsidRPr="00FD3B16">
        <w:rPr>
          <w:b w:val="0"/>
          <w:color w:val="auto"/>
          <w:sz w:val="22"/>
        </w:rPr>
        <w:t xml:space="preserve"> stated that ultrasound </w:t>
      </w:r>
      <w:r w:rsidR="00F82484">
        <w:rPr>
          <w:b w:val="0"/>
          <w:color w:val="auto"/>
          <w:sz w:val="22"/>
        </w:rPr>
        <w:t>alone</w:t>
      </w:r>
      <w:r>
        <w:rPr>
          <w:b w:val="0"/>
          <w:color w:val="auto"/>
          <w:sz w:val="22"/>
        </w:rPr>
        <w:t xml:space="preserve"> (as proposed in the original application)</w:t>
      </w:r>
      <w:r w:rsidR="00F82484">
        <w:rPr>
          <w:b w:val="0"/>
          <w:color w:val="auto"/>
          <w:sz w:val="22"/>
        </w:rPr>
        <w:t xml:space="preserve"> </w:t>
      </w:r>
      <w:r>
        <w:rPr>
          <w:b w:val="0"/>
          <w:color w:val="auto"/>
          <w:sz w:val="22"/>
        </w:rPr>
        <w:t>wa</w:t>
      </w:r>
      <w:r w:rsidR="00930CEC" w:rsidRPr="00FD3B16">
        <w:rPr>
          <w:b w:val="0"/>
          <w:color w:val="auto"/>
          <w:sz w:val="22"/>
        </w:rPr>
        <w:t xml:space="preserve">s </w:t>
      </w:r>
      <w:r w:rsidR="24B6423E" w:rsidRPr="47C558CF">
        <w:rPr>
          <w:b w:val="0"/>
          <w:color w:val="auto"/>
          <w:sz w:val="22"/>
        </w:rPr>
        <w:t xml:space="preserve">not a </w:t>
      </w:r>
      <w:r w:rsidR="00930CEC" w:rsidRPr="00FD3B16">
        <w:rPr>
          <w:b w:val="0"/>
          <w:color w:val="auto"/>
          <w:sz w:val="22"/>
        </w:rPr>
        <w:t xml:space="preserve">suitable </w:t>
      </w:r>
      <w:r w:rsidR="00F82484">
        <w:rPr>
          <w:b w:val="0"/>
          <w:color w:val="auto"/>
          <w:sz w:val="22"/>
        </w:rPr>
        <w:t>comparator</w:t>
      </w:r>
      <w:r w:rsidR="00930CEC" w:rsidRPr="00FD3B16">
        <w:rPr>
          <w:b w:val="0"/>
          <w:color w:val="auto"/>
          <w:sz w:val="22"/>
        </w:rPr>
        <w:t xml:space="preserve"> </w:t>
      </w:r>
      <w:r w:rsidR="00C87872">
        <w:rPr>
          <w:b w:val="0"/>
          <w:color w:val="auto"/>
          <w:sz w:val="22"/>
        </w:rPr>
        <w:t xml:space="preserve">second-line </w:t>
      </w:r>
      <w:r w:rsidR="0005561B">
        <w:rPr>
          <w:b w:val="0"/>
          <w:color w:val="auto"/>
          <w:sz w:val="22"/>
        </w:rPr>
        <w:t xml:space="preserve">test </w:t>
      </w:r>
      <w:r w:rsidR="00930CEC" w:rsidRPr="00FD3B16">
        <w:rPr>
          <w:b w:val="0"/>
          <w:color w:val="auto"/>
          <w:sz w:val="22"/>
        </w:rPr>
        <w:t xml:space="preserve">due to its </w:t>
      </w:r>
      <w:r w:rsidR="00B626E9">
        <w:rPr>
          <w:b w:val="0"/>
          <w:color w:val="auto"/>
          <w:sz w:val="22"/>
        </w:rPr>
        <w:t>inability</w:t>
      </w:r>
      <w:r w:rsidR="00930CEC" w:rsidRPr="00FD3B16">
        <w:rPr>
          <w:b w:val="0"/>
          <w:color w:val="auto"/>
          <w:sz w:val="22"/>
        </w:rPr>
        <w:t xml:space="preserve"> to detect fibrosis</w:t>
      </w:r>
      <w:r w:rsidR="000B0B4C">
        <w:rPr>
          <w:b w:val="0"/>
          <w:color w:val="auto"/>
          <w:sz w:val="22"/>
        </w:rPr>
        <w:t xml:space="preserve"> </w:t>
      </w:r>
      <w:r w:rsidR="000B0B4C" w:rsidRPr="000B0B4C">
        <w:rPr>
          <w:b w:val="0"/>
          <w:color w:val="auto"/>
          <w:sz w:val="22"/>
        </w:rPr>
        <w:t xml:space="preserve">(1797 </w:t>
      </w:r>
      <w:r w:rsidR="000B0B4C">
        <w:rPr>
          <w:b w:val="0"/>
          <w:color w:val="auto"/>
          <w:sz w:val="22"/>
        </w:rPr>
        <w:t xml:space="preserve">Ratified </w:t>
      </w:r>
      <w:r w:rsidR="000B0B4C" w:rsidRPr="000B0B4C">
        <w:rPr>
          <w:b w:val="0"/>
          <w:color w:val="auto"/>
          <w:sz w:val="22"/>
        </w:rPr>
        <w:t>PICO Confirmation, p.</w:t>
      </w:r>
      <w:r w:rsidR="000B0B4C">
        <w:rPr>
          <w:b w:val="0"/>
          <w:color w:val="auto"/>
          <w:sz w:val="22"/>
        </w:rPr>
        <w:t xml:space="preserve"> </w:t>
      </w:r>
      <w:r w:rsidR="000B0B4C" w:rsidRPr="000B0B4C">
        <w:rPr>
          <w:b w:val="0"/>
          <w:color w:val="auto"/>
          <w:sz w:val="22"/>
        </w:rPr>
        <w:t>21)</w:t>
      </w:r>
      <w:r w:rsidR="00930CEC" w:rsidRPr="00FD3B16">
        <w:rPr>
          <w:b w:val="0"/>
          <w:color w:val="auto"/>
          <w:sz w:val="22"/>
        </w:rPr>
        <w:t xml:space="preserve">. This aligns with the GESA MAFLD Consensus Statement, which does not recommend ultrasound as a second-line test, and with MBS rules that restrict ultrasound use to morphological imaging rather than elastography. Nevertheless, ultrasound was the </w:t>
      </w:r>
      <w:r w:rsidR="00C44600">
        <w:rPr>
          <w:b w:val="0"/>
          <w:color w:val="auto"/>
          <w:sz w:val="22"/>
        </w:rPr>
        <w:t>primary component of the</w:t>
      </w:r>
      <w:r w:rsidR="00930CEC" w:rsidRPr="00FD3B16">
        <w:rPr>
          <w:b w:val="0"/>
          <w:color w:val="auto"/>
          <w:sz w:val="22"/>
        </w:rPr>
        <w:t xml:space="preserve"> comparator in the ADAR’s economic evaluation, which was inappropriate. </w:t>
      </w:r>
    </w:p>
    <w:p w14:paraId="741C3622" w14:textId="25AB8C8E" w:rsidR="00AE4552" w:rsidRPr="000B0B4C" w:rsidRDefault="004C36C9" w:rsidP="00AE4552">
      <w:pPr>
        <w:pStyle w:val="Guidelinescross-ref"/>
        <w:rPr>
          <w:b w:val="0"/>
          <w:color w:val="auto"/>
          <w:sz w:val="22"/>
        </w:rPr>
      </w:pPr>
      <w:r>
        <w:rPr>
          <w:b w:val="0"/>
          <w:color w:val="auto"/>
          <w:sz w:val="22"/>
        </w:rPr>
        <w:t>T</w:t>
      </w:r>
      <w:r w:rsidR="00AE4552" w:rsidRPr="000B0B4C">
        <w:rPr>
          <w:b w:val="0"/>
          <w:color w:val="auto"/>
          <w:sz w:val="22"/>
        </w:rPr>
        <w:t>he 2024 Australian MAFLD Consensus Statement recommends a technology-agnostic approach to second-line testing following indeterminate FIB-4 results, including VCTE, SWE, Hepascore, or ELF</w:t>
      </w:r>
      <w:r w:rsidR="00926538">
        <w:rPr>
          <w:b w:val="0"/>
          <w:color w:val="auto"/>
          <w:sz w:val="22"/>
        </w:rPr>
        <w:t xml:space="preserve"> </w:t>
      </w:r>
      <w:r w:rsidR="00017CCF">
        <w:rPr>
          <w:b w:val="0"/>
          <w:color w:val="auto"/>
          <w:sz w:val="22"/>
        </w:rPr>
        <w:t>–</w:t>
      </w:r>
      <w:r w:rsidR="001B1821">
        <w:rPr>
          <w:b w:val="0"/>
          <w:color w:val="auto"/>
          <w:sz w:val="22"/>
        </w:rPr>
        <w:t xml:space="preserve"> </w:t>
      </w:r>
      <w:r w:rsidR="00AE4552" w:rsidRPr="000B0B4C">
        <w:rPr>
          <w:b w:val="0"/>
          <w:color w:val="auto"/>
          <w:sz w:val="22"/>
        </w:rPr>
        <w:t xml:space="preserve">indicating </w:t>
      </w:r>
      <w:r w:rsidR="00017CCF">
        <w:rPr>
          <w:b w:val="0"/>
          <w:color w:val="auto"/>
          <w:sz w:val="22"/>
        </w:rPr>
        <w:t>that</w:t>
      </w:r>
      <w:r w:rsidR="00AE4552" w:rsidRPr="000B0B4C">
        <w:rPr>
          <w:b w:val="0"/>
          <w:color w:val="auto"/>
          <w:sz w:val="22"/>
        </w:rPr>
        <w:t xml:space="preserve"> these are all clinically valid alternatives. Accordingly, while ultrasound costs may legitimately contribute to SOC costing, its use as the primary comparator in the economic and financial estimates is inappropriate. More suitable comparators would be </w:t>
      </w:r>
      <w:r w:rsidR="002778D4">
        <w:rPr>
          <w:b w:val="0"/>
          <w:color w:val="auto"/>
          <w:sz w:val="22"/>
        </w:rPr>
        <w:t xml:space="preserve">the </w:t>
      </w:r>
      <w:r w:rsidR="00AE4552" w:rsidRPr="000B0B4C">
        <w:rPr>
          <w:b w:val="0"/>
          <w:color w:val="auto"/>
          <w:sz w:val="22"/>
        </w:rPr>
        <w:t xml:space="preserve">other </w:t>
      </w:r>
      <w:r w:rsidR="002778D4">
        <w:rPr>
          <w:b w:val="0"/>
          <w:color w:val="auto"/>
          <w:sz w:val="22"/>
        </w:rPr>
        <w:t>(</w:t>
      </w:r>
      <w:r w:rsidR="00AE4552" w:rsidRPr="000B0B4C">
        <w:rPr>
          <w:b w:val="0"/>
          <w:color w:val="auto"/>
          <w:sz w:val="22"/>
        </w:rPr>
        <w:t>non-funded</w:t>
      </w:r>
      <w:r w:rsidR="002778D4">
        <w:rPr>
          <w:b w:val="0"/>
          <w:color w:val="auto"/>
          <w:sz w:val="22"/>
        </w:rPr>
        <w:t>)</w:t>
      </w:r>
      <w:r w:rsidR="00AE4552" w:rsidRPr="000B0B4C">
        <w:rPr>
          <w:b w:val="0"/>
          <w:color w:val="auto"/>
          <w:sz w:val="22"/>
        </w:rPr>
        <w:t xml:space="preserve"> second-line tests recommended in the Consensus Statement.</w:t>
      </w:r>
    </w:p>
    <w:p w14:paraId="22ED699B" w14:textId="5D09F148" w:rsidR="00221B7A" w:rsidRPr="000E64DE" w:rsidRDefault="009A72F0" w:rsidP="000E64DE">
      <w:pPr>
        <w:pStyle w:val="Guidelinescross-ref"/>
        <w:rPr>
          <w:b w:val="0"/>
          <w:color w:val="auto"/>
          <w:sz w:val="22"/>
        </w:rPr>
      </w:pPr>
      <w:r w:rsidRPr="009A72F0">
        <w:rPr>
          <w:b w:val="0"/>
          <w:color w:val="auto"/>
          <w:sz w:val="22"/>
        </w:rPr>
        <w:t xml:space="preserve">No comparative </w:t>
      </w:r>
      <w:r w:rsidR="00425145">
        <w:rPr>
          <w:b w:val="0"/>
          <w:color w:val="auto"/>
          <w:sz w:val="22"/>
        </w:rPr>
        <w:t>evidence</w:t>
      </w:r>
      <w:r w:rsidR="00425145" w:rsidRPr="009A72F0">
        <w:rPr>
          <w:b w:val="0"/>
          <w:color w:val="auto"/>
          <w:sz w:val="22"/>
        </w:rPr>
        <w:t xml:space="preserve"> </w:t>
      </w:r>
      <w:r w:rsidR="00C468E2">
        <w:rPr>
          <w:b w:val="0"/>
          <w:color w:val="auto"/>
          <w:sz w:val="22"/>
        </w:rPr>
        <w:t xml:space="preserve">for VCTE </w:t>
      </w:r>
      <w:r w:rsidRPr="009A72F0">
        <w:rPr>
          <w:b w:val="0"/>
          <w:color w:val="auto"/>
          <w:sz w:val="22"/>
        </w:rPr>
        <w:t>relative to SWE or direct serum fibrosis tests was presented in the ADAR.</w:t>
      </w:r>
      <w:r w:rsidR="00C468E2">
        <w:rPr>
          <w:b w:val="0"/>
          <w:color w:val="auto"/>
          <w:sz w:val="22"/>
        </w:rPr>
        <w:t xml:space="preserve"> However, as discussed </w:t>
      </w:r>
      <w:r w:rsidR="009B05EB">
        <w:rPr>
          <w:b w:val="0"/>
          <w:color w:val="auto"/>
          <w:sz w:val="22"/>
        </w:rPr>
        <w:t xml:space="preserve">in Section </w:t>
      </w:r>
      <w:r w:rsidR="00122E3C">
        <w:rPr>
          <w:b w:val="0"/>
          <w:color w:val="auto"/>
          <w:sz w:val="22"/>
        </w:rPr>
        <w:t>6</w:t>
      </w:r>
      <w:r w:rsidR="009B05EB">
        <w:rPr>
          <w:b w:val="0"/>
          <w:color w:val="auto"/>
          <w:sz w:val="22"/>
        </w:rPr>
        <w:t xml:space="preserve"> above, a rapid literature review conducted during the evaluation </w:t>
      </w:r>
      <w:r w:rsidR="00DF32CD">
        <w:rPr>
          <w:b w:val="0"/>
          <w:color w:val="auto"/>
          <w:sz w:val="22"/>
        </w:rPr>
        <w:t xml:space="preserve">suggested that the diagnostic accuracy of </w:t>
      </w:r>
      <w:r w:rsidR="009B596D">
        <w:rPr>
          <w:b w:val="0"/>
          <w:color w:val="auto"/>
          <w:sz w:val="22"/>
        </w:rPr>
        <w:t xml:space="preserve">VCTE, </w:t>
      </w:r>
      <w:r w:rsidR="00440799">
        <w:rPr>
          <w:b w:val="0"/>
          <w:color w:val="auto"/>
          <w:sz w:val="22"/>
        </w:rPr>
        <w:t>2D-</w:t>
      </w:r>
      <w:r w:rsidR="00DF32CD">
        <w:rPr>
          <w:b w:val="0"/>
          <w:color w:val="auto"/>
          <w:sz w:val="22"/>
        </w:rPr>
        <w:t>SWE</w:t>
      </w:r>
      <w:r w:rsidR="003D2292">
        <w:rPr>
          <w:b w:val="0"/>
          <w:color w:val="auto"/>
          <w:sz w:val="22"/>
        </w:rPr>
        <w:t xml:space="preserve"> and</w:t>
      </w:r>
      <w:r w:rsidR="00440799">
        <w:rPr>
          <w:b w:val="0"/>
          <w:color w:val="auto"/>
          <w:sz w:val="22"/>
        </w:rPr>
        <w:t xml:space="preserve"> pSWE </w:t>
      </w:r>
      <w:r w:rsidR="003D2292" w:rsidRPr="003D2292">
        <w:rPr>
          <w:b w:val="0"/>
          <w:color w:val="auto"/>
          <w:sz w:val="22"/>
        </w:rPr>
        <w:t xml:space="preserve">all demonstrate comparable diagnostic performance for </w:t>
      </w:r>
      <w:r w:rsidR="000B0B4C">
        <w:rPr>
          <w:b w:val="0"/>
          <w:color w:val="auto"/>
          <w:sz w:val="22"/>
        </w:rPr>
        <w:t xml:space="preserve">detection of </w:t>
      </w:r>
      <w:r w:rsidR="00F3371D">
        <w:rPr>
          <w:b w:val="0"/>
          <w:color w:val="auto"/>
          <w:sz w:val="22"/>
        </w:rPr>
        <w:t>AF</w:t>
      </w:r>
      <w:r w:rsidR="003D2292" w:rsidRPr="003D2292">
        <w:rPr>
          <w:b w:val="0"/>
          <w:color w:val="auto"/>
          <w:sz w:val="22"/>
        </w:rPr>
        <w:t xml:space="preserve"> and cirrhosis</w:t>
      </w:r>
      <w:r w:rsidR="003D2292">
        <w:rPr>
          <w:b w:val="0"/>
          <w:color w:val="auto"/>
          <w:sz w:val="22"/>
        </w:rPr>
        <w:t xml:space="preserve"> based on Cassinotto 2020.</w:t>
      </w:r>
      <w:bookmarkStart w:id="25" w:name="_Hlk213745186"/>
    </w:p>
    <w:p w14:paraId="10D43E74" w14:textId="10B8F721" w:rsidR="0018750D" w:rsidRDefault="0018750D" w:rsidP="00872EFA">
      <w:pPr>
        <w:pStyle w:val="Heading2"/>
        <w:numPr>
          <w:ilvl w:val="0"/>
          <w:numId w:val="35"/>
        </w:numPr>
        <w:ind w:hanging="720"/>
      </w:pPr>
      <w:r w:rsidRPr="00A5660B">
        <w:lastRenderedPageBreak/>
        <w:t>Summary of public consultation input</w:t>
      </w:r>
    </w:p>
    <w:p w14:paraId="56D46880" w14:textId="56017381" w:rsidR="00221B7A" w:rsidRPr="00221B7A" w:rsidRDefault="00221B7A" w:rsidP="000E64DE">
      <w:pPr>
        <w:keepNext/>
        <w:keepLines/>
      </w:pPr>
      <w:bookmarkStart w:id="26" w:name="_Hlk213752816"/>
      <w:r>
        <w:t xml:space="preserve">Consultation input was welcomed from: </w:t>
      </w:r>
    </w:p>
    <w:tbl>
      <w:tblPr>
        <w:tblW w:w="9020" w:type="dxa"/>
        <w:tblLook w:val="04A0" w:firstRow="1" w:lastRow="0" w:firstColumn="1" w:lastColumn="0" w:noHBand="0" w:noVBand="1"/>
      </w:tblPr>
      <w:tblGrid>
        <w:gridCol w:w="7800"/>
        <w:gridCol w:w="1220"/>
      </w:tblGrid>
      <w:tr w:rsidR="006E2CFB" w:rsidRPr="00E72C32" w14:paraId="0D5F6BE6" w14:textId="77777777">
        <w:trPr>
          <w:trHeight w:val="1040"/>
        </w:trPr>
        <w:tc>
          <w:tcPr>
            <w:tcW w:w="7800" w:type="dxa"/>
            <w:tcBorders>
              <w:top w:val="single" w:sz="4" w:space="0" w:color="000000" w:themeColor="text1"/>
              <w:left w:val="single" w:sz="4" w:space="0" w:color="000000" w:themeColor="text1"/>
              <w:bottom w:val="single" w:sz="8" w:space="0" w:color="auto"/>
              <w:right w:val="single" w:sz="8" w:space="0" w:color="auto"/>
            </w:tcBorders>
            <w:shd w:val="clear" w:color="auto" w:fill="D1D1D1"/>
            <w:vAlign w:val="center"/>
            <w:hideMark/>
          </w:tcPr>
          <w:bookmarkEnd w:id="26"/>
          <w:p w14:paraId="5E598F3A" w14:textId="1C7F2F02" w:rsidR="00394903" w:rsidRPr="000E64DE" w:rsidRDefault="00394903" w:rsidP="000E64DE">
            <w:pPr>
              <w:keepNext/>
              <w:keepLines/>
              <w:spacing w:after="0" w:line="240" w:lineRule="auto"/>
              <w:rPr>
                <w:rFonts w:eastAsia="Franklin Gothic Book" w:cs="Franklin Gothic Book"/>
                <w:b/>
                <w:bCs/>
                <w:color w:val="000000" w:themeColor="text1"/>
                <w:sz w:val="20"/>
                <w:szCs w:val="20"/>
                <w:lang w:eastAsia="en-AU"/>
              </w:rPr>
            </w:pPr>
            <w:r w:rsidRPr="00221B7A">
              <w:rPr>
                <w:rFonts w:eastAsia="Franklin Gothic Book" w:cs="Franklin Gothic Book"/>
                <w:b/>
                <w:bCs/>
                <w:color w:val="000000" w:themeColor="text1"/>
                <w:sz w:val="20"/>
                <w:szCs w:val="20"/>
                <w:lang w:eastAsia="en-AU"/>
              </w:rPr>
              <w:t>1797 - Vibration-Controlled Transient Elastography (VCTE™) for identifying advanced fibrosis in patients with metabolic dysfunction-associated fatty liver disease</w:t>
            </w:r>
          </w:p>
        </w:tc>
        <w:tc>
          <w:tcPr>
            <w:tcW w:w="1220" w:type="dxa"/>
            <w:tcBorders>
              <w:top w:val="single" w:sz="4" w:space="0" w:color="000000" w:themeColor="text1"/>
              <w:left w:val="nil"/>
              <w:bottom w:val="single" w:sz="8" w:space="0" w:color="auto"/>
              <w:right w:val="single" w:sz="4" w:space="0" w:color="000000" w:themeColor="text1"/>
            </w:tcBorders>
            <w:shd w:val="clear" w:color="auto" w:fill="D1D1D1"/>
            <w:vAlign w:val="center"/>
            <w:hideMark/>
          </w:tcPr>
          <w:p w14:paraId="2CD89F2E" w14:textId="77777777" w:rsidR="00394903" w:rsidRPr="00221B7A" w:rsidRDefault="00394903" w:rsidP="000E64DE">
            <w:pPr>
              <w:keepNext/>
              <w:keepLines/>
              <w:spacing w:after="0" w:line="240" w:lineRule="auto"/>
              <w:jc w:val="center"/>
              <w:rPr>
                <w:rFonts w:eastAsia="Franklin Gothic Book" w:cs="Franklin Gothic Book"/>
                <w:b/>
                <w:bCs/>
                <w:color w:val="000000"/>
                <w:sz w:val="20"/>
                <w:szCs w:val="20"/>
                <w:lang w:eastAsia="en-AU"/>
              </w:rPr>
            </w:pPr>
            <w:r w:rsidRPr="00221B7A">
              <w:rPr>
                <w:rFonts w:eastAsia="Franklin Gothic Book" w:cs="Franklin Gothic Book"/>
                <w:b/>
                <w:bCs/>
                <w:color w:val="000000" w:themeColor="text1"/>
                <w:sz w:val="20"/>
                <w:szCs w:val="20"/>
                <w:lang w:eastAsia="en-AU"/>
              </w:rPr>
              <w:t>No. of Inputs Received</w:t>
            </w:r>
            <w:r w:rsidRPr="00221B7A">
              <w:rPr>
                <w:rFonts w:eastAsia="Franklin Gothic Book" w:cs="Franklin Gothic Book"/>
                <w:color w:val="000000" w:themeColor="text1"/>
                <w:sz w:val="20"/>
                <w:szCs w:val="20"/>
                <w:lang w:eastAsia="en-AU"/>
              </w:rPr>
              <w:t> </w:t>
            </w:r>
          </w:p>
        </w:tc>
      </w:tr>
      <w:tr w:rsidR="00220E13" w:rsidRPr="00E72C32" w14:paraId="442BD32E" w14:textId="77777777">
        <w:trPr>
          <w:trHeight w:val="590"/>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20BB1546" w14:textId="77777777" w:rsidR="00394903" w:rsidRPr="00E72C32" w:rsidRDefault="00394903" w:rsidP="000E64DE">
            <w:pPr>
              <w:keepNext/>
              <w:keepLines/>
              <w:spacing w:after="0" w:line="240" w:lineRule="auto"/>
              <w:rPr>
                <w:rFonts w:eastAsia="Franklin Gothic Book" w:cs="Franklin Gothic Book"/>
                <w:b/>
                <w:bCs/>
                <w:color w:val="000000"/>
                <w:sz w:val="20"/>
                <w:szCs w:val="20"/>
                <w:lang w:eastAsia="en-AU"/>
              </w:rPr>
            </w:pPr>
            <w:r w:rsidRPr="47A3C7E0">
              <w:rPr>
                <w:rFonts w:eastAsia="Franklin Gothic Book" w:cs="Franklin Gothic Book"/>
                <w:b/>
                <w:bCs/>
                <w:color w:val="000000" w:themeColor="text1"/>
                <w:sz w:val="20"/>
                <w:szCs w:val="20"/>
                <w:lang w:eastAsia="en-AU"/>
              </w:rPr>
              <w:t xml:space="preserve">Organisations </w:t>
            </w:r>
            <w:r>
              <w:rPr>
                <w:rFonts w:eastAsia="Franklin Gothic Book" w:cs="Franklin Gothic Book"/>
                <w:b/>
                <w:bCs/>
                <w:color w:val="000000" w:themeColor="text1"/>
                <w:sz w:val="20"/>
                <w:szCs w:val="20"/>
                <w:lang w:eastAsia="en-AU"/>
              </w:rPr>
              <w:t>(7)</w:t>
            </w:r>
          </w:p>
        </w:tc>
      </w:tr>
      <w:tr w:rsidR="002C2092" w:rsidRPr="00E72C32" w14:paraId="014EE895" w14:textId="77777777">
        <w:trPr>
          <w:trHeight w:val="760"/>
        </w:trPr>
        <w:tc>
          <w:tcPr>
            <w:tcW w:w="7800" w:type="dxa"/>
            <w:tcBorders>
              <w:top w:val="nil"/>
              <w:left w:val="single" w:sz="4" w:space="0" w:color="000000" w:themeColor="text1"/>
              <w:bottom w:val="single" w:sz="8" w:space="0" w:color="auto"/>
              <w:right w:val="single" w:sz="8" w:space="0" w:color="auto"/>
            </w:tcBorders>
            <w:vAlign w:val="center"/>
            <w:hideMark/>
          </w:tcPr>
          <w:p w14:paraId="605160C1" w14:textId="77777777" w:rsidR="00394903" w:rsidRPr="00E72C32" w:rsidRDefault="00394903" w:rsidP="000E64DE">
            <w:pPr>
              <w:keepNext/>
              <w:keepLines/>
              <w:spacing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providing input on behalf of a consumer group or organisation. Consumer organisations are not-for-profit organisations representing the interests of healthcare consumers, their families and carers. </w:t>
            </w:r>
          </w:p>
        </w:tc>
        <w:tc>
          <w:tcPr>
            <w:tcW w:w="1220" w:type="dxa"/>
            <w:tcBorders>
              <w:top w:val="nil"/>
              <w:left w:val="nil"/>
              <w:bottom w:val="single" w:sz="8" w:space="0" w:color="auto"/>
              <w:right w:val="single" w:sz="4" w:space="0" w:color="000000" w:themeColor="text1"/>
            </w:tcBorders>
            <w:vAlign w:val="center"/>
            <w:hideMark/>
          </w:tcPr>
          <w:p w14:paraId="2CF9AC2C" w14:textId="77777777" w:rsidR="00394903" w:rsidRPr="00E72C32" w:rsidRDefault="00394903" w:rsidP="000E64DE">
            <w:pPr>
              <w:keepNext/>
              <w:keepLines/>
              <w:spacing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3</w:t>
            </w:r>
          </w:p>
        </w:tc>
      </w:tr>
      <w:tr w:rsidR="002C2092" w:rsidRPr="00E72C32" w14:paraId="088FD5FF" w14:textId="77777777">
        <w:trPr>
          <w:trHeight w:val="760"/>
        </w:trPr>
        <w:tc>
          <w:tcPr>
            <w:tcW w:w="7800" w:type="dxa"/>
            <w:tcBorders>
              <w:top w:val="nil"/>
              <w:left w:val="single" w:sz="4" w:space="0" w:color="000000" w:themeColor="text1"/>
              <w:bottom w:val="single" w:sz="8" w:space="0" w:color="auto"/>
              <w:right w:val="single" w:sz="8" w:space="0" w:color="auto"/>
            </w:tcBorders>
            <w:vAlign w:val="center"/>
            <w:hideMark/>
          </w:tcPr>
          <w:p w14:paraId="4B3D5260" w14:textId="77777777" w:rsidR="00394903" w:rsidRPr="00E72C32" w:rsidRDefault="00394903" w:rsidP="000E64DE">
            <w:pPr>
              <w:keepNext/>
              <w:keepLines/>
              <w:spacing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providing input on behalf of a medical, health, or other (non-consumer) organisation. For example, input on behalf of a group of clinicians, research organisation, professional college, or from an organisation that produces a similar service or technology. </w:t>
            </w:r>
          </w:p>
        </w:tc>
        <w:tc>
          <w:tcPr>
            <w:tcW w:w="1220" w:type="dxa"/>
            <w:tcBorders>
              <w:top w:val="nil"/>
              <w:left w:val="nil"/>
              <w:bottom w:val="single" w:sz="8" w:space="0" w:color="auto"/>
              <w:right w:val="single" w:sz="4" w:space="0" w:color="000000" w:themeColor="text1"/>
            </w:tcBorders>
            <w:vAlign w:val="center"/>
            <w:hideMark/>
          </w:tcPr>
          <w:p w14:paraId="0A8E1A33" w14:textId="77777777" w:rsidR="00394903" w:rsidRPr="00E72C32" w:rsidRDefault="00394903" w:rsidP="000E64DE">
            <w:pPr>
              <w:keepNext/>
              <w:keepLines/>
              <w:spacing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4</w:t>
            </w:r>
          </w:p>
        </w:tc>
      </w:tr>
      <w:tr w:rsidR="00220E13" w:rsidRPr="00E72C32" w14:paraId="5E9E132A" w14:textId="77777777">
        <w:trPr>
          <w:trHeight w:val="300"/>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11114559" w14:textId="77777777" w:rsidR="00394903" w:rsidRPr="00E72C32" w:rsidRDefault="00394903" w:rsidP="000E64DE">
            <w:pPr>
              <w:keepNext/>
              <w:keepLines/>
              <w:spacing w:after="0" w:line="240" w:lineRule="auto"/>
              <w:rPr>
                <w:rFonts w:eastAsia="Franklin Gothic Book" w:cs="Franklin Gothic Book"/>
                <w:b/>
                <w:bCs/>
                <w:color w:val="000000"/>
                <w:sz w:val="20"/>
                <w:szCs w:val="20"/>
                <w:lang w:eastAsia="en-AU"/>
              </w:rPr>
            </w:pPr>
            <w:r w:rsidRPr="47A3C7E0">
              <w:rPr>
                <w:rFonts w:eastAsia="Franklin Gothic Book" w:cs="Franklin Gothic Book"/>
                <w:b/>
                <w:bCs/>
                <w:color w:val="000000" w:themeColor="text1"/>
                <w:sz w:val="20"/>
                <w:szCs w:val="20"/>
                <w:lang w:eastAsia="en-AU"/>
              </w:rPr>
              <w:t>Health Professionals (</w:t>
            </w:r>
            <w:r>
              <w:rPr>
                <w:rFonts w:eastAsia="Franklin Gothic Book" w:cs="Franklin Gothic Book"/>
                <w:b/>
                <w:bCs/>
                <w:color w:val="000000" w:themeColor="text1"/>
                <w:sz w:val="20"/>
                <w:szCs w:val="20"/>
                <w:lang w:eastAsia="en-AU"/>
              </w:rPr>
              <w:t>5)</w:t>
            </w:r>
            <w:r w:rsidRPr="47A3C7E0">
              <w:rPr>
                <w:rFonts w:eastAsia="Franklin Gothic Book" w:cs="Franklin Gothic Book"/>
                <w:color w:val="000000" w:themeColor="text1"/>
                <w:sz w:val="20"/>
                <w:szCs w:val="20"/>
                <w:lang w:eastAsia="en-AU"/>
              </w:rPr>
              <w:t> </w:t>
            </w:r>
          </w:p>
        </w:tc>
      </w:tr>
      <w:tr w:rsidR="002C2092" w:rsidRPr="00E72C32" w14:paraId="306A850A" w14:textId="77777777">
        <w:trPr>
          <w:trHeight w:val="300"/>
        </w:trPr>
        <w:tc>
          <w:tcPr>
            <w:tcW w:w="7800" w:type="dxa"/>
            <w:tcBorders>
              <w:top w:val="nil"/>
              <w:left w:val="single" w:sz="4" w:space="0" w:color="000000" w:themeColor="text1"/>
              <w:bottom w:val="single" w:sz="8" w:space="0" w:color="auto"/>
              <w:right w:val="single" w:sz="8" w:space="0" w:color="auto"/>
            </w:tcBorders>
            <w:vAlign w:val="center"/>
            <w:hideMark/>
          </w:tcPr>
          <w:p w14:paraId="7152160F" w14:textId="77777777" w:rsidR="00394903" w:rsidRPr="00E72C32" w:rsidRDefault="00394903" w:rsidP="000E64DE">
            <w:pPr>
              <w:keepNext/>
              <w:keepLines/>
              <w:spacing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a health professional or health academic working in the area. </w:t>
            </w:r>
          </w:p>
        </w:tc>
        <w:tc>
          <w:tcPr>
            <w:tcW w:w="1220" w:type="dxa"/>
            <w:tcBorders>
              <w:top w:val="nil"/>
              <w:left w:val="nil"/>
              <w:bottom w:val="single" w:sz="8" w:space="0" w:color="auto"/>
              <w:right w:val="single" w:sz="4" w:space="0" w:color="000000" w:themeColor="text1"/>
            </w:tcBorders>
            <w:vAlign w:val="center"/>
            <w:hideMark/>
          </w:tcPr>
          <w:p w14:paraId="75253B8D" w14:textId="77777777" w:rsidR="00394903" w:rsidRPr="00E72C32" w:rsidRDefault="00394903" w:rsidP="000E64DE">
            <w:pPr>
              <w:keepNext/>
              <w:keepLines/>
              <w:spacing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5</w:t>
            </w:r>
          </w:p>
        </w:tc>
      </w:tr>
      <w:tr w:rsidR="00220E13" w:rsidRPr="00E72C32" w14:paraId="6EA76BF1" w14:textId="77777777">
        <w:trPr>
          <w:trHeight w:val="300"/>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017E8B02" w14:textId="77777777" w:rsidR="00394903" w:rsidRPr="00E72C32" w:rsidRDefault="00394903" w:rsidP="000E64DE">
            <w:pPr>
              <w:keepNext/>
              <w:keepLines/>
              <w:spacing w:after="0" w:line="240" w:lineRule="auto"/>
              <w:rPr>
                <w:rFonts w:eastAsia="Franklin Gothic Book" w:cs="Franklin Gothic Book"/>
                <w:b/>
                <w:bCs/>
                <w:color w:val="000000"/>
                <w:sz w:val="20"/>
                <w:szCs w:val="20"/>
                <w:lang w:eastAsia="en-AU"/>
              </w:rPr>
            </w:pPr>
            <w:r w:rsidRPr="47A3C7E0">
              <w:rPr>
                <w:rFonts w:eastAsia="Franklin Gothic Book" w:cs="Franklin Gothic Book"/>
                <w:b/>
                <w:bCs/>
                <w:color w:val="000000" w:themeColor="text1"/>
                <w:sz w:val="20"/>
                <w:szCs w:val="20"/>
                <w:lang w:eastAsia="en-AU"/>
              </w:rPr>
              <w:t>Consumers (</w:t>
            </w:r>
            <w:r>
              <w:rPr>
                <w:rFonts w:eastAsia="Franklin Gothic Book" w:cs="Franklin Gothic Book"/>
                <w:b/>
                <w:bCs/>
                <w:color w:val="000000" w:themeColor="text1"/>
                <w:sz w:val="20"/>
                <w:szCs w:val="20"/>
                <w:lang w:eastAsia="en-AU"/>
              </w:rPr>
              <w:t>3</w:t>
            </w:r>
            <w:r w:rsidRPr="47A3C7E0">
              <w:rPr>
                <w:rFonts w:eastAsia="Franklin Gothic Book" w:cs="Franklin Gothic Book"/>
                <w:b/>
                <w:bCs/>
                <w:color w:val="000000" w:themeColor="text1"/>
                <w:sz w:val="20"/>
                <w:szCs w:val="20"/>
                <w:lang w:eastAsia="en-AU"/>
              </w:rPr>
              <w:t>)</w:t>
            </w:r>
            <w:r w:rsidRPr="47A3C7E0">
              <w:rPr>
                <w:rFonts w:eastAsia="Franklin Gothic Book" w:cs="Franklin Gothic Book"/>
                <w:color w:val="000000" w:themeColor="text1"/>
                <w:sz w:val="20"/>
                <w:szCs w:val="20"/>
                <w:lang w:eastAsia="en-AU"/>
              </w:rPr>
              <w:t> </w:t>
            </w:r>
          </w:p>
        </w:tc>
      </w:tr>
      <w:tr w:rsidR="002C2092" w:rsidRPr="00E72C32" w14:paraId="0B1A32D3" w14:textId="77777777">
        <w:trPr>
          <w:trHeight w:val="510"/>
        </w:trPr>
        <w:tc>
          <w:tcPr>
            <w:tcW w:w="7800" w:type="dxa"/>
            <w:tcBorders>
              <w:top w:val="nil"/>
              <w:left w:val="single" w:sz="4" w:space="0" w:color="000000" w:themeColor="text1"/>
              <w:bottom w:val="single" w:sz="8" w:space="0" w:color="auto"/>
              <w:right w:val="single" w:sz="8" w:space="0" w:color="auto"/>
            </w:tcBorders>
            <w:vAlign w:val="center"/>
            <w:hideMark/>
          </w:tcPr>
          <w:p w14:paraId="58EAFB5F" w14:textId="77777777" w:rsidR="00394903" w:rsidRPr="00E72C32" w:rsidRDefault="00394903" w:rsidP="000E64DE">
            <w:pPr>
              <w:keepNext/>
              <w:keepLines/>
              <w:spacing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have the health condition that this health service or technology is for and have experience with the proposed health service or technology. </w:t>
            </w:r>
          </w:p>
        </w:tc>
        <w:tc>
          <w:tcPr>
            <w:tcW w:w="1220" w:type="dxa"/>
            <w:tcBorders>
              <w:top w:val="nil"/>
              <w:left w:val="nil"/>
              <w:bottom w:val="single" w:sz="8" w:space="0" w:color="auto"/>
              <w:right w:val="single" w:sz="4" w:space="0" w:color="000000" w:themeColor="text1"/>
            </w:tcBorders>
            <w:vAlign w:val="center"/>
            <w:hideMark/>
          </w:tcPr>
          <w:p w14:paraId="49BA4C9E" w14:textId="77777777" w:rsidR="00394903" w:rsidRPr="00E72C32" w:rsidRDefault="00394903" w:rsidP="000E64DE">
            <w:pPr>
              <w:keepNext/>
              <w:keepLines/>
              <w:spacing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2</w:t>
            </w:r>
          </w:p>
        </w:tc>
      </w:tr>
      <w:tr w:rsidR="002C2092" w:rsidRPr="00E72C32" w14:paraId="0E7FBDF8" w14:textId="77777777">
        <w:trPr>
          <w:trHeight w:val="510"/>
        </w:trPr>
        <w:tc>
          <w:tcPr>
            <w:tcW w:w="7800" w:type="dxa"/>
            <w:tcBorders>
              <w:top w:val="nil"/>
              <w:left w:val="single" w:sz="4" w:space="0" w:color="000000" w:themeColor="text1"/>
              <w:bottom w:val="single" w:sz="8" w:space="0" w:color="auto"/>
              <w:right w:val="single" w:sz="8" w:space="0" w:color="auto"/>
            </w:tcBorders>
            <w:vAlign w:val="center"/>
            <w:hideMark/>
          </w:tcPr>
          <w:p w14:paraId="071C91F0" w14:textId="77777777" w:rsidR="00394903" w:rsidRPr="00E72C32" w:rsidRDefault="00394903" w:rsidP="000E64DE">
            <w:pPr>
              <w:keepNext/>
              <w:keepLines/>
              <w:spacing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a parent, partner or another person caring for someone from the above two groups. </w:t>
            </w:r>
          </w:p>
        </w:tc>
        <w:tc>
          <w:tcPr>
            <w:tcW w:w="1220" w:type="dxa"/>
            <w:tcBorders>
              <w:top w:val="nil"/>
              <w:left w:val="nil"/>
              <w:bottom w:val="single" w:sz="8" w:space="0" w:color="auto"/>
              <w:right w:val="single" w:sz="4" w:space="0" w:color="000000" w:themeColor="text1"/>
            </w:tcBorders>
            <w:vAlign w:val="center"/>
            <w:hideMark/>
          </w:tcPr>
          <w:p w14:paraId="6E174A06" w14:textId="77777777" w:rsidR="00394903" w:rsidRPr="00E72C32" w:rsidRDefault="00394903" w:rsidP="000E64DE">
            <w:pPr>
              <w:keepNext/>
              <w:keepLines/>
              <w:spacing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1</w:t>
            </w:r>
          </w:p>
        </w:tc>
      </w:tr>
      <w:tr w:rsidR="002C2092" w:rsidRPr="00E72C32" w14:paraId="47C2E459" w14:textId="77777777">
        <w:trPr>
          <w:trHeight w:val="290"/>
        </w:trPr>
        <w:tc>
          <w:tcPr>
            <w:tcW w:w="7800" w:type="dxa"/>
            <w:tcBorders>
              <w:top w:val="nil"/>
              <w:left w:val="single" w:sz="4" w:space="0" w:color="000000" w:themeColor="text1"/>
              <w:bottom w:val="single" w:sz="4" w:space="0" w:color="000000" w:themeColor="text1"/>
              <w:right w:val="single" w:sz="8" w:space="0" w:color="auto"/>
            </w:tcBorders>
            <w:vAlign w:val="center"/>
            <w:hideMark/>
          </w:tcPr>
          <w:p w14:paraId="3431646B" w14:textId="77777777" w:rsidR="00394903" w:rsidRPr="00E72C32" w:rsidRDefault="00394903" w:rsidP="000E64DE">
            <w:pPr>
              <w:keepNext/>
              <w:keepLines/>
              <w:spacing w:after="0" w:line="240" w:lineRule="auto"/>
              <w:rPr>
                <w:rFonts w:eastAsia="Franklin Gothic Book" w:cs="Franklin Gothic Book"/>
                <w:b/>
                <w:bCs/>
                <w:sz w:val="20"/>
                <w:szCs w:val="20"/>
                <w:lang w:eastAsia="en-AU"/>
              </w:rPr>
            </w:pPr>
            <w:r w:rsidRPr="47A3C7E0">
              <w:rPr>
                <w:rFonts w:eastAsia="Franklin Gothic Book" w:cs="Franklin Gothic Book"/>
                <w:b/>
                <w:bCs/>
                <w:sz w:val="20"/>
                <w:szCs w:val="20"/>
                <w:lang w:eastAsia="en-AU"/>
              </w:rPr>
              <w:t>Grand Total</w:t>
            </w:r>
            <w:r w:rsidRPr="47A3C7E0">
              <w:rPr>
                <w:rFonts w:eastAsia="Franklin Gothic Book" w:cs="Franklin Gothic Book"/>
                <w:sz w:val="20"/>
                <w:szCs w:val="20"/>
                <w:lang w:eastAsia="en-AU"/>
              </w:rPr>
              <w:t> </w:t>
            </w:r>
          </w:p>
        </w:tc>
        <w:tc>
          <w:tcPr>
            <w:tcW w:w="1220" w:type="dxa"/>
            <w:tcBorders>
              <w:top w:val="nil"/>
              <w:left w:val="nil"/>
              <w:bottom w:val="single" w:sz="4" w:space="0" w:color="000000" w:themeColor="text1"/>
              <w:right w:val="single" w:sz="4" w:space="0" w:color="000000" w:themeColor="text1"/>
            </w:tcBorders>
            <w:vAlign w:val="center"/>
            <w:hideMark/>
          </w:tcPr>
          <w:p w14:paraId="65E61BBC" w14:textId="77777777" w:rsidR="00394903" w:rsidRPr="00E72C32" w:rsidRDefault="00394903" w:rsidP="000E64DE">
            <w:pPr>
              <w:keepNext/>
              <w:keepLines/>
              <w:spacing w:after="0" w:line="240" w:lineRule="auto"/>
              <w:jc w:val="center"/>
              <w:rPr>
                <w:rFonts w:eastAsia="Franklin Gothic Book" w:cs="Franklin Gothic Book"/>
                <w:b/>
                <w:bCs/>
                <w:sz w:val="20"/>
                <w:szCs w:val="20"/>
                <w:lang w:eastAsia="en-AU"/>
              </w:rPr>
            </w:pPr>
            <w:r>
              <w:rPr>
                <w:rFonts w:eastAsia="Franklin Gothic Book" w:cs="Franklin Gothic Book"/>
                <w:b/>
                <w:bCs/>
                <w:sz w:val="20"/>
                <w:szCs w:val="20"/>
                <w:lang w:eastAsia="en-AU"/>
              </w:rPr>
              <w:t>15</w:t>
            </w:r>
          </w:p>
        </w:tc>
      </w:tr>
    </w:tbl>
    <w:p w14:paraId="2B1BB429" w14:textId="77777777" w:rsidR="00394903" w:rsidRPr="00393ED7" w:rsidRDefault="00394903" w:rsidP="000E64DE">
      <w:pPr>
        <w:keepNext/>
        <w:keepLines/>
        <w:tabs>
          <w:tab w:val="left" w:pos="3686"/>
        </w:tabs>
        <w:spacing w:line="256" w:lineRule="auto"/>
        <w:rPr>
          <w:rFonts w:eastAsia="Franklin Gothic Book" w:cs="Franklin Gothic Book"/>
        </w:rPr>
      </w:pPr>
      <w:r w:rsidRPr="47A3C7E0">
        <w:rPr>
          <w:rFonts w:eastAsia="Franklin Gothic Book" w:cs="Franklin Gothic Book"/>
        </w:rPr>
        <w:t>The organisations that submitted input were:</w:t>
      </w:r>
    </w:p>
    <w:p w14:paraId="33A9A805" w14:textId="77777777" w:rsidR="00394903" w:rsidRPr="001C1472" w:rsidRDefault="00394903" w:rsidP="00872EFA">
      <w:pPr>
        <w:keepNext/>
        <w:keepLines/>
        <w:numPr>
          <w:ilvl w:val="1"/>
          <w:numId w:val="28"/>
        </w:numPr>
        <w:tabs>
          <w:tab w:val="clear" w:pos="1440"/>
          <w:tab w:val="num" w:pos="1134"/>
        </w:tabs>
        <w:spacing w:before="0" w:after="0"/>
        <w:ind w:hanging="1015"/>
        <w:rPr>
          <w:rFonts w:eastAsia="Franklin Gothic Book" w:cs="Franklin Gothic Book"/>
        </w:rPr>
      </w:pPr>
      <w:r w:rsidRPr="001C1472">
        <w:rPr>
          <w:rFonts w:eastAsia="Franklin Gothic Book" w:cs="Franklin Gothic Book"/>
        </w:rPr>
        <w:t>LiverWELL</w:t>
      </w:r>
    </w:p>
    <w:p w14:paraId="0E9F95AC" w14:textId="77777777" w:rsidR="00394903" w:rsidRPr="001C1472" w:rsidRDefault="00394903" w:rsidP="00872EFA">
      <w:pPr>
        <w:keepNext/>
        <w:keepLines/>
        <w:numPr>
          <w:ilvl w:val="1"/>
          <w:numId w:val="28"/>
        </w:numPr>
        <w:tabs>
          <w:tab w:val="clear" w:pos="1440"/>
          <w:tab w:val="num" w:pos="1134"/>
        </w:tabs>
        <w:spacing w:before="0" w:after="0"/>
        <w:ind w:hanging="1015"/>
        <w:rPr>
          <w:rFonts w:eastAsia="Franklin Gothic Book" w:cs="Franklin Gothic Book"/>
        </w:rPr>
      </w:pPr>
      <w:r>
        <w:rPr>
          <w:rFonts w:eastAsia="Franklin Gothic Book" w:cs="Franklin Gothic Book"/>
        </w:rPr>
        <w:t>Gastroenterological Society of Australia (</w:t>
      </w:r>
      <w:r w:rsidRPr="001C1472">
        <w:rPr>
          <w:rFonts w:eastAsia="Franklin Gothic Book" w:cs="Franklin Gothic Book"/>
        </w:rPr>
        <w:t>GESA</w:t>
      </w:r>
      <w:r>
        <w:rPr>
          <w:rFonts w:eastAsia="Franklin Gothic Book" w:cs="Franklin Gothic Book"/>
        </w:rPr>
        <w:t>)</w:t>
      </w:r>
    </w:p>
    <w:p w14:paraId="1B3D9066" w14:textId="77777777" w:rsidR="00394903" w:rsidRDefault="00394903" w:rsidP="00872EFA">
      <w:pPr>
        <w:numPr>
          <w:ilvl w:val="1"/>
          <w:numId w:val="28"/>
        </w:numPr>
        <w:tabs>
          <w:tab w:val="clear" w:pos="1440"/>
          <w:tab w:val="num" w:pos="1134"/>
        </w:tabs>
        <w:spacing w:before="0" w:after="0"/>
        <w:ind w:left="1134" w:hanging="708"/>
        <w:rPr>
          <w:rFonts w:eastAsia="Franklin Gothic Book" w:cs="Franklin Gothic Book"/>
        </w:rPr>
      </w:pPr>
      <w:r w:rsidRPr="002721CD">
        <w:rPr>
          <w:rFonts w:eastAsia="Franklin Gothic Book" w:cs="Franklin Gothic Book"/>
        </w:rPr>
        <w:t>The Royal Australian and New Zealand College of Radiologists (RANZCR)</w:t>
      </w:r>
      <w:r>
        <w:rPr>
          <w:rFonts w:eastAsia="Franklin Gothic Book" w:cs="Franklin Gothic Book"/>
        </w:rPr>
        <w:t xml:space="preserve"> – The Faculty of Clinical Radiology</w:t>
      </w:r>
    </w:p>
    <w:p w14:paraId="23D95347" w14:textId="77777777" w:rsidR="00394903" w:rsidRPr="001C1472" w:rsidRDefault="00394903" w:rsidP="00872EFA">
      <w:pPr>
        <w:numPr>
          <w:ilvl w:val="1"/>
          <w:numId w:val="28"/>
        </w:numPr>
        <w:tabs>
          <w:tab w:val="clear" w:pos="1440"/>
          <w:tab w:val="num" w:pos="1134"/>
        </w:tabs>
        <w:spacing w:before="0" w:after="0"/>
        <w:ind w:hanging="1015"/>
        <w:rPr>
          <w:rFonts w:eastAsia="Franklin Gothic Book" w:cs="Franklin Gothic Book"/>
        </w:rPr>
      </w:pPr>
      <w:r>
        <w:rPr>
          <w:rFonts w:eastAsia="Franklin Gothic Book" w:cs="Franklin Gothic Book"/>
        </w:rPr>
        <w:t xml:space="preserve">Liver Foundation </w:t>
      </w:r>
    </w:p>
    <w:p w14:paraId="635C8370" w14:textId="77777777" w:rsidR="00394903" w:rsidRDefault="00394903" w:rsidP="00872EFA">
      <w:pPr>
        <w:numPr>
          <w:ilvl w:val="1"/>
          <w:numId w:val="28"/>
        </w:numPr>
        <w:tabs>
          <w:tab w:val="clear" w:pos="1440"/>
          <w:tab w:val="num" w:pos="1134"/>
        </w:tabs>
        <w:spacing w:before="0" w:after="0"/>
        <w:ind w:hanging="1015"/>
        <w:rPr>
          <w:rFonts w:eastAsia="Franklin Gothic Book" w:cs="Franklin Gothic Book"/>
        </w:rPr>
      </w:pPr>
      <w:r>
        <w:rPr>
          <w:rFonts w:eastAsia="Franklin Gothic Book" w:cs="Franklin Gothic Book"/>
        </w:rPr>
        <w:t>The Royal Australian College of General Practitioners (</w:t>
      </w:r>
      <w:r w:rsidRPr="001C1472">
        <w:rPr>
          <w:rFonts w:eastAsia="Franklin Gothic Book" w:cs="Franklin Gothic Book"/>
        </w:rPr>
        <w:t>RACGP</w:t>
      </w:r>
      <w:r>
        <w:rPr>
          <w:rFonts w:eastAsia="Franklin Gothic Book" w:cs="Franklin Gothic Book"/>
        </w:rPr>
        <w:t>)</w:t>
      </w:r>
    </w:p>
    <w:p w14:paraId="6F2B45D0" w14:textId="77777777" w:rsidR="00394903" w:rsidRDefault="00394903" w:rsidP="00872EFA">
      <w:pPr>
        <w:numPr>
          <w:ilvl w:val="1"/>
          <w:numId w:val="28"/>
        </w:numPr>
        <w:tabs>
          <w:tab w:val="clear" w:pos="1440"/>
          <w:tab w:val="num" w:pos="1134"/>
        </w:tabs>
        <w:spacing w:before="0" w:after="0"/>
        <w:ind w:hanging="1015"/>
        <w:rPr>
          <w:rFonts w:eastAsia="Franklin Gothic Book" w:cs="Franklin Gothic Book"/>
        </w:rPr>
      </w:pPr>
      <w:r>
        <w:rPr>
          <w:rFonts w:eastAsia="Franklin Gothic Book" w:cs="Franklin Gothic Book"/>
        </w:rPr>
        <w:t xml:space="preserve">Hepatitis Australia </w:t>
      </w:r>
    </w:p>
    <w:p w14:paraId="6A222C81" w14:textId="77777777" w:rsidR="00394903" w:rsidRDefault="00394903" w:rsidP="00872EFA">
      <w:pPr>
        <w:numPr>
          <w:ilvl w:val="1"/>
          <w:numId w:val="28"/>
        </w:numPr>
        <w:tabs>
          <w:tab w:val="clear" w:pos="1440"/>
          <w:tab w:val="num" w:pos="1134"/>
        </w:tabs>
        <w:spacing w:before="0" w:after="240"/>
        <w:ind w:left="1434" w:hanging="1014"/>
        <w:rPr>
          <w:rFonts w:eastAsia="Franklin Gothic Book" w:cs="Franklin Gothic Book"/>
        </w:rPr>
      </w:pPr>
      <w:r>
        <w:rPr>
          <w:rFonts w:eastAsia="Franklin Gothic Book" w:cs="Franklin Gothic Book"/>
        </w:rPr>
        <w:t>Australian College of Nurse Practitioners (ACNP)</w:t>
      </w:r>
    </w:p>
    <w:p w14:paraId="3C123917" w14:textId="77777777" w:rsidR="00394903" w:rsidRPr="004E7038" w:rsidRDefault="00394903" w:rsidP="00394903">
      <w:pPr>
        <w:rPr>
          <w:rFonts w:eastAsia="Franklin Gothic Book" w:cs="Franklin Gothic Book"/>
          <w:b/>
          <w:sz w:val="24"/>
          <w:szCs w:val="24"/>
        </w:rPr>
      </w:pPr>
      <w:r w:rsidRPr="004E7038">
        <w:rPr>
          <w:rFonts w:eastAsia="Franklin Gothic Book" w:cs="Franklin Gothic Book"/>
          <w:b/>
          <w:sz w:val="24"/>
          <w:szCs w:val="24"/>
        </w:rPr>
        <w:t xml:space="preserve">Level of support for public funding </w:t>
      </w:r>
    </w:p>
    <w:p w14:paraId="2224F43C" w14:textId="77777777" w:rsidR="00394903" w:rsidRDefault="00394903" w:rsidP="00394903">
      <w:pPr>
        <w:tabs>
          <w:tab w:val="left" w:pos="3686"/>
        </w:tabs>
        <w:spacing w:after="240" w:line="257" w:lineRule="auto"/>
        <w:rPr>
          <w:rFonts w:eastAsia="Franklin Gothic Book" w:cs="Franklin Gothic Book"/>
        </w:rPr>
      </w:pPr>
      <w:r w:rsidRPr="00594A0F">
        <w:rPr>
          <w:rFonts w:eastAsia="Franklin Gothic Book" w:cs="Franklin Gothic Book"/>
        </w:rPr>
        <w:t>The consultation input received was mostly supportive of public funding for VCTE for identifying advanced fibrosis in patients with MAFLD</w:t>
      </w:r>
      <w:r>
        <w:rPr>
          <w:rFonts w:eastAsia="Franklin Gothic Book" w:cs="Franklin Gothic Book"/>
        </w:rPr>
        <w:t xml:space="preserve">, </w:t>
      </w:r>
      <w:r w:rsidRPr="53A85835">
        <w:rPr>
          <w:rFonts w:eastAsia="Franklin Gothic Book" w:cs="Franklin Gothic Book"/>
        </w:rPr>
        <w:t xml:space="preserve">although some feedback (including </w:t>
      </w:r>
      <w:r w:rsidRPr="045675D5">
        <w:rPr>
          <w:rFonts w:eastAsia="Franklin Gothic Book" w:cs="Franklin Gothic Book"/>
        </w:rPr>
        <w:t xml:space="preserve">that provided by </w:t>
      </w:r>
      <w:r w:rsidRPr="5C7C8AAA">
        <w:rPr>
          <w:rFonts w:eastAsia="Franklin Gothic Book" w:cs="Franklin Gothic Book"/>
        </w:rPr>
        <w:t>RANZCR</w:t>
      </w:r>
      <w:r>
        <w:rPr>
          <w:rFonts w:eastAsia="Franklin Gothic Book" w:cs="Franklin Gothic Book"/>
        </w:rPr>
        <w:t>) did not support the application in its current form</w:t>
      </w:r>
      <w:r w:rsidRPr="00594A0F">
        <w:rPr>
          <w:rFonts w:eastAsia="Franklin Gothic Book" w:cs="Franklin Gothic Book"/>
        </w:rPr>
        <w:t>. The consultation input raised a number of concerns, predominately in relation to the population being too restricted and the delivery of VCTE.</w:t>
      </w:r>
    </w:p>
    <w:p w14:paraId="7EBA6335" w14:textId="77777777" w:rsidR="00394903" w:rsidRPr="004E7038" w:rsidRDefault="00394903" w:rsidP="00394903">
      <w:pPr>
        <w:rPr>
          <w:rFonts w:eastAsia="Franklin Gothic Book" w:cs="Franklin Gothic Book"/>
          <w:b/>
          <w:sz w:val="24"/>
          <w:szCs w:val="24"/>
        </w:rPr>
      </w:pPr>
      <w:r w:rsidRPr="004E7038">
        <w:rPr>
          <w:rFonts w:eastAsia="Franklin Gothic Book" w:cs="Franklin Gothic Book"/>
          <w:b/>
          <w:sz w:val="24"/>
          <w:szCs w:val="24"/>
        </w:rPr>
        <w:t xml:space="preserve">Comments on PICO </w:t>
      </w:r>
    </w:p>
    <w:p w14:paraId="4F7CD80C" w14:textId="77777777" w:rsidR="00394903" w:rsidRPr="00DE19FE" w:rsidRDefault="00394903" w:rsidP="00872EFA">
      <w:pPr>
        <w:pStyle w:val="ListParagraph"/>
        <w:numPr>
          <w:ilvl w:val="0"/>
          <w:numId w:val="33"/>
        </w:numPr>
        <w:tabs>
          <w:tab w:val="left" w:pos="3686"/>
        </w:tabs>
        <w:spacing w:line="256" w:lineRule="auto"/>
        <w:rPr>
          <w:rFonts w:eastAsia="Franklin Gothic Book" w:cs="Franklin Gothic Book"/>
        </w:rPr>
      </w:pPr>
      <w:r w:rsidRPr="00DE19FE">
        <w:rPr>
          <w:rFonts w:eastAsia="Franklin Gothic Book" w:cs="Franklin Gothic Book"/>
        </w:rPr>
        <w:t xml:space="preserve">The consultation input largely agreed with the proposed populations, although a number of health professionals and GESA noted there could be benefits of VCTE in patients other than those specified in the application form, including patients with type 1 diabetes and patients with viral hepatitis. Input from </w:t>
      </w:r>
      <w:r>
        <w:rPr>
          <w:rFonts w:eastAsia="Franklin Gothic Book" w:cs="Franklin Gothic Book"/>
        </w:rPr>
        <w:t>a health professional noted higher threshold score of 2 (compared to 1.3) for patients aged &gt;65 years old</w:t>
      </w:r>
      <w:r w:rsidRPr="00DE19FE">
        <w:rPr>
          <w:rFonts w:eastAsia="Franklin Gothic Book" w:cs="Franklin Gothic Book"/>
        </w:rPr>
        <w:t>.</w:t>
      </w:r>
    </w:p>
    <w:p w14:paraId="03791E81" w14:textId="5578A0C7" w:rsidR="00394903" w:rsidRPr="00DE19FE" w:rsidRDefault="00394903" w:rsidP="00872EFA">
      <w:pPr>
        <w:pStyle w:val="ListParagraph"/>
        <w:numPr>
          <w:ilvl w:val="0"/>
          <w:numId w:val="33"/>
        </w:numPr>
        <w:tabs>
          <w:tab w:val="left" w:pos="3686"/>
        </w:tabs>
        <w:spacing w:line="256" w:lineRule="auto"/>
        <w:rPr>
          <w:rFonts w:eastAsia="Franklin Gothic Book" w:cs="Franklin Gothic Book"/>
        </w:rPr>
      </w:pPr>
      <w:r w:rsidRPr="00DE19FE">
        <w:rPr>
          <w:rFonts w:eastAsia="Franklin Gothic Book" w:cs="Franklin Gothic Book"/>
        </w:rPr>
        <w:lastRenderedPageBreak/>
        <w:t xml:space="preserve">The consultation broadly agreed with the </w:t>
      </w:r>
      <w:r w:rsidRPr="5678E5C0">
        <w:rPr>
          <w:rFonts w:eastAsia="Franklin Gothic Book" w:cs="Franklin Gothic Book"/>
        </w:rPr>
        <w:t xml:space="preserve">initially </w:t>
      </w:r>
      <w:r w:rsidRPr="00DE19FE">
        <w:rPr>
          <w:rFonts w:eastAsia="Franklin Gothic Book" w:cs="Franklin Gothic Book"/>
        </w:rPr>
        <w:t>proposed comparator</w:t>
      </w:r>
      <w:r>
        <w:rPr>
          <w:rFonts w:eastAsia="Franklin Gothic Book" w:cs="Franklin Gothic Book"/>
        </w:rPr>
        <w:t xml:space="preserve"> </w:t>
      </w:r>
      <w:r w:rsidRPr="70CA461F">
        <w:rPr>
          <w:rFonts w:eastAsia="Franklin Gothic Book" w:cs="Franklin Gothic Book"/>
        </w:rPr>
        <w:t>(</w:t>
      </w:r>
      <w:r w:rsidRPr="6625DBBC">
        <w:rPr>
          <w:rFonts w:eastAsia="Franklin Gothic Book" w:cs="Franklin Gothic Book"/>
        </w:rPr>
        <w:t>liver ultrasound</w:t>
      </w:r>
      <w:r w:rsidRPr="0536AFE1">
        <w:rPr>
          <w:rFonts w:eastAsia="Franklin Gothic Book" w:cs="Franklin Gothic Book"/>
        </w:rPr>
        <w:t>)</w:t>
      </w:r>
      <w:r w:rsidRPr="00DE19FE">
        <w:rPr>
          <w:rFonts w:eastAsia="Franklin Gothic Book" w:cs="Franklin Gothic Book"/>
        </w:rPr>
        <w:t xml:space="preserve">, </w:t>
      </w:r>
      <w:r w:rsidRPr="0536AFE1">
        <w:rPr>
          <w:rFonts w:eastAsia="Franklin Gothic Book" w:cs="Franklin Gothic Book"/>
        </w:rPr>
        <w:t>although</w:t>
      </w:r>
      <w:r w:rsidRPr="00DE19FE">
        <w:rPr>
          <w:rFonts w:eastAsia="Franklin Gothic Book" w:cs="Franklin Gothic Book"/>
        </w:rPr>
        <w:t xml:space="preserve"> GESA </w:t>
      </w:r>
      <w:r>
        <w:rPr>
          <w:rFonts w:eastAsia="Franklin Gothic Book" w:cs="Franklin Gothic Book"/>
        </w:rPr>
        <w:t>noted</w:t>
      </w:r>
      <w:r w:rsidRPr="00DE19FE">
        <w:rPr>
          <w:rFonts w:eastAsia="Franklin Gothic Book" w:cs="Franklin Gothic Book"/>
        </w:rPr>
        <w:t xml:space="preserve"> that ultrasound lacks sensitivity and specificity for liver cirrhosis diagnosis.</w:t>
      </w:r>
      <w:r>
        <w:rPr>
          <w:rFonts w:eastAsia="Franklin Gothic Book" w:cs="Franklin Gothic Book"/>
        </w:rPr>
        <w:t xml:space="preserve"> A health professional noted </w:t>
      </w:r>
      <w:r w:rsidRPr="3075B34B">
        <w:rPr>
          <w:rFonts w:eastAsia="Franklin Gothic Book" w:cs="Franklin Gothic Book"/>
        </w:rPr>
        <w:t>that shear</w:t>
      </w:r>
      <w:r w:rsidRPr="464814BB">
        <w:rPr>
          <w:rFonts w:eastAsia="Franklin Gothic Book" w:cs="Franklin Gothic Book"/>
        </w:rPr>
        <w:t xml:space="preserve"> wave</w:t>
      </w:r>
      <w:r w:rsidRPr="00F55392">
        <w:rPr>
          <w:rFonts w:eastAsia="Franklin Gothic Book" w:cs="Franklin Gothic Book"/>
        </w:rPr>
        <w:t xml:space="preserve"> elastography</w:t>
      </w:r>
      <w:r>
        <w:rPr>
          <w:rFonts w:eastAsia="Franklin Gothic Book" w:cs="Franklin Gothic Book"/>
        </w:rPr>
        <w:t xml:space="preserve"> (SWE) </w:t>
      </w:r>
      <w:r w:rsidRPr="6ADB2C2E">
        <w:rPr>
          <w:rFonts w:eastAsia="Franklin Gothic Book" w:cs="Franklin Gothic Book"/>
        </w:rPr>
        <w:t xml:space="preserve">is </w:t>
      </w:r>
      <w:r w:rsidRPr="287254EA">
        <w:rPr>
          <w:rFonts w:eastAsia="Franklin Gothic Book" w:cs="Franklin Gothic Book"/>
        </w:rPr>
        <w:t>currently</w:t>
      </w:r>
      <w:r>
        <w:rPr>
          <w:rFonts w:eastAsia="Franklin Gothic Book" w:cs="Franklin Gothic Book"/>
        </w:rPr>
        <w:t xml:space="preserve"> available </w:t>
      </w:r>
      <w:r w:rsidRPr="1F45DED2">
        <w:rPr>
          <w:rFonts w:eastAsia="Franklin Gothic Book" w:cs="Franklin Gothic Book"/>
        </w:rPr>
        <w:t xml:space="preserve">and could be an </w:t>
      </w:r>
      <w:r w:rsidRPr="6BB4F6C3">
        <w:rPr>
          <w:rFonts w:eastAsia="Franklin Gothic Book" w:cs="Franklin Gothic Book"/>
        </w:rPr>
        <w:t>appropriate</w:t>
      </w:r>
      <w:r w:rsidRPr="1F45DED2">
        <w:rPr>
          <w:rFonts w:eastAsia="Franklin Gothic Book" w:cs="Franklin Gothic Book"/>
        </w:rPr>
        <w:t xml:space="preserve"> </w:t>
      </w:r>
      <w:r>
        <w:rPr>
          <w:rFonts w:eastAsia="Franklin Gothic Book" w:cs="Franklin Gothic Book"/>
        </w:rPr>
        <w:t>comparator</w:t>
      </w:r>
      <w:r w:rsidRPr="40697799">
        <w:rPr>
          <w:rFonts w:eastAsia="Franklin Gothic Book" w:cs="Franklin Gothic Book"/>
        </w:rPr>
        <w:t xml:space="preserve"> </w:t>
      </w:r>
      <w:r w:rsidRPr="2B9414E7">
        <w:rPr>
          <w:rFonts w:eastAsia="Franklin Gothic Book" w:cs="Franklin Gothic Book"/>
        </w:rPr>
        <w:t xml:space="preserve">but stated that </w:t>
      </w:r>
      <w:r w:rsidRPr="79AA3C80">
        <w:rPr>
          <w:rFonts w:eastAsia="Franklin Gothic Book" w:cs="Franklin Gothic Book"/>
        </w:rPr>
        <w:t>SWE</w:t>
      </w:r>
      <w:r w:rsidRPr="4F6A8B17">
        <w:rPr>
          <w:rFonts w:eastAsia="Franklin Gothic Book" w:cs="Franklin Gothic Book"/>
        </w:rPr>
        <w:t xml:space="preserve"> has</w:t>
      </w:r>
      <w:r w:rsidRPr="2F8E8757">
        <w:rPr>
          <w:rFonts w:eastAsia="Franklin Gothic Book" w:cs="Franklin Gothic Book"/>
        </w:rPr>
        <w:t xml:space="preserve"> </w:t>
      </w:r>
      <w:r>
        <w:rPr>
          <w:rFonts w:eastAsia="Franklin Gothic Book" w:cs="Franklin Gothic Book"/>
        </w:rPr>
        <w:t xml:space="preserve">issues </w:t>
      </w:r>
      <w:r w:rsidRPr="245501A8">
        <w:rPr>
          <w:rFonts w:eastAsia="Franklin Gothic Book" w:cs="Franklin Gothic Book"/>
        </w:rPr>
        <w:t>including</w:t>
      </w:r>
      <w:r w:rsidRPr="00F55392">
        <w:rPr>
          <w:rFonts w:eastAsia="Franklin Gothic Book" w:cs="Franklin Gothic Book"/>
        </w:rPr>
        <w:t xml:space="preserve"> </w:t>
      </w:r>
      <w:r>
        <w:rPr>
          <w:rFonts w:eastAsia="Franklin Gothic Book" w:cs="Franklin Gothic Book"/>
        </w:rPr>
        <w:t>u</w:t>
      </w:r>
      <w:r w:rsidRPr="00F55392">
        <w:rPr>
          <w:rFonts w:eastAsia="Franklin Gothic Book" w:cs="Franklin Gothic Book"/>
        </w:rPr>
        <w:t>ser variability and discrepancy in results</w:t>
      </w:r>
      <w:r>
        <w:rPr>
          <w:rFonts w:eastAsia="Franklin Gothic Book" w:cs="Franklin Gothic Book"/>
        </w:rPr>
        <w:t>,</w:t>
      </w:r>
      <w:r w:rsidRPr="00F55392">
        <w:rPr>
          <w:rFonts w:eastAsia="Franklin Gothic Book" w:cs="Franklin Gothic Book"/>
        </w:rPr>
        <w:t xml:space="preserve"> </w:t>
      </w:r>
      <w:r>
        <w:rPr>
          <w:rFonts w:eastAsia="Franklin Gothic Book" w:cs="Franklin Gothic Book"/>
        </w:rPr>
        <w:t xml:space="preserve">and that </w:t>
      </w:r>
      <w:r w:rsidRPr="00F55392">
        <w:rPr>
          <w:rFonts w:eastAsia="Franklin Gothic Book" w:cs="Franklin Gothic Book"/>
        </w:rPr>
        <w:t xml:space="preserve">results </w:t>
      </w:r>
      <w:r w:rsidRPr="411CB799">
        <w:rPr>
          <w:rFonts w:eastAsia="Franklin Gothic Book" w:cs="Franklin Gothic Book"/>
        </w:rPr>
        <w:t xml:space="preserve">comparatively </w:t>
      </w:r>
      <w:r w:rsidRPr="00F55392">
        <w:rPr>
          <w:rFonts w:eastAsia="Franklin Gothic Book" w:cs="Franklin Gothic Book"/>
        </w:rPr>
        <w:t>favour VCTE in accuracy and applicability.</w:t>
      </w:r>
    </w:p>
    <w:p w14:paraId="5893DBAE" w14:textId="77777777" w:rsidR="00394903" w:rsidRPr="00DE19FE" w:rsidRDefault="00394903" w:rsidP="00872EFA">
      <w:pPr>
        <w:pStyle w:val="ListParagraph"/>
        <w:numPr>
          <w:ilvl w:val="0"/>
          <w:numId w:val="31"/>
        </w:numPr>
        <w:tabs>
          <w:tab w:val="left" w:pos="3686"/>
        </w:tabs>
        <w:spacing w:after="240" w:line="257" w:lineRule="auto"/>
        <w:ind w:left="714" w:hanging="357"/>
        <w:contextualSpacing w:val="0"/>
        <w:rPr>
          <w:rFonts w:eastAsia="Franklin Gothic Book" w:cs="Franklin Gothic Book"/>
        </w:rPr>
      </w:pPr>
      <w:r w:rsidRPr="00DE19FE">
        <w:rPr>
          <w:rFonts w:eastAsia="Franklin Gothic Book" w:cs="Franklin Gothic Book"/>
        </w:rPr>
        <w:t xml:space="preserve">There is concern that without specialist interpretation, primary care use of VCTE could lead to mismanagement due to complexity of interpreting </w:t>
      </w:r>
      <w:r>
        <w:rPr>
          <w:rFonts w:eastAsia="Franklin Gothic Book" w:cs="Franklin Gothic Book"/>
        </w:rPr>
        <w:t>non-invasive liver tests</w:t>
      </w:r>
      <w:r w:rsidRPr="00DE19FE">
        <w:rPr>
          <w:rFonts w:eastAsia="Franklin Gothic Book" w:cs="Franklin Gothic Book"/>
        </w:rPr>
        <w:t>.</w:t>
      </w:r>
      <w:r>
        <w:rPr>
          <w:rFonts w:eastAsia="Franklin Gothic Book" w:cs="Franklin Gothic Book"/>
        </w:rPr>
        <w:t xml:space="preserve"> A health professional has noted that current Australian clinical practice reserves interpretation of non-invasive liver tests for specialist hepatologists/gastroenterologists.</w:t>
      </w:r>
    </w:p>
    <w:p w14:paraId="3B5F917B" w14:textId="77777777" w:rsidR="00394903" w:rsidRPr="004E7038" w:rsidRDefault="00394903" w:rsidP="00394903">
      <w:pPr>
        <w:rPr>
          <w:rFonts w:eastAsia="Franklin Gothic Book" w:cs="Franklin Gothic Book"/>
          <w:b/>
          <w:sz w:val="24"/>
          <w:szCs w:val="24"/>
        </w:rPr>
      </w:pPr>
      <w:r w:rsidRPr="004E7038">
        <w:rPr>
          <w:rFonts w:eastAsia="Franklin Gothic Book" w:cs="Franklin Gothic Book"/>
          <w:b/>
          <w:sz w:val="24"/>
          <w:szCs w:val="24"/>
        </w:rPr>
        <w:t xml:space="preserve">Perceived Advantages </w:t>
      </w:r>
    </w:p>
    <w:p w14:paraId="5C5CEB68" w14:textId="77777777" w:rsidR="00394903" w:rsidRPr="00DE19FE" w:rsidRDefault="00394903" w:rsidP="00394903">
      <w:pPr>
        <w:rPr>
          <w:rFonts w:eastAsia="Franklin Gothic Book" w:cs="Franklin Gothic Book"/>
        </w:rPr>
      </w:pPr>
      <w:r>
        <w:rPr>
          <w:rFonts w:eastAsia="Franklin Gothic Book" w:cs="Franklin Gothic Book"/>
        </w:rPr>
        <w:t>Advantages of the serviced noted in the input included:</w:t>
      </w:r>
    </w:p>
    <w:p w14:paraId="73BFD8CF" w14:textId="77777777" w:rsidR="00394903" w:rsidRPr="00DE19FE" w:rsidRDefault="00394903" w:rsidP="00872EFA">
      <w:pPr>
        <w:pStyle w:val="ListParagraph"/>
        <w:numPr>
          <w:ilvl w:val="0"/>
          <w:numId w:val="32"/>
        </w:numPr>
        <w:spacing w:before="0"/>
        <w:rPr>
          <w:rFonts w:eastAsia="Franklin Gothic Book" w:cs="Franklin Gothic Book"/>
        </w:rPr>
      </w:pPr>
      <w:r w:rsidRPr="00DE19FE">
        <w:rPr>
          <w:rFonts w:eastAsia="Franklin Gothic Book" w:cs="Franklin Gothic Book"/>
        </w:rPr>
        <w:t>VCTE is non-invasive, quick, painless, and provides immediate, quantifiable results that enhance patient understanding and engagement.</w:t>
      </w:r>
      <w:r>
        <w:rPr>
          <w:rFonts w:eastAsia="Franklin Gothic Book" w:cs="Franklin Gothic Book"/>
        </w:rPr>
        <w:t xml:space="preserve"> A </w:t>
      </w:r>
      <w:r w:rsidRPr="00E41E42">
        <w:rPr>
          <w:rFonts w:eastAsia="Franklin Gothic Book" w:cs="Franklin Gothic Book"/>
        </w:rPr>
        <w:t>liver specialist</w:t>
      </w:r>
      <w:r>
        <w:rPr>
          <w:rFonts w:eastAsia="Franklin Gothic Book" w:cs="Franklin Gothic Book"/>
        </w:rPr>
        <w:t xml:space="preserve"> health professional</w:t>
      </w:r>
      <w:r w:rsidRPr="00E41E42">
        <w:rPr>
          <w:rFonts w:eastAsia="Franklin Gothic Book" w:cs="Franklin Gothic Book"/>
        </w:rPr>
        <w:t xml:space="preserve"> described it as “indispensable for the routine management of liver disea</w:t>
      </w:r>
      <w:r>
        <w:rPr>
          <w:rFonts w:eastAsia="Franklin Gothic Book" w:cs="Franklin Gothic Book"/>
        </w:rPr>
        <w:t>se” and “</w:t>
      </w:r>
      <w:r w:rsidRPr="00E41E42">
        <w:rPr>
          <w:rFonts w:eastAsia="Franklin Gothic Book" w:cs="Franklin Gothic Book"/>
        </w:rPr>
        <w:t>akin to a chest X-ray for a respiratory physician.”</w:t>
      </w:r>
    </w:p>
    <w:p w14:paraId="21ED69D9" w14:textId="77777777" w:rsidR="00394903" w:rsidRPr="00DE19FE" w:rsidRDefault="00394903" w:rsidP="00872EFA">
      <w:pPr>
        <w:pStyle w:val="ListParagraph"/>
        <w:numPr>
          <w:ilvl w:val="0"/>
          <w:numId w:val="32"/>
        </w:numPr>
        <w:spacing w:before="0"/>
        <w:rPr>
          <w:rFonts w:eastAsia="Franklin Gothic Book" w:cs="Franklin Gothic Book"/>
        </w:rPr>
      </w:pPr>
      <w:r w:rsidRPr="5BBCD5E8">
        <w:rPr>
          <w:rFonts w:eastAsia="Franklin Gothic Book" w:cs="Franklin Gothic Book"/>
        </w:rPr>
        <w:t>VCTE might</w:t>
      </w:r>
      <w:r>
        <w:rPr>
          <w:rFonts w:eastAsia="Franklin Gothic Book" w:cs="Franklin Gothic Book"/>
        </w:rPr>
        <w:t xml:space="preserve"> </w:t>
      </w:r>
      <w:r w:rsidRPr="00DE19FE">
        <w:rPr>
          <w:rFonts w:eastAsia="Franklin Gothic Book" w:cs="Franklin Gothic Book"/>
        </w:rPr>
        <w:t>reduce the need for liver biopsies, which are invasive, costly, and carry risks such as bleeding and infection.</w:t>
      </w:r>
    </w:p>
    <w:p w14:paraId="2C026BFF" w14:textId="77777777" w:rsidR="00394903" w:rsidRPr="00DE19FE" w:rsidRDefault="00394903" w:rsidP="00872EFA">
      <w:pPr>
        <w:pStyle w:val="ListParagraph"/>
        <w:numPr>
          <w:ilvl w:val="0"/>
          <w:numId w:val="32"/>
        </w:numPr>
        <w:spacing w:before="0"/>
        <w:rPr>
          <w:rFonts w:eastAsia="Franklin Gothic Book" w:cs="Franklin Gothic Book"/>
        </w:rPr>
      </w:pPr>
      <w:r w:rsidRPr="00DE19FE">
        <w:rPr>
          <w:rFonts w:eastAsia="Franklin Gothic Book" w:cs="Franklin Gothic Book"/>
        </w:rPr>
        <w:t>The technology supports early detection and monitoring of liver disease, enabling timely intervention and lifestyle changes</w:t>
      </w:r>
      <w:r>
        <w:rPr>
          <w:rFonts w:eastAsia="Franklin Gothic Book" w:cs="Franklin Gothic Book"/>
        </w:rPr>
        <w:t xml:space="preserve"> that </w:t>
      </w:r>
      <w:r w:rsidRPr="00F22617">
        <w:rPr>
          <w:rFonts w:eastAsia="Franklin Gothic Book" w:cs="Franklin Gothic Book"/>
        </w:rPr>
        <w:t>reduc</w:t>
      </w:r>
      <w:r>
        <w:rPr>
          <w:rFonts w:eastAsia="Franklin Gothic Book" w:cs="Franklin Gothic Book"/>
        </w:rPr>
        <w:t>e</w:t>
      </w:r>
      <w:r w:rsidRPr="00F22617">
        <w:rPr>
          <w:rFonts w:eastAsia="Franklin Gothic Book" w:cs="Franklin Gothic Book"/>
        </w:rPr>
        <w:t xml:space="preserve"> the risk of severe complications and improv</w:t>
      </w:r>
      <w:r>
        <w:rPr>
          <w:rFonts w:eastAsia="Franklin Gothic Book" w:cs="Franklin Gothic Book"/>
        </w:rPr>
        <w:t>e</w:t>
      </w:r>
      <w:r w:rsidRPr="00F22617">
        <w:rPr>
          <w:rFonts w:eastAsia="Franklin Gothic Book" w:cs="Franklin Gothic Book"/>
        </w:rPr>
        <w:t xml:space="preserve"> outcomes</w:t>
      </w:r>
      <w:r w:rsidRPr="652AD63A">
        <w:rPr>
          <w:rFonts w:eastAsia="Franklin Gothic Book" w:cs="Franklin Gothic Book"/>
        </w:rPr>
        <w:t>.</w:t>
      </w:r>
      <w:r w:rsidRPr="00F22617">
        <w:rPr>
          <w:rFonts w:eastAsia="Franklin Gothic Book" w:cs="Franklin Gothic Book"/>
        </w:rPr>
        <w:t xml:space="preserve"> </w:t>
      </w:r>
      <w:r w:rsidRPr="790BEA88">
        <w:rPr>
          <w:rFonts w:eastAsia="Franklin Gothic Book" w:cs="Franklin Gothic Book"/>
        </w:rPr>
        <w:t>The</w:t>
      </w:r>
      <w:r>
        <w:rPr>
          <w:rFonts w:eastAsia="Franklin Gothic Book" w:cs="Franklin Gothic Book"/>
        </w:rPr>
        <w:t xml:space="preserve"> Liver Foundation </w:t>
      </w:r>
      <w:r w:rsidRPr="729B9674">
        <w:rPr>
          <w:rFonts w:eastAsia="Franklin Gothic Book" w:cs="Franklin Gothic Book"/>
        </w:rPr>
        <w:t>noted</w:t>
      </w:r>
      <w:r>
        <w:rPr>
          <w:rFonts w:eastAsia="Franklin Gothic Book" w:cs="Franklin Gothic Book"/>
        </w:rPr>
        <w:t xml:space="preserve"> these clinical benefits as well as economic benefits such as </w:t>
      </w:r>
      <w:r w:rsidRPr="00A15C26">
        <w:rPr>
          <w:rFonts w:eastAsia="Franklin Gothic Book" w:cs="Franklin Gothic Book"/>
        </w:rPr>
        <w:t>reducing unnecessary procedures and costs</w:t>
      </w:r>
      <w:r>
        <w:rPr>
          <w:rFonts w:eastAsia="Franklin Gothic Book" w:cs="Franklin Gothic Book"/>
        </w:rPr>
        <w:t>.</w:t>
      </w:r>
    </w:p>
    <w:p w14:paraId="73F5D805" w14:textId="77777777" w:rsidR="00394903" w:rsidRPr="00DE19FE" w:rsidRDefault="00394903" w:rsidP="00872EFA">
      <w:pPr>
        <w:pStyle w:val="ListParagraph"/>
        <w:numPr>
          <w:ilvl w:val="0"/>
          <w:numId w:val="32"/>
        </w:numPr>
        <w:spacing w:before="0"/>
        <w:rPr>
          <w:rFonts w:eastAsia="Franklin Gothic Book" w:cs="Franklin Gothic Book"/>
        </w:rPr>
      </w:pPr>
      <w:r w:rsidRPr="00DE19FE">
        <w:rPr>
          <w:rFonts w:eastAsia="Franklin Gothic Book" w:cs="Franklin Gothic Book"/>
        </w:rPr>
        <w:t xml:space="preserve">VCTE is portable and suitable for use in community and remote settings, </w:t>
      </w:r>
      <w:r w:rsidRPr="1644BEEE">
        <w:rPr>
          <w:rFonts w:eastAsia="Franklin Gothic Book" w:cs="Franklin Gothic Book"/>
        </w:rPr>
        <w:t xml:space="preserve">potentially </w:t>
      </w:r>
      <w:r w:rsidRPr="00DE19FE">
        <w:rPr>
          <w:rFonts w:eastAsia="Franklin Gothic Book" w:cs="Franklin Gothic Book"/>
        </w:rPr>
        <w:t xml:space="preserve">improving access for underserved </w:t>
      </w:r>
      <w:r w:rsidRPr="3F2698D2">
        <w:rPr>
          <w:rFonts w:eastAsia="Franklin Gothic Book" w:cs="Franklin Gothic Book"/>
        </w:rPr>
        <w:t xml:space="preserve">and remote </w:t>
      </w:r>
      <w:r w:rsidRPr="00DE19FE">
        <w:rPr>
          <w:rFonts w:eastAsia="Franklin Gothic Book" w:cs="Franklin Gothic Book"/>
        </w:rPr>
        <w:t>populations</w:t>
      </w:r>
      <w:r w:rsidRPr="3F2698D2">
        <w:rPr>
          <w:rFonts w:eastAsia="Franklin Gothic Book" w:cs="Franklin Gothic Book"/>
        </w:rPr>
        <w:t>.</w:t>
      </w:r>
    </w:p>
    <w:p w14:paraId="396D3579" w14:textId="77777777" w:rsidR="00394903" w:rsidRDefault="00394903" w:rsidP="00872EFA">
      <w:pPr>
        <w:pStyle w:val="ListParagraph"/>
        <w:numPr>
          <w:ilvl w:val="0"/>
          <w:numId w:val="32"/>
        </w:numPr>
        <w:spacing w:before="0" w:after="240"/>
        <w:ind w:left="714" w:hanging="357"/>
        <w:contextualSpacing w:val="0"/>
        <w:rPr>
          <w:rFonts w:eastAsia="Franklin Gothic Book" w:cs="Franklin Gothic Book"/>
        </w:rPr>
      </w:pPr>
      <w:r w:rsidRPr="00DE19FE">
        <w:rPr>
          <w:rFonts w:eastAsia="Franklin Gothic Book" w:cs="Franklin Gothic Book"/>
        </w:rPr>
        <w:t>The use of VCTE in primary care could reduce unnecessary referrals to specialists and streamline care pathways</w:t>
      </w:r>
      <w:r w:rsidRPr="53A4B002">
        <w:rPr>
          <w:rFonts w:eastAsia="Franklin Gothic Book" w:cs="Franklin Gothic Book"/>
        </w:rPr>
        <w:t>,</w:t>
      </w:r>
      <w:r>
        <w:rPr>
          <w:rFonts w:eastAsia="Franklin Gothic Book" w:cs="Franklin Gothic Book"/>
        </w:rPr>
        <w:t xml:space="preserve"> with GESA and a health professional noting it</w:t>
      </w:r>
      <w:r w:rsidRPr="006F1F2E">
        <w:rPr>
          <w:rFonts w:eastAsia="Franklin Gothic Book" w:cs="Franklin Gothic Book"/>
        </w:rPr>
        <w:t xml:space="preserve"> can substantially reduce the number of people requiring referral to tertiary services.</w:t>
      </w:r>
    </w:p>
    <w:p w14:paraId="2DA92DF6" w14:textId="06454F35" w:rsidR="00394903" w:rsidRPr="004E7038" w:rsidRDefault="00394903" w:rsidP="00394903">
      <w:pPr>
        <w:rPr>
          <w:rFonts w:eastAsia="Franklin Gothic Book" w:cs="Franklin Gothic Book"/>
          <w:b/>
          <w:sz w:val="24"/>
          <w:szCs w:val="24"/>
        </w:rPr>
      </w:pPr>
      <w:r w:rsidRPr="004E7038">
        <w:rPr>
          <w:rFonts w:eastAsia="Franklin Gothic Book" w:cs="Franklin Gothic Book"/>
          <w:b/>
          <w:sz w:val="24"/>
          <w:szCs w:val="24"/>
        </w:rPr>
        <w:t>Perceived Disadvantages</w:t>
      </w:r>
    </w:p>
    <w:p w14:paraId="4E550963" w14:textId="77777777" w:rsidR="00394903" w:rsidRPr="00DE19FE" w:rsidRDefault="00394903" w:rsidP="00394903">
      <w:pPr>
        <w:rPr>
          <w:rFonts w:eastAsia="Franklin Gothic Book" w:cs="Franklin Gothic Book"/>
        </w:rPr>
      </w:pPr>
      <w:r w:rsidRPr="00EE70E7">
        <w:rPr>
          <w:rFonts w:eastAsia="Franklin Gothic Book" w:cs="Franklin Gothic Book"/>
        </w:rPr>
        <w:t>Disadvantages of the service noted in the input included:</w:t>
      </w:r>
    </w:p>
    <w:p w14:paraId="2F55FEB2" w14:textId="77777777" w:rsidR="00394903" w:rsidRPr="008F4287" w:rsidRDefault="00394903" w:rsidP="00872EFA">
      <w:pPr>
        <w:pStyle w:val="ListParagraph"/>
        <w:numPr>
          <w:ilvl w:val="0"/>
          <w:numId w:val="29"/>
        </w:numPr>
        <w:spacing w:before="0"/>
        <w:rPr>
          <w:rFonts w:eastAsia="Franklin Gothic Book" w:cs="Franklin Gothic Book"/>
        </w:rPr>
      </w:pPr>
      <w:r w:rsidRPr="008F4287">
        <w:rPr>
          <w:rFonts w:eastAsia="Franklin Gothic Book" w:cs="Franklin Gothic Book"/>
        </w:rPr>
        <w:t xml:space="preserve">Access to VCTE is currently limited due to lack of </w:t>
      </w:r>
      <w:r>
        <w:rPr>
          <w:rFonts w:eastAsia="Franklin Gothic Book" w:cs="Franklin Gothic Book"/>
        </w:rPr>
        <w:t>devices</w:t>
      </w:r>
      <w:r w:rsidRPr="5B3A0AEF">
        <w:rPr>
          <w:rFonts w:eastAsia="Franklin Gothic Book" w:cs="Franklin Gothic Book"/>
        </w:rPr>
        <w:t xml:space="preserve">. </w:t>
      </w:r>
      <w:r w:rsidRPr="23D29284">
        <w:rPr>
          <w:rFonts w:eastAsia="Franklin Gothic Book" w:cs="Franklin Gothic Book"/>
        </w:rPr>
        <w:t>Feedback noted</w:t>
      </w:r>
      <w:r w:rsidRPr="008F4287">
        <w:rPr>
          <w:rFonts w:eastAsia="Franklin Gothic Book" w:cs="Franklin Gothic Book"/>
        </w:rPr>
        <w:t xml:space="preserve"> </w:t>
      </w:r>
      <w:r w:rsidRPr="3FA29244">
        <w:rPr>
          <w:rFonts w:eastAsia="Franklin Gothic Book" w:cs="Franklin Gothic Book"/>
        </w:rPr>
        <w:t xml:space="preserve">devices are </w:t>
      </w:r>
      <w:r w:rsidRPr="008F4287">
        <w:rPr>
          <w:rFonts w:eastAsia="Franklin Gothic Book" w:cs="Franklin Gothic Book"/>
        </w:rPr>
        <w:t>concentrat</w:t>
      </w:r>
      <w:r w:rsidRPr="5E520A79">
        <w:rPr>
          <w:rFonts w:eastAsia="Franklin Gothic Book" w:cs="Franklin Gothic Book"/>
        </w:rPr>
        <w:t>ed</w:t>
      </w:r>
      <w:r w:rsidRPr="008F4287">
        <w:rPr>
          <w:rFonts w:eastAsia="Franklin Gothic Book" w:cs="Franklin Gothic Book"/>
        </w:rPr>
        <w:t xml:space="preserve"> in specialist centres</w:t>
      </w:r>
      <w:r w:rsidRPr="0BF17085">
        <w:rPr>
          <w:rFonts w:eastAsia="Franklin Gothic Book" w:cs="Franklin Gothic Book"/>
        </w:rPr>
        <w:t>,</w:t>
      </w:r>
      <w:r>
        <w:rPr>
          <w:rFonts w:eastAsia="Franklin Gothic Book" w:cs="Franklin Gothic Book"/>
        </w:rPr>
        <w:t xml:space="preserve"> </w:t>
      </w:r>
      <w:r w:rsidRPr="6E1C1B75">
        <w:rPr>
          <w:rFonts w:eastAsia="Franklin Gothic Book" w:cs="Franklin Gothic Book"/>
        </w:rPr>
        <w:t xml:space="preserve">resulting in </w:t>
      </w:r>
      <w:r w:rsidRPr="1911297C">
        <w:rPr>
          <w:rFonts w:eastAsia="Franklin Gothic Book" w:cs="Franklin Gothic Book"/>
        </w:rPr>
        <w:t>long</w:t>
      </w:r>
      <w:r>
        <w:rPr>
          <w:rFonts w:eastAsia="Franklin Gothic Book" w:cs="Franklin Gothic Book"/>
        </w:rPr>
        <w:t xml:space="preserve"> wait times</w:t>
      </w:r>
      <w:r w:rsidRPr="41DCDB8D">
        <w:rPr>
          <w:rFonts w:eastAsia="Franklin Gothic Book" w:cs="Franklin Gothic Book"/>
        </w:rPr>
        <w:t>,</w:t>
      </w:r>
      <w:r>
        <w:rPr>
          <w:rFonts w:eastAsia="Franklin Gothic Book" w:cs="Franklin Gothic Book"/>
        </w:rPr>
        <w:t xml:space="preserve"> especially in regional and remote areas</w:t>
      </w:r>
      <w:r w:rsidRPr="6751C64B">
        <w:rPr>
          <w:rFonts w:eastAsia="Franklin Gothic Book" w:cs="Franklin Gothic Book"/>
        </w:rPr>
        <w:t xml:space="preserve">. Feedback </w:t>
      </w:r>
      <w:r w:rsidRPr="4FBAE791">
        <w:rPr>
          <w:rFonts w:eastAsia="Franklin Gothic Book" w:cs="Franklin Gothic Book"/>
        </w:rPr>
        <w:t xml:space="preserve">stated this </w:t>
      </w:r>
      <w:r>
        <w:rPr>
          <w:rFonts w:eastAsia="Franklin Gothic Book" w:cs="Franklin Gothic Book"/>
        </w:rPr>
        <w:t>can impose significant travel, financial and logistical burdens on those patients</w:t>
      </w:r>
      <w:r w:rsidRPr="008F4287">
        <w:rPr>
          <w:rFonts w:eastAsia="Franklin Gothic Book" w:cs="Franklin Gothic Book"/>
        </w:rPr>
        <w:t>.</w:t>
      </w:r>
    </w:p>
    <w:p w14:paraId="1118C371" w14:textId="77777777" w:rsidR="00394903" w:rsidRPr="00DE19FE" w:rsidRDefault="00394903" w:rsidP="00872EFA">
      <w:pPr>
        <w:pStyle w:val="ListParagraph"/>
        <w:numPr>
          <w:ilvl w:val="0"/>
          <w:numId w:val="29"/>
        </w:numPr>
        <w:spacing w:before="0"/>
        <w:rPr>
          <w:rFonts w:eastAsia="Franklin Gothic Book" w:cs="Franklin Gothic Book"/>
        </w:rPr>
      </w:pPr>
      <w:r w:rsidRPr="00B63C01">
        <w:rPr>
          <w:rFonts w:eastAsia="Franklin Gothic Book" w:cs="Franklin Gothic Book"/>
        </w:rPr>
        <w:t>The initial cost of purchasing VCTE devices may be prohibitive for smaller or rural clinics</w:t>
      </w:r>
      <w:r w:rsidRPr="27B77639">
        <w:rPr>
          <w:rFonts w:eastAsia="Franklin Gothic Book" w:cs="Franklin Gothic Book"/>
        </w:rPr>
        <w:t xml:space="preserve">, </w:t>
      </w:r>
      <w:r w:rsidRPr="6D226F55">
        <w:rPr>
          <w:rFonts w:eastAsia="Franklin Gothic Book" w:cs="Franklin Gothic Book"/>
        </w:rPr>
        <w:t>with</w:t>
      </w:r>
      <w:r>
        <w:t xml:space="preserve"> s</w:t>
      </w:r>
      <w:r w:rsidRPr="00B63C01">
        <w:rPr>
          <w:rFonts w:eastAsia="Franklin Gothic Book" w:cs="Franklin Gothic Book"/>
        </w:rPr>
        <w:t xml:space="preserve">ome </w:t>
      </w:r>
      <w:r>
        <w:rPr>
          <w:rFonts w:eastAsia="Franklin Gothic Book" w:cs="Franklin Gothic Book"/>
        </w:rPr>
        <w:t>inputs</w:t>
      </w:r>
      <w:r w:rsidRPr="00B63C01">
        <w:rPr>
          <w:rFonts w:eastAsia="Franklin Gothic Book" w:cs="Franklin Gothic Book"/>
        </w:rPr>
        <w:t xml:space="preserve"> </w:t>
      </w:r>
      <w:r w:rsidRPr="3D2077E3">
        <w:rPr>
          <w:rFonts w:eastAsia="Franklin Gothic Book" w:cs="Franklin Gothic Book"/>
        </w:rPr>
        <w:t>noting</w:t>
      </w:r>
      <w:r w:rsidRPr="00B63C01">
        <w:rPr>
          <w:rFonts w:eastAsia="Franklin Gothic Book" w:cs="Franklin Gothic Book"/>
        </w:rPr>
        <w:t xml:space="preserve"> that the proposed </w:t>
      </w:r>
      <w:r>
        <w:rPr>
          <w:rFonts w:eastAsia="Franklin Gothic Book" w:cs="Franklin Gothic Book"/>
        </w:rPr>
        <w:t>funding</w:t>
      </w:r>
      <w:r w:rsidRPr="00B63C01">
        <w:rPr>
          <w:rFonts w:eastAsia="Franklin Gothic Book" w:cs="Franklin Gothic Book"/>
        </w:rPr>
        <w:t xml:space="preserve"> may not be sufficient to support widespread implementation, especially in rural areas.</w:t>
      </w:r>
    </w:p>
    <w:p w14:paraId="7E0E722E" w14:textId="77777777" w:rsidR="00394903" w:rsidRPr="008F4287" w:rsidRDefault="00394903" w:rsidP="00872EFA">
      <w:pPr>
        <w:pStyle w:val="ListParagraph"/>
        <w:numPr>
          <w:ilvl w:val="0"/>
          <w:numId w:val="29"/>
        </w:numPr>
        <w:spacing w:before="0"/>
        <w:rPr>
          <w:rFonts w:eastAsia="Franklin Gothic Book" w:cs="Franklin Gothic Book"/>
        </w:rPr>
      </w:pPr>
      <w:r w:rsidRPr="008F4287">
        <w:rPr>
          <w:rFonts w:eastAsia="Franklin Gothic Book" w:cs="Franklin Gothic Book"/>
        </w:rPr>
        <w:t>There is a risk of over-reliance on VCTE without integrating it into a broader diagnostic algorithm that includes clinical scores and biomarkers</w:t>
      </w:r>
      <w:r>
        <w:rPr>
          <w:rFonts w:eastAsia="Franklin Gothic Book" w:cs="Franklin Gothic Book"/>
        </w:rPr>
        <w:t xml:space="preserve"> with RANZCR noting that the </w:t>
      </w:r>
      <w:r w:rsidRPr="00803716">
        <w:rPr>
          <w:rFonts w:eastAsia="Franklin Gothic Book" w:cs="Franklin Gothic Book"/>
        </w:rPr>
        <w:t>application does not acknowledge currently widely similarly available technology in practice, such as SWE, or less available but superior technology, magnetic resonance elastography (MRE)</w:t>
      </w:r>
      <w:r w:rsidRPr="008F4287">
        <w:rPr>
          <w:rFonts w:eastAsia="Franklin Gothic Book" w:cs="Franklin Gothic Book"/>
        </w:rPr>
        <w:t>.</w:t>
      </w:r>
    </w:p>
    <w:p w14:paraId="0B3F4E64" w14:textId="77777777" w:rsidR="00394903" w:rsidRPr="008F4287" w:rsidRDefault="00394903" w:rsidP="00872EFA">
      <w:pPr>
        <w:pStyle w:val="ListParagraph"/>
        <w:numPr>
          <w:ilvl w:val="0"/>
          <w:numId w:val="29"/>
        </w:numPr>
        <w:spacing w:before="0" w:after="240"/>
        <w:ind w:left="714" w:hanging="357"/>
        <w:contextualSpacing w:val="0"/>
        <w:rPr>
          <w:rFonts w:eastAsia="Franklin Gothic Book" w:cs="Franklin Gothic Book"/>
        </w:rPr>
      </w:pPr>
      <w:r>
        <w:rPr>
          <w:rFonts w:eastAsia="Franklin Gothic Book" w:cs="Franklin Gothic Book"/>
        </w:rPr>
        <w:t>The use</w:t>
      </w:r>
      <w:r w:rsidRPr="008F4287">
        <w:rPr>
          <w:rFonts w:eastAsia="Franklin Gothic Book" w:cs="Franklin Gothic Book"/>
        </w:rPr>
        <w:t xml:space="preserve"> of VCTE results requires </w:t>
      </w:r>
      <w:r>
        <w:rPr>
          <w:rFonts w:eastAsia="Franklin Gothic Book" w:cs="Franklin Gothic Book"/>
        </w:rPr>
        <w:t xml:space="preserve">proper training and </w:t>
      </w:r>
      <w:r w:rsidRPr="008F4287">
        <w:rPr>
          <w:rFonts w:eastAsia="Franklin Gothic Book" w:cs="Franklin Gothic Book"/>
        </w:rPr>
        <w:t>knowledge</w:t>
      </w:r>
      <w:r>
        <w:rPr>
          <w:rFonts w:eastAsia="Franklin Gothic Book" w:cs="Franklin Gothic Book"/>
        </w:rPr>
        <w:t xml:space="preserve"> of guidelines</w:t>
      </w:r>
      <w:r w:rsidRPr="008F4287">
        <w:rPr>
          <w:rFonts w:eastAsia="Franklin Gothic Book" w:cs="Franklin Gothic Book"/>
        </w:rPr>
        <w:t>, and inappropriate use in primary care could lead to misdiagnosis or unnecessary testing</w:t>
      </w:r>
      <w:r>
        <w:rPr>
          <w:rFonts w:eastAsia="Franklin Gothic Book" w:cs="Franklin Gothic Book"/>
        </w:rPr>
        <w:t xml:space="preserve"> as p</w:t>
      </w:r>
      <w:r w:rsidRPr="00EF7E8C">
        <w:rPr>
          <w:rFonts w:eastAsia="Franklin Gothic Book" w:cs="Franklin Gothic Book"/>
        </w:rPr>
        <w:t>rimary care settings currently lack the tools and infrastructure to properly evaluate liver fibrosis or cirrhosis</w:t>
      </w:r>
      <w:r w:rsidRPr="008F4287">
        <w:rPr>
          <w:rFonts w:eastAsia="Franklin Gothic Book" w:cs="Franklin Gothic Book"/>
        </w:rPr>
        <w:t>.</w:t>
      </w:r>
    </w:p>
    <w:p w14:paraId="16AF1996" w14:textId="46F1AC8E" w:rsidR="00394903" w:rsidRPr="004E7038" w:rsidRDefault="00394903" w:rsidP="000E64DE">
      <w:pPr>
        <w:keepNext/>
        <w:keepLines/>
        <w:rPr>
          <w:rFonts w:eastAsia="Franklin Gothic Book" w:cs="Franklin Gothic Book"/>
          <w:b/>
          <w:sz w:val="24"/>
          <w:szCs w:val="24"/>
        </w:rPr>
      </w:pPr>
      <w:r w:rsidRPr="004E7038">
        <w:rPr>
          <w:rFonts w:eastAsia="Franklin Gothic Book" w:cs="Franklin Gothic Book"/>
          <w:b/>
          <w:sz w:val="24"/>
          <w:szCs w:val="24"/>
        </w:rPr>
        <w:lastRenderedPageBreak/>
        <w:t xml:space="preserve">Support for Implementation and Issues </w:t>
      </w:r>
    </w:p>
    <w:p w14:paraId="56755F5D" w14:textId="77777777" w:rsidR="00394903" w:rsidRPr="00DE19FE" w:rsidRDefault="00394903" w:rsidP="00872EFA">
      <w:pPr>
        <w:pStyle w:val="ListParagraph"/>
        <w:keepNext/>
        <w:keepLines/>
        <w:numPr>
          <w:ilvl w:val="0"/>
          <w:numId w:val="34"/>
        </w:numPr>
        <w:spacing w:before="0"/>
        <w:rPr>
          <w:rFonts w:eastAsia="Franklin Gothic Book" w:cs="Franklin Gothic Book"/>
        </w:rPr>
      </w:pPr>
      <w:r w:rsidRPr="00DE19FE">
        <w:rPr>
          <w:rFonts w:eastAsia="Franklin Gothic Book" w:cs="Franklin Gothic Book"/>
        </w:rPr>
        <w:t>Consultation input was provided in relation to service delivery, stating that an increased number of VCTE machines would be required to support equitable access across Australia and training in the correct use of VCTE would need to be provided for specialists and nurses. GESA stated that portable VCTE mobile outreach regional services may be suitable and that these services have been used in Australia for the outreach viral hepatitis liver assessment program.</w:t>
      </w:r>
    </w:p>
    <w:p w14:paraId="6FD864C0" w14:textId="77777777" w:rsidR="00394903" w:rsidRPr="00DE19FE" w:rsidRDefault="00394903" w:rsidP="00872EFA">
      <w:pPr>
        <w:pStyle w:val="ListParagraph"/>
        <w:numPr>
          <w:ilvl w:val="0"/>
          <w:numId w:val="34"/>
        </w:numPr>
        <w:spacing w:before="0"/>
        <w:rPr>
          <w:rFonts w:eastAsia="Franklin Gothic Book" w:cs="Franklin Gothic Book"/>
        </w:rPr>
      </w:pPr>
      <w:r w:rsidRPr="00DE19FE">
        <w:rPr>
          <w:rFonts w:eastAsia="Franklin Gothic Book" w:cs="Franklin Gothic Book"/>
        </w:rPr>
        <w:t xml:space="preserve">The consultation input from health professionals and professional organisations varied from agreeing to disagreeing with the proposed item descriptor. One health professional stated the item should be restricted to specialist hepatologists and gastroenterologists as the results require specialist interpretation. RACGP stated that GPs are well placed to prevent, diagnose and manage MAFLD. RANZCR advocated for an item for non-invasive assessment of liver fibrosis that allows the use of multiple technologies including SWE and MRE. GESA disagreed with the frequency restriction stating it is not in line with the Australian GESA MAFLD consensus statement which recommends repeat assessment every 1-3 years depending on risk. </w:t>
      </w:r>
    </w:p>
    <w:p w14:paraId="5B9DFE27" w14:textId="77777777" w:rsidR="00394903" w:rsidRDefault="00394903" w:rsidP="00872EFA">
      <w:pPr>
        <w:pStyle w:val="ListParagraph"/>
        <w:numPr>
          <w:ilvl w:val="0"/>
          <w:numId w:val="34"/>
        </w:numPr>
        <w:spacing w:before="0" w:after="240"/>
        <w:ind w:left="714" w:hanging="357"/>
        <w:contextualSpacing w:val="0"/>
        <w:rPr>
          <w:rFonts w:eastAsia="Franklin Gothic Book" w:cs="Franklin Gothic Book"/>
        </w:rPr>
      </w:pPr>
      <w:r w:rsidRPr="00DE19FE">
        <w:rPr>
          <w:rFonts w:eastAsia="Franklin Gothic Book" w:cs="Franklin Gothic Book"/>
        </w:rPr>
        <w:t>The consultation input from health professionals and professional organisations ranged from agreeing to disagreeing with the proposed service fee, with some consultation input stating it should be higher to support the cost of VCTE machines and support small rural services. RACGP stated that the fee for GPs should be in line with other specialists as they are undertaking the same tasks.</w:t>
      </w:r>
    </w:p>
    <w:p w14:paraId="572C074B" w14:textId="77777777" w:rsidR="00394903" w:rsidRPr="00221B7A" w:rsidRDefault="00394903" w:rsidP="00394903">
      <w:pPr>
        <w:rPr>
          <w:rFonts w:eastAsia="Franklin Gothic Book" w:cs="Franklin Gothic Book"/>
          <w:b/>
          <w:bCs/>
          <w:sz w:val="24"/>
          <w:szCs w:val="24"/>
        </w:rPr>
      </w:pPr>
      <w:r w:rsidRPr="00221B7A">
        <w:rPr>
          <w:rFonts w:eastAsia="Franklin Gothic Book" w:cs="Franklin Gothic Book"/>
          <w:b/>
          <w:bCs/>
          <w:sz w:val="24"/>
          <w:szCs w:val="24"/>
        </w:rPr>
        <w:t>Additional Comments</w:t>
      </w:r>
    </w:p>
    <w:p w14:paraId="4F209C04" w14:textId="77777777" w:rsidR="00394903" w:rsidRDefault="00394903" w:rsidP="00872EFA">
      <w:pPr>
        <w:numPr>
          <w:ilvl w:val="0"/>
          <w:numId w:val="30"/>
        </w:numPr>
        <w:spacing w:before="0"/>
        <w:rPr>
          <w:rFonts w:eastAsia="Franklin Gothic Book" w:cs="Franklin Gothic Book"/>
        </w:rPr>
      </w:pPr>
      <w:r w:rsidRPr="00122309">
        <w:rPr>
          <w:rFonts w:eastAsia="Franklin Gothic Book" w:cs="Franklin Gothic Book"/>
        </w:rPr>
        <w:t>GESA noted that VCTE in combination with platelet count (blood test) has the additional benefit of triaging the need for invasive and expensive gastroscopy to diagnose portal hypertension in people with MAFLD.</w:t>
      </w:r>
    </w:p>
    <w:p w14:paraId="310E2224" w14:textId="77777777" w:rsidR="00394903" w:rsidRDefault="00394903" w:rsidP="00872EFA">
      <w:pPr>
        <w:numPr>
          <w:ilvl w:val="0"/>
          <w:numId w:val="30"/>
        </w:numPr>
        <w:spacing w:before="0"/>
        <w:rPr>
          <w:rFonts w:eastAsia="Franklin Gothic Book" w:cs="Franklin Gothic Book"/>
        </w:rPr>
      </w:pPr>
      <w:r>
        <w:rPr>
          <w:rFonts w:eastAsia="Franklin Gothic Book" w:cs="Franklin Gothic Book"/>
        </w:rPr>
        <w:t xml:space="preserve">ACNP noted that </w:t>
      </w:r>
      <w:r w:rsidRPr="00FB6493">
        <w:rPr>
          <w:rFonts w:eastAsia="Franklin Gothic Book" w:cs="Franklin Gothic Book"/>
        </w:rPr>
        <w:t>the proposed descriptor should be broadened to ensure equitable access and workforce flexibility, particularly in regional, rural, and remote Australia, where Nurse Practitioners (NPs) are often the sole health-care providers.</w:t>
      </w:r>
    </w:p>
    <w:p w14:paraId="06408D02" w14:textId="77777777" w:rsidR="00394903" w:rsidRPr="001C1472" w:rsidRDefault="00394903" w:rsidP="00872EFA">
      <w:pPr>
        <w:numPr>
          <w:ilvl w:val="0"/>
          <w:numId w:val="30"/>
        </w:numPr>
        <w:spacing w:before="0"/>
        <w:rPr>
          <w:rFonts w:eastAsia="Franklin Gothic Book" w:cs="Franklin Gothic Book"/>
        </w:rPr>
      </w:pPr>
      <w:r>
        <w:rPr>
          <w:rFonts w:eastAsia="Franklin Gothic Book" w:cs="Franklin Gothic Book"/>
        </w:rPr>
        <w:t>Hepatitis Australia noted that e</w:t>
      </w:r>
      <w:r w:rsidRPr="00780AB6">
        <w:rPr>
          <w:rFonts w:eastAsia="Franklin Gothic Book" w:cs="Franklin Gothic Book"/>
        </w:rPr>
        <w:t xml:space="preserve">xpanding access to FibroScan for </w:t>
      </w:r>
      <w:r w:rsidRPr="6438B457">
        <w:rPr>
          <w:rFonts w:eastAsia="Franklin Gothic Book" w:cs="Franklin Gothic Book"/>
        </w:rPr>
        <w:t>MAFLD</w:t>
      </w:r>
      <w:r w:rsidRPr="00780AB6">
        <w:rPr>
          <w:rFonts w:eastAsia="Franklin Gothic Book" w:cs="Franklin Gothic Book"/>
        </w:rPr>
        <w:t xml:space="preserve"> will also strengthen the infrastructure and service models that benefit communities affected by hepatitis B and hepatitis C, particularly in primary care, rural and regional areas, and culturally safe settings</w:t>
      </w:r>
      <w:r>
        <w:rPr>
          <w:rFonts w:eastAsia="Franklin Gothic Book" w:cs="Franklin Gothic Book"/>
        </w:rPr>
        <w:t>.</w:t>
      </w:r>
    </w:p>
    <w:p w14:paraId="03C7A1F1" w14:textId="54A0CDCE" w:rsidR="00772829" w:rsidRPr="00CE28E3" w:rsidRDefault="0018750D" w:rsidP="002A18BE">
      <w:pPr>
        <w:pStyle w:val="Heading2"/>
        <w:numPr>
          <w:ilvl w:val="0"/>
          <w:numId w:val="0"/>
        </w:numPr>
      </w:pPr>
      <w:bookmarkStart w:id="27" w:name="_Toc69491422"/>
      <w:bookmarkEnd w:id="25"/>
      <w:r>
        <w:t>10</w:t>
      </w:r>
      <w:r w:rsidR="00C36633">
        <w:t>.</w:t>
      </w:r>
      <w:r w:rsidR="00C36633">
        <w:tab/>
      </w:r>
      <w:r w:rsidR="00772829" w:rsidRPr="00CE28E3">
        <w:t>Characteristics of the evidence base</w:t>
      </w:r>
      <w:bookmarkEnd w:id="27"/>
    </w:p>
    <w:p w14:paraId="391CD415" w14:textId="2F33C391" w:rsidR="00CF63A6" w:rsidRPr="00F31B8F" w:rsidRDefault="00CF63A6" w:rsidP="00CF63A6">
      <w:pPr>
        <w:pStyle w:val="Instructionaltext"/>
        <w:rPr>
          <w:color w:val="auto"/>
        </w:rPr>
      </w:pPr>
      <w:r w:rsidRPr="005510CA">
        <w:rPr>
          <w:color w:val="auto"/>
        </w:rPr>
        <w:t xml:space="preserve">The evidence base </w:t>
      </w:r>
      <w:r w:rsidR="005510CA">
        <w:rPr>
          <w:color w:val="auto"/>
        </w:rPr>
        <w:t xml:space="preserve">in the ADAR was </w:t>
      </w:r>
      <w:r w:rsidRPr="005510CA">
        <w:rPr>
          <w:color w:val="auto"/>
        </w:rPr>
        <w:t>comprise</w:t>
      </w:r>
      <w:r w:rsidR="005510CA">
        <w:rPr>
          <w:color w:val="auto"/>
        </w:rPr>
        <w:t>d of</w:t>
      </w:r>
      <w:r w:rsidRPr="005510CA">
        <w:rPr>
          <w:color w:val="auto"/>
        </w:rPr>
        <w:t xml:space="preserve"> a mix of systematic reviews, meta-analyses, prospective cohorts, and </w:t>
      </w:r>
      <w:r w:rsidRPr="00CF63A6">
        <w:rPr>
          <w:color w:val="auto"/>
        </w:rPr>
        <w:t>modelling</w:t>
      </w:r>
      <w:r w:rsidRPr="00F31B8F">
        <w:rPr>
          <w:color w:val="auto"/>
        </w:rPr>
        <w:t xml:space="preserve"> studies evaluating the diagnostic and prognostic performance of VCTE</w:t>
      </w:r>
      <w:r w:rsidR="001F6A67">
        <w:rPr>
          <w:color w:val="auto"/>
        </w:rPr>
        <w:t>™</w:t>
      </w:r>
      <w:r w:rsidR="00C8185E">
        <w:rPr>
          <w:color w:val="auto"/>
        </w:rPr>
        <w:t>.</w:t>
      </w:r>
      <w:r w:rsidRPr="00F31B8F">
        <w:rPr>
          <w:color w:val="auto"/>
        </w:rPr>
        <w:t xml:space="preserve"> Mozes 2022</w:t>
      </w:r>
      <w:r w:rsidR="00C8185E">
        <w:rPr>
          <w:color w:val="auto"/>
        </w:rPr>
        <w:t>, a</w:t>
      </w:r>
      <w:r w:rsidR="00360CFC">
        <w:rPr>
          <w:color w:val="auto"/>
        </w:rPr>
        <w:t>n individual patient data (IPD) meta-analysis,</w:t>
      </w:r>
      <w:r w:rsidRPr="00F31B8F">
        <w:rPr>
          <w:color w:val="auto"/>
        </w:rPr>
        <w:t xml:space="preserve"> served as the pivotal diagnostic accuracy study, presenting cross-sectional accuracy data </w:t>
      </w:r>
      <w:r w:rsidR="00360CFC">
        <w:rPr>
          <w:color w:val="auto"/>
        </w:rPr>
        <w:t>for VCTE (as stand alone, without any prior testing)</w:t>
      </w:r>
      <w:r w:rsidR="00ED0FC8">
        <w:rPr>
          <w:color w:val="auto"/>
        </w:rPr>
        <w:t xml:space="preserve"> compared to liver biopsy as the reference standard,</w:t>
      </w:r>
      <w:r w:rsidR="00360CFC">
        <w:rPr>
          <w:color w:val="auto"/>
        </w:rPr>
        <w:t xml:space="preserve"> </w:t>
      </w:r>
      <w:r w:rsidRPr="00F31B8F">
        <w:rPr>
          <w:color w:val="auto"/>
        </w:rPr>
        <w:t xml:space="preserve">and </w:t>
      </w:r>
      <w:r w:rsidR="00360CFC">
        <w:rPr>
          <w:color w:val="auto"/>
        </w:rPr>
        <w:t>statistical modelling of</w:t>
      </w:r>
      <w:r w:rsidRPr="00F31B8F">
        <w:rPr>
          <w:color w:val="auto"/>
        </w:rPr>
        <w:t xml:space="preserve"> the sequential FIB-4</w:t>
      </w:r>
      <w:r w:rsidR="00777E69">
        <w:rPr>
          <w:color w:val="auto"/>
        </w:rPr>
        <w:t xml:space="preserve"> to </w:t>
      </w:r>
      <w:r w:rsidRPr="00F31B8F">
        <w:rPr>
          <w:color w:val="auto"/>
        </w:rPr>
        <w:t xml:space="preserve">VCTE pathway in indeterminate FIB-4 </w:t>
      </w:r>
      <w:r w:rsidR="00360CFC">
        <w:rPr>
          <w:color w:val="auto"/>
        </w:rPr>
        <w:t>patients</w:t>
      </w:r>
      <w:r w:rsidRPr="00F31B8F">
        <w:rPr>
          <w:color w:val="auto"/>
        </w:rPr>
        <w:t>, albeit with high risk of bias. Mozes 2023</w:t>
      </w:r>
      <w:r w:rsidR="007B03B0">
        <w:rPr>
          <w:color w:val="auto"/>
        </w:rPr>
        <w:t>, another IPD meta-analysis,</w:t>
      </w:r>
      <w:r w:rsidRPr="00F31B8F">
        <w:rPr>
          <w:color w:val="auto"/>
        </w:rPr>
        <w:t xml:space="preserve"> </w:t>
      </w:r>
      <w:r w:rsidR="00360CFC">
        <w:rPr>
          <w:color w:val="auto"/>
        </w:rPr>
        <w:t xml:space="preserve">was relied upon to </w:t>
      </w:r>
      <w:r w:rsidRPr="00F31B8F">
        <w:rPr>
          <w:color w:val="auto"/>
        </w:rPr>
        <w:t>provide longitudinal prognostic evidence, assessing the association between baseline VCTE and future liver-related events and mortality, but did not evaluate se</w:t>
      </w:r>
      <w:r w:rsidR="00360CFC">
        <w:rPr>
          <w:color w:val="auto"/>
        </w:rPr>
        <w:t>quential</w:t>
      </w:r>
      <w:r w:rsidRPr="00F31B8F">
        <w:rPr>
          <w:color w:val="auto"/>
        </w:rPr>
        <w:t xml:space="preserve"> testing</w:t>
      </w:r>
      <w:r w:rsidR="00360CFC">
        <w:rPr>
          <w:color w:val="auto"/>
        </w:rPr>
        <w:t xml:space="preserve">, repeated testing </w:t>
      </w:r>
      <w:r w:rsidRPr="00F31B8F">
        <w:rPr>
          <w:color w:val="auto"/>
        </w:rPr>
        <w:t>or change over time.</w:t>
      </w:r>
      <w:r w:rsidR="00BB19DC">
        <w:rPr>
          <w:color w:val="auto"/>
        </w:rPr>
        <w:t xml:space="preserve"> </w:t>
      </w:r>
      <w:r w:rsidR="458CF619" w:rsidRPr="7705C87F">
        <w:rPr>
          <w:color w:val="auto"/>
        </w:rPr>
        <w:t>Both of these studies</w:t>
      </w:r>
      <w:r w:rsidR="458CF619" w:rsidRPr="1BB939D0">
        <w:rPr>
          <w:color w:val="auto"/>
        </w:rPr>
        <w:t xml:space="preserve"> </w:t>
      </w:r>
      <w:r w:rsidR="458CF619" w:rsidRPr="115FC708">
        <w:rPr>
          <w:color w:val="auto"/>
        </w:rPr>
        <w:t xml:space="preserve">presented data from a </w:t>
      </w:r>
      <w:r w:rsidR="458CF619" w:rsidRPr="57691136">
        <w:rPr>
          <w:color w:val="auto"/>
        </w:rPr>
        <w:t xml:space="preserve">tertiary population </w:t>
      </w:r>
      <w:r w:rsidR="458CF619" w:rsidRPr="0543E978">
        <w:rPr>
          <w:color w:val="auto"/>
        </w:rPr>
        <w:t xml:space="preserve">but not from </w:t>
      </w:r>
      <w:r w:rsidR="458CF619" w:rsidRPr="119C9921">
        <w:rPr>
          <w:color w:val="auto"/>
        </w:rPr>
        <w:t xml:space="preserve">primary care. </w:t>
      </w:r>
      <w:r w:rsidR="00BB19DC" w:rsidRPr="119C9921">
        <w:rPr>
          <w:color w:val="auto"/>
        </w:rPr>
        <w:t>The</w:t>
      </w:r>
      <w:r w:rsidR="00BB19DC">
        <w:rPr>
          <w:color w:val="auto"/>
        </w:rPr>
        <w:t xml:space="preserve"> commentary noted that poor applicability was a common limitation with the literature identified, with most studies not </w:t>
      </w:r>
      <w:r w:rsidR="00FC0E93">
        <w:rPr>
          <w:color w:val="auto"/>
        </w:rPr>
        <w:t xml:space="preserve">assessing a sequential testing strategy of FIB-4 </w:t>
      </w:r>
      <w:r w:rsidR="00FC0E93">
        <w:rPr>
          <w:color w:val="auto"/>
        </w:rPr>
        <w:lastRenderedPageBreak/>
        <w:t xml:space="preserve">followed by VCTE, and/or not assessing VCTE </w:t>
      </w:r>
      <w:r w:rsidR="00971DD8">
        <w:rPr>
          <w:color w:val="auto"/>
        </w:rPr>
        <w:t>using</w:t>
      </w:r>
      <w:r w:rsidR="000E08D4">
        <w:rPr>
          <w:color w:val="auto"/>
        </w:rPr>
        <w:t xml:space="preserve"> </w:t>
      </w:r>
      <w:r w:rsidR="00FC0E93">
        <w:rPr>
          <w:color w:val="auto"/>
        </w:rPr>
        <w:t>the</w:t>
      </w:r>
      <w:r w:rsidR="006023A8">
        <w:rPr>
          <w:color w:val="auto"/>
        </w:rPr>
        <w:t xml:space="preserve"> LSM</w:t>
      </w:r>
      <w:r w:rsidR="00FC0E93">
        <w:rPr>
          <w:color w:val="auto"/>
        </w:rPr>
        <w:t xml:space="preserve"> threshold</w:t>
      </w:r>
      <w:r w:rsidR="0032238A">
        <w:rPr>
          <w:color w:val="auto"/>
        </w:rPr>
        <w:t xml:space="preserve"> for</w:t>
      </w:r>
      <w:r w:rsidR="00971DD8">
        <w:rPr>
          <w:color w:val="auto"/>
        </w:rPr>
        <w:t xml:space="preserve"> high risk of</w:t>
      </w:r>
      <w:r w:rsidR="0032238A">
        <w:rPr>
          <w:color w:val="auto"/>
        </w:rPr>
        <w:t xml:space="preserve"> AF</w:t>
      </w:r>
      <w:r w:rsidR="00FC0E93">
        <w:rPr>
          <w:color w:val="auto"/>
        </w:rPr>
        <w:t xml:space="preserve"> proposed by the ADAR of 8.0</w:t>
      </w:r>
      <w:r w:rsidR="00A22D5B">
        <w:rPr>
          <w:color w:val="auto"/>
        </w:rPr>
        <w:t xml:space="preserve"> </w:t>
      </w:r>
      <w:r w:rsidR="00FC0E93">
        <w:rPr>
          <w:color w:val="auto"/>
        </w:rPr>
        <w:t xml:space="preserve">kPa. </w:t>
      </w:r>
      <w:r w:rsidR="00734E05">
        <w:rPr>
          <w:color w:val="auto"/>
        </w:rPr>
        <w:t xml:space="preserve">This led to significant limitations in the evidence base used to inform the ADAR and is discussed further in the relevant sections below. </w:t>
      </w:r>
      <w:r w:rsidR="00BB19DC">
        <w:rPr>
          <w:color w:val="auto"/>
        </w:rPr>
        <w:t xml:space="preserve"> </w:t>
      </w:r>
    </w:p>
    <w:p w14:paraId="1BFA63C0" w14:textId="33AD04D5" w:rsidR="00CF63A6" w:rsidRPr="00F31B8F" w:rsidRDefault="00B05A59" w:rsidP="00CF63A6">
      <w:pPr>
        <w:pStyle w:val="Instructionaltext"/>
        <w:rPr>
          <w:color w:val="auto"/>
        </w:rPr>
      </w:pPr>
      <w:r>
        <w:rPr>
          <w:color w:val="auto"/>
        </w:rPr>
        <w:t>The commentary noted that several s</w:t>
      </w:r>
      <w:r w:rsidR="00CF63A6" w:rsidRPr="00F31B8F">
        <w:rPr>
          <w:color w:val="auto"/>
        </w:rPr>
        <w:t xml:space="preserve">upporting studies </w:t>
      </w:r>
      <w:r>
        <w:rPr>
          <w:color w:val="auto"/>
        </w:rPr>
        <w:t xml:space="preserve">were identified by the ADAR </w:t>
      </w:r>
      <w:r w:rsidR="00A46D0A">
        <w:rPr>
          <w:color w:val="auto"/>
        </w:rPr>
        <w:t xml:space="preserve">that </w:t>
      </w:r>
      <w:r>
        <w:rPr>
          <w:color w:val="auto"/>
        </w:rPr>
        <w:t xml:space="preserve">may be relevant to the proposed research question, but the ADAR did not conduct </w:t>
      </w:r>
      <w:r w:rsidR="00951433">
        <w:rPr>
          <w:color w:val="auto"/>
        </w:rPr>
        <w:t xml:space="preserve">risk of bias assessments on these studies. Studies </w:t>
      </w:r>
      <w:r w:rsidR="00CF63A6" w:rsidRPr="00F31B8F">
        <w:rPr>
          <w:color w:val="auto"/>
        </w:rPr>
        <w:t xml:space="preserve">such as Leite 2025, Gawrieh 2024, Ciardullo 2023b, and Mu 2024 contributed </w:t>
      </w:r>
      <w:r w:rsidR="00360CFC">
        <w:rPr>
          <w:color w:val="auto"/>
        </w:rPr>
        <w:t xml:space="preserve">additional </w:t>
      </w:r>
      <w:r w:rsidR="00CF63A6" w:rsidRPr="00F31B8F">
        <w:rPr>
          <w:color w:val="auto"/>
        </w:rPr>
        <w:t xml:space="preserve">prognostic data, though none tested the proposed sequential pathway. Crossan 2019 and Stein 2023 addressed change in management, with the former </w:t>
      </w:r>
      <w:r w:rsidR="00E336F1" w:rsidRPr="00E336F1">
        <w:rPr>
          <w:color w:val="auto"/>
        </w:rPr>
        <w:t>modelling</w:t>
      </w:r>
      <w:r w:rsidR="00CF63A6" w:rsidRPr="00F31B8F">
        <w:rPr>
          <w:color w:val="auto"/>
        </w:rPr>
        <w:t xml:space="preserve"> downstream clinical impact and cost reduction, and the latter demonstrating improved referral outcomes in a real-world setting. Evidence directly linking testing strategies to health outcomes or treatment effect variation </w:t>
      </w:r>
      <w:r w:rsidR="00DC7404">
        <w:rPr>
          <w:color w:val="auto"/>
        </w:rPr>
        <w:t>was</w:t>
      </w:r>
      <w:r w:rsidR="00DC7404" w:rsidRPr="00F31B8F">
        <w:rPr>
          <w:color w:val="auto"/>
        </w:rPr>
        <w:t xml:space="preserve"> </w:t>
      </w:r>
      <w:r w:rsidR="00CF63A6" w:rsidRPr="00F31B8F">
        <w:rPr>
          <w:color w:val="auto"/>
        </w:rPr>
        <w:t>absent.</w:t>
      </w:r>
      <w:r w:rsidR="007B03B0">
        <w:rPr>
          <w:color w:val="auto"/>
        </w:rPr>
        <w:t xml:space="preserve"> Similarly, no studies focusing on the safety of testing, specifically the results of misclassification (false positive and negative</w:t>
      </w:r>
      <w:r w:rsidR="00FC61F2">
        <w:rPr>
          <w:color w:val="auto"/>
        </w:rPr>
        <w:t xml:space="preserve"> results</w:t>
      </w:r>
      <w:r w:rsidR="007B03B0">
        <w:rPr>
          <w:color w:val="auto"/>
        </w:rPr>
        <w:t xml:space="preserve">) were identified, nor were outcomes of misclassification discussed by the ADAR. </w:t>
      </w:r>
    </w:p>
    <w:p w14:paraId="54014DC1" w14:textId="212752D1" w:rsidR="00CF63A6" w:rsidRDefault="00CF63A6" w:rsidP="00CF63A6">
      <w:pPr>
        <w:pStyle w:val="Instructionaltext"/>
        <w:rPr>
          <w:color w:val="auto"/>
        </w:rPr>
      </w:pPr>
      <w:r w:rsidRPr="00F31B8F">
        <w:rPr>
          <w:color w:val="auto"/>
        </w:rPr>
        <w:t xml:space="preserve">Reliability of VCTE was primarily supported by Vuppalanchi 2018, which reported a high proportion of reliable scans (96.1%) when </w:t>
      </w:r>
      <w:r w:rsidR="004709E5">
        <w:rPr>
          <w:color w:val="auto"/>
        </w:rPr>
        <w:t xml:space="preserve">a </w:t>
      </w:r>
      <w:r w:rsidRPr="00F31B8F">
        <w:rPr>
          <w:color w:val="auto"/>
        </w:rPr>
        <w:t xml:space="preserve">standard </w:t>
      </w:r>
      <w:r w:rsidR="004709E5">
        <w:rPr>
          <w:color w:val="auto"/>
        </w:rPr>
        <w:t>ratio of interquartile range/median (</w:t>
      </w:r>
      <w:r w:rsidRPr="00F31B8F">
        <w:rPr>
          <w:color w:val="auto"/>
        </w:rPr>
        <w:t>IQR/M</w:t>
      </w:r>
      <w:r w:rsidR="004709E5">
        <w:rPr>
          <w:color w:val="auto"/>
        </w:rPr>
        <w:t>)</w:t>
      </w:r>
      <w:r w:rsidRPr="00F31B8F">
        <w:rPr>
          <w:color w:val="auto"/>
        </w:rPr>
        <w:t xml:space="preserve"> ≤ 0.30 criteria were met. However, stronger evidence from Mozes 2022 and Boursier 2013—cited in the main text but not listed in the appendix—highlighted the impact of LSM reliability on diagnostic accuracy and introduced more nuanced reliability criteria. These findings underscore the need for consistent application of robust quality standards to avoid overestimating test performance.</w:t>
      </w:r>
    </w:p>
    <w:p w14:paraId="2B8A377E" w14:textId="3ECB641F" w:rsidR="001F10EA" w:rsidRPr="00007DF9" w:rsidRDefault="001F10EA" w:rsidP="00CF63A6">
      <w:pPr>
        <w:pStyle w:val="Instructionaltext"/>
        <w:rPr>
          <w:color w:val="auto"/>
        </w:rPr>
      </w:pPr>
      <w:r w:rsidRPr="00007DF9">
        <w:rPr>
          <w:color w:val="auto"/>
        </w:rPr>
        <w:t xml:space="preserve">The ADAR evaluated VCTE’s clinical value mainly on the basis of improved diagnostic accuracy, with the assumption that this would guide management decisions in patients with MAFLD. However, it did not assess downstream health outcomes directly, instead inferring that earlier detection of fibrosis could reduce future complications. From an HTA perspective, this is insufficient, as it implies improved outcomes without demonstrating evidence of actual health benefits, and therefore does not fully align with </w:t>
      </w:r>
      <w:r w:rsidR="00400059">
        <w:rPr>
          <w:color w:val="auto"/>
        </w:rPr>
        <w:t xml:space="preserve">the </w:t>
      </w:r>
      <w:r w:rsidRPr="00007DF9">
        <w:rPr>
          <w:color w:val="auto"/>
        </w:rPr>
        <w:t>MSAC</w:t>
      </w:r>
      <w:r w:rsidR="00400059">
        <w:rPr>
          <w:color w:val="auto"/>
        </w:rPr>
        <w:t xml:space="preserve"> </w:t>
      </w:r>
      <w:r w:rsidR="00177336">
        <w:rPr>
          <w:color w:val="auto"/>
        </w:rPr>
        <w:t>guidelines</w:t>
      </w:r>
      <w:r w:rsidR="00177336" w:rsidRPr="00007DF9">
        <w:rPr>
          <w:color w:val="auto"/>
        </w:rPr>
        <w:t xml:space="preserve"> </w:t>
      </w:r>
      <w:r w:rsidR="00EB2FCA">
        <w:rPr>
          <w:color w:val="auto"/>
        </w:rPr>
        <w:t>detailed in</w:t>
      </w:r>
      <w:r w:rsidR="00EB2FCA" w:rsidRPr="00007DF9">
        <w:rPr>
          <w:color w:val="auto"/>
        </w:rPr>
        <w:t xml:space="preserve"> </w:t>
      </w:r>
      <w:r w:rsidRPr="00007DF9">
        <w:rPr>
          <w:color w:val="auto"/>
        </w:rPr>
        <w:t>T</w:t>
      </w:r>
      <w:r w:rsidR="00D652E1">
        <w:rPr>
          <w:color w:val="auto"/>
        </w:rPr>
        <w:t xml:space="preserve">echnical </w:t>
      </w:r>
      <w:r w:rsidRPr="00007DF9">
        <w:rPr>
          <w:color w:val="auto"/>
        </w:rPr>
        <w:t>G</w:t>
      </w:r>
      <w:r w:rsidR="00D652E1">
        <w:rPr>
          <w:color w:val="auto"/>
        </w:rPr>
        <w:t>uidance</w:t>
      </w:r>
      <w:r w:rsidRPr="00007DF9">
        <w:rPr>
          <w:color w:val="auto"/>
        </w:rPr>
        <w:t xml:space="preserve"> 9</w:t>
      </w:r>
      <w:r w:rsidR="009A7091">
        <w:rPr>
          <w:color w:val="auto"/>
        </w:rPr>
        <w:t xml:space="preserve"> (Assessment framework)</w:t>
      </w:r>
      <w:r w:rsidRPr="00007DF9">
        <w:rPr>
          <w:color w:val="auto"/>
        </w:rPr>
        <w:t>.</w:t>
      </w:r>
    </w:p>
    <w:p w14:paraId="005968B3" w14:textId="13BAB7BF" w:rsidR="00956ACE" w:rsidRPr="00CE28E3" w:rsidRDefault="006317FE" w:rsidP="000E64DE">
      <w:pPr>
        <w:pStyle w:val="Caption"/>
        <w:keepLines/>
        <w:spacing w:before="0" w:after="0"/>
        <w:rPr>
          <w:sz w:val="16"/>
          <w:szCs w:val="16"/>
        </w:rPr>
      </w:pPr>
      <w:r>
        <w:lastRenderedPageBreak/>
        <w:t xml:space="preserve">Table </w:t>
      </w:r>
      <w:r w:rsidR="003D48F8">
        <w:fldChar w:fldCharType="begin"/>
      </w:r>
      <w:r w:rsidR="003D48F8">
        <w:instrText xml:space="preserve"> SEQ Table \* ARABIC </w:instrText>
      </w:r>
      <w:r w:rsidR="003D48F8">
        <w:fldChar w:fldCharType="separate"/>
      </w:r>
      <w:r w:rsidR="003D48F8">
        <w:rPr>
          <w:noProof/>
        </w:rPr>
        <w:t>5</w:t>
      </w:r>
      <w:r w:rsidR="003D48F8">
        <w:rPr>
          <w:noProof/>
        </w:rPr>
        <w:fldChar w:fldCharType="end"/>
      </w:r>
      <w:r w:rsidR="00956ACE" w:rsidRPr="00CE28E3">
        <w:tab/>
        <w:t xml:space="preserve">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86"/>
        <w:gridCol w:w="1417"/>
        <w:gridCol w:w="1791"/>
      </w:tblGrid>
      <w:tr w:rsidR="00F8380C" w:rsidRPr="006317FE" w14:paraId="530E3954" w14:textId="77777777" w:rsidTr="003A5920">
        <w:trPr>
          <w:tblHeader/>
        </w:trPr>
        <w:tc>
          <w:tcPr>
            <w:tcW w:w="1177" w:type="pct"/>
            <w:tcBorders>
              <w:top w:val="single" w:sz="4" w:space="0" w:color="auto"/>
              <w:left w:val="single" w:sz="4" w:space="0" w:color="auto"/>
              <w:bottom w:val="single" w:sz="4" w:space="0" w:color="auto"/>
              <w:right w:val="single" w:sz="4" w:space="0" w:color="auto"/>
            </w:tcBorders>
            <w:vAlign w:val="center"/>
          </w:tcPr>
          <w:p w14:paraId="0112563A" w14:textId="3CE1178E" w:rsidR="00956ACE" w:rsidRPr="006317FE" w:rsidRDefault="00BC4972" w:rsidP="000E64DE">
            <w:pPr>
              <w:pStyle w:val="TableText"/>
              <w:keepNext/>
              <w:keepLines/>
              <w:spacing w:before="0" w:after="0"/>
              <w:jc w:val="center"/>
              <w:rPr>
                <w:b/>
              </w:rPr>
            </w:pPr>
            <w:bookmarkStart w:id="28" w:name="ColumnTitle_Table4"/>
            <w:bookmarkStart w:id="29" w:name="_Hlk68276288"/>
            <w:bookmarkEnd w:id="28"/>
            <w:r w:rsidRPr="006317FE">
              <w:rPr>
                <w:b/>
              </w:rPr>
              <w:t>Criteri</w:t>
            </w:r>
            <w:r w:rsidR="004D4425" w:rsidRPr="006317FE">
              <w:rPr>
                <w:b/>
              </w:rPr>
              <w:t>on</w:t>
            </w:r>
          </w:p>
        </w:tc>
        <w:tc>
          <w:tcPr>
            <w:tcW w:w="2044" w:type="pct"/>
            <w:tcBorders>
              <w:top w:val="single" w:sz="4" w:space="0" w:color="auto"/>
              <w:left w:val="single" w:sz="4" w:space="0" w:color="auto"/>
              <w:bottom w:val="single" w:sz="4" w:space="0" w:color="auto"/>
              <w:right w:val="single" w:sz="4" w:space="0" w:color="auto"/>
            </w:tcBorders>
            <w:vAlign w:val="center"/>
            <w:hideMark/>
          </w:tcPr>
          <w:p w14:paraId="37828F38" w14:textId="77777777" w:rsidR="00956ACE" w:rsidRPr="006317FE" w:rsidRDefault="00956ACE" w:rsidP="000E64DE">
            <w:pPr>
              <w:pStyle w:val="TableText"/>
              <w:keepNext/>
              <w:keepLines/>
              <w:spacing w:before="0" w:after="0"/>
              <w:jc w:val="center"/>
              <w:rPr>
                <w:b/>
              </w:rPr>
            </w:pPr>
            <w:r w:rsidRPr="006317FE">
              <w:rPr>
                <w:b/>
              </w:rPr>
              <w:t>Type of evidence supplied</w:t>
            </w:r>
          </w:p>
        </w:tc>
        <w:tc>
          <w:tcPr>
            <w:tcW w:w="786" w:type="pct"/>
            <w:tcBorders>
              <w:top w:val="single" w:sz="4" w:space="0" w:color="auto"/>
              <w:left w:val="single" w:sz="4" w:space="0" w:color="auto"/>
              <w:bottom w:val="single" w:sz="4" w:space="0" w:color="auto"/>
              <w:right w:val="single" w:sz="4" w:space="0" w:color="auto"/>
            </w:tcBorders>
            <w:vAlign w:val="center"/>
            <w:hideMark/>
          </w:tcPr>
          <w:p w14:paraId="26BD1646" w14:textId="77777777" w:rsidR="00956ACE" w:rsidRPr="006317FE" w:rsidRDefault="00956ACE" w:rsidP="000E64DE">
            <w:pPr>
              <w:pStyle w:val="TableText"/>
              <w:keepNext/>
              <w:keepLines/>
              <w:spacing w:before="0" w:after="0"/>
              <w:jc w:val="center"/>
              <w:rPr>
                <w:b/>
              </w:rPr>
            </w:pPr>
            <w:r w:rsidRPr="006317FE">
              <w:rPr>
                <w:b/>
              </w:rPr>
              <w:t>Extent of evidence supplied</w:t>
            </w:r>
          </w:p>
        </w:tc>
        <w:tc>
          <w:tcPr>
            <w:tcW w:w="993" w:type="pct"/>
            <w:tcBorders>
              <w:top w:val="single" w:sz="4" w:space="0" w:color="auto"/>
              <w:left w:val="single" w:sz="4" w:space="0" w:color="auto"/>
              <w:bottom w:val="single" w:sz="4" w:space="0" w:color="auto"/>
              <w:right w:val="single" w:sz="4" w:space="0" w:color="auto"/>
            </w:tcBorders>
            <w:vAlign w:val="center"/>
            <w:hideMark/>
          </w:tcPr>
          <w:p w14:paraId="3F0C39B2" w14:textId="77777777" w:rsidR="00956ACE" w:rsidRPr="006317FE" w:rsidRDefault="00956ACE" w:rsidP="000E64DE">
            <w:pPr>
              <w:pStyle w:val="TableText"/>
              <w:keepNext/>
              <w:keepLines/>
              <w:spacing w:before="0" w:after="0"/>
              <w:jc w:val="center"/>
              <w:rPr>
                <w:b/>
              </w:rPr>
            </w:pPr>
            <w:r w:rsidRPr="006317FE">
              <w:rPr>
                <w:b/>
              </w:rPr>
              <w:t>Overall risk of bias in evidence base</w:t>
            </w:r>
          </w:p>
        </w:tc>
      </w:tr>
      <w:tr w:rsidR="00C053E7" w:rsidRPr="006317FE" w14:paraId="28C59EC7" w14:textId="77777777" w:rsidTr="006317FE">
        <w:trPr>
          <w:tblHead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A21328" w14:textId="566935AA" w:rsidR="00496C46" w:rsidRPr="006317FE" w:rsidRDefault="00496C46" w:rsidP="000E64DE">
            <w:pPr>
              <w:pStyle w:val="TableText"/>
              <w:keepNext/>
              <w:keepLines/>
              <w:spacing w:before="0" w:after="0"/>
              <w:rPr>
                <w:bCs/>
              </w:rPr>
            </w:pPr>
            <w:r w:rsidRPr="006317FE">
              <w:rPr>
                <w:bCs/>
              </w:rPr>
              <w:t>Pivotal diagnostic accuracy study included in main body</w:t>
            </w:r>
          </w:p>
        </w:tc>
      </w:tr>
      <w:tr w:rsidR="00F8380C" w:rsidRPr="006317FE" w14:paraId="34571304" w14:textId="77777777" w:rsidTr="003A5920">
        <w:tc>
          <w:tcPr>
            <w:tcW w:w="1177" w:type="pct"/>
            <w:tcBorders>
              <w:top w:val="single" w:sz="4" w:space="0" w:color="auto"/>
              <w:left w:val="single" w:sz="4" w:space="0" w:color="auto"/>
              <w:bottom w:val="single" w:sz="4" w:space="0" w:color="auto"/>
              <w:right w:val="single" w:sz="4" w:space="0" w:color="auto"/>
            </w:tcBorders>
            <w:vAlign w:val="center"/>
            <w:hideMark/>
          </w:tcPr>
          <w:p w14:paraId="63BA3949" w14:textId="77777777" w:rsidR="00956ACE" w:rsidRPr="006317FE" w:rsidRDefault="00956ACE" w:rsidP="000E64DE">
            <w:pPr>
              <w:pStyle w:val="TableText"/>
              <w:keepNext/>
              <w:keepLines/>
              <w:spacing w:before="0" w:after="0"/>
              <w:rPr>
                <w:bCs/>
              </w:rPr>
            </w:pPr>
            <w:r w:rsidRPr="006317FE">
              <w:rPr>
                <w:bCs/>
              </w:rPr>
              <w:t>Accuracy and performance of the test (cross-sectional accuracy)</w:t>
            </w:r>
          </w:p>
        </w:tc>
        <w:tc>
          <w:tcPr>
            <w:tcW w:w="2044" w:type="pct"/>
            <w:tcBorders>
              <w:top w:val="single" w:sz="4" w:space="0" w:color="auto"/>
              <w:left w:val="single" w:sz="4" w:space="0" w:color="auto"/>
              <w:bottom w:val="single" w:sz="4" w:space="0" w:color="auto"/>
              <w:right w:val="single" w:sz="4" w:space="0" w:color="auto"/>
            </w:tcBorders>
            <w:vAlign w:val="center"/>
            <w:hideMark/>
          </w:tcPr>
          <w:p w14:paraId="7A348354" w14:textId="35B271C3" w:rsidR="003C6F68" w:rsidRPr="006317FE" w:rsidRDefault="00A30279" w:rsidP="000E64DE">
            <w:pPr>
              <w:pStyle w:val="TableText"/>
              <w:keepNext/>
              <w:keepLines/>
              <w:spacing w:before="0" w:after="0"/>
              <w:rPr>
                <w:bCs/>
              </w:rPr>
            </w:pPr>
            <w:r w:rsidRPr="006317FE">
              <w:rPr>
                <w:bCs/>
              </w:rPr>
              <w:t>Mozes 2022</w:t>
            </w:r>
            <w:r w:rsidR="00F010C2" w:rsidRPr="006317FE">
              <w:rPr>
                <w:bCs/>
              </w:rPr>
              <w:t xml:space="preserve"> </w:t>
            </w:r>
            <w:r w:rsidR="002B002D" w:rsidRPr="006317FE">
              <w:rPr>
                <w:bCs/>
              </w:rPr>
              <w:t>partially</w:t>
            </w:r>
            <w:r w:rsidR="00706CB5" w:rsidRPr="006317FE">
              <w:rPr>
                <w:bCs/>
              </w:rPr>
              <w:t xml:space="preserve"> present diagnostic accuracy for sequential approach </w:t>
            </w:r>
            <w:r w:rsidR="000143A0" w:rsidRPr="006317FE">
              <w:rPr>
                <w:bCs/>
              </w:rPr>
              <w:t>for indeterminate range of FIB-4 (1.3-2.7)</w:t>
            </w:r>
          </w:p>
        </w:tc>
        <w:tc>
          <w:tcPr>
            <w:tcW w:w="786" w:type="pct"/>
            <w:tcBorders>
              <w:top w:val="single" w:sz="4" w:space="0" w:color="auto"/>
              <w:left w:val="single" w:sz="4" w:space="0" w:color="auto"/>
              <w:bottom w:val="single" w:sz="4" w:space="0" w:color="auto"/>
              <w:right w:val="single" w:sz="4" w:space="0" w:color="auto"/>
            </w:tcBorders>
            <w:vAlign w:val="center"/>
            <w:hideMark/>
          </w:tcPr>
          <w:p w14:paraId="1D0F1B44" w14:textId="4D2DAC3F" w:rsidR="0053072B" w:rsidRPr="006317FE" w:rsidRDefault="00956ACE" w:rsidP="000E64DE">
            <w:pPr>
              <w:pStyle w:val="TableText"/>
              <w:keepNext/>
              <w:keepLines/>
              <w:spacing w:before="0" w:after="0"/>
              <w:rPr>
                <w:bCs/>
              </w:rPr>
            </w:pPr>
            <w:r w:rsidRPr="006317FE">
              <w:rPr>
                <w:bCs/>
              </w:rPr>
              <w:t>k=</w:t>
            </w:r>
            <w:r w:rsidR="0076639F" w:rsidRPr="006317FE">
              <w:rPr>
                <w:bCs/>
              </w:rPr>
              <w:t>1</w:t>
            </w:r>
            <w:r w:rsidRPr="006317FE">
              <w:rPr>
                <w:bCs/>
              </w:rPr>
              <w:tab/>
            </w:r>
          </w:p>
          <w:p w14:paraId="4B9F173D" w14:textId="2C78D60F" w:rsidR="00956ACE" w:rsidRPr="006317FE" w:rsidRDefault="00956ACE" w:rsidP="000E64DE">
            <w:pPr>
              <w:pStyle w:val="TableText"/>
              <w:keepNext/>
              <w:keepLines/>
              <w:spacing w:before="0" w:after="0"/>
              <w:rPr>
                <w:bCs/>
              </w:rPr>
            </w:pPr>
            <w:r w:rsidRPr="006317FE">
              <w:rPr>
                <w:bCs/>
              </w:rPr>
              <w:t>n=</w:t>
            </w:r>
            <w:r w:rsidR="00F90B33" w:rsidRPr="006317FE">
              <w:rPr>
                <w:bCs/>
              </w:rPr>
              <w:t>5,7</w:t>
            </w:r>
            <w:r w:rsidR="00982990" w:rsidRPr="006317FE">
              <w:rPr>
                <w:bCs/>
              </w:rPr>
              <w:t>35</w:t>
            </w:r>
          </w:p>
        </w:tc>
        <w:tc>
          <w:tcPr>
            <w:tcW w:w="993" w:type="pct"/>
            <w:tcBorders>
              <w:top w:val="single" w:sz="4" w:space="0" w:color="auto"/>
              <w:left w:val="single" w:sz="4" w:space="0" w:color="auto"/>
              <w:bottom w:val="single" w:sz="4" w:space="0" w:color="auto"/>
              <w:right w:val="single" w:sz="4" w:space="0" w:color="auto"/>
            </w:tcBorders>
            <w:vAlign w:val="center"/>
            <w:hideMark/>
          </w:tcPr>
          <w:p w14:paraId="314B6464" w14:textId="625EEC9C" w:rsidR="00956ACE" w:rsidRPr="003D1547" w:rsidRDefault="00792C6C" w:rsidP="000E64DE">
            <w:pPr>
              <w:pStyle w:val="TableText"/>
              <w:keepNext/>
              <w:keepLines/>
              <w:spacing w:before="0" w:after="0"/>
              <w:rPr>
                <w:bCs/>
                <w:vertAlign w:val="superscript"/>
              </w:rPr>
            </w:pPr>
            <w:r w:rsidRPr="006317FE">
              <w:rPr>
                <w:bCs/>
              </w:rPr>
              <w:t>High</w:t>
            </w:r>
            <w:r w:rsidR="003D1547">
              <w:rPr>
                <w:bCs/>
              </w:rPr>
              <w:t xml:space="preserve"> </w:t>
            </w:r>
            <w:r w:rsidR="003D1547">
              <w:rPr>
                <w:bCs/>
                <w:vertAlign w:val="superscript"/>
              </w:rPr>
              <w:t>a</w:t>
            </w:r>
          </w:p>
        </w:tc>
      </w:tr>
      <w:tr w:rsidR="00C053E7" w:rsidRPr="006317FE" w14:paraId="438600CC" w14:textId="77777777" w:rsidTr="006317FE">
        <w:tc>
          <w:tcPr>
            <w:tcW w:w="5000" w:type="pct"/>
            <w:gridSpan w:val="4"/>
            <w:tcBorders>
              <w:top w:val="single" w:sz="4" w:space="0" w:color="auto"/>
              <w:left w:val="single" w:sz="4" w:space="0" w:color="auto"/>
              <w:bottom w:val="single" w:sz="4" w:space="0" w:color="auto"/>
              <w:right w:val="single" w:sz="4" w:space="0" w:color="auto"/>
            </w:tcBorders>
            <w:vAlign w:val="center"/>
          </w:tcPr>
          <w:p w14:paraId="1DD3057B" w14:textId="6A1DDE6F" w:rsidR="004F341A" w:rsidRPr="006317FE" w:rsidRDefault="004F341A" w:rsidP="000E64DE">
            <w:pPr>
              <w:pStyle w:val="TableText"/>
              <w:keepNext/>
              <w:keepLines/>
              <w:spacing w:before="0" w:after="0"/>
              <w:rPr>
                <w:bCs/>
              </w:rPr>
            </w:pPr>
            <w:r w:rsidRPr="006317FE">
              <w:rPr>
                <w:bCs/>
              </w:rPr>
              <w:t>Pivotal longitudinal accuracy study included in main body</w:t>
            </w:r>
          </w:p>
        </w:tc>
      </w:tr>
      <w:tr w:rsidR="00F8380C" w:rsidRPr="006317FE" w14:paraId="05D3B099" w14:textId="77777777" w:rsidTr="003A5920">
        <w:tc>
          <w:tcPr>
            <w:tcW w:w="1177" w:type="pct"/>
            <w:tcBorders>
              <w:top w:val="single" w:sz="4" w:space="0" w:color="auto"/>
              <w:left w:val="single" w:sz="4" w:space="0" w:color="auto"/>
              <w:bottom w:val="single" w:sz="4" w:space="0" w:color="auto"/>
              <w:right w:val="single" w:sz="4" w:space="0" w:color="auto"/>
            </w:tcBorders>
            <w:vAlign w:val="center"/>
            <w:hideMark/>
          </w:tcPr>
          <w:p w14:paraId="0B814D42" w14:textId="77777777" w:rsidR="00956ACE" w:rsidRPr="006317FE" w:rsidRDefault="00956ACE" w:rsidP="000E64DE">
            <w:pPr>
              <w:pStyle w:val="TableText"/>
              <w:keepNext/>
              <w:keepLines/>
              <w:spacing w:before="0" w:after="0"/>
              <w:rPr>
                <w:bCs/>
              </w:rPr>
            </w:pPr>
            <w:r w:rsidRPr="006317FE">
              <w:rPr>
                <w:bCs/>
              </w:rPr>
              <w:t>Prognostic evidence (longitudinal accuracy)</w:t>
            </w:r>
          </w:p>
        </w:tc>
        <w:tc>
          <w:tcPr>
            <w:tcW w:w="2044" w:type="pct"/>
            <w:tcBorders>
              <w:top w:val="single" w:sz="4" w:space="0" w:color="auto"/>
              <w:left w:val="single" w:sz="4" w:space="0" w:color="auto"/>
              <w:bottom w:val="single" w:sz="4" w:space="0" w:color="auto"/>
              <w:right w:val="single" w:sz="4" w:space="0" w:color="auto"/>
            </w:tcBorders>
            <w:vAlign w:val="center"/>
            <w:hideMark/>
          </w:tcPr>
          <w:p w14:paraId="7A7D976B" w14:textId="10FBEC45" w:rsidR="00956ACE" w:rsidRPr="006317FE" w:rsidRDefault="00080917" w:rsidP="000E64DE">
            <w:pPr>
              <w:pStyle w:val="TableText"/>
              <w:keepNext/>
              <w:keepLines/>
              <w:spacing w:before="0" w:after="0"/>
              <w:rPr>
                <w:bCs/>
              </w:rPr>
            </w:pPr>
            <w:r w:rsidRPr="006317FE">
              <w:rPr>
                <w:bCs/>
              </w:rPr>
              <w:t>Mozes 2023 assessed prognostic accuracy of VCTE and FIB-4 individually at baseline but did not assess serial testing</w:t>
            </w:r>
            <w:r w:rsidR="002E687E">
              <w:rPr>
                <w:bCs/>
              </w:rPr>
              <w:t>, repeated testing</w:t>
            </w:r>
            <w:r w:rsidRPr="006317FE">
              <w:rPr>
                <w:bCs/>
              </w:rPr>
              <w:t xml:space="preserve"> or longitudinal diagnostic accuracy</w:t>
            </w:r>
          </w:p>
        </w:tc>
        <w:tc>
          <w:tcPr>
            <w:tcW w:w="786" w:type="pct"/>
            <w:tcBorders>
              <w:top w:val="single" w:sz="4" w:space="0" w:color="auto"/>
              <w:left w:val="single" w:sz="4" w:space="0" w:color="auto"/>
              <w:bottom w:val="single" w:sz="4" w:space="0" w:color="auto"/>
              <w:right w:val="single" w:sz="4" w:space="0" w:color="auto"/>
            </w:tcBorders>
            <w:vAlign w:val="center"/>
            <w:hideMark/>
          </w:tcPr>
          <w:p w14:paraId="34DA914B" w14:textId="41515DB1" w:rsidR="00F15639" w:rsidRPr="006317FE" w:rsidRDefault="00956ACE" w:rsidP="000E64DE">
            <w:pPr>
              <w:pStyle w:val="TableText"/>
              <w:keepNext/>
              <w:keepLines/>
              <w:spacing w:before="0" w:after="0"/>
              <w:rPr>
                <w:bCs/>
              </w:rPr>
            </w:pPr>
            <w:r w:rsidRPr="006317FE">
              <w:rPr>
                <w:bCs/>
              </w:rPr>
              <w:t>k=</w:t>
            </w:r>
            <w:r w:rsidR="00921994" w:rsidRPr="006317FE">
              <w:rPr>
                <w:bCs/>
              </w:rPr>
              <w:t>1</w:t>
            </w:r>
            <w:r w:rsidRPr="006317FE">
              <w:rPr>
                <w:bCs/>
              </w:rPr>
              <w:tab/>
            </w:r>
          </w:p>
          <w:p w14:paraId="3F26D7C9" w14:textId="7B8A5D04" w:rsidR="00956ACE" w:rsidRPr="006317FE" w:rsidRDefault="00956ACE" w:rsidP="000E64DE">
            <w:pPr>
              <w:pStyle w:val="TableText"/>
              <w:keepNext/>
              <w:keepLines/>
              <w:spacing w:before="0" w:after="0"/>
              <w:rPr>
                <w:bCs/>
              </w:rPr>
            </w:pPr>
            <w:r w:rsidRPr="006317FE">
              <w:rPr>
                <w:bCs/>
              </w:rPr>
              <w:t>n=</w:t>
            </w:r>
            <w:r w:rsidR="00145E06" w:rsidRPr="006317FE">
              <w:rPr>
                <w:bCs/>
              </w:rPr>
              <w:t>2,518</w:t>
            </w:r>
          </w:p>
        </w:tc>
        <w:tc>
          <w:tcPr>
            <w:tcW w:w="993" w:type="pct"/>
            <w:tcBorders>
              <w:top w:val="single" w:sz="4" w:space="0" w:color="auto"/>
              <w:left w:val="single" w:sz="4" w:space="0" w:color="auto"/>
              <w:bottom w:val="single" w:sz="4" w:space="0" w:color="auto"/>
              <w:right w:val="single" w:sz="4" w:space="0" w:color="auto"/>
            </w:tcBorders>
            <w:vAlign w:val="center"/>
            <w:hideMark/>
          </w:tcPr>
          <w:p w14:paraId="503113DC" w14:textId="6FF9BB9D" w:rsidR="00956ACE" w:rsidRPr="003D1547" w:rsidRDefault="00145E06" w:rsidP="000E64DE">
            <w:pPr>
              <w:pStyle w:val="TableText"/>
              <w:keepNext/>
              <w:keepLines/>
              <w:spacing w:before="0" w:after="0"/>
              <w:rPr>
                <w:bCs/>
                <w:vertAlign w:val="superscript"/>
              </w:rPr>
            </w:pPr>
            <w:r w:rsidRPr="006317FE">
              <w:rPr>
                <w:bCs/>
              </w:rPr>
              <w:t>High</w:t>
            </w:r>
            <w:r w:rsidR="003D1547">
              <w:rPr>
                <w:bCs/>
              </w:rPr>
              <w:t xml:space="preserve"> </w:t>
            </w:r>
            <w:r w:rsidR="003D1547">
              <w:rPr>
                <w:bCs/>
                <w:vertAlign w:val="superscript"/>
              </w:rPr>
              <w:t>b</w:t>
            </w:r>
          </w:p>
        </w:tc>
      </w:tr>
      <w:tr w:rsidR="00F8380C" w:rsidRPr="006317FE" w14:paraId="2EF6125E" w14:textId="77777777" w:rsidTr="003A5920">
        <w:tc>
          <w:tcPr>
            <w:tcW w:w="1177" w:type="pct"/>
            <w:tcBorders>
              <w:top w:val="single" w:sz="4" w:space="0" w:color="auto"/>
              <w:left w:val="single" w:sz="4" w:space="0" w:color="auto"/>
              <w:bottom w:val="single" w:sz="4" w:space="0" w:color="auto"/>
              <w:right w:val="single" w:sz="4" w:space="0" w:color="auto"/>
            </w:tcBorders>
            <w:vAlign w:val="center"/>
          </w:tcPr>
          <w:p w14:paraId="2EE59F51" w14:textId="6DC99DA8" w:rsidR="0041193D" w:rsidRPr="006317FE" w:rsidRDefault="0041193D" w:rsidP="000E64DE">
            <w:pPr>
              <w:pStyle w:val="TableText"/>
              <w:keepNext/>
              <w:keepLines/>
              <w:spacing w:before="0" w:after="0"/>
              <w:rPr>
                <w:bCs/>
              </w:rPr>
            </w:pPr>
            <w:r w:rsidRPr="006317FE">
              <w:rPr>
                <w:bCs/>
              </w:rPr>
              <w:t xml:space="preserve">Change in patient management </w:t>
            </w:r>
          </w:p>
        </w:tc>
        <w:tc>
          <w:tcPr>
            <w:tcW w:w="2044" w:type="pct"/>
            <w:tcBorders>
              <w:top w:val="single" w:sz="4" w:space="0" w:color="auto"/>
              <w:left w:val="single" w:sz="4" w:space="0" w:color="auto"/>
              <w:bottom w:val="single" w:sz="4" w:space="0" w:color="auto"/>
              <w:right w:val="single" w:sz="4" w:space="0" w:color="auto"/>
            </w:tcBorders>
            <w:vAlign w:val="center"/>
          </w:tcPr>
          <w:p w14:paraId="3A1DB673" w14:textId="5D27E997" w:rsidR="0041193D" w:rsidRPr="00872FC6" w:rsidRDefault="0041193D" w:rsidP="000E64DE">
            <w:pPr>
              <w:pStyle w:val="TableText"/>
              <w:keepNext/>
              <w:keepLines/>
              <w:spacing w:before="0" w:after="0"/>
              <w:rPr>
                <w:bCs/>
                <w:vertAlign w:val="superscript"/>
              </w:rPr>
            </w:pPr>
            <w:r w:rsidRPr="006317FE">
              <w:rPr>
                <w:bCs/>
              </w:rPr>
              <w:t>Tulleners 2024</w:t>
            </w:r>
            <w:r w:rsidR="00037093">
              <w:rPr>
                <w:bCs/>
              </w:rPr>
              <w:t xml:space="preserve"> assessed </w:t>
            </w:r>
            <w:r w:rsidR="00000053">
              <w:rPr>
                <w:bCs/>
              </w:rPr>
              <w:t xml:space="preserve">outcomes from a primary care program which used VCTE as part of the </w:t>
            </w:r>
            <w:r w:rsidR="00CE1CCB">
              <w:rPr>
                <w:bCs/>
              </w:rPr>
              <w:t>liver care pathway.</w:t>
            </w:r>
            <w:r w:rsidR="00A87C9B">
              <w:rPr>
                <w:bCs/>
              </w:rPr>
              <w:t xml:space="preserve"> </w:t>
            </w:r>
            <w:r w:rsidR="00A87C9B" w:rsidRPr="00A87C9B">
              <w:rPr>
                <w:bCs/>
              </w:rPr>
              <w:t>Hayward 202</w:t>
            </w:r>
            <w:r w:rsidR="00BF6DD9">
              <w:rPr>
                <w:bCs/>
              </w:rPr>
              <w:t>1</w:t>
            </w:r>
            <w:r w:rsidR="00A87C9B">
              <w:rPr>
                <w:bCs/>
              </w:rPr>
              <w:t xml:space="preserve"> </w:t>
            </w:r>
            <w:r w:rsidR="00BF6DD9">
              <w:rPr>
                <w:bCs/>
              </w:rPr>
              <w:t>u</w:t>
            </w:r>
            <w:r w:rsidR="008048DC" w:rsidRPr="008048DC">
              <w:rPr>
                <w:bCs/>
              </w:rPr>
              <w:t>sed VCTE after FIB-4/NFS; no outcomes reported.</w:t>
            </w:r>
            <w:r w:rsidR="00872FC6">
              <w:rPr>
                <w:bCs/>
              </w:rPr>
              <w:t xml:space="preserve"> </w:t>
            </w:r>
            <w:r w:rsidR="00BF75C9" w:rsidRPr="00BF75C9">
              <w:rPr>
                <w:bCs/>
              </w:rPr>
              <w:t>Sarkar Das 2024</w:t>
            </w:r>
            <w:r w:rsidR="00BF75C9">
              <w:rPr>
                <w:bCs/>
              </w:rPr>
              <w:t>:</w:t>
            </w:r>
            <w:r w:rsidR="00BF75C9" w:rsidRPr="00BF75C9">
              <w:rPr>
                <w:bCs/>
              </w:rPr>
              <w:t xml:space="preserve"> </w:t>
            </w:r>
            <w:r w:rsidR="00666110">
              <w:rPr>
                <w:bCs/>
              </w:rPr>
              <w:t>limited</w:t>
            </w:r>
            <w:r w:rsidR="00BF75C9" w:rsidRPr="00BF75C9">
              <w:rPr>
                <w:bCs/>
              </w:rPr>
              <w:t xml:space="preserve"> support</w:t>
            </w:r>
            <w:r w:rsidR="00BF75C9" w:rsidRPr="00BF75C9">
              <w:rPr>
                <w:bCs/>
                <w:vertAlign w:val="superscript"/>
              </w:rPr>
              <w:t xml:space="preserve"> </w:t>
            </w:r>
            <w:r w:rsidR="00872FC6">
              <w:rPr>
                <w:bCs/>
                <w:vertAlign w:val="superscript"/>
              </w:rPr>
              <w:t>c</w:t>
            </w:r>
          </w:p>
        </w:tc>
        <w:tc>
          <w:tcPr>
            <w:tcW w:w="786" w:type="pct"/>
            <w:tcBorders>
              <w:top w:val="single" w:sz="4" w:space="0" w:color="auto"/>
              <w:left w:val="single" w:sz="4" w:space="0" w:color="auto"/>
              <w:bottom w:val="single" w:sz="4" w:space="0" w:color="auto"/>
              <w:right w:val="single" w:sz="4" w:space="0" w:color="auto"/>
            </w:tcBorders>
            <w:vAlign w:val="center"/>
          </w:tcPr>
          <w:p w14:paraId="4FFA4E8D" w14:textId="5BC3B360" w:rsidR="0041193D" w:rsidRDefault="0041193D" w:rsidP="000E64DE">
            <w:pPr>
              <w:pStyle w:val="TableText"/>
              <w:keepNext/>
              <w:keepLines/>
              <w:spacing w:before="0" w:after="0"/>
              <w:rPr>
                <w:bCs/>
              </w:rPr>
            </w:pPr>
            <w:r w:rsidRPr="006317FE">
              <w:rPr>
                <w:bCs/>
              </w:rPr>
              <w:t>k=</w:t>
            </w:r>
            <w:r w:rsidR="00907C81">
              <w:rPr>
                <w:bCs/>
              </w:rPr>
              <w:t>2</w:t>
            </w:r>
          </w:p>
          <w:p w14:paraId="20ED3352" w14:textId="7DC54C8D" w:rsidR="0041193D" w:rsidRPr="006317FE" w:rsidRDefault="0041193D" w:rsidP="000E64DE">
            <w:pPr>
              <w:pStyle w:val="TableText"/>
              <w:keepNext/>
              <w:keepLines/>
              <w:spacing w:before="0" w:after="0"/>
              <w:rPr>
                <w:bCs/>
              </w:rPr>
            </w:pPr>
            <w:r w:rsidRPr="006317FE">
              <w:rPr>
                <w:bCs/>
              </w:rPr>
              <w:t>n=</w:t>
            </w:r>
            <w:r w:rsidR="00907C81">
              <w:rPr>
                <w:bCs/>
              </w:rPr>
              <w:t>259</w:t>
            </w:r>
          </w:p>
        </w:tc>
        <w:tc>
          <w:tcPr>
            <w:tcW w:w="993" w:type="pct"/>
            <w:tcBorders>
              <w:top w:val="single" w:sz="4" w:space="0" w:color="auto"/>
              <w:left w:val="single" w:sz="4" w:space="0" w:color="auto"/>
              <w:bottom w:val="single" w:sz="4" w:space="0" w:color="auto"/>
              <w:right w:val="single" w:sz="4" w:space="0" w:color="auto"/>
            </w:tcBorders>
            <w:vAlign w:val="center"/>
          </w:tcPr>
          <w:p w14:paraId="46D68696" w14:textId="4273E9EF" w:rsidR="0041193D" w:rsidRPr="006317FE" w:rsidRDefault="00BA579A" w:rsidP="000E64DE">
            <w:pPr>
              <w:pStyle w:val="TableText"/>
              <w:keepNext/>
              <w:keepLines/>
              <w:spacing w:before="0" w:after="0"/>
              <w:rPr>
                <w:bCs/>
              </w:rPr>
            </w:pPr>
            <w:r>
              <w:rPr>
                <w:bCs/>
              </w:rPr>
              <w:t>Moderate</w:t>
            </w:r>
          </w:p>
        </w:tc>
      </w:tr>
      <w:tr w:rsidR="00C053E7" w:rsidRPr="006317FE" w14:paraId="115B9B05" w14:textId="77777777" w:rsidTr="006317FE">
        <w:tc>
          <w:tcPr>
            <w:tcW w:w="5000" w:type="pct"/>
            <w:gridSpan w:val="4"/>
            <w:tcBorders>
              <w:top w:val="single" w:sz="4" w:space="0" w:color="auto"/>
              <w:left w:val="single" w:sz="4" w:space="0" w:color="auto"/>
              <w:bottom w:val="single" w:sz="4" w:space="0" w:color="auto"/>
              <w:right w:val="single" w:sz="4" w:space="0" w:color="auto"/>
            </w:tcBorders>
            <w:vAlign w:val="center"/>
          </w:tcPr>
          <w:p w14:paraId="6E2EB827" w14:textId="01973036" w:rsidR="0041193D" w:rsidRPr="006317FE" w:rsidRDefault="0041193D" w:rsidP="000E64DE">
            <w:pPr>
              <w:pStyle w:val="TableText"/>
              <w:keepNext/>
              <w:keepLines/>
              <w:spacing w:before="0" w:after="0"/>
              <w:rPr>
                <w:bCs/>
                <w:color w:val="258221"/>
              </w:rPr>
            </w:pPr>
            <w:r w:rsidRPr="006317FE">
              <w:rPr>
                <w:bCs/>
              </w:rPr>
              <w:t>Supporting longitudinal accuracy studies included in appendix</w:t>
            </w:r>
          </w:p>
        </w:tc>
      </w:tr>
      <w:tr w:rsidR="00F8380C" w:rsidRPr="006317FE" w14:paraId="3D2AB871" w14:textId="77777777" w:rsidTr="003A5920">
        <w:tc>
          <w:tcPr>
            <w:tcW w:w="1177" w:type="pct"/>
            <w:tcBorders>
              <w:top w:val="single" w:sz="4" w:space="0" w:color="auto"/>
              <w:left w:val="single" w:sz="4" w:space="0" w:color="auto"/>
              <w:bottom w:val="single" w:sz="4" w:space="0" w:color="auto"/>
              <w:right w:val="single" w:sz="4" w:space="0" w:color="auto"/>
            </w:tcBorders>
            <w:vAlign w:val="center"/>
          </w:tcPr>
          <w:p w14:paraId="6AE82569" w14:textId="0C55D03D" w:rsidR="0041193D" w:rsidRPr="006317FE" w:rsidRDefault="0041193D" w:rsidP="000E64DE">
            <w:pPr>
              <w:pStyle w:val="TableText"/>
              <w:keepNext/>
              <w:keepLines/>
              <w:spacing w:before="0" w:after="0"/>
              <w:rPr>
                <w:bCs/>
              </w:rPr>
            </w:pPr>
            <w:r w:rsidRPr="006317FE">
              <w:rPr>
                <w:bCs/>
              </w:rPr>
              <w:t>Prognostic evidence (longitudinal accuracy)</w:t>
            </w:r>
          </w:p>
        </w:tc>
        <w:tc>
          <w:tcPr>
            <w:tcW w:w="2044" w:type="pct"/>
            <w:tcBorders>
              <w:top w:val="single" w:sz="4" w:space="0" w:color="auto"/>
              <w:left w:val="single" w:sz="4" w:space="0" w:color="auto"/>
              <w:bottom w:val="single" w:sz="4" w:space="0" w:color="auto"/>
              <w:right w:val="single" w:sz="4" w:space="0" w:color="auto"/>
            </w:tcBorders>
            <w:vAlign w:val="center"/>
          </w:tcPr>
          <w:p w14:paraId="66F01AFD" w14:textId="2F35C806" w:rsidR="0041193D" w:rsidRPr="006317FE" w:rsidRDefault="0041193D" w:rsidP="000E64DE">
            <w:pPr>
              <w:pStyle w:val="TableText"/>
              <w:keepNext/>
              <w:keepLines/>
              <w:spacing w:before="0" w:after="0"/>
              <w:rPr>
                <w:bCs/>
                <w:color w:val="000000" w:themeColor="text1"/>
              </w:rPr>
            </w:pPr>
            <w:r w:rsidRPr="006317FE">
              <w:rPr>
                <w:bCs/>
                <w:color w:val="000000" w:themeColor="text1"/>
              </w:rPr>
              <w:t xml:space="preserve">Leite 2025: VCTE prognostic for liver, CV, and mortality outcomes in T2D/MASLD (2 VCTEs used). Sequential approach not assessed. </w:t>
            </w:r>
            <w:r w:rsidRPr="006317FE">
              <w:rPr>
                <w:bCs/>
                <w:color w:val="000000" w:themeColor="text1"/>
              </w:rPr>
              <w:br/>
              <w:t>Gawrieh 2024: Serial VCTEs assessed; change in LSM associated with outcomes. No sequential testing.</w:t>
            </w:r>
          </w:p>
        </w:tc>
        <w:tc>
          <w:tcPr>
            <w:tcW w:w="786" w:type="pct"/>
            <w:tcBorders>
              <w:top w:val="single" w:sz="4" w:space="0" w:color="auto"/>
              <w:left w:val="single" w:sz="4" w:space="0" w:color="auto"/>
              <w:bottom w:val="single" w:sz="4" w:space="0" w:color="auto"/>
              <w:right w:val="single" w:sz="4" w:space="0" w:color="auto"/>
            </w:tcBorders>
            <w:vAlign w:val="center"/>
          </w:tcPr>
          <w:p w14:paraId="0B65E237" w14:textId="77B9161F" w:rsidR="0041193D" w:rsidRPr="006317FE" w:rsidRDefault="0041193D" w:rsidP="000E64DE">
            <w:pPr>
              <w:pStyle w:val="TableText"/>
              <w:keepNext/>
              <w:keepLines/>
              <w:spacing w:before="0" w:after="0"/>
              <w:rPr>
                <w:bCs/>
              </w:rPr>
            </w:pPr>
            <w:r w:rsidRPr="006317FE">
              <w:rPr>
                <w:bCs/>
              </w:rPr>
              <w:t>k=</w:t>
            </w:r>
            <w:r>
              <w:rPr>
                <w:bCs/>
              </w:rPr>
              <w:t>2</w:t>
            </w:r>
            <w:r w:rsidRPr="006317FE">
              <w:rPr>
                <w:bCs/>
              </w:rPr>
              <w:tab/>
            </w:r>
          </w:p>
          <w:p w14:paraId="244840D7" w14:textId="556DE7B7" w:rsidR="0041193D" w:rsidRPr="006317FE" w:rsidRDefault="0041193D" w:rsidP="000E64DE">
            <w:pPr>
              <w:pStyle w:val="TableText"/>
              <w:keepNext/>
              <w:keepLines/>
              <w:spacing w:before="0" w:after="0"/>
              <w:rPr>
                <w:bCs/>
              </w:rPr>
            </w:pPr>
            <w:r w:rsidRPr="006317FE">
              <w:rPr>
                <w:bCs/>
              </w:rPr>
              <w:t>n=</w:t>
            </w:r>
            <w:r>
              <w:rPr>
                <w:bCs/>
              </w:rPr>
              <w:t>1,691</w:t>
            </w:r>
          </w:p>
        </w:tc>
        <w:tc>
          <w:tcPr>
            <w:tcW w:w="993" w:type="pct"/>
            <w:tcBorders>
              <w:top w:val="single" w:sz="4" w:space="0" w:color="auto"/>
              <w:left w:val="single" w:sz="4" w:space="0" w:color="auto"/>
              <w:bottom w:val="single" w:sz="4" w:space="0" w:color="auto"/>
              <w:right w:val="single" w:sz="4" w:space="0" w:color="auto"/>
            </w:tcBorders>
            <w:vAlign w:val="center"/>
          </w:tcPr>
          <w:p w14:paraId="02EC4549" w14:textId="0067851F" w:rsidR="0041193D" w:rsidRPr="00AF3BFA" w:rsidRDefault="0041193D" w:rsidP="000E64DE">
            <w:pPr>
              <w:pStyle w:val="TableText"/>
              <w:keepNext/>
              <w:keepLines/>
              <w:spacing w:before="0" w:after="0"/>
              <w:rPr>
                <w:bCs/>
                <w:color w:val="258221"/>
                <w:vertAlign w:val="superscript"/>
              </w:rPr>
            </w:pPr>
            <w:r w:rsidRPr="006317FE">
              <w:rPr>
                <w:bCs/>
              </w:rPr>
              <w:t>NR</w:t>
            </w:r>
            <w:r>
              <w:rPr>
                <w:bCs/>
              </w:rPr>
              <w:t xml:space="preserve"> </w:t>
            </w:r>
            <w:r w:rsidR="0035375E" w:rsidRPr="0035375E">
              <w:rPr>
                <w:bCs/>
                <w:vertAlign w:val="superscript"/>
              </w:rPr>
              <w:t>d</w:t>
            </w:r>
          </w:p>
        </w:tc>
      </w:tr>
    </w:tbl>
    <w:p w14:paraId="36B53B57" w14:textId="2B47545A" w:rsidR="00956ACE" w:rsidRDefault="00F010C2" w:rsidP="000E64DE">
      <w:pPr>
        <w:pStyle w:val="TableFigureFooter"/>
        <w:keepNext/>
        <w:keepLines/>
        <w:spacing w:before="0" w:after="0"/>
        <w:rPr>
          <w:szCs w:val="18"/>
        </w:rPr>
      </w:pPr>
      <w:bookmarkStart w:id="30" w:name="_Hlk68276301"/>
      <w:bookmarkEnd w:id="29"/>
      <w:r w:rsidRPr="00974AF9">
        <w:rPr>
          <w:szCs w:val="18"/>
        </w:rPr>
        <w:t xml:space="preserve">SR = systematic review; </w:t>
      </w:r>
      <w:r w:rsidR="001D60A6" w:rsidRPr="00974AF9">
        <w:rPr>
          <w:szCs w:val="18"/>
        </w:rPr>
        <w:t xml:space="preserve">IPD = individual patient data; </w:t>
      </w:r>
      <w:r w:rsidR="00956ACE" w:rsidRPr="00974AF9">
        <w:rPr>
          <w:szCs w:val="18"/>
        </w:rPr>
        <w:t>k=number of studies, n=number of patients</w:t>
      </w:r>
      <w:r w:rsidR="001E2870" w:rsidRPr="00974AF9">
        <w:rPr>
          <w:szCs w:val="18"/>
        </w:rPr>
        <w:t>; NR = not reported;</w:t>
      </w:r>
      <w:r w:rsidR="00D42882" w:rsidRPr="00974AF9">
        <w:rPr>
          <w:szCs w:val="18"/>
        </w:rPr>
        <w:t xml:space="preserve"> </w:t>
      </w:r>
      <w:r w:rsidR="00C3284C" w:rsidRPr="00974AF9">
        <w:rPr>
          <w:szCs w:val="18"/>
        </w:rPr>
        <w:t xml:space="preserve">FIB-4= Fibrosis-4 Index, </w:t>
      </w:r>
      <w:r w:rsidR="00D42882" w:rsidRPr="00974AF9">
        <w:rPr>
          <w:szCs w:val="18"/>
        </w:rPr>
        <w:t>CDST= Clinical Decision Support Tool</w:t>
      </w:r>
      <w:r w:rsidR="00992319" w:rsidRPr="00974AF9">
        <w:rPr>
          <w:szCs w:val="18"/>
        </w:rPr>
        <w:t>; VCTE= Vibration-Controlled Transient Elastography;</w:t>
      </w:r>
      <w:r w:rsidR="00B5109F" w:rsidRPr="00974AF9">
        <w:rPr>
          <w:szCs w:val="18"/>
        </w:rPr>
        <w:t xml:space="preserve"> ELF= Enhanced Liver Fibrosis test; CV=cardiovascular;</w:t>
      </w:r>
      <w:r w:rsidR="008F51F3" w:rsidRPr="00974AF9">
        <w:rPr>
          <w:szCs w:val="18"/>
        </w:rPr>
        <w:t xml:space="preserve">T2D= Type 2 Diabetes; </w:t>
      </w:r>
      <w:r w:rsidR="00090BF8" w:rsidRPr="00974AF9">
        <w:rPr>
          <w:szCs w:val="18"/>
        </w:rPr>
        <w:t xml:space="preserve">MASLD= metabolic dysfunction–associated steatosis liver disease; </w:t>
      </w:r>
      <w:r w:rsidR="005F372E" w:rsidRPr="00974AF9">
        <w:rPr>
          <w:szCs w:val="18"/>
        </w:rPr>
        <w:t>LSM= Liver Stiffness Measurement;</w:t>
      </w:r>
      <w:r w:rsidR="00617E1E" w:rsidRPr="00974AF9">
        <w:rPr>
          <w:szCs w:val="18"/>
        </w:rPr>
        <w:t xml:space="preserve"> NFS= NAFLD Fibrosis Score;</w:t>
      </w:r>
      <w:r w:rsidR="00772061" w:rsidRPr="00974AF9">
        <w:rPr>
          <w:szCs w:val="18"/>
        </w:rPr>
        <w:t xml:space="preserve"> IQR/M= Interquartile Range to Median ratio</w:t>
      </w:r>
      <w:r w:rsidR="00AA31B1" w:rsidRPr="00974AF9">
        <w:rPr>
          <w:szCs w:val="18"/>
        </w:rPr>
        <w:t>.</w:t>
      </w:r>
    </w:p>
    <w:p w14:paraId="68A400A4" w14:textId="1BCCCB50" w:rsidR="003D1547" w:rsidRDefault="003D1547" w:rsidP="000E64DE">
      <w:pPr>
        <w:pStyle w:val="TableFigureFooter"/>
        <w:keepNext/>
        <w:keepLines/>
        <w:spacing w:before="0" w:after="0"/>
      </w:pPr>
      <w:r>
        <w:t>a The commentary believe</w:t>
      </w:r>
      <w:r w:rsidR="00203F99">
        <w:t>s</w:t>
      </w:r>
      <w:r>
        <w:t xml:space="preserve"> Mo</w:t>
      </w:r>
      <w:r w:rsidR="00C4686E">
        <w:t>z</w:t>
      </w:r>
      <w:r>
        <w:t xml:space="preserve">es 2022 had a high risk of bias due to only 37 out of 55 identified studies being included, lack of detail on </w:t>
      </w:r>
      <w:r w:rsidR="00D658D6">
        <w:t xml:space="preserve"> </w:t>
      </w:r>
      <w:r>
        <w:t xml:space="preserve">how many patients were excluded, </w:t>
      </w:r>
      <w:r w:rsidR="00D658D6">
        <w:t>the reasons patients were excluded,</w:t>
      </w:r>
      <w:r>
        <w:t xml:space="preserve"> incomplete reporting of baseline characteristics for patients without advanced fibrosis, use of statistical modelling only to inform accuracy of sequential strategies, and lack of detail in </w:t>
      </w:r>
      <w:r w:rsidRPr="00333461">
        <w:t>statistical methods for data harmonisation, pooling, and analysis.</w:t>
      </w:r>
    </w:p>
    <w:p w14:paraId="76B98FA8" w14:textId="25B2A1A8" w:rsidR="003D1547" w:rsidRPr="00FC01E0" w:rsidRDefault="003D1547" w:rsidP="000E64DE">
      <w:pPr>
        <w:pStyle w:val="TableFigureFooter"/>
        <w:keepNext/>
        <w:keepLines/>
        <w:spacing w:before="0" w:after="0"/>
      </w:pPr>
      <w:r>
        <w:t>b The commentary believe</w:t>
      </w:r>
      <w:r w:rsidR="00A4228E">
        <w:t>s</w:t>
      </w:r>
      <w:r>
        <w:t xml:space="preserve"> Mo</w:t>
      </w:r>
      <w:r w:rsidR="00C4686E">
        <w:t>z</w:t>
      </w:r>
      <w:r>
        <w:t>es 2023 had a high risk of bias due to only 25 out of 65 identified studies being included, lack of detail regarding how many patients were excluded from study. Additionally, h</w:t>
      </w:r>
      <w:r w:rsidRPr="006A0820">
        <w:t>istological staging—the reference standard—was not centrally reviewed, introducing heterogeneity and observer bias. Outcome assessment was frequently unblinded or based on retrospective records, contributing to a high risk of bias in outcome classification</w:t>
      </w:r>
      <w:r>
        <w:t xml:space="preserve">. </w:t>
      </w:r>
    </w:p>
    <w:p w14:paraId="35D81F4D" w14:textId="35227DA5" w:rsidR="00AF3BFA" w:rsidRDefault="003D1547" w:rsidP="000E64DE">
      <w:pPr>
        <w:pStyle w:val="TableFigureFooter"/>
        <w:keepNext/>
        <w:keepLines/>
        <w:spacing w:before="0" w:after="0"/>
        <w:rPr>
          <w:szCs w:val="18"/>
        </w:rPr>
      </w:pPr>
      <w:r>
        <w:rPr>
          <w:szCs w:val="18"/>
        </w:rPr>
        <w:t>c</w:t>
      </w:r>
      <w:r w:rsidR="00AF3BFA">
        <w:rPr>
          <w:szCs w:val="18"/>
        </w:rPr>
        <w:t xml:space="preserve"> </w:t>
      </w:r>
      <w:r w:rsidR="00872FC6" w:rsidRPr="00872FC6">
        <w:rPr>
          <w:szCs w:val="18"/>
        </w:rPr>
        <w:t>Hayward 202</w:t>
      </w:r>
      <w:r w:rsidR="00BF6DD9">
        <w:rPr>
          <w:szCs w:val="18"/>
        </w:rPr>
        <w:t>1</w:t>
      </w:r>
      <w:r w:rsidR="00872FC6" w:rsidRPr="00872FC6">
        <w:rPr>
          <w:szCs w:val="18"/>
        </w:rPr>
        <w:t>, Sarkar Das 2024 and Mo</w:t>
      </w:r>
      <w:r w:rsidR="00C4686E">
        <w:rPr>
          <w:szCs w:val="18"/>
        </w:rPr>
        <w:t>z</w:t>
      </w:r>
      <w:r w:rsidR="00872FC6" w:rsidRPr="00872FC6">
        <w:rPr>
          <w:szCs w:val="18"/>
        </w:rPr>
        <w:t>es 2022 were included as supporting evidence.</w:t>
      </w:r>
    </w:p>
    <w:p w14:paraId="7E1DFC66" w14:textId="1FDD4543" w:rsidR="0035375E" w:rsidRPr="00974AF9" w:rsidRDefault="0035375E" w:rsidP="000E64DE">
      <w:pPr>
        <w:pStyle w:val="TableFigureFooter"/>
        <w:keepNext/>
        <w:keepLines/>
        <w:spacing w:before="0" w:after="0"/>
        <w:rPr>
          <w:rFonts w:ascii="Franklin Gothic Book" w:hAnsi="Franklin Gothic Book"/>
          <w:i/>
          <w:iCs/>
          <w:color w:val="0070C0"/>
          <w:szCs w:val="18"/>
        </w:rPr>
      </w:pPr>
      <w:r>
        <w:rPr>
          <w:szCs w:val="18"/>
        </w:rPr>
        <w:t>d Studies in the appendix were not assessed for risk of bias by the ADAR</w:t>
      </w:r>
    </w:p>
    <w:p w14:paraId="3B9FC2AD" w14:textId="04071F1F" w:rsidR="00772829" w:rsidRPr="00CE28E3" w:rsidRDefault="0018750D" w:rsidP="002A18BE">
      <w:pPr>
        <w:pStyle w:val="Heading2"/>
        <w:numPr>
          <w:ilvl w:val="0"/>
          <w:numId w:val="0"/>
        </w:numPr>
      </w:pPr>
      <w:bookmarkStart w:id="31" w:name="_Toc69491423"/>
      <w:bookmarkEnd w:id="30"/>
      <w:r>
        <w:t>11</w:t>
      </w:r>
      <w:r w:rsidR="00C36633">
        <w:t>.</w:t>
      </w:r>
      <w:r w:rsidR="00C36633">
        <w:tab/>
      </w:r>
      <w:r w:rsidR="00772829" w:rsidRPr="00CE28E3">
        <w:t>Comparative safety</w:t>
      </w:r>
      <w:bookmarkEnd w:id="31"/>
    </w:p>
    <w:p w14:paraId="646D8330" w14:textId="7E948E98" w:rsidR="00712FCD" w:rsidRDefault="00712FCD" w:rsidP="00E76AE0">
      <w:pPr>
        <w:pStyle w:val="Instructionaltext"/>
        <w:rPr>
          <w:color w:val="auto"/>
        </w:rPr>
      </w:pPr>
      <w:r w:rsidRPr="00786B35">
        <w:rPr>
          <w:color w:val="auto"/>
        </w:rPr>
        <w:t>The ADAR did not undertake a formal comparative safety evaluation of VCTE</w:t>
      </w:r>
      <w:r w:rsidR="005A22AA">
        <w:rPr>
          <w:color w:val="auto"/>
        </w:rPr>
        <w:t>™</w:t>
      </w:r>
      <w:r w:rsidRPr="00786B35">
        <w:rPr>
          <w:color w:val="auto"/>
        </w:rPr>
        <w:t xml:space="preserve"> against the nominated comparator tests.</w:t>
      </w:r>
      <w:r w:rsidR="00442974" w:rsidRPr="00442974">
        <w:t xml:space="preserve"> </w:t>
      </w:r>
      <w:r w:rsidR="00442974" w:rsidRPr="00442974">
        <w:rPr>
          <w:color w:val="auto"/>
        </w:rPr>
        <w:t>Only limited information related to safety was identified in the ADAR.</w:t>
      </w:r>
    </w:p>
    <w:p w14:paraId="1334E552" w14:textId="12C0F6FC" w:rsidR="00712FCD" w:rsidRDefault="00786B35" w:rsidP="00E76AE0">
      <w:pPr>
        <w:pStyle w:val="Instructionaltext"/>
        <w:rPr>
          <w:color w:val="auto"/>
        </w:rPr>
      </w:pPr>
      <w:r>
        <w:rPr>
          <w:color w:val="auto"/>
        </w:rPr>
        <w:t>T</w:t>
      </w:r>
      <w:r w:rsidR="00080D89" w:rsidRPr="00080D89">
        <w:rPr>
          <w:color w:val="auto"/>
        </w:rPr>
        <w:t>he ADAR states that VCTE is "non-invasive, well-tolerated, no known direct harms. May cause anxiety or overtreatment if false positives occur." However, no supporting evidence was identified in the ADAR to s</w:t>
      </w:r>
      <w:r w:rsidR="00080D89">
        <w:rPr>
          <w:color w:val="auto"/>
        </w:rPr>
        <w:t>upport</w:t>
      </w:r>
      <w:r w:rsidR="00080D89" w:rsidRPr="00080D89">
        <w:rPr>
          <w:color w:val="auto"/>
        </w:rPr>
        <w:t xml:space="preserve"> this claim. While the ADAR acknowledges that PASC recommended the assessment should address outcomes such as safety, diagnostic accuracy, changes in patient management, health outcomes, and cost-effectiveness, it similarly provide</w:t>
      </w:r>
      <w:r w:rsidR="00216E3E">
        <w:rPr>
          <w:color w:val="auto"/>
        </w:rPr>
        <w:t>d</w:t>
      </w:r>
      <w:r w:rsidR="00080D89" w:rsidRPr="00080D89">
        <w:rPr>
          <w:color w:val="auto"/>
        </w:rPr>
        <w:t xml:space="preserve"> no evidence to support its related statement that "test safety, specifically the risk of misclassification or misdiagnosis of advanced fibrosis, was conceptually considered and accounted for in the assessment of financial impact."</w:t>
      </w:r>
    </w:p>
    <w:p w14:paraId="1974D826" w14:textId="617A478C" w:rsidR="00525D6E" w:rsidRPr="003251C2" w:rsidRDefault="00525D6E" w:rsidP="00E76AE0">
      <w:pPr>
        <w:pStyle w:val="Instructionaltext"/>
        <w:rPr>
          <w:color w:val="auto"/>
        </w:rPr>
      </w:pPr>
      <w:r>
        <w:rPr>
          <w:color w:val="auto"/>
        </w:rPr>
        <w:t xml:space="preserve">The commentary noted that the ADAR did not consider the impact of false negative </w:t>
      </w:r>
      <w:r w:rsidR="00EA6550">
        <w:rPr>
          <w:color w:val="auto"/>
        </w:rPr>
        <w:t>results</w:t>
      </w:r>
      <w:r>
        <w:rPr>
          <w:color w:val="auto"/>
        </w:rPr>
        <w:t xml:space="preserve"> (i.e. patients who </w:t>
      </w:r>
      <w:r w:rsidR="00EA6550">
        <w:rPr>
          <w:color w:val="auto"/>
        </w:rPr>
        <w:t>have</w:t>
      </w:r>
      <w:r>
        <w:rPr>
          <w:color w:val="auto"/>
        </w:rPr>
        <w:t xml:space="preserve"> </w:t>
      </w:r>
      <w:r w:rsidR="00F3371D">
        <w:rPr>
          <w:color w:val="auto"/>
        </w:rPr>
        <w:t>AF</w:t>
      </w:r>
      <w:r>
        <w:rPr>
          <w:color w:val="auto"/>
        </w:rPr>
        <w:t xml:space="preserve"> </w:t>
      </w:r>
      <w:r w:rsidR="00856861">
        <w:rPr>
          <w:color w:val="auto"/>
        </w:rPr>
        <w:t>that is</w:t>
      </w:r>
      <w:r w:rsidR="00EA6550">
        <w:rPr>
          <w:color w:val="auto"/>
        </w:rPr>
        <w:t xml:space="preserve"> not detected by</w:t>
      </w:r>
      <w:r>
        <w:rPr>
          <w:color w:val="auto"/>
        </w:rPr>
        <w:t xml:space="preserve"> </w:t>
      </w:r>
      <w:r w:rsidR="5AD57882" w:rsidRPr="649B72BB">
        <w:rPr>
          <w:color w:val="auto"/>
        </w:rPr>
        <w:t>VCTE</w:t>
      </w:r>
      <w:r>
        <w:rPr>
          <w:color w:val="auto"/>
        </w:rPr>
        <w:t xml:space="preserve">). </w:t>
      </w:r>
      <w:r w:rsidR="00403C40">
        <w:rPr>
          <w:color w:val="auto"/>
        </w:rPr>
        <w:t xml:space="preserve">This was important as exploratory modelling of testing outcomes with the proposed sequential testing compared to referral based only on a </w:t>
      </w:r>
      <w:r w:rsidR="00403C40">
        <w:rPr>
          <w:color w:val="auto"/>
        </w:rPr>
        <w:lastRenderedPageBreak/>
        <w:t xml:space="preserve">FIB-4 threshold of 1.3 </w:t>
      </w:r>
      <w:r w:rsidR="00AF3589">
        <w:rPr>
          <w:color w:val="auto"/>
        </w:rPr>
        <w:t xml:space="preserve">demonstrated </w:t>
      </w:r>
      <w:r w:rsidR="00403C40">
        <w:rPr>
          <w:color w:val="auto"/>
        </w:rPr>
        <w:t xml:space="preserve">that </w:t>
      </w:r>
      <w:r w:rsidR="00F7398A">
        <w:rPr>
          <w:color w:val="auto"/>
        </w:rPr>
        <w:t xml:space="preserve">there would be more false negative </w:t>
      </w:r>
      <w:r w:rsidR="00EA6550">
        <w:rPr>
          <w:color w:val="auto"/>
        </w:rPr>
        <w:t>results</w:t>
      </w:r>
      <w:r w:rsidR="00F7398A">
        <w:rPr>
          <w:color w:val="auto"/>
        </w:rPr>
        <w:t xml:space="preserve"> w</w:t>
      </w:r>
      <w:r w:rsidR="00AE317A">
        <w:rPr>
          <w:color w:val="auto"/>
        </w:rPr>
        <w:t>hen</w:t>
      </w:r>
      <w:r w:rsidR="00F7398A">
        <w:rPr>
          <w:color w:val="auto"/>
        </w:rPr>
        <w:t xml:space="preserve"> sequential testing </w:t>
      </w:r>
      <w:r w:rsidR="00AE317A">
        <w:rPr>
          <w:color w:val="auto"/>
        </w:rPr>
        <w:t>is used</w:t>
      </w:r>
      <w:r w:rsidR="00F7398A">
        <w:rPr>
          <w:color w:val="auto"/>
        </w:rPr>
        <w:t xml:space="preserve"> </w:t>
      </w:r>
      <w:r w:rsidR="00AE317A">
        <w:rPr>
          <w:color w:val="auto"/>
        </w:rPr>
        <w:t>compared to</w:t>
      </w:r>
      <w:r w:rsidR="00F7398A">
        <w:rPr>
          <w:color w:val="auto"/>
        </w:rPr>
        <w:t xml:space="preserve"> </w:t>
      </w:r>
      <w:r w:rsidR="00AE317A">
        <w:rPr>
          <w:color w:val="auto"/>
        </w:rPr>
        <w:t>use of</w:t>
      </w:r>
      <w:r w:rsidR="00F7398A">
        <w:rPr>
          <w:color w:val="auto"/>
        </w:rPr>
        <w:t xml:space="preserve"> FIB-4 only. This is discussed further </w:t>
      </w:r>
      <w:r w:rsidR="005B337F">
        <w:rPr>
          <w:color w:val="auto"/>
        </w:rPr>
        <w:t>in Section 1</w:t>
      </w:r>
      <w:r w:rsidR="00CF4369">
        <w:rPr>
          <w:color w:val="auto"/>
        </w:rPr>
        <w:t>2</w:t>
      </w:r>
      <w:r w:rsidR="005B337F">
        <w:rPr>
          <w:color w:val="auto"/>
        </w:rPr>
        <w:t>.</w:t>
      </w:r>
    </w:p>
    <w:p w14:paraId="4B1BB10D" w14:textId="78A6B23F" w:rsidR="00763C69" w:rsidRPr="00CE28E3" w:rsidRDefault="0018750D" w:rsidP="00763C69">
      <w:pPr>
        <w:pStyle w:val="Heading2"/>
        <w:numPr>
          <w:ilvl w:val="0"/>
          <w:numId w:val="0"/>
        </w:numPr>
      </w:pPr>
      <w:bookmarkStart w:id="32" w:name="_Toc69491424"/>
      <w:r>
        <w:t>12</w:t>
      </w:r>
      <w:r w:rsidR="00763C69">
        <w:t>.</w:t>
      </w:r>
      <w:r w:rsidR="00763C69">
        <w:tab/>
      </w:r>
      <w:r w:rsidR="00763C69" w:rsidRPr="00CE28E3">
        <w:t>Comparative effectiveness</w:t>
      </w:r>
      <w:bookmarkEnd w:id="32"/>
    </w:p>
    <w:p w14:paraId="0238C044" w14:textId="0F9E8FCC" w:rsidR="00D04C0D" w:rsidRPr="00007DF9" w:rsidRDefault="00D04C0D" w:rsidP="00D04C0D">
      <w:pPr>
        <w:pStyle w:val="Guidelinescross-ref"/>
        <w:rPr>
          <w:b w:val="0"/>
          <w:bCs/>
          <w:color w:val="auto"/>
          <w:sz w:val="22"/>
        </w:rPr>
      </w:pPr>
      <w:r w:rsidRPr="00007DF9">
        <w:rPr>
          <w:b w:val="0"/>
          <w:bCs/>
          <w:color w:val="auto"/>
          <w:sz w:val="22"/>
        </w:rPr>
        <w:t xml:space="preserve">Notably, the </w:t>
      </w:r>
      <w:r w:rsidRPr="00FD52B7">
        <w:rPr>
          <w:b w:val="0"/>
          <w:bCs/>
          <w:color w:val="auto"/>
          <w:sz w:val="22"/>
        </w:rPr>
        <w:t>ADAR</w:t>
      </w:r>
      <w:r w:rsidRPr="00007DF9">
        <w:rPr>
          <w:b w:val="0"/>
          <w:bCs/>
          <w:color w:val="auto"/>
          <w:sz w:val="22"/>
        </w:rPr>
        <w:t xml:space="preserve"> uses the terms “diagnosis” and “risk stratification” inconsistently. In primary care, VCTE</w:t>
      </w:r>
      <w:r w:rsidR="005A22AA">
        <w:rPr>
          <w:b w:val="0"/>
          <w:bCs/>
          <w:color w:val="auto"/>
          <w:sz w:val="22"/>
        </w:rPr>
        <w:t>™</w:t>
      </w:r>
      <w:r w:rsidRPr="00007DF9">
        <w:rPr>
          <w:b w:val="0"/>
          <w:bCs/>
          <w:color w:val="auto"/>
          <w:sz w:val="22"/>
        </w:rPr>
        <w:t xml:space="preserve"> is presented as a triage tool for risk stratification, whereas in specialist care it is described as </w:t>
      </w:r>
      <w:r w:rsidR="00BC18E8">
        <w:rPr>
          <w:b w:val="0"/>
          <w:bCs/>
          <w:color w:val="auto"/>
          <w:sz w:val="22"/>
        </w:rPr>
        <w:t>a</w:t>
      </w:r>
      <w:r w:rsidRPr="00007DF9">
        <w:rPr>
          <w:b w:val="0"/>
          <w:bCs/>
          <w:color w:val="auto"/>
          <w:sz w:val="22"/>
        </w:rPr>
        <w:t xml:space="preserve"> diagnostic</w:t>
      </w:r>
      <w:r w:rsidR="00BC18E8">
        <w:rPr>
          <w:b w:val="0"/>
          <w:bCs/>
          <w:color w:val="auto"/>
          <w:sz w:val="22"/>
        </w:rPr>
        <w:t xml:space="preserve"> test</w:t>
      </w:r>
      <w:r w:rsidRPr="00007DF9">
        <w:rPr>
          <w:b w:val="0"/>
          <w:bCs/>
          <w:color w:val="auto"/>
          <w:sz w:val="22"/>
        </w:rPr>
        <w:t xml:space="preserve">, despite being used in practice alongside other tests. This interchangeable use creates ambiguity regarding whether VCTE is positioned </w:t>
      </w:r>
      <w:r w:rsidR="00796E4D">
        <w:rPr>
          <w:b w:val="0"/>
          <w:bCs/>
          <w:color w:val="auto"/>
          <w:sz w:val="22"/>
        </w:rPr>
        <w:t xml:space="preserve">in the ADAR </w:t>
      </w:r>
      <w:r w:rsidRPr="00007DF9">
        <w:rPr>
          <w:b w:val="0"/>
          <w:bCs/>
          <w:color w:val="auto"/>
          <w:sz w:val="22"/>
        </w:rPr>
        <w:t>as a diagnostic test or a risk stratification tool.</w:t>
      </w:r>
    </w:p>
    <w:p w14:paraId="32C385D1" w14:textId="77758279" w:rsidR="00EC1EDE" w:rsidRDefault="00EC1EDE" w:rsidP="00F7398A">
      <w:pPr>
        <w:pStyle w:val="Guidelinescross-ref"/>
        <w:rPr>
          <w:b w:val="0"/>
          <w:bCs/>
          <w:color w:val="auto"/>
          <w:sz w:val="22"/>
        </w:rPr>
      </w:pPr>
      <w:r w:rsidRPr="00F7398A">
        <w:rPr>
          <w:b w:val="0"/>
          <w:bCs/>
          <w:color w:val="auto"/>
          <w:sz w:val="22"/>
        </w:rPr>
        <w:t xml:space="preserve">The ADAR did not present comparative effectiveness data for the proposed sequential approach—using VCTE </w:t>
      </w:r>
      <w:r w:rsidR="002C5FD1">
        <w:rPr>
          <w:b w:val="0"/>
          <w:bCs/>
          <w:color w:val="auto"/>
          <w:sz w:val="22"/>
        </w:rPr>
        <w:t>(</w:t>
      </w:r>
      <w:r w:rsidRPr="00F7398A">
        <w:rPr>
          <w:b w:val="0"/>
          <w:bCs/>
          <w:color w:val="auto"/>
          <w:sz w:val="22"/>
        </w:rPr>
        <w:t>with an 8 kPa threshold</w:t>
      </w:r>
      <w:r w:rsidR="00B766A8">
        <w:rPr>
          <w:b w:val="0"/>
          <w:bCs/>
          <w:color w:val="auto"/>
          <w:sz w:val="22"/>
        </w:rPr>
        <w:t xml:space="preserve"> used</w:t>
      </w:r>
      <w:r w:rsidRPr="00F7398A">
        <w:rPr>
          <w:b w:val="0"/>
          <w:bCs/>
          <w:color w:val="auto"/>
          <w:sz w:val="22"/>
        </w:rPr>
        <w:t xml:space="preserve"> </w:t>
      </w:r>
      <w:r w:rsidR="002C5FD1">
        <w:rPr>
          <w:b w:val="0"/>
          <w:bCs/>
          <w:color w:val="auto"/>
          <w:sz w:val="22"/>
        </w:rPr>
        <w:t xml:space="preserve">to classify high risk of AF) </w:t>
      </w:r>
      <w:r w:rsidRPr="00F7398A">
        <w:rPr>
          <w:b w:val="0"/>
          <w:bCs/>
          <w:color w:val="auto"/>
          <w:sz w:val="22"/>
        </w:rPr>
        <w:t>following an indeterminate FIB-4 result—against SOC, which may involve liver ultrasound, non-funded diagnostic tests</w:t>
      </w:r>
      <w:r w:rsidR="0026219F">
        <w:rPr>
          <w:b w:val="0"/>
          <w:bCs/>
          <w:color w:val="auto"/>
          <w:sz w:val="22"/>
        </w:rPr>
        <w:t xml:space="preserve"> (e.g., SWE, ELF)</w:t>
      </w:r>
      <w:r w:rsidRPr="00F7398A">
        <w:rPr>
          <w:b w:val="0"/>
          <w:bCs/>
          <w:color w:val="auto"/>
          <w:sz w:val="22"/>
        </w:rPr>
        <w:t xml:space="preserve"> for </w:t>
      </w:r>
      <w:r w:rsidR="00F3371D">
        <w:rPr>
          <w:b w:val="0"/>
          <w:bCs/>
          <w:color w:val="auto"/>
          <w:sz w:val="22"/>
        </w:rPr>
        <w:t>AF</w:t>
      </w:r>
      <w:r w:rsidRPr="00F7398A">
        <w:rPr>
          <w:b w:val="0"/>
          <w:bCs/>
          <w:color w:val="auto"/>
          <w:sz w:val="22"/>
        </w:rPr>
        <w:t xml:space="preserve">, referral to specialist care where appropriate, or ongoing management without further testing. </w:t>
      </w:r>
    </w:p>
    <w:p w14:paraId="66BB50E2" w14:textId="7B5975B0" w:rsidR="00736D41" w:rsidRDefault="00640333" w:rsidP="00F7398A">
      <w:pPr>
        <w:pStyle w:val="Guidelinescross-ref"/>
        <w:rPr>
          <w:b w:val="0"/>
          <w:bCs/>
          <w:color w:val="auto"/>
          <w:sz w:val="22"/>
        </w:rPr>
      </w:pPr>
      <w:r w:rsidRPr="00640333">
        <w:rPr>
          <w:b w:val="0"/>
          <w:bCs/>
          <w:color w:val="auto"/>
          <w:sz w:val="22"/>
        </w:rPr>
        <w:t>Instead, the ADAR relie</w:t>
      </w:r>
      <w:r w:rsidR="00E05788">
        <w:rPr>
          <w:b w:val="0"/>
          <w:bCs/>
          <w:color w:val="auto"/>
          <w:sz w:val="22"/>
        </w:rPr>
        <w:t>d</w:t>
      </w:r>
      <w:r w:rsidRPr="00640333">
        <w:rPr>
          <w:b w:val="0"/>
          <w:bCs/>
          <w:color w:val="auto"/>
          <w:sz w:val="22"/>
        </w:rPr>
        <w:t xml:space="preserve"> on Mozes 2022 and Mozes 2023 to support diagnostic and prognostic claims for VCTE. </w:t>
      </w:r>
      <w:r w:rsidR="00736D41">
        <w:rPr>
          <w:b w:val="0"/>
          <w:bCs/>
          <w:color w:val="auto"/>
          <w:sz w:val="22"/>
        </w:rPr>
        <w:t>However</w:t>
      </w:r>
      <w:r w:rsidR="00007DF9">
        <w:rPr>
          <w:b w:val="0"/>
          <w:bCs/>
          <w:color w:val="auto"/>
          <w:sz w:val="22"/>
        </w:rPr>
        <w:t>,</w:t>
      </w:r>
      <w:r w:rsidR="00736D41">
        <w:rPr>
          <w:b w:val="0"/>
          <w:bCs/>
          <w:color w:val="auto"/>
          <w:sz w:val="22"/>
        </w:rPr>
        <w:t xml:space="preserve"> n</w:t>
      </w:r>
      <w:r w:rsidRPr="00640333">
        <w:rPr>
          <w:b w:val="0"/>
          <w:bCs/>
          <w:color w:val="auto"/>
          <w:sz w:val="22"/>
        </w:rPr>
        <w:t>either study compare</w:t>
      </w:r>
      <w:r w:rsidR="00E05788">
        <w:rPr>
          <w:b w:val="0"/>
          <w:bCs/>
          <w:color w:val="auto"/>
          <w:sz w:val="22"/>
        </w:rPr>
        <w:t>d</w:t>
      </w:r>
      <w:r w:rsidRPr="00640333">
        <w:rPr>
          <w:b w:val="0"/>
          <w:bCs/>
          <w:color w:val="auto"/>
          <w:sz w:val="22"/>
        </w:rPr>
        <w:t xml:space="preserve"> VCTE to SOC or model</w:t>
      </w:r>
      <w:r w:rsidR="00D04C0D">
        <w:rPr>
          <w:b w:val="0"/>
          <w:bCs/>
          <w:color w:val="auto"/>
          <w:sz w:val="22"/>
        </w:rPr>
        <w:t>l</w:t>
      </w:r>
      <w:r w:rsidR="00007DF9">
        <w:rPr>
          <w:b w:val="0"/>
          <w:bCs/>
          <w:color w:val="auto"/>
          <w:sz w:val="22"/>
        </w:rPr>
        <w:t>ed</w:t>
      </w:r>
      <w:r w:rsidRPr="00640333">
        <w:rPr>
          <w:b w:val="0"/>
          <w:bCs/>
          <w:color w:val="auto"/>
          <w:sz w:val="22"/>
        </w:rPr>
        <w:t xml:space="preserve"> its impact on real-world patient management</w:t>
      </w:r>
      <w:r w:rsidR="006F371B">
        <w:rPr>
          <w:b w:val="0"/>
          <w:bCs/>
          <w:color w:val="auto"/>
          <w:sz w:val="22"/>
        </w:rPr>
        <w:t xml:space="preserve"> following prior FIB-4 testing</w:t>
      </w:r>
      <w:r w:rsidRPr="00640333">
        <w:rPr>
          <w:b w:val="0"/>
          <w:bCs/>
          <w:color w:val="auto"/>
          <w:sz w:val="22"/>
        </w:rPr>
        <w:t xml:space="preserve">. </w:t>
      </w:r>
    </w:p>
    <w:p w14:paraId="707532AD" w14:textId="1FD26684" w:rsidR="001A688D" w:rsidRDefault="00991077" w:rsidP="00F7398A">
      <w:pPr>
        <w:pStyle w:val="Guidelinescross-ref"/>
        <w:rPr>
          <w:b w:val="0"/>
          <w:bCs/>
          <w:color w:val="auto"/>
          <w:sz w:val="22"/>
        </w:rPr>
      </w:pPr>
      <w:r>
        <w:rPr>
          <w:b w:val="0"/>
          <w:bCs/>
          <w:color w:val="auto"/>
          <w:sz w:val="22"/>
        </w:rPr>
        <w:t xml:space="preserve">Mozes 2022 reported </w:t>
      </w:r>
      <w:r w:rsidR="00861472">
        <w:rPr>
          <w:b w:val="0"/>
          <w:bCs/>
          <w:color w:val="auto"/>
          <w:sz w:val="22"/>
        </w:rPr>
        <w:t xml:space="preserve">diagnostic accuracy outcomes </w:t>
      </w:r>
      <w:r w:rsidR="00FF780F">
        <w:rPr>
          <w:b w:val="0"/>
          <w:bCs/>
          <w:color w:val="auto"/>
          <w:sz w:val="22"/>
        </w:rPr>
        <w:t xml:space="preserve">including area under receiver operator curve (AUROC), sensitivity, specificity, positive </w:t>
      </w:r>
      <w:r w:rsidR="003D45E5">
        <w:rPr>
          <w:b w:val="0"/>
          <w:bCs/>
          <w:color w:val="auto"/>
          <w:sz w:val="22"/>
        </w:rPr>
        <w:t xml:space="preserve">predictive values (PPV) </w:t>
      </w:r>
      <w:r w:rsidR="00FF780F">
        <w:rPr>
          <w:b w:val="0"/>
          <w:bCs/>
          <w:color w:val="auto"/>
          <w:sz w:val="22"/>
        </w:rPr>
        <w:t>and negative predictive values</w:t>
      </w:r>
      <w:r w:rsidR="006F371B">
        <w:rPr>
          <w:b w:val="0"/>
          <w:bCs/>
          <w:color w:val="auto"/>
          <w:sz w:val="22"/>
        </w:rPr>
        <w:t xml:space="preserve"> </w:t>
      </w:r>
      <w:r w:rsidR="003D45E5">
        <w:rPr>
          <w:b w:val="0"/>
          <w:bCs/>
          <w:color w:val="auto"/>
          <w:sz w:val="22"/>
        </w:rPr>
        <w:t xml:space="preserve">(NPV) </w:t>
      </w:r>
      <w:r w:rsidR="006F371B">
        <w:rPr>
          <w:b w:val="0"/>
          <w:bCs/>
          <w:color w:val="auto"/>
          <w:sz w:val="22"/>
        </w:rPr>
        <w:t xml:space="preserve">of VCTE alone </w:t>
      </w:r>
      <w:r w:rsidR="00C1068E">
        <w:rPr>
          <w:b w:val="0"/>
          <w:bCs/>
          <w:color w:val="auto"/>
          <w:sz w:val="22"/>
        </w:rPr>
        <w:t xml:space="preserve">as well as FIB-4 alone </w:t>
      </w:r>
      <w:r w:rsidR="00861472">
        <w:rPr>
          <w:b w:val="0"/>
          <w:bCs/>
          <w:color w:val="auto"/>
          <w:sz w:val="22"/>
        </w:rPr>
        <w:t>against a reference standard of liver biopsy</w:t>
      </w:r>
      <w:r w:rsidR="008C32BE">
        <w:rPr>
          <w:b w:val="0"/>
          <w:bCs/>
          <w:color w:val="auto"/>
          <w:sz w:val="22"/>
        </w:rPr>
        <w:t xml:space="preserve"> in </w:t>
      </w:r>
      <w:r w:rsidR="00313D71">
        <w:rPr>
          <w:b w:val="0"/>
          <w:bCs/>
          <w:color w:val="auto"/>
          <w:sz w:val="22"/>
        </w:rPr>
        <w:t xml:space="preserve">5,735 </w:t>
      </w:r>
      <w:r w:rsidR="00131DED">
        <w:rPr>
          <w:b w:val="0"/>
          <w:bCs/>
          <w:color w:val="auto"/>
          <w:sz w:val="22"/>
        </w:rPr>
        <w:t xml:space="preserve">patients with </w:t>
      </w:r>
      <w:r w:rsidR="00CE1B54">
        <w:rPr>
          <w:b w:val="0"/>
          <w:bCs/>
          <w:color w:val="auto"/>
          <w:sz w:val="22"/>
        </w:rPr>
        <w:t>NAFLD</w:t>
      </w:r>
      <w:r w:rsidR="00736D41">
        <w:rPr>
          <w:b w:val="0"/>
          <w:bCs/>
          <w:color w:val="auto"/>
          <w:sz w:val="22"/>
        </w:rPr>
        <w:t xml:space="preserve">, using </w:t>
      </w:r>
      <w:r w:rsidR="00D04C0D">
        <w:rPr>
          <w:b w:val="0"/>
          <w:bCs/>
          <w:color w:val="auto"/>
          <w:sz w:val="22"/>
        </w:rPr>
        <w:t>IPD</w:t>
      </w:r>
      <w:r w:rsidR="00736D41">
        <w:rPr>
          <w:b w:val="0"/>
          <w:bCs/>
          <w:color w:val="auto"/>
          <w:sz w:val="22"/>
        </w:rPr>
        <w:t xml:space="preserve"> obtained from 37 separate published studies</w:t>
      </w:r>
      <w:r w:rsidR="00FF780F">
        <w:rPr>
          <w:b w:val="0"/>
          <w:bCs/>
          <w:color w:val="auto"/>
          <w:sz w:val="22"/>
        </w:rPr>
        <w:t xml:space="preserve">. </w:t>
      </w:r>
      <w:r w:rsidR="001A688D">
        <w:rPr>
          <w:b w:val="0"/>
          <w:bCs/>
          <w:color w:val="auto"/>
          <w:sz w:val="22"/>
        </w:rPr>
        <w:t xml:space="preserve">Mozes 2022 </w:t>
      </w:r>
      <w:r w:rsidR="00412250">
        <w:rPr>
          <w:b w:val="0"/>
          <w:bCs/>
          <w:color w:val="auto"/>
          <w:sz w:val="22"/>
        </w:rPr>
        <w:t>however did present diagnostic results based on a simulated sequential testing strategy in which patients with indeterminate FIB-4 were tested with second line VCTE</w:t>
      </w:r>
      <w:r w:rsidR="00455C92">
        <w:rPr>
          <w:b w:val="0"/>
          <w:bCs/>
          <w:color w:val="auto"/>
          <w:sz w:val="22"/>
        </w:rPr>
        <w:t>. However</w:t>
      </w:r>
      <w:r w:rsidR="00D04C0D">
        <w:rPr>
          <w:b w:val="0"/>
          <w:bCs/>
          <w:color w:val="auto"/>
          <w:sz w:val="22"/>
        </w:rPr>
        <w:t>,</w:t>
      </w:r>
      <w:r w:rsidR="00455C92">
        <w:rPr>
          <w:b w:val="0"/>
          <w:bCs/>
          <w:color w:val="auto"/>
          <w:sz w:val="22"/>
        </w:rPr>
        <w:t xml:space="preserve"> this was not directly applicable to the ADAR’s research question as the </w:t>
      </w:r>
      <w:r w:rsidR="000A1F46">
        <w:rPr>
          <w:b w:val="0"/>
          <w:bCs/>
          <w:color w:val="auto"/>
          <w:sz w:val="22"/>
        </w:rPr>
        <w:t>rule-out</w:t>
      </w:r>
      <w:r w:rsidR="00455C92">
        <w:rPr>
          <w:b w:val="0"/>
          <w:bCs/>
          <w:color w:val="auto"/>
          <w:sz w:val="22"/>
        </w:rPr>
        <w:t xml:space="preserve"> </w:t>
      </w:r>
      <w:r w:rsidR="008B19F0">
        <w:rPr>
          <w:b w:val="0"/>
          <w:bCs/>
          <w:color w:val="auto"/>
          <w:sz w:val="22"/>
        </w:rPr>
        <w:t xml:space="preserve">and </w:t>
      </w:r>
      <w:r w:rsidR="000A1F46">
        <w:rPr>
          <w:b w:val="0"/>
          <w:bCs/>
          <w:color w:val="auto"/>
          <w:sz w:val="22"/>
        </w:rPr>
        <w:t>rule-in</w:t>
      </w:r>
      <w:r w:rsidR="008B19F0">
        <w:rPr>
          <w:b w:val="0"/>
          <w:bCs/>
          <w:color w:val="auto"/>
          <w:sz w:val="22"/>
        </w:rPr>
        <w:t xml:space="preserve"> </w:t>
      </w:r>
      <w:r w:rsidR="00455C92">
        <w:rPr>
          <w:b w:val="0"/>
          <w:bCs/>
          <w:color w:val="auto"/>
          <w:sz w:val="22"/>
        </w:rPr>
        <w:t xml:space="preserve">thresholds used for VCTE </w:t>
      </w:r>
      <w:r w:rsidR="008B19F0">
        <w:rPr>
          <w:b w:val="0"/>
          <w:bCs/>
          <w:color w:val="auto"/>
          <w:sz w:val="22"/>
        </w:rPr>
        <w:t xml:space="preserve">in Mozes 2022 differed to the threshold proposed in the ADAR. </w:t>
      </w:r>
    </w:p>
    <w:p w14:paraId="0A04393E" w14:textId="47E947DC" w:rsidR="008B19F0" w:rsidRDefault="008373CA" w:rsidP="00F7398A">
      <w:pPr>
        <w:pStyle w:val="Guidelinescross-ref"/>
        <w:rPr>
          <w:b w:val="0"/>
          <w:bCs/>
          <w:color w:val="auto"/>
          <w:sz w:val="22"/>
        </w:rPr>
      </w:pPr>
      <w:r>
        <w:rPr>
          <w:b w:val="0"/>
          <w:bCs/>
          <w:color w:val="auto"/>
          <w:sz w:val="22"/>
        </w:rPr>
        <w:t xml:space="preserve">The ADAR proposed a single </w:t>
      </w:r>
      <w:r w:rsidR="000A1F46">
        <w:rPr>
          <w:b w:val="0"/>
          <w:bCs/>
          <w:color w:val="auto"/>
          <w:sz w:val="22"/>
        </w:rPr>
        <w:t>rule-out</w:t>
      </w:r>
      <w:r>
        <w:rPr>
          <w:b w:val="0"/>
          <w:bCs/>
          <w:color w:val="auto"/>
          <w:sz w:val="22"/>
        </w:rPr>
        <w:t xml:space="preserve"> </w:t>
      </w:r>
      <w:r w:rsidR="00A04852">
        <w:rPr>
          <w:b w:val="0"/>
          <w:bCs/>
          <w:color w:val="auto"/>
          <w:sz w:val="22"/>
        </w:rPr>
        <w:t xml:space="preserve">and </w:t>
      </w:r>
      <w:r w:rsidR="000A1F46">
        <w:rPr>
          <w:b w:val="0"/>
          <w:bCs/>
          <w:color w:val="auto"/>
          <w:sz w:val="22"/>
        </w:rPr>
        <w:t>rule-in</w:t>
      </w:r>
      <w:r w:rsidR="00A04852">
        <w:rPr>
          <w:b w:val="0"/>
          <w:bCs/>
          <w:color w:val="auto"/>
          <w:sz w:val="22"/>
        </w:rPr>
        <w:t xml:space="preserve"> threshold </w:t>
      </w:r>
      <w:r w:rsidR="00F3371D">
        <w:rPr>
          <w:b w:val="0"/>
          <w:bCs/>
          <w:color w:val="auto"/>
          <w:sz w:val="22"/>
        </w:rPr>
        <w:t>of LSM 8.0 kPa</w:t>
      </w:r>
      <w:r w:rsidR="00A04852">
        <w:rPr>
          <w:b w:val="0"/>
          <w:bCs/>
          <w:color w:val="auto"/>
          <w:sz w:val="22"/>
        </w:rPr>
        <w:t xml:space="preserve"> using VCTE. That is, a patient is considered to not have AF (i.e. ruled out) if LSM was </w:t>
      </w:r>
      <w:r w:rsidR="001919CB">
        <w:rPr>
          <w:b w:val="0"/>
          <w:bCs/>
          <w:color w:val="auto"/>
          <w:sz w:val="22"/>
        </w:rPr>
        <w:t xml:space="preserve">&lt; 8.0 kPa </w:t>
      </w:r>
      <w:r w:rsidR="00721880">
        <w:rPr>
          <w:b w:val="0"/>
          <w:bCs/>
          <w:color w:val="auto"/>
          <w:sz w:val="22"/>
        </w:rPr>
        <w:t xml:space="preserve">and is considered to have AF (i.e. ruled in) if LSM was ≥ 8.0 kPa. However, the literature presented in the ADAR does not support the use of a single threshold for both </w:t>
      </w:r>
      <w:r w:rsidR="000A1F46">
        <w:rPr>
          <w:b w:val="0"/>
          <w:bCs/>
          <w:color w:val="auto"/>
          <w:sz w:val="22"/>
        </w:rPr>
        <w:t>rule-out</w:t>
      </w:r>
      <w:r w:rsidR="00721880">
        <w:rPr>
          <w:b w:val="0"/>
          <w:bCs/>
          <w:color w:val="auto"/>
          <w:sz w:val="22"/>
        </w:rPr>
        <w:t xml:space="preserve"> and </w:t>
      </w:r>
      <w:r w:rsidR="000A1F46">
        <w:rPr>
          <w:b w:val="0"/>
          <w:bCs/>
          <w:color w:val="auto"/>
          <w:sz w:val="22"/>
        </w:rPr>
        <w:t>rule-in</w:t>
      </w:r>
      <w:r w:rsidR="00721880">
        <w:rPr>
          <w:b w:val="0"/>
          <w:bCs/>
          <w:color w:val="auto"/>
          <w:sz w:val="22"/>
        </w:rPr>
        <w:t>, nor support the value of the nominated threshold.</w:t>
      </w:r>
      <w:r w:rsidR="00D13CE5">
        <w:rPr>
          <w:b w:val="0"/>
          <w:bCs/>
          <w:color w:val="auto"/>
          <w:sz w:val="22"/>
        </w:rPr>
        <w:t xml:space="preserve"> The range of </w:t>
      </w:r>
      <w:r w:rsidR="000A1F46">
        <w:rPr>
          <w:b w:val="0"/>
          <w:bCs/>
          <w:color w:val="auto"/>
          <w:sz w:val="22"/>
        </w:rPr>
        <w:t>rule-out</w:t>
      </w:r>
      <w:r w:rsidR="00D13CE5">
        <w:rPr>
          <w:b w:val="0"/>
          <w:bCs/>
          <w:color w:val="auto"/>
          <w:sz w:val="22"/>
        </w:rPr>
        <w:t xml:space="preserve"> and </w:t>
      </w:r>
      <w:r w:rsidR="000A1F46">
        <w:rPr>
          <w:b w:val="0"/>
          <w:bCs/>
          <w:color w:val="auto"/>
          <w:sz w:val="22"/>
        </w:rPr>
        <w:t>rule-in</w:t>
      </w:r>
      <w:r w:rsidR="00D13CE5">
        <w:rPr>
          <w:b w:val="0"/>
          <w:bCs/>
          <w:color w:val="auto"/>
          <w:sz w:val="22"/>
        </w:rPr>
        <w:t xml:space="preserve"> thresholds identified in the systematic review conducted by Mozes 2022 for both VCTE and FIB-4 </w:t>
      </w:r>
      <w:r w:rsidR="00210293">
        <w:rPr>
          <w:b w:val="0"/>
          <w:bCs/>
          <w:color w:val="auto"/>
          <w:sz w:val="22"/>
        </w:rPr>
        <w:t xml:space="preserve">is </w:t>
      </w:r>
      <w:r w:rsidR="00D13CE5">
        <w:rPr>
          <w:b w:val="0"/>
          <w:bCs/>
          <w:color w:val="auto"/>
          <w:sz w:val="22"/>
        </w:rPr>
        <w:t xml:space="preserve">presented in </w:t>
      </w:r>
      <w:r w:rsidR="00D13CE5">
        <w:rPr>
          <w:b w:val="0"/>
          <w:bCs/>
          <w:color w:val="auto"/>
          <w:sz w:val="22"/>
        </w:rPr>
        <w:fldChar w:fldCharType="begin"/>
      </w:r>
      <w:r w:rsidR="00D13CE5">
        <w:rPr>
          <w:b w:val="0"/>
          <w:bCs/>
          <w:color w:val="auto"/>
          <w:sz w:val="22"/>
        </w:rPr>
        <w:instrText xml:space="preserve"> REF _Ref205566359 \h  \* MERGEFORMAT </w:instrText>
      </w:r>
      <w:r w:rsidR="00D13CE5">
        <w:rPr>
          <w:b w:val="0"/>
          <w:bCs/>
          <w:color w:val="auto"/>
          <w:sz w:val="22"/>
        </w:rPr>
      </w:r>
      <w:r w:rsidR="00D13CE5">
        <w:rPr>
          <w:b w:val="0"/>
          <w:bCs/>
          <w:color w:val="auto"/>
          <w:sz w:val="22"/>
        </w:rPr>
        <w:fldChar w:fldCharType="separate"/>
      </w:r>
      <w:r w:rsidR="00CE1B54" w:rsidRPr="00CE1B54">
        <w:rPr>
          <w:b w:val="0"/>
          <w:bCs/>
          <w:color w:val="auto"/>
          <w:sz w:val="22"/>
        </w:rPr>
        <w:t>Table 6</w:t>
      </w:r>
      <w:r w:rsidR="00D13CE5">
        <w:rPr>
          <w:b w:val="0"/>
          <w:bCs/>
          <w:color w:val="auto"/>
          <w:sz w:val="22"/>
        </w:rPr>
        <w:fldChar w:fldCharType="end"/>
      </w:r>
      <w:r w:rsidR="00D13CE5">
        <w:rPr>
          <w:b w:val="0"/>
          <w:bCs/>
          <w:color w:val="auto"/>
          <w:sz w:val="22"/>
        </w:rPr>
        <w:t xml:space="preserve">. </w:t>
      </w:r>
      <w:r w:rsidR="00373DD8" w:rsidRPr="00373DD8">
        <w:rPr>
          <w:b w:val="0"/>
          <w:bCs/>
          <w:color w:val="auto"/>
          <w:sz w:val="22"/>
        </w:rPr>
        <w:t xml:space="preserve">Based on the literature identified by Mozes 2022, the </w:t>
      </w:r>
      <w:r w:rsidR="000A1F46">
        <w:rPr>
          <w:b w:val="0"/>
          <w:bCs/>
          <w:color w:val="auto"/>
          <w:sz w:val="22"/>
        </w:rPr>
        <w:t>rule-out</w:t>
      </w:r>
      <w:r w:rsidR="00373DD8" w:rsidRPr="00373DD8">
        <w:rPr>
          <w:b w:val="0"/>
          <w:bCs/>
          <w:color w:val="auto"/>
          <w:sz w:val="22"/>
        </w:rPr>
        <w:t xml:space="preserve"> and </w:t>
      </w:r>
      <w:r w:rsidR="000A1F46">
        <w:rPr>
          <w:b w:val="0"/>
          <w:bCs/>
          <w:color w:val="auto"/>
          <w:sz w:val="22"/>
        </w:rPr>
        <w:t>rule-in</w:t>
      </w:r>
      <w:r w:rsidR="00373DD8" w:rsidRPr="00373DD8">
        <w:rPr>
          <w:b w:val="0"/>
          <w:bCs/>
          <w:color w:val="auto"/>
          <w:sz w:val="22"/>
        </w:rPr>
        <w:t xml:space="preserve"> cut offs for LSM by VCTE varied substantially. </w:t>
      </w:r>
      <w:r w:rsidR="000A1F46">
        <w:rPr>
          <w:b w:val="0"/>
          <w:bCs/>
          <w:color w:val="auto"/>
          <w:sz w:val="22"/>
        </w:rPr>
        <w:t>Rule-out</w:t>
      </w:r>
      <w:r w:rsidR="00373DD8" w:rsidRPr="00373DD8">
        <w:rPr>
          <w:b w:val="0"/>
          <w:bCs/>
          <w:color w:val="auto"/>
          <w:sz w:val="22"/>
        </w:rPr>
        <w:t xml:space="preserve"> thresholds ranged from &lt;5.9</w:t>
      </w:r>
      <w:r w:rsidR="00690BD6">
        <w:rPr>
          <w:b w:val="0"/>
          <w:bCs/>
          <w:color w:val="auto"/>
          <w:sz w:val="22"/>
        </w:rPr>
        <w:t xml:space="preserve"> kPa</w:t>
      </w:r>
      <w:r w:rsidR="00373DD8" w:rsidRPr="00373DD8">
        <w:rPr>
          <w:b w:val="0"/>
          <w:bCs/>
          <w:color w:val="auto"/>
          <w:sz w:val="22"/>
        </w:rPr>
        <w:t xml:space="preserve"> (Hsu 2019) to &lt;10.0 </w:t>
      </w:r>
      <w:r w:rsidR="00690BD6">
        <w:rPr>
          <w:b w:val="0"/>
          <w:bCs/>
          <w:color w:val="auto"/>
          <w:sz w:val="22"/>
        </w:rPr>
        <w:t xml:space="preserve">kPa </w:t>
      </w:r>
      <w:r w:rsidR="00373DD8" w:rsidRPr="00373DD8">
        <w:rPr>
          <w:b w:val="0"/>
          <w:bCs/>
          <w:color w:val="auto"/>
          <w:sz w:val="22"/>
        </w:rPr>
        <w:t xml:space="preserve">(Wong 2019, Papatheodoridi 2021) and </w:t>
      </w:r>
      <w:r w:rsidR="000A1F46">
        <w:rPr>
          <w:b w:val="0"/>
          <w:bCs/>
          <w:color w:val="auto"/>
          <w:sz w:val="22"/>
        </w:rPr>
        <w:t>rule-in</w:t>
      </w:r>
      <w:r w:rsidR="00373DD8" w:rsidRPr="00373DD8">
        <w:rPr>
          <w:b w:val="0"/>
          <w:bCs/>
          <w:color w:val="auto"/>
          <w:sz w:val="22"/>
        </w:rPr>
        <w:t xml:space="preserve"> thresholds ranged from &gt;9.6 </w:t>
      </w:r>
      <w:r w:rsidR="00690BD6">
        <w:rPr>
          <w:b w:val="0"/>
          <w:bCs/>
          <w:color w:val="auto"/>
          <w:sz w:val="22"/>
        </w:rPr>
        <w:t xml:space="preserve">kPa </w:t>
      </w:r>
      <w:r w:rsidR="00373DD8" w:rsidRPr="00373DD8">
        <w:rPr>
          <w:b w:val="0"/>
          <w:bCs/>
          <w:color w:val="auto"/>
          <w:sz w:val="22"/>
        </w:rPr>
        <w:t>(Peta 2019, Boursier 2019, Petta 2017) to &gt;15.0</w:t>
      </w:r>
      <w:r w:rsidR="00690BD6">
        <w:rPr>
          <w:b w:val="0"/>
          <w:bCs/>
          <w:color w:val="auto"/>
          <w:sz w:val="22"/>
        </w:rPr>
        <w:t xml:space="preserve"> kPa</w:t>
      </w:r>
      <w:r w:rsidR="00373DD8" w:rsidRPr="00373DD8">
        <w:rPr>
          <w:b w:val="0"/>
          <w:bCs/>
          <w:color w:val="auto"/>
          <w:sz w:val="22"/>
        </w:rPr>
        <w:t xml:space="preserve"> (Wong 2019, Papatheodoridi 2021). The nominated threshold of 8.0kPa in the ADAR was within the reported range of values for the </w:t>
      </w:r>
      <w:r w:rsidR="000A1F46">
        <w:rPr>
          <w:b w:val="0"/>
          <w:bCs/>
          <w:color w:val="auto"/>
          <w:sz w:val="22"/>
        </w:rPr>
        <w:t>rule-out</w:t>
      </w:r>
      <w:r w:rsidR="00373DD8" w:rsidRPr="00373DD8">
        <w:rPr>
          <w:b w:val="0"/>
          <w:bCs/>
          <w:color w:val="auto"/>
          <w:sz w:val="22"/>
        </w:rPr>
        <w:t xml:space="preserve"> threshold, but lower than any of the </w:t>
      </w:r>
      <w:r w:rsidR="000A1F46">
        <w:rPr>
          <w:b w:val="0"/>
          <w:bCs/>
          <w:color w:val="auto"/>
          <w:sz w:val="22"/>
        </w:rPr>
        <w:t>rule-in</w:t>
      </w:r>
      <w:r w:rsidR="00373DD8" w:rsidRPr="00373DD8">
        <w:rPr>
          <w:b w:val="0"/>
          <w:bCs/>
          <w:color w:val="auto"/>
          <w:sz w:val="22"/>
        </w:rPr>
        <w:t xml:space="preserve"> thresholds in literature, suggesting that it would likely lead to more false positive </w:t>
      </w:r>
      <w:r w:rsidR="00582A04">
        <w:rPr>
          <w:b w:val="0"/>
          <w:bCs/>
          <w:color w:val="auto"/>
          <w:sz w:val="22"/>
        </w:rPr>
        <w:t>results</w:t>
      </w:r>
      <w:r w:rsidR="00373DD8" w:rsidRPr="00373DD8">
        <w:rPr>
          <w:b w:val="0"/>
          <w:bCs/>
          <w:color w:val="auto"/>
          <w:sz w:val="22"/>
        </w:rPr>
        <w:t xml:space="preserve"> compared to the literature. Importantly, no literature source supported the use of a single threshold (as proposed in the ADAR) for both </w:t>
      </w:r>
      <w:r w:rsidR="000A1F46">
        <w:rPr>
          <w:b w:val="0"/>
          <w:bCs/>
          <w:color w:val="auto"/>
          <w:sz w:val="22"/>
        </w:rPr>
        <w:t>rule-in</w:t>
      </w:r>
      <w:r w:rsidR="00373DD8" w:rsidRPr="00373DD8">
        <w:rPr>
          <w:b w:val="0"/>
          <w:bCs/>
          <w:color w:val="auto"/>
          <w:sz w:val="22"/>
        </w:rPr>
        <w:t xml:space="preserve"> and </w:t>
      </w:r>
      <w:r w:rsidR="000A1F46">
        <w:rPr>
          <w:b w:val="0"/>
          <w:bCs/>
          <w:color w:val="auto"/>
          <w:sz w:val="22"/>
        </w:rPr>
        <w:t>rule-out</w:t>
      </w:r>
      <w:r w:rsidR="00373DD8" w:rsidRPr="00373DD8">
        <w:rPr>
          <w:b w:val="0"/>
          <w:bCs/>
          <w:color w:val="auto"/>
          <w:sz w:val="22"/>
        </w:rPr>
        <w:t xml:space="preserve">.  </w:t>
      </w:r>
    </w:p>
    <w:p w14:paraId="6E893CD0" w14:textId="6EB989E8" w:rsidR="00BD3CCB" w:rsidRPr="00BD3CCB" w:rsidRDefault="00D13CE5" w:rsidP="00D13CE5">
      <w:pPr>
        <w:pStyle w:val="Caption"/>
        <w:spacing w:before="0" w:after="0"/>
      </w:pPr>
      <w:bookmarkStart w:id="33" w:name="_Ref205566359"/>
      <w:r>
        <w:lastRenderedPageBreak/>
        <w:t xml:space="preserve">Table </w:t>
      </w:r>
      <w:r w:rsidR="003D48F8">
        <w:fldChar w:fldCharType="begin"/>
      </w:r>
      <w:r w:rsidR="003D48F8">
        <w:instrText xml:space="preserve"> SEQ Table \* ARABIC </w:instrText>
      </w:r>
      <w:r w:rsidR="003D48F8">
        <w:fldChar w:fldCharType="separate"/>
      </w:r>
      <w:r w:rsidR="003D48F8">
        <w:rPr>
          <w:noProof/>
        </w:rPr>
        <w:t>6</w:t>
      </w:r>
      <w:r w:rsidR="003D48F8">
        <w:rPr>
          <w:noProof/>
        </w:rPr>
        <w:fldChar w:fldCharType="end"/>
      </w:r>
      <w:bookmarkEnd w:id="33"/>
      <w:r w:rsidR="00BD3CCB" w:rsidRPr="00BD3CCB">
        <w:t xml:space="preserve">: Non-invasive test thresholds to </w:t>
      </w:r>
      <w:r w:rsidR="000A1F46">
        <w:t>rule-in</w:t>
      </w:r>
      <w:r w:rsidR="00BD3CCB" w:rsidRPr="00BD3CCB">
        <w:t xml:space="preserve"> and </w:t>
      </w:r>
      <w:r w:rsidR="000A1F46">
        <w:t>rule-out</w:t>
      </w:r>
      <w:r w:rsidR="00BD3CCB" w:rsidRPr="00BD3CCB">
        <w:t xml:space="preserve"> fibrosis in patients with NAFLD identified by Mozes 2022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102"/>
        <w:gridCol w:w="1106"/>
        <w:gridCol w:w="972"/>
      </w:tblGrid>
      <w:tr w:rsidR="00F8380C" w:rsidRPr="00BD3CCB" w14:paraId="216F566E" w14:textId="77777777" w:rsidTr="00A6445B">
        <w:tc>
          <w:tcPr>
            <w:tcW w:w="836" w:type="dxa"/>
            <w:vAlign w:val="center"/>
          </w:tcPr>
          <w:p w14:paraId="21EEE902" w14:textId="77777777" w:rsidR="00BD3CCB" w:rsidRPr="00BD3CCB" w:rsidRDefault="00BD3CCB">
            <w:pPr>
              <w:pStyle w:val="BodyText"/>
              <w:keepNext/>
              <w:spacing w:after="0" w:line="240" w:lineRule="auto"/>
              <w:rPr>
                <w:rFonts w:ascii="Arial Narrow" w:hAnsi="Arial Narrow"/>
                <w:b/>
                <w:bCs/>
                <w:sz w:val="20"/>
              </w:rPr>
            </w:pPr>
            <w:r w:rsidRPr="00BD3CCB">
              <w:rPr>
                <w:rFonts w:ascii="Arial Narrow" w:hAnsi="Arial Narrow"/>
                <w:b/>
                <w:bCs/>
                <w:sz w:val="20"/>
              </w:rPr>
              <w:t>Test</w:t>
            </w:r>
          </w:p>
        </w:tc>
        <w:tc>
          <w:tcPr>
            <w:tcW w:w="6102" w:type="dxa"/>
          </w:tcPr>
          <w:p w14:paraId="656DA580" w14:textId="77777777" w:rsidR="00BD3CCB" w:rsidRPr="00BD3CCB" w:rsidRDefault="00BD3CCB">
            <w:pPr>
              <w:pStyle w:val="BodyText"/>
              <w:keepNext/>
              <w:spacing w:after="0" w:line="240" w:lineRule="auto"/>
              <w:rPr>
                <w:rFonts w:ascii="Arial Narrow" w:hAnsi="Arial Narrow"/>
                <w:b/>
                <w:bCs/>
                <w:sz w:val="20"/>
              </w:rPr>
            </w:pPr>
            <w:r w:rsidRPr="00BD3CCB">
              <w:rPr>
                <w:rFonts w:ascii="Arial Narrow" w:hAnsi="Arial Narrow"/>
                <w:b/>
                <w:bCs/>
                <w:sz w:val="20"/>
              </w:rPr>
              <w:t>Source</w:t>
            </w:r>
          </w:p>
        </w:tc>
        <w:tc>
          <w:tcPr>
            <w:tcW w:w="1106" w:type="dxa"/>
            <w:vAlign w:val="center"/>
          </w:tcPr>
          <w:p w14:paraId="3A730D0C" w14:textId="5EEC8D61" w:rsidR="00BD3CCB" w:rsidRPr="00BD3CCB" w:rsidRDefault="000A1F46">
            <w:pPr>
              <w:pStyle w:val="BodyText"/>
              <w:keepNext/>
              <w:spacing w:after="0" w:line="240" w:lineRule="auto"/>
              <w:jc w:val="center"/>
              <w:rPr>
                <w:rFonts w:ascii="Arial Narrow" w:hAnsi="Arial Narrow"/>
                <w:b/>
                <w:bCs/>
                <w:sz w:val="20"/>
              </w:rPr>
            </w:pPr>
            <w:r>
              <w:rPr>
                <w:rFonts w:ascii="Arial Narrow" w:hAnsi="Arial Narrow"/>
                <w:b/>
                <w:bCs/>
                <w:sz w:val="20"/>
              </w:rPr>
              <w:t>Rule-out</w:t>
            </w:r>
          </w:p>
        </w:tc>
        <w:tc>
          <w:tcPr>
            <w:tcW w:w="972" w:type="dxa"/>
            <w:vAlign w:val="center"/>
          </w:tcPr>
          <w:p w14:paraId="6AC84E43" w14:textId="33F8A512" w:rsidR="00BD3CCB" w:rsidRPr="00BD3CCB" w:rsidRDefault="000A1F46">
            <w:pPr>
              <w:pStyle w:val="BodyText"/>
              <w:keepNext/>
              <w:spacing w:after="0" w:line="240" w:lineRule="auto"/>
              <w:jc w:val="center"/>
              <w:rPr>
                <w:rFonts w:ascii="Arial Narrow" w:hAnsi="Arial Narrow"/>
                <w:b/>
                <w:bCs/>
                <w:sz w:val="20"/>
              </w:rPr>
            </w:pPr>
            <w:r>
              <w:rPr>
                <w:rFonts w:ascii="Arial Narrow" w:hAnsi="Arial Narrow"/>
                <w:b/>
                <w:bCs/>
                <w:sz w:val="20"/>
              </w:rPr>
              <w:t>Rule-in</w:t>
            </w:r>
          </w:p>
        </w:tc>
      </w:tr>
      <w:tr w:rsidR="009E6A5D" w:rsidRPr="00BD3CCB" w14:paraId="550BC89E" w14:textId="77777777" w:rsidTr="00A6445B">
        <w:tc>
          <w:tcPr>
            <w:tcW w:w="836" w:type="dxa"/>
            <w:vMerge w:val="restart"/>
            <w:vAlign w:val="center"/>
          </w:tcPr>
          <w:p w14:paraId="2526DBD1" w14:textId="22A68918" w:rsidR="00BD3CCB" w:rsidRPr="00BD3CCB" w:rsidRDefault="62DDCB90">
            <w:pPr>
              <w:pStyle w:val="BodyText"/>
              <w:keepNext/>
              <w:spacing w:after="0" w:line="240" w:lineRule="auto"/>
              <w:rPr>
                <w:rFonts w:ascii="Arial Narrow" w:hAnsi="Arial Narrow"/>
                <w:sz w:val="20"/>
              </w:rPr>
            </w:pPr>
            <w:r w:rsidRPr="322FB34B">
              <w:rPr>
                <w:rFonts w:ascii="Arial Narrow" w:hAnsi="Arial Narrow"/>
                <w:sz w:val="20"/>
              </w:rPr>
              <w:t>VCTE</w:t>
            </w:r>
          </w:p>
        </w:tc>
        <w:tc>
          <w:tcPr>
            <w:tcW w:w="8180" w:type="dxa"/>
            <w:gridSpan w:val="3"/>
          </w:tcPr>
          <w:p w14:paraId="2C6FB8A8" w14:textId="43F991E7" w:rsidR="00BD3CCB" w:rsidRPr="00BD3CCB" w:rsidRDefault="004755E3" w:rsidP="00DC2B02">
            <w:pPr>
              <w:pStyle w:val="BodyText"/>
              <w:keepNext/>
              <w:spacing w:after="0" w:line="240" w:lineRule="auto"/>
              <w:rPr>
                <w:rFonts w:ascii="Arial Narrow" w:hAnsi="Arial Narrow"/>
                <w:sz w:val="20"/>
              </w:rPr>
            </w:pPr>
            <w:r w:rsidRPr="00DC2B02">
              <w:rPr>
                <w:rFonts w:ascii="Arial Narrow" w:hAnsi="Arial Narrow"/>
                <w:b/>
                <w:bCs/>
                <w:sz w:val="20"/>
              </w:rPr>
              <w:t>Predefined thresholds</w:t>
            </w:r>
          </w:p>
        </w:tc>
      </w:tr>
      <w:tr w:rsidR="00F8380C" w:rsidRPr="00BD3CCB" w14:paraId="6CF36E3D" w14:textId="77777777" w:rsidTr="00A6445B">
        <w:tc>
          <w:tcPr>
            <w:tcW w:w="836" w:type="dxa"/>
            <w:vMerge/>
            <w:vAlign w:val="center"/>
          </w:tcPr>
          <w:p w14:paraId="401C2918" w14:textId="77777777" w:rsidR="00BD3CCB" w:rsidRPr="00BD3CCB" w:rsidRDefault="00BD3CCB">
            <w:pPr>
              <w:pStyle w:val="BodyText"/>
              <w:keepNext/>
              <w:spacing w:after="0" w:line="240" w:lineRule="auto"/>
              <w:rPr>
                <w:rFonts w:ascii="Arial Narrow" w:hAnsi="Arial Narrow"/>
                <w:sz w:val="20"/>
              </w:rPr>
            </w:pPr>
          </w:p>
        </w:tc>
        <w:tc>
          <w:tcPr>
            <w:tcW w:w="6102" w:type="dxa"/>
          </w:tcPr>
          <w:p w14:paraId="13615371"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Anstee 2019</w:t>
            </w:r>
          </w:p>
        </w:tc>
        <w:tc>
          <w:tcPr>
            <w:tcW w:w="1106" w:type="dxa"/>
            <w:vAlign w:val="center"/>
          </w:tcPr>
          <w:p w14:paraId="17CAC1BD"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&lt;9.0</w:t>
            </w:r>
          </w:p>
        </w:tc>
        <w:tc>
          <w:tcPr>
            <w:tcW w:w="972" w:type="dxa"/>
            <w:vAlign w:val="center"/>
          </w:tcPr>
          <w:p w14:paraId="58771F2A"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&gt;11.4</w:t>
            </w:r>
          </w:p>
        </w:tc>
      </w:tr>
      <w:tr w:rsidR="00F8380C" w:rsidRPr="00BD3CCB" w14:paraId="45E51E7A" w14:textId="77777777" w:rsidTr="00A6445B">
        <w:tc>
          <w:tcPr>
            <w:tcW w:w="836" w:type="dxa"/>
            <w:vMerge/>
            <w:vAlign w:val="center"/>
          </w:tcPr>
          <w:p w14:paraId="51D90E26" w14:textId="77777777" w:rsidR="00BD3CCB" w:rsidRPr="00BD3CCB" w:rsidRDefault="00BD3CCB">
            <w:pPr>
              <w:pStyle w:val="BodyText"/>
              <w:keepNext/>
              <w:spacing w:after="0" w:line="240" w:lineRule="auto"/>
              <w:rPr>
                <w:rFonts w:ascii="Arial Narrow" w:hAnsi="Arial Narrow"/>
                <w:sz w:val="20"/>
              </w:rPr>
            </w:pPr>
          </w:p>
        </w:tc>
        <w:tc>
          <w:tcPr>
            <w:tcW w:w="6102" w:type="dxa"/>
          </w:tcPr>
          <w:p w14:paraId="0F00A88A"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Wong 2019, Papatheodoridi 2021</w:t>
            </w:r>
          </w:p>
        </w:tc>
        <w:tc>
          <w:tcPr>
            <w:tcW w:w="1106" w:type="dxa"/>
            <w:vAlign w:val="center"/>
          </w:tcPr>
          <w:p w14:paraId="274E7CB8"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&lt;10.0</w:t>
            </w:r>
          </w:p>
        </w:tc>
        <w:tc>
          <w:tcPr>
            <w:tcW w:w="972" w:type="dxa"/>
            <w:vAlign w:val="center"/>
          </w:tcPr>
          <w:p w14:paraId="0913565F" w14:textId="66E0411C" w:rsidR="00BD3CCB" w:rsidRPr="00BD3CCB" w:rsidRDefault="00BD3CCB">
            <w:pPr>
              <w:pStyle w:val="BodyText"/>
              <w:keepNext/>
              <w:spacing w:after="0" w:line="240" w:lineRule="auto"/>
              <w:jc w:val="center"/>
              <w:rPr>
                <w:rFonts w:ascii="Arial Narrow" w:hAnsi="Arial Narrow"/>
                <w:sz w:val="20"/>
                <w:vertAlign w:val="superscript"/>
              </w:rPr>
            </w:pPr>
            <w:r w:rsidRPr="00BD3CCB">
              <w:rPr>
                <w:rFonts w:ascii="Arial Narrow" w:hAnsi="Arial Narrow"/>
                <w:sz w:val="20"/>
              </w:rPr>
              <w:t xml:space="preserve">&gt;15.0 </w:t>
            </w:r>
            <w:r w:rsidR="007B0BB8">
              <w:rPr>
                <w:rFonts w:ascii="Arial Narrow" w:hAnsi="Arial Narrow"/>
                <w:sz w:val="20"/>
                <w:vertAlign w:val="superscript"/>
              </w:rPr>
              <w:t>a</w:t>
            </w:r>
          </w:p>
        </w:tc>
      </w:tr>
      <w:tr w:rsidR="00F8380C" w:rsidRPr="00BD3CCB" w14:paraId="5805B2E4" w14:textId="77777777" w:rsidTr="00A6445B">
        <w:tc>
          <w:tcPr>
            <w:tcW w:w="836" w:type="dxa"/>
            <w:vMerge/>
            <w:vAlign w:val="center"/>
          </w:tcPr>
          <w:p w14:paraId="01CF0F5B" w14:textId="77777777" w:rsidR="00BD3CCB" w:rsidRPr="00BD3CCB" w:rsidRDefault="00BD3CCB">
            <w:pPr>
              <w:pStyle w:val="BodyText"/>
              <w:keepNext/>
              <w:spacing w:after="0" w:line="240" w:lineRule="auto"/>
              <w:rPr>
                <w:rFonts w:ascii="Arial Narrow" w:hAnsi="Arial Narrow"/>
                <w:sz w:val="20"/>
              </w:rPr>
            </w:pPr>
          </w:p>
        </w:tc>
        <w:tc>
          <w:tcPr>
            <w:tcW w:w="6102" w:type="dxa"/>
          </w:tcPr>
          <w:p w14:paraId="7F8CD226"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Petta 2019, Boursier 2019, Petta 2017</w:t>
            </w:r>
          </w:p>
        </w:tc>
        <w:tc>
          <w:tcPr>
            <w:tcW w:w="1106" w:type="dxa"/>
            <w:vAlign w:val="center"/>
          </w:tcPr>
          <w:p w14:paraId="5866EF92"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&lt;7.9</w:t>
            </w:r>
          </w:p>
        </w:tc>
        <w:tc>
          <w:tcPr>
            <w:tcW w:w="972" w:type="dxa"/>
            <w:vAlign w:val="center"/>
          </w:tcPr>
          <w:p w14:paraId="000196E0" w14:textId="52DF0728" w:rsidR="00BD3CCB" w:rsidRPr="00BD3CCB" w:rsidRDefault="00BD3CCB">
            <w:pPr>
              <w:pStyle w:val="BodyText"/>
              <w:keepNext/>
              <w:spacing w:after="0" w:line="240" w:lineRule="auto"/>
              <w:jc w:val="center"/>
              <w:rPr>
                <w:rFonts w:ascii="Arial Narrow" w:hAnsi="Arial Narrow"/>
                <w:sz w:val="20"/>
                <w:vertAlign w:val="superscript"/>
              </w:rPr>
            </w:pPr>
            <w:r w:rsidRPr="00BD3CCB">
              <w:rPr>
                <w:rFonts w:ascii="Arial Narrow" w:hAnsi="Arial Narrow"/>
                <w:sz w:val="20"/>
              </w:rPr>
              <w:t xml:space="preserve">&gt;9.6 </w:t>
            </w:r>
            <w:r w:rsidR="007B0BB8" w:rsidRPr="007B0BB8">
              <w:rPr>
                <w:rFonts w:ascii="Arial Narrow" w:hAnsi="Arial Narrow"/>
                <w:sz w:val="20"/>
                <w:vertAlign w:val="superscript"/>
              </w:rPr>
              <w:t>b</w:t>
            </w:r>
          </w:p>
        </w:tc>
      </w:tr>
      <w:tr w:rsidR="009E6A5D" w:rsidRPr="00BD3CCB" w14:paraId="734C2527" w14:textId="77777777" w:rsidTr="00A6445B">
        <w:tc>
          <w:tcPr>
            <w:tcW w:w="836" w:type="dxa"/>
            <w:vMerge/>
            <w:vAlign w:val="center"/>
          </w:tcPr>
          <w:p w14:paraId="6DACB26A" w14:textId="77777777" w:rsidR="00BD3CCB" w:rsidRPr="00BD3CCB" w:rsidRDefault="00BD3CCB">
            <w:pPr>
              <w:pStyle w:val="BodyText"/>
              <w:keepNext/>
              <w:spacing w:after="0" w:line="240" w:lineRule="auto"/>
              <w:rPr>
                <w:rFonts w:ascii="Arial Narrow" w:hAnsi="Arial Narrow"/>
                <w:sz w:val="20"/>
              </w:rPr>
            </w:pPr>
          </w:p>
        </w:tc>
        <w:tc>
          <w:tcPr>
            <w:tcW w:w="8180" w:type="dxa"/>
            <w:gridSpan w:val="3"/>
          </w:tcPr>
          <w:p w14:paraId="33C04CB9" w14:textId="3ACF739B" w:rsidR="00BD3CCB" w:rsidRPr="00DC2B02" w:rsidRDefault="004755E3" w:rsidP="00DC2B02">
            <w:pPr>
              <w:pStyle w:val="BodyText"/>
              <w:keepNext/>
              <w:spacing w:after="0" w:line="240" w:lineRule="auto"/>
              <w:rPr>
                <w:rFonts w:ascii="Arial Narrow" w:hAnsi="Arial Narrow"/>
                <w:b/>
                <w:sz w:val="20"/>
              </w:rPr>
            </w:pPr>
            <w:r w:rsidRPr="00DC2B02">
              <w:rPr>
                <w:rFonts w:ascii="Arial Narrow" w:hAnsi="Arial Narrow"/>
                <w:b/>
                <w:bCs/>
                <w:sz w:val="20"/>
              </w:rPr>
              <w:t>Thresholds from other primary studies</w:t>
            </w:r>
          </w:p>
        </w:tc>
      </w:tr>
      <w:tr w:rsidR="00F8380C" w:rsidRPr="00BD3CCB" w14:paraId="457673DF" w14:textId="77777777" w:rsidTr="00A6445B">
        <w:tc>
          <w:tcPr>
            <w:tcW w:w="836" w:type="dxa"/>
            <w:vMerge/>
            <w:vAlign w:val="center"/>
          </w:tcPr>
          <w:p w14:paraId="4B3A421A" w14:textId="77777777" w:rsidR="00BD3CCB" w:rsidRPr="00BD3CCB" w:rsidRDefault="00BD3CCB">
            <w:pPr>
              <w:pStyle w:val="BodyText"/>
              <w:keepNext/>
              <w:spacing w:after="0" w:line="240" w:lineRule="auto"/>
              <w:rPr>
                <w:rFonts w:ascii="Arial Narrow" w:hAnsi="Arial Narrow"/>
                <w:sz w:val="20"/>
              </w:rPr>
            </w:pPr>
          </w:p>
        </w:tc>
        <w:tc>
          <w:tcPr>
            <w:tcW w:w="6102" w:type="dxa"/>
          </w:tcPr>
          <w:p w14:paraId="1506BFE2"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Tapper 2016</w:t>
            </w:r>
          </w:p>
        </w:tc>
        <w:tc>
          <w:tcPr>
            <w:tcW w:w="1106" w:type="dxa"/>
            <w:vAlign w:val="center"/>
          </w:tcPr>
          <w:p w14:paraId="3EFBEBD0"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&lt;7.9</w:t>
            </w:r>
          </w:p>
        </w:tc>
        <w:tc>
          <w:tcPr>
            <w:tcW w:w="972" w:type="dxa"/>
            <w:vAlign w:val="center"/>
          </w:tcPr>
          <w:p w14:paraId="61925291"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&gt;9.8</w:t>
            </w:r>
          </w:p>
        </w:tc>
      </w:tr>
      <w:tr w:rsidR="00F8380C" w:rsidRPr="00BD3CCB" w14:paraId="5177B579" w14:textId="77777777" w:rsidTr="00A6445B">
        <w:tc>
          <w:tcPr>
            <w:tcW w:w="836" w:type="dxa"/>
            <w:vMerge/>
            <w:vAlign w:val="center"/>
          </w:tcPr>
          <w:p w14:paraId="6C47FAC4" w14:textId="77777777" w:rsidR="00BD3CCB" w:rsidRPr="00BD3CCB" w:rsidRDefault="00BD3CCB">
            <w:pPr>
              <w:pStyle w:val="BodyText"/>
              <w:keepNext/>
              <w:spacing w:after="0" w:line="240" w:lineRule="auto"/>
              <w:rPr>
                <w:rFonts w:ascii="Arial Narrow" w:hAnsi="Arial Narrow"/>
                <w:sz w:val="20"/>
              </w:rPr>
            </w:pPr>
          </w:p>
        </w:tc>
        <w:tc>
          <w:tcPr>
            <w:tcW w:w="6102" w:type="dxa"/>
          </w:tcPr>
          <w:p w14:paraId="206C195B"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Eddows 2019</w:t>
            </w:r>
          </w:p>
        </w:tc>
        <w:tc>
          <w:tcPr>
            <w:tcW w:w="1106" w:type="dxa"/>
            <w:vAlign w:val="center"/>
          </w:tcPr>
          <w:p w14:paraId="6E157E1D"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&lt;7.1</w:t>
            </w:r>
          </w:p>
        </w:tc>
        <w:tc>
          <w:tcPr>
            <w:tcW w:w="972" w:type="dxa"/>
            <w:vAlign w:val="center"/>
          </w:tcPr>
          <w:p w14:paraId="4994185E"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&gt;14.1</w:t>
            </w:r>
          </w:p>
        </w:tc>
      </w:tr>
      <w:tr w:rsidR="00F8380C" w:rsidRPr="00BD3CCB" w14:paraId="69A69B25" w14:textId="77777777" w:rsidTr="00A6445B">
        <w:tc>
          <w:tcPr>
            <w:tcW w:w="836" w:type="dxa"/>
            <w:vMerge/>
            <w:vAlign w:val="center"/>
          </w:tcPr>
          <w:p w14:paraId="7879CF4D" w14:textId="77777777" w:rsidR="00BD3CCB" w:rsidRPr="00BD3CCB" w:rsidRDefault="00BD3CCB">
            <w:pPr>
              <w:pStyle w:val="BodyText"/>
              <w:keepNext/>
              <w:spacing w:after="0" w:line="240" w:lineRule="auto"/>
              <w:rPr>
                <w:rFonts w:ascii="Arial Narrow" w:hAnsi="Arial Narrow"/>
                <w:sz w:val="20"/>
              </w:rPr>
            </w:pPr>
          </w:p>
        </w:tc>
        <w:tc>
          <w:tcPr>
            <w:tcW w:w="6102" w:type="dxa"/>
          </w:tcPr>
          <w:p w14:paraId="7412AFD6"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Hsu 2019</w:t>
            </w:r>
          </w:p>
        </w:tc>
        <w:tc>
          <w:tcPr>
            <w:tcW w:w="1106" w:type="dxa"/>
            <w:vAlign w:val="center"/>
          </w:tcPr>
          <w:p w14:paraId="0BF0901E"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&lt;5.9</w:t>
            </w:r>
          </w:p>
        </w:tc>
        <w:tc>
          <w:tcPr>
            <w:tcW w:w="972" w:type="dxa"/>
            <w:vAlign w:val="center"/>
          </w:tcPr>
          <w:p w14:paraId="26D58D9E"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&gt;13.4</w:t>
            </w:r>
          </w:p>
        </w:tc>
      </w:tr>
      <w:tr w:rsidR="00F8380C" w:rsidRPr="00BD3CCB" w14:paraId="4AA35ACA" w14:textId="77777777" w:rsidTr="00A6445B">
        <w:tc>
          <w:tcPr>
            <w:tcW w:w="836" w:type="dxa"/>
            <w:vMerge/>
            <w:vAlign w:val="center"/>
          </w:tcPr>
          <w:p w14:paraId="379AD5D9" w14:textId="77777777" w:rsidR="00BD3CCB" w:rsidRPr="00BD3CCB" w:rsidRDefault="00BD3CCB">
            <w:pPr>
              <w:pStyle w:val="BodyText"/>
              <w:keepNext/>
              <w:spacing w:after="0" w:line="240" w:lineRule="auto"/>
              <w:rPr>
                <w:rFonts w:ascii="Arial Narrow" w:hAnsi="Arial Narrow"/>
                <w:sz w:val="20"/>
              </w:rPr>
            </w:pPr>
          </w:p>
        </w:tc>
        <w:tc>
          <w:tcPr>
            <w:tcW w:w="6102" w:type="dxa"/>
          </w:tcPr>
          <w:p w14:paraId="4A0AC5E4"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Cassinotto 2016</w:t>
            </w:r>
          </w:p>
        </w:tc>
        <w:tc>
          <w:tcPr>
            <w:tcW w:w="1106" w:type="dxa"/>
            <w:vAlign w:val="center"/>
          </w:tcPr>
          <w:p w14:paraId="1A56906D"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&lt;8.2</w:t>
            </w:r>
          </w:p>
        </w:tc>
        <w:tc>
          <w:tcPr>
            <w:tcW w:w="972" w:type="dxa"/>
            <w:vAlign w:val="center"/>
          </w:tcPr>
          <w:p w14:paraId="05EF5BDA"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&gt;12.5</w:t>
            </w:r>
          </w:p>
        </w:tc>
      </w:tr>
      <w:tr w:rsidR="00F8380C" w:rsidRPr="00BD3CCB" w14:paraId="5BB75AB5" w14:textId="77777777" w:rsidTr="00A6445B">
        <w:tc>
          <w:tcPr>
            <w:tcW w:w="836" w:type="dxa"/>
            <w:vMerge/>
            <w:vAlign w:val="center"/>
          </w:tcPr>
          <w:p w14:paraId="77DED1BE" w14:textId="77777777" w:rsidR="00BD3CCB" w:rsidRPr="00BD3CCB" w:rsidRDefault="00BD3CCB">
            <w:pPr>
              <w:pStyle w:val="BodyText"/>
              <w:keepNext/>
              <w:spacing w:after="0" w:line="240" w:lineRule="auto"/>
              <w:rPr>
                <w:rFonts w:ascii="Arial Narrow" w:hAnsi="Arial Narrow"/>
                <w:sz w:val="20"/>
              </w:rPr>
            </w:pPr>
          </w:p>
        </w:tc>
        <w:tc>
          <w:tcPr>
            <w:tcW w:w="6102" w:type="dxa"/>
          </w:tcPr>
          <w:p w14:paraId="3A216879" w14:textId="77777777" w:rsidR="00BD3CCB" w:rsidRPr="00BD3CCB" w:rsidRDefault="00BD3CCB">
            <w:pPr>
              <w:pStyle w:val="BodyText"/>
              <w:keepNext/>
              <w:spacing w:after="0" w:line="240" w:lineRule="auto"/>
              <w:rPr>
                <w:rFonts w:ascii="Arial Narrow" w:hAnsi="Arial Narrow"/>
                <w:sz w:val="20"/>
              </w:rPr>
            </w:pPr>
            <w:r w:rsidRPr="00BD3CCB">
              <w:rPr>
                <w:rFonts w:ascii="Arial Narrow" w:hAnsi="Arial Narrow"/>
                <w:sz w:val="20"/>
              </w:rPr>
              <w:t>Papatheodoridi 2021</w:t>
            </w:r>
          </w:p>
        </w:tc>
        <w:tc>
          <w:tcPr>
            <w:tcW w:w="1106" w:type="dxa"/>
            <w:vAlign w:val="center"/>
          </w:tcPr>
          <w:p w14:paraId="2EB1CCF0"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&lt;8.0</w:t>
            </w:r>
          </w:p>
        </w:tc>
        <w:tc>
          <w:tcPr>
            <w:tcW w:w="972" w:type="dxa"/>
            <w:vAlign w:val="center"/>
          </w:tcPr>
          <w:p w14:paraId="760FEB00" w14:textId="77777777" w:rsidR="00BD3CCB" w:rsidRPr="00BD3CCB" w:rsidRDefault="00BD3CCB">
            <w:pPr>
              <w:pStyle w:val="BodyText"/>
              <w:keepNext/>
              <w:spacing w:after="0" w:line="240" w:lineRule="auto"/>
              <w:jc w:val="center"/>
              <w:rPr>
                <w:rFonts w:ascii="Arial Narrow" w:hAnsi="Arial Narrow"/>
                <w:sz w:val="20"/>
              </w:rPr>
            </w:pPr>
            <w:r w:rsidRPr="00BD3CCB">
              <w:rPr>
                <w:rFonts w:ascii="Arial Narrow" w:hAnsi="Arial Narrow"/>
                <w:sz w:val="20"/>
              </w:rPr>
              <w:t>&lt;12.0</w:t>
            </w:r>
          </w:p>
        </w:tc>
      </w:tr>
    </w:tbl>
    <w:p w14:paraId="6D65BF21" w14:textId="331F3916" w:rsidR="00BD3CCB" w:rsidRPr="00BD3CCB" w:rsidRDefault="007B0BB8" w:rsidP="00BD3CCB">
      <w:pPr>
        <w:pStyle w:val="BodyText"/>
        <w:keepNext/>
        <w:spacing w:after="0" w:line="240" w:lineRule="auto"/>
        <w:rPr>
          <w:rFonts w:ascii="Arial Narrow" w:hAnsi="Arial Narrow"/>
          <w:szCs w:val="18"/>
        </w:rPr>
      </w:pPr>
      <w:r>
        <w:rPr>
          <w:rFonts w:ascii="Arial Narrow" w:hAnsi="Arial Narrow"/>
          <w:szCs w:val="18"/>
        </w:rPr>
        <w:t>a</w:t>
      </w:r>
      <w:r w:rsidR="00BD3CCB" w:rsidRPr="00BD3CCB">
        <w:rPr>
          <w:rFonts w:ascii="Arial Narrow" w:hAnsi="Arial Narrow"/>
          <w:szCs w:val="18"/>
        </w:rPr>
        <w:t xml:space="preserve"> based on de Franchis 2015 (referred to as Baveno VI in Mozes 2022)</w:t>
      </w:r>
    </w:p>
    <w:p w14:paraId="73625556" w14:textId="096F399A" w:rsidR="00BD3CCB" w:rsidRPr="00BD3CCB" w:rsidRDefault="007B0BB8" w:rsidP="00BD3CCB">
      <w:pPr>
        <w:pStyle w:val="BodyText"/>
        <w:keepNext/>
        <w:spacing w:after="0" w:line="240" w:lineRule="auto"/>
        <w:rPr>
          <w:rFonts w:ascii="Arial Narrow" w:hAnsi="Arial Narrow"/>
          <w:szCs w:val="18"/>
        </w:rPr>
      </w:pPr>
      <w:r>
        <w:rPr>
          <w:rFonts w:ascii="Arial Narrow" w:hAnsi="Arial Narrow"/>
          <w:szCs w:val="18"/>
        </w:rPr>
        <w:t>b</w:t>
      </w:r>
      <w:r w:rsidR="00BD3CCB" w:rsidRPr="00BD3CCB">
        <w:rPr>
          <w:rFonts w:ascii="Arial Narrow" w:hAnsi="Arial Narrow"/>
          <w:szCs w:val="18"/>
        </w:rPr>
        <w:t xml:space="preserve"> Based on Wong 2010</w:t>
      </w:r>
    </w:p>
    <w:p w14:paraId="1E70CA4B" w14:textId="77777777" w:rsidR="00BD3CCB" w:rsidRPr="00BD3CCB" w:rsidRDefault="00BD3CCB" w:rsidP="00BD3CCB">
      <w:pPr>
        <w:pStyle w:val="BodyText"/>
        <w:keepNext/>
        <w:spacing w:after="0" w:line="240" w:lineRule="auto"/>
        <w:rPr>
          <w:rFonts w:ascii="Arial Narrow" w:hAnsi="Arial Narrow"/>
          <w:szCs w:val="18"/>
        </w:rPr>
      </w:pPr>
      <w:r w:rsidRPr="00BD3CCB">
        <w:rPr>
          <w:rFonts w:ascii="Arial Narrow" w:hAnsi="Arial Narrow"/>
          <w:szCs w:val="18"/>
        </w:rPr>
        <w:t>Source: Supporting Table 2, Mozes 2022</w:t>
      </w:r>
    </w:p>
    <w:p w14:paraId="39806F7E" w14:textId="1CFCBB4F" w:rsidR="006C1F5D" w:rsidRDefault="003A6C56" w:rsidP="00F7398A">
      <w:pPr>
        <w:pStyle w:val="Guidelinescross-ref"/>
        <w:rPr>
          <w:b w:val="0"/>
          <w:bCs/>
          <w:color w:val="auto"/>
          <w:sz w:val="22"/>
        </w:rPr>
      </w:pPr>
      <w:r>
        <w:rPr>
          <w:b w:val="0"/>
          <w:bCs/>
          <w:color w:val="auto"/>
          <w:sz w:val="22"/>
        </w:rPr>
        <w:t xml:space="preserve">The diagnostic performance of VCTE alone (i.e. not </w:t>
      </w:r>
      <w:r w:rsidR="00851C5C">
        <w:rPr>
          <w:b w:val="0"/>
          <w:bCs/>
          <w:color w:val="auto"/>
          <w:sz w:val="22"/>
        </w:rPr>
        <w:t>used</w:t>
      </w:r>
      <w:r>
        <w:rPr>
          <w:b w:val="0"/>
          <w:bCs/>
          <w:color w:val="auto"/>
          <w:sz w:val="22"/>
        </w:rPr>
        <w:t xml:space="preserve"> sequentially after FIB-4) and FIB-4 alone compared to liver biopsy as reported in Mozes 2022 is presented in </w:t>
      </w:r>
      <w:r w:rsidR="00DC67FA">
        <w:rPr>
          <w:b w:val="0"/>
          <w:bCs/>
          <w:color w:val="auto"/>
          <w:sz w:val="22"/>
        </w:rPr>
        <w:fldChar w:fldCharType="begin"/>
      </w:r>
      <w:r w:rsidR="00DC67FA">
        <w:rPr>
          <w:b w:val="0"/>
          <w:bCs/>
          <w:color w:val="auto"/>
          <w:sz w:val="22"/>
        </w:rPr>
        <w:instrText xml:space="preserve"> REF _Ref205825945 \h  \* MERGEFORMAT </w:instrText>
      </w:r>
      <w:r w:rsidR="00DC67FA">
        <w:rPr>
          <w:b w:val="0"/>
          <w:bCs/>
          <w:color w:val="auto"/>
          <w:sz w:val="22"/>
        </w:rPr>
      </w:r>
      <w:r w:rsidR="00DC67FA">
        <w:rPr>
          <w:b w:val="0"/>
          <w:bCs/>
          <w:color w:val="auto"/>
          <w:sz w:val="22"/>
        </w:rPr>
        <w:fldChar w:fldCharType="separate"/>
      </w:r>
      <w:r w:rsidR="00CE1B54" w:rsidRPr="00CE1B54">
        <w:rPr>
          <w:b w:val="0"/>
          <w:bCs/>
          <w:color w:val="auto"/>
          <w:sz w:val="22"/>
        </w:rPr>
        <w:t>Table 7</w:t>
      </w:r>
      <w:r w:rsidR="00DC67FA">
        <w:rPr>
          <w:b w:val="0"/>
          <w:bCs/>
          <w:color w:val="auto"/>
          <w:sz w:val="22"/>
        </w:rPr>
        <w:fldChar w:fldCharType="end"/>
      </w:r>
      <w:r w:rsidR="00DC67FA">
        <w:rPr>
          <w:b w:val="0"/>
          <w:bCs/>
          <w:color w:val="auto"/>
          <w:sz w:val="22"/>
        </w:rPr>
        <w:t xml:space="preserve">. </w:t>
      </w:r>
      <w:r w:rsidR="008D7849" w:rsidRPr="008D7849">
        <w:rPr>
          <w:b w:val="0"/>
          <w:bCs/>
          <w:color w:val="auto"/>
          <w:sz w:val="22"/>
        </w:rPr>
        <w:t>LSM by VCTE demonstrate</w:t>
      </w:r>
      <w:r w:rsidR="008D7849">
        <w:rPr>
          <w:b w:val="0"/>
          <w:bCs/>
          <w:color w:val="auto"/>
          <w:sz w:val="22"/>
        </w:rPr>
        <w:t>d</w:t>
      </w:r>
      <w:r w:rsidR="008D7849" w:rsidRPr="008D7849">
        <w:rPr>
          <w:b w:val="0"/>
          <w:bCs/>
          <w:color w:val="auto"/>
          <w:sz w:val="22"/>
        </w:rPr>
        <w:t xml:space="preserve"> the highest diagnostic performance, with a</w:t>
      </w:r>
      <w:r w:rsidR="008D7849">
        <w:rPr>
          <w:b w:val="0"/>
          <w:bCs/>
          <w:color w:val="auto"/>
          <w:sz w:val="22"/>
        </w:rPr>
        <w:t xml:space="preserve"> point estimate </w:t>
      </w:r>
      <w:r w:rsidR="005835D0">
        <w:rPr>
          <w:b w:val="0"/>
          <w:bCs/>
          <w:color w:val="auto"/>
          <w:sz w:val="22"/>
        </w:rPr>
        <w:t xml:space="preserve">for the </w:t>
      </w:r>
      <w:r w:rsidR="008D7849" w:rsidRPr="008D7849">
        <w:rPr>
          <w:b w:val="0"/>
          <w:bCs/>
          <w:color w:val="auto"/>
          <w:sz w:val="22"/>
        </w:rPr>
        <w:t>AUROC of 0.85</w:t>
      </w:r>
      <w:r w:rsidR="008D7849">
        <w:rPr>
          <w:b w:val="0"/>
          <w:bCs/>
          <w:color w:val="auto"/>
          <w:sz w:val="22"/>
        </w:rPr>
        <w:t xml:space="preserve"> (compared to 0.76</w:t>
      </w:r>
      <w:r w:rsidR="005835D0">
        <w:rPr>
          <w:b w:val="0"/>
          <w:bCs/>
          <w:color w:val="auto"/>
          <w:sz w:val="22"/>
        </w:rPr>
        <w:t xml:space="preserve"> for FIB-4 and 0.73 for NFS)</w:t>
      </w:r>
      <w:r w:rsidR="008D7849" w:rsidRPr="008D7849">
        <w:rPr>
          <w:b w:val="0"/>
          <w:bCs/>
          <w:color w:val="auto"/>
          <w:sz w:val="22"/>
        </w:rPr>
        <w:t xml:space="preserve">, indicating good discrimination between patients with and without </w:t>
      </w:r>
      <w:r w:rsidR="005835D0">
        <w:rPr>
          <w:b w:val="0"/>
          <w:bCs/>
          <w:color w:val="auto"/>
          <w:sz w:val="22"/>
        </w:rPr>
        <w:t>AF</w:t>
      </w:r>
      <w:r w:rsidR="008D7849" w:rsidRPr="008D7849">
        <w:rPr>
          <w:b w:val="0"/>
          <w:bCs/>
          <w:color w:val="auto"/>
          <w:sz w:val="22"/>
        </w:rPr>
        <w:t>. At the maximum Youden’s Index (YI</w:t>
      </w:r>
      <w:r w:rsidR="00F97E48">
        <w:rPr>
          <w:b w:val="0"/>
          <w:bCs/>
          <w:color w:val="auto"/>
          <w:sz w:val="22"/>
        </w:rPr>
        <w:t>; measured as sensitivity + specificity - 1</w:t>
      </w:r>
      <w:r w:rsidR="008D7849" w:rsidRPr="008D7849">
        <w:rPr>
          <w:b w:val="0"/>
          <w:bCs/>
          <w:color w:val="auto"/>
          <w:sz w:val="22"/>
        </w:rPr>
        <w:t>) threshold, VCTE shows balanced sensitivity and specificity (77–78%), resulting in a misclassification rate of 22%.</w:t>
      </w:r>
      <w:r w:rsidR="005835D0">
        <w:rPr>
          <w:b w:val="0"/>
          <w:bCs/>
          <w:color w:val="auto"/>
          <w:sz w:val="22"/>
        </w:rPr>
        <w:t xml:space="preserve"> The commentary noted this meant </w:t>
      </w:r>
      <w:r w:rsidR="008E2334">
        <w:rPr>
          <w:b w:val="0"/>
          <w:bCs/>
          <w:color w:val="auto"/>
          <w:sz w:val="22"/>
        </w:rPr>
        <w:t>that</w:t>
      </w:r>
      <w:r w:rsidR="008B5CD1">
        <w:rPr>
          <w:b w:val="0"/>
          <w:bCs/>
          <w:color w:val="auto"/>
          <w:sz w:val="22"/>
        </w:rPr>
        <w:t>,</w:t>
      </w:r>
      <w:r w:rsidR="008E2334">
        <w:rPr>
          <w:b w:val="0"/>
          <w:bCs/>
          <w:color w:val="auto"/>
          <w:sz w:val="22"/>
        </w:rPr>
        <w:t xml:space="preserve"> when using a single </w:t>
      </w:r>
      <w:r w:rsidR="000A1F46">
        <w:rPr>
          <w:b w:val="0"/>
          <w:bCs/>
          <w:color w:val="auto"/>
          <w:sz w:val="22"/>
        </w:rPr>
        <w:t>rule-out</w:t>
      </w:r>
      <w:r w:rsidR="005835D0">
        <w:rPr>
          <w:b w:val="0"/>
          <w:bCs/>
          <w:color w:val="auto"/>
          <w:sz w:val="22"/>
        </w:rPr>
        <w:t xml:space="preserve"> and </w:t>
      </w:r>
      <w:r w:rsidR="000A1F46">
        <w:rPr>
          <w:b w:val="0"/>
          <w:bCs/>
          <w:color w:val="auto"/>
          <w:sz w:val="22"/>
        </w:rPr>
        <w:t>rule-in</w:t>
      </w:r>
      <w:r w:rsidR="005835D0">
        <w:rPr>
          <w:b w:val="0"/>
          <w:bCs/>
          <w:color w:val="auto"/>
          <w:sz w:val="22"/>
        </w:rPr>
        <w:t xml:space="preserve"> threshold</w:t>
      </w:r>
      <w:r w:rsidR="008E2334">
        <w:rPr>
          <w:b w:val="0"/>
          <w:bCs/>
          <w:color w:val="auto"/>
          <w:sz w:val="22"/>
        </w:rPr>
        <w:t>, it would not be possible to achieve both a sensitivity and specificity of above 80%</w:t>
      </w:r>
      <w:r w:rsidR="00977B96">
        <w:rPr>
          <w:b w:val="0"/>
          <w:bCs/>
          <w:color w:val="auto"/>
          <w:sz w:val="22"/>
        </w:rPr>
        <w:t xml:space="preserve"> (</w:t>
      </w:r>
      <w:r w:rsidR="00977B96">
        <w:rPr>
          <w:b w:val="0"/>
          <w:bCs/>
          <w:color w:val="auto"/>
          <w:sz w:val="22"/>
        </w:rPr>
        <w:fldChar w:fldCharType="begin"/>
      </w:r>
      <w:r w:rsidR="00977B96">
        <w:rPr>
          <w:b w:val="0"/>
          <w:bCs/>
          <w:color w:val="auto"/>
          <w:sz w:val="22"/>
        </w:rPr>
        <w:instrText xml:space="preserve"> REF _Ref205826354 \h  \* MERGEFORMAT </w:instrText>
      </w:r>
      <w:r w:rsidR="00977B96">
        <w:rPr>
          <w:b w:val="0"/>
          <w:bCs/>
          <w:color w:val="auto"/>
          <w:sz w:val="22"/>
        </w:rPr>
      </w:r>
      <w:r w:rsidR="00977B96">
        <w:rPr>
          <w:b w:val="0"/>
          <w:bCs/>
          <w:color w:val="auto"/>
          <w:sz w:val="22"/>
        </w:rPr>
        <w:fldChar w:fldCharType="separate"/>
      </w:r>
      <w:r w:rsidR="00CE1B54" w:rsidRPr="00CE1B54">
        <w:rPr>
          <w:b w:val="0"/>
          <w:bCs/>
          <w:color w:val="auto"/>
          <w:sz w:val="22"/>
        </w:rPr>
        <w:t>Figure 1</w:t>
      </w:r>
      <w:r w:rsidR="00977B96">
        <w:rPr>
          <w:b w:val="0"/>
          <w:bCs/>
          <w:color w:val="auto"/>
          <w:sz w:val="22"/>
        </w:rPr>
        <w:fldChar w:fldCharType="end"/>
      </w:r>
      <w:r w:rsidR="00977B96">
        <w:rPr>
          <w:b w:val="0"/>
          <w:bCs/>
          <w:color w:val="auto"/>
          <w:sz w:val="22"/>
        </w:rPr>
        <w:t>)</w:t>
      </w:r>
      <w:r w:rsidR="008E2334">
        <w:rPr>
          <w:b w:val="0"/>
          <w:bCs/>
          <w:color w:val="auto"/>
          <w:sz w:val="22"/>
        </w:rPr>
        <w:t xml:space="preserve">. Mozes 2022 suggests that a </w:t>
      </w:r>
      <w:r w:rsidR="000A1F46">
        <w:rPr>
          <w:b w:val="0"/>
          <w:bCs/>
          <w:color w:val="auto"/>
          <w:sz w:val="22"/>
        </w:rPr>
        <w:t>rule-out</w:t>
      </w:r>
      <w:r w:rsidR="008E2334">
        <w:rPr>
          <w:b w:val="0"/>
          <w:bCs/>
          <w:color w:val="auto"/>
          <w:sz w:val="22"/>
        </w:rPr>
        <w:t xml:space="preserve"> threshold of 7.4 kPa and a </w:t>
      </w:r>
      <w:r w:rsidR="000A1F46">
        <w:rPr>
          <w:b w:val="0"/>
          <w:bCs/>
          <w:color w:val="auto"/>
          <w:sz w:val="22"/>
        </w:rPr>
        <w:t>rule-in</w:t>
      </w:r>
      <w:r w:rsidR="008E2334">
        <w:rPr>
          <w:b w:val="0"/>
          <w:bCs/>
          <w:color w:val="auto"/>
          <w:sz w:val="22"/>
        </w:rPr>
        <w:t xml:space="preserve"> threshold of 12.1 kPa w</w:t>
      </w:r>
      <w:r w:rsidR="00D1581C">
        <w:rPr>
          <w:b w:val="0"/>
          <w:bCs/>
          <w:color w:val="auto"/>
          <w:sz w:val="22"/>
        </w:rPr>
        <w:t>ere</w:t>
      </w:r>
      <w:r w:rsidR="008E2334">
        <w:rPr>
          <w:b w:val="0"/>
          <w:bCs/>
          <w:color w:val="auto"/>
          <w:sz w:val="22"/>
        </w:rPr>
        <w:t xml:space="preserve"> necessary</w:t>
      </w:r>
      <w:r w:rsidR="004507A6">
        <w:rPr>
          <w:b w:val="0"/>
          <w:bCs/>
          <w:color w:val="auto"/>
          <w:sz w:val="22"/>
        </w:rPr>
        <w:t xml:space="preserve"> for VCTE to have a sensitivity and specificity of 90%. </w:t>
      </w:r>
      <w:r w:rsidR="00FA3E0B">
        <w:rPr>
          <w:b w:val="0"/>
          <w:bCs/>
          <w:color w:val="auto"/>
          <w:sz w:val="22"/>
        </w:rPr>
        <w:t xml:space="preserve">However, this increase in sensitivity and specificity comes at the </w:t>
      </w:r>
      <w:r w:rsidR="00FA3E0B" w:rsidRPr="006E143A">
        <w:rPr>
          <w:b w:val="0"/>
          <w:bCs/>
          <w:color w:val="auto"/>
          <w:sz w:val="22"/>
        </w:rPr>
        <w:t>cost</w:t>
      </w:r>
      <w:r w:rsidR="00FA3E0B">
        <w:rPr>
          <w:b w:val="0"/>
          <w:bCs/>
          <w:color w:val="auto"/>
          <w:sz w:val="22"/>
        </w:rPr>
        <w:t xml:space="preserve"> of a</w:t>
      </w:r>
      <w:r w:rsidR="00FC0D69">
        <w:rPr>
          <w:b w:val="0"/>
          <w:bCs/>
          <w:color w:val="auto"/>
          <w:sz w:val="22"/>
        </w:rPr>
        <w:t xml:space="preserve"> cohort of</w:t>
      </w:r>
      <w:r w:rsidR="00FA3E0B">
        <w:rPr>
          <w:b w:val="0"/>
          <w:bCs/>
          <w:color w:val="auto"/>
          <w:sz w:val="22"/>
        </w:rPr>
        <w:t xml:space="preserve"> </w:t>
      </w:r>
      <w:r w:rsidR="00FC0D69">
        <w:rPr>
          <w:b w:val="0"/>
          <w:bCs/>
          <w:color w:val="auto"/>
          <w:sz w:val="22"/>
        </w:rPr>
        <w:t xml:space="preserve">patients receiving </w:t>
      </w:r>
      <w:r w:rsidR="00FA3E0B">
        <w:rPr>
          <w:b w:val="0"/>
          <w:bCs/>
          <w:color w:val="auto"/>
          <w:sz w:val="22"/>
        </w:rPr>
        <w:t>indeterminate</w:t>
      </w:r>
      <w:r w:rsidR="00FC0D69">
        <w:rPr>
          <w:b w:val="0"/>
          <w:bCs/>
          <w:color w:val="auto"/>
          <w:sz w:val="22"/>
        </w:rPr>
        <w:t xml:space="preserve"> VCTE results.</w:t>
      </w:r>
      <w:r w:rsidR="00FA3E0B">
        <w:rPr>
          <w:b w:val="0"/>
          <w:bCs/>
          <w:color w:val="auto"/>
          <w:sz w:val="22"/>
        </w:rPr>
        <w:t xml:space="preserve"> </w:t>
      </w:r>
    </w:p>
    <w:p w14:paraId="4E362A37" w14:textId="76476CCC" w:rsidR="006F5A90" w:rsidRPr="00A84C83" w:rsidRDefault="006F5A90" w:rsidP="00F7398A">
      <w:pPr>
        <w:pStyle w:val="Guidelinescross-ref"/>
        <w:rPr>
          <w:b w:val="0"/>
          <w:bCs/>
          <w:color w:val="auto"/>
          <w:sz w:val="22"/>
        </w:rPr>
      </w:pPr>
      <w:r w:rsidRPr="00A84C83">
        <w:rPr>
          <w:b w:val="0"/>
          <w:bCs/>
          <w:color w:val="auto"/>
          <w:sz w:val="22"/>
        </w:rPr>
        <w:t>Overall, applying a single lower threshold of 8.0 kPa, compared to the 9.1 kPa threshold that maximised the Youden Index, would increase sensitivity but reduce specificity (see Figure 1), leading to more false positive results. At 9.1 kPa, sensitivity and specificity are more closely balanced, whereas at 8.0 kPa the gap between them is wider.</w:t>
      </w:r>
    </w:p>
    <w:p w14:paraId="3AA2DD55" w14:textId="2600A5FB" w:rsidR="003A6C56" w:rsidRPr="003A6C56" w:rsidRDefault="003A6C56" w:rsidP="00FC0D69">
      <w:pPr>
        <w:pStyle w:val="Caption"/>
        <w:keepLines/>
        <w:spacing w:before="0" w:after="0"/>
      </w:pPr>
      <w:bookmarkStart w:id="34" w:name="_Ref205825945"/>
      <w:bookmarkStart w:id="35" w:name="_Toc199938809"/>
      <w:bookmarkStart w:id="36" w:name="_Toc200469530"/>
      <w:r w:rsidRPr="003A6C56">
        <w:t xml:space="preserve">Table </w:t>
      </w:r>
      <w:r w:rsidR="003D48F8">
        <w:fldChar w:fldCharType="begin"/>
      </w:r>
      <w:r w:rsidR="003D48F8">
        <w:instrText xml:space="preserve"> SEQ Table \* ARABIC </w:instrText>
      </w:r>
      <w:r w:rsidR="003D48F8">
        <w:fldChar w:fldCharType="separate"/>
      </w:r>
      <w:r w:rsidR="003D48F8">
        <w:rPr>
          <w:noProof/>
        </w:rPr>
        <w:t>7</w:t>
      </w:r>
      <w:r w:rsidR="003D48F8">
        <w:rPr>
          <w:noProof/>
        </w:rPr>
        <w:fldChar w:fldCharType="end"/>
      </w:r>
      <w:bookmarkEnd w:id="34"/>
      <w:r w:rsidRPr="003A6C56">
        <w:tab/>
        <w:t>Diagnostic performance of non-invasive tests for advanced fibrosis (F3–F4)</w:t>
      </w:r>
      <w:bookmarkEnd w:id="35"/>
      <w:bookmarkEnd w:id="36"/>
      <w:r>
        <w:t xml:space="preserve"> in Mozes 2022</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2"/>
        <w:gridCol w:w="1277"/>
        <w:gridCol w:w="1134"/>
        <w:gridCol w:w="1134"/>
        <w:gridCol w:w="1132"/>
        <w:gridCol w:w="1084"/>
      </w:tblGrid>
      <w:tr w:rsidR="006E2CFB" w:rsidRPr="003A6C56" w14:paraId="156E2C87" w14:textId="77777777" w:rsidTr="003A6C56">
        <w:tc>
          <w:tcPr>
            <w:tcW w:w="1177" w:type="pct"/>
            <w:vAlign w:val="center"/>
          </w:tcPr>
          <w:p w14:paraId="1511DCCC" w14:textId="77777777" w:rsidR="003A6C56" w:rsidRPr="003A6C56" w:rsidRDefault="003A6C56" w:rsidP="00FC0D69">
            <w:pPr>
              <w:pStyle w:val="Tabletext0"/>
              <w:keepNext/>
              <w:keepLines/>
              <w:spacing w:before="0" w:after="0"/>
              <w:jc w:val="left"/>
            </w:pPr>
          </w:p>
        </w:tc>
        <w:tc>
          <w:tcPr>
            <w:tcW w:w="1965" w:type="pct"/>
            <w:gridSpan w:val="3"/>
            <w:vAlign w:val="center"/>
          </w:tcPr>
          <w:p w14:paraId="69504C8F" w14:textId="036A73A2" w:rsidR="003A6C56" w:rsidRPr="003A6C56" w:rsidRDefault="003A6C56" w:rsidP="00FC0D69">
            <w:pPr>
              <w:pStyle w:val="TableH1"/>
              <w:spacing w:before="0" w:after="0"/>
              <w:jc w:val="center"/>
              <w:rPr>
                <w:rFonts w:ascii="Arial Narrow" w:hAnsi="Arial Narrow"/>
                <w:b w:val="0"/>
                <w:bCs/>
                <w:sz w:val="20"/>
                <w:szCs w:val="20"/>
                <w:lang w:val="en-AU"/>
              </w:rPr>
            </w:pPr>
            <w:r w:rsidRPr="003A6C56">
              <w:rPr>
                <w:rFonts w:ascii="Arial Narrow" w:hAnsi="Arial Narrow"/>
                <w:bCs/>
                <w:sz w:val="20"/>
                <w:szCs w:val="20"/>
                <w:lang w:val="en-AU"/>
              </w:rPr>
              <w:t xml:space="preserve">LSM by VCTE </w:t>
            </w:r>
            <w:r w:rsidR="00EB357D">
              <w:rPr>
                <w:rFonts w:ascii="Arial Narrow" w:hAnsi="Arial Narrow"/>
                <w:bCs/>
                <w:sz w:val="20"/>
                <w:szCs w:val="20"/>
                <w:lang w:val="en-AU"/>
              </w:rPr>
              <w:t>alone</w:t>
            </w:r>
            <w:r w:rsidRPr="003A6C56">
              <w:rPr>
                <w:rFonts w:ascii="Arial Narrow" w:hAnsi="Arial Narrow"/>
                <w:bCs/>
                <w:sz w:val="20"/>
                <w:szCs w:val="20"/>
                <w:lang w:val="en-AU"/>
              </w:rPr>
              <w:t xml:space="preserve"> (n=5,489)</w:t>
            </w:r>
          </w:p>
        </w:tc>
        <w:tc>
          <w:tcPr>
            <w:tcW w:w="1858" w:type="pct"/>
            <w:gridSpan w:val="3"/>
            <w:vAlign w:val="center"/>
          </w:tcPr>
          <w:p w14:paraId="4895EA9B" w14:textId="50719B64" w:rsidR="003A6C56" w:rsidRPr="003A6C56" w:rsidRDefault="003A6C56" w:rsidP="00FC0D69">
            <w:pPr>
              <w:pStyle w:val="TableH1"/>
              <w:spacing w:before="0" w:after="0"/>
              <w:jc w:val="center"/>
              <w:rPr>
                <w:rFonts w:ascii="Arial Narrow" w:hAnsi="Arial Narrow"/>
                <w:b w:val="0"/>
                <w:bCs/>
                <w:sz w:val="20"/>
                <w:szCs w:val="20"/>
                <w:lang w:val="en-AU"/>
              </w:rPr>
            </w:pPr>
            <w:r w:rsidRPr="003A6C56">
              <w:rPr>
                <w:rFonts w:ascii="Arial Narrow" w:hAnsi="Arial Narrow"/>
                <w:bCs/>
                <w:sz w:val="20"/>
                <w:szCs w:val="20"/>
                <w:lang w:val="en-AU"/>
              </w:rPr>
              <w:t xml:space="preserve">FIB-4 </w:t>
            </w:r>
            <w:r w:rsidR="00EB357D">
              <w:rPr>
                <w:rFonts w:ascii="Arial Narrow" w:hAnsi="Arial Narrow"/>
                <w:bCs/>
                <w:sz w:val="20"/>
                <w:szCs w:val="20"/>
                <w:lang w:val="en-AU"/>
              </w:rPr>
              <w:t>alone</w:t>
            </w:r>
            <w:r w:rsidRPr="003A6C56">
              <w:rPr>
                <w:rFonts w:ascii="Arial Narrow" w:hAnsi="Arial Narrow"/>
                <w:bCs/>
                <w:sz w:val="20"/>
                <w:szCs w:val="20"/>
                <w:lang w:val="en-AU"/>
              </w:rPr>
              <w:t xml:space="preserve"> (n=5,393)</w:t>
            </w:r>
          </w:p>
        </w:tc>
      </w:tr>
      <w:tr w:rsidR="006E2CFB" w:rsidRPr="003A6C56" w14:paraId="7D19AAFA" w14:textId="77777777" w:rsidTr="003A6C56">
        <w:tc>
          <w:tcPr>
            <w:tcW w:w="1177" w:type="pct"/>
            <w:vAlign w:val="center"/>
          </w:tcPr>
          <w:p w14:paraId="3EAF00FF" w14:textId="77777777" w:rsidR="003A6C56" w:rsidRPr="003A6C56" w:rsidRDefault="003A6C56" w:rsidP="00FC0D69">
            <w:pPr>
              <w:pStyle w:val="Tabletext0"/>
              <w:keepNext/>
              <w:keepLines/>
              <w:spacing w:before="0" w:after="0"/>
              <w:jc w:val="left"/>
            </w:pPr>
            <w:r w:rsidRPr="003A6C56">
              <w:t>Advanced fibrosis, %</w:t>
            </w:r>
          </w:p>
        </w:tc>
        <w:tc>
          <w:tcPr>
            <w:tcW w:w="1965" w:type="pct"/>
            <w:gridSpan w:val="3"/>
            <w:vAlign w:val="center"/>
          </w:tcPr>
          <w:p w14:paraId="5AC61B30" w14:textId="77777777" w:rsidR="003A6C56" w:rsidRPr="003A6C56" w:rsidRDefault="003A6C56" w:rsidP="00FC0D69">
            <w:pPr>
              <w:pStyle w:val="Tabletext0"/>
              <w:keepNext/>
              <w:keepLines/>
              <w:spacing w:before="0" w:after="0"/>
              <w:jc w:val="center"/>
            </w:pPr>
            <w:r w:rsidRPr="003A6C56">
              <w:t>30</w:t>
            </w:r>
          </w:p>
        </w:tc>
        <w:tc>
          <w:tcPr>
            <w:tcW w:w="1858" w:type="pct"/>
            <w:gridSpan w:val="3"/>
            <w:vAlign w:val="center"/>
          </w:tcPr>
          <w:p w14:paraId="7D0DF77F" w14:textId="77777777" w:rsidR="003A6C56" w:rsidRPr="003A6C56" w:rsidRDefault="003A6C56" w:rsidP="00FC0D69">
            <w:pPr>
              <w:pStyle w:val="Tabletext0"/>
              <w:keepNext/>
              <w:keepLines/>
              <w:spacing w:before="0" w:after="0"/>
              <w:jc w:val="center"/>
            </w:pPr>
            <w:r w:rsidRPr="003A6C56">
              <w:t>30</w:t>
            </w:r>
          </w:p>
        </w:tc>
      </w:tr>
      <w:tr w:rsidR="006E2CFB" w:rsidRPr="003A6C56" w14:paraId="456ECE76" w14:textId="77777777" w:rsidTr="003A6C56">
        <w:tc>
          <w:tcPr>
            <w:tcW w:w="1177" w:type="pct"/>
            <w:vAlign w:val="center"/>
          </w:tcPr>
          <w:p w14:paraId="5CC12610" w14:textId="77777777" w:rsidR="003A6C56" w:rsidRPr="003A6C56" w:rsidRDefault="003A6C56" w:rsidP="00FC0D69">
            <w:pPr>
              <w:pStyle w:val="Tabletext0"/>
              <w:keepNext/>
              <w:keepLines/>
              <w:spacing w:before="0" w:after="0"/>
              <w:jc w:val="left"/>
            </w:pPr>
            <w:r w:rsidRPr="003A6C56">
              <w:t>AUROC</w:t>
            </w:r>
          </w:p>
        </w:tc>
        <w:tc>
          <w:tcPr>
            <w:tcW w:w="1965" w:type="pct"/>
            <w:gridSpan w:val="3"/>
          </w:tcPr>
          <w:p w14:paraId="78DE2DB8" w14:textId="77777777" w:rsidR="003A6C56" w:rsidRPr="003A6C56" w:rsidRDefault="003A6C56" w:rsidP="00FC0D69">
            <w:pPr>
              <w:pStyle w:val="Tabletext0"/>
              <w:keepNext/>
              <w:keepLines/>
              <w:spacing w:before="0" w:after="0"/>
              <w:jc w:val="center"/>
            </w:pPr>
            <w:r w:rsidRPr="003A6C56">
              <w:t>0.85 (0.84–0.86)</w:t>
            </w:r>
          </w:p>
        </w:tc>
        <w:tc>
          <w:tcPr>
            <w:tcW w:w="1858" w:type="pct"/>
            <w:gridSpan w:val="3"/>
          </w:tcPr>
          <w:p w14:paraId="7E8CD9FC" w14:textId="77777777" w:rsidR="003A6C56" w:rsidRPr="003A6C56" w:rsidRDefault="003A6C56" w:rsidP="00FC0D69">
            <w:pPr>
              <w:pStyle w:val="Tabletext0"/>
              <w:keepNext/>
              <w:keepLines/>
              <w:spacing w:before="0" w:after="0"/>
              <w:jc w:val="center"/>
            </w:pPr>
            <w:r w:rsidRPr="003A6C56">
              <w:t>0.76 (0.74–0.77)</w:t>
            </w:r>
          </w:p>
        </w:tc>
      </w:tr>
      <w:tr w:rsidR="00664059" w:rsidRPr="003A6C56" w14:paraId="30DFF22E" w14:textId="77777777" w:rsidTr="003A6C56">
        <w:tc>
          <w:tcPr>
            <w:tcW w:w="1177" w:type="pct"/>
            <w:vAlign w:val="center"/>
          </w:tcPr>
          <w:p w14:paraId="46F36AB2" w14:textId="77777777" w:rsidR="003A6C56" w:rsidRPr="003A6C56" w:rsidRDefault="003A6C56" w:rsidP="00FC0D69">
            <w:pPr>
              <w:pStyle w:val="Tabletext0"/>
              <w:keepNext/>
              <w:keepLines/>
              <w:spacing w:before="0" w:after="0"/>
              <w:jc w:val="left"/>
            </w:pPr>
          </w:p>
        </w:tc>
        <w:tc>
          <w:tcPr>
            <w:tcW w:w="628" w:type="pct"/>
          </w:tcPr>
          <w:p w14:paraId="035102BD" w14:textId="77777777" w:rsidR="003A6C56" w:rsidRPr="003A6C56" w:rsidRDefault="003A6C56" w:rsidP="00FC0D69">
            <w:pPr>
              <w:pStyle w:val="Tabletext0"/>
              <w:keepNext/>
              <w:keepLines/>
              <w:spacing w:before="0" w:after="0"/>
              <w:jc w:val="center"/>
            </w:pPr>
            <w:r w:rsidRPr="003A6C56">
              <w:t>YI</w:t>
            </w:r>
          </w:p>
        </w:tc>
        <w:tc>
          <w:tcPr>
            <w:tcW w:w="708" w:type="pct"/>
          </w:tcPr>
          <w:p w14:paraId="55E2B87E" w14:textId="77777777" w:rsidR="003A6C56" w:rsidRPr="003A6C56" w:rsidRDefault="003A6C56" w:rsidP="00FC0D69">
            <w:pPr>
              <w:pStyle w:val="Tabletext0"/>
              <w:keepNext/>
              <w:keepLines/>
              <w:spacing w:before="0" w:after="0"/>
              <w:jc w:val="center"/>
            </w:pPr>
            <w:r w:rsidRPr="003A6C56">
              <w:t>90% Se</w:t>
            </w:r>
          </w:p>
        </w:tc>
        <w:tc>
          <w:tcPr>
            <w:tcW w:w="629" w:type="pct"/>
          </w:tcPr>
          <w:p w14:paraId="75CC9D94" w14:textId="77777777" w:rsidR="003A6C56" w:rsidRPr="003A6C56" w:rsidRDefault="003A6C56" w:rsidP="00FC0D69">
            <w:pPr>
              <w:pStyle w:val="Tabletext0"/>
              <w:keepNext/>
              <w:keepLines/>
              <w:spacing w:before="0" w:after="0"/>
              <w:jc w:val="center"/>
            </w:pPr>
            <w:r w:rsidRPr="003A6C56">
              <w:t>90% Sp</w:t>
            </w:r>
          </w:p>
        </w:tc>
        <w:tc>
          <w:tcPr>
            <w:tcW w:w="629" w:type="pct"/>
          </w:tcPr>
          <w:p w14:paraId="45C62582" w14:textId="77777777" w:rsidR="003A6C56" w:rsidRPr="003A6C56" w:rsidRDefault="003A6C56" w:rsidP="00FC0D69">
            <w:pPr>
              <w:pStyle w:val="Tabletext0"/>
              <w:keepNext/>
              <w:keepLines/>
              <w:spacing w:before="0" w:after="0"/>
              <w:jc w:val="center"/>
            </w:pPr>
            <w:r w:rsidRPr="003A6C56">
              <w:t>YI</w:t>
            </w:r>
          </w:p>
        </w:tc>
        <w:tc>
          <w:tcPr>
            <w:tcW w:w="628" w:type="pct"/>
          </w:tcPr>
          <w:p w14:paraId="5D99D80C" w14:textId="77777777" w:rsidR="003A6C56" w:rsidRPr="003A6C56" w:rsidRDefault="003A6C56" w:rsidP="00FC0D69">
            <w:pPr>
              <w:pStyle w:val="Tabletext0"/>
              <w:keepNext/>
              <w:keepLines/>
              <w:spacing w:before="0" w:after="0"/>
              <w:jc w:val="center"/>
            </w:pPr>
            <w:r w:rsidRPr="003A6C56">
              <w:t>90% Se</w:t>
            </w:r>
          </w:p>
        </w:tc>
        <w:tc>
          <w:tcPr>
            <w:tcW w:w="601" w:type="pct"/>
          </w:tcPr>
          <w:p w14:paraId="72022CCF" w14:textId="77777777" w:rsidR="003A6C56" w:rsidRPr="003A6C56" w:rsidRDefault="003A6C56" w:rsidP="00FC0D69">
            <w:pPr>
              <w:pStyle w:val="Tabletext0"/>
              <w:keepNext/>
              <w:keepLines/>
              <w:spacing w:before="0" w:after="0"/>
              <w:jc w:val="center"/>
            </w:pPr>
            <w:r w:rsidRPr="003A6C56">
              <w:t>90% Sp</w:t>
            </w:r>
          </w:p>
        </w:tc>
      </w:tr>
      <w:tr w:rsidR="00664059" w:rsidRPr="003A6C56" w14:paraId="3864248C" w14:textId="77777777" w:rsidTr="003A6C56">
        <w:tc>
          <w:tcPr>
            <w:tcW w:w="1177" w:type="pct"/>
            <w:vAlign w:val="center"/>
          </w:tcPr>
          <w:p w14:paraId="1A5AA52F" w14:textId="77777777" w:rsidR="003A6C56" w:rsidRPr="003A6C56" w:rsidRDefault="003A6C56" w:rsidP="00FC0D69">
            <w:pPr>
              <w:pStyle w:val="Tabletext0"/>
              <w:keepNext/>
              <w:keepLines/>
              <w:spacing w:before="0" w:after="0"/>
              <w:jc w:val="left"/>
            </w:pPr>
            <w:r w:rsidRPr="003A6C56">
              <w:t>Threshold</w:t>
            </w:r>
          </w:p>
        </w:tc>
        <w:tc>
          <w:tcPr>
            <w:tcW w:w="628" w:type="pct"/>
          </w:tcPr>
          <w:p w14:paraId="227FB7B8" w14:textId="77777777" w:rsidR="003A6C56" w:rsidRPr="003A6C56" w:rsidRDefault="003A6C56" w:rsidP="00FC0D69">
            <w:pPr>
              <w:pStyle w:val="Tabletext0"/>
              <w:keepNext/>
              <w:keepLines/>
              <w:spacing w:before="0" w:after="0"/>
              <w:jc w:val="center"/>
            </w:pPr>
            <w:r w:rsidRPr="003A6C56">
              <w:t>9.1</w:t>
            </w:r>
          </w:p>
        </w:tc>
        <w:tc>
          <w:tcPr>
            <w:tcW w:w="708" w:type="pct"/>
          </w:tcPr>
          <w:p w14:paraId="18B7D7CD" w14:textId="77777777" w:rsidR="003A6C56" w:rsidRPr="003A6C56" w:rsidRDefault="003A6C56" w:rsidP="00FC0D69">
            <w:pPr>
              <w:pStyle w:val="Tabletext0"/>
              <w:keepNext/>
              <w:keepLines/>
              <w:spacing w:before="0" w:after="0"/>
              <w:jc w:val="center"/>
            </w:pPr>
            <w:r w:rsidRPr="003A6C56">
              <w:t>7.4</w:t>
            </w:r>
          </w:p>
        </w:tc>
        <w:tc>
          <w:tcPr>
            <w:tcW w:w="629" w:type="pct"/>
          </w:tcPr>
          <w:p w14:paraId="5FDE91A9" w14:textId="77777777" w:rsidR="003A6C56" w:rsidRPr="003A6C56" w:rsidRDefault="003A6C56" w:rsidP="00FC0D69">
            <w:pPr>
              <w:pStyle w:val="Tabletext0"/>
              <w:keepNext/>
              <w:keepLines/>
              <w:spacing w:before="0" w:after="0"/>
              <w:jc w:val="center"/>
            </w:pPr>
            <w:r w:rsidRPr="003A6C56">
              <w:t>12.1</w:t>
            </w:r>
          </w:p>
        </w:tc>
        <w:tc>
          <w:tcPr>
            <w:tcW w:w="629" w:type="pct"/>
          </w:tcPr>
          <w:p w14:paraId="7886F774" w14:textId="77777777" w:rsidR="003A6C56" w:rsidRPr="003A6C56" w:rsidRDefault="003A6C56" w:rsidP="00FC0D69">
            <w:pPr>
              <w:pStyle w:val="Tabletext0"/>
              <w:keepNext/>
              <w:keepLines/>
              <w:spacing w:before="0" w:after="0"/>
              <w:jc w:val="center"/>
            </w:pPr>
            <w:r w:rsidRPr="003A6C56">
              <w:t>1.44</w:t>
            </w:r>
          </w:p>
        </w:tc>
        <w:tc>
          <w:tcPr>
            <w:tcW w:w="628" w:type="pct"/>
          </w:tcPr>
          <w:p w14:paraId="6CD00F07" w14:textId="77777777" w:rsidR="003A6C56" w:rsidRPr="003A6C56" w:rsidRDefault="003A6C56" w:rsidP="00FC0D69">
            <w:pPr>
              <w:pStyle w:val="Tabletext0"/>
              <w:keepNext/>
              <w:keepLines/>
              <w:spacing w:before="0" w:after="0"/>
              <w:jc w:val="center"/>
            </w:pPr>
            <w:r w:rsidRPr="003A6C56">
              <w:t>0.88</w:t>
            </w:r>
          </w:p>
        </w:tc>
        <w:tc>
          <w:tcPr>
            <w:tcW w:w="601" w:type="pct"/>
          </w:tcPr>
          <w:p w14:paraId="04DD8359" w14:textId="77777777" w:rsidR="003A6C56" w:rsidRPr="003A6C56" w:rsidRDefault="003A6C56" w:rsidP="00FC0D69">
            <w:pPr>
              <w:pStyle w:val="Tabletext0"/>
              <w:keepNext/>
              <w:keepLines/>
              <w:spacing w:before="0" w:after="0"/>
              <w:jc w:val="center"/>
            </w:pPr>
            <w:r w:rsidRPr="003A6C56">
              <w:t>2.31</w:t>
            </w:r>
          </w:p>
        </w:tc>
      </w:tr>
      <w:tr w:rsidR="00664059" w:rsidRPr="003A6C56" w14:paraId="43AFB48C" w14:textId="77777777" w:rsidTr="003A6C56">
        <w:tc>
          <w:tcPr>
            <w:tcW w:w="1177" w:type="pct"/>
            <w:vAlign w:val="center"/>
          </w:tcPr>
          <w:p w14:paraId="74DADFB4" w14:textId="77777777" w:rsidR="003A6C56" w:rsidRPr="003A6C56" w:rsidRDefault="003A6C56" w:rsidP="00FC0D69">
            <w:pPr>
              <w:pStyle w:val="Tabletext0"/>
              <w:keepNext/>
              <w:keepLines/>
              <w:spacing w:before="0" w:after="0"/>
              <w:jc w:val="left"/>
            </w:pPr>
            <w:r w:rsidRPr="003A6C56">
              <w:t>Sensitivity, %</w:t>
            </w:r>
          </w:p>
        </w:tc>
        <w:tc>
          <w:tcPr>
            <w:tcW w:w="628" w:type="pct"/>
          </w:tcPr>
          <w:p w14:paraId="0BC4FC39" w14:textId="77777777" w:rsidR="003A6C56" w:rsidRPr="003A6C56" w:rsidRDefault="003A6C56" w:rsidP="00FC0D69">
            <w:pPr>
              <w:pStyle w:val="Tabletext0"/>
              <w:keepNext/>
              <w:keepLines/>
              <w:spacing w:before="0" w:after="0"/>
              <w:jc w:val="center"/>
            </w:pPr>
            <w:r w:rsidRPr="003A6C56">
              <w:t>77 (75–79)</w:t>
            </w:r>
          </w:p>
        </w:tc>
        <w:tc>
          <w:tcPr>
            <w:tcW w:w="708" w:type="pct"/>
          </w:tcPr>
          <w:p w14:paraId="1F0CC5B0" w14:textId="77777777" w:rsidR="003A6C56" w:rsidRPr="003A6C56" w:rsidRDefault="003A6C56" w:rsidP="00FC0D69">
            <w:pPr>
              <w:pStyle w:val="Tabletext0"/>
              <w:keepNext/>
              <w:keepLines/>
              <w:spacing w:before="0" w:after="0"/>
              <w:jc w:val="center"/>
            </w:pPr>
            <w:r w:rsidRPr="003A6C56">
              <w:t>90 (89–91)</w:t>
            </w:r>
          </w:p>
        </w:tc>
        <w:tc>
          <w:tcPr>
            <w:tcW w:w="629" w:type="pct"/>
          </w:tcPr>
          <w:p w14:paraId="4808C681" w14:textId="77777777" w:rsidR="003A6C56" w:rsidRPr="003A6C56" w:rsidRDefault="003A6C56" w:rsidP="00FC0D69">
            <w:pPr>
              <w:pStyle w:val="Tabletext0"/>
              <w:keepNext/>
              <w:keepLines/>
              <w:spacing w:before="0" w:after="0"/>
              <w:jc w:val="center"/>
            </w:pPr>
            <w:r w:rsidRPr="003A6C56">
              <w:t>55 (52–57)</w:t>
            </w:r>
          </w:p>
        </w:tc>
        <w:tc>
          <w:tcPr>
            <w:tcW w:w="629" w:type="pct"/>
          </w:tcPr>
          <w:p w14:paraId="13B42D57" w14:textId="77777777" w:rsidR="003A6C56" w:rsidRPr="003A6C56" w:rsidRDefault="003A6C56" w:rsidP="00FC0D69">
            <w:pPr>
              <w:pStyle w:val="Tabletext0"/>
              <w:keepNext/>
              <w:keepLines/>
              <w:spacing w:before="0" w:after="0"/>
              <w:jc w:val="center"/>
            </w:pPr>
            <w:r w:rsidRPr="003A6C56">
              <w:t>69 (67–72)</w:t>
            </w:r>
          </w:p>
        </w:tc>
        <w:tc>
          <w:tcPr>
            <w:tcW w:w="628" w:type="pct"/>
          </w:tcPr>
          <w:p w14:paraId="023C1A5B" w14:textId="77777777" w:rsidR="003A6C56" w:rsidRPr="003A6C56" w:rsidRDefault="003A6C56" w:rsidP="00FC0D69">
            <w:pPr>
              <w:pStyle w:val="Tabletext0"/>
              <w:keepNext/>
              <w:keepLines/>
              <w:spacing w:before="0" w:after="0"/>
              <w:jc w:val="center"/>
            </w:pPr>
            <w:r w:rsidRPr="003A6C56">
              <w:t>90 (88–91)</w:t>
            </w:r>
          </w:p>
        </w:tc>
        <w:tc>
          <w:tcPr>
            <w:tcW w:w="601" w:type="pct"/>
          </w:tcPr>
          <w:p w14:paraId="56CBCDEE" w14:textId="77777777" w:rsidR="003A6C56" w:rsidRPr="003A6C56" w:rsidRDefault="003A6C56" w:rsidP="00FC0D69">
            <w:pPr>
              <w:pStyle w:val="Tabletext0"/>
              <w:keepNext/>
              <w:keepLines/>
              <w:spacing w:before="0" w:after="0"/>
              <w:jc w:val="center"/>
            </w:pPr>
            <w:r w:rsidRPr="003A6C56">
              <w:t>38 (36–41)</w:t>
            </w:r>
          </w:p>
        </w:tc>
      </w:tr>
      <w:tr w:rsidR="00664059" w:rsidRPr="003A6C56" w14:paraId="1049C41F" w14:textId="77777777" w:rsidTr="003A6C56">
        <w:tc>
          <w:tcPr>
            <w:tcW w:w="1177" w:type="pct"/>
            <w:vAlign w:val="center"/>
          </w:tcPr>
          <w:p w14:paraId="46AE3759" w14:textId="77777777" w:rsidR="003A6C56" w:rsidRPr="003A6C56" w:rsidRDefault="003A6C56" w:rsidP="00FC0D69">
            <w:pPr>
              <w:pStyle w:val="Tabletext0"/>
              <w:keepNext/>
              <w:keepLines/>
              <w:spacing w:before="0" w:after="0"/>
              <w:jc w:val="left"/>
            </w:pPr>
            <w:r w:rsidRPr="003A6C56">
              <w:t>Specificity, %</w:t>
            </w:r>
          </w:p>
        </w:tc>
        <w:tc>
          <w:tcPr>
            <w:tcW w:w="628" w:type="pct"/>
          </w:tcPr>
          <w:p w14:paraId="248E3F07" w14:textId="1EA30691" w:rsidR="003A6C56" w:rsidRPr="003A6C56" w:rsidRDefault="003A6C56" w:rsidP="00FC0D69">
            <w:pPr>
              <w:pStyle w:val="Tabletext0"/>
              <w:keepNext/>
              <w:keepLines/>
              <w:spacing w:before="0" w:after="0"/>
              <w:jc w:val="center"/>
            </w:pPr>
            <w:r w:rsidRPr="003A6C56">
              <w:t>78</w:t>
            </w:r>
            <w:r>
              <w:t xml:space="preserve"> </w:t>
            </w:r>
            <w:r w:rsidRPr="003A6C56">
              <w:t>(76–79)</w:t>
            </w:r>
          </w:p>
        </w:tc>
        <w:tc>
          <w:tcPr>
            <w:tcW w:w="708" w:type="pct"/>
          </w:tcPr>
          <w:p w14:paraId="0014C664" w14:textId="77777777" w:rsidR="003A6C56" w:rsidRPr="003A6C56" w:rsidRDefault="003A6C56" w:rsidP="00FC0D69">
            <w:pPr>
              <w:pStyle w:val="Tabletext0"/>
              <w:keepNext/>
              <w:keepLines/>
              <w:spacing w:before="0" w:after="0"/>
              <w:jc w:val="center"/>
            </w:pPr>
            <w:r w:rsidRPr="003A6C56">
              <w:t>60 (59–61)</w:t>
            </w:r>
          </w:p>
        </w:tc>
        <w:tc>
          <w:tcPr>
            <w:tcW w:w="629" w:type="pct"/>
          </w:tcPr>
          <w:p w14:paraId="380B8B72" w14:textId="77777777" w:rsidR="003A6C56" w:rsidRPr="003A6C56" w:rsidRDefault="003A6C56" w:rsidP="00FC0D69">
            <w:pPr>
              <w:pStyle w:val="Tabletext0"/>
              <w:keepNext/>
              <w:keepLines/>
              <w:spacing w:before="0" w:after="0"/>
              <w:jc w:val="center"/>
            </w:pPr>
            <w:r w:rsidRPr="003A6C56">
              <w:t>90 (89–91)</w:t>
            </w:r>
          </w:p>
        </w:tc>
        <w:tc>
          <w:tcPr>
            <w:tcW w:w="629" w:type="pct"/>
          </w:tcPr>
          <w:p w14:paraId="2DF17932" w14:textId="77777777" w:rsidR="003A6C56" w:rsidRPr="003A6C56" w:rsidRDefault="003A6C56" w:rsidP="00FC0D69">
            <w:pPr>
              <w:pStyle w:val="Tabletext0"/>
              <w:keepNext/>
              <w:keepLines/>
              <w:spacing w:before="0" w:after="0"/>
              <w:jc w:val="center"/>
            </w:pPr>
            <w:r w:rsidRPr="003A6C56">
              <w:t>70 (69–72)</w:t>
            </w:r>
          </w:p>
        </w:tc>
        <w:tc>
          <w:tcPr>
            <w:tcW w:w="628" w:type="pct"/>
          </w:tcPr>
          <w:p w14:paraId="23C3400B" w14:textId="77777777" w:rsidR="003A6C56" w:rsidRPr="003A6C56" w:rsidRDefault="003A6C56" w:rsidP="00FC0D69">
            <w:pPr>
              <w:pStyle w:val="Tabletext0"/>
              <w:keepNext/>
              <w:keepLines/>
              <w:spacing w:before="0" w:after="0"/>
              <w:jc w:val="center"/>
            </w:pPr>
            <w:r w:rsidRPr="003A6C56">
              <w:t>39 (37–40)</w:t>
            </w:r>
          </w:p>
        </w:tc>
        <w:tc>
          <w:tcPr>
            <w:tcW w:w="601" w:type="pct"/>
          </w:tcPr>
          <w:p w14:paraId="147CA769" w14:textId="77777777" w:rsidR="003A6C56" w:rsidRPr="003A6C56" w:rsidRDefault="003A6C56" w:rsidP="00FC0D69">
            <w:pPr>
              <w:pStyle w:val="Tabletext0"/>
              <w:keepNext/>
              <w:keepLines/>
              <w:spacing w:before="0" w:after="0"/>
              <w:jc w:val="center"/>
            </w:pPr>
            <w:r w:rsidRPr="003A6C56">
              <w:t>90 (89–91)</w:t>
            </w:r>
          </w:p>
        </w:tc>
      </w:tr>
      <w:tr w:rsidR="00664059" w:rsidRPr="003A6C56" w14:paraId="70820E3F" w14:textId="77777777" w:rsidTr="003A6C56">
        <w:tc>
          <w:tcPr>
            <w:tcW w:w="1177" w:type="pct"/>
            <w:vAlign w:val="center"/>
          </w:tcPr>
          <w:p w14:paraId="78F5829E" w14:textId="77777777" w:rsidR="003A6C56" w:rsidRPr="003A6C56" w:rsidRDefault="003A6C56" w:rsidP="00FC0D69">
            <w:pPr>
              <w:pStyle w:val="Tabletext0"/>
              <w:keepNext/>
              <w:keepLines/>
              <w:spacing w:before="0" w:after="0"/>
              <w:jc w:val="left"/>
            </w:pPr>
            <w:r w:rsidRPr="003A6C56">
              <w:t>Misclassified, %</w:t>
            </w:r>
          </w:p>
        </w:tc>
        <w:tc>
          <w:tcPr>
            <w:tcW w:w="628" w:type="pct"/>
          </w:tcPr>
          <w:p w14:paraId="7DA0F1CA" w14:textId="77777777" w:rsidR="003A6C56" w:rsidRPr="003A6C56" w:rsidRDefault="003A6C56" w:rsidP="00FC0D69">
            <w:pPr>
              <w:pStyle w:val="Tabletext0"/>
              <w:keepNext/>
              <w:keepLines/>
              <w:spacing w:before="0" w:after="0"/>
              <w:jc w:val="center"/>
            </w:pPr>
            <w:r w:rsidRPr="003A6C56">
              <w:t>22 (22–23)</w:t>
            </w:r>
          </w:p>
        </w:tc>
        <w:tc>
          <w:tcPr>
            <w:tcW w:w="708" w:type="pct"/>
          </w:tcPr>
          <w:p w14:paraId="2268BF1B" w14:textId="77777777" w:rsidR="003A6C56" w:rsidRPr="003A6C56" w:rsidRDefault="003A6C56" w:rsidP="00FC0D69">
            <w:pPr>
              <w:pStyle w:val="Tabletext0"/>
              <w:keepNext/>
              <w:keepLines/>
              <w:spacing w:before="0" w:after="0"/>
              <w:jc w:val="center"/>
            </w:pPr>
            <w:r w:rsidRPr="003A6C56">
              <w:t>31 (31–32)</w:t>
            </w:r>
          </w:p>
        </w:tc>
        <w:tc>
          <w:tcPr>
            <w:tcW w:w="629" w:type="pct"/>
          </w:tcPr>
          <w:p w14:paraId="277837DE" w14:textId="77777777" w:rsidR="003A6C56" w:rsidRPr="003A6C56" w:rsidRDefault="003A6C56" w:rsidP="00FC0D69">
            <w:pPr>
              <w:pStyle w:val="Tabletext0"/>
              <w:keepNext/>
              <w:keepLines/>
              <w:spacing w:before="0" w:after="0"/>
              <w:jc w:val="center"/>
            </w:pPr>
            <w:r w:rsidRPr="003A6C56">
              <w:t>21 (20–21)</w:t>
            </w:r>
          </w:p>
        </w:tc>
        <w:tc>
          <w:tcPr>
            <w:tcW w:w="629" w:type="pct"/>
          </w:tcPr>
          <w:p w14:paraId="4A03F6F2" w14:textId="77777777" w:rsidR="003A6C56" w:rsidRPr="003A6C56" w:rsidRDefault="003A6C56" w:rsidP="00FC0D69">
            <w:pPr>
              <w:pStyle w:val="Tabletext0"/>
              <w:keepNext/>
              <w:keepLines/>
              <w:spacing w:before="0" w:after="0"/>
              <w:jc w:val="center"/>
            </w:pPr>
            <w:r w:rsidRPr="003A6C56">
              <w:t>30 (30–31)</w:t>
            </w:r>
          </w:p>
        </w:tc>
        <w:tc>
          <w:tcPr>
            <w:tcW w:w="628" w:type="pct"/>
          </w:tcPr>
          <w:p w14:paraId="15257DB4" w14:textId="77777777" w:rsidR="003A6C56" w:rsidRPr="003A6C56" w:rsidRDefault="003A6C56" w:rsidP="00FC0D69">
            <w:pPr>
              <w:pStyle w:val="Tabletext0"/>
              <w:keepNext/>
              <w:keepLines/>
              <w:spacing w:before="0" w:after="0"/>
              <w:jc w:val="center"/>
            </w:pPr>
            <w:r w:rsidRPr="003A6C56">
              <w:t>46 (46–47)</w:t>
            </w:r>
          </w:p>
        </w:tc>
        <w:tc>
          <w:tcPr>
            <w:tcW w:w="601" w:type="pct"/>
          </w:tcPr>
          <w:p w14:paraId="5A54296C" w14:textId="77777777" w:rsidR="003A6C56" w:rsidRPr="003A6C56" w:rsidRDefault="003A6C56" w:rsidP="00FC0D69">
            <w:pPr>
              <w:pStyle w:val="Tabletext0"/>
              <w:keepNext/>
              <w:keepLines/>
              <w:spacing w:before="0" w:after="0"/>
              <w:jc w:val="center"/>
            </w:pPr>
            <w:r w:rsidRPr="003A6C56">
              <w:t>26 (25–26)</w:t>
            </w:r>
          </w:p>
        </w:tc>
      </w:tr>
    </w:tbl>
    <w:p w14:paraId="4869721C" w14:textId="77777777" w:rsidR="003A6C56" w:rsidRPr="003A6C56" w:rsidRDefault="003A6C56" w:rsidP="00FC0D69">
      <w:pPr>
        <w:pStyle w:val="TableFigureFooter"/>
        <w:keepNext/>
        <w:keepLines/>
        <w:spacing w:before="0" w:after="0"/>
        <w:rPr>
          <w:rFonts w:eastAsia="Calibri"/>
          <w:szCs w:val="18"/>
        </w:rPr>
      </w:pPr>
      <w:r w:rsidRPr="003A6C56">
        <w:rPr>
          <w:rFonts w:eastAsia="Calibri"/>
          <w:szCs w:val="18"/>
        </w:rPr>
        <w:t xml:space="preserve">For each non-invasive test thresholds were selected according to Youden’s index (YI), and fixed at 90% sensitivity (90% Se) and 90% specificity (90% Sp). 95% confidence intervals were estimated with 500 bootstrap replicates. </w:t>
      </w:r>
    </w:p>
    <w:p w14:paraId="104B7351" w14:textId="77777777" w:rsidR="003A6C56" w:rsidRPr="003A6C56" w:rsidRDefault="003A6C56" w:rsidP="000E64DE">
      <w:pPr>
        <w:pStyle w:val="TableFigureFooter"/>
        <w:spacing w:before="0" w:after="0"/>
        <w:rPr>
          <w:rFonts w:eastAsia="FrutigerLTPro-Condensed"/>
          <w:szCs w:val="18"/>
        </w:rPr>
      </w:pPr>
      <w:r w:rsidRPr="003A6C56">
        <w:rPr>
          <w:rFonts w:eastAsia="Calibri"/>
          <w:szCs w:val="18"/>
        </w:rPr>
        <w:t xml:space="preserve">Abbreviations: AUROC, area under the receiver operating curve; FIB-4, Fibrosis-4 Index; LSM, liver stiffness measurement; NFS, NAFLD (non-alcoholic fatty liver disease) Fibrosis Score; VCTE, vibration-controlled </w:t>
      </w:r>
      <w:r w:rsidRPr="003A6C56">
        <w:rPr>
          <w:rFonts w:eastAsia="FrutigerLTPro-Condensed"/>
          <w:szCs w:val="18"/>
        </w:rPr>
        <w:t>transient elastography.</w:t>
      </w:r>
    </w:p>
    <w:p w14:paraId="30F2546D" w14:textId="269EE4FA" w:rsidR="00FC0D69" w:rsidRPr="003A6C56" w:rsidRDefault="003A6C56" w:rsidP="000E64DE">
      <w:pPr>
        <w:pStyle w:val="Guidelinescross-ref"/>
        <w:spacing w:before="0" w:after="360" w:line="240" w:lineRule="auto"/>
        <w:rPr>
          <w:rFonts w:ascii="Arial Narrow" w:hAnsi="Arial Narrow"/>
          <w:b w:val="0"/>
          <w:bCs/>
          <w:color w:val="auto"/>
          <w:sz w:val="18"/>
          <w:szCs w:val="18"/>
        </w:rPr>
      </w:pPr>
      <w:r w:rsidRPr="003A6C56">
        <w:rPr>
          <w:rFonts w:ascii="Arial Narrow" w:hAnsi="Arial Narrow"/>
          <w:b w:val="0"/>
          <w:bCs/>
          <w:color w:val="auto"/>
          <w:sz w:val="18"/>
          <w:szCs w:val="18"/>
        </w:rPr>
        <w:t>Source: Table 28 of the ADAR</w:t>
      </w:r>
    </w:p>
    <w:p w14:paraId="01A59B53" w14:textId="73998BA1" w:rsidR="003C45A1" w:rsidRPr="00090BBF" w:rsidRDefault="00707329" w:rsidP="000E64DE">
      <w:pPr>
        <w:pStyle w:val="Caption"/>
        <w:keepLines/>
        <w:spacing w:before="0" w:after="0"/>
      </w:pPr>
      <w:bookmarkStart w:id="37" w:name="_Ref205826354"/>
      <w:r w:rsidRPr="00090BBF">
        <w:lastRenderedPageBreak/>
        <w:t xml:space="preserve">Figure </w:t>
      </w:r>
      <w:r w:rsidR="00C604EC">
        <w:fldChar w:fldCharType="begin"/>
      </w:r>
      <w:r w:rsidR="00C604EC">
        <w:instrText xml:space="preserve"> SEQ Figure \* ARABIC </w:instrText>
      </w:r>
      <w:r w:rsidR="00C604EC">
        <w:fldChar w:fldCharType="separate"/>
      </w:r>
      <w:r w:rsidR="00C604EC">
        <w:rPr>
          <w:noProof/>
        </w:rPr>
        <w:t>1</w:t>
      </w:r>
      <w:r w:rsidR="00C604EC">
        <w:rPr>
          <w:noProof/>
        </w:rPr>
        <w:fldChar w:fldCharType="end"/>
      </w:r>
      <w:bookmarkEnd w:id="37"/>
      <w:r w:rsidRPr="00090BBF">
        <w:t>: Distribution of sensitivities and specificities over the possible threshold ranges for LSM-VCTE in Mozes 2022</w:t>
      </w:r>
    </w:p>
    <w:p w14:paraId="5EB84126" w14:textId="490DD745" w:rsidR="003C45A1" w:rsidRPr="00090BBF" w:rsidRDefault="003C45A1" w:rsidP="000E64DE">
      <w:pPr>
        <w:pStyle w:val="Guidelinescross-ref"/>
        <w:keepNext/>
        <w:keepLines/>
        <w:spacing w:before="0" w:after="0" w:line="240" w:lineRule="auto"/>
        <w:rPr>
          <w:rFonts w:ascii="Arial Narrow" w:hAnsi="Arial Narrow"/>
          <w:b w:val="0"/>
          <w:bCs/>
          <w:color w:val="auto"/>
          <w:sz w:val="20"/>
          <w:szCs w:val="20"/>
        </w:rPr>
      </w:pPr>
      <w:r w:rsidRPr="00090BBF">
        <w:rPr>
          <w:rFonts w:ascii="Arial Narrow" w:hAnsi="Arial Narrow"/>
          <w:b w:val="0"/>
          <w:bCs/>
          <w:noProof/>
          <w:color w:val="auto"/>
          <w:sz w:val="20"/>
          <w:szCs w:val="20"/>
        </w:rPr>
        <w:drawing>
          <wp:inline distT="0" distB="0" distL="0" distR="0" wp14:anchorId="33085CD7" wp14:editId="6E3FA76D">
            <wp:extent cx="5731510" cy="2629535"/>
            <wp:effectExtent l="0" t="0" r="2540" b="0"/>
            <wp:docPr id="1359544655" name="Picture 1" descr="Figure 1: Distribution of sensitivities and specificities over the possible threshold ranges for LSM-VCTE in Moz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44655" name="Picture 1" descr="Figure 1: Distribution of sensitivities and specificities over the possible threshold ranges for LSM-VCTE in Mozes 2022"/>
                    <pic:cNvPicPr/>
                  </pic:nvPicPr>
                  <pic:blipFill>
                    <a:blip r:embed="rId14"/>
                    <a:stretch>
                      <a:fillRect/>
                    </a:stretch>
                  </pic:blipFill>
                  <pic:spPr>
                    <a:xfrm>
                      <a:off x="0" y="0"/>
                      <a:ext cx="5731510" cy="2629535"/>
                    </a:xfrm>
                    <a:prstGeom prst="rect">
                      <a:avLst/>
                    </a:prstGeom>
                  </pic:spPr>
                </pic:pic>
              </a:graphicData>
            </a:graphic>
          </wp:inline>
        </w:drawing>
      </w:r>
    </w:p>
    <w:p w14:paraId="3072E8CF" w14:textId="77777777" w:rsidR="00090BBF" w:rsidRPr="00090BBF" w:rsidRDefault="00090BBF" w:rsidP="000E64DE">
      <w:pPr>
        <w:pStyle w:val="Guidelinescross-ref"/>
        <w:keepNext/>
        <w:keepLines/>
        <w:spacing w:before="0" w:after="0" w:line="240" w:lineRule="auto"/>
        <w:rPr>
          <w:rFonts w:ascii="Arial Narrow" w:hAnsi="Arial Narrow"/>
          <w:b w:val="0"/>
          <w:bCs/>
          <w:color w:val="auto"/>
          <w:sz w:val="18"/>
          <w:szCs w:val="18"/>
        </w:rPr>
      </w:pPr>
      <w:r w:rsidRPr="00090BBF">
        <w:rPr>
          <w:rFonts w:ascii="Arial Narrow" w:hAnsi="Arial Narrow"/>
          <w:b w:val="0"/>
          <w:bCs/>
          <w:color w:val="auto"/>
          <w:sz w:val="18"/>
          <w:szCs w:val="18"/>
        </w:rPr>
        <w:t>Notes: Insets show the distribution of cut-offs identified from the literature. Horizontal dashed lines are representing the minimum acceptable criteria for considering a test as having high sensitivity (≥80%) and high specificity (≥80%).</w:t>
      </w:r>
    </w:p>
    <w:p w14:paraId="435A0BEA" w14:textId="0B1EC512" w:rsidR="00090BBF" w:rsidRPr="00090BBF" w:rsidRDefault="00090BBF" w:rsidP="000E64DE">
      <w:pPr>
        <w:pStyle w:val="Guidelinescross-ref"/>
        <w:keepNext/>
        <w:keepLines/>
        <w:spacing w:before="0" w:after="0" w:line="240" w:lineRule="auto"/>
        <w:rPr>
          <w:rFonts w:ascii="Arial Narrow" w:hAnsi="Arial Narrow"/>
          <w:b w:val="0"/>
          <w:bCs/>
          <w:color w:val="auto"/>
          <w:sz w:val="18"/>
          <w:szCs w:val="18"/>
        </w:rPr>
      </w:pPr>
      <w:r w:rsidRPr="00090BBF">
        <w:rPr>
          <w:rFonts w:ascii="Arial Narrow" w:hAnsi="Arial Narrow"/>
          <w:b w:val="0"/>
          <w:bCs/>
          <w:color w:val="auto"/>
          <w:sz w:val="18"/>
          <w:szCs w:val="18"/>
        </w:rPr>
        <w:t>Abbreviations: LSM, liver stiffness measurement; VCTE, vibration-controlled transient elastography</w:t>
      </w:r>
    </w:p>
    <w:p w14:paraId="3AE43A70" w14:textId="249CF219" w:rsidR="00090BBF" w:rsidRPr="000E64DE" w:rsidRDefault="00090BBF" w:rsidP="000E64DE">
      <w:pPr>
        <w:pStyle w:val="Guidelinescross-ref"/>
        <w:keepNext/>
        <w:keepLines/>
        <w:spacing w:before="0" w:after="0" w:line="240" w:lineRule="auto"/>
        <w:rPr>
          <w:rFonts w:ascii="Arial Narrow" w:hAnsi="Arial Narrow"/>
          <w:b w:val="0"/>
          <w:bCs/>
          <w:color w:val="auto"/>
          <w:sz w:val="18"/>
          <w:szCs w:val="18"/>
        </w:rPr>
      </w:pPr>
      <w:r w:rsidRPr="00090BBF">
        <w:rPr>
          <w:rFonts w:ascii="Arial Narrow" w:hAnsi="Arial Narrow"/>
          <w:b w:val="0"/>
          <w:bCs/>
          <w:color w:val="auto"/>
          <w:sz w:val="18"/>
          <w:szCs w:val="18"/>
        </w:rPr>
        <w:t>Source: Mozes 2022</w:t>
      </w:r>
      <w:r>
        <w:rPr>
          <w:rFonts w:ascii="Arial Narrow" w:hAnsi="Arial Narrow"/>
          <w:b w:val="0"/>
          <w:bCs/>
          <w:color w:val="auto"/>
          <w:sz w:val="18"/>
          <w:szCs w:val="18"/>
        </w:rPr>
        <w:t>,</w:t>
      </w:r>
      <w:r w:rsidRPr="00090BBF">
        <w:rPr>
          <w:rFonts w:ascii="Arial Narrow" w:hAnsi="Arial Narrow"/>
          <w:b w:val="0"/>
          <w:bCs/>
          <w:color w:val="auto"/>
          <w:sz w:val="18"/>
          <w:szCs w:val="18"/>
        </w:rPr>
        <w:t xml:space="preserve"> Figure 2</w:t>
      </w:r>
      <w:r w:rsidR="00D31B73">
        <w:rPr>
          <w:rFonts w:ascii="Arial Narrow" w:hAnsi="Arial Narrow"/>
          <w:b w:val="0"/>
          <w:bCs/>
          <w:color w:val="auto"/>
          <w:sz w:val="18"/>
          <w:szCs w:val="18"/>
        </w:rPr>
        <w:t>A</w:t>
      </w:r>
      <w:r>
        <w:rPr>
          <w:rFonts w:ascii="Arial Narrow" w:hAnsi="Arial Narrow"/>
          <w:b w:val="0"/>
          <w:bCs/>
          <w:color w:val="auto"/>
          <w:sz w:val="18"/>
          <w:szCs w:val="18"/>
        </w:rPr>
        <w:t xml:space="preserve"> </w:t>
      </w:r>
      <w:r w:rsidRPr="00090BBF">
        <w:rPr>
          <w:rFonts w:ascii="Arial Narrow" w:hAnsi="Arial Narrow"/>
          <w:b w:val="0"/>
          <w:bCs/>
          <w:color w:val="auto"/>
          <w:sz w:val="18"/>
          <w:szCs w:val="18"/>
        </w:rPr>
        <w:t>p1012</w:t>
      </w:r>
    </w:p>
    <w:p w14:paraId="51D5D31B" w14:textId="3DF2BFB1" w:rsidR="00F50620" w:rsidRPr="00640333" w:rsidRDefault="00F50620" w:rsidP="00F50620">
      <w:pPr>
        <w:pStyle w:val="Guidelinescross-ref"/>
        <w:rPr>
          <w:b w:val="0"/>
          <w:bCs/>
          <w:color w:val="auto"/>
          <w:sz w:val="22"/>
        </w:rPr>
      </w:pPr>
      <w:r w:rsidRPr="00640333">
        <w:rPr>
          <w:b w:val="0"/>
          <w:bCs/>
          <w:color w:val="auto"/>
          <w:sz w:val="22"/>
        </w:rPr>
        <w:t xml:space="preserve">Furthermore, subgroup analyses </w:t>
      </w:r>
      <w:r>
        <w:rPr>
          <w:b w:val="0"/>
          <w:bCs/>
          <w:color w:val="auto"/>
          <w:sz w:val="22"/>
        </w:rPr>
        <w:t xml:space="preserve">in Mozes 2022 </w:t>
      </w:r>
      <w:r w:rsidRPr="00640333">
        <w:rPr>
          <w:b w:val="0"/>
          <w:bCs/>
          <w:color w:val="auto"/>
          <w:sz w:val="22"/>
        </w:rPr>
        <w:t xml:space="preserve">(ADAR Table 20) show that VCTE performance declines in patients with obesity, diabetes, and younger age—demographics highly prevalent in the MAFLD population. Use of age- or BMI-adjusted thresholds or stratified modelling </w:t>
      </w:r>
      <w:r w:rsidR="00C50357">
        <w:rPr>
          <w:b w:val="0"/>
          <w:bCs/>
          <w:color w:val="auto"/>
          <w:sz w:val="22"/>
        </w:rPr>
        <w:t>may</w:t>
      </w:r>
      <w:r w:rsidRPr="00640333">
        <w:rPr>
          <w:b w:val="0"/>
          <w:bCs/>
          <w:color w:val="auto"/>
          <w:sz w:val="22"/>
        </w:rPr>
        <w:t xml:space="preserve"> better reflect clinical practice and reduce misclassification risk.</w:t>
      </w:r>
    </w:p>
    <w:p w14:paraId="315CD7F6" w14:textId="101EA20C" w:rsidR="00F50620" w:rsidRDefault="00EB33F8" w:rsidP="00F7398A">
      <w:pPr>
        <w:pStyle w:val="Guidelinescross-ref"/>
        <w:rPr>
          <w:b w:val="0"/>
          <w:bCs/>
          <w:color w:val="auto"/>
          <w:sz w:val="22"/>
        </w:rPr>
      </w:pPr>
      <w:r>
        <w:rPr>
          <w:b w:val="0"/>
          <w:bCs/>
          <w:color w:val="auto"/>
          <w:sz w:val="22"/>
        </w:rPr>
        <w:t xml:space="preserve">Mozes 2022 also presented simulated results from a sequential testing strategy in which patients with indeterminate FIB-4 results were tested by </w:t>
      </w:r>
      <w:r w:rsidR="00367343">
        <w:rPr>
          <w:b w:val="0"/>
          <w:bCs/>
          <w:color w:val="auto"/>
          <w:sz w:val="22"/>
        </w:rPr>
        <w:t xml:space="preserve">VCTE. The most relevant strategy was sequential testing strategy A, in which patients with </w:t>
      </w:r>
      <w:r w:rsidR="00D071A7">
        <w:rPr>
          <w:b w:val="0"/>
          <w:bCs/>
          <w:color w:val="auto"/>
          <w:sz w:val="22"/>
        </w:rPr>
        <w:t xml:space="preserve">FIB-4 ≥ 1.3 but &lt;2.67 were tested with VCTE, as the </w:t>
      </w:r>
      <w:r w:rsidR="00714D94">
        <w:rPr>
          <w:b w:val="0"/>
          <w:bCs/>
          <w:color w:val="auto"/>
          <w:sz w:val="22"/>
        </w:rPr>
        <w:t xml:space="preserve">definition of indeterminate FIB-4 was reasonably aligned with the ADAR’s definition (see </w:t>
      </w:r>
      <w:r w:rsidR="005A040C" w:rsidRPr="005B1CF2">
        <w:rPr>
          <w:b w:val="0"/>
          <w:bCs/>
          <w:color w:val="auto"/>
          <w:sz w:val="22"/>
        </w:rPr>
        <w:fldChar w:fldCharType="begin"/>
      </w:r>
      <w:r w:rsidR="005A040C" w:rsidRPr="005B1CF2">
        <w:rPr>
          <w:b w:val="0"/>
          <w:bCs/>
          <w:color w:val="auto"/>
          <w:sz w:val="22"/>
        </w:rPr>
        <w:instrText xml:space="preserve"> REF _Ref205809874 \h  \* MERGEFORMA</w:instrText>
      </w:r>
      <w:r w:rsidR="005A040C" w:rsidRPr="005B1CF2">
        <w:rPr>
          <w:b w:val="0"/>
          <w:color w:val="auto"/>
          <w:sz w:val="22"/>
        </w:rPr>
        <w:instrText xml:space="preserve">T </w:instrText>
      </w:r>
      <w:r w:rsidR="005A040C" w:rsidRPr="005B1CF2">
        <w:rPr>
          <w:b w:val="0"/>
          <w:bCs/>
          <w:color w:val="auto"/>
          <w:sz w:val="22"/>
        </w:rPr>
      </w:r>
      <w:r w:rsidR="005A040C" w:rsidRPr="005B1CF2">
        <w:rPr>
          <w:b w:val="0"/>
          <w:bCs/>
          <w:color w:val="auto"/>
          <w:sz w:val="22"/>
        </w:rPr>
        <w:fldChar w:fldCharType="separate"/>
      </w:r>
      <w:r w:rsidR="005A040C" w:rsidRPr="005B1CF2">
        <w:rPr>
          <w:b w:val="0"/>
          <w:bCs/>
          <w:color w:val="auto"/>
          <w:sz w:val="22"/>
        </w:rPr>
        <w:t xml:space="preserve">Table </w:t>
      </w:r>
      <w:r w:rsidR="005A040C" w:rsidRPr="005B1CF2">
        <w:rPr>
          <w:b w:val="0"/>
          <w:bCs/>
          <w:noProof/>
          <w:color w:val="auto"/>
          <w:sz w:val="22"/>
        </w:rPr>
        <w:t>3</w:t>
      </w:r>
      <w:r w:rsidR="005A040C" w:rsidRPr="005B1CF2">
        <w:rPr>
          <w:b w:val="0"/>
          <w:bCs/>
          <w:color w:val="auto"/>
          <w:sz w:val="22"/>
        </w:rPr>
        <w:fldChar w:fldCharType="end"/>
      </w:r>
      <w:r w:rsidR="00934B25" w:rsidRPr="005A040C">
        <w:rPr>
          <w:b w:val="0"/>
          <w:bCs/>
          <w:color w:val="auto"/>
          <w:sz w:val="22"/>
        </w:rPr>
        <w:fldChar w:fldCharType="begin"/>
      </w:r>
      <w:r w:rsidR="00934B25" w:rsidRPr="005A040C">
        <w:rPr>
          <w:b w:val="0"/>
          <w:bCs/>
          <w:color w:val="auto"/>
          <w:sz w:val="22"/>
        </w:rPr>
        <w:instrText xml:space="preserve"> REF _Ref205809874 \h  \* MERGEFORMAT </w:instrText>
      </w:r>
      <w:r w:rsidR="00934B25" w:rsidRPr="005A040C">
        <w:rPr>
          <w:b w:val="0"/>
          <w:bCs/>
          <w:color w:val="auto"/>
          <w:sz w:val="22"/>
        </w:rPr>
      </w:r>
      <w:r w:rsidR="00934B25" w:rsidRPr="005A040C">
        <w:rPr>
          <w:b w:val="0"/>
          <w:bCs/>
          <w:color w:val="auto"/>
          <w:sz w:val="22"/>
        </w:rPr>
        <w:fldChar w:fldCharType="separate"/>
      </w:r>
      <w:r w:rsidR="00934B25" w:rsidRPr="005A040C">
        <w:rPr>
          <w:b w:val="0"/>
          <w:bCs/>
          <w:color w:val="auto"/>
          <w:sz w:val="22"/>
        </w:rPr>
        <w:fldChar w:fldCharType="end"/>
      </w:r>
      <w:r w:rsidR="00934B25" w:rsidRPr="005A040C">
        <w:rPr>
          <w:b w:val="0"/>
          <w:bCs/>
          <w:color w:val="auto"/>
          <w:sz w:val="22"/>
        </w:rPr>
        <w:t>)</w:t>
      </w:r>
      <w:r w:rsidR="00934B25">
        <w:rPr>
          <w:b w:val="0"/>
          <w:bCs/>
          <w:color w:val="auto"/>
          <w:sz w:val="22"/>
        </w:rPr>
        <w:t xml:space="preserve"> in the PICO 1 population</w:t>
      </w:r>
      <w:r w:rsidR="00023BB0">
        <w:rPr>
          <w:b w:val="0"/>
          <w:bCs/>
          <w:color w:val="auto"/>
          <w:sz w:val="22"/>
        </w:rPr>
        <w:t xml:space="preserve">. However, no analysis in the PICO 2 population (i.e. FIB-4 ≥1.3) was considered, and the </w:t>
      </w:r>
      <w:r w:rsidR="000A1F46">
        <w:rPr>
          <w:b w:val="0"/>
          <w:bCs/>
          <w:color w:val="auto"/>
          <w:sz w:val="22"/>
        </w:rPr>
        <w:t>rule-out</w:t>
      </w:r>
      <w:r w:rsidR="00023BB0">
        <w:rPr>
          <w:b w:val="0"/>
          <w:bCs/>
          <w:color w:val="auto"/>
          <w:sz w:val="22"/>
        </w:rPr>
        <w:t xml:space="preserve"> and </w:t>
      </w:r>
      <w:r w:rsidR="000A1F46">
        <w:rPr>
          <w:b w:val="0"/>
          <w:bCs/>
          <w:color w:val="auto"/>
          <w:sz w:val="22"/>
        </w:rPr>
        <w:t>rule-in</w:t>
      </w:r>
      <w:r w:rsidR="00023BB0">
        <w:rPr>
          <w:b w:val="0"/>
          <w:bCs/>
          <w:color w:val="auto"/>
          <w:sz w:val="22"/>
        </w:rPr>
        <w:t xml:space="preserve"> thresholds for VCTE were </w:t>
      </w:r>
      <w:r w:rsidR="00195DEA">
        <w:rPr>
          <w:b w:val="0"/>
          <w:bCs/>
          <w:color w:val="auto"/>
          <w:sz w:val="22"/>
        </w:rPr>
        <w:t xml:space="preserve">&lt;8.0 kPa and ≥ 10.0 kPa, which was inconsistent with the proposed threshold in the ADAR. </w:t>
      </w:r>
      <w:r w:rsidR="005B0C7E">
        <w:rPr>
          <w:b w:val="0"/>
          <w:bCs/>
          <w:color w:val="auto"/>
          <w:sz w:val="22"/>
        </w:rPr>
        <w:t xml:space="preserve">As such, the applicability of this analysis to the ADAR’s research question was </w:t>
      </w:r>
      <w:r w:rsidR="008C3736">
        <w:rPr>
          <w:b w:val="0"/>
          <w:bCs/>
          <w:color w:val="auto"/>
          <w:sz w:val="22"/>
        </w:rPr>
        <w:t>poor</w:t>
      </w:r>
      <w:r w:rsidR="00D128B0">
        <w:rPr>
          <w:b w:val="0"/>
          <w:bCs/>
          <w:color w:val="auto"/>
          <w:sz w:val="22"/>
        </w:rPr>
        <w:t xml:space="preserve">, and the simulated (rather than empirically observed) </w:t>
      </w:r>
      <w:r w:rsidR="00286B55">
        <w:rPr>
          <w:b w:val="0"/>
          <w:bCs/>
          <w:color w:val="auto"/>
          <w:sz w:val="22"/>
        </w:rPr>
        <w:t xml:space="preserve">nature </w:t>
      </w:r>
      <w:r w:rsidR="00D128B0">
        <w:rPr>
          <w:b w:val="0"/>
          <w:bCs/>
          <w:color w:val="auto"/>
          <w:sz w:val="22"/>
        </w:rPr>
        <w:t xml:space="preserve">of the results </w:t>
      </w:r>
      <w:r w:rsidR="005339A5">
        <w:rPr>
          <w:b w:val="0"/>
          <w:bCs/>
          <w:color w:val="auto"/>
          <w:sz w:val="22"/>
        </w:rPr>
        <w:t>may not accurately reflect accuracy seen in actual clinical practice</w:t>
      </w:r>
      <w:r w:rsidR="008C3736">
        <w:rPr>
          <w:b w:val="0"/>
          <w:bCs/>
          <w:color w:val="auto"/>
          <w:sz w:val="22"/>
        </w:rPr>
        <w:t xml:space="preserve">. </w:t>
      </w:r>
      <w:r w:rsidR="00195DEA">
        <w:rPr>
          <w:b w:val="0"/>
          <w:bCs/>
          <w:color w:val="auto"/>
          <w:sz w:val="22"/>
        </w:rPr>
        <w:t xml:space="preserve">Nonetheless, the ADAR relied on the results of sequential testing strategy A </w:t>
      </w:r>
      <w:r w:rsidR="00CB0089">
        <w:rPr>
          <w:b w:val="0"/>
          <w:bCs/>
          <w:color w:val="auto"/>
          <w:sz w:val="22"/>
        </w:rPr>
        <w:t xml:space="preserve">to inform the economic evaluation. </w:t>
      </w:r>
    </w:p>
    <w:p w14:paraId="49D26F75" w14:textId="06968437" w:rsidR="00313CBA" w:rsidRDefault="00D31B73" w:rsidP="00F7398A">
      <w:pPr>
        <w:pStyle w:val="Guidelinescross-ref"/>
        <w:rPr>
          <w:b w:val="0"/>
          <w:bCs/>
          <w:color w:val="auto"/>
          <w:sz w:val="22"/>
        </w:rPr>
      </w:pPr>
      <w:r>
        <w:rPr>
          <w:b w:val="0"/>
          <w:bCs/>
          <w:color w:val="auto"/>
          <w:sz w:val="22"/>
        </w:rPr>
        <w:t>Mozes 2022 calculated the diagnostic accuracy of s</w:t>
      </w:r>
      <w:r w:rsidR="00313CBA">
        <w:rPr>
          <w:b w:val="0"/>
          <w:bCs/>
          <w:color w:val="auto"/>
          <w:sz w:val="22"/>
        </w:rPr>
        <w:t xml:space="preserve">equential testing strategy A (see </w:t>
      </w:r>
      <w:r>
        <w:rPr>
          <w:b w:val="0"/>
          <w:bCs/>
          <w:color w:val="auto"/>
          <w:sz w:val="22"/>
        </w:rPr>
        <w:fldChar w:fldCharType="begin"/>
      </w:r>
      <w:r>
        <w:rPr>
          <w:b w:val="0"/>
          <w:bCs/>
          <w:color w:val="auto"/>
          <w:sz w:val="22"/>
        </w:rPr>
        <w:instrText xml:space="preserve"> REF _Ref205833338 \h  \* MERGEFORMAT </w:instrText>
      </w:r>
      <w:r>
        <w:rPr>
          <w:b w:val="0"/>
          <w:bCs/>
          <w:color w:val="auto"/>
          <w:sz w:val="22"/>
        </w:rPr>
      </w:r>
      <w:r>
        <w:rPr>
          <w:b w:val="0"/>
          <w:bCs/>
          <w:color w:val="auto"/>
          <w:sz w:val="22"/>
        </w:rPr>
        <w:fldChar w:fldCharType="separate"/>
      </w:r>
      <w:r w:rsidRPr="00D31B73">
        <w:rPr>
          <w:b w:val="0"/>
          <w:bCs/>
          <w:color w:val="auto"/>
          <w:sz w:val="22"/>
        </w:rPr>
        <w:t>Figure 2</w:t>
      </w:r>
      <w:r>
        <w:rPr>
          <w:b w:val="0"/>
          <w:bCs/>
          <w:color w:val="auto"/>
          <w:sz w:val="22"/>
        </w:rPr>
        <w:fldChar w:fldCharType="end"/>
      </w:r>
      <w:r>
        <w:rPr>
          <w:b w:val="0"/>
          <w:bCs/>
          <w:color w:val="auto"/>
          <w:sz w:val="22"/>
        </w:rPr>
        <w:t xml:space="preserve">) by excluding the results from the 5% of patients who had indeterminate FIB-4 and VCTE results, which may not be reflective of clinical practice as these patients must be accounted for. </w:t>
      </w:r>
      <w:r w:rsidR="00344ACC">
        <w:rPr>
          <w:b w:val="0"/>
          <w:bCs/>
          <w:color w:val="auto"/>
          <w:sz w:val="22"/>
        </w:rPr>
        <w:t xml:space="preserve">Using this methodology, a sensitivity of 66% (95% </w:t>
      </w:r>
      <w:r w:rsidR="003D45E5">
        <w:rPr>
          <w:b w:val="0"/>
          <w:bCs/>
          <w:color w:val="auto"/>
          <w:sz w:val="22"/>
        </w:rPr>
        <w:t>confidence interval [</w:t>
      </w:r>
      <w:r w:rsidR="00344ACC">
        <w:rPr>
          <w:b w:val="0"/>
          <w:bCs/>
          <w:color w:val="auto"/>
          <w:sz w:val="22"/>
        </w:rPr>
        <w:t>C</w:t>
      </w:r>
      <w:r w:rsidR="00444C85">
        <w:rPr>
          <w:b w:val="0"/>
          <w:bCs/>
          <w:color w:val="auto"/>
          <w:sz w:val="22"/>
        </w:rPr>
        <w:t>I</w:t>
      </w:r>
      <w:r w:rsidR="003D45E5">
        <w:rPr>
          <w:b w:val="0"/>
          <w:bCs/>
          <w:color w:val="auto"/>
          <w:sz w:val="22"/>
        </w:rPr>
        <w:t>]</w:t>
      </w:r>
      <w:r w:rsidR="00444C85">
        <w:rPr>
          <w:b w:val="0"/>
          <w:bCs/>
          <w:color w:val="auto"/>
          <w:sz w:val="22"/>
        </w:rPr>
        <w:t xml:space="preserve"> 63-68) and specificity of </w:t>
      </w:r>
      <w:r w:rsidR="003D45E5">
        <w:rPr>
          <w:b w:val="0"/>
          <w:bCs/>
          <w:color w:val="auto"/>
          <w:sz w:val="22"/>
        </w:rPr>
        <w:t xml:space="preserve">86% (95% CI 84-97) was reported, along with a PPV of </w:t>
      </w:r>
      <w:r w:rsidR="00CC0EF9">
        <w:rPr>
          <w:b w:val="0"/>
          <w:bCs/>
          <w:color w:val="auto"/>
          <w:sz w:val="22"/>
        </w:rPr>
        <w:t xml:space="preserve">66% (95% CI 64-68) and NPV of 86% (95% CI 85-87%), at a prevalence of AF of 30% in the population. </w:t>
      </w:r>
      <w:r w:rsidR="003D6AA4">
        <w:rPr>
          <w:b w:val="0"/>
          <w:bCs/>
          <w:color w:val="auto"/>
          <w:sz w:val="22"/>
        </w:rPr>
        <w:t xml:space="preserve">Of the </w:t>
      </w:r>
      <w:r w:rsidR="00DD7324">
        <w:rPr>
          <w:b w:val="0"/>
          <w:bCs/>
          <w:color w:val="auto"/>
          <w:sz w:val="22"/>
        </w:rPr>
        <w:t xml:space="preserve">resulting </w:t>
      </w:r>
      <w:r w:rsidR="00B05959">
        <w:rPr>
          <w:b w:val="0"/>
          <w:bCs/>
          <w:color w:val="auto"/>
          <w:sz w:val="22"/>
        </w:rPr>
        <w:t>34%</w:t>
      </w:r>
      <w:r w:rsidR="00D039B6">
        <w:rPr>
          <w:b w:val="0"/>
          <w:bCs/>
          <w:color w:val="auto"/>
          <w:sz w:val="22"/>
        </w:rPr>
        <w:t xml:space="preserve"> of patients </w:t>
      </w:r>
      <w:r w:rsidR="005B2D45">
        <w:rPr>
          <w:b w:val="0"/>
          <w:bCs/>
          <w:color w:val="auto"/>
          <w:sz w:val="22"/>
        </w:rPr>
        <w:t>who required</w:t>
      </w:r>
      <w:r w:rsidR="007101EE">
        <w:rPr>
          <w:b w:val="0"/>
          <w:bCs/>
          <w:color w:val="auto"/>
          <w:sz w:val="22"/>
        </w:rPr>
        <w:t xml:space="preserve"> and underwent</w:t>
      </w:r>
      <w:r w:rsidR="0047400C">
        <w:rPr>
          <w:b w:val="0"/>
          <w:bCs/>
          <w:color w:val="auto"/>
          <w:sz w:val="22"/>
        </w:rPr>
        <w:t xml:space="preserve"> VCTE</w:t>
      </w:r>
      <w:r w:rsidR="005B2D45">
        <w:rPr>
          <w:b w:val="0"/>
          <w:bCs/>
          <w:color w:val="auto"/>
          <w:sz w:val="22"/>
        </w:rPr>
        <w:t>,</w:t>
      </w:r>
      <w:r w:rsidR="0047400C">
        <w:rPr>
          <w:b w:val="0"/>
          <w:bCs/>
          <w:color w:val="auto"/>
          <w:sz w:val="22"/>
        </w:rPr>
        <w:t xml:space="preserve"> </w:t>
      </w:r>
      <w:r w:rsidR="00D039B6">
        <w:rPr>
          <w:b w:val="0"/>
          <w:bCs/>
          <w:color w:val="auto"/>
          <w:sz w:val="22"/>
        </w:rPr>
        <w:t xml:space="preserve">19% (95% CI 18-20) of </w:t>
      </w:r>
      <w:r w:rsidR="00DD7324">
        <w:rPr>
          <w:b w:val="0"/>
          <w:bCs/>
          <w:color w:val="auto"/>
          <w:sz w:val="22"/>
        </w:rPr>
        <w:t xml:space="preserve">those </w:t>
      </w:r>
      <w:r w:rsidR="00D039B6">
        <w:rPr>
          <w:b w:val="0"/>
          <w:bCs/>
          <w:color w:val="auto"/>
          <w:sz w:val="22"/>
        </w:rPr>
        <w:t>patients were misclassified</w:t>
      </w:r>
      <w:r w:rsidR="00882271">
        <w:rPr>
          <w:b w:val="0"/>
          <w:bCs/>
          <w:color w:val="auto"/>
          <w:sz w:val="22"/>
        </w:rPr>
        <w:t xml:space="preserve"> following VCTE </w:t>
      </w:r>
      <w:r w:rsidR="00BB2355">
        <w:rPr>
          <w:b w:val="0"/>
          <w:bCs/>
          <w:color w:val="auto"/>
          <w:sz w:val="22"/>
        </w:rPr>
        <w:t xml:space="preserve">(i.e. incorrectly identified as having or not having advanced fibrosis) </w:t>
      </w:r>
      <w:r w:rsidR="007F171D">
        <w:rPr>
          <w:b w:val="0"/>
          <w:bCs/>
          <w:color w:val="auto"/>
          <w:sz w:val="22"/>
        </w:rPr>
        <w:t>when liver biopsy was used as the reference standard</w:t>
      </w:r>
      <w:r w:rsidR="005B2D45">
        <w:rPr>
          <w:b w:val="0"/>
          <w:bCs/>
          <w:color w:val="auto"/>
          <w:sz w:val="22"/>
        </w:rPr>
        <w:t>.</w:t>
      </w:r>
      <w:r w:rsidR="0042468B">
        <w:rPr>
          <w:b w:val="0"/>
          <w:bCs/>
          <w:color w:val="auto"/>
          <w:sz w:val="22"/>
        </w:rPr>
        <w:t xml:space="preserve"> </w:t>
      </w:r>
    </w:p>
    <w:p w14:paraId="10164854" w14:textId="5006F3C1" w:rsidR="00313CBA" w:rsidRDefault="00C604EC" w:rsidP="00D31B73">
      <w:pPr>
        <w:pStyle w:val="Caption"/>
        <w:keepLines/>
        <w:rPr>
          <w:b w:val="0"/>
          <w:bCs w:val="0"/>
          <w:sz w:val="22"/>
        </w:rPr>
      </w:pPr>
      <w:bookmarkStart w:id="38" w:name="_Ref205833338"/>
      <w:r>
        <w:lastRenderedPageBreak/>
        <w:t xml:space="preserve">Figure </w:t>
      </w:r>
      <w:r>
        <w:fldChar w:fldCharType="begin"/>
      </w:r>
      <w:r>
        <w:instrText xml:space="preserve"> SEQ Figure \* ARABIC </w:instrText>
      </w:r>
      <w:r>
        <w:fldChar w:fldCharType="separate"/>
      </w:r>
      <w:r>
        <w:rPr>
          <w:noProof/>
        </w:rPr>
        <w:t>2</w:t>
      </w:r>
      <w:r>
        <w:rPr>
          <w:noProof/>
        </w:rPr>
        <w:fldChar w:fldCharType="end"/>
      </w:r>
      <w:bookmarkEnd w:id="38"/>
      <w:r>
        <w:t xml:space="preserve">: </w:t>
      </w:r>
      <w:r w:rsidR="008B6FEB" w:rsidRPr="00C604EC">
        <w:t xml:space="preserve">Sankey diagrams for TP, TN, FP, FN and indeterminate groups for sequential testing (FIB-4 + LSM-VCTE) for FIB-4 &gt;1.3 and &lt;2.67, and LSM </w:t>
      </w:r>
      <w:r w:rsidRPr="00C604EC">
        <w:t>≥ 8.0 kPa and &lt;10.0 kPa in Mozes 2022</w:t>
      </w:r>
    </w:p>
    <w:p w14:paraId="7F1BA33F" w14:textId="06A28962" w:rsidR="00313CBA" w:rsidRDefault="00101165" w:rsidP="00D31B73">
      <w:pPr>
        <w:pStyle w:val="Guidelinescross-ref"/>
        <w:keepNext/>
        <w:keepLines/>
        <w:rPr>
          <w:b w:val="0"/>
          <w:bCs/>
          <w:color w:val="auto"/>
          <w:sz w:val="22"/>
        </w:rPr>
      </w:pPr>
      <w:r>
        <w:rPr>
          <w:b w:val="0"/>
          <w:bCs/>
          <w:noProof/>
          <w:color w:val="auto"/>
          <w:sz w:val="22"/>
        </w:rPr>
        <w:drawing>
          <wp:inline distT="0" distB="0" distL="0" distR="0" wp14:anchorId="42EADAF2" wp14:editId="1E92FEBA">
            <wp:extent cx="5722620" cy="2186940"/>
            <wp:effectExtent l="0" t="0" r="0" b="3810"/>
            <wp:docPr id="644255627" name="Picture 1" descr="Figure 2: Sankey diagrams for TP, TN, FP, FN and indeterminate groups for sequential testing (FIB-4 + LSM-VCTE) for FIB-4 &gt;1.3 and &lt;2.67, and LSM ≥ 8.0 kPa and &lt;10.0 kPa in Moz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5627" name="Picture 1" descr="Figure 2: Sankey diagrams for TP, TN, FP, FN and indeterminate groups for sequential testing (FIB-4 + LSM-VCTE) for FIB-4 &gt;1.3 and &lt;2.67, and LSM ≥ 8.0 kPa and &lt;10.0 kPa in Mozes 20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2186940"/>
                    </a:xfrm>
                    <a:prstGeom prst="rect">
                      <a:avLst/>
                    </a:prstGeom>
                    <a:noFill/>
                    <a:ln>
                      <a:noFill/>
                    </a:ln>
                  </pic:spPr>
                </pic:pic>
              </a:graphicData>
            </a:graphic>
          </wp:inline>
        </w:drawing>
      </w:r>
    </w:p>
    <w:p w14:paraId="1CEDE930" w14:textId="77777777" w:rsidR="00D31B73" w:rsidRPr="00D31B73" w:rsidRDefault="00D31B73" w:rsidP="00D31B73">
      <w:pPr>
        <w:pStyle w:val="Guidelinescross-ref"/>
        <w:keepNext/>
        <w:keepLines/>
        <w:spacing w:before="0" w:after="0" w:line="240" w:lineRule="auto"/>
        <w:rPr>
          <w:rFonts w:ascii="Arial Narrow" w:hAnsi="Arial Narrow"/>
          <w:b w:val="0"/>
          <w:bCs/>
          <w:color w:val="auto"/>
          <w:sz w:val="18"/>
          <w:szCs w:val="18"/>
        </w:rPr>
      </w:pPr>
      <w:r w:rsidRPr="00D31B73">
        <w:rPr>
          <w:rFonts w:ascii="Arial Narrow" w:hAnsi="Arial Narrow"/>
          <w:b w:val="0"/>
          <w:bCs/>
          <w:color w:val="auto"/>
          <w:sz w:val="18"/>
          <w:szCs w:val="18"/>
        </w:rPr>
        <w:t>Abbreviations: LSM, liver stiffness measurement; VCTE, vibration-controlled transient elastography; FIB-4, Fibrosis-4 Index; TP, true positive; TN, true negative; FP, False positive; FN, false negative</w:t>
      </w:r>
    </w:p>
    <w:p w14:paraId="4A3166B3" w14:textId="4AE4A73A" w:rsidR="00D31B73" w:rsidRPr="00D31B73" w:rsidRDefault="00D31B73" w:rsidP="00D31B73">
      <w:pPr>
        <w:pStyle w:val="Guidelinescross-ref"/>
        <w:keepNext/>
        <w:keepLines/>
        <w:spacing w:before="0" w:after="0" w:line="240" w:lineRule="auto"/>
        <w:rPr>
          <w:rFonts w:ascii="Arial Narrow" w:hAnsi="Arial Narrow"/>
          <w:b w:val="0"/>
          <w:bCs/>
          <w:color w:val="auto"/>
          <w:sz w:val="18"/>
          <w:szCs w:val="18"/>
        </w:rPr>
      </w:pPr>
      <w:r w:rsidRPr="00D31B73">
        <w:rPr>
          <w:rFonts w:ascii="Arial Narrow" w:hAnsi="Arial Narrow"/>
          <w:b w:val="0"/>
          <w:bCs/>
          <w:color w:val="auto"/>
          <w:sz w:val="18"/>
          <w:szCs w:val="18"/>
        </w:rPr>
        <w:t>Source: Mozes 2022 Figure 3</w:t>
      </w:r>
      <w:r>
        <w:rPr>
          <w:rFonts w:ascii="Arial Narrow" w:hAnsi="Arial Narrow"/>
          <w:b w:val="0"/>
          <w:bCs/>
          <w:color w:val="auto"/>
          <w:sz w:val="18"/>
          <w:szCs w:val="18"/>
        </w:rPr>
        <w:t>A</w:t>
      </w:r>
      <w:r w:rsidRPr="00D31B73">
        <w:rPr>
          <w:rFonts w:ascii="Arial Narrow" w:hAnsi="Arial Narrow"/>
          <w:b w:val="0"/>
          <w:bCs/>
          <w:color w:val="auto"/>
          <w:sz w:val="18"/>
          <w:szCs w:val="18"/>
        </w:rPr>
        <w:t xml:space="preserve"> p1015</w:t>
      </w:r>
    </w:p>
    <w:p w14:paraId="3CDF26D6" w14:textId="2976091F" w:rsidR="003658C1" w:rsidRDefault="00C1068E" w:rsidP="00F7398A">
      <w:pPr>
        <w:pStyle w:val="Guidelinescross-ref"/>
        <w:rPr>
          <w:b w:val="0"/>
          <w:bCs/>
          <w:color w:val="auto"/>
          <w:sz w:val="22"/>
        </w:rPr>
      </w:pPr>
      <w:r>
        <w:rPr>
          <w:b w:val="0"/>
          <w:bCs/>
          <w:color w:val="auto"/>
          <w:sz w:val="22"/>
        </w:rPr>
        <w:t>Mozes 2023</w:t>
      </w:r>
      <w:r w:rsidR="00153128">
        <w:rPr>
          <w:b w:val="0"/>
          <w:bCs/>
          <w:color w:val="auto"/>
          <w:sz w:val="22"/>
        </w:rPr>
        <w:t xml:space="preserve"> </w:t>
      </w:r>
      <w:r w:rsidR="00313D71">
        <w:rPr>
          <w:b w:val="0"/>
          <w:bCs/>
          <w:color w:val="auto"/>
          <w:sz w:val="22"/>
        </w:rPr>
        <w:t xml:space="preserve">reported </w:t>
      </w:r>
      <w:r w:rsidR="00006512">
        <w:rPr>
          <w:b w:val="0"/>
          <w:bCs/>
          <w:color w:val="auto"/>
          <w:sz w:val="22"/>
        </w:rPr>
        <w:t xml:space="preserve">the </w:t>
      </w:r>
      <w:r w:rsidR="00BF3029">
        <w:rPr>
          <w:b w:val="0"/>
          <w:bCs/>
          <w:color w:val="auto"/>
          <w:sz w:val="22"/>
        </w:rPr>
        <w:t xml:space="preserve">outcomes </w:t>
      </w:r>
      <w:r w:rsidR="00006512">
        <w:rPr>
          <w:b w:val="0"/>
          <w:bCs/>
          <w:color w:val="auto"/>
          <w:sz w:val="22"/>
        </w:rPr>
        <w:t>from a composite endpoint (</w:t>
      </w:r>
      <w:r w:rsidR="00AE1457" w:rsidRPr="00AE1457">
        <w:rPr>
          <w:b w:val="0"/>
          <w:bCs/>
          <w:color w:val="auto"/>
          <w:sz w:val="22"/>
        </w:rPr>
        <w:t>all-cause mortality, hepatocellular carcinoma, liver transplantation,</w:t>
      </w:r>
      <w:r w:rsidR="00AE1457">
        <w:rPr>
          <w:b w:val="0"/>
          <w:bCs/>
          <w:color w:val="auto"/>
          <w:sz w:val="22"/>
        </w:rPr>
        <w:t xml:space="preserve"> </w:t>
      </w:r>
      <w:r w:rsidR="00AE1457" w:rsidRPr="00AE1457">
        <w:rPr>
          <w:b w:val="0"/>
          <w:bCs/>
          <w:color w:val="auto"/>
          <w:sz w:val="22"/>
        </w:rPr>
        <w:t>or cirrhosis complications</w:t>
      </w:r>
      <w:r w:rsidR="00AE1457">
        <w:rPr>
          <w:b w:val="0"/>
          <w:bCs/>
          <w:color w:val="auto"/>
          <w:sz w:val="22"/>
        </w:rPr>
        <w:t>)</w:t>
      </w:r>
      <w:r w:rsidR="00AE1457" w:rsidRPr="00AE1457">
        <w:rPr>
          <w:b w:val="0"/>
          <w:bCs/>
          <w:color w:val="auto"/>
          <w:sz w:val="22"/>
        </w:rPr>
        <w:t xml:space="preserve"> </w:t>
      </w:r>
      <w:r w:rsidR="00BF3029">
        <w:rPr>
          <w:b w:val="0"/>
          <w:bCs/>
          <w:color w:val="auto"/>
          <w:sz w:val="22"/>
        </w:rPr>
        <w:t xml:space="preserve">of 2,518 patients with NAFLD, using </w:t>
      </w:r>
      <w:r w:rsidR="00A84C83">
        <w:rPr>
          <w:b w:val="0"/>
          <w:bCs/>
          <w:color w:val="auto"/>
          <w:sz w:val="22"/>
        </w:rPr>
        <w:t>IPD</w:t>
      </w:r>
      <w:r w:rsidR="00BF3029">
        <w:rPr>
          <w:b w:val="0"/>
          <w:bCs/>
          <w:color w:val="auto"/>
          <w:sz w:val="22"/>
        </w:rPr>
        <w:t xml:space="preserve"> obtained from </w:t>
      </w:r>
      <w:r w:rsidR="00006512">
        <w:rPr>
          <w:b w:val="0"/>
          <w:bCs/>
          <w:color w:val="auto"/>
          <w:sz w:val="22"/>
        </w:rPr>
        <w:t>25</w:t>
      </w:r>
      <w:r w:rsidR="00BF3029">
        <w:rPr>
          <w:b w:val="0"/>
          <w:bCs/>
          <w:color w:val="auto"/>
          <w:sz w:val="22"/>
        </w:rPr>
        <w:t xml:space="preserve"> separate published studies</w:t>
      </w:r>
      <w:r w:rsidR="00CF15F2">
        <w:rPr>
          <w:b w:val="0"/>
          <w:bCs/>
          <w:color w:val="auto"/>
          <w:sz w:val="22"/>
        </w:rPr>
        <w:t>.</w:t>
      </w:r>
      <w:r w:rsidR="00313D71">
        <w:rPr>
          <w:b w:val="0"/>
          <w:bCs/>
          <w:color w:val="auto"/>
          <w:sz w:val="22"/>
        </w:rPr>
        <w:t xml:space="preserve"> </w:t>
      </w:r>
      <w:r w:rsidR="00640333" w:rsidRPr="00640333">
        <w:rPr>
          <w:b w:val="0"/>
          <w:bCs/>
          <w:color w:val="auto"/>
          <w:sz w:val="22"/>
        </w:rPr>
        <w:t xml:space="preserve">FIB-4 and </w:t>
      </w:r>
      <w:r w:rsidR="00640333" w:rsidRPr="00A84C83">
        <w:rPr>
          <w:b w:val="0"/>
          <w:bCs/>
          <w:color w:val="auto"/>
          <w:sz w:val="22"/>
        </w:rPr>
        <w:t>NFS</w:t>
      </w:r>
      <w:r w:rsidR="00735377" w:rsidRPr="00A84C83">
        <w:rPr>
          <w:b w:val="0"/>
          <w:bCs/>
          <w:color w:val="auto"/>
          <w:sz w:val="22"/>
        </w:rPr>
        <w:t xml:space="preserve"> </w:t>
      </w:r>
      <w:r w:rsidR="00735377" w:rsidRPr="00FD3B16">
        <w:rPr>
          <w:b w:val="0"/>
          <w:bCs/>
          <w:color w:val="auto"/>
          <w:sz w:val="22"/>
        </w:rPr>
        <w:t>(non-alcoholic fatty liver disease (NAFLD)</w:t>
      </w:r>
      <w:r w:rsidR="00DB5DBD" w:rsidRPr="00FD3B16">
        <w:rPr>
          <w:b w:val="0"/>
          <w:bCs/>
          <w:color w:val="auto"/>
          <w:sz w:val="22"/>
        </w:rPr>
        <w:t xml:space="preserve"> fibrosis score)</w:t>
      </w:r>
      <w:r w:rsidR="00FF652C" w:rsidRPr="00FD3B16">
        <w:rPr>
          <w:b w:val="0"/>
          <w:bCs/>
          <w:color w:val="auto"/>
          <w:sz w:val="22"/>
        </w:rPr>
        <w:t xml:space="preserve"> </w:t>
      </w:r>
      <w:r w:rsidR="00FF652C" w:rsidRPr="00A84C83">
        <w:rPr>
          <w:b w:val="0"/>
          <w:bCs/>
          <w:color w:val="auto"/>
          <w:sz w:val="22"/>
        </w:rPr>
        <w:t>alone</w:t>
      </w:r>
      <w:r w:rsidRPr="00A84C83">
        <w:rPr>
          <w:b w:val="0"/>
          <w:bCs/>
          <w:color w:val="auto"/>
          <w:sz w:val="22"/>
        </w:rPr>
        <w:t xml:space="preserve"> </w:t>
      </w:r>
      <w:r w:rsidR="00FF652C">
        <w:rPr>
          <w:b w:val="0"/>
          <w:bCs/>
          <w:color w:val="auto"/>
          <w:sz w:val="22"/>
        </w:rPr>
        <w:t xml:space="preserve">were </w:t>
      </w:r>
      <w:r>
        <w:rPr>
          <w:b w:val="0"/>
          <w:bCs/>
          <w:color w:val="auto"/>
          <w:sz w:val="22"/>
        </w:rPr>
        <w:t xml:space="preserve">nominated as </w:t>
      </w:r>
      <w:r w:rsidR="00FF652C">
        <w:rPr>
          <w:b w:val="0"/>
          <w:bCs/>
          <w:color w:val="auto"/>
          <w:sz w:val="22"/>
        </w:rPr>
        <w:t xml:space="preserve">comparators </w:t>
      </w:r>
      <w:r w:rsidR="00042686">
        <w:rPr>
          <w:b w:val="0"/>
          <w:bCs/>
          <w:color w:val="auto"/>
          <w:sz w:val="22"/>
        </w:rPr>
        <w:t xml:space="preserve">but </w:t>
      </w:r>
      <w:r w:rsidR="00991077">
        <w:rPr>
          <w:b w:val="0"/>
          <w:bCs/>
          <w:color w:val="auto"/>
          <w:sz w:val="22"/>
        </w:rPr>
        <w:t>we</w:t>
      </w:r>
      <w:r w:rsidR="00640333" w:rsidRPr="00640333">
        <w:rPr>
          <w:b w:val="0"/>
          <w:bCs/>
          <w:color w:val="auto"/>
          <w:sz w:val="22"/>
        </w:rPr>
        <w:t>re not appropriate stand-ins for SOC, limiting the validity of any comparative conclusions.</w:t>
      </w:r>
      <w:r w:rsidR="001A688D">
        <w:rPr>
          <w:b w:val="0"/>
          <w:bCs/>
          <w:color w:val="auto"/>
          <w:sz w:val="22"/>
        </w:rPr>
        <w:t xml:space="preserve"> </w:t>
      </w:r>
      <w:r w:rsidR="00A11EF2">
        <w:rPr>
          <w:b w:val="0"/>
          <w:bCs/>
          <w:color w:val="auto"/>
          <w:sz w:val="22"/>
        </w:rPr>
        <w:t xml:space="preserve">The commentary noted that </w:t>
      </w:r>
      <w:r w:rsidR="003658C1" w:rsidRPr="003658C1">
        <w:rPr>
          <w:b w:val="0"/>
          <w:bCs/>
          <w:color w:val="auto"/>
          <w:sz w:val="22"/>
        </w:rPr>
        <w:t>Mozes 2023 evaluated prognostic accuracy, not diagnostic or clinical utility. It did not model sequential testing,</w:t>
      </w:r>
      <w:r w:rsidR="00184DD8">
        <w:rPr>
          <w:b w:val="0"/>
          <w:bCs/>
          <w:color w:val="auto"/>
          <w:sz w:val="22"/>
        </w:rPr>
        <w:t xml:space="preserve"> which severely limited its applicability, nor modelled</w:t>
      </w:r>
      <w:r w:rsidR="003658C1" w:rsidRPr="003658C1">
        <w:rPr>
          <w:b w:val="0"/>
          <w:bCs/>
          <w:color w:val="auto"/>
          <w:sz w:val="22"/>
        </w:rPr>
        <w:t xml:space="preserve"> treatment guidance or </w:t>
      </w:r>
      <w:r w:rsidR="00184DD8">
        <w:rPr>
          <w:b w:val="0"/>
          <w:bCs/>
          <w:color w:val="auto"/>
          <w:sz w:val="22"/>
        </w:rPr>
        <w:t xml:space="preserve">reported any changes in </w:t>
      </w:r>
      <w:r w:rsidR="003658C1" w:rsidRPr="003658C1">
        <w:rPr>
          <w:b w:val="0"/>
          <w:bCs/>
          <w:color w:val="auto"/>
          <w:sz w:val="22"/>
        </w:rPr>
        <w:t>real-world management impact.</w:t>
      </w:r>
    </w:p>
    <w:p w14:paraId="1710E442" w14:textId="7B9584BD" w:rsidR="00A11EF2" w:rsidRDefault="00827B56" w:rsidP="00F7398A">
      <w:pPr>
        <w:pStyle w:val="Guidelinescross-ref"/>
        <w:rPr>
          <w:b w:val="0"/>
          <w:bCs/>
          <w:color w:val="auto"/>
          <w:sz w:val="22"/>
        </w:rPr>
      </w:pPr>
      <w:r>
        <w:rPr>
          <w:b w:val="0"/>
          <w:bCs/>
          <w:color w:val="auto"/>
          <w:sz w:val="22"/>
        </w:rPr>
        <w:t xml:space="preserve">VCTE results in Mozes 2023 were reported using </w:t>
      </w:r>
      <w:r w:rsidR="000A1F46">
        <w:rPr>
          <w:b w:val="0"/>
          <w:bCs/>
          <w:color w:val="auto"/>
          <w:sz w:val="22"/>
        </w:rPr>
        <w:t>rule-out</w:t>
      </w:r>
      <w:r>
        <w:rPr>
          <w:b w:val="0"/>
          <w:bCs/>
          <w:color w:val="auto"/>
          <w:sz w:val="22"/>
        </w:rPr>
        <w:t xml:space="preserve"> and </w:t>
      </w:r>
      <w:r w:rsidR="000A1F46">
        <w:rPr>
          <w:b w:val="0"/>
          <w:bCs/>
          <w:color w:val="auto"/>
          <w:sz w:val="22"/>
        </w:rPr>
        <w:t>rule-in</w:t>
      </w:r>
      <w:r>
        <w:rPr>
          <w:b w:val="0"/>
          <w:bCs/>
          <w:color w:val="auto"/>
          <w:sz w:val="22"/>
        </w:rPr>
        <w:t xml:space="preserve"> thresholds of LSM &lt; 10 kPa and LSM ≥ 20 kPa, respectively, which further reduced its applicability. </w:t>
      </w:r>
      <w:r w:rsidR="008C7AFC" w:rsidRPr="008C7AFC">
        <w:rPr>
          <w:b w:val="0"/>
          <w:bCs/>
          <w:color w:val="auto"/>
          <w:sz w:val="22"/>
        </w:rPr>
        <w:t>Compared to patients with LSM &lt;10 kPa (reference), the multivariate cox regression adjusted survival HR (95%</w:t>
      </w:r>
      <w:r w:rsidR="00A84C83">
        <w:rPr>
          <w:b w:val="0"/>
          <w:bCs/>
          <w:color w:val="auto"/>
          <w:sz w:val="22"/>
        </w:rPr>
        <w:t xml:space="preserve"> </w:t>
      </w:r>
      <w:r w:rsidR="008C7AFC" w:rsidRPr="008C7AFC">
        <w:rPr>
          <w:b w:val="0"/>
          <w:bCs/>
          <w:color w:val="auto"/>
          <w:sz w:val="22"/>
        </w:rPr>
        <w:t>CI) in patients with LSM ≥10 but &lt;20 kPa and LSM ≥20 kPa were 3.12 (1.94, 5.02) and 10.65 (6.53, 17.35), respectively.</w:t>
      </w:r>
      <w:r w:rsidR="008C7AFC">
        <w:rPr>
          <w:b w:val="0"/>
          <w:bCs/>
          <w:color w:val="auto"/>
          <w:sz w:val="22"/>
        </w:rPr>
        <w:t xml:space="preserve"> </w:t>
      </w:r>
      <w:r w:rsidR="00101860" w:rsidRPr="00101860">
        <w:rPr>
          <w:b w:val="0"/>
          <w:bCs/>
          <w:color w:val="auto"/>
          <w:sz w:val="22"/>
        </w:rPr>
        <w:t>Time-dependent area under the receiver operating characteristic curve (tAUC)</w:t>
      </w:r>
      <w:r w:rsidR="004A0631">
        <w:rPr>
          <w:b w:val="0"/>
          <w:bCs/>
          <w:color w:val="auto"/>
          <w:sz w:val="22"/>
        </w:rPr>
        <w:t>,</w:t>
      </w:r>
      <w:r w:rsidR="00101860" w:rsidRPr="00101860">
        <w:rPr>
          <w:b w:val="0"/>
          <w:bCs/>
          <w:color w:val="auto"/>
          <w:sz w:val="22"/>
        </w:rPr>
        <w:t xml:space="preserve"> </w:t>
      </w:r>
      <w:r w:rsidR="00101860">
        <w:rPr>
          <w:b w:val="0"/>
          <w:bCs/>
          <w:color w:val="auto"/>
          <w:sz w:val="22"/>
        </w:rPr>
        <w:t xml:space="preserve">which </w:t>
      </w:r>
      <w:r w:rsidR="00101860" w:rsidRPr="00101860">
        <w:rPr>
          <w:b w:val="0"/>
          <w:bCs/>
          <w:color w:val="auto"/>
          <w:sz w:val="22"/>
        </w:rPr>
        <w:t>evaluate</w:t>
      </w:r>
      <w:r w:rsidR="00101860">
        <w:rPr>
          <w:b w:val="0"/>
          <w:bCs/>
          <w:color w:val="auto"/>
          <w:sz w:val="22"/>
        </w:rPr>
        <w:t>d</w:t>
      </w:r>
      <w:r w:rsidR="00101860" w:rsidRPr="00101860">
        <w:rPr>
          <w:b w:val="0"/>
          <w:bCs/>
          <w:color w:val="auto"/>
          <w:sz w:val="22"/>
        </w:rPr>
        <w:t xml:space="preserve"> the prognostic accuracy of different fibrosis assessment methods used to assess histologically assessed fibrosis stage,</w:t>
      </w:r>
      <w:r w:rsidR="000451D9">
        <w:rPr>
          <w:b w:val="0"/>
          <w:bCs/>
          <w:color w:val="auto"/>
          <w:sz w:val="22"/>
        </w:rPr>
        <w:t xml:space="preserve"> </w:t>
      </w:r>
      <w:r w:rsidR="00101860" w:rsidRPr="00101860">
        <w:rPr>
          <w:b w:val="0"/>
          <w:bCs/>
          <w:color w:val="auto"/>
          <w:sz w:val="22"/>
        </w:rPr>
        <w:t xml:space="preserve">VCTE, FIB-4, and NFS over time in predicting </w:t>
      </w:r>
      <w:r w:rsidR="004C0C96">
        <w:rPr>
          <w:b w:val="0"/>
          <w:bCs/>
          <w:color w:val="auto"/>
          <w:sz w:val="22"/>
        </w:rPr>
        <w:t>liver related event</w:t>
      </w:r>
      <w:r w:rsidR="00101860" w:rsidRPr="00101860">
        <w:rPr>
          <w:b w:val="0"/>
          <w:bCs/>
          <w:color w:val="auto"/>
          <w:sz w:val="22"/>
        </w:rPr>
        <w:t>s and all-cause mortality</w:t>
      </w:r>
      <w:r w:rsidR="00793040">
        <w:rPr>
          <w:b w:val="0"/>
          <w:bCs/>
          <w:color w:val="auto"/>
          <w:sz w:val="22"/>
        </w:rPr>
        <w:t>,</w:t>
      </w:r>
      <w:r w:rsidR="00101860">
        <w:rPr>
          <w:b w:val="0"/>
          <w:bCs/>
          <w:color w:val="auto"/>
          <w:sz w:val="22"/>
        </w:rPr>
        <w:t xml:space="preserve"> were also </w:t>
      </w:r>
      <w:r w:rsidR="004C0C96">
        <w:rPr>
          <w:b w:val="0"/>
          <w:bCs/>
          <w:color w:val="auto"/>
          <w:sz w:val="22"/>
        </w:rPr>
        <w:t>analysed</w:t>
      </w:r>
      <w:r w:rsidR="00101860" w:rsidRPr="00101860">
        <w:rPr>
          <w:b w:val="0"/>
          <w:bCs/>
          <w:color w:val="auto"/>
          <w:sz w:val="22"/>
        </w:rPr>
        <w:t xml:space="preserve">. </w:t>
      </w:r>
      <w:r w:rsidR="00B76551" w:rsidRPr="00B76551">
        <w:rPr>
          <w:b w:val="0"/>
          <w:bCs/>
          <w:color w:val="auto"/>
          <w:sz w:val="22"/>
        </w:rPr>
        <w:t>VCTE demonstrated numerically higher tAUCs compared to histology, while FIB-4 performed similarly to histology, and NFS had slightly lower tAUCs. However, these differences were not statistically significant.</w:t>
      </w:r>
    </w:p>
    <w:p w14:paraId="0D0AF767" w14:textId="575AF45E" w:rsidR="002B58E9" w:rsidRDefault="002B58E9" w:rsidP="00F7398A">
      <w:pPr>
        <w:pStyle w:val="Guidelinescross-ref"/>
        <w:rPr>
          <w:b w:val="0"/>
          <w:bCs/>
          <w:color w:val="auto"/>
          <w:sz w:val="22"/>
        </w:rPr>
      </w:pPr>
      <w:r>
        <w:rPr>
          <w:b w:val="0"/>
          <w:bCs/>
          <w:color w:val="auto"/>
          <w:sz w:val="22"/>
        </w:rPr>
        <w:t xml:space="preserve">Four </w:t>
      </w:r>
      <w:r w:rsidRPr="00A84C83">
        <w:rPr>
          <w:b w:val="0"/>
          <w:bCs/>
          <w:color w:val="auto"/>
          <w:sz w:val="22"/>
        </w:rPr>
        <w:t xml:space="preserve">additional </w:t>
      </w:r>
      <w:r w:rsidR="000526AB" w:rsidRPr="00A84C83">
        <w:rPr>
          <w:b w:val="0"/>
          <w:bCs/>
          <w:color w:val="auto"/>
          <w:sz w:val="22"/>
        </w:rPr>
        <w:t xml:space="preserve">MAFLD/NAFLD </w:t>
      </w:r>
      <w:r w:rsidRPr="00A84C83">
        <w:rPr>
          <w:b w:val="0"/>
          <w:bCs/>
          <w:color w:val="auto"/>
          <w:sz w:val="22"/>
        </w:rPr>
        <w:t xml:space="preserve">studies </w:t>
      </w:r>
      <w:r w:rsidR="00913CB2">
        <w:rPr>
          <w:b w:val="0"/>
          <w:bCs/>
          <w:color w:val="auto"/>
          <w:sz w:val="22"/>
        </w:rPr>
        <w:t xml:space="preserve">(Leite 2025, Gawrieh 2024, Ciardullo 2023b and Mu 2024) </w:t>
      </w:r>
      <w:r w:rsidR="00796E8A">
        <w:rPr>
          <w:b w:val="0"/>
          <w:bCs/>
          <w:color w:val="auto"/>
          <w:sz w:val="22"/>
        </w:rPr>
        <w:t xml:space="preserve">that </w:t>
      </w:r>
      <w:r w:rsidR="00A84C83">
        <w:rPr>
          <w:b w:val="0"/>
          <w:bCs/>
          <w:color w:val="auto"/>
          <w:sz w:val="22"/>
        </w:rPr>
        <w:t xml:space="preserve">may help inform longitudinal accuracy </w:t>
      </w:r>
      <w:r>
        <w:rPr>
          <w:b w:val="0"/>
          <w:bCs/>
          <w:color w:val="auto"/>
          <w:sz w:val="22"/>
        </w:rPr>
        <w:t xml:space="preserve">were identified by the ADAR </w:t>
      </w:r>
      <w:r w:rsidR="0043371E">
        <w:rPr>
          <w:b w:val="0"/>
          <w:bCs/>
          <w:color w:val="auto"/>
          <w:sz w:val="22"/>
        </w:rPr>
        <w:t>and presented in the appendix but not addressed in the main body</w:t>
      </w:r>
      <w:r w:rsidR="00884A3F">
        <w:rPr>
          <w:b w:val="0"/>
          <w:bCs/>
          <w:color w:val="auto"/>
          <w:sz w:val="22"/>
        </w:rPr>
        <w:t xml:space="preserve">. However, similar to Mozes 2022 and Mozes 2023, they had limited applicability as they either did not consider </w:t>
      </w:r>
      <w:r w:rsidR="00F666A3">
        <w:rPr>
          <w:b w:val="0"/>
          <w:bCs/>
          <w:color w:val="auto"/>
          <w:sz w:val="22"/>
        </w:rPr>
        <w:t>sequential FIB-4 and VCTE testing, or did not use the same LSM threshold as the ADAR</w:t>
      </w:r>
      <w:r w:rsidR="0069654C">
        <w:rPr>
          <w:b w:val="0"/>
          <w:bCs/>
          <w:color w:val="auto"/>
          <w:sz w:val="22"/>
        </w:rPr>
        <w:t>. Of these studies, Leite 2025 and Gawrieh 2024 may be of the most interest</w:t>
      </w:r>
      <w:r w:rsidR="000F4826">
        <w:rPr>
          <w:b w:val="0"/>
          <w:bCs/>
          <w:color w:val="auto"/>
          <w:sz w:val="22"/>
        </w:rPr>
        <w:t xml:space="preserve"> as they reported outcomes from repeated VCTE testing, which was not considered in Mozes 2023 and complements the ADAR’s results</w:t>
      </w:r>
      <w:r w:rsidR="0043371E">
        <w:rPr>
          <w:b w:val="0"/>
          <w:bCs/>
          <w:color w:val="auto"/>
          <w:sz w:val="22"/>
        </w:rPr>
        <w:t>:</w:t>
      </w:r>
      <w:r w:rsidR="00884A3F">
        <w:rPr>
          <w:b w:val="0"/>
          <w:bCs/>
          <w:color w:val="auto"/>
          <w:sz w:val="22"/>
        </w:rPr>
        <w:t xml:space="preserve"> </w:t>
      </w:r>
    </w:p>
    <w:p w14:paraId="599509CE" w14:textId="2D0CDF69" w:rsidR="0043371E" w:rsidRDefault="009762BE" w:rsidP="005E01EA">
      <w:pPr>
        <w:pStyle w:val="Guidelinescross-ref"/>
        <w:numPr>
          <w:ilvl w:val="0"/>
          <w:numId w:val="19"/>
        </w:numPr>
        <w:ind w:left="426" w:hanging="426"/>
        <w:rPr>
          <w:b w:val="0"/>
          <w:bCs/>
          <w:color w:val="auto"/>
          <w:sz w:val="22"/>
        </w:rPr>
      </w:pPr>
      <w:r w:rsidRPr="009762BE">
        <w:rPr>
          <w:b w:val="0"/>
          <w:bCs/>
          <w:color w:val="auto"/>
          <w:sz w:val="22"/>
        </w:rPr>
        <w:t xml:space="preserve">Leite 2025 was a prospective cohort involving 288 patients who underwent two VCTE examinations at least two years apart. Relative percentage changes in LSM and </w:t>
      </w:r>
      <w:r w:rsidR="00016B89">
        <w:rPr>
          <w:b w:val="0"/>
          <w:bCs/>
          <w:color w:val="auto"/>
          <w:sz w:val="22"/>
        </w:rPr>
        <w:t>c</w:t>
      </w:r>
      <w:r w:rsidR="00386EC0" w:rsidRPr="00386EC0">
        <w:rPr>
          <w:b w:val="0"/>
          <w:bCs/>
          <w:color w:val="auto"/>
          <w:sz w:val="22"/>
        </w:rPr>
        <w:t>ontrolled attenuation parameter (</w:t>
      </w:r>
      <w:r w:rsidRPr="009762BE">
        <w:rPr>
          <w:b w:val="0"/>
          <w:bCs/>
          <w:color w:val="auto"/>
          <w:sz w:val="22"/>
        </w:rPr>
        <w:t>CAP</w:t>
      </w:r>
      <w:r w:rsidR="00386EC0">
        <w:rPr>
          <w:b w:val="0"/>
          <w:bCs/>
          <w:color w:val="auto"/>
          <w:sz w:val="22"/>
        </w:rPr>
        <w:t>)</w:t>
      </w:r>
      <w:r w:rsidRPr="009762BE">
        <w:rPr>
          <w:b w:val="0"/>
          <w:bCs/>
          <w:color w:val="auto"/>
          <w:sz w:val="22"/>
        </w:rPr>
        <w:t xml:space="preserve"> were measured and the associations with clinical outcomes, including liver-related events (LREs), cardiovascular events (CVEs), and all-cause mortality </w:t>
      </w:r>
      <w:r w:rsidRPr="009762BE">
        <w:rPr>
          <w:b w:val="0"/>
          <w:bCs/>
          <w:color w:val="auto"/>
          <w:sz w:val="22"/>
        </w:rPr>
        <w:lastRenderedPageBreak/>
        <w:t xml:space="preserve">were investigated. Over a median follow-up of </w:t>
      </w:r>
      <w:r w:rsidR="00C750FB">
        <w:rPr>
          <w:b w:val="0"/>
          <w:bCs/>
          <w:color w:val="auto"/>
          <w:sz w:val="22"/>
        </w:rPr>
        <w:t>6</w:t>
      </w:r>
      <w:r w:rsidRPr="009762BE">
        <w:rPr>
          <w:b w:val="0"/>
          <w:bCs/>
          <w:color w:val="auto"/>
          <w:sz w:val="22"/>
        </w:rPr>
        <w:t xml:space="preserve"> years, the cohort experienced 22 LREs, 28 CVEs, and 37 deaths. For LREs, baseline LSM was the strongest predictor, though increases in LSM over time also conferred independent prognostic value (HR: 1.5 [1.0–2.1] per 1-SD increment). For CVEs, both a rise in LSM (HR: 1.7 [1.3–2.3]) and a decline in CAP (HR: 1.5 [1.0–2.3]) were significantly associated with increased risk</w:t>
      </w:r>
      <w:r w:rsidR="002E379D">
        <w:rPr>
          <w:b w:val="0"/>
          <w:bCs/>
          <w:color w:val="auto"/>
          <w:sz w:val="22"/>
        </w:rPr>
        <w:t>.</w:t>
      </w:r>
    </w:p>
    <w:p w14:paraId="46C6D992" w14:textId="61E386B3" w:rsidR="00B52351" w:rsidRPr="009762BE" w:rsidRDefault="009156BD" w:rsidP="005E01EA">
      <w:pPr>
        <w:pStyle w:val="Guidelinescross-ref"/>
        <w:numPr>
          <w:ilvl w:val="0"/>
          <w:numId w:val="19"/>
        </w:numPr>
        <w:ind w:left="426" w:hanging="426"/>
        <w:rPr>
          <w:b w:val="0"/>
          <w:bCs/>
          <w:color w:val="auto"/>
          <w:sz w:val="22"/>
        </w:rPr>
      </w:pPr>
      <w:r w:rsidRPr="009156BD">
        <w:rPr>
          <w:b w:val="0"/>
          <w:bCs/>
          <w:color w:val="auto"/>
          <w:sz w:val="22"/>
        </w:rPr>
        <w:t xml:space="preserve">Gawrieh 2024 was a prospective cohort study in which </w:t>
      </w:r>
      <w:r w:rsidR="00625692">
        <w:rPr>
          <w:b w:val="0"/>
          <w:bCs/>
          <w:color w:val="auto"/>
          <w:sz w:val="22"/>
        </w:rPr>
        <w:t xml:space="preserve">1,403 </w:t>
      </w:r>
      <w:r w:rsidRPr="009156BD">
        <w:rPr>
          <w:b w:val="0"/>
          <w:bCs/>
          <w:color w:val="auto"/>
          <w:sz w:val="22"/>
        </w:rPr>
        <w:t xml:space="preserve">patients had biopsy at baseline and serial annual VCTE assessments, with a mean follow-up of 4.4 years (range 0.4–9.5 years) and a median of </w:t>
      </w:r>
      <w:r w:rsidR="001A1CCF">
        <w:rPr>
          <w:b w:val="0"/>
          <w:bCs/>
          <w:color w:val="auto"/>
          <w:sz w:val="22"/>
        </w:rPr>
        <w:t>4</w:t>
      </w:r>
      <w:r w:rsidR="001A1CCF" w:rsidRPr="009156BD">
        <w:rPr>
          <w:b w:val="0"/>
          <w:bCs/>
          <w:color w:val="auto"/>
          <w:sz w:val="22"/>
        </w:rPr>
        <w:t xml:space="preserve"> </w:t>
      </w:r>
      <w:r w:rsidRPr="009156BD">
        <w:rPr>
          <w:b w:val="0"/>
          <w:bCs/>
          <w:color w:val="auto"/>
          <w:sz w:val="22"/>
        </w:rPr>
        <w:t>VCTE exams per patient.</w:t>
      </w:r>
      <w:r w:rsidR="00750BC5" w:rsidRPr="00750BC5">
        <w:t xml:space="preserve"> </w:t>
      </w:r>
      <w:r w:rsidR="00750BC5" w:rsidRPr="00750BC5">
        <w:rPr>
          <w:b w:val="0"/>
          <w:bCs/>
          <w:color w:val="auto"/>
          <w:sz w:val="22"/>
        </w:rPr>
        <w:t xml:space="preserve">Progression to </w:t>
      </w:r>
      <w:r w:rsidR="00A109EC">
        <w:rPr>
          <w:b w:val="0"/>
          <w:bCs/>
          <w:color w:val="auto"/>
          <w:sz w:val="22"/>
        </w:rPr>
        <w:t>c</w:t>
      </w:r>
      <w:r w:rsidR="00A109EC" w:rsidRPr="00A109EC">
        <w:rPr>
          <w:b w:val="0"/>
          <w:bCs/>
          <w:color w:val="auto"/>
          <w:sz w:val="22"/>
        </w:rPr>
        <w:t xml:space="preserve">ompensated advanced chronic liver disease </w:t>
      </w:r>
      <w:r w:rsidR="00A109EC">
        <w:rPr>
          <w:b w:val="0"/>
          <w:bCs/>
          <w:color w:val="auto"/>
          <w:sz w:val="22"/>
        </w:rPr>
        <w:t>(</w:t>
      </w:r>
      <w:r w:rsidR="00750BC5" w:rsidRPr="00750BC5">
        <w:rPr>
          <w:b w:val="0"/>
          <w:bCs/>
          <w:color w:val="auto"/>
          <w:sz w:val="22"/>
        </w:rPr>
        <w:t>cACLD</w:t>
      </w:r>
      <w:r w:rsidR="00A109EC">
        <w:rPr>
          <w:b w:val="0"/>
          <w:bCs/>
          <w:color w:val="auto"/>
          <w:sz w:val="22"/>
        </w:rPr>
        <w:t>)</w:t>
      </w:r>
      <w:r w:rsidR="00750BC5" w:rsidRPr="00750BC5">
        <w:rPr>
          <w:b w:val="0"/>
          <w:bCs/>
          <w:color w:val="auto"/>
          <w:sz w:val="22"/>
        </w:rPr>
        <w:t xml:space="preserve"> was defined as an increase to LSM ≥10</w:t>
      </w:r>
      <w:r w:rsidR="00750BC5" w:rsidRPr="00750BC5">
        <w:rPr>
          <w:rFonts w:ascii="Arial" w:hAnsi="Arial" w:cs="Arial"/>
          <w:b w:val="0"/>
          <w:bCs/>
          <w:color w:val="auto"/>
          <w:sz w:val="22"/>
        </w:rPr>
        <w:t> </w:t>
      </w:r>
      <w:r w:rsidR="00750BC5" w:rsidRPr="00750BC5">
        <w:rPr>
          <w:b w:val="0"/>
          <w:bCs/>
          <w:color w:val="auto"/>
          <w:sz w:val="22"/>
        </w:rPr>
        <w:t>kPa, and regression from cACLD as a drop to LSM &lt;10</w:t>
      </w:r>
      <w:r w:rsidR="00750BC5" w:rsidRPr="00750BC5">
        <w:rPr>
          <w:rFonts w:ascii="Arial" w:hAnsi="Arial" w:cs="Arial"/>
          <w:b w:val="0"/>
          <w:bCs/>
          <w:color w:val="auto"/>
          <w:sz w:val="22"/>
        </w:rPr>
        <w:t> </w:t>
      </w:r>
      <w:r w:rsidR="00750BC5" w:rsidRPr="00750BC5">
        <w:rPr>
          <w:b w:val="0"/>
          <w:bCs/>
          <w:color w:val="auto"/>
          <w:sz w:val="22"/>
        </w:rPr>
        <w:t xml:space="preserve">kPa. Over a mean follow-up of 4.4 years, 89 LREs occurred (annual incidence: 1.5%). Among those at risk, 29% progressed to </w:t>
      </w:r>
      <w:r w:rsidR="00750BC5" w:rsidRPr="00750BC5">
        <w:rPr>
          <w:rFonts w:cs="Franklin Gothic Book"/>
          <w:b w:val="0"/>
          <w:bCs/>
          <w:color w:val="auto"/>
          <w:sz w:val="22"/>
        </w:rPr>
        <w:t>≥</w:t>
      </w:r>
      <w:r w:rsidR="00750BC5" w:rsidRPr="00750BC5">
        <w:rPr>
          <w:b w:val="0"/>
          <w:bCs/>
          <w:color w:val="auto"/>
          <w:sz w:val="22"/>
        </w:rPr>
        <w:t>10</w:t>
      </w:r>
      <w:r w:rsidR="00750BC5" w:rsidRPr="00750BC5">
        <w:rPr>
          <w:rFonts w:ascii="Arial" w:hAnsi="Arial" w:cs="Arial"/>
          <w:b w:val="0"/>
          <w:bCs/>
          <w:color w:val="auto"/>
          <w:sz w:val="22"/>
        </w:rPr>
        <w:t> </w:t>
      </w:r>
      <w:r w:rsidR="00750BC5" w:rsidRPr="00750BC5">
        <w:rPr>
          <w:b w:val="0"/>
          <w:bCs/>
          <w:color w:val="auto"/>
          <w:sz w:val="22"/>
        </w:rPr>
        <w:t>kPa and 44% regressed below this threshold. Patients who progressed to cACLD had significantly higher LRE rates than non-progressors (16% vs. 4%; a</w:t>
      </w:r>
      <w:r w:rsidR="00EA472D">
        <w:rPr>
          <w:b w:val="0"/>
          <w:bCs/>
          <w:color w:val="auto"/>
          <w:sz w:val="22"/>
        </w:rPr>
        <w:t xml:space="preserve">djusted </w:t>
      </w:r>
      <w:r w:rsidR="00750BC5" w:rsidRPr="00750BC5">
        <w:rPr>
          <w:b w:val="0"/>
          <w:bCs/>
          <w:color w:val="auto"/>
          <w:sz w:val="22"/>
        </w:rPr>
        <w:t>HR</w:t>
      </w:r>
      <w:r w:rsidR="00EA472D">
        <w:rPr>
          <w:b w:val="0"/>
          <w:bCs/>
          <w:color w:val="auto"/>
          <w:sz w:val="22"/>
        </w:rPr>
        <w:t xml:space="preserve"> (aHR)</w:t>
      </w:r>
      <w:r w:rsidR="00750BC5" w:rsidRPr="00750BC5">
        <w:rPr>
          <w:b w:val="0"/>
          <w:bCs/>
          <w:color w:val="auto"/>
          <w:sz w:val="22"/>
        </w:rPr>
        <w:t>: 4.0; 95% CI: 1.8</w:t>
      </w:r>
      <w:r w:rsidR="00750BC5" w:rsidRPr="00750BC5">
        <w:rPr>
          <w:rFonts w:cs="Franklin Gothic Book"/>
          <w:b w:val="0"/>
          <w:bCs/>
          <w:color w:val="auto"/>
          <w:sz w:val="22"/>
        </w:rPr>
        <w:t>–</w:t>
      </w:r>
      <w:r w:rsidR="00750BC5" w:rsidRPr="00750BC5">
        <w:rPr>
          <w:b w:val="0"/>
          <w:bCs/>
          <w:color w:val="auto"/>
          <w:sz w:val="22"/>
        </w:rPr>
        <w:t>8.9). Those who regressed from cACLD had significantly lower LRE rates than non-regressors (7% vs. 32%; aHR: 0.25; 95% CI: 0.10–0.61). The study concluded that dynamic LSM changes are independently associated with LRE risk in both directions (progression and regression), supporting serial VCTE as a non-invasive surrogate for monitoring disease trajectory and clinical outcomes in NAFLD.</w:t>
      </w:r>
    </w:p>
    <w:p w14:paraId="05E11FF4" w14:textId="60E72677" w:rsidR="00D26D10" w:rsidRDefault="00D26D10" w:rsidP="00F7398A">
      <w:pPr>
        <w:pStyle w:val="Guidelinescross-ref"/>
        <w:rPr>
          <w:b w:val="0"/>
          <w:bCs/>
          <w:color w:val="auto"/>
          <w:sz w:val="22"/>
        </w:rPr>
      </w:pPr>
      <w:r w:rsidRPr="00D26D10">
        <w:rPr>
          <w:b w:val="0"/>
          <w:bCs/>
          <w:color w:val="auto"/>
          <w:sz w:val="22"/>
        </w:rPr>
        <w:t xml:space="preserve">Performance degradation in real-world subgroups (e.g., </w:t>
      </w:r>
      <w:r w:rsidR="00C750DC">
        <w:rPr>
          <w:b w:val="0"/>
          <w:bCs/>
          <w:color w:val="auto"/>
          <w:sz w:val="22"/>
        </w:rPr>
        <w:t xml:space="preserve">people with </w:t>
      </w:r>
      <w:r w:rsidRPr="00D26D10">
        <w:rPr>
          <w:b w:val="0"/>
          <w:bCs/>
          <w:color w:val="auto"/>
          <w:sz w:val="22"/>
        </w:rPr>
        <w:t>obes</w:t>
      </w:r>
      <w:r w:rsidR="00C750DC">
        <w:rPr>
          <w:b w:val="0"/>
          <w:bCs/>
          <w:color w:val="auto"/>
          <w:sz w:val="22"/>
        </w:rPr>
        <w:t>ity or</w:t>
      </w:r>
      <w:r w:rsidRPr="00D26D10">
        <w:rPr>
          <w:b w:val="0"/>
          <w:bCs/>
          <w:color w:val="auto"/>
          <w:sz w:val="22"/>
        </w:rPr>
        <w:t xml:space="preserve"> diabet</w:t>
      </w:r>
      <w:r w:rsidR="00C750DC">
        <w:rPr>
          <w:b w:val="0"/>
          <w:bCs/>
          <w:color w:val="auto"/>
          <w:sz w:val="22"/>
        </w:rPr>
        <w:t>es</w:t>
      </w:r>
      <w:r w:rsidRPr="00D26D10">
        <w:rPr>
          <w:b w:val="0"/>
          <w:bCs/>
          <w:color w:val="auto"/>
          <w:sz w:val="22"/>
        </w:rPr>
        <w:t xml:space="preserve">, or younger patients) is not adequately addressed in the ADAR’s modelling. </w:t>
      </w:r>
    </w:p>
    <w:p w14:paraId="45677009" w14:textId="01B403EE" w:rsidR="008E2199" w:rsidRPr="008E2199" w:rsidRDefault="00E44FBA" w:rsidP="00F7398A">
      <w:pPr>
        <w:pStyle w:val="Guidelinescross-ref"/>
        <w:rPr>
          <w:b w:val="0"/>
          <w:bCs/>
          <w:color w:val="auto"/>
          <w:sz w:val="22"/>
        </w:rPr>
      </w:pPr>
      <w:r>
        <w:rPr>
          <w:b w:val="0"/>
          <w:bCs/>
          <w:color w:val="auto"/>
          <w:sz w:val="22"/>
        </w:rPr>
        <w:t>The</w:t>
      </w:r>
      <w:r w:rsidR="008E2199" w:rsidRPr="008E2199">
        <w:rPr>
          <w:b w:val="0"/>
          <w:bCs/>
          <w:color w:val="auto"/>
          <w:sz w:val="22"/>
        </w:rPr>
        <w:t xml:space="preserve"> ADAR d</w:t>
      </w:r>
      <w:r>
        <w:rPr>
          <w:b w:val="0"/>
          <w:bCs/>
          <w:color w:val="auto"/>
          <w:sz w:val="22"/>
        </w:rPr>
        <w:t>id</w:t>
      </w:r>
      <w:r w:rsidR="008E2199" w:rsidRPr="008E2199">
        <w:rPr>
          <w:b w:val="0"/>
          <w:bCs/>
          <w:color w:val="auto"/>
          <w:sz w:val="22"/>
        </w:rPr>
        <w:t xml:space="preserve"> not provide direct evidence that the proposed sequential strategy</w:t>
      </w:r>
      <w:r>
        <w:rPr>
          <w:b w:val="0"/>
          <w:bCs/>
          <w:color w:val="auto"/>
          <w:sz w:val="22"/>
        </w:rPr>
        <w:t xml:space="preserve"> of </w:t>
      </w:r>
      <w:r w:rsidR="008E2199" w:rsidRPr="008E2199">
        <w:rPr>
          <w:b w:val="0"/>
          <w:bCs/>
          <w:color w:val="auto"/>
          <w:sz w:val="22"/>
        </w:rPr>
        <w:t>VCTE (</w:t>
      </w:r>
      <w:r>
        <w:rPr>
          <w:b w:val="0"/>
          <w:bCs/>
          <w:color w:val="auto"/>
          <w:sz w:val="22"/>
        </w:rPr>
        <w:t xml:space="preserve">single </w:t>
      </w:r>
      <w:r w:rsidR="000A1F46">
        <w:rPr>
          <w:b w:val="0"/>
          <w:bCs/>
          <w:color w:val="auto"/>
          <w:sz w:val="22"/>
        </w:rPr>
        <w:t>rule-out</w:t>
      </w:r>
      <w:r>
        <w:rPr>
          <w:b w:val="0"/>
          <w:bCs/>
          <w:color w:val="auto"/>
          <w:sz w:val="22"/>
        </w:rPr>
        <w:t>/</w:t>
      </w:r>
      <w:r w:rsidR="000A1F46">
        <w:rPr>
          <w:b w:val="0"/>
          <w:bCs/>
          <w:color w:val="auto"/>
          <w:sz w:val="22"/>
        </w:rPr>
        <w:t>rule-in</w:t>
      </w:r>
      <w:r>
        <w:rPr>
          <w:b w:val="0"/>
          <w:bCs/>
          <w:color w:val="auto"/>
          <w:sz w:val="22"/>
        </w:rPr>
        <w:t xml:space="preserve"> threshold of </w:t>
      </w:r>
      <w:r w:rsidR="008E2199" w:rsidRPr="008E2199">
        <w:rPr>
          <w:b w:val="0"/>
          <w:bCs/>
          <w:color w:val="auto"/>
          <w:sz w:val="22"/>
        </w:rPr>
        <w:t>8.0 kPa) following an indeterminate</w:t>
      </w:r>
      <w:r w:rsidR="004D1E5F">
        <w:rPr>
          <w:b w:val="0"/>
          <w:bCs/>
          <w:color w:val="auto"/>
          <w:sz w:val="22"/>
        </w:rPr>
        <w:t xml:space="preserve"> or high</w:t>
      </w:r>
      <w:r w:rsidR="00EE6F95">
        <w:rPr>
          <w:b w:val="0"/>
          <w:bCs/>
          <w:color w:val="auto"/>
          <w:sz w:val="22"/>
        </w:rPr>
        <w:t xml:space="preserve"> </w:t>
      </w:r>
      <w:r w:rsidR="008E2199" w:rsidRPr="008E2199">
        <w:rPr>
          <w:b w:val="0"/>
          <w:bCs/>
          <w:color w:val="auto"/>
          <w:sz w:val="22"/>
        </w:rPr>
        <w:t>FIB-4 result (</w:t>
      </w:r>
      <w:r w:rsidR="00E56860">
        <w:rPr>
          <w:b w:val="0"/>
          <w:bCs/>
          <w:color w:val="auto"/>
          <w:sz w:val="22"/>
        </w:rPr>
        <w:t>≥</w:t>
      </w:r>
      <w:r w:rsidR="008E2199" w:rsidRPr="008E2199">
        <w:rPr>
          <w:b w:val="0"/>
          <w:bCs/>
          <w:color w:val="auto"/>
          <w:sz w:val="22"/>
        </w:rPr>
        <w:t>1.3)</w:t>
      </w:r>
      <w:r w:rsidR="004C0C96" w:rsidDel="00E56860">
        <w:rPr>
          <w:b w:val="0"/>
          <w:bCs/>
          <w:color w:val="auto"/>
          <w:sz w:val="22"/>
        </w:rPr>
        <w:t xml:space="preserve"> </w:t>
      </w:r>
      <w:r w:rsidR="008E2199" w:rsidRPr="008E2199">
        <w:rPr>
          <w:b w:val="0"/>
          <w:bCs/>
          <w:color w:val="auto"/>
          <w:sz w:val="22"/>
        </w:rPr>
        <w:t xml:space="preserve">leads to meaningful changes in clinical management compared to SOC. The </w:t>
      </w:r>
      <w:r w:rsidR="008E2199" w:rsidRPr="00A84C83">
        <w:rPr>
          <w:b w:val="0"/>
          <w:bCs/>
          <w:color w:val="auto"/>
          <w:sz w:val="22"/>
        </w:rPr>
        <w:t xml:space="preserve">cited </w:t>
      </w:r>
      <w:r w:rsidR="00313357" w:rsidRPr="00A84C83">
        <w:rPr>
          <w:b w:val="0"/>
          <w:bCs/>
          <w:color w:val="auto"/>
          <w:sz w:val="22"/>
        </w:rPr>
        <w:t xml:space="preserve">MAFLD </w:t>
      </w:r>
      <w:r w:rsidR="008E2199" w:rsidRPr="00A84C83">
        <w:rPr>
          <w:b w:val="0"/>
          <w:bCs/>
          <w:color w:val="auto"/>
          <w:sz w:val="22"/>
        </w:rPr>
        <w:t xml:space="preserve">studies </w:t>
      </w:r>
      <w:r w:rsidR="00141505">
        <w:rPr>
          <w:b w:val="0"/>
          <w:bCs/>
          <w:color w:val="auto"/>
          <w:sz w:val="22"/>
        </w:rPr>
        <w:t xml:space="preserve">that </w:t>
      </w:r>
      <w:r w:rsidR="00CA4F19">
        <w:rPr>
          <w:b w:val="0"/>
          <w:bCs/>
          <w:color w:val="auto"/>
          <w:sz w:val="22"/>
        </w:rPr>
        <w:t>presented evidence on change in management had limited applicability as</w:t>
      </w:r>
      <w:r w:rsidR="00DB7715">
        <w:rPr>
          <w:b w:val="0"/>
          <w:bCs/>
          <w:color w:val="auto"/>
          <w:sz w:val="22"/>
        </w:rPr>
        <w:t xml:space="preserve"> follows</w:t>
      </w:r>
      <w:r w:rsidR="008E2199" w:rsidRPr="008E2199">
        <w:rPr>
          <w:b w:val="0"/>
          <w:bCs/>
          <w:color w:val="auto"/>
          <w:sz w:val="22"/>
        </w:rPr>
        <w:t>:</w:t>
      </w:r>
    </w:p>
    <w:p w14:paraId="79617BEF" w14:textId="70B36CC6" w:rsidR="008E2199" w:rsidRPr="009C635A" w:rsidRDefault="008E2199" w:rsidP="005E01EA">
      <w:pPr>
        <w:pStyle w:val="Guidelinescross-ref"/>
        <w:numPr>
          <w:ilvl w:val="0"/>
          <w:numId w:val="15"/>
        </w:numPr>
        <w:spacing w:before="0" w:after="120"/>
        <w:ind w:left="426" w:hanging="426"/>
        <w:rPr>
          <w:b w:val="0"/>
          <w:bCs/>
          <w:color w:val="auto"/>
          <w:sz w:val="22"/>
        </w:rPr>
      </w:pPr>
      <w:r w:rsidRPr="009C635A">
        <w:rPr>
          <w:b w:val="0"/>
          <w:bCs/>
          <w:color w:val="auto"/>
          <w:sz w:val="22"/>
        </w:rPr>
        <w:t xml:space="preserve">Tulleners 2024 </w:t>
      </w:r>
      <w:r w:rsidR="003F7263" w:rsidRPr="009C635A">
        <w:rPr>
          <w:b w:val="0"/>
          <w:bCs/>
          <w:color w:val="auto"/>
          <w:sz w:val="22"/>
        </w:rPr>
        <w:t xml:space="preserve">compared a structured liver care pathway with community-based </w:t>
      </w:r>
      <w:r w:rsidR="00EF413D" w:rsidRPr="009C635A">
        <w:rPr>
          <w:b w:val="0"/>
          <w:bCs/>
          <w:color w:val="auto"/>
          <w:sz w:val="22"/>
        </w:rPr>
        <w:t xml:space="preserve">VCTE </w:t>
      </w:r>
      <w:r w:rsidR="003F7263" w:rsidRPr="009C635A">
        <w:rPr>
          <w:b w:val="0"/>
          <w:bCs/>
          <w:color w:val="auto"/>
          <w:sz w:val="22"/>
        </w:rPr>
        <w:t xml:space="preserve">access and triage, and the usual care group, where patients remained on the hospital waitlist without additional intervention. However, 37/48 (77%) patients in the usual care arm in Tulleners 2024 also had </w:t>
      </w:r>
      <w:r w:rsidR="00EF413D" w:rsidRPr="009C635A">
        <w:rPr>
          <w:b w:val="0"/>
          <w:bCs/>
          <w:color w:val="auto"/>
          <w:sz w:val="22"/>
        </w:rPr>
        <w:t>VCTE</w:t>
      </w:r>
      <w:r w:rsidR="003F7263" w:rsidRPr="009C635A">
        <w:rPr>
          <w:b w:val="0"/>
          <w:bCs/>
          <w:color w:val="auto"/>
          <w:sz w:val="22"/>
        </w:rPr>
        <w:t xml:space="preserve">, which may not be representative of current SOC. </w:t>
      </w:r>
      <w:r w:rsidR="009C635A" w:rsidRPr="009C635A">
        <w:rPr>
          <w:b w:val="0"/>
          <w:bCs/>
          <w:color w:val="auto"/>
          <w:sz w:val="22"/>
        </w:rPr>
        <w:t>The HR for the time to diagnosis of high risk was 1.28 (95% CI 0.59 to 2.79), indicating a faster average time to diagnosis with the intervention, but failing</w:t>
      </w:r>
      <w:r w:rsidR="009C635A">
        <w:rPr>
          <w:b w:val="0"/>
          <w:bCs/>
          <w:color w:val="auto"/>
          <w:sz w:val="22"/>
        </w:rPr>
        <w:t xml:space="preserve"> </w:t>
      </w:r>
      <w:r w:rsidR="009C635A" w:rsidRPr="009C635A">
        <w:rPr>
          <w:b w:val="0"/>
          <w:bCs/>
          <w:color w:val="auto"/>
          <w:sz w:val="22"/>
        </w:rPr>
        <w:t xml:space="preserve">to conclusively demonstrate a faster time. </w:t>
      </w:r>
      <w:r w:rsidR="009C635A">
        <w:rPr>
          <w:b w:val="0"/>
          <w:bCs/>
          <w:color w:val="auto"/>
          <w:sz w:val="22"/>
        </w:rPr>
        <w:t>Tull</w:t>
      </w:r>
      <w:r w:rsidR="00EA472D">
        <w:rPr>
          <w:b w:val="0"/>
          <w:bCs/>
          <w:color w:val="auto"/>
          <w:sz w:val="22"/>
        </w:rPr>
        <w:t>e</w:t>
      </w:r>
      <w:r w:rsidR="009C635A">
        <w:rPr>
          <w:b w:val="0"/>
          <w:bCs/>
          <w:color w:val="auto"/>
          <w:sz w:val="22"/>
        </w:rPr>
        <w:t xml:space="preserve">ners 2024 had limited applicability as </w:t>
      </w:r>
      <w:r w:rsidR="003F7263" w:rsidRPr="009C635A">
        <w:rPr>
          <w:b w:val="0"/>
          <w:bCs/>
          <w:color w:val="auto"/>
          <w:sz w:val="22"/>
        </w:rPr>
        <w:t>VCTE was not</w:t>
      </w:r>
      <w:r w:rsidRPr="009C635A">
        <w:rPr>
          <w:b w:val="0"/>
          <w:bCs/>
          <w:color w:val="auto"/>
          <w:sz w:val="22"/>
        </w:rPr>
        <w:t xml:space="preserve"> </w:t>
      </w:r>
      <w:r w:rsidR="003263D3">
        <w:rPr>
          <w:b w:val="0"/>
          <w:bCs/>
          <w:color w:val="auto"/>
          <w:sz w:val="22"/>
        </w:rPr>
        <w:t>used as</w:t>
      </w:r>
      <w:r w:rsidRPr="009C635A">
        <w:rPr>
          <w:b w:val="0"/>
          <w:bCs/>
          <w:color w:val="auto"/>
          <w:sz w:val="22"/>
        </w:rPr>
        <w:t xml:space="preserve"> a second-line test after indeterminate FIB-4</w:t>
      </w:r>
      <w:r w:rsidR="00AC7F07" w:rsidRPr="009C635A">
        <w:rPr>
          <w:b w:val="0"/>
          <w:bCs/>
          <w:color w:val="auto"/>
          <w:sz w:val="22"/>
        </w:rPr>
        <w:t>, may have been underpowered (only 97 out of planned 15</w:t>
      </w:r>
      <w:r w:rsidR="00EF413D" w:rsidRPr="009C635A">
        <w:rPr>
          <w:b w:val="0"/>
          <w:bCs/>
          <w:color w:val="auto"/>
          <w:sz w:val="22"/>
        </w:rPr>
        <w:t>6 patients enrolled) and included patients with baseline FIB-4 &lt;1.3 in the VCTE group</w:t>
      </w:r>
      <w:r w:rsidRPr="009C635A">
        <w:rPr>
          <w:b w:val="0"/>
          <w:bCs/>
          <w:color w:val="auto"/>
          <w:sz w:val="22"/>
        </w:rPr>
        <w:t>.</w:t>
      </w:r>
    </w:p>
    <w:p w14:paraId="41376B9C" w14:textId="567F83E0" w:rsidR="008E2199" w:rsidRPr="008E2199" w:rsidRDefault="008E2199" w:rsidP="005E01EA">
      <w:pPr>
        <w:pStyle w:val="Guidelinescross-ref"/>
        <w:numPr>
          <w:ilvl w:val="0"/>
          <w:numId w:val="15"/>
        </w:numPr>
        <w:spacing w:before="0" w:after="120"/>
        <w:ind w:left="426" w:hanging="426"/>
        <w:rPr>
          <w:b w:val="0"/>
          <w:bCs/>
          <w:color w:val="auto"/>
          <w:sz w:val="22"/>
        </w:rPr>
      </w:pPr>
      <w:r w:rsidRPr="008E2199">
        <w:rPr>
          <w:b w:val="0"/>
          <w:bCs/>
          <w:color w:val="auto"/>
          <w:sz w:val="22"/>
        </w:rPr>
        <w:t xml:space="preserve">Hayward 2021 was a feasibility study </w:t>
      </w:r>
      <w:r w:rsidR="009E36DA">
        <w:rPr>
          <w:b w:val="0"/>
          <w:bCs/>
          <w:color w:val="auto"/>
          <w:sz w:val="22"/>
        </w:rPr>
        <w:t xml:space="preserve">of </w:t>
      </w:r>
      <w:r w:rsidR="009E36DA" w:rsidRPr="009E36DA">
        <w:rPr>
          <w:b w:val="0"/>
          <w:bCs/>
          <w:color w:val="auto"/>
          <w:sz w:val="22"/>
        </w:rPr>
        <w:t>a real-world, two-step liver fibrosis assessment pathway</w:t>
      </w:r>
      <w:r w:rsidR="00871F9A">
        <w:rPr>
          <w:b w:val="0"/>
          <w:bCs/>
          <w:color w:val="auto"/>
          <w:sz w:val="22"/>
        </w:rPr>
        <w:t>. S</w:t>
      </w:r>
      <w:r w:rsidR="00C81392">
        <w:rPr>
          <w:b w:val="0"/>
          <w:bCs/>
          <w:color w:val="auto"/>
          <w:sz w:val="22"/>
        </w:rPr>
        <w:t xml:space="preserve">tep 1 </w:t>
      </w:r>
      <w:r w:rsidR="00871F9A">
        <w:rPr>
          <w:b w:val="0"/>
          <w:bCs/>
          <w:color w:val="auto"/>
          <w:sz w:val="22"/>
        </w:rPr>
        <w:t xml:space="preserve">was </w:t>
      </w:r>
      <w:r w:rsidR="00C81392">
        <w:rPr>
          <w:b w:val="0"/>
          <w:bCs/>
          <w:color w:val="auto"/>
          <w:sz w:val="22"/>
        </w:rPr>
        <w:t xml:space="preserve">assessment via FIB-4 and NFS, and step 2 </w:t>
      </w:r>
      <w:r w:rsidR="00871F9A">
        <w:rPr>
          <w:b w:val="0"/>
          <w:bCs/>
          <w:color w:val="auto"/>
          <w:sz w:val="22"/>
        </w:rPr>
        <w:t xml:space="preserve">was </w:t>
      </w:r>
      <w:r w:rsidR="00C81392">
        <w:rPr>
          <w:b w:val="0"/>
          <w:bCs/>
          <w:color w:val="auto"/>
          <w:sz w:val="22"/>
        </w:rPr>
        <w:t xml:space="preserve">patients with indeterminate or high results from either FIB-4 or NFS being referred </w:t>
      </w:r>
      <w:r w:rsidR="00AB2AD0">
        <w:rPr>
          <w:b w:val="0"/>
          <w:bCs/>
          <w:color w:val="auto"/>
          <w:sz w:val="22"/>
        </w:rPr>
        <w:t>to undergo VCTE</w:t>
      </w:r>
      <w:r w:rsidR="00DB71BE">
        <w:rPr>
          <w:b w:val="0"/>
          <w:bCs/>
          <w:color w:val="auto"/>
          <w:sz w:val="22"/>
        </w:rPr>
        <w:t>.</w:t>
      </w:r>
      <w:r w:rsidR="00AB2AD0">
        <w:rPr>
          <w:b w:val="0"/>
          <w:bCs/>
          <w:color w:val="auto"/>
          <w:sz w:val="22"/>
        </w:rPr>
        <w:t xml:space="preserve"> </w:t>
      </w:r>
      <w:r w:rsidR="00DB71BE">
        <w:rPr>
          <w:b w:val="0"/>
          <w:bCs/>
          <w:color w:val="auto"/>
          <w:sz w:val="22"/>
        </w:rPr>
        <w:t>P</w:t>
      </w:r>
      <w:r w:rsidR="00AB2AD0">
        <w:rPr>
          <w:b w:val="0"/>
          <w:bCs/>
          <w:color w:val="auto"/>
          <w:sz w:val="22"/>
        </w:rPr>
        <w:t xml:space="preserve">atients with LSM &lt;8.0 kPa were returned to </w:t>
      </w:r>
      <w:r w:rsidR="00AB2AD0" w:rsidRPr="00A84C83">
        <w:rPr>
          <w:b w:val="0"/>
          <w:bCs/>
          <w:color w:val="auto"/>
          <w:sz w:val="22"/>
        </w:rPr>
        <w:t xml:space="preserve">primary care but those with </w:t>
      </w:r>
      <w:r w:rsidR="00B67EA1">
        <w:rPr>
          <w:b w:val="0"/>
          <w:bCs/>
          <w:color w:val="auto"/>
          <w:sz w:val="22"/>
        </w:rPr>
        <w:t xml:space="preserve">LSM </w:t>
      </w:r>
      <w:r w:rsidR="00AB2AD0" w:rsidRPr="00A84C83">
        <w:rPr>
          <w:b w:val="0"/>
          <w:bCs/>
          <w:color w:val="auto"/>
          <w:sz w:val="22"/>
        </w:rPr>
        <w:t>≥ 8.0 kPa were referred to hos</w:t>
      </w:r>
      <w:r w:rsidR="00267F6D" w:rsidRPr="00A84C83">
        <w:rPr>
          <w:b w:val="0"/>
          <w:bCs/>
          <w:color w:val="auto"/>
          <w:sz w:val="22"/>
        </w:rPr>
        <w:t xml:space="preserve">pital liver clinics. </w:t>
      </w:r>
      <w:r w:rsidR="003A49F1" w:rsidRPr="00A84C83">
        <w:rPr>
          <w:b w:val="0"/>
          <w:bCs/>
          <w:color w:val="auto"/>
          <w:sz w:val="22"/>
        </w:rPr>
        <w:t>38/162 patients (23.5%) were referred</w:t>
      </w:r>
      <w:r w:rsidR="00D711EA" w:rsidRPr="00A84C83">
        <w:rPr>
          <w:b w:val="0"/>
          <w:bCs/>
          <w:color w:val="auto"/>
          <w:sz w:val="22"/>
        </w:rPr>
        <w:t xml:space="preserve"> to hepatology management clinic assessment</w:t>
      </w:r>
      <w:r w:rsidR="00424A58" w:rsidRPr="00A84C83">
        <w:rPr>
          <w:b w:val="0"/>
          <w:bCs/>
          <w:color w:val="auto"/>
          <w:sz w:val="22"/>
        </w:rPr>
        <w:t xml:space="preserve">. </w:t>
      </w:r>
      <w:r w:rsidR="00267F6D" w:rsidRPr="00A84C83">
        <w:rPr>
          <w:b w:val="0"/>
          <w:bCs/>
          <w:color w:val="auto"/>
          <w:sz w:val="22"/>
        </w:rPr>
        <w:t xml:space="preserve">However, meaningful </w:t>
      </w:r>
      <w:r w:rsidR="00267F6D">
        <w:rPr>
          <w:b w:val="0"/>
          <w:bCs/>
          <w:color w:val="auto"/>
          <w:sz w:val="22"/>
        </w:rPr>
        <w:t xml:space="preserve">conclusions were difficult due to the lack of </w:t>
      </w:r>
      <w:r w:rsidRPr="008E2199">
        <w:rPr>
          <w:b w:val="0"/>
          <w:bCs/>
          <w:color w:val="auto"/>
          <w:sz w:val="22"/>
        </w:rPr>
        <w:t>a comparator group or outcome tracking related to VCTE-driven decisions</w:t>
      </w:r>
      <w:r w:rsidR="003C2F0A">
        <w:rPr>
          <w:b w:val="0"/>
          <w:bCs/>
          <w:color w:val="auto"/>
          <w:sz w:val="22"/>
        </w:rPr>
        <w:t>.</w:t>
      </w:r>
    </w:p>
    <w:p w14:paraId="319B18E3" w14:textId="233139F1" w:rsidR="004E3888" w:rsidRDefault="008E2199" w:rsidP="005E01EA">
      <w:pPr>
        <w:pStyle w:val="Guidelinescross-ref"/>
        <w:numPr>
          <w:ilvl w:val="0"/>
          <w:numId w:val="15"/>
        </w:numPr>
        <w:spacing w:before="0" w:after="120"/>
        <w:ind w:left="426" w:hanging="426"/>
        <w:rPr>
          <w:b w:val="0"/>
          <w:bCs/>
          <w:color w:val="auto"/>
          <w:sz w:val="22"/>
        </w:rPr>
      </w:pPr>
      <w:r w:rsidRPr="008E2199">
        <w:rPr>
          <w:b w:val="0"/>
          <w:bCs/>
          <w:color w:val="auto"/>
          <w:sz w:val="22"/>
        </w:rPr>
        <w:t xml:space="preserve">Sarkar Das 2024 </w:t>
      </w:r>
      <w:r w:rsidR="00560CF1">
        <w:rPr>
          <w:b w:val="0"/>
          <w:bCs/>
          <w:color w:val="auto"/>
          <w:sz w:val="22"/>
        </w:rPr>
        <w:t xml:space="preserve">was a systematic review </w:t>
      </w:r>
      <w:r w:rsidR="006E5DDA">
        <w:rPr>
          <w:b w:val="0"/>
          <w:bCs/>
          <w:color w:val="auto"/>
          <w:sz w:val="22"/>
        </w:rPr>
        <w:t xml:space="preserve">that </w:t>
      </w:r>
      <w:r w:rsidR="00560CF1">
        <w:rPr>
          <w:b w:val="0"/>
          <w:bCs/>
          <w:color w:val="auto"/>
          <w:sz w:val="22"/>
        </w:rPr>
        <w:t>reported findings from six studies</w:t>
      </w:r>
      <w:r w:rsidR="003A0F8B">
        <w:rPr>
          <w:b w:val="0"/>
          <w:bCs/>
          <w:color w:val="auto"/>
          <w:sz w:val="22"/>
        </w:rPr>
        <w:t>,</w:t>
      </w:r>
      <w:r w:rsidR="00560CF1">
        <w:rPr>
          <w:b w:val="0"/>
          <w:bCs/>
          <w:color w:val="auto"/>
          <w:sz w:val="22"/>
        </w:rPr>
        <w:t xml:space="preserve"> which reported adherence or completion rates of VCTE among patients who were offered the test, with </w:t>
      </w:r>
      <w:r w:rsidR="00850BEC">
        <w:rPr>
          <w:b w:val="0"/>
          <w:bCs/>
          <w:color w:val="auto"/>
          <w:sz w:val="22"/>
        </w:rPr>
        <w:t xml:space="preserve">a completion rate of over 90%. </w:t>
      </w:r>
      <w:r w:rsidR="00921E11">
        <w:rPr>
          <w:b w:val="0"/>
          <w:bCs/>
          <w:color w:val="auto"/>
          <w:sz w:val="22"/>
        </w:rPr>
        <w:t xml:space="preserve">However, as noted by the ADAR, </w:t>
      </w:r>
      <w:r w:rsidR="00F80614" w:rsidRPr="00F80614">
        <w:rPr>
          <w:b w:val="0"/>
          <w:bCs/>
          <w:color w:val="auto"/>
          <w:sz w:val="22"/>
        </w:rPr>
        <w:t>only six out of the 14 included studies reported VCTE adherence or completion rates. This limited reporting introduces a risk of selection bias, as studies with lower adherence or implementation challenges may have been less likely to report or be published.</w:t>
      </w:r>
      <w:r w:rsidR="00F80614">
        <w:rPr>
          <w:b w:val="0"/>
          <w:bCs/>
          <w:color w:val="auto"/>
          <w:sz w:val="22"/>
        </w:rPr>
        <w:t xml:space="preserve"> Additionally, it was unclear whether VCTE was part of</w:t>
      </w:r>
      <w:r w:rsidRPr="008E2199">
        <w:rPr>
          <w:b w:val="0"/>
          <w:bCs/>
          <w:color w:val="auto"/>
          <w:sz w:val="22"/>
        </w:rPr>
        <w:t xml:space="preserve"> sequential testing </w:t>
      </w:r>
      <w:r w:rsidR="00C5649E">
        <w:rPr>
          <w:b w:val="0"/>
          <w:bCs/>
          <w:color w:val="auto"/>
          <w:sz w:val="22"/>
        </w:rPr>
        <w:t xml:space="preserve">(i.e. </w:t>
      </w:r>
      <w:r w:rsidRPr="008E2199">
        <w:rPr>
          <w:b w:val="0"/>
          <w:bCs/>
          <w:color w:val="auto"/>
          <w:sz w:val="22"/>
        </w:rPr>
        <w:t>stratif</w:t>
      </w:r>
      <w:r w:rsidR="00C5649E">
        <w:rPr>
          <w:b w:val="0"/>
          <w:bCs/>
          <w:color w:val="auto"/>
          <w:sz w:val="22"/>
        </w:rPr>
        <w:t>ied</w:t>
      </w:r>
      <w:r w:rsidRPr="008E2199">
        <w:rPr>
          <w:b w:val="0"/>
          <w:bCs/>
          <w:color w:val="auto"/>
          <w:sz w:val="22"/>
        </w:rPr>
        <w:t xml:space="preserve"> by FIB-4 categor</w:t>
      </w:r>
      <w:r w:rsidR="00A84C83">
        <w:rPr>
          <w:b w:val="0"/>
          <w:bCs/>
          <w:color w:val="auto"/>
          <w:sz w:val="22"/>
        </w:rPr>
        <w:t>y</w:t>
      </w:r>
      <w:r w:rsidR="00C5649E">
        <w:rPr>
          <w:b w:val="0"/>
          <w:bCs/>
          <w:color w:val="auto"/>
          <w:sz w:val="22"/>
        </w:rPr>
        <w:t>)</w:t>
      </w:r>
      <w:r w:rsidRPr="008E2199">
        <w:rPr>
          <w:b w:val="0"/>
          <w:bCs/>
          <w:color w:val="auto"/>
          <w:sz w:val="22"/>
        </w:rPr>
        <w:t>.</w:t>
      </w:r>
    </w:p>
    <w:p w14:paraId="544C9617" w14:textId="4755D156" w:rsidR="00165C41" w:rsidRPr="00A84C83" w:rsidRDefault="00165C41" w:rsidP="00E76AE0">
      <w:pPr>
        <w:pStyle w:val="Instructionaltext"/>
        <w:rPr>
          <w:color w:val="auto"/>
        </w:rPr>
      </w:pPr>
      <w:r w:rsidRPr="00A84C83">
        <w:rPr>
          <w:color w:val="auto"/>
        </w:rPr>
        <w:lastRenderedPageBreak/>
        <w:t>Additionally, the ADAR claimed that Mozes 2022 provided evidence that VCTE reduced the number of liver biopsies required. The commentary noted that the applicability of this finding to the proposed population is uncertain, as the LSM and FIB-4 cut-offs used in Mozes 2022 differed substantially from those proposed in the ADAR and were aimed at detecting cirrhosis rather than advanced fibrosis.</w:t>
      </w:r>
    </w:p>
    <w:p w14:paraId="4FCEA360" w14:textId="42423FD9" w:rsidR="00AD7CFC" w:rsidRDefault="00124E0A" w:rsidP="00E76AE0">
      <w:pPr>
        <w:pStyle w:val="Instructionaltext"/>
        <w:rPr>
          <w:color w:val="auto"/>
        </w:rPr>
      </w:pPr>
      <w:r w:rsidRPr="00124E0A">
        <w:rPr>
          <w:color w:val="auto"/>
        </w:rPr>
        <w:t>In summary, the ADAR provide</w:t>
      </w:r>
      <w:r w:rsidR="00AD509E">
        <w:rPr>
          <w:color w:val="auto"/>
        </w:rPr>
        <w:t>d</w:t>
      </w:r>
      <w:r w:rsidRPr="00124E0A">
        <w:rPr>
          <w:color w:val="auto"/>
        </w:rPr>
        <w:t xml:space="preserve"> insufficient direct evidence to support the </w:t>
      </w:r>
      <w:r w:rsidR="00AD509E">
        <w:rPr>
          <w:color w:val="auto"/>
        </w:rPr>
        <w:t>use of VCTE following FIB-4</w:t>
      </w:r>
      <w:r w:rsidRPr="00124E0A">
        <w:rPr>
          <w:color w:val="auto"/>
        </w:rPr>
        <w:t xml:space="preserve"> in a specific sequential pathway with a </w:t>
      </w:r>
      <w:r w:rsidR="00AD509E">
        <w:rPr>
          <w:color w:val="auto"/>
        </w:rPr>
        <w:t xml:space="preserve">single </w:t>
      </w:r>
      <w:r w:rsidR="000A1F46">
        <w:rPr>
          <w:color w:val="auto"/>
        </w:rPr>
        <w:t>rule-out</w:t>
      </w:r>
      <w:r w:rsidR="00AD509E">
        <w:rPr>
          <w:color w:val="auto"/>
        </w:rPr>
        <w:t>/</w:t>
      </w:r>
      <w:r w:rsidR="000A1F46">
        <w:rPr>
          <w:color w:val="auto"/>
        </w:rPr>
        <w:t>rule-in</w:t>
      </w:r>
      <w:r w:rsidR="00AD509E">
        <w:rPr>
          <w:color w:val="auto"/>
        </w:rPr>
        <w:t xml:space="preserve"> threshold of</w:t>
      </w:r>
      <w:r w:rsidRPr="00124E0A">
        <w:rPr>
          <w:color w:val="auto"/>
        </w:rPr>
        <w:t xml:space="preserve"> </w:t>
      </w:r>
      <w:r w:rsidR="00AD509E">
        <w:rPr>
          <w:color w:val="auto"/>
        </w:rPr>
        <w:t xml:space="preserve">LSM </w:t>
      </w:r>
      <w:r w:rsidRPr="00124E0A">
        <w:rPr>
          <w:color w:val="auto"/>
        </w:rPr>
        <w:t>8.0 kPa</w:t>
      </w:r>
      <w:r w:rsidR="00AD509E">
        <w:rPr>
          <w:color w:val="auto"/>
        </w:rPr>
        <w:t>, as most studies did not assess sequential testing, or used different thresholds for VCTE</w:t>
      </w:r>
      <w:r w:rsidR="006A5985">
        <w:rPr>
          <w:color w:val="auto"/>
        </w:rPr>
        <w:t xml:space="preserve">, with most studies considering </w:t>
      </w:r>
      <w:r w:rsidR="001E69C2">
        <w:rPr>
          <w:color w:val="auto"/>
        </w:rPr>
        <w:t xml:space="preserve">a separate threshold for </w:t>
      </w:r>
      <w:r w:rsidR="000A1F46">
        <w:rPr>
          <w:color w:val="auto"/>
        </w:rPr>
        <w:t>rule-in</w:t>
      </w:r>
      <w:r w:rsidR="001E69C2">
        <w:rPr>
          <w:color w:val="auto"/>
        </w:rPr>
        <w:t xml:space="preserve"> and </w:t>
      </w:r>
      <w:r w:rsidR="000A1F46">
        <w:rPr>
          <w:color w:val="auto"/>
        </w:rPr>
        <w:t>rule-out</w:t>
      </w:r>
      <w:r w:rsidR="001E69C2">
        <w:rPr>
          <w:color w:val="auto"/>
        </w:rPr>
        <w:t xml:space="preserve"> based on LSM</w:t>
      </w:r>
      <w:r w:rsidRPr="00124E0A">
        <w:rPr>
          <w:color w:val="auto"/>
        </w:rPr>
        <w:t xml:space="preserve">. The claim of improved change in management </w:t>
      </w:r>
      <w:r w:rsidR="00AD509E">
        <w:rPr>
          <w:color w:val="auto"/>
        </w:rPr>
        <w:t>was</w:t>
      </w:r>
      <w:r w:rsidRPr="00124E0A">
        <w:rPr>
          <w:color w:val="auto"/>
        </w:rPr>
        <w:t xml:space="preserve"> based on indirect </w:t>
      </w:r>
      <w:r w:rsidR="003B67FB">
        <w:rPr>
          <w:color w:val="auto"/>
        </w:rPr>
        <w:t>evidence and conclusions regarding incremental benefit with VCTE could not be drawn based on the evidence provided</w:t>
      </w:r>
      <w:r w:rsidR="003478E3">
        <w:rPr>
          <w:color w:val="auto"/>
        </w:rPr>
        <w:t>,</w:t>
      </w:r>
      <w:r w:rsidR="000B11DA">
        <w:rPr>
          <w:color w:val="auto"/>
        </w:rPr>
        <w:t xml:space="preserve"> due to the lack of </w:t>
      </w:r>
      <w:r w:rsidR="00E752D6">
        <w:rPr>
          <w:color w:val="auto"/>
        </w:rPr>
        <w:t>a comparator</w:t>
      </w:r>
      <w:r w:rsidR="000B11DA">
        <w:rPr>
          <w:color w:val="auto"/>
        </w:rPr>
        <w:t xml:space="preserve"> or the use of an </w:t>
      </w:r>
      <w:r w:rsidR="00C00436">
        <w:rPr>
          <w:color w:val="auto"/>
        </w:rPr>
        <w:t xml:space="preserve">inappropriate </w:t>
      </w:r>
      <w:r w:rsidR="000B11DA">
        <w:rPr>
          <w:color w:val="auto"/>
        </w:rPr>
        <w:t>comparator</w:t>
      </w:r>
      <w:r w:rsidRPr="00124E0A">
        <w:rPr>
          <w:color w:val="auto"/>
        </w:rPr>
        <w:t xml:space="preserve">. </w:t>
      </w:r>
    </w:p>
    <w:p w14:paraId="213924C6" w14:textId="11D5654C" w:rsidR="00772829" w:rsidRPr="00223664" w:rsidRDefault="00772829" w:rsidP="00223664">
      <w:pPr>
        <w:tabs>
          <w:tab w:val="left" w:pos="720"/>
          <w:tab w:val="left" w:pos="1140"/>
        </w:tabs>
        <w:spacing w:before="240" w:after="120"/>
        <w:rPr>
          <w:b/>
          <w:bCs/>
        </w:rPr>
      </w:pPr>
      <w:r w:rsidRPr="00223664">
        <w:rPr>
          <w:b/>
          <w:bCs/>
        </w:rPr>
        <w:t>Clinical claim</w:t>
      </w:r>
    </w:p>
    <w:p w14:paraId="016B7E50" w14:textId="2C914829" w:rsidR="00B42671" w:rsidRPr="007127EC" w:rsidRDefault="00EF4152" w:rsidP="00B42671">
      <w:pPr>
        <w:pStyle w:val="BodyText"/>
        <w:rPr>
          <w:rFonts w:ascii="Franklin Gothic Book" w:hAnsi="Franklin Gothic Book"/>
          <w:sz w:val="22"/>
          <w:szCs w:val="22"/>
        </w:rPr>
      </w:pPr>
      <w:r>
        <w:rPr>
          <w:rFonts w:ascii="Franklin Gothic Book" w:hAnsi="Franklin Gothic Book"/>
          <w:sz w:val="22"/>
          <w:szCs w:val="22"/>
        </w:rPr>
        <w:t xml:space="preserve">The </w:t>
      </w:r>
      <w:r w:rsidR="00D73004" w:rsidRPr="007127EC">
        <w:rPr>
          <w:rFonts w:ascii="Franklin Gothic Book" w:hAnsi="Franklin Gothic Book"/>
          <w:sz w:val="22"/>
          <w:szCs w:val="22"/>
        </w:rPr>
        <w:t>ADAR</w:t>
      </w:r>
      <w:r w:rsidR="008D540C" w:rsidRPr="007127EC">
        <w:rPr>
          <w:rFonts w:ascii="Franklin Gothic Book" w:hAnsi="Franklin Gothic Book"/>
          <w:sz w:val="22"/>
          <w:szCs w:val="22"/>
        </w:rPr>
        <w:t xml:space="preserve"> </w:t>
      </w:r>
      <w:r>
        <w:rPr>
          <w:rFonts w:ascii="Franklin Gothic Book" w:hAnsi="Franklin Gothic Book"/>
          <w:sz w:val="22"/>
          <w:szCs w:val="22"/>
        </w:rPr>
        <w:t xml:space="preserve">made the </w:t>
      </w:r>
      <w:r w:rsidR="0056151F">
        <w:rPr>
          <w:rFonts w:ascii="Franklin Gothic Book" w:hAnsi="Franklin Gothic Book"/>
          <w:sz w:val="22"/>
          <w:szCs w:val="22"/>
        </w:rPr>
        <w:t xml:space="preserve">clinical </w:t>
      </w:r>
      <w:r w:rsidR="00C51C83">
        <w:rPr>
          <w:rFonts w:ascii="Franklin Gothic Book" w:hAnsi="Franklin Gothic Book"/>
          <w:sz w:val="22"/>
          <w:szCs w:val="22"/>
        </w:rPr>
        <w:t>claim</w:t>
      </w:r>
      <w:r w:rsidR="008D540C" w:rsidRPr="007127EC">
        <w:rPr>
          <w:rFonts w:ascii="Franklin Gothic Book" w:hAnsi="Franklin Gothic Book"/>
          <w:sz w:val="22"/>
          <w:szCs w:val="22"/>
        </w:rPr>
        <w:t xml:space="preserve"> that “</w:t>
      </w:r>
      <w:r w:rsidR="00B42671" w:rsidRPr="007127EC">
        <w:rPr>
          <w:rFonts w:ascii="Franklin Gothic Book" w:hAnsi="Franklin Gothic Book"/>
          <w:sz w:val="22"/>
          <w:szCs w:val="22"/>
        </w:rPr>
        <w:t>VCTE performed significantly better in detecting advanced fibrosis than all serum-based tests.</w:t>
      </w:r>
      <w:r w:rsidR="008D540C" w:rsidRPr="007127EC">
        <w:rPr>
          <w:rFonts w:ascii="Franklin Gothic Book" w:hAnsi="Franklin Gothic Book"/>
          <w:sz w:val="22"/>
          <w:szCs w:val="22"/>
        </w:rPr>
        <w:t>”</w:t>
      </w:r>
    </w:p>
    <w:p w14:paraId="3A348C8A" w14:textId="5C8A06D0" w:rsidR="00D85A52" w:rsidRPr="007127EC" w:rsidRDefault="00D85A52" w:rsidP="00B42671">
      <w:pPr>
        <w:pStyle w:val="BodyText"/>
        <w:rPr>
          <w:rFonts w:ascii="Franklin Gothic Book" w:hAnsi="Franklin Gothic Book"/>
          <w:color w:val="000000" w:themeColor="text1"/>
          <w:sz w:val="22"/>
          <w:szCs w:val="22"/>
        </w:rPr>
      </w:pPr>
      <w:r w:rsidRPr="007127EC">
        <w:rPr>
          <w:rFonts w:ascii="Franklin Gothic Book" w:hAnsi="Franklin Gothic Book"/>
          <w:color w:val="000000" w:themeColor="text1"/>
          <w:sz w:val="22"/>
          <w:szCs w:val="22"/>
        </w:rPr>
        <w:t xml:space="preserve">The </w:t>
      </w:r>
      <w:r w:rsidR="007E5B4F">
        <w:rPr>
          <w:rFonts w:ascii="Franklin Gothic Book" w:hAnsi="Franklin Gothic Book"/>
          <w:color w:val="000000" w:themeColor="text1"/>
          <w:sz w:val="22"/>
          <w:szCs w:val="22"/>
        </w:rPr>
        <w:t xml:space="preserve">commentary considered the </w:t>
      </w:r>
      <w:r w:rsidRPr="007127EC">
        <w:rPr>
          <w:rFonts w:ascii="Franklin Gothic Book" w:hAnsi="Franklin Gothic Book"/>
          <w:color w:val="000000" w:themeColor="text1"/>
          <w:sz w:val="22"/>
          <w:szCs w:val="22"/>
        </w:rPr>
        <w:t xml:space="preserve">claim that VCTE outperforms all serum-based tests </w:t>
      </w:r>
      <w:r w:rsidR="007E5B4F">
        <w:rPr>
          <w:rFonts w:ascii="Franklin Gothic Book" w:hAnsi="Franklin Gothic Book"/>
          <w:color w:val="000000" w:themeColor="text1"/>
          <w:sz w:val="22"/>
          <w:szCs w:val="22"/>
        </w:rPr>
        <w:t>wa</w:t>
      </w:r>
      <w:r w:rsidRPr="007127EC">
        <w:rPr>
          <w:rFonts w:ascii="Franklin Gothic Book" w:hAnsi="Franklin Gothic Book"/>
          <w:color w:val="000000" w:themeColor="text1"/>
          <w:sz w:val="22"/>
          <w:szCs w:val="22"/>
        </w:rPr>
        <w:t>s unsubstantiated</w:t>
      </w:r>
      <w:r w:rsidR="009A371E">
        <w:rPr>
          <w:rFonts w:ascii="Franklin Gothic Book" w:hAnsi="Franklin Gothic Book"/>
          <w:color w:val="000000" w:themeColor="text1"/>
          <w:sz w:val="22"/>
          <w:szCs w:val="22"/>
        </w:rPr>
        <w:t xml:space="preserve"> based on the available evidence,</w:t>
      </w:r>
      <w:r w:rsidR="0042145C">
        <w:rPr>
          <w:rFonts w:ascii="Franklin Gothic Book" w:hAnsi="Franklin Gothic Book"/>
          <w:color w:val="000000" w:themeColor="text1"/>
          <w:sz w:val="22"/>
          <w:szCs w:val="22"/>
        </w:rPr>
        <w:t xml:space="preserve"> as no comparative </w:t>
      </w:r>
      <w:r w:rsidR="009A2DE5">
        <w:rPr>
          <w:rFonts w:ascii="Franklin Gothic Book" w:hAnsi="Franklin Gothic Book"/>
          <w:color w:val="000000" w:themeColor="text1"/>
          <w:sz w:val="22"/>
          <w:szCs w:val="22"/>
        </w:rPr>
        <w:t>studies against serum</w:t>
      </w:r>
      <w:r w:rsidR="268796CE" w:rsidRPr="2A309733">
        <w:rPr>
          <w:rFonts w:ascii="Franklin Gothic Book" w:hAnsi="Franklin Gothic Book"/>
          <w:color w:val="000000" w:themeColor="text1"/>
          <w:sz w:val="22"/>
          <w:szCs w:val="22"/>
        </w:rPr>
        <w:t xml:space="preserve"> </w:t>
      </w:r>
      <w:r w:rsidR="009A2DE5">
        <w:rPr>
          <w:rFonts w:ascii="Franklin Gothic Book" w:hAnsi="Franklin Gothic Book"/>
          <w:color w:val="000000" w:themeColor="text1"/>
          <w:sz w:val="22"/>
          <w:szCs w:val="22"/>
        </w:rPr>
        <w:t>based tests using the LSM thresholds proposed by the ADAR were presented</w:t>
      </w:r>
      <w:r w:rsidRPr="007127EC">
        <w:rPr>
          <w:rFonts w:ascii="Franklin Gothic Book" w:hAnsi="Franklin Gothic Book"/>
          <w:color w:val="000000" w:themeColor="text1"/>
          <w:sz w:val="22"/>
          <w:szCs w:val="22"/>
        </w:rPr>
        <w:t xml:space="preserve">. Clinical guidelines instead support a technology-agnostic approach, </w:t>
      </w:r>
      <w:r w:rsidR="007C2BE2">
        <w:rPr>
          <w:rFonts w:ascii="Franklin Gothic Book" w:hAnsi="Franklin Gothic Book"/>
          <w:color w:val="000000" w:themeColor="text1"/>
          <w:sz w:val="22"/>
          <w:szCs w:val="22"/>
        </w:rPr>
        <w:t xml:space="preserve">with evidence suggesting that other forms of </w:t>
      </w:r>
      <w:r w:rsidR="00633DDF">
        <w:rPr>
          <w:rFonts w:ascii="Franklin Gothic Book" w:hAnsi="Franklin Gothic Book"/>
          <w:color w:val="000000" w:themeColor="text1"/>
          <w:sz w:val="22"/>
          <w:szCs w:val="22"/>
        </w:rPr>
        <w:t xml:space="preserve">elastography </w:t>
      </w:r>
      <w:r w:rsidR="007C2BE2">
        <w:rPr>
          <w:rFonts w:ascii="Franklin Gothic Book" w:hAnsi="Franklin Gothic Book"/>
          <w:color w:val="000000" w:themeColor="text1"/>
          <w:sz w:val="22"/>
          <w:szCs w:val="22"/>
        </w:rPr>
        <w:t>such as 2D-SWE</w:t>
      </w:r>
      <w:r w:rsidR="002137F6">
        <w:rPr>
          <w:rFonts w:ascii="Franklin Gothic Book" w:hAnsi="Franklin Gothic Book"/>
          <w:color w:val="000000" w:themeColor="text1"/>
          <w:sz w:val="22"/>
          <w:szCs w:val="22"/>
        </w:rPr>
        <w:t>,</w:t>
      </w:r>
      <w:r w:rsidR="007C2BE2">
        <w:rPr>
          <w:rFonts w:ascii="Franklin Gothic Book" w:hAnsi="Franklin Gothic Book"/>
          <w:color w:val="000000" w:themeColor="text1"/>
          <w:sz w:val="22"/>
          <w:szCs w:val="22"/>
        </w:rPr>
        <w:t xml:space="preserve"> or </w:t>
      </w:r>
      <w:r w:rsidR="005C37D4">
        <w:rPr>
          <w:rFonts w:ascii="Franklin Gothic Book" w:hAnsi="Franklin Gothic Book"/>
          <w:color w:val="000000" w:themeColor="text1"/>
          <w:sz w:val="22"/>
          <w:szCs w:val="22"/>
        </w:rPr>
        <w:t xml:space="preserve">the </w:t>
      </w:r>
      <w:r w:rsidR="00331704">
        <w:rPr>
          <w:rFonts w:ascii="Franklin Gothic Book" w:hAnsi="Franklin Gothic Book"/>
          <w:color w:val="000000" w:themeColor="text1"/>
          <w:sz w:val="22"/>
          <w:szCs w:val="22"/>
        </w:rPr>
        <w:t xml:space="preserve">direct serum fibrosis test </w:t>
      </w:r>
      <w:r w:rsidR="007C2BE2">
        <w:rPr>
          <w:rFonts w:ascii="Franklin Gothic Book" w:hAnsi="Franklin Gothic Book"/>
          <w:color w:val="000000" w:themeColor="text1"/>
          <w:sz w:val="22"/>
          <w:szCs w:val="22"/>
        </w:rPr>
        <w:t>ELF</w:t>
      </w:r>
      <w:r w:rsidR="00331704">
        <w:rPr>
          <w:rFonts w:ascii="Franklin Gothic Book" w:hAnsi="Franklin Gothic Book"/>
          <w:color w:val="000000" w:themeColor="text1"/>
          <w:sz w:val="22"/>
          <w:szCs w:val="22"/>
        </w:rPr>
        <w:t>,</w:t>
      </w:r>
      <w:r w:rsidR="007C2BE2">
        <w:rPr>
          <w:rFonts w:ascii="Franklin Gothic Book" w:hAnsi="Franklin Gothic Book"/>
          <w:color w:val="000000" w:themeColor="text1"/>
          <w:sz w:val="22"/>
          <w:szCs w:val="22"/>
        </w:rPr>
        <w:t xml:space="preserve"> performed similarly to VCTE</w:t>
      </w:r>
      <w:r w:rsidR="003467C8">
        <w:rPr>
          <w:rFonts w:ascii="Franklin Gothic Book" w:hAnsi="Franklin Gothic Book"/>
          <w:color w:val="000000" w:themeColor="text1"/>
          <w:sz w:val="22"/>
          <w:szCs w:val="22"/>
        </w:rPr>
        <w:t>. L</w:t>
      </w:r>
      <w:r w:rsidRPr="007127EC">
        <w:rPr>
          <w:rFonts w:ascii="Franklin Gothic Book" w:hAnsi="Franklin Gothic Book"/>
          <w:color w:val="000000" w:themeColor="text1"/>
          <w:sz w:val="22"/>
          <w:szCs w:val="22"/>
        </w:rPr>
        <w:t xml:space="preserve">imiting funding to a single proprietary device </w:t>
      </w:r>
      <w:r w:rsidR="009A2DE5">
        <w:rPr>
          <w:rFonts w:ascii="Franklin Gothic Book" w:hAnsi="Franklin Gothic Book"/>
          <w:color w:val="000000" w:themeColor="text1"/>
          <w:sz w:val="22"/>
          <w:szCs w:val="22"/>
        </w:rPr>
        <w:t xml:space="preserve">may </w:t>
      </w:r>
      <w:r w:rsidR="003467C8">
        <w:rPr>
          <w:rFonts w:ascii="Franklin Gothic Book" w:hAnsi="Franklin Gothic Book"/>
          <w:color w:val="000000" w:themeColor="text1"/>
          <w:sz w:val="22"/>
          <w:szCs w:val="22"/>
        </w:rPr>
        <w:t xml:space="preserve">therefore </w:t>
      </w:r>
      <w:r w:rsidR="009A2DE5">
        <w:rPr>
          <w:rFonts w:ascii="Franklin Gothic Book" w:hAnsi="Franklin Gothic Book"/>
          <w:color w:val="000000" w:themeColor="text1"/>
          <w:sz w:val="22"/>
          <w:szCs w:val="22"/>
        </w:rPr>
        <w:t>not be justified.</w:t>
      </w:r>
    </w:p>
    <w:p w14:paraId="00449BB1" w14:textId="4A9AACD8" w:rsidR="00B42671" w:rsidRDefault="009A371E" w:rsidP="00B42671">
      <w:pPr>
        <w:pStyle w:val="Instructionaltext"/>
        <w:rPr>
          <w:rFonts w:eastAsia="Calibri" w:cs="Calibri"/>
          <w:i/>
          <w:iCs/>
          <w:color w:val="auto"/>
          <w:szCs w:val="20"/>
        </w:rPr>
      </w:pPr>
      <w:r>
        <w:rPr>
          <w:rFonts w:eastAsia="Calibri" w:cs="Calibri"/>
          <w:color w:val="auto"/>
          <w:szCs w:val="20"/>
        </w:rPr>
        <w:t xml:space="preserve">The </w:t>
      </w:r>
      <w:r w:rsidR="00D73004">
        <w:rPr>
          <w:rFonts w:eastAsia="Calibri" w:cs="Calibri"/>
          <w:color w:val="auto"/>
          <w:szCs w:val="20"/>
        </w:rPr>
        <w:t xml:space="preserve">ADAR </w:t>
      </w:r>
      <w:r w:rsidR="00C51C83">
        <w:rPr>
          <w:rFonts w:eastAsia="Calibri" w:cs="Calibri"/>
          <w:color w:val="auto"/>
          <w:szCs w:val="20"/>
        </w:rPr>
        <w:t>also claim</w:t>
      </w:r>
      <w:r w:rsidR="007C2BE2">
        <w:rPr>
          <w:rFonts w:eastAsia="Calibri" w:cs="Calibri"/>
          <w:color w:val="auto"/>
          <w:szCs w:val="20"/>
        </w:rPr>
        <w:t>ed</w:t>
      </w:r>
      <w:r w:rsidR="00D73004">
        <w:rPr>
          <w:rFonts w:eastAsia="Calibri" w:cs="Calibri"/>
          <w:color w:val="auto"/>
          <w:szCs w:val="20"/>
        </w:rPr>
        <w:t xml:space="preserve"> that “</w:t>
      </w:r>
      <w:r w:rsidR="007C2BE2">
        <w:rPr>
          <w:rFonts w:eastAsia="Calibri" w:cs="Calibri"/>
          <w:color w:val="auto"/>
          <w:szCs w:val="20"/>
        </w:rPr>
        <w:t>(s)</w:t>
      </w:r>
      <w:r w:rsidR="00B42671" w:rsidRPr="00DE0CB9">
        <w:rPr>
          <w:rFonts w:eastAsia="Calibri" w:cs="Calibri"/>
          <w:color w:val="auto"/>
          <w:szCs w:val="20"/>
        </w:rPr>
        <w:t>equential use of FIB-4 followed by VCTE offers improved diagnostic accuracy for detecting advanced fibrosis (≥F3), with VCT</w:t>
      </w:r>
      <w:r w:rsidR="007C2BE2">
        <w:rPr>
          <w:rFonts w:eastAsia="Calibri" w:cs="Calibri"/>
          <w:color w:val="auto"/>
          <w:szCs w:val="20"/>
        </w:rPr>
        <w:t>E</w:t>
      </w:r>
      <w:r w:rsidR="00B42671" w:rsidRPr="00DE0CB9">
        <w:rPr>
          <w:rFonts w:eastAsia="Calibri" w:cs="Calibri"/>
          <w:color w:val="auto"/>
          <w:szCs w:val="20"/>
        </w:rPr>
        <w:t xml:space="preserve"> demonstrating </w:t>
      </w:r>
      <w:r w:rsidR="00B42671">
        <w:rPr>
          <w:rFonts w:eastAsia="Calibri" w:cs="Calibri"/>
          <w:color w:val="auto"/>
          <w:szCs w:val="20"/>
        </w:rPr>
        <w:t>comparable</w:t>
      </w:r>
      <w:r w:rsidR="00B42671" w:rsidRPr="00DE0CB9">
        <w:rPr>
          <w:rFonts w:eastAsia="Calibri" w:cs="Calibri"/>
          <w:color w:val="auto"/>
          <w:szCs w:val="20"/>
        </w:rPr>
        <w:t xml:space="preserve"> diagnostic </w:t>
      </w:r>
      <w:r w:rsidR="00B42671">
        <w:rPr>
          <w:rFonts w:eastAsia="Calibri" w:cs="Calibri"/>
          <w:color w:val="auto"/>
          <w:szCs w:val="20"/>
        </w:rPr>
        <w:t>accuracy</w:t>
      </w:r>
      <w:r w:rsidR="00B42671" w:rsidRPr="00DE0CB9">
        <w:rPr>
          <w:rFonts w:eastAsia="Calibri" w:cs="Calibri"/>
          <w:color w:val="auto"/>
          <w:szCs w:val="20"/>
        </w:rPr>
        <w:t xml:space="preserve"> </w:t>
      </w:r>
      <w:r w:rsidR="00B42671">
        <w:rPr>
          <w:rFonts w:eastAsia="Calibri" w:cs="Calibri"/>
          <w:color w:val="auto"/>
          <w:szCs w:val="20"/>
        </w:rPr>
        <w:t>with</w:t>
      </w:r>
      <w:r w:rsidR="00B42671" w:rsidRPr="00DE0CB9">
        <w:rPr>
          <w:rFonts w:eastAsia="Calibri" w:cs="Calibri"/>
          <w:color w:val="auto"/>
          <w:szCs w:val="20"/>
        </w:rPr>
        <w:t xml:space="preserve"> liver biopsy</w:t>
      </w:r>
      <w:r w:rsidR="00B42671">
        <w:rPr>
          <w:rFonts w:eastAsia="Calibri" w:cs="Calibri"/>
          <w:color w:val="auto"/>
          <w:szCs w:val="20"/>
        </w:rPr>
        <w:t xml:space="preserve"> (</w:t>
      </w:r>
      <w:r w:rsidR="00B42671" w:rsidRPr="00DE0CB9">
        <w:rPr>
          <w:rFonts w:eastAsia="Calibri" w:cs="Calibri"/>
          <w:color w:val="auto"/>
          <w:szCs w:val="20"/>
        </w:rPr>
        <w:t>reference standard</w:t>
      </w:r>
      <w:r w:rsidR="00B42671">
        <w:rPr>
          <w:rFonts w:eastAsia="Calibri" w:cs="Calibri"/>
          <w:color w:val="auto"/>
          <w:szCs w:val="20"/>
        </w:rPr>
        <w:t>) at dual cut-off thresholds</w:t>
      </w:r>
      <w:r w:rsidR="00B42671" w:rsidRPr="00DE0CB9">
        <w:rPr>
          <w:rFonts w:eastAsia="Calibri" w:cs="Calibri"/>
          <w:color w:val="auto"/>
          <w:szCs w:val="20"/>
        </w:rPr>
        <w:t>.</w:t>
      </w:r>
      <w:r w:rsidR="00D73004">
        <w:rPr>
          <w:rFonts w:eastAsia="Calibri" w:cs="Calibri"/>
          <w:color w:val="auto"/>
          <w:szCs w:val="20"/>
        </w:rPr>
        <w:t>”</w:t>
      </w:r>
    </w:p>
    <w:p w14:paraId="41B52310" w14:textId="34007F2D" w:rsidR="00D73004" w:rsidRPr="007C2BE2" w:rsidRDefault="00B97D75" w:rsidP="00B42671">
      <w:pPr>
        <w:pStyle w:val="Instructionaltext"/>
        <w:rPr>
          <w:rFonts w:eastAsia="Calibri" w:cs="Calibri"/>
          <w:color w:val="000000" w:themeColor="text1"/>
          <w:szCs w:val="20"/>
        </w:rPr>
      </w:pPr>
      <w:r>
        <w:rPr>
          <w:rFonts w:eastAsia="Calibri" w:cs="Calibri"/>
          <w:color w:val="000000" w:themeColor="text1"/>
          <w:szCs w:val="20"/>
        </w:rPr>
        <w:t xml:space="preserve">The commentary considered that this claim was not adequately supported. </w:t>
      </w:r>
      <w:r w:rsidR="00D73004" w:rsidRPr="007C2BE2">
        <w:rPr>
          <w:rFonts w:eastAsia="Calibri" w:cs="Calibri"/>
          <w:color w:val="000000" w:themeColor="text1"/>
          <w:szCs w:val="20"/>
        </w:rPr>
        <w:t xml:space="preserve">Although Mozes 2022 </w:t>
      </w:r>
      <w:r w:rsidR="007C2BE2">
        <w:rPr>
          <w:rFonts w:eastAsia="Calibri" w:cs="Calibri"/>
          <w:color w:val="000000" w:themeColor="text1"/>
          <w:szCs w:val="20"/>
        </w:rPr>
        <w:t>wa</w:t>
      </w:r>
      <w:r w:rsidR="00D73004" w:rsidRPr="007C2BE2">
        <w:rPr>
          <w:rFonts w:eastAsia="Calibri" w:cs="Calibri"/>
          <w:color w:val="000000" w:themeColor="text1"/>
          <w:szCs w:val="20"/>
        </w:rPr>
        <w:t xml:space="preserve">s cited to support the diagnostic accuracy and biopsy-reduction potential of a FIB-4 </w:t>
      </w:r>
      <w:r w:rsidR="007C2BE2">
        <w:rPr>
          <w:rFonts w:eastAsia="Calibri" w:cs="Calibri"/>
          <w:color w:val="000000" w:themeColor="text1"/>
          <w:szCs w:val="20"/>
        </w:rPr>
        <w:t>to</w:t>
      </w:r>
      <w:r w:rsidR="00D73004" w:rsidRPr="007C2BE2">
        <w:rPr>
          <w:rFonts w:eastAsia="Calibri" w:cs="Calibri"/>
          <w:color w:val="000000" w:themeColor="text1"/>
          <w:szCs w:val="20"/>
        </w:rPr>
        <w:t xml:space="preserve"> VCTE strategy, its design and analysis do not align with the ADAR’s proposed pathway</w:t>
      </w:r>
      <w:r>
        <w:rPr>
          <w:rFonts w:eastAsia="Calibri" w:cs="Calibri"/>
          <w:color w:val="000000" w:themeColor="text1"/>
          <w:szCs w:val="20"/>
        </w:rPr>
        <w:t xml:space="preserve"> and had poor applicability</w:t>
      </w:r>
      <w:r w:rsidR="00D73004" w:rsidRPr="007C2BE2">
        <w:rPr>
          <w:rFonts w:eastAsia="Calibri" w:cs="Calibri"/>
          <w:color w:val="000000" w:themeColor="text1"/>
          <w:szCs w:val="20"/>
        </w:rPr>
        <w:t xml:space="preserve">. </w:t>
      </w:r>
      <w:r w:rsidR="007C2BE2">
        <w:rPr>
          <w:rFonts w:eastAsia="Calibri" w:cs="Calibri"/>
          <w:color w:val="000000" w:themeColor="text1"/>
          <w:szCs w:val="20"/>
        </w:rPr>
        <w:t xml:space="preserve">Mozes 2022 presented results from a sequential strategy via a simulation </w:t>
      </w:r>
      <w:r w:rsidR="00D73004" w:rsidRPr="007C2BE2">
        <w:rPr>
          <w:rFonts w:eastAsia="Calibri" w:cs="Calibri"/>
          <w:color w:val="000000" w:themeColor="text1"/>
          <w:szCs w:val="20"/>
        </w:rPr>
        <w:t xml:space="preserve">model </w:t>
      </w:r>
      <w:r w:rsidR="007C2BE2">
        <w:rPr>
          <w:rFonts w:eastAsia="Calibri" w:cs="Calibri"/>
          <w:color w:val="000000" w:themeColor="text1"/>
          <w:szCs w:val="20"/>
        </w:rPr>
        <w:t xml:space="preserve">rather than </w:t>
      </w:r>
      <w:r w:rsidR="004D1D09">
        <w:rPr>
          <w:rFonts w:eastAsia="Calibri" w:cs="Calibri"/>
          <w:color w:val="000000" w:themeColor="text1"/>
          <w:szCs w:val="20"/>
        </w:rPr>
        <w:t xml:space="preserve">reporting results from actual </w:t>
      </w:r>
      <w:r w:rsidR="005E48DD">
        <w:rPr>
          <w:rFonts w:eastAsia="Calibri" w:cs="Calibri"/>
          <w:color w:val="000000" w:themeColor="text1"/>
          <w:szCs w:val="20"/>
        </w:rPr>
        <w:t>t</w:t>
      </w:r>
      <w:r w:rsidR="004D1D09">
        <w:rPr>
          <w:rFonts w:eastAsia="Calibri" w:cs="Calibri"/>
          <w:color w:val="000000" w:themeColor="text1"/>
          <w:szCs w:val="20"/>
        </w:rPr>
        <w:t>esting</w:t>
      </w:r>
      <w:r w:rsidR="007C2BE2">
        <w:rPr>
          <w:rFonts w:eastAsia="Calibri" w:cs="Calibri"/>
          <w:color w:val="000000" w:themeColor="text1"/>
          <w:szCs w:val="20"/>
        </w:rPr>
        <w:t xml:space="preserve">, </w:t>
      </w:r>
      <w:r w:rsidR="00D73004" w:rsidRPr="007C2BE2">
        <w:rPr>
          <w:rFonts w:eastAsia="Calibri" w:cs="Calibri"/>
          <w:color w:val="000000" w:themeColor="text1"/>
          <w:szCs w:val="20"/>
        </w:rPr>
        <w:t>applie</w:t>
      </w:r>
      <w:r w:rsidR="007C2BE2">
        <w:rPr>
          <w:rFonts w:eastAsia="Calibri" w:cs="Calibri"/>
          <w:color w:val="000000" w:themeColor="text1"/>
          <w:szCs w:val="20"/>
        </w:rPr>
        <w:t>d</w:t>
      </w:r>
      <w:r w:rsidR="00D73004" w:rsidRPr="007C2BE2">
        <w:rPr>
          <w:rFonts w:eastAsia="Calibri" w:cs="Calibri"/>
          <w:color w:val="000000" w:themeColor="text1"/>
          <w:szCs w:val="20"/>
        </w:rPr>
        <w:t xml:space="preserve"> different VCTE thresholds </w:t>
      </w:r>
      <w:r w:rsidR="009D3C81">
        <w:rPr>
          <w:rFonts w:eastAsia="Calibri" w:cs="Calibri"/>
          <w:color w:val="000000" w:themeColor="text1"/>
          <w:szCs w:val="20"/>
        </w:rPr>
        <w:t>to</w:t>
      </w:r>
      <w:r w:rsidR="009D3C81" w:rsidRPr="007C2BE2">
        <w:rPr>
          <w:rFonts w:eastAsia="Calibri" w:cs="Calibri"/>
          <w:color w:val="000000" w:themeColor="text1"/>
          <w:szCs w:val="20"/>
        </w:rPr>
        <w:t xml:space="preserve"> </w:t>
      </w:r>
      <w:r w:rsidR="00D73004" w:rsidRPr="007C2BE2">
        <w:rPr>
          <w:rFonts w:eastAsia="Calibri" w:cs="Calibri"/>
          <w:color w:val="000000" w:themeColor="text1"/>
          <w:szCs w:val="20"/>
        </w:rPr>
        <w:t>the ADAR</w:t>
      </w:r>
      <w:r>
        <w:rPr>
          <w:rFonts w:eastAsia="Calibri" w:cs="Calibri"/>
          <w:color w:val="000000" w:themeColor="text1"/>
          <w:szCs w:val="20"/>
        </w:rPr>
        <w:t xml:space="preserve"> and </w:t>
      </w:r>
      <w:r w:rsidR="00FC07EF">
        <w:rPr>
          <w:rFonts w:eastAsia="Calibri" w:cs="Calibri"/>
          <w:color w:val="000000" w:themeColor="text1"/>
          <w:szCs w:val="20"/>
        </w:rPr>
        <w:t xml:space="preserve">had a </w:t>
      </w:r>
      <w:r w:rsidR="00D73004" w:rsidRPr="007C2BE2">
        <w:rPr>
          <w:rFonts w:eastAsia="Calibri" w:cs="Calibri"/>
          <w:color w:val="000000" w:themeColor="text1"/>
          <w:szCs w:val="20"/>
        </w:rPr>
        <w:t xml:space="preserve">high risk of bias. </w:t>
      </w:r>
      <w:r w:rsidR="00C57D57">
        <w:rPr>
          <w:rFonts w:eastAsia="Calibri" w:cs="Calibri"/>
          <w:color w:val="000000" w:themeColor="text1"/>
          <w:szCs w:val="20"/>
        </w:rPr>
        <w:t xml:space="preserve">The literature did not, as a whole, appear to support the use of a single </w:t>
      </w:r>
      <w:r w:rsidR="000A1F46">
        <w:rPr>
          <w:rFonts w:eastAsia="Calibri" w:cs="Calibri"/>
          <w:color w:val="000000" w:themeColor="text1"/>
          <w:szCs w:val="20"/>
        </w:rPr>
        <w:t>rule-out</w:t>
      </w:r>
      <w:r w:rsidR="00C57D57">
        <w:rPr>
          <w:rFonts w:eastAsia="Calibri" w:cs="Calibri"/>
          <w:color w:val="000000" w:themeColor="text1"/>
          <w:szCs w:val="20"/>
        </w:rPr>
        <w:t>/</w:t>
      </w:r>
      <w:r w:rsidR="000A1F46">
        <w:rPr>
          <w:rFonts w:eastAsia="Calibri" w:cs="Calibri"/>
          <w:color w:val="000000" w:themeColor="text1"/>
          <w:szCs w:val="20"/>
        </w:rPr>
        <w:t>rule-in</w:t>
      </w:r>
      <w:r w:rsidR="00C57D57">
        <w:rPr>
          <w:rFonts w:eastAsia="Calibri" w:cs="Calibri"/>
          <w:color w:val="000000" w:themeColor="text1"/>
          <w:szCs w:val="20"/>
        </w:rPr>
        <w:t xml:space="preserve"> threshold for VCTE due to poor </w:t>
      </w:r>
      <w:r w:rsidR="001015E5">
        <w:rPr>
          <w:rFonts w:eastAsia="Calibri" w:cs="Calibri"/>
          <w:color w:val="000000" w:themeColor="text1"/>
          <w:szCs w:val="20"/>
        </w:rPr>
        <w:t xml:space="preserve">sensitivity/specificity. </w:t>
      </w:r>
    </w:p>
    <w:p w14:paraId="33EC1CC9" w14:textId="5C689669" w:rsidR="001015E5" w:rsidRDefault="001015E5" w:rsidP="00B42671">
      <w:pPr>
        <w:pStyle w:val="Instructionaltext"/>
        <w:rPr>
          <w:rFonts w:eastAsia="Calibri" w:cs="Calibri"/>
          <w:color w:val="auto"/>
          <w:szCs w:val="20"/>
        </w:rPr>
      </w:pPr>
      <w:r>
        <w:rPr>
          <w:rFonts w:eastAsia="Calibri" w:cs="Calibri"/>
          <w:color w:val="auto"/>
          <w:szCs w:val="20"/>
        </w:rPr>
        <w:t xml:space="preserve">The </w:t>
      </w:r>
      <w:r w:rsidR="005C3501">
        <w:rPr>
          <w:rFonts w:eastAsia="Calibri" w:cs="Calibri"/>
          <w:color w:val="auto"/>
          <w:szCs w:val="20"/>
        </w:rPr>
        <w:t xml:space="preserve">ADAR </w:t>
      </w:r>
      <w:r>
        <w:rPr>
          <w:rFonts w:eastAsia="Calibri" w:cs="Calibri"/>
          <w:color w:val="auto"/>
          <w:szCs w:val="20"/>
        </w:rPr>
        <w:t xml:space="preserve">also claimed </w:t>
      </w:r>
      <w:r w:rsidR="005C3501">
        <w:rPr>
          <w:rFonts w:eastAsia="Calibri" w:cs="Calibri"/>
          <w:color w:val="auto"/>
          <w:szCs w:val="20"/>
        </w:rPr>
        <w:t>that “</w:t>
      </w:r>
      <w:r w:rsidR="00B42671" w:rsidRPr="00DE0CB9">
        <w:rPr>
          <w:rFonts w:eastAsia="Calibri" w:cs="Calibri"/>
          <w:color w:val="auto"/>
          <w:szCs w:val="20"/>
        </w:rPr>
        <w:t>VCT</w:t>
      </w:r>
      <w:r>
        <w:rPr>
          <w:rFonts w:eastAsia="Calibri" w:cs="Calibri"/>
          <w:color w:val="auto"/>
          <w:szCs w:val="20"/>
        </w:rPr>
        <w:t>E</w:t>
      </w:r>
      <w:r w:rsidR="00B42671" w:rsidRPr="00DE0CB9">
        <w:rPr>
          <w:rFonts w:eastAsia="Calibri" w:cs="Calibri"/>
          <w:color w:val="auto"/>
          <w:szCs w:val="20"/>
        </w:rPr>
        <w:t xml:space="preserve"> provides </w:t>
      </w:r>
      <w:r w:rsidR="00B42671">
        <w:rPr>
          <w:rFonts w:eastAsia="Calibri" w:cs="Calibri"/>
          <w:color w:val="auto"/>
          <w:szCs w:val="20"/>
        </w:rPr>
        <w:t>similar</w:t>
      </w:r>
      <w:r w:rsidR="00B42671" w:rsidRPr="00DE0CB9">
        <w:rPr>
          <w:rFonts w:eastAsia="Calibri" w:cs="Calibri"/>
          <w:color w:val="auto"/>
          <w:szCs w:val="20"/>
        </w:rPr>
        <w:t xml:space="preserve"> prognostic insight into future </w:t>
      </w:r>
      <w:r w:rsidR="00E67BB2">
        <w:rPr>
          <w:rFonts w:eastAsia="Calibri" w:cs="Calibri"/>
          <w:color w:val="auto"/>
          <w:szCs w:val="20"/>
        </w:rPr>
        <w:t>liver-related events (</w:t>
      </w:r>
      <w:r w:rsidR="00B42671">
        <w:rPr>
          <w:rFonts w:eastAsia="Calibri" w:cs="Calibri"/>
          <w:color w:val="auto"/>
          <w:szCs w:val="20"/>
        </w:rPr>
        <w:t>LREs</w:t>
      </w:r>
      <w:r w:rsidR="00E67BB2">
        <w:rPr>
          <w:rFonts w:eastAsia="Calibri" w:cs="Calibri"/>
          <w:color w:val="auto"/>
          <w:szCs w:val="20"/>
        </w:rPr>
        <w:t>)</w:t>
      </w:r>
      <w:r w:rsidR="00B42671" w:rsidRPr="00DE0CB9">
        <w:rPr>
          <w:rFonts w:eastAsia="Calibri" w:cs="Calibri"/>
          <w:color w:val="auto"/>
          <w:szCs w:val="20"/>
        </w:rPr>
        <w:t xml:space="preserve">, including </w:t>
      </w:r>
      <w:r w:rsidR="00E67BB2">
        <w:rPr>
          <w:rFonts w:eastAsia="Calibri" w:cs="Calibri"/>
          <w:color w:val="auto"/>
          <w:szCs w:val="20"/>
        </w:rPr>
        <w:t>hepatocellular carcinoma (</w:t>
      </w:r>
      <w:r w:rsidR="00B42671" w:rsidRPr="00DE0CB9">
        <w:rPr>
          <w:rFonts w:eastAsia="Calibri" w:cs="Calibri"/>
          <w:color w:val="auto"/>
          <w:szCs w:val="20"/>
        </w:rPr>
        <w:t>HCC</w:t>
      </w:r>
      <w:r w:rsidR="00E67BB2">
        <w:rPr>
          <w:rFonts w:eastAsia="Calibri" w:cs="Calibri"/>
          <w:color w:val="auto"/>
          <w:szCs w:val="20"/>
        </w:rPr>
        <w:t>)</w:t>
      </w:r>
      <w:r w:rsidR="00B42671">
        <w:rPr>
          <w:rFonts w:eastAsia="Calibri" w:cs="Calibri"/>
          <w:color w:val="auto"/>
          <w:szCs w:val="20"/>
        </w:rPr>
        <w:t xml:space="preserve"> </w:t>
      </w:r>
      <w:r w:rsidR="00B42671" w:rsidRPr="00DE0CB9">
        <w:rPr>
          <w:rFonts w:eastAsia="Calibri" w:cs="Calibri"/>
          <w:color w:val="auto"/>
          <w:szCs w:val="20"/>
        </w:rPr>
        <w:t>and mortality</w:t>
      </w:r>
      <w:r w:rsidR="00B42671">
        <w:rPr>
          <w:rFonts w:eastAsia="Calibri" w:cs="Calibri"/>
          <w:color w:val="auto"/>
          <w:szCs w:val="20"/>
        </w:rPr>
        <w:t xml:space="preserve"> compared to the reference standard</w:t>
      </w:r>
      <w:r w:rsidR="00B42671" w:rsidRPr="00DE0CB9">
        <w:rPr>
          <w:rFonts w:eastAsia="Calibri" w:cs="Calibri"/>
          <w:color w:val="auto"/>
          <w:szCs w:val="20"/>
        </w:rPr>
        <w:t>.</w:t>
      </w:r>
      <w:r w:rsidR="005C3501">
        <w:rPr>
          <w:rFonts w:eastAsia="Calibri" w:cs="Calibri"/>
          <w:color w:val="auto"/>
          <w:szCs w:val="20"/>
        </w:rPr>
        <w:t>”</w:t>
      </w:r>
      <w:r w:rsidR="00B42671" w:rsidRPr="00DE0CB9">
        <w:rPr>
          <w:rFonts w:eastAsia="Calibri" w:cs="Calibri"/>
          <w:color w:val="auto"/>
          <w:szCs w:val="20"/>
        </w:rPr>
        <w:t xml:space="preserve"> </w:t>
      </w:r>
    </w:p>
    <w:p w14:paraId="21062997" w14:textId="71911420" w:rsidR="004853A5" w:rsidRPr="001015E5" w:rsidRDefault="001015E5" w:rsidP="00B42671">
      <w:pPr>
        <w:pStyle w:val="Instructionaltext"/>
        <w:rPr>
          <w:rFonts w:eastAsia="Calibri" w:cs="Calibri"/>
          <w:color w:val="000000" w:themeColor="text1"/>
          <w:szCs w:val="20"/>
        </w:rPr>
      </w:pPr>
      <w:r>
        <w:rPr>
          <w:rFonts w:eastAsia="Calibri" w:cs="Calibri"/>
          <w:color w:val="auto"/>
          <w:szCs w:val="20"/>
        </w:rPr>
        <w:t>The commentary considered that this claim was not adequately supported</w:t>
      </w:r>
      <w:r w:rsidR="00F26FA4">
        <w:rPr>
          <w:rFonts w:eastAsia="Calibri" w:cs="Calibri"/>
          <w:color w:val="auto"/>
          <w:szCs w:val="20"/>
        </w:rPr>
        <w:t xml:space="preserve">. </w:t>
      </w:r>
      <w:r w:rsidR="00724533">
        <w:rPr>
          <w:rFonts w:eastAsia="Calibri" w:cs="Calibri"/>
          <w:color w:val="auto"/>
          <w:szCs w:val="20"/>
        </w:rPr>
        <w:t xml:space="preserve">The evidence presented to support claims against HCC and mortality was </w:t>
      </w:r>
      <w:r w:rsidR="004853A5" w:rsidRPr="001015E5">
        <w:rPr>
          <w:rFonts w:eastAsia="Calibri" w:cs="Calibri"/>
          <w:color w:val="000000" w:themeColor="text1"/>
          <w:szCs w:val="20"/>
        </w:rPr>
        <w:t>Mozes 2023, a retrospective IPD meta-analysis</w:t>
      </w:r>
      <w:r w:rsidR="00724533">
        <w:rPr>
          <w:rFonts w:eastAsia="Calibri" w:cs="Calibri"/>
          <w:color w:val="000000" w:themeColor="text1"/>
          <w:szCs w:val="20"/>
        </w:rPr>
        <w:t>.</w:t>
      </w:r>
      <w:r w:rsidR="004853A5" w:rsidRPr="001015E5">
        <w:rPr>
          <w:rFonts w:eastAsia="Calibri" w:cs="Calibri"/>
          <w:color w:val="000000" w:themeColor="text1"/>
          <w:szCs w:val="20"/>
        </w:rPr>
        <w:t xml:space="preserve"> </w:t>
      </w:r>
      <w:r w:rsidR="00724533">
        <w:rPr>
          <w:rFonts w:eastAsia="Calibri" w:cs="Calibri"/>
          <w:color w:val="000000" w:themeColor="text1"/>
          <w:szCs w:val="20"/>
        </w:rPr>
        <w:t xml:space="preserve">However, </w:t>
      </w:r>
      <w:r w:rsidR="00C4471D">
        <w:rPr>
          <w:rFonts w:eastAsia="Calibri" w:cs="Calibri"/>
          <w:color w:val="000000" w:themeColor="text1"/>
          <w:szCs w:val="20"/>
        </w:rPr>
        <w:t xml:space="preserve">Mozes 2023 </w:t>
      </w:r>
      <w:r w:rsidR="004853A5" w:rsidRPr="001015E5">
        <w:rPr>
          <w:rFonts w:eastAsia="Calibri" w:cs="Calibri"/>
          <w:color w:val="000000" w:themeColor="text1"/>
          <w:szCs w:val="20"/>
        </w:rPr>
        <w:t>did not evaluate</w:t>
      </w:r>
      <w:r w:rsidR="00C4471D">
        <w:rPr>
          <w:rFonts w:eastAsia="Calibri" w:cs="Calibri"/>
          <w:color w:val="000000" w:themeColor="text1"/>
          <w:szCs w:val="20"/>
        </w:rPr>
        <w:t xml:space="preserve"> the</w:t>
      </w:r>
      <w:r w:rsidR="004853A5" w:rsidRPr="001015E5">
        <w:rPr>
          <w:rFonts w:eastAsia="Calibri" w:cs="Calibri"/>
          <w:color w:val="000000" w:themeColor="text1"/>
          <w:szCs w:val="20"/>
        </w:rPr>
        <w:t xml:space="preserve"> sequential use of FIB-4 followed by VCTE, nor did it apply the </w:t>
      </w:r>
      <w:r w:rsidR="00C4471D">
        <w:rPr>
          <w:rFonts w:eastAsia="Calibri" w:cs="Calibri"/>
          <w:color w:val="000000" w:themeColor="text1"/>
          <w:szCs w:val="20"/>
        </w:rPr>
        <w:t xml:space="preserve">LSM threshold of </w:t>
      </w:r>
      <w:r w:rsidR="004853A5" w:rsidRPr="001015E5">
        <w:rPr>
          <w:rFonts w:eastAsia="Calibri" w:cs="Calibri"/>
          <w:color w:val="000000" w:themeColor="text1"/>
          <w:szCs w:val="20"/>
        </w:rPr>
        <w:t xml:space="preserve">8.0 kPa </w:t>
      </w:r>
      <w:r w:rsidR="00C4471D">
        <w:rPr>
          <w:rFonts w:eastAsia="Calibri" w:cs="Calibri"/>
          <w:color w:val="000000" w:themeColor="text1"/>
          <w:szCs w:val="20"/>
        </w:rPr>
        <w:t>as proposed by the ADAR</w:t>
      </w:r>
      <w:r w:rsidR="004853A5" w:rsidRPr="001015E5">
        <w:rPr>
          <w:rFonts w:eastAsia="Calibri" w:cs="Calibri"/>
          <w:color w:val="000000" w:themeColor="text1"/>
          <w:szCs w:val="20"/>
        </w:rPr>
        <w:t>. Although it meets technical criteria for prognostic accuracy, it lacks evaluation of test-guided management, treatment impact, or longitudinal diagnostic performance. The study does not model real-world triage, track serial measurements, or assess test substitution or biopsy reduction. As such, it cannot substantiate claims about VCTE’s clinical utility or diagnostic superiority in the proposed MAFLD pathway.</w:t>
      </w:r>
    </w:p>
    <w:p w14:paraId="676ABEF3" w14:textId="086794DA" w:rsidR="00B42671" w:rsidRDefault="00F26FA4" w:rsidP="00B42671">
      <w:pPr>
        <w:pStyle w:val="Instructionaltext"/>
        <w:rPr>
          <w:i/>
          <w:iCs/>
          <w:color w:val="auto"/>
        </w:rPr>
      </w:pPr>
      <w:r>
        <w:rPr>
          <w:color w:val="auto"/>
        </w:rPr>
        <w:t xml:space="preserve">The </w:t>
      </w:r>
      <w:r w:rsidR="00C51C83">
        <w:rPr>
          <w:color w:val="auto"/>
        </w:rPr>
        <w:t xml:space="preserve">ADAR </w:t>
      </w:r>
      <w:r>
        <w:rPr>
          <w:color w:val="auto"/>
        </w:rPr>
        <w:t xml:space="preserve">further </w:t>
      </w:r>
      <w:r w:rsidR="00C51C83">
        <w:rPr>
          <w:color w:val="auto"/>
        </w:rPr>
        <w:t>claim</w:t>
      </w:r>
      <w:r>
        <w:rPr>
          <w:color w:val="auto"/>
        </w:rPr>
        <w:t>ed</w:t>
      </w:r>
      <w:r w:rsidR="00C51C83">
        <w:rPr>
          <w:color w:val="auto"/>
        </w:rPr>
        <w:t xml:space="preserve"> that “</w:t>
      </w:r>
      <w:r>
        <w:rPr>
          <w:color w:val="auto"/>
        </w:rPr>
        <w:t>(t)</w:t>
      </w:r>
      <w:r w:rsidR="00B42671" w:rsidRPr="00397EEE">
        <w:rPr>
          <w:color w:val="auto"/>
        </w:rPr>
        <w:t xml:space="preserve">he use of </w:t>
      </w:r>
      <w:r w:rsidR="00B42671">
        <w:rPr>
          <w:color w:val="auto"/>
        </w:rPr>
        <w:t xml:space="preserve">non-invasive sequential testing with </w:t>
      </w:r>
      <w:r w:rsidR="00B42671" w:rsidRPr="00397EEE">
        <w:rPr>
          <w:color w:val="auto"/>
        </w:rPr>
        <w:t xml:space="preserve">VCTE </w:t>
      </w:r>
      <w:r w:rsidR="00B42671">
        <w:rPr>
          <w:color w:val="auto"/>
        </w:rPr>
        <w:t>and</w:t>
      </w:r>
      <w:r w:rsidR="00B42671" w:rsidRPr="00397EEE">
        <w:rPr>
          <w:color w:val="auto"/>
        </w:rPr>
        <w:t xml:space="preserve"> FIB-4 leads to change in management decisions for patients with </w:t>
      </w:r>
      <w:r w:rsidR="00B42671">
        <w:rPr>
          <w:color w:val="auto"/>
        </w:rPr>
        <w:t>MAFLD</w:t>
      </w:r>
      <w:r w:rsidR="00B42671" w:rsidRPr="00397EEE">
        <w:rPr>
          <w:color w:val="auto"/>
        </w:rPr>
        <w:t xml:space="preserve">, including accurate </w:t>
      </w:r>
      <w:r w:rsidR="00B42671">
        <w:rPr>
          <w:color w:val="auto"/>
        </w:rPr>
        <w:t>disease</w:t>
      </w:r>
      <w:r w:rsidR="00B42671" w:rsidRPr="00397EEE">
        <w:rPr>
          <w:color w:val="auto"/>
        </w:rPr>
        <w:t xml:space="preserve"> </w:t>
      </w:r>
      <w:r w:rsidR="00B42671" w:rsidRPr="00397EEE">
        <w:rPr>
          <w:color w:val="auto"/>
        </w:rPr>
        <w:lastRenderedPageBreak/>
        <w:t xml:space="preserve">staging, earlier </w:t>
      </w:r>
      <w:r w:rsidR="00B42671">
        <w:rPr>
          <w:color w:val="auto"/>
        </w:rPr>
        <w:t>testing</w:t>
      </w:r>
      <w:r w:rsidR="00B42671" w:rsidRPr="00397EEE">
        <w:rPr>
          <w:color w:val="auto"/>
        </w:rPr>
        <w:t xml:space="preserve">, </w:t>
      </w:r>
      <w:r w:rsidR="00B42671">
        <w:rPr>
          <w:color w:val="auto"/>
        </w:rPr>
        <w:t>better patient adherence, streamlined referral patterns and increased resource efficiency</w:t>
      </w:r>
      <w:r w:rsidR="00B42671" w:rsidRPr="00397EEE">
        <w:rPr>
          <w:color w:val="auto"/>
        </w:rPr>
        <w:t>.</w:t>
      </w:r>
      <w:r w:rsidR="00C51C83">
        <w:rPr>
          <w:color w:val="auto"/>
        </w:rPr>
        <w:t>”</w:t>
      </w:r>
    </w:p>
    <w:p w14:paraId="4639E1F8" w14:textId="3C1F53AB" w:rsidR="005C6CF6" w:rsidRDefault="00F26FA4" w:rsidP="00B42671">
      <w:pPr>
        <w:pStyle w:val="Instructionaltext"/>
        <w:rPr>
          <w:color w:val="000000" w:themeColor="text1"/>
        </w:rPr>
      </w:pPr>
      <w:r>
        <w:rPr>
          <w:color w:val="000000" w:themeColor="text1"/>
        </w:rPr>
        <w:t xml:space="preserve">The commentary considered that this claim was not adequately supported. </w:t>
      </w:r>
      <w:r w:rsidR="0069222D" w:rsidRPr="00277FDE">
        <w:rPr>
          <w:color w:val="000000" w:themeColor="text1"/>
        </w:rPr>
        <w:t xml:space="preserve">The studies cited in support of the ADAR’s proposed FIB-4 </w:t>
      </w:r>
      <w:r w:rsidR="00C4471D">
        <w:rPr>
          <w:color w:val="000000" w:themeColor="text1"/>
        </w:rPr>
        <w:t xml:space="preserve">followed by VCTE </w:t>
      </w:r>
      <w:r w:rsidR="0069222D" w:rsidRPr="00277FDE">
        <w:rPr>
          <w:color w:val="000000" w:themeColor="text1"/>
        </w:rPr>
        <w:t xml:space="preserve">pathway do not provide directly applicable evidence. Tulleners 2024 did not evaluate VCTE as a second-line test after indeterminate FIB-4; Hayward 2021 lacked a comparator and outcome tracking; and Sarkar Das 2024 did not assess sequential testing or clinical utility. None </w:t>
      </w:r>
      <w:r w:rsidR="00C4471D">
        <w:rPr>
          <w:color w:val="000000" w:themeColor="text1"/>
        </w:rPr>
        <w:t xml:space="preserve">of the studies were </w:t>
      </w:r>
      <w:r w:rsidR="00277FDE">
        <w:rPr>
          <w:color w:val="000000" w:themeColor="text1"/>
        </w:rPr>
        <w:t xml:space="preserve">specific to the proposed FIB-4 </w:t>
      </w:r>
      <w:r w:rsidR="004625AC">
        <w:rPr>
          <w:color w:val="000000" w:themeColor="text1"/>
        </w:rPr>
        <w:t xml:space="preserve">subgroups of </w:t>
      </w:r>
      <w:r w:rsidR="00277FDE">
        <w:rPr>
          <w:color w:val="000000" w:themeColor="text1"/>
        </w:rPr>
        <w:t>&gt;</w:t>
      </w:r>
      <w:r w:rsidR="0069222D" w:rsidRPr="00277FDE">
        <w:rPr>
          <w:color w:val="000000" w:themeColor="text1"/>
        </w:rPr>
        <w:t>1.3</w:t>
      </w:r>
      <w:r w:rsidR="00277FDE">
        <w:rPr>
          <w:color w:val="000000" w:themeColor="text1"/>
        </w:rPr>
        <w:t xml:space="preserve"> and &lt;</w:t>
      </w:r>
      <w:r w:rsidR="0069222D" w:rsidRPr="00277FDE">
        <w:rPr>
          <w:color w:val="000000" w:themeColor="text1"/>
        </w:rPr>
        <w:t xml:space="preserve">2.7 </w:t>
      </w:r>
      <w:r w:rsidR="00277FDE">
        <w:rPr>
          <w:color w:val="000000" w:themeColor="text1"/>
        </w:rPr>
        <w:t xml:space="preserve">or </w:t>
      </w:r>
      <w:r w:rsidR="0069222D" w:rsidRPr="00277FDE">
        <w:rPr>
          <w:color w:val="000000" w:themeColor="text1"/>
        </w:rPr>
        <w:t>FIB-</w:t>
      </w:r>
      <w:r w:rsidR="0069222D" w:rsidRPr="00FD3B16">
        <w:rPr>
          <w:color w:val="auto"/>
        </w:rPr>
        <w:t xml:space="preserve">4 </w:t>
      </w:r>
      <w:r w:rsidR="00277FDE" w:rsidRPr="00E67BB2">
        <w:rPr>
          <w:color w:val="000000" w:themeColor="text1"/>
        </w:rPr>
        <w:t>&gt;</w:t>
      </w:r>
      <w:r w:rsidR="008315D8">
        <w:rPr>
          <w:color w:val="000000" w:themeColor="text1"/>
        </w:rPr>
        <w:t>2.7</w:t>
      </w:r>
      <w:r w:rsidR="00172F6F">
        <w:rPr>
          <w:color w:val="000000" w:themeColor="text1"/>
        </w:rPr>
        <w:t>,</w:t>
      </w:r>
      <w:r w:rsidR="00277FDE" w:rsidRPr="00E67BB2">
        <w:rPr>
          <w:color w:val="000000" w:themeColor="text1"/>
        </w:rPr>
        <w:t xml:space="preserve"> </w:t>
      </w:r>
      <w:r w:rsidR="00172F6F">
        <w:rPr>
          <w:color w:val="000000" w:themeColor="text1"/>
        </w:rPr>
        <w:t>and none</w:t>
      </w:r>
      <w:r w:rsidR="0069222D" w:rsidRPr="00277FDE">
        <w:rPr>
          <w:color w:val="000000" w:themeColor="text1"/>
        </w:rPr>
        <w:t xml:space="preserve"> demonstrate</w:t>
      </w:r>
      <w:r w:rsidR="00172F6F">
        <w:rPr>
          <w:color w:val="000000" w:themeColor="text1"/>
        </w:rPr>
        <w:t>d</w:t>
      </w:r>
      <w:r w:rsidR="0069222D" w:rsidRPr="00277FDE">
        <w:rPr>
          <w:color w:val="000000" w:themeColor="text1"/>
        </w:rPr>
        <w:t xml:space="preserve"> VCTE-driven changes in management or outcomes. </w:t>
      </w:r>
    </w:p>
    <w:p w14:paraId="0D09C9E4" w14:textId="5D9A3D85" w:rsidR="00772829" w:rsidRPr="00CE28E3" w:rsidRDefault="00B27795" w:rsidP="00B9734A">
      <w:pPr>
        <w:pStyle w:val="Heading2"/>
        <w:numPr>
          <w:ilvl w:val="0"/>
          <w:numId w:val="0"/>
        </w:numPr>
      </w:pPr>
      <w:bookmarkStart w:id="39" w:name="_Toc69491425"/>
      <w:r>
        <w:t>1</w:t>
      </w:r>
      <w:r w:rsidR="0018750D">
        <w:t>3</w:t>
      </w:r>
      <w:r w:rsidR="00C36633">
        <w:t>.</w:t>
      </w:r>
      <w:r w:rsidR="00C36633">
        <w:tab/>
      </w:r>
      <w:r w:rsidR="00772829" w:rsidRPr="00CE28E3">
        <w:t>Economic evaluation</w:t>
      </w:r>
      <w:bookmarkEnd w:id="39"/>
    </w:p>
    <w:p w14:paraId="0020ED2C" w14:textId="4691D2B8" w:rsidR="009C34BA" w:rsidRDefault="00EF4698" w:rsidP="00477482">
      <w:pPr>
        <w:pStyle w:val="Instructionaltext"/>
        <w:rPr>
          <w:color w:val="auto"/>
        </w:rPr>
      </w:pPr>
      <w:bookmarkStart w:id="40" w:name="_Ref69725820"/>
      <w:bookmarkStart w:id="41" w:name="_Toc69491426"/>
      <w:r>
        <w:rPr>
          <w:color w:val="auto"/>
        </w:rPr>
        <w:t xml:space="preserve">The </w:t>
      </w:r>
      <w:r w:rsidR="000C298F">
        <w:rPr>
          <w:color w:val="auto"/>
        </w:rPr>
        <w:t xml:space="preserve">key features of the economic model in the 1797 ADAR </w:t>
      </w:r>
      <w:r w:rsidR="00A34034">
        <w:rPr>
          <w:color w:val="auto"/>
        </w:rPr>
        <w:t xml:space="preserve">are </w:t>
      </w:r>
      <w:r w:rsidR="000C298F">
        <w:rPr>
          <w:color w:val="auto"/>
        </w:rPr>
        <w:t xml:space="preserve">presented in the table below. </w:t>
      </w:r>
    </w:p>
    <w:p w14:paraId="09CEB672" w14:textId="438E35A7" w:rsidR="000C298F" w:rsidRPr="00CE28E3" w:rsidRDefault="000C298F" w:rsidP="000C298F">
      <w:pPr>
        <w:pStyle w:val="Caption"/>
        <w:tabs>
          <w:tab w:val="left" w:pos="1134"/>
        </w:tabs>
        <w:spacing w:before="0" w:after="0"/>
        <w:ind w:left="1134" w:hanging="1134"/>
      </w:pPr>
      <w:r w:rsidRPr="00CE28E3">
        <w:t>Table</w:t>
      </w:r>
      <w:r>
        <w:t> </w:t>
      </w:r>
      <w:r w:rsidRPr="00CE28E3">
        <w:rPr>
          <w:noProof/>
        </w:rPr>
        <w:fldChar w:fldCharType="begin"/>
      </w:r>
      <w:r w:rsidRPr="00CE28E3">
        <w:rPr>
          <w:noProof/>
        </w:rPr>
        <w:instrText xml:space="preserve"> SEQ Table \* ARABIC </w:instrText>
      </w:r>
      <w:r w:rsidRPr="00CE28E3">
        <w:rPr>
          <w:noProof/>
        </w:rPr>
        <w:fldChar w:fldCharType="separate"/>
      </w:r>
      <w:r w:rsidR="003D48F8">
        <w:rPr>
          <w:noProof/>
        </w:rPr>
        <w:t>8</w:t>
      </w:r>
      <w:r w:rsidRPr="00CE28E3">
        <w:rPr>
          <w:noProof/>
        </w:rPr>
        <w:fldChar w:fldCharType="end"/>
      </w:r>
      <w:r w:rsidRPr="00CE28E3">
        <w:tab/>
        <w:t xml:space="preserve">Summary of the economic evaluation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2003"/>
        <w:gridCol w:w="6923"/>
      </w:tblGrid>
      <w:tr w:rsidR="00AB18F7" w:rsidRPr="00CE28E3" w14:paraId="2D144BAE" w14:textId="77777777" w:rsidTr="000C298F">
        <w:trPr>
          <w:tblHeader/>
        </w:trPr>
        <w:tc>
          <w:tcPr>
            <w:tcW w:w="2003" w:type="dxa"/>
            <w:vAlign w:val="center"/>
          </w:tcPr>
          <w:p w14:paraId="5A39D954" w14:textId="77777777" w:rsidR="000C298F" w:rsidRPr="000449D1" w:rsidRDefault="000C298F" w:rsidP="000C298F">
            <w:pPr>
              <w:pStyle w:val="TableHeading"/>
              <w:spacing w:before="0" w:after="0"/>
              <w:rPr>
                <w:szCs w:val="20"/>
              </w:rPr>
            </w:pPr>
            <w:bookmarkStart w:id="42" w:name="Title_Table5"/>
            <w:bookmarkStart w:id="43" w:name="_Hlk68276446"/>
            <w:bookmarkEnd w:id="42"/>
            <w:r w:rsidRPr="000449D1">
              <w:rPr>
                <w:szCs w:val="20"/>
              </w:rPr>
              <w:t>Component</w:t>
            </w:r>
          </w:p>
        </w:tc>
        <w:tc>
          <w:tcPr>
            <w:tcW w:w="6923" w:type="dxa"/>
          </w:tcPr>
          <w:p w14:paraId="785341E8" w14:textId="77777777" w:rsidR="000C298F" w:rsidRPr="000449D1" w:rsidRDefault="000C298F" w:rsidP="000C298F">
            <w:pPr>
              <w:pStyle w:val="TableHeading"/>
              <w:spacing w:before="0" w:after="0"/>
              <w:rPr>
                <w:szCs w:val="20"/>
              </w:rPr>
            </w:pPr>
            <w:r w:rsidRPr="000449D1">
              <w:rPr>
                <w:szCs w:val="20"/>
              </w:rPr>
              <w:t>Description</w:t>
            </w:r>
          </w:p>
        </w:tc>
      </w:tr>
      <w:tr w:rsidR="00AB18F7" w:rsidRPr="000449D1" w14:paraId="0D30D82C" w14:textId="77777777" w:rsidTr="000C298F">
        <w:tc>
          <w:tcPr>
            <w:tcW w:w="2003" w:type="dxa"/>
            <w:vAlign w:val="center"/>
          </w:tcPr>
          <w:p w14:paraId="7EA82959" w14:textId="77777777" w:rsidR="000C298F" w:rsidRPr="000449D1" w:rsidRDefault="000C298F" w:rsidP="000C298F">
            <w:pPr>
              <w:pStyle w:val="TableText"/>
              <w:keepNext/>
              <w:spacing w:before="0" w:after="0"/>
              <w:rPr>
                <w:szCs w:val="20"/>
              </w:rPr>
            </w:pPr>
            <w:r w:rsidRPr="000449D1">
              <w:rPr>
                <w:szCs w:val="20"/>
              </w:rPr>
              <w:t>Perspective</w:t>
            </w:r>
          </w:p>
        </w:tc>
        <w:tc>
          <w:tcPr>
            <w:tcW w:w="6923" w:type="dxa"/>
          </w:tcPr>
          <w:p w14:paraId="1447450E" w14:textId="174766C7" w:rsidR="000C298F" w:rsidRPr="000449D1" w:rsidRDefault="000C298F" w:rsidP="000C298F">
            <w:pPr>
              <w:pStyle w:val="TableText"/>
              <w:keepNext/>
              <w:spacing w:before="0" w:after="0"/>
              <w:rPr>
                <w:szCs w:val="20"/>
              </w:rPr>
            </w:pPr>
            <w:r>
              <w:rPr>
                <w:szCs w:val="20"/>
              </w:rPr>
              <w:t xml:space="preserve">Australian </w:t>
            </w:r>
            <w:r w:rsidRPr="000449D1">
              <w:rPr>
                <w:szCs w:val="20"/>
              </w:rPr>
              <w:t xml:space="preserve">Health </w:t>
            </w:r>
            <w:r w:rsidR="0059708B">
              <w:rPr>
                <w:szCs w:val="20"/>
              </w:rPr>
              <w:t>C</w:t>
            </w:r>
            <w:r w:rsidRPr="000449D1">
              <w:rPr>
                <w:szCs w:val="20"/>
              </w:rPr>
              <w:t xml:space="preserve">are </w:t>
            </w:r>
            <w:r w:rsidR="0059708B">
              <w:rPr>
                <w:szCs w:val="20"/>
              </w:rPr>
              <w:t>S</w:t>
            </w:r>
            <w:r w:rsidRPr="000449D1">
              <w:rPr>
                <w:szCs w:val="20"/>
              </w:rPr>
              <w:t xml:space="preserve">ystem </w:t>
            </w:r>
            <w:r w:rsidR="0059708B">
              <w:rPr>
                <w:szCs w:val="20"/>
              </w:rPr>
              <w:t>P</w:t>
            </w:r>
            <w:r w:rsidRPr="000449D1">
              <w:rPr>
                <w:szCs w:val="20"/>
              </w:rPr>
              <w:t>erspective</w:t>
            </w:r>
          </w:p>
        </w:tc>
      </w:tr>
      <w:tr w:rsidR="00AB18F7" w:rsidRPr="000449D1" w14:paraId="357380D0" w14:textId="77777777" w:rsidTr="000C298F">
        <w:trPr>
          <w:tblHeader/>
        </w:trPr>
        <w:tc>
          <w:tcPr>
            <w:tcW w:w="2003" w:type="dxa"/>
            <w:vAlign w:val="center"/>
          </w:tcPr>
          <w:p w14:paraId="25E1B84C" w14:textId="77777777" w:rsidR="000C298F" w:rsidRPr="000449D1" w:rsidRDefault="000C298F" w:rsidP="000C298F">
            <w:pPr>
              <w:pStyle w:val="TableText"/>
              <w:keepNext/>
              <w:spacing w:before="0" w:after="0"/>
              <w:rPr>
                <w:szCs w:val="20"/>
              </w:rPr>
            </w:pPr>
            <w:r w:rsidRPr="000449D1">
              <w:rPr>
                <w:szCs w:val="20"/>
              </w:rPr>
              <w:t>Population</w:t>
            </w:r>
          </w:p>
        </w:tc>
        <w:tc>
          <w:tcPr>
            <w:tcW w:w="6923" w:type="dxa"/>
          </w:tcPr>
          <w:p w14:paraId="5F680ACF" w14:textId="77777777" w:rsidR="000C298F" w:rsidRPr="000449D1" w:rsidRDefault="000C298F" w:rsidP="000C298F">
            <w:pPr>
              <w:pStyle w:val="TableText"/>
              <w:keepNext/>
              <w:spacing w:before="0" w:after="0"/>
              <w:rPr>
                <w:szCs w:val="20"/>
              </w:rPr>
            </w:pPr>
            <w:r w:rsidRPr="00D827F0">
              <w:rPr>
                <w:color w:val="000000" w:themeColor="text1"/>
              </w:rPr>
              <w:t xml:space="preserve">Patients with diagnosed </w:t>
            </w:r>
            <w:r w:rsidRPr="003870BB">
              <w:rPr>
                <w:color w:val="000000" w:themeColor="text1"/>
              </w:rPr>
              <w:t>MAFLD</w:t>
            </w:r>
            <w:r w:rsidRPr="00D827F0">
              <w:rPr>
                <w:color w:val="000000" w:themeColor="text1"/>
              </w:rPr>
              <w:t xml:space="preserve"> in both primary (general practice and community settings) and secondary care (hepatology practices)</w:t>
            </w:r>
          </w:p>
        </w:tc>
      </w:tr>
      <w:tr w:rsidR="00AB18F7" w:rsidRPr="000449D1" w14:paraId="6797A02F" w14:textId="77777777" w:rsidTr="00FD3B16">
        <w:trPr>
          <w:trHeight w:val="300"/>
        </w:trPr>
        <w:tc>
          <w:tcPr>
            <w:tcW w:w="2003" w:type="dxa"/>
            <w:vAlign w:val="center"/>
          </w:tcPr>
          <w:p w14:paraId="2B218EB2" w14:textId="77777777" w:rsidR="000C298F" w:rsidRPr="000449D1" w:rsidRDefault="000C298F" w:rsidP="000C298F">
            <w:pPr>
              <w:pStyle w:val="TableText"/>
              <w:keepNext/>
              <w:spacing w:before="0" w:after="0"/>
              <w:rPr>
                <w:szCs w:val="20"/>
              </w:rPr>
            </w:pPr>
            <w:r w:rsidRPr="000449D1">
              <w:rPr>
                <w:szCs w:val="20"/>
              </w:rPr>
              <w:t>Prior testing</w:t>
            </w:r>
          </w:p>
        </w:tc>
        <w:tc>
          <w:tcPr>
            <w:tcW w:w="6923" w:type="dxa"/>
          </w:tcPr>
          <w:p w14:paraId="416C020E" w14:textId="0F9656CA" w:rsidR="000C298F" w:rsidRPr="000449D1" w:rsidRDefault="000C298F" w:rsidP="000C298F">
            <w:pPr>
              <w:pStyle w:val="TableText"/>
              <w:keepNext/>
              <w:spacing w:before="0" w:after="0"/>
              <w:rPr>
                <w:color w:val="000000" w:themeColor="text1"/>
              </w:rPr>
            </w:pPr>
            <w:r w:rsidRPr="00D827F0">
              <w:rPr>
                <w:color w:val="000000" w:themeColor="text1"/>
              </w:rPr>
              <w:t xml:space="preserve">FIB-4 test </w:t>
            </w:r>
          </w:p>
        </w:tc>
      </w:tr>
      <w:tr w:rsidR="00AB18F7" w:rsidRPr="000449D1" w14:paraId="1F0CD276" w14:textId="77777777" w:rsidTr="000C298F">
        <w:tc>
          <w:tcPr>
            <w:tcW w:w="2003" w:type="dxa"/>
            <w:vAlign w:val="center"/>
          </w:tcPr>
          <w:p w14:paraId="3EE927C1" w14:textId="77777777" w:rsidR="000C298F" w:rsidRPr="000449D1" w:rsidRDefault="000C298F" w:rsidP="000C298F">
            <w:pPr>
              <w:pStyle w:val="TableText"/>
              <w:keepNext/>
              <w:spacing w:before="0" w:after="0"/>
              <w:rPr>
                <w:szCs w:val="20"/>
              </w:rPr>
            </w:pPr>
            <w:r w:rsidRPr="000449D1">
              <w:rPr>
                <w:szCs w:val="20"/>
              </w:rPr>
              <w:t>Comparator</w:t>
            </w:r>
          </w:p>
        </w:tc>
        <w:tc>
          <w:tcPr>
            <w:tcW w:w="6923" w:type="dxa"/>
          </w:tcPr>
          <w:p w14:paraId="21EF92C9" w14:textId="79CC179E" w:rsidR="00B51145" w:rsidRDefault="00E67BB2" w:rsidP="00E67BB2">
            <w:pPr>
              <w:pStyle w:val="Tabletext0"/>
              <w:spacing w:before="0" w:after="0"/>
              <w:rPr>
                <w:color w:val="000000" w:themeColor="text1"/>
              </w:rPr>
            </w:pPr>
            <w:r w:rsidRPr="00691306">
              <w:rPr>
                <w:color w:val="000000" w:themeColor="text1"/>
              </w:rPr>
              <w:t>SOC</w:t>
            </w:r>
            <w:r w:rsidR="00B51145">
              <w:rPr>
                <w:color w:val="000000" w:themeColor="text1"/>
              </w:rPr>
              <w:t>, including:</w:t>
            </w:r>
          </w:p>
          <w:p w14:paraId="0FC4EE76" w14:textId="21B28B71" w:rsidR="00E67BB2" w:rsidRDefault="00B51145" w:rsidP="00E67BB2">
            <w:pPr>
              <w:pStyle w:val="Tabletext0"/>
              <w:spacing w:before="0" w:after="0"/>
              <w:rPr>
                <w:color w:val="000000" w:themeColor="text1"/>
              </w:rPr>
            </w:pPr>
            <w:r>
              <w:rPr>
                <w:color w:val="000000" w:themeColor="text1"/>
              </w:rPr>
              <w:t>Primary care</w:t>
            </w:r>
            <w:r w:rsidR="00E67BB2">
              <w:rPr>
                <w:color w:val="000000" w:themeColor="text1"/>
              </w:rPr>
              <w:t>:</w:t>
            </w:r>
            <w:r w:rsidR="00E67BB2" w:rsidRPr="00D4515A">
              <w:t xml:space="preserve"> ultrasound</w:t>
            </w:r>
            <w:r w:rsidR="00BC6485">
              <w:t xml:space="preserve"> </w:t>
            </w:r>
            <w:r w:rsidR="00BC6485">
              <w:rPr>
                <w:color w:val="000000" w:themeColor="text1"/>
              </w:rPr>
              <w:t>(</w:t>
            </w:r>
            <w:r w:rsidR="00BC6485" w:rsidRPr="00D827F0">
              <w:rPr>
                <w:color w:val="000000" w:themeColor="text1"/>
              </w:rPr>
              <w:t>MBS item 55036</w:t>
            </w:r>
            <w:r w:rsidR="00BC6485" w:rsidRPr="099293F9">
              <w:rPr>
                <w:color w:val="000000" w:themeColor="text1"/>
              </w:rPr>
              <w:t>)</w:t>
            </w:r>
          </w:p>
          <w:p w14:paraId="4DE681C2" w14:textId="10C1D9AD" w:rsidR="000C298F" w:rsidRPr="000449D1" w:rsidRDefault="000C298F" w:rsidP="000C298F">
            <w:pPr>
              <w:pStyle w:val="TableText"/>
              <w:keepNext/>
              <w:spacing w:before="0" w:after="0"/>
            </w:pPr>
            <w:r w:rsidRPr="00D4515A">
              <w:t>Secondary care:</w:t>
            </w:r>
            <w:r w:rsidRPr="00D4515A">
              <w:rPr>
                <w:i/>
                <w:iCs/>
              </w:rPr>
              <w:t xml:space="preserve"> </w:t>
            </w:r>
            <w:r>
              <w:rPr>
                <w:color w:val="000000" w:themeColor="text1"/>
              </w:rPr>
              <w:t>u</w:t>
            </w:r>
            <w:r w:rsidRPr="00D827F0">
              <w:rPr>
                <w:color w:val="000000" w:themeColor="text1"/>
              </w:rPr>
              <w:t xml:space="preserve">ltrasound </w:t>
            </w:r>
            <w:r>
              <w:rPr>
                <w:color w:val="000000" w:themeColor="text1"/>
              </w:rPr>
              <w:t>(</w:t>
            </w:r>
            <w:r w:rsidRPr="00D827F0">
              <w:rPr>
                <w:color w:val="000000" w:themeColor="text1"/>
              </w:rPr>
              <w:t>MBS item 55036</w:t>
            </w:r>
            <w:r w:rsidR="1582AD80" w:rsidRPr="099293F9">
              <w:rPr>
                <w:color w:val="000000" w:themeColor="text1"/>
              </w:rPr>
              <w:t xml:space="preserve">), </w:t>
            </w:r>
            <w:r w:rsidR="48411FD2" w:rsidRPr="099293F9">
              <w:rPr>
                <w:color w:val="000000" w:themeColor="text1"/>
              </w:rPr>
              <w:t>percutaneous</w:t>
            </w:r>
            <w:r>
              <w:rPr>
                <w:color w:val="000000" w:themeColor="text1"/>
              </w:rPr>
              <w:t xml:space="preserve"> liver biopsy (</w:t>
            </w:r>
            <w:r w:rsidRPr="00D827F0">
              <w:rPr>
                <w:color w:val="000000" w:themeColor="text1"/>
              </w:rPr>
              <w:t>MBS item</w:t>
            </w:r>
            <w:r>
              <w:rPr>
                <w:color w:val="000000" w:themeColor="text1"/>
              </w:rPr>
              <w:t xml:space="preserve"> </w:t>
            </w:r>
            <w:r w:rsidRPr="00431161">
              <w:t>30409</w:t>
            </w:r>
            <w:r>
              <w:rPr>
                <w:color w:val="000000" w:themeColor="text1"/>
              </w:rPr>
              <w:t>)</w:t>
            </w:r>
          </w:p>
        </w:tc>
      </w:tr>
      <w:tr w:rsidR="00AB18F7" w:rsidRPr="000449D1" w14:paraId="3AD5AAEC" w14:textId="77777777" w:rsidTr="000C298F">
        <w:tc>
          <w:tcPr>
            <w:tcW w:w="2003" w:type="dxa"/>
            <w:vAlign w:val="center"/>
          </w:tcPr>
          <w:p w14:paraId="49F2AA52" w14:textId="77777777" w:rsidR="000C298F" w:rsidRPr="000449D1" w:rsidRDefault="000C298F" w:rsidP="000C298F">
            <w:pPr>
              <w:pStyle w:val="TableText"/>
              <w:keepNext/>
              <w:spacing w:before="0" w:after="0"/>
              <w:rPr>
                <w:szCs w:val="20"/>
              </w:rPr>
            </w:pPr>
            <w:r w:rsidRPr="000449D1">
              <w:rPr>
                <w:szCs w:val="20"/>
              </w:rPr>
              <w:t>Type(s) of analysis</w:t>
            </w:r>
          </w:p>
        </w:tc>
        <w:tc>
          <w:tcPr>
            <w:tcW w:w="6923" w:type="dxa"/>
          </w:tcPr>
          <w:p w14:paraId="7D7CE121" w14:textId="293E9A37" w:rsidR="000C298F" w:rsidRPr="000449D1" w:rsidRDefault="000C298F" w:rsidP="000C298F">
            <w:pPr>
              <w:pStyle w:val="TableText"/>
              <w:keepNext/>
              <w:spacing w:before="0" w:after="0"/>
              <w:rPr>
                <w:szCs w:val="20"/>
              </w:rPr>
            </w:pPr>
            <w:r>
              <w:rPr>
                <w:szCs w:val="20"/>
              </w:rPr>
              <w:t>Cost-</w:t>
            </w:r>
            <w:r w:rsidR="00AC1047">
              <w:rPr>
                <w:szCs w:val="20"/>
              </w:rPr>
              <w:t xml:space="preserve">Consequence </w:t>
            </w:r>
            <w:r>
              <w:rPr>
                <w:szCs w:val="20"/>
              </w:rPr>
              <w:t>analysis</w:t>
            </w:r>
          </w:p>
        </w:tc>
      </w:tr>
      <w:tr w:rsidR="00AB18F7" w:rsidRPr="000449D1" w14:paraId="34A1EA71" w14:textId="77777777" w:rsidTr="000C298F">
        <w:tc>
          <w:tcPr>
            <w:tcW w:w="2003" w:type="dxa"/>
            <w:vAlign w:val="center"/>
          </w:tcPr>
          <w:p w14:paraId="320AE3FF" w14:textId="77777777" w:rsidR="000C298F" w:rsidRPr="000449D1" w:rsidRDefault="000C298F" w:rsidP="000C298F">
            <w:pPr>
              <w:pStyle w:val="TableText"/>
              <w:keepNext/>
              <w:spacing w:before="0" w:after="0"/>
              <w:rPr>
                <w:szCs w:val="20"/>
              </w:rPr>
            </w:pPr>
            <w:r w:rsidRPr="000449D1">
              <w:rPr>
                <w:szCs w:val="20"/>
              </w:rPr>
              <w:t>Outcomes</w:t>
            </w:r>
          </w:p>
        </w:tc>
        <w:tc>
          <w:tcPr>
            <w:tcW w:w="6923" w:type="dxa"/>
          </w:tcPr>
          <w:p w14:paraId="66D97351" w14:textId="77777777" w:rsidR="000C298F" w:rsidRPr="00F07639" w:rsidRDefault="000C298F" w:rsidP="000C298F">
            <w:pPr>
              <w:pStyle w:val="Tabletext0"/>
              <w:spacing w:before="0" w:after="0"/>
              <w:rPr>
                <w:color w:val="000000" w:themeColor="text1"/>
              </w:rPr>
            </w:pPr>
            <w:r w:rsidRPr="00F07639">
              <w:rPr>
                <w:color w:val="000000" w:themeColor="text1"/>
              </w:rPr>
              <w:t>Cost per correctly diagnosed patient</w:t>
            </w:r>
          </w:p>
          <w:p w14:paraId="3F29E7C8" w14:textId="1B244EA0" w:rsidR="000C298F" w:rsidRPr="00F07639" w:rsidRDefault="000C298F" w:rsidP="000C298F">
            <w:pPr>
              <w:pStyle w:val="Tabletext0"/>
              <w:spacing w:before="0" w:after="0"/>
              <w:rPr>
                <w:color w:val="000000" w:themeColor="text1"/>
              </w:rPr>
            </w:pPr>
            <w:r>
              <w:rPr>
                <w:color w:val="000000" w:themeColor="text1"/>
              </w:rPr>
              <w:t>Number of c</w:t>
            </w:r>
            <w:r w:rsidRPr="00F07639">
              <w:rPr>
                <w:color w:val="000000" w:themeColor="text1"/>
              </w:rPr>
              <w:t>orrect final diagnos</w:t>
            </w:r>
            <w:r w:rsidR="00301804">
              <w:rPr>
                <w:color w:val="000000" w:themeColor="text1"/>
              </w:rPr>
              <w:t>e</w:t>
            </w:r>
            <w:r w:rsidRPr="00F07639">
              <w:rPr>
                <w:color w:val="000000" w:themeColor="text1"/>
              </w:rPr>
              <w:t>s</w:t>
            </w:r>
          </w:p>
          <w:p w14:paraId="45ADB913" w14:textId="77777777" w:rsidR="000C298F" w:rsidRPr="00EE53D5" w:rsidRDefault="000C298F" w:rsidP="000C298F">
            <w:pPr>
              <w:pStyle w:val="Tabletext0"/>
              <w:spacing w:before="0" w:after="0"/>
              <w:rPr>
                <w:color w:val="000000" w:themeColor="text1"/>
              </w:rPr>
            </w:pPr>
            <w:r w:rsidRPr="00F07639">
              <w:rPr>
                <w:color w:val="000000" w:themeColor="text1"/>
              </w:rPr>
              <w:t xml:space="preserve">Number of </w:t>
            </w:r>
            <w:r>
              <w:rPr>
                <w:color w:val="000000" w:themeColor="text1"/>
              </w:rPr>
              <w:t>high-risk</w:t>
            </w:r>
            <w:r w:rsidRPr="00F07639">
              <w:rPr>
                <w:color w:val="000000" w:themeColor="text1"/>
              </w:rPr>
              <w:t xml:space="preserve"> patients incorrectly diagnosed as low risk</w:t>
            </w:r>
          </w:p>
        </w:tc>
      </w:tr>
      <w:tr w:rsidR="00AB18F7" w:rsidRPr="000449D1" w14:paraId="3AB8799C" w14:textId="77777777" w:rsidTr="000C298F">
        <w:tc>
          <w:tcPr>
            <w:tcW w:w="2003" w:type="dxa"/>
            <w:vAlign w:val="center"/>
          </w:tcPr>
          <w:p w14:paraId="42ABB10A" w14:textId="77777777" w:rsidR="000C298F" w:rsidRPr="000449D1" w:rsidRDefault="000C298F" w:rsidP="000C298F">
            <w:pPr>
              <w:pStyle w:val="TableText"/>
              <w:keepNext/>
              <w:spacing w:before="0" w:after="0"/>
              <w:rPr>
                <w:szCs w:val="20"/>
              </w:rPr>
            </w:pPr>
            <w:r w:rsidRPr="000449D1">
              <w:rPr>
                <w:szCs w:val="20"/>
              </w:rPr>
              <w:t>Time horizon</w:t>
            </w:r>
          </w:p>
        </w:tc>
        <w:tc>
          <w:tcPr>
            <w:tcW w:w="6923" w:type="dxa"/>
          </w:tcPr>
          <w:p w14:paraId="4FB3AB1E" w14:textId="77777777" w:rsidR="000C298F" w:rsidRPr="000449D1" w:rsidRDefault="000C298F" w:rsidP="000C298F">
            <w:pPr>
              <w:pStyle w:val="TableText"/>
              <w:keepNext/>
              <w:spacing w:before="0" w:after="0"/>
              <w:rPr>
                <w:szCs w:val="20"/>
              </w:rPr>
            </w:pPr>
            <w:r>
              <w:t>T</w:t>
            </w:r>
            <w:r w:rsidRPr="00CE28E3">
              <w:t>ime to reach a diagnosis</w:t>
            </w:r>
            <w:r>
              <w:rPr>
                <w:szCs w:val="20"/>
              </w:rPr>
              <w:t xml:space="preserve"> and assign a risk category of liver disease</w:t>
            </w:r>
          </w:p>
        </w:tc>
      </w:tr>
      <w:tr w:rsidR="00AB18F7" w:rsidRPr="000449D1" w14:paraId="788E0F5C" w14:textId="77777777" w:rsidTr="000C298F">
        <w:tc>
          <w:tcPr>
            <w:tcW w:w="2003" w:type="dxa"/>
            <w:vAlign w:val="center"/>
          </w:tcPr>
          <w:p w14:paraId="521E3C19" w14:textId="77777777" w:rsidR="000C298F" w:rsidRPr="000449D1" w:rsidRDefault="000C298F" w:rsidP="000C298F">
            <w:pPr>
              <w:pStyle w:val="TableText"/>
              <w:keepNext/>
              <w:spacing w:before="0" w:after="0"/>
              <w:rPr>
                <w:szCs w:val="20"/>
              </w:rPr>
            </w:pPr>
            <w:r w:rsidRPr="000449D1">
              <w:rPr>
                <w:szCs w:val="20"/>
              </w:rPr>
              <w:t>Computational method</w:t>
            </w:r>
          </w:p>
        </w:tc>
        <w:tc>
          <w:tcPr>
            <w:tcW w:w="6923" w:type="dxa"/>
          </w:tcPr>
          <w:p w14:paraId="6CF47088" w14:textId="77777777" w:rsidR="000C298F" w:rsidRPr="000449D1" w:rsidRDefault="000C298F" w:rsidP="000C298F">
            <w:pPr>
              <w:pStyle w:val="TableText"/>
              <w:keepNext/>
              <w:spacing w:before="0" w:after="0"/>
              <w:rPr>
                <w:szCs w:val="20"/>
              </w:rPr>
            </w:pPr>
            <w:r>
              <w:rPr>
                <w:szCs w:val="20"/>
              </w:rPr>
              <w:t>Decision analytic model in EXCEL</w:t>
            </w:r>
          </w:p>
        </w:tc>
      </w:tr>
      <w:tr w:rsidR="00AB18F7" w:rsidRPr="000449D1" w14:paraId="0DA15767" w14:textId="77777777" w:rsidTr="000C298F">
        <w:tc>
          <w:tcPr>
            <w:tcW w:w="2003" w:type="dxa"/>
            <w:vAlign w:val="center"/>
          </w:tcPr>
          <w:p w14:paraId="7CF0234C" w14:textId="77777777" w:rsidR="000C298F" w:rsidRPr="000449D1" w:rsidRDefault="000C298F" w:rsidP="000C298F">
            <w:pPr>
              <w:pStyle w:val="TableText"/>
              <w:keepNext/>
              <w:spacing w:before="0" w:after="0"/>
              <w:rPr>
                <w:szCs w:val="20"/>
              </w:rPr>
            </w:pPr>
            <w:r w:rsidRPr="000449D1">
              <w:rPr>
                <w:szCs w:val="20"/>
              </w:rPr>
              <w:t>Generation of the base case</w:t>
            </w:r>
          </w:p>
        </w:tc>
        <w:tc>
          <w:tcPr>
            <w:tcW w:w="6923" w:type="dxa"/>
          </w:tcPr>
          <w:p w14:paraId="23870396" w14:textId="77777777" w:rsidR="000C298F" w:rsidRPr="000449D1" w:rsidRDefault="000C298F" w:rsidP="000C298F">
            <w:pPr>
              <w:pStyle w:val="TableText"/>
              <w:keepNext/>
              <w:spacing w:before="0" w:after="0"/>
              <w:rPr>
                <w:szCs w:val="20"/>
              </w:rPr>
            </w:pPr>
            <w:r>
              <w:rPr>
                <w:szCs w:val="20"/>
              </w:rPr>
              <w:t>Modelled cost-consequences analysis presented separately for primary and secondary care settings</w:t>
            </w:r>
          </w:p>
        </w:tc>
      </w:tr>
      <w:tr w:rsidR="00AB18F7" w:rsidRPr="000449D1" w14:paraId="3BF26653" w14:textId="77777777" w:rsidTr="000C298F">
        <w:tc>
          <w:tcPr>
            <w:tcW w:w="2003" w:type="dxa"/>
            <w:vAlign w:val="center"/>
          </w:tcPr>
          <w:p w14:paraId="01A2CFF5" w14:textId="77777777" w:rsidR="000C298F" w:rsidRPr="000449D1" w:rsidRDefault="000C298F" w:rsidP="000C298F">
            <w:pPr>
              <w:pStyle w:val="TableText"/>
              <w:keepNext/>
              <w:spacing w:before="0" w:after="0"/>
              <w:rPr>
                <w:szCs w:val="20"/>
              </w:rPr>
            </w:pPr>
            <w:r w:rsidRPr="000449D1">
              <w:rPr>
                <w:szCs w:val="20"/>
              </w:rPr>
              <w:t>Health states</w:t>
            </w:r>
          </w:p>
        </w:tc>
        <w:tc>
          <w:tcPr>
            <w:tcW w:w="6923" w:type="dxa"/>
          </w:tcPr>
          <w:p w14:paraId="5E108CB2" w14:textId="77777777" w:rsidR="000C298F" w:rsidRPr="000449D1" w:rsidRDefault="000C298F" w:rsidP="000C298F">
            <w:pPr>
              <w:pStyle w:val="TableText"/>
              <w:keepNext/>
              <w:spacing w:before="0" w:after="0"/>
              <w:rPr>
                <w:szCs w:val="20"/>
              </w:rPr>
            </w:pPr>
            <w:r>
              <w:rPr>
                <w:szCs w:val="20"/>
              </w:rPr>
              <w:t>Not applicable</w:t>
            </w:r>
          </w:p>
        </w:tc>
      </w:tr>
      <w:tr w:rsidR="00AB18F7" w:rsidRPr="000449D1" w14:paraId="2B7A33BC" w14:textId="77777777" w:rsidTr="000C298F">
        <w:tc>
          <w:tcPr>
            <w:tcW w:w="2003" w:type="dxa"/>
            <w:vAlign w:val="center"/>
          </w:tcPr>
          <w:p w14:paraId="5D4C6567" w14:textId="77777777" w:rsidR="000C298F" w:rsidRPr="000449D1" w:rsidRDefault="000C298F" w:rsidP="000C298F">
            <w:pPr>
              <w:pStyle w:val="TableText"/>
              <w:keepNext/>
              <w:spacing w:before="0" w:after="0"/>
              <w:rPr>
                <w:szCs w:val="20"/>
              </w:rPr>
            </w:pPr>
            <w:r w:rsidRPr="000449D1">
              <w:rPr>
                <w:szCs w:val="20"/>
              </w:rPr>
              <w:t>Cycle length</w:t>
            </w:r>
          </w:p>
        </w:tc>
        <w:tc>
          <w:tcPr>
            <w:tcW w:w="6923" w:type="dxa"/>
          </w:tcPr>
          <w:p w14:paraId="56DB05CB" w14:textId="77777777" w:rsidR="000C298F" w:rsidRPr="000449D1" w:rsidRDefault="000C298F" w:rsidP="000C298F">
            <w:pPr>
              <w:pStyle w:val="TableText"/>
              <w:keepNext/>
              <w:spacing w:before="0" w:after="0"/>
              <w:rPr>
                <w:szCs w:val="20"/>
              </w:rPr>
            </w:pPr>
            <w:r>
              <w:rPr>
                <w:szCs w:val="20"/>
              </w:rPr>
              <w:t>Not applicable</w:t>
            </w:r>
          </w:p>
        </w:tc>
      </w:tr>
      <w:tr w:rsidR="00AB18F7" w:rsidRPr="000449D1" w14:paraId="39CCBB68" w14:textId="77777777" w:rsidTr="000C298F">
        <w:tc>
          <w:tcPr>
            <w:tcW w:w="2003" w:type="dxa"/>
            <w:vAlign w:val="center"/>
          </w:tcPr>
          <w:p w14:paraId="0A1F77DC" w14:textId="77777777" w:rsidR="000C298F" w:rsidRPr="000449D1" w:rsidRDefault="000C298F" w:rsidP="000C298F">
            <w:pPr>
              <w:pStyle w:val="TableText"/>
              <w:keepNext/>
              <w:spacing w:before="0" w:after="0"/>
              <w:rPr>
                <w:szCs w:val="20"/>
              </w:rPr>
            </w:pPr>
            <w:r w:rsidRPr="000449D1">
              <w:rPr>
                <w:szCs w:val="20"/>
              </w:rPr>
              <w:t>Transition probabilities</w:t>
            </w:r>
          </w:p>
        </w:tc>
        <w:tc>
          <w:tcPr>
            <w:tcW w:w="6923" w:type="dxa"/>
          </w:tcPr>
          <w:p w14:paraId="7445EE1D" w14:textId="497DE778" w:rsidR="000C298F" w:rsidRPr="000449D1" w:rsidRDefault="000C298F" w:rsidP="000C298F">
            <w:pPr>
              <w:pStyle w:val="TableText"/>
              <w:keepNext/>
              <w:spacing w:before="0" w:after="0"/>
              <w:rPr>
                <w:szCs w:val="20"/>
              </w:rPr>
            </w:pPr>
            <w:r>
              <w:rPr>
                <w:szCs w:val="20"/>
              </w:rPr>
              <w:t>Derived from diagnostic outcomes (TP, TN, FP, FN) of the proposed diagnostic strategy FIB-4 index, followed by VCTE vs a comparator – ultrasound in primary care and secondary care</w:t>
            </w:r>
          </w:p>
        </w:tc>
      </w:tr>
      <w:tr w:rsidR="00AB18F7" w:rsidRPr="000449D1" w14:paraId="55D582DE" w14:textId="77777777" w:rsidTr="000C298F">
        <w:tc>
          <w:tcPr>
            <w:tcW w:w="2003" w:type="dxa"/>
            <w:vAlign w:val="center"/>
          </w:tcPr>
          <w:p w14:paraId="7E3E5BC5" w14:textId="77777777" w:rsidR="000C298F" w:rsidRPr="000449D1" w:rsidRDefault="000C298F" w:rsidP="000C298F">
            <w:pPr>
              <w:pStyle w:val="TableText"/>
              <w:keepNext/>
              <w:spacing w:before="0" w:after="0"/>
              <w:rPr>
                <w:szCs w:val="20"/>
              </w:rPr>
            </w:pPr>
            <w:r w:rsidRPr="000449D1">
              <w:rPr>
                <w:szCs w:val="20"/>
              </w:rPr>
              <w:t>Discount rate</w:t>
            </w:r>
          </w:p>
        </w:tc>
        <w:tc>
          <w:tcPr>
            <w:tcW w:w="6923" w:type="dxa"/>
          </w:tcPr>
          <w:p w14:paraId="39539059" w14:textId="77777777" w:rsidR="000C298F" w:rsidRPr="000449D1" w:rsidRDefault="000C298F" w:rsidP="000C298F">
            <w:pPr>
              <w:pStyle w:val="TableText"/>
              <w:keepNext/>
              <w:spacing w:before="0" w:after="0"/>
              <w:rPr>
                <w:szCs w:val="20"/>
              </w:rPr>
            </w:pPr>
            <w:r>
              <w:rPr>
                <w:szCs w:val="20"/>
              </w:rPr>
              <w:t>Not applicable</w:t>
            </w:r>
          </w:p>
        </w:tc>
      </w:tr>
      <w:tr w:rsidR="00AB18F7" w:rsidRPr="000449D1" w14:paraId="7A7A63D5" w14:textId="77777777" w:rsidTr="000C298F">
        <w:tc>
          <w:tcPr>
            <w:tcW w:w="2003" w:type="dxa"/>
            <w:vAlign w:val="center"/>
          </w:tcPr>
          <w:p w14:paraId="7B0A64FF" w14:textId="77777777" w:rsidR="000C298F" w:rsidRPr="000449D1" w:rsidRDefault="000C298F" w:rsidP="000C298F">
            <w:pPr>
              <w:pStyle w:val="TableText"/>
              <w:keepNext/>
              <w:spacing w:before="0" w:after="0"/>
              <w:rPr>
                <w:szCs w:val="20"/>
              </w:rPr>
            </w:pPr>
            <w:r w:rsidRPr="000449D1">
              <w:rPr>
                <w:szCs w:val="20"/>
              </w:rPr>
              <w:t>Software</w:t>
            </w:r>
          </w:p>
        </w:tc>
        <w:tc>
          <w:tcPr>
            <w:tcW w:w="6923" w:type="dxa"/>
          </w:tcPr>
          <w:p w14:paraId="58D18F7C" w14:textId="77777777" w:rsidR="000C298F" w:rsidRPr="000449D1" w:rsidRDefault="000C298F" w:rsidP="000C298F">
            <w:pPr>
              <w:pStyle w:val="TableText"/>
              <w:keepNext/>
              <w:spacing w:before="0" w:after="0"/>
              <w:rPr>
                <w:szCs w:val="20"/>
              </w:rPr>
            </w:pPr>
            <w:r w:rsidRPr="000449D1">
              <w:rPr>
                <w:szCs w:val="20"/>
              </w:rPr>
              <w:t>Excel</w:t>
            </w:r>
          </w:p>
        </w:tc>
      </w:tr>
    </w:tbl>
    <w:bookmarkEnd w:id="43"/>
    <w:p w14:paraId="4454CFC6" w14:textId="77777777" w:rsidR="000C298F" w:rsidRPr="00A059DD" w:rsidRDefault="000C298F" w:rsidP="000E64DE">
      <w:pPr>
        <w:pStyle w:val="Instructionaltext-afterfiguretable"/>
        <w:spacing w:before="0" w:after="240" w:line="240" w:lineRule="auto"/>
        <w:rPr>
          <w:rFonts w:ascii="Arial Narrow" w:eastAsia="Times New Roman" w:hAnsi="Arial Narrow" w:cs="Arial"/>
          <w:snapToGrid w:val="0"/>
          <w:color w:val="auto"/>
          <w:sz w:val="18"/>
          <w:lang w:eastAsia="en-AU"/>
        </w:rPr>
      </w:pPr>
      <w:r w:rsidRPr="003F7A89">
        <w:rPr>
          <w:rFonts w:ascii="Arial Narrow" w:eastAsia="Times New Roman" w:hAnsi="Arial Narrow" w:cs="Arial"/>
          <w:snapToGrid w:val="0"/>
          <w:color w:val="auto"/>
          <w:sz w:val="18"/>
          <w:lang w:eastAsia="en-AU"/>
        </w:rPr>
        <w:t>FIB-4</w:t>
      </w:r>
      <w:r>
        <w:rPr>
          <w:rFonts w:ascii="Arial Narrow" w:eastAsia="Times New Roman" w:hAnsi="Arial Narrow" w:cs="Arial"/>
          <w:snapToGrid w:val="0"/>
          <w:color w:val="auto"/>
          <w:sz w:val="18"/>
          <w:lang w:eastAsia="en-AU"/>
        </w:rPr>
        <w:t>=</w:t>
      </w:r>
      <w:r w:rsidRPr="003F7A89">
        <w:rPr>
          <w:rFonts w:ascii="Arial Narrow" w:eastAsia="Times New Roman" w:hAnsi="Arial Narrow" w:cs="Arial"/>
          <w:snapToGrid w:val="0"/>
          <w:color w:val="auto"/>
          <w:sz w:val="18"/>
          <w:lang w:eastAsia="en-AU"/>
        </w:rPr>
        <w:t>Fibrosis-4 Index</w:t>
      </w:r>
      <w:r>
        <w:rPr>
          <w:rFonts w:ascii="Arial Narrow" w:eastAsia="Times New Roman" w:hAnsi="Arial Narrow" w:cs="Arial"/>
          <w:snapToGrid w:val="0"/>
          <w:color w:val="auto"/>
          <w:sz w:val="18"/>
          <w:lang w:eastAsia="en-AU"/>
        </w:rPr>
        <w:t>,</w:t>
      </w:r>
      <w:r w:rsidRPr="00A059DD">
        <w:rPr>
          <w:rFonts w:ascii="Arial Narrow" w:eastAsia="Times New Roman" w:hAnsi="Arial Narrow" w:cs="Arial"/>
          <w:snapToGrid w:val="0"/>
          <w:color w:val="auto"/>
          <w:sz w:val="18"/>
          <w:lang w:eastAsia="en-AU"/>
        </w:rPr>
        <w:t xml:space="preserve"> TP</w:t>
      </w:r>
      <w:r>
        <w:rPr>
          <w:rFonts w:ascii="Arial Narrow" w:eastAsia="Times New Roman" w:hAnsi="Arial Narrow" w:cs="Arial"/>
          <w:snapToGrid w:val="0"/>
          <w:color w:val="auto"/>
          <w:sz w:val="18"/>
          <w:lang w:eastAsia="en-AU"/>
        </w:rPr>
        <w:t>=</w:t>
      </w:r>
      <w:r w:rsidRPr="00A059DD">
        <w:rPr>
          <w:rFonts w:ascii="Arial Narrow" w:eastAsia="Times New Roman" w:hAnsi="Arial Narrow" w:cs="Arial"/>
          <w:snapToGrid w:val="0"/>
          <w:color w:val="auto"/>
          <w:sz w:val="18"/>
          <w:lang w:eastAsia="en-AU"/>
        </w:rPr>
        <w:t>true positive; FN</w:t>
      </w:r>
      <w:r>
        <w:rPr>
          <w:rFonts w:ascii="Arial Narrow" w:eastAsia="Times New Roman" w:hAnsi="Arial Narrow" w:cs="Arial"/>
          <w:snapToGrid w:val="0"/>
          <w:color w:val="auto"/>
          <w:sz w:val="18"/>
          <w:lang w:eastAsia="en-AU"/>
        </w:rPr>
        <w:t>=</w:t>
      </w:r>
      <w:r w:rsidRPr="00A059DD">
        <w:rPr>
          <w:rFonts w:ascii="Arial Narrow" w:eastAsia="Times New Roman" w:hAnsi="Arial Narrow" w:cs="Arial"/>
          <w:snapToGrid w:val="0"/>
          <w:color w:val="auto"/>
          <w:sz w:val="18"/>
          <w:lang w:eastAsia="en-AU"/>
        </w:rPr>
        <w:t>false negative; TN</w:t>
      </w:r>
      <w:r>
        <w:rPr>
          <w:rFonts w:ascii="Arial Narrow" w:eastAsia="Times New Roman" w:hAnsi="Arial Narrow" w:cs="Arial"/>
          <w:snapToGrid w:val="0"/>
          <w:color w:val="auto"/>
          <w:sz w:val="18"/>
          <w:lang w:eastAsia="en-AU"/>
        </w:rPr>
        <w:t>=</w:t>
      </w:r>
      <w:r w:rsidRPr="00A059DD">
        <w:rPr>
          <w:rFonts w:ascii="Arial Narrow" w:eastAsia="Times New Roman" w:hAnsi="Arial Narrow" w:cs="Arial"/>
          <w:snapToGrid w:val="0"/>
          <w:color w:val="auto"/>
          <w:sz w:val="18"/>
          <w:lang w:eastAsia="en-AU"/>
        </w:rPr>
        <w:t>true negative; FP</w:t>
      </w:r>
      <w:r>
        <w:rPr>
          <w:rFonts w:ascii="Arial Narrow" w:eastAsia="Times New Roman" w:hAnsi="Arial Narrow" w:cs="Arial"/>
          <w:snapToGrid w:val="0"/>
          <w:color w:val="auto"/>
          <w:sz w:val="18"/>
          <w:lang w:eastAsia="en-AU"/>
        </w:rPr>
        <w:t>=</w:t>
      </w:r>
      <w:r w:rsidRPr="00A059DD">
        <w:rPr>
          <w:rFonts w:ascii="Arial Narrow" w:eastAsia="Times New Roman" w:hAnsi="Arial Narrow" w:cs="Arial"/>
          <w:snapToGrid w:val="0"/>
          <w:color w:val="auto"/>
          <w:sz w:val="18"/>
          <w:lang w:eastAsia="en-AU"/>
        </w:rPr>
        <w:t xml:space="preserve">false positive. </w:t>
      </w:r>
    </w:p>
    <w:p w14:paraId="241364B3" w14:textId="5BF5A940" w:rsidR="00F13D43" w:rsidRPr="00DC2B02" w:rsidRDefault="00AA331F" w:rsidP="00477482">
      <w:pPr>
        <w:pStyle w:val="Instructionaltext"/>
        <w:rPr>
          <w:color w:val="auto"/>
        </w:rPr>
      </w:pPr>
      <w:r>
        <w:rPr>
          <w:color w:val="auto"/>
        </w:rPr>
        <w:t xml:space="preserve">Contrary to the </w:t>
      </w:r>
      <w:r w:rsidR="004813EF">
        <w:rPr>
          <w:color w:val="auto"/>
        </w:rPr>
        <w:t xml:space="preserve">proposed comparator of SOC (see </w:t>
      </w:r>
      <w:r w:rsidR="004813EF">
        <w:rPr>
          <w:color w:val="auto"/>
        </w:rPr>
        <w:fldChar w:fldCharType="begin"/>
      </w:r>
      <w:r w:rsidR="004813EF">
        <w:rPr>
          <w:color w:val="auto"/>
        </w:rPr>
        <w:instrText xml:space="preserve"> REF _Ref205809939 \h </w:instrText>
      </w:r>
      <w:r w:rsidR="00A30307">
        <w:rPr>
          <w:color w:val="auto"/>
        </w:rPr>
        <w:instrText xml:space="preserve"> \* MERGEFORMAT </w:instrText>
      </w:r>
      <w:r w:rsidR="004813EF">
        <w:rPr>
          <w:color w:val="auto"/>
        </w:rPr>
      </w:r>
      <w:r w:rsidR="004813EF">
        <w:rPr>
          <w:color w:val="auto"/>
        </w:rPr>
        <w:fldChar w:fldCharType="separate"/>
      </w:r>
      <w:r w:rsidR="004813EF" w:rsidRPr="00A30307">
        <w:rPr>
          <w:color w:val="auto"/>
        </w:rPr>
        <w:t>Table 4</w:t>
      </w:r>
      <w:r w:rsidR="004813EF">
        <w:rPr>
          <w:color w:val="auto"/>
        </w:rPr>
        <w:fldChar w:fldCharType="end"/>
      </w:r>
      <w:r w:rsidR="00A30307">
        <w:rPr>
          <w:color w:val="auto"/>
        </w:rPr>
        <w:t xml:space="preserve">), </w:t>
      </w:r>
      <w:r w:rsidR="000B2792">
        <w:rPr>
          <w:color w:val="auto"/>
        </w:rPr>
        <w:t xml:space="preserve">the only diagnostic method in primary care evaluated in the ADAR </w:t>
      </w:r>
      <w:r w:rsidR="004813EF">
        <w:rPr>
          <w:color w:val="auto"/>
        </w:rPr>
        <w:t xml:space="preserve">economic </w:t>
      </w:r>
      <w:r w:rsidR="000B2792">
        <w:rPr>
          <w:color w:val="auto"/>
        </w:rPr>
        <w:t xml:space="preserve">model </w:t>
      </w:r>
      <w:r w:rsidR="004813EF">
        <w:rPr>
          <w:color w:val="auto"/>
        </w:rPr>
        <w:t>wa</w:t>
      </w:r>
      <w:r w:rsidR="000B2792">
        <w:rPr>
          <w:color w:val="auto"/>
        </w:rPr>
        <w:t>s ultrasound</w:t>
      </w:r>
      <w:r w:rsidR="004813EF">
        <w:rPr>
          <w:color w:val="auto"/>
        </w:rPr>
        <w:t>.</w:t>
      </w:r>
      <w:r w:rsidR="000B2792">
        <w:rPr>
          <w:color w:val="auto"/>
        </w:rPr>
        <w:t xml:space="preserve"> </w:t>
      </w:r>
      <w:r w:rsidR="00A30307">
        <w:rPr>
          <w:color w:val="auto"/>
        </w:rPr>
        <w:t xml:space="preserve">As discussed previously in Section </w:t>
      </w:r>
      <w:r w:rsidR="00577D67">
        <w:rPr>
          <w:color w:val="auto"/>
        </w:rPr>
        <w:t>8</w:t>
      </w:r>
      <w:r w:rsidR="00A30307">
        <w:rPr>
          <w:color w:val="auto"/>
        </w:rPr>
        <w:t xml:space="preserve">, the commentary considered this </w:t>
      </w:r>
      <w:r w:rsidR="00ED78CA">
        <w:rPr>
          <w:color w:val="auto"/>
        </w:rPr>
        <w:t>to be</w:t>
      </w:r>
      <w:r w:rsidR="00A30307">
        <w:rPr>
          <w:color w:val="auto"/>
        </w:rPr>
        <w:t xml:space="preserve"> inappropriate</w:t>
      </w:r>
      <w:r w:rsidR="00ED78CA">
        <w:rPr>
          <w:color w:val="auto"/>
        </w:rPr>
        <w:t>,</w:t>
      </w:r>
      <w:r w:rsidR="00A30307">
        <w:rPr>
          <w:color w:val="auto"/>
        </w:rPr>
        <w:t xml:space="preserve"> as </w:t>
      </w:r>
      <w:r w:rsidR="00917F55">
        <w:rPr>
          <w:color w:val="auto"/>
        </w:rPr>
        <w:t xml:space="preserve">ultrasound has </w:t>
      </w:r>
      <w:r w:rsidR="00ED78CA">
        <w:rPr>
          <w:color w:val="auto"/>
        </w:rPr>
        <w:t xml:space="preserve">a </w:t>
      </w:r>
      <w:r w:rsidR="00917F55">
        <w:rPr>
          <w:color w:val="auto"/>
        </w:rPr>
        <w:t>limited ability to detect fibrosis</w:t>
      </w:r>
      <w:r w:rsidR="00ED78CA">
        <w:rPr>
          <w:color w:val="auto"/>
        </w:rPr>
        <w:t>,</w:t>
      </w:r>
      <w:r w:rsidR="00917F55">
        <w:rPr>
          <w:color w:val="auto"/>
        </w:rPr>
        <w:t xml:space="preserve"> and </w:t>
      </w:r>
      <w:r w:rsidR="00A30307">
        <w:rPr>
          <w:color w:val="auto"/>
        </w:rPr>
        <w:t xml:space="preserve">PASC considered </w:t>
      </w:r>
      <w:r w:rsidR="005C250C">
        <w:rPr>
          <w:color w:val="auto"/>
        </w:rPr>
        <w:t>it</w:t>
      </w:r>
      <w:r w:rsidR="00A30307">
        <w:rPr>
          <w:color w:val="auto"/>
        </w:rPr>
        <w:t xml:space="preserve"> to be an inappropriate</w:t>
      </w:r>
      <w:r w:rsidR="00DF6E3E">
        <w:rPr>
          <w:color w:val="auto"/>
        </w:rPr>
        <w:t xml:space="preserve"> test</w:t>
      </w:r>
      <w:r w:rsidR="00A30307">
        <w:rPr>
          <w:color w:val="auto"/>
        </w:rPr>
        <w:t xml:space="preserve"> comparator</w:t>
      </w:r>
      <w:r w:rsidR="007A1FBA">
        <w:rPr>
          <w:color w:val="auto"/>
        </w:rPr>
        <w:t>.</w:t>
      </w:r>
      <w:r w:rsidR="6487BC98" w:rsidRPr="2A309733">
        <w:rPr>
          <w:color w:val="auto"/>
        </w:rPr>
        <w:t xml:space="preserve"> The </w:t>
      </w:r>
      <w:r w:rsidR="6A8529DD" w:rsidRPr="00DC2B02">
        <w:rPr>
          <w:color w:val="auto"/>
        </w:rPr>
        <w:t xml:space="preserve">GESA consensus statement recommends </w:t>
      </w:r>
      <w:r w:rsidR="1C639CE4" w:rsidRPr="00DC2B02">
        <w:rPr>
          <w:color w:val="auto"/>
        </w:rPr>
        <w:t xml:space="preserve">morphological </w:t>
      </w:r>
      <w:r w:rsidR="6A8529DD" w:rsidRPr="00DC2B02">
        <w:rPr>
          <w:color w:val="auto"/>
        </w:rPr>
        <w:t>liver ultrasound</w:t>
      </w:r>
      <w:r w:rsidR="07270EA1" w:rsidRPr="00DC2B02">
        <w:rPr>
          <w:color w:val="auto"/>
        </w:rPr>
        <w:t>, covered by MBS item 55036</w:t>
      </w:r>
      <w:r w:rsidR="5CCD1246" w:rsidRPr="00DC2B02">
        <w:rPr>
          <w:color w:val="auto"/>
        </w:rPr>
        <w:t>,</w:t>
      </w:r>
      <w:r w:rsidR="6A8529DD" w:rsidRPr="00DC2B02">
        <w:rPr>
          <w:color w:val="auto"/>
        </w:rPr>
        <w:t xml:space="preserve"> as the first-line test prior to VCTE</w:t>
      </w:r>
      <w:r w:rsidR="00371B59">
        <w:rPr>
          <w:color w:val="auto"/>
        </w:rPr>
        <w:t>™</w:t>
      </w:r>
      <w:r w:rsidR="12284A47" w:rsidRPr="00DC2B02">
        <w:rPr>
          <w:color w:val="auto"/>
        </w:rPr>
        <w:t>. Patients in both the intervention and comparator arms should have had this scan done prior to VCTE.</w:t>
      </w:r>
      <w:r w:rsidR="6A8529DD" w:rsidRPr="00DC2B02">
        <w:rPr>
          <w:color w:val="auto"/>
        </w:rPr>
        <w:t xml:space="preserve"> </w:t>
      </w:r>
      <w:r w:rsidR="49724980" w:rsidRPr="00DC2B02">
        <w:rPr>
          <w:color w:val="auto"/>
        </w:rPr>
        <w:t xml:space="preserve">The </w:t>
      </w:r>
      <w:r w:rsidR="00BD723E" w:rsidRPr="4F3D9280">
        <w:rPr>
          <w:color w:val="auto"/>
        </w:rPr>
        <w:t>GESA</w:t>
      </w:r>
      <w:r w:rsidR="49724980" w:rsidRPr="4F3D9280">
        <w:rPr>
          <w:color w:val="auto"/>
        </w:rPr>
        <w:t xml:space="preserve"> </w:t>
      </w:r>
      <w:r w:rsidR="49724980" w:rsidRPr="00DC2B02">
        <w:rPr>
          <w:color w:val="auto"/>
        </w:rPr>
        <w:t xml:space="preserve">consensus statement and clinical management algorithms do not include additional ultrasound after </w:t>
      </w:r>
      <w:r w:rsidR="6A8529DD" w:rsidRPr="00DC2B02">
        <w:rPr>
          <w:color w:val="auto"/>
        </w:rPr>
        <w:t>VCTE</w:t>
      </w:r>
      <w:r w:rsidR="00EA7A39" w:rsidRPr="00DC2B02">
        <w:rPr>
          <w:color w:val="auto"/>
        </w:rPr>
        <w:t>.</w:t>
      </w:r>
      <w:r w:rsidR="3185EB16" w:rsidRPr="00DC2B02">
        <w:rPr>
          <w:color w:val="auto"/>
        </w:rPr>
        <w:t xml:space="preserve"> As such</w:t>
      </w:r>
      <w:r w:rsidR="00CB272F">
        <w:rPr>
          <w:color w:val="auto"/>
        </w:rPr>
        <w:t>,</w:t>
      </w:r>
      <w:r w:rsidR="3185EB16" w:rsidRPr="00DC2B02">
        <w:rPr>
          <w:color w:val="auto"/>
        </w:rPr>
        <w:t xml:space="preserve"> VCTE is unlik</w:t>
      </w:r>
      <w:r w:rsidR="00804A19" w:rsidRPr="00DC2B02">
        <w:rPr>
          <w:color w:val="auto"/>
        </w:rPr>
        <w:t>e</w:t>
      </w:r>
      <w:r w:rsidR="3185EB16" w:rsidRPr="00DC2B02">
        <w:rPr>
          <w:color w:val="auto"/>
        </w:rPr>
        <w:t>ly to impact</w:t>
      </w:r>
      <w:r w:rsidR="6F15BAAB" w:rsidRPr="00DC2B02">
        <w:rPr>
          <w:color w:val="auto"/>
        </w:rPr>
        <w:t xml:space="preserve"> the number of abdominal ultrasound</w:t>
      </w:r>
      <w:r w:rsidR="008478C2" w:rsidRPr="00DC2B02">
        <w:rPr>
          <w:color w:val="auto"/>
        </w:rPr>
        <w:t>s</w:t>
      </w:r>
      <w:r w:rsidR="6F15BAAB" w:rsidRPr="00DC2B02">
        <w:rPr>
          <w:color w:val="auto"/>
        </w:rPr>
        <w:t xml:space="preserve"> </w:t>
      </w:r>
      <w:r w:rsidR="00601A97" w:rsidRPr="00DC2B02">
        <w:rPr>
          <w:color w:val="auto"/>
        </w:rPr>
        <w:t>billed to</w:t>
      </w:r>
      <w:r w:rsidR="6F15BAAB" w:rsidRPr="00DC2B02">
        <w:rPr>
          <w:color w:val="auto"/>
        </w:rPr>
        <w:t xml:space="preserve"> the MBS.</w:t>
      </w:r>
    </w:p>
    <w:p w14:paraId="1E619DE7" w14:textId="14C61DEF" w:rsidR="00674022" w:rsidRDefault="00E67BB2" w:rsidP="004B1664">
      <w:pPr>
        <w:pStyle w:val="Instructionaltext"/>
        <w:rPr>
          <w:color w:val="auto"/>
        </w:rPr>
      </w:pPr>
      <w:r>
        <w:rPr>
          <w:color w:val="auto"/>
        </w:rPr>
        <w:t>MBS item 55036 is used as a unit cost, with</w:t>
      </w:r>
      <w:r w:rsidR="008864D8">
        <w:rPr>
          <w:color w:val="auto"/>
        </w:rPr>
        <w:t xml:space="preserve"> the</w:t>
      </w:r>
      <w:r>
        <w:rPr>
          <w:color w:val="auto"/>
        </w:rPr>
        <w:t xml:space="preserve"> implication that VCTE would reduce ultrasound costs to MBS. </w:t>
      </w:r>
      <w:r w:rsidR="000B2792" w:rsidRPr="005F66AE">
        <w:rPr>
          <w:color w:val="auto"/>
        </w:rPr>
        <w:t xml:space="preserve">In the </w:t>
      </w:r>
      <w:r w:rsidR="00477482">
        <w:rPr>
          <w:color w:val="auto"/>
        </w:rPr>
        <w:t xml:space="preserve">economic model, it was assumed that in </w:t>
      </w:r>
      <w:r w:rsidR="000B2792" w:rsidRPr="005F66AE">
        <w:rPr>
          <w:color w:val="auto"/>
        </w:rPr>
        <w:t xml:space="preserve">primary care 90% of patients in the comparator arm </w:t>
      </w:r>
      <w:r w:rsidR="00477482">
        <w:rPr>
          <w:color w:val="auto"/>
        </w:rPr>
        <w:t>underwent</w:t>
      </w:r>
      <w:r w:rsidR="000B2792" w:rsidRPr="005F66AE">
        <w:rPr>
          <w:color w:val="auto"/>
        </w:rPr>
        <w:t xml:space="preserve"> an ultrasound</w:t>
      </w:r>
      <w:r w:rsidR="0076011F">
        <w:rPr>
          <w:color w:val="auto"/>
        </w:rPr>
        <w:t>,</w:t>
      </w:r>
      <w:r w:rsidR="000B2792" w:rsidRPr="005F66AE">
        <w:rPr>
          <w:color w:val="auto"/>
        </w:rPr>
        <w:t xml:space="preserve"> and in specialist care 100% patients in the comparator arm under</w:t>
      </w:r>
      <w:r w:rsidR="009C34BA">
        <w:rPr>
          <w:color w:val="auto"/>
        </w:rPr>
        <w:t>went</w:t>
      </w:r>
      <w:r w:rsidR="000B2792" w:rsidRPr="005F66AE">
        <w:rPr>
          <w:color w:val="auto"/>
        </w:rPr>
        <w:t xml:space="preserve"> an ultrasound. Ultrasound is also conducted in the intervention arm </w:t>
      </w:r>
      <w:r w:rsidR="000B2792" w:rsidRPr="005F66AE">
        <w:rPr>
          <w:color w:val="auto"/>
        </w:rPr>
        <w:lastRenderedPageBreak/>
        <w:t>in both settings where 10% of patients with a finding suggestive of fibrosis by VCTE will proceed with ultrasound (this assumption is informed by clinical experts).</w:t>
      </w:r>
      <w:r w:rsidR="000B2792">
        <w:rPr>
          <w:color w:val="auto"/>
        </w:rPr>
        <w:t xml:space="preserve"> </w:t>
      </w:r>
      <w:r w:rsidR="00270191">
        <w:rPr>
          <w:color w:val="auto"/>
        </w:rPr>
        <w:t>Includ</w:t>
      </w:r>
      <w:r w:rsidR="009C34BA">
        <w:rPr>
          <w:color w:val="auto"/>
        </w:rPr>
        <w:t xml:space="preserve">ing ultrasound in the comparator arm </w:t>
      </w:r>
      <w:r w:rsidR="00AF00DF">
        <w:rPr>
          <w:color w:val="auto"/>
        </w:rPr>
        <w:t xml:space="preserve">for most patients </w:t>
      </w:r>
      <w:r w:rsidR="009C34BA">
        <w:rPr>
          <w:color w:val="auto"/>
        </w:rPr>
        <w:t xml:space="preserve">at the unit price of MBS item </w:t>
      </w:r>
      <w:r>
        <w:rPr>
          <w:color w:val="auto"/>
        </w:rPr>
        <w:t>55036</w:t>
      </w:r>
      <w:r w:rsidR="009C34BA">
        <w:rPr>
          <w:color w:val="auto"/>
        </w:rPr>
        <w:t xml:space="preserve"> likely biased the economic evaluation in favour of VCTE</w:t>
      </w:r>
      <w:r w:rsidR="00262907">
        <w:rPr>
          <w:color w:val="auto"/>
        </w:rPr>
        <w:t>,</w:t>
      </w:r>
      <w:r w:rsidR="009C34BA">
        <w:rPr>
          <w:color w:val="auto"/>
        </w:rPr>
        <w:t xml:space="preserve"> </w:t>
      </w:r>
      <w:r w:rsidR="00262907">
        <w:rPr>
          <w:color w:val="auto"/>
        </w:rPr>
        <w:t>as it</w:t>
      </w:r>
      <w:r w:rsidR="009C34BA">
        <w:rPr>
          <w:color w:val="auto"/>
        </w:rPr>
        <w:t xml:space="preserve"> overestimat</w:t>
      </w:r>
      <w:r w:rsidR="00262907">
        <w:rPr>
          <w:color w:val="auto"/>
        </w:rPr>
        <w:t>ed</w:t>
      </w:r>
      <w:r w:rsidR="009C34BA">
        <w:rPr>
          <w:color w:val="auto"/>
        </w:rPr>
        <w:t xml:space="preserve"> the costs in the comparator arm</w:t>
      </w:r>
      <w:r w:rsidR="00476F27">
        <w:rPr>
          <w:color w:val="auto"/>
        </w:rPr>
        <w:t xml:space="preserve"> at this point</w:t>
      </w:r>
      <w:r w:rsidR="009C34BA">
        <w:rPr>
          <w:color w:val="auto"/>
        </w:rPr>
        <w:t>.</w:t>
      </w:r>
      <w:r w:rsidR="009C34BA" w:rsidDel="00885447">
        <w:rPr>
          <w:color w:val="auto"/>
        </w:rPr>
        <w:t xml:space="preserve"> </w:t>
      </w:r>
      <w:r w:rsidR="004B1664" w:rsidRPr="00B007FB">
        <w:rPr>
          <w:color w:val="auto"/>
        </w:rPr>
        <w:t xml:space="preserve">The </w:t>
      </w:r>
      <w:r w:rsidR="004B1664">
        <w:rPr>
          <w:color w:val="auto"/>
        </w:rPr>
        <w:t>ADAR</w:t>
      </w:r>
      <w:r w:rsidR="004B1664" w:rsidRPr="00B007FB">
        <w:rPr>
          <w:color w:val="auto"/>
        </w:rPr>
        <w:t xml:space="preserve"> </w:t>
      </w:r>
      <w:r w:rsidR="004B1664" w:rsidRPr="00263F33">
        <w:rPr>
          <w:color w:val="auto"/>
        </w:rPr>
        <w:t>nominate</w:t>
      </w:r>
      <w:r w:rsidR="004B1664">
        <w:rPr>
          <w:color w:val="auto"/>
        </w:rPr>
        <w:t>d</w:t>
      </w:r>
      <w:r w:rsidR="004B1664" w:rsidRPr="00263F33">
        <w:rPr>
          <w:color w:val="auto"/>
        </w:rPr>
        <w:t xml:space="preserve"> c</w:t>
      </w:r>
      <w:r w:rsidR="004B1664" w:rsidRPr="00B007FB">
        <w:rPr>
          <w:color w:val="auto"/>
        </w:rPr>
        <w:t>ost per correctly diagnosed patient</w:t>
      </w:r>
      <w:r w:rsidR="004B1664" w:rsidRPr="00263F33">
        <w:rPr>
          <w:color w:val="auto"/>
        </w:rPr>
        <w:t xml:space="preserve"> as a primary outcome. </w:t>
      </w:r>
      <w:r w:rsidR="009A38D2">
        <w:rPr>
          <w:color w:val="auto"/>
        </w:rPr>
        <w:t>The commentary noted that</w:t>
      </w:r>
      <w:r w:rsidR="006C41D2">
        <w:rPr>
          <w:color w:val="auto"/>
        </w:rPr>
        <w:t>,</w:t>
      </w:r>
      <w:r w:rsidR="009A38D2">
        <w:rPr>
          <w:color w:val="auto"/>
        </w:rPr>
        <w:t xml:space="preserve"> p</w:t>
      </w:r>
      <w:r w:rsidR="009A38D2" w:rsidRPr="009A38D2">
        <w:rPr>
          <w:color w:val="auto"/>
        </w:rPr>
        <w:t xml:space="preserve">resumably, </w:t>
      </w:r>
      <w:r w:rsidR="009A38D2">
        <w:rPr>
          <w:color w:val="auto"/>
        </w:rPr>
        <w:t>the ADAR suggest</w:t>
      </w:r>
      <w:r w:rsidR="00902ACC">
        <w:rPr>
          <w:color w:val="auto"/>
        </w:rPr>
        <w:t>s</w:t>
      </w:r>
      <w:r w:rsidR="009A38D2">
        <w:rPr>
          <w:color w:val="auto"/>
        </w:rPr>
        <w:t xml:space="preserve"> that </w:t>
      </w:r>
      <w:r w:rsidR="009A38D2" w:rsidRPr="009A38D2">
        <w:rPr>
          <w:color w:val="auto"/>
        </w:rPr>
        <w:t xml:space="preserve">a lower cost per correctly diagnosed patient is a positive outcome, which </w:t>
      </w:r>
      <w:r w:rsidR="009A38D2">
        <w:rPr>
          <w:color w:val="auto"/>
        </w:rPr>
        <w:t>sh</w:t>
      </w:r>
      <w:r w:rsidR="009A38D2" w:rsidRPr="009A38D2">
        <w:rPr>
          <w:color w:val="auto"/>
        </w:rPr>
        <w:t xml:space="preserve">ould be correlated with </w:t>
      </w:r>
      <w:r w:rsidR="00902ACC">
        <w:rPr>
          <w:color w:val="auto"/>
        </w:rPr>
        <w:t>improved</w:t>
      </w:r>
      <w:r w:rsidR="00902ACC" w:rsidRPr="009A38D2">
        <w:rPr>
          <w:color w:val="auto"/>
        </w:rPr>
        <w:t xml:space="preserve"> </w:t>
      </w:r>
      <w:r w:rsidR="009A38D2" w:rsidRPr="009A38D2">
        <w:rPr>
          <w:color w:val="auto"/>
        </w:rPr>
        <w:t>testing. However, in the model, if the sensitivity of VC</w:t>
      </w:r>
      <w:r w:rsidR="00102ED0">
        <w:rPr>
          <w:color w:val="auto"/>
        </w:rPr>
        <w:t>T</w:t>
      </w:r>
      <w:r w:rsidR="009A38D2" w:rsidRPr="009A38D2">
        <w:rPr>
          <w:color w:val="auto"/>
        </w:rPr>
        <w:t xml:space="preserve">E is improved, the cost per correctly diagnosed patient </w:t>
      </w:r>
      <w:r w:rsidR="00674022">
        <w:rPr>
          <w:color w:val="auto"/>
        </w:rPr>
        <w:t xml:space="preserve">actually </w:t>
      </w:r>
      <w:r w:rsidR="009A38D2" w:rsidRPr="009A38D2">
        <w:rPr>
          <w:color w:val="auto"/>
        </w:rPr>
        <w:t xml:space="preserve">increases in the PICO 1 population due to an increase in </w:t>
      </w:r>
      <w:r w:rsidR="00902ACC">
        <w:rPr>
          <w:color w:val="auto"/>
        </w:rPr>
        <w:t xml:space="preserve">the </w:t>
      </w:r>
      <w:r w:rsidR="009A38D2" w:rsidRPr="009A38D2">
        <w:rPr>
          <w:color w:val="auto"/>
        </w:rPr>
        <w:t>number of true</w:t>
      </w:r>
      <w:r w:rsidR="006572B0">
        <w:rPr>
          <w:color w:val="auto"/>
        </w:rPr>
        <w:t>-</w:t>
      </w:r>
      <w:r w:rsidR="009A38D2" w:rsidRPr="009A38D2">
        <w:rPr>
          <w:color w:val="auto"/>
        </w:rPr>
        <w:t>positive cases and the increased cost associated with (necessary) specialist visits. This suggests that the outcome measure may not be the most appropriate</w:t>
      </w:r>
      <w:r w:rsidR="006572B0">
        <w:rPr>
          <w:color w:val="auto"/>
        </w:rPr>
        <w:t>,</w:t>
      </w:r>
      <w:r w:rsidR="00674022">
        <w:rPr>
          <w:color w:val="auto"/>
        </w:rPr>
        <w:t xml:space="preserve"> and the results of the economic evaluation presented in the ADAR may not be informative</w:t>
      </w:r>
      <w:r w:rsidR="006865C2">
        <w:rPr>
          <w:color w:val="auto"/>
        </w:rPr>
        <w:t>, and/or</w:t>
      </w:r>
      <w:r w:rsidR="00674022">
        <w:rPr>
          <w:color w:val="auto"/>
        </w:rPr>
        <w:t xml:space="preserve"> the ADAR’s assumptions</w:t>
      </w:r>
      <w:r w:rsidR="006865C2">
        <w:rPr>
          <w:color w:val="auto"/>
        </w:rPr>
        <w:t xml:space="preserve"> may be inappropriate</w:t>
      </w:r>
      <w:r w:rsidR="009A38D2" w:rsidRPr="009A38D2">
        <w:rPr>
          <w:color w:val="auto"/>
        </w:rPr>
        <w:t xml:space="preserve">. </w:t>
      </w:r>
    </w:p>
    <w:p w14:paraId="23F9090E" w14:textId="4D1DED45" w:rsidR="004B1664" w:rsidRDefault="00674022" w:rsidP="004B1664">
      <w:pPr>
        <w:pStyle w:val="Instructionaltext"/>
        <w:rPr>
          <w:color w:val="auto"/>
        </w:rPr>
      </w:pPr>
      <w:r>
        <w:rPr>
          <w:color w:val="auto"/>
        </w:rPr>
        <w:t xml:space="preserve">Other similar </w:t>
      </w:r>
      <w:r w:rsidR="00FA679B">
        <w:rPr>
          <w:color w:val="auto"/>
        </w:rPr>
        <w:t xml:space="preserve">computational issues were noted during the evaluation which may point to the lack of robustness of the economic model. For example, </w:t>
      </w:r>
      <w:r w:rsidR="005C390B">
        <w:rPr>
          <w:color w:val="auto"/>
        </w:rPr>
        <w:t xml:space="preserve">if the distribution of FIB-4 results from Mozes 2022 was used </w:t>
      </w:r>
      <w:r w:rsidR="00AD58F5">
        <w:rPr>
          <w:color w:val="auto"/>
        </w:rPr>
        <w:t xml:space="preserve">as a sensitivity analysis (the ADAR’s base case relied on Anstee 2024), the </w:t>
      </w:r>
      <w:r w:rsidR="000B0E3D">
        <w:rPr>
          <w:color w:val="auto"/>
        </w:rPr>
        <w:t xml:space="preserve">‘Number of high-risk patients incorrectly diagnosed as low risk’ in the </w:t>
      </w:r>
      <w:r w:rsidR="00AD58F5">
        <w:rPr>
          <w:color w:val="auto"/>
        </w:rPr>
        <w:t xml:space="preserve">PICO 1 population </w:t>
      </w:r>
      <w:r w:rsidR="000B0E3D">
        <w:rPr>
          <w:color w:val="auto"/>
        </w:rPr>
        <w:t>becomes negative, which lacks face validity.</w:t>
      </w:r>
    </w:p>
    <w:p w14:paraId="23DD1443" w14:textId="38B59F02" w:rsidR="004B1664" w:rsidRPr="006463E7" w:rsidRDefault="004B1664" w:rsidP="004B1664">
      <w:pPr>
        <w:pStyle w:val="Instructionaltext"/>
        <w:rPr>
          <w:color w:val="auto"/>
        </w:rPr>
      </w:pPr>
      <w:r w:rsidRPr="00016AC0">
        <w:rPr>
          <w:color w:val="auto"/>
        </w:rPr>
        <w:t xml:space="preserve">Avoiding unnecessary liver biopsies (estimated by the </w:t>
      </w:r>
      <w:r w:rsidR="00C51324">
        <w:rPr>
          <w:color w:val="auto"/>
        </w:rPr>
        <w:t xml:space="preserve">reduction in </w:t>
      </w:r>
      <w:r w:rsidR="006572B0">
        <w:rPr>
          <w:color w:val="auto"/>
        </w:rPr>
        <w:t xml:space="preserve">the </w:t>
      </w:r>
      <w:r w:rsidRPr="00016AC0">
        <w:rPr>
          <w:color w:val="auto"/>
        </w:rPr>
        <w:t>proportion of false</w:t>
      </w:r>
      <w:r w:rsidR="006572B0">
        <w:rPr>
          <w:color w:val="auto"/>
        </w:rPr>
        <w:t>-</w:t>
      </w:r>
      <w:r w:rsidRPr="00016AC0">
        <w:rPr>
          <w:color w:val="auto"/>
        </w:rPr>
        <w:t>positive</w:t>
      </w:r>
      <w:r w:rsidR="00157730">
        <w:rPr>
          <w:color w:val="auto"/>
        </w:rPr>
        <w:t xml:space="preserve"> </w:t>
      </w:r>
      <w:r w:rsidR="00BB6E67">
        <w:rPr>
          <w:color w:val="auto"/>
        </w:rPr>
        <w:t xml:space="preserve">results </w:t>
      </w:r>
      <w:r w:rsidR="006572B0">
        <w:rPr>
          <w:color w:val="auto"/>
        </w:rPr>
        <w:t xml:space="preserve">with </w:t>
      </w:r>
      <w:r w:rsidR="00157730">
        <w:rPr>
          <w:color w:val="auto"/>
        </w:rPr>
        <w:t>VCTE</w:t>
      </w:r>
      <w:r w:rsidR="000C6658">
        <w:rPr>
          <w:color w:val="auto"/>
        </w:rPr>
        <w:t xml:space="preserve"> compared to ultrasound</w:t>
      </w:r>
      <w:r w:rsidRPr="00016AC0">
        <w:rPr>
          <w:color w:val="auto"/>
        </w:rPr>
        <w:t xml:space="preserve">) </w:t>
      </w:r>
      <w:r w:rsidR="00F4181E">
        <w:rPr>
          <w:color w:val="auto"/>
        </w:rPr>
        <w:t>wa</w:t>
      </w:r>
      <w:r w:rsidRPr="00016AC0">
        <w:rPr>
          <w:color w:val="auto"/>
        </w:rPr>
        <w:t xml:space="preserve">s cited as one of the </w:t>
      </w:r>
      <w:r>
        <w:rPr>
          <w:color w:val="auto"/>
        </w:rPr>
        <w:t>advantages</w:t>
      </w:r>
      <w:r w:rsidRPr="00016AC0">
        <w:rPr>
          <w:color w:val="auto"/>
        </w:rPr>
        <w:t xml:space="preserve"> of a two-tier NIT</w:t>
      </w:r>
      <w:r>
        <w:rPr>
          <w:color w:val="auto"/>
        </w:rPr>
        <w:t>,</w:t>
      </w:r>
      <w:r w:rsidRPr="004D6174">
        <w:rPr>
          <w:color w:val="auto"/>
        </w:rPr>
        <w:t xml:space="preserve"> </w:t>
      </w:r>
      <w:r w:rsidRPr="00016AC0">
        <w:rPr>
          <w:color w:val="auto"/>
        </w:rPr>
        <w:t xml:space="preserve">with another </w:t>
      </w:r>
      <w:r w:rsidR="006572B0">
        <w:rPr>
          <w:color w:val="auto"/>
        </w:rPr>
        <w:t xml:space="preserve">related </w:t>
      </w:r>
      <w:r w:rsidRPr="00016AC0">
        <w:rPr>
          <w:color w:val="auto"/>
        </w:rPr>
        <w:t>benefit being a reduction in specialist referrals</w:t>
      </w:r>
      <w:r>
        <w:rPr>
          <w:color w:val="auto"/>
        </w:rPr>
        <w:t>.</w:t>
      </w:r>
      <w:r w:rsidRPr="00016AC0">
        <w:rPr>
          <w:color w:val="auto"/>
        </w:rPr>
        <w:t xml:space="preserve"> </w:t>
      </w:r>
      <w:r w:rsidRPr="00F0399B">
        <w:rPr>
          <w:color w:val="auto"/>
        </w:rPr>
        <w:t>Cost of a liver biopsy seems to be a decisive factor in the short</w:t>
      </w:r>
      <w:r w:rsidR="00E5695F">
        <w:rPr>
          <w:color w:val="auto"/>
        </w:rPr>
        <w:t xml:space="preserve"> </w:t>
      </w:r>
      <w:r w:rsidRPr="00F0399B">
        <w:rPr>
          <w:color w:val="auto"/>
        </w:rPr>
        <w:t xml:space="preserve">term. </w:t>
      </w:r>
      <w:r>
        <w:rPr>
          <w:color w:val="auto"/>
        </w:rPr>
        <w:t>The degree of</w:t>
      </w:r>
      <w:r w:rsidRPr="00F0399B">
        <w:rPr>
          <w:color w:val="auto"/>
        </w:rPr>
        <w:t xml:space="preserve"> reduction in the number of referrals to a hepatologist, but ultimately, to liver biopsy in hospital, would </w:t>
      </w:r>
      <w:r>
        <w:rPr>
          <w:color w:val="auto"/>
        </w:rPr>
        <w:t>determine some cost-savings to offset the</w:t>
      </w:r>
      <w:r w:rsidRPr="00F0399B">
        <w:rPr>
          <w:color w:val="auto"/>
        </w:rPr>
        <w:t xml:space="preserve"> </w:t>
      </w:r>
      <w:r w:rsidRPr="00E078C9">
        <w:rPr>
          <w:color w:val="auto"/>
        </w:rPr>
        <w:t>additional cost of a second-tier test. Some assumptions of the model seem to confirm this tendency. It is assumed that in the comparator arm</w:t>
      </w:r>
      <w:r w:rsidR="00E5695F">
        <w:rPr>
          <w:color w:val="auto"/>
        </w:rPr>
        <w:t>,</w:t>
      </w:r>
      <w:r w:rsidRPr="00E078C9">
        <w:rPr>
          <w:color w:val="auto"/>
        </w:rPr>
        <w:t xml:space="preserve"> 15% of patients with fibrosis-suggestive ultrasound findings undergo a liver biopsy however, only 5% of those with an increased liver stiffness as assessed by VCTE (</w:t>
      </w:r>
      <w:r w:rsidRPr="008D4073">
        <w:rPr>
          <w:color w:val="auto"/>
        </w:rPr>
        <w:t>the intervention arm) undergo a liver biopsy. The parameter estimates are based on expert advice, not supported by the evidence and bias the outcomes in favour of VCTE.</w:t>
      </w:r>
      <w:r>
        <w:rPr>
          <w:color w:val="auto"/>
        </w:rPr>
        <w:t xml:space="preserve"> </w:t>
      </w:r>
    </w:p>
    <w:p w14:paraId="735F0E53" w14:textId="194852F0" w:rsidR="004B1664" w:rsidRDefault="009D3D59" w:rsidP="004B1664">
      <w:pPr>
        <w:pStyle w:val="Instructionaltext"/>
        <w:rPr>
          <w:color w:val="auto"/>
        </w:rPr>
      </w:pPr>
      <w:r>
        <w:rPr>
          <w:color w:val="auto"/>
        </w:rPr>
        <w:t>The commentary also noted that n</w:t>
      </w:r>
      <w:r w:rsidR="004B1664" w:rsidRPr="006463E7">
        <w:rPr>
          <w:color w:val="auto"/>
        </w:rPr>
        <w:t>one of t</w:t>
      </w:r>
      <w:r w:rsidR="004B1664" w:rsidRPr="008239E4">
        <w:rPr>
          <w:color w:val="auto"/>
        </w:rPr>
        <w:t xml:space="preserve">he </w:t>
      </w:r>
      <w:r>
        <w:rPr>
          <w:color w:val="auto"/>
        </w:rPr>
        <w:t>economic evaluation</w:t>
      </w:r>
      <w:r w:rsidR="00E5695F">
        <w:rPr>
          <w:color w:val="auto"/>
        </w:rPr>
        <w:t xml:space="preserve"> outcomes</w:t>
      </w:r>
      <w:r>
        <w:rPr>
          <w:color w:val="auto"/>
        </w:rPr>
        <w:t xml:space="preserve"> were considered </w:t>
      </w:r>
      <w:r w:rsidR="004B1664" w:rsidRPr="008239E4">
        <w:rPr>
          <w:color w:val="auto"/>
        </w:rPr>
        <w:t>patient-relevant</w:t>
      </w:r>
      <w:r w:rsidR="004B1664" w:rsidRPr="006463E7">
        <w:rPr>
          <w:color w:val="auto"/>
        </w:rPr>
        <w:t xml:space="preserve">, </w:t>
      </w:r>
      <w:r w:rsidR="004B1664">
        <w:rPr>
          <w:color w:val="auto"/>
        </w:rPr>
        <w:t xml:space="preserve">thus </w:t>
      </w:r>
      <w:r w:rsidR="004B1664" w:rsidRPr="006463E7">
        <w:rPr>
          <w:color w:val="auto"/>
        </w:rPr>
        <w:t>being inconsistent with PASC</w:t>
      </w:r>
      <w:r w:rsidR="00547F7A">
        <w:rPr>
          <w:color w:val="auto"/>
        </w:rPr>
        <w:t>’s</w:t>
      </w:r>
      <w:r w:rsidR="004B1664" w:rsidRPr="006463E7">
        <w:rPr>
          <w:color w:val="auto"/>
        </w:rPr>
        <w:t xml:space="preserve"> preference that cost-effectiveness would be measured </w:t>
      </w:r>
      <w:r w:rsidR="00D56641">
        <w:rPr>
          <w:color w:val="auto"/>
        </w:rPr>
        <w:t>in terms of</w:t>
      </w:r>
      <w:r w:rsidR="00D56641" w:rsidRPr="006463E7">
        <w:rPr>
          <w:color w:val="auto"/>
        </w:rPr>
        <w:t xml:space="preserve"> </w:t>
      </w:r>
      <w:r w:rsidR="004B1664" w:rsidRPr="006463E7">
        <w:rPr>
          <w:color w:val="auto"/>
        </w:rPr>
        <w:t xml:space="preserve">health outcomes, rather than test outcomes. The </w:t>
      </w:r>
      <w:r w:rsidR="00547F7A">
        <w:rPr>
          <w:color w:val="auto"/>
        </w:rPr>
        <w:t>c</w:t>
      </w:r>
      <w:r w:rsidR="004B1664" w:rsidRPr="006463E7">
        <w:rPr>
          <w:color w:val="auto"/>
        </w:rPr>
        <w:t>ommentary reviewed economic evaluations identified in the literature and confirm</w:t>
      </w:r>
      <w:r w:rsidR="00D56641">
        <w:rPr>
          <w:color w:val="auto"/>
        </w:rPr>
        <w:t>ed</w:t>
      </w:r>
      <w:r w:rsidR="004B1664" w:rsidRPr="006463E7">
        <w:rPr>
          <w:color w:val="auto"/>
        </w:rPr>
        <w:t xml:space="preserve"> that </w:t>
      </w:r>
      <w:r w:rsidR="004B1664">
        <w:rPr>
          <w:color w:val="auto"/>
        </w:rPr>
        <w:t xml:space="preserve">some of them, including at least three </w:t>
      </w:r>
      <w:r w:rsidR="00D56641">
        <w:rPr>
          <w:color w:val="auto"/>
        </w:rPr>
        <w:t>high</w:t>
      </w:r>
      <w:r w:rsidR="004B1664">
        <w:rPr>
          <w:color w:val="auto"/>
        </w:rPr>
        <w:t>-quality cost-utility analyses (CUA), assessed</w:t>
      </w:r>
      <w:r w:rsidR="004B1664" w:rsidRPr="006463E7">
        <w:rPr>
          <w:color w:val="auto"/>
        </w:rPr>
        <w:t xml:space="preserve"> patient-relevant outcomes. PASC considered that a </w:t>
      </w:r>
      <w:r w:rsidR="004B1664">
        <w:rPr>
          <w:color w:val="auto"/>
        </w:rPr>
        <w:t>CUA</w:t>
      </w:r>
      <w:r w:rsidR="004B1664" w:rsidRPr="006463E7">
        <w:rPr>
          <w:color w:val="auto"/>
        </w:rPr>
        <w:t xml:space="preserve"> would be desirable but noted that a cost-effectiveness analysis (CEA) was acceptable based on the clinical claim. One example of a health outcome measurable in a CEA would be cost per case of cirrhosis or liver cancer averted. </w:t>
      </w:r>
      <w:r w:rsidR="004B1664" w:rsidRPr="008239E4">
        <w:rPr>
          <w:color w:val="auto"/>
        </w:rPr>
        <w:t>However</w:t>
      </w:r>
      <w:r w:rsidR="004B1664">
        <w:rPr>
          <w:color w:val="auto"/>
        </w:rPr>
        <w:t xml:space="preserve">, </w:t>
      </w:r>
      <w:r w:rsidR="004B1664" w:rsidRPr="008239E4">
        <w:rPr>
          <w:color w:val="auto"/>
        </w:rPr>
        <w:t xml:space="preserve">PASC also considered that any changes to the number of referrals to specialists based on risk stratification in the primary care setting should be captured in the economic evaluation.  </w:t>
      </w:r>
    </w:p>
    <w:p w14:paraId="5180BE9C" w14:textId="2CF938F7" w:rsidR="000B2792" w:rsidRPr="006463E7" w:rsidRDefault="000B2792" w:rsidP="000B2792">
      <w:pPr>
        <w:pStyle w:val="Instructionaltext"/>
        <w:rPr>
          <w:color w:val="auto"/>
        </w:rPr>
      </w:pPr>
      <w:r>
        <w:rPr>
          <w:color w:val="auto"/>
        </w:rPr>
        <w:t xml:space="preserve">There </w:t>
      </w:r>
      <w:r w:rsidR="004B1664">
        <w:rPr>
          <w:color w:val="auto"/>
        </w:rPr>
        <w:t>we</w:t>
      </w:r>
      <w:r>
        <w:rPr>
          <w:color w:val="auto"/>
        </w:rPr>
        <w:t xml:space="preserve">re </w:t>
      </w:r>
      <w:r w:rsidR="009D3D59">
        <w:rPr>
          <w:color w:val="auto"/>
        </w:rPr>
        <w:t xml:space="preserve">also </w:t>
      </w:r>
      <w:r>
        <w:rPr>
          <w:color w:val="auto"/>
        </w:rPr>
        <w:t>some unjustified assumptions in the model structure; in primary care</w:t>
      </w:r>
      <w:r w:rsidR="00C8604A">
        <w:rPr>
          <w:color w:val="auto"/>
        </w:rPr>
        <w:t>,</w:t>
      </w:r>
      <w:r>
        <w:rPr>
          <w:color w:val="auto"/>
        </w:rPr>
        <w:t xml:space="preserve"> non-attendance</w:t>
      </w:r>
      <w:r w:rsidR="00C8604A">
        <w:rPr>
          <w:color w:val="auto"/>
        </w:rPr>
        <w:t xml:space="preserve"> estimated at 10%</w:t>
      </w:r>
      <w:r>
        <w:rPr>
          <w:color w:val="auto"/>
        </w:rPr>
        <w:t xml:space="preserve"> in both the ultrasound in the comparator arms and VCTE in the intervention arm is. The diagnostic outcome for this proportion of patients is defined as “incorrect diagnosis”,</w:t>
      </w:r>
      <w:r w:rsidR="000000BB">
        <w:rPr>
          <w:color w:val="auto"/>
        </w:rPr>
        <w:t xml:space="preserve"> but</w:t>
      </w:r>
      <w:r>
        <w:rPr>
          <w:color w:val="auto"/>
        </w:rPr>
        <w:t xml:space="preserve"> this assumption is unjustified and biases the outcome (cost per correct diagnosis) in favour of VCTE. The model did not include the </w:t>
      </w:r>
      <w:r w:rsidR="00192B67">
        <w:rPr>
          <w:color w:val="auto"/>
        </w:rPr>
        <w:t>FibroScan</w:t>
      </w:r>
      <w:r w:rsidR="002915A9">
        <w:rPr>
          <w:color w:val="auto"/>
        </w:rPr>
        <w:t>®</w:t>
      </w:r>
      <w:r>
        <w:rPr>
          <w:color w:val="auto"/>
        </w:rPr>
        <w:t xml:space="preserve"> failure rate, estimated at 5% </w:t>
      </w:r>
      <w:r w:rsidR="00313C85">
        <w:rPr>
          <w:color w:val="auto"/>
        </w:rPr>
        <w:t xml:space="preserve">by </w:t>
      </w:r>
      <w:r>
        <w:rPr>
          <w:color w:val="auto"/>
        </w:rPr>
        <w:t xml:space="preserve">NICE (2021-2022) and at 15.8% </w:t>
      </w:r>
      <w:r w:rsidR="00313C85">
        <w:rPr>
          <w:color w:val="auto"/>
        </w:rPr>
        <w:t xml:space="preserve">by </w:t>
      </w:r>
      <w:r>
        <w:rPr>
          <w:color w:val="auto"/>
        </w:rPr>
        <w:t xml:space="preserve">Gruneau (2023), where </w:t>
      </w:r>
      <w:r w:rsidR="008A5F67">
        <w:rPr>
          <w:color w:val="auto"/>
        </w:rPr>
        <w:t xml:space="preserve">a failed </w:t>
      </w:r>
      <w:r w:rsidR="00DE5C53">
        <w:rPr>
          <w:color w:val="auto"/>
        </w:rPr>
        <w:t xml:space="preserve">VCTE </w:t>
      </w:r>
      <w:r w:rsidR="008A5F67">
        <w:rPr>
          <w:color w:val="auto"/>
        </w:rPr>
        <w:t>scan</w:t>
      </w:r>
      <w:r>
        <w:rPr>
          <w:color w:val="auto"/>
        </w:rPr>
        <w:t xml:space="preserve"> is defined as </w:t>
      </w:r>
      <w:r w:rsidR="00F8184F">
        <w:rPr>
          <w:color w:val="auto"/>
        </w:rPr>
        <w:t xml:space="preserve">indeterminate or </w:t>
      </w:r>
      <w:r w:rsidRPr="00E34E29">
        <w:rPr>
          <w:color w:val="auto"/>
        </w:rPr>
        <w:t>unreliable results w</w:t>
      </w:r>
      <w:r w:rsidR="0093162A">
        <w:rPr>
          <w:color w:val="auto"/>
        </w:rPr>
        <w:t>hen</w:t>
      </w:r>
      <w:r w:rsidRPr="00E34E29">
        <w:rPr>
          <w:color w:val="auto"/>
        </w:rPr>
        <w:t xml:space="preserve"> fewer than 10 valid shots</w:t>
      </w:r>
      <w:r w:rsidR="00DE5C53">
        <w:rPr>
          <w:color w:val="auto"/>
        </w:rPr>
        <w:t xml:space="preserve"> </w:t>
      </w:r>
      <w:r w:rsidR="006C6F34">
        <w:rPr>
          <w:color w:val="auto"/>
        </w:rPr>
        <w:t>are</w:t>
      </w:r>
      <w:r w:rsidR="00DE5C53">
        <w:rPr>
          <w:color w:val="auto"/>
        </w:rPr>
        <w:t xml:space="preserve"> obtained</w:t>
      </w:r>
      <w:r>
        <w:rPr>
          <w:color w:val="auto"/>
        </w:rPr>
        <w:t>. This omission also introduced a bias in the outcomes.</w:t>
      </w:r>
    </w:p>
    <w:bookmarkEnd w:id="40"/>
    <w:p w14:paraId="2B1A70AC" w14:textId="2951D127" w:rsidR="0063640A" w:rsidRPr="0063640A" w:rsidRDefault="0063640A" w:rsidP="00F3422A">
      <w:pPr>
        <w:pStyle w:val="BodyText"/>
        <w:keepLines w:val="0"/>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lastRenderedPageBreak/>
        <w:t xml:space="preserve">The commentary noted that </w:t>
      </w:r>
      <w:r w:rsidRPr="0063640A">
        <w:rPr>
          <w:rFonts w:ascii="Franklin Gothic Book" w:eastAsiaTheme="minorHAnsi" w:hAnsi="Franklin Gothic Book" w:cstheme="minorBidi"/>
          <w:sz w:val="22"/>
          <w:szCs w:val="22"/>
        </w:rPr>
        <w:t>there is a fundamental mathematical problem with all two-tier diagnostic tests where the first NIT produces non-binary results. In the case of FIB-4 with a dual cutoff [1.3-2.67] (or [1.3-3.25] as in the model), these are AF risk negative &lt;1.3 or AF risk positive ≥2.67 or an indetermin</w:t>
      </w:r>
      <w:r w:rsidR="009F7C4B">
        <w:rPr>
          <w:rFonts w:ascii="Franklin Gothic Book" w:eastAsiaTheme="minorHAnsi" w:hAnsi="Franklin Gothic Book" w:cstheme="minorBidi"/>
          <w:sz w:val="22"/>
          <w:szCs w:val="22"/>
        </w:rPr>
        <w:t>ate</w:t>
      </w:r>
      <w:r w:rsidRPr="0063640A">
        <w:rPr>
          <w:rFonts w:ascii="Franklin Gothic Book" w:eastAsiaTheme="minorHAnsi" w:hAnsi="Franklin Gothic Book" w:cstheme="minorBidi"/>
          <w:sz w:val="22"/>
          <w:szCs w:val="22"/>
        </w:rPr>
        <w:t xml:space="preserve"> risk of AF [≥1.3; &lt;2.67]. According to the structure of the </w:t>
      </w:r>
      <w:r w:rsidR="00262732" w:rsidRPr="0063640A">
        <w:rPr>
          <w:rFonts w:ascii="Franklin Gothic Book" w:eastAsiaTheme="minorHAnsi" w:hAnsi="Franklin Gothic Book" w:cstheme="minorBidi"/>
          <w:sz w:val="22"/>
          <w:szCs w:val="22"/>
        </w:rPr>
        <w:t xml:space="preserve">ADAR model, </w:t>
      </w:r>
      <w:r w:rsidR="00A802D9">
        <w:rPr>
          <w:rFonts w:ascii="Franklin Gothic Book" w:eastAsiaTheme="minorHAnsi" w:hAnsi="Franklin Gothic Book" w:cstheme="minorBidi"/>
          <w:sz w:val="22"/>
          <w:szCs w:val="22"/>
        </w:rPr>
        <w:t xml:space="preserve">the population being tested with VCTE </w:t>
      </w:r>
      <w:r w:rsidR="006C6F34">
        <w:rPr>
          <w:rFonts w:ascii="Franklin Gothic Book" w:eastAsiaTheme="minorHAnsi" w:hAnsi="Franklin Gothic Book" w:cstheme="minorBidi"/>
          <w:sz w:val="22"/>
          <w:szCs w:val="22"/>
        </w:rPr>
        <w:t>is a</w:t>
      </w:r>
      <w:r w:rsidR="001A70E2">
        <w:rPr>
          <w:rFonts w:ascii="Franklin Gothic Book" w:eastAsiaTheme="minorHAnsi" w:hAnsi="Franklin Gothic Book" w:cstheme="minorBidi"/>
          <w:sz w:val="22"/>
          <w:szCs w:val="22"/>
        </w:rPr>
        <w:t xml:space="preserve"> subgroup of the MAFLD population </w:t>
      </w:r>
      <w:r w:rsidR="00262732" w:rsidRPr="0063640A">
        <w:rPr>
          <w:rFonts w:ascii="Franklin Gothic Book" w:eastAsiaTheme="minorHAnsi" w:hAnsi="Franklin Gothic Book" w:cstheme="minorBidi"/>
          <w:sz w:val="22"/>
          <w:szCs w:val="22"/>
        </w:rPr>
        <w:t>with</w:t>
      </w:r>
      <w:r w:rsidR="00262732">
        <w:rPr>
          <w:rFonts w:ascii="Franklin Gothic Book" w:eastAsiaTheme="minorHAnsi" w:hAnsi="Franklin Gothic Book" w:cstheme="minorBidi"/>
          <w:sz w:val="22"/>
          <w:szCs w:val="22"/>
        </w:rPr>
        <w:t xml:space="preserve"> FIB-4</w:t>
      </w:r>
      <w:r w:rsidR="00262732" w:rsidRPr="0063640A">
        <w:rPr>
          <w:rFonts w:ascii="Franklin Gothic Book" w:eastAsiaTheme="minorHAnsi" w:hAnsi="Franklin Gothic Book" w:cstheme="minorBidi"/>
          <w:sz w:val="22"/>
          <w:szCs w:val="22"/>
        </w:rPr>
        <w:t xml:space="preserve"> indetermin</w:t>
      </w:r>
      <w:r w:rsidR="00262732">
        <w:rPr>
          <w:rFonts w:ascii="Franklin Gothic Book" w:eastAsiaTheme="minorHAnsi" w:hAnsi="Franklin Gothic Book" w:cstheme="minorBidi"/>
          <w:sz w:val="22"/>
          <w:szCs w:val="22"/>
        </w:rPr>
        <w:t>ate</w:t>
      </w:r>
      <w:r w:rsidR="00262732" w:rsidRPr="0063640A">
        <w:rPr>
          <w:rFonts w:ascii="Franklin Gothic Book" w:eastAsiaTheme="minorHAnsi" w:hAnsi="Franklin Gothic Book" w:cstheme="minorBidi"/>
          <w:sz w:val="22"/>
          <w:szCs w:val="22"/>
        </w:rPr>
        <w:t xml:space="preserve"> results</w:t>
      </w:r>
      <w:r w:rsidR="006B02ED">
        <w:rPr>
          <w:rFonts w:ascii="Franklin Gothic Book" w:eastAsiaTheme="minorHAnsi" w:hAnsi="Franklin Gothic Book" w:cstheme="minorBidi"/>
          <w:sz w:val="22"/>
          <w:szCs w:val="22"/>
        </w:rPr>
        <w:t xml:space="preserve"> and higher</w:t>
      </w:r>
      <w:r w:rsidR="006C6F34">
        <w:rPr>
          <w:rFonts w:ascii="Franklin Gothic Book" w:eastAsiaTheme="minorHAnsi" w:hAnsi="Franklin Gothic Book" w:cstheme="minorBidi"/>
          <w:sz w:val="22"/>
          <w:szCs w:val="22"/>
        </w:rPr>
        <w:t xml:space="preserve"> values</w:t>
      </w:r>
      <w:r w:rsidR="00F03AAE">
        <w:rPr>
          <w:rFonts w:ascii="Franklin Gothic Book" w:eastAsiaTheme="minorHAnsi" w:hAnsi="Franklin Gothic Book" w:cstheme="minorBidi"/>
          <w:sz w:val="22"/>
          <w:szCs w:val="22"/>
        </w:rPr>
        <w:t>,</w:t>
      </w:r>
      <w:r w:rsidR="00262732" w:rsidRPr="009053C9">
        <w:rPr>
          <w:rFonts w:ascii="Franklin Gothic Book" w:hAnsi="Franklin Gothic Book"/>
          <w:i/>
          <w:iCs/>
          <w:color w:val="00B0F0"/>
          <w:sz w:val="22"/>
          <w:szCs w:val="22"/>
        </w:rPr>
        <w:t xml:space="preserve"> </w:t>
      </w:r>
      <w:r w:rsidR="006B02ED">
        <w:rPr>
          <w:rFonts w:ascii="Franklin Gothic Book" w:eastAsiaTheme="minorHAnsi" w:hAnsi="Franklin Gothic Book" w:cstheme="minorBidi"/>
          <w:sz w:val="22"/>
          <w:szCs w:val="22"/>
        </w:rPr>
        <w:t>as per the ratified PICO</w:t>
      </w:r>
      <w:r w:rsidR="00262732" w:rsidRPr="00607330">
        <w:rPr>
          <w:rFonts w:ascii="Franklin Gothic Book" w:eastAsiaTheme="minorHAnsi" w:hAnsi="Franklin Gothic Book" w:cstheme="minorBidi"/>
          <w:sz w:val="22"/>
          <w:szCs w:val="22"/>
        </w:rPr>
        <w:t xml:space="preserve">. </w:t>
      </w:r>
    </w:p>
    <w:p w14:paraId="3851F954" w14:textId="689FD74D" w:rsidR="00142DED" w:rsidRDefault="0063640A" w:rsidP="00F3422A">
      <w:pPr>
        <w:pStyle w:val="BodyText"/>
        <w:keepLines w:val="0"/>
        <w:rPr>
          <w:rFonts w:ascii="Franklin Gothic Book" w:eastAsiaTheme="minorHAnsi" w:hAnsi="Franklin Gothic Book" w:cstheme="minorBidi"/>
          <w:sz w:val="22"/>
          <w:szCs w:val="22"/>
        </w:rPr>
      </w:pPr>
      <w:r w:rsidRPr="0063640A">
        <w:rPr>
          <w:rFonts w:ascii="Franklin Gothic Book" w:eastAsiaTheme="minorHAnsi" w:hAnsi="Franklin Gothic Book" w:cstheme="minorBidi"/>
          <w:sz w:val="22"/>
          <w:szCs w:val="22"/>
        </w:rPr>
        <w:t xml:space="preserve">However, there is a conceptual problem with estimating the prevalence of AF in this subgroup. By definition, the proportion of true positives (or true negatives) is unknown. </w:t>
      </w:r>
      <w:r w:rsidR="00262732">
        <w:rPr>
          <w:rFonts w:ascii="Franklin Gothic Book" w:eastAsiaTheme="minorHAnsi" w:hAnsi="Franklin Gothic Book" w:cstheme="minorBidi"/>
          <w:sz w:val="22"/>
          <w:szCs w:val="22"/>
        </w:rPr>
        <w:t>Facing the conceptual nature of the “indeterminate” as in the non-binary outcomes of FIB-4, i</w:t>
      </w:r>
      <w:r w:rsidR="00262732" w:rsidRPr="00AD78B5">
        <w:rPr>
          <w:rFonts w:ascii="Franklin Gothic Book" w:eastAsiaTheme="minorHAnsi" w:hAnsi="Franklin Gothic Book" w:cstheme="minorBidi"/>
          <w:sz w:val="22"/>
          <w:szCs w:val="22"/>
        </w:rPr>
        <w:t xml:space="preserve">t is likely that </w:t>
      </w:r>
      <w:r w:rsidR="00262732">
        <w:rPr>
          <w:rFonts w:ascii="Franklin Gothic Book" w:eastAsiaTheme="minorHAnsi" w:hAnsi="Franklin Gothic Book" w:cstheme="minorBidi"/>
          <w:sz w:val="22"/>
          <w:szCs w:val="22"/>
        </w:rPr>
        <w:t xml:space="preserve">a </w:t>
      </w:r>
      <w:r w:rsidR="00262732" w:rsidRPr="00AD78B5">
        <w:rPr>
          <w:rFonts w:ascii="Franklin Gothic Book" w:eastAsiaTheme="minorHAnsi" w:hAnsi="Franklin Gothic Book" w:cstheme="minorBidi"/>
          <w:sz w:val="22"/>
          <w:szCs w:val="22"/>
        </w:rPr>
        <w:t>reliable estimate of AF prevalence in the indeterminate FIB-4 subgroup, which is unknown by definition</w:t>
      </w:r>
      <w:r w:rsidR="00262732">
        <w:rPr>
          <w:rFonts w:ascii="Franklin Gothic Book" w:eastAsiaTheme="minorHAnsi" w:hAnsi="Franklin Gothic Book" w:cstheme="minorBidi"/>
          <w:sz w:val="22"/>
          <w:szCs w:val="22"/>
        </w:rPr>
        <w:t>,</w:t>
      </w:r>
      <w:r w:rsidR="00262732" w:rsidRPr="00AD78B5">
        <w:rPr>
          <w:rFonts w:ascii="Franklin Gothic Book" w:eastAsiaTheme="minorHAnsi" w:hAnsi="Franklin Gothic Book" w:cstheme="minorBidi"/>
          <w:sz w:val="22"/>
          <w:szCs w:val="22"/>
        </w:rPr>
        <w:t xml:space="preserve"> could not be obtained without a reference standard – a histological tissue sample</w:t>
      </w:r>
      <w:r w:rsidR="00262732">
        <w:rPr>
          <w:rFonts w:ascii="Franklin Gothic Book" w:eastAsiaTheme="minorHAnsi" w:hAnsi="Franklin Gothic Book" w:cstheme="minorBidi"/>
          <w:sz w:val="22"/>
          <w:szCs w:val="22"/>
        </w:rPr>
        <w:t>.</w:t>
      </w:r>
      <w:r w:rsidR="00262732" w:rsidRPr="00AD78B5">
        <w:rPr>
          <w:rFonts w:ascii="Franklin Gothic Book" w:eastAsiaTheme="minorHAnsi" w:hAnsi="Franklin Gothic Book" w:cstheme="minorBidi"/>
          <w:sz w:val="22"/>
          <w:szCs w:val="22"/>
        </w:rPr>
        <w:t xml:space="preserve"> </w:t>
      </w:r>
      <w:r w:rsidR="00262732">
        <w:rPr>
          <w:rFonts w:ascii="Franklin Gothic Book" w:eastAsiaTheme="minorHAnsi" w:hAnsi="Franklin Gothic Book" w:cstheme="minorBidi"/>
          <w:sz w:val="22"/>
          <w:szCs w:val="22"/>
        </w:rPr>
        <w:t xml:space="preserve">Nevertheless, the ADAR </w:t>
      </w:r>
      <w:r w:rsidR="001A7004">
        <w:rPr>
          <w:rFonts w:ascii="Franklin Gothic Book" w:eastAsiaTheme="minorHAnsi" w:hAnsi="Franklin Gothic Book" w:cstheme="minorBidi"/>
          <w:sz w:val="22"/>
          <w:szCs w:val="22"/>
        </w:rPr>
        <w:t>attempted</w:t>
      </w:r>
      <w:r w:rsidR="00262732">
        <w:rPr>
          <w:rFonts w:ascii="Franklin Gothic Book" w:eastAsiaTheme="minorHAnsi" w:hAnsi="Franklin Gothic Book" w:cstheme="minorBidi"/>
          <w:sz w:val="22"/>
          <w:szCs w:val="22"/>
        </w:rPr>
        <w:t xml:space="preserve"> to empirically estimate the prevalence of AF in the FIB-4 indeterminate subgroup by employing d</w:t>
      </w:r>
      <w:r w:rsidR="00262732" w:rsidRPr="0005467B">
        <w:rPr>
          <w:rFonts w:ascii="Franklin Gothic Book" w:eastAsiaTheme="minorHAnsi" w:hAnsi="Franklin Gothic Book" w:cstheme="minorBidi"/>
          <w:sz w:val="22"/>
          <w:szCs w:val="22"/>
        </w:rPr>
        <w:t>ata from th</w:t>
      </w:r>
      <w:r w:rsidR="00262732">
        <w:rPr>
          <w:rFonts w:ascii="Franklin Gothic Book" w:eastAsiaTheme="minorHAnsi" w:hAnsi="Franklin Gothic Book" w:cstheme="minorBidi"/>
          <w:sz w:val="22"/>
          <w:szCs w:val="22"/>
        </w:rPr>
        <w:t xml:space="preserve">ree disparate </w:t>
      </w:r>
      <w:r w:rsidR="00262732" w:rsidRPr="0005467B">
        <w:rPr>
          <w:rFonts w:ascii="Franklin Gothic Book" w:eastAsiaTheme="minorHAnsi" w:hAnsi="Franklin Gothic Book" w:cstheme="minorBidi"/>
          <w:sz w:val="22"/>
          <w:szCs w:val="22"/>
        </w:rPr>
        <w:t xml:space="preserve">publications </w:t>
      </w:r>
      <w:r w:rsidR="00262732" w:rsidRPr="00A32A57">
        <w:rPr>
          <w:rFonts w:ascii="Franklin Gothic Book" w:eastAsiaTheme="minorHAnsi" w:hAnsi="Franklin Gothic Book" w:cstheme="minorBidi"/>
          <w:sz w:val="22"/>
          <w:szCs w:val="22"/>
        </w:rPr>
        <w:t>(Armstrong 2012, McPherson 2010 and Anstee 2024)</w:t>
      </w:r>
      <w:r w:rsidR="00262732">
        <w:rPr>
          <w:rFonts w:ascii="Franklin Gothic Book" w:eastAsiaTheme="minorHAnsi" w:hAnsi="Franklin Gothic Book" w:cstheme="minorBidi"/>
          <w:sz w:val="22"/>
          <w:szCs w:val="22"/>
        </w:rPr>
        <w:t xml:space="preserve">, each with </w:t>
      </w:r>
      <w:r w:rsidR="00262732" w:rsidRPr="0005467B">
        <w:rPr>
          <w:rFonts w:ascii="Franklin Gothic Book" w:eastAsiaTheme="minorHAnsi" w:hAnsi="Franklin Gothic Book" w:cstheme="minorBidi"/>
          <w:sz w:val="22"/>
          <w:szCs w:val="22"/>
        </w:rPr>
        <w:t>applicability</w:t>
      </w:r>
      <w:r w:rsidR="00262732">
        <w:rPr>
          <w:rFonts w:ascii="Franklin Gothic Book" w:eastAsiaTheme="minorHAnsi" w:hAnsi="Franklin Gothic Book" w:cstheme="minorBidi"/>
          <w:sz w:val="22"/>
          <w:szCs w:val="22"/>
        </w:rPr>
        <w:t xml:space="preserve"> issues with respect to the target population as defined in the Ratified PICO, as explained below. The exercise</w:t>
      </w:r>
      <w:r w:rsidR="00262732" w:rsidRPr="0005467B">
        <w:rPr>
          <w:rFonts w:ascii="Franklin Gothic Book" w:eastAsiaTheme="minorHAnsi" w:hAnsi="Franklin Gothic Book" w:cstheme="minorBidi"/>
          <w:sz w:val="22"/>
          <w:szCs w:val="22"/>
        </w:rPr>
        <w:t xml:space="preserve"> does not seem to have produced a valid estimate of the AF prevalence in the indeterminate FIB-4 subgroup. </w:t>
      </w:r>
      <w:r w:rsidRPr="0063640A">
        <w:rPr>
          <w:rFonts w:ascii="Franklin Gothic Book" w:eastAsiaTheme="minorHAnsi" w:hAnsi="Franklin Gothic Book" w:cstheme="minorBidi"/>
          <w:sz w:val="22"/>
          <w:szCs w:val="22"/>
        </w:rPr>
        <w:t xml:space="preserve">Conventionally, for a given sensitivity and specificity of a test, a Bayesian revision theorem is applied, where the Bayesian prior is set equal to the prevalence of a condition in the population, which is unknown for the subgroup with indeterminate test results. </w:t>
      </w:r>
      <w:r w:rsidR="00262732" w:rsidRPr="0063640A">
        <w:rPr>
          <w:rFonts w:ascii="Franklin Gothic Book" w:eastAsiaTheme="minorHAnsi" w:hAnsi="Franklin Gothic Book" w:cstheme="minorBidi"/>
          <w:sz w:val="22"/>
          <w:szCs w:val="22"/>
        </w:rPr>
        <w:t>The prevalence of AF in the “indetermin</w:t>
      </w:r>
      <w:r w:rsidR="00262732">
        <w:rPr>
          <w:rFonts w:ascii="Franklin Gothic Book" w:eastAsiaTheme="minorHAnsi" w:hAnsi="Franklin Gothic Book" w:cstheme="minorBidi"/>
          <w:sz w:val="22"/>
          <w:szCs w:val="22"/>
        </w:rPr>
        <w:t>ate</w:t>
      </w:r>
      <w:r w:rsidR="00262732" w:rsidRPr="0063640A">
        <w:rPr>
          <w:rFonts w:ascii="Franklin Gothic Book" w:eastAsiaTheme="minorHAnsi" w:hAnsi="Franklin Gothic Book" w:cstheme="minorBidi"/>
          <w:sz w:val="22"/>
          <w:szCs w:val="22"/>
        </w:rPr>
        <w:t>” subgroup cannot be estimated by probabilistic means, but it can be calculated, with some degree of precision, from observations in the individual patients’ test results, provid</w:t>
      </w:r>
      <w:r w:rsidR="001A7004">
        <w:rPr>
          <w:rFonts w:ascii="Franklin Gothic Book" w:eastAsiaTheme="minorHAnsi" w:hAnsi="Franklin Gothic Book" w:cstheme="minorBidi"/>
          <w:sz w:val="22"/>
          <w:szCs w:val="22"/>
        </w:rPr>
        <w:t>ed</w:t>
      </w:r>
      <w:r w:rsidR="00262732" w:rsidRPr="0063640A">
        <w:rPr>
          <w:rFonts w:ascii="Franklin Gothic Book" w:eastAsiaTheme="minorHAnsi" w:hAnsi="Franklin Gothic Book" w:cstheme="minorBidi"/>
          <w:sz w:val="22"/>
          <w:szCs w:val="22"/>
        </w:rPr>
        <w:t xml:space="preserve"> each of these results is validated with a histological sample and assuming that liver biopsy is a reference standard. </w:t>
      </w:r>
      <w:r w:rsidRPr="0063640A">
        <w:rPr>
          <w:rFonts w:ascii="Franklin Gothic Book" w:eastAsiaTheme="minorHAnsi" w:hAnsi="Franklin Gothic Book" w:cstheme="minorBidi"/>
          <w:sz w:val="22"/>
          <w:szCs w:val="22"/>
        </w:rPr>
        <w:t>The most prominent source of such data is a meta-analysis by Mozes 2022</w:t>
      </w:r>
      <w:r w:rsidR="009E1696">
        <w:rPr>
          <w:rFonts w:ascii="Franklin Gothic Book" w:eastAsiaTheme="minorHAnsi" w:hAnsi="Franklin Gothic Book" w:cstheme="minorBidi"/>
          <w:sz w:val="22"/>
          <w:szCs w:val="22"/>
        </w:rPr>
        <w:t xml:space="preserve">, which was relied upon by the ADAR to inform the accuracy of VCTE. However, as discussed above, Mozes 2022 had poor applicability to the proposed </w:t>
      </w:r>
      <w:r w:rsidR="00910FFF">
        <w:rPr>
          <w:rFonts w:ascii="Franklin Gothic Book" w:eastAsiaTheme="minorHAnsi" w:hAnsi="Franklin Gothic Book" w:cstheme="minorBidi"/>
          <w:sz w:val="22"/>
          <w:szCs w:val="22"/>
        </w:rPr>
        <w:t xml:space="preserve">research question as the VCTE thresholds differed </w:t>
      </w:r>
      <w:r w:rsidR="00C01A09">
        <w:rPr>
          <w:rFonts w:ascii="Franklin Gothic Book" w:eastAsiaTheme="minorHAnsi" w:hAnsi="Franklin Gothic Book" w:cstheme="minorBidi"/>
          <w:sz w:val="22"/>
          <w:szCs w:val="22"/>
        </w:rPr>
        <w:t xml:space="preserve">from </w:t>
      </w:r>
      <w:r w:rsidR="00910FFF">
        <w:rPr>
          <w:rFonts w:ascii="Franklin Gothic Book" w:eastAsiaTheme="minorHAnsi" w:hAnsi="Franklin Gothic Book" w:cstheme="minorBidi"/>
          <w:sz w:val="22"/>
          <w:szCs w:val="22"/>
        </w:rPr>
        <w:t>that proposed in the ADAR, and sequential strategy A in Mozes 2022 did not report results for FIB-4 &gt;1.3 only to inform the comparator arm for Population 2</w:t>
      </w:r>
      <w:r w:rsidR="009E4EAC">
        <w:rPr>
          <w:rFonts w:ascii="Franklin Gothic Book" w:eastAsiaTheme="minorHAnsi" w:hAnsi="Franklin Gothic Book" w:cstheme="minorBidi"/>
          <w:sz w:val="22"/>
          <w:szCs w:val="22"/>
        </w:rPr>
        <w:t xml:space="preserve">. </w:t>
      </w:r>
      <w:r w:rsidR="00B26FCE">
        <w:rPr>
          <w:rFonts w:ascii="Franklin Gothic Book" w:eastAsiaTheme="minorHAnsi" w:hAnsi="Franklin Gothic Book" w:cstheme="minorBidi"/>
          <w:sz w:val="22"/>
          <w:szCs w:val="22"/>
        </w:rPr>
        <w:t xml:space="preserve">As such, the diagnostic accuracy results for VCTE applied in the model were not applicable to the ADAR’s </w:t>
      </w:r>
      <w:r w:rsidR="00451EE2">
        <w:rPr>
          <w:rFonts w:ascii="Franklin Gothic Book" w:eastAsiaTheme="minorHAnsi" w:hAnsi="Franklin Gothic Book" w:cstheme="minorBidi"/>
          <w:sz w:val="22"/>
          <w:szCs w:val="22"/>
        </w:rPr>
        <w:t>proposed VCTE thresholds</w:t>
      </w:r>
      <w:r w:rsidR="00B26FCE">
        <w:rPr>
          <w:rFonts w:ascii="Franklin Gothic Book" w:eastAsiaTheme="minorHAnsi" w:hAnsi="Franklin Gothic Book" w:cstheme="minorBidi"/>
          <w:sz w:val="22"/>
          <w:szCs w:val="22"/>
        </w:rPr>
        <w:t xml:space="preserve"> and the results of the economic analysis based on these </w:t>
      </w:r>
      <w:r w:rsidR="009F6A25">
        <w:rPr>
          <w:rFonts w:ascii="Franklin Gothic Book" w:eastAsiaTheme="minorHAnsi" w:hAnsi="Franklin Gothic Book" w:cstheme="minorBidi"/>
          <w:sz w:val="22"/>
          <w:szCs w:val="22"/>
        </w:rPr>
        <w:t xml:space="preserve">diagnostic accuracy results were uncertain. </w:t>
      </w:r>
    </w:p>
    <w:p w14:paraId="324B027C" w14:textId="0E2B6C86" w:rsidR="00147D81" w:rsidRDefault="009E4EAC" w:rsidP="00F3422A">
      <w:pPr>
        <w:pStyle w:val="BodyText"/>
        <w:keepLines w:val="0"/>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There were also issues with assumptions </w:t>
      </w:r>
      <w:r w:rsidR="00C01A09">
        <w:rPr>
          <w:rFonts w:ascii="Franklin Gothic Book" w:eastAsiaTheme="minorHAnsi" w:hAnsi="Franklin Gothic Book" w:cstheme="minorBidi"/>
          <w:sz w:val="22"/>
          <w:szCs w:val="22"/>
        </w:rPr>
        <w:t>regarding the</w:t>
      </w:r>
      <w:r>
        <w:rPr>
          <w:rFonts w:ascii="Franklin Gothic Book" w:eastAsiaTheme="minorHAnsi" w:hAnsi="Franklin Gothic Book" w:cstheme="minorBidi"/>
          <w:sz w:val="22"/>
          <w:szCs w:val="22"/>
        </w:rPr>
        <w:t xml:space="preserve"> inputs used in the economic model. For example</w:t>
      </w:r>
      <w:r w:rsidR="00147D81">
        <w:rPr>
          <w:rFonts w:ascii="Franklin Gothic Book" w:eastAsiaTheme="minorHAnsi" w:hAnsi="Franklin Gothic Book" w:cstheme="minorBidi"/>
          <w:sz w:val="22"/>
          <w:szCs w:val="22"/>
        </w:rPr>
        <w:t>:</w:t>
      </w:r>
    </w:p>
    <w:p w14:paraId="38FA21A6" w14:textId="17165412" w:rsidR="00147D81" w:rsidRDefault="000B2792" w:rsidP="005E01EA">
      <w:pPr>
        <w:pStyle w:val="BodyText"/>
        <w:keepLines w:val="0"/>
        <w:numPr>
          <w:ilvl w:val="0"/>
          <w:numId w:val="20"/>
        </w:numPr>
        <w:rPr>
          <w:rFonts w:ascii="Franklin Gothic Book" w:eastAsiaTheme="minorHAnsi" w:hAnsi="Franklin Gothic Book" w:cstheme="minorBidi"/>
          <w:sz w:val="22"/>
          <w:szCs w:val="22"/>
        </w:rPr>
      </w:pPr>
      <w:r w:rsidRPr="00AA5AF3">
        <w:rPr>
          <w:rFonts w:ascii="Franklin Gothic Book" w:eastAsiaTheme="minorHAnsi" w:hAnsi="Franklin Gothic Book" w:cstheme="minorBidi"/>
          <w:sz w:val="22"/>
          <w:szCs w:val="22"/>
        </w:rPr>
        <w:t>McPherson 2010</w:t>
      </w:r>
      <w:r w:rsidR="009E4EAC">
        <w:rPr>
          <w:rFonts w:ascii="Franklin Gothic Book" w:eastAsiaTheme="minorHAnsi" w:hAnsi="Franklin Gothic Book" w:cstheme="minorBidi"/>
          <w:sz w:val="22"/>
          <w:szCs w:val="22"/>
        </w:rPr>
        <w:t xml:space="preserve"> was used to inform</w:t>
      </w:r>
      <w:r w:rsidR="00110B1B">
        <w:rPr>
          <w:rFonts w:ascii="Franklin Gothic Book" w:eastAsiaTheme="minorHAnsi" w:hAnsi="Franklin Gothic Book" w:cstheme="minorBidi"/>
          <w:sz w:val="22"/>
          <w:szCs w:val="22"/>
        </w:rPr>
        <w:t xml:space="preserve"> the sensitivity and specificity of FIB-4 testing for both the rule</w:t>
      </w:r>
      <w:r w:rsidR="008B7653">
        <w:rPr>
          <w:rFonts w:ascii="Franklin Gothic Book" w:eastAsiaTheme="minorHAnsi" w:hAnsi="Franklin Gothic Book" w:cstheme="minorBidi"/>
          <w:sz w:val="22"/>
          <w:szCs w:val="22"/>
        </w:rPr>
        <w:t>-</w:t>
      </w:r>
      <w:r w:rsidR="00110B1B">
        <w:rPr>
          <w:rFonts w:ascii="Franklin Gothic Book" w:eastAsiaTheme="minorHAnsi" w:hAnsi="Franklin Gothic Book" w:cstheme="minorBidi"/>
          <w:sz w:val="22"/>
          <w:szCs w:val="22"/>
        </w:rPr>
        <w:t>in and rule</w:t>
      </w:r>
      <w:r w:rsidR="008B7653">
        <w:rPr>
          <w:rFonts w:ascii="Franklin Gothic Book" w:eastAsiaTheme="minorHAnsi" w:hAnsi="Franklin Gothic Book" w:cstheme="minorBidi"/>
          <w:sz w:val="22"/>
          <w:szCs w:val="22"/>
        </w:rPr>
        <w:t>-</w:t>
      </w:r>
      <w:r w:rsidR="00110B1B">
        <w:rPr>
          <w:rFonts w:ascii="Franklin Gothic Book" w:eastAsiaTheme="minorHAnsi" w:hAnsi="Franklin Gothic Book" w:cstheme="minorBidi"/>
          <w:sz w:val="22"/>
          <w:szCs w:val="22"/>
        </w:rPr>
        <w:t xml:space="preserve">out thresholds; however, McPherson 2010 assessed </w:t>
      </w:r>
      <w:r w:rsidR="00E84B68">
        <w:rPr>
          <w:rFonts w:ascii="Franklin Gothic Book" w:eastAsiaTheme="minorHAnsi" w:hAnsi="Franklin Gothic Book" w:cstheme="minorBidi"/>
          <w:sz w:val="22"/>
          <w:szCs w:val="22"/>
        </w:rPr>
        <w:t xml:space="preserve">the accuracy of </w:t>
      </w:r>
      <w:r w:rsidR="00110B1B">
        <w:rPr>
          <w:rFonts w:ascii="Franklin Gothic Book" w:eastAsiaTheme="minorHAnsi" w:hAnsi="Franklin Gothic Book" w:cstheme="minorBidi"/>
          <w:sz w:val="22"/>
          <w:szCs w:val="22"/>
        </w:rPr>
        <w:t xml:space="preserve">FIB-4 </w:t>
      </w:r>
      <w:r w:rsidR="00E84B68">
        <w:rPr>
          <w:rFonts w:ascii="Franklin Gothic Book" w:eastAsiaTheme="minorHAnsi" w:hAnsi="Franklin Gothic Book" w:cstheme="minorBidi"/>
          <w:sz w:val="22"/>
          <w:szCs w:val="22"/>
        </w:rPr>
        <w:t xml:space="preserve">with a </w:t>
      </w:r>
      <w:r w:rsidR="000A1F46">
        <w:rPr>
          <w:rFonts w:ascii="Franklin Gothic Book" w:eastAsiaTheme="minorHAnsi" w:hAnsi="Franklin Gothic Book" w:cstheme="minorBidi"/>
          <w:sz w:val="22"/>
          <w:szCs w:val="22"/>
        </w:rPr>
        <w:t>rule-in</w:t>
      </w:r>
      <w:r w:rsidR="00E84B68">
        <w:rPr>
          <w:rFonts w:ascii="Franklin Gothic Book" w:eastAsiaTheme="minorHAnsi" w:hAnsi="Franklin Gothic Book" w:cstheme="minorBidi"/>
          <w:sz w:val="22"/>
          <w:szCs w:val="22"/>
        </w:rPr>
        <w:t xml:space="preserve"> threshold of 3.25, whereas the ADAR proposed a </w:t>
      </w:r>
      <w:r w:rsidR="000A1F46">
        <w:rPr>
          <w:rFonts w:ascii="Franklin Gothic Book" w:eastAsiaTheme="minorHAnsi" w:hAnsi="Franklin Gothic Book" w:cstheme="minorBidi"/>
          <w:sz w:val="22"/>
          <w:szCs w:val="22"/>
        </w:rPr>
        <w:t>rule-in</w:t>
      </w:r>
      <w:r w:rsidR="00E84B68">
        <w:rPr>
          <w:rFonts w:ascii="Franklin Gothic Book" w:eastAsiaTheme="minorHAnsi" w:hAnsi="Franklin Gothic Book" w:cstheme="minorBidi"/>
          <w:sz w:val="22"/>
          <w:szCs w:val="22"/>
        </w:rPr>
        <w:t xml:space="preserve"> threshold of 2.67. </w:t>
      </w:r>
      <w:r w:rsidR="00451EE2">
        <w:rPr>
          <w:rFonts w:ascii="Franklin Gothic Book" w:eastAsiaTheme="minorHAnsi" w:hAnsi="Franklin Gothic Book" w:cstheme="minorBidi"/>
          <w:sz w:val="22"/>
          <w:szCs w:val="22"/>
        </w:rPr>
        <w:t>As such, the diagnostic accuracy for FIB-4 in the economic model w</w:t>
      </w:r>
      <w:r w:rsidR="00FE3427">
        <w:rPr>
          <w:rFonts w:ascii="Franklin Gothic Book" w:eastAsiaTheme="minorHAnsi" w:hAnsi="Franklin Gothic Book" w:cstheme="minorBidi"/>
          <w:sz w:val="22"/>
          <w:szCs w:val="22"/>
        </w:rPr>
        <w:t>as</w:t>
      </w:r>
      <w:r w:rsidR="00451EE2">
        <w:rPr>
          <w:rFonts w:ascii="Franklin Gothic Book" w:eastAsiaTheme="minorHAnsi" w:hAnsi="Franklin Gothic Book" w:cstheme="minorBidi"/>
          <w:sz w:val="22"/>
          <w:szCs w:val="22"/>
        </w:rPr>
        <w:t xml:space="preserve"> unlikely to represent the accuracy in the clinical setting as proposed in the ADAR</w:t>
      </w:r>
      <w:r w:rsidR="00147D81">
        <w:rPr>
          <w:rFonts w:ascii="Franklin Gothic Book" w:eastAsiaTheme="minorHAnsi" w:hAnsi="Franklin Gothic Book" w:cstheme="minorBidi"/>
          <w:sz w:val="22"/>
          <w:szCs w:val="22"/>
        </w:rPr>
        <w:t>;</w:t>
      </w:r>
    </w:p>
    <w:p w14:paraId="4940DD43" w14:textId="5C295AE0" w:rsidR="00147D81" w:rsidRDefault="00E84B68" w:rsidP="005E01EA">
      <w:pPr>
        <w:pStyle w:val="BodyText"/>
        <w:keepLines w:val="0"/>
        <w:numPr>
          <w:ilvl w:val="0"/>
          <w:numId w:val="20"/>
        </w:numPr>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Anstee 2024</w:t>
      </w:r>
      <w:r w:rsidR="00A24E33">
        <w:rPr>
          <w:rFonts w:ascii="Franklin Gothic Book" w:eastAsiaTheme="minorHAnsi" w:hAnsi="Franklin Gothic Book" w:cstheme="minorBidi"/>
          <w:sz w:val="22"/>
          <w:szCs w:val="22"/>
        </w:rPr>
        <w:t>, which primarily enrolled patients in primary care</w:t>
      </w:r>
      <w:r>
        <w:rPr>
          <w:rFonts w:ascii="Franklin Gothic Book" w:eastAsiaTheme="minorHAnsi" w:hAnsi="Franklin Gothic Book" w:cstheme="minorBidi"/>
          <w:sz w:val="22"/>
          <w:szCs w:val="22"/>
        </w:rPr>
        <w:t xml:space="preserve"> </w:t>
      </w:r>
      <w:r w:rsidR="00A24E33">
        <w:rPr>
          <w:rFonts w:ascii="Franklin Gothic Book" w:eastAsiaTheme="minorHAnsi" w:hAnsi="Franklin Gothic Book" w:cstheme="minorBidi"/>
          <w:sz w:val="22"/>
          <w:szCs w:val="22"/>
        </w:rPr>
        <w:t>was used to inform the distribution of FIB-4 in the population</w:t>
      </w:r>
      <w:r w:rsidR="000B2792">
        <w:rPr>
          <w:rFonts w:ascii="Franklin Gothic Book" w:eastAsiaTheme="minorHAnsi" w:hAnsi="Franklin Gothic Book" w:cstheme="minorBidi"/>
          <w:sz w:val="22"/>
          <w:szCs w:val="22"/>
        </w:rPr>
        <w:t xml:space="preserve"> </w:t>
      </w:r>
      <w:r w:rsidR="00A24E33">
        <w:rPr>
          <w:rFonts w:ascii="Franklin Gothic Book" w:eastAsiaTheme="minorHAnsi" w:hAnsi="Franklin Gothic Book" w:cstheme="minorBidi"/>
          <w:sz w:val="22"/>
          <w:szCs w:val="22"/>
        </w:rPr>
        <w:t xml:space="preserve">for both PICO 1 (primary care) and PICO 2 (secondary care) </w:t>
      </w:r>
      <w:r w:rsidR="00C801DA">
        <w:rPr>
          <w:rFonts w:ascii="Franklin Gothic Book" w:eastAsiaTheme="minorHAnsi" w:hAnsi="Franklin Gothic Book" w:cstheme="minorBidi"/>
          <w:sz w:val="22"/>
          <w:szCs w:val="22"/>
        </w:rPr>
        <w:t xml:space="preserve">even though distributions from Mozes 2022, which mainly included patients in secondary care, </w:t>
      </w:r>
      <w:r w:rsidR="00F71B3D">
        <w:rPr>
          <w:rFonts w:ascii="Franklin Gothic Book" w:eastAsiaTheme="minorHAnsi" w:hAnsi="Franklin Gothic Book" w:cstheme="minorBidi"/>
          <w:sz w:val="22"/>
          <w:szCs w:val="22"/>
        </w:rPr>
        <w:t xml:space="preserve">were </w:t>
      </w:r>
      <w:r w:rsidR="00C801DA">
        <w:rPr>
          <w:rFonts w:ascii="Franklin Gothic Book" w:eastAsiaTheme="minorHAnsi" w:hAnsi="Franklin Gothic Book" w:cstheme="minorBidi"/>
          <w:sz w:val="22"/>
          <w:szCs w:val="22"/>
        </w:rPr>
        <w:t>available</w:t>
      </w:r>
      <w:r w:rsidR="00147D81">
        <w:rPr>
          <w:rFonts w:ascii="Franklin Gothic Book" w:eastAsiaTheme="minorHAnsi" w:hAnsi="Franklin Gothic Book" w:cstheme="minorBidi"/>
          <w:sz w:val="22"/>
          <w:szCs w:val="22"/>
        </w:rPr>
        <w:t>;</w:t>
      </w:r>
      <w:r w:rsidR="007D7486">
        <w:rPr>
          <w:rFonts w:ascii="Franklin Gothic Book" w:eastAsiaTheme="minorHAnsi" w:hAnsi="Franklin Gothic Book" w:cstheme="minorBidi"/>
          <w:sz w:val="22"/>
          <w:szCs w:val="22"/>
        </w:rPr>
        <w:t xml:space="preserve"> and</w:t>
      </w:r>
    </w:p>
    <w:p w14:paraId="5B5A1AEF" w14:textId="3990321F" w:rsidR="00147D81" w:rsidRDefault="00147D81" w:rsidP="005E01EA">
      <w:pPr>
        <w:pStyle w:val="BodyText"/>
        <w:keepLines w:val="0"/>
        <w:numPr>
          <w:ilvl w:val="0"/>
          <w:numId w:val="20"/>
        </w:numPr>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Armstrong 2012</w:t>
      </w:r>
      <w:r w:rsidR="004057FC">
        <w:rPr>
          <w:rFonts w:ascii="Franklin Gothic Book" w:eastAsiaTheme="minorHAnsi" w:hAnsi="Franklin Gothic Book" w:cstheme="minorBidi"/>
          <w:sz w:val="22"/>
          <w:szCs w:val="22"/>
        </w:rPr>
        <w:t xml:space="preserve">, which reported a prevalence of 7.6% of AF in MAFLD patients in the primary care setting, was used for both primary and secondary care settings. </w:t>
      </w:r>
      <w:r w:rsidR="00FE177E">
        <w:rPr>
          <w:rFonts w:ascii="Franklin Gothic Book" w:eastAsiaTheme="minorHAnsi" w:hAnsi="Franklin Gothic Book" w:cstheme="minorBidi"/>
          <w:sz w:val="22"/>
          <w:szCs w:val="22"/>
        </w:rPr>
        <w:t>In comparison</w:t>
      </w:r>
      <w:r w:rsidR="004057FC">
        <w:rPr>
          <w:rFonts w:ascii="Franklin Gothic Book" w:eastAsiaTheme="minorHAnsi" w:hAnsi="Franklin Gothic Book" w:cstheme="minorBidi"/>
          <w:sz w:val="22"/>
          <w:szCs w:val="22"/>
        </w:rPr>
        <w:t xml:space="preserve">, Mozes 2022 reported a prevalence of 30% in the secondary/specialist care setting. </w:t>
      </w:r>
    </w:p>
    <w:p w14:paraId="6A83474C" w14:textId="7B537F8D" w:rsidR="000B2792" w:rsidRDefault="00C801DA" w:rsidP="00147D81">
      <w:pPr>
        <w:pStyle w:val="BodyText"/>
        <w:keepLines w:val="0"/>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These </w:t>
      </w:r>
      <w:r w:rsidR="00A4391C">
        <w:rPr>
          <w:rFonts w:ascii="Franklin Gothic Book" w:eastAsiaTheme="minorHAnsi" w:hAnsi="Franklin Gothic Book" w:cstheme="minorBidi"/>
          <w:sz w:val="22"/>
          <w:szCs w:val="22"/>
        </w:rPr>
        <w:t xml:space="preserve">issues increased the uncertainty </w:t>
      </w:r>
      <w:r w:rsidR="004212F7">
        <w:rPr>
          <w:rFonts w:ascii="Franklin Gothic Book" w:eastAsiaTheme="minorHAnsi" w:hAnsi="Franklin Gothic Book" w:cstheme="minorBidi"/>
          <w:sz w:val="22"/>
          <w:szCs w:val="22"/>
        </w:rPr>
        <w:t xml:space="preserve">associated </w:t>
      </w:r>
      <w:r w:rsidR="00A4391C">
        <w:rPr>
          <w:rFonts w:ascii="Franklin Gothic Book" w:eastAsiaTheme="minorHAnsi" w:hAnsi="Franklin Gothic Book" w:cstheme="minorBidi"/>
          <w:sz w:val="22"/>
          <w:szCs w:val="22"/>
        </w:rPr>
        <w:t>with the results presented by the ADAR</w:t>
      </w:r>
      <w:r w:rsidR="00462CDB">
        <w:rPr>
          <w:rFonts w:ascii="Franklin Gothic Book" w:eastAsiaTheme="minorHAnsi" w:hAnsi="Franklin Gothic Book" w:cstheme="minorBidi"/>
          <w:sz w:val="22"/>
          <w:szCs w:val="22"/>
        </w:rPr>
        <w:t xml:space="preserve"> economic model</w:t>
      </w:r>
      <w:r w:rsidR="00A4391C">
        <w:rPr>
          <w:rFonts w:ascii="Franklin Gothic Book" w:eastAsiaTheme="minorHAnsi" w:hAnsi="Franklin Gothic Book" w:cstheme="minorBidi"/>
          <w:sz w:val="22"/>
          <w:szCs w:val="22"/>
        </w:rPr>
        <w:t>.</w:t>
      </w:r>
      <w:r w:rsidR="000B2792" w:rsidRPr="009C790D">
        <w:rPr>
          <w:rFonts w:ascii="Franklin Gothic Book" w:eastAsiaTheme="minorHAnsi" w:hAnsi="Franklin Gothic Book" w:cstheme="minorBidi"/>
          <w:sz w:val="22"/>
          <w:szCs w:val="22"/>
        </w:rPr>
        <w:t xml:space="preserve"> </w:t>
      </w:r>
    </w:p>
    <w:p w14:paraId="49530D18" w14:textId="4D512E3F" w:rsidR="000B2792" w:rsidRDefault="00B91D36" w:rsidP="00B91D36">
      <w:pPr>
        <w:pStyle w:val="BodyText"/>
        <w:keepLines w:val="0"/>
        <w:rPr>
          <w:rFonts w:ascii="Franklin Gothic Book" w:eastAsiaTheme="minorEastAsia" w:hAnsi="Franklin Gothic Book" w:cstheme="minorBidi"/>
          <w:sz w:val="22"/>
          <w:szCs w:val="22"/>
        </w:rPr>
      </w:pPr>
      <w:r w:rsidRPr="099293F9">
        <w:rPr>
          <w:rFonts w:ascii="Franklin Gothic Book" w:eastAsiaTheme="minorEastAsia" w:hAnsi="Franklin Gothic Book" w:cstheme="minorBidi"/>
          <w:sz w:val="22"/>
          <w:szCs w:val="22"/>
        </w:rPr>
        <w:lastRenderedPageBreak/>
        <w:fldChar w:fldCharType="begin"/>
      </w:r>
      <w:r w:rsidRPr="099293F9">
        <w:rPr>
          <w:rFonts w:ascii="Franklin Gothic Book" w:eastAsiaTheme="minorEastAsia" w:hAnsi="Franklin Gothic Book" w:cstheme="minorBidi"/>
          <w:sz w:val="22"/>
          <w:szCs w:val="22"/>
        </w:rPr>
        <w:instrText xml:space="preserve"> REF _Ref205840339 \h  \* MERGEFORMAT </w:instrText>
      </w:r>
      <w:r w:rsidRPr="099293F9">
        <w:rPr>
          <w:rFonts w:ascii="Franklin Gothic Book" w:eastAsiaTheme="minorEastAsia" w:hAnsi="Franklin Gothic Book" w:cstheme="minorBidi"/>
          <w:sz w:val="22"/>
          <w:szCs w:val="22"/>
        </w:rPr>
      </w:r>
      <w:r w:rsidRPr="099293F9">
        <w:rPr>
          <w:rFonts w:ascii="Franklin Gothic Book" w:eastAsiaTheme="minorEastAsia" w:hAnsi="Franklin Gothic Book" w:cstheme="minorBidi"/>
          <w:sz w:val="22"/>
          <w:szCs w:val="22"/>
        </w:rPr>
        <w:fldChar w:fldCharType="separate"/>
      </w:r>
      <w:r w:rsidRPr="099293F9">
        <w:rPr>
          <w:rFonts w:ascii="Franklin Gothic Book" w:eastAsiaTheme="minorEastAsia" w:hAnsi="Franklin Gothic Book" w:cstheme="minorBidi"/>
          <w:sz w:val="22"/>
          <w:szCs w:val="22"/>
        </w:rPr>
        <w:t>Table 9</w:t>
      </w:r>
      <w:r w:rsidRPr="099293F9">
        <w:rPr>
          <w:rFonts w:ascii="Franklin Gothic Book" w:eastAsiaTheme="minorEastAsia" w:hAnsi="Franklin Gothic Book" w:cstheme="minorBidi"/>
          <w:sz w:val="22"/>
          <w:szCs w:val="22"/>
        </w:rPr>
        <w:fldChar w:fldCharType="end"/>
      </w:r>
      <w:r w:rsidR="000B2792" w:rsidRPr="099293F9">
        <w:rPr>
          <w:rFonts w:ascii="Franklin Gothic Book" w:eastAsiaTheme="minorEastAsia" w:hAnsi="Franklin Gothic Book" w:cstheme="minorBidi"/>
          <w:sz w:val="22"/>
          <w:szCs w:val="22"/>
        </w:rPr>
        <w:t xml:space="preserve"> </w:t>
      </w:r>
      <w:r w:rsidR="007D7486" w:rsidRPr="099293F9">
        <w:rPr>
          <w:rFonts w:ascii="Franklin Gothic Book" w:eastAsiaTheme="minorEastAsia" w:hAnsi="Franklin Gothic Book" w:cstheme="minorBidi"/>
          <w:sz w:val="22"/>
          <w:szCs w:val="22"/>
        </w:rPr>
        <w:t>and</w:t>
      </w:r>
      <w:r w:rsidR="007D7486" w:rsidRPr="00FD3B16">
        <w:rPr>
          <w:rFonts w:ascii="Franklin Gothic Book" w:eastAsiaTheme="minorEastAsia" w:hAnsi="Franklin Gothic Book" w:cstheme="minorBidi"/>
          <w:sz w:val="22"/>
          <w:szCs w:val="22"/>
        </w:rPr>
        <w:t xml:space="preserve"> </w:t>
      </w:r>
      <w:r w:rsidR="007D7486" w:rsidRPr="099293F9">
        <w:rPr>
          <w:rFonts w:ascii="Franklin Gothic Book" w:eastAsiaTheme="minorEastAsia" w:hAnsi="Franklin Gothic Book" w:cstheme="minorBidi"/>
          <w:sz w:val="22"/>
          <w:szCs w:val="22"/>
        </w:rPr>
        <w:fldChar w:fldCharType="begin"/>
      </w:r>
      <w:r w:rsidR="007D7486" w:rsidRPr="099293F9">
        <w:rPr>
          <w:rFonts w:ascii="Franklin Gothic Book" w:eastAsiaTheme="minorEastAsia" w:hAnsi="Franklin Gothic Book" w:cstheme="minorBidi"/>
          <w:sz w:val="22"/>
          <w:szCs w:val="22"/>
        </w:rPr>
        <w:instrText xml:space="preserve"> REF _Ref205840955 \h </w:instrText>
      </w:r>
      <w:r w:rsidR="000D453E">
        <w:rPr>
          <w:rFonts w:ascii="Franklin Gothic Book" w:eastAsiaTheme="minorEastAsia" w:hAnsi="Franklin Gothic Book" w:cstheme="minorBidi"/>
          <w:sz w:val="22"/>
          <w:szCs w:val="22"/>
        </w:rPr>
        <w:instrText xml:space="preserve"> \* MERGEFORMAT </w:instrText>
      </w:r>
      <w:r w:rsidR="007D7486" w:rsidRPr="099293F9">
        <w:rPr>
          <w:rFonts w:ascii="Franklin Gothic Book" w:eastAsiaTheme="minorEastAsia" w:hAnsi="Franklin Gothic Book" w:cstheme="minorBidi"/>
          <w:sz w:val="22"/>
          <w:szCs w:val="22"/>
        </w:rPr>
      </w:r>
      <w:r w:rsidR="007D7486" w:rsidRPr="099293F9">
        <w:rPr>
          <w:rFonts w:ascii="Franklin Gothic Book" w:eastAsiaTheme="minorEastAsia" w:hAnsi="Franklin Gothic Book" w:cstheme="minorBidi"/>
          <w:sz w:val="22"/>
          <w:szCs w:val="22"/>
        </w:rPr>
        <w:fldChar w:fldCharType="separate"/>
      </w:r>
      <w:r w:rsidR="007D7486" w:rsidRPr="00FD3B16">
        <w:rPr>
          <w:rFonts w:ascii="Franklin Gothic Book" w:eastAsiaTheme="minorEastAsia" w:hAnsi="Franklin Gothic Book" w:cstheme="minorBidi"/>
          <w:sz w:val="22"/>
          <w:szCs w:val="22"/>
        </w:rPr>
        <w:t>Table 10</w:t>
      </w:r>
      <w:r w:rsidR="007D7486" w:rsidRPr="099293F9">
        <w:rPr>
          <w:rFonts w:ascii="Franklin Gothic Book" w:eastAsiaTheme="minorEastAsia" w:hAnsi="Franklin Gothic Book" w:cstheme="minorBidi"/>
          <w:sz w:val="22"/>
          <w:szCs w:val="22"/>
        </w:rPr>
        <w:fldChar w:fldCharType="end"/>
      </w:r>
      <w:r w:rsidR="007D7486" w:rsidRPr="00FD3B16">
        <w:rPr>
          <w:rFonts w:ascii="Franklin Gothic Book" w:eastAsiaTheme="minorEastAsia" w:hAnsi="Franklin Gothic Book" w:cstheme="minorBidi"/>
          <w:sz w:val="22"/>
          <w:szCs w:val="22"/>
        </w:rPr>
        <w:t xml:space="preserve"> </w:t>
      </w:r>
      <w:r w:rsidR="000B2792" w:rsidRPr="099293F9">
        <w:rPr>
          <w:rFonts w:ascii="Franklin Gothic Book" w:eastAsiaTheme="minorEastAsia" w:hAnsi="Franklin Gothic Book" w:cstheme="minorBidi"/>
          <w:sz w:val="22"/>
          <w:szCs w:val="22"/>
        </w:rPr>
        <w:t>present the results of the ADAR model</w:t>
      </w:r>
      <w:r w:rsidR="007D7486" w:rsidRPr="099293F9">
        <w:rPr>
          <w:rFonts w:ascii="Franklin Gothic Book" w:eastAsiaTheme="minorEastAsia" w:hAnsi="Franklin Gothic Book" w:cstheme="minorBidi"/>
          <w:sz w:val="22"/>
          <w:szCs w:val="22"/>
        </w:rPr>
        <w:t xml:space="preserve"> for the PICO 1 and PICO 2 populations, respectively. However,</w:t>
      </w:r>
      <w:r w:rsidR="00A4391C" w:rsidRPr="099293F9">
        <w:rPr>
          <w:rFonts w:ascii="Franklin Gothic Book" w:eastAsiaTheme="minorEastAsia" w:hAnsi="Franklin Gothic Book" w:cstheme="minorBidi"/>
          <w:sz w:val="22"/>
          <w:szCs w:val="22"/>
        </w:rPr>
        <w:t xml:space="preserve"> </w:t>
      </w:r>
      <w:r w:rsidR="007D7486" w:rsidRPr="099293F9">
        <w:rPr>
          <w:rFonts w:ascii="Franklin Gothic Book" w:eastAsiaTheme="minorEastAsia" w:hAnsi="Franklin Gothic Book" w:cstheme="minorBidi"/>
          <w:sz w:val="22"/>
          <w:szCs w:val="22"/>
        </w:rPr>
        <w:t xml:space="preserve">the commentary </w:t>
      </w:r>
      <w:r w:rsidR="0007077A" w:rsidRPr="099293F9">
        <w:rPr>
          <w:rFonts w:ascii="Franklin Gothic Book" w:eastAsiaTheme="minorEastAsia" w:hAnsi="Franklin Gothic Book" w:cstheme="minorBidi"/>
          <w:sz w:val="22"/>
          <w:szCs w:val="22"/>
        </w:rPr>
        <w:t xml:space="preserve">considered that these results were likely uncertain, biased in favour of VCTE and may not be informative </w:t>
      </w:r>
      <w:r w:rsidR="00A4391C" w:rsidRPr="099293F9">
        <w:rPr>
          <w:rFonts w:ascii="Franklin Gothic Book" w:eastAsiaTheme="minorEastAsia" w:hAnsi="Franklin Gothic Book" w:cstheme="minorBidi"/>
          <w:sz w:val="22"/>
          <w:szCs w:val="22"/>
        </w:rPr>
        <w:t xml:space="preserve">for </w:t>
      </w:r>
      <w:r w:rsidR="007D7486" w:rsidRPr="099293F9">
        <w:rPr>
          <w:rFonts w:ascii="Franklin Gothic Book" w:eastAsiaTheme="minorEastAsia" w:hAnsi="Franklin Gothic Book" w:cstheme="minorBidi"/>
          <w:sz w:val="22"/>
          <w:szCs w:val="22"/>
        </w:rPr>
        <w:t xml:space="preserve">the multitude of </w:t>
      </w:r>
      <w:r w:rsidR="00A4391C" w:rsidRPr="099293F9">
        <w:rPr>
          <w:rFonts w:ascii="Franklin Gothic Book" w:eastAsiaTheme="minorEastAsia" w:hAnsi="Franklin Gothic Book" w:cstheme="minorBidi"/>
          <w:sz w:val="22"/>
          <w:szCs w:val="22"/>
        </w:rPr>
        <w:t xml:space="preserve">reasons </w:t>
      </w:r>
      <w:r w:rsidR="0007077A" w:rsidRPr="099293F9">
        <w:rPr>
          <w:rFonts w:ascii="Franklin Gothic Book" w:eastAsiaTheme="minorEastAsia" w:hAnsi="Franklin Gothic Book" w:cstheme="minorBidi"/>
          <w:sz w:val="22"/>
          <w:szCs w:val="22"/>
        </w:rPr>
        <w:t xml:space="preserve">discussed </w:t>
      </w:r>
      <w:r w:rsidR="00A4391C" w:rsidRPr="099293F9">
        <w:rPr>
          <w:rFonts w:ascii="Franklin Gothic Book" w:eastAsiaTheme="minorEastAsia" w:hAnsi="Franklin Gothic Book" w:cstheme="minorBidi"/>
          <w:sz w:val="22"/>
          <w:szCs w:val="22"/>
        </w:rPr>
        <w:t>above</w:t>
      </w:r>
      <w:r w:rsidR="0007077A" w:rsidRPr="099293F9">
        <w:rPr>
          <w:rFonts w:ascii="Franklin Gothic Book" w:eastAsiaTheme="minorEastAsia" w:hAnsi="Franklin Gothic Book" w:cstheme="minorBidi"/>
          <w:sz w:val="22"/>
          <w:szCs w:val="22"/>
        </w:rPr>
        <w:t>.</w:t>
      </w:r>
    </w:p>
    <w:p w14:paraId="122A2D6F" w14:textId="0DC8F31B" w:rsidR="000B2792" w:rsidRPr="00CE28E3" w:rsidRDefault="00B91D36" w:rsidP="00B91D36">
      <w:pPr>
        <w:pStyle w:val="Caption"/>
        <w:spacing w:before="0" w:after="0"/>
      </w:pPr>
      <w:bookmarkStart w:id="44" w:name="_Ref205840339"/>
      <w:r>
        <w:t xml:space="preserve">Table </w:t>
      </w:r>
      <w:r w:rsidR="003D48F8">
        <w:fldChar w:fldCharType="begin"/>
      </w:r>
      <w:r w:rsidR="003D48F8">
        <w:instrText xml:space="preserve"> SEQ Table \* ARABIC </w:instrText>
      </w:r>
      <w:r w:rsidR="003D48F8">
        <w:fldChar w:fldCharType="separate"/>
      </w:r>
      <w:r w:rsidR="003D48F8">
        <w:rPr>
          <w:noProof/>
        </w:rPr>
        <w:t>9</w:t>
      </w:r>
      <w:r w:rsidR="003D48F8">
        <w:rPr>
          <w:noProof/>
        </w:rPr>
        <w:fldChar w:fldCharType="end"/>
      </w:r>
      <w:bookmarkEnd w:id="44"/>
      <w:r w:rsidR="000B2792" w:rsidRPr="00CE28E3">
        <w:tab/>
        <w:t>Results of the economic analysis</w:t>
      </w:r>
      <w:r w:rsidR="000B2792" w:rsidRPr="00CE28E3">
        <w:rPr>
          <w:color w:val="385623" w:themeColor="accent6" w:themeShade="80"/>
        </w:rPr>
        <w:t xml:space="preserve"> </w:t>
      </w:r>
      <w:r w:rsidR="000B2792" w:rsidRPr="00260576">
        <w:t>presented in the ADAR</w:t>
      </w:r>
      <w:r w:rsidR="003619DD">
        <w:t xml:space="preserve"> in PICO 1 (Primary care)</w:t>
      </w:r>
    </w:p>
    <w:tbl>
      <w:tblPr>
        <w:tblStyle w:val="TableGrid1"/>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the stepped economic analyses"/>
      </w:tblPr>
      <w:tblGrid>
        <w:gridCol w:w="4249"/>
        <w:gridCol w:w="1701"/>
        <w:gridCol w:w="1560"/>
        <w:gridCol w:w="1416"/>
      </w:tblGrid>
      <w:tr w:rsidR="001F3E96" w:rsidRPr="00CE28E3" w14:paraId="563FDD7A" w14:textId="77777777" w:rsidTr="00A6445B">
        <w:trPr>
          <w:cnfStyle w:val="100000000000" w:firstRow="1" w:lastRow="0" w:firstColumn="0" w:lastColumn="0" w:oddVBand="0" w:evenVBand="0" w:oddHBand="0" w:evenHBand="0" w:firstRowFirstColumn="0" w:firstRowLastColumn="0" w:lastRowFirstColumn="0" w:lastRowLastColumn="0"/>
          <w:cantSplit/>
          <w:trHeight w:val="20"/>
          <w:tblHeader/>
        </w:trPr>
        <w:tc>
          <w:tcPr>
            <w:tcW w:w="2380" w:type="pct"/>
            <w:noWrap/>
            <w:hideMark/>
          </w:tcPr>
          <w:p w14:paraId="771DBB63" w14:textId="60D5CE80" w:rsidR="001F3E96" w:rsidRPr="00CE28E3" w:rsidRDefault="001F3E96" w:rsidP="00A4391C">
            <w:pPr>
              <w:pStyle w:val="TableHeading"/>
              <w:spacing w:before="0" w:after="0"/>
            </w:pPr>
            <w:bookmarkStart w:id="45" w:name="Title_Table7" w:colFirst="0" w:colLast="0"/>
            <w:bookmarkStart w:id="46" w:name="_Hlk68276562"/>
          </w:p>
        </w:tc>
        <w:tc>
          <w:tcPr>
            <w:tcW w:w="953" w:type="pct"/>
            <w:noWrap/>
            <w:hideMark/>
          </w:tcPr>
          <w:p w14:paraId="4AAAAA6B" w14:textId="77777777" w:rsidR="001F3E96" w:rsidRPr="00CE28E3" w:rsidRDefault="001F3E96" w:rsidP="00A4391C">
            <w:pPr>
              <w:pStyle w:val="TableHeading"/>
              <w:spacing w:before="0" w:after="0"/>
              <w:jc w:val="center"/>
            </w:pPr>
            <w:r>
              <w:t>FIB-4 +VCTE</w:t>
            </w:r>
          </w:p>
        </w:tc>
        <w:tc>
          <w:tcPr>
            <w:tcW w:w="874" w:type="pct"/>
            <w:noWrap/>
            <w:hideMark/>
          </w:tcPr>
          <w:p w14:paraId="1058A29E" w14:textId="77777777" w:rsidR="001F3E96" w:rsidRPr="00CE28E3" w:rsidRDefault="001F3E96" w:rsidP="00A4391C">
            <w:pPr>
              <w:pStyle w:val="TableHeading"/>
              <w:spacing w:before="0" w:after="0"/>
              <w:jc w:val="center"/>
            </w:pPr>
            <w:r>
              <w:t>Ultrasound</w:t>
            </w:r>
          </w:p>
        </w:tc>
        <w:tc>
          <w:tcPr>
            <w:tcW w:w="793" w:type="pct"/>
            <w:noWrap/>
            <w:hideMark/>
          </w:tcPr>
          <w:p w14:paraId="33632F69" w14:textId="77777777" w:rsidR="001F3E96" w:rsidRPr="00CE28E3" w:rsidRDefault="001F3E96" w:rsidP="00A4391C">
            <w:pPr>
              <w:pStyle w:val="TableHeading"/>
              <w:spacing w:before="0" w:after="0"/>
              <w:jc w:val="center"/>
            </w:pPr>
            <w:r w:rsidRPr="009E23EC">
              <w:t>Increment</w:t>
            </w:r>
          </w:p>
        </w:tc>
      </w:tr>
      <w:tr w:rsidR="006A173A" w:rsidRPr="00CE28E3" w14:paraId="5994737C" w14:textId="77777777" w:rsidTr="00A6445B">
        <w:trPr>
          <w:cantSplit/>
          <w:trHeight w:val="20"/>
        </w:trPr>
        <w:tc>
          <w:tcPr>
            <w:tcW w:w="2380" w:type="pct"/>
            <w:noWrap/>
          </w:tcPr>
          <w:p w14:paraId="0396D078" w14:textId="714457F8" w:rsidR="006A173A" w:rsidRPr="006A173A" w:rsidRDefault="006A173A" w:rsidP="006A173A">
            <w:pPr>
              <w:pStyle w:val="Tabletext0"/>
              <w:keepNext/>
              <w:spacing w:before="0" w:after="0"/>
              <w:rPr>
                <w:b/>
                <w:bCs/>
              </w:rPr>
            </w:pPr>
            <w:r w:rsidRPr="006A173A">
              <w:rPr>
                <w:b/>
                <w:bCs/>
              </w:rPr>
              <w:t>Outcomes</w:t>
            </w:r>
          </w:p>
        </w:tc>
        <w:tc>
          <w:tcPr>
            <w:tcW w:w="953" w:type="pct"/>
            <w:noWrap/>
          </w:tcPr>
          <w:p w14:paraId="4BC837E0" w14:textId="77777777" w:rsidR="006A173A" w:rsidRPr="00DE4A2A" w:rsidRDefault="006A173A" w:rsidP="008E3F02">
            <w:pPr>
              <w:pStyle w:val="Tabletext0"/>
              <w:keepNext/>
              <w:spacing w:before="0" w:after="0"/>
              <w:jc w:val="center"/>
            </w:pPr>
          </w:p>
        </w:tc>
        <w:tc>
          <w:tcPr>
            <w:tcW w:w="874" w:type="pct"/>
            <w:noWrap/>
          </w:tcPr>
          <w:p w14:paraId="5B1473A0" w14:textId="77777777" w:rsidR="006A173A" w:rsidRPr="00DE4A2A" w:rsidRDefault="006A173A" w:rsidP="008E3F02">
            <w:pPr>
              <w:pStyle w:val="Tabletext0"/>
              <w:keepNext/>
              <w:spacing w:before="0" w:after="0"/>
              <w:jc w:val="center"/>
            </w:pPr>
          </w:p>
        </w:tc>
        <w:tc>
          <w:tcPr>
            <w:tcW w:w="793" w:type="pct"/>
            <w:noWrap/>
          </w:tcPr>
          <w:p w14:paraId="3AA4A681" w14:textId="77777777" w:rsidR="006A173A" w:rsidRPr="00DE4A2A" w:rsidRDefault="006A173A" w:rsidP="008E3F02">
            <w:pPr>
              <w:pStyle w:val="Tabletext0"/>
              <w:keepNext/>
              <w:spacing w:before="0" w:after="0"/>
              <w:jc w:val="center"/>
            </w:pPr>
          </w:p>
        </w:tc>
      </w:tr>
      <w:bookmarkEnd w:id="45"/>
      <w:tr w:rsidR="008E3F02" w:rsidRPr="00CE28E3" w14:paraId="4AFB8757" w14:textId="77777777" w:rsidTr="00A6445B">
        <w:trPr>
          <w:cantSplit/>
          <w:trHeight w:val="20"/>
        </w:trPr>
        <w:tc>
          <w:tcPr>
            <w:tcW w:w="2380" w:type="pct"/>
            <w:noWrap/>
          </w:tcPr>
          <w:p w14:paraId="5758B03B" w14:textId="7F8C4E15" w:rsidR="008E3F02" w:rsidRPr="00CE28E3" w:rsidRDefault="008E3F02" w:rsidP="008E3F02">
            <w:pPr>
              <w:pStyle w:val="Tabletext0"/>
              <w:keepNext/>
              <w:spacing w:before="0" w:after="0"/>
            </w:pPr>
            <w:r w:rsidRPr="00DE4A2A">
              <w:t xml:space="preserve">Correct diagnosis </w:t>
            </w:r>
          </w:p>
        </w:tc>
        <w:tc>
          <w:tcPr>
            <w:tcW w:w="953" w:type="pct"/>
            <w:noWrap/>
          </w:tcPr>
          <w:p w14:paraId="006D9C7B" w14:textId="449C705E" w:rsidR="008E3F02" w:rsidRPr="00CE28E3" w:rsidRDefault="008E3F02" w:rsidP="008E3F02">
            <w:pPr>
              <w:pStyle w:val="Tabletext0"/>
              <w:keepNext/>
              <w:spacing w:before="0" w:after="0"/>
              <w:jc w:val="center"/>
            </w:pPr>
            <w:r w:rsidRPr="00DE4A2A">
              <w:t>0.73</w:t>
            </w:r>
          </w:p>
        </w:tc>
        <w:tc>
          <w:tcPr>
            <w:tcW w:w="874" w:type="pct"/>
            <w:noWrap/>
          </w:tcPr>
          <w:p w14:paraId="0818D462" w14:textId="408F9FFD" w:rsidR="008E3F02" w:rsidRPr="00CE28E3" w:rsidRDefault="008E3F02" w:rsidP="008E3F02">
            <w:pPr>
              <w:pStyle w:val="Tabletext0"/>
              <w:keepNext/>
              <w:spacing w:before="0" w:after="0"/>
              <w:jc w:val="center"/>
            </w:pPr>
            <w:r w:rsidRPr="00DE4A2A">
              <w:t>0.55</w:t>
            </w:r>
          </w:p>
        </w:tc>
        <w:tc>
          <w:tcPr>
            <w:tcW w:w="793" w:type="pct"/>
            <w:noWrap/>
          </w:tcPr>
          <w:p w14:paraId="3B9861D6" w14:textId="60F97E95" w:rsidR="008E3F02" w:rsidRPr="00CE28E3" w:rsidRDefault="008E3F02" w:rsidP="008E3F02">
            <w:pPr>
              <w:pStyle w:val="Tabletext0"/>
              <w:keepNext/>
              <w:spacing w:before="0" w:after="0"/>
              <w:jc w:val="center"/>
            </w:pPr>
            <w:r w:rsidRPr="00DE4A2A">
              <w:t>0.18 (33%)</w:t>
            </w:r>
          </w:p>
        </w:tc>
      </w:tr>
      <w:tr w:rsidR="008E3F02" w:rsidRPr="00CE28E3" w14:paraId="1CC571C7" w14:textId="77777777" w:rsidTr="00A6445B">
        <w:trPr>
          <w:cantSplit/>
          <w:trHeight w:val="20"/>
        </w:trPr>
        <w:tc>
          <w:tcPr>
            <w:tcW w:w="2380" w:type="pct"/>
            <w:noWrap/>
          </w:tcPr>
          <w:p w14:paraId="2E83FF14" w14:textId="3E6801A0" w:rsidR="008E3F02" w:rsidRDefault="008E3F02" w:rsidP="008E3F02">
            <w:pPr>
              <w:pStyle w:val="Tabletext0"/>
              <w:keepNext/>
              <w:spacing w:before="0" w:after="0"/>
            </w:pPr>
            <w:r w:rsidRPr="00DE4A2A">
              <w:t>High</w:t>
            </w:r>
            <w:r w:rsidR="00462CDB">
              <w:t>-</w:t>
            </w:r>
            <w:r w:rsidRPr="00DE4A2A">
              <w:t>risk patients incorrectly diagnosed as low risk</w:t>
            </w:r>
          </w:p>
        </w:tc>
        <w:tc>
          <w:tcPr>
            <w:tcW w:w="953" w:type="pct"/>
            <w:noWrap/>
          </w:tcPr>
          <w:p w14:paraId="18DD8061" w14:textId="0780038C" w:rsidR="008E3F02" w:rsidRPr="00CE28E3" w:rsidRDefault="008E3F02" w:rsidP="008E3F02">
            <w:pPr>
              <w:pStyle w:val="Tabletext0"/>
              <w:keepNext/>
              <w:spacing w:before="0" w:after="0"/>
              <w:jc w:val="center"/>
            </w:pPr>
            <w:r w:rsidRPr="00DE4A2A">
              <w:t>0.04</w:t>
            </w:r>
          </w:p>
        </w:tc>
        <w:tc>
          <w:tcPr>
            <w:tcW w:w="874" w:type="pct"/>
            <w:noWrap/>
          </w:tcPr>
          <w:p w14:paraId="0492C21D" w14:textId="5514B73F" w:rsidR="008E3F02" w:rsidRPr="00CE28E3" w:rsidRDefault="008E3F02" w:rsidP="008E3F02">
            <w:pPr>
              <w:pStyle w:val="Tabletext0"/>
              <w:keepNext/>
              <w:spacing w:before="0" w:after="0"/>
              <w:jc w:val="center"/>
            </w:pPr>
            <w:r w:rsidRPr="00DE4A2A">
              <w:t>0.08</w:t>
            </w:r>
          </w:p>
        </w:tc>
        <w:tc>
          <w:tcPr>
            <w:tcW w:w="793" w:type="pct"/>
            <w:noWrap/>
          </w:tcPr>
          <w:p w14:paraId="0D2D80D8" w14:textId="16C6DE3B" w:rsidR="008E3F02" w:rsidRPr="00CE28E3" w:rsidRDefault="008E3F02" w:rsidP="008E3F02">
            <w:pPr>
              <w:pStyle w:val="Tabletext0"/>
              <w:keepNext/>
              <w:spacing w:before="0" w:after="0"/>
              <w:jc w:val="center"/>
            </w:pPr>
            <w:r w:rsidRPr="00DE4A2A">
              <w:t>-0.04 (-45%)</w:t>
            </w:r>
          </w:p>
        </w:tc>
      </w:tr>
      <w:tr w:rsidR="008E3F02" w:rsidRPr="00CE28E3" w14:paraId="72060E26" w14:textId="77777777" w:rsidTr="00A6445B">
        <w:trPr>
          <w:cantSplit/>
          <w:trHeight w:val="20"/>
        </w:trPr>
        <w:tc>
          <w:tcPr>
            <w:tcW w:w="2380" w:type="pct"/>
            <w:noWrap/>
          </w:tcPr>
          <w:p w14:paraId="5DAA93AB" w14:textId="664837F3" w:rsidR="008E3F02" w:rsidRDefault="008E3F02" w:rsidP="008E3F02">
            <w:pPr>
              <w:pStyle w:val="Tabletext0"/>
              <w:keepNext/>
              <w:spacing w:before="0" w:after="0"/>
            </w:pPr>
            <w:r w:rsidRPr="00DE4A2A">
              <w:t>Unnecessary specialist referrals</w:t>
            </w:r>
          </w:p>
        </w:tc>
        <w:tc>
          <w:tcPr>
            <w:tcW w:w="953" w:type="pct"/>
            <w:noWrap/>
          </w:tcPr>
          <w:p w14:paraId="73EFDFAF" w14:textId="7B976028" w:rsidR="008E3F02" w:rsidRPr="0000351B" w:rsidRDefault="008E3F02" w:rsidP="008E3F02">
            <w:pPr>
              <w:pStyle w:val="Tabletext0"/>
              <w:keepNext/>
              <w:spacing w:before="0" w:after="0"/>
              <w:jc w:val="center"/>
            </w:pPr>
            <w:r w:rsidRPr="00DE4A2A">
              <w:t>0.11</w:t>
            </w:r>
          </w:p>
        </w:tc>
        <w:tc>
          <w:tcPr>
            <w:tcW w:w="874" w:type="pct"/>
            <w:noWrap/>
          </w:tcPr>
          <w:p w14:paraId="5465313D" w14:textId="7950DA89" w:rsidR="008E3F02" w:rsidRDefault="008E3F02" w:rsidP="008E3F02">
            <w:pPr>
              <w:pStyle w:val="Tabletext0"/>
              <w:keepNext/>
              <w:spacing w:before="0" w:after="0"/>
              <w:jc w:val="center"/>
            </w:pPr>
            <w:r w:rsidRPr="00DE4A2A">
              <w:t>0.26</w:t>
            </w:r>
          </w:p>
        </w:tc>
        <w:tc>
          <w:tcPr>
            <w:tcW w:w="793" w:type="pct"/>
            <w:noWrap/>
          </w:tcPr>
          <w:p w14:paraId="491EC3F5" w14:textId="2DDCAB4A" w:rsidR="008E3F02" w:rsidRPr="00CE28E3" w:rsidRDefault="008E3F02" w:rsidP="008E3F02">
            <w:pPr>
              <w:pStyle w:val="Tabletext0"/>
              <w:keepNext/>
              <w:spacing w:before="0" w:after="0"/>
              <w:jc w:val="center"/>
            </w:pPr>
            <w:r w:rsidRPr="00DE4A2A">
              <w:t>0.16 (-60%)</w:t>
            </w:r>
          </w:p>
        </w:tc>
      </w:tr>
      <w:tr w:rsidR="008E3F02" w:rsidRPr="00CE28E3" w14:paraId="0867078C" w14:textId="77777777" w:rsidTr="00A6445B">
        <w:trPr>
          <w:cantSplit/>
          <w:trHeight w:val="20"/>
        </w:trPr>
        <w:tc>
          <w:tcPr>
            <w:tcW w:w="2380" w:type="pct"/>
            <w:noWrap/>
          </w:tcPr>
          <w:p w14:paraId="00D1D1BF" w14:textId="05A3F08E" w:rsidR="008E3F02" w:rsidRDefault="008E3F02" w:rsidP="008E3F02">
            <w:pPr>
              <w:pStyle w:val="Tabletext0"/>
              <w:keepNext/>
              <w:spacing w:before="0" w:after="0"/>
            </w:pPr>
            <w:r w:rsidRPr="00DE4A2A">
              <w:t>Specialist referrals</w:t>
            </w:r>
          </w:p>
        </w:tc>
        <w:tc>
          <w:tcPr>
            <w:tcW w:w="953" w:type="pct"/>
            <w:noWrap/>
          </w:tcPr>
          <w:p w14:paraId="0C68372D" w14:textId="7D5033AD" w:rsidR="008E3F02" w:rsidRPr="0000351B" w:rsidRDefault="008E3F02" w:rsidP="008E3F02">
            <w:pPr>
              <w:pStyle w:val="Tabletext0"/>
              <w:keepNext/>
              <w:spacing w:before="0" w:after="0"/>
              <w:jc w:val="center"/>
            </w:pPr>
            <w:r w:rsidRPr="00DE4A2A">
              <w:t>0.19</w:t>
            </w:r>
          </w:p>
        </w:tc>
        <w:tc>
          <w:tcPr>
            <w:tcW w:w="874" w:type="pct"/>
            <w:noWrap/>
          </w:tcPr>
          <w:p w14:paraId="151961F7" w14:textId="08DB679E" w:rsidR="008E3F02" w:rsidRDefault="008E3F02" w:rsidP="008E3F02">
            <w:pPr>
              <w:pStyle w:val="Tabletext0"/>
              <w:keepNext/>
              <w:spacing w:before="0" w:after="0"/>
              <w:jc w:val="center"/>
            </w:pPr>
            <w:r w:rsidRPr="00DE4A2A">
              <w:t>0.32</w:t>
            </w:r>
          </w:p>
        </w:tc>
        <w:tc>
          <w:tcPr>
            <w:tcW w:w="793" w:type="pct"/>
            <w:noWrap/>
          </w:tcPr>
          <w:p w14:paraId="09CFEA95" w14:textId="6422BDF0" w:rsidR="008E3F02" w:rsidRPr="00CE28E3" w:rsidRDefault="008E3F02" w:rsidP="008E3F02">
            <w:pPr>
              <w:pStyle w:val="Tabletext0"/>
              <w:keepNext/>
              <w:spacing w:before="0" w:after="0"/>
              <w:jc w:val="center"/>
            </w:pPr>
            <w:r w:rsidRPr="00DE4A2A">
              <w:t>0.12 (-39%)</w:t>
            </w:r>
          </w:p>
        </w:tc>
      </w:tr>
      <w:tr w:rsidR="001F3E96" w:rsidRPr="00CE28E3" w14:paraId="07CE8627" w14:textId="77777777" w:rsidTr="00A6445B">
        <w:trPr>
          <w:cantSplit/>
          <w:trHeight w:val="20"/>
        </w:trPr>
        <w:tc>
          <w:tcPr>
            <w:tcW w:w="2380" w:type="pct"/>
            <w:noWrap/>
          </w:tcPr>
          <w:p w14:paraId="1BB13BD2" w14:textId="78D8357F" w:rsidR="001F3E96" w:rsidRPr="006A173A" w:rsidRDefault="006A173A" w:rsidP="00A4391C">
            <w:pPr>
              <w:pStyle w:val="Tabletext0"/>
              <w:keepNext/>
              <w:spacing w:before="0" w:after="0"/>
              <w:rPr>
                <w:b/>
                <w:bCs/>
              </w:rPr>
            </w:pPr>
            <w:r w:rsidRPr="006A173A">
              <w:rPr>
                <w:b/>
                <w:bCs/>
              </w:rPr>
              <w:t>Costs</w:t>
            </w:r>
          </w:p>
        </w:tc>
        <w:tc>
          <w:tcPr>
            <w:tcW w:w="953" w:type="pct"/>
            <w:noWrap/>
            <w:vAlign w:val="center"/>
          </w:tcPr>
          <w:p w14:paraId="7950B19D" w14:textId="77777777" w:rsidR="001F3E96" w:rsidRDefault="001F3E96" w:rsidP="00A4391C">
            <w:pPr>
              <w:pStyle w:val="Tabletext0"/>
              <w:keepNext/>
              <w:spacing w:before="0" w:after="0"/>
              <w:jc w:val="center"/>
            </w:pPr>
          </w:p>
        </w:tc>
        <w:tc>
          <w:tcPr>
            <w:tcW w:w="874" w:type="pct"/>
            <w:noWrap/>
            <w:vAlign w:val="center"/>
          </w:tcPr>
          <w:p w14:paraId="27BADB6F" w14:textId="77777777" w:rsidR="001F3E96" w:rsidRDefault="001F3E96" w:rsidP="00A4391C">
            <w:pPr>
              <w:pStyle w:val="Tabletext0"/>
              <w:keepNext/>
              <w:spacing w:before="0" w:after="0"/>
              <w:jc w:val="center"/>
            </w:pPr>
          </w:p>
        </w:tc>
        <w:tc>
          <w:tcPr>
            <w:tcW w:w="793" w:type="pct"/>
            <w:noWrap/>
            <w:vAlign w:val="center"/>
          </w:tcPr>
          <w:p w14:paraId="4680ED7E" w14:textId="77777777" w:rsidR="001F3E96" w:rsidRDefault="001F3E96" w:rsidP="00A4391C">
            <w:pPr>
              <w:pStyle w:val="Tabletext0"/>
              <w:keepNext/>
              <w:spacing w:before="0" w:after="0"/>
              <w:jc w:val="center"/>
            </w:pPr>
          </w:p>
        </w:tc>
      </w:tr>
      <w:tr w:rsidR="006A173A" w:rsidRPr="00CE28E3" w14:paraId="6E84C1E5" w14:textId="77777777" w:rsidTr="00A6445B">
        <w:trPr>
          <w:cantSplit/>
          <w:trHeight w:val="20"/>
        </w:trPr>
        <w:tc>
          <w:tcPr>
            <w:tcW w:w="2380" w:type="pct"/>
            <w:noWrap/>
          </w:tcPr>
          <w:p w14:paraId="18FD3321" w14:textId="508BA350" w:rsidR="006A173A" w:rsidRDefault="006A173A" w:rsidP="006A173A">
            <w:pPr>
              <w:pStyle w:val="Tabletext0"/>
              <w:keepNext/>
              <w:spacing w:before="0" w:after="0"/>
            </w:pPr>
            <w:r w:rsidRPr="00BD12A5">
              <w:t>Ultrasound</w:t>
            </w:r>
          </w:p>
        </w:tc>
        <w:tc>
          <w:tcPr>
            <w:tcW w:w="953" w:type="pct"/>
            <w:noWrap/>
          </w:tcPr>
          <w:p w14:paraId="449F2BDD" w14:textId="18052282" w:rsidR="006A173A" w:rsidRDefault="006A173A" w:rsidP="006A173A">
            <w:pPr>
              <w:pStyle w:val="Tabletext0"/>
              <w:keepNext/>
              <w:spacing w:before="0" w:after="0"/>
              <w:jc w:val="center"/>
            </w:pPr>
            <w:r w:rsidRPr="00BD12A5">
              <w:t>$8.84</w:t>
            </w:r>
          </w:p>
        </w:tc>
        <w:tc>
          <w:tcPr>
            <w:tcW w:w="874" w:type="pct"/>
            <w:noWrap/>
          </w:tcPr>
          <w:p w14:paraId="2962A3F0" w14:textId="1809A507" w:rsidR="006A173A" w:rsidRDefault="006A173A" w:rsidP="006A173A">
            <w:pPr>
              <w:pStyle w:val="Tabletext0"/>
              <w:keepNext/>
              <w:spacing w:before="0" w:after="0"/>
              <w:jc w:val="center"/>
            </w:pPr>
            <w:r w:rsidRPr="00BD12A5">
              <w:t>$112.23</w:t>
            </w:r>
          </w:p>
        </w:tc>
        <w:tc>
          <w:tcPr>
            <w:tcW w:w="793" w:type="pct"/>
            <w:noWrap/>
          </w:tcPr>
          <w:p w14:paraId="4838022F" w14:textId="02BF6B1A" w:rsidR="006A173A" w:rsidRDefault="006A173A" w:rsidP="006A173A">
            <w:pPr>
              <w:pStyle w:val="Tabletext0"/>
              <w:keepNext/>
              <w:spacing w:before="0" w:after="0"/>
              <w:jc w:val="center"/>
            </w:pPr>
            <w:r w:rsidRPr="00BD12A5">
              <w:t>-$103.39 (-92%</w:t>
            </w:r>
            <w:r w:rsidR="00451EE2">
              <w:t>)</w:t>
            </w:r>
          </w:p>
        </w:tc>
      </w:tr>
      <w:tr w:rsidR="006A173A" w:rsidRPr="00CE28E3" w14:paraId="60BE50D2" w14:textId="77777777" w:rsidTr="00A6445B">
        <w:trPr>
          <w:cantSplit/>
          <w:trHeight w:val="20"/>
        </w:trPr>
        <w:tc>
          <w:tcPr>
            <w:tcW w:w="2380" w:type="pct"/>
            <w:noWrap/>
          </w:tcPr>
          <w:p w14:paraId="48AC0EC8" w14:textId="158220E0" w:rsidR="006A173A" w:rsidRDefault="006A173A" w:rsidP="006A173A">
            <w:pPr>
              <w:pStyle w:val="Tabletext0"/>
              <w:keepNext/>
              <w:spacing w:before="0" w:after="0"/>
            </w:pPr>
            <w:r w:rsidRPr="00BD12A5">
              <w:t xml:space="preserve">VCTE </w:t>
            </w:r>
          </w:p>
        </w:tc>
        <w:tc>
          <w:tcPr>
            <w:tcW w:w="953" w:type="pct"/>
            <w:noWrap/>
          </w:tcPr>
          <w:p w14:paraId="5BB1A888" w14:textId="3C33F3C3" w:rsidR="006A173A" w:rsidRDefault="006A173A" w:rsidP="006A173A">
            <w:pPr>
              <w:pStyle w:val="Tabletext0"/>
              <w:keepNext/>
              <w:spacing w:before="0" w:after="0"/>
              <w:jc w:val="center"/>
            </w:pPr>
            <w:r w:rsidRPr="00BD12A5">
              <w:t>$52.97</w:t>
            </w:r>
          </w:p>
        </w:tc>
        <w:tc>
          <w:tcPr>
            <w:tcW w:w="874" w:type="pct"/>
            <w:noWrap/>
          </w:tcPr>
          <w:p w14:paraId="67BCB389" w14:textId="301B5722" w:rsidR="006A173A" w:rsidRDefault="006A173A" w:rsidP="006A173A">
            <w:pPr>
              <w:pStyle w:val="Tabletext0"/>
              <w:keepNext/>
              <w:spacing w:before="0" w:after="0"/>
              <w:jc w:val="center"/>
            </w:pPr>
            <w:r w:rsidRPr="00BD12A5">
              <w:t>$0.00</w:t>
            </w:r>
          </w:p>
        </w:tc>
        <w:tc>
          <w:tcPr>
            <w:tcW w:w="793" w:type="pct"/>
            <w:noWrap/>
          </w:tcPr>
          <w:p w14:paraId="3D4FDF72" w14:textId="23EA7E48" w:rsidR="006A173A" w:rsidRDefault="006A173A" w:rsidP="006A173A">
            <w:pPr>
              <w:pStyle w:val="Tabletext0"/>
              <w:keepNext/>
              <w:spacing w:before="0" w:after="0"/>
              <w:jc w:val="center"/>
            </w:pPr>
            <w:r w:rsidRPr="00BD12A5">
              <w:t>$52.97 (NA)</w:t>
            </w:r>
          </w:p>
        </w:tc>
      </w:tr>
      <w:tr w:rsidR="006A173A" w:rsidRPr="00CE28E3" w14:paraId="2BC796BE" w14:textId="77777777" w:rsidTr="00A6445B">
        <w:trPr>
          <w:cantSplit/>
          <w:trHeight w:val="20"/>
        </w:trPr>
        <w:tc>
          <w:tcPr>
            <w:tcW w:w="2380" w:type="pct"/>
            <w:noWrap/>
          </w:tcPr>
          <w:p w14:paraId="002F76D0" w14:textId="75FB5C35" w:rsidR="006A173A" w:rsidRDefault="006A173A" w:rsidP="006A173A">
            <w:pPr>
              <w:pStyle w:val="Tabletext0"/>
              <w:keepNext/>
              <w:spacing w:before="0" w:after="0"/>
            </w:pPr>
            <w:r w:rsidRPr="00BD12A5">
              <w:t xml:space="preserve">GP </w:t>
            </w:r>
          </w:p>
        </w:tc>
        <w:tc>
          <w:tcPr>
            <w:tcW w:w="953" w:type="pct"/>
            <w:noWrap/>
          </w:tcPr>
          <w:p w14:paraId="37EDB9F8" w14:textId="470D451B" w:rsidR="006A173A" w:rsidRDefault="006A173A" w:rsidP="006A173A">
            <w:pPr>
              <w:pStyle w:val="Tabletext0"/>
              <w:keepNext/>
              <w:spacing w:before="0" w:after="0"/>
              <w:jc w:val="center"/>
            </w:pPr>
            <w:r w:rsidRPr="00BD12A5">
              <w:t>$38.57</w:t>
            </w:r>
          </w:p>
        </w:tc>
        <w:tc>
          <w:tcPr>
            <w:tcW w:w="874" w:type="pct"/>
            <w:noWrap/>
          </w:tcPr>
          <w:p w14:paraId="36041F9C" w14:textId="6320ED5B" w:rsidR="006A173A" w:rsidRDefault="006A173A" w:rsidP="006A173A">
            <w:pPr>
              <w:pStyle w:val="Tabletext0"/>
              <w:keepNext/>
              <w:spacing w:before="0" w:after="0"/>
              <w:jc w:val="center"/>
            </w:pPr>
            <w:r w:rsidRPr="00BD12A5">
              <w:t>$38.57</w:t>
            </w:r>
          </w:p>
        </w:tc>
        <w:tc>
          <w:tcPr>
            <w:tcW w:w="793" w:type="pct"/>
            <w:noWrap/>
          </w:tcPr>
          <w:p w14:paraId="573D7498" w14:textId="013EA004" w:rsidR="006A173A" w:rsidRDefault="006A173A" w:rsidP="006A173A">
            <w:pPr>
              <w:pStyle w:val="Tabletext0"/>
              <w:keepNext/>
              <w:spacing w:before="0" w:after="0"/>
              <w:jc w:val="center"/>
            </w:pPr>
            <w:r w:rsidRPr="00BD12A5">
              <w:t>$0.00 (0%)</w:t>
            </w:r>
          </w:p>
        </w:tc>
      </w:tr>
      <w:tr w:rsidR="006A173A" w:rsidRPr="00CE28E3" w14:paraId="3F06FF3C" w14:textId="77777777" w:rsidTr="00A6445B">
        <w:trPr>
          <w:cantSplit/>
          <w:trHeight w:val="20"/>
        </w:trPr>
        <w:tc>
          <w:tcPr>
            <w:tcW w:w="2380" w:type="pct"/>
            <w:noWrap/>
          </w:tcPr>
          <w:p w14:paraId="3C291E7A" w14:textId="5A8D78C4" w:rsidR="006A173A" w:rsidRDefault="006A173A" w:rsidP="006A173A">
            <w:pPr>
              <w:pStyle w:val="Tabletext0"/>
              <w:keepNext/>
              <w:spacing w:before="0" w:after="0"/>
            </w:pPr>
            <w:r w:rsidRPr="00BD12A5">
              <w:t>Specialist</w:t>
            </w:r>
          </w:p>
        </w:tc>
        <w:tc>
          <w:tcPr>
            <w:tcW w:w="953" w:type="pct"/>
            <w:noWrap/>
          </w:tcPr>
          <w:p w14:paraId="0FD10811" w14:textId="005EE3B4" w:rsidR="006A173A" w:rsidRDefault="006A173A" w:rsidP="006A173A">
            <w:pPr>
              <w:pStyle w:val="Tabletext0"/>
              <w:keepNext/>
              <w:spacing w:before="0" w:after="0"/>
              <w:jc w:val="center"/>
            </w:pPr>
            <w:r w:rsidRPr="00BD12A5">
              <w:t>$58.32</w:t>
            </w:r>
          </w:p>
        </w:tc>
        <w:tc>
          <w:tcPr>
            <w:tcW w:w="874" w:type="pct"/>
            <w:noWrap/>
          </w:tcPr>
          <w:p w14:paraId="6AC5EFAE" w14:textId="53522FEE" w:rsidR="006A173A" w:rsidRDefault="006A173A" w:rsidP="006A173A">
            <w:pPr>
              <w:pStyle w:val="Tabletext0"/>
              <w:keepNext/>
              <w:spacing w:before="0" w:after="0"/>
              <w:jc w:val="center"/>
            </w:pPr>
            <w:r w:rsidRPr="00BD12A5">
              <w:t>$96.12</w:t>
            </w:r>
          </w:p>
        </w:tc>
        <w:tc>
          <w:tcPr>
            <w:tcW w:w="793" w:type="pct"/>
            <w:noWrap/>
          </w:tcPr>
          <w:p w14:paraId="0B0818C3" w14:textId="13059881" w:rsidR="006A173A" w:rsidRDefault="006A173A" w:rsidP="006A173A">
            <w:pPr>
              <w:pStyle w:val="Tabletext0"/>
              <w:keepNext/>
              <w:spacing w:before="0" w:after="0"/>
              <w:jc w:val="center"/>
            </w:pPr>
            <w:r w:rsidRPr="00BD12A5">
              <w:t>-$37.81 (-39%</w:t>
            </w:r>
          </w:p>
        </w:tc>
      </w:tr>
      <w:tr w:rsidR="006A173A" w:rsidRPr="00CE28E3" w14:paraId="5165B7CB" w14:textId="77777777" w:rsidTr="00A6445B">
        <w:trPr>
          <w:cantSplit/>
          <w:trHeight w:val="20"/>
        </w:trPr>
        <w:tc>
          <w:tcPr>
            <w:tcW w:w="2380" w:type="pct"/>
            <w:noWrap/>
          </w:tcPr>
          <w:p w14:paraId="0A7A7ACA" w14:textId="58B842F6" w:rsidR="006A173A" w:rsidRDefault="006A173A" w:rsidP="006A173A">
            <w:pPr>
              <w:pStyle w:val="Tabletext0"/>
              <w:keepNext/>
              <w:spacing w:before="0" w:after="0"/>
            </w:pPr>
            <w:r w:rsidRPr="00BD12A5">
              <w:t>Total cost</w:t>
            </w:r>
          </w:p>
        </w:tc>
        <w:tc>
          <w:tcPr>
            <w:tcW w:w="953" w:type="pct"/>
            <w:noWrap/>
          </w:tcPr>
          <w:p w14:paraId="17C550A1" w14:textId="2FEDB6C1" w:rsidR="006A173A" w:rsidRDefault="006A173A" w:rsidP="006A173A">
            <w:pPr>
              <w:pStyle w:val="Tabletext0"/>
              <w:keepNext/>
              <w:spacing w:before="0" w:after="0"/>
              <w:jc w:val="center"/>
            </w:pPr>
            <w:r w:rsidRPr="00BD12A5">
              <w:t>$158.69</w:t>
            </w:r>
          </w:p>
        </w:tc>
        <w:tc>
          <w:tcPr>
            <w:tcW w:w="874" w:type="pct"/>
            <w:noWrap/>
          </w:tcPr>
          <w:p w14:paraId="07B301A4" w14:textId="4D88C65B" w:rsidR="006A173A" w:rsidRDefault="006A173A" w:rsidP="006A173A">
            <w:pPr>
              <w:pStyle w:val="Tabletext0"/>
              <w:keepNext/>
              <w:spacing w:before="0" w:after="0"/>
              <w:jc w:val="center"/>
            </w:pPr>
            <w:r w:rsidRPr="00BD12A5">
              <w:t>$246.92</w:t>
            </w:r>
          </w:p>
        </w:tc>
        <w:tc>
          <w:tcPr>
            <w:tcW w:w="793" w:type="pct"/>
            <w:noWrap/>
          </w:tcPr>
          <w:p w14:paraId="79529930" w14:textId="132E6C66" w:rsidR="006A173A" w:rsidRDefault="006A173A" w:rsidP="006A173A">
            <w:pPr>
              <w:pStyle w:val="Tabletext0"/>
              <w:keepNext/>
              <w:spacing w:before="0" w:after="0"/>
              <w:jc w:val="center"/>
            </w:pPr>
            <w:r w:rsidRPr="00BD12A5">
              <w:t>-$88.23 (-36%)</w:t>
            </w:r>
          </w:p>
        </w:tc>
      </w:tr>
    </w:tbl>
    <w:p w14:paraId="4648D26B" w14:textId="132726AC" w:rsidR="000B2792" w:rsidRDefault="000B2792" w:rsidP="000B2792">
      <w:pPr>
        <w:pStyle w:val="TableFigureFooter"/>
        <w:keepNext/>
        <w:spacing w:before="0" w:after="0"/>
      </w:pPr>
      <w:r w:rsidRPr="009C4525">
        <w:t>FIB-4</w:t>
      </w:r>
      <w:r>
        <w:rPr>
          <w:color w:val="258221"/>
        </w:rPr>
        <w:t xml:space="preserve"> </w:t>
      </w:r>
      <w:r w:rsidRPr="004C5D8D">
        <w:t>=</w:t>
      </w:r>
      <w:r w:rsidRPr="00A45AE1">
        <w:t xml:space="preserve"> </w:t>
      </w:r>
      <w:r w:rsidRPr="004C5D8D">
        <w:t>Fibrosis-4, VCTE= Vibration-Controlled Transient Elastography</w:t>
      </w:r>
    </w:p>
    <w:p w14:paraId="7012AF9E" w14:textId="121BAFE0" w:rsidR="003619DD" w:rsidRDefault="000B2792" w:rsidP="000E64DE">
      <w:pPr>
        <w:pStyle w:val="TableFigureFooter"/>
        <w:keepNext/>
        <w:spacing w:before="0" w:after="240"/>
      </w:pPr>
      <w:r>
        <w:t>Source</w:t>
      </w:r>
      <w:r w:rsidR="00EC3DA2">
        <w:t>:</w:t>
      </w:r>
      <w:r>
        <w:t xml:space="preserve"> Tables 54</w:t>
      </w:r>
      <w:r w:rsidR="0059660A">
        <w:t xml:space="preserve"> and 56</w:t>
      </w:r>
      <w:r w:rsidR="00A4391C">
        <w:t xml:space="preserve"> of the ADAR</w:t>
      </w:r>
      <w:bookmarkEnd w:id="46"/>
    </w:p>
    <w:p w14:paraId="1A95FCE9" w14:textId="69CE5138" w:rsidR="003619DD" w:rsidRPr="00CE28E3" w:rsidRDefault="003619DD" w:rsidP="003619DD">
      <w:pPr>
        <w:pStyle w:val="Caption"/>
        <w:spacing w:before="0" w:after="0"/>
      </w:pPr>
      <w:bookmarkStart w:id="47" w:name="_Ref205840955"/>
      <w:r>
        <w:t xml:space="preserve">Table </w:t>
      </w:r>
      <w:r w:rsidR="003D48F8">
        <w:fldChar w:fldCharType="begin"/>
      </w:r>
      <w:r w:rsidR="003D48F8">
        <w:instrText xml:space="preserve"> SEQ Table \* ARABIC </w:instrText>
      </w:r>
      <w:r w:rsidR="003D48F8">
        <w:fldChar w:fldCharType="separate"/>
      </w:r>
      <w:r w:rsidR="003D48F8">
        <w:rPr>
          <w:noProof/>
        </w:rPr>
        <w:t>10</w:t>
      </w:r>
      <w:r w:rsidR="003D48F8">
        <w:rPr>
          <w:noProof/>
        </w:rPr>
        <w:fldChar w:fldCharType="end"/>
      </w:r>
      <w:bookmarkEnd w:id="47"/>
      <w:r w:rsidRPr="00CE28E3">
        <w:tab/>
        <w:t>Results of the economic analysis</w:t>
      </w:r>
      <w:r w:rsidRPr="00CE28E3">
        <w:rPr>
          <w:color w:val="385623" w:themeColor="accent6" w:themeShade="80"/>
        </w:rPr>
        <w:t xml:space="preserve"> </w:t>
      </w:r>
      <w:r w:rsidRPr="00260576">
        <w:t>presented in the ADAR</w:t>
      </w:r>
      <w:r>
        <w:t xml:space="preserve"> in PICO 2 (secondary/specialist care)</w:t>
      </w:r>
    </w:p>
    <w:tbl>
      <w:tblPr>
        <w:tblStyle w:val="TableGrid1"/>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the stepped economic analyses"/>
      </w:tblPr>
      <w:tblGrid>
        <w:gridCol w:w="4249"/>
        <w:gridCol w:w="1701"/>
        <w:gridCol w:w="1560"/>
        <w:gridCol w:w="1416"/>
      </w:tblGrid>
      <w:tr w:rsidR="003619DD" w:rsidRPr="00CE28E3" w14:paraId="5B1153E2" w14:textId="77777777" w:rsidTr="00A6445B">
        <w:trPr>
          <w:cnfStyle w:val="100000000000" w:firstRow="1" w:lastRow="0" w:firstColumn="0" w:lastColumn="0" w:oddVBand="0" w:evenVBand="0" w:oddHBand="0" w:evenHBand="0" w:firstRowFirstColumn="0" w:firstRowLastColumn="0" w:lastRowFirstColumn="0" w:lastRowLastColumn="0"/>
          <w:cantSplit/>
          <w:trHeight w:val="20"/>
          <w:tblHeader/>
        </w:trPr>
        <w:tc>
          <w:tcPr>
            <w:tcW w:w="2380" w:type="pct"/>
            <w:noWrap/>
            <w:hideMark/>
          </w:tcPr>
          <w:p w14:paraId="07142EC5" w14:textId="77777777" w:rsidR="003619DD" w:rsidRPr="00CE28E3" w:rsidRDefault="003619DD">
            <w:pPr>
              <w:pStyle w:val="TableHeading"/>
              <w:spacing w:before="0" w:after="0"/>
            </w:pPr>
          </w:p>
        </w:tc>
        <w:tc>
          <w:tcPr>
            <w:tcW w:w="953" w:type="pct"/>
            <w:noWrap/>
            <w:hideMark/>
          </w:tcPr>
          <w:p w14:paraId="2C52F0EB" w14:textId="77777777" w:rsidR="003619DD" w:rsidRPr="00CE28E3" w:rsidRDefault="003619DD">
            <w:pPr>
              <w:pStyle w:val="TableHeading"/>
              <w:spacing w:before="0" w:after="0"/>
              <w:jc w:val="center"/>
            </w:pPr>
            <w:r>
              <w:t>FIB-4 +VCTE</w:t>
            </w:r>
          </w:p>
        </w:tc>
        <w:tc>
          <w:tcPr>
            <w:tcW w:w="874" w:type="pct"/>
            <w:noWrap/>
            <w:hideMark/>
          </w:tcPr>
          <w:p w14:paraId="04F12770" w14:textId="77777777" w:rsidR="003619DD" w:rsidRPr="00CE28E3" w:rsidRDefault="003619DD">
            <w:pPr>
              <w:pStyle w:val="TableHeading"/>
              <w:spacing w:before="0" w:after="0"/>
              <w:jc w:val="center"/>
            </w:pPr>
            <w:r>
              <w:t>Ultrasound</w:t>
            </w:r>
          </w:p>
        </w:tc>
        <w:tc>
          <w:tcPr>
            <w:tcW w:w="793" w:type="pct"/>
            <w:noWrap/>
            <w:hideMark/>
          </w:tcPr>
          <w:p w14:paraId="3282B2C7" w14:textId="77777777" w:rsidR="003619DD" w:rsidRPr="00CE28E3" w:rsidRDefault="003619DD">
            <w:pPr>
              <w:pStyle w:val="TableHeading"/>
              <w:spacing w:before="0" w:after="0"/>
              <w:jc w:val="center"/>
            </w:pPr>
            <w:r w:rsidRPr="009E23EC">
              <w:t>Increment</w:t>
            </w:r>
          </w:p>
        </w:tc>
      </w:tr>
      <w:tr w:rsidR="00FC5D74" w:rsidRPr="00CE28E3" w14:paraId="18C9D34A" w14:textId="77777777" w:rsidTr="00A6445B">
        <w:trPr>
          <w:cantSplit/>
          <w:trHeight w:val="20"/>
        </w:trPr>
        <w:tc>
          <w:tcPr>
            <w:tcW w:w="2380" w:type="pct"/>
            <w:noWrap/>
          </w:tcPr>
          <w:p w14:paraId="42CBEBE7" w14:textId="6E4B0F49" w:rsidR="00FC5D74" w:rsidRPr="0059660A" w:rsidRDefault="0059660A" w:rsidP="00FC5D74">
            <w:pPr>
              <w:pStyle w:val="Tabletext0"/>
              <w:keepNext/>
              <w:spacing w:before="0" w:after="0"/>
              <w:rPr>
                <w:b/>
                <w:bCs/>
              </w:rPr>
            </w:pPr>
            <w:r w:rsidRPr="0059660A">
              <w:rPr>
                <w:b/>
                <w:bCs/>
              </w:rPr>
              <w:t>Outcomes</w:t>
            </w:r>
          </w:p>
        </w:tc>
        <w:tc>
          <w:tcPr>
            <w:tcW w:w="953" w:type="pct"/>
            <w:noWrap/>
          </w:tcPr>
          <w:p w14:paraId="2425DEDA" w14:textId="3777602C" w:rsidR="00FC5D74" w:rsidRPr="00CE28E3" w:rsidRDefault="00FC5D74" w:rsidP="00FC5D74">
            <w:pPr>
              <w:pStyle w:val="Tabletext0"/>
              <w:keepNext/>
              <w:spacing w:before="0" w:after="0"/>
              <w:jc w:val="center"/>
            </w:pPr>
          </w:p>
        </w:tc>
        <w:tc>
          <w:tcPr>
            <w:tcW w:w="874" w:type="pct"/>
            <w:noWrap/>
          </w:tcPr>
          <w:p w14:paraId="5BE3142E" w14:textId="11EC75FF" w:rsidR="00FC5D74" w:rsidRPr="00CE28E3" w:rsidRDefault="00FC5D74" w:rsidP="00FC5D74">
            <w:pPr>
              <w:pStyle w:val="Tabletext0"/>
              <w:keepNext/>
              <w:spacing w:before="0" w:after="0"/>
              <w:jc w:val="center"/>
            </w:pPr>
          </w:p>
        </w:tc>
        <w:tc>
          <w:tcPr>
            <w:tcW w:w="793" w:type="pct"/>
            <w:noWrap/>
          </w:tcPr>
          <w:p w14:paraId="318A1163" w14:textId="1C0549C9" w:rsidR="00FC5D74" w:rsidRPr="00CE28E3" w:rsidRDefault="00FC5D74" w:rsidP="00FC5D74">
            <w:pPr>
              <w:pStyle w:val="Tabletext0"/>
              <w:keepNext/>
              <w:spacing w:before="0" w:after="0"/>
              <w:jc w:val="center"/>
            </w:pPr>
          </w:p>
        </w:tc>
      </w:tr>
      <w:tr w:rsidR="0059660A" w:rsidRPr="00CE28E3" w14:paraId="05AD769A" w14:textId="77777777" w:rsidTr="00A6445B">
        <w:trPr>
          <w:cantSplit/>
          <w:trHeight w:val="20"/>
        </w:trPr>
        <w:tc>
          <w:tcPr>
            <w:tcW w:w="2380" w:type="pct"/>
            <w:noWrap/>
          </w:tcPr>
          <w:p w14:paraId="11BB8CEF" w14:textId="49C72E67" w:rsidR="0059660A" w:rsidRDefault="0059660A" w:rsidP="0059660A">
            <w:pPr>
              <w:pStyle w:val="Tabletext0"/>
              <w:keepNext/>
              <w:spacing w:before="0" w:after="0"/>
            </w:pPr>
            <w:r w:rsidRPr="00175C69">
              <w:t xml:space="preserve">Correct diagnosis </w:t>
            </w:r>
          </w:p>
        </w:tc>
        <w:tc>
          <w:tcPr>
            <w:tcW w:w="953" w:type="pct"/>
            <w:noWrap/>
          </w:tcPr>
          <w:p w14:paraId="631A7880" w14:textId="794BF6B6" w:rsidR="0059660A" w:rsidRPr="00CE28E3" w:rsidRDefault="0059660A" w:rsidP="0059660A">
            <w:pPr>
              <w:pStyle w:val="Tabletext0"/>
              <w:keepNext/>
              <w:spacing w:before="0" w:after="0"/>
              <w:jc w:val="center"/>
            </w:pPr>
            <w:r w:rsidRPr="00175C69">
              <w:t>0.83</w:t>
            </w:r>
          </w:p>
        </w:tc>
        <w:tc>
          <w:tcPr>
            <w:tcW w:w="874" w:type="pct"/>
            <w:noWrap/>
          </w:tcPr>
          <w:p w14:paraId="098DB1E0" w14:textId="7244A764" w:rsidR="0059660A" w:rsidRPr="00CE28E3" w:rsidRDefault="0059660A" w:rsidP="0059660A">
            <w:pPr>
              <w:pStyle w:val="Tabletext0"/>
              <w:keepNext/>
              <w:spacing w:before="0" w:after="0"/>
              <w:jc w:val="center"/>
            </w:pPr>
            <w:r w:rsidRPr="00175C69">
              <w:t>0.60</w:t>
            </w:r>
          </w:p>
        </w:tc>
        <w:tc>
          <w:tcPr>
            <w:tcW w:w="793" w:type="pct"/>
            <w:noWrap/>
          </w:tcPr>
          <w:p w14:paraId="1BED9D05" w14:textId="4ED68A28" w:rsidR="0059660A" w:rsidRPr="00CE28E3" w:rsidRDefault="0059660A" w:rsidP="0059660A">
            <w:pPr>
              <w:pStyle w:val="Tabletext0"/>
              <w:keepNext/>
              <w:spacing w:before="0" w:after="0"/>
              <w:jc w:val="center"/>
            </w:pPr>
            <w:r w:rsidRPr="00175C69">
              <w:t>0.23 (39%)</w:t>
            </w:r>
          </w:p>
        </w:tc>
      </w:tr>
      <w:tr w:rsidR="0059660A" w:rsidRPr="00CE28E3" w14:paraId="0DDD3DA1" w14:textId="77777777" w:rsidTr="00A6445B">
        <w:trPr>
          <w:cantSplit/>
          <w:trHeight w:val="20"/>
        </w:trPr>
        <w:tc>
          <w:tcPr>
            <w:tcW w:w="2380" w:type="pct"/>
            <w:noWrap/>
          </w:tcPr>
          <w:p w14:paraId="6AABA4BF" w14:textId="37132FB1" w:rsidR="0059660A" w:rsidRDefault="0059660A" w:rsidP="0059660A">
            <w:pPr>
              <w:pStyle w:val="Tabletext0"/>
              <w:keepNext/>
              <w:spacing w:before="0" w:after="0"/>
            </w:pPr>
            <w:r w:rsidRPr="00175C69">
              <w:t>High</w:t>
            </w:r>
            <w:r w:rsidR="00462CDB">
              <w:t>-</w:t>
            </w:r>
            <w:r w:rsidRPr="00175C69">
              <w:t>risk patients incorrectly diagnosed as low risk</w:t>
            </w:r>
          </w:p>
        </w:tc>
        <w:tc>
          <w:tcPr>
            <w:tcW w:w="953" w:type="pct"/>
            <w:noWrap/>
          </w:tcPr>
          <w:p w14:paraId="55DC1312" w14:textId="00B63964" w:rsidR="0059660A" w:rsidRPr="0000351B" w:rsidRDefault="0059660A" w:rsidP="0059660A">
            <w:pPr>
              <w:pStyle w:val="Tabletext0"/>
              <w:keepNext/>
              <w:spacing w:before="0" w:after="0"/>
              <w:jc w:val="center"/>
            </w:pPr>
            <w:r w:rsidRPr="00175C69">
              <w:t>0.05</w:t>
            </w:r>
          </w:p>
        </w:tc>
        <w:tc>
          <w:tcPr>
            <w:tcW w:w="874" w:type="pct"/>
            <w:noWrap/>
          </w:tcPr>
          <w:p w14:paraId="76D471A7" w14:textId="69C45BA9" w:rsidR="0059660A" w:rsidRDefault="0059660A" w:rsidP="0059660A">
            <w:pPr>
              <w:pStyle w:val="Tabletext0"/>
              <w:keepNext/>
              <w:spacing w:before="0" w:after="0"/>
              <w:jc w:val="center"/>
            </w:pPr>
            <w:r w:rsidRPr="00175C69">
              <w:t>0.12</w:t>
            </w:r>
          </w:p>
        </w:tc>
        <w:tc>
          <w:tcPr>
            <w:tcW w:w="793" w:type="pct"/>
            <w:noWrap/>
          </w:tcPr>
          <w:p w14:paraId="4F1904E2" w14:textId="2CFD544A" w:rsidR="0059660A" w:rsidRPr="00CE28E3" w:rsidRDefault="0059660A" w:rsidP="0059660A">
            <w:pPr>
              <w:pStyle w:val="Tabletext0"/>
              <w:keepNext/>
              <w:spacing w:before="0" w:after="0"/>
              <w:jc w:val="center"/>
            </w:pPr>
            <w:r w:rsidRPr="00175C69">
              <w:t>-0.06 (-55%)</w:t>
            </w:r>
          </w:p>
        </w:tc>
      </w:tr>
      <w:tr w:rsidR="0059660A" w:rsidRPr="00CE28E3" w14:paraId="5ABCB6ED" w14:textId="77777777" w:rsidTr="00A6445B">
        <w:trPr>
          <w:cantSplit/>
          <w:trHeight w:val="20"/>
        </w:trPr>
        <w:tc>
          <w:tcPr>
            <w:tcW w:w="2380" w:type="pct"/>
            <w:noWrap/>
          </w:tcPr>
          <w:p w14:paraId="7B91EFB3" w14:textId="0D975D6C" w:rsidR="0059660A" w:rsidRDefault="0059660A" w:rsidP="0059660A">
            <w:pPr>
              <w:pStyle w:val="Tabletext0"/>
              <w:keepNext/>
              <w:spacing w:before="0" w:after="0"/>
            </w:pPr>
            <w:r w:rsidRPr="00175C69">
              <w:t>Liver biopsies</w:t>
            </w:r>
          </w:p>
        </w:tc>
        <w:tc>
          <w:tcPr>
            <w:tcW w:w="953" w:type="pct"/>
            <w:noWrap/>
          </w:tcPr>
          <w:p w14:paraId="28A5984B" w14:textId="02E7B71A" w:rsidR="0059660A" w:rsidRPr="0000351B" w:rsidRDefault="0059660A" w:rsidP="0059660A">
            <w:pPr>
              <w:pStyle w:val="Tabletext0"/>
              <w:keepNext/>
              <w:spacing w:before="0" w:after="0"/>
              <w:jc w:val="center"/>
            </w:pPr>
            <w:r w:rsidRPr="00175C69">
              <w:t>0.01</w:t>
            </w:r>
          </w:p>
        </w:tc>
        <w:tc>
          <w:tcPr>
            <w:tcW w:w="874" w:type="pct"/>
            <w:noWrap/>
          </w:tcPr>
          <w:p w14:paraId="73D04F3B" w14:textId="0E682323" w:rsidR="0059660A" w:rsidRDefault="0059660A" w:rsidP="0059660A">
            <w:pPr>
              <w:pStyle w:val="Tabletext0"/>
              <w:keepNext/>
              <w:spacing w:before="0" w:after="0"/>
              <w:jc w:val="center"/>
            </w:pPr>
            <w:r w:rsidRPr="00175C69">
              <w:t>0.05</w:t>
            </w:r>
          </w:p>
        </w:tc>
        <w:tc>
          <w:tcPr>
            <w:tcW w:w="793" w:type="pct"/>
            <w:noWrap/>
          </w:tcPr>
          <w:p w14:paraId="197C9068" w14:textId="4C189C28" w:rsidR="0059660A" w:rsidRPr="00CE28E3" w:rsidRDefault="0059660A" w:rsidP="0059660A">
            <w:pPr>
              <w:pStyle w:val="Tabletext0"/>
              <w:keepNext/>
              <w:spacing w:before="0" w:after="0"/>
              <w:jc w:val="center"/>
            </w:pPr>
            <w:r w:rsidRPr="00175C69">
              <w:t>-0.04 (-75%)</w:t>
            </w:r>
          </w:p>
        </w:tc>
      </w:tr>
      <w:tr w:rsidR="0059660A" w:rsidRPr="00CE28E3" w14:paraId="498DCE22" w14:textId="77777777" w:rsidTr="00A6445B">
        <w:trPr>
          <w:cantSplit/>
          <w:trHeight w:val="20"/>
        </w:trPr>
        <w:tc>
          <w:tcPr>
            <w:tcW w:w="2380" w:type="pct"/>
            <w:noWrap/>
          </w:tcPr>
          <w:p w14:paraId="14C29770" w14:textId="36AAD56A" w:rsidR="0059660A" w:rsidRPr="0059660A" w:rsidRDefault="0059660A" w:rsidP="0059660A">
            <w:pPr>
              <w:pStyle w:val="Tabletext0"/>
              <w:keepNext/>
              <w:spacing w:before="0" w:after="0"/>
              <w:rPr>
                <w:b/>
                <w:bCs/>
              </w:rPr>
            </w:pPr>
            <w:r w:rsidRPr="0059660A">
              <w:rPr>
                <w:b/>
                <w:bCs/>
              </w:rPr>
              <w:t>Costs</w:t>
            </w:r>
          </w:p>
        </w:tc>
        <w:tc>
          <w:tcPr>
            <w:tcW w:w="953" w:type="pct"/>
            <w:noWrap/>
            <w:vAlign w:val="center"/>
          </w:tcPr>
          <w:p w14:paraId="08386867" w14:textId="77777777" w:rsidR="0059660A" w:rsidRDefault="0059660A" w:rsidP="0059660A">
            <w:pPr>
              <w:pStyle w:val="Tabletext0"/>
              <w:keepNext/>
              <w:spacing w:before="0" w:after="0"/>
              <w:jc w:val="center"/>
            </w:pPr>
          </w:p>
        </w:tc>
        <w:tc>
          <w:tcPr>
            <w:tcW w:w="874" w:type="pct"/>
            <w:noWrap/>
            <w:vAlign w:val="center"/>
          </w:tcPr>
          <w:p w14:paraId="7709DA2F" w14:textId="77777777" w:rsidR="0059660A" w:rsidRDefault="0059660A" w:rsidP="0059660A">
            <w:pPr>
              <w:pStyle w:val="Tabletext0"/>
              <w:keepNext/>
              <w:spacing w:before="0" w:after="0"/>
              <w:jc w:val="center"/>
            </w:pPr>
          </w:p>
        </w:tc>
        <w:tc>
          <w:tcPr>
            <w:tcW w:w="793" w:type="pct"/>
            <w:noWrap/>
            <w:vAlign w:val="center"/>
          </w:tcPr>
          <w:p w14:paraId="500421B4" w14:textId="77777777" w:rsidR="0059660A" w:rsidRDefault="0059660A" w:rsidP="0059660A">
            <w:pPr>
              <w:pStyle w:val="Tabletext0"/>
              <w:keepNext/>
              <w:spacing w:before="0" w:after="0"/>
              <w:jc w:val="center"/>
            </w:pPr>
          </w:p>
        </w:tc>
      </w:tr>
      <w:tr w:rsidR="0059660A" w:rsidRPr="00CE28E3" w14:paraId="327BBE3F" w14:textId="77777777" w:rsidTr="00A6445B">
        <w:trPr>
          <w:cantSplit/>
          <w:trHeight w:val="20"/>
        </w:trPr>
        <w:tc>
          <w:tcPr>
            <w:tcW w:w="2380" w:type="pct"/>
            <w:noWrap/>
          </w:tcPr>
          <w:p w14:paraId="6029BCBA" w14:textId="019484A4" w:rsidR="0059660A" w:rsidRDefault="0059660A" w:rsidP="0059660A">
            <w:pPr>
              <w:pStyle w:val="Tabletext0"/>
              <w:keepNext/>
              <w:spacing w:before="0" w:after="0"/>
            </w:pPr>
            <w:r w:rsidRPr="00BD12A5">
              <w:t>Ultrasound</w:t>
            </w:r>
          </w:p>
        </w:tc>
        <w:tc>
          <w:tcPr>
            <w:tcW w:w="953" w:type="pct"/>
            <w:noWrap/>
            <w:vAlign w:val="center"/>
          </w:tcPr>
          <w:p w14:paraId="3C3A0543" w14:textId="39B12E04" w:rsidR="0059660A" w:rsidRDefault="0059660A" w:rsidP="0059660A">
            <w:pPr>
              <w:pStyle w:val="Tabletext0"/>
              <w:keepNext/>
              <w:spacing w:before="0" w:after="0"/>
              <w:jc w:val="center"/>
            </w:pPr>
            <w:r w:rsidRPr="00BD12A5">
              <w:t>$9.82</w:t>
            </w:r>
          </w:p>
        </w:tc>
        <w:tc>
          <w:tcPr>
            <w:tcW w:w="874" w:type="pct"/>
            <w:noWrap/>
            <w:vAlign w:val="center"/>
          </w:tcPr>
          <w:p w14:paraId="18E89F14" w14:textId="5D3F3043" w:rsidR="0059660A" w:rsidRDefault="0059660A" w:rsidP="0059660A">
            <w:pPr>
              <w:pStyle w:val="Tabletext0"/>
              <w:keepNext/>
              <w:spacing w:before="0" w:after="0"/>
              <w:jc w:val="center"/>
            </w:pPr>
            <w:r w:rsidRPr="00BD12A5">
              <w:t>$124.70</w:t>
            </w:r>
          </w:p>
        </w:tc>
        <w:tc>
          <w:tcPr>
            <w:tcW w:w="793" w:type="pct"/>
            <w:noWrap/>
            <w:vAlign w:val="center"/>
          </w:tcPr>
          <w:p w14:paraId="2F2B7D89" w14:textId="5C2B535A" w:rsidR="0059660A" w:rsidRDefault="0059660A" w:rsidP="0059660A">
            <w:pPr>
              <w:pStyle w:val="Tabletext0"/>
              <w:keepNext/>
              <w:spacing w:before="0" w:after="0"/>
              <w:jc w:val="center"/>
            </w:pPr>
            <w:r w:rsidRPr="00BD12A5">
              <w:t>-$114.88 (-92%)</w:t>
            </w:r>
          </w:p>
        </w:tc>
      </w:tr>
      <w:tr w:rsidR="0059660A" w:rsidRPr="00CE28E3" w14:paraId="2AE00354" w14:textId="77777777" w:rsidTr="00A6445B">
        <w:trPr>
          <w:cantSplit/>
          <w:trHeight w:val="20"/>
        </w:trPr>
        <w:tc>
          <w:tcPr>
            <w:tcW w:w="2380" w:type="pct"/>
            <w:noWrap/>
          </w:tcPr>
          <w:p w14:paraId="503E49AF" w14:textId="05299BCF" w:rsidR="0059660A" w:rsidRDefault="0059660A" w:rsidP="0059660A">
            <w:pPr>
              <w:pStyle w:val="Tabletext0"/>
              <w:keepNext/>
              <w:spacing w:before="0" w:after="0"/>
            </w:pPr>
            <w:r w:rsidRPr="00BD12A5">
              <w:t xml:space="preserve">VCTE </w:t>
            </w:r>
          </w:p>
        </w:tc>
        <w:tc>
          <w:tcPr>
            <w:tcW w:w="953" w:type="pct"/>
            <w:noWrap/>
            <w:vAlign w:val="center"/>
          </w:tcPr>
          <w:p w14:paraId="009D8D67" w14:textId="284B0E32" w:rsidR="0059660A" w:rsidRDefault="0059660A" w:rsidP="0059660A">
            <w:pPr>
              <w:pStyle w:val="Tabletext0"/>
              <w:keepNext/>
              <w:spacing w:before="0" w:after="0"/>
              <w:jc w:val="center"/>
            </w:pPr>
            <w:r w:rsidRPr="00BD12A5">
              <w:t>$58.85</w:t>
            </w:r>
          </w:p>
        </w:tc>
        <w:tc>
          <w:tcPr>
            <w:tcW w:w="874" w:type="pct"/>
            <w:noWrap/>
            <w:vAlign w:val="center"/>
          </w:tcPr>
          <w:p w14:paraId="37465F31" w14:textId="626C5E44" w:rsidR="0059660A" w:rsidRDefault="0059660A" w:rsidP="0059660A">
            <w:pPr>
              <w:pStyle w:val="Tabletext0"/>
              <w:keepNext/>
              <w:spacing w:before="0" w:after="0"/>
              <w:jc w:val="center"/>
            </w:pPr>
            <w:r w:rsidRPr="00BD12A5">
              <w:t>$0.00</w:t>
            </w:r>
          </w:p>
        </w:tc>
        <w:tc>
          <w:tcPr>
            <w:tcW w:w="793" w:type="pct"/>
            <w:noWrap/>
            <w:vAlign w:val="center"/>
          </w:tcPr>
          <w:p w14:paraId="21BEAC2D" w14:textId="72694931" w:rsidR="0059660A" w:rsidRDefault="0059660A" w:rsidP="0059660A">
            <w:pPr>
              <w:pStyle w:val="Tabletext0"/>
              <w:keepNext/>
              <w:spacing w:before="0" w:after="0"/>
              <w:jc w:val="center"/>
            </w:pPr>
            <w:r w:rsidRPr="00BD12A5">
              <w:t>$58.85 (NA)</w:t>
            </w:r>
          </w:p>
        </w:tc>
      </w:tr>
      <w:tr w:rsidR="0059660A" w:rsidRPr="00CE28E3" w14:paraId="64612E7E" w14:textId="77777777" w:rsidTr="00A6445B">
        <w:trPr>
          <w:cantSplit/>
          <w:trHeight w:val="20"/>
        </w:trPr>
        <w:tc>
          <w:tcPr>
            <w:tcW w:w="2380" w:type="pct"/>
            <w:noWrap/>
          </w:tcPr>
          <w:p w14:paraId="6EEC8435" w14:textId="4C29CB9F" w:rsidR="0059660A" w:rsidRDefault="0059660A" w:rsidP="0059660A">
            <w:pPr>
              <w:pStyle w:val="Tabletext0"/>
              <w:keepNext/>
              <w:spacing w:before="0" w:after="0"/>
            </w:pPr>
            <w:r w:rsidRPr="00BD12A5">
              <w:t>Liver biopsy</w:t>
            </w:r>
          </w:p>
        </w:tc>
        <w:tc>
          <w:tcPr>
            <w:tcW w:w="953" w:type="pct"/>
            <w:noWrap/>
            <w:vAlign w:val="center"/>
          </w:tcPr>
          <w:p w14:paraId="0298C52B" w14:textId="7A755F1C" w:rsidR="0059660A" w:rsidRDefault="0059660A" w:rsidP="0059660A">
            <w:pPr>
              <w:pStyle w:val="Tabletext0"/>
              <w:keepNext/>
              <w:spacing w:before="0" w:after="0"/>
              <w:jc w:val="center"/>
            </w:pPr>
            <w:r w:rsidRPr="00BD12A5">
              <w:t>$2.58</w:t>
            </w:r>
          </w:p>
        </w:tc>
        <w:tc>
          <w:tcPr>
            <w:tcW w:w="874" w:type="pct"/>
            <w:noWrap/>
            <w:vAlign w:val="center"/>
          </w:tcPr>
          <w:p w14:paraId="39D0A2EA" w14:textId="03CEB8E6" w:rsidR="0059660A" w:rsidRDefault="0059660A" w:rsidP="0059660A">
            <w:pPr>
              <w:pStyle w:val="Tabletext0"/>
              <w:keepNext/>
              <w:spacing w:before="0" w:after="0"/>
              <w:jc w:val="center"/>
            </w:pPr>
            <w:r w:rsidRPr="00BD12A5">
              <w:t>$10.43</w:t>
            </w:r>
          </w:p>
        </w:tc>
        <w:tc>
          <w:tcPr>
            <w:tcW w:w="793" w:type="pct"/>
            <w:noWrap/>
            <w:vAlign w:val="center"/>
          </w:tcPr>
          <w:p w14:paraId="1406CFDE" w14:textId="2C980F9F" w:rsidR="0059660A" w:rsidRDefault="0059660A" w:rsidP="0059660A">
            <w:pPr>
              <w:pStyle w:val="Tabletext0"/>
              <w:keepNext/>
              <w:spacing w:before="0" w:after="0"/>
              <w:jc w:val="center"/>
            </w:pPr>
            <w:r w:rsidRPr="00BD12A5">
              <w:t>-$7.85 (-75%)</w:t>
            </w:r>
          </w:p>
        </w:tc>
      </w:tr>
      <w:tr w:rsidR="0059660A" w:rsidRPr="00CE28E3" w14:paraId="2D42F834" w14:textId="77777777" w:rsidTr="00A6445B">
        <w:trPr>
          <w:cantSplit/>
          <w:trHeight w:val="20"/>
        </w:trPr>
        <w:tc>
          <w:tcPr>
            <w:tcW w:w="2380" w:type="pct"/>
            <w:noWrap/>
          </w:tcPr>
          <w:p w14:paraId="7F419679" w14:textId="609C05DA" w:rsidR="0059660A" w:rsidRDefault="0059660A" w:rsidP="0059660A">
            <w:pPr>
              <w:pStyle w:val="Tabletext0"/>
              <w:keepNext/>
              <w:spacing w:before="0" w:after="0"/>
            </w:pPr>
            <w:r w:rsidRPr="00BD12A5">
              <w:t>Specialist</w:t>
            </w:r>
          </w:p>
        </w:tc>
        <w:tc>
          <w:tcPr>
            <w:tcW w:w="953" w:type="pct"/>
            <w:noWrap/>
            <w:vAlign w:val="center"/>
          </w:tcPr>
          <w:p w14:paraId="1236A615" w14:textId="5C9953C9" w:rsidR="0059660A" w:rsidRDefault="0059660A" w:rsidP="0059660A">
            <w:pPr>
              <w:pStyle w:val="Tabletext0"/>
              <w:keepNext/>
              <w:spacing w:before="0" w:after="0"/>
              <w:jc w:val="center"/>
            </w:pPr>
            <w:r w:rsidRPr="00BD12A5">
              <w:t>$98.95</w:t>
            </w:r>
          </w:p>
        </w:tc>
        <w:tc>
          <w:tcPr>
            <w:tcW w:w="874" w:type="pct"/>
            <w:noWrap/>
            <w:vAlign w:val="center"/>
          </w:tcPr>
          <w:p w14:paraId="558E2C80" w14:textId="01302CD3" w:rsidR="0059660A" w:rsidRDefault="0059660A" w:rsidP="0059660A">
            <w:pPr>
              <w:pStyle w:val="Tabletext0"/>
              <w:keepNext/>
              <w:spacing w:before="0" w:after="0"/>
              <w:jc w:val="center"/>
            </w:pPr>
            <w:r w:rsidRPr="00BD12A5">
              <w:t>$98.95</w:t>
            </w:r>
          </w:p>
        </w:tc>
        <w:tc>
          <w:tcPr>
            <w:tcW w:w="793" w:type="pct"/>
            <w:noWrap/>
            <w:vAlign w:val="center"/>
          </w:tcPr>
          <w:p w14:paraId="4A4DFF2B" w14:textId="30345639" w:rsidR="0059660A" w:rsidRDefault="0059660A" w:rsidP="0059660A">
            <w:pPr>
              <w:pStyle w:val="Tabletext0"/>
              <w:keepNext/>
              <w:spacing w:before="0" w:after="0"/>
              <w:jc w:val="center"/>
            </w:pPr>
            <w:r w:rsidRPr="00BD12A5">
              <w:t>$0.00 (0%)</w:t>
            </w:r>
          </w:p>
        </w:tc>
      </w:tr>
      <w:tr w:rsidR="0059660A" w:rsidRPr="00CE28E3" w14:paraId="27D9CF71" w14:textId="77777777" w:rsidTr="00A6445B">
        <w:trPr>
          <w:cantSplit/>
          <w:trHeight w:val="20"/>
        </w:trPr>
        <w:tc>
          <w:tcPr>
            <w:tcW w:w="2380" w:type="pct"/>
            <w:noWrap/>
          </w:tcPr>
          <w:p w14:paraId="7D38A5B9" w14:textId="62DC8BB1" w:rsidR="0059660A" w:rsidRDefault="0059660A" w:rsidP="0059660A">
            <w:pPr>
              <w:pStyle w:val="Tabletext0"/>
              <w:keepNext/>
              <w:spacing w:before="0" w:after="0"/>
            </w:pPr>
            <w:r w:rsidRPr="00BD12A5">
              <w:t>Total cost</w:t>
            </w:r>
          </w:p>
        </w:tc>
        <w:tc>
          <w:tcPr>
            <w:tcW w:w="953" w:type="pct"/>
            <w:noWrap/>
            <w:vAlign w:val="center"/>
          </w:tcPr>
          <w:p w14:paraId="013AAB50" w14:textId="41E7F97A" w:rsidR="0059660A" w:rsidRDefault="0059660A" w:rsidP="0059660A">
            <w:pPr>
              <w:pStyle w:val="Tabletext0"/>
              <w:keepNext/>
              <w:spacing w:before="0" w:after="0"/>
              <w:jc w:val="center"/>
            </w:pPr>
            <w:r w:rsidRPr="00BD12A5">
              <w:t>$170.20</w:t>
            </w:r>
          </w:p>
        </w:tc>
        <w:tc>
          <w:tcPr>
            <w:tcW w:w="874" w:type="pct"/>
            <w:noWrap/>
            <w:vAlign w:val="center"/>
          </w:tcPr>
          <w:p w14:paraId="42CACE57" w14:textId="7B5A9C53" w:rsidR="0059660A" w:rsidRDefault="0059660A" w:rsidP="0059660A">
            <w:pPr>
              <w:pStyle w:val="Tabletext0"/>
              <w:keepNext/>
              <w:spacing w:before="0" w:after="0"/>
              <w:jc w:val="center"/>
            </w:pPr>
            <w:r w:rsidRPr="00BD12A5">
              <w:t>$234.08</w:t>
            </w:r>
          </w:p>
        </w:tc>
        <w:tc>
          <w:tcPr>
            <w:tcW w:w="793" w:type="pct"/>
            <w:noWrap/>
            <w:vAlign w:val="center"/>
          </w:tcPr>
          <w:p w14:paraId="795AB4DF" w14:textId="5E2C28A4" w:rsidR="0059660A" w:rsidRDefault="0059660A" w:rsidP="0059660A">
            <w:pPr>
              <w:pStyle w:val="Tabletext0"/>
              <w:keepNext/>
              <w:spacing w:before="0" w:after="0"/>
              <w:jc w:val="center"/>
            </w:pPr>
            <w:r w:rsidRPr="00BD12A5">
              <w:t>-$63.88 (-27%)</w:t>
            </w:r>
          </w:p>
        </w:tc>
      </w:tr>
    </w:tbl>
    <w:p w14:paraId="69F7E269" w14:textId="04CA8697" w:rsidR="003619DD" w:rsidRDefault="003619DD" w:rsidP="003619DD">
      <w:pPr>
        <w:pStyle w:val="TableFigureFooter"/>
        <w:keepNext/>
        <w:spacing w:before="0" w:after="0"/>
      </w:pPr>
      <w:r w:rsidRPr="009C4525">
        <w:t>FIB-4</w:t>
      </w:r>
      <w:r>
        <w:rPr>
          <w:color w:val="258221"/>
        </w:rPr>
        <w:t xml:space="preserve"> </w:t>
      </w:r>
      <w:r w:rsidRPr="004C5D8D">
        <w:t>=</w:t>
      </w:r>
      <w:r w:rsidRPr="00A45AE1">
        <w:t xml:space="preserve"> </w:t>
      </w:r>
      <w:r w:rsidRPr="004C5D8D">
        <w:t>Fibrosis-4, VCTE= Vibration-Controlled Transient Elastography</w:t>
      </w:r>
    </w:p>
    <w:p w14:paraId="65B5D778" w14:textId="7858467E" w:rsidR="003619DD" w:rsidRDefault="003619DD" w:rsidP="003619DD">
      <w:pPr>
        <w:pStyle w:val="TableFigureFooter"/>
        <w:keepNext/>
        <w:spacing w:before="0" w:after="0"/>
      </w:pPr>
      <w:r>
        <w:t xml:space="preserve">Source: Tables </w:t>
      </w:r>
      <w:r w:rsidR="0059660A">
        <w:t>55 and 57</w:t>
      </w:r>
      <w:r>
        <w:t xml:space="preserve"> of the ADAR</w:t>
      </w:r>
    </w:p>
    <w:p w14:paraId="5E82F2A0" w14:textId="66773DA3" w:rsidR="000B2792" w:rsidRDefault="0007077A" w:rsidP="000B2792">
      <w:pPr>
        <w:pStyle w:val="Instructionaltext"/>
        <w:rPr>
          <w:color w:val="auto"/>
        </w:rPr>
      </w:pPr>
      <w:r>
        <w:rPr>
          <w:color w:val="auto"/>
        </w:rPr>
        <w:t>T</w:t>
      </w:r>
      <w:r w:rsidR="000B2792" w:rsidRPr="005A00BF">
        <w:rPr>
          <w:color w:val="auto"/>
        </w:rPr>
        <w:t xml:space="preserve">he Commentary designed an </w:t>
      </w:r>
      <w:r>
        <w:rPr>
          <w:color w:val="auto"/>
        </w:rPr>
        <w:t>exploratory</w:t>
      </w:r>
      <w:r w:rsidR="000B2792" w:rsidRPr="005A00BF">
        <w:rPr>
          <w:color w:val="auto"/>
        </w:rPr>
        <w:t xml:space="preserve"> cost-consequences analysis </w:t>
      </w:r>
      <w:r>
        <w:rPr>
          <w:color w:val="auto"/>
        </w:rPr>
        <w:t xml:space="preserve">(CCA) </w:t>
      </w:r>
      <w:r w:rsidR="000B2792" w:rsidRPr="005A00BF">
        <w:rPr>
          <w:color w:val="auto"/>
        </w:rPr>
        <w:t xml:space="preserve">comparing the combination of FIB-4 and VCTE </w:t>
      </w:r>
      <w:r w:rsidR="00FC3AA2">
        <w:rPr>
          <w:color w:val="auto"/>
        </w:rPr>
        <w:t>versus</w:t>
      </w:r>
      <w:r w:rsidR="000B2792" w:rsidRPr="005A00BF">
        <w:rPr>
          <w:color w:val="auto"/>
        </w:rPr>
        <w:t xml:space="preserve"> FIB-4 alone (assumed to be a comparator - current practice). </w:t>
      </w:r>
      <w:r w:rsidR="000B2792" w:rsidRPr="00644279">
        <w:rPr>
          <w:color w:val="auto"/>
        </w:rPr>
        <w:t>The</w:t>
      </w:r>
      <w:r w:rsidR="000B2792">
        <w:rPr>
          <w:color w:val="auto"/>
        </w:rPr>
        <w:t xml:space="preserve"> latter</w:t>
      </w:r>
      <w:r w:rsidR="000B2792" w:rsidRPr="00644279">
        <w:rPr>
          <w:color w:val="auto"/>
        </w:rPr>
        <w:t xml:space="preserve"> </w:t>
      </w:r>
      <w:r w:rsidR="000B2792">
        <w:rPr>
          <w:color w:val="auto"/>
        </w:rPr>
        <w:t>reflects the recommendation</w:t>
      </w:r>
      <w:r w:rsidR="000B2792" w:rsidRPr="00644279">
        <w:rPr>
          <w:color w:val="auto"/>
        </w:rPr>
        <w:t xml:space="preserve"> that further tests are required for </w:t>
      </w:r>
      <w:r w:rsidR="00462CDB">
        <w:rPr>
          <w:color w:val="auto"/>
        </w:rPr>
        <w:t>individuals</w:t>
      </w:r>
      <w:r w:rsidR="00462CDB" w:rsidRPr="00644279">
        <w:rPr>
          <w:color w:val="auto"/>
        </w:rPr>
        <w:t xml:space="preserve"> </w:t>
      </w:r>
      <w:r w:rsidR="000B2792" w:rsidRPr="00644279">
        <w:rPr>
          <w:color w:val="auto"/>
        </w:rPr>
        <w:t>with indeterminate to high</w:t>
      </w:r>
      <w:r w:rsidR="00462CDB">
        <w:rPr>
          <w:color w:val="auto"/>
        </w:rPr>
        <w:t>-</w:t>
      </w:r>
      <w:r w:rsidR="000B2792" w:rsidRPr="00644279">
        <w:rPr>
          <w:color w:val="auto"/>
        </w:rPr>
        <w:t>risk scores (</w:t>
      </w:r>
      <w:r w:rsidR="000B2792">
        <w:rPr>
          <w:color w:val="auto"/>
        </w:rPr>
        <w:t xml:space="preserve">e.g. </w:t>
      </w:r>
      <w:r w:rsidR="000B2792" w:rsidRPr="00644279">
        <w:rPr>
          <w:color w:val="auto"/>
        </w:rPr>
        <w:t>FIB-4 test score ≥1.3</w:t>
      </w:r>
      <w:r w:rsidR="000B2792">
        <w:rPr>
          <w:color w:val="auto"/>
        </w:rPr>
        <w:t>)</w:t>
      </w:r>
      <w:r w:rsidR="000B2792" w:rsidRPr="00644279">
        <w:rPr>
          <w:color w:val="auto"/>
        </w:rPr>
        <w:t xml:space="preserve"> </w:t>
      </w:r>
      <w:r w:rsidR="000B2792">
        <w:rPr>
          <w:color w:val="auto"/>
        </w:rPr>
        <w:t>(</w:t>
      </w:r>
      <w:r w:rsidR="000B2792" w:rsidRPr="00644279">
        <w:rPr>
          <w:color w:val="auto"/>
        </w:rPr>
        <w:t>EASL 2021)</w:t>
      </w:r>
      <w:r w:rsidR="000B2792">
        <w:rPr>
          <w:color w:val="auto"/>
        </w:rPr>
        <w:t xml:space="preserve">. </w:t>
      </w:r>
    </w:p>
    <w:p w14:paraId="60A2BEDD" w14:textId="5F758991" w:rsidR="000B2792" w:rsidRDefault="000B2792" w:rsidP="000B2792">
      <w:pPr>
        <w:pStyle w:val="Instructionaltext"/>
        <w:rPr>
          <w:color w:val="auto"/>
        </w:rPr>
      </w:pPr>
      <w:r>
        <w:rPr>
          <w:color w:val="auto"/>
        </w:rPr>
        <w:t xml:space="preserve">For its CCA </w:t>
      </w:r>
      <w:r w:rsidRPr="005A00BF">
        <w:rPr>
          <w:color w:val="auto"/>
        </w:rPr>
        <w:t>exercise</w:t>
      </w:r>
      <w:r w:rsidR="00AB7055">
        <w:rPr>
          <w:color w:val="auto"/>
        </w:rPr>
        <w:t>,</w:t>
      </w:r>
      <w:r w:rsidRPr="005A00BF">
        <w:rPr>
          <w:color w:val="auto"/>
        </w:rPr>
        <w:t xml:space="preserve"> </w:t>
      </w:r>
      <w:r>
        <w:rPr>
          <w:color w:val="auto"/>
        </w:rPr>
        <w:t>the Commentary</w:t>
      </w:r>
      <w:r w:rsidRPr="00644279">
        <w:rPr>
          <w:color w:val="auto"/>
        </w:rPr>
        <w:t xml:space="preserve"> </w:t>
      </w:r>
      <w:r w:rsidR="00462CDB">
        <w:rPr>
          <w:color w:val="auto"/>
        </w:rPr>
        <w:t>employed</w:t>
      </w:r>
      <w:r w:rsidR="00462CDB" w:rsidRPr="005A00BF">
        <w:rPr>
          <w:color w:val="auto"/>
        </w:rPr>
        <w:t xml:space="preserve"> </w:t>
      </w:r>
      <w:r w:rsidRPr="005A00BF">
        <w:rPr>
          <w:color w:val="auto"/>
        </w:rPr>
        <w:t xml:space="preserve">the evidence </w:t>
      </w:r>
      <w:r w:rsidR="002512AD">
        <w:rPr>
          <w:color w:val="auto"/>
        </w:rPr>
        <w:t xml:space="preserve">sequential strategy A </w:t>
      </w:r>
      <w:r w:rsidRPr="005A00BF">
        <w:rPr>
          <w:color w:val="auto"/>
        </w:rPr>
        <w:t>from Mozes 2022</w:t>
      </w:r>
      <w:r w:rsidR="002512AD">
        <w:rPr>
          <w:color w:val="auto"/>
        </w:rPr>
        <w:t xml:space="preserve"> to inform the diagnostic accuracy </w:t>
      </w:r>
      <w:r w:rsidR="00462CDB">
        <w:rPr>
          <w:color w:val="auto"/>
        </w:rPr>
        <w:t xml:space="preserve">of </w:t>
      </w:r>
      <w:r w:rsidR="002512AD">
        <w:rPr>
          <w:color w:val="auto"/>
        </w:rPr>
        <w:t>FIB-4 followed by VCTE</w:t>
      </w:r>
      <w:r w:rsidR="00320D01">
        <w:rPr>
          <w:color w:val="auto"/>
        </w:rPr>
        <w:t xml:space="preserve"> (see discussion in Section </w:t>
      </w:r>
      <w:r w:rsidR="009D5F47">
        <w:rPr>
          <w:color w:val="auto"/>
        </w:rPr>
        <w:t>12</w:t>
      </w:r>
      <w:r w:rsidR="006B44CA">
        <w:rPr>
          <w:color w:val="auto"/>
        </w:rPr>
        <w:t>)</w:t>
      </w:r>
      <w:r w:rsidR="00320D01">
        <w:rPr>
          <w:color w:val="auto"/>
        </w:rPr>
        <w:t xml:space="preserve">. Comparative effectiveness and </w:t>
      </w:r>
      <w:r w:rsidR="00320D01">
        <w:rPr>
          <w:color w:val="auto"/>
        </w:rPr>
        <w:fldChar w:fldCharType="begin"/>
      </w:r>
      <w:r w:rsidR="00320D01">
        <w:rPr>
          <w:color w:val="auto"/>
        </w:rPr>
        <w:instrText xml:space="preserve"> REF _Ref205833338 \h  \* MERGEFORMAT </w:instrText>
      </w:r>
      <w:r w:rsidR="00320D01">
        <w:rPr>
          <w:color w:val="auto"/>
        </w:rPr>
      </w:r>
      <w:r w:rsidR="00320D01">
        <w:rPr>
          <w:color w:val="auto"/>
        </w:rPr>
        <w:fldChar w:fldCharType="separate"/>
      </w:r>
      <w:r w:rsidR="00320D01" w:rsidRPr="00320D01">
        <w:rPr>
          <w:color w:val="auto"/>
        </w:rPr>
        <w:t>Figure 2</w:t>
      </w:r>
      <w:r w:rsidR="00320D01">
        <w:rPr>
          <w:color w:val="auto"/>
        </w:rPr>
        <w:fldChar w:fldCharType="end"/>
      </w:r>
      <w:r w:rsidR="00320D01">
        <w:rPr>
          <w:color w:val="auto"/>
        </w:rPr>
        <w:t>)</w:t>
      </w:r>
      <w:r w:rsidR="002512AD">
        <w:rPr>
          <w:color w:val="auto"/>
        </w:rPr>
        <w:t>. Acknowledging that this was inaccurate due to the use of a rule</w:t>
      </w:r>
      <w:r w:rsidR="00236260">
        <w:rPr>
          <w:color w:val="auto"/>
        </w:rPr>
        <w:t>-</w:t>
      </w:r>
      <w:r w:rsidR="002512AD">
        <w:rPr>
          <w:color w:val="auto"/>
        </w:rPr>
        <w:t xml:space="preserve">in LSM threshold of ≥ 10.0 kPa instead of ≥ 8.0 kPa as proposed by the ADAR, this still represented the closest source of data available. </w:t>
      </w:r>
      <w:r w:rsidR="00371DB8">
        <w:rPr>
          <w:color w:val="auto"/>
        </w:rPr>
        <w:t xml:space="preserve">The diagnostic accuracy of the comparator </w:t>
      </w:r>
      <w:r w:rsidR="00320D01">
        <w:rPr>
          <w:color w:val="auto"/>
        </w:rPr>
        <w:t>of FIB-4 ≥1.3 was back</w:t>
      </w:r>
      <w:r w:rsidR="003E1643">
        <w:rPr>
          <w:color w:val="auto"/>
        </w:rPr>
        <w:t>-</w:t>
      </w:r>
      <w:r w:rsidR="00320D01">
        <w:rPr>
          <w:color w:val="auto"/>
        </w:rPr>
        <w:t xml:space="preserve">calculated during the evaluation. </w:t>
      </w:r>
      <w:r w:rsidR="00E44F4F">
        <w:rPr>
          <w:color w:val="auto"/>
        </w:rPr>
        <w:t xml:space="preserve">The </w:t>
      </w:r>
      <w:r w:rsidR="00021080">
        <w:rPr>
          <w:color w:val="auto"/>
        </w:rPr>
        <w:t xml:space="preserve">diagnostic outcomes used to inform the CCA exercise </w:t>
      </w:r>
      <w:r w:rsidR="003E1643">
        <w:rPr>
          <w:color w:val="auto"/>
        </w:rPr>
        <w:t xml:space="preserve">are </w:t>
      </w:r>
      <w:r w:rsidR="00021080">
        <w:rPr>
          <w:color w:val="auto"/>
        </w:rPr>
        <w:t xml:space="preserve">presented in </w:t>
      </w:r>
      <w:r w:rsidR="00654087">
        <w:rPr>
          <w:color w:val="auto"/>
        </w:rPr>
        <w:fldChar w:fldCharType="begin"/>
      </w:r>
      <w:r w:rsidR="00654087">
        <w:rPr>
          <w:color w:val="auto"/>
        </w:rPr>
        <w:instrText xml:space="preserve"> REF _Ref205841534 \h  \* MERGEFORMAT </w:instrText>
      </w:r>
      <w:r w:rsidR="00654087">
        <w:rPr>
          <w:color w:val="auto"/>
        </w:rPr>
      </w:r>
      <w:r w:rsidR="00654087">
        <w:rPr>
          <w:color w:val="auto"/>
        </w:rPr>
        <w:fldChar w:fldCharType="separate"/>
      </w:r>
      <w:r w:rsidR="00654087" w:rsidRPr="00654087">
        <w:rPr>
          <w:color w:val="auto"/>
        </w:rPr>
        <w:t>Table 11</w:t>
      </w:r>
      <w:r w:rsidR="00654087">
        <w:rPr>
          <w:color w:val="auto"/>
        </w:rPr>
        <w:fldChar w:fldCharType="end"/>
      </w:r>
      <w:r w:rsidR="00021080">
        <w:rPr>
          <w:color w:val="auto"/>
        </w:rPr>
        <w:t xml:space="preserve">. </w:t>
      </w:r>
      <w:r w:rsidR="00654087" w:rsidRPr="00654087">
        <w:rPr>
          <w:color w:val="auto"/>
        </w:rPr>
        <w:t xml:space="preserve">It </w:t>
      </w:r>
      <w:r w:rsidR="003E1643">
        <w:rPr>
          <w:color w:val="auto"/>
        </w:rPr>
        <w:t>was</w:t>
      </w:r>
      <w:r w:rsidR="00654087" w:rsidRPr="00654087">
        <w:rPr>
          <w:color w:val="auto"/>
        </w:rPr>
        <w:t xml:space="preserve"> assumed for the illustrative modelling exercise that the proportions of true/false positives and true/false negatives </w:t>
      </w:r>
      <w:r w:rsidR="004D70E8">
        <w:rPr>
          <w:color w:val="auto"/>
        </w:rPr>
        <w:t xml:space="preserve">from Mozes 2022 </w:t>
      </w:r>
      <w:r w:rsidR="00654087" w:rsidRPr="00654087">
        <w:rPr>
          <w:color w:val="auto"/>
        </w:rPr>
        <w:t>correspond to a single LSM cutoff at 8 kPa, implying that there are no indetermin</w:t>
      </w:r>
      <w:r w:rsidR="00A55467">
        <w:rPr>
          <w:color w:val="auto"/>
        </w:rPr>
        <w:t>ate</w:t>
      </w:r>
      <w:r w:rsidR="00654087" w:rsidRPr="00654087">
        <w:rPr>
          <w:color w:val="auto"/>
        </w:rPr>
        <w:t xml:space="preserve"> VCTE resul</w:t>
      </w:r>
      <w:r w:rsidR="00017236">
        <w:rPr>
          <w:color w:val="auto"/>
        </w:rPr>
        <w:t>ts</w:t>
      </w:r>
      <w:r w:rsidR="00AB7055">
        <w:rPr>
          <w:color w:val="auto"/>
        </w:rPr>
        <w:t>.</w:t>
      </w:r>
    </w:p>
    <w:p w14:paraId="6A36EB7A" w14:textId="4C898116" w:rsidR="00E44F4F" w:rsidRPr="00021080" w:rsidRDefault="00E44F4F" w:rsidP="00021080">
      <w:pPr>
        <w:pStyle w:val="Caption"/>
        <w:spacing w:before="0" w:after="0"/>
        <w:rPr>
          <w:b w:val="0"/>
          <w:bCs w:val="0"/>
        </w:rPr>
      </w:pPr>
      <w:bookmarkStart w:id="48" w:name="_Ref205841534"/>
      <w:r w:rsidRPr="00021080">
        <w:lastRenderedPageBreak/>
        <w:t xml:space="preserve">Table </w:t>
      </w:r>
      <w:r w:rsidR="003D48F8">
        <w:fldChar w:fldCharType="begin"/>
      </w:r>
      <w:r w:rsidR="003D48F8">
        <w:instrText xml:space="preserve"> SEQ Table \* ARABIC </w:instrText>
      </w:r>
      <w:r w:rsidR="003D48F8">
        <w:fldChar w:fldCharType="separate"/>
      </w:r>
      <w:r w:rsidR="003D48F8">
        <w:rPr>
          <w:noProof/>
        </w:rPr>
        <w:t>11</w:t>
      </w:r>
      <w:r w:rsidR="003D48F8">
        <w:rPr>
          <w:noProof/>
        </w:rPr>
        <w:fldChar w:fldCharType="end"/>
      </w:r>
      <w:bookmarkEnd w:id="48"/>
      <w:r w:rsidRPr="00021080">
        <w:t>: Diagnostic outcomes from Mozes 2022 sequential strategy A</w:t>
      </w: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701"/>
        <w:gridCol w:w="2410"/>
      </w:tblGrid>
      <w:tr w:rsidR="009E6A5D" w:rsidRPr="00021080" w14:paraId="5D9A1B11" w14:textId="77777777" w:rsidTr="00A6445B">
        <w:tc>
          <w:tcPr>
            <w:tcW w:w="3397" w:type="dxa"/>
          </w:tcPr>
          <w:p w14:paraId="57F485E1" w14:textId="77777777" w:rsidR="00E44F4F" w:rsidRPr="00021080" w:rsidRDefault="00E44F4F">
            <w:pPr>
              <w:pStyle w:val="BodyText"/>
              <w:keepNext/>
              <w:spacing w:after="0" w:line="240" w:lineRule="auto"/>
              <w:rPr>
                <w:rFonts w:ascii="Arial Narrow" w:hAnsi="Arial Narrow"/>
                <w:sz w:val="20"/>
              </w:rPr>
            </w:pPr>
          </w:p>
        </w:tc>
        <w:tc>
          <w:tcPr>
            <w:tcW w:w="1985" w:type="dxa"/>
            <w:vAlign w:val="center"/>
          </w:tcPr>
          <w:p w14:paraId="5AC0EB6B"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FIB-4 &lt;1.3; ≥2.67 only</w:t>
            </w:r>
          </w:p>
          <w:p w14:paraId="36144A2E"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b/>
                <w:bCs/>
                <w:sz w:val="20"/>
              </w:rPr>
              <w:t>no VCTE, n (%)</w:t>
            </w:r>
          </w:p>
        </w:tc>
        <w:tc>
          <w:tcPr>
            <w:tcW w:w="1701" w:type="dxa"/>
            <w:vAlign w:val="center"/>
          </w:tcPr>
          <w:p w14:paraId="436E862D"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VCTE &gt; 8kPa in indeterminate subgroup, n (%)</w:t>
            </w:r>
          </w:p>
        </w:tc>
        <w:tc>
          <w:tcPr>
            <w:tcW w:w="2410" w:type="dxa"/>
            <w:vAlign w:val="center"/>
          </w:tcPr>
          <w:p w14:paraId="021E406C"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FIB-4 &lt;1.3 only, no VCTE (calculated during evaluation), n (%)</w:t>
            </w:r>
          </w:p>
        </w:tc>
      </w:tr>
      <w:tr w:rsidR="009E6A5D" w:rsidRPr="00021080" w14:paraId="0FAF2DC4" w14:textId="77777777" w:rsidTr="00A6445B">
        <w:tc>
          <w:tcPr>
            <w:tcW w:w="3397" w:type="dxa"/>
          </w:tcPr>
          <w:p w14:paraId="0BDE62C5"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True negatives (TN)</w:t>
            </w:r>
          </w:p>
        </w:tc>
        <w:tc>
          <w:tcPr>
            <w:tcW w:w="1985" w:type="dxa"/>
          </w:tcPr>
          <w:p w14:paraId="6D7FE8EB"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2311 (0.47)</w:t>
            </w:r>
          </w:p>
        </w:tc>
        <w:tc>
          <w:tcPr>
            <w:tcW w:w="1701" w:type="dxa"/>
          </w:tcPr>
          <w:p w14:paraId="5F1778E7"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654 (0.13)</w:t>
            </w:r>
          </w:p>
        </w:tc>
        <w:tc>
          <w:tcPr>
            <w:tcW w:w="2410" w:type="dxa"/>
            <w:vAlign w:val="center"/>
          </w:tcPr>
          <w:p w14:paraId="228627BC"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2311 (0.47)</w:t>
            </w:r>
          </w:p>
        </w:tc>
      </w:tr>
      <w:tr w:rsidR="009E6A5D" w:rsidRPr="00021080" w14:paraId="1975437E" w14:textId="77777777" w:rsidTr="00A6445B">
        <w:tc>
          <w:tcPr>
            <w:tcW w:w="3397" w:type="dxa"/>
          </w:tcPr>
          <w:p w14:paraId="4E7B8335"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False negatives (FN)</w:t>
            </w:r>
          </w:p>
        </w:tc>
        <w:tc>
          <w:tcPr>
            <w:tcW w:w="1985" w:type="dxa"/>
          </w:tcPr>
          <w:p w14:paraId="73655B46"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396 (0.08)</w:t>
            </w:r>
          </w:p>
        </w:tc>
        <w:tc>
          <w:tcPr>
            <w:tcW w:w="1701" w:type="dxa"/>
          </w:tcPr>
          <w:p w14:paraId="126B702A"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102 (0.02)</w:t>
            </w:r>
          </w:p>
        </w:tc>
        <w:tc>
          <w:tcPr>
            <w:tcW w:w="2410" w:type="dxa"/>
            <w:vAlign w:val="center"/>
          </w:tcPr>
          <w:p w14:paraId="3EBAA5BE"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396 (0.08)</w:t>
            </w:r>
          </w:p>
        </w:tc>
      </w:tr>
      <w:tr w:rsidR="009E6A5D" w:rsidRPr="00021080" w14:paraId="5FF8C612" w14:textId="77777777" w:rsidTr="00A6445B">
        <w:tc>
          <w:tcPr>
            <w:tcW w:w="3397" w:type="dxa"/>
          </w:tcPr>
          <w:p w14:paraId="42AAE79B"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True positives (TP)</w:t>
            </w:r>
          </w:p>
        </w:tc>
        <w:tc>
          <w:tcPr>
            <w:tcW w:w="1985" w:type="dxa"/>
          </w:tcPr>
          <w:p w14:paraId="3183ECF1"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459 (0.09)</w:t>
            </w:r>
          </w:p>
        </w:tc>
        <w:tc>
          <w:tcPr>
            <w:tcW w:w="1701" w:type="dxa"/>
          </w:tcPr>
          <w:p w14:paraId="2D25A5E7"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502 (0.10)</w:t>
            </w:r>
          </w:p>
        </w:tc>
        <w:tc>
          <w:tcPr>
            <w:tcW w:w="2410" w:type="dxa"/>
            <w:vAlign w:val="center"/>
          </w:tcPr>
          <w:p w14:paraId="185A6C48" w14:textId="77777777" w:rsidR="00E44F4F" w:rsidRPr="00021080" w:rsidRDefault="00E44F4F">
            <w:pPr>
              <w:pStyle w:val="BodyText"/>
              <w:keepNext/>
              <w:spacing w:after="0" w:line="240" w:lineRule="auto"/>
              <w:jc w:val="center"/>
              <w:rPr>
                <w:rFonts w:ascii="Arial Narrow" w:hAnsi="Arial Narrow"/>
                <w:sz w:val="20"/>
                <w:vertAlign w:val="superscript"/>
              </w:rPr>
            </w:pPr>
            <w:r w:rsidRPr="00021080">
              <w:rPr>
                <w:rFonts w:ascii="Arial Narrow" w:hAnsi="Arial Narrow"/>
                <w:sz w:val="20"/>
              </w:rPr>
              <w:t xml:space="preserve">1063 (459+102+502) (0.22) </w:t>
            </w:r>
            <w:r w:rsidRPr="00021080">
              <w:rPr>
                <w:rFonts w:ascii="Arial Narrow" w:hAnsi="Arial Narrow"/>
                <w:sz w:val="20"/>
                <w:vertAlign w:val="superscript"/>
              </w:rPr>
              <w:t>a</w:t>
            </w:r>
          </w:p>
        </w:tc>
      </w:tr>
      <w:tr w:rsidR="009E6A5D" w:rsidRPr="00021080" w14:paraId="1F63EA32" w14:textId="77777777" w:rsidTr="00A6445B">
        <w:tc>
          <w:tcPr>
            <w:tcW w:w="3397" w:type="dxa"/>
          </w:tcPr>
          <w:p w14:paraId="65D3780E"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False positives (FP)</w:t>
            </w:r>
          </w:p>
        </w:tc>
        <w:tc>
          <w:tcPr>
            <w:tcW w:w="1985" w:type="dxa"/>
          </w:tcPr>
          <w:p w14:paraId="7CB190EA"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239 (0.05)</w:t>
            </w:r>
          </w:p>
        </w:tc>
        <w:tc>
          <w:tcPr>
            <w:tcW w:w="1701" w:type="dxa"/>
          </w:tcPr>
          <w:p w14:paraId="43116D6C"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251 (0.05)</w:t>
            </w:r>
          </w:p>
        </w:tc>
        <w:tc>
          <w:tcPr>
            <w:tcW w:w="2410" w:type="dxa"/>
            <w:vAlign w:val="center"/>
          </w:tcPr>
          <w:p w14:paraId="0E9FB15D" w14:textId="77777777" w:rsidR="00E44F4F" w:rsidRPr="00021080" w:rsidRDefault="00E44F4F">
            <w:pPr>
              <w:pStyle w:val="BodyText"/>
              <w:keepNext/>
              <w:spacing w:after="0" w:line="240" w:lineRule="auto"/>
              <w:jc w:val="center"/>
              <w:rPr>
                <w:rFonts w:ascii="Arial Narrow" w:hAnsi="Arial Narrow"/>
                <w:sz w:val="20"/>
                <w:vertAlign w:val="superscript"/>
              </w:rPr>
            </w:pPr>
            <w:r w:rsidRPr="00021080">
              <w:rPr>
                <w:rFonts w:ascii="Arial Narrow" w:hAnsi="Arial Narrow"/>
                <w:sz w:val="20"/>
              </w:rPr>
              <w:t xml:space="preserve">1144 (239+654+251) (0.23) </w:t>
            </w:r>
            <w:r w:rsidRPr="00021080">
              <w:rPr>
                <w:rFonts w:ascii="Arial Narrow" w:hAnsi="Arial Narrow"/>
                <w:sz w:val="20"/>
                <w:vertAlign w:val="superscript"/>
              </w:rPr>
              <w:t>b</w:t>
            </w:r>
          </w:p>
        </w:tc>
      </w:tr>
      <w:tr w:rsidR="009E6A5D" w:rsidRPr="00021080" w14:paraId="39844B7B" w14:textId="77777777" w:rsidTr="00A6445B">
        <w:tc>
          <w:tcPr>
            <w:tcW w:w="3397" w:type="dxa"/>
          </w:tcPr>
          <w:p w14:paraId="571C367C"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Subtotals</w:t>
            </w:r>
          </w:p>
        </w:tc>
        <w:tc>
          <w:tcPr>
            <w:tcW w:w="1985" w:type="dxa"/>
          </w:tcPr>
          <w:p w14:paraId="70632755"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b/>
                <w:bCs/>
                <w:sz w:val="20"/>
              </w:rPr>
              <w:t>3405</w:t>
            </w:r>
            <w:r w:rsidRPr="00021080">
              <w:rPr>
                <w:rFonts w:ascii="Arial Narrow" w:hAnsi="Arial Narrow"/>
                <w:sz w:val="20"/>
              </w:rPr>
              <w:t xml:space="preserve"> </w:t>
            </w:r>
            <w:r w:rsidRPr="00021080">
              <w:rPr>
                <w:rFonts w:ascii="Arial Narrow" w:hAnsi="Arial Narrow"/>
                <w:b/>
                <w:bCs/>
                <w:sz w:val="20"/>
              </w:rPr>
              <w:t>(0.65)</w:t>
            </w:r>
          </w:p>
        </w:tc>
        <w:tc>
          <w:tcPr>
            <w:tcW w:w="1701" w:type="dxa"/>
          </w:tcPr>
          <w:p w14:paraId="26E8E47D"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1509 (0.30)</w:t>
            </w:r>
          </w:p>
        </w:tc>
        <w:tc>
          <w:tcPr>
            <w:tcW w:w="2410" w:type="dxa"/>
            <w:vAlign w:val="center"/>
          </w:tcPr>
          <w:p w14:paraId="4F924595"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w:t>
            </w:r>
          </w:p>
        </w:tc>
      </w:tr>
      <w:tr w:rsidR="00425B2C" w:rsidRPr="00021080" w14:paraId="388DFDCA" w14:textId="77777777" w:rsidTr="00A6445B">
        <w:tc>
          <w:tcPr>
            <w:tcW w:w="3397" w:type="dxa"/>
          </w:tcPr>
          <w:p w14:paraId="23508C2C" w14:textId="1BA72102"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 xml:space="preserve">Total excluding indeterminate </w:t>
            </w:r>
            <w:r w:rsidR="00BF5B31">
              <w:rPr>
                <w:rFonts w:ascii="Arial Narrow" w:hAnsi="Arial Narrow"/>
                <w:sz w:val="20"/>
              </w:rPr>
              <w:t xml:space="preserve">VCTE </w:t>
            </w:r>
            <w:r w:rsidRPr="00021080">
              <w:rPr>
                <w:rFonts w:ascii="Arial Narrow" w:hAnsi="Arial Narrow"/>
                <w:sz w:val="20"/>
              </w:rPr>
              <w:t>results</w:t>
            </w:r>
          </w:p>
        </w:tc>
        <w:tc>
          <w:tcPr>
            <w:tcW w:w="3686" w:type="dxa"/>
            <w:gridSpan w:val="2"/>
            <w:vAlign w:val="center"/>
          </w:tcPr>
          <w:p w14:paraId="641E2955" w14:textId="77777777" w:rsidR="00E44F4F" w:rsidRPr="00021080" w:rsidRDefault="00E44F4F" w:rsidP="00185584">
            <w:pPr>
              <w:pStyle w:val="BodyText"/>
              <w:keepNext/>
              <w:spacing w:after="0" w:line="240" w:lineRule="auto"/>
              <w:jc w:val="center"/>
              <w:rPr>
                <w:rFonts w:ascii="Arial Narrow" w:hAnsi="Arial Narrow"/>
                <w:sz w:val="20"/>
              </w:rPr>
            </w:pPr>
            <w:r w:rsidRPr="00021080">
              <w:rPr>
                <w:rFonts w:ascii="Arial Narrow" w:hAnsi="Arial Narrow"/>
                <w:b/>
                <w:bCs/>
                <w:sz w:val="20"/>
              </w:rPr>
              <w:t>4914 (0.95)</w:t>
            </w:r>
          </w:p>
        </w:tc>
        <w:tc>
          <w:tcPr>
            <w:tcW w:w="2410" w:type="dxa"/>
            <w:vAlign w:val="center"/>
          </w:tcPr>
          <w:p w14:paraId="7424884E" w14:textId="77777777" w:rsidR="00E44F4F" w:rsidRPr="00021080" w:rsidRDefault="00E44F4F" w:rsidP="00185584">
            <w:pPr>
              <w:pStyle w:val="BodyText"/>
              <w:keepNext/>
              <w:spacing w:after="0" w:line="240" w:lineRule="auto"/>
              <w:jc w:val="center"/>
              <w:rPr>
                <w:rFonts w:ascii="Arial Narrow" w:hAnsi="Arial Narrow"/>
                <w:b/>
                <w:bCs/>
                <w:sz w:val="20"/>
              </w:rPr>
            </w:pPr>
            <w:r w:rsidRPr="00021080">
              <w:rPr>
                <w:rFonts w:ascii="Arial Narrow" w:hAnsi="Arial Narrow"/>
                <w:b/>
                <w:bCs/>
                <w:sz w:val="20"/>
              </w:rPr>
              <w:t>-</w:t>
            </w:r>
          </w:p>
        </w:tc>
      </w:tr>
      <w:tr w:rsidR="00425B2C" w:rsidRPr="00021080" w14:paraId="06C2270A" w14:textId="77777777" w:rsidTr="00A6445B">
        <w:tc>
          <w:tcPr>
            <w:tcW w:w="3397" w:type="dxa"/>
          </w:tcPr>
          <w:p w14:paraId="3A4E0620"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Total with recalculated FIB-4 results</w:t>
            </w:r>
          </w:p>
        </w:tc>
        <w:tc>
          <w:tcPr>
            <w:tcW w:w="3686" w:type="dxa"/>
            <w:gridSpan w:val="2"/>
          </w:tcPr>
          <w:p w14:paraId="5E4DC800"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w:t>
            </w:r>
          </w:p>
        </w:tc>
        <w:tc>
          <w:tcPr>
            <w:tcW w:w="2410" w:type="dxa"/>
            <w:vAlign w:val="center"/>
          </w:tcPr>
          <w:p w14:paraId="68FE81B0"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b/>
                <w:bCs/>
                <w:sz w:val="20"/>
              </w:rPr>
              <w:t>4914 (1.00)</w:t>
            </w:r>
          </w:p>
        </w:tc>
      </w:tr>
      <w:tr w:rsidR="009E6A5D" w:rsidRPr="00021080" w14:paraId="08B5E5F0" w14:textId="77777777" w:rsidTr="00A6445B">
        <w:tc>
          <w:tcPr>
            <w:tcW w:w="3397" w:type="dxa"/>
          </w:tcPr>
          <w:p w14:paraId="616065E6"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VCTE Indeterminate outcome</w:t>
            </w:r>
          </w:p>
        </w:tc>
        <w:tc>
          <w:tcPr>
            <w:tcW w:w="1985" w:type="dxa"/>
          </w:tcPr>
          <w:p w14:paraId="4A321C65"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w:t>
            </w:r>
          </w:p>
        </w:tc>
        <w:tc>
          <w:tcPr>
            <w:tcW w:w="1701" w:type="dxa"/>
            <w:vAlign w:val="center"/>
          </w:tcPr>
          <w:p w14:paraId="7F78217C"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245 (0.05)</w:t>
            </w:r>
          </w:p>
        </w:tc>
        <w:tc>
          <w:tcPr>
            <w:tcW w:w="2410" w:type="dxa"/>
            <w:vAlign w:val="center"/>
          </w:tcPr>
          <w:p w14:paraId="3EA9873C" w14:textId="77777777" w:rsidR="00E44F4F" w:rsidRPr="00021080" w:rsidRDefault="00E44F4F">
            <w:pPr>
              <w:pStyle w:val="BodyText"/>
              <w:keepNext/>
              <w:spacing w:after="0" w:line="240" w:lineRule="auto"/>
              <w:jc w:val="center"/>
              <w:rPr>
                <w:rFonts w:ascii="Arial Narrow" w:hAnsi="Arial Narrow"/>
                <w:sz w:val="20"/>
              </w:rPr>
            </w:pPr>
            <w:r w:rsidRPr="00021080">
              <w:rPr>
                <w:rFonts w:ascii="Arial Narrow" w:hAnsi="Arial Narrow"/>
                <w:sz w:val="20"/>
              </w:rPr>
              <w:t>-</w:t>
            </w:r>
          </w:p>
        </w:tc>
      </w:tr>
      <w:tr w:rsidR="00425B2C" w:rsidRPr="00021080" w14:paraId="7C86EF01" w14:textId="77777777" w:rsidTr="00A6445B">
        <w:tc>
          <w:tcPr>
            <w:tcW w:w="3397" w:type="dxa"/>
          </w:tcPr>
          <w:p w14:paraId="4542D332" w14:textId="77777777" w:rsidR="00E44F4F" w:rsidRPr="00021080" w:rsidRDefault="00E44F4F">
            <w:pPr>
              <w:pStyle w:val="BodyText"/>
              <w:keepNext/>
              <w:spacing w:after="0" w:line="240" w:lineRule="auto"/>
              <w:rPr>
                <w:rFonts w:ascii="Arial Narrow" w:hAnsi="Arial Narrow"/>
                <w:sz w:val="20"/>
              </w:rPr>
            </w:pPr>
            <w:r w:rsidRPr="00021080">
              <w:rPr>
                <w:rFonts w:ascii="Arial Narrow" w:hAnsi="Arial Narrow"/>
                <w:sz w:val="20"/>
              </w:rPr>
              <w:t xml:space="preserve">TOTAL SAMPLE </w:t>
            </w:r>
          </w:p>
        </w:tc>
        <w:tc>
          <w:tcPr>
            <w:tcW w:w="3686" w:type="dxa"/>
            <w:gridSpan w:val="2"/>
          </w:tcPr>
          <w:p w14:paraId="2FAD090B" w14:textId="77777777" w:rsidR="00E44F4F" w:rsidRPr="00021080" w:rsidRDefault="00E44F4F">
            <w:pPr>
              <w:pStyle w:val="BodyText"/>
              <w:keepNext/>
              <w:spacing w:after="0" w:line="240" w:lineRule="auto"/>
              <w:jc w:val="center"/>
              <w:rPr>
                <w:rFonts w:ascii="Arial Narrow" w:hAnsi="Arial Narrow"/>
                <w:b/>
                <w:bCs/>
                <w:sz w:val="20"/>
              </w:rPr>
            </w:pPr>
            <w:r w:rsidRPr="00021080">
              <w:rPr>
                <w:rFonts w:ascii="Arial Narrow" w:hAnsi="Arial Narrow"/>
                <w:b/>
                <w:bCs/>
                <w:sz w:val="20"/>
              </w:rPr>
              <w:t>4914+245=5159 (1.00)</w:t>
            </w:r>
          </w:p>
        </w:tc>
        <w:tc>
          <w:tcPr>
            <w:tcW w:w="2410" w:type="dxa"/>
            <w:vAlign w:val="center"/>
          </w:tcPr>
          <w:p w14:paraId="1C40C9B5" w14:textId="77777777" w:rsidR="00E44F4F" w:rsidRPr="00021080" w:rsidRDefault="00E44F4F">
            <w:pPr>
              <w:pStyle w:val="BodyText"/>
              <w:keepNext/>
              <w:spacing w:after="0" w:line="240" w:lineRule="auto"/>
              <w:jc w:val="center"/>
              <w:rPr>
                <w:rFonts w:ascii="Arial Narrow" w:hAnsi="Arial Narrow"/>
                <w:b/>
                <w:bCs/>
                <w:sz w:val="20"/>
              </w:rPr>
            </w:pPr>
          </w:p>
        </w:tc>
      </w:tr>
    </w:tbl>
    <w:p w14:paraId="27BC82BB" w14:textId="73F756B1" w:rsidR="008669D0" w:rsidRPr="00FD3B16" w:rsidRDefault="008669D0" w:rsidP="00E44F4F">
      <w:pPr>
        <w:pStyle w:val="BodyText"/>
        <w:keepNext/>
        <w:spacing w:after="0" w:line="240" w:lineRule="auto"/>
        <w:rPr>
          <w:rFonts w:ascii="Arial Narrow" w:hAnsi="Arial Narrow"/>
          <w:szCs w:val="18"/>
        </w:rPr>
      </w:pPr>
      <w:r w:rsidRPr="00FD3B16">
        <w:rPr>
          <w:rFonts w:ascii="Arial Narrow" w:hAnsi="Arial Narrow"/>
          <w:szCs w:val="18"/>
        </w:rPr>
        <w:t>FIB-4, Fibrosis-4 Index; FN = false negative; FP = false positive; kPa = kilo pascal; TN = true negative; TP = true positive; VCTE</w:t>
      </w:r>
      <w:r w:rsidR="003F3176">
        <w:rPr>
          <w:rFonts w:ascii="Arial Narrow" w:hAnsi="Arial Narrow"/>
          <w:szCs w:val="18"/>
        </w:rPr>
        <w:t xml:space="preserve"> =</w:t>
      </w:r>
      <w:r w:rsidRPr="00FD3B16">
        <w:rPr>
          <w:rFonts w:ascii="Arial Narrow" w:hAnsi="Arial Narrow"/>
          <w:szCs w:val="18"/>
        </w:rPr>
        <w:t xml:space="preserve"> vibration-controlled transient elastography</w:t>
      </w:r>
    </w:p>
    <w:p w14:paraId="5F8BF9CA" w14:textId="79A41B69" w:rsidR="00E44F4F" w:rsidRPr="00FD3B16" w:rsidRDefault="00E44F4F" w:rsidP="00E44F4F">
      <w:pPr>
        <w:pStyle w:val="BodyText"/>
        <w:keepNext/>
        <w:spacing w:after="0" w:line="240" w:lineRule="auto"/>
        <w:rPr>
          <w:rFonts w:ascii="Arial Narrow" w:hAnsi="Arial Narrow"/>
          <w:szCs w:val="18"/>
        </w:rPr>
      </w:pPr>
      <w:r w:rsidRPr="00FD3B16">
        <w:rPr>
          <w:rFonts w:ascii="Arial Narrow" w:hAnsi="Arial Narrow"/>
          <w:szCs w:val="18"/>
        </w:rPr>
        <w:t>Source: Fig 3A, Mozes (2022)</w:t>
      </w:r>
    </w:p>
    <w:p w14:paraId="17FAA11D" w14:textId="77777777" w:rsidR="00E44F4F" w:rsidRPr="00FD3B16" w:rsidRDefault="00E44F4F" w:rsidP="00E44F4F">
      <w:pPr>
        <w:pStyle w:val="BodyText"/>
        <w:keepNext/>
        <w:spacing w:after="0" w:line="240" w:lineRule="auto"/>
        <w:rPr>
          <w:rFonts w:ascii="Arial Narrow" w:hAnsi="Arial Narrow"/>
          <w:szCs w:val="18"/>
        </w:rPr>
      </w:pPr>
      <w:r w:rsidRPr="00FD3B16">
        <w:rPr>
          <w:rFonts w:ascii="Arial Narrow" w:hAnsi="Arial Narrow"/>
          <w:szCs w:val="18"/>
        </w:rPr>
        <w:t>a Calculated as TP of FIB-4 ≥2.67 plus TP of VCTE &gt; 8 kPa plus FN of VCTE &gt; 8 kPa</w:t>
      </w:r>
    </w:p>
    <w:p w14:paraId="46EC61E3" w14:textId="101F2498" w:rsidR="00E44F4F" w:rsidRPr="000E64DE" w:rsidRDefault="00E44F4F" w:rsidP="000E64DE">
      <w:pPr>
        <w:pStyle w:val="BodyText"/>
        <w:keepNext/>
        <w:spacing w:after="240" w:line="240" w:lineRule="auto"/>
        <w:rPr>
          <w:rFonts w:ascii="Arial Narrow" w:hAnsi="Arial Narrow"/>
          <w:szCs w:val="18"/>
        </w:rPr>
      </w:pPr>
      <w:r w:rsidRPr="00FD3B16">
        <w:rPr>
          <w:rFonts w:ascii="Arial Narrow" w:hAnsi="Arial Narrow"/>
          <w:szCs w:val="18"/>
        </w:rPr>
        <w:t>b Calculated as FP of FIB-4 ≥2.67 plus FP of VCTE &gt; 8 kPa plus TN of VCTE &gt; 8 kPa</w:t>
      </w:r>
    </w:p>
    <w:p w14:paraId="0A6764E3" w14:textId="7BA987A8" w:rsidR="000B2792" w:rsidRDefault="000B2792" w:rsidP="000B2792">
      <w:pPr>
        <w:pStyle w:val="BodyText"/>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fldChar w:fldCharType="begin"/>
      </w:r>
      <w:r>
        <w:rPr>
          <w:rFonts w:ascii="Franklin Gothic Book" w:eastAsiaTheme="minorHAnsi" w:hAnsi="Franklin Gothic Book" w:cstheme="minorBidi"/>
          <w:sz w:val="22"/>
          <w:szCs w:val="22"/>
        </w:rPr>
        <w:instrText xml:space="preserve"> REF _Ref205075029 \h  \* MERGEFORMAT </w:instrText>
      </w:r>
      <w:r>
        <w:rPr>
          <w:rFonts w:ascii="Franklin Gothic Book" w:eastAsiaTheme="minorHAnsi" w:hAnsi="Franklin Gothic Book" w:cstheme="minorBidi"/>
          <w:sz w:val="22"/>
          <w:szCs w:val="22"/>
        </w:rPr>
      </w:r>
      <w:r>
        <w:rPr>
          <w:rFonts w:ascii="Franklin Gothic Book" w:eastAsiaTheme="minorHAnsi" w:hAnsi="Franklin Gothic Book" w:cstheme="minorBidi"/>
          <w:sz w:val="22"/>
          <w:szCs w:val="22"/>
        </w:rPr>
        <w:fldChar w:fldCharType="separate"/>
      </w:r>
      <w:r w:rsidR="004D70E8" w:rsidRPr="004D70E8">
        <w:rPr>
          <w:rFonts w:ascii="Franklin Gothic Book" w:eastAsiaTheme="minorHAnsi" w:hAnsi="Franklin Gothic Book" w:cstheme="minorBidi"/>
          <w:sz w:val="22"/>
          <w:szCs w:val="22"/>
        </w:rPr>
        <w:t>Table 12</w:t>
      </w:r>
      <w:r>
        <w:rPr>
          <w:rFonts w:ascii="Franklin Gothic Book" w:eastAsiaTheme="minorHAnsi" w:hAnsi="Franklin Gothic Book" w:cstheme="minorBidi"/>
          <w:sz w:val="22"/>
          <w:szCs w:val="22"/>
        </w:rPr>
        <w:fldChar w:fldCharType="end"/>
      </w:r>
      <w:r>
        <w:rPr>
          <w:rFonts w:ascii="Franklin Gothic Book" w:eastAsiaTheme="minorHAnsi" w:hAnsi="Franklin Gothic Book" w:cstheme="minorBidi"/>
          <w:sz w:val="22"/>
          <w:szCs w:val="22"/>
        </w:rPr>
        <w:t xml:space="preserve"> </w:t>
      </w:r>
      <w:r w:rsidRPr="00740BCE">
        <w:rPr>
          <w:rFonts w:ascii="Franklin Gothic Book" w:eastAsiaTheme="minorHAnsi" w:hAnsi="Franklin Gothic Book" w:cstheme="minorBidi"/>
          <w:sz w:val="22"/>
          <w:szCs w:val="22"/>
        </w:rPr>
        <w:t xml:space="preserve">shows </w:t>
      </w:r>
      <w:r w:rsidR="0046194D">
        <w:rPr>
          <w:rFonts w:ascii="Franklin Gothic Book" w:eastAsiaTheme="minorHAnsi" w:hAnsi="Franklin Gothic Book" w:cstheme="minorBidi"/>
          <w:sz w:val="22"/>
          <w:szCs w:val="22"/>
        </w:rPr>
        <w:t xml:space="preserve">the parameters </w:t>
      </w:r>
      <w:r w:rsidR="003E1643">
        <w:rPr>
          <w:rFonts w:ascii="Franklin Gothic Book" w:eastAsiaTheme="minorHAnsi" w:hAnsi="Franklin Gothic Book" w:cstheme="minorBidi"/>
          <w:sz w:val="22"/>
          <w:szCs w:val="22"/>
        </w:rPr>
        <w:t xml:space="preserve">and </w:t>
      </w:r>
      <w:r w:rsidRPr="00740BCE">
        <w:rPr>
          <w:rFonts w:ascii="Franklin Gothic Book" w:eastAsiaTheme="minorHAnsi" w:hAnsi="Franklin Gothic Book" w:cstheme="minorBidi"/>
          <w:sz w:val="22"/>
          <w:szCs w:val="22"/>
        </w:rPr>
        <w:t xml:space="preserve">diagnostic outcomes </w:t>
      </w:r>
      <w:r w:rsidR="001D5BFB">
        <w:rPr>
          <w:rFonts w:ascii="Franklin Gothic Book" w:eastAsiaTheme="minorHAnsi" w:hAnsi="Franklin Gothic Book" w:cstheme="minorBidi"/>
          <w:sz w:val="22"/>
          <w:szCs w:val="22"/>
        </w:rPr>
        <w:t xml:space="preserve">used in the CCA, based on the results recalculated </w:t>
      </w:r>
      <w:r w:rsidR="003E1643">
        <w:rPr>
          <w:rFonts w:ascii="Franklin Gothic Book" w:eastAsiaTheme="minorHAnsi" w:hAnsi="Franklin Gothic Book" w:cstheme="minorBidi"/>
          <w:sz w:val="22"/>
          <w:szCs w:val="22"/>
        </w:rPr>
        <w:t xml:space="preserve">results </w:t>
      </w:r>
      <w:r w:rsidR="001D5BFB">
        <w:rPr>
          <w:rFonts w:ascii="Franklin Gothic Book" w:eastAsiaTheme="minorHAnsi" w:hAnsi="Franklin Gothic Book" w:cstheme="minorBidi"/>
          <w:sz w:val="22"/>
          <w:szCs w:val="22"/>
        </w:rPr>
        <w:t xml:space="preserve">from </w:t>
      </w:r>
      <w:r w:rsidRPr="00740BCE">
        <w:rPr>
          <w:rFonts w:ascii="Franklin Gothic Book" w:eastAsiaTheme="minorHAnsi" w:hAnsi="Franklin Gothic Book" w:cstheme="minorBidi"/>
          <w:sz w:val="22"/>
          <w:szCs w:val="22"/>
        </w:rPr>
        <w:t>Mozes 2022</w:t>
      </w:r>
      <w:r w:rsidR="001D5BFB">
        <w:rPr>
          <w:rFonts w:ascii="Franklin Gothic Book" w:eastAsiaTheme="minorHAnsi" w:hAnsi="Franklin Gothic Book" w:cstheme="minorBidi"/>
          <w:sz w:val="22"/>
          <w:szCs w:val="22"/>
        </w:rPr>
        <w:t>,</w:t>
      </w:r>
      <w:r w:rsidRPr="00740BCE">
        <w:rPr>
          <w:rFonts w:ascii="Franklin Gothic Book" w:eastAsiaTheme="minorHAnsi" w:hAnsi="Franklin Gothic Book" w:cstheme="minorBidi"/>
          <w:sz w:val="22"/>
          <w:szCs w:val="22"/>
        </w:rPr>
        <w:t xml:space="preserve"> </w:t>
      </w:r>
      <w:r w:rsidR="001D5BFB">
        <w:rPr>
          <w:rFonts w:ascii="Franklin Gothic Book" w:eastAsiaTheme="minorHAnsi" w:hAnsi="Franklin Gothic Book" w:cstheme="minorBidi"/>
          <w:sz w:val="22"/>
          <w:szCs w:val="22"/>
        </w:rPr>
        <w:t>excluding the</w:t>
      </w:r>
      <w:r w:rsidRPr="00740BCE">
        <w:rPr>
          <w:rFonts w:ascii="Franklin Gothic Book" w:eastAsiaTheme="minorHAnsi" w:hAnsi="Franklin Gothic Book" w:cstheme="minorBidi"/>
          <w:sz w:val="22"/>
          <w:szCs w:val="22"/>
        </w:rPr>
        <w:t xml:space="preserve"> 5% indetermin</w:t>
      </w:r>
      <w:r w:rsidR="00A27694">
        <w:rPr>
          <w:rFonts w:ascii="Franklin Gothic Book" w:eastAsiaTheme="minorHAnsi" w:hAnsi="Franklin Gothic Book" w:cstheme="minorBidi"/>
          <w:sz w:val="22"/>
          <w:szCs w:val="22"/>
        </w:rPr>
        <w:t>ate</w:t>
      </w:r>
      <w:r w:rsidRPr="00740BCE">
        <w:rPr>
          <w:rFonts w:ascii="Franklin Gothic Book" w:eastAsiaTheme="minorHAnsi" w:hAnsi="Franklin Gothic Book" w:cstheme="minorBidi"/>
          <w:sz w:val="22"/>
          <w:szCs w:val="22"/>
        </w:rPr>
        <w:t xml:space="preserve"> VCTE results. </w:t>
      </w:r>
    </w:p>
    <w:p w14:paraId="2938D009" w14:textId="22962A7B" w:rsidR="000B1F2A" w:rsidRPr="000B1F2A" w:rsidRDefault="000B2792" w:rsidP="000B1F2A">
      <w:pPr>
        <w:pStyle w:val="Caption"/>
        <w:spacing w:before="0" w:after="0"/>
        <w:rPr>
          <w:b w:val="0"/>
          <w:bCs w:val="0"/>
        </w:rPr>
      </w:pPr>
      <w:bookmarkStart w:id="49" w:name="_Ref205075029"/>
      <w:r w:rsidRPr="000B1F2A">
        <w:t xml:space="preserve">Table </w:t>
      </w:r>
      <w:r w:rsidR="003D48F8">
        <w:fldChar w:fldCharType="begin"/>
      </w:r>
      <w:r w:rsidR="003D48F8">
        <w:instrText xml:space="preserve"> SEQ Table \* ARABIC </w:instrText>
      </w:r>
      <w:r w:rsidR="003D48F8">
        <w:fldChar w:fldCharType="separate"/>
      </w:r>
      <w:r w:rsidR="003D48F8">
        <w:rPr>
          <w:noProof/>
        </w:rPr>
        <w:t>12</w:t>
      </w:r>
      <w:r w:rsidR="003D48F8">
        <w:rPr>
          <w:noProof/>
        </w:rPr>
        <w:fldChar w:fldCharType="end"/>
      </w:r>
      <w:bookmarkEnd w:id="49"/>
      <w:r w:rsidRPr="000B1F2A">
        <w:tab/>
      </w:r>
      <w:r w:rsidR="000B1F2A" w:rsidRPr="000B1F2A">
        <w:t xml:space="preserve">Diagnostic outcomes </w:t>
      </w:r>
      <w:r w:rsidR="000B1F2A">
        <w:t>used for evaluation cost consequence analysis</w:t>
      </w: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85"/>
        <w:gridCol w:w="3686"/>
      </w:tblGrid>
      <w:tr w:rsidR="00664059" w:rsidRPr="000B1F2A" w14:paraId="01694D3E" w14:textId="77777777" w:rsidTr="00A6445B">
        <w:tc>
          <w:tcPr>
            <w:tcW w:w="2122" w:type="dxa"/>
            <w:vAlign w:val="bottom"/>
          </w:tcPr>
          <w:p w14:paraId="0391AE22" w14:textId="77777777" w:rsidR="000B1F2A" w:rsidRPr="000B1F2A" w:rsidRDefault="000B1F2A">
            <w:pPr>
              <w:pStyle w:val="BodyText"/>
              <w:spacing w:after="0" w:line="240" w:lineRule="auto"/>
              <w:jc w:val="center"/>
              <w:rPr>
                <w:rFonts w:ascii="Arial Narrow" w:hAnsi="Arial Narrow"/>
                <w:b/>
                <w:bCs/>
                <w:sz w:val="20"/>
              </w:rPr>
            </w:pPr>
            <w:r w:rsidRPr="000B1F2A">
              <w:rPr>
                <w:rFonts w:ascii="Arial Narrow" w:hAnsi="Arial Narrow"/>
                <w:b/>
                <w:bCs/>
                <w:sz w:val="20"/>
              </w:rPr>
              <w:t>outputs</w:t>
            </w:r>
          </w:p>
        </w:tc>
        <w:tc>
          <w:tcPr>
            <w:tcW w:w="3685" w:type="dxa"/>
            <w:vAlign w:val="center"/>
          </w:tcPr>
          <w:p w14:paraId="06D1FF0F" w14:textId="77777777" w:rsidR="000B1F2A" w:rsidRPr="000B1F2A" w:rsidRDefault="000B1F2A">
            <w:pPr>
              <w:pStyle w:val="BodyText"/>
              <w:spacing w:after="0" w:line="240" w:lineRule="auto"/>
              <w:jc w:val="center"/>
              <w:rPr>
                <w:rFonts w:ascii="Arial Narrow" w:hAnsi="Arial Narrow"/>
                <w:b/>
                <w:bCs/>
                <w:sz w:val="20"/>
              </w:rPr>
            </w:pPr>
            <w:r w:rsidRPr="000B1F2A">
              <w:rPr>
                <w:rFonts w:ascii="Arial Narrow" w:hAnsi="Arial Narrow"/>
                <w:b/>
                <w:bCs/>
                <w:sz w:val="20"/>
              </w:rPr>
              <w:t>Proposed algorithm: Patients with FIB-4 &lt;1.3 remain in primary care; patients with [FIB-4 &lt;1.3; ≥2.67] are referred to VCTE [&gt; 8kPa]</w:t>
            </w:r>
          </w:p>
        </w:tc>
        <w:tc>
          <w:tcPr>
            <w:tcW w:w="3686" w:type="dxa"/>
            <w:vAlign w:val="center"/>
          </w:tcPr>
          <w:p w14:paraId="41329879" w14:textId="77777777" w:rsidR="000B1F2A" w:rsidRPr="000B1F2A" w:rsidRDefault="000B1F2A">
            <w:pPr>
              <w:pStyle w:val="BodyText"/>
              <w:spacing w:after="0" w:line="240" w:lineRule="auto"/>
              <w:jc w:val="center"/>
              <w:rPr>
                <w:rFonts w:ascii="Arial Narrow" w:hAnsi="Arial Narrow"/>
                <w:b/>
                <w:bCs/>
                <w:sz w:val="20"/>
              </w:rPr>
            </w:pPr>
            <w:r w:rsidRPr="000B1F2A">
              <w:rPr>
                <w:rFonts w:ascii="Arial Narrow" w:hAnsi="Arial Narrow"/>
                <w:b/>
                <w:bCs/>
                <w:sz w:val="20"/>
              </w:rPr>
              <w:t>Current practice: Patients with</w:t>
            </w:r>
          </w:p>
          <w:p w14:paraId="4D10325F" w14:textId="77777777" w:rsidR="000B1F2A" w:rsidRPr="000B1F2A" w:rsidRDefault="000B1F2A">
            <w:pPr>
              <w:pStyle w:val="BodyText"/>
              <w:spacing w:after="0" w:line="240" w:lineRule="auto"/>
              <w:jc w:val="center"/>
              <w:rPr>
                <w:rFonts w:ascii="Arial Narrow" w:hAnsi="Arial Narrow"/>
                <w:b/>
                <w:bCs/>
                <w:sz w:val="20"/>
              </w:rPr>
            </w:pPr>
            <w:r w:rsidRPr="000B1F2A">
              <w:rPr>
                <w:rFonts w:ascii="Arial Narrow" w:hAnsi="Arial Narrow"/>
                <w:b/>
                <w:bCs/>
                <w:sz w:val="20"/>
              </w:rPr>
              <w:t>FIB-4 &lt;1.3 remain in primary care; patients with FIB-4 ≥1.3; are referred to specialist care</w:t>
            </w:r>
          </w:p>
        </w:tc>
      </w:tr>
      <w:tr w:rsidR="00664059" w:rsidRPr="000B1F2A" w14:paraId="3E2E8DDC" w14:textId="77777777" w:rsidTr="00A6445B">
        <w:tc>
          <w:tcPr>
            <w:tcW w:w="2122" w:type="dxa"/>
            <w:vAlign w:val="bottom"/>
          </w:tcPr>
          <w:p w14:paraId="3FC4F820" w14:textId="77777777" w:rsidR="000B1F2A" w:rsidRPr="000B1F2A" w:rsidRDefault="000B1F2A">
            <w:pPr>
              <w:pStyle w:val="BodyText"/>
              <w:spacing w:after="0" w:line="240" w:lineRule="auto"/>
              <w:rPr>
                <w:rFonts w:ascii="Arial Narrow" w:hAnsi="Arial Narrow"/>
                <w:sz w:val="20"/>
              </w:rPr>
            </w:pPr>
            <w:r w:rsidRPr="000B1F2A">
              <w:rPr>
                <w:rFonts w:ascii="Arial Narrow" w:hAnsi="Arial Narrow"/>
                <w:sz w:val="20"/>
              </w:rPr>
              <w:t>% tested FIB-4 indeterminate</w:t>
            </w:r>
          </w:p>
        </w:tc>
        <w:tc>
          <w:tcPr>
            <w:tcW w:w="3685" w:type="dxa"/>
            <w:vAlign w:val="center"/>
          </w:tcPr>
          <w:p w14:paraId="026FAABD"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(1509+245) / 4914 = 31%</w:t>
            </w:r>
          </w:p>
        </w:tc>
        <w:tc>
          <w:tcPr>
            <w:tcW w:w="3686" w:type="dxa"/>
            <w:vAlign w:val="center"/>
          </w:tcPr>
          <w:p w14:paraId="10F5BBB3"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Not applicable</w:t>
            </w:r>
          </w:p>
        </w:tc>
      </w:tr>
      <w:tr w:rsidR="00664059" w:rsidRPr="000B1F2A" w14:paraId="7CDEBD2F" w14:textId="77777777" w:rsidTr="00A6445B">
        <w:tc>
          <w:tcPr>
            <w:tcW w:w="2122" w:type="dxa"/>
            <w:vAlign w:val="bottom"/>
          </w:tcPr>
          <w:p w14:paraId="1B04F483" w14:textId="77777777" w:rsidR="000B1F2A" w:rsidRPr="000B1F2A" w:rsidRDefault="000B1F2A">
            <w:pPr>
              <w:pStyle w:val="BodyText"/>
              <w:spacing w:after="0" w:line="240" w:lineRule="auto"/>
              <w:rPr>
                <w:rFonts w:ascii="Arial Narrow" w:hAnsi="Arial Narrow"/>
                <w:sz w:val="20"/>
              </w:rPr>
            </w:pPr>
            <w:r w:rsidRPr="000B1F2A">
              <w:rPr>
                <w:rFonts w:ascii="Arial Narrow" w:hAnsi="Arial Narrow"/>
                <w:sz w:val="20"/>
              </w:rPr>
              <w:t>% patients correctly diagnosed (TP+TN)</w:t>
            </w:r>
          </w:p>
        </w:tc>
        <w:tc>
          <w:tcPr>
            <w:tcW w:w="3685" w:type="dxa"/>
            <w:vAlign w:val="center"/>
          </w:tcPr>
          <w:p w14:paraId="2824F2EC"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(2311+459+654+502) /4914 = 80%</w:t>
            </w:r>
          </w:p>
        </w:tc>
        <w:tc>
          <w:tcPr>
            <w:tcW w:w="3686" w:type="dxa"/>
            <w:vAlign w:val="center"/>
          </w:tcPr>
          <w:p w14:paraId="2C881D74"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(2311+1063)/ 4914 = 69%</w:t>
            </w:r>
          </w:p>
        </w:tc>
      </w:tr>
      <w:tr w:rsidR="00664059" w:rsidRPr="000B1F2A" w14:paraId="03897207" w14:textId="77777777" w:rsidTr="00A6445B">
        <w:tc>
          <w:tcPr>
            <w:tcW w:w="2122" w:type="dxa"/>
            <w:vAlign w:val="bottom"/>
          </w:tcPr>
          <w:p w14:paraId="080CB04F" w14:textId="77777777" w:rsidR="000B1F2A" w:rsidRPr="000B1F2A" w:rsidRDefault="000B1F2A">
            <w:pPr>
              <w:pStyle w:val="BodyText"/>
              <w:spacing w:after="0" w:line="240" w:lineRule="auto"/>
              <w:rPr>
                <w:rFonts w:ascii="Arial Narrow" w:hAnsi="Arial Narrow"/>
                <w:sz w:val="20"/>
              </w:rPr>
            </w:pPr>
            <w:r w:rsidRPr="000B1F2A">
              <w:rPr>
                <w:rFonts w:ascii="Arial Narrow" w:hAnsi="Arial Narrow"/>
                <w:sz w:val="20"/>
              </w:rPr>
              <w:t>% patients incorrectly diagnosed (FP+FN)</w:t>
            </w:r>
          </w:p>
        </w:tc>
        <w:tc>
          <w:tcPr>
            <w:tcW w:w="3685" w:type="dxa"/>
            <w:vAlign w:val="center"/>
          </w:tcPr>
          <w:p w14:paraId="69D48077"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(396+239+102+251) /4914 = 20%</w:t>
            </w:r>
          </w:p>
        </w:tc>
        <w:tc>
          <w:tcPr>
            <w:tcW w:w="3686" w:type="dxa"/>
            <w:vAlign w:val="center"/>
          </w:tcPr>
          <w:p w14:paraId="18515729"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(396+1144) / 4914 = 31%</w:t>
            </w:r>
          </w:p>
        </w:tc>
      </w:tr>
      <w:tr w:rsidR="00664059" w:rsidRPr="000B1F2A" w14:paraId="5D07939D" w14:textId="77777777" w:rsidTr="00A6445B">
        <w:tc>
          <w:tcPr>
            <w:tcW w:w="2122" w:type="dxa"/>
            <w:vAlign w:val="bottom"/>
          </w:tcPr>
          <w:p w14:paraId="4AE81783" w14:textId="77777777" w:rsidR="000B1F2A" w:rsidRPr="000B1F2A" w:rsidRDefault="000B1F2A">
            <w:pPr>
              <w:pStyle w:val="BodyText"/>
              <w:spacing w:after="0" w:line="240" w:lineRule="auto"/>
              <w:rPr>
                <w:rFonts w:ascii="Arial Narrow" w:hAnsi="Arial Narrow"/>
                <w:sz w:val="20"/>
              </w:rPr>
            </w:pPr>
            <w:r w:rsidRPr="000B1F2A">
              <w:rPr>
                <w:rFonts w:ascii="Arial Narrow" w:hAnsi="Arial Narrow"/>
                <w:sz w:val="20"/>
              </w:rPr>
              <w:t>%. of specialist referrals (TP+FP)</w:t>
            </w:r>
          </w:p>
        </w:tc>
        <w:tc>
          <w:tcPr>
            <w:tcW w:w="3685" w:type="dxa"/>
            <w:vAlign w:val="center"/>
          </w:tcPr>
          <w:p w14:paraId="44DAD36F"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(459+239+502+251) / 4914 = 30%</w:t>
            </w:r>
          </w:p>
        </w:tc>
        <w:tc>
          <w:tcPr>
            <w:tcW w:w="3686" w:type="dxa"/>
            <w:vAlign w:val="center"/>
          </w:tcPr>
          <w:p w14:paraId="19EE10CF"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(1063+1144) 4914= 45%</w:t>
            </w:r>
          </w:p>
        </w:tc>
      </w:tr>
      <w:tr w:rsidR="00664059" w:rsidRPr="000B1F2A" w14:paraId="075352D0" w14:textId="77777777" w:rsidTr="00A6445B">
        <w:tc>
          <w:tcPr>
            <w:tcW w:w="2122" w:type="dxa"/>
            <w:vAlign w:val="bottom"/>
          </w:tcPr>
          <w:p w14:paraId="06B6D3A4" w14:textId="77777777" w:rsidR="000B1F2A" w:rsidRPr="000B1F2A" w:rsidRDefault="000B1F2A">
            <w:pPr>
              <w:pStyle w:val="BodyText"/>
              <w:spacing w:after="0" w:line="240" w:lineRule="auto"/>
              <w:rPr>
                <w:rFonts w:ascii="Arial Narrow" w:hAnsi="Arial Narrow"/>
                <w:sz w:val="20"/>
              </w:rPr>
            </w:pPr>
            <w:r w:rsidRPr="000B1F2A">
              <w:rPr>
                <w:rFonts w:ascii="Arial Narrow" w:hAnsi="Arial Narrow"/>
                <w:sz w:val="20"/>
              </w:rPr>
              <w:t>% of unnecessary referrals to specialist (FP)</w:t>
            </w:r>
          </w:p>
        </w:tc>
        <w:tc>
          <w:tcPr>
            <w:tcW w:w="3685" w:type="dxa"/>
            <w:vAlign w:val="center"/>
          </w:tcPr>
          <w:p w14:paraId="2EE1F9BE"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(239+251) / 4914 = 10%</w:t>
            </w:r>
          </w:p>
        </w:tc>
        <w:tc>
          <w:tcPr>
            <w:tcW w:w="3686" w:type="dxa"/>
            <w:vAlign w:val="center"/>
          </w:tcPr>
          <w:p w14:paraId="2E36CC96"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1144 / 4914 =23%</w:t>
            </w:r>
          </w:p>
        </w:tc>
      </w:tr>
      <w:tr w:rsidR="00664059" w:rsidRPr="000B1F2A" w14:paraId="2739BFDC" w14:textId="77777777" w:rsidTr="00A6445B">
        <w:trPr>
          <w:trHeight w:val="60"/>
        </w:trPr>
        <w:tc>
          <w:tcPr>
            <w:tcW w:w="2122" w:type="dxa"/>
            <w:vAlign w:val="bottom"/>
          </w:tcPr>
          <w:p w14:paraId="229CB182" w14:textId="77777777" w:rsidR="000B1F2A" w:rsidRPr="000B1F2A" w:rsidRDefault="000B1F2A">
            <w:pPr>
              <w:pStyle w:val="BodyText"/>
              <w:spacing w:after="0" w:line="240" w:lineRule="auto"/>
              <w:rPr>
                <w:rFonts w:ascii="Arial Narrow" w:hAnsi="Arial Narrow"/>
                <w:sz w:val="20"/>
              </w:rPr>
            </w:pPr>
            <w:r w:rsidRPr="000B1F2A">
              <w:rPr>
                <w:rFonts w:ascii="Arial Narrow" w:hAnsi="Arial Narrow"/>
                <w:sz w:val="20"/>
              </w:rPr>
              <w:t>%. of missed AF (FN)</w:t>
            </w:r>
          </w:p>
        </w:tc>
        <w:tc>
          <w:tcPr>
            <w:tcW w:w="3685" w:type="dxa"/>
            <w:vAlign w:val="center"/>
          </w:tcPr>
          <w:p w14:paraId="705287B0"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(396+102) / 4914 = 10%</w:t>
            </w:r>
          </w:p>
        </w:tc>
        <w:tc>
          <w:tcPr>
            <w:tcW w:w="3686" w:type="dxa"/>
            <w:vAlign w:val="center"/>
          </w:tcPr>
          <w:p w14:paraId="292C655F" w14:textId="77777777" w:rsidR="000B1F2A" w:rsidRPr="000B1F2A" w:rsidRDefault="000B1F2A">
            <w:pPr>
              <w:pStyle w:val="BodyText"/>
              <w:spacing w:after="0" w:line="240" w:lineRule="auto"/>
              <w:jc w:val="center"/>
              <w:rPr>
                <w:rFonts w:ascii="Arial Narrow" w:hAnsi="Arial Narrow"/>
                <w:sz w:val="20"/>
              </w:rPr>
            </w:pPr>
            <w:r w:rsidRPr="000B1F2A">
              <w:rPr>
                <w:rFonts w:ascii="Arial Narrow" w:hAnsi="Arial Narrow"/>
                <w:sz w:val="20"/>
              </w:rPr>
              <w:t>396 / 4914 = 8%</w:t>
            </w:r>
          </w:p>
        </w:tc>
      </w:tr>
    </w:tbl>
    <w:p w14:paraId="409D40A4" w14:textId="1BFF5966" w:rsidR="000B2792" w:rsidRPr="000E64DE" w:rsidRDefault="000B1F2A" w:rsidP="000E64DE">
      <w:pPr>
        <w:pStyle w:val="BodyText"/>
        <w:spacing w:after="240" w:line="240" w:lineRule="auto"/>
        <w:rPr>
          <w:rFonts w:ascii="Arial Narrow" w:hAnsi="Arial Narrow"/>
          <w:sz w:val="20"/>
        </w:rPr>
      </w:pPr>
      <w:r w:rsidRPr="000B1F2A">
        <w:rPr>
          <w:rFonts w:ascii="Arial Narrow" w:hAnsi="Arial Narrow"/>
          <w:sz w:val="20"/>
        </w:rPr>
        <w:t>FIB-4, Fibrosis-4 Index; FN = false negative; FP = false positive; kPa = kilo pascal; TN = true negative; TP = true positive; VCTE</w:t>
      </w:r>
      <w:r w:rsidR="00CF1B2B">
        <w:rPr>
          <w:rFonts w:ascii="Arial Narrow" w:hAnsi="Arial Narrow"/>
          <w:sz w:val="20"/>
        </w:rPr>
        <w:t xml:space="preserve"> =</w:t>
      </w:r>
      <w:r w:rsidR="00CF1B2B" w:rsidRPr="000B1F2A">
        <w:rPr>
          <w:rFonts w:ascii="Arial Narrow" w:hAnsi="Arial Narrow"/>
          <w:sz w:val="20"/>
        </w:rPr>
        <w:t xml:space="preserve"> </w:t>
      </w:r>
      <w:r w:rsidRPr="000B1F2A">
        <w:rPr>
          <w:rFonts w:ascii="Arial Narrow" w:hAnsi="Arial Narrow"/>
          <w:sz w:val="20"/>
        </w:rPr>
        <w:t>vibration-controlled transient elastography</w:t>
      </w:r>
    </w:p>
    <w:p w14:paraId="63BB9F42" w14:textId="0A5D520E" w:rsidR="00185584" w:rsidRDefault="00185584" w:rsidP="000B2792">
      <w:pPr>
        <w:pStyle w:val="BodyText"/>
        <w:rPr>
          <w:rFonts w:ascii="Franklin Gothic Book" w:eastAsiaTheme="minorHAnsi" w:hAnsi="Franklin Gothic Book" w:cstheme="minorBidi"/>
          <w:sz w:val="22"/>
          <w:szCs w:val="22"/>
        </w:rPr>
      </w:pPr>
      <w:r w:rsidRPr="00185584">
        <w:rPr>
          <w:rFonts w:ascii="Franklin Gothic Book" w:eastAsiaTheme="minorHAnsi" w:hAnsi="Franklin Gothic Book" w:cstheme="minorBidi"/>
          <w:sz w:val="22"/>
          <w:szCs w:val="22"/>
        </w:rPr>
        <w:t>The CCA conducted during the evaluation showed that, compared to a strategy in which all patients with FIB-4 &gt; 1.3 are referred to specialis</w:t>
      </w:r>
      <w:r w:rsidR="00AE21A4">
        <w:rPr>
          <w:rFonts w:ascii="Franklin Gothic Book" w:eastAsiaTheme="minorHAnsi" w:hAnsi="Franklin Gothic Book" w:cstheme="minorBidi"/>
          <w:sz w:val="22"/>
          <w:szCs w:val="22"/>
        </w:rPr>
        <w:t>t</w:t>
      </w:r>
      <w:r w:rsidRPr="00185584">
        <w:rPr>
          <w:rFonts w:ascii="Franklin Gothic Book" w:eastAsiaTheme="minorHAnsi" w:hAnsi="Franklin Gothic Book" w:cstheme="minorBidi"/>
          <w:sz w:val="22"/>
          <w:szCs w:val="22"/>
        </w:rPr>
        <w:t xml:space="preserve"> care, the proposed two-tier diagnostic algorithm of FIB-4 and VCTE for indetermin</w:t>
      </w:r>
      <w:r w:rsidR="004B5D8D">
        <w:rPr>
          <w:rFonts w:ascii="Franklin Gothic Book" w:eastAsiaTheme="minorHAnsi" w:hAnsi="Franklin Gothic Book" w:cstheme="minorBidi"/>
          <w:sz w:val="22"/>
          <w:szCs w:val="22"/>
        </w:rPr>
        <w:t>ate</w:t>
      </w:r>
      <w:r w:rsidRPr="00185584">
        <w:rPr>
          <w:rFonts w:ascii="Franklin Gothic Book" w:eastAsiaTheme="minorHAnsi" w:hAnsi="Franklin Gothic Book" w:cstheme="minorBidi"/>
          <w:sz w:val="22"/>
          <w:szCs w:val="22"/>
        </w:rPr>
        <w:t xml:space="preserve"> results will result in more correctly diagnosed patients, fewer incorrect diagnosis (overall) and fewer unnecessary referrals, all of which are positive outcomes and likely to improve efficiency and deliver positive health outcomes. However, there are also more missed diagnoses with the two-tier diagnostic strategy (which is plausible as fewer patients end up being referred), which raises an ethical question of whether increased efficiency in the cohort should be obtained at the expense of a minority who may be worse off</w:t>
      </w:r>
      <w:r>
        <w:rPr>
          <w:rFonts w:ascii="Franklin Gothic Book" w:eastAsiaTheme="minorHAnsi" w:hAnsi="Franklin Gothic Book" w:cstheme="minorBidi"/>
          <w:sz w:val="22"/>
          <w:szCs w:val="22"/>
        </w:rPr>
        <w:t xml:space="preserve">. </w:t>
      </w:r>
    </w:p>
    <w:p w14:paraId="1AF3A407" w14:textId="075F9A82" w:rsidR="000B2792" w:rsidRDefault="000B2792" w:rsidP="000B2792">
      <w:pPr>
        <w:pStyle w:val="BodyText"/>
        <w:rPr>
          <w:rFonts w:ascii="Franklin Gothic Book" w:eastAsiaTheme="minorHAnsi" w:hAnsi="Franklin Gothic Book" w:cstheme="minorBidi"/>
          <w:sz w:val="22"/>
          <w:szCs w:val="22"/>
        </w:rPr>
      </w:pPr>
      <w:r w:rsidRPr="00CA2A78">
        <w:rPr>
          <w:rFonts w:ascii="Franklin Gothic Book" w:eastAsiaTheme="minorHAnsi" w:hAnsi="Franklin Gothic Book" w:cstheme="minorBidi"/>
          <w:sz w:val="22"/>
          <w:szCs w:val="22"/>
        </w:rPr>
        <w:lastRenderedPageBreak/>
        <w:t xml:space="preserve">Unit costs </w:t>
      </w:r>
      <w:r>
        <w:rPr>
          <w:rFonts w:ascii="Franklin Gothic Book" w:eastAsiaTheme="minorHAnsi" w:hAnsi="Franklin Gothic Book" w:cstheme="minorBidi"/>
          <w:sz w:val="22"/>
          <w:szCs w:val="22"/>
        </w:rPr>
        <w:t>from the ADAR model</w:t>
      </w:r>
      <w:r w:rsidRPr="00CA2A78">
        <w:rPr>
          <w:rFonts w:ascii="Franklin Gothic Book" w:eastAsiaTheme="minorHAnsi" w:hAnsi="Franklin Gothic Book" w:cstheme="minorBidi"/>
          <w:sz w:val="22"/>
          <w:szCs w:val="22"/>
        </w:rPr>
        <w:t xml:space="preserve"> were adjusted for the most recent MBS prices and applied to the outputs in </w:t>
      </w:r>
      <w:r>
        <w:rPr>
          <w:rFonts w:ascii="Franklin Gothic Book" w:eastAsiaTheme="minorHAnsi" w:hAnsi="Franklin Gothic Book" w:cstheme="minorBidi"/>
          <w:sz w:val="22"/>
          <w:szCs w:val="22"/>
        </w:rPr>
        <w:fldChar w:fldCharType="begin"/>
      </w:r>
      <w:r>
        <w:rPr>
          <w:rFonts w:ascii="Franklin Gothic Book" w:eastAsiaTheme="minorHAnsi" w:hAnsi="Franklin Gothic Book" w:cstheme="minorBidi"/>
          <w:sz w:val="22"/>
          <w:szCs w:val="22"/>
        </w:rPr>
        <w:instrText xml:space="preserve"> REF _Ref205075029 \h  \* MERGEFORMAT </w:instrText>
      </w:r>
      <w:r>
        <w:rPr>
          <w:rFonts w:ascii="Franklin Gothic Book" w:eastAsiaTheme="minorHAnsi" w:hAnsi="Franklin Gothic Book" w:cstheme="minorBidi"/>
          <w:sz w:val="22"/>
          <w:szCs w:val="22"/>
        </w:rPr>
      </w:r>
      <w:r>
        <w:rPr>
          <w:rFonts w:ascii="Franklin Gothic Book" w:eastAsiaTheme="minorHAnsi" w:hAnsi="Franklin Gothic Book" w:cstheme="minorBidi"/>
          <w:sz w:val="22"/>
          <w:szCs w:val="22"/>
        </w:rPr>
        <w:fldChar w:fldCharType="separate"/>
      </w:r>
      <w:r w:rsidR="002F2CA4" w:rsidRPr="002F2CA4">
        <w:rPr>
          <w:rFonts w:ascii="Franklin Gothic Book" w:eastAsiaTheme="minorHAnsi" w:hAnsi="Franklin Gothic Book" w:cstheme="minorBidi"/>
          <w:sz w:val="22"/>
          <w:szCs w:val="22"/>
        </w:rPr>
        <w:t>Table 12</w:t>
      </w:r>
      <w:r>
        <w:rPr>
          <w:rFonts w:ascii="Franklin Gothic Book" w:eastAsiaTheme="minorHAnsi" w:hAnsi="Franklin Gothic Book" w:cstheme="minorBidi"/>
          <w:sz w:val="22"/>
          <w:szCs w:val="22"/>
        </w:rPr>
        <w:fldChar w:fldCharType="end"/>
      </w:r>
      <w:r>
        <w:rPr>
          <w:rFonts w:ascii="Franklin Gothic Book" w:eastAsiaTheme="minorHAnsi" w:hAnsi="Franklin Gothic Book" w:cstheme="minorBidi"/>
          <w:sz w:val="22"/>
          <w:szCs w:val="22"/>
        </w:rPr>
        <w:t xml:space="preserve">. </w:t>
      </w:r>
      <w:r w:rsidR="003E1643">
        <w:rPr>
          <w:rFonts w:ascii="Franklin Gothic Book" w:eastAsiaTheme="minorHAnsi" w:hAnsi="Franklin Gothic Book" w:cstheme="minorBidi"/>
          <w:sz w:val="22"/>
          <w:szCs w:val="22"/>
        </w:rPr>
        <w:t>The c</w:t>
      </w:r>
      <w:r w:rsidRPr="00CA2A78">
        <w:rPr>
          <w:rFonts w:ascii="Franklin Gothic Book" w:eastAsiaTheme="minorHAnsi" w:hAnsi="Franklin Gothic Book" w:cstheme="minorBidi"/>
          <w:sz w:val="22"/>
          <w:szCs w:val="22"/>
        </w:rPr>
        <w:t xml:space="preserve">osts of physical assessment and blood investigations are common </w:t>
      </w:r>
      <w:r w:rsidR="00F572C3">
        <w:rPr>
          <w:rFonts w:ascii="Franklin Gothic Book" w:eastAsiaTheme="minorHAnsi" w:hAnsi="Franklin Gothic Book" w:cstheme="minorBidi"/>
          <w:sz w:val="22"/>
          <w:szCs w:val="22"/>
        </w:rPr>
        <w:t>to</w:t>
      </w:r>
      <w:r w:rsidRPr="00CA2A78">
        <w:rPr>
          <w:rFonts w:ascii="Franklin Gothic Book" w:eastAsiaTheme="minorHAnsi" w:hAnsi="Franklin Gothic Book" w:cstheme="minorBidi"/>
          <w:sz w:val="22"/>
          <w:szCs w:val="22"/>
        </w:rPr>
        <w:t xml:space="preserve"> both alternative strategies and their diagnostic input is assumed to have been captured in the FIB-4 score. Patients were assumed to be diagnosed with MAFLD (NAFLD) at the baseline </w:t>
      </w:r>
      <w:r w:rsidR="00FD3C47">
        <w:rPr>
          <w:rFonts w:ascii="Franklin Gothic Book" w:eastAsiaTheme="minorHAnsi" w:hAnsi="Franklin Gothic Book" w:cstheme="minorBidi"/>
          <w:sz w:val="22"/>
          <w:szCs w:val="22"/>
        </w:rPr>
        <w:t>as determined by</w:t>
      </w:r>
      <w:r w:rsidRPr="00CA2A78">
        <w:rPr>
          <w:rFonts w:ascii="Franklin Gothic Book" w:eastAsiaTheme="minorHAnsi" w:hAnsi="Franklin Gothic Book" w:cstheme="minorBidi"/>
          <w:sz w:val="22"/>
          <w:szCs w:val="22"/>
        </w:rPr>
        <w:t xml:space="preserve"> ultrasound with the corresponding cost included in the total cost per patient. The role of a subsequent ultrasound in AF assessment is </w:t>
      </w:r>
      <w:r w:rsidR="00D275EA">
        <w:rPr>
          <w:rFonts w:ascii="Franklin Gothic Book" w:eastAsiaTheme="minorHAnsi" w:hAnsi="Franklin Gothic Book" w:cstheme="minorBidi"/>
          <w:sz w:val="22"/>
          <w:szCs w:val="22"/>
        </w:rPr>
        <w:t>un</w:t>
      </w:r>
      <w:r w:rsidRPr="00CA2A78">
        <w:rPr>
          <w:rFonts w:ascii="Franklin Gothic Book" w:eastAsiaTheme="minorHAnsi" w:hAnsi="Franklin Gothic Book" w:cstheme="minorBidi"/>
          <w:sz w:val="22"/>
          <w:szCs w:val="22"/>
        </w:rPr>
        <w:t>clear</w:t>
      </w:r>
      <w:r w:rsidR="0028327F">
        <w:rPr>
          <w:rFonts w:ascii="Franklin Gothic Book" w:eastAsiaTheme="minorHAnsi" w:hAnsi="Franklin Gothic Book" w:cstheme="minorBidi"/>
          <w:sz w:val="22"/>
          <w:szCs w:val="22"/>
        </w:rPr>
        <w:t xml:space="preserve"> and</w:t>
      </w:r>
      <w:r w:rsidR="001205E8">
        <w:rPr>
          <w:rFonts w:ascii="Franklin Gothic Book" w:eastAsiaTheme="minorHAnsi" w:hAnsi="Franklin Gothic Book" w:cstheme="minorBidi"/>
          <w:sz w:val="22"/>
          <w:szCs w:val="22"/>
        </w:rPr>
        <w:t xml:space="preserve"> should be</w:t>
      </w:r>
      <w:r w:rsidR="0028327F">
        <w:rPr>
          <w:rFonts w:ascii="Franklin Gothic Book" w:eastAsiaTheme="minorHAnsi" w:hAnsi="Franklin Gothic Book" w:cstheme="minorBidi"/>
          <w:sz w:val="22"/>
          <w:szCs w:val="22"/>
        </w:rPr>
        <w:t xml:space="preserve"> excluded for </w:t>
      </w:r>
      <w:r w:rsidR="00EC5E26">
        <w:rPr>
          <w:rFonts w:ascii="Franklin Gothic Book" w:eastAsiaTheme="minorHAnsi" w:hAnsi="Franklin Gothic Book" w:cstheme="minorBidi"/>
          <w:sz w:val="22"/>
          <w:szCs w:val="22"/>
        </w:rPr>
        <w:t xml:space="preserve">the </w:t>
      </w:r>
      <w:r w:rsidR="0028327F">
        <w:rPr>
          <w:rFonts w:ascii="Franklin Gothic Book" w:eastAsiaTheme="minorHAnsi" w:hAnsi="Franklin Gothic Book" w:cstheme="minorBidi"/>
          <w:sz w:val="22"/>
          <w:szCs w:val="22"/>
        </w:rPr>
        <w:t>reasons described above</w:t>
      </w:r>
      <w:r w:rsidRPr="00CA2A78">
        <w:rPr>
          <w:rFonts w:ascii="Franklin Gothic Book" w:eastAsiaTheme="minorHAnsi" w:hAnsi="Franklin Gothic Book" w:cstheme="minorBidi"/>
          <w:sz w:val="22"/>
          <w:szCs w:val="22"/>
        </w:rPr>
        <w:t>. The CCA assumes that ultrasound follows VCTE investigations in 10% of patients</w:t>
      </w:r>
      <w:r w:rsidR="001205E8">
        <w:rPr>
          <w:rFonts w:ascii="Franklin Gothic Book" w:eastAsiaTheme="minorHAnsi" w:hAnsi="Franklin Gothic Book" w:cstheme="minorBidi"/>
          <w:sz w:val="22"/>
          <w:szCs w:val="22"/>
        </w:rPr>
        <w:t xml:space="preserve"> for reasons aside from </w:t>
      </w:r>
      <w:r w:rsidR="002C4620">
        <w:rPr>
          <w:rFonts w:ascii="Franklin Gothic Book" w:eastAsiaTheme="minorHAnsi" w:hAnsi="Franklin Gothic Book" w:cstheme="minorBidi"/>
          <w:sz w:val="22"/>
          <w:szCs w:val="22"/>
        </w:rPr>
        <w:t xml:space="preserve">the </w:t>
      </w:r>
      <w:r w:rsidR="001205E8">
        <w:rPr>
          <w:rFonts w:ascii="Franklin Gothic Book" w:eastAsiaTheme="minorHAnsi" w:hAnsi="Franklin Gothic Book" w:cstheme="minorBidi"/>
          <w:sz w:val="22"/>
          <w:szCs w:val="22"/>
        </w:rPr>
        <w:t>diagnosis of AF</w:t>
      </w:r>
      <w:r w:rsidRPr="00CA2A78">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fldChar w:fldCharType="begin"/>
      </w:r>
      <w:r>
        <w:rPr>
          <w:rFonts w:ascii="Franklin Gothic Book" w:eastAsiaTheme="minorHAnsi" w:hAnsi="Franklin Gothic Book" w:cstheme="minorBidi"/>
          <w:sz w:val="22"/>
          <w:szCs w:val="22"/>
        </w:rPr>
        <w:instrText xml:space="preserve"> REF _Ref205075092 \h  \* MERGEFORMAT </w:instrText>
      </w:r>
      <w:r>
        <w:rPr>
          <w:rFonts w:ascii="Franklin Gothic Book" w:eastAsiaTheme="minorHAnsi" w:hAnsi="Franklin Gothic Book" w:cstheme="minorBidi"/>
          <w:sz w:val="22"/>
          <w:szCs w:val="22"/>
        </w:rPr>
      </w:r>
      <w:r>
        <w:rPr>
          <w:rFonts w:ascii="Franklin Gothic Book" w:eastAsiaTheme="minorHAnsi" w:hAnsi="Franklin Gothic Book" w:cstheme="minorBidi"/>
          <w:sz w:val="22"/>
          <w:szCs w:val="22"/>
        </w:rPr>
        <w:fldChar w:fldCharType="separate"/>
      </w:r>
      <w:r w:rsidR="009A7609" w:rsidRPr="009A7609">
        <w:rPr>
          <w:rFonts w:ascii="Franklin Gothic Book" w:eastAsiaTheme="minorHAnsi" w:hAnsi="Franklin Gothic Book" w:cstheme="minorBidi"/>
          <w:sz w:val="22"/>
          <w:szCs w:val="22"/>
        </w:rPr>
        <w:t>Table 13</w:t>
      </w:r>
      <w:r>
        <w:rPr>
          <w:rFonts w:ascii="Franklin Gothic Book" w:eastAsiaTheme="minorHAnsi" w:hAnsi="Franklin Gothic Book" w:cstheme="minorBidi"/>
          <w:sz w:val="22"/>
          <w:szCs w:val="22"/>
        </w:rPr>
        <w:fldChar w:fldCharType="end"/>
      </w:r>
      <w:r>
        <w:rPr>
          <w:rFonts w:ascii="Franklin Gothic Book" w:eastAsiaTheme="minorHAnsi" w:hAnsi="Franklin Gothic Book" w:cstheme="minorBidi"/>
          <w:sz w:val="22"/>
          <w:szCs w:val="22"/>
        </w:rPr>
        <w:t xml:space="preserve"> </w:t>
      </w:r>
      <w:r w:rsidRPr="003755BD">
        <w:rPr>
          <w:rFonts w:ascii="Franklin Gothic Book" w:eastAsiaTheme="minorHAnsi" w:hAnsi="Franklin Gothic Book" w:cstheme="minorBidi"/>
          <w:sz w:val="22"/>
          <w:szCs w:val="22"/>
        </w:rPr>
        <w:t xml:space="preserve">shows </w:t>
      </w:r>
      <w:r w:rsidR="002C4620">
        <w:rPr>
          <w:rFonts w:ascii="Franklin Gothic Book" w:eastAsiaTheme="minorHAnsi" w:hAnsi="Franklin Gothic Book" w:cstheme="minorBidi"/>
          <w:sz w:val="22"/>
          <w:szCs w:val="22"/>
        </w:rPr>
        <w:t xml:space="preserve">the </w:t>
      </w:r>
      <w:r w:rsidRPr="003755BD">
        <w:rPr>
          <w:rFonts w:ascii="Franklin Gothic Book" w:eastAsiaTheme="minorHAnsi" w:hAnsi="Franklin Gothic Book" w:cstheme="minorBidi"/>
          <w:sz w:val="22"/>
          <w:szCs w:val="22"/>
        </w:rPr>
        <w:t xml:space="preserve">results of </w:t>
      </w:r>
      <w:r>
        <w:rPr>
          <w:rFonts w:ascii="Franklin Gothic Book" w:eastAsiaTheme="minorHAnsi" w:hAnsi="Franklin Gothic Book" w:cstheme="minorBidi"/>
          <w:sz w:val="22"/>
          <w:szCs w:val="22"/>
        </w:rPr>
        <w:t xml:space="preserve">the </w:t>
      </w:r>
      <w:r w:rsidR="009A7609">
        <w:rPr>
          <w:rFonts w:ascii="Franklin Gothic Book" w:eastAsiaTheme="minorHAnsi" w:hAnsi="Franklin Gothic Book" w:cstheme="minorBidi"/>
          <w:sz w:val="22"/>
          <w:szCs w:val="22"/>
        </w:rPr>
        <w:t xml:space="preserve">CCA conducted during the commentary. </w:t>
      </w:r>
    </w:p>
    <w:p w14:paraId="0FE857EB" w14:textId="31670F85" w:rsidR="000B2792" w:rsidRPr="00F85D65" w:rsidRDefault="000B2792" w:rsidP="000B2792">
      <w:pPr>
        <w:pStyle w:val="Caption"/>
        <w:keepLines/>
      </w:pPr>
      <w:bookmarkStart w:id="50" w:name="_Ref205075092"/>
      <w:r>
        <w:t xml:space="preserve">Table </w:t>
      </w:r>
      <w:r w:rsidR="003D48F8">
        <w:fldChar w:fldCharType="begin"/>
      </w:r>
      <w:r w:rsidR="003D48F8">
        <w:instrText xml:space="preserve"> SEQ Table \* ARABIC </w:instrText>
      </w:r>
      <w:r w:rsidR="003D48F8">
        <w:fldChar w:fldCharType="separate"/>
      </w:r>
      <w:r w:rsidR="003D48F8">
        <w:rPr>
          <w:noProof/>
        </w:rPr>
        <w:t>13</w:t>
      </w:r>
      <w:r w:rsidR="003D48F8">
        <w:rPr>
          <w:noProof/>
        </w:rPr>
        <w:fldChar w:fldCharType="end"/>
      </w:r>
      <w:bookmarkEnd w:id="50"/>
      <w:r w:rsidRPr="00CE28E3">
        <w:tab/>
      </w:r>
      <w:r w:rsidRPr="00E90B03">
        <w:t xml:space="preserve">Results of </w:t>
      </w:r>
      <w:r>
        <w:t>the Commentary</w:t>
      </w:r>
      <w:r w:rsidRPr="00E90B03">
        <w:t xml:space="preserve"> </w:t>
      </w:r>
      <w:r>
        <w:t>cost-consequences analysis</w:t>
      </w:r>
      <w:r w:rsidRPr="00E90B03">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1275"/>
      </w:tblGrid>
      <w:tr w:rsidR="00F8380C" w:rsidRPr="00C05A03" w14:paraId="67F5F0BA" w14:textId="77777777" w:rsidTr="00C05A03">
        <w:trPr>
          <w:trHeight w:val="20"/>
        </w:trPr>
        <w:tc>
          <w:tcPr>
            <w:tcW w:w="2405" w:type="dxa"/>
            <w:noWrap/>
            <w:vAlign w:val="bottom"/>
            <w:hideMark/>
          </w:tcPr>
          <w:p w14:paraId="0775FA02" w14:textId="77777777" w:rsidR="00C05A03" w:rsidRPr="00C05A03" w:rsidRDefault="00C05A03">
            <w:pPr>
              <w:pStyle w:val="BodyText"/>
              <w:spacing w:after="0" w:line="240" w:lineRule="auto"/>
              <w:jc w:val="center"/>
              <w:rPr>
                <w:rFonts w:ascii="Arial Narrow" w:hAnsi="Arial Narrow"/>
                <w:b/>
                <w:bCs/>
                <w:szCs w:val="18"/>
              </w:rPr>
            </w:pPr>
            <w:r w:rsidRPr="00C05A03">
              <w:rPr>
                <w:rFonts w:ascii="Arial Narrow" w:hAnsi="Arial Narrow"/>
                <w:b/>
                <w:bCs/>
                <w:szCs w:val="18"/>
              </w:rPr>
              <w:t>costs</w:t>
            </w:r>
          </w:p>
        </w:tc>
        <w:tc>
          <w:tcPr>
            <w:tcW w:w="2693" w:type="dxa"/>
            <w:noWrap/>
            <w:vAlign w:val="center"/>
            <w:hideMark/>
          </w:tcPr>
          <w:p w14:paraId="5404CE88" w14:textId="77777777" w:rsidR="00C05A03" w:rsidRPr="00C05A03" w:rsidRDefault="00C05A03">
            <w:pPr>
              <w:pStyle w:val="BodyText"/>
              <w:spacing w:after="0" w:line="240" w:lineRule="auto"/>
              <w:jc w:val="center"/>
              <w:rPr>
                <w:rFonts w:ascii="Arial Narrow" w:hAnsi="Arial Narrow"/>
                <w:b/>
                <w:bCs/>
                <w:szCs w:val="18"/>
              </w:rPr>
            </w:pPr>
            <w:r w:rsidRPr="00C05A03">
              <w:rPr>
                <w:rFonts w:ascii="Arial Narrow" w:hAnsi="Arial Narrow"/>
                <w:b/>
                <w:bCs/>
                <w:szCs w:val="18"/>
              </w:rPr>
              <w:t>Proposed algorithm: patients with</w:t>
            </w:r>
          </w:p>
          <w:p w14:paraId="57740CE6" w14:textId="0046597B" w:rsidR="00C05A03" w:rsidRPr="00C05A03" w:rsidRDefault="00C05A03">
            <w:pPr>
              <w:pStyle w:val="BodyText"/>
              <w:spacing w:after="0" w:line="240" w:lineRule="auto"/>
              <w:jc w:val="center"/>
              <w:rPr>
                <w:rFonts w:ascii="Arial Narrow" w:hAnsi="Arial Narrow"/>
                <w:b/>
                <w:bCs/>
                <w:szCs w:val="18"/>
              </w:rPr>
            </w:pPr>
            <w:r w:rsidRPr="00C05A03">
              <w:rPr>
                <w:rFonts w:ascii="Arial Narrow" w:hAnsi="Arial Narrow"/>
                <w:b/>
                <w:bCs/>
                <w:szCs w:val="18"/>
              </w:rPr>
              <w:t>FIB-4 &lt;1.3 remain in primary care; patients with [FIB-</w:t>
            </w:r>
            <w:r w:rsidR="00463C22">
              <w:rPr>
                <w:rFonts w:ascii="Arial Narrow" w:hAnsi="Arial Narrow"/>
                <w:b/>
                <w:bCs/>
                <w:szCs w:val="18"/>
              </w:rPr>
              <w:t>4 score between 1.3 and 2.67</w:t>
            </w:r>
            <w:r w:rsidRPr="00C05A03">
              <w:rPr>
                <w:rFonts w:ascii="Arial Narrow" w:hAnsi="Arial Narrow"/>
                <w:b/>
                <w:bCs/>
                <w:szCs w:val="18"/>
              </w:rPr>
              <w:t>] are referred to VCTE [&gt; 8kPa]</w:t>
            </w:r>
          </w:p>
        </w:tc>
        <w:tc>
          <w:tcPr>
            <w:tcW w:w="2694" w:type="dxa"/>
            <w:noWrap/>
            <w:vAlign w:val="center"/>
            <w:hideMark/>
          </w:tcPr>
          <w:p w14:paraId="1A1FB710" w14:textId="77777777" w:rsidR="00C05A03" w:rsidRPr="00C05A03" w:rsidRDefault="00C05A03">
            <w:pPr>
              <w:pStyle w:val="BodyText"/>
              <w:spacing w:after="0" w:line="240" w:lineRule="auto"/>
              <w:jc w:val="center"/>
              <w:rPr>
                <w:rFonts w:ascii="Arial Narrow" w:hAnsi="Arial Narrow"/>
                <w:b/>
                <w:bCs/>
                <w:szCs w:val="18"/>
              </w:rPr>
            </w:pPr>
            <w:r w:rsidRPr="00C05A03">
              <w:rPr>
                <w:rFonts w:ascii="Arial Narrow" w:hAnsi="Arial Narrow"/>
                <w:b/>
                <w:bCs/>
                <w:szCs w:val="18"/>
              </w:rPr>
              <w:t>Current practice: Patients with</w:t>
            </w:r>
          </w:p>
          <w:p w14:paraId="4DBE9CAE" w14:textId="77777777" w:rsidR="00C05A03" w:rsidRPr="00C05A03" w:rsidRDefault="00C05A03">
            <w:pPr>
              <w:pStyle w:val="BodyText"/>
              <w:spacing w:after="0" w:line="240" w:lineRule="auto"/>
              <w:jc w:val="center"/>
              <w:rPr>
                <w:rFonts w:ascii="Arial Narrow" w:hAnsi="Arial Narrow"/>
                <w:b/>
                <w:bCs/>
                <w:szCs w:val="18"/>
              </w:rPr>
            </w:pPr>
            <w:r w:rsidRPr="00C05A03">
              <w:rPr>
                <w:rFonts w:ascii="Arial Narrow" w:hAnsi="Arial Narrow"/>
                <w:b/>
                <w:bCs/>
                <w:szCs w:val="18"/>
              </w:rPr>
              <w:t>FIB-4 &lt;1.3 remain in primary care; patients with FIB-4 ≥1.3; are referred to specialist care</w:t>
            </w:r>
          </w:p>
        </w:tc>
        <w:tc>
          <w:tcPr>
            <w:tcW w:w="1275" w:type="dxa"/>
            <w:vAlign w:val="center"/>
          </w:tcPr>
          <w:p w14:paraId="248D9E12" w14:textId="77777777" w:rsidR="00C05A03" w:rsidRPr="00C05A03" w:rsidRDefault="00C05A03">
            <w:pPr>
              <w:pStyle w:val="BodyText"/>
              <w:spacing w:after="0" w:line="240" w:lineRule="auto"/>
              <w:jc w:val="center"/>
              <w:rPr>
                <w:rFonts w:ascii="Arial Narrow" w:hAnsi="Arial Narrow"/>
                <w:b/>
                <w:bCs/>
                <w:szCs w:val="18"/>
              </w:rPr>
            </w:pPr>
            <w:r w:rsidRPr="00C05A03">
              <w:rPr>
                <w:rFonts w:ascii="Arial Narrow" w:hAnsi="Arial Narrow"/>
                <w:b/>
                <w:bCs/>
                <w:szCs w:val="18"/>
              </w:rPr>
              <w:t>Incremental cost</w:t>
            </w:r>
          </w:p>
        </w:tc>
      </w:tr>
      <w:tr w:rsidR="00F8380C" w:rsidRPr="00C05A03" w14:paraId="5878993A" w14:textId="77777777" w:rsidTr="00C05A03">
        <w:trPr>
          <w:trHeight w:val="20"/>
        </w:trPr>
        <w:tc>
          <w:tcPr>
            <w:tcW w:w="2405" w:type="dxa"/>
            <w:vAlign w:val="bottom"/>
            <w:hideMark/>
          </w:tcPr>
          <w:p w14:paraId="57C4217C" w14:textId="77777777" w:rsidR="00C05A03" w:rsidRPr="00C05A03" w:rsidRDefault="00C05A03">
            <w:pPr>
              <w:pStyle w:val="BodyText"/>
              <w:spacing w:after="0" w:line="240" w:lineRule="auto"/>
              <w:rPr>
                <w:rFonts w:ascii="Arial Narrow" w:hAnsi="Arial Narrow"/>
                <w:szCs w:val="18"/>
              </w:rPr>
            </w:pPr>
            <w:r w:rsidRPr="00C05A03">
              <w:rPr>
                <w:rFonts w:ascii="Arial Narrow" w:hAnsi="Arial Narrow"/>
                <w:szCs w:val="18"/>
              </w:rPr>
              <w:t>Two GP visits (initial and post-test) assumed 100%</w:t>
            </w:r>
          </w:p>
        </w:tc>
        <w:tc>
          <w:tcPr>
            <w:tcW w:w="2693" w:type="dxa"/>
            <w:noWrap/>
            <w:vAlign w:val="center"/>
            <w:hideMark/>
          </w:tcPr>
          <w:p w14:paraId="1A458165" w14:textId="77777777" w:rsidR="00C05A03" w:rsidRPr="00C05A03" w:rsidRDefault="00C05A03">
            <w:pPr>
              <w:pStyle w:val="BodyText"/>
              <w:spacing w:after="0" w:line="240" w:lineRule="auto"/>
              <w:jc w:val="center"/>
              <w:rPr>
                <w:rFonts w:ascii="Arial Narrow" w:hAnsi="Arial Narrow"/>
                <w:szCs w:val="18"/>
              </w:rPr>
            </w:pPr>
            <w:r w:rsidRPr="00C05A03">
              <w:rPr>
                <w:rFonts w:ascii="Arial Narrow" w:hAnsi="Arial Narrow"/>
                <w:szCs w:val="18"/>
              </w:rPr>
              <w:t>$87.80</w:t>
            </w:r>
          </w:p>
        </w:tc>
        <w:tc>
          <w:tcPr>
            <w:tcW w:w="2694" w:type="dxa"/>
            <w:noWrap/>
            <w:vAlign w:val="center"/>
            <w:hideMark/>
          </w:tcPr>
          <w:p w14:paraId="7781B004" w14:textId="77777777" w:rsidR="00C05A03" w:rsidRPr="00C05A03" w:rsidRDefault="00C05A03">
            <w:pPr>
              <w:pStyle w:val="BodyText"/>
              <w:spacing w:after="0" w:line="240" w:lineRule="auto"/>
              <w:jc w:val="center"/>
              <w:rPr>
                <w:rFonts w:ascii="Arial Narrow" w:hAnsi="Arial Narrow"/>
                <w:szCs w:val="18"/>
              </w:rPr>
            </w:pPr>
            <w:r w:rsidRPr="00C05A03">
              <w:rPr>
                <w:rFonts w:ascii="Arial Narrow" w:hAnsi="Arial Narrow"/>
                <w:szCs w:val="18"/>
              </w:rPr>
              <w:t>$87.80</w:t>
            </w:r>
          </w:p>
        </w:tc>
        <w:tc>
          <w:tcPr>
            <w:tcW w:w="1275" w:type="dxa"/>
            <w:vAlign w:val="center"/>
          </w:tcPr>
          <w:p w14:paraId="454A8FBA" w14:textId="77777777" w:rsidR="00C05A03" w:rsidRPr="00C05A03" w:rsidRDefault="00C05A03">
            <w:pPr>
              <w:pStyle w:val="BodyText"/>
              <w:spacing w:after="0" w:line="240" w:lineRule="auto"/>
              <w:jc w:val="center"/>
              <w:rPr>
                <w:rFonts w:ascii="Arial Narrow" w:hAnsi="Arial Narrow"/>
                <w:szCs w:val="18"/>
              </w:rPr>
            </w:pPr>
            <w:r w:rsidRPr="00C05A03">
              <w:rPr>
                <w:rFonts w:ascii="Arial Narrow" w:hAnsi="Arial Narrow"/>
                <w:szCs w:val="18"/>
              </w:rPr>
              <w:t>-</w:t>
            </w:r>
          </w:p>
        </w:tc>
      </w:tr>
      <w:tr w:rsidR="00F8380C" w:rsidRPr="00C05A03" w14:paraId="55CBC629" w14:textId="77777777" w:rsidTr="00C05A03">
        <w:trPr>
          <w:trHeight w:val="20"/>
        </w:trPr>
        <w:tc>
          <w:tcPr>
            <w:tcW w:w="2405" w:type="dxa"/>
            <w:vAlign w:val="bottom"/>
            <w:hideMark/>
          </w:tcPr>
          <w:p w14:paraId="259B2AED" w14:textId="77777777" w:rsidR="00C05A03" w:rsidRPr="00C05A03" w:rsidRDefault="00C05A03">
            <w:pPr>
              <w:pStyle w:val="BodyText"/>
              <w:spacing w:after="0" w:line="240" w:lineRule="auto"/>
              <w:rPr>
                <w:rFonts w:ascii="Arial Narrow" w:hAnsi="Arial Narrow"/>
                <w:szCs w:val="18"/>
              </w:rPr>
            </w:pPr>
            <w:r w:rsidRPr="00C05A03">
              <w:rPr>
                <w:rFonts w:ascii="Arial Narrow" w:hAnsi="Arial Narrow"/>
                <w:szCs w:val="18"/>
              </w:rPr>
              <w:t xml:space="preserve">Cost of FibroScan test attendance assumed 100% </w:t>
            </w:r>
          </w:p>
        </w:tc>
        <w:tc>
          <w:tcPr>
            <w:tcW w:w="2693" w:type="dxa"/>
            <w:noWrap/>
            <w:vAlign w:val="center"/>
            <w:hideMark/>
          </w:tcPr>
          <w:p w14:paraId="4CCA8C4E" w14:textId="77777777" w:rsidR="00C05A03" w:rsidRPr="00C05A03" w:rsidRDefault="00C05A03">
            <w:pPr>
              <w:pStyle w:val="BodyText"/>
              <w:spacing w:after="0" w:line="240" w:lineRule="auto"/>
              <w:jc w:val="center"/>
              <w:rPr>
                <w:rFonts w:ascii="Arial Narrow" w:hAnsi="Arial Narrow"/>
                <w:szCs w:val="18"/>
              </w:rPr>
            </w:pPr>
            <w:r w:rsidRPr="00C05A03">
              <w:rPr>
                <w:rFonts w:ascii="Arial Narrow" w:hAnsi="Arial Narrow"/>
                <w:szCs w:val="18"/>
              </w:rPr>
              <w:t>$18.07</w:t>
            </w:r>
          </w:p>
        </w:tc>
        <w:tc>
          <w:tcPr>
            <w:tcW w:w="2694" w:type="dxa"/>
            <w:noWrap/>
            <w:vAlign w:val="center"/>
            <w:hideMark/>
          </w:tcPr>
          <w:p w14:paraId="11756DBF" w14:textId="77777777" w:rsidR="00C05A03" w:rsidRPr="00C05A03" w:rsidRDefault="00C05A03">
            <w:pPr>
              <w:pStyle w:val="BodyText"/>
              <w:spacing w:after="0" w:line="240" w:lineRule="auto"/>
              <w:jc w:val="center"/>
              <w:rPr>
                <w:rFonts w:ascii="Arial Narrow" w:hAnsi="Arial Narrow"/>
                <w:szCs w:val="18"/>
              </w:rPr>
            </w:pPr>
            <w:r w:rsidRPr="00C05A03">
              <w:rPr>
                <w:rFonts w:ascii="Arial Narrow" w:hAnsi="Arial Narrow"/>
                <w:szCs w:val="18"/>
              </w:rPr>
              <w:t>$0.00</w:t>
            </w:r>
          </w:p>
        </w:tc>
        <w:tc>
          <w:tcPr>
            <w:tcW w:w="1275" w:type="dxa"/>
            <w:vAlign w:val="center"/>
          </w:tcPr>
          <w:p w14:paraId="60FFF0F5" w14:textId="77777777" w:rsidR="00C05A03" w:rsidRPr="00C05A03" w:rsidRDefault="00C05A03">
            <w:pPr>
              <w:pStyle w:val="BodyText"/>
              <w:spacing w:after="0" w:line="240" w:lineRule="auto"/>
              <w:jc w:val="center"/>
              <w:rPr>
                <w:rFonts w:ascii="Arial Narrow" w:hAnsi="Arial Narrow"/>
                <w:szCs w:val="18"/>
              </w:rPr>
            </w:pPr>
            <w:r w:rsidRPr="00C05A03">
              <w:rPr>
                <w:rFonts w:ascii="Arial Narrow" w:hAnsi="Arial Narrow"/>
                <w:szCs w:val="18"/>
              </w:rPr>
              <w:t>$18.07</w:t>
            </w:r>
          </w:p>
        </w:tc>
      </w:tr>
      <w:tr w:rsidR="00F8380C" w:rsidRPr="00C05A03" w14:paraId="6BC8AB54" w14:textId="77777777" w:rsidTr="00C05A03">
        <w:trPr>
          <w:trHeight w:val="20"/>
        </w:trPr>
        <w:tc>
          <w:tcPr>
            <w:tcW w:w="2405" w:type="dxa"/>
            <w:vAlign w:val="bottom"/>
            <w:hideMark/>
          </w:tcPr>
          <w:p w14:paraId="057E06F6" w14:textId="42638A99" w:rsidR="00463C22" w:rsidRPr="00C05A03" w:rsidRDefault="00463C22" w:rsidP="00463C22">
            <w:pPr>
              <w:pStyle w:val="BodyText"/>
              <w:spacing w:after="0" w:line="240" w:lineRule="auto"/>
              <w:rPr>
                <w:rFonts w:ascii="Arial Narrow" w:hAnsi="Arial Narrow"/>
                <w:szCs w:val="18"/>
              </w:rPr>
            </w:pPr>
            <w:r w:rsidRPr="00C05A03">
              <w:rPr>
                <w:rFonts w:ascii="Arial Narrow" w:hAnsi="Arial Narrow"/>
                <w:szCs w:val="18"/>
              </w:rPr>
              <w:t>Cost of ultrasound after VCTE assumed 10%</w:t>
            </w:r>
          </w:p>
        </w:tc>
        <w:tc>
          <w:tcPr>
            <w:tcW w:w="2693" w:type="dxa"/>
            <w:noWrap/>
            <w:vAlign w:val="center"/>
            <w:hideMark/>
          </w:tcPr>
          <w:p w14:paraId="4EDDCCB4"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$3.77</w:t>
            </w:r>
          </w:p>
        </w:tc>
        <w:tc>
          <w:tcPr>
            <w:tcW w:w="2694" w:type="dxa"/>
            <w:noWrap/>
            <w:vAlign w:val="center"/>
            <w:hideMark/>
          </w:tcPr>
          <w:p w14:paraId="2E02FE37"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$N/A</w:t>
            </w:r>
          </w:p>
        </w:tc>
        <w:tc>
          <w:tcPr>
            <w:tcW w:w="1275" w:type="dxa"/>
            <w:vAlign w:val="center"/>
          </w:tcPr>
          <w:p w14:paraId="43DF623E"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$3.77</w:t>
            </w:r>
          </w:p>
        </w:tc>
      </w:tr>
      <w:tr w:rsidR="00F8380C" w:rsidRPr="00C05A03" w14:paraId="3CC01ADE" w14:textId="77777777" w:rsidTr="00C05A03">
        <w:trPr>
          <w:trHeight w:val="20"/>
        </w:trPr>
        <w:tc>
          <w:tcPr>
            <w:tcW w:w="2405" w:type="dxa"/>
            <w:noWrap/>
            <w:vAlign w:val="bottom"/>
            <w:hideMark/>
          </w:tcPr>
          <w:p w14:paraId="0C61A84F" w14:textId="7FDEA9CD" w:rsidR="00463C22" w:rsidRPr="00C05A03" w:rsidRDefault="00463C22" w:rsidP="00463C22">
            <w:pPr>
              <w:pStyle w:val="BodyText"/>
              <w:spacing w:after="0" w:line="240" w:lineRule="auto"/>
              <w:rPr>
                <w:rFonts w:ascii="Arial Narrow" w:hAnsi="Arial Narrow"/>
                <w:szCs w:val="18"/>
              </w:rPr>
            </w:pPr>
            <w:r w:rsidRPr="00C05A03">
              <w:rPr>
                <w:rFonts w:ascii="Arial Narrow" w:hAnsi="Arial Narrow"/>
                <w:szCs w:val="18"/>
              </w:rPr>
              <w:t>Cost of specialist attendance</w:t>
            </w:r>
          </w:p>
        </w:tc>
        <w:tc>
          <w:tcPr>
            <w:tcW w:w="2693" w:type="dxa"/>
            <w:noWrap/>
            <w:vAlign w:val="center"/>
            <w:hideMark/>
          </w:tcPr>
          <w:p w14:paraId="19829CAB"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$92.26</w:t>
            </w:r>
          </w:p>
        </w:tc>
        <w:tc>
          <w:tcPr>
            <w:tcW w:w="2694" w:type="dxa"/>
            <w:noWrap/>
            <w:vAlign w:val="center"/>
            <w:hideMark/>
          </w:tcPr>
          <w:p w14:paraId="42C107EA" w14:textId="15247C8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$140.33</w:t>
            </w:r>
          </w:p>
        </w:tc>
        <w:tc>
          <w:tcPr>
            <w:tcW w:w="1275" w:type="dxa"/>
            <w:vAlign w:val="center"/>
          </w:tcPr>
          <w:p w14:paraId="025973E7"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-$48.07</w:t>
            </w:r>
          </w:p>
        </w:tc>
      </w:tr>
      <w:tr w:rsidR="00F8380C" w:rsidRPr="00C05A03" w14:paraId="307584AC" w14:textId="77777777" w:rsidTr="00C05A03">
        <w:trPr>
          <w:trHeight w:val="20"/>
        </w:trPr>
        <w:tc>
          <w:tcPr>
            <w:tcW w:w="2405" w:type="dxa"/>
            <w:vAlign w:val="bottom"/>
            <w:hideMark/>
          </w:tcPr>
          <w:p w14:paraId="30D38819" w14:textId="77777777" w:rsidR="00463C22" w:rsidRPr="00C05A03" w:rsidRDefault="00463C22" w:rsidP="00463C22">
            <w:pPr>
              <w:pStyle w:val="BodyText"/>
              <w:spacing w:after="0" w:line="240" w:lineRule="auto"/>
              <w:rPr>
                <w:rFonts w:ascii="Arial Narrow" w:hAnsi="Arial Narrow"/>
                <w:szCs w:val="18"/>
              </w:rPr>
            </w:pPr>
            <w:r w:rsidRPr="00C05A03">
              <w:rPr>
                <w:rFonts w:ascii="Arial Narrow" w:hAnsi="Arial Narrow"/>
                <w:szCs w:val="18"/>
              </w:rPr>
              <w:t>Cost of liver biopsy (33% according to Mozes 2022)</w:t>
            </w:r>
          </w:p>
        </w:tc>
        <w:tc>
          <w:tcPr>
            <w:tcW w:w="2693" w:type="dxa"/>
            <w:noWrap/>
            <w:vAlign w:val="center"/>
            <w:hideMark/>
          </w:tcPr>
          <w:p w14:paraId="3E190292"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$19.82</w:t>
            </w:r>
          </w:p>
        </w:tc>
        <w:tc>
          <w:tcPr>
            <w:tcW w:w="2694" w:type="dxa"/>
            <w:noWrap/>
            <w:vAlign w:val="center"/>
            <w:hideMark/>
          </w:tcPr>
          <w:p w14:paraId="60846C8F"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$30.15</w:t>
            </w:r>
          </w:p>
        </w:tc>
        <w:tc>
          <w:tcPr>
            <w:tcW w:w="1275" w:type="dxa"/>
            <w:vAlign w:val="center"/>
          </w:tcPr>
          <w:p w14:paraId="53459BC4" w14:textId="77777777" w:rsidR="00463C22" w:rsidRPr="00C05A03" w:rsidRDefault="00463C22" w:rsidP="00463C22">
            <w:pPr>
              <w:pStyle w:val="BodyText"/>
              <w:spacing w:after="0" w:line="240" w:lineRule="auto"/>
              <w:jc w:val="center"/>
              <w:rPr>
                <w:rFonts w:ascii="Arial Narrow" w:hAnsi="Arial Narrow"/>
                <w:szCs w:val="18"/>
              </w:rPr>
            </w:pPr>
            <w:r w:rsidRPr="00C05A03">
              <w:rPr>
                <w:rFonts w:ascii="Arial Narrow" w:hAnsi="Arial Narrow"/>
                <w:szCs w:val="18"/>
              </w:rPr>
              <w:t>-$10.33</w:t>
            </w:r>
          </w:p>
        </w:tc>
      </w:tr>
      <w:tr w:rsidR="009E6A5D" w:rsidRPr="00C05A03" w14:paraId="2B6862B1" w14:textId="77777777" w:rsidTr="00C05A03">
        <w:trPr>
          <w:trHeight w:val="20"/>
        </w:trPr>
        <w:tc>
          <w:tcPr>
            <w:tcW w:w="7792" w:type="dxa"/>
            <w:gridSpan w:val="3"/>
            <w:noWrap/>
            <w:vAlign w:val="center"/>
          </w:tcPr>
          <w:p w14:paraId="276F857D"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Total costs</w:t>
            </w:r>
          </w:p>
        </w:tc>
        <w:tc>
          <w:tcPr>
            <w:tcW w:w="1275" w:type="dxa"/>
            <w:vAlign w:val="center"/>
          </w:tcPr>
          <w:p w14:paraId="7C60DF6D" w14:textId="77777777" w:rsidR="00463C22" w:rsidRPr="00C05A03" w:rsidRDefault="00463C22" w:rsidP="00463C22">
            <w:pPr>
              <w:pStyle w:val="BodyText"/>
              <w:spacing w:after="0" w:line="240" w:lineRule="auto"/>
              <w:jc w:val="center"/>
              <w:rPr>
                <w:rFonts w:ascii="Arial Narrow" w:hAnsi="Arial Narrow"/>
                <w:b/>
                <w:bCs/>
                <w:szCs w:val="18"/>
              </w:rPr>
            </w:pPr>
          </w:p>
        </w:tc>
      </w:tr>
      <w:tr w:rsidR="00F8380C" w:rsidRPr="00C05A03" w14:paraId="71DE0DCE" w14:textId="77777777" w:rsidTr="00C05A03">
        <w:trPr>
          <w:trHeight w:val="20"/>
        </w:trPr>
        <w:tc>
          <w:tcPr>
            <w:tcW w:w="2405" w:type="dxa"/>
            <w:noWrap/>
            <w:vAlign w:val="bottom"/>
            <w:hideMark/>
          </w:tcPr>
          <w:p w14:paraId="5E9EF126" w14:textId="77777777" w:rsidR="00463C22" w:rsidRPr="00C05A03" w:rsidRDefault="00463C22" w:rsidP="00463C22">
            <w:pPr>
              <w:pStyle w:val="BodyText"/>
              <w:spacing w:after="0" w:line="240" w:lineRule="auto"/>
              <w:rPr>
                <w:rFonts w:ascii="Arial Narrow" w:hAnsi="Arial Narrow"/>
                <w:b/>
                <w:bCs/>
                <w:szCs w:val="18"/>
              </w:rPr>
            </w:pPr>
            <w:r w:rsidRPr="00C05A03">
              <w:rPr>
                <w:rFonts w:ascii="Arial Narrow" w:hAnsi="Arial Narrow"/>
                <w:b/>
                <w:bCs/>
                <w:szCs w:val="18"/>
              </w:rPr>
              <w:t xml:space="preserve">Total cost per patient </w:t>
            </w:r>
          </w:p>
        </w:tc>
        <w:tc>
          <w:tcPr>
            <w:tcW w:w="2693" w:type="dxa"/>
            <w:noWrap/>
            <w:vAlign w:val="center"/>
            <w:hideMark/>
          </w:tcPr>
          <w:p w14:paraId="12961846"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$349.43</w:t>
            </w:r>
          </w:p>
        </w:tc>
        <w:tc>
          <w:tcPr>
            <w:tcW w:w="2694" w:type="dxa"/>
            <w:noWrap/>
            <w:vAlign w:val="center"/>
            <w:hideMark/>
          </w:tcPr>
          <w:p w14:paraId="232DE443"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$385.98</w:t>
            </w:r>
          </w:p>
        </w:tc>
        <w:tc>
          <w:tcPr>
            <w:tcW w:w="1275" w:type="dxa"/>
            <w:vAlign w:val="center"/>
          </w:tcPr>
          <w:p w14:paraId="329AA5F9"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-$36.56</w:t>
            </w:r>
          </w:p>
        </w:tc>
      </w:tr>
      <w:tr w:rsidR="00F8380C" w:rsidRPr="00C05A03" w14:paraId="4AA70980" w14:textId="77777777" w:rsidTr="00C05A03">
        <w:trPr>
          <w:trHeight w:val="20"/>
        </w:trPr>
        <w:tc>
          <w:tcPr>
            <w:tcW w:w="2405" w:type="dxa"/>
            <w:noWrap/>
            <w:vAlign w:val="bottom"/>
            <w:hideMark/>
          </w:tcPr>
          <w:p w14:paraId="6EC49B8F" w14:textId="77777777" w:rsidR="00463C22" w:rsidRPr="00C05A03" w:rsidRDefault="00463C22" w:rsidP="00463C22">
            <w:pPr>
              <w:pStyle w:val="BodyText"/>
              <w:spacing w:after="0" w:line="240" w:lineRule="auto"/>
              <w:rPr>
                <w:rFonts w:ascii="Arial Narrow" w:hAnsi="Arial Narrow"/>
                <w:b/>
                <w:bCs/>
                <w:szCs w:val="18"/>
              </w:rPr>
            </w:pPr>
            <w:r w:rsidRPr="00C05A03">
              <w:rPr>
                <w:rFonts w:ascii="Arial Narrow" w:hAnsi="Arial Narrow"/>
                <w:b/>
                <w:bCs/>
                <w:szCs w:val="18"/>
              </w:rPr>
              <w:t>Cost per correct diagnosis</w:t>
            </w:r>
          </w:p>
        </w:tc>
        <w:tc>
          <w:tcPr>
            <w:tcW w:w="2693" w:type="dxa"/>
            <w:noWrap/>
            <w:vAlign w:val="center"/>
            <w:hideMark/>
          </w:tcPr>
          <w:p w14:paraId="0790A361"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$437.36</w:t>
            </w:r>
          </w:p>
        </w:tc>
        <w:tc>
          <w:tcPr>
            <w:tcW w:w="2694" w:type="dxa"/>
            <w:noWrap/>
            <w:vAlign w:val="center"/>
            <w:hideMark/>
          </w:tcPr>
          <w:p w14:paraId="52D87F67"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$562.16</w:t>
            </w:r>
          </w:p>
        </w:tc>
        <w:tc>
          <w:tcPr>
            <w:tcW w:w="1275" w:type="dxa"/>
            <w:vAlign w:val="center"/>
          </w:tcPr>
          <w:p w14:paraId="569C70FA" w14:textId="77777777" w:rsidR="00463C22" w:rsidRPr="00C05A03" w:rsidRDefault="00463C22" w:rsidP="00463C22">
            <w:pPr>
              <w:pStyle w:val="BodyText"/>
              <w:spacing w:after="0" w:line="240" w:lineRule="auto"/>
              <w:jc w:val="center"/>
              <w:rPr>
                <w:rFonts w:ascii="Arial Narrow" w:hAnsi="Arial Narrow"/>
                <w:b/>
                <w:bCs/>
                <w:szCs w:val="18"/>
              </w:rPr>
            </w:pPr>
            <w:r w:rsidRPr="00C05A03">
              <w:rPr>
                <w:rFonts w:ascii="Arial Narrow" w:hAnsi="Arial Narrow"/>
                <w:b/>
                <w:bCs/>
                <w:szCs w:val="18"/>
              </w:rPr>
              <w:t>-$ 124.80</w:t>
            </w:r>
          </w:p>
        </w:tc>
      </w:tr>
    </w:tbl>
    <w:p w14:paraId="44F379FE" w14:textId="378D4538" w:rsidR="000B2792" w:rsidRDefault="000B2792" w:rsidP="000E64DE">
      <w:pPr>
        <w:pStyle w:val="BodyText"/>
        <w:keepLines w:val="0"/>
        <w:spacing w:before="240"/>
        <w:rPr>
          <w:rFonts w:ascii="Franklin Gothic Book" w:eastAsiaTheme="minorHAnsi" w:hAnsi="Franklin Gothic Book" w:cstheme="minorBidi"/>
          <w:sz w:val="22"/>
          <w:szCs w:val="22"/>
        </w:rPr>
      </w:pPr>
      <w:r w:rsidRPr="00381C64">
        <w:rPr>
          <w:rFonts w:ascii="Franklin Gothic Book" w:eastAsiaTheme="minorHAnsi" w:hAnsi="Franklin Gothic Book" w:cstheme="minorBidi"/>
          <w:sz w:val="22"/>
          <w:szCs w:val="22"/>
        </w:rPr>
        <w:t xml:space="preserve">Total cost per patient was not much different between the strategy that combines FIB-4 and VCTE and the strategy based on a FIB-4 test with a single cutoff [1.3]. The incremental cost </w:t>
      </w:r>
      <w:r w:rsidR="00920D5B">
        <w:rPr>
          <w:rFonts w:ascii="Franklin Gothic Book" w:eastAsiaTheme="minorHAnsi" w:hAnsi="Franklin Gothic Book" w:cstheme="minorBidi"/>
          <w:sz w:val="22"/>
          <w:szCs w:val="22"/>
        </w:rPr>
        <w:t xml:space="preserve">(savings) </w:t>
      </w:r>
      <w:r w:rsidRPr="00381C64">
        <w:rPr>
          <w:rFonts w:ascii="Franklin Gothic Book" w:eastAsiaTheme="minorHAnsi" w:hAnsi="Franklin Gothic Book" w:cstheme="minorBidi"/>
          <w:sz w:val="22"/>
          <w:szCs w:val="22"/>
        </w:rPr>
        <w:t>was</w:t>
      </w:r>
      <w:r>
        <w:rPr>
          <w:rFonts w:ascii="Franklin Gothic Book" w:eastAsiaTheme="minorHAnsi" w:hAnsi="Franklin Gothic Book" w:cstheme="minorBidi"/>
          <w:sz w:val="22"/>
          <w:szCs w:val="22"/>
        </w:rPr>
        <w:t xml:space="preserve"> </w:t>
      </w:r>
      <w:r w:rsidRPr="00381C64">
        <w:rPr>
          <w:rFonts w:ascii="Franklin Gothic Book" w:eastAsiaTheme="minorHAnsi" w:hAnsi="Franklin Gothic Book" w:cstheme="minorBidi"/>
          <w:sz w:val="22"/>
          <w:szCs w:val="22"/>
        </w:rPr>
        <w:t>$36.56. However</w:t>
      </w:r>
      <w:r w:rsidR="00463C22">
        <w:rPr>
          <w:rFonts w:ascii="Franklin Gothic Book" w:eastAsiaTheme="minorHAnsi" w:hAnsi="Franklin Gothic Book" w:cstheme="minorBidi"/>
          <w:sz w:val="22"/>
          <w:szCs w:val="22"/>
        </w:rPr>
        <w:t>,</w:t>
      </w:r>
      <w:r w:rsidRPr="00381C64">
        <w:rPr>
          <w:rFonts w:ascii="Franklin Gothic Book" w:eastAsiaTheme="minorHAnsi" w:hAnsi="Franklin Gothic Book" w:cstheme="minorBidi"/>
          <w:sz w:val="22"/>
          <w:szCs w:val="22"/>
        </w:rPr>
        <w:t xml:space="preserve"> the cost per correct diagnosis is considerably less in the strategy that combines FIB-4 and VCTE; the incremental cost (savings) is $</w:t>
      </w:r>
      <w:r w:rsidR="002B3A50">
        <w:rPr>
          <w:rFonts w:ascii="Franklin Gothic Book" w:eastAsiaTheme="minorHAnsi" w:hAnsi="Franklin Gothic Book" w:cstheme="minorBidi"/>
          <w:sz w:val="22"/>
          <w:szCs w:val="22"/>
        </w:rPr>
        <w:t>124.80</w:t>
      </w:r>
      <w:r w:rsidRPr="00381C64">
        <w:rPr>
          <w:rFonts w:ascii="Franklin Gothic Book" w:eastAsiaTheme="minorHAnsi" w:hAnsi="Franklin Gothic Book" w:cstheme="minorBidi"/>
          <w:sz w:val="22"/>
          <w:szCs w:val="22"/>
        </w:rPr>
        <w:t xml:space="preserve"> per </w:t>
      </w:r>
      <w:r w:rsidR="00920D5B">
        <w:rPr>
          <w:rFonts w:ascii="Franklin Gothic Book" w:eastAsiaTheme="minorHAnsi" w:hAnsi="Franklin Gothic Book" w:cstheme="minorBidi"/>
          <w:sz w:val="22"/>
          <w:szCs w:val="22"/>
        </w:rPr>
        <w:t>correct diagnosis</w:t>
      </w:r>
      <w:r w:rsidRPr="00381C64">
        <w:rPr>
          <w:rFonts w:ascii="Franklin Gothic Book" w:eastAsiaTheme="minorHAnsi" w:hAnsi="Franklin Gothic Book" w:cstheme="minorBidi"/>
          <w:sz w:val="22"/>
          <w:szCs w:val="22"/>
        </w:rPr>
        <w:t>, which is explained by the difference in diagnostic accuracy between the two strategies.</w:t>
      </w:r>
    </w:p>
    <w:p w14:paraId="4B9BEC4D" w14:textId="79B710F7" w:rsidR="000B2792" w:rsidRDefault="000B2792" w:rsidP="00590DFC">
      <w:pPr>
        <w:pStyle w:val="BodyText"/>
        <w:keepLines w:val="0"/>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The </w:t>
      </w:r>
      <w:r w:rsidRPr="00785804">
        <w:rPr>
          <w:rFonts w:ascii="Franklin Gothic Book" w:eastAsiaTheme="minorHAnsi" w:hAnsi="Franklin Gothic Book" w:cstheme="minorBidi"/>
          <w:sz w:val="22"/>
          <w:szCs w:val="22"/>
        </w:rPr>
        <w:t xml:space="preserve">CCA was repeated for the cohort that includes 5% of patients with indeterminate VCTE results, by increasing the proportions of patients with true positive, false positive and false negative VCTE results. </w:t>
      </w:r>
      <w:r w:rsidR="002C4620">
        <w:rPr>
          <w:rFonts w:ascii="Franklin Gothic Book" w:eastAsiaTheme="minorHAnsi" w:hAnsi="Franklin Gothic Book" w:cstheme="minorBidi"/>
          <w:sz w:val="22"/>
          <w:szCs w:val="22"/>
        </w:rPr>
        <w:t>The c</w:t>
      </w:r>
      <w:r w:rsidRPr="00785804">
        <w:rPr>
          <w:rFonts w:ascii="Franklin Gothic Book" w:eastAsiaTheme="minorHAnsi" w:hAnsi="Franklin Gothic Book" w:cstheme="minorBidi"/>
          <w:sz w:val="22"/>
          <w:szCs w:val="22"/>
        </w:rPr>
        <w:t xml:space="preserve">ost per correct diagnosis </w:t>
      </w:r>
      <w:r w:rsidR="00FF7121">
        <w:rPr>
          <w:rFonts w:ascii="Franklin Gothic Book" w:eastAsiaTheme="minorHAnsi" w:hAnsi="Franklin Gothic Book" w:cstheme="minorBidi"/>
          <w:sz w:val="22"/>
          <w:szCs w:val="22"/>
        </w:rPr>
        <w:t>in the proposed FIB-4</w:t>
      </w:r>
      <w:r w:rsidR="002C4620">
        <w:rPr>
          <w:rFonts w:ascii="Franklin Gothic Book" w:eastAsiaTheme="minorHAnsi" w:hAnsi="Franklin Gothic Book" w:cstheme="minorBidi"/>
          <w:sz w:val="22"/>
          <w:szCs w:val="22"/>
        </w:rPr>
        <w:t>,</w:t>
      </w:r>
      <w:r w:rsidR="00FF7121">
        <w:rPr>
          <w:rFonts w:ascii="Franklin Gothic Book" w:eastAsiaTheme="minorHAnsi" w:hAnsi="Franklin Gothic Book" w:cstheme="minorBidi"/>
          <w:sz w:val="22"/>
          <w:szCs w:val="22"/>
        </w:rPr>
        <w:t xml:space="preserve"> </w:t>
      </w:r>
      <w:r w:rsidR="002C4620">
        <w:rPr>
          <w:rFonts w:ascii="Franklin Gothic Book" w:eastAsiaTheme="minorHAnsi" w:hAnsi="Franklin Gothic Book" w:cstheme="minorBidi"/>
          <w:sz w:val="22"/>
          <w:szCs w:val="22"/>
        </w:rPr>
        <w:t xml:space="preserve">as </w:t>
      </w:r>
      <w:r w:rsidR="00FF7121">
        <w:rPr>
          <w:rFonts w:ascii="Franklin Gothic Book" w:eastAsiaTheme="minorHAnsi" w:hAnsi="Franklin Gothic Book" w:cstheme="minorBidi"/>
          <w:sz w:val="22"/>
          <w:szCs w:val="22"/>
        </w:rPr>
        <w:t xml:space="preserve">proposed by </w:t>
      </w:r>
      <w:r w:rsidR="00675AA1">
        <w:rPr>
          <w:rFonts w:ascii="Franklin Gothic Book" w:eastAsiaTheme="minorHAnsi" w:hAnsi="Franklin Gothic Book" w:cstheme="minorBidi"/>
          <w:sz w:val="22"/>
          <w:szCs w:val="22"/>
        </w:rPr>
        <w:t xml:space="preserve">the </w:t>
      </w:r>
      <w:r w:rsidR="00FF7121">
        <w:rPr>
          <w:rFonts w:ascii="Franklin Gothic Book" w:eastAsiaTheme="minorHAnsi" w:hAnsi="Franklin Gothic Book" w:cstheme="minorBidi"/>
          <w:sz w:val="22"/>
          <w:szCs w:val="22"/>
        </w:rPr>
        <w:t>VCTE strategy</w:t>
      </w:r>
      <w:r w:rsidR="00675AA1">
        <w:rPr>
          <w:rFonts w:ascii="Franklin Gothic Book" w:eastAsiaTheme="minorHAnsi" w:hAnsi="Franklin Gothic Book" w:cstheme="minorBidi"/>
          <w:sz w:val="22"/>
          <w:szCs w:val="22"/>
        </w:rPr>
        <w:t>,</w:t>
      </w:r>
      <w:r w:rsidR="00FF7121">
        <w:rPr>
          <w:rFonts w:ascii="Franklin Gothic Book" w:eastAsiaTheme="minorHAnsi" w:hAnsi="Franklin Gothic Book" w:cstheme="minorBidi"/>
          <w:sz w:val="22"/>
          <w:szCs w:val="22"/>
        </w:rPr>
        <w:t xml:space="preserve"> </w:t>
      </w:r>
      <w:r w:rsidRPr="00785804">
        <w:rPr>
          <w:rFonts w:ascii="Franklin Gothic Book" w:eastAsiaTheme="minorHAnsi" w:hAnsi="Franklin Gothic Book" w:cstheme="minorBidi"/>
          <w:sz w:val="22"/>
          <w:szCs w:val="22"/>
        </w:rPr>
        <w:t>was not very sensitive to the inclusion of the small proportion of patients with indetermin</w:t>
      </w:r>
      <w:r w:rsidR="00880B3E">
        <w:rPr>
          <w:rFonts w:ascii="Franklin Gothic Book" w:eastAsiaTheme="minorHAnsi" w:hAnsi="Franklin Gothic Book" w:cstheme="minorBidi"/>
          <w:sz w:val="22"/>
          <w:szCs w:val="22"/>
        </w:rPr>
        <w:t>ate</w:t>
      </w:r>
      <w:r w:rsidRPr="00785804">
        <w:rPr>
          <w:rFonts w:ascii="Franklin Gothic Book" w:eastAsiaTheme="minorHAnsi" w:hAnsi="Franklin Gothic Book" w:cstheme="minorBidi"/>
          <w:sz w:val="22"/>
          <w:szCs w:val="22"/>
        </w:rPr>
        <w:t xml:space="preserve"> VCTE results</w:t>
      </w:r>
      <w:r w:rsidR="00621CB3">
        <w:rPr>
          <w:rFonts w:ascii="Franklin Gothic Book" w:eastAsiaTheme="minorHAnsi" w:hAnsi="Franklin Gothic Book" w:cstheme="minorBidi"/>
          <w:sz w:val="22"/>
          <w:szCs w:val="22"/>
        </w:rPr>
        <w:t xml:space="preserve">, changing by </w:t>
      </w:r>
      <w:r w:rsidR="00555F6A">
        <w:rPr>
          <w:rFonts w:ascii="Franklin Gothic Book" w:eastAsiaTheme="minorHAnsi" w:hAnsi="Franklin Gothic Book" w:cstheme="minorBidi"/>
          <w:sz w:val="22"/>
          <w:szCs w:val="22"/>
        </w:rPr>
        <w:t>-2 to 9</w:t>
      </w:r>
      <w:r w:rsidR="00621CB3">
        <w:rPr>
          <w:rFonts w:ascii="Franklin Gothic Book" w:eastAsiaTheme="minorHAnsi" w:hAnsi="Franklin Gothic Book" w:cstheme="minorBidi"/>
          <w:sz w:val="22"/>
          <w:szCs w:val="22"/>
        </w:rPr>
        <w:t>%</w:t>
      </w:r>
      <w:r w:rsidR="00C415EF">
        <w:rPr>
          <w:rFonts w:ascii="Franklin Gothic Book" w:eastAsiaTheme="minorHAnsi" w:hAnsi="Franklin Gothic Book" w:cstheme="minorBidi"/>
          <w:sz w:val="22"/>
          <w:szCs w:val="22"/>
        </w:rPr>
        <w:t>.</w:t>
      </w:r>
    </w:p>
    <w:p w14:paraId="25AE2BAC" w14:textId="3621626F" w:rsidR="00772829" w:rsidRPr="00CE28E3" w:rsidRDefault="00B27795" w:rsidP="00590DFC">
      <w:pPr>
        <w:pStyle w:val="Heading2"/>
        <w:keepNext w:val="0"/>
        <w:keepLines w:val="0"/>
        <w:numPr>
          <w:ilvl w:val="0"/>
          <w:numId w:val="0"/>
        </w:numPr>
      </w:pPr>
      <w:r>
        <w:t>1</w:t>
      </w:r>
      <w:r w:rsidR="0018750D">
        <w:t>4</w:t>
      </w:r>
      <w:r w:rsidR="00C36633">
        <w:t>.</w:t>
      </w:r>
      <w:r w:rsidR="00C36633">
        <w:tab/>
      </w:r>
      <w:r w:rsidR="00772829" w:rsidRPr="00CE28E3">
        <w:t>Financial/budgetary impacts</w:t>
      </w:r>
      <w:bookmarkEnd w:id="41"/>
    </w:p>
    <w:p w14:paraId="0B2A6B02" w14:textId="5120B2B2" w:rsidR="0079038B" w:rsidRPr="00FD3B16" w:rsidRDefault="003B1684" w:rsidP="00590DFC">
      <w:pPr>
        <w:pStyle w:val="BodyText"/>
        <w:keepLines w:val="0"/>
        <w:rPr>
          <w:rFonts w:ascii="Franklin Gothic Book" w:eastAsiaTheme="minorHAnsi" w:hAnsi="Franklin Gothic Book" w:cstheme="minorBidi"/>
          <w:sz w:val="22"/>
          <w:szCs w:val="22"/>
        </w:rPr>
      </w:pPr>
      <w:bookmarkStart w:id="51" w:name="_Toc69491427"/>
      <w:r w:rsidRPr="000A11F8">
        <w:rPr>
          <w:rFonts w:ascii="Franklin Gothic Book" w:eastAsiaTheme="minorHAnsi" w:hAnsi="Franklin Gothic Book" w:cstheme="minorBidi"/>
          <w:sz w:val="22"/>
          <w:szCs w:val="22"/>
        </w:rPr>
        <w:t>The ADAR adopt</w:t>
      </w:r>
      <w:r>
        <w:rPr>
          <w:rFonts w:ascii="Franklin Gothic Book" w:eastAsiaTheme="minorHAnsi" w:hAnsi="Franklin Gothic Book" w:cstheme="minorBidi"/>
          <w:sz w:val="22"/>
          <w:szCs w:val="22"/>
        </w:rPr>
        <w:t>ed</w:t>
      </w:r>
      <w:r w:rsidRPr="000A11F8">
        <w:rPr>
          <w:rFonts w:ascii="Franklin Gothic Book" w:eastAsiaTheme="minorHAnsi" w:hAnsi="Franklin Gothic Book" w:cstheme="minorBidi"/>
          <w:sz w:val="22"/>
          <w:szCs w:val="22"/>
        </w:rPr>
        <w:t xml:space="preserve"> a mixed approach to inform </w:t>
      </w:r>
      <w:r>
        <w:rPr>
          <w:rFonts w:ascii="Franklin Gothic Book" w:eastAsiaTheme="minorHAnsi" w:hAnsi="Franklin Gothic Book" w:cstheme="minorBidi"/>
          <w:sz w:val="22"/>
          <w:szCs w:val="22"/>
        </w:rPr>
        <w:t>VCTE</w:t>
      </w:r>
      <w:r w:rsidR="00371B59">
        <w:rPr>
          <w:rFonts w:ascii="Franklin Gothic Book" w:eastAsiaTheme="minorHAnsi" w:hAnsi="Franklin Gothic Book" w:cstheme="minorBidi"/>
          <w:sz w:val="22"/>
          <w:szCs w:val="22"/>
        </w:rPr>
        <w:t>™</w:t>
      </w:r>
      <w:r w:rsidRPr="000A11F8">
        <w:rPr>
          <w:rFonts w:ascii="Franklin Gothic Book" w:eastAsiaTheme="minorHAnsi" w:hAnsi="Franklin Gothic Book" w:cstheme="minorBidi"/>
          <w:sz w:val="22"/>
          <w:szCs w:val="22"/>
        </w:rPr>
        <w:t xml:space="preserve"> utilisation and </w:t>
      </w:r>
      <w:r w:rsidR="00912EC4">
        <w:rPr>
          <w:rFonts w:ascii="Franklin Gothic Book" w:eastAsiaTheme="minorHAnsi" w:hAnsi="Franklin Gothic Book" w:cstheme="minorBidi"/>
          <w:sz w:val="22"/>
          <w:szCs w:val="22"/>
        </w:rPr>
        <w:t xml:space="preserve">the </w:t>
      </w:r>
      <w:r w:rsidRPr="000A11F8">
        <w:rPr>
          <w:rFonts w:ascii="Franklin Gothic Book" w:eastAsiaTheme="minorHAnsi" w:hAnsi="Franklin Gothic Book" w:cstheme="minorBidi"/>
          <w:sz w:val="22"/>
          <w:szCs w:val="22"/>
        </w:rPr>
        <w:t xml:space="preserve">financial implications of listing VCTE on MBS. This hybrid approach combines epidemiological reasoning with market-based </w:t>
      </w:r>
      <w:r w:rsidR="000853DD">
        <w:rPr>
          <w:rFonts w:ascii="Franklin Gothic Book" w:eastAsiaTheme="minorHAnsi" w:hAnsi="Franklin Gothic Book" w:cstheme="minorBidi"/>
          <w:sz w:val="22"/>
          <w:szCs w:val="22"/>
        </w:rPr>
        <w:t xml:space="preserve">assumptions for </w:t>
      </w:r>
      <w:r w:rsidRPr="000A11F8">
        <w:rPr>
          <w:rFonts w:ascii="Franklin Gothic Book" w:eastAsiaTheme="minorHAnsi" w:hAnsi="Franklin Gothic Book" w:cstheme="minorBidi"/>
          <w:sz w:val="22"/>
          <w:szCs w:val="22"/>
        </w:rPr>
        <w:t>VCTE test capacity.</w:t>
      </w:r>
    </w:p>
    <w:p w14:paraId="11C8232D" w14:textId="35C12BFF" w:rsidR="00FB4FCF" w:rsidRPr="00FD3B16" w:rsidRDefault="00FB4FCF" w:rsidP="00590DFC">
      <w:pPr>
        <w:pStyle w:val="BodyText"/>
        <w:keepLines w:val="0"/>
        <w:rPr>
          <w:rFonts w:ascii="Franklin Gothic Book" w:eastAsiaTheme="minorEastAsia" w:hAnsi="Franklin Gothic Book" w:cstheme="minorBidi"/>
          <w:sz w:val="22"/>
          <w:szCs w:val="22"/>
        </w:rPr>
      </w:pPr>
      <w:r w:rsidRPr="71A72DE1">
        <w:rPr>
          <w:rFonts w:ascii="Franklin Gothic Book" w:eastAsiaTheme="minorEastAsia" w:hAnsi="Franklin Gothic Book" w:cstheme="minorBidi"/>
          <w:sz w:val="22"/>
          <w:szCs w:val="22"/>
        </w:rPr>
        <w:t xml:space="preserve">The ADAR’s assumption that GPs could perform 10 VCTE scans per day (2,600 annually) across </w:t>
      </w:r>
      <w:r w:rsidR="007214B1">
        <w:rPr>
          <w:rFonts w:ascii="Franklin Gothic Book" w:eastAsiaTheme="minorEastAsia" w:hAnsi="Franklin Gothic Book" w:cstheme="minorBidi"/>
          <w:b/>
          <w:bCs/>
          <w:sz w:val="22"/>
          <w:szCs w:val="22"/>
        </w:rPr>
        <w:t>redacted</w:t>
      </w:r>
      <w:r w:rsidRPr="71A72DE1">
        <w:rPr>
          <w:rFonts w:ascii="Franklin Gothic Book" w:eastAsiaTheme="minorEastAsia" w:hAnsi="Franklin Gothic Book" w:cstheme="minorBidi"/>
          <w:sz w:val="22"/>
          <w:szCs w:val="22"/>
        </w:rPr>
        <w:t xml:space="preserve"> machines in primary care, equating to </w:t>
      </w:r>
      <w:r w:rsidR="007214B1">
        <w:rPr>
          <w:rFonts w:ascii="Franklin Gothic Book" w:eastAsiaTheme="minorEastAsia" w:hAnsi="Franklin Gothic Book" w:cstheme="minorBidi"/>
          <w:b/>
          <w:bCs/>
          <w:sz w:val="22"/>
          <w:szCs w:val="22"/>
        </w:rPr>
        <w:t xml:space="preserve">redacted </w:t>
      </w:r>
      <w:r w:rsidRPr="71A72DE1">
        <w:rPr>
          <w:rFonts w:ascii="Franklin Gothic Book" w:eastAsiaTheme="minorEastAsia" w:hAnsi="Franklin Gothic Book" w:cstheme="minorBidi"/>
          <w:sz w:val="22"/>
          <w:szCs w:val="22"/>
        </w:rPr>
        <w:t>scans per year, lacks a clear rationale. This estimate does not account for the realities of GP workload, competing consultation demands, or the low likelihood that GP</w:t>
      </w:r>
      <w:r w:rsidR="00F21BBB">
        <w:rPr>
          <w:rFonts w:ascii="Franklin Gothic Book" w:eastAsiaTheme="minorEastAsia" w:hAnsi="Franklin Gothic Book" w:cstheme="minorBidi"/>
          <w:sz w:val="22"/>
          <w:szCs w:val="22"/>
        </w:rPr>
        <w:t xml:space="preserve"> practice</w:t>
      </w:r>
      <w:r w:rsidRPr="71A72DE1">
        <w:rPr>
          <w:rFonts w:ascii="Franklin Gothic Book" w:eastAsiaTheme="minorEastAsia" w:hAnsi="Franklin Gothic Book" w:cstheme="minorBidi"/>
          <w:sz w:val="22"/>
          <w:szCs w:val="22"/>
        </w:rPr>
        <w:t xml:space="preserve">s would operate VCTE devices given their high capital cost and limited patient volumes. It is </w:t>
      </w:r>
      <w:r w:rsidR="001B4330">
        <w:rPr>
          <w:rFonts w:ascii="Franklin Gothic Book" w:eastAsiaTheme="minorEastAsia" w:hAnsi="Franklin Gothic Book" w:cstheme="minorBidi"/>
          <w:sz w:val="22"/>
          <w:szCs w:val="22"/>
        </w:rPr>
        <w:t>also</w:t>
      </w:r>
      <w:r w:rsidRPr="71A72DE1">
        <w:rPr>
          <w:rFonts w:ascii="Franklin Gothic Book" w:eastAsiaTheme="minorEastAsia" w:hAnsi="Franklin Gothic Book" w:cstheme="minorBidi"/>
          <w:sz w:val="22"/>
          <w:szCs w:val="22"/>
        </w:rPr>
        <w:t xml:space="preserve"> unlikely that GPs will perform VCTE themselves, given the </w:t>
      </w:r>
      <w:r w:rsidR="007B0DFA" w:rsidRPr="71A72DE1">
        <w:rPr>
          <w:rFonts w:ascii="Franklin Gothic Book" w:eastAsiaTheme="minorEastAsia" w:hAnsi="Franklin Gothic Book" w:cstheme="minorBidi"/>
          <w:sz w:val="22"/>
          <w:szCs w:val="22"/>
        </w:rPr>
        <w:t xml:space="preserve">requirements for </w:t>
      </w:r>
      <w:r w:rsidRPr="71A72DE1">
        <w:rPr>
          <w:rFonts w:ascii="Franklin Gothic Book" w:eastAsiaTheme="minorEastAsia" w:hAnsi="Franklin Gothic Book" w:cstheme="minorBidi"/>
          <w:sz w:val="22"/>
          <w:szCs w:val="22"/>
        </w:rPr>
        <w:t xml:space="preserve">training </w:t>
      </w:r>
      <w:r w:rsidR="007B0DFA" w:rsidRPr="71A72DE1">
        <w:rPr>
          <w:rFonts w:ascii="Franklin Gothic Book" w:eastAsiaTheme="minorEastAsia" w:hAnsi="Franklin Gothic Book" w:cstheme="minorBidi"/>
          <w:sz w:val="22"/>
          <w:szCs w:val="22"/>
        </w:rPr>
        <w:t>and practical experience</w:t>
      </w:r>
      <w:r w:rsidRPr="71A72DE1">
        <w:rPr>
          <w:rFonts w:ascii="Franklin Gothic Book" w:eastAsiaTheme="minorEastAsia" w:hAnsi="Franklin Gothic Book" w:cstheme="minorBidi"/>
          <w:sz w:val="22"/>
          <w:szCs w:val="22"/>
        </w:rPr>
        <w:t>, and competing consultation workload</w:t>
      </w:r>
      <w:r w:rsidR="00203941" w:rsidRPr="71A72DE1">
        <w:rPr>
          <w:rFonts w:ascii="Franklin Gothic Book" w:eastAsiaTheme="minorEastAsia" w:hAnsi="Franklin Gothic Book" w:cstheme="minorBidi"/>
          <w:sz w:val="22"/>
          <w:szCs w:val="22"/>
        </w:rPr>
        <w:t>.</w:t>
      </w:r>
      <w:r w:rsidRPr="71A72DE1">
        <w:rPr>
          <w:rFonts w:ascii="Franklin Gothic Book" w:eastAsiaTheme="minorEastAsia" w:hAnsi="Franklin Gothic Book" w:cstheme="minorBidi"/>
          <w:sz w:val="22"/>
          <w:szCs w:val="22"/>
        </w:rPr>
        <w:t xml:space="preserve"> VCTE is more realistically delivered in specialist or diagnostic service </w:t>
      </w:r>
      <w:r w:rsidRPr="71A72DE1">
        <w:rPr>
          <w:rFonts w:ascii="Franklin Gothic Book" w:eastAsiaTheme="minorEastAsia" w:hAnsi="Franklin Gothic Book" w:cstheme="minorBidi"/>
          <w:sz w:val="22"/>
          <w:szCs w:val="22"/>
        </w:rPr>
        <w:lastRenderedPageBreak/>
        <w:t xml:space="preserve">settings, with </w:t>
      </w:r>
      <w:r w:rsidR="7D31BFDA" w:rsidRPr="71A72DE1">
        <w:rPr>
          <w:rFonts w:ascii="Franklin Gothic Book" w:eastAsiaTheme="minorEastAsia" w:hAnsi="Franklin Gothic Book" w:cstheme="minorBidi"/>
          <w:sz w:val="22"/>
          <w:szCs w:val="22"/>
        </w:rPr>
        <w:t xml:space="preserve">most </w:t>
      </w:r>
      <w:r w:rsidRPr="71A72DE1">
        <w:rPr>
          <w:rFonts w:ascii="Franklin Gothic Book" w:eastAsiaTheme="minorEastAsia" w:hAnsi="Franklin Gothic Book" w:cstheme="minorBidi"/>
          <w:sz w:val="22"/>
          <w:szCs w:val="22"/>
        </w:rPr>
        <w:t xml:space="preserve">GPs referring patients for testing. Accordingly, the projected primary care capacity is likely overstated and </w:t>
      </w:r>
      <w:r w:rsidR="00E1514D">
        <w:rPr>
          <w:rFonts w:ascii="Franklin Gothic Book" w:eastAsiaTheme="minorEastAsia" w:hAnsi="Franklin Gothic Book" w:cstheme="minorBidi"/>
          <w:sz w:val="22"/>
          <w:szCs w:val="22"/>
        </w:rPr>
        <w:t xml:space="preserve">does </w:t>
      </w:r>
      <w:r w:rsidRPr="71A72DE1">
        <w:rPr>
          <w:rFonts w:ascii="Franklin Gothic Book" w:eastAsiaTheme="minorEastAsia" w:hAnsi="Franklin Gothic Book" w:cstheme="minorBidi"/>
          <w:sz w:val="22"/>
          <w:szCs w:val="22"/>
        </w:rPr>
        <w:t xml:space="preserve">not </w:t>
      </w:r>
      <w:r w:rsidR="00E1514D">
        <w:rPr>
          <w:rFonts w:ascii="Franklin Gothic Book" w:eastAsiaTheme="minorEastAsia" w:hAnsi="Franklin Gothic Book" w:cstheme="minorBidi"/>
          <w:sz w:val="22"/>
          <w:szCs w:val="22"/>
        </w:rPr>
        <w:t xml:space="preserve">accurately </w:t>
      </w:r>
      <w:r w:rsidRPr="71A72DE1">
        <w:rPr>
          <w:rFonts w:ascii="Franklin Gothic Book" w:eastAsiaTheme="minorEastAsia" w:hAnsi="Franklin Gothic Book" w:cstheme="minorBidi"/>
          <w:sz w:val="22"/>
          <w:szCs w:val="22"/>
        </w:rPr>
        <w:t>reflect real-world practice.</w:t>
      </w:r>
      <w:r w:rsidR="005D4CFB">
        <w:rPr>
          <w:rFonts w:ascii="Franklin Gothic Book" w:eastAsiaTheme="minorEastAsia" w:hAnsi="Franklin Gothic Book" w:cstheme="minorBidi"/>
          <w:sz w:val="22"/>
          <w:szCs w:val="22"/>
        </w:rPr>
        <w:t xml:space="preserve"> </w:t>
      </w:r>
      <w:r w:rsidR="005D4CFB" w:rsidRPr="71A72DE1">
        <w:rPr>
          <w:rFonts w:ascii="Franklin Gothic Book" w:eastAsiaTheme="minorEastAsia" w:hAnsi="Franklin Gothic Book" w:cstheme="minorBidi"/>
          <w:sz w:val="22"/>
          <w:szCs w:val="22"/>
        </w:rPr>
        <w:t>The exception in primary care may be the limited number of GPs who work in special interest clinics</w:t>
      </w:r>
      <w:r w:rsidR="005D4CFB">
        <w:rPr>
          <w:rFonts w:ascii="Franklin Gothic Book" w:eastAsiaTheme="minorEastAsia" w:hAnsi="Franklin Gothic Book" w:cstheme="minorBidi"/>
          <w:sz w:val="22"/>
          <w:szCs w:val="22"/>
        </w:rPr>
        <w:t>,</w:t>
      </w:r>
      <w:r w:rsidR="005D4CFB" w:rsidRPr="71A72DE1">
        <w:rPr>
          <w:rFonts w:ascii="Franklin Gothic Book" w:eastAsiaTheme="minorEastAsia" w:hAnsi="Franklin Gothic Book" w:cstheme="minorBidi"/>
          <w:sz w:val="22"/>
          <w:szCs w:val="22"/>
        </w:rPr>
        <w:t xml:space="preserve"> have a scope of practice very similar to </w:t>
      </w:r>
      <w:r w:rsidR="00341431">
        <w:rPr>
          <w:rFonts w:ascii="Franklin Gothic Book" w:eastAsiaTheme="minorEastAsia" w:hAnsi="Franklin Gothic Book" w:cstheme="minorBidi"/>
          <w:sz w:val="22"/>
          <w:szCs w:val="22"/>
        </w:rPr>
        <w:t xml:space="preserve">that of </w:t>
      </w:r>
      <w:r w:rsidR="005D4CFB" w:rsidRPr="71A72DE1">
        <w:rPr>
          <w:rFonts w:ascii="Franklin Gothic Book" w:eastAsiaTheme="minorEastAsia" w:hAnsi="Franklin Gothic Book" w:cstheme="minorBidi"/>
          <w:sz w:val="22"/>
          <w:szCs w:val="22"/>
        </w:rPr>
        <w:t>a specialist</w:t>
      </w:r>
      <w:r w:rsidR="00341431">
        <w:rPr>
          <w:rFonts w:ascii="Franklin Gothic Book" w:eastAsiaTheme="minorEastAsia" w:hAnsi="Franklin Gothic Book" w:cstheme="minorBidi"/>
          <w:sz w:val="22"/>
          <w:szCs w:val="22"/>
        </w:rPr>
        <w:t>,</w:t>
      </w:r>
      <w:r w:rsidR="005D4CFB" w:rsidRPr="71A72DE1">
        <w:rPr>
          <w:rFonts w:ascii="Franklin Gothic Book" w:eastAsiaTheme="minorEastAsia" w:hAnsi="Franklin Gothic Book" w:cstheme="minorBidi"/>
          <w:sz w:val="22"/>
          <w:szCs w:val="22"/>
        </w:rPr>
        <w:t xml:space="preserve"> and therefore would be expected to </w:t>
      </w:r>
      <w:r w:rsidR="005D4CFB">
        <w:rPr>
          <w:rFonts w:ascii="Franklin Gothic Book" w:eastAsiaTheme="minorEastAsia" w:hAnsi="Franklin Gothic Book" w:cstheme="minorBidi"/>
          <w:sz w:val="22"/>
          <w:szCs w:val="22"/>
        </w:rPr>
        <w:t xml:space="preserve">provide </w:t>
      </w:r>
      <w:r w:rsidR="005D4CFB" w:rsidRPr="71A72DE1">
        <w:rPr>
          <w:rFonts w:ascii="Franklin Gothic Book" w:eastAsiaTheme="minorEastAsia" w:hAnsi="Franklin Gothic Book" w:cstheme="minorBidi"/>
          <w:sz w:val="22"/>
          <w:szCs w:val="22"/>
        </w:rPr>
        <w:t>more than 10 scans per day.</w:t>
      </w:r>
    </w:p>
    <w:p w14:paraId="56822922" w14:textId="75C3E736" w:rsidR="007E0D44" w:rsidRPr="000A11F8" w:rsidRDefault="007E0D44" w:rsidP="00590DFC">
      <w:pPr>
        <w:pStyle w:val="BodyText"/>
        <w:keepLines w:val="0"/>
        <w:rPr>
          <w:rFonts w:ascii="Franklin Gothic Book" w:eastAsiaTheme="minorHAnsi" w:hAnsi="Franklin Gothic Book" w:cstheme="minorBidi"/>
          <w:sz w:val="22"/>
          <w:szCs w:val="22"/>
        </w:rPr>
      </w:pPr>
      <w:r w:rsidRPr="000A11F8">
        <w:rPr>
          <w:rFonts w:ascii="Franklin Gothic Book" w:eastAsiaTheme="minorHAnsi" w:hAnsi="Franklin Gothic Book" w:cstheme="minorBidi"/>
          <w:sz w:val="22"/>
          <w:szCs w:val="22"/>
        </w:rPr>
        <w:t>The budget impact model assume</w:t>
      </w:r>
      <w:r w:rsidR="00DA4EEC">
        <w:rPr>
          <w:rFonts w:ascii="Franklin Gothic Book" w:eastAsiaTheme="minorHAnsi" w:hAnsi="Franklin Gothic Book" w:cstheme="minorBidi"/>
          <w:sz w:val="22"/>
          <w:szCs w:val="22"/>
        </w:rPr>
        <w:t>d</w:t>
      </w:r>
      <w:r w:rsidRPr="000A11F8">
        <w:rPr>
          <w:rFonts w:ascii="Franklin Gothic Book" w:eastAsiaTheme="minorHAnsi" w:hAnsi="Franklin Gothic Book" w:cstheme="minorBidi"/>
          <w:sz w:val="22"/>
          <w:szCs w:val="22"/>
        </w:rPr>
        <w:t xml:space="preserve"> an uninterrupted flow of patients who seem to begin the diagnostic pathway by undertaking the initial FIB-4 test in primary care, followed by VCTE as a confirmation test if results </w:t>
      </w:r>
      <w:r w:rsidR="002171D1">
        <w:rPr>
          <w:rFonts w:ascii="Franklin Gothic Book" w:eastAsiaTheme="minorHAnsi" w:hAnsi="Franklin Gothic Book" w:cstheme="minorBidi"/>
          <w:sz w:val="22"/>
          <w:szCs w:val="22"/>
        </w:rPr>
        <w:t>the</w:t>
      </w:r>
      <w:r w:rsidRPr="000A11F8">
        <w:rPr>
          <w:rFonts w:ascii="Franklin Gothic Book" w:eastAsiaTheme="minorHAnsi" w:hAnsi="Franklin Gothic Book" w:cstheme="minorBidi"/>
          <w:sz w:val="22"/>
          <w:szCs w:val="22"/>
        </w:rPr>
        <w:t xml:space="preserve"> FIB-4</w:t>
      </w:r>
      <w:r w:rsidR="002171D1">
        <w:rPr>
          <w:rFonts w:ascii="Franklin Gothic Book" w:eastAsiaTheme="minorHAnsi" w:hAnsi="Franklin Gothic Book" w:cstheme="minorBidi"/>
          <w:sz w:val="22"/>
          <w:szCs w:val="22"/>
        </w:rPr>
        <w:t xml:space="preserve"> results</w:t>
      </w:r>
      <w:r w:rsidRPr="000A11F8">
        <w:rPr>
          <w:rFonts w:ascii="Franklin Gothic Book" w:eastAsiaTheme="minorHAnsi" w:hAnsi="Franklin Gothic Book" w:cstheme="minorBidi"/>
          <w:sz w:val="22"/>
          <w:szCs w:val="22"/>
        </w:rPr>
        <w:t xml:space="preserve"> are indeterminate. Specialist care is reserved exclusively for patients </w:t>
      </w:r>
      <w:r w:rsidR="00DE3900">
        <w:rPr>
          <w:rFonts w:ascii="Franklin Gothic Book" w:eastAsiaTheme="minorHAnsi" w:hAnsi="Franklin Gothic Book" w:cstheme="minorBidi"/>
          <w:sz w:val="22"/>
          <w:szCs w:val="22"/>
        </w:rPr>
        <w:t xml:space="preserve">who have </w:t>
      </w:r>
      <w:r w:rsidRPr="000A11F8">
        <w:rPr>
          <w:rFonts w:ascii="Franklin Gothic Book" w:eastAsiaTheme="minorHAnsi" w:hAnsi="Franklin Gothic Book" w:cstheme="minorBidi"/>
          <w:sz w:val="22"/>
          <w:szCs w:val="22"/>
        </w:rPr>
        <w:t xml:space="preserve">already </w:t>
      </w:r>
      <w:r w:rsidR="00DE3900">
        <w:rPr>
          <w:rFonts w:ascii="Franklin Gothic Book" w:eastAsiaTheme="minorHAnsi" w:hAnsi="Franklin Gothic Book" w:cstheme="minorBidi"/>
          <w:sz w:val="22"/>
          <w:szCs w:val="22"/>
        </w:rPr>
        <w:t xml:space="preserve">been </w:t>
      </w:r>
      <w:r w:rsidRPr="000A11F8">
        <w:rPr>
          <w:rFonts w:ascii="Franklin Gothic Book" w:eastAsiaTheme="minorHAnsi" w:hAnsi="Franklin Gothic Book" w:cstheme="minorBidi"/>
          <w:sz w:val="22"/>
          <w:szCs w:val="22"/>
        </w:rPr>
        <w:t>identified</w:t>
      </w:r>
      <w:r w:rsidR="00306CD8">
        <w:rPr>
          <w:rFonts w:ascii="Franklin Gothic Book" w:eastAsiaTheme="minorHAnsi" w:hAnsi="Franklin Gothic Book" w:cstheme="minorBidi"/>
          <w:sz w:val="22"/>
          <w:szCs w:val="22"/>
        </w:rPr>
        <w:t xml:space="preserve"> as being</w:t>
      </w:r>
      <w:r w:rsidRPr="000A11F8">
        <w:rPr>
          <w:rFonts w:ascii="Franklin Gothic Book" w:eastAsiaTheme="minorHAnsi" w:hAnsi="Franklin Gothic Book" w:cstheme="minorBidi"/>
          <w:sz w:val="22"/>
          <w:szCs w:val="22"/>
        </w:rPr>
        <w:t xml:space="preserve"> at high risk (FIB-4 &gt;2.67). </w:t>
      </w:r>
    </w:p>
    <w:p w14:paraId="1A473784" w14:textId="0AEAF135" w:rsidR="007E0D44" w:rsidRPr="000A11F8" w:rsidRDefault="00CE7F0C" w:rsidP="00590DFC">
      <w:pPr>
        <w:pStyle w:val="BodyText"/>
        <w:keepLines w:val="0"/>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E</w:t>
      </w:r>
      <w:r w:rsidR="007E0D44" w:rsidRPr="000A11F8">
        <w:rPr>
          <w:rFonts w:ascii="Franklin Gothic Book" w:eastAsiaTheme="minorHAnsi" w:hAnsi="Franklin Gothic Book" w:cstheme="minorBidi"/>
          <w:sz w:val="22"/>
          <w:szCs w:val="22"/>
        </w:rPr>
        <w:t>pidemiological data w</w:t>
      </w:r>
      <w:r w:rsidR="007E0D44">
        <w:rPr>
          <w:rFonts w:ascii="Franklin Gothic Book" w:eastAsiaTheme="minorHAnsi" w:hAnsi="Franklin Gothic Book" w:cstheme="minorBidi"/>
          <w:sz w:val="22"/>
          <w:szCs w:val="22"/>
        </w:rPr>
        <w:t>ere</w:t>
      </w:r>
      <w:r w:rsidR="007E0D44" w:rsidRPr="000A11F8">
        <w:rPr>
          <w:rFonts w:ascii="Franklin Gothic Book" w:eastAsiaTheme="minorHAnsi" w:hAnsi="Franklin Gothic Book" w:cstheme="minorBidi"/>
          <w:sz w:val="22"/>
          <w:szCs w:val="22"/>
        </w:rPr>
        <w:t xml:space="preserve"> utilised to estimate the number of patients likely to take up VCTE for AF risk classification purposes. It was informed by three data sources:</w:t>
      </w:r>
    </w:p>
    <w:p w14:paraId="392994B3" w14:textId="60653BC9" w:rsidR="007E0D44" w:rsidRPr="008967D8" w:rsidRDefault="007E0D44" w:rsidP="005E01EA">
      <w:pPr>
        <w:pStyle w:val="BodyText"/>
        <w:keepLines w:val="0"/>
        <w:numPr>
          <w:ilvl w:val="0"/>
          <w:numId w:val="17"/>
        </w:numPr>
        <w:rPr>
          <w:rFonts w:ascii="Franklin Gothic Book" w:hAnsi="Franklin Gothic Book"/>
          <w:sz w:val="22"/>
          <w:szCs w:val="22"/>
        </w:rPr>
      </w:pPr>
      <w:r w:rsidRPr="008967D8">
        <w:rPr>
          <w:rFonts w:ascii="Franklin Gothic Book" w:hAnsi="Franklin Gothic Book"/>
          <w:sz w:val="22"/>
          <w:szCs w:val="22"/>
        </w:rPr>
        <w:t>The expected NAFLD rates from the study of the NAFLD disease</w:t>
      </w:r>
      <w:r w:rsidRPr="008967D8">
        <w:rPr>
          <w:rFonts w:ascii="Franklin Gothic Book" w:hAnsi="Franklin Gothic Book" w:cs="Arial"/>
          <w:snapToGrid w:val="0"/>
          <w:sz w:val="22"/>
          <w:szCs w:val="22"/>
          <w:lang w:eastAsia="en-AU"/>
        </w:rPr>
        <w:t xml:space="preserve"> burden</w:t>
      </w:r>
      <w:r w:rsidRPr="008967D8">
        <w:rPr>
          <w:rFonts w:ascii="Franklin Gothic Book" w:hAnsi="Franklin Gothic Book"/>
          <w:sz w:val="22"/>
          <w:szCs w:val="22"/>
        </w:rPr>
        <w:t xml:space="preserve"> in </w:t>
      </w:r>
      <w:r w:rsidRPr="008967D8">
        <w:rPr>
          <w:rFonts w:ascii="Franklin Gothic Book" w:hAnsi="Franklin Gothic Book" w:cs="Arial"/>
          <w:snapToGrid w:val="0"/>
          <w:sz w:val="22"/>
          <w:szCs w:val="22"/>
          <w:lang w:eastAsia="en-AU"/>
        </w:rPr>
        <w:t>Australia, which estimated</w:t>
      </w:r>
      <w:r w:rsidRPr="008967D8">
        <w:rPr>
          <w:rFonts w:ascii="Franklin Gothic Book" w:hAnsi="Franklin Gothic Book"/>
          <w:sz w:val="22"/>
          <w:szCs w:val="22"/>
        </w:rPr>
        <w:t xml:space="preserve"> a projected disease growth over the </w:t>
      </w:r>
      <w:r w:rsidRPr="008967D8">
        <w:rPr>
          <w:rFonts w:ascii="Franklin Gothic Book" w:hAnsi="Franklin Gothic Book" w:cs="Arial"/>
          <w:snapToGrid w:val="0"/>
          <w:sz w:val="22"/>
          <w:szCs w:val="22"/>
          <w:lang w:eastAsia="en-AU"/>
        </w:rPr>
        <w:t>2019–2030</w:t>
      </w:r>
      <w:r w:rsidRPr="008967D8">
        <w:rPr>
          <w:rFonts w:ascii="Franklin Gothic Book" w:hAnsi="Franklin Gothic Book"/>
          <w:sz w:val="22"/>
          <w:szCs w:val="22"/>
        </w:rPr>
        <w:t xml:space="preserve"> period</w:t>
      </w:r>
      <w:r w:rsidRPr="008967D8">
        <w:rPr>
          <w:rFonts w:ascii="Franklin Gothic Book" w:hAnsi="Franklin Gothic Book" w:cs="Arial"/>
          <w:snapToGrid w:val="0"/>
          <w:sz w:val="22"/>
          <w:szCs w:val="22"/>
          <w:lang w:eastAsia="en-AU"/>
        </w:rPr>
        <w:t xml:space="preserve"> </w:t>
      </w:r>
      <w:r w:rsidRPr="008967D8">
        <w:rPr>
          <w:rFonts w:ascii="Franklin Gothic Book" w:hAnsi="Franklin Gothic Book"/>
          <w:sz w:val="22"/>
          <w:szCs w:val="22"/>
        </w:rPr>
        <w:t>(Table 1, Adams, 2020). These rates applied to the projected total Australian population (ABS Population projections, Table B9) to estimate the NAFLD population from 2026 to 2031.</w:t>
      </w:r>
      <w:r w:rsidR="00F4737F">
        <w:rPr>
          <w:rFonts w:ascii="Franklin Gothic Book" w:hAnsi="Franklin Gothic Book"/>
          <w:sz w:val="22"/>
          <w:szCs w:val="22"/>
        </w:rPr>
        <w:t xml:space="preserve"> The commentary notes however</w:t>
      </w:r>
      <w:r w:rsidR="004F0BA2">
        <w:rPr>
          <w:rFonts w:ascii="Franklin Gothic Book" w:hAnsi="Franklin Gothic Book"/>
          <w:sz w:val="22"/>
          <w:szCs w:val="22"/>
        </w:rPr>
        <w:t>, that</w:t>
      </w:r>
      <w:r w:rsidR="00F4737F">
        <w:rPr>
          <w:rFonts w:ascii="Franklin Gothic Book" w:hAnsi="Franklin Gothic Book"/>
          <w:sz w:val="22"/>
          <w:szCs w:val="22"/>
        </w:rPr>
        <w:t xml:space="preserve"> th</w:t>
      </w:r>
      <w:r w:rsidR="00860430">
        <w:rPr>
          <w:rFonts w:ascii="Franklin Gothic Book" w:hAnsi="Franklin Gothic Book"/>
          <w:sz w:val="22"/>
          <w:szCs w:val="22"/>
        </w:rPr>
        <w:t>e number of patients was no</w:t>
      </w:r>
      <w:r w:rsidR="00E73AED">
        <w:rPr>
          <w:rFonts w:ascii="Franklin Gothic Book" w:hAnsi="Franklin Gothic Book"/>
          <w:sz w:val="22"/>
          <w:szCs w:val="22"/>
        </w:rPr>
        <w:t xml:space="preserve">t </w:t>
      </w:r>
      <w:r w:rsidR="00454AD2">
        <w:rPr>
          <w:rFonts w:ascii="Franklin Gothic Book" w:hAnsi="Franklin Gothic Book"/>
          <w:sz w:val="22"/>
          <w:szCs w:val="22"/>
        </w:rPr>
        <w:t xml:space="preserve">relied upon to inform the number of patients </w:t>
      </w:r>
      <w:r w:rsidR="00953D1B">
        <w:rPr>
          <w:rFonts w:ascii="Franklin Gothic Book" w:hAnsi="Franklin Gothic Book"/>
          <w:sz w:val="22"/>
          <w:szCs w:val="22"/>
        </w:rPr>
        <w:t xml:space="preserve">being tested with VCTE. </w:t>
      </w:r>
    </w:p>
    <w:p w14:paraId="0B3A7764" w14:textId="5A65F736" w:rsidR="007E0D44" w:rsidRPr="008967D8" w:rsidRDefault="007E0D44" w:rsidP="005E01EA">
      <w:pPr>
        <w:pStyle w:val="BodyText"/>
        <w:keepLines w:val="0"/>
        <w:numPr>
          <w:ilvl w:val="0"/>
          <w:numId w:val="17"/>
        </w:numPr>
        <w:rPr>
          <w:rFonts w:ascii="Franklin Gothic Book" w:hAnsi="Franklin Gothic Book"/>
          <w:sz w:val="22"/>
          <w:szCs w:val="22"/>
        </w:rPr>
      </w:pPr>
      <w:r w:rsidRPr="008967D8">
        <w:rPr>
          <w:rFonts w:ascii="Franklin Gothic Book" w:hAnsi="Franklin Gothic Book"/>
          <w:sz w:val="22"/>
          <w:szCs w:val="22"/>
        </w:rPr>
        <w:t xml:space="preserve">The number of liver ultrasound services (MBS Item 55036) that were conducted in Australia in 2019-2024 and their linear extrapolation to 2026-2031; </w:t>
      </w:r>
      <w:r w:rsidR="00891596">
        <w:rPr>
          <w:rFonts w:ascii="Franklin Gothic Book" w:hAnsi="Franklin Gothic Book"/>
          <w:sz w:val="22"/>
          <w:szCs w:val="22"/>
        </w:rPr>
        <w:t>This was assumed t</w:t>
      </w:r>
      <w:r w:rsidR="001A155F">
        <w:rPr>
          <w:rFonts w:ascii="Franklin Gothic Book" w:hAnsi="Franklin Gothic Book"/>
          <w:sz w:val="22"/>
          <w:szCs w:val="22"/>
        </w:rPr>
        <w:t>o</w:t>
      </w:r>
      <w:r w:rsidR="00891596">
        <w:rPr>
          <w:rFonts w:ascii="Franklin Gothic Book" w:hAnsi="Franklin Gothic Book"/>
          <w:sz w:val="22"/>
          <w:szCs w:val="22"/>
        </w:rPr>
        <w:t xml:space="preserve"> be equal to </w:t>
      </w:r>
      <w:r w:rsidR="00E16ABA">
        <w:rPr>
          <w:rFonts w:ascii="Franklin Gothic Book" w:hAnsi="Franklin Gothic Book"/>
          <w:sz w:val="22"/>
          <w:szCs w:val="22"/>
        </w:rPr>
        <w:t xml:space="preserve">the number of </w:t>
      </w:r>
      <w:r w:rsidR="00D765F3">
        <w:rPr>
          <w:rFonts w:ascii="Franklin Gothic Book" w:hAnsi="Franklin Gothic Book"/>
          <w:sz w:val="22"/>
          <w:szCs w:val="22"/>
        </w:rPr>
        <w:t xml:space="preserve">patients diagnosed with MAFLD.  </w:t>
      </w:r>
      <w:r w:rsidR="00CA6C8B">
        <w:rPr>
          <w:rFonts w:ascii="Franklin Gothic Book" w:hAnsi="Franklin Gothic Book"/>
          <w:sz w:val="22"/>
          <w:szCs w:val="22"/>
        </w:rPr>
        <w:t xml:space="preserve"> </w:t>
      </w:r>
    </w:p>
    <w:p w14:paraId="5D02DB11" w14:textId="6709BEBD" w:rsidR="007E0D44" w:rsidRPr="008967D8" w:rsidRDefault="007E0D44" w:rsidP="005E01EA">
      <w:pPr>
        <w:pStyle w:val="BodyText"/>
        <w:keepLines w:val="0"/>
        <w:numPr>
          <w:ilvl w:val="0"/>
          <w:numId w:val="17"/>
        </w:numPr>
        <w:ind w:left="714" w:hanging="357"/>
        <w:rPr>
          <w:rFonts w:ascii="Franklin Gothic Book" w:hAnsi="Franklin Gothic Book"/>
          <w:sz w:val="22"/>
          <w:szCs w:val="22"/>
        </w:rPr>
      </w:pPr>
      <w:r w:rsidRPr="008967D8">
        <w:rPr>
          <w:rFonts w:ascii="Franklin Gothic Book" w:hAnsi="Franklin Gothic Book"/>
          <w:sz w:val="22"/>
          <w:szCs w:val="22"/>
        </w:rPr>
        <w:t xml:space="preserve">The number of patients eligible for VCTE in primary care (i.e. those with </w:t>
      </w:r>
      <w:r w:rsidR="005A709A">
        <w:rPr>
          <w:rFonts w:ascii="Franklin Gothic Book" w:hAnsi="Franklin Gothic Book"/>
          <w:sz w:val="22"/>
          <w:szCs w:val="22"/>
        </w:rPr>
        <w:t xml:space="preserve">an </w:t>
      </w:r>
      <w:r w:rsidRPr="008967D8">
        <w:rPr>
          <w:rFonts w:ascii="Franklin Gothic Book" w:hAnsi="Franklin Gothic Book"/>
          <w:sz w:val="22"/>
          <w:szCs w:val="22"/>
        </w:rPr>
        <w:t>FIB-4 score between 1.3 and 2.67) was obtained by applying the proportion of patients with indeterminate FIB-4 outcomes</w:t>
      </w:r>
      <w:r w:rsidR="00645391">
        <w:rPr>
          <w:rFonts w:ascii="Franklin Gothic Book" w:hAnsi="Franklin Gothic Book"/>
          <w:sz w:val="22"/>
          <w:szCs w:val="22"/>
        </w:rPr>
        <w:t xml:space="preserve"> </w:t>
      </w:r>
      <w:r w:rsidR="00395573">
        <w:rPr>
          <w:rFonts w:ascii="Franklin Gothic Book" w:hAnsi="Franklin Gothic Book"/>
          <w:sz w:val="22"/>
          <w:szCs w:val="22"/>
        </w:rPr>
        <w:t>from Anstee 2024 (29.65%)</w:t>
      </w:r>
      <w:r w:rsidRPr="008967D8">
        <w:rPr>
          <w:rFonts w:ascii="Franklin Gothic Book" w:hAnsi="Franklin Gothic Book"/>
          <w:sz w:val="22"/>
          <w:szCs w:val="22"/>
        </w:rPr>
        <w:t xml:space="preserve"> to the number of ultrasound services in each of the </w:t>
      </w:r>
      <w:r w:rsidR="00A32E3D">
        <w:rPr>
          <w:rFonts w:ascii="Franklin Gothic Book" w:hAnsi="Franklin Gothic Book"/>
          <w:sz w:val="22"/>
          <w:szCs w:val="22"/>
        </w:rPr>
        <w:t xml:space="preserve">years </w:t>
      </w:r>
      <w:r w:rsidRPr="008967D8">
        <w:rPr>
          <w:rFonts w:ascii="Franklin Gothic Book" w:hAnsi="Franklin Gothic Book"/>
          <w:sz w:val="22"/>
          <w:szCs w:val="22"/>
        </w:rPr>
        <w:t>2026-2031 (from B). The number of patients eligible for VCTE in secondary care was obtained by applying the proportion of patients at high risk of AF (i.e. FIB-4 score &gt; 2.67</w:t>
      </w:r>
      <w:r w:rsidR="00D25897">
        <w:rPr>
          <w:rFonts w:ascii="Franklin Gothic Book" w:hAnsi="Franklin Gothic Book"/>
          <w:sz w:val="22"/>
          <w:szCs w:val="22"/>
        </w:rPr>
        <w:t>; 4.35%</w:t>
      </w:r>
      <w:r w:rsidRPr="008967D8">
        <w:rPr>
          <w:rFonts w:ascii="Franklin Gothic Book" w:hAnsi="Franklin Gothic Book"/>
          <w:sz w:val="22"/>
          <w:szCs w:val="22"/>
        </w:rPr>
        <w:t>) to the number of ultrasound services in each of the</w:t>
      </w:r>
      <w:r w:rsidR="00C106BB">
        <w:rPr>
          <w:rFonts w:ascii="Franklin Gothic Book" w:hAnsi="Franklin Gothic Book"/>
          <w:sz w:val="22"/>
          <w:szCs w:val="22"/>
        </w:rPr>
        <w:t xml:space="preserve"> years</w:t>
      </w:r>
      <w:r w:rsidRPr="008967D8">
        <w:rPr>
          <w:rFonts w:ascii="Franklin Gothic Book" w:hAnsi="Franklin Gothic Book"/>
          <w:sz w:val="22"/>
          <w:szCs w:val="22"/>
        </w:rPr>
        <w:t xml:space="preserve"> 2026-2031 (from B). Both proportions were obtained from the UK study</w:t>
      </w:r>
      <w:r w:rsidR="00CB44DB">
        <w:rPr>
          <w:rFonts w:ascii="Franklin Gothic Book" w:hAnsi="Franklin Gothic Book"/>
          <w:sz w:val="22"/>
          <w:szCs w:val="22"/>
        </w:rPr>
        <w:t>,</w:t>
      </w:r>
      <w:r w:rsidRPr="008967D8">
        <w:rPr>
          <w:rFonts w:ascii="Franklin Gothic Book" w:hAnsi="Franklin Gothic Book"/>
          <w:sz w:val="22"/>
          <w:szCs w:val="22"/>
        </w:rPr>
        <w:t xml:space="preserve"> </w:t>
      </w:r>
      <w:r w:rsidR="00CB44DB">
        <w:rPr>
          <w:rFonts w:ascii="Franklin Gothic Book" w:hAnsi="Franklin Gothic Book"/>
          <w:sz w:val="22"/>
          <w:szCs w:val="22"/>
        </w:rPr>
        <w:t>which</w:t>
      </w:r>
      <w:r w:rsidR="00CB44DB" w:rsidRPr="008967D8">
        <w:rPr>
          <w:rFonts w:ascii="Franklin Gothic Book" w:hAnsi="Franklin Gothic Book"/>
          <w:sz w:val="22"/>
          <w:szCs w:val="22"/>
        </w:rPr>
        <w:t xml:space="preserve"> </w:t>
      </w:r>
      <w:r w:rsidRPr="008967D8">
        <w:rPr>
          <w:rFonts w:ascii="Franklin Gothic Book" w:hAnsi="Franklin Gothic Book"/>
          <w:sz w:val="22"/>
          <w:szCs w:val="22"/>
        </w:rPr>
        <w:t xml:space="preserve">reported </w:t>
      </w:r>
      <w:r w:rsidR="00CB44DB">
        <w:rPr>
          <w:rFonts w:ascii="Franklin Gothic Book" w:hAnsi="Franklin Gothic Book"/>
          <w:sz w:val="22"/>
          <w:szCs w:val="22"/>
        </w:rPr>
        <w:t>the</w:t>
      </w:r>
      <w:r w:rsidR="00CB44DB" w:rsidRPr="008967D8">
        <w:rPr>
          <w:rFonts w:ascii="Franklin Gothic Book" w:hAnsi="Franklin Gothic Book"/>
          <w:sz w:val="22"/>
          <w:szCs w:val="22"/>
        </w:rPr>
        <w:t xml:space="preserve"> </w:t>
      </w:r>
      <w:r w:rsidRPr="008967D8">
        <w:rPr>
          <w:rFonts w:ascii="Franklin Gothic Book" w:hAnsi="Franklin Gothic Book"/>
          <w:sz w:val="22"/>
          <w:szCs w:val="22"/>
        </w:rPr>
        <w:t xml:space="preserve">distribution of </w:t>
      </w:r>
      <w:r w:rsidR="00CB44DB">
        <w:rPr>
          <w:rFonts w:ascii="Franklin Gothic Book" w:hAnsi="Franklin Gothic Book"/>
          <w:sz w:val="22"/>
          <w:szCs w:val="22"/>
        </w:rPr>
        <w:t>a</w:t>
      </w:r>
      <w:r w:rsidR="00CB44DB" w:rsidRPr="008967D8">
        <w:rPr>
          <w:rFonts w:ascii="Franklin Gothic Book" w:hAnsi="Franklin Gothic Book"/>
          <w:sz w:val="22"/>
          <w:szCs w:val="22"/>
        </w:rPr>
        <w:t xml:space="preserve"> </w:t>
      </w:r>
      <w:r w:rsidRPr="008967D8">
        <w:rPr>
          <w:rFonts w:ascii="Franklin Gothic Book" w:hAnsi="Franklin Gothic Book"/>
          <w:sz w:val="22"/>
          <w:szCs w:val="22"/>
        </w:rPr>
        <w:t>large cohort of individuals with obesity and T2D with respect to their FIB-4 outcomes (Anstee 2024).</w:t>
      </w:r>
    </w:p>
    <w:p w14:paraId="519B0DAA" w14:textId="77777777" w:rsidR="007E0D44" w:rsidRPr="008967D8" w:rsidRDefault="007E0D44" w:rsidP="00590DFC">
      <w:pPr>
        <w:pStyle w:val="BodyText"/>
        <w:keepLines w:val="0"/>
        <w:rPr>
          <w:rFonts w:ascii="Franklin Gothic Book" w:hAnsi="Franklin Gothic Book"/>
          <w:sz w:val="22"/>
          <w:szCs w:val="22"/>
        </w:rPr>
      </w:pPr>
      <w:r w:rsidRPr="008967D8">
        <w:rPr>
          <w:rFonts w:ascii="Franklin Gothic Book" w:hAnsi="Franklin Gothic Book"/>
          <w:sz w:val="22"/>
          <w:szCs w:val="22"/>
        </w:rPr>
        <w:t>There are the following areas of uncertainty in estimating the size of the population eligible for VCTE:</w:t>
      </w:r>
    </w:p>
    <w:p w14:paraId="44682194" w14:textId="77C8BE60" w:rsidR="007E0D44" w:rsidRPr="008967D8" w:rsidRDefault="007E0D44" w:rsidP="005E01EA">
      <w:pPr>
        <w:pStyle w:val="BodyText"/>
        <w:keepLines w:val="0"/>
        <w:numPr>
          <w:ilvl w:val="0"/>
          <w:numId w:val="18"/>
        </w:numPr>
        <w:rPr>
          <w:rFonts w:ascii="Franklin Gothic Book" w:hAnsi="Franklin Gothic Book"/>
          <w:sz w:val="22"/>
          <w:szCs w:val="22"/>
        </w:rPr>
      </w:pPr>
      <w:r w:rsidRPr="008967D8">
        <w:rPr>
          <w:rFonts w:ascii="Franklin Gothic Book" w:hAnsi="Franklin Gothic Book"/>
          <w:sz w:val="22"/>
          <w:szCs w:val="22"/>
        </w:rPr>
        <w:t>The ADAR did not identify any data source to estimate the MAFLD population</w:t>
      </w:r>
      <w:r w:rsidR="0087306B">
        <w:rPr>
          <w:rFonts w:ascii="Franklin Gothic Book" w:hAnsi="Franklin Gothic Book"/>
          <w:sz w:val="22"/>
          <w:szCs w:val="22"/>
        </w:rPr>
        <w:t xml:space="preserve">; </w:t>
      </w:r>
      <w:r w:rsidR="00AE139E">
        <w:rPr>
          <w:rFonts w:ascii="Franklin Gothic Book" w:hAnsi="Franklin Gothic Book"/>
          <w:sz w:val="22"/>
          <w:szCs w:val="22"/>
        </w:rPr>
        <w:t>therefore</w:t>
      </w:r>
      <w:r w:rsidR="00AE139E" w:rsidRPr="008967D8">
        <w:rPr>
          <w:rFonts w:ascii="Franklin Gothic Book" w:hAnsi="Franklin Gothic Book"/>
          <w:sz w:val="22"/>
          <w:szCs w:val="22"/>
        </w:rPr>
        <w:t>, all</w:t>
      </w:r>
      <w:r w:rsidRPr="008967D8">
        <w:rPr>
          <w:rFonts w:ascii="Franklin Gothic Book" w:hAnsi="Franklin Gothic Book"/>
          <w:sz w:val="22"/>
          <w:szCs w:val="22"/>
        </w:rPr>
        <w:t xml:space="preserve"> data inputs were sourced from the NAFLD evidence, the population that overlaps with the MAFLD population but is not identical to it.</w:t>
      </w:r>
    </w:p>
    <w:p w14:paraId="69DCF70A" w14:textId="6FC58774" w:rsidR="007E0D44" w:rsidRPr="008967D8" w:rsidRDefault="007E0D44" w:rsidP="005E01EA">
      <w:pPr>
        <w:pStyle w:val="BodyText"/>
        <w:keepLines w:val="0"/>
        <w:numPr>
          <w:ilvl w:val="0"/>
          <w:numId w:val="18"/>
        </w:numPr>
        <w:rPr>
          <w:rFonts w:ascii="Franklin Gothic Book" w:hAnsi="Franklin Gothic Book"/>
          <w:sz w:val="22"/>
          <w:szCs w:val="22"/>
        </w:rPr>
      </w:pPr>
      <w:r w:rsidRPr="008967D8">
        <w:rPr>
          <w:rFonts w:ascii="Franklin Gothic Book" w:hAnsi="Franklin Gothic Book"/>
          <w:sz w:val="22"/>
          <w:szCs w:val="22"/>
        </w:rPr>
        <w:t>The GESA consensus statement recommended liver ultrasound as the first-line test to diagnose hepatic steatosis in people at high risk of MAFLD</w:t>
      </w:r>
      <w:r w:rsidR="00AC15BF">
        <w:rPr>
          <w:rFonts w:ascii="Franklin Gothic Book" w:hAnsi="Franklin Gothic Book"/>
          <w:sz w:val="22"/>
          <w:szCs w:val="22"/>
        </w:rPr>
        <w:t>.</w:t>
      </w:r>
      <w:r w:rsidRPr="008967D8">
        <w:rPr>
          <w:rFonts w:ascii="Franklin Gothic Book" w:hAnsi="Franklin Gothic Book"/>
          <w:sz w:val="22"/>
          <w:szCs w:val="22"/>
        </w:rPr>
        <w:t xml:space="preserve"> </w:t>
      </w:r>
      <w:r w:rsidR="00E71518">
        <w:rPr>
          <w:rFonts w:ascii="Franklin Gothic Book" w:hAnsi="Franklin Gothic Book"/>
          <w:sz w:val="22"/>
          <w:szCs w:val="22"/>
        </w:rPr>
        <w:t>H</w:t>
      </w:r>
      <w:r w:rsidRPr="008967D8">
        <w:rPr>
          <w:rFonts w:ascii="Franklin Gothic Book" w:hAnsi="Franklin Gothic Book"/>
          <w:sz w:val="22"/>
          <w:szCs w:val="22"/>
        </w:rPr>
        <w:t>owever</w:t>
      </w:r>
      <w:r w:rsidR="00AC15BF">
        <w:rPr>
          <w:rFonts w:ascii="Franklin Gothic Book" w:hAnsi="Franklin Gothic Book"/>
          <w:sz w:val="22"/>
          <w:szCs w:val="22"/>
        </w:rPr>
        <w:t>,</w:t>
      </w:r>
      <w:r w:rsidRPr="008967D8">
        <w:rPr>
          <w:rFonts w:ascii="Franklin Gothic Book" w:hAnsi="Franklin Gothic Book"/>
          <w:sz w:val="22"/>
          <w:szCs w:val="22"/>
        </w:rPr>
        <w:t xml:space="preserve"> a number of alternative diagnostic methods are available in Australia (e.g. MRE or magnetic resonance spectroscopy, biomarkers, and CAP using FibroScan) (GESA, p.13)</w:t>
      </w:r>
      <w:r w:rsidR="007D76F8">
        <w:rPr>
          <w:rFonts w:ascii="Franklin Gothic Book" w:hAnsi="Franklin Gothic Book"/>
          <w:sz w:val="22"/>
          <w:szCs w:val="22"/>
        </w:rPr>
        <w:t xml:space="preserve"> and as such, ultrasound </w:t>
      </w:r>
      <w:r w:rsidR="00604984">
        <w:rPr>
          <w:rFonts w:ascii="Franklin Gothic Book" w:hAnsi="Franklin Gothic Book"/>
          <w:sz w:val="22"/>
          <w:szCs w:val="22"/>
        </w:rPr>
        <w:t xml:space="preserve">may </w:t>
      </w:r>
      <w:r w:rsidR="007D76F8">
        <w:rPr>
          <w:rFonts w:ascii="Franklin Gothic Book" w:hAnsi="Franklin Gothic Book"/>
          <w:sz w:val="22"/>
          <w:szCs w:val="22"/>
        </w:rPr>
        <w:t>not capture all diagnostic methods for MAFLD</w:t>
      </w:r>
      <w:r w:rsidR="00D44640">
        <w:rPr>
          <w:rFonts w:ascii="Franklin Gothic Book" w:hAnsi="Franklin Gothic Book"/>
          <w:sz w:val="22"/>
          <w:szCs w:val="22"/>
        </w:rPr>
        <w:t>.</w:t>
      </w:r>
    </w:p>
    <w:p w14:paraId="5CFE3763" w14:textId="45EAAC4E" w:rsidR="007E0D44" w:rsidRDefault="007E0D44" w:rsidP="005E01EA">
      <w:pPr>
        <w:pStyle w:val="BodyText"/>
        <w:keepLines w:val="0"/>
        <w:numPr>
          <w:ilvl w:val="0"/>
          <w:numId w:val="18"/>
        </w:numPr>
        <w:rPr>
          <w:rFonts w:ascii="Franklin Gothic Book" w:hAnsi="Franklin Gothic Book"/>
          <w:sz w:val="22"/>
          <w:szCs w:val="22"/>
        </w:rPr>
      </w:pPr>
      <w:r w:rsidRPr="008967D8">
        <w:rPr>
          <w:rFonts w:ascii="Franklin Gothic Book" w:hAnsi="Franklin Gothic Book"/>
          <w:sz w:val="22"/>
          <w:szCs w:val="22"/>
        </w:rPr>
        <w:t xml:space="preserve">Ultrasound is a non-specific investigation used for diverse abdominal conditions which include but are not limited to the MAFLD population. </w:t>
      </w:r>
      <w:r w:rsidR="007D76F8">
        <w:rPr>
          <w:rFonts w:ascii="Franklin Gothic Book" w:hAnsi="Franklin Gothic Book"/>
          <w:sz w:val="22"/>
          <w:szCs w:val="22"/>
        </w:rPr>
        <w:t>Moreover</w:t>
      </w:r>
      <w:r w:rsidRPr="008967D8">
        <w:rPr>
          <w:rFonts w:ascii="Franklin Gothic Book" w:hAnsi="Franklin Gothic Book"/>
          <w:sz w:val="22"/>
          <w:szCs w:val="22"/>
        </w:rPr>
        <w:t>, the implicit assumption that all ultrasounds produce a positive outcome for hepatic steatosis is in direct contradiction with the assumed 65% specificity of ultrasound (rather than 100%) in the ADAR economic model.</w:t>
      </w:r>
      <w:r w:rsidR="007D76F8">
        <w:rPr>
          <w:rFonts w:ascii="Franklin Gothic Book" w:hAnsi="Franklin Gothic Book"/>
          <w:sz w:val="22"/>
          <w:szCs w:val="22"/>
        </w:rPr>
        <w:t xml:space="preserve"> </w:t>
      </w:r>
      <w:r w:rsidR="00287F4B">
        <w:rPr>
          <w:rFonts w:ascii="Franklin Gothic Book" w:hAnsi="Franklin Gothic Book"/>
          <w:sz w:val="22"/>
          <w:szCs w:val="22"/>
        </w:rPr>
        <w:t xml:space="preserve">Moreover, some patients may claim more than one MBS item 55036 per year. </w:t>
      </w:r>
      <w:r w:rsidR="007D76F8">
        <w:rPr>
          <w:rFonts w:ascii="Franklin Gothic Book" w:hAnsi="Franklin Gothic Book"/>
          <w:sz w:val="22"/>
          <w:szCs w:val="22"/>
        </w:rPr>
        <w:t xml:space="preserve">Using </w:t>
      </w:r>
      <w:r w:rsidR="00295C1C">
        <w:rPr>
          <w:rFonts w:ascii="Franklin Gothic Book" w:hAnsi="Franklin Gothic Book"/>
          <w:sz w:val="22"/>
          <w:szCs w:val="22"/>
        </w:rPr>
        <w:t>the</w:t>
      </w:r>
      <w:r w:rsidR="007D76F8">
        <w:rPr>
          <w:rFonts w:ascii="Franklin Gothic Book" w:hAnsi="Franklin Gothic Book"/>
          <w:sz w:val="22"/>
          <w:szCs w:val="22"/>
        </w:rPr>
        <w:t xml:space="preserve"> </w:t>
      </w:r>
      <w:r w:rsidR="00287F4B">
        <w:rPr>
          <w:rFonts w:ascii="Franklin Gothic Book" w:hAnsi="Franklin Gothic Book"/>
          <w:sz w:val="22"/>
          <w:szCs w:val="22"/>
        </w:rPr>
        <w:t>number of MBS item 55036</w:t>
      </w:r>
      <w:r w:rsidR="007D76F8">
        <w:rPr>
          <w:rFonts w:ascii="Franklin Gothic Book" w:hAnsi="Franklin Gothic Book"/>
          <w:sz w:val="22"/>
          <w:szCs w:val="22"/>
        </w:rPr>
        <w:t xml:space="preserve"> </w:t>
      </w:r>
      <w:r w:rsidR="00287F4B">
        <w:rPr>
          <w:rFonts w:ascii="Franklin Gothic Book" w:hAnsi="Franklin Gothic Book"/>
          <w:sz w:val="22"/>
          <w:szCs w:val="22"/>
        </w:rPr>
        <w:t xml:space="preserve">as the proxy for </w:t>
      </w:r>
      <w:r w:rsidR="007602CB">
        <w:rPr>
          <w:rFonts w:ascii="Franklin Gothic Book" w:hAnsi="Franklin Gothic Book"/>
          <w:sz w:val="22"/>
          <w:szCs w:val="22"/>
        </w:rPr>
        <w:t xml:space="preserve">the </w:t>
      </w:r>
      <w:r w:rsidR="00287F4B">
        <w:rPr>
          <w:rFonts w:ascii="Franklin Gothic Book" w:hAnsi="Franklin Gothic Book"/>
          <w:sz w:val="22"/>
          <w:szCs w:val="22"/>
        </w:rPr>
        <w:t xml:space="preserve">number of </w:t>
      </w:r>
      <w:r w:rsidR="00287F4B">
        <w:rPr>
          <w:rFonts w:ascii="Franklin Gothic Book" w:hAnsi="Franklin Gothic Book"/>
          <w:sz w:val="22"/>
          <w:szCs w:val="22"/>
        </w:rPr>
        <w:lastRenderedPageBreak/>
        <w:t>patients with positive MAFLD diagnosis likely significantly overestimate</w:t>
      </w:r>
      <w:r w:rsidR="007602CB">
        <w:rPr>
          <w:rFonts w:ascii="Franklin Gothic Book" w:hAnsi="Franklin Gothic Book"/>
          <w:sz w:val="22"/>
          <w:szCs w:val="22"/>
        </w:rPr>
        <w:t>s</w:t>
      </w:r>
      <w:r w:rsidR="00287F4B">
        <w:rPr>
          <w:rFonts w:ascii="Franklin Gothic Book" w:hAnsi="Franklin Gothic Book"/>
          <w:sz w:val="22"/>
          <w:szCs w:val="22"/>
        </w:rPr>
        <w:t xml:space="preserve"> the number of MAFLD patients. </w:t>
      </w:r>
    </w:p>
    <w:p w14:paraId="4DE3B5ED" w14:textId="379FC6ED" w:rsidR="007E0D44" w:rsidRPr="008967D8" w:rsidRDefault="007602CB" w:rsidP="005E01EA">
      <w:pPr>
        <w:pStyle w:val="BodyText"/>
        <w:keepLines w:val="0"/>
        <w:numPr>
          <w:ilvl w:val="0"/>
          <w:numId w:val="18"/>
        </w:numPr>
        <w:rPr>
          <w:rFonts w:ascii="Franklin Gothic Book" w:hAnsi="Franklin Gothic Book"/>
          <w:sz w:val="22"/>
          <w:szCs w:val="22"/>
        </w:rPr>
      </w:pPr>
      <w:r>
        <w:rPr>
          <w:rFonts w:ascii="Franklin Gothic Book" w:hAnsi="Franklin Gothic Book"/>
          <w:sz w:val="22"/>
          <w:szCs w:val="22"/>
        </w:rPr>
        <w:t>The l</w:t>
      </w:r>
      <w:r w:rsidR="007E0D44" w:rsidRPr="008967D8">
        <w:rPr>
          <w:rFonts w:ascii="Franklin Gothic Book" w:hAnsi="Franklin Gothic Book"/>
          <w:sz w:val="22"/>
          <w:szCs w:val="22"/>
        </w:rPr>
        <w:t xml:space="preserve">inear extrapolation of the observed ultrasound services was not </w:t>
      </w:r>
      <w:r w:rsidR="003E5C32">
        <w:rPr>
          <w:rFonts w:ascii="Franklin Gothic Book" w:hAnsi="Franklin Gothic Book"/>
          <w:sz w:val="22"/>
          <w:szCs w:val="22"/>
        </w:rPr>
        <w:t>performed</w:t>
      </w:r>
      <w:r w:rsidR="003E5C32" w:rsidRPr="008967D8">
        <w:rPr>
          <w:rFonts w:ascii="Franklin Gothic Book" w:hAnsi="Franklin Gothic Book"/>
          <w:sz w:val="22"/>
          <w:szCs w:val="22"/>
        </w:rPr>
        <w:t xml:space="preserve"> </w:t>
      </w:r>
      <w:r w:rsidR="007E0D44" w:rsidRPr="008967D8">
        <w:rPr>
          <w:rFonts w:ascii="Franklin Gothic Book" w:hAnsi="Franklin Gothic Book"/>
          <w:sz w:val="22"/>
          <w:szCs w:val="22"/>
        </w:rPr>
        <w:t xml:space="preserve">correctly, as it first calculated the rates of change in the services from each given year to the next and </w:t>
      </w:r>
      <w:r w:rsidR="003E5C32">
        <w:rPr>
          <w:rFonts w:ascii="Franklin Gothic Book" w:hAnsi="Franklin Gothic Book"/>
          <w:sz w:val="22"/>
          <w:szCs w:val="22"/>
        </w:rPr>
        <w:t xml:space="preserve">then </w:t>
      </w:r>
      <w:r w:rsidR="007E0D44" w:rsidRPr="008967D8">
        <w:rPr>
          <w:rFonts w:ascii="Franklin Gothic Book" w:hAnsi="Franklin Gothic Book"/>
          <w:sz w:val="22"/>
          <w:szCs w:val="22"/>
        </w:rPr>
        <w:t xml:space="preserve">simply averaged the rates across </w:t>
      </w:r>
      <w:r w:rsidR="003E5C32">
        <w:rPr>
          <w:rFonts w:ascii="Franklin Gothic Book" w:hAnsi="Franklin Gothic Book"/>
          <w:sz w:val="22"/>
          <w:szCs w:val="22"/>
        </w:rPr>
        <w:t xml:space="preserve">the </w:t>
      </w:r>
      <w:r w:rsidR="007E0D44" w:rsidRPr="008967D8">
        <w:rPr>
          <w:rFonts w:ascii="Franklin Gothic Book" w:hAnsi="Franklin Gothic Book"/>
          <w:sz w:val="22"/>
          <w:szCs w:val="22"/>
        </w:rPr>
        <w:t xml:space="preserve">2018-2024 years for which the data were available. This </w:t>
      </w:r>
      <w:r w:rsidR="00265D52">
        <w:rPr>
          <w:rFonts w:ascii="Franklin Gothic Book" w:hAnsi="Franklin Gothic Book"/>
          <w:sz w:val="22"/>
          <w:szCs w:val="22"/>
        </w:rPr>
        <w:t xml:space="preserve">resulted </w:t>
      </w:r>
      <w:r w:rsidR="00006010">
        <w:rPr>
          <w:rFonts w:ascii="Franklin Gothic Book" w:hAnsi="Franklin Gothic Book"/>
          <w:sz w:val="22"/>
          <w:szCs w:val="22"/>
        </w:rPr>
        <w:t>in an</w:t>
      </w:r>
      <w:r w:rsidR="007E0D44" w:rsidRPr="008967D8">
        <w:rPr>
          <w:rFonts w:ascii="Franklin Gothic Book" w:hAnsi="Franklin Gothic Book"/>
          <w:sz w:val="22"/>
          <w:szCs w:val="22"/>
        </w:rPr>
        <w:t xml:space="preserve"> average </w:t>
      </w:r>
      <w:r w:rsidR="00507206">
        <w:rPr>
          <w:rFonts w:ascii="Franklin Gothic Book" w:hAnsi="Franklin Gothic Book"/>
          <w:sz w:val="22"/>
          <w:szCs w:val="22"/>
        </w:rPr>
        <w:t xml:space="preserve">annual </w:t>
      </w:r>
      <w:r w:rsidR="002F6AD6">
        <w:rPr>
          <w:rFonts w:ascii="Franklin Gothic Book" w:hAnsi="Franklin Gothic Book"/>
          <w:sz w:val="22"/>
          <w:szCs w:val="22"/>
        </w:rPr>
        <w:t xml:space="preserve">growth </w:t>
      </w:r>
      <w:r w:rsidR="007E0D44" w:rsidRPr="008967D8">
        <w:rPr>
          <w:rFonts w:ascii="Franklin Gothic Book" w:hAnsi="Franklin Gothic Book"/>
          <w:sz w:val="22"/>
          <w:szCs w:val="22"/>
        </w:rPr>
        <w:t xml:space="preserve">rate of 3.15%. This rate was then applied to calculate the future services beginning </w:t>
      </w:r>
      <w:r w:rsidR="003E0477">
        <w:rPr>
          <w:rFonts w:ascii="Franklin Gothic Book" w:hAnsi="Franklin Gothic Book"/>
          <w:sz w:val="22"/>
          <w:szCs w:val="22"/>
        </w:rPr>
        <w:t>in</w:t>
      </w:r>
      <w:r w:rsidR="007E0D44" w:rsidRPr="008967D8">
        <w:rPr>
          <w:rFonts w:ascii="Franklin Gothic Book" w:hAnsi="Franklin Gothic Book"/>
          <w:sz w:val="22"/>
          <w:szCs w:val="22"/>
        </w:rPr>
        <w:t xml:space="preserve"> 2025.  It can be </w:t>
      </w:r>
      <w:r w:rsidR="003E0477">
        <w:rPr>
          <w:rFonts w:ascii="Franklin Gothic Book" w:hAnsi="Franklin Gothic Book"/>
          <w:sz w:val="22"/>
          <w:szCs w:val="22"/>
        </w:rPr>
        <w:t>observed</w:t>
      </w:r>
      <w:r w:rsidR="007E0D44" w:rsidRPr="008967D8">
        <w:rPr>
          <w:rFonts w:ascii="Franklin Gothic Book" w:hAnsi="Franklin Gothic Book"/>
          <w:sz w:val="22"/>
          <w:szCs w:val="22"/>
        </w:rPr>
        <w:t xml:space="preserve"> that the number of ultrasound services fluctuated over the period from 2018 to 2024</w:t>
      </w:r>
      <w:r w:rsidR="005A21C1">
        <w:rPr>
          <w:rFonts w:ascii="Franklin Gothic Book" w:hAnsi="Franklin Gothic Book"/>
          <w:sz w:val="22"/>
          <w:szCs w:val="22"/>
        </w:rPr>
        <w:t>,</w:t>
      </w:r>
      <w:r w:rsidR="007E0D44" w:rsidRPr="008967D8">
        <w:rPr>
          <w:rFonts w:ascii="Franklin Gothic Book" w:hAnsi="Franklin Gothic Book"/>
          <w:sz w:val="22"/>
          <w:szCs w:val="22"/>
        </w:rPr>
        <w:t xml:space="preserve"> </w:t>
      </w:r>
      <w:r w:rsidR="005A21C1">
        <w:rPr>
          <w:rFonts w:ascii="Franklin Gothic Book" w:hAnsi="Franklin Gothic Book"/>
          <w:sz w:val="22"/>
          <w:szCs w:val="22"/>
        </w:rPr>
        <w:t>increasing</w:t>
      </w:r>
      <w:r w:rsidR="005A21C1" w:rsidRPr="008967D8">
        <w:rPr>
          <w:rFonts w:ascii="Franklin Gothic Book" w:hAnsi="Franklin Gothic Book"/>
          <w:sz w:val="22"/>
          <w:szCs w:val="22"/>
        </w:rPr>
        <w:t xml:space="preserve"> </w:t>
      </w:r>
      <w:r w:rsidR="007E0D44" w:rsidRPr="008967D8">
        <w:rPr>
          <w:rFonts w:ascii="Franklin Gothic Book" w:hAnsi="Franklin Gothic Book"/>
          <w:sz w:val="22"/>
          <w:szCs w:val="22"/>
        </w:rPr>
        <w:t xml:space="preserve">in some years and </w:t>
      </w:r>
      <w:r w:rsidR="005A21C1">
        <w:rPr>
          <w:rFonts w:ascii="Franklin Gothic Book" w:hAnsi="Franklin Gothic Book"/>
          <w:sz w:val="22"/>
          <w:szCs w:val="22"/>
        </w:rPr>
        <w:t>decreasing</w:t>
      </w:r>
      <w:r w:rsidR="005A21C1" w:rsidRPr="008967D8">
        <w:rPr>
          <w:rFonts w:ascii="Franklin Gothic Book" w:hAnsi="Franklin Gothic Book"/>
          <w:sz w:val="22"/>
          <w:szCs w:val="22"/>
        </w:rPr>
        <w:t xml:space="preserve"> </w:t>
      </w:r>
      <w:r w:rsidR="007E0D44" w:rsidRPr="008967D8">
        <w:rPr>
          <w:rFonts w:ascii="Franklin Gothic Book" w:hAnsi="Franklin Gothic Book"/>
          <w:sz w:val="22"/>
          <w:szCs w:val="22"/>
        </w:rPr>
        <w:t xml:space="preserve">in the others. The trend does not appear linear; the extrapolation has likely produced a biased estimate of the diagnosed MAFLD population. Notwithstanding other deficiencies in estimating </w:t>
      </w:r>
      <w:r w:rsidR="000151DA">
        <w:rPr>
          <w:rFonts w:ascii="Franklin Gothic Book" w:hAnsi="Franklin Gothic Book"/>
          <w:sz w:val="22"/>
          <w:szCs w:val="22"/>
        </w:rPr>
        <w:t xml:space="preserve">the </w:t>
      </w:r>
      <w:r w:rsidR="007E0D44" w:rsidRPr="008967D8">
        <w:rPr>
          <w:rFonts w:ascii="Franklin Gothic Book" w:hAnsi="Franklin Gothic Book"/>
          <w:sz w:val="22"/>
          <w:szCs w:val="22"/>
        </w:rPr>
        <w:t>eligible population, a method of moving averages would be more appropriate. The direction of the bias and the size of</w:t>
      </w:r>
      <w:r w:rsidR="00155CC4">
        <w:rPr>
          <w:rFonts w:ascii="Franklin Gothic Book" w:hAnsi="Franklin Gothic Book"/>
          <w:sz w:val="22"/>
          <w:szCs w:val="22"/>
        </w:rPr>
        <w:t xml:space="preserve"> the</w:t>
      </w:r>
      <w:r w:rsidR="007E0D44" w:rsidRPr="008967D8">
        <w:rPr>
          <w:rFonts w:ascii="Franklin Gothic Book" w:hAnsi="Franklin Gothic Book"/>
          <w:sz w:val="22"/>
          <w:szCs w:val="22"/>
        </w:rPr>
        <w:t xml:space="preserve"> under- or overestimate </w:t>
      </w:r>
      <w:r w:rsidR="00155CC4">
        <w:rPr>
          <w:rFonts w:ascii="Franklin Gothic Book" w:hAnsi="Franklin Gothic Book"/>
          <w:sz w:val="22"/>
          <w:szCs w:val="22"/>
        </w:rPr>
        <w:t>are</w:t>
      </w:r>
      <w:r w:rsidR="00155CC4" w:rsidRPr="008967D8">
        <w:rPr>
          <w:rFonts w:ascii="Franklin Gothic Book" w:hAnsi="Franklin Gothic Book"/>
          <w:sz w:val="22"/>
          <w:szCs w:val="22"/>
        </w:rPr>
        <w:t xml:space="preserve"> </w:t>
      </w:r>
      <w:r w:rsidR="007E0D44" w:rsidRPr="008967D8">
        <w:rPr>
          <w:rFonts w:ascii="Franklin Gothic Book" w:hAnsi="Franklin Gothic Book"/>
          <w:sz w:val="22"/>
          <w:szCs w:val="22"/>
        </w:rPr>
        <w:t>difficult to determine since the service is not specific to</w:t>
      </w:r>
      <w:r w:rsidR="00155CC4">
        <w:rPr>
          <w:rFonts w:ascii="Franklin Gothic Book" w:hAnsi="Franklin Gothic Book"/>
          <w:sz w:val="22"/>
          <w:szCs w:val="22"/>
        </w:rPr>
        <w:t xml:space="preserve"> the</w:t>
      </w:r>
      <w:r w:rsidR="007E0D44" w:rsidRPr="008967D8">
        <w:rPr>
          <w:rFonts w:ascii="Franklin Gothic Book" w:hAnsi="Franklin Gothic Book"/>
          <w:sz w:val="22"/>
          <w:szCs w:val="22"/>
        </w:rPr>
        <w:t xml:space="preserve"> MAFLD condition</w:t>
      </w:r>
      <w:r w:rsidR="00287F4B">
        <w:rPr>
          <w:rFonts w:ascii="Franklin Gothic Book" w:hAnsi="Franklin Gothic Book"/>
          <w:sz w:val="22"/>
          <w:szCs w:val="22"/>
        </w:rPr>
        <w:t>.</w:t>
      </w:r>
    </w:p>
    <w:p w14:paraId="33C72874" w14:textId="01EECC01" w:rsidR="007E0D44" w:rsidRPr="00287F4B" w:rsidRDefault="007E0D44" w:rsidP="005E01EA">
      <w:pPr>
        <w:pStyle w:val="BodyText"/>
        <w:keepLines w:val="0"/>
        <w:numPr>
          <w:ilvl w:val="0"/>
          <w:numId w:val="18"/>
        </w:numPr>
        <w:rPr>
          <w:rFonts w:ascii="Franklin Gothic Book" w:hAnsi="Franklin Gothic Book"/>
          <w:sz w:val="22"/>
          <w:szCs w:val="22"/>
        </w:rPr>
      </w:pPr>
      <w:r w:rsidRPr="00287F4B">
        <w:rPr>
          <w:rStyle w:val="IntenseEmphasis"/>
          <w:rFonts w:ascii="Franklin Gothic Book" w:hAnsi="Franklin Gothic Book"/>
          <w:color w:val="auto"/>
          <w:sz w:val="22"/>
          <w:szCs w:val="22"/>
        </w:rPr>
        <w:t xml:space="preserve">The large population-based UK study (Anstee 2024) was conducted in the population with type 2 diabetes and/or obesity. Although patients with NAFLD were not excluded, this population is not the same as defined in the ratified PICO. </w:t>
      </w:r>
      <w:r w:rsidR="00155CC4">
        <w:rPr>
          <w:rStyle w:val="IntenseEmphasis"/>
          <w:rFonts w:ascii="Franklin Gothic Book" w:hAnsi="Franklin Gothic Book"/>
          <w:color w:val="auto"/>
          <w:sz w:val="22"/>
          <w:szCs w:val="22"/>
        </w:rPr>
        <w:t>The a</w:t>
      </w:r>
      <w:r w:rsidRPr="00287F4B">
        <w:rPr>
          <w:rStyle w:val="IntenseEmphasis"/>
          <w:rFonts w:ascii="Franklin Gothic Book" w:hAnsi="Franklin Gothic Book"/>
          <w:color w:val="auto"/>
          <w:sz w:val="22"/>
          <w:szCs w:val="22"/>
        </w:rPr>
        <w:t xml:space="preserve">pplication of the FIB-4 score distribution from Anstee 2024 as a risk stratification input may introduce a systematic bias in financial calculations, unless it can be demonstrated that the distribution is relatively stable across subgroups with metabolic dysfunction-associated steatotic liver disease and type 2 diabetes. </w:t>
      </w:r>
      <w:r w:rsidRPr="00287F4B">
        <w:rPr>
          <w:rFonts w:ascii="Franklin Gothic Book" w:hAnsi="Franklin Gothic Book"/>
          <w:sz w:val="22"/>
          <w:szCs w:val="22"/>
        </w:rPr>
        <w:t xml:space="preserve">Anstee 2024 estimated 66% of the population with T2D and obesity in the low (FIB-4 &lt;1.30), 29.65% in the </w:t>
      </w:r>
      <w:r w:rsidR="009A0D9D" w:rsidRPr="00287F4B">
        <w:rPr>
          <w:rFonts w:ascii="Franklin Gothic Book" w:hAnsi="Franklin Gothic Book"/>
          <w:sz w:val="22"/>
          <w:szCs w:val="22"/>
        </w:rPr>
        <w:t>indeterminate</w:t>
      </w:r>
      <w:r w:rsidRPr="00287F4B">
        <w:rPr>
          <w:rFonts w:ascii="Franklin Gothic Book" w:hAnsi="Franklin Gothic Book"/>
          <w:sz w:val="22"/>
          <w:szCs w:val="22"/>
        </w:rPr>
        <w:t xml:space="preserve"> (FIB-4 1.30–2.67) and 4.35% in the high FIB-4 (&gt;2.67) risk categories.</w:t>
      </w:r>
      <w:r w:rsidR="00287F4B">
        <w:rPr>
          <w:rFonts w:ascii="Franklin Gothic Book" w:hAnsi="Franklin Gothic Book"/>
          <w:sz w:val="22"/>
          <w:szCs w:val="22"/>
        </w:rPr>
        <w:t xml:space="preserve"> The commentary noted that these proportion</w:t>
      </w:r>
      <w:r w:rsidR="002E6E33">
        <w:rPr>
          <w:rFonts w:ascii="Franklin Gothic Book" w:hAnsi="Franklin Gothic Book"/>
          <w:sz w:val="22"/>
          <w:szCs w:val="22"/>
        </w:rPr>
        <w:t>s</w:t>
      </w:r>
      <w:r w:rsidR="00287F4B">
        <w:rPr>
          <w:rFonts w:ascii="Franklin Gothic Book" w:hAnsi="Franklin Gothic Book"/>
          <w:sz w:val="22"/>
          <w:szCs w:val="22"/>
        </w:rPr>
        <w:t xml:space="preserve"> were used in the ADAR’s economic evaluation.</w:t>
      </w:r>
      <w:r w:rsidRPr="00287F4B">
        <w:rPr>
          <w:rFonts w:ascii="Franklin Gothic Book" w:hAnsi="Franklin Gothic Book"/>
          <w:sz w:val="22"/>
          <w:szCs w:val="22"/>
        </w:rPr>
        <w:t xml:space="preserve"> </w:t>
      </w:r>
      <w:r w:rsidRPr="00287F4B">
        <w:rPr>
          <w:rStyle w:val="IntenseEmphasis"/>
          <w:rFonts w:ascii="Franklin Gothic Book" w:hAnsi="Franklin Gothic Book"/>
          <w:color w:val="auto"/>
          <w:sz w:val="22"/>
          <w:szCs w:val="22"/>
        </w:rPr>
        <w:t xml:space="preserve">The </w:t>
      </w:r>
      <w:r w:rsidR="00A04E97">
        <w:rPr>
          <w:rStyle w:val="IntenseEmphasis"/>
          <w:rFonts w:ascii="Franklin Gothic Book" w:hAnsi="Franklin Gothic Book"/>
          <w:color w:val="auto"/>
          <w:sz w:val="22"/>
          <w:szCs w:val="22"/>
        </w:rPr>
        <w:t xml:space="preserve">financial </w:t>
      </w:r>
      <w:r w:rsidRPr="00287F4B">
        <w:rPr>
          <w:rStyle w:val="IntenseEmphasis"/>
          <w:rFonts w:ascii="Franklin Gothic Book" w:hAnsi="Franklin Gothic Book"/>
          <w:color w:val="auto"/>
          <w:sz w:val="22"/>
          <w:szCs w:val="22"/>
        </w:rPr>
        <w:t xml:space="preserve">estimates </w:t>
      </w:r>
      <w:r w:rsidR="00A04E97">
        <w:rPr>
          <w:rStyle w:val="IntenseEmphasis"/>
          <w:rFonts w:ascii="Franklin Gothic Book" w:hAnsi="Franklin Gothic Book"/>
          <w:color w:val="auto"/>
          <w:sz w:val="22"/>
          <w:szCs w:val="22"/>
        </w:rPr>
        <w:t>we</w:t>
      </w:r>
      <w:r w:rsidRPr="00287F4B">
        <w:rPr>
          <w:rStyle w:val="IntenseEmphasis"/>
          <w:rFonts w:ascii="Franklin Gothic Book" w:hAnsi="Franklin Gothic Book"/>
          <w:color w:val="auto"/>
          <w:sz w:val="22"/>
          <w:szCs w:val="22"/>
        </w:rPr>
        <w:t>re sensitive to the selected values of a dual cutoff and to the underlying prevalence of advanced fibrosis. But even for the same upper and lower cutoffs</w:t>
      </w:r>
      <w:r w:rsidR="0046479C">
        <w:rPr>
          <w:rStyle w:val="IntenseEmphasis"/>
          <w:rFonts w:ascii="Franklin Gothic Book" w:hAnsi="Franklin Gothic Book"/>
          <w:color w:val="auto"/>
          <w:sz w:val="22"/>
          <w:szCs w:val="22"/>
        </w:rPr>
        <w:t>,</w:t>
      </w:r>
      <w:r w:rsidRPr="00287F4B">
        <w:rPr>
          <w:rStyle w:val="IntenseEmphasis"/>
          <w:rFonts w:ascii="Franklin Gothic Book" w:hAnsi="Franklin Gothic Book"/>
          <w:color w:val="auto"/>
          <w:sz w:val="22"/>
          <w:szCs w:val="22"/>
        </w:rPr>
        <w:t xml:space="preserve"> there is variation in the published estimates of </w:t>
      </w:r>
      <w:r w:rsidR="0046479C">
        <w:rPr>
          <w:rStyle w:val="IntenseEmphasis"/>
          <w:rFonts w:ascii="Franklin Gothic Book" w:hAnsi="Franklin Gothic Book"/>
          <w:color w:val="auto"/>
          <w:sz w:val="22"/>
          <w:szCs w:val="22"/>
        </w:rPr>
        <w:t xml:space="preserve">the </w:t>
      </w:r>
      <w:r w:rsidRPr="00287F4B">
        <w:rPr>
          <w:rStyle w:val="IntenseEmphasis"/>
          <w:rFonts w:ascii="Franklin Gothic Book" w:hAnsi="Franklin Gothic Book"/>
          <w:color w:val="auto"/>
          <w:sz w:val="22"/>
          <w:szCs w:val="22"/>
        </w:rPr>
        <w:t xml:space="preserve">proportions of patients in the risk-stratified subgroups. For </w:t>
      </w:r>
      <w:r w:rsidR="008005F7">
        <w:rPr>
          <w:rStyle w:val="IntenseEmphasis"/>
          <w:rFonts w:ascii="Franklin Gothic Book" w:hAnsi="Franklin Gothic Book"/>
          <w:color w:val="auto"/>
          <w:sz w:val="22"/>
          <w:szCs w:val="22"/>
        </w:rPr>
        <w:t xml:space="preserve">example, </w:t>
      </w:r>
      <w:r w:rsidRPr="00287F4B">
        <w:rPr>
          <w:rStyle w:val="IntenseEmphasis"/>
          <w:rFonts w:ascii="Franklin Gothic Book" w:hAnsi="Franklin Gothic Book"/>
          <w:color w:val="auto"/>
          <w:sz w:val="22"/>
          <w:szCs w:val="22"/>
        </w:rPr>
        <w:t>Mozes 2022 estimated 34% of patients with indetermin</w:t>
      </w:r>
      <w:r w:rsidR="002E6E33">
        <w:rPr>
          <w:rStyle w:val="IntenseEmphasis"/>
          <w:rFonts w:ascii="Franklin Gothic Book" w:hAnsi="Franklin Gothic Book"/>
          <w:color w:val="auto"/>
          <w:sz w:val="22"/>
          <w:szCs w:val="22"/>
        </w:rPr>
        <w:t>ate</w:t>
      </w:r>
      <w:r w:rsidRPr="00287F4B">
        <w:rPr>
          <w:rStyle w:val="IntenseEmphasis"/>
          <w:rFonts w:ascii="Franklin Gothic Book" w:hAnsi="Franklin Gothic Book"/>
          <w:color w:val="auto"/>
          <w:sz w:val="22"/>
          <w:szCs w:val="22"/>
        </w:rPr>
        <w:t xml:space="preserve"> risk and 13% in the high risk category, with the latter more than twice the size of the high risk subgroup in the </w:t>
      </w:r>
      <w:r w:rsidRPr="00287F4B">
        <w:rPr>
          <w:rFonts w:ascii="Franklin Gothic Book" w:hAnsi="Franklin Gothic Book"/>
          <w:sz w:val="22"/>
          <w:szCs w:val="22"/>
        </w:rPr>
        <w:t>Anstee 2024 cohort.</w:t>
      </w:r>
    </w:p>
    <w:p w14:paraId="68A11B6F" w14:textId="189A9C83" w:rsidR="00590DFC" w:rsidRDefault="008005F7" w:rsidP="00590DFC">
      <w:pPr>
        <w:pStyle w:val="BodyText"/>
        <w:keepLines w:val="0"/>
        <w:rPr>
          <w:rFonts w:ascii="Franklin Gothic Book" w:hAnsi="Franklin Gothic Book"/>
          <w:sz w:val="22"/>
          <w:szCs w:val="22"/>
        </w:rPr>
      </w:pPr>
      <w:r>
        <w:rPr>
          <w:rFonts w:ascii="Franklin Gothic Book" w:hAnsi="Franklin Gothic Book"/>
          <w:sz w:val="22"/>
          <w:szCs w:val="22"/>
        </w:rPr>
        <w:t>In both the</w:t>
      </w:r>
      <w:r w:rsidR="007E0D44">
        <w:rPr>
          <w:rFonts w:ascii="Franklin Gothic Book" w:hAnsi="Franklin Gothic Book"/>
          <w:sz w:val="22"/>
          <w:szCs w:val="22"/>
        </w:rPr>
        <w:t xml:space="preserve"> primary care (FIB-4 indeterminate) and specialist care (FIB-4 high risk) subgroups</w:t>
      </w:r>
      <w:r>
        <w:rPr>
          <w:rFonts w:ascii="Franklin Gothic Book" w:hAnsi="Franklin Gothic Book"/>
          <w:sz w:val="22"/>
          <w:szCs w:val="22"/>
        </w:rPr>
        <w:t>,</w:t>
      </w:r>
      <w:r w:rsidR="007E0D44" w:rsidRPr="002B0336">
        <w:rPr>
          <w:rFonts w:ascii="Franklin Gothic Book" w:hAnsi="Franklin Gothic Book"/>
          <w:sz w:val="22"/>
          <w:szCs w:val="22"/>
        </w:rPr>
        <w:t xml:space="preserve"> </w:t>
      </w:r>
      <w:r w:rsidR="007E0D44">
        <w:rPr>
          <w:rFonts w:ascii="Franklin Gothic Book" w:hAnsi="Franklin Gothic Book"/>
          <w:sz w:val="22"/>
          <w:szCs w:val="22"/>
        </w:rPr>
        <w:t xml:space="preserve">the </w:t>
      </w:r>
      <w:r w:rsidR="007E0D44" w:rsidRPr="00176A0F">
        <w:rPr>
          <w:rFonts w:ascii="Franklin Gothic Book" w:hAnsi="Franklin Gothic Book"/>
          <w:sz w:val="22"/>
          <w:szCs w:val="22"/>
        </w:rPr>
        <w:t>annualised testing volume</w:t>
      </w:r>
      <w:r w:rsidR="007E0D44">
        <w:rPr>
          <w:rFonts w:ascii="Franklin Gothic Book" w:hAnsi="Franklin Gothic Book"/>
          <w:sz w:val="22"/>
          <w:szCs w:val="22"/>
        </w:rPr>
        <w:t xml:space="preserve"> was calculated under assumption </w:t>
      </w:r>
      <w:r w:rsidR="00010EF9">
        <w:rPr>
          <w:rFonts w:ascii="Franklin Gothic Book" w:hAnsi="Franklin Gothic Book"/>
          <w:sz w:val="22"/>
          <w:szCs w:val="22"/>
        </w:rPr>
        <w:t xml:space="preserve">and potential overestimation </w:t>
      </w:r>
      <w:r w:rsidR="007E0D44">
        <w:rPr>
          <w:rFonts w:ascii="Franklin Gothic Book" w:hAnsi="Franklin Gothic Book"/>
          <w:sz w:val="22"/>
          <w:szCs w:val="22"/>
        </w:rPr>
        <w:t xml:space="preserve">of MAFLD </w:t>
      </w:r>
      <w:r w:rsidR="007E0D44" w:rsidRPr="00FD538B">
        <w:rPr>
          <w:rFonts w:ascii="Franklin Gothic Book" w:hAnsi="Franklin Gothic Book"/>
          <w:sz w:val="22"/>
          <w:szCs w:val="22"/>
        </w:rPr>
        <w:t>patient</w:t>
      </w:r>
      <w:r w:rsidR="007E0D44">
        <w:rPr>
          <w:rFonts w:ascii="Franklin Gothic Book" w:hAnsi="Franklin Gothic Book"/>
          <w:sz w:val="22"/>
          <w:szCs w:val="22"/>
        </w:rPr>
        <w:t>s</w:t>
      </w:r>
      <w:r w:rsidR="00E2185A">
        <w:rPr>
          <w:rFonts w:ascii="Franklin Gothic Book" w:hAnsi="Franklin Gothic Book"/>
          <w:sz w:val="22"/>
          <w:szCs w:val="22"/>
        </w:rPr>
        <w:t xml:space="preserve"> regardless of setting</w:t>
      </w:r>
      <w:r w:rsidR="007E0D44" w:rsidRPr="00FD538B">
        <w:rPr>
          <w:rFonts w:ascii="Franklin Gothic Book" w:hAnsi="Franklin Gothic Book"/>
          <w:sz w:val="22"/>
          <w:szCs w:val="22"/>
        </w:rPr>
        <w:t xml:space="preserve"> </w:t>
      </w:r>
      <w:r w:rsidR="007E0D44">
        <w:rPr>
          <w:rFonts w:ascii="Franklin Gothic Book" w:hAnsi="Franklin Gothic Book"/>
          <w:sz w:val="22"/>
          <w:szCs w:val="22"/>
        </w:rPr>
        <w:t xml:space="preserve">being regularly </w:t>
      </w:r>
      <w:r w:rsidR="007E0D44" w:rsidRPr="00FD538B">
        <w:rPr>
          <w:rFonts w:ascii="Franklin Gothic Book" w:hAnsi="Franklin Gothic Book"/>
          <w:sz w:val="22"/>
          <w:szCs w:val="22"/>
        </w:rPr>
        <w:t>tested</w:t>
      </w:r>
      <w:r w:rsidR="007E0D44">
        <w:rPr>
          <w:rFonts w:ascii="Franklin Gothic Book" w:hAnsi="Franklin Gothic Book"/>
          <w:sz w:val="22"/>
          <w:szCs w:val="22"/>
        </w:rPr>
        <w:t>, once</w:t>
      </w:r>
      <w:r w:rsidR="007E0D44" w:rsidRPr="00FD538B">
        <w:rPr>
          <w:rFonts w:ascii="Franklin Gothic Book" w:hAnsi="Franklin Gothic Book"/>
          <w:sz w:val="22"/>
          <w:szCs w:val="22"/>
        </w:rPr>
        <w:t xml:space="preserve"> every three years</w:t>
      </w:r>
      <w:r w:rsidR="00590DFC">
        <w:rPr>
          <w:rFonts w:ascii="Franklin Gothic Book" w:hAnsi="Franklin Gothic Book"/>
          <w:sz w:val="22"/>
          <w:szCs w:val="22"/>
        </w:rPr>
        <w:t>, i.e. the number of tests each year equalled the number of MAFLD patients divided by three</w:t>
      </w:r>
      <w:r w:rsidR="007E0D44" w:rsidRPr="00176A0F">
        <w:rPr>
          <w:rFonts w:ascii="Franklin Gothic Book" w:hAnsi="Franklin Gothic Book"/>
          <w:sz w:val="22"/>
          <w:szCs w:val="22"/>
        </w:rPr>
        <w:t>.</w:t>
      </w:r>
      <w:r w:rsidR="007E0D44">
        <w:rPr>
          <w:rFonts w:ascii="Franklin Gothic Book" w:hAnsi="Franklin Gothic Book"/>
          <w:sz w:val="22"/>
          <w:szCs w:val="22"/>
        </w:rPr>
        <w:t xml:space="preserve"> </w:t>
      </w:r>
    </w:p>
    <w:p w14:paraId="7A67BE6F" w14:textId="3B6FE347" w:rsidR="007E0D44" w:rsidRDefault="007E0D44" w:rsidP="00872EFA">
      <w:pPr>
        <w:pStyle w:val="BodyText"/>
        <w:keepLines w:val="0"/>
        <w:spacing w:before="240"/>
        <w:contextualSpacing/>
        <w:rPr>
          <w:rFonts w:ascii="Franklin Gothic Book" w:hAnsi="Franklin Gothic Book"/>
          <w:sz w:val="22"/>
          <w:szCs w:val="22"/>
        </w:rPr>
      </w:pPr>
      <w:r>
        <w:rPr>
          <w:rFonts w:ascii="Franklin Gothic Book" w:hAnsi="Franklin Gothic Book"/>
          <w:sz w:val="22"/>
          <w:szCs w:val="22"/>
        </w:rPr>
        <w:t>The problem with estimating the size of the MAFLD population in general, and the size of the subgroup of patients at risk of AF in particular, is well recognised in the international literature. To reduce uncertainty on the local level, the funding authorities have resorted to feasibility studies</w:t>
      </w:r>
      <w:r w:rsidRPr="00FE51BD">
        <w:rPr>
          <w:rFonts w:ascii="Franklin Gothic Book" w:hAnsi="Franklin Gothic Book"/>
          <w:sz w:val="22"/>
          <w:szCs w:val="22"/>
        </w:rPr>
        <w:t>. One UK study estimated the size of the primary care population that would benefit from VCTE at 9%, the figure included diabetics and patient</w:t>
      </w:r>
      <w:r w:rsidR="00A41B74">
        <w:rPr>
          <w:rFonts w:ascii="Franklin Gothic Book" w:hAnsi="Franklin Gothic Book"/>
          <w:sz w:val="22"/>
          <w:szCs w:val="22"/>
        </w:rPr>
        <w:t>s</w:t>
      </w:r>
      <w:r w:rsidRPr="00FE51BD">
        <w:rPr>
          <w:rFonts w:ascii="Franklin Gothic Book" w:hAnsi="Franklin Gothic Book"/>
          <w:sz w:val="22"/>
          <w:szCs w:val="22"/>
        </w:rPr>
        <w:t xml:space="preserve"> with known hazardous alcohol use (e.g. Harman 2015). The </w:t>
      </w:r>
      <w:r w:rsidR="00ED3BAA">
        <w:rPr>
          <w:rFonts w:ascii="Franklin Gothic Book" w:hAnsi="Franklin Gothic Book"/>
          <w:sz w:val="22"/>
          <w:szCs w:val="22"/>
        </w:rPr>
        <w:t xml:space="preserve">population </w:t>
      </w:r>
      <w:r w:rsidRPr="00FE51BD">
        <w:rPr>
          <w:rFonts w:ascii="Franklin Gothic Book" w:hAnsi="Franklin Gothic Book"/>
          <w:sz w:val="22"/>
          <w:szCs w:val="22"/>
        </w:rPr>
        <w:t xml:space="preserve">size suggested in the ADAR </w:t>
      </w:r>
      <w:r w:rsidR="00ED3BAA">
        <w:rPr>
          <w:rFonts w:ascii="Franklin Gothic Book" w:hAnsi="Franklin Gothic Book"/>
          <w:sz w:val="22"/>
          <w:szCs w:val="22"/>
        </w:rPr>
        <w:t>appears</w:t>
      </w:r>
      <w:r w:rsidR="00ED3BAA" w:rsidRPr="00FE51BD">
        <w:rPr>
          <w:rFonts w:ascii="Franklin Gothic Book" w:hAnsi="Franklin Gothic Book"/>
          <w:sz w:val="22"/>
          <w:szCs w:val="22"/>
        </w:rPr>
        <w:t xml:space="preserve"> </w:t>
      </w:r>
      <w:r w:rsidRPr="00FE51BD">
        <w:rPr>
          <w:rFonts w:ascii="Franklin Gothic Book" w:hAnsi="Franklin Gothic Book"/>
          <w:sz w:val="22"/>
          <w:szCs w:val="22"/>
        </w:rPr>
        <w:t xml:space="preserve">to be overestimated. More relevant is </w:t>
      </w:r>
      <w:r w:rsidR="00660CAE">
        <w:rPr>
          <w:rFonts w:ascii="Franklin Gothic Book" w:hAnsi="Franklin Gothic Book"/>
          <w:sz w:val="22"/>
          <w:szCs w:val="22"/>
        </w:rPr>
        <w:t>the</w:t>
      </w:r>
      <w:r w:rsidR="00660CAE" w:rsidRPr="00FE51BD">
        <w:rPr>
          <w:rFonts w:ascii="Franklin Gothic Book" w:hAnsi="Franklin Gothic Book"/>
          <w:sz w:val="22"/>
          <w:szCs w:val="22"/>
        </w:rPr>
        <w:t xml:space="preserve"> </w:t>
      </w:r>
      <w:r w:rsidRPr="00FE51BD">
        <w:rPr>
          <w:rFonts w:ascii="Franklin Gothic Book" w:hAnsi="Franklin Gothic Book"/>
          <w:sz w:val="22"/>
          <w:szCs w:val="22"/>
        </w:rPr>
        <w:t>actual inclination</w:t>
      </w:r>
      <w:r>
        <w:rPr>
          <w:rFonts w:ascii="Franklin Gothic Book" w:hAnsi="Franklin Gothic Book"/>
          <w:sz w:val="22"/>
          <w:szCs w:val="22"/>
        </w:rPr>
        <w:t xml:space="preserve"> in MAFLD patients to undergo the full diagnostic procedure, given that fibrosis is a slow</w:t>
      </w:r>
      <w:r w:rsidR="00B55F4A">
        <w:rPr>
          <w:rFonts w:ascii="Franklin Gothic Book" w:hAnsi="Franklin Gothic Book"/>
          <w:sz w:val="22"/>
          <w:szCs w:val="22"/>
        </w:rPr>
        <w:t>-</w:t>
      </w:r>
      <w:r>
        <w:rPr>
          <w:rFonts w:ascii="Franklin Gothic Book" w:hAnsi="Franklin Gothic Book"/>
          <w:sz w:val="22"/>
          <w:szCs w:val="22"/>
        </w:rPr>
        <w:t xml:space="preserve">progressing disease. The ADAR recognised this issue by assuming that only 90% of patients with FIB-4 </w:t>
      </w:r>
      <w:r w:rsidR="009505DD">
        <w:rPr>
          <w:rFonts w:ascii="Franklin Gothic Book" w:hAnsi="Franklin Gothic Book"/>
          <w:sz w:val="22"/>
          <w:szCs w:val="22"/>
        </w:rPr>
        <w:t xml:space="preserve">indeterminate </w:t>
      </w:r>
      <w:r>
        <w:rPr>
          <w:rFonts w:ascii="Franklin Gothic Book" w:hAnsi="Franklin Gothic Book"/>
          <w:sz w:val="22"/>
          <w:szCs w:val="22"/>
        </w:rPr>
        <w:t xml:space="preserve">outcome would proceed to VCTE. The </w:t>
      </w:r>
      <w:r w:rsidR="2C776DB7" w:rsidRPr="71A72DE1">
        <w:rPr>
          <w:rFonts w:ascii="Franklin Gothic Book" w:hAnsi="Franklin Gothic Book"/>
          <w:sz w:val="22"/>
          <w:szCs w:val="22"/>
        </w:rPr>
        <w:t>c</w:t>
      </w:r>
      <w:r>
        <w:rPr>
          <w:rFonts w:ascii="Franklin Gothic Book" w:hAnsi="Franklin Gothic Book"/>
          <w:sz w:val="22"/>
          <w:szCs w:val="22"/>
        </w:rPr>
        <w:t xml:space="preserve">ommentary could not independently validate the figure, but it appears to be an overestimate of the actual demand for VCTE tests. </w:t>
      </w:r>
    </w:p>
    <w:p w14:paraId="4BE8200A" w14:textId="462B6AE3" w:rsidR="007E0D44" w:rsidRDefault="007E0D44" w:rsidP="00872EFA">
      <w:pPr>
        <w:pStyle w:val="BodyText"/>
        <w:keepLines w:val="0"/>
        <w:spacing w:before="240"/>
      </w:pPr>
      <w:r w:rsidRPr="00353EDD">
        <w:rPr>
          <w:rFonts w:ascii="Franklin Gothic Book" w:hAnsi="Franklin Gothic Book"/>
          <w:sz w:val="22"/>
          <w:szCs w:val="22"/>
        </w:rPr>
        <w:t xml:space="preserve">The </w:t>
      </w:r>
      <w:r>
        <w:rPr>
          <w:rFonts w:ascii="Franklin Gothic Book" w:hAnsi="Franklin Gothic Book"/>
          <w:sz w:val="22"/>
          <w:szCs w:val="22"/>
        </w:rPr>
        <w:t xml:space="preserve">second part of the financial model </w:t>
      </w:r>
      <w:r w:rsidR="00590DFC">
        <w:rPr>
          <w:rFonts w:ascii="Franklin Gothic Book" w:hAnsi="Franklin Gothic Book"/>
          <w:sz w:val="22"/>
          <w:szCs w:val="22"/>
        </w:rPr>
        <w:t xml:space="preserve">involves estimating the total testing capacity in Australia, and then </w:t>
      </w:r>
      <w:r w:rsidR="009352AD">
        <w:rPr>
          <w:rFonts w:ascii="Franklin Gothic Book" w:hAnsi="Franklin Gothic Book"/>
          <w:sz w:val="22"/>
          <w:szCs w:val="22"/>
        </w:rPr>
        <w:t xml:space="preserve">assigning testing to primary or secondary care based on assumed capacity, with the </w:t>
      </w:r>
      <w:r w:rsidR="009352AD">
        <w:rPr>
          <w:rFonts w:ascii="Franklin Gothic Book" w:hAnsi="Franklin Gothic Book"/>
          <w:sz w:val="22"/>
          <w:szCs w:val="22"/>
        </w:rPr>
        <w:lastRenderedPageBreak/>
        <w:t xml:space="preserve">assumption that capacity in primary care must be exhausted before testing in secondary care was conducted. </w:t>
      </w:r>
      <w:r w:rsidRPr="00353EDD">
        <w:rPr>
          <w:rFonts w:ascii="Franklin Gothic Book" w:hAnsi="Franklin Gothic Book"/>
          <w:sz w:val="22"/>
          <w:szCs w:val="22"/>
        </w:rPr>
        <w:t xml:space="preserve">According to the sponsor, there are currently only </w:t>
      </w:r>
      <w:r w:rsidR="008D2DDA">
        <w:rPr>
          <w:rFonts w:ascii="Franklin Gothic Book" w:hAnsi="Franklin Gothic Book"/>
          <w:b/>
          <w:bCs/>
          <w:sz w:val="22"/>
          <w:szCs w:val="22"/>
        </w:rPr>
        <w:t>redacted</w:t>
      </w:r>
      <w:r w:rsidRPr="00353EDD">
        <w:rPr>
          <w:rFonts w:ascii="Franklin Gothic Book" w:hAnsi="Franklin Gothic Book"/>
          <w:sz w:val="22"/>
          <w:szCs w:val="22"/>
        </w:rPr>
        <w:t xml:space="preserve"> GP-owned FibroScan</w:t>
      </w:r>
      <w:r w:rsidR="000239CB">
        <w:rPr>
          <w:rFonts w:ascii="Franklin Gothic Book" w:hAnsi="Franklin Gothic Book"/>
          <w:sz w:val="22"/>
          <w:szCs w:val="22"/>
        </w:rPr>
        <w:t>®</w:t>
      </w:r>
      <w:r w:rsidRPr="00353EDD">
        <w:rPr>
          <w:rFonts w:ascii="Franklin Gothic Book" w:hAnsi="Franklin Gothic Book"/>
          <w:sz w:val="22"/>
          <w:szCs w:val="22"/>
        </w:rPr>
        <w:t xml:space="preserve"> devices. Together with </w:t>
      </w:r>
      <w:r w:rsidR="008D2DDA">
        <w:rPr>
          <w:rFonts w:ascii="Franklin Gothic Book" w:hAnsi="Franklin Gothic Book"/>
          <w:b/>
          <w:bCs/>
          <w:sz w:val="22"/>
          <w:szCs w:val="22"/>
        </w:rPr>
        <w:t>redact</w:t>
      </w:r>
      <w:r w:rsidR="00253AC3">
        <w:rPr>
          <w:rFonts w:ascii="Franklin Gothic Book" w:hAnsi="Franklin Gothic Book"/>
          <w:b/>
          <w:bCs/>
          <w:sz w:val="22"/>
          <w:szCs w:val="22"/>
        </w:rPr>
        <w:t>ed</w:t>
      </w:r>
      <w:r w:rsidRPr="00353EDD">
        <w:rPr>
          <w:rFonts w:ascii="Franklin Gothic Book" w:hAnsi="Franklin Gothic Book"/>
          <w:sz w:val="22"/>
          <w:szCs w:val="22"/>
        </w:rPr>
        <w:t xml:space="preserve"> other </w:t>
      </w:r>
      <w:r>
        <w:rPr>
          <w:rFonts w:ascii="Franklin Gothic Book" w:hAnsi="Franklin Gothic Book"/>
          <w:sz w:val="22"/>
          <w:szCs w:val="22"/>
        </w:rPr>
        <w:t>machines</w:t>
      </w:r>
      <w:r w:rsidRPr="00353EDD">
        <w:rPr>
          <w:rFonts w:ascii="Franklin Gothic Book" w:hAnsi="Franklin Gothic Book"/>
          <w:sz w:val="22"/>
          <w:szCs w:val="22"/>
        </w:rPr>
        <w:t xml:space="preserve"> in community-based and Aboriginal health centres, FibroScan devices</w:t>
      </w:r>
      <w:r>
        <w:rPr>
          <w:rFonts w:ascii="Franklin Gothic Book" w:hAnsi="Franklin Gothic Book"/>
          <w:sz w:val="22"/>
          <w:szCs w:val="22"/>
        </w:rPr>
        <w:t xml:space="preserve"> </w:t>
      </w:r>
      <w:r w:rsidRPr="00353EDD">
        <w:rPr>
          <w:rFonts w:ascii="Franklin Gothic Book" w:hAnsi="Franklin Gothic Book"/>
          <w:sz w:val="22"/>
          <w:szCs w:val="22"/>
        </w:rPr>
        <w:t xml:space="preserve">in primary care account </w:t>
      </w:r>
      <w:r w:rsidR="00BF52DB">
        <w:rPr>
          <w:rFonts w:ascii="Franklin Gothic Book" w:hAnsi="Franklin Gothic Book"/>
          <w:sz w:val="22"/>
          <w:szCs w:val="22"/>
        </w:rPr>
        <w:t xml:space="preserve">for </w:t>
      </w:r>
      <w:r w:rsidRPr="00353EDD">
        <w:rPr>
          <w:rFonts w:ascii="Franklin Gothic Book" w:hAnsi="Franklin Gothic Book"/>
          <w:sz w:val="22"/>
          <w:szCs w:val="22"/>
        </w:rPr>
        <w:t>only 10% of the total number of FibroScan devices in Australia.</w:t>
      </w:r>
      <w:r>
        <w:rPr>
          <w:rFonts w:ascii="Franklin Gothic Book" w:hAnsi="Franklin Gothic Book"/>
          <w:sz w:val="22"/>
          <w:szCs w:val="22"/>
        </w:rPr>
        <w:t xml:space="preserve"> </w:t>
      </w:r>
      <w:r w:rsidRPr="00353EDD">
        <w:rPr>
          <w:rFonts w:ascii="Franklin Gothic Book" w:hAnsi="Franklin Gothic Book"/>
          <w:sz w:val="22"/>
          <w:szCs w:val="22"/>
        </w:rPr>
        <w:t xml:space="preserve">The annual growth in FibroScan devices is assumed to favour primary care at 20% versus specialist care at 2%, reducing the initial (as of 2026) imbalance of </w:t>
      </w:r>
      <w:r w:rsidR="008D2DDA">
        <w:rPr>
          <w:rFonts w:ascii="Franklin Gothic Book" w:hAnsi="Franklin Gothic Book"/>
          <w:b/>
          <w:bCs/>
          <w:sz w:val="22"/>
          <w:szCs w:val="22"/>
        </w:rPr>
        <w:t>redacted</w:t>
      </w:r>
      <w:r w:rsidRPr="00353EDD">
        <w:rPr>
          <w:rFonts w:ascii="Franklin Gothic Book" w:hAnsi="Franklin Gothic Book"/>
          <w:sz w:val="22"/>
          <w:szCs w:val="22"/>
        </w:rPr>
        <w:t xml:space="preserve"> primary care device to </w:t>
      </w:r>
      <w:r w:rsidR="008D2DDA">
        <w:rPr>
          <w:rFonts w:ascii="Franklin Gothic Book" w:hAnsi="Franklin Gothic Book"/>
          <w:b/>
          <w:bCs/>
          <w:sz w:val="22"/>
          <w:szCs w:val="22"/>
        </w:rPr>
        <w:t>redact</w:t>
      </w:r>
      <w:r w:rsidR="00253AC3">
        <w:rPr>
          <w:rFonts w:ascii="Franklin Gothic Book" w:hAnsi="Franklin Gothic Book"/>
          <w:b/>
          <w:bCs/>
          <w:sz w:val="22"/>
          <w:szCs w:val="22"/>
        </w:rPr>
        <w:t>ed</w:t>
      </w:r>
      <w:r w:rsidRPr="00353EDD">
        <w:rPr>
          <w:rFonts w:ascii="Franklin Gothic Book" w:hAnsi="Franklin Gothic Book"/>
          <w:sz w:val="22"/>
          <w:szCs w:val="22"/>
        </w:rPr>
        <w:t xml:space="preserve"> devices in specialist care to </w:t>
      </w:r>
      <w:r w:rsidR="008D2DDA">
        <w:rPr>
          <w:rFonts w:ascii="Franklin Gothic Book" w:hAnsi="Franklin Gothic Book"/>
          <w:b/>
          <w:bCs/>
          <w:sz w:val="22"/>
          <w:szCs w:val="22"/>
        </w:rPr>
        <w:t>redacted</w:t>
      </w:r>
      <w:r w:rsidRPr="00353EDD">
        <w:rPr>
          <w:rFonts w:ascii="Franklin Gothic Book" w:hAnsi="Franklin Gothic Book"/>
          <w:sz w:val="22"/>
          <w:szCs w:val="22"/>
        </w:rPr>
        <w:t xml:space="preserve"> to </w:t>
      </w:r>
      <w:r w:rsidR="008D2DDA">
        <w:rPr>
          <w:rFonts w:ascii="Franklin Gothic Book" w:hAnsi="Franklin Gothic Book"/>
          <w:b/>
          <w:bCs/>
          <w:sz w:val="22"/>
          <w:szCs w:val="22"/>
        </w:rPr>
        <w:t>redacted</w:t>
      </w:r>
      <w:r w:rsidRPr="00353EDD">
        <w:rPr>
          <w:rFonts w:ascii="Franklin Gothic Book" w:hAnsi="Franklin Gothic Book"/>
          <w:sz w:val="22"/>
          <w:szCs w:val="22"/>
        </w:rPr>
        <w:t xml:space="preserve"> in 2031. The model assumes immediate full utilisation without any rollout plan.</w:t>
      </w:r>
      <w:r w:rsidRPr="009F27BA">
        <w:rPr>
          <w:rFonts w:ascii="Franklin Gothic Book" w:hAnsi="Franklin Gothic Book"/>
          <w:sz w:val="22"/>
          <w:szCs w:val="22"/>
        </w:rPr>
        <w:t xml:space="preserve"> </w:t>
      </w:r>
      <w:r w:rsidR="009F27BA" w:rsidRPr="009F27BA">
        <w:rPr>
          <w:rFonts w:ascii="Franklin Gothic Book" w:hAnsi="Franklin Gothic Book"/>
          <w:sz w:val="22"/>
          <w:szCs w:val="22"/>
        </w:rPr>
        <w:t xml:space="preserve">The commentary noted that the number of FibroScan machines </w:t>
      </w:r>
      <w:r w:rsidR="009A0D9D">
        <w:rPr>
          <w:rFonts w:ascii="Franklin Gothic Book" w:hAnsi="Franklin Gothic Book"/>
          <w:sz w:val="22"/>
          <w:szCs w:val="22"/>
        </w:rPr>
        <w:t xml:space="preserve">as well as the claimed increase in FibroScan devices in primary care </w:t>
      </w:r>
      <w:r w:rsidR="009F27BA" w:rsidRPr="009F27BA">
        <w:rPr>
          <w:rFonts w:ascii="Franklin Gothic Book" w:hAnsi="Franklin Gothic Book"/>
          <w:sz w:val="22"/>
          <w:szCs w:val="22"/>
        </w:rPr>
        <w:t>could not be independently verified.</w:t>
      </w:r>
    </w:p>
    <w:p w14:paraId="53A9CB30" w14:textId="329E7E11" w:rsidR="007E0D44" w:rsidRDefault="007E0D44" w:rsidP="00590DFC">
      <w:pPr>
        <w:pStyle w:val="BodyText"/>
        <w:keepLines w:val="0"/>
        <w:rPr>
          <w:rFonts w:ascii="Franklin Gothic Book" w:hAnsi="Franklin Gothic Book"/>
          <w:sz w:val="22"/>
          <w:szCs w:val="22"/>
        </w:rPr>
      </w:pPr>
      <w:r>
        <w:rPr>
          <w:rFonts w:ascii="Franklin Gothic Book" w:hAnsi="Franklin Gothic Book"/>
          <w:sz w:val="22"/>
          <w:szCs w:val="22"/>
        </w:rPr>
        <w:t xml:space="preserve">The </w:t>
      </w:r>
      <w:r w:rsidRPr="00AC6700">
        <w:rPr>
          <w:rFonts w:ascii="Franklin Gothic Book" w:hAnsi="Franklin Gothic Book"/>
          <w:sz w:val="22"/>
          <w:szCs w:val="22"/>
        </w:rPr>
        <w:t>ADAR assumes each VCTE machine in primary care performs 10 tests per weekday (2,600 annually), while in specialist settings</w:t>
      </w:r>
      <w:r w:rsidRPr="00DF60B5">
        <w:rPr>
          <w:rFonts w:ascii="Franklin Gothic Book" w:hAnsi="Franklin Gothic Book"/>
          <w:sz w:val="22"/>
          <w:szCs w:val="22"/>
        </w:rPr>
        <w:t>, throughput is</w:t>
      </w:r>
      <w:r w:rsidRPr="00AC6700">
        <w:rPr>
          <w:rFonts w:ascii="Franklin Gothic Book" w:hAnsi="Franklin Gothic Book"/>
          <w:sz w:val="22"/>
          <w:szCs w:val="22"/>
        </w:rPr>
        <w:t xml:space="preserve"> limited to 3 tests/day (780 annually). The commentary could not independently validate this fourfold </w:t>
      </w:r>
      <w:r w:rsidR="00EE5363" w:rsidRPr="00AC6700">
        <w:rPr>
          <w:rFonts w:ascii="Franklin Gothic Book" w:hAnsi="Franklin Gothic Book"/>
          <w:sz w:val="22"/>
          <w:szCs w:val="22"/>
        </w:rPr>
        <w:t>discrepancy,</w:t>
      </w:r>
      <w:r w:rsidR="009F27BA">
        <w:rPr>
          <w:rFonts w:ascii="Franklin Gothic Book" w:hAnsi="Franklin Gothic Book"/>
          <w:sz w:val="22"/>
          <w:szCs w:val="22"/>
        </w:rPr>
        <w:t xml:space="preserve"> and this difference was not justified in the ADAR</w:t>
      </w:r>
      <w:r w:rsidRPr="00AC6700">
        <w:rPr>
          <w:rFonts w:ascii="Franklin Gothic Book" w:hAnsi="Franklin Gothic Book"/>
          <w:sz w:val="22"/>
          <w:szCs w:val="22"/>
        </w:rPr>
        <w:t>.</w:t>
      </w:r>
      <w:r w:rsidRPr="00DC4D82">
        <w:rPr>
          <w:rFonts w:ascii="Franklin Gothic Book" w:hAnsi="Franklin Gothic Book"/>
          <w:sz w:val="22"/>
          <w:szCs w:val="22"/>
        </w:rPr>
        <w:t xml:space="preserve"> </w:t>
      </w:r>
      <w:r w:rsidRPr="00AC6700">
        <w:rPr>
          <w:rFonts w:ascii="Franklin Gothic Book" w:hAnsi="Franklin Gothic Book"/>
          <w:sz w:val="22"/>
          <w:szCs w:val="22"/>
        </w:rPr>
        <w:t>The</w:t>
      </w:r>
      <w:r>
        <w:rPr>
          <w:rFonts w:ascii="Franklin Gothic Book" w:hAnsi="Franklin Gothic Book"/>
          <w:sz w:val="22"/>
          <w:szCs w:val="22"/>
        </w:rPr>
        <w:t xml:space="preserve">re </w:t>
      </w:r>
      <w:r w:rsidR="00795933">
        <w:rPr>
          <w:rFonts w:ascii="Franklin Gothic Book" w:hAnsi="Franklin Gothic Book"/>
          <w:sz w:val="22"/>
          <w:szCs w:val="22"/>
        </w:rPr>
        <w:t xml:space="preserve">was a discrepancy in the number of tests assumed </w:t>
      </w:r>
      <w:r w:rsidR="007A420E">
        <w:rPr>
          <w:rFonts w:ascii="Franklin Gothic Book" w:hAnsi="Franklin Gothic Book"/>
          <w:sz w:val="22"/>
          <w:szCs w:val="22"/>
        </w:rPr>
        <w:t>to be perf</w:t>
      </w:r>
      <w:r w:rsidR="0072518C">
        <w:rPr>
          <w:rFonts w:ascii="Franklin Gothic Book" w:hAnsi="Franklin Gothic Book"/>
          <w:sz w:val="22"/>
          <w:szCs w:val="22"/>
        </w:rPr>
        <w:t xml:space="preserve">ormed </w:t>
      </w:r>
      <w:r w:rsidR="00795933">
        <w:rPr>
          <w:rFonts w:ascii="Franklin Gothic Book" w:hAnsi="Franklin Gothic Book"/>
          <w:sz w:val="22"/>
          <w:szCs w:val="22"/>
        </w:rPr>
        <w:t>per day in the primary care setting</w:t>
      </w:r>
      <w:r>
        <w:rPr>
          <w:rFonts w:ascii="Franklin Gothic Book" w:hAnsi="Franklin Gothic Book"/>
          <w:sz w:val="22"/>
          <w:szCs w:val="22"/>
        </w:rPr>
        <w:t xml:space="preserve">. In </w:t>
      </w:r>
      <w:r w:rsidR="00795933">
        <w:rPr>
          <w:rFonts w:ascii="Franklin Gothic Book" w:hAnsi="Franklin Gothic Book"/>
          <w:sz w:val="22"/>
          <w:szCs w:val="22"/>
        </w:rPr>
        <w:t xml:space="preserve">the </w:t>
      </w:r>
      <w:r>
        <w:rPr>
          <w:rFonts w:ascii="Franklin Gothic Book" w:hAnsi="Franklin Gothic Book"/>
          <w:sz w:val="22"/>
          <w:szCs w:val="22"/>
        </w:rPr>
        <w:t>financial calculations</w:t>
      </w:r>
      <w:r w:rsidR="00795933">
        <w:rPr>
          <w:rFonts w:ascii="Franklin Gothic Book" w:hAnsi="Franklin Gothic Book"/>
          <w:sz w:val="22"/>
          <w:szCs w:val="22"/>
        </w:rPr>
        <w:t xml:space="preserve"> spreadsheet</w:t>
      </w:r>
      <w:r>
        <w:rPr>
          <w:rFonts w:ascii="Franklin Gothic Book" w:hAnsi="Franklin Gothic Book"/>
          <w:sz w:val="22"/>
          <w:szCs w:val="22"/>
        </w:rPr>
        <w:t>, 2,600 test</w:t>
      </w:r>
      <w:r w:rsidR="0072518C">
        <w:rPr>
          <w:rFonts w:ascii="Franklin Gothic Book" w:hAnsi="Franklin Gothic Book"/>
          <w:sz w:val="22"/>
          <w:szCs w:val="22"/>
        </w:rPr>
        <w:t>s</w:t>
      </w:r>
      <w:r>
        <w:rPr>
          <w:rFonts w:ascii="Franklin Gothic Book" w:hAnsi="Franklin Gothic Book"/>
          <w:sz w:val="22"/>
          <w:szCs w:val="22"/>
        </w:rPr>
        <w:t xml:space="preserve"> per year were used</w:t>
      </w:r>
      <w:r w:rsidR="00471273">
        <w:rPr>
          <w:rFonts w:ascii="Franklin Gothic Book" w:hAnsi="Franklin Gothic Book"/>
          <w:sz w:val="22"/>
          <w:szCs w:val="22"/>
        </w:rPr>
        <w:t>;</w:t>
      </w:r>
      <w:r>
        <w:rPr>
          <w:rFonts w:ascii="Franklin Gothic Book" w:hAnsi="Franklin Gothic Book"/>
          <w:sz w:val="22"/>
          <w:szCs w:val="22"/>
        </w:rPr>
        <w:t xml:space="preserve"> however</w:t>
      </w:r>
      <w:r w:rsidR="00471273">
        <w:rPr>
          <w:rFonts w:ascii="Franklin Gothic Book" w:hAnsi="Franklin Gothic Book"/>
          <w:sz w:val="22"/>
          <w:szCs w:val="22"/>
        </w:rPr>
        <w:t>,</w:t>
      </w:r>
      <w:r>
        <w:rPr>
          <w:rFonts w:ascii="Franklin Gothic Book" w:hAnsi="Franklin Gothic Book"/>
          <w:sz w:val="22"/>
          <w:szCs w:val="22"/>
        </w:rPr>
        <w:t xml:space="preserve"> in Table 64 (parameter values), </w:t>
      </w:r>
      <w:r w:rsidR="00471273">
        <w:rPr>
          <w:rFonts w:ascii="Franklin Gothic Book" w:hAnsi="Franklin Gothic Book"/>
          <w:sz w:val="22"/>
          <w:szCs w:val="22"/>
        </w:rPr>
        <w:t xml:space="preserve">the </w:t>
      </w:r>
      <w:r>
        <w:rPr>
          <w:rFonts w:ascii="Franklin Gothic Book" w:hAnsi="Franklin Gothic Book"/>
          <w:sz w:val="22"/>
          <w:szCs w:val="22"/>
        </w:rPr>
        <w:t>a</w:t>
      </w:r>
      <w:r w:rsidRPr="005F0EE5">
        <w:rPr>
          <w:rFonts w:ascii="Franklin Gothic Book" w:hAnsi="Franklin Gothic Book"/>
          <w:sz w:val="22"/>
          <w:szCs w:val="22"/>
        </w:rPr>
        <w:t>nnual capacity per VCTE machine</w:t>
      </w:r>
      <w:r>
        <w:rPr>
          <w:rFonts w:ascii="Franklin Gothic Book" w:hAnsi="Franklin Gothic Book"/>
          <w:sz w:val="22"/>
          <w:szCs w:val="22"/>
        </w:rPr>
        <w:t xml:space="preserve"> in </w:t>
      </w:r>
      <w:r w:rsidRPr="00967972">
        <w:rPr>
          <w:rFonts w:ascii="Franklin Gothic Book" w:hAnsi="Franklin Gothic Book"/>
          <w:sz w:val="22"/>
          <w:szCs w:val="22"/>
        </w:rPr>
        <w:t>primary care</w:t>
      </w:r>
      <w:r>
        <w:rPr>
          <w:rFonts w:ascii="Franklin Gothic Book" w:hAnsi="Franklin Gothic Book"/>
          <w:sz w:val="22"/>
          <w:szCs w:val="22"/>
        </w:rPr>
        <w:t xml:space="preserve"> was </w:t>
      </w:r>
      <w:r w:rsidR="00471273">
        <w:rPr>
          <w:rFonts w:ascii="Franklin Gothic Book" w:hAnsi="Franklin Gothic Book"/>
          <w:sz w:val="22"/>
          <w:szCs w:val="22"/>
        </w:rPr>
        <w:t xml:space="preserve">reported as </w:t>
      </w:r>
      <w:r w:rsidRPr="001B3785">
        <w:rPr>
          <w:rFonts w:ascii="Franklin Gothic Book" w:hAnsi="Franklin Gothic Book"/>
          <w:sz w:val="22"/>
          <w:szCs w:val="22"/>
        </w:rPr>
        <w:t>4,160</w:t>
      </w:r>
      <w:r>
        <w:rPr>
          <w:rFonts w:ascii="Franklin Gothic Book" w:hAnsi="Franklin Gothic Book"/>
          <w:sz w:val="22"/>
          <w:szCs w:val="22"/>
        </w:rPr>
        <w:t xml:space="preserve"> tests based on </w:t>
      </w:r>
      <w:r w:rsidRPr="00967972">
        <w:rPr>
          <w:rFonts w:ascii="Franklin Gothic Book" w:hAnsi="Franklin Gothic Book"/>
          <w:sz w:val="22"/>
          <w:szCs w:val="22"/>
        </w:rPr>
        <w:t>daily throughput</w:t>
      </w:r>
      <w:r w:rsidR="001E3F00">
        <w:rPr>
          <w:rFonts w:ascii="Franklin Gothic Book" w:hAnsi="Franklin Gothic Book"/>
          <w:sz w:val="22"/>
          <w:szCs w:val="22"/>
        </w:rPr>
        <w:t>.</w:t>
      </w:r>
    </w:p>
    <w:p w14:paraId="33E4E088" w14:textId="22CBA743" w:rsidR="007E0D44" w:rsidRDefault="00DF6593" w:rsidP="00872EFA">
      <w:pPr>
        <w:pStyle w:val="BodyText"/>
        <w:keepLines w:val="0"/>
        <w:rPr>
          <w:rFonts w:ascii="Franklin Gothic Book" w:hAnsi="Franklin Gothic Book"/>
          <w:sz w:val="22"/>
          <w:szCs w:val="22"/>
        </w:rPr>
      </w:pPr>
      <w:r>
        <w:rPr>
          <w:rFonts w:ascii="Franklin Gothic Book" w:hAnsi="Franklin Gothic Book"/>
          <w:sz w:val="22"/>
          <w:szCs w:val="22"/>
        </w:rPr>
        <w:t xml:space="preserve">The </w:t>
      </w:r>
      <w:r w:rsidR="002A0C1C">
        <w:rPr>
          <w:rFonts w:ascii="Franklin Gothic Book" w:hAnsi="Franklin Gothic Book"/>
          <w:sz w:val="22"/>
          <w:szCs w:val="22"/>
        </w:rPr>
        <w:t xml:space="preserve">commentary considered that </w:t>
      </w:r>
      <w:r>
        <w:rPr>
          <w:rFonts w:ascii="Franklin Gothic Book" w:hAnsi="Franklin Gothic Book"/>
          <w:sz w:val="22"/>
          <w:szCs w:val="22"/>
        </w:rPr>
        <w:t xml:space="preserve">number of </w:t>
      </w:r>
      <w:r w:rsidR="002A0C1C">
        <w:rPr>
          <w:rFonts w:ascii="Franklin Gothic Book" w:hAnsi="Franklin Gothic Book"/>
          <w:sz w:val="22"/>
          <w:szCs w:val="22"/>
        </w:rPr>
        <w:t>tests per machine in the ADAR in the primary care setting may be overestimated. T</w:t>
      </w:r>
      <w:r w:rsidR="007E0D44" w:rsidRPr="003E00BF">
        <w:rPr>
          <w:rFonts w:ascii="Franklin Gothic Book" w:hAnsi="Franklin Gothic Book"/>
          <w:sz w:val="22"/>
          <w:szCs w:val="22"/>
        </w:rPr>
        <w:t>he</w:t>
      </w:r>
      <w:r w:rsidR="007E0D44">
        <w:rPr>
          <w:rFonts w:ascii="Franklin Gothic Book" w:hAnsi="Franklin Gothic Book"/>
          <w:sz w:val="22"/>
          <w:szCs w:val="22"/>
        </w:rPr>
        <w:t xml:space="preserve"> FibroScan submission to NICE (2021</w:t>
      </w:r>
      <w:r w:rsidR="0012167A">
        <w:rPr>
          <w:rFonts w:ascii="Franklin Gothic Book" w:hAnsi="Franklin Gothic Book"/>
          <w:sz w:val="22"/>
          <w:szCs w:val="22"/>
        </w:rPr>
        <w:t xml:space="preserve"> and </w:t>
      </w:r>
      <w:r w:rsidR="007E0D44">
        <w:rPr>
          <w:rFonts w:ascii="Franklin Gothic Book" w:hAnsi="Franklin Gothic Book"/>
          <w:sz w:val="22"/>
          <w:szCs w:val="22"/>
        </w:rPr>
        <w:t>2022)</w:t>
      </w:r>
      <w:r w:rsidR="007E0D44" w:rsidRPr="003E00BF">
        <w:rPr>
          <w:rFonts w:ascii="Franklin Gothic Book" w:hAnsi="Franklin Gothic Book"/>
          <w:sz w:val="22"/>
          <w:szCs w:val="22"/>
        </w:rPr>
        <w:t xml:space="preserve"> assum</w:t>
      </w:r>
      <w:r w:rsidR="007E0D44">
        <w:rPr>
          <w:rFonts w:ascii="Franklin Gothic Book" w:hAnsi="Franklin Gothic Book"/>
          <w:sz w:val="22"/>
          <w:szCs w:val="22"/>
        </w:rPr>
        <w:t>ed</w:t>
      </w:r>
      <w:r w:rsidR="007E0D44" w:rsidRPr="003E00BF">
        <w:rPr>
          <w:rFonts w:ascii="Franklin Gothic Book" w:hAnsi="Franklin Gothic Book"/>
          <w:sz w:val="22"/>
          <w:szCs w:val="22"/>
        </w:rPr>
        <w:t xml:space="preserve"> </w:t>
      </w:r>
      <w:r w:rsidR="007E0D44">
        <w:rPr>
          <w:rFonts w:ascii="Franklin Gothic Book" w:hAnsi="Franklin Gothic Book"/>
          <w:sz w:val="22"/>
          <w:szCs w:val="22"/>
        </w:rPr>
        <w:t xml:space="preserve">that </w:t>
      </w:r>
      <w:r w:rsidR="007E0D44" w:rsidRPr="003E00BF">
        <w:rPr>
          <w:rFonts w:ascii="Franklin Gothic Book" w:hAnsi="Franklin Gothic Book"/>
          <w:sz w:val="22"/>
          <w:szCs w:val="22"/>
        </w:rPr>
        <w:t xml:space="preserve">a single FibroScan device </w:t>
      </w:r>
      <w:r w:rsidR="007E0D44">
        <w:rPr>
          <w:rFonts w:ascii="Franklin Gothic Book" w:hAnsi="Franklin Gothic Book"/>
          <w:sz w:val="22"/>
          <w:szCs w:val="22"/>
        </w:rPr>
        <w:t>is</w:t>
      </w:r>
      <w:r w:rsidR="007E0D44" w:rsidRPr="003E00BF">
        <w:rPr>
          <w:rFonts w:ascii="Franklin Gothic Book" w:hAnsi="Franklin Gothic Book"/>
          <w:sz w:val="22"/>
          <w:szCs w:val="22"/>
        </w:rPr>
        <w:t xml:space="preserve"> used for between 500 and 1,000 patients per year per primary care network (PCN)</w:t>
      </w:r>
      <w:r w:rsidR="007E0D44">
        <w:rPr>
          <w:rFonts w:ascii="Franklin Gothic Book" w:hAnsi="Franklin Gothic Book"/>
          <w:sz w:val="22"/>
          <w:szCs w:val="22"/>
        </w:rPr>
        <w:t xml:space="preserve">, where </w:t>
      </w:r>
      <w:r w:rsidR="00471273">
        <w:rPr>
          <w:rFonts w:ascii="Franklin Gothic Book" w:hAnsi="Franklin Gothic Book"/>
          <w:sz w:val="22"/>
          <w:szCs w:val="22"/>
        </w:rPr>
        <w:t xml:space="preserve">the </w:t>
      </w:r>
      <w:r w:rsidR="007E0D44">
        <w:rPr>
          <w:rFonts w:ascii="Franklin Gothic Book" w:hAnsi="Franklin Gothic Book"/>
          <w:sz w:val="22"/>
          <w:szCs w:val="22"/>
        </w:rPr>
        <w:t xml:space="preserve">average size of the PCN is 48,000 </w:t>
      </w:r>
      <w:r w:rsidR="009D213E">
        <w:rPr>
          <w:rFonts w:ascii="Franklin Gothic Book" w:hAnsi="Franklin Gothic Book"/>
          <w:sz w:val="22"/>
          <w:szCs w:val="22"/>
        </w:rPr>
        <w:t>patients</w:t>
      </w:r>
      <w:r w:rsidR="007E0D44">
        <w:rPr>
          <w:rFonts w:ascii="Franklin Gothic Book" w:hAnsi="Franklin Gothic Book"/>
          <w:sz w:val="22"/>
          <w:szCs w:val="22"/>
        </w:rPr>
        <w:t xml:space="preserve"> (data from 2020)</w:t>
      </w:r>
      <w:r w:rsidR="007E0D44" w:rsidRPr="003E00BF">
        <w:rPr>
          <w:rFonts w:ascii="Franklin Gothic Book" w:hAnsi="Franklin Gothic Book"/>
          <w:sz w:val="22"/>
          <w:szCs w:val="22"/>
        </w:rPr>
        <w:t xml:space="preserve"> or in 2,500 to 5,000 patients per year across 5 PCNs</w:t>
      </w:r>
      <w:r w:rsidR="007E0D44">
        <w:rPr>
          <w:rFonts w:ascii="Franklin Gothic Book" w:hAnsi="Franklin Gothic Book"/>
          <w:sz w:val="22"/>
          <w:szCs w:val="22"/>
        </w:rPr>
        <w:t>. In this submission the target population included patients with alcoholic liver disease and hepatitis C and B. However</w:t>
      </w:r>
      <w:r w:rsidR="00463C22">
        <w:rPr>
          <w:rFonts w:ascii="Franklin Gothic Book" w:hAnsi="Franklin Gothic Book"/>
          <w:sz w:val="22"/>
          <w:szCs w:val="22"/>
        </w:rPr>
        <w:t>,</w:t>
      </w:r>
      <w:r w:rsidR="007E0D44">
        <w:rPr>
          <w:rFonts w:ascii="Franklin Gothic Book" w:hAnsi="Franklin Gothic Book"/>
          <w:sz w:val="22"/>
          <w:szCs w:val="22"/>
        </w:rPr>
        <w:t xml:space="preserve"> the NICE assessors suggested that this throughput </w:t>
      </w:r>
      <w:r w:rsidR="007E0D44" w:rsidRPr="003E00BF">
        <w:rPr>
          <w:rFonts w:ascii="Franklin Gothic Book" w:hAnsi="Franklin Gothic Book"/>
          <w:sz w:val="22"/>
          <w:szCs w:val="22"/>
        </w:rPr>
        <w:t>may not be achievable across the National Health System (NHS)</w:t>
      </w:r>
      <w:r w:rsidR="007E0D44">
        <w:rPr>
          <w:rFonts w:ascii="Franklin Gothic Book" w:hAnsi="Franklin Gothic Book"/>
          <w:sz w:val="22"/>
          <w:szCs w:val="22"/>
        </w:rPr>
        <w:t xml:space="preserve"> </w:t>
      </w:r>
      <w:r w:rsidR="00C30670">
        <w:rPr>
          <w:rFonts w:ascii="Franklin Gothic Book" w:hAnsi="Franklin Gothic Book"/>
          <w:sz w:val="22"/>
          <w:szCs w:val="22"/>
        </w:rPr>
        <w:t xml:space="preserve">meaning that </w:t>
      </w:r>
      <w:r w:rsidR="00C109E4">
        <w:rPr>
          <w:rFonts w:ascii="Franklin Gothic Book" w:hAnsi="Franklin Gothic Book"/>
          <w:sz w:val="22"/>
          <w:szCs w:val="22"/>
        </w:rPr>
        <w:t>the projected</w:t>
      </w:r>
      <w:r w:rsidR="00C30670">
        <w:rPr>
          <w:rFonts w:ascii="Franklin Gothic Book" w:hAnsi="Franklin Gothic Book"/>
          <w:sz w:val="22"/>
          <w:szCs w:val="22"/>
        </w:rPr>
        <w:t xml:space="preserve"> uptake would not be financially viable</w:t>
      </w:r>
      <w:r w:rsidR="00AA3B2A">
        <w:rPr>
          <w:rFonts w:ascii="Franklin Gothic Book" w:hAnsi="Franklin Gothic Book"/>
          <w:sz w:val="22"/>
          <w:szCs w:val="22"/>
        </w:rPr>
        <w:t>.</w:t>
      </w:r>
      <w:r w:rsidR="007E0D44">
        <w:rPr>
          <w:rFonts w:ascii="Franklin Gothic Book" w:hAnsi="Franklin Gothic Book"/>
          <w:sz w:val="22"/>
          <w:szCs w:val="22"/>
        </w:rPr>
        <w:t xml:space="preserve"> </w:t>
      </w:r>
    </w:p>
    <w:p w14:paraId="3B77A326" w14:textId="3189D61E" w:rsidR="007E0D44" w:rsidRDefault="007E0D44" w:rsidP="00590DFC">
      <w:pPr>
        <w:pStyle w:val="BodyText"/>
        <w:keepLines w:val="0"/>
        <w:rPr>
          <w:rFonts w:ascii="Franklin Gothic Book" w:hAnsi="Franklin Gothic Book"/>
          <w:sz w:val="22"/>
          <w:szCs w:val="22"/>
        </w:rPr>
      </w:pPr>
      <w:r>
        <w:rPr>
          <w:rFonts w:ascii="Franklin Gothic Book" w:hAnsi="Franklin Gothic Book"/>
          <w:sz w:val="22"/>
          <w:szCs w:val="22"/>
        </w:rPr>
        <w:t xml:space="preserve">The key to the ADAR financial model is the </w:t>
      </w:r>
      <w:r w:rsidR="00AA3B2A">
        <w:rPr>
          <w:rFonts w:ascii="Franklin Gothic Book" w:hAnsi="Franklin Gothic Book"/>
          <w:sz w:val="22"/>
          <w:szCs w:val="22"/>
        </w:rPr>
        <w:t>assumption that testing first occurs in</w:t>
      </w:r>
      <w:r w:rsidR="002E2856">
        <w:rPr>
          <w:rFonts w:ascii="Franklin Gothic Book" w:hAnsi="Franklin Gothic Book"/>
          <w:sz w:val="22"/>
          <w:szCs w:val="22"/>
        </w:rPr>
        <w:t xml:space="preserve"> the</w:t>
      </w:r>
      <w:r w:rsidR="00AA3B2A">
        <w:rPr>
          <w:rFonts w:ascii="Franklin Gothic Book" w:hAnsi="Franklin Gothic Book"/>
          <w:sz w:val="22"/>
          <w:szCs w:val="22"/>
        </w:rPr>
        <w:t xml:space="preserve"> primary care setting, and any tests </w:t>
      </w:r>
      <w:r w:rsidR="00471273">
        <w:rPr>
          <w:rFonts w:ascii="Franklin Gothic Book" w:hAnsi="Franklin Gothic Book"/>
          <w:sz w:val="22"/>
          <w:szCs w:val="22"/>
        </w:rPr>
        <w:t>that cannot</w:t>
      </w:r>
      <w:r w:rsidR="00AA3B2A">
        <w:rPr>
          <w:rFonts w:ascii="Franklin Gothic Book" w:hAnsi="Franklin Gothic Book"/>
          <w:sz w:val="22"/>
          <w:szCs w:val="22"/>
        </w:rPr>
        <w:t xml:space="preserve"> be accommodated in primary care will </w:t>
      </w:r>
      <w:r>
        <w:rPr>
          <w:rFonts w:ascii="Franklin Gothic Book" w:hAnsi="Franklin Gothic Book"/>
          <w:sz w:val="22"/>
          <w:szCs w:val="22"/>
        </w:rPr>
        <w:t>“overflow”</w:t>
      </w:r>
      <w:r w:rsidR="00AA3B2A">
        <w:rPr>
          <w:rFonts w:ascii="Franklin Gothic Book" w:hAnsi="Franklin Gothic Book"/>
          <w:sz w:val="22"/>
          <w:szCs w:val="22"/>
        </w:rPr>
        <w:t xml:space="preserve"> to secondary care. The magnitude of this overflow</w:t>
      </w:r>
      <w:r>
        <w:rPr>
          <w:rFonts w:ascii="Franklin Gothic Book" w:hAnsi="Franklin Gothic Book"/>
          <w:sz w:val="22"/>
          <w:szCs w:val="22"/>
        </w:rPr>
        <w:t xml:space="preserve"> </w:t>
      </w:r>
      <w:r w:rsidR="00AA3B2A">
        <w:rPr>
          <w:rFonts w:ascii="Franklin Gothic Book" w:hAnsi="Franklin Gothic Book"/>
          <w:sz w:val="22"/>
          <w:szCs w:val="22"/>
        </w:rPr>
        <w:t>wa</w:t>
      </w:r>
      <w:r>
        <w:rPr>
          <w:rFonts w:ascii="Franklin Gothic Book" w:hAnsi="Franklin Gothic Book"/>
          <w:sz w:val="22"/>
          <w:szCs w:val="22"/>
        </w:rPr>
        <w:t>s estimated as the difference between the annual (increasing at 20% annual growth) testing capacity of VCTE in primary care and the size of the population with indetermin</w:t>
      </w:r>
      <w:r w:rsidR="00F63705">
        <w:rPr>
          <w:rFonts w:ascii="Franklin Gothic Book" w:hAnsi="Franklin Gothic Book"/>
          <w:sz w:val="22"/>
          <w:szCs w:val="22"/>
        </w:rPr>
        <w:t>ate</w:t>
      </w:r>
      <w:r>
        <w:rPr>
          <w:rFonts w:ascii="Franklin Gothic Book" w:hAnsi="Franklin Gothic Book"/>
          <w:sz w:val="22"/>
          <w:szCs w:val="22"/>
        </w:rPr>
        <w:t xml:space="preserve"> FIB-4 results as estimated in the epidemiological part of the model. For example, in 2026</w:t>
      </w:r>
      <w:r w:rsidR="00AA3B2A">
        <w:rPr>
          <w:rFonts w:ascii="Franklin Gothic Book" w:hAnsi="Franklin Gothic Book"/>
          <w:sz w:val="22"/>
          <w:szCs w:val="22"/>
        </w:rPr>
        <w:t>,</w:t>
      </w:r>
      <w:r>
        <w:rPr>
          <w:rFonts w:ascii="Franklin Gothic Book" w:hAnsi="Franklin Gothic Book"/>
          <w:sz w:val="22"/>
          <w:szCs w:val="22"/>
        </w:rPr>
        <w:t xml:space="preserve"> </w:t>
      </w:r>
      <w:r w:rsidR="00F678BC">
        <w:rPr>
          <w:rFonts w:ascii="Franklin Gothic Book" w:hAnsi="Franklin Gothic Book"/>
          <w:b/>
          <w:bCs/>
          <w:sz w:val="22"/>
          <w:szCs w:val="22"/>
        </w:rPr>
        <w:t>redacted</w:t>
      </w:r>
      <w:r>
        <w:rPr>
          <w:rFonts w:ascii="Franklin Gothic Book" w:hAnsi="Franklin Gothic Book"/>
          <w:sz w:val="22"/>
          <w:szCs w:val="22"/>
        </w:rPr>
        <w:t xml:space="preserve"> machines in primary care </w:t>
      </w:r>
      <w:r w:rsidR="00AA3B2A">
        <w:rPr>
          <w:rFonts w:ascii="Franklin Gothic Book" w:hAnsi="Franklin Gothic Book"/>
          <w:sz w:val="22"/>
          <w:szCs w:val="22"/>
        </w:rPr>
        <w:t>w</w:t>
      </w:r>
      <w:r w:rsidR="00AC740E">
        <w:rPr>
          <w:rFonts w:ascii="Franklin Gothic Book" w:hAnsi="Franklin Gothic Book"/>
          <w:sz w:val="22"/>
          <w:szCs w:val="22"/>
        </w:rPr>
        <w:t>ere</w:t>
      </w:r>
      <w:r w:rsidR="00AA3B2A">
        <w:rPr>
          <w:rFonts w:ascii="Franklin Gothic Book" w:hAnsi="Franklin Gothic Book"/>
          <w:sz w:val="22"/>
          <w:szCs w:val="22"/>
        </w:rPr>
        <w:t xml:space="preserve"> assumed to </w:t>
      </w:r>
      <w:r>
        <w:rPr>
          <w:rFonts w:ascii="Franklin Gothic Book" w:hAnsi="Franklin Gothic Book"/>
          <w:sz w:val="22"/>
          <w:szCs w:val="22"/>
        </w:rPr>
        <w:t xml:space="preserve">produce </w:t>
      </w:r>
      <w:r w:rsidR="007214B1">
        <w:rPr>
          <w:rFonts w:ascii="Franklin Gothic Book" w:hAnsi="Franklin Gothic Book"/>
          <w:b/>
          <w:bCs/>
          <w:sz w:val="22"/>
          <w:szCs w:val="22"/>
        </w:rPr>
        <w:t>redacted</w:t>
      </w:r>
      <w:r w:rsidR="00807DE7">
        <w:rPr>
          <w:rFonts w:ascii="Franklin Gothic Book" w:hAnsi="Franklin Gothic Book"/>
          <w:b/>
          <w:bCs/>
          <w:sz w:val="22"/>
          <w:szCs w:val="22"/>
        </w:rPr>
        <w:t xml:space="preserve"> </w:t>
      </w:r>
      <w:r>
        <w:rPr>
          <w:rFonts w:ascii="Franklin Gothic Book" w:hAnsi="Franklin Gothic Book"/>
          <w:sz w:val="22"/>
          <w:szCs w:val="22"/>
        </w:rPr>
        <w:t xml:space="preserve">tests, while the size of the FIB-4 indeterminate test subgroup of the MAFLD population is 348,181 patients who </w:t>
      </w:r>
      <w:r w:rsidR="001A1F50">
        <w:rPr>
          <w:rFonts w:ascii="Franklin Gothic Book" w:hAnsi="Franklin Gothic Book"/>
          <w:sz w:val="22"/>
          <w:szCs w:val="22"/>
        </w:rPr>
        <w:t xml:space="preserve">require </w:t>
      </w:r>
      <w:r>
        <w:rPr>
          <w:rFonts w:ascii="Franklin Gothic Book" w:hAnsi="Franklin Gothic Book"/>
          <w:sz w:val="22"/>
          <w:szCs w:val="22"/>
        </w:rPr>
        <w:t xml:space="preserve">116,060 tests after </w:t>
      </w:r>
      <w:r w:rsidR="001A1F50">
        <w:rPr>
          <w:rFonts w:ascii="Franklin Gothic Book" w:hAnsi="Franklin Gothic Book"/>
          <w:sz w:val="22"/>
          <w:szCs w:val="22"/>
        </w:rPr>
        <w:t xml:space="preserve">adjusting </w:t>
      </w:r>
      <w:r>
        <w:rPr>
          <w:rFonts w:ascii="Franklin Gothic Book" w:hAnsi="Franklin Gothic Book"/>
          <w:sz w:val="22"/>
          <w:szCs w:val="22"/>
        </w:rPr>
        <w:t>for the follow-up test</w:t>
      </w:r>
      <w:r w:rsidR="00A8235B">
        <w:rPr>
          <w:rFonts w:ascii="Franklin Gothic Book" w:hAnsi="Franklin Gothic Book"/>
          <w:sz w:val="22"/>
          <w:szCs w:val="22"/>
        </w:rPr>
        <w:t>, which is conducted</w:t>
      </w:r>
      <w:r>
        <w:rPr>
          <w:rFonts w:ascii="Franklin Gothic Book" w:hAnsi="Franklin Gothic Book"/>
          <w:sz w:val="22"/>
          <w:szCs w:val="22"/>
        </w:rPr>
        <w:t xml:space="preserve"> once </w:t>
      </w:r>
      <w:r w:rsidR="00A8235B">
        <w:rPr>
          <w:rFonts w:ascii="Franklin Gothic Book" w:hAnsi="Franklin Gothic Book"/>
          <w:sz w:val="22"/>
          <w:szCs w:val="22"/>
        </w:rPr>
        <w:t xml:space="preserve">every </w:t>
      </w:r>
      <w:r>
        <w:rPr>
          <w:rFonts w:ascii="Franklin Gothic Book" w:hAnsi="Franklin Gothic Book"/>
          <w:sz w:val="22"/>
          <w:szCs w:val="22"/>
        </w:rPr>
        <w:t xml:space="preserve">3 years. The overflow of 69,260 tests is then redirected to the specialist care, </w:t>
      </w:r>
      <w:r w:rsidR="002D784D">
        <w:rPr>
          <w:rFonts w:ascii="Franklin Gothic Book" w:hAnsi="Franklin Gothic Book"/>
          <w:sz w:val="22"/>
          <w:szCs w:val="22"/>
        </w:rPr>
        <w:t xml:space="preserve">provided </w:t>
      </w:r>
      <w:r>
        <w:rPr>
          <w:rFonts w:ascii="Franklin Gothic Book" w:hAnsi="Franklin Gothic Book"/>
          <w:sz w:val="22"/>
          <w:szCs w:val="22"/>
        </w:rPr>
        <w:t xml:space="preserve">there is “a given access”. Specialist care has an overcapacity of </w:t>
      </w:r>
      <w:r w:rsidR="006B57EC">
        <w:rPr>
          <w:rFonts w:ascii="Franklin Gothic Book" w:hAnsi="Franklin Gothic Book"/>
          <w:b/>
          <w:bCs/>
          <w:sz w:val="22"/>
          <w:szCs w:val="22"/>
        </w:rPr>
        <w:t xml:space="preserve">redacted </w:t>
      </w:r>
      <w:r>
        <w:rPr>
          <w:rFonts w:ascii="Franklin Gothic Book" w:hAnsi="Franklin Gothic Book"/>
          <w:sz w:val="22"/>
          <w:szCs w:val="22"/>
        </w:rPr>
        <w:t xml:space="preserve">machines with an annual throughput of 780 potentially delivering </w:t>
      </w:r>
      <w:r w:rsidR="00E35FEE">
        <w:rPr>
          <w:rFonts w:ascii="Franklin Gothic Book" w:hAnsi="Franklin Gothic Book"/>
          <w:b/>
          <w:bCs/>
          <w:sz w:val="22"/>
          <w:szCs w:val="22"/>
        </w:rPr>
        <w:t>redacted</w:t>
      </w:r>
      <w:r>
        <w:rPr>
          <w:rFonts w:ascii="Franklin Gothic Book" w:hAnsi="Franklin Gothic Book"/>
          <w:sz w:val="22"/>
          <w:szCs w:val="22"/>
        </w:rPr>
        <w:t xml:space="preserve"> tests while the need of the subgroup with high risk of AF (by FIB-4 test) is estimated at 17,010. The total number of tests performed at specialist care is calculated at 86,270 (17,010 plus the overflow of 69,260 from primary care) which still indicates an extra unutilised, at least by the target population, capacity of 40,090 tests. Nevertheless, while the “overflow” is gradually shifted back to primary care machines</w:t>
      </w:r>
      <w:r w:rsidR="0004696F">
        <w:rPr>
          <w:rFonts w:ascii="Franklin Gothic Book" w:hAnsi="Franklin Gothic Book"/>
          <w:sz w:val="22"/>
          <w:szCs w:val="22"/>
        </w:rPr>
        <w:t>, which</w:t>
      </w:r>
      <w:r>
        <w:rPr>
          <w:rFonts w:ascii="Franklin Gothic Book" w:hAnsi="Franklin Gothic Book"/>
          <w:sz w:val="22"/>
          <w:szCs w:val="22"/>
        </w:rPr>
        <w:t xml:space="preserve"> continue to grow at 20% per year, the number of machines in specialist care also grows</w:t>
      </w:r>
      <w:r w:rsidR="00B76A57">
        <w:rPr>
          <w:rFonts w:ascii="Franklin Gothic Book" w:hAnsi="Franklin Gothic Book"/>
          <w:sz w:val="22"/>
          <w:szCs w:val="22"/>
        </w:rPr>
        <w:t>, albeit</w:t>
      </w:r>
      <w:r>
        <w:rPr>
          <w:rFonts w:ascii="Franklin Gothic Book" w:hAnsi="Franklin Gothic Book"/>
          <w:sz w:val="22"/>
          <w:szCs w:val="22"/>
        </w:rPr>
        <w:t xml:space="preserve"> at a much smaller rate of 2%. </w:t>
      </w:r>
      <w:r w:rsidR="006C7F4E">
        <w:rPr>
          <w:rFonts w:ascii="Franklin Gothic Book" w:hAnsi="Franklin Gothic Book"/>
          <w:sz w:val="22"/>
          <w:szCs w:val="22"/>
        </w:rPr>
        <w:t>The proportion of primary and secondary care testing affects the financial estimates</w:t>
      </w:r>
      <w:r w:rsidR="00B246B9">
        <w:rPr>
          <w:rFonts w:ascii="Franklin Gothic Book" w:hAnsi="Franklin Gothic Book"/>
          <w:sz w:val="22"/>
          <w:szCs w:val="22"/>
        </w:rPr>
        <w:t>,</w:t>
      </w:r>
      <w:r w:rsidR="006C7F4E">
        <w:rPr>
          <w:rFonts w:ascii="Franklin Gothic Book" w:hAnsi="Franklin Gothic Book"/>
          <w:sz w:val="22"/>
          <w:szCs w:val="22"/>
        </w:rPr>
        <w:t xml:space="preserve"> as the ADAR assumes </w:t>
      </w:r>
      <w:r w:rsidR="00B246B9">
        <w:rPr>
          <w:rFonts w:ascii="Franklin Gothic Book" w:hAnsi="Franklin Gothic Book"/>
          <w:sz w:val="22"/>
          <w:szCs w:val="22"/>
        </w:rPr>
        <w:t xml:space="preserve">that </w:t>
      </w:r>
      <w:r w:rsidR="006C7F4E">
        <w:rPr>
          <w:rFonts w:ascii="Franklin Gothic Book" w:hAnsi="Franklin Gothic Book"/>
          <w:sz w:val="22"/>
          <w:szCs w:val="22"/>
        </w:rPr>
        <w:t xml:space="preserve">testing was cheaper in the primary care setting </w:t>
      </w:r>
      <w:r w:rsidR="005D515D">
        <w:rPr>
          <w:rFonts w:ascii="Franklin Gothic Book" w:hAnsi="Franklin Gothic Book"/>
          <w:sz w:val="22"/>
          <w:szCs w:val="22"/>
        </w:rPr>
        <w:t>due to GP fees being lower than specialist fees</w:t>
      </w:r>
      <w:r w:rsidR="00026BF8">
        <w:rPr>
          <w:rFonts w:ascii="Franklin Gothic Book" w:hAnsi="Franklin Gothic Book"/>
          <w:sz w:val="22"/>
          <w:szCs w:val="22"/>
        </w:rPr>
        <w:t>,</w:t>
      </w:r>
      <w:r w:rsidR="005D515D">
        <w:rPr>
          <w:rFonts w:ascii="Franklin Gothic Book" w:hAnsi="Franklin Gothic Book"/>
          <w:sz w:val="22"/>
          <w:szCs w:val="22"/>
        </w:rPr>
        <w:t xml:space="preserve"> and liver biopsies </w:t>
      </w:r>
      <w:r w:rsidR="00026BF8">
        <w:rPr>
          <w:rFonts w:ascii="Franklin Gothic Book" w:hAnsi="Franklin Gothic Book"/>
          <w:sz w:val="22"/>
          <w:szCs w:val="22"/>
        </w:rPr>
        <w:t xml:space="preserve">were </w:t>
      </w:r>
      <w:r w:rsidR="005D515D">
        <w:rPr>
          <w:rFonts w:ascii="Franklin Gothic Book" w:hAnsi="Franklin Gothic Book"/>
          <w:sz w:val="22"/>
          <w:szCs w:val="22"/>
        </w:rPr>
        <w:t>avoided.</w:t>
      </w:r>
    </w:p>
    <w:p w14:paraId="507F9FFF" w14:textId="30C6A70A" w:rsidR="007E0D44" w:rsidRDefault="007E0D44" w:rsidP="00CC5721">
      <w:pPr>
        <w:pStyle w:val="BodyText"/>
        <w:keepLines w:val="0"/>
        <w:rPr>
          <w:rFonts w:ascii="Franklin Gothic Book" w:hAnsi="Franklin Gothic Book"/>
          <w:sz w:val="22"/>
          <w:szCs w:val="22"/>
        </w:rPr>
      </w:pPr>
      <w:r>
        <w:rPr>
          <w:rFonts w:ascii="Franklin Gothic Book" w:hAnsi="Franklin Gothic Book"/>
          <w:sz w:val="22"/>
          <w:szCs w:val="22"/>
        </w:rPr>
        <w:t>The flow of eligible patients through the diagnostic management pathway was not presented with respect to the proposed services (VCTE tests) versus current practice (</w:t>
      </w:r>
      <w:r w:rsidR="006B1E8E">
        <w:rPr>
          <w:rFonts w:ascii="Franklin Gothic Book" w:hAnsi="Franklin Gothic Book"/>
          <w:sz w:val="22"/>
          <w:szCs w:val="22"/>
        </w:rPr>
        <w:t xml:space="preserve">inappropriately assumed to be </w:t>
      </w:r>
      <w:r>
        <w:rPr>
          <w:rFonts w:ascii="Franklin Gothic Book" w:hAnsi="Franklin Gothic Book"/>
          <w:sz w:val="22"/>
          <w:szCs w:val="22"/>
        </w:rPr>
        <w:t>ultrasound</w:t>
      </w:r>
      <w:r w:rsidR="00BC1C41">
        <w:rPr>
          <w:rFonts w:ascii="Franklin Gothic Book" w:hAnsi="Franklin Gothic Book"/>
          <w:sz w:val="22"/>
          <w:szCs w:val="22"/>
        </w:rPr>
        <w:t xml:space="preserve"> as the </w:t>
      </w:r>
      <w:r w:rsidR="00D05273">
        <w:rPr>
          <w:rFonts w:ascii="Franklin Gothic Book" w:hAnsi="Franklin Gothic Book"/>
          <w:sz w:val="22"/>
          <w:szCs w:val="22"/>
        </w:rPr>
        <w:t>key comparator test to be substituted)</w:t>
      </w:r>
      <w:r>
        <w:rPr>
          <w:rFonts w:ascii="Franklin Gothic Book" w:hAnsi="Franklin Gothic Book"/>
          <w:sz w:val="22"/>
          <w:szCs w:val="22"/>
        </w:rPr>
        <w:t xml:space="preserve">. </w:t>
      </w:r>
      <w:r w:rsidRPr="00492F1D">
        <w:rPr>
          <w:rFonts w:ascii="Franklin Gothic Book" w:hAnsi="Franklin Gothic Book"/>
          <w:sz w:val="22"/>
          <w:szCs w:val="22"/>
        </w:rPr>
        <w:t xml:space="preserve">This was also an issue with the </w:t>
      </w:r>
      <w:r w:rsidRPr="00492F1D">
        <w:rPr>
          <w:rFonts w:ascii="Franklin Gothic Book" w:hAnsi="Franklin Gothic Book"/>
          <w:sz w:val="22"/>
          <w:szCs w:val="22"/>
        </w:rPr>
        <w:lastRenderedPageBreak/>
        <w:t>choice of comparator in the economic model. In patients with abnormal LFTs or non-specific abdominal symptoms, ultrasound remains clinically necessary, regardless of VCTE access.</w:t>
      </w:r>
    </w:p>
    <w:p w14:paraId="1E18C734" w14:textId="68FBDE5B" w:rsidR="007E0D44" w:rsidRDefault="007E0D44" w:rsidP="00BF1AD4">
      <w:pPr>
        <w:pStyle w:val="BodyText"/>
        <w:keepLines w:val="0"/>
        <w:rPr>
          <w:rFonts w:ascii="Franklin Gothic Book" w:hAnsi="Franklin Gothic Book"/>
          <w:sz w:val="22"/>
          <w:szCs w:val="22"/>
        </w:rPr>
      </w:pPr>
      <w:r w:rsidRPr="00353EDD">
        <w:rPr>
          <w:rFonts w:ascii="Franklin Gothic Book" w:hAnsi="Franklin Gothic Book"/>
          <w:sz w:val="22"/>
          <w:szCs w:val="22"/>
        </w:rPr>
        <w:t xml:space="preserve">The modelled diagnostic outcomes in the intervention (VCTE) and the comparator (ultrasound) arms (Section </w:t>
      </w:r>
      <w:r w:rsidR="00490B8F">
        <w:rPr>
          <w:rFonts w:ascii="Franklin Gothic Book" w:hAnsi="Franklin Gothic Book"/>
          <w:sz w:val="22"/>
          <w:szCs w:val="22"/>
        </w:rPr>
        <w:t>1</w:t>
      </w:r>
      <w:r w:rsidR="002F1542">
        <w:rPr>
          <w:rFonts w:ascii="Franklin Gothic Book" w:hAnsi="Franklin Gothic Book"/>
          <w:sz w:val="22"/>
          <w:szCs w:val="22"/>
        </w:rPr>
        <w:t>3</w:t>
      </w:r>
      <w:r w:rsidRPr="00353EDD">
        <w:rPr>
          <w:rFonts w:ascii="Franklin Gothic Book" w:hAnsi="Franklin Gothic Book"/>
          <w:sz w:val="22"/>
          <w:szCs w:val="22"/>
        </w:rPr>
        <w:t xml:space="preserve">) are used indirectly, to inform the “downstream savings”, which consist of </w:t>
      </w:r>
      <w:r>
        <w:rPr>
          <w:rFonts w:ascii="Franklin Gothic Book" w:hAnsi="Franklin Gothic Book"/>
          <w:sz w:val="22"/>
          <w:szCs w:val="22"/>
        </w:rPr>
        <w:t xml:space="preserve">a </w:t>
      </w:r>
      <w:r w:rsidRPr="00353EDD">
        <w:rPr>
          <w:rFonts w:ascii="Franklin Gothic Book" w:hAnsi="Franklin Gothic Book"/>
          <w:sz w:val="22"/>
          <w:szCs w:val="22"/>
        </w:rPr>
        <w:t xml:space="preserve">reduction in specialist appointments and liver biopsies avoided. Here, a “downstream” </w:t>
      </w:r>
      <w:r w:rsidR="009A0DD3">
        <w:rPr>
          <w:rFonts w:ascii="Franklin Gothic Book" w:hAnsi="Franklin Gothic Book"/>
          <w:sz w:val="22"/>
          <w:szCs w:val="22"/>
        </w:rPr>
        <w:t>effect</w:t>
      </w:r>
      <w:r w:rsidRPr="00353EDD">
        <w:rPr>
          <w:rFonts w:ascii="Franklin Gothic Book" w:hAnsi="Franklin Gothic Book"/>
          <w:sz w:val="22"/>
          <w:szCs w:val="22"/>
        </w:rPr>
        <w:t xml:space="preserve"> relates not to the patients’ progression through the stages of liver disease, but to </w:t>
      </w:r>
      <w:r>
        <w:rPr>
          <w:rFonts w:ascii="Franklin Gothic Book" w:hAnsi="Franklin Gothic Book"/>
          <w:sz w:val="22"/>
          <w:szCs w:val="22"/>
        </w:rPr>
        <w:t xml:space="preserve">the </w:t>
      </w:r>
      <w:r w:rsidRPr="00353EDD">
        <w:rPr>
          <w:rFonts w:ascii="Franklin Gothic Book" w:hAnsi="Franklin Gothic Book"/>
          <w:sz w:val="22"/>
          <w:szCs w:val="22"/>
        </w:rPr>
        <w:t xml:space="preserve">financial implications of a sharp increase in the number of FibroScan devices in primary care. </w:t>
      </w:r>
      <w:r w:rsidR="00BF4B8F">
        <w:rPr>
          <w:rFonts w:ascii="Franklin Gothic Book" w:hAnsi="Franklin Gothic Book"/>
          <w:sz w:val="22"/>
          <w:szCs w:val="22"/>
        </w:rPr>
        <w:t xml:space="preserve">Given the </w:t>
      </w:r>
      <w:r w:rsidR="0059550A">
        <w:rPr>
          <w:rFonts w:ascii="Franklin Gothic Book" w:hAnsi="Franklin Gothic Book"/>
          <w:sz w:val="22"/>
          <w:szCs w:val="22"/>
        </w:rPr>
        <w:t xml:space="preserve">uncertain </w:t>
      </w:r>
      <w:r w:rsidR="00BF4B8F">
        <w:rPr>
          <w:rFonts w:ascii="Franklin Gothic Book" w:hAnsi="Franklin Gothic Book"/>
          <w:sz w:val="22"/>
          <w:szCs w:val="22"/>
        </w:rPr>
        <w:t>results of the economic model, the financial impact which relied on these inputs w</w:t>
      </w:r>
      <w:r w:rsidR="00AA3241">
        <w:rPr>
          <w:rFonts w:ascii="Franklin Gothic Book" w:hAnsi="Franklin Gothic Book"/>
          <w:sz w:val="22"/>
          <w:szCs w:val="22"/>
        </w:rPr>
        <w:t>as</w:t>
      </w:r>
      <w:r w:rsidR="00BF4B8F">
        <w:rPr>
          <w:rFonts w:ascii="Franklin Gothic Book" w:hAnsi="Franklin Gothic Book"/>
          <w:sz w:val="22"/>
          <w:szCs w:val="22"/>
        </w:rPr>
        <w:t xml:space="preserve"> also uncertain. Moreover, the commentary noted that specific claims around diagnostic outcomes which were supposedly based on the economic model could not be verified. </w:t>
      </w:r>
      <w:r w:rsidR="00831520">
        <w:rPr>
          <w:rFonts w:ascii="Franklin Gothic Book" w:hAnsi="Franklin Gothic Book"/>
          <w:sz w:val="22"/>
          <w:szCs w:val="22"/>
        </w:rPr>
        <w:t xml:space="preserve">For example, a </w:t>
      </w:r>
      <w:r w:rsidR="00F86006">
        <w:rPr>
          <w:rFonts w:ascii="Franklin Gothic Book" w:hAnsi="Franklin Gothic Book"/>
          <w:sz w:val="22"/>
          <w:szCs w:val="22"/>
        </w:rPr>
        <w:t>false negative rate of 2</w:t>
      </w:r>
      <w:r w:rsidR="0055527E">
        <w:rPr>
          <w:rFonts w:ascii="Franklin Gothic Book" w:hAnsi="Franklin Gothic Book"/>
          <w:sz w:val="22"/>
          <w:szCs w:val="22"/>
        </w:rPr>
        <w:t>% was reported but this could not be verified. As such, the diagnostic parameters which informed the “downstream savings” should be considered uncertain.</w:t>
      </w:r>
    </w:p>
    <w:p w14:paraId="379ECEE9" w14:textId="2ED97F78" w:rsidR="007E0D44" w:rsidRDefault="007E0D44" w:rsidP="00BF1AD4">
      <w:pPr>
        <w:pStyle w:val="BodyText"/>
        <w:keepLines w:val="0"/>
        <w:rPr>
          <w:rFonts w:ascii="Franklin Gothic Book" w:hAnsi="Franklin Gothic Book"/>
          <w:sz w:val="22"/>
          <w:szCs w:val="22"/>
        </w:rPr>
      </w:pPr>
      <w:r>
        <w:rPr>
          <w:rFonts w:ascii="Franklin Gothic Book" w:hAnsi="Franklin Gothic Book"/>
          <w:sz w:val="22"/>
          <w:szCs w:val="22"/>
        </w:rPr>
        <w:t>Nevertheless, t</w:t>
      </w:r>
      <w:r w:rsidRPr="00D129B0">
        <w:rPr>
          <w:rFonts w:ascii="Franklin Gothic Book" w:hAnsi="Franklin Gothic Book"/>
          <w:sz w:val="22"/>
          <w:szCs w:val="22"/>
        </w:rPr>
        <w:t xml:space="preserve">he </w:t>
      </w:r>
      <w:r>
        <w:rPr>
          <w:rFonts w:ascii="Franklin Gothic Book" w:hAnsi="Franklin Gothic Book"/>
          <w:sz w:val="22"/>
          <w:szCs w:val="22"/>
        </w:rPr>
        <w:t>ADAR</w:t>
      </w:r>
      <w:r w:rsidRPr="00D129B0">
        <w:rPr>
          <w:rFonts w:ascii="Franklin Gothic Book" w:hAnsi="Franklin Gothic Book"/>
          <w:sz w:val="22"/>
          <w:szCs w:val="22"/>
        </w:rPr>
        <w:t xml:space="preserve"> translate</w:t>
      </w:r>
      <w:r w:rsidR="00BF1AD4">
        <w:rPr>
          <w:rFonts w:ascii="Franklin Gothic Book" w:hAnsi="Franklin Gothic Book"/>
          <w:sz w:val="22"/>
          <w:szCs w:val="22"/>
        </w:rPr>
        <w:t>d</w:t>
      </w:r>
      <w:r w:rsidRPr="00D129B0">
        <w:rPr>
          <w:rFonts w:ascii="Franklin Gothic Book" w:hAnsi="Franklin Gothic Book"/>
          <w:sz w:val="22"/>
          <w:szCs w:val="22"/>
        </w:rPr>
        <w:t xml:space="preserve"> the difference in proportions of incorrect diagnoses (FN and FP) </w:t>
      </w:r>
      <w:r>
        <w:rPr>
          <w:rFonts w:ascii="Franklin Gothic Book" w:hAnsi="Franklin Gothic Book"/>
          <w:sz w:val="22"/>
          <w:szCs w:val="22"/>
        </w:rPr>
        <w:t>between</w:t>
      </w:r>
      <w:r w:rsidRPr="00D129B0">
        <w:rPr>
          <w:rFonts w:ascii="Franklin Gothic Book" w:hAnsi="Franklin Gothic Book"/>
          <w:sz w:val="22"/>
          <w:szCs w:val="22"/>
        </w:rPr>
        <w:t xml:space="preserve"> the comparator</w:t>
      </w:r>
      <w:r>
        <w:rPr>
          <w:rFonts w:ascii="Franklin Gothic Book" w:hAnsi="Franklin Gothic Book"/>
          <w:sz w:val="22"/>
          <w:szCs w:val="22"/>
        </w:rPr>
        <w:t xml:space="preserve"> (FIB-4 +</w:t>
      </w:r>
      <w:r w:rsidR="00860B19">
        <w:rPr>
          <w:rFonts w:ascii="Franklin Gothic Book" w:hAnsi="Franklin Gothic Book"/>
          <w:sz w:val="22"/>
          <w:szCs w:val="22"/>
        </w:rPr>
        <w:t xml:space="preserve"> </w:t>
      </w:r>
      <w:r>
        <w:rPr>
          <w:rFonts w:ascii="Franklin Gothic Book" w:hAnsi="Franklin Gothic Book"/>
          <w:sz w:val="22"/>
          <w:szCs w:val="22"/>
        </w:rPr>
        <w:t xml:space="preserve">ultrasound) </w:t>
      </w:r>
      <w:r w:rsidRPr="00D129B0">
        <w:rPr>
          <w:rFonts w:ascii="Franklin Gothic Book" w:hAnsi="Franklin Gothic Book"/>
          <w:sz w:val="22"/>
          <w:szCs w:val="22"/>
        </w:rPr>
        <w:t xml:space="preserve">and the intervention </w:t>
      </w:r>
      <w:r>
        <w:rPr>
          <w:rFonts w:ascii="Franklin Gothic Book" w:hAnsi="Franklin Gothic Book"/>
          <w:sz w:val="22"/>
          <w:szCs w:val="22"/>
        </w:rPr>
        <w:t>(</w:t>
      </w:r>
      <w:r w:rsidRPr="00D129B0">
        <w:rPr>
          <w:rFonts w:ascii="Franklin Gothic Book" w:hAnsi="Franklin Gothic Book"/>
          <w:sz w:val="22"/>
          <w:szCs w:val="22"/>
        </w:rPr>
        <w:t>FIB-4+VCTE</w:t>
      </w:r>
      <w:r>
        <w:rPr>
          <w:rFonts w:ascii="Franklin Gothic Book" w:hAnsi="Franklin Gothic Book"/>
          <w:sz w:val="22"/>
          <w:szCs w:val="22"/>
        </w:rPr>
        <w:t>) arm</w:t>
      </w:r>
      <w:r w:rsidR="00715B07">
        <w:rPr>
          <w:rFonts w:ascii="Franklin Gothic Book" w:hAnsi="Franklin Gothic Book"/>
          <w:sz w:val="22"/>
          <w:szCs w:val="22"/>
        </w:rPr>
        <w:t>s</w:t>
      </w:r>
      <w:r>
        <w:rPr>
          <w:rFonts w:ascii="Franklin Gothic Book" w:hAnsi="Franklin Gothic Book"/>
          <w:sz w:val="22"/>
          <w:szCs w:val="22"/>
        </w:rPr>
        <w:t xml:space="preserve"> (Section </w:t>
      </w:r>
      <w:r w:rsidR="002F1542">
        <w:rPr>
          <w:rFonts w:ascii="Franklin Gothic Book" w:hAnsi="Franklin Gothic Book"/>
          <w:sz w:val="22"/>
          <w:szCs w:val="22"/>
        </w:rPr>
        <w:t>13</w:t>
      </w:r>
      <w:r>
        <w:rPr>
          <w:rFonts w:ascii="Franklin Gothic Book" w:hAnsi="Franklin Gothic Book"/>
          <w:sz w:val="22"/>
          <w:szCs w:val="22"/>
        </w:rPr>
        <w:t xml:space="preserve">) </w:t>
      </w:r>
      <w:r w:rsidRPr="00D129B0">
        <w:rPr>
          <w:rFonts w:ascii="Franklin Gothic Book" w:hAnsi="Franklin Gothic Book"/>
          <w:sz w:val="22"/>
          <w:szCs w:val="22"/>
        </w:rPr>
        <w:t xml:space="preserve">into </w:t>
      </w:r>
      <w:r>
        <w:rPr>
          <w:rFonts w:ascii="Franklin Gothic Book" w:hAnsi="Franklin Gothic Book"/>
          <w:sz w:val="22"/>
          <w:szCs w:val="22"/>
        </w:rPr>
        <w:t xml:space="preserve">the </w:t>
      </w:r>
      <w:r w:rsidRPr="00D129B0">
        <w:rPr>
          <w:rFonts w:ascii="Franklin Gothic Book" w:hAnsi="Franklin Gothic Book"/>
          <w:sz w:val="22"/>
          <w:szCs w:val="22"/>
        </w:rPr>
        <w:t>incremental cost offsets</w:t>
      </w:r>
      <w:r>
        <w:rPr>
          <w:rFonts w:ascii="Franklin Gothic Book" w:hAnsi="Franklin Gothic Book"/>
          <w:sz w:val="22"/>
          <w:szCs w:val="22"/>
        </w:rPr>
        <w:t>. These are then included in the financial model to reduce the net cost to MBS</w:t>
      </w:r>
      <w:r w:rsidRPr="00D129B0">
        <w:rPr>
          <w:rFonts w:ascii="Franklin Gothic Book" w:hAnsi="Franklin Gothic Book"/>
          <w:sz w:val="22"/>
          <w:szCs w:val="22"/>
        </w:rPr>
        <w:t xml:space="preserve">. </w:t>
      </w:r>
      <w:r w:rsidRPr="002A7CDE">
        <w:rPr>
          <w:rFonts w:ascii="Franklin Gothic Book" w:hAnsi="Franklin Gothic Book"/>
          <w:sz w:val="22"/>
          <w:szCs w:val="22"/>
        </w:rPr>
        <w:t xml:space="preserve">The estimated cost offsets </w:t>
      </w:r>
      <w:r w:rsidR="003D48F8">
        <w:rPr>
          <w:rFonts w:ascii="Franklin Gothic Book" w:hAnsi="Franklin Gothic Book"/>
          <w:sz w:val="22"/>
          <w:szCs w:val="22"/>
        </w:rPr>
        <w:t xml:space="preserve">were due </w:t>
      </w:r>
      <w:r w:rsidRPr="002A7CDE">
        <w:rPr>
          <w:rFonts w:ascii="Franklin Gothic Book" w:hAnsi="Franklin Gothic Book"/>
          <w:sz w:val="22"/>
          <w:szCs w:val="22"/>
        </w:rPr>
        <w:t>to</w:t>
      </w:r>
      <w:r w:rsidR="003D48F8">
        <w:rPr>
          <w:rFonts w:ascii="Franklin Gothic Book" w:hAnsi="Franklin Gothic Book"/>
          <w:sz w:val="22"/>
          <w:szCs w:val="22"/>
        </w:rPr>
        <w:t xml:space="preserve"> assumptions in:</w:t>
      </w:r>
    </w:p>
    <w:p w14:paraId="6274A340" w14:textId="4FEACADC" w:rsidR="007E0D44" w:rsidRPr="00463C22" w:rsidRDefault="00FE51BD" w:rsidP="005E01EA">
      <w:pPr>
        <w:pStyle w:val="BodyText"/>
        <w:keepLines w:val="0"/>
        <w:numPr>
          <w:ilvl w:val="0"/>
          <w:numId w:val="16"/>
        </w:numPr>
        <w:ind w:left="714" w:hanging="357"/>
        <w:rPr>
          <w:rFonts w:ascii="Franklin Gothic Book" w:hAnsi="Franklin Gothic Book"/>
          <w:sz w:val="22"/>
          <w:szCs w:val="22"/>
        </w:rPr>
      </w:pPr>
      <w:r w:rsidRPr="00463C22">
        <w:rPr>
          <w:rFonts w:ascii="Franklin Gothic Book" w:hAnsi="Franklin Gothic Book"/>
          <w:sz w:val="22"/>
          <w:szCs w:val="22"/>
        </w:rPr>
        <w:t>R</w:t>
      </w:r>
      <w:r w:rsidR="007E0D44" w:rsidRPr="00463C22">
        <w:rPr>
          <w:rFonts w:ascii="Franklin Gothic Book" w:hAnsi="Franklin Gothic Book"/>
          <w:sz w:val="22"/>
          <w:szCs w:val="22"/>
        </w:rPr>
        <w:t>eduction in the follow-up specialist consultations (90%), assuming that all FibroScan devices are placed at the point-of-care, and results are instantly available and interpreted by GPs in the course of the initial presentation.</w:t>
      </w:r>
      <w:r w:rsidR="00013138" w:rsidRPr="00463C22">
        <w:rPr>
          <w:rFonts w:ascii="Franklin Gothic Book" w:hAnsi="Franklin Gothic Book"/>
          <w:sz w:val="22"/>
          <w:szCs w:val="22"/>
        </w:rPr>
        <w:t xml:space="preserve"> It should be noted that the requirement for patients to fast for at least two hours before VCTE may conflict with the claim that the test can be conveniently performed at the first visit. In practice, patients who have eaten recently would be unable to undergo the test immediately, potentially necessitating a return appointment and reducing the efficiency and accessibility of care.</w:t>
      </w:r>
      <w:r w:rsidR="001A1F5D">
        <w:rPr>
          <w:rFonts w:ascii="Franklin Gothic Book" w:hAnsi="Franklin Gothic Book"/>
          <w:sz w:val="22"/>
          <w:szCs w:val="22"/>
        </w:rPr>
        <w:t xml:space="preserve"> </w:t>
      </w:r>
    </w:p>
    <w:p w14:paraId="2FA7A997" w14:textId="38B9CF30" w:rsidR="007E0D44" w:rsidRDefault="007E0D44" w:rsidP="005E01EA">
      <w:pPr>
        <w:pStyle w:val="BodyText"/>
        <w:keepLines w:val="0"/>
        <w:numPr>
          <w:ilvl w:val="0"/>
          <w:numId w:val="16"/>
        </w:numPr>
        <w:ind w:left="714" w:hanging="357"/>
        <w:rPr>
          <w:rFonts w:ascii="Franklin Gothic Book" w:hAnsi="Franklin Gothic Book"/>
          <w:sz w:val="22"/>
          <w:szCs w:val="22"/>
        </w:rPr>
      </w:pPr>
      <w:r>
        <w:rPr>
          <w:rFonts w:ascii="Franklin Gothic Book" w:hAnsi="Franklin Gothic Book"/>
          <w:sz w:val="22"/>
          <w:szCs w:val="22"/>
        </w:rPr>
        <w:t xml:space="preserve">Reduction in </w:t>
      </w:r>
      <w:r w:rsidRPr="002A7CDE">
        <w:rPr>
          <w:rFonts w:ascii="Franklin Gothic Book" w:hAnsi="Franklin Gothic Book"/>
          <w:sz w:val="22"/>
          <w:szCs w:val="22"/>
        </w:rPr>
        <w:t>ultrasound</w:t>
      </w:r>
      <w:r>
        <w:rPr>
          <w:rFonts w:ascii="Franklin Gothic Book" w:hAnsi="Franklin Gothic Book"/>
          <w:sz w:val="22"/>
          <w:szCs w:val="22"/>
        </w:rPr>
        <w:t xml:space="preserve"> services</w:t>
      </w:r>
      <w:r w:rsidRPr="002A7CDE">
        <w:rPr>
          <w:rFonts w:ascii="Franklin Gothic Book" w:hAnsi="Franklin Gothic Book"/>
          <w:sz w:val="22"/>
          <w:szCs w:val="22"/>
        </w:rPr>
        <w:t xml:space="preserve"> </w:t>
      </w:r>
      <w:r>
        <w:rPr>
          <w:rFonts w:ascii="Franklin Gothic Book" w:hAnsi="Franklin Gothic Book"/>
          <w:sz w:val="22"/>
          <w:szCs w:val="22"/>
        </w:rPr>
        <w:t>in primary and specialist care</w:t>
      </w:r>
      <w:r w:rsidR="00520213">
        <w:rPr>
          <w:rFonts w:ascii="Franklin Gothic Book" w:hAnsi="Franklin Gothic Book"/>
          <w:sz w:val="22"/>
          <w:szCs w:val="22"/>
        </w:rPr>
        <w:t>, with</w:t>
      </w:r>
      <w:r w:rsidR="007C12B9">
        <w:rPr>
          <w:rFonts w:ascii="Franklin Gothic Book" w:hAnsi="Franklin Gothic Book"/>
          <w:sz w:val="22"/>
          <w:szCs w:val="22"/>
        </w:rPr>
        <w:t xml:space="preserve"> </w:t>
      </w:r>
      <w:r w:rsidR="00831592">
        <w:rPr>
          <w:rFonts w:ascii="Franklin Gothic Book" w:hAnsi="Franklin Gothic Book"/>
          <w:sz w:val="22"/>
          <w:szCs w:val="22"/>
        </w:rPr>
        <w:t xml:space="preserve">VCTE </w:t>
      </w:r>
      <w:r w:rsidR="007C12B9">
        <w:rPr>
          <w:rFonts w:ascii="Franklin Gothic Book" w:hAnsi="Franklin Gothic Book"/>
          <w:sz w:val="22"/>
          <w:szCs w:val="22"/>
        </w:rPr>
        <w:t>replac</w:t>
      </w:r>
      <w:r w:rsidR="00520213">
        <w:rPr>
          <w:rFonts w:ascii="Franklin Gothic Book" w:hAnsi="Franklin Gothic Book"/>
          <w:sz w:val="22"/>
          <w:szCs w:val="22"/>
        </w:rPr>
        <w:t>ing</w:t>
      </w:r>
      <w:r w:rsidR="007C12B9">
        <w:rPr>
          <w:rFonts w:ascii="Franklin Gothic Book" w:hAnsi="Franklin Gothic Book"/>
          <w:sz w:val="22"/>
          <w:szCs w:val="22"/>
        </w:rPr>
        <w:t xml:space="preserve"> </w:t>
      </w:r>
      <w:r w:rsidR="00831592">
        <w:rPr>
          <w:rFonts w:ascii="Franklin Gothic Book" w:hAnsi="Franklin Gothic Book"/>
          <w:sz w:val="22"/>
          <w:szCs w:val="22"/>
        </w:rPr>
        <w:t>8</w:t>
      </w:r>
      <w:r w:rsidR="00831592" w:rsidRPr="002A7CDE">
        <w:rPr>
          <w:rFonts w:ascii="Franklin Gothic Book" w:hAnsi="Franklin Gothic Book"/>
          <w:sz w:val="22"/>
          <w:szCs w:val="22"/>
        </w:rPr>
        <w:t>0%</w:t>
      </w:r>
      <w:r w:rsidR="00831592">
        <w:rPr>
          <w:rFonts w:ascii="Franklin Gothic Book" w:hAnsi="Franklin Gothic Book"/>
          <w:sz w:val="22"/>
          <w:szCs w:val="22"/>
        </w:rPr>
        <w:t xml:space="preserve"> of ultrasounds</w:t>
      </w:r>
      <w:r w:rsidR="003D48F8">
        <w:rPr>
          <w:rFonts w:ascii="Franklin Gothic Book" w:hAnsi="Franklin Gothic Book"/>
          <w:sz w:val="22"/>
          <w:szCs w:val="22"/>
        </w:rPr>
        <w:t xml:space="preserve">. However, as discussed above, </w:t>
      </w:r>
      <w:r w:rsidR="00E26116">
        <w:rPr>
          <w:rFonts w:ascii="Franklin Gothic Book" w:hAnsi="Franklin Gothic Book"/>
          <w:sz w:val="22"/>
          <w:szCs w:val="22"/>
        </w:rPr>
        <w:t xml:space="preserve">PASC did not consider </w:t>
      </w:r>
      <w:r w:rsidR="008F01C7">
        <w:rPr>
          <w:rFonts w:ascii="Franklin Gothic Book" w:hAnsi="Franklin Gothic Book"/>
          <w:sz w:val="22"/>
          <w:szCs w:val="22"/>
        </w:rPr>
        <w:t xml:space="preserve">morphological </w:t>
      </w:r>
      <w:r w:rsidR="00E26116">
        <w:rPr>
          <w:rFonts w:ascii="Franklin Gothic Book" w:hAnsi="Franklin Gothic Book"/>
          <w:sz w:val="22"/>
          <w:szCs w:val="22"/>
        </w:rPr>
        <w:t xml:space="preserve">ultrasound to be an appropriate comparator and </w:t>
      </w:r>
      <w:r w:rsidR="003D48F8">
        <w:rPr>
          <w:rFonts w:ascii="Franklin Gothic Book" w:hAnsi="Franklin Gothic Book"/>
          <w:sz w:val="22"/>
          <w:szCs w:val="22"/>
        </w:rPr>
        <w:t xml:space="preserve">MBS item 55036 (used by the ADAR in the cost offsets) is not covered by the MBS for </w:t>
      </w:r>
      <w:r w:rsidR="009763B8">
        <w:rPr>
          <w:rFonts w:ascii="Franklin Gothic Book" w:hAnsi="Franklin Gothic Book"/>
          <w:sz w:val="22"/>
          <w:szCs w:val="22"/>
        </w:rPr>
        <w:t>elastography</w:t>
      </w:r>
      <w:r w:rsidR="00A26010">
        <w:rPr>
          <w:rFonts w:ascii="Franklin Gothic Book" w:hAnsi="Franklin Gothic Book"/>
          <w:sz w:val="22"/>
          <w:szCs w:val="22"/>
        </w:rPr>
        <w:t>.</w:t>
      </w:r>
    </w:p>
    <w:p w14:paraId="4E21C971" w14:textId="72B49954" w:rsidR="007E0D44" w:rsidRDefault="007E0D44" w:rsidP="005E01EA">
      <w:pPr>
        <w:pStyle w:val="BodyText"/>
        <w:keepLines w:val="0"/>
        <w:numPr>
          <w:ilvl w:val="0"/>
          <w:numId w:val="16"/>
        </w:numPr>
        <w:ind w:left="714" w:hanging="357"/>
        <w:rPr>
          <w:rFonts w:ascii="Franklin Gothic Book" w:hAnsi="Franklin Gothic Book"/>
          <w:sz w:val="22"/>
          <w:szCs w:val="22"/>
        </w:rPr>
      </w:pPr>
      <w:r>
        <w:rPr>
          <w:rFonts w:ascii="Franklin Gothic Book" w:hAnsi="Franklin Gothic Book"/>
          <w:sz w:val="22"/>
          <w:szCs w:val="22"/>
        </w:rPr>
        <w:t xml:space="preserve">Reduction in </w:t>
      </w:r>
      <w:r w:rsidRPr="002A7CDE">
        <w:rPr>
          <w:rFonts w:ascii="Franklin Gothic Book" w:hAnsi="Franklin Gothic Book"/>
          <w:sz w:val="22"/>
          <w:szCs w:val="22"/>
        </w:rPr>
        <w:t>liver biopsies (10%)</w:t>
      </w:r>
      <w:r>
        <w:rPr>
          <w:rFonts w:ascii="Franklin Gothic Book" w:hAnsi="Franklin Gothic Book"/>
          <w:sz w:val="22"/>
          <w:szCs w:val="22"/>
        </w:rPr>
        <w:t xml:space="preserve"> in specialist care. This was based on</w:t>
      </w:r>
      <w:r w:rsidR="00BF1AD4">
        <w:rPr>
          <w:rFonts w:ascii="Franklin Gothic Book" w:hAnsi="Franklin Gothic Book"/>
          <w:sz w:val="22"/>
          <w:szCs w:val="22"/>
        </w:rPr>
        <w:t xml:space="preserve"> </w:t>
      </w:r>
      <w:r>
        <w:rPr>
          <w:rFonts w:ascii="Franklin Gothic Book" w:hAnsi="Franklin Gothic Book"/>
          <w:sz w:val="22"/>
          <w:szCs w:val="22"/>
        </w:rPr>
        <w:t>expert advice that</w:t>
      </w:r>
      <w:r w:rsidR="005864A8">
        <w:rPr>
          <w:rFonts w:ascii="Franklin Gothic Book" w:hAnsi="Franklin Gothic Book"/>
          <w:sz w:val="22"/>
          <w:szCs w:val="22"/>
        </w:rPr>
        <w:t>,</w:t>
      </w:r>
      <w:r w:rsidRPr="00B77052">
        <w:rPr>
          <w:rFonts w:ascii="Franklin Gothic Book" w:hAnsi="Franklin Gothic Book"/>
          <w:sz w:val="22"/>
          <w:szCs w:val="22"/>
        </w:rPr>
        <w:t xml:space="preserve"> in </w:t>
      </w:r>
      <w:r>
        <w:rPr>
          <w:rFonts w:ascii="Franklin Gothic Book" w:hAnsi="Franklin Gothic Book"/>
          <w:sz w:val="22"/>
          <w:szCs w:val="22"/>
        </w:rPr>
        <w:t>current practice</w:t>
      </w:r>
      <w:r w:rsidR="00E4287C">
        <w:rPr>
          <w:rFonts w:ascii="Franklin Gothic Book" w:hAnsi="Franklin Gothic Book"/>
          <w:sz w:val="22"/>
          <w:szCs w:val="22"/>
        </w:rPr>
        <w:t>,</w:t>
      </w:r>
      <w:r w:rsidRPr="00B77052">
        <w:rPr>
          <w:rFonts w:ascii="Franklin Gothic Book" w:hAnsi="Franklin Gothic Book"/>
          <w:sz w:val="22"/>
          <w:szCs w:val="22"/>
        </w:rPr>
        <w:t xml:space="preserve"> 15% of patients with fibrosis-suggestive ultrasound findings undergo a liver biopsy, </w:t>
      </w:r>
      <w:r w:rsidR="00DA2608">
        <w:rPr>
          <w:rFonts w:ascii="Franklin Gothic Book" w:hAnsi="Franklin Gothic Book"/>
          <w:sz w:val="22"/>
          <w:szCs w:val="22"/>
        </w:rPr>
        <w:t xml:space="preserve">whereas </w:t>
      </w:r>
      <w:r w:rsidRPr="00B77052">
        <w:rPr>
          <w:rFonts w:ascii="Franklin Gothic Book" w:hAnsi="Franklin Gothic Book"/>
          <w:sz w:val="22"/>
          <w:szCs w:val="22"/>
        </w:rPr>
        <w:t xml:space="preserve">only 5% of </w:t>
      </w:r>
      <w:r>
        <w:rPr>
          <w:rFonts w:ascii="Franklin Gothic Book" w:hAnsi="Franklin Gothic Book"/>
          <w:sz w:val="22"/>
          <w:szCs w:val="22"/>
        </w:rPr>
        <w:t xml:space="preserve">patients </w:t>
      </w:r>
      <w:r w:rsidRPr="00B77052">
        <w:rPr>
          <w:rFonts w:ascii="Franklin Gothic Book" w:hAnsi="Franklin Gothic Book"/>
          <w:sz w:val="22"/>
          <w:szCs w:val="22"/>
        </w:rPr>
        <w:t>with increased liver stiffness</w:t>
      </w:r>
      <w:r w:rsidR="00733540">
        <w:rPr>
          <w:rFonts w:ascii="Franklin Gothic Book" w:hAnsi="Franklin Gothic Book"/>
          <w:sz w:val="22"/>
          <w:szCs w:val="22"/>
        </w:rPr>
        <w:t>,</w:t>
      </w:r>
      <w:r w:rsidRPr="00B77052">
        <w:rPr>
          <w:rFonts w:ascii="Franklin Gothic Book" w:hAnsi="Franklin Gothic Book"/>
          <w:sz w:val="22"/>
          <w:szCs w:val="22"/>
        </w:rPr>
        <w:t xml:space="preserve"> as assessed by VCTE undergo a liver biopsy</w:t>
      </w:r>
      <w:r w:rsidR="00463C22">
        <w:rPr>
          <w:rFonts w:ascii="Franklin Gothic Book" w:hAnsi="Franklin Gothic Book"/>
          <w:sz w:val="22"/>
          <w:szCs w:val="22"/>
        </w:rPr>
        <w:t>.</w:t>
      </w:r>
    </w:p>
    <w:p w14:paraId="0139C7C0" w14:textId="156B24D4" w:rsidR="007E0D44" w:rsidRDefault="007E0D44" w:rsidP="005E01EA">
      <w:pPr>
        <w:pStyle w:val="BodyText"/>
        <w:keepLines w:val="0"/>
        <w:numPr>
          <w:ilvl w:val="0"/>
          <w:numId w:val="16"/>
        </w:numPr>
        <w:ind w:left="714" w:hanging="357"/>
        <w:rPr>
          <w:rFonts w:ascii="Franklin Gothic Book" w:hAnsi="Franklin Gothic Book"/>
          <w:sz w:val="22"/>
          <w:szCs w:val="22"/>
        </w:rPr>
      </w:pPr>
      <w:r w:rsidRPr="005072C7">
        <w:rPr>
          <w:rFonts w:ascii="Franklin Gothic Book" w:hAnsi="Franklin Gothic Book"/>
          <w:sz w:val="22"/>
          <w:szCs w:val="22"/>
        </w:rPr>
        <w:t>Reduction</w:t>
      </w:r>
      <w:r>
        <w:rPr>
          <w:rFonts w:ascii="Franklin Gothic Book" w:hAnsi="Franklin Gothic Book"/>
          <w:sz w:val="22"/>
          <w:szCs w:val="22"/>
        </w:rPr>
        <w:t xml:space="preserve"> </w:t>
      </w:r>
      <w:r w:rsidRPr="005072C7">
        <w:rPr>
          <w:rFonts w:ascii="Franklin Gothic Book" w:hAnsi="Franklin Gothic Book"/>
          <w:sz w:val="22"/>
          <w:szCs w:val="22"/>
        </w:rPr>
        <w:t xml:space="preserve">in </w:t>
      </w:r>
      <w:r>
        <w:rPr>
          <w:rFonts w:ascii="Franklin Gothic Book" w:hAnsi="Franklin Gothic Book"/>
          <w:sz w:val="22"/>
          <w:szCs w:val="22"/>
        </w:rPr>
        <w:t xml:space="preserve">the proportion of </w:t>
      </w:r>
      <w:r w:rsidRPr="005072C7">
        <w:rPr>
          <w:rFonts w:ascii="Franklin Gothic Book" w:hAnsi="Franklin Gothic Book"/>
          <w:sz w:val="22"/>
          <w:szCs w:val="22"/>
        </w:rPr>
        <w:t xml:space="preserve">false positive outcomes </w:t>
      </w:r>
      <w:r>
        <w:rPr>
          <w:rFonts w:ascii="Franklin Gothic Book" w:hAnsi="Franklin Gothic Book"/>
          <w:sz w:val="22"/>
          <w:szCs w:val="22"/>
        </w:rPr>
        <w:t xml:space="preserve">by 60% </w:t>
      </w:r>
      <w:r w:rsidRPr="005072C7">
        <w:rPr>
          <w:rFonts w:ascii="Franklin Gothic Book" w:hAnsi="Franklin Gothic Book"/>
          <w:sz w:val="22"/>
          <w:szCs w:val="22"/>
        </w:rPr>
        <w:t xml:space="preserve">when ultrasound is substituted </w:t>
      </w:r>
      <w:r>
        <w:rPr>
          <w:rFonts w:ascii="Franklin Gothic Book" w:hAnsi="Franklin Gothic Book"/>
          <w:sz w:val="22"/>
          <w:szCs w:val="22"/>
        </w:rPr>
        <w:t>with</w:t>
      </w:r>
      <w:r w:rsidRPr="005072C7">
        <w:rPr>
          <w:rFonts w:ascii="Franklin Gothic Book" w:hAnsi="Franklin Gothic Book"/>
          <w:sz w:val="22"/>
          <w:szCs w:val="22"/>
        </w:rPr>
        <w:t xml:space="preserve"> VCTE</w:t>
      </w:r>
      <w:r>
        <w:rPr>
          <w:rFonts w:ascii="Franklin Gothic Book" w:hAnsi="Franklin Gothic Book"/>
          <w:sz w:val="22"/>
          <w:szCs w:val="22"/>
        </w:rPr>
        <w:t>. Translated into</w:t>
      </w:r>
      <w:r w:rsidRPr="005072C7">
        <w:rPr>
          <w:rFonts w:ascii="Franklin Gothic Book" w:hAnsi="Franklin Gothic Book"/>
          <w:sz w:val="22"/>
          <w:szCs w:val="22"/>
        </w:rPr>
        <w:t xml:space="preserve"> </w:t>
      </w:r>
      <w:r w:rsidR="00733540">
        <w:rPr>
          <w:rFonts w:ascii="Franklin Gothic Book" w:hAnsi="Franklin Gothic Book"/>
          <w:sz w:val="22"/>
          <w:szCs w:val="22"/>
        </w:rPr>
        <w:t>a</w:t>
      </w:r>
      <w:r w:rsidRPr="005072C7">
        <w:rPr>
          <w:rFonts w:ascii="Franklin Gothic Book" w:hAnsi="Franklin Gothic Book"/>
          <w:sz w:val="22"/>
          <w:szCs w:val="22"/>
        </w:rPr>
        <w:t xml:space="preserve"> corresponding reduction in unnecessary specialist visits</w:t>
      </w:r>
      <w:r w:rsidR="0CF538D0" w:rsidRPr="099293F9">
        <w:rPr>
          <w:rFonts w:ascii="Franklin Gothic Book" w:hAnsi="Franklin Gothic Book"/>
          <w:sz w:val="22"/>
          <w:szCs w:val="22"/>
        </w:rPr>
        <w:t>.</w:t>
      </w:r>
    </w:p>
    <w:p w14:paraId="20B0C01B" w14:textId="0D20C8C7" w:rsidR="007E0D44" w:rsidRDefault="007E0D44" w:rsidP="0045785E">
      <w:pPr>
        <w:pStyle w:val="BodyText"/>
        <w:keepLines w:val="0"/>
        <w:rPr>
          <w:rFonts w:ascii="Franklin Gothic Book" w:hAnsi="Franklin Gothic Book"/>
          <w:sz w:val="22"/>
          <w:szCs w:val="22"/>
        </w:rPr>
      </w:pPr>
      <w:r>
        <w:rPr>
          <w:rFonts w:ascii="Franklin Gothic Book" w:hAnsi="Franklin Gothic Book"/>
          <w:sz w:val="22"/>
          <w:szCs w:val="22"/>
        </w:rPr>
        <w:t xml:space="preserve">The assumptions for cost-offset calculations </w:t>
      </w:r>
      <w:r w:rsidR="0045785E">
        <w:rPr>
          <w:rFonts w:ascii="Franklin Gothic Book" w:hAnsi="Franklin Gothic Book"/>
          <w:sz w:val="22"/>
          <w:szCs w:val="22"/>
        </w:rPr>
        <w:t>were uncertain</w:t>
      </w:r>
      <w:r w:rsidR="00733540">
        <w:rPr>
          <w:rFonts w:ascii="Franklin Gothic Book" w:hAnsi="Franklin Gothic Book"/>
          <w:sz w:val="22"/>
          <w:szCs w:val="22"/>
        </w:rPr>
        <w:t>,</w:t>
      </w:r>
      <w:r w:rsidR="0045785E">
        <w:rPr>
          <w:rFonts w:ascii="Franklin Gothic Book" w:hAnsi="Franklin Gothic Book"/>
          <w:sz w:val="22"/>
          <w:szCs w:val="22"/>
        </w:rPr>
        <w:t xml:space="preserve"> as </w:t>
      </w:r>
      <w:r w:rsidR="006B5023">
        <w:rPr>
          <w:rFonts w:ascii="Franklin Gothic Book" w:hAnsi="Franklin Gothic Book"/>
          <w:sz w:val="22"/>
          <w:szCs w:val="22"/>
        </w:rPr>
        <w:t xml:space="preserve">they </w:t>
      </w:r>
      <w:r w:rsidR="00733540">
        <w:rPr>
          <w:rFonts w:ascii="Franklin Gothic Book" w:hAnsi="Franklin Gothic Book"/>
          <w:sz w:val="22"/>
          <w:szCs w:val="22"/>
        </w:rPr>
        <w:t xml:space="preserve">relied </w:t>
      </w:r>
      <w:r w:rsidR="0045785E">
        <w:rPr>
          <w:rFonts w:ascii="Franklin Gothic Book" w:hAnsi="Franklin Gothic Book"/>
          <w:sz w:val="22"/>
          <w:szCs w:val="22"/>
        </w:rPr>
        <w:t xml:space="preserve">on diagnostic data with </w:t>
      </w:r>
      <w:r w:rsidR="007B4235">
        <w:rPr>
          <w:rFonts w:ascii="Franklin Gothic Book" w:hAnsi="Franklin Gothic Book"/>
          <w:sz w:val="22"/>
          <w:szCs w:val="22"/>
        </w:rPr>
        <w:t xml:space="preserve">limited </w:t>
      </w:r>
      <w:r w:rsidR="0045785E">
        <w:rPr>
          <w:rFonts w:ascii="Franklin Gothic Book" w:hAnsi="Franklin Gothic Book"/>
          <w:sz w:val="22"/>
          <w:szCs w:val="22"/>
        </w:rPr>
        <w:t xml:space="preserve">applicability (see Section </w:t>
      </w:r>
      <w:r w:rsidR="001158CA">
        <w:rPr>
          <w:rFonts w:ascii="Franklin Gothic Book" w:hAnsi="Franklin Gothic Book"/>
          <w:sz w:val="22"/>
          <w:szCs w:val="22"/>
        </w:rPr>
        <w:t>1</w:t>
      </w:r>
      <w:r w:rsidR="003D25E2">
        <w:rPr>
          <w:rFonts w:ascii="Franklin Gothic Book" w:hAnsi="Franklin Gothic Book"/>
          <w:sz w:val="22"/>
          <w:szCs w:val="22"/>
        </w:rPr>
        <w:t>2</w:t>
      </w:r>
      <w:r w:rsidR="0045785E">
        <w:rPr>
          <w:rFonts w:ascii="Franklin Gothic Book" w:hAnsi="Franklin Gothic Book"/>
          <w:sz w:val="22"/>
          <w:szCs w:val="22"/>
        </w:rPr>
        <w:t>. Comparative effectiveness),</w:t>
      </w:r>
      <w:r>
        <w:rPr>
          <w:rFonts w:ascii="Franklin Gothic Book" w:hAnsi="Franklin Gothic Book"/>
          <w:sz w:val="22"/>
          <w:szCs w:val="22"/>
        </w:rPr>
        <w:t xml:space="preserve"> </w:t>
      </w:r>
      <w:r w:rsidR="00B847CA">
        <w:rPr>
          <w:rFonts w:ascii="Franklin Gothic Book" w:hAnsi="Franklin Gothic Book"/>
          <w:sz w:val="22"/>
          <w:szCs w:val="22"/>
        </w:rPr>
        <w:t xml:space="preserve">were </w:t>
      </w:r>
      <w:r>
        <w:rPr>
          <w:rFonts w:ascii="Franklin Gothic Book" w:hAnsi="Franklin Gothic Book"/>
          <w:sz w:val="22"/>
          <w:szCs w:val="22"/>
        </w:rPr>
        <w:t xml:space="preserve">based </w:t>
      </w:r>
      <w:r w:rsidR="00B847CA">
        <w:rPr>
          <w:rFonts w:ascii="Franklin Gothic Book" w:hAnsi="Franklin Gothic Book"/>
          <w:sz w:val="22"/>
          <w:szCs w:val="22"/>
        </w:rPr>
        <w:t>solely</w:t>
      </w:r>
      <w:r w:rsidR="0045785E">
        <w:rPr>
          <w:rFonts w:ascii="Franklin Gothic Book" w:hAnsi="Franklin Gothic Book"/>
          <w:sz w:val="22"/>
          <w:szCs w:val="22"/>
        </w:rPr>
        <w:t xml:space="preserve"> on</w:t>
      </w:r>
      <w:r>
        <w:rPr>
          <w:rFonts w:ascii="Franklin Gothic Book" w:hAnsi="Franklin Gothic Book"/>
          <w:sz w:val="22"/>
          <w:szCs w:val="22"/>
        </w:rPr>
        <w:t xml:space="preserve"> </w:t>
      </w:r>
      <w:r w:rsidR="00385A47">
        <w:rPr>
          <w:rFonts w:ascii="Franklin Gothic Book" w:hAnsi="Franklin Gothic Book"/>
          <w:sz w:val="22"/>
          <w:szCs w:val="22"/>
        </w:rPr>
        <w:t>clinician</w:t>
      </w:r>
      <w:r>
        <w:rPr>
          <w:rFonts w:ascii="Franklin Gothic Book" w:hAnsi="Franklin Gothic Book"/>
          <w:sz w:val="22"/>
          <w:szCs w:val="22"/>
        </w:rPr>
        <w:t xml:space="preserve"> </w:t>
      </w:r>
      <w:r w:rsidR="00385A47">
        <w:rPr>
          <w:rFonts w:ascii="Franklin Gothic Book" w:hAnsi="Franklin Gothic Book"/>
          <w:sz w:val="22"/>
          <w:szCs w:val="22"/>
        </w:rPr>
        <w:t xml:space="preserve">opinion and </w:t>
      </w:r>
      <w:r w:rsidR="006F6203">
        <w:rPr>
          <w:rFonts w:ascii="Franklin Gothic Book" w:hAnsi="Franklin Gothic Book"/>
          <w:sz w:val="22"/>
          <w:szCs w:val="22"/>
        </w:rPr>
        <w:t>lacked support from</w:t>
      </w:r>
      <w:r w:rsidRPr="005072C7">
        <w:rPr>
          <w:rFonts w:ascii="Franklin Gothic Book" w:hAnsi="Franklin Gothic Book"/>
          <w:sz w:val="22"/>
          <w:szCs w:val="22"/>
        </w:rPr>
        <w:t xml:space="preserve"> observations in real</w:t>
      </w:r>
      <w:r w:rsidR="006F6203">
        <w:rPr>
          <w:rFonts w:ascii="Franklin Gothic Book" w:hAnsi="Franklin Gothic Book"/>
          <w:sz w:val="22"/>
          <w:szCs w:val="22"/>
        </w:rPr>
        <w:t>-world</w:t>
      </w:r>
      <w:r w:rsidRPr="005072C7">
        <w:rPr>
          <w:rFonts w:ascii="Franklin Gothic Book" w:hAnsi="Franklin Gothic Book"/>
          <w:sz w:val="22"/>
          <w:szCs w:val="22"/>
        </w:rPr>
        <w:t xml:space="preserve"> practice</w:t>
      </w:r>
      <w:r w:rsidR="00385A47">
        <w:rPr>
          <w:rFonts w:ascii="Franklin Gothic Book" w:hAnsi="Franklin Gothic Book"/>
          <w:sz w:val="22"/>
          <w:szCs w:val="22"/>
        </w:rPr>
        <w:t xml:space="preserve">, and </w:t>
      </w:r>
      <w:r w:rsidR="006F6203">
        <w:rPr>
          <w:rFonts w:ascii="Franklin Gothic Book" w:hAnsi="Franklin Gothic Book"/>
          <w:sz w:val="22"/>
          <w:szCs w:val="22"/>
        </w:rPr>
        <w:t>were contingent</w:t>
      </w:r>
      <w:r w:rsidR="00385A47">
        <w:rPr>
          <w:rFonts w:ascii="Franklin Gothic Book" w:hAnsi="Franklin Gothic Book"/>
          <w:sz w:val="22"/>
          <w:szCs w:val="22"/>
        </w:rPr>
        <w:t xml:space="preserve"> on</w:t>
      </w:r>
      <w:r w:rsidR="006F6203">
        <w:rPr>
          <w:rFonts w:ascii="Franklin Gothic Book" w:hAnsi="Franklin Gothic Book"/>
          <w:sz w:val="22"/>
          <w:szCs w:val="22"/>
        </w:rPr>
        <w:t xml:space="preserve"> the</w:t>
      </w:r>
      <w:r w:rsidR="00385A47">
        <w:rPr>
          <w:rFonts w:ascii="Franklin Gothic Book" w:hAnsi="Franklin Gothic Book"/>
          <w:sz w:val="22"/>
          <w:szCs w:val="22"/>
        </w:rPr>
        <w:t xml:space="preserve"> outcomes of an uncertain economic model (see Section 1</w:t>
      </w:r>
      <w:r w:rsidR="00EE7AF7">
        <w:rPr>
          <w:rFonts w:ascii="Franklin Gothic Book" w:hAnsi="Franklin Gothic Book"/>
          <w:sz w:val="22"/>
          <w:szCs w:val="22"/>
        </w:rPr>
        <w:t>3</w:t>
      </w:r>
      <w:r w:rsidR="006B44CA">
        <w:rPr>
          <w:rFonts w:ascii="Franklin Gothic Book" w:hAnsi="Franklin Gothic Book"/>
          <w:sz w:val="22"/>
          <w:szCs w:val="22"/>
        </w:rPr>
        <w:t>)</w:t>
      </w:r>
      <w:r w:rsidR="00385A47">
        <w:rPr>
          <w:rFonts w:ascii="Franklin Gothic Book" w:hAnsi="Franklin Gothic Book"/>
          <w:sz w:val="22"/>
          <w:szCs w:val="22"/>
        </w:rPr>
        <w:t>. Economic evaluation)</w:t>
      </w:r>
      <w:r w:rsidRPr="005072C7">
        <w:rPr>
          <w:rFonts w:ascii="Franklin Gothic Book" w:hAnsi="Franklin Gothic Book"/>
          <w:sz w:val="22"/>
          <w:szCs w:val="22"/>
        </w:rPr>
        <w:t xml:space="preserve">. </w:t>
      </w:r>
      <w:r w:rsidR="003D48F8">
        <w:rPr>
          <w:rFonts w:ascii="Franklin Gothic Book" w:hAnsi="Franklin Gothic Book"/>
          <w:sz w:val="22"/>
          <w:szCs w:val="22"/>
        </w:rPr>
        <w:t>Overall</w:t>
      </w:r>
      <w:r w:rsidR="00463C22">
        <w:rPr>
          <w:rFonts w:ascii="Franklin Gothic Book" w:hAnsi="Franklin Gothic Book"/>
          <w:sz w:val="22"/>
          <w:szCs w:val="22"/>
        </w:rPr>
        <w:t>,</w:t>
      </w:r>
      <w:r w:rsidR="003D48F8">
        <w:rPr>
          <w:rFonts w:ascii="Franklin Gothic Book" w:hAnsi="Franklin Gothic Book"/>
          <w:sz w:val="22"/>
          <w:szCs w:val="22"/>
        </w:rPr>
        <w:t xml:space="preserve"> the cost-offsets were likely uncertain and overestimated, specifically due to </w:t>
      </w:r>
      <w:r w:rsidR="005F2CC6">
        <w:rPr>
          <w:rFonts w:ascii="Franklin Gothic Book" w:hAnsi="Franklin Gothic Book"/>
          <w:sz w:val="22"/>
          <w:szCs w:val="22"/>
        </w:rPr>
        <w:t xml:space="preserve">the </w:t>
      </w:r>
      <w:r w:rsidR="003D48F8">
        <w:rPr>
          <w:rFonts w:ascii="Franklin Gothic Book" w:hAnsi="Franklin Gothic Book"/>
          <w:sz w:val="22"/>
          <w:szCs w:val="22"/>
        </w:rPr>
        <w:t>inclusion of ultrasound in the offset.</w:t>
      </w:r>
    </w:p>
    <w:p w14:paraId="37C69DDB" w14:textId="74B4108E" w:rsidR="007E0D44" w:rsidRDefault="007E0D44" w:rsidP="007E0D44">
      <w:bookmarkStart w:id="52" w:name="_Toc200469574"/>
      <w:r w:rsidRPr="00CE28E3">
        <w:t xml:space="preserve">The financial implications </w:t>
      </w:r>
      <w:r w:rsidR="005F2CC6">
        <w:t>for</w:t>
      </w:r>
      <w:r w:rsidR="005F2CC6" w:rsidRPr="00CE28E3">
        <w:t xml:space="preserve"> </w:t>
      </w:r>
      <w:r w:rsidRPr="00CE28E3">
        <w:t xml:space="preserve">the </w:t>
      </w:r>
      <w:r w:rsidRPr="00322D53">
        <w:t>MBS</w:t>
      </w:r>
      <w:r w:rsidRPr="00CE28E3">
        <w:t xml:space="preserve"> resulting from the proposed listing of</w:t>
      </w:r>
      <w:r>
        <w:t xml:space="preserve"> VCTE as a confirmation test for indeterminate </w:t>
      </w:r>
      <w:r w:rsidR="003D1D04">
        <w:t>and high</w:t>
      </w:r>
      <w:r>
        <w:t xml:space="preserve"> FIB-4 results</w:t>
      </w:r>
      <w:r w:rsidR="005F2CC6">
        <w:t>, as</w:t>
      </w:r>
      <w:r w:rsidRPr="00CE28E3">
        <w:t xml:space="preserve"> </w:t>
      </w:r>
      <w:r w:rsidR="003D48F8">
        <w:t>presented in the ADAR</w:t>
      </w:r>
      <w:r w:rsidR="005F2CC6">
        <w:t>,</w:t>
      </w:r>
      <w:r w:rsidR="003D48F8">
        <w:t xml:space="preserve"> </w:t>
      </w:r>
      <w:r w:rsidRPr="00CE28E3">
        <w:t>are summarised in</w:t>
      </w:r>
      <w:r w:rsidR="003D48F8">
        <w:t xml:space="preserve"> </w:t>
      </w:r>
      <w:r w:rsidR="003D48F8">
        <w:fldChar w:fldCharType="begin"/>
      </w:r>
      <w:r w:rsidR="003D48F8">
        <w:instrText xml:space="preserve"> REF _Ref205851786 \h  \* MERGEFORMAT </w:instrText>
      </w:r>
      <w:r w:rsidR="003D48F8">
        <w:fldChar w:fldCharType="separate"/>
      </w:r>
      <w:r w:rsidR="003D48F8" w:rsidRPr="003D48F8">
        <w:t>Table 14</w:t>
      </w:r>
      <w:r w:rsidR="003D48F8">
        <w:fldChar w:fldCharType="end"/>
      </w:r>
      <w:r w:rsidR="003D48F8">
        <w:t xml:space="preserve"> (PICO 1 population</w:t>
      </w:r>
      <w:r w:rsidR="002A48C1">
        <w:t>:</w:t>
      </w:r>
      <w:r w:rsidR="003D48F8">
        <w:t xml:space="preserve"> primary care) and </w:t>
      </w:r>
      <w:r w:rsidR="003D48F8">
        <w:fldChar w:fldCharType="begin"/>
      </w:r>
      <w:r w:rsidR="003D48F8">
        <w:instrText xml:space="preserve"> REF _Ref205851787 \h  \* MERGEFORMAT </w:instrText>
      </w:r>
      <w:r w:rsidR="003D48F8">
        <w:fldChar w:fldCharType="separate"/>
      </w:r>
      <w:r w:rsidR="003D48F8" w:rsidRPr="003D48F8">
        <w:t>Table 15</w:t>
      </w:r>
      <w:r w:rsidR="003D48F8">
        <w:fldChar w:fldCharType="end"/>
      </w:r>
      <w:r w:rsidR="003D48F8">
        <w:t xml:space="preserve"> (PICO 2 population</w:t>
      </w:r>
      <w:r w:rsidR="002A48C1">
        <w:t>:</w:t>
      </w:r>
      <w:r w:rsidR="003D48F8">
        <w:t xml:space="preserve"> secondary/specialist care)</w:t>
      </w:r>
      <w:r>
        <w:t>.</w:t>
      </w:r>
    </w:p>
    <w:p w14:paraId="59A2BBED" w14:textId="6C616A78" w:rsidR="007E0D44" w:rsidRPr="003D48F8" w:rsidRDefault="003D48F8" w:rsidP="003D48F8">
      <w:pPr>
        <w:pStyle w:val="Caption"/>
        <w:spacing w:before="0" w:after="0"/>
        <w:rPr>
          <w:rFonts w:eastAsia="Calibri" w:cs="Calibri"/>
          <w:b w:val="0"/>
          <w:bCs w:val="0"/>
        </w:rPr>
      </w:pPr>
      <w:bookmarkStart w:id="53" w:name="_Ref205851786"/>
      <w:r w:rsidRPr="003D48F8">
        <w:lastRenderedPageBreak/>
        <w:t xml:space="preserve">Table </w:t>
      </w:r>
      <w:r>
        <w:fldChar w:fldCharType="begin"/>
      </w:r>
      <w:r>
        <w:instrText xml:space="preserve"> SEQ Table \* ARABIC </w:instrText>
      </w:r>
      <w:r>
        <w:fldChar w:fldCharType="separate"/>
      </w:r>
      <w:r w:rsidRPr="003D48F8">
        <w:rPr>
          <w:noProof/>
        </w:rPr>
        <w:t>14</w:t>
      </w:r>
      <w:r>
        <w:rPr>
          <w:noProof/>
        </w:rPr>
        <w:fldChar w:fldCharType="end"/>
      </w:r>
      <w:bookmarkEnd w:id="53"/>
      <w:r w:rsidRPr="003D48F8">
        <w:t>:</w:t>
      </w:r>
      <w:r w:rsidR="007E0D44" w:rsidRPr="003D48F8">
        <w:rPr>
          <w:rFonts w:eastAsia="Calibri" w:cs="Calibri"/>
        </w:rPr>
        <w:tab/>
        <w:t>Net financial implications of VCTE testing in primary care to the MBS</w:t>
      </w:r>
      <w:bookmarkEnd w:id="52"/>
    </w:p>
    <w:tbl>
      <w:tblPr>
        <w:tblStyle w:val="TableGridLigh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129"/>
        <w:gridCol w:w="1139"/>
        <w:gridCol w:w="1147"/>
        <w:gridCol w:w="1228"/>
        <w:gridCol w:w="1285"/>
        <w:gridCol w:w="1221"/>
      </w:tblGrid>
      <w:tr w:rsidR="00077D7C" w:rsidRPr="003D48F8" w14:paraId="438D62E3" w14:textId="77777777" w:rsidTr="003D48F8">
        <w:trPr>
          <w:cnfStyle w:val="100000000000" w:firstRow="1" w:lastRow="0" w:firstColumn="0" w:lastColumn="0" w:oddVBand="0" w:evenVBand="0" w:oddHBand="0" w:evenHBand="0" w:firstRowFirstColumn="0" w:firstRowLastColumn="0" w:lastRowFirstColumn="0" w:lastRowLastColumn="0"/>
          <w:trHeight w:val="56"/>
        </w:trPr>
        <w:tc>
          <w:tcPr>
            <w:tcW w:w="1881" w:type="dxa"/>
            <w:hideMark/>
          </w:tcPr>
          <w:p w14:paraId="531061B1" w14:textId="77777777" w:rsidR="007E0D44" w:rsidRPr="003D48F8" w:rsidRDefault="007E0D44" w:rsidP="003D48F8">
            <w:pPr>
              <w:keepNext/>
              <w:keepLines/>
              <w:spacing w:before="0"/>
              <w:rPr>
                <w:rFonts w:ascii="Arial Narrow" w:hAnsi="Arial Narrow" w:cs="Calibri"/>
                <w:sz w:val="20"/>
                <w:szCs w:val="20"/>
              </w:rPr>
            </w:pPr>
            <w:r w:rsidRPr="003D48F8">
              <w:rPr>
                <w:rFonts w:ascii="Arial Narrow" w:hAnsi="Arial Narrow" w:cs="Calibri"/>
                <w:sz w:val="20"/>
                <w:szCs w:val="20"/>
              </w:rPr>
              <w:t>Parameter</w:t>
            </w:r>
          </w:p>
        </w:tc>
        <w:tc>
          <w:tcPr>
            <w:tcW w:w="1108" w:type="dxa"/>
            <w:vAlign w:val="center"/>
            <w:hideMark/>
          </w:tcPr>
          <w:p w14:paraId="3680A109"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2026</w:t>
            </w:r>
          </w:p>
        </w:tc>
        <w:tc>
          <w:tcPr>
            <w:tcW w:w="1139" w:type="dxa"/>
            <w:vAlign w:val="center"/>
            <w:hideMark/>
          </w:tcPr>
          <w:p w14:paraId="7FAEB905"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2027</w:t>
            </w:r>
          </w:p>
        </w:tc>
        <w:tc>
          <w:tcPr>
            <w:tcW w:w="1147" w:type="dxa"/>
            <w:vAlign w:val="center"/>
            <w:hideMark/>
          </w:tcPr>
          <w:p w14:paraId="6CFD0474"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2028</w:t>
            </w:r>
          </w:p>
        </w:tc>
        <w:tc>
          <w:tcPr>
            <w:tcW w:w="1230" w:type="dxa"/>
            <w:vAlign w:val="center"/>
            <w:hideMark/>
          </w:tcPr>
          <w:p w14:paraId="41A0B7EC"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2029</w:t>
            </w:r>
          </w:p>
        </w:tc>
        <w:tc>
          <w:tcPr>
            <w:tcW w:w="1288" w:type="dxa"/>
            <w:vAlign w:val="center"/>
            <w:hideMark/>
          </w:tcPr>
          <w:p w14:paraId="4DBCB439"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2030</w:t>
            </w:r>
          </w:p>
        </w:tc>
        <w:tc>
          <w:tcPr>
            <w:tcW w:w="1223" w:type="dxa"/>
            <w:vAlign w:val="center"/>
            <w:hideMark/>
          </w:tcPr>
          <w:p w14:paraId="5B5AC03A"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2031</w:t>
            </w:r>
          </w:p>
        </w:tc>
      </w:tr>
      <w:tr w:rsidR="009E6A5D" w:rsidRPr="003D48F8" w14:paraId="78EDBFD3" w14:textId="77777777" w:rsidTr="003D48F8">
        <w:tc>
          <w:tcPr>
            <w:tcW w:w="9016" w:type="dxa"/>
            <w:gridSpan w:val="7"/>
            <w:vAlign w:val="center"/>
          </w:tcPr>
          <w:p w14:paraId="221774EF"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b/>
                <w:bCs/>
                <w:sz w:val="20"/>
                <w:szCs w:val="20"/>
              </w:rPr>
              <w:t>Estimated use and cost of the proposed health technology</w:t>
            </w:r>
          </w:p>
        </w:tc>
      </w:tr>
      <w:tr w:rsidR="00077D7C" w:rsidRPr="003D48F8" w14:paraId="3CABE9AA" w14:textId="77777777" w:rsidTr="003D48F8">
        <w:tc>
          <w:tcPr>
            <w:tcW w:w="1881" w:type="dxa"/>
            <w:vAlign w:val="center"/>
            <w:hideMark/>
          </w:tcPr>
          <w:p w14:paraId="53E4FB09" w14:textId="77777777" w:rsidR="007E0D44" w:rsidRPr="003D48F8" w:rsidRDefault="007E0D44" w:rsidP="003D48F8">
            <w:pPr>
              <w:keepNext/>
              <w:keepLines/>
              <w:spacing w:before="0"/>
              <w:rPr>
                <w:rFonts w:ascii="Arial Narrow" w:hAnsi="Arial Narrow" w:cs="Calibri"/>
                <w:sz w:val="20"/>
                <w:szCs w:val="20"/>
              </w:rPr>
            </w:pPr>
            <w:r w:rsidRPr="003D48F8">
              <w:rPr>
                <w:rFonts w:ascii="Arial Narrow" w:hAnsi="Arial Narrow" w:cs="Calibri"/>
                <w:sz w:val="20"/>
                <w:szCs w:val="20"/>
              </w:rPr>
              <w:t>Number of eligible patients</w:t>
            </w:r>
          </w:p>
        </w:tc>
        <w:tc>
          <w:tcPr>
            <w:tcW w:w="1108" w:type="dxa"/>
            <w:vAlign w:val="center"/>
            <w:hideMark/>
          </w:tcPr>
          <w:p w14:paraId="127F6C01"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116,060</w:t>
            </w:r>
          </w:p>
        </w:tc>
        <w:tc>
          <w:tcPr>
            <w:tcW w:w="1139" w:type="dxa"/>
            <w:vAlign w:val="center"/>
            <w:hideMark/>
          </w:tcPr>
          <w:p w14:paraId="3D5F0CC6"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119,718</w:t>
            </w:r>
          </w:p>
        </w:tc>
        <w:tc>
          <w:tcPr>
            <w:tcW w:w="1147" w:type="dxa"/>
            <w:vAlign w:val="center"/>
            <w:hideMark/>
          </w:tcPr>
          <w:p w14:paraId="0279DA6E"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123,491</w:t>
            </w:r>
          </w:p>
        </w:tc>
        <w:tc>
          <w:tcPr>
            <w:tcW w:w="1230" w:type="dxa"/>
            <w:vAlign w:val="center"/>
            <w:hideMark/>
          </w:tcPr>
          <w:p w14:paraId="17BD60EA"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127,383</w:t>
            </w:r>
          </w:p>
        </w:tc>
        <w:tc>
          <w:tcPr>
            <w:tcW w:w="1288" w:type="dxa"/>
            <w:vAlign w:val="center"/>
            <w:hideMark/>
          </w:tcPr>
          <w:p w14:paraId="573BB844"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131,398</w:t>
            </w:r>
          </w:p>
        </w:tc>
        <w:tc>
          <w:tcPr>
            <w:tcW w:w="1223" w:type="dxa"/>
            <w:vAlign w:val="center"/>
            <w:hideMark/>
          </w:tcPr>
          <w:p w14:paraId="2918EF95"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135,539</w:t>
            </w:r>
          </w:p>
        </w:tc>
      </w:tr>
      <w:tr w:rsidR="00077D7C" w:rsidRPr="003D48F8" w14:paraId="7C657557" w14:textId="77777777" w:rsidTr="003D48F8">
        <w:tc>
          <w:tcPr>
            <w:tcW w:w="1881" w:type="dxa"/>
            <w:vAlign w:val="center"/>
            <w:hideMark/>
          </w:tcPr>
          <w:p w14:paraId="2A3003FD"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sz w:val="20"/>
                <w:szCs w:val="20"/>
              </w:rPr>
              <w:t>Number of services of VCTE in primary care given capacity</w:t>
            </w:r>
          </w:p>
        </w:tc>
        <w:tc>
          <w:tcPr>
            <w:tcW w:w="1108" w:type="dxa"/>
            <w:vAlign w:val="center"/>
            <w:hideMark/>
          </w:tcPr>
          <w:p w14:paraId="0F15C39A" w14:textId="0FE81325" w:rsidR="007E0D44" w:rsidRPr="003D48F8" w:rsidRDefault="00077D7C" w:rsidP="003D48F8">
            <w:pPr>
              <w:keepNext/>
              <w:keepLines/>
              <w:spacing w:before="0"/>
              <w:jc w:val="center"/>
              <w:rPr>
                <w:rFonts w:ascii="Arial Narrow" w:hAnsi="Arial Narrow" w:cs="Calibri"/>
                <w:sz w:val="20"/>
                <w:szCs w:val="20"/>
              </w:rPr>
            </w:pPr>
            <w:r>
              <w:rPr>
                <w:rFonts w:ascii="Arial Narrow" w:hAnsi="Arial Narrow" w:cs="Calibri"/>
                <w:b/>
                <w:bCs/>
                <w:sz w:val="20"/>
                <w:szCs w:val="20"/>
              </w:rPr>
              <w:t>Redacted</w:t>
            </w:r>
          </w:p>
        </w:tc>
        <w:tc>
          <w:tcPr>
            <w:tcW w:w="1139" w:type="dxa"/>
            <w:vAlign w:val="center"/>
            <w:hideMark/>
          </w:tcPr>
          <w:p w14:paraId="50FD9162" w14:textId="5533288A" w:rsidR="007E0D44" w:rsidRPr="003D48F8" w:rsidRDefault="00077D7C" w:rsidP="003D48F8">
            <w:pPr>
              <w:keepNext/>
              <w:keepLines/>
              <w:spacing w:before="0"/>
              <w:jc w:val="center"/>
              <w:rPr>
                <w:rFonts w:ascii="Arial Narrow" w:hAnsi="Arial Narrow" w:cs="Calibri"/>
                <w:sz w:val="20"/>
                <w:szCs w:val="20"/>
              </w:rPr>
            </w:pPr>
            <w:r>
              <w:rPr>
                <w:rFonts w:ascii="Arial Narrow" w:hAnsi="Arial Narrow" w:cs="Calibri"/>
                <w:b/>
                <w:bCs/>
                <w:sz w:val="20"/>
                <w:szCs w:val="20"/>
              </w:rPr>
              <w:t>Redacted</w:t>
            </w:r>
          </w:p>
        </w:tc>
        <w:tc>
          <w:tcPr>
            <w:tcW w:w="1147" w:type="dxa"/>
            <w:vAlign w:val="center"/>
            <w:hideMark/>
          </w:tcPr>
          <w:p w14:paraId="2ABF3D69" w14:textId="26A71585" w:rsidR="007E0D44" w:rsidRPr="003D48F8" w:rsidRDefault="00077D7C" w:rsidP="003D48F8">
            <w:pPr>
              <w:keepNext/>
              <w:keepLines/>
              <w:spacing w:before="0"/>
              <w:jc w:val="center"/>
              <w:rPr>
                <w:rFonts w:ascii="Arial Narrow" w:hAnsi="Arial Narrow" w:cs="Calibri"/>
                <w:sz w:val="20"/>
                <w:szCs w:val="20"/>
              </w:rPr>
            </w:pPr>
            <w:r>
              <w:rPr>
                <w:rFonts w:ascii="Arial Narrow" w:hAnsi="Arial Narrow" w:cs="Calibri"/>
                <w:b/>
                <w:bCs/>
                <w:sz w:val="20"/>
                <w:szCs w:val="20"/>
              </w:rPr>
              <w:t>Redacted</w:t>
            </w:r>
          </w:p>
        </w:tc>
        <w:tc>
          <w:tcPr>
            <w:tcW w:w="1230" w:type="dxa"/>
            <w:vAlign w:val="center"/>
            <w:hideMark/>
          </w:tcPr>
          <w:p w14:paraId="05A3B2B3" w14:textId="72F14B8E" w:rsidR="007E0D44" w:rsidRPr="003D48F8" w:rsidRDefault="00077D7C" w:rsidP="003D48F8">
            <w:pPr>
              <w:keepNext/>
              <w:keepLines/>
              <w:spacing w:before="0"/>
              <w:jc w:val="center"/>
              <w:rPr>
                <w:rFonts w:ascii="Arial Narrow" w:hAnsi="Arial Narrow" w:cs="Calibri"/>
                <w:sz w:val="20"/>
                <w:szCs w:val="20"/>
              </w:rPr>
            </w:pPr>
            <w:r>
              <w:rPr>
                <w:rFonts w:ascii="Arial Narrow" w:hAnsi="Arial Narrow" w:cs="Calibri"/>
                <w:b/>
                <w:bCs/>
                <w:sz w:val="20"/>
                <w:szCs w:val="20"/>
              </w:rPr>
              <w:t>Redacted</w:t>
            </w:r>
          </w:p>
        </w:tc>
        <w:tc>
          <w:tcPr>
            <w:tcW w:w="1288" w:type="dxa"/>
            <w:vAlign w:val="center"/>
            <w:hideMark/>
          </w:tcPr>
          <w:p w14:paraId="740B306D" w14:textId="2DEC884A" w:rsidR="007E0D44" w:rsidRPr="003D48F8" w:rsidRDefault="00077D7C" w:rsidP="003D48F8">
            <w:pPr>
              <w:keepNext/>
              <w:keepLines/>
              <w:spacing w:before="0"/>
              <w:jc w:val="center"/>
              <w:rPr>
                <w:rFonts w:ascii="Arial Narrow" w:hAnsi="Arial Narrow" w:cs="Calibri"/>
                <w:sz w:val="20"/>
                <w:szCs w:val="20"/>
              </w:rPr>
            </w:pPr>
            <w:r>
              <w:rPr>
                <w:rFonts w:ascii="Arial Narrow" w:hAnsi="Arial Narrow" w:cs="Calibri"/>
                <w:b/>
                <w:bCs/>
                <w:sz w:val="20"/>
                <w:szCs w:val="20"/>
              </w:rPr>
              <w:t>Redacted</w:t>
            </w:r>
          </w:p>
        </w:tc>
        <w:tc>
          <w:tcPr>
            <w:tcW w:w="1223" w:type="dxa"/>
            <w:vAlign w:val="center"/>
            <w:hideMark/>
          </w:tcPr>
          <w:p w14:paraId="6C4DB6A9" w14:textId="6635428B" w:rsidR="007E0D44" w:rsidRPr="003D48F8" w:rsidRDefault="00077D7C" w:rsidP="003D48F8">
            <w:pPr>
              <w:keepNext/>
              <w:keepLines/>
              <w:spacing w:before="0"/>
              <w:jc w:val="center"/>
              <w:rPr>
                <w:rFonts w:ascii="Arial Narrow" w:hAnsi="Arial Narrow" w:cs="Calibri"/>
                <w:sz w:val="20"/>
                <w:szCs w:val="20"/>
              </w:rPr>
            </w:pPr>
            <w:r>
              <w:rPr>
                <w:rFonts w:ascii="Arial Narrow" w:hAnsi="Arial Narrow" w:cs="Calibri"/>
                <w:b/>
                <w:bCs/>
                <w:sz w:val="20"/>
                <w:szCs w:val="20"/>
              </w:rPr>
              <w:t>Redacted</w:t>
            </w:r>
          </w:p>
        </w:tc>
      </w:tr>
      <w:tr w:rsidR="00077D7C" w:rsidRPr="003D48F8" w14:paraId="4F2A9C9E" w14:textId="77777777" w:rsidTr="003D48F8">
        <w:tc>
          <w:tcPr>
            <w:tcW w:w="1881" w:type="dxa"/>
            <w:hideMark/>
          </w:tcPr>
          <w:p w14:paraId="5B5385DC"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sz w:val="20"/>
                <w:szCs w:val="20"/>
              </w:rPr>
              <w:t>Cost to the MBS (with appropriate copayments excluded)</w:t>
            </w:r>
          </w:p>
        </w:tc>
        <w:tc>
          <w:tcPr>
            <w:tcW w:w="1108" w:type="dxa"/>
            <w:vAlign w:val="center"/>
            <w:hideMark/>
          </w:tcPr>
          <w:p w14:paraId="2E43417C"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$3,641,063</w:t>
            </w:r>
          </w:p>
        </w:tc>
        <w:tc>
          <w:tcPr>
            <w:tcW w:w="1139" w:type="dxa"/>
            <w:vAlign w:val="center"/>
            <w:hideMark/>
          </w:tcPr>
          <w:p w14:paraId="6533EF7C"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$4,399,958</w:t>
            </w:r>
          </w:p>
        </w:tc>
        <w:tc>
          <w:tcPr>
            <w:tcW w:w="1147" w:type="dxa"/>
            <w:vAlign w:val="center"/>
            <w:hideMark/>
          </w:tcPr>
          <w:p w14:paraId="14776627"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$5,279,950</w:t>
            </w:r>
          </w:p>
        </w:tc>
        <w:tc>
          <w:tcPr>
            <w:tcW w:w="1230" w:type="dxa"/>
            <w:vAlign w:val="center"/>
            <w:hideMark/>
          </w:tcPr>
          <w:p w14:paraId="4396B48B"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$6,335,940</w:t>
            </w:r>
          </w:p>
        </w:tc>
        <w:tc>
          <w:tcPr>
            <w:tcW w:w="1288" w:type="dxa"/>
            <w:vAlign w:val="center"/>
            <w:hideMark/>
          </w:tcPr>
          <w:p w14:paraId="07991230"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$7,603,128</w:t>
            </w:r>
          </w:p>
        </w:tc>
        <w:tc>
          <w:tcPr>
            <w:tcW w:w="1223" w:type="dxa"/>
            <w:vAlign w:val="center"/>
            <w:hideMark/>
          </w:tcPr>
          <w:p w14:paraId="165B7F2D"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$9,123,754</w:t>
            </w:r>
          </w:p>
        </w:tc>
      </w:tr>
      <w:tr w:rsidR="009E6A5D" w:rsidRPr="003D48F8" w14:paraId="632B322B" w14:textId="77777777" w:rsidTr="003D48F8">
        <w:tc>
          <w:tcPr>
            <w:tcW w:w="9016" w:type="dxa"/>
            <w:gridSpan w:val="7"/>
            <w:vAlign w:val="center"/>
          </w:tcPr>
          <w:p w14:paraId="30C726E0"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b/>
                <w:bCs/>
                <w:sz w:val="20"/>
                <w:szCs w:val="20"/>
              </w:rPr>
              <w:t>Change in use and cost of other health technologies</w:t>
            </w:r>
          </w:p>
        </w:tc>
      </w:tr>
      <w:tr w:rsidR="00077D7C" w:rsidRPr="003D48F8" w14:paraId="5F82C704" w14:textId="77777777" w:rsidTr="003D48F8">
        <w:tc>
          <w:tcPr>
            <w:tcW w:w="1881" w:type="dxa"/>
            <w:vAlign w:val="center"/>
          </w:tcPr>
          <w:p w14:paraId="0B3090D0"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sz w:val="20"/>
                <w:szCs w:val="20"/>
              </w:rPr>
              <w:t>Change in use of specialist referrals avoided</w:t>
            </w:r>
          </w:p>
        </w:tc>
        <w:tc>
          <w:tcPr>
            <w:tcW w:w="1108" w:type="dxa"/>
            <w:vAlign w:val="center"/>
          </w:tcPr>
          <w:p w14:paraId="61303255"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$8,568,612</w:t>
            </w:r>
          </w:p>
        </w:tc>
        <w:tc>
          <w:tcPr>
            <w:tcW w:w="1139" w:type="dxa"/>
            <w:vAlign w:val="center"/>
          </w:tcPr>
          <w:p w14:paraId="1107DE9E"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$10,282,334</w:t>
            </w:r>
          </w:p>
        </w:tc>
        <w:tc>
          <w:tcPr>
            <w:tcW w:w="1147" w:type="dxa"/>
            <w:vAlign w:val="center"/>
          </w:tcPr>
          <w:p w14:paraId="75F410E9"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$12,338,801</w:t>
            </w:r>
          </w:p>
        </w:tc>
        <w:tc>
          <w:tcPr>
            <w:tcW w:w="1230" w:type="dxa"/>
            <w:vAlign w:val="center"/>
          </w:tcPr>
          <w:p w14:paraId="2F39BFB8"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$14,806,562</w:t>
            </w:r>
          </w:p>
        </w:tc>
        <w:tc>
          <w:tcPr>
            <w:tcW w:w="1288" w:type="dxa"/>
            <w:vAlign w:val="center"/>
          </w:tcPr>
          <w:p w14:paraId="557CC019"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$17,767,874</w:t>
            </w:r>
          </w:p>
        </w:tc>
        <w:tc>
          <w:tcPr>
            <w:tcW w:w="1223" w:type="dxa"/>
            <w:vAlign w:val="center"/>
          </w:tcPr>
          <w:p w14:paraId="2DE25926"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$21,321,449</w:t>
            </w:r>
          </w:p>
        </w:tc>
      </w:tr>
      <w:tr w:rsidR="00077D7C" w:rsidRPr="003D48F8" w14:paraId="05B5445B" w14:textId="77777777" w:rsidTr="003D48F8">
        <w:tc>
          <w:tcPr>
            <w:tcW w:w="1881" w:type="dxa"/>
            <w:vAlign w:val="center"/>
            <w:hideMark/>
          </w:tcPr>
          <w:p w14:paraId="3719D7D8"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sz w:val="20"/>
                <w:szCs w:val="20"/>
              </w:rPr>
              <w:t>Change in use of additional ultrasounds avoided</w:t>
            </w:r>
          </w:p>
        </w:tc>
        <w:tc>
          <w:tcPr>
            <w:tcW w:w="1108" w:type="dxa"/>
            <w:vAlign w:val="center"/>
            <w:hideMark/>
          </w:tcPr>
          <w:p w14:paraId="757A48D1"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$4,668,768</w:t>
            </w:r>
          </w:p>
        </w:tc>
        <w:tc>
          <w:tcPr>
            <w:tcW w:w="1139" w:type="dxa"/>
            <w:vAlign w:val="center"/>
            <w:hideMark/>
          </w:tcPr>
          <w:p w14:paraId="6F486179"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$5,602,522</w:t>
            </w:r>
          </w:p>
        </w:tc>
        <w:tc>
          <w:tcPr>
            <w:tcW w:w="1147" w:type="dxa"/>
            <w:vAlign w:val="center"/>
            <w:hideMark/>
          </w:tcPr>
          <w:p w14:paraId="46D0605C"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$6,723,026</w:t>
            </w:r>
          </w:p>
        </w:tc>
        <w:tc>
          <w:tcPr>
            <w:tcW w:w="1230" w:type="dxa"/>
            <w:vAlign w:val="center"/>
            <w:hideMark/>
          </w:tcPr>
          <w:p w14:paraId="430D7792"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$8,067,631</w:t>
            </w:r>
          </w:p>
        </w:tc>
        <w:tc>
          <w:tcPr>
            <w:tcW w:w="1288" w:type="dxa"/>
            <w:vAlign w:val="center"/>
            <w:hideMark/>
          </w:tcPr>
          <w:p w14:paraId="76B1072F"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$9,681,157</w:t>
            </w:r>
          </w:p>
        </w:tc>
        <w:tc>
          <w:tcPr>
            <w:tcW w:w="1223" w:type="dxa"/>
            <w:vAlign w:val="center"/>
            <w:hideMark/>
          </w:tcPr>
          <w:p w14:paraId="006D8C8A"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$11,617,389</w:t>
            </w:r>
          </w:p>
        </w:tc>
      </w:tr>
      <w:tr w:rsidR="00077D7C" w:rsidRPr="003D48F8" w14:paraId="0C557311" w14:textId="77777777" w:rsidTr="003D48F8">
        <w:tc>
          <w:tcPr>
            <w:tcW w:w="1881" w:type="dxa"/>
          </w:tcPr>
          <w:p w14:paraId="160C0FB5" w14:textId="77777777" w:rsidR="007E0D44" w:rsidRPr="003D48F8" w:rsidRDefault="007E0D44" w:rsidP="003D48F8">
            <w:pPr>
              <w:keepNext/>
              <w:keepLines/>
              <w:spacing w:before="0"/>
              <w:rPr>
                <w:rFonts w:ascii="Arial Narrow" w:hAnsi="Arial Narrow" w:cs="Calibri"/>
                <w:sz w:val="20"/>
                <w:szCs w:val="20"/>
                <w:lang w:val="en-AU"/>
              </w:rPr>
            </w:pPr>
            <w:r w:rsidRPr="00F512E6">
              <w:rPr>
                <w:rFonts w:ascii="Arial Narrow" w:hAnsi="Arial Narrow" w:cs="Calibri"/>
                <w:sz w:val="20"/>
                <w:szCs w:val="20"/>
              </w:rPr>
              <w:t>Net change in costs to the MBS (with appropriate copayments excluded)</w:t>
            </w:r>
          </w:p>
        </w:tc>
        <w:tc>
          <w:tcPr>
            <w:tcW w:w="1108" w:type="dxa"/>
            <w:vAlign w:val="center"/>
          </w:tcPr>
          <w:p w14:paraId="67C35E03"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$11,251,773</w:t>
            </w:r>
          </w:p>
        </w:tc>
        <w:tc>
          <w:tcPr>
            <w:tcW w:w="1139" w:type="dxa"/>
            <w:vAlign w:val="center"/>
          </w:tcPr>
          <w:p w14:paraId="4CFA900F"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$13,502,128</w:t>
            </w:r>
          </w:p>
        </w:tc>
        <w:tc>
          <w:tcPr>
            <w:tcW w:w="1147" w:type="dxa"/>
            <w:vAlign w:val="center"/>
          </w:tcPr>
          <w:p w14:paraId="43755BE0"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$16,202,553</w:t>
            </w:r>
          </w:p>
        </w:tc>
        <w:tc>
          <w:tcPr>
            <w:tcW w:w="1230" w:type="dxa"/>
            <w:vAlign w:val="center"/>
          </w:tcPr>
          <w:p w14:paraId="085284B5"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$19,443,064</w:t>
            </w:r>
          </w:p>
        </w:tc>
        <w:tc>
          <w:tcPr>
            <w:tcW w:w="1288" w:type="dxa"/>
            <w:vAlign w:val="center"/>
          </w:tcPr>
          <w:p w14:paraId="60B9CF8C"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$23,331,676</w:t>
            </w:r>
          </w:p>
        </w:tc>
        <w:tc>
          <w:tcPr>
            <w:tcW w:w="1223" w:type="dxa"/>
            <w:vAlign w:val="center"/>
          </w:tcPr>
          <w:p w14:paraId="535C05C0" w14:textId="77777777" w:rsidR="007E0D44" w:rsidRPr="003D48F8" w:rsidRDefault="007E0D44" w:rsidP="003D48F8">
            <w:pPr>
              <w:keepNext/>
              <w:keepLines/>
              <w:spacing w:before="0"/>
              <w:jc w:val="center"/>
              <w:rPr>
                <w:rFonts w:ascii="Arial Narrow" w:hAnsi="Arial Narrow" w:cs="Calibri"/>
                <w:sz w:val="20"/>
                <w:szCs w:val="20"/>
              </w:rPr>
            </w:pPr>
            <w:r w:rsidRPr="003D48F8">
              <w:rPr>
                <w:rFonts w:ascii="Arial Narrow" w:hAnsi="Arial Narrow" w:cs="Calibri"/>
                <w:sz w:val="20"/>
                <w:szCs w:val="20"/>
              </w:rPr>
              <w:t>$27,998,012</w:t>
            </w:r>
          </w:p>
        </w:tc>
      </w:tr>
      <w:tr w:rsidR="00077D7C" w:rsidRPr="003D48F8" w14:paraId="468504C2" w14:textId="77777777" w:rsidTr="003D48F8">
        <w:tc>
          <w:tcPr>
            <w:tcW w:w="1881" w:type="dxa"/>
            <w:vAlign w:val="center"/>
            <w:hideMark/>
          </w:tcPr>
          <w:p w14:paraId="452BFE42" w14:textId="77777777" w:rsidR="007E0D44" w:rsidRPr="003D48F8" w:rsidRDefault="007E0D44" w:rsidP="003D48F8">
            <w:pPr>
              <w:keepNext/>
              <w:keepLines/>
              <w:spacing w:before="0"/>
              <w:rPr>
                <w:rFonts w:ascii="Arial Narrow" w:hAnsi="Arial Narrow" w:cs="Calibri"/>
                <w:b/>
                <w:bCs/>
                <w:sz w:val="20"/>
                <w:szCs w:val="20"/>
                <w:lang w:val="en-AU"/>
              </w:rPr>
            </w:pPr>
            <w:r w:rsidRPr="00F512E6">
              <w:rPr>
                <w:rFonts w:ascii="Arial Narrow" w:hAnsi="Arial Narrow" w:cs="Calibri"/>
                <w:b/>
                <w:bCs/>
                <w:sz w:val="20"/>
                <w:szCs w:val="20"/>
              </w:rPr>
              <w:t>Net financial impact to MBS</w:t>
            </w:r>
          </w:p>
        </w:tc>
        <w:tc>
          <w:tcPr>
            <w:tcW w:w="1108" w:type="dxa"/>
            <w:vAlign w:val="center"/>
            <w:hideMark/>
          </w:tcPr>
          <w:p w14:paraId="43C614D3" w14:textId="77777777" w:rsidR="007E0D44" w:rsidRPr="003D48F8" w:rsidRDefault="007E0D44" w:rsidP="003D48F8">
            <w:pPr>
              <w:keepNext/>
              <w:keepLines/>
              <w:spacing w:before="0"/>
              <w:jc w:val="center"/>
              <w:rPr>
                <w:rFonts w:ascii="Arial Narrow" w:hAnsi="Arial Narrow" w:cs="Calibri"/>
                <w:b/>
                <w:bCs/>
                <w:sz w:val="20"/>
                <w:szCs w:val="20"/>
              </w:rPr>
            </w:pPr>
            <w:r w:rsidRPr="003D48F8">
              <w:rPr>
                <w:rFonts w:ascii="Arial Narrow" w:hAnsi="Arial Narrow" w:cs="Calibri"/>
                <w:b/>
                <w:bCs/>
                <w:sz w:val="20"/>
                <w:szCs w:val="20"/>
              </w:rPr>
              <w:t>-$7,610,710</w:t>
            </w:r>
          </w:p>
        </w:tc>
        <w:tc>
          <w:tcPr>
            <w:tcW w:w="1139" w:type="dxa"/>
            <w:vAlign w:val="center"/>
            <w:hideMark/>
          </w:tcPr>
          <w:p w14:paraId="2119BD3E" w14:textId="77777777" w:rsidR="007E0D44" w:rsidRPr="003D48F8" w:rsidRDefault="007E0D44" w:rsidP="003D48F8">
            <w:pPr>
              <w:keepNext/>
              <w:keepLines/>
              <w:spacing w:before="0"/>
              <w:jc w:val="center"/>
              <w:rPr>
                <w:rFonts w:ascii="Arial Narrow" w:hAnsi="Arial Narrow" w:cs="Calibri"/>
                <w:b/>
                <w:bCs/>
                <w:sz w:val="20"/>
                <w:szCs w:val="20"/>
              </w:rPr>
            </w:pPr>
            <w:r w:rsidRPr="003D48F8">
              <w:rPr>
                <w:rFonts w:ascii="Arial Narrow" w:hAnsi="Arial Narrow" w:cs="Calibri"/>
                <w:b/>
                <w:bCs/>
                <w:sz w:val="20"/>
                <w:szCs w:val="20"/>
              </w:rPr>
              <w:t>-$9,102,169</w:t>
            </w:r>
          </w:p>
        </w:tc>
        <w:tc>
          <w:tcPr>
            <w:tcW w:w="1147" w:type="dxa"/>
            <w:vAlign w:val="center"/>
            <w:hideMark/>
          </w:tcPr>
          <w:p w14:paraId="737DBE26" w14:textId="77777777" w:rsidR="007E0D44" w:rsidRPr="003D48F8" w:rsidRDefault="007E0D44" w:rsidP="003D48F8">
            <w:pPr>
              <w:keepNext/>
              <w:keepLines/>
              <w:spacing w:before="0"/>
              <w:jc w:val="center"/>
              <w:rPr>
                <w:rFonts w:ascii="Arial Narrow" w:hAnsi="Arial Narrow" w:cs="Calibri"/>
                <w:b/>
                <w:bCs/>
                <w:sz w:val="20"/>
                <w:szCs w:val="20"/>
              </w:rPr>
            </w:pPr>
            <w:r w:rsidRPr="003D48F8">
              <w:rPr>
                <w:rFonts w:ascii="Arial Narrow" w:hAnsi="Arial Narrow" w:cs="Calibri"/>
                <w:b/>
                <w:bCs/>
                <w:sz w:val="20"/>
                <w:szCs w:val="20"/>
              </w:rPr>
              <w:t>-$10,922,603</w:t>
            </w:r>
          </w:p>
        </w:tc>
        <w:tc>
          <w:tcPr>
            <w:tcW w:w="1230" w:type="dxa"/>
            <w:vAlign w:val="center"/>
            <w:hideMark/>
          </w:tcPr>
          <w:p w14:paraId="39F4B4B6" w14:textId="77777777" w:rsidR="007E0D44" w:rsidRPr="003D48F8" w:rsidRDefault="007E0D44" w:rsidP="003D48F8">
            <w:pPr>
              <w:keepNext/>
              <w:keepLines/>
              <w:spacing w:before="0"/>
              <w:jc w:val="center"/>
              <w:rPr>
                <w:rFonts w:ascii="Arial Narrow" w:hAnsi="Arial Narrow" w:cs="Calibri"/>
                <w:b/>
                <w:bCs/>
                <w:sz w:val="20"/>
                <w:szCs w:val="20"/>
              </w:rPr>
            </w:pPr>
            <w:r w:rsidRPr="003D48F8">
              <w:rPr>
                <w:rFonts w:ascii="Arial Narrow" w:hAnsi="Arial Narrow" w:cs="Calibri"/>
                <w:b/>
                <w:bCs/>
                <w:sz w:val="20"/>
                <w:szCs w:val="20"/>
              </w:rPr>
              <w:t>-$13,107,124</w:t>
            </w:r>
          </w:p>
        </w:tc>
        <w:tc>
          <w:tcPr>
            <w:tcW w:w="1288" w:type="dxa"/>
            <w:vAlign w:val="center"/>
            <w:hideMark/>
          </w:tcPr>
          <w:p w14:paraId="7BC57C29" w14:textId="77777777" w:rsidR="007E0D44" w:rsidRPr="003D48F8" w:rsidRDefault="007E0D44" w:rsidP="003D48F8">
            <w:pPr>
              <w:keepNext/>
              <w:keepLines/>
              <w:spacing w:before="0"/>
              <w:jc w:val="center"/>
              <w:rPr>
                <w:rFonts w:ascii="Arial Narrow" w:hAnsi="Arial Narrow" w:cs="Calibri"/>
                <w:b/>
                <w:bCs/>
                <w:sz w:val="20"/>
                <w:szCs w:val="20"/>
              </w:rPr>
            </w:pPr>
            <w:r w:rsidRPr="003D48F8">
              <w:rPr>
                <w:rFonts w:ascii="Arial Narrow" w:hAnsi="Arial Narrow" w:cs="Calibri"/>
                <w:b/>
                <w:bCs/>
                <w:sz w:val="20"/>
                <w:szCs w:val="20"/>
              </w:rPr>
              <w:t>-$15,728,548</w:t>
            </w:r>
          </w:p>
        </w:tc>
        <w:tc>
          <w:tcPr>
            <w:tcW w:w="1223" w:type="dxa"/>
            <w:vAlign w:val="center"/>
            <w:hideMark/>
          </w:tcPr>
          <w:p w14:paraId="62392D20" w14:textId="77777777" w:rsidR="007E0D44" w:rsidRPr="003D48F8" w:rsidRDefault="007E0D44" w:rsidP="003D48F8">
            <w:pPr>
              <w:keepNext/>
              <w:keepLines/>
              <w:spacing w:before="0"/>
              <w:jc w:val="center"/>
              <w:rPr>
                <w:rFonts w:ascii="Arial Narrow" w:hAnsi="Arial Narrow" w:cs="Calibri"/>
                <w:b/>
                <w:bCs/>
                <w:sz w:val="20"/>
                <w:szCs w:val="20"/>
              </w:rPr>
            </w:pPr>
            <w:r w:rsidRPr="003D48F8">
              <w:rPr>
                <w:rFonts w:ascii="Arial Narrow" w:hAnsi="Arial Narrow" w:cs="Calibri"/>
                <w:b/>
                <w:bCs/>
                <w:sz w:val="20"/>
                <w:szCs w:val="20"/>
              </w:rPr>
              <w:t>-$18,874,258</w:t>
            </w:r>
          </w:p>
        </w:tc>
      </w:tr>
    </w:tbl>
    <w:p w14:paraId="4101F220" w14:textId="63FACCB4" w:rsidR="007E0D44" w:rsidRPr="00872EFA" w:rsidRDefault="007E0D44" w:rsidP="00872EFA">
      <w:pPr>
        <w:tabs>
          <w:tab w:val="left" w:pos="284"/>
        </w:tabs>
        <w:spacing w:before="0" w:after="0"/>
        <w:contextualSpacing/>
        <w:rPr>
          <w:rFonts w:ascii="Arial Narrow" w:eastAsia="Times New Roman" w:hAnsi="Arial Narrow" w:cs="Arial"/>
          <w:snapToGrid w:val="0"/>
          <w:sz w:val="18"/>
          <w:szCs w:val="18"/>
          <w:lang w:eastAsia="en-AU"/>
        </w:rPr>
      </w:pPr>
      <w:r w:rsidRPr="00FD3B16">
        <w:rPr>
          <w:rFonts w:ascii="Arial Narrow" w:eastAsia="Times New Roman" w:hAnsi="Arial Narrow" w:cs="Arial"/>
          <w:snapToGrid w:val="0"/>
          <w:sz w:val="18"/>
          <w:szCs w:val="18"/>
          <w:lang w:eastAsia="en-AU"/>
        </w:rPr>
        <w:t xml:space="preserve">Source: ADAR, Section 4.4 </w:t>
      </w:r>
    </w:p>
    <w:p w14:paraId="02B27D09" w14:textId="0784453D" w:rsidR="007E0D44" w:rsidRPr="003D48F8" w:rsidRDefault="003D48F8" w:rsidP="00872EFA">
      <w:pPr>
        <w:pStyle w:val="Caption"/>
        <w:spacing w:after="0"/>
        <w:rPr>
          <w:rFonts w:eastAsia="Calibri" w:cs="Calibri"/>
        </w:rPr>
      </w:pPr>
      <w:bookmarkStart w:id="54" w:name="_Ref205851787"/>
      <w:bookmarkStart w:id="55" w:name="_Toc200469575"/>
      <w:r w:rsidRPr="003D48F8">
        <w:rPr>
          <w:rFonts w:eastAsia="Calibri" w:cs="Calibri"/>
        </w:rPr>
        <w:t xml:space="preserve">Table </w:t>
      </w:r>
      <w:r w:rsidRPr="003D48F8">
        <w:rPr>
          <w:rFonts w:eastAsia="Calibri" w:cs="Calibri"/>
        </w:rPr>
        <w:fldChar w:fldCharType="begin"/>
      </w:r>
      <w:r w:rsidRPr="003D48F8">
        <w:rPr>
          <w:rFonts w:eastAsia="Calibri" w:cs="Calibri"/>
        </w:rPr>
        <w:instrText xml:space="preserve"> SEQ Table \* ARABIC </w:instrText>
      </w:r>
      <w:r w:rsidRPr="003D48F8">
        <w:rPr>
          <w:rFonts w:eastAsia="Calibri" w:cs="Calibri"/>
        </w:rPr>
        <w:fldChar w:fldCharType="separate"/>
      </w:r>
      <w:r w:rsidRPr="003D48F8">
        <w:rPr>
          <w:rFonts w:eastAsia="Calibri" w:cs="Calibri"/>
        </w:rPr>
        <w:t>15</w:t>
      </w:r>
      <w:r w:rsidRPr="003D48F8">
        <w:rPr>
          <w:rFonts w:eastAsia="Calibri" w:cs="Calibri"/>
        </w:rPr>
        <w:fldChar w:fldCharType="end"/>
      </w:r>
      <w:bookmarkEnd w:id="54"/>
      <w:r w:rsidRPr="003D48F8">
        <w:rPr>
          <w:rFonts w:eastAsia="Calibri" w:cs="Calibri"/>
        </w:rPr>
        <w:t>:</w:t>
      </w:r>
      <w:r w:rsidR="007E0D44" w:rsidRPr="003D48F8">
        <w:rPr>
          <w:rFonts w:eastAsia="Calibri" w:cs="Calibri"/>
        </w:rPr>
        <w:tab/>
        <w:t xml:space="preserve">Net financial implications of VCTE testing in </w:t>
      </w:r>
      <w:r>
        <w:rPr>
          <w:rFonts w:eastAsia="Calibri" w:cs="Calibri"/>
        </w:rPr>
        <w:t>secondary/</w:t>
      </w:r>
      <w:r w:rsidR="007E0D44" w:rsidRPr="003D48F8">
        <w:rPr>
          <w:rFonts w:eastAsia="Calibri" w:cs="Calibri"/>
        </w:rPr>
        <w:t>specialist care to the MBS</w:t>
      </w:r>
      <w:bookmarkEnd w:id="55"/>
    </w:p>
    <w:tbl>
      <w:tblPr>
        <w:tblStyle w:val="TableGridLigh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2226"/>
        <w:gridCol w:w="1145"/>
        <w:gridCol w:w="1129"/>
        <w:gridCol w:w="1129"/>
        <w:gridCol w:w="1129"/>
        <w:gridCol w:w="1129"/>
        <w:gridCol w:w="1129"/>
      </w:tblGrid>
      <w:tr w:rsidR="00077D7C" w:rsidRPr="003D48F8" w14:paraId="7C1FD046" w14:textId="77777777" w:rsidTr="003D48F8">
        <w:trPr>
          <w:cnfStyle w:val="100000000000" w:firstRow="1" w:lastRow="0" w:firstColumn="0" w:lastColumn="0" w:oddVBand="0" w:evenVBand="0" w:oddHBand="0" w:evenHBand="0" w:firstRowFirstColumn="0" w:firstRowLastColumn="0" w:lastRowFirstColumn="0" w:lastRowLastColumn="0"/>
        </w:trPr>
        <w:tc>
          <w:tcPr>
            <w:tcW w:w="2995" w:type="dxa"/>
          </w:tcPr>
          <w:p w14:paraId="147379B8" w14:textId="77777777" w:rsidR="007E0D44" w:rsidRPr="003D48F8" w:rsidRDefault="007E0D44">
            <w:pPr>
              <w:keepNext/>
              <w:keepLines/>
              <w:spacing w:before="20" w:after="20"/>
              <w:rPr>
                <w:rFonts w:ascii="Arial Narrow" w:hAnsi="Arial Narrow" w:cs="Calibri"/>
                <w:sz w:val="20"/>
                <w:szCs w:val="20"/>
              </w:rPr>
            </w:pPr>
            <w:r w:rsidRPr="003D48F8">
              <w:rPr>
                <w:rFonts w:ascii="Arial Narrow" w:hAnsi="Arial Narrow" w:cs="Calibri"/>
                <w:sz w:val="20"/>
                <w:szCs w:val="20"/>
              </w:rPr>
              <w:t xml:space="preserve">Parameter </w:t>
            </w:r>
          </w:p>
        </w:tc>
        <w:tc>
          <w:tcPr>
            <w:tcW w:w="1157" w:type="dxa"/>
            <w:vAlign w:val="center"/>
            <w:hideMark/>
          </w:tcPr>
          <w:p w14:paraId="2D114B35" w14:textId="77777777" w:rsidR="007E0D44" w:rsidRPr="003D48F8" w:rsidRDefault="007E0D44">
            <w:pPr>
              <w:keepNext/>
              <w:keepLines/>
              <w:spacing w:before="20" w:after="20"/>
              <w:jc w:val="center"/>
              <w:rPr>
                <w:rFonts w:ascii="Arial Narrow" w:hAnsi="Arial Narrow" w:cs="Calibri"/>
                <w:sz w:val="20"/>
                <w:szCs w:val="20"/>
                <w:highlight w:val="cyan"/>
              </w:rPr>
            </w:pPr>
            <w:r w:rsidRPr="003D48F8">
              <w:rPr>
                <w:rFonts w:ascii="Arial Narrow" w:hAnsi="Arial Narrow" w:cs="Calibri"/>
                <w:sz w:val="20"/>
                <w:szCs w:val="20"/>
              </w:rPr>
              <w:t>2026</w:t>
            </w:r>
          </w:p>
        </w:tc>
        <w:tc>
          <w:tcPr>
            <w:tcW w:w="1128" w:type="dxa"/>
            <w:vAlign w:val="center"/>
            <w:hideMark/>
          </w:tcPr>
          <w:p w14:paraId="0B7F060D" w14:textId="77777777" w:rsidR="007E0D44" w:rsidRPr="003D48F8" w:rsidRDefault="007E0D44">
            <w:pPr>
              <w:keepNext/>
              <w:keepLines/>
              <w:spacing w:before="20" w:after="20"/>
              <w:jc w:val="center"/>
              <w:rPr>
                <w:rFonts w:ascii="Arial Narrow" w:hAnsi="Arial Narrow" w:cs="Calibri"/>
                <w:sz w:val="20"/>
                <w:szCs w:val="20"/>
                <w:highlight w:val="cyan"/>
              </w:rPr>
            </w:pPr>
            <w:r w:rsidRPr="003D48F8">
              <w:rPr>
                <w:rFonts w:ascii="Arial Narrow" w:hAnsi="Arial Narrow" w:cs="Calibri"/>
                <w:sz w:val="20"/>
                <w:szCs w:val="20"/>
              </w:rPr>
              <w:t>2027</w:t>
            </w:r>
          </w:p>
        </w:tc>
        <w:tc>
          <w:tcPr>
            <w:tcW w:w="1110" w:type="dxa"/>
            <w:vAlign w:val="center"/>
            <w:hideMark/>
          </w:tcPr>
          <w:p w14:paraId="2317D360" w14:textId="77777777" w:rsidR="007E0D44" w:rsidRPr="003D48F8" w:rsidRDefault="007E0D44">
            <w:pPr>
              <w:keepNext/>
              <w:keepLines/>
              <w:spacing w:before="20" w:after="20"/>
              <w:jc w:val="center"/>
              <w:rPr>
                <w:rFonts w:ascii="Arial Narrow" w:hAnsi="Arial Narrow" w:cs="Calibri"/>
                <w:sz w:val="20"/>
                <w:szCs w:val="20"/>
                <w:highlight w:val="cyan"/>
              </w:rPr>
            </w:pPr>
            <w:r w:rsidRPr="003D48F8">
              <w:rPr>
                <w:rFonts w:ascii="Arial Narrow" w:hAnsi="Arial Narrow" w:cs="Calibri"/>
                <w:sz w:val="20"/>
                <w:szCs w:val="20"/>
              </w:rPr>
              <w:t>2028</w:t>
            </w:r>
          </w:p>
        </w:tc>
        <w:tc>
          <w:tcPr>
            <w:tcW w:w="1114" w:type="dxa"/>
            <w:vAlign w:val="center"/>
            <w:hideMark/>
          </w:tcPr>
          <w:p w14:paraId="6414DB9F" w14:textId="77777777" w:rsidR="007E0D44" w:rsidRPr="003D48F8" w:rsidRDefault="007E0D44">
            <w:pPr>
              <w:keepNext/>
              <w:keepLines/>
              <w:spacing w:before="20" w:after="20"/>
              <w:jc w:val="center"/>
              <w:rPr>
                <w:rFonts w:ascii="Arial Narrow" w:hAnsi="Arial Narrow" w:cs="Calibri"/>
                <w:sz w:val="20"/>
                <w:szCs w:val="20"/>
                <w:highlight w:val="cyan"/>
              </w:rPr>
            </w:pPr>
            <w:r w:rsidRPr="003D48F8">
              <w:rPr>
                <w:rFonts w:ascii="Arial Narrow" w:hAnsi="Arial Narrow" w:cs="Calibri"/>
                <w:sz w:val="20"/>
                <w:szCs w:val="20"/>
              </w:rPr>
              <w:t>2029</w:t>
            </w:r>
          </w:p>
        </w:tc>
        <w:tc>
          <w:tcPr>
            <w:tcW w:w="1120" w:type="dxa"/>
            <w:vAlign w:val="center"/>
            <w:hideMark/>
          </w:tcPr>
          <w:p w14:paraId="0F3A431F" w14:textId="77777777" w:rsidR="007E0D44" w:rsidRPr="003D48F8" w:rsidRDefault="007E0D44">
            <w:pPr>
              <w:keepNext/>
              <w:keepLines/>
              <w:spacing w:before="20" w:after="20"/>
              <w:jc w:val="center"/>
              <w:rPr>
                <w:rFonts w:ascii="Arial Narrow" w:hAnsi="Arial Narrow" w:cs="Calibri"/>
                <w:sz w:val="20"/>
                <w:szCs w:val="20"/>
                <w:highlight w:val="cyan"/>
              </w:rPr>
            </w:pPr>
            <w:r w:rsidRPr="003D48F8">
              <w:rPr>
                <w:rFonts w:ascii="Arial Narrow" w:hAnsi="Arial Narrow" w:cs="Calibri"/>
                <w:sz w:val="20"/>
                <w:szCs w:val="20"/>
              </w:rPr>
              <w:t>2030</w:t>
            </w:r>
          </w:p>
        </w:tc>
        <w:tc>
          <w:tcPr>
            <w:tcW w:w="1112" w:type="dxa"/>
            <w:vAlign w:val="center"/>
            <w:hideMark/>
          </w:tcPr>
          <w:p w14:paraId="492DC65E" w14:textId="77777777" w:rsidR="007E0D44" w:rsidRPr="003D48F8" w:rsidRDefault="007E0D44">
            <w:pPr>
              <w:keepNext/>
              <w:keepLines/>
              <w:spacing w:before="20" w:after="20"/>
              <w:jc w:val="center"/>
              <w:rPr>
                <w:rFonts w:ascii="Arial Narrow" w:hAnsi="Arial Narrow" w:cs="Calibri"/>
                <w:sz w:val="20"/>
                <w:szCs w:val="20"/>
                <w:highlight w:val="cyan"/>
              </w:rPr>
            </w:pPr>
            <w:r w:rsidRPr="003D48F8">
              <w:rPr>
                <w:rFonts w:ascii="Arial Narrow" w:hAnsi="Arial Narrow" w:cs="Calibri"/>
                <w:sz w:val="20"/>
                <w:szCs w:val="20"/>
              </w:rPr>
              <w:t>2031</w:t>
            </w:r>
          </w:p>
        </w:tc>
      </w:tr>
      <w:tr w:rsidR="009E6A5D" w:rsidRPr="003D48F8" w14:paraId="0E2AEF9B" w14:textId="77777777" w:rsidTr="003D48F8">
        <w:tc>
          <w:tcPr>
            <w:tcW w:w="9736" w:type="dxa"/>
            <w:gridSpan w:val="7"/>
            <w:hideMark/>
          </w:tcPr>
          <w:p w14:paraId="6B85FC3F" w14:textId="77777777" w:rsidR="007E0D44" w:rsidRPr="003D48F8" w:rsidRDefault="007E0D44">
            <w:pPr>
              <w:keepNext/>
              <w:keepLines/>
              <w:spacing w:before="20" w:after="20"/>
              <w:rPr>
                <w:rFonts w:ascii="Arial Narrow" w:hAnsi="Arial Narrow" w:cs="Calibri"/>
                <w:b/>
                <w:bCs/>
                <w:sz w:val="20"/>
                <w:szCs w:val="20"/>
                <w:lang w:val="en-AU"/>
              </w:rPr>
            </w:pPr>
            <w:r w:rsidRPr="00F512E6">
              <w:rPr>
                <w:rFonts w:ascii="Arial Narrow" w:hAnsi="Arial Narrow" w:cs="Calibri"/>
                <w:b/>
                <w:bCs/>
                <w:sz w:val="20"/>
                <w:szCs w:val="20"/>
              </w:rPr>
              <w:t>Estimated use and cost of the proposed health technology</w:t>
            </w:r>
          </w:p>
        </w:tc>
      </w:tr>
      <w:tr w:rsidR="00077D7C" w:rsidRPr="003D48F8" w14:paraId="164998DA" w14:textId="77777777" w:rsidTr="003D48F8">
        <w:tc>
          <w:tcPr>
            <w:tcW w:w="2995" w:type="dxa"/>
            <w:hideMark/>
          </w:tcPr>
          <w:p w14:paraId="2036C462"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z w:val="20"/>
                <w:szCs w:val="20"/>
              </w:rPr>
              <w:t>Number of people eligible for VCTE</w:t>
            </w:r>
          </w:p>
        </w:tc>
        <w:tc>
          <w:tcPr>
            <w:tcW w:w="1157" w:type="dxa"/>
            <w:vAlign w:val="center"/>
          </w:tcPr>
          <w:p w14:paraId="7018AA7B"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17,010</w:t>
            </w:r>
          </w:p>
        </w:tc>
        <w:tc>
          <w:tcPr>
            <w:tcW w:w="1128" w:type="dxa"/>
            <w:vAlign w:val="center"/>
          </w:tcPr>
          <w:p w14:paraId="7D512A70"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17,546</w:t>
            </w:r>
          </w:p>
        </w:tc>
        <w:tc>
          <w:tcPr>
            <w:tcW w:w="1110" w:type="dxa"/>
            <w:vAlign w:val="center"/>
          </w:tcPr>
          <w:p w14:paraId="2DD61156"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18,099</w:t>
            </w:r>
          </w:p>
        </w:tc>
        <w:tc>
          <w:tcPr>
            <w:tcW w:w="1114" w:type="dxa"/>
            <w:vAlign w:val="center"/>
          </w:tcPr>
          <w:p w14:paraId="0863D375"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18,669</w:t>
            </w:r>
          </w:p>
        </w:tc>
        <w:tc>
          <w:tcPr>
            <w:tcW w:w="1120" w:type="dxa"/>
            <w:vAlign w:val="center"/>
          </w:tcPr>
          <w:p w14:paraId="78B3E05B"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19,258</w:t>
            </w:r>
          </w:p>
        </w:tc>
        <w:tc>
          <w:tcPr>
            <w:tcW w:w="1112" w:type="dxa"/>
            <w:vAlign w:val="center"/>
          </w:tcPr>
          <w:p w14:paraId="27B2ED62"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19,865</w:t>
            </w:r>
          </w:p>
        </w:tc>
      </w:tr>
      <w:tr w:rsidR="00077D7C" w:rsidRPr="003D48F8" w14:paraId="0D423F3E" w14:textId="77777777" w:rsidTr="003D48F8">
        <w:tc>
          <w:tcPr>
            <w:tcW w:w="2995" w:type="dxa"/>
            <w:vAlign w:val="bottom"/>
            <w:hideMark/>
          </w:tcPr>
          <w:p w14:paraId="2079AB47"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z w:val="20"/>
                <w:szCs w:val="20"/>
              </w:rPr>
              <w:t>Number of services redirected to specialist care due to testing capacity limits in primary care</w:t>
            </w:r>
          </w:p>
        </w:tc>
        <w:tc>
          <w:tcPr>
            <w:tcW w:w="1157" w:type="dxa"/>
            <w:vAlign w:val="center"/>
          </w:tcPr>
          <w:p w14:paraId="76AC9297" w14:textId="2446A929" w:rsidR="007E0D44" w:rsidRPr="003D48F8" w:rsidRDefault="00077D7C">
            <w:pPr>
              <w:keepNext/>
              <w:keepLines/>
              <w:spacing w:before="20" w:after="20"/>
              <w:jc w:val="center"/>
              <w:rPr>
                <w:rFonts w:ascii="Arial Narrow" w:hAnsi="Arial Narrow" w:cs="Calibri"/>
                <w:sz w:val="20"/>
                <w:szCs w:val="20"/>
              </w:rPr>
            </w:pPr>
            <w:r>
              <w:rPr>
                <w:rFonts w:ascii="Arial Narrow" w:hAnsi="Arial Narrow" w:cs="Calibri"/>
                <w:b/>
                <w:bCs/>
                <w:sz w:val="20"/>
                <w:szCs w:val="20"/>
              </w:rPr>
              <w:t>Redacted</w:t>
            </w:r>
          </w:p>
        </w:tc>
        <w:tc>
          <w:tcPr>
            <w:tcW w:w="1128" w:type="dxa"/>
            <w:vAlign w:val="center"/>
          </w:tcPr>
          <w:p w14:paraId="558095DA" w14:textId="45D45B7E" w:rsidR="007E0D44" w:rsidRPr="003D48F8" w:rsidRDefault="00077D7C">
            <w:pPr>
              <w:keepNext/>
              <w:keepLines/>
              <w:spacing w:before="20" w:after="20"/>
              <w:jc w:val="center"/>
              <w:rPr>
                <w:rFonts w:ascii="Arial Narrow" w:hAnsi="Arial Narrow" w:cs="Calibri"/>
                <w:sz w:val="20"/>
                <w:szCs w:val="20"/>
              </w:rPr>
            </w:pPr>
            <w:r>
              <w:rPr>
                <w:rFonts w:ascii="Arial Narrow" w:hAnsi="Arial Narrow" w:cs="Calibri"/>
                <w:b/>
                <w:bCs/>
                <w:sz w:val="20"/>
                <w:szCs w:val="20"/>
              </w:rPr>
              <w:t>Redacted</w:t>
            </w:r>
          </w:p>
        </w:tc>
        <w:tc>
          <w:tcPr>
            <w:tcW w:w="1110" w:type="dxa"/>
            <w:vAlign w:val="center"/>
          </w:tcPr>
          <w:p w14:paraId="4101B4B8" w14:textId="7EC6C331" w:rsidR="007E0D44" w:rsidRPr="003D48F8" w:rsidRDefault="00077D7C">
            <w:pPr>
              <w:keepNext/>
              <w:keepLines/>
              <w:spacing w:before="20" w:after="20"/>
              <w:jc w:val="center"/>
              <w:rPr>
                <w:rFonts w:ascii="Arial Narrow" w:hAnsi="Arial Narrow" w:cs="Calibri"/>
                <w:sz w:val="20"/>
                <w:szCs w:val="20"/>
              </w:rPr>
            </w:pPr>
            <w:r>
              <w:rPr>
                <w:rFonts w:ascii="Arial Narrow" w:hAnsi="Arial Narrow" w:cs="Calibri"/>
                <w:b/>
                <w:bCs/>
                <w:sz w:val="20"/>
                <w:szCs w:val="20"/>
              </w:rPr>
              <w:t>Redacted</w:t>
            </w:r>
          </w:p>
        </w:tc>
        <w:tc>
          <w:tcPr>
            <w:tcW w:w="1114" w:type="dxa"/>
            <w:vAlign w:val="center"/>
          </w:tcPr>
          <w:p w14:paraId="797EDF97" w14:textId="2A3B2783" w:rsidR="007E0D44" w:rsidRPr="003D48F8" w:rsidRDefault="00077D7C">
            <w:pPr>
              <w:keepNext/>
              <w:keepLines/>
              <w:spacing w:before="20" w:after="20"/>
              <w:jc w:val="center"/>
              <w:rPr>
                <w:rFonts w:ascii="Arial Narrow" w:hAnsi="Arial Narrow" w:cs="Calibri"/>
                <w:sz w:val="20"/>
                <w:szCs w:val="20"/>
              </w:rPr>
            </w:pPr>
            <w:r>
              <w:rPr>
                <w:rFonts w:ascii="Arial Narrow" w:hAnsi="Arial Narrow" w:cs="Calibri"/>
                <w:b/>
                <w:bCs/>
                <w:sz w:val="20"/>
                <w:szCs w:val="20"/>
              </w:rPr>
              <w:t>Redacted</w:t>
            </w:r>
          </w:p>
        </w:tc>
        <w:tc>
          <w:tcPr>
            <w:tcW w:w="1120" w:type="dxa"/>
            <w:vAlign w:val="center"/>
          </w:tcPr>
          <w:p w14:paraId="1354A183" w14:textId="3A67980B" w:rsidR="007E0D44" w:rsidRPr="003D48F8" w:rsidRDefault="00077D7C">
            <w:pPr>
              <w:keepNext/>
              <w:keepLines/>
              <w:spacing w:before="20" w:after="20"/>
              <w:jc w:val="center"/>
              <w:rPr>
                <w:rFonts w:ascii="Arial Narrow" w:hAnsi="Arial Narrow" w:cs="Calibri"/>
                <w:sz w:val="20"/>
                <w:szCs w:val="20"/>
              </w:rPr>
            </w:pPr>
            <w:r>
              <w:rPr>
                <w:rFonts w:ascii="Arial Narrow" w:hAnsi="Arial Narrow" w:cs="Calibri"/>
                <w:b/>
                <w:bCs/>
                <w:sz w:val="20"/>
                <w:szCs w:val="20"/>
              </w:rPr>
              <w:t>Redacted</w:t>
            </w:r>
          </w:p>
        </w:tc>
        <w:tc>
          <w:tcPr>
            <w:tcW w:w="1112" w:type="dxa"/>
            <w:vAlign w:val="center"/>
          </w:tcPr>
          <w:p w14:paraId="30C4E998" w14:textId="3340B477" w:rsidR="007E0D44" w:rsidRPr="003D48F8" w:rsidRDefault="00077D7C">
            <w:pPr>
              <w:keepNext/>
              <w:keepLines/>
              <w:spacing w:before="20" w:after="20"/>
              <w:jc w:val="center"/>
              <w:rPr>
                <w:rFonts w:ascii="Arial Narrow" w:hAnsi="Arial Narrow" w:cs="Calibri"/>
                <w:sz w:val="20"/>
                <w:szCs w:val="20"/>
              </w:rPr>
            </w:pPr>
            <w:r>
              <w:rPr>
                <w:rFonts w:ascii="Arial Narrow" w:hAnsi="Arial Narrow" w:cs="Calibri"/>
                <w:b/>
                <w:bCs/>
                <w:sz w:val="20"/>
                <w:szCs w:val="20"/>
              </w:rPr>
              <w:t>Redacted</w:t>
            </w:r>
          </w:p>
        </w:tc>
      </w:tr>
      <w:tr w:rsidR="00077D7C" w:rsidRPr="003D48F8" w14:paraId="214D4403" w14:textId="77777777" w:rsidTr="003D48F8">
        <w:tc>
          <w:tcPr>
            <w:tcW w:w="2995" w:type="dxa"/>
            <w:hideMark/>
          </w:tcPr>
          <w:p w14:paraId="4180EAE4"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z w:val="20"/>
                <w:szCs w:val="20"/>
              </w:rPr>
              <w:t>Cost to the MBS (with appropriate copayments excluded)</w:t>
            </w:r>
          </w:p>
        </w:tc>
        <w:tc>
          <w:tcPr>
            <w:tcW w:w="1157" w:type="dxa"/>
            <w:vAlign w:val="center"/>
          </w:tcPr>
          <w:p w14:paraId="09BFFD9B"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$24,022,800</w:t>
            </w:r>
          </w:p>
        </w:tc>
        <w:tc>
          <w:tcPr>
            <w:tcW w:w="1128" w:type="dxa"/>
            <w:vAlign w:val="center"/>
          </w:tcPr>
          <w:p w14:paraId="2570CF71"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$22,647,084</w:t>
            </w:r>
          </w:p>
        </w:tc>
        <w:tc>
          <w:tcPr>
            <w:tcW w:w="1110" w:type="dxa"/>
            <w:vAlign w:val="center"/>
          </w:tcPr>
          <w:p w14:paraId="73D2FB5D"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$20,720,289</w:t>
            </w:r>
          </w:p>
        </w:tc>
        <w:tc>
          <w:tcPr>
            <w:tcW w:w="1114" w:type="dxa"/>
            <w:vAlign w:val="center"/>
          </w:tcPr>
          <w:p w14:paraId="00020C69"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$18,204,660</w:t>
            </w:r>
          </w:p>
        </w:tc>
        <w:tc>
          <w:tcPr>
            <w:tcW w:w="1120" w:type="dxa"/>
            <w:vAlign w:val="center"/>
          </w:tcPr>
          <w:p w14:paraId="69A2C1BA"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$14,976,017</w:t>
            </w:r>
          </w:p>
        </w:tc>
        <w:tc>
          <w:tcPr>
            <w:tcW w:w="1112" w:type="dxa"/>
            <w:vAlign w:val="center"/>
          </w:tcPr>
          <w:p w14:paraId="23EEF582"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$10,885,142</w:t>
            </w:r>
          </w:p>
        </w:tc>
      </w:tr>
      <w:tr w:rsidR="009E6A5D" w:rsidRPr="003D48F8" w14:paraId="4F7CFD92" w14:textId="77777777" w:rsidTr="003D48F8">
        <w:trPr>
          <w:trHeight w:val="63"/>
        </w:trPr>
        <w:tc>
          <w:tcPr>
            <w:tcW w:w="9736" w:type="dxa"/>
            <w:gridSpan w:val="7"/>
            <w:hideMark/>
          </w:tcPr>
          <w:p w14:paraId="2C36DB04" w14:textId="77777777" w:rsidR="007E0D44" w:rsidRPr="003D48F8" w:rsidRDefault="007E0D44">
            <w:pPr>
              <w:keepNext/>
              <w:keepLines/>
              <w:spacing w:before="20" w:after="20"/>
              <w:rPr>
                <w:rFonts w:ascii="Arial Narrow" w:hAnsi="Arial Narrow" w:cs="Calibri"/>
                <w:b/>
                <w:bCs/>
                <w:sz w:val="20"/>
                <w:szCs w:val="20"/>
                <w:lang w:val="en-AU"/>
              </w:rPr>
            </w:pPr>
            <w:r w:rsidRPr="00F512E6">
              <w:rPr>
                <w:rFonts w:ascii="Arial Narrow" w:hAnsi="Arial Narrow" w:cs="Calibri"/>
                <w:b/>
                <w:bCs/>
                <w:sz w:val="20"/>
                <w:szCs w:val="20"/>
              </w:rPr>
              <w:t>Change in use and cost of other health technologies</w:t>
            </w:r>
          </w:p>
        </w:tc>
      </w:tr>
      <w:tr w:rsidR="00077D7C" w:rsidRPr="003D48F8" w14:paraId="47CEF054" w14:textId="77777777" w:rsidTr="003D48F8">
        <w:tc>
          <w:tcPr>
            <w:tcW w:w="2995" w:type="dxa"/>
            <w:hideMark/>
          </w:tcPr>
          <w:p w14:paraId="0918B112"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napToGrid w:val="0"/>
                <w:sz w:val="20"/>
                <w:szCs w:val="20"/>
              </w:rPr>
              <w:t>Change in use of additional ultrasounds avoided</w:t>
            </w:r>
          </w:p>
        </w:tc>
        <w:tc>
          <w:tcPr>
            <w:tcW w:w="1157" w:type="dxa"/>
            <w:vAlign w:val="center"/>
          </w:tcPr>
          <w:p w14:paraId="134DA9A7"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$8,606,315</w:t>
            </w:r>
          </w:p>
        </w:tc>
        <w:tc>
          <w:tcPr>
            <w:tcW w:w="1128" w:type="dxa"/>
            <w:vAlign w:val="center"/>
          </w:tcPr>
          <w:p w14:paraId="2572224B"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$8,090,942</w:t>
            </w:r>
          </w:p>
        </w:tc>
        <w:tc>
          <w:tcPr>
            <w:tcW w:w="1110" w:type="dxa"/>
            <w:vAlign w:val="center"/>
          </w:tcPr>
          <w:p w14:paraId="269A5AAF"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$7,402,005</w:t>
            </w:r>
          </w:p>
        </w:tc>
        <w:tc>
          <w:tcPr>
            <w:tcW w:w="1114" w:type="dxa"/>
            <w:vAlign w:val="center"/>
          </w:tcPr>
          <w:p w14:paraId="0A95B156"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$6,502,567</w:t>
            </w:r>
          </w:p>
        </w:tc>
        <w:tc>
          <w:tcPr>
            <w:tcW w:w="1120" w:type="dxa"/>
            <w:vAlign w:val="center"/>
          </w:tcPr>
          <w:p w14:paraId="2BC0E7D7"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$5,348,239</w:t>
            </w:r>
          </w:p>
        </w:tc>
        <w:tc>
          <w:tcPr>
            <w:tcW w:w="1112" w:type="dxa"/>
            <w:vAlign w:val="center"/>
          </w:tcPr>
          <w:p w14:paraId="228AF468"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$3,885,678</w:t>
            </w:r>
          </w:p>
        </w:tc>
      </w:tr>
      <w:tr w:rsidR="00077D7C" w:rsidRPr="003D48F8" w14:paraId="16D42FE3" w14:textId="77777777" w:rsidTr="003D48F8">
        <w:tc>
          <w:tcPr>
            <w:tcW w:w="2995" w:type="dxa"/>
            <w:hideMark/>
          </w:tcPr>
          <w:p w14:paraId="68E6A958"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napToGrid w:val="0"/>
                <w:sz w:val="20"/>
                <w:szCs w:val="20"/>
              </w:rPr>
              <w:t>Change in use of return specialist appointments avoided</w:t>
            </w:r>
          </w:p>
        </w:tc>
        <w:tc>
          <w:tcPr>
            <w:tcW w:w="1157" w:type="dxa"/>
            <w:vAlign w:val="center"/>
          </w:tcPr>
          <w:p w14:paraId="73FB8535"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$6,829,149</w:t>
            </w:r>
          </w:p>
        </w:tc>
        <w:tc>
          <w:tcPr>
            <w:tcW w:w="1128" w:type="dxa"/>
            <w:vAlign w:val="center"/>
          </w:tcPr>
          <w:p w14:paraId="13324635"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$6,420,199</w:t>
            </w:r>
          </w:p>
        </w:tc>
        <w:tc>
          <w:tcPr>
            <w:tcW w:w="1110" w:type="dxa"/>
            <w:vAlign w:val="center"/>
          </w:tcPr>
          <w:p w14:paraId="0ABC0DCA"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$5,873,523</w:t>
            </w:r>
          </w:p>
        </w:tc>
        <w:tc>
          <w:tcPr>
            <w:tcW w:w="1114" w:type="dxa"/>
            <w:vAlign w:val="center"/>
          </w:tcPr>
          <w:p w14:paraId="6B69AA23"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$5,159,816</w:t>
            </w:r>
          </w:p>
        </w:tc>
        <w:tc>
          <w:tcPr>
            <w:tcW w:w="1120" w:type="dxa"/>
            <w:vAlign w:val="center"/>
          </w:tcPr>
          <w:p w14:paraId="4FB103EA"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$4,243,851</w:t>
            </w:r>
          </w:p>
        </w:tc>
        <w:tc>
          <w:tcPr>
            <w:tcW w:w="1112" w:type="dxa"/>
            <w:vAlign w:val="center"/>
          </w:tcPr>
          <w:p w14:paraId="54F003F2"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$3,083,302</w:t>
            </w:r>
          </w:p>
        </w:tc>
      </w:tr>
      <w:tr w:rsidR="00077D7C" w:rsidRPr="003D48F8" w14:paraId="5C8570F1" w14:textId="77777777" w:rsidTr="003D48F8">
        <w:tc>
          <w:tcPr>
            <w:tcW w:w="2995" w:type="dxa"/>
          </w:tcPr>
          <w:p w14:paraId="653DCA30"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napToGrid w:val="0"/>
                <w:sz w:val="20"/>
                <w:szCs w:val="20"/>
              </w:rPr>
              <w:t>Change in use of liver biopsy avoided</w:t>
            </w:r>
          </w:p>
        </w:tc>
        <w:tc>
          <w:tcPr>
            <w:tcW w:w="1157" w:type="dxa"/>
            <w:vAlign w:val="center"/>
          </w:tcPr>
          <w:p w14:paraId="0E829285"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$337,988</w:t>
            </w:r>
          </w:p>
        </w:tc>
        <w:tc>
          <w:tcPr>
            <w:tcW w:w="1128" w:type="dxa"/>
            <w:vAlign w:val="center"/>
          </w:tcPr>
          <w:p w14:paraId="423BAE31"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$348,640</w:t>
            </w:r>
          </w:p>
        </w:tc>
        <w:tc>
          <w:tcPr>
            <w:tcW w:w="1110" w:type="dxa"/>
            <w:vAlign w:val="center"/>
          </w:tcPr>
          <w:p w14:paraId="06965849"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$359,628</w:t>
            </w:r>
          </w:p>
        </w:tc>
        <w:tc>
          <w:tcPr>
            <w:tcW w:w="1114" w:type="dxa"/>
            <w:vAlign w:val="center"/>
          </w:tcPr>
          <w:p w14:paraId="50C58AC3"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$370,962</w:t>
            </w:r>
          </w:p>
        </w:tc>
        <w:tc>
          <w:tcPr>
            <w:tcW w:w="1120" w:type="dxa"/>
            <w:vAlign w:val="center"/>
          </w:tcPr>
          <w:p w14:paraId="4569350E"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$382,653</w:t>
            </w:r>
          </w:p>
        </w:tc>
        <w:tc>
          <w:tcPr>
            <w:tcW w:w="1112" w:type="dxa"/>
            <w:vAlign w:val="center"/>
          </w:tcPr>
          <w:p w14:paraId="7025283C"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$394,713</w:t>
            </w:r>
          </w:p>
        </w:tc>
      </w:tr>
      <w:tr w:rsidR="00077D7C" w:rsidRPr="003D48F8" w14:paraId="3BDBFE73" w14:textId="77777777" w:rsidTr="003D48F8">
        <w:tc>
          <w:tcPr>
            <w:tcW w:w="2995" w:type="dxa"/>
            <w:hideMark/>
          </w:tcPr>
          <w:p w14:paraId="064AC42B"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z w:val="20"/>
                <w:szCs w:val="20"/>
              </w:rPr>
              <w:t>Net change in costs to the MBS (with appropriate copayments excluded)</w:t>
            </w:r>
          </w:p>
        </w:tc>
        <w:tc>
          <w:tcPr>
            <w:tcW w:w="1157" w:type="dxa"/>
            <w:vAlign w:val="center"/>
          </w:tcPr>
          <w:p w14:paraId="7D544756"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$13,407,435</w:t>
            </w:r>
          </w:p>
        </w:tc>
        <w:tc>
          <w:tcPr>
            <w:tcW w:w="1128" w:type="dxa"/>
            <w:vAlign w:val="center"/>
          </w:tcPr>
          <w:p w14:paraId="2541A468"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$12,630,814</w:t>
            </w:r>
          </w:p>
        </w:tc>
        <w:tc>
          <w:tcPr>
            <w:tcW w:w="1110" w:type="dxa"/>
            <w:vAlign w:val="center"/>
          </w:tcPr>
          <w:p w14:paraId="624CEE7D"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$11,589,883</w:t>
            </w:r>
          </w:p>
        </w:tc>
        <w:tc>
          <w:tcPr>
            <w:tcW w:w="1114" w:type="dxa"/>
            <w:vAlign w:val="center"/>
          </w:tcPr>
          <w:p w14:paraId="3C6620E7"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$10,228,344</w:t>
            </w:r>
          </w:p>
        </w:tc>
        <w:tc>
          <w:tcPr>
            <w:tcW w:w="1120" w:type="dxa"/>
            <w:vAlign w:val="center"/>
          </w:tcPr>
          <w:p w14:paraId="3509228C"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$8,478,532</w:t>
            </w:r>
          </w:p>
        </w:tc>
        <w:tc>
          <w:tcPr>
            <w:tcW w:w="1112" w:type="dxa"/>
            <w:vAlign w:val="center"/>
          </w:tcPr>
          <w:p w14:paraId="3A7F2C87"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$6,259,139</w:t>
            </w:r>
          </w:p>
        </w:tc>
      </w:tr>
      <w:tr w:rsidR="00077D7C" w:rsidRPr="003D48F8" w14:paraId="07DF8694" w14:textId="77777777" w:rsidTr="003D48F8">
        <w:trPr>
          <w:cnfStyle w:val="010000000000" w:firstRow="0" w:lastRow="1" w:firstColumn="0" w:lastColumn="0" w:oddVBand="0" w:evenVBand="0" w:oddHBand="0" w:evenHBand="0" w:firstRowFirstColumn="0" w:firstRowLastColumn="0" w:lastRowFirstColumn="0" w:lastRowLastColumn="0"/>
        </w:trPr>
        <w:tc>
          <w:tcPr>
            <w:tcW w:w="2995" w:type="dxa"/>
            <w:hideMark/>
          </w:tcPr>
          <w:p w14:paraId="01BD5F97" w14:textId="77777777" w:rsidR="007E0D44" w:rsidRPr="003D48F8" w:rsidRDefault="007E0D44">
            <w:pPr>
              <w:keepNext/>
              <w:keepLines/>
              <w:spacing w:before="20" w:after="20"/>
              <w:rPr>
                <w:rFonts w:ascii="Arial Narrow" w:hAnsi="Arial Narrow" w:cs="Calibri"/>
                <w:sz w:val="20"/>
                <w:szCs w:val="20"/>
                <w:lang w:val="en-AU"/>
              </w:rPr>
            </w:pPr>
            <w:r w:rsidRPr="00F512E6">
              <w:rPr>
                <w:rFonts w:ascii="Arial Narrow" w:hAnsi="Arial Narrow" w:cs="Calibri"/>
                <w:sz w:val="20"/>
                <w:szCs w:val="20"/>
              </w:rPr>
              <w:t>Net financial impact to the MBS</w:t>
            </w:r>
          </w:p>
        </w:tc>
        <w:tc>
          <w:tcPr>
            <w:tcW w:w="1157" w:type="dxa"/>
            <w:vAlign w:val="center"/>
          </w:tcPr>
          <w:p w14:paraId="5908E737"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$10,615,366</w:t>
            </w:r>
          </w:p>
        </w:tc>
        <w:tc>
          <w:tcPr>
            <w:tcW w:w="1128" w:type="dxa"/>
            <w:vAlign w:val="center"/>
          </w:tcPr>
          <w:p w14:paraId="459B0E23"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$10,016,270</w:t>
            </w:r>
          </w:p>
        </w:tc>
        <w:tc>
          <w:tcPr>
            <w:tcW w:w="1110" w:type="dxa"/>
            <w:vAlign w:val="center"/>
          </w:tcPr>
          <w:p w14:paraId="687A276F"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$9,130,407</w:t>
            </w:r>
          </w:p>
        </w:tc>
        <w:tc>
          <w:tcPr>
            <w:tcW w:w="1114" w:type="dxa"/>
            <w:vAlign w:val="center"/>
          </w:tcPr>
          <w:p w14:paraId="3147BB8C"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$7,976,317</w:t>
            </w:r>
          </w:p>
        </w:tc>
        <w:tc>
          <w:tcPr>
            <w:tcW w:w="1120" w:type="dxa"/>
            <w:vAlign w:val="center"/>
          </w:tcPr>
          <w:p w14:paraId="27F2A4C1"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$6,497,485</w:t>
            </w:r>
          </w:p>
        </w:tc>
        <w:tc>
          <w:tcPr>
            <w:tcW w:w="1112" w:type="dxa"/>
            <w:vAlign w:val="center"/>
          </w:tcPr>
          <w:p w14:paraId="22A7511D" w14:textId="77777777" w:rsidR="007E0D44" w:rsidRPr="003D48F8" w:rsidRDefault="007E0D44">
            <w:pPr>
              <w:keepNext/>
              <w:keepLines/>
              <w:spacing w:before="20" w:after="20"/>
              <w:jc w:val="center"/>
              <w:rPr>
                <w:rFonts w:ascii="Arial Narrow" w:hAnsi="Arial Narrow" w:cs="Calibri"/>
                <w:sz w:val="20"/>
                <w:szCs w:val="20"/>
              </w:rPr>
            </w:pPr>
            <w:r w:rsidRPr="003D48F8">
              <w:rPr>
                <w:rFonts w:ascii="Arial Narrow" w:hAnsi="Arial Narrow" w:cs="Calibri"/>
                <w:sz w:val="20"/>
                <w:szCs w:val="20"/>
              </w:rPr>
              <w:t>$4,626,003</w:t>
            </w:r>
          </w:p>
        </w:tc>
      </w:tr>
    </w:tbl>
    <w:p w14:paraId="253A825B" w14:textId="77777777" w:rsidR="007E0D44" w:rsidRPr="00FD3B16" w:rsidRDefault="007E0D44" w:rsidP="007E0D44">
      <w:pPr>
        <w:tabs>
          <w:tab w:val="left" w:pos="284"/>
        </w:tabs>
        <w:spacing w:after="360"/>
        <w:rPr>
          <w:rFonts w:ascii="Arial Narrow" w:eastAsia="Times New Roman" w:hAnsi="Arial Narrow" w:cs="Arial"/>
          <w:snapToGrid w:val="0"/>
          <w:sz w:val="18"/>
          <w:szCs w:val="18"/>
          <w:lang w:eastAsia="en-AU"/>
        </w:rPr>
      </w:pPr>
      <w:bookmarkStart w:id="56" w:name="_Hlk205202456"/>
      <w:r w:rsidRPr="00FD3B16">
        <w:rPr>
          <w:rFonts w:ascii="Arial Narrow" w:eastAsia="Times New Roman" w:hAnsi="Arial Narrow" w:cs="Arial"/>
          <w:snapToGrid w:val="0"/>
          <w:sz w:val="18"/>
          <w:szCs w:val="18"/>
          <w:lang w:eastAsia="en-AU"/>
        </w:rPr>
        <w:t xml:space="preserve">Source: ADAR, Section 4.4 </w:t>
      </w:r>
    </w:p>
    <w:bookmarkEnd w:id="56"/>
    <w:p w14:paraId="4A82A55C" w14:textId="56C07700" w:rsidR="007E0D44" w:rsidRPr="00D534FB" w:rsidRDefault="00B547FD" w:rsidP="00872EFA">
      <w:pPr>
        <w:spacing w:before="240"/>
      </w:pPr>
      <w:r>
        <w:t xml:space="preserve">The ADAR estimates that, due to an increase in </w:t>
      </w:r>
      <w:r w:rsidR="004642FF">
        <w:t>the</w:t>
      </w:r>
      <w:r>
        <w:t xml:space="preserve"> number of tests in primary care, the number of specialist referrals and testing in secondary care will decrease, leading to an overall cost </w:t>
      </w:r>
      <w:r>
        <w:lastRenderedPageBreak/>
        <w:t xml:space="preserve">saving. The commentary considered these financial estimates to be highly uncertain, the primary reason being that the number of MAFLD may be overestimated, uptake </w:t>
      </w:r>
      <w:r w:rsidR="00567DE4">
        <w:t>of both F</w:t>
      </w:r>
      <w:r w:rsidR="00112751">
        <w:t>i</w:t>
      </w:r>
      <w:r w:rsidR="00567DE4">
        <w:t xml:space="preserve">broScan by primary caregivers as well as number of tests conducted </w:t>
      </w:r>
      <w:r>
        <w:t xml:space="preserve">in primary care setting may be overestimated, the concept of overflow may not be justified, and the cost offsets may be overestimated. </w:t>
      </w:r>
    </w:p>
    <w:p w14:paraId="6A334DE7" w14:textId="77777777" w:rsidR="007E0D44" w:rsidRPr="00234F1C" w:rsidRDefault="007E0D44" w:rsidP="007E0D44">
      <w:pPr>
        <w:pStyle w:val="BodyText"/>
        <w:rPr>
          <w:rFonts w:ascii="Franklin Gothic Book" w:hAnsi="Franklin Gothic Book"/>
          <w:sz w:val="22"/>
          <w:szCs w:val="22"/>
        </w:rPr>
      </w:pPr>
      <w:r w:rsidRPr="00234F1C">
        <w:rPr>
          <w:rFonts w:ascii="Franklin Gothic Book" w:hAnsi="Franklin Gothic Book"/>
          <w:sz w:val="22"/>
          <w:szCs w:val="22"/>
        </w:rPr>
        <w:t>Given the numerous conceptual, methodological and calculational problems with the ADAR financial model, the sensitivity analyses in parameter variation was not considered informative for MSAC.</w:t>
      </w:r>
    </w:p>
    <w:p w14:paraId="7838A9FF" w14:textId="175416D2" w:rsidR="00772829" w:rsidRDefault="00B27795" w:rsidP="002A18BE">
      <w:pPr>
        <w:pStyle w:val="Heading2"/>
        <w:numPr>
          <w:ilvl w:val="0"/>
          <w:numId w:val="0"/>
        </w:numPr>
      </w:pPr>
      <w:r>
        <w:t>1</w:t>
      </w:r>
      <w:r w:rsidR="0018750D">
        <w:t>5</w:t>
      </w:r>
      <w:r w:rsidR="00C36633">
        <w:t>.</w:t>
      </w:r>
      <w:r w:rsidR="00C36633">
        <w:tab/>
      </w:r>
      <w:r w:rsidR="00772829" w:rsidRPr="00CE28E3">
        <w:t xml:space="preserve">Other relevant </w:t>
      </w:r>
      <w:bookmarkEnd w:id="51"/>
      <w:r w:rsidR="00FA5766">
        <w:t>information</w:t>
      </w:r>
    </w:p>
    <w:p w14:paraId="65BA544E" w14:textId="5C1FADE3" w:rsidR="00B547FD" w:rsidRPr="00B547FD" w:rsidRDefault="003412DD" w:rsidP="00B547FD">
      <w:r w:rsidRPr="003412DD">
        <w:t>As discussed in Table 1, the commentary noted that</w:t>
      </w:r>
      <w:r w:rsidR="00116863">
        <w:t>,</w:t>
      </w:r>
      <w:r w:rsidRPr="003412DD">
        <w:t xml:space="preserve"> given the 1797 ADAR’s claim that patients currently face an out</w:t>
      </w:r>
      <w:r w:rsidR="002A48C1">
        <w:t>-</w:t>
      </w:r>
      <w:r w:rsidRPr="003412DD">
        <w:t>of</w:t>
      </w:r>
      <w:r w:rsidR="002A48C1">
        <w:t>-</w:t>
      </w:r>
      <w:r w:rsidRPr="003412DD">
        <w:t>pocket cost of between $200-300 for privately funded V</w:t>
      </w:r>
      <w:r w:rsidR="003707B7">
        <w:t>C</w:t>
      </w:r>
      <w:r w:rsidRPr="003412DD">
        <w:t>TE, patients would still face substantial out</w:t>
      </w:r>
      <w:r w:rsidR="00FA7D42">
        <w:t>-</w:t>
      </w:r>
      <w:r w:rsidRPr="003412DD">
        <w:t>of</w:t>
      </w:r>
      <w:r w:rsidR="00FA7D42">
        <w:t>-</w:t>
      </w:r>
      <w:r w:rsidRPr="003412DD">
        <w:t xml:space="preserve">pocket costs even if </w:t>
      </w:r>
      <w:r w:rsidR="002A48C1">
        <w:t xml:space="preserve">the </w:t>
      </w:r>
      <w:r w:rsidR="00D22872">
        <w:t xml:space="preserve">delivery of </w:t>
      </w:r>
      <w:r w:rsidR="00B22722">
        <w:t>VCTE</w:t>
      </w:r>
      <w:r w:rsidRPr="003412DD">
        <w:t xml:space="preserve"> w</w:t>
      </w:r>
      <w:r w:rsidR="006B0BDA">
        <w:t>ere</w:t>
      </w:r>
      <w:r w:rsidRPr="003412DD">
        <w:t xml:space="preserve"> subsidised </w:t>
      </w:r>
      <w:r w:rsidR="00C329B0">
        <w:t>by</w:t>
      </w:r>
      <w:r w:rsidRPr="003412DD">
        <w:t xml:space="preserve"> the MBS</w:t>
      </w:r>
      <w:r w:rsidR="00920146">
        <w:t>.</w:t>
      </w:r>
      <w:r w:rsidRPr="003412DD">
        <w:t xml:space="preserve"> </w:t>
      </w:r>
      <w:r w:rsidR="00920146">
        <w:t>T</w:t>
      </w:r>
      <w:r w:rsidRPr="003412DD">
        <w:t>he same issue of inequity previously identified by the MSAC in Application 1446 would apply.</w:t>
      </w:r>
    </w:p>
    <w:p w14:paraId="5A47F9F0" w14:textId="482F80FB" w:rsidR="0018750D" w:rsidRPr="00A737D1" w:rsidRDefault="0018750D" w:rsidP="00872EFA">
      <w:pPr>
        <w:pStyle w:val="Heading2"/>
        <w:numPr>
          <w:ilvl w:val="0"/>
          <w:numId w:val="27"/>
        </w:numPr>
        <w:ind w:hanging="795"/>
      </w:pPr>
      <w:bookmarkStart w:id="57" w:name="_Toc145678765"/>
      <w:bookmarkStart w:id="58" w:name="_Toc150172410"/>
      <w:bookmarkStart w:id="59" w:name="_Toc153462785"/>
      <w:r w:rsidRPr="003A793E">
        <w:t>Key issues from ESC to MSAC</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220E13" w:rsidRPr="00CE28E3" w14:paraId="112A40E2" w14:textId="77777777">
        <w:tc>
          <w:tcPr>
            <w:tcW w:w="9016" w:type="dxa"/>
          </w:tcPr>
          <w:p w14:paraId="7F8AB9E1" w14:textId="77777777" w:rsidR="0018750D" w:rsidRPr="0089597A" w:rsidRDefault="0018750D">
            <w:pPr>
              <w:spacing w:before="240" w:after="240"/>
              <w:rPr>
                <w:b/>
                <w:bCs/>
              </w:rPr>
            </w:pPr>
            <w:bookmarkStart w:id="60" w:name="_Hlk69734340"/>
            <w:bookmarkEnd w:id="57"/>
            <w:bookmarkEnd w:id="58"/>
            <w:bookmarkEnd w:id="59"/>
            <w:r w:rsidRPr="0089597A">
              <w:rPr>
                <w:b/>
                <w:bCs/>
              </w:rPr>
              <w:t xml:space="preserve">Main issues for MSAC consideration </w:t>
            </w:r>
          </w:p>
          <w:p w14:paraId="0809E60D" w14:textId="77777777" w:rsidR="0018750D" w:rsidRPr="0089597A" w:rsidRDefault="0018750D">
            <w:pPr>
              <w:spacing w:before="240" w:after="240"/>
              <w:rPr>
                <w:b/>
                <w:bCs/>
              </w:rPr>
            </w:pPr>
            <w:r w:rsidRPr="0089597A">
              <w:rPr>
                <w:b/>
                <w:bCs/>
              </w:rPr>
              <w:t>Clinical issues:</w:t>
            </w:r>
          </w:p>
          <w:p w14:paraId="7ECB3731" w14:textId="77777777" w:rsidR="0018750D" w:rsidRDefault="0018750D">
            <w:pPr>
              <w:pStyle w:val="ListParagraph"/>
              <w:numPr>
                <w:ilvl w:val="3"/>
                <w:numId w:val="26"/>
              </w:numPr>
              <w:ind w:left="599" w:hanging="599"/>
            </w:pPr>
            <w:r>
              <w:t>N</w:t>
            </w:r>
            <w:r w:rsidRPr="00515AC3">
              <w:t xml:space="preserve">o comparative effectiveness or safety data were presented against the </w:t>
            </w:r>
            <w:r>
              <w:t xml:space="preserve">management </w:t>
            </w:r>
            <w:r w:rsidRPr="00515AC3">
              <w:t xml:space="preserve">options in standard of care </w:t>
            </w:r>
            <w:r>
              <w:t>(</w:t>
            </w:r>
            <w:r w:rsidRPr="00515AC3">
              <w:t>SOC</w:t>
            </w:r>
            <w:r>
              <w:t>).</w:t>
            </w:r>
            <w:r w:rsidRPr="00515AC3">
              <w:t xml:space="preserve"> The</w:t>
            </w:r>
            <w:r>
              <w:t xml:space="preserve"> </w:t>
            </w:r>
            <w:r w:rsidRPr="000B734C">
              <w:rPr>
                <w:rFonts w:eastAsia="Times New Roman" w:cs="Times New Roman"/>
                <w:color w:val="000000"/>
                <w:szCs w:val="20"/>
                <w:lang w:eastAsia="en-AU"/>
              </w:rPr>
              <w:t>applicant-developed assessment report</w:t>
            </w:r>
            <w:r>
              <w:rPr>
                <w:rFonts w:eastAsia="Times New Roman" w:cs="Times New Roman"/>
                <w:color w:val="000000"/>
                <w:szCs w:val="20"/>
                <w:lang w:eastAsia="en-AU"/>
              </w:rPr>
              <w:t>’s</w:t>
            </w:r>
            <w:r w:rsidRPr="00515AC3">
              <w:t xml:space="preserve"> </w:t>
            </w:r>
            <w:r>
              <w:t>(</w:t>
            </w:r>
            <w:r w:rsidRPr="00515AC3">
              <w:t>ADAR’s</w:t>
            </w:r>
            <w:r>
              <w:t xml:space="preserve">) </w:t>
            </w:r>
            <w:r w:rsidRPr="00515AC3">
              <w:t>nominated comparator of SOC includes liver ultrasound</w:t>
            </w:r>
            <w:r>
              <w:t xml:space="preserve"> (US)</w:t>
            </w:r>
            <w:r w:rsidRPr="00515AC3">
              <w:t xml:space="preserve">, other non-funded tests for the diagnosis of advanced fibrosis, and/or referral to specialist care (where appropriate). However, no comparative effectiveness or safety data were </w:t>
            </w:r>
            <w:r>
              <w:t xml:space="preserve">available for </w:t>
            </w:r>
            <w:r w:rsidRPr="00515AC3">
              <w:t xml:space="preserve">the proposed </w:t>
            </w:r>
            <w:r>
              <w:t>triage strategy</w:t>
            </w:r>
            <w:r w:rsidRPr="00515AC3">
              <w:t xml:space="preserve"> (i.e. </w:t>
            </w:r>
            <w:r w:rsidRPr="00EA4FE8">
              <w:rPr>
                <w:rFonts w:eastAsia="Calibri" w:cs="Times New Roman"/>
              </w:rPr>
              <w:t>Vibration-Controlled Transient Elastography</w:t>
            </w:r>
            <w:r>
              <w:rPr>
                <w:rFonts w:eastAsia="Calibri" w:cs="Times New Roman"/>
              </w:rPr>
              <w:t xml:space="preserve"> [VCTE]</w:t>
            </w:r>
            <w:r>
              <w:t xml:space="preserve"> performed as a </w:t>
            </w:r>
            <w:r w:rsidRPr="00515AC3">
              <w:t>second</w:t>
            </w:r>
            <w:r>
              <w:t>-</w:t>
            </w:r>
            <w:r w:rsidRPr="00515AC3">
              <w:t>line t</w:t>
            </w:r>
            <w:r w:rsidRPr="00221E3C">
              <w:t>e</w:t>
            </w:r>
            <w:r w:rsidRPr="00515AC3">
              <w:t>st following FIB-4 testing).</w:t>
            </w:r>
            <w:r>
              <w:t xml:space="preserve"> </w:t>
            </w:r>
          </w:p>
          <w:p w14:paraId="55115506" w14:textId="77777777" w:rsidR="0018750D" w:rsidRPr="00515AC3" w:rsidRDefault="0018750D">
            <w:pPr>
              <w:pStyle w:val="ListParagraph"/>
              <w:numPr>
                <w:ilvl w:val="3"/>
                <w:numId w:val="26"/>
              </w:numPr>
              <w:ind w:left="599" w:hanging="599"/>
            </w:pPr>
            <w:r>
              <w:t xml:space="preserve">Furthermore, </w:t>
            </w:r>
            <w:r w:rsidRPr="00EA0CF4">
              <w:rPr>
                <w:rFonts w:eastAsia="Times New Roman" w:cs="Times New Roman"/>
                <w:color w:val="000000"/>
                <w:szCs w:val="20"/>
                <w:lang w:eastAsia="en-AU"/>
              </w:rPr>
              <w:t>ESC considered that US is a prior test</w:t>
            </w:r>
            <w:r>
              <w:rPr>
                <w:rFonts w:eastAsia="Times New Roman" w:cs="Times New Roman"/>
                <w:color w:val="000000"/>
                <w:szCs w:val="20"/>
                <w:lang w:eastAsia="en-AU"/>
              </w:rPr>
              <w:t xml:space="preserve"> for the proposed population, not a subsequent test as proposed in the ADAR. ESC noted that anatomical US </w:t>
            </w:r>
            <w:r w:rsidRPr="00EA0CF4">
              <w:rPr>
                <w:rFonts w:eastAsia="Times New Roman" w:cs="Times New Roman"/>
                <w:color w:val="000000"/>
                <w:szCs w:val="20"/>
                <w:lang w:eastAsia="en-AU"/>
              </w:rPr>
              <w:t xml:space="preserve">does not assess liver fibrosis </w:t>
            </w:r>
            <w:r>
              <w:rPr>
                <w:rFonts w:eastAsia="Times New Roman" w:cs="Times New Roman"/>
                <w:color w:val="000000"/>
                <w:szCs w:val="20"/>
                <w:lang w:eastAsia="en-AU"/>
              </w:rPr>
              <w:t>severity</w:t>
            </w:r>
            <w:r w:rsidRPr="00EA0CF4">
              <w:rPr>
                <w:rFonts w:eastAsia="Times New Roman" w:cs="Times New Roman"/>
                <w:color w:val="000000"/>
                <w:szCs w:val="20"/>
                <w:lang w:eastAsia="en-AU"/>
              </w:rPr>
              <w:t xml:space="preserve"> and </w:t>
            </w:r>
            <w:r>
              <w:rPr>
                <w:rFonts w:eastAsia="Times New Roman" w:cs="Times New Roman"/>
                <w:color w:val="000000"/>
                <w:szCs w:val="20"/>
                <w:lang w:eastAsia="en-AU"/>
              </w:rPr>
              <w:t xml:space="preserve">US </w:t>
            </w:r>
            <w:r w:rsidRPr="00EA0CF4">
              <w:rPr>
                <w:rFonts w:eastAsia="Times New Roman" w:cs="Times New Roman"/>
                <w:color w:val="000000"/>
                <w:szCs w:val="20"/>
                <w:lang w:eastAsia="en-AU"/>
              </w:rPr>
              <w:t>is not MBS-supported for elastography</w:t>
            </w:r>
            <w:r>
              <w:rPr>
                <w:rFonts w:eastAsia="Times New Roman" w:cs="Times New Roman"/>
                <w:color w:val="000000"/>
                <w:szCs w:val="20"/>
                <w:lang w:eastAsia="en-AU"/>
              </w:rPr>
              <w:t>. ESC</w:t>
            </w:r>
            <w:r w:rsidRPr="00EA0CF4">
              <w:rPr>
                <w:rFonts w:eastAsia="Times New Roman" w:cs="Times New Roman"/>
                <w:color w:val="000000"/>
                <w:szCs w:val="20"/>
                <w:lang w:eastAsia="en-AU"/>
              </w:rPr>
              <w:t xml:space="preserve"> therefore</w:t>
            </w:r>
            <w:r>
              <w:rPr>
                <w:rFonts w:eastAsia="Times New Roman" w:cs="Times New Roman"/>
                <w:color w:val="000000"/>
                <w:szCs w:val="20"/>
                <w:lang w:eastAsia="en-AU"/>
              </w:rPr>
              <w:t xml:space="preserve"> considered US does</w:t>
            </w:r>
            <w:r w:rsidRPr="00EA0CF4">
              <w:rPr>
                <w:rFonts w:eastAsia="Times New Roman" w:cs="Times New Roman"/>
                <w:color w:val="000000"/>
                <w:szCs w:val="20"/>
                <w:lang w:eastAsia="en-AU"/>
              </w:rPr>
              <w:t xml:space="preserve"> not</w:t>
            </w:r>
            <w:r>
              <w:rPr>
                <w:rFonts w:eastAsia="Times New Roman" w:cs="Times New Roman"/>
                <w:color w:val="000000"/>
                <w:szCs w:val="20"/>
                <w:lang w:eastAsia="en-AU"/>
              </w:rPr>
              <w:t xml:space="preserve"> constitute part of SOC following FIB-4 testing and is not</w:t>
            </w:r>
            <w:r w:rsidRPr="00EA0CF4">
              <w:rPr>
                <w:rFonts w:eastAsia="Times New Roman" w:cs="Times New Roman"/>
                <w:color w:val="000000"/>
                <w:szCs w:val="20"/>
                <w:lang w:eastAsia="en-AU"/>
              </w:rPr>
              <w:t xml:space="preserve"> suitable </w:t>
            </w:r>
            <w:r>
              <w:rPr>
                <w:rFonts w:eastAsia="Times New Roman" w:cs="Times New Roman"/>
                <w:color w:val="000000"/>
                <w:szCs w:val="20"/>
                <w:lang w:eastAsia="en-AU"/>
              </w:rPr>
              <w:t xml:space="preserve">for inclusion in the SOC </w:t>
            </w:r>
            <w:r w:rsidRPr="00EA0CF4">
              <w:rPr>
                <w:rFonts w:eastAsia="Times New Roman" w:cs="Times New Roman"/>
                <w:color w:val="000000"/>
                <w:szCs w:val="20"/>
                <w:lang w:eastAsia="en-AU"/>
              </w:rPr>
              <w:t xml:space="preserve">comparator. </w:t>
            </w:r>
            <w:r w:rsidRPr="00404411">
              <w:rPr>
                <w:rFonts w:eastAsia="Times New Roman" w:cs="Times New Roman"/>
                <w:color w:val="000000"/>
                <w:szCs w:val="20"/>
                <w:lang w:eastAsia="en-AU"/>
              </w:rPr>
              <w:t>ESC noted that th</w:t>
            </w:r>
            <w:r>
              <w:rPr>
                <w:rFonts w:eastAsia="Times New Roman" w:cs="Times New Roman"/>
                <w:color w:val="000000"/>
                <w:szCs w:val="20"/>
                <w:lang w:eastAsia="en-AU"/>
              </w:rPr>
              <w:t>e</w:t>
            </w:r>
            <w:r w:rsidRPr="00404411">
              <w:rPr>
                <w:rFonts w:eastAsia="Times New Roman" w:cs="Times New Roman"/>
                <w:color w:val="000000"/>
                <w:szCs w:val="20"/>
                <w:lang w:eastAsia="en-AU"/>
              </w:rPr>
              <w:t xml:space="preserve"> </w:t>
            </w:r>
            <w:r>
              <w:rPr>
                <w:rFonts w:eastAsia="Times New Roman" w:cs="Times New Roman"/>
                <w:color w:val="000000"/>
                <w:szCs w:val="20"/>
                <w:lang w:eastAsia="en-AU"/>
              </w:rPr>
              <w:t xml:space="preserve">inappropriate </w:t>
            </w:r>
            <w:r w:rsidRPr="00404411">
              <w:rPr>
                <w:rFonts w:eastAsia="Times New Roman" w:cs="Times New Roman"/>
                <w:color w:val="000000"/>
                <w:szCs w:val="20"/>
                <w:lang w:eastAsia="en-AU"/>
              </w:rPr>
              <w:t>positioning of US in the S</w:t>
            </w:r>
            <w:r>
              <w:rPr>
                <w:rFonts w:eastAsia="Times New Roman" w:cs="Times New Roman"/>
                <w:color w:val="000000"/>
                <w:szCs w:val="20"/>
                <w:lang w:eastAsia="en-AU"/>
              </w:rPr>
              <w:t>O</w:t>
            </w:r>
            <w:r w:rsidRPr="00404411">
              <w:rPr>
                <w:rFonts w:eastAsia="Times New Roman" w:cs="Times New Roman"/>
                <w:color w:val="000000"/>
                <w:szCs w:val="20"/>
                <w:lang w:eastAsia="en-AU"/>
              </w:rPr>
              <w:t>C comparator had many flow-on effects throughout the application</w:t>
            </w:r>
            <w:r>
              <w:rPr>
                <w:rFonts w:eastAsia="Times New Roman" w:cs="Times New Roman"/>
                <w:color w:val="000000"/>
                <w:szCs w:val="20"/>
                <w:lang w:eastAsia="en-AU"/>
              </w:rPr>
              <w:t>.</w:t>
            </w:r>
          </w:p>
          <w:p w14:paraId="14F7BBB2" w14:textId="77777777" w:rsidR="0018750D" w:rsidRDefault="0018750D">
            <w:pPr>
              <w:pStyle w:val="ListParagraph"/>
              <w:numPr>
                <w:ilvl w:val="0"/>
                <w:numId w:val="26"/>
              </w:numPr>
              <w:spacing w:after="160" w:line="259" w:lineRule="auto"/>
              <w:ind w:left="599" w:hanging="599"/>
              <w:rPr>
                <w:rFonts w:eastAsia="Calibri" w:cs="Times New Roman"/>
              </w:rPr>
            </w:pPr>
            <w:r w:rsidRPr="0089597A">
              <w:t xml:space="preserve">The </w:t>
            </w:r>
            <w:r>
              <w:rPr>
                <w:rFonts w:eastAsia="Calibri" w:cs="Times New Roman"/>
              </w:rPr>
              <w:t xml:space="preserve">ADAR proposes that a single liver stiffness measure (LSM) threshold (8 kPa) be used to both rule-out and rule-in a patient being at risk of advanced fibrosis (AF) when measured by VCTE. ESC noted that this was inconsistent with the clinical evidence provided, in which the large majority of studies used separate thresholds for rule-out and rule-in, due to the relatively poor diagnostic performance of a single threshold. This affected the applicability of the evidence to the proposed strategy. </w:t>
            </w:r>
            <w:r w:rsidRPr="00932C94">
              <w:rPr>
                <w:rFonts w:eastAsia="Calibri" w:cs="Times New Roman"/>
              </w:rPr>
              <w:t xml:space="preserve">ESC considered that the cost-effectiveness of using different thresholds or adopting </w:t>
            </w:r>
            <w:r>
              <w:rPr>
                <w:rFonts w:eastAsia="Calibri" w:cs="Times New Roman"/>
              </w:rPr>
              <w:t>a</w:t>
            </w:r>
            <w:r w:rsidRPr="00932C94">
              <w:rPr>
                <w:rFonts w:eastAsia="Calibri" w:cs="Times New Roman"/>
              </w:rPr>
              <w:t xml:space="preserve"> higher </w:t>
            </w:r>
            <w:r>
              <w:rPr>
                <w:rFonts w:eastAsia="Calibri" w:cs="Times New Roman"/>
              </w:rPr>
              <w:t xml:space="preserve">rule-in </w:t>
            </w:r>
            <w:r w:rsidRPr="00932C94">
              <w:rPr>
                <w:rFonts w:eastAsia="Calibri" w:cs="Times New Roman"/>
              </w:rPr>
              <w:t>VCTE threshold as per the literature could be explored (</w:t>
            </w:r>
            <w:r>
              <w:rPr>
                <w:rFonts w:eastAsia="Calibri" w:cs="Times New Roman"/>
              </w:rPr>
              <w:t xml:space="preserve">e.g. </w:t>
            </w:r>
            <w:r w:rsidRPr="00932C94">
              <w:rPr>
                <w:rFonts w:eastAsia="Calibri" w:cs="Times New Roman"/>
              </w:rPr>
              <w:t xml:space="preserve">&gt;10 kPa or &gt;12 kPa), acknowledging that </w:t>
            </w:r>
            <w:r>
              <w:rPr>
                <w:rFonts w:eastAsia="Calibri" w:cs="Times New Roman"/>
              </w:rPr>
              <w:t xml:space="preserve">different thresholds may influence whether </w:t>
            </w:r>
            <w:r w:rsidRPr="00932C94">
              <w:rPr>
                <w:rFonts w:eastAsia="Calibri" w:cs="Times New Roman"/>
              </w:rPr>
              <w:t xml:space="preserve">some patients </w:t>
            </w:r>
            <w:r>
              <w:rPr>
                <w:rFonts w:eastAsia="Calibri" w:cs="Times New Roman"/>
              </w:rPr>
              <w:t>are misclassified</w:t>
            </w:r>
            <w:r w:rsidRPr="00932C94">
              <w:rPr>
                <w:rFonts w:eastAsia="Calibri" w:cs="Times New Roman"/>
              </w:rPr>
              <w:t>.</w:t>
            </w:r>
          </w:p>
          <w:p w14:paraId="7EE86072" w14:textId="77777777" w:rsidR="0018750D" w:rsidRPr="0089597A" w:rsidRDefault="0018750D">
            <w:pPr>
              <w:pStyle w:val="ListParagraph"/>
              <w:numPr>
                <w:ilvl w:val="0"/>
                <w:numId w:val="26"/>
              </w:numPr>
              <w:ind w:left="599" w:hanging="599"/>
            </w:pPr>
            <w:r>
              <w:rPr>
                <w:rFonts w:eastAsia="Calibri" w:cs="Times New Roman"/>
              </w:rPr>
              <w:t xml:space="preserve">There was a paucity of data directly applicable to the proposed primary care population, and additionally, data directly comparing the proposed triage strategy (FIB-4 followed by VCTE in patients who require a second test) with the current strategy (FIB-4 followed by </w:t>
            </w:r>
            <w:r>
              <w:rPr>
                <w:rFonts w:eastAsia="Calibri" w:cs="Times New Roman"/>
              </w:rPr>
              <w:lastRenderedPageBreak/>
              <w:t>SOC) were lacking. The pre-ESC response claimed that tertiary population data should apply to the proposed primary care population. ESC noted none of the identified studies were directly applicable to the proposed intervention (most did not use the single threshold of 8.0 kPa for VCTE and/or did not involve sequential triage strategies) within the proposed population (studies primarily did not select patients for VCTE based on FIB-4 score). ESC considered that the diagnostic accuracy and predictive values of tests would be different in low-prevalence vs higher-prevalence populations. ESC considered that additional evidence in primary care populations should be provided by the applicant to demonstrate diagnostic accuracy in the populations proposed to be tested.</w:t>
            </w:r>
          </w:p>
          <w:p w14:paraId="33C8EBE0" w14:textId="77777777" w:rsidR="0018750D" w:rsidRPr="0089597A" w:rsidRDefault="0018750D">
            <w:pPr>
              <w:pStyle w:val="ListParagraph"/>
              <w:numPr>
                <w:ilvl w:val="0"/>
                <w:numId w:val="21"/>
              </w:numPr>
              <w:ind w:left="599" w:hanging="599"/>
            </w:pPr>
            <w:r w:rsidRPr="00701A69">
              <w:t xml:space="preserve">Longitudinal accuracy evidence provided in the ADAR had poor applicability, as it did not assess </w:t>
            </w:r>
            <w:r>
              <w:t xml:space="preserve">the proposed </w:t>
            </w:r>
            <w:r w:rsidRPr="00701A69">
              <w:t xml:space="preserve">sequential </w:t>
            </w:r>
            <w:r>
              <w:t>triage</w:t>
            </w:r>
            <w:r w:rsidRPr="00701A69">
              <w:t xml:space="preserve"> testing, management impact, or use the </w:t>
            </w:r>
            <w:r>
              <w:t>single</w:t>
            </w:r>
            <w:r w:rsidRPr="00701A69">
              <w:t xml:space="preserve"> 8.0 kPa LSM </w:t>
            </w:r>
            <w:r>
              <w:t xml:space="preserve">rule-in/rule-out </w:t>
            </w:r>
            <w:r w:rsidRPr="00701A69">
              <w:t xml:space="preserve">threshold. </w:t>
            </w:r>
            <w:r>
              <w:t xml:space="preserve">ESC noted there was a lack </w:t>
            </w:r>
            <w:r w:rsidRPr="00701A69">
              <w:t>of evidence demonstrat</w:t>
            </w:r>
            <w:r>
              <w:t>ing</w:t>
            </w:r>
            <w:r w:rsidRPr="00701A69">
              <w:t xml:space="preserve"> clear changes in management attributable to VCTE</w:t>
            </w:r>
            <w:r>
              <w:t xml:space="preserve"> beyond referral pathways. </w:t>
            </w:r>
            <w:r w:rsidRPr="008E5FCE">
              <w:t xml:space="preserve">The </w:t>
            </w:r>
            <w:r>
              <w:t>pre-ESC response</w:t>
            </w:r>
            <w:r w:rsidRPr="008E5FCE">
              <w:t xml:space="preserve"> reiterated that the studies demonstrating a change in referral pathway </w:t>
            </w:r>
            <w:r>
              <w:t>support the use of VCTE</w:t>
            </w:r>
            <w:r w:rsidRPr="008E5FCE">
              <w:t xml:space="preserve"> and that improved clinical outcomes can be inferred; however, ESC disagreed and advised that evidence on change in </w:t>
            </w:r>
            <w:r>
              <w:t>health</w:t>
            </w:r>
            <w:r w:rsidRPr="008E5FCE">
              <w:t xml:space="preserve"> outcomes (not referral pathways) as a result of VCTE testing is needed.</w:t>
            </w:r>
          </w:p>
          <w:p w14:paraId="3E0DD0F5" w14:textId="77777777" w:rsidR="0018750D" w:rsidRPr="0089597A" w:rsidRDefault="0018750D">
            <w:pPr>
              <w:pStyle w:val="ListParagraph"/>
              <w:numPr>
                <w:ilvl w:val="0"/>
                <w:numId w:val="21"/>
              </w:numPr>
              <w:spacing w:before="240" w:after="240"/>
              <w:ind w:left="589" w:hanging="578"/>
            </w:pPr>
            <w:r w:rsidRPr="00515AC3">
              <w:t xml:space="preserve">The effect of misclassification </w:t>
            </w:r>
            <w:r>
              <w:t xml:space="preserve">following FIB-4 and VCTE testing </w:t>
            </w:r>
            <w:r w:rsidRPr="00515AC3">
              <w:t>was not addressed</w:t>
            </w:r>
            <w:r w:rsidRPr="00251101">
              <w:t>.</w:t>
            </w:r>
            <w:r w:rsidRPr="0089597A">
              <w:t xml:space="preserve"> The net health benefit/harm of VCTE across all patients tested (including </w:t>
            </w:r>
            <w:r>
              <w:t xml:space="preserve">patients with </w:t>
            </w:r>
            <w:r w:rsidRPr="0089597A">
              <w:t>true positive, false positive, true negative and false negative</w:t>
            </w:r>
            <w:r>
              <w:t xml:space="preserve"> results</w:t>
            </w:r>
            <w:r w:rsidRPr="0089597A">
              <w:t xml:space="preserve">) was not addressed. ESC considered that the rate of false positive </w:t>
            </w:r>
            <w:r>
              <w:t>results</w:t>
            </w:r>
            <w:r w:rsidRPr="0089597A">
              <w:t xml:space="preserve"> w</w:t>
            </w:r>
            <w:r>
              <w:t>ould</w:t>
            </w:r>
            <w:r w:rsidRPr="0089597A">
              <w:t xml:space="preserve"> be high, </w:t>
            </w:r>
            <w:r>
              <w:t>and this</w:t>
            </w:r>
            <w:r w:rsidRPr="0089597A">
              <w:t xml:space="preserve"> was not addressed in the ADAR. ESC considered that the analysis could be re</w:t>
            </w:r>
            <w:r>
              <w:t>vised</w:t>
            </w:r>
            <w:r w:rsidRPr="0089597A">
              <w:t xml:space="preserve"> to include the effect of misclassification at both the FIB-4 and VCTE testing stages, with a focus on the consequences of false positive</w:t>
            </w:r>
            <w:r>
              <w:t xml:space="preserve"> results</w:t>
            </w:r>
            <w:r w:rsidRPr="0089597A">
              <w:t>.</w:t>
            </w:r>
            <w:r>
              <w:t xml:space="preserve"> </w:t>
            </w:r>
            <w:r w:rsidRPr="00FF2276">
              <w:rPr>
                <w:rFonts w:eastAsia="Times New Roman" w:cs="Times New Roman"/>
                <w:color w:val="000000"/>
                <w:szCs w:val="20"/>
                <w:lang w:eastAsia="en-AU"/>
              </w:rPr>
              <w:t>ESC noted that the GESA consensus recommendations for</w:t>
            </w:r>
            <w:r>
              <w:rPr>
                <w:rFonts w:eastAsia="Times New Roman" w:cs="Times New Roman"/>
                <w:color w:val="000000"/>
                <w:szCs w:val="20"/>
                <w:lang w:eastAsia="en-AU"/>
              </w:rPr>
              <w:t xml:space="preserve"> </w:t>
            </w:r>
            <w:r w:rsidRPr="00EA0CF4">
              <w:rPr>
                <w:rFonts w:eastAsia="Times New Roman" w:cs="Times New Roman"/>
                <w:color w:val="000000"/>
                <w:szCs w:val="20"/>
                <w:lang w:eastAsia="en-AU"/>
              </w:rPr>
              <w:t>metabolic dysfunction-associated fatty liver disease</w:t>
            </w:r>
            <w:r w:rsidRPr="00FF2276">
              <w:rPr>
                <w:rFonts w:eastAsia="Times New Roman" w:cs="Times New Roman"/>
                <w:color w:val="000000"/>
                <w:szCs w:val="20"/>
                <w:lang w:eastAsia="en-AU"/>
              </w:rPr>
              <w:t xml:space="preserve"> </w:t>
            </w:r>
            <w:r>
              <w:rPr>
                <w:rFonts w:eastAsia="Times New Roman" w:cs="Times New Roman"/>
                <w:color w:val="000000"/>
                <w:szCs w:val="20"/>
                <w:lang w:eastAsia="en-AU"/>
              </w:rPr>
              <w:t>(</w:t>
            </w:r>
            <w:r w:rsidRPr="00FF2276">
              <w:rPr>
                <w:rFonts w:eastAsia="Times New Roman" w:cs="Times New Roman"/>
                <w:color w:val="000000"/>
                <w:szCs w:val="20"/>
                <w:lang w:eastAsia="en-AU"/>
              </w:rPr>
              <w:t>MAFLD</w:t>
            </w:r>
            <w:r>
              <w:rPr>
                <w:rFonts w:eastAsia="Times New Roman" w:cs="Times New Roman"/>
                <w:color w:val="000000"/>
                <w:szCs w:val="20"/>
                <w:lang w:eastAsia="en-AU"/>
              </w:rPr>
              <w:t>)</w:t>
            </w:r>
            <w:r w:rsidRPr="00FF2276">
              <w:rPr>
                <w:rFonts w:eastAsia="Times New Roman" w:cs="Times New Roman"/>
                <w:color w:val="000000"/>
                <w:szCs w:val="20"/>
                <w:lang w:eastAsia="en-AU"/>
              </w:rPr>
              <w:t xml:space="preserve"> </w:t>
            </w:r>
            <w:r>
              <w:rPr>
                <w:rFonts w:eastAsia="Times New Roman" w:cs="Times New Roman"/>
                <w:color w:val="000000"/>
                <w:szCs w:val="20"/>
                <w:lang w:eastAsia="en-AU"/>
              </w:rPr>
              <w:t>references a study which proposed</w:t>
            </w:r>
            <w:r w:rsidRPr="00FF2276">
              <w:rPr>
                <w:rFonts w:eastAsia="Times New Roman" w:cs="Times New Roman"/>
                <w:color w:val="000000"/>
                <w:szCs w:val="20"/>
                <w:lang w:eastAsia="en-AU"/>
              </w:rPr>
              <w:t xml:space="preserve"> that </w:t>
            </w:r>
            <w:r>
              <w:rPr>
                <w:rFonts w:eastAsia="Times New Roman" w:cs="Times New Roman"/>
                <w:color w:val="000000"/>
                <w:szCs w:val="20"/>
                <w:lang w:eastAsia="en-AU"/>
              </w:rPr>
              <w:t xml:space="preserve">the lower </w:t>
            </w:r>
            <w:r w:rsidRPr="00FF2276">
              <w:rPr>
                <w:rFonts w:eastAsia="Times New Roman" w:cs="Times New Roman"/>
                <w:color w:val="000000"/>
                <w:szCs w:val="20"/>
                <w:lang w:eastAsia="en-AU"/>
              </w:rPr>
              <w:t>FIB-4 cutoff</w:t>
            </w:r>
            <w:r>
              <w:rPr>
                <w:rFonts w:eastAsia="Times New Roman" w:cs="Times New Roman"/>
                <w:color w:val="000000"/>
                <w:szCs w:val="20"/>
                <w:lang w:eastAsia="en-AU"/>
              </w:rPr>
              <w:t xml:space="preserve"> for the indeterminate range should be raised from 1.3 to</w:t>
            </w:r>
            <w:r w:rsidRPr="00FF2276">
              <w:rPr>
                <w:rFonts w:eastAsia="Times New Roman" w:cs="Times New Roman"/>
                <w:color w:val="000000"/>
                <w:szCs w:val="20"/>
                <w:lang w:eastAsia="en-AU"/>
              </w:rPr>
              <w:t xml:space="preserve"> 2.0</w:t>
            </w:r>
            <w:r>
              <w:rPr>
                <w:rFonts w:eastAsia="Times New Roman" w:cs="Times New Roman"/>
                <w:color w:val="000000"/>
                <w:szCs w:val="20"/>
                <w:lang w:eastAsia="en-AU"/>
              </w:rPr>
              <w:t xml:space="preserve"> </w:t>
            </w:r>
            <w:r w:rsidRPr="00FF2276">
              <w:rPr>
                <w:rFonts w:eastAsia="Times New Roman" w:cs="Times New Roman"/>
                <w:color w:val="000000"/>
                <w:szCs w:val="20"/>
                <w:lang w:eastAsia="en-AU"/>
              </w:rPr>
              <w:t xml:space="preserve">in the </w:t>
            </w:r>
            <w:r>
              <w:rPr>
                <w:rFonts w:eastAsia="Times New Roman" w:cs="Times New Roman"/>
                <w:color w:val="000000"/>
                <w:szCs w:val="20"/>
                <w:lang w:eastAsia="en-AU"/>
              </w:rPr>
              <w:t>population aged</w:t>
            </w:r>
            <w:r w:rsidRPr="00FF2276">
              <w:rPr>
                <w:rFonts w:eastAsia="Times New Roman" w:cs="Times New Roman"/>
                <w:color w:val="000000"/>
                <w:szCs w:val="20"/>
                <w:lang w:eastAsia="en-AU"/>
              </w:rPr>
              <w:t>&gt;65 year</w:t>
            </w:r>
            <w:r>
              <w:rPr>
                <w:rFonts w:eastAsia="Times New Roman" w:cs="Times New Roman"/>
                <w:color w:val="000000"/>
                <w:szCs w:val="20"/>
                <w:lang w:eastAsia="en-AU"/>
              </w:rPr>
              <w:t>s, to improve specificity, which reduces with increasing age</w:t>
            </w:r>
            <w:r w:rsidRPr="00FF2276">
              <w:rPr>
                <w:rFonts w:eastAsia="Times New Roman" w:cs="Times New Roman"/>
                <w:color w:val="000000"/>
                <w:szCs w:val="20"/>
                <w:lang w:eastAsia="en-AU"/>
              </w:rPr>
              <w:t>. ESC considered that</w:t>
            </w:r>
            <w:r>
              <w:rPr>
                <w:rFonts w:eastAsia="Times New Roman" w:cs="Times New Roman"/>
                <w:color w:val="000000"/>
                <w:szCs w:val="20"/>
                <w:lang w:eastAsia="en-AU"/>
              </w:rPr>
              <w:t xml:space="preserve"> it would be informative to capture the impact of</w:t>
            </w:r>
            <w:r w:rsidRPr="00FF2276">
              <w:rPr>
                <w:rFonts w:eastAsia="Times New Roman" w:cs="Times New Roman"/>
                <w:color w:val="000000"/>
                <w:szCs w:val="20"/>
                <w:lang w:eastAsia="en-AU"/>
              </w:rPr>
              <w:t xml:space="preserve"> this</w:t>
            </w:r>
            <w:r>
              <w:rPr>
                <w:rFonts w:eastAsia="Times New Roman" w:cs="Times New Roman"/>
                <w:color w:val="000000"/>
                <w:szCs w:val="20"/>
                <w:lang w:eastAsia="en-AU"/>
              </w:rPr>
              <w:t xml:space="preserve"> increased FIB-4 threshold for the &gt;65 years population</w:t>
            </w:r>
            <w:r w:rsidRPr="00FF2276">
              <w:rPr>
                <w:rFonts w:eastAsia="Times New Roman" w:cs="Times New Roman"/>
                <w:color w:val="000000"/>
                <w:szCs w:val="20"/>
                <w:lang w:eastAsia="en-AU"/>
              </w:rPr>
              <w:t xml:space="preserve"> in the </w:t>
            </w:r>
            <w:r>
              <w:rPr>
                <w:rFonts w:eastAsia="Times New Roman" w:cs="Times New Roman"/>
                <w:color w:val="000000"/>
                <w:szCs w:val="20"/>
                <w:lang w:eastAsia="en-AU"/>
              </w:rPr>
              <w:t xml:space="preserve">economic and financial </w:t>
            </w:r>
            <w:r w:rsidRPr="00FF2276">
              <w:rPr>
                <w:rFonts w:eastAsia="Times New Roman" w:cs="Times New Roman"/>
                <w:color w:val="000000"/>
                <w:szCs w:val="20"/>
                <w:lang w:eastAsia="en-AU"/>
              </w:rPr>
              <w:t>modell</w:t>
            </w:r>
            <w:r>
              <w:rPr>
                <w:rFonts w:eastAsia="Times New Roman" w:cs="Times New Roman"/>
                <w:color w:val="000000"/>
                <w:szCs w:val="20"/>
                <w:lang w:eastAsia="en-AU"/>
              </w:rPr>
              <w:t>ing</w:t>
            </w:r>
            <w:r w:rsidRPr="00FF2276">
              <w:rPr>
                <w:rFonts w:eastAsia="Times New Roman" w:cs="Times New Roman"/>
                <w:color w:val="000000"/>
                <w:szCs w:val="20"/>
                <w:lang w:eastAsia="en-AU"/>
              </w:rPr>
              <w:t xml:space="preserve">, as this </w:t>
            </w:r>
            <w:r>
              <w:rPr>
                <w:rFonts w:eastAsia="Times New Roman" w:cs="Times New Roman"/>
                <w:color w:val="000000"/>
                <w:szCs w:val="20"/>
                <w:lang w:eastAsia="en-AU"/>
              </w:rPr>
              <w:t>older</w:t>
            </w:r>
            <w:r w:rsidRPr="00FF2276">
              <w:rPr>
                <w:rFonts w:eastAsia="Times New Roman" w:cs="Times New Roman"/>
                <w:color w:val="000000"/>
                <w:szCs w:val="20"/>
                <w:lang w:eastAsia="en-AU"/>
              </w:rPr>
              <w:t xml:space="preserve"> population w</w:t>
            </w:r>
            <w:r>
              <w:rPr>
                <w:rFonts w:eastAsia="Times New Roman" w:cs="Times New Roman"/>
                <w:color w:val="000000"/>
                <w:szCs w:val="20"/>
                <w:lang w:eastAsia="en-AU"/>
              </w:rPr>
              <w:t>ould benefit from</w:t>
            </w:r>
            <w:r w:rsidRPr="00FF2276">
              <w:rPr>
                <w:rFonts w:eastAsia="Times New Roman" w:cs="Times New Roman"/>
                <w:color w:val="000000"/>
                <w:szCs w:val="20"/>
                <w:lang w:eastAsia="en-AU"/>
              </w:rPr>
              <w:t xml:space="preserve"> adjusting </w:t>
            </w:r>
            <w:r>
              <w:rPr>
                <w:rFonts w:eastAsia="Times New Roman" w:cs="Times New Roman"/>
                <w:color w:val="000000"/>
                <w:szCs w:val="20"/>
                <w:lang w:eastAsia="en-AU"/>
              </w:rPr>
              <w:t>FIB-4</w:t>
            </w:r>
            <w:r w:rsidRPr="00FF2276">
              <w:rPr>
                <w:rFonts w:eastAsia="Times New Roman" w:cs="Times New Roman"/>
                <w:color w:val="000000"/>
                <w:szCs w:val="20"/>
                <w:lang w:eastAsia="en-AU"/>
              </w:rPr>
              <w:t xml:space="preserve"> thresholds in line with </w:t>
            </w:r>
            <w:r>
              <w:rPr>
                <w:rFonts w:eastAsia="Times New Roman" w:cs="Times New Roman"/>
                <w:color w:val="000000"/>
                <w:szCs w:val="20"/>
                <w:lang w:eastAsia="en-AU"/>
              </w:rPr>
              <w:t>the evidence,</w:t>
            </w:r>
            <w:r w:rsidRPr="00FF2276">
              <w:rPr>
                <w:rFonts w:eastAsia="Times New Roman" w:cs="Times New Roman"/>
                <w:color w:val="000000"/>
                <w:szCs w:val="20"/>
                <w:lang w:eastAsia="en-AU"/>
              </w:rPr>
              <w:t xml:space="preserve"> </w:t>
            </w:r>
            <w:r>
              <w:rPr>
                <w:rFonts w:eastAsia="Times New Roman" w:cs="Times New Roman"/>
                <w:color w:val="000000"/>
                <w:szCs w:val="20"/>
                <w:lang w:eastAsia="en-AU"/>
              </w:rPr>
              <w:t>to</w:t>
            </w:r>
            <w:r w:rsidRPr="00FF2276">
              <w:rPr>
                <w:rFonts w:eastAsia="Times New Roman" w:cs="Times New Roman"/>
                <w:color w:val="000000"/>
                <w:szCs w:val="20"/>
                <w:lang w:eastAsia="en-AU"/>
              </w:rPr>
              <w:t xml:space="preserve"> reduce misclassification rates</w:t>
            </w:r>
            <w:r>
              <w:rPr>
                <w:rFonts w:eastAsia="Times New Roman" w:cs="Times New Roman"/>
                <w:color w:val="000000"/>
                <w:szCs w:val="20"/>
                <w:lang w:eastAsia="en-AU"/>
              </w:rPr>
              <w:t>.</w:t>
            </w:r>
          </w:p>
          <w:p w14:paraId="33162604" w14:textId="77777777" w:rsidR="0018750D" w:rsidRPr="00515AC3" w:rsidRDefault="0018750D">
            <w:pPr>
              <w:pStyle w:val="ListParagraph"/>
              <w:numPr>
                <w:ilvl w:val="0"/>
                <w:numId w:val="21"/>
              </w:numPr>
              <w:spacing w:before="240" w:after="240"/>
              <w:ind w:left="591" w:hanging="578"/>
            </w:pPr>
            <w:r>
              <w:t>ESC noted that t</w:t>
            </w:r>
            <w:r w:rsidRPr="00515AC3">
              <w:t xml:space="preserve">he application </w:t>
            </w:r>
            <w:r>
              <w:t>requested</w:t>
            </w:r>
            <w:r w:rsidRPr="00515AC3">
              <w:t xml:space="preserve"> a </w:t>
            </w:r>
            <w:r>
              <w:t>technology and device</w:t>
            </w:r>
            <w:r w:rsidRPr="00515AC3">
              <w:t>-specific listing</w:t>
            </w:r>
            <w:r w:rsidRPr="00673296">
              <w:t>.</w:t>
            </w:r>
            <w:r w:rsidRPr="0089597A">
              <w:t xml:space="preserve"> ESC </w:t>
            </w:r>
            <w:r>
              <w:t xml:space="preserve">considered that </w:t>
            </w:r>
            <w:r w:rsidRPr="0089597A">
              <w:t>it</w:t>
            </w:r>
            <w:r>
              <w:t xml:space="preserve"> is</w:t>
            </w:r>
            <w:r w:rsidRPr="0089597A">
              <w:t xml:space="preserve"> possible that VCTE is superior to shear wave elastography</w:t>
            </w:r>
            <w:r>
              <w:t xml:space="preserve"> (SWE) per the applicant’s claim in the pre-ESC response</w:t>
            </w:r>
            <w:r w:rsidRPr="0089597A">
              <w:t xml:space="preserve">, </w:t>
            </w:r>
            <w:r>
              <w:t>but that this would need to be supported by evidence, of which none was provided</w:t>
            </w:r>
            <w:r w:rsidRPr="0089597A">
              <w:t>.</w:t>
            </w:r>
            <w:r w:rsidRPr="0089597A">
              <w:rPr>
                <w:b/>
                <w:bCs/>
              </w:rPr>
              <w:t xml:space="preserve"> </w:t>
            </w:r>
          </w:p>
          <w:p w14:paraId="73BD2737" w14:textId="77777777" w:rsidR="0018750D" w:rsidRPr="0089597A" w:rsidRDefault="0018750D">
            <w:pPr>
              <w:pStyle w:val="ListParagraph"/>
              <w:numPr>
                <w:ilvl w:val="0"/>
                <w:numId w:val="21"/>
              </w:numPr>
              <w:spacing w:before="240" w:after="240"/>
              <w:ind w:left="591" w:hanging="578"/>
            </w:pPr>
            <w:r>
              <w:t>ESC noted that t</w:t>
            </w:r>
            <w:r w:rsidRPr="00515AC3">
              <w:t>he role of VCTE is unclear</w:t>
            </w:r>
            <w:r>
              <w:t xml:space="preserve"> in the ADAR, i.e. whether it is a tool for </w:t>
            </w:r>
            <w:r w:rsidRPr="0089597A">
              <w:t>diagnosis</w:t>
            </w:r>
            <w:r>
              <w:t xml:space="preserve"> and monitoring of AF</w:t>
            </w:r>
            <w:r w:rsidRPr="0089597A">
              <w:t xml:space="preserve"> or </w:t>
            </w:r>
            <w:r>
              <w:t xml:space="preserve">a tool to stratify a patient’s </w:t>
            </w:r>
            <w:r w:rsidRPr="0089597A">
              <w:t>risk</w:t>
            </w:r>
            <w:r>
              <w:t xml:space="preserve"> of AF</w:t>
            </w:r>
            <w:r w:rsidRPr="0089597A">
              <w:t xml:space="preserve">. ESC considered that it is </w:t>
            </w:r>
            <w:r>
              <w:t xml:space="preserve">positioned as </w:t>
            </w:r>
            <w:r w:rsidRPr="0089597A">
              <w:t xml:space="preserve">a risk stratification tool, but </w:t>
            </w:r>
            <w:r>
              <w:t>the applicant</w:t>
            </w:r>
            <w:r w:rsidRPr="0089597A">
              <w:t xml:space="preserve"> should clarif</w:t>
            </w:r>
            <w:r>
              <w:t>y this</w:t>
            </w:r>
            <w:r w:rsidRPr="0089597A">
              <w:t>.</w:t>
            </w:r>
          </w:p>
          <w:p w14:paraId="3A9658ED" w14:textId="77777777" w:rsidR="0018750D" w:rsidRPr="0089597A" w:rsidRDefault="0018750D">
            <w:pPr>
              <w:spacing w:before="240" w:after="240"/>
            </w:pPr>
            <w:r w:rsidRPr="0089597A">
              <w:rPr>
                <w:b/>
                <w:bCs/>
              </w:rPr>
              <w:t>Economic issues:</w:t>
            </w:r>
          </w:p>
          <w:p w14:paraId="34DE3DF6" w14:textId="77777777" w:rsidR="0018750D" w:rsidRDefault="0018750D">
            <w:pPr>
              <w:pStyle w:val="ListParagraph"/>
              <w:numPr>
                <w:ilvl w:val="0"/>
                <w:numId w:val="21"/>
              </w:numPr>
              <w:spacing w:before="240" w:after="240"/>
              <w:ind w:left="599" w:hanging="599"/>
            </w:pPr>
            <w:r>
              <w:rPr>
                <w:rFonts w:eastAsia="Times New Roman" w:cs="Times New Roman"/>
                <w:color w:val="000000"/>
                <w:szCs w:val="20"/>
                <w:lang w:eastAsia="en-AU"/>
              </w:rPr>
              <w:t xml:space="preserve">ESC advised that US should be removed from the economic model and the financial analysis. </w:t>
            </w:r>
            <w:r w:rsidRPr="00515AC3">
              <w:t xml:space="preserve">The comparator in the economic model included FIB-4 + </w:t>
            </w:r>
            <w:r>
              <w:t>US</w:t>
            </w:r>
            <w:r w:rsidRPr="00515AC3">
              <w:t>, along with GP or specialist attendance, but did not incorporate any other non-funded AF tests</w:t>
            </w:r>
            <w:r>
              <w:t xml:space="preserve">. As previously noted, </w:t>
            </w:r>
            <w:r w:rsidRPr="00EA0CF4">
              <w:rPr>
                <w:rFonts w:eastAsia="Times New Roman" w:cs="Times New Roman"/>
                <w:color w:val="000000"/>
                <w:szCs w:val="20"/>
                <w:lang w:eastAsia="en-AU"/>
              </w:rPr>
              <w:t>ESC considered that US is a prior test</w:t>
            </w:r>
            <w:r>
              <w:rPr>
                <w:rFonts w:eastAsia="Times New Roman" w:cs="Times New Roman"/>
                <w:color w:val="000000"/>
                <w:szCs w:val="20"/>
                <w:lang w:eastAsia="en-AU"/>
              </w:rPr>
              <w:t xml:space="preserve"> in the proposed populations and</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is </w:t>
            </w:r>
            <w:r w:rsidRPr="00EA0CF4">
              <w:rPr>
                <w:rFonts w:eastAsia="Times New Roman" w:cs="Times New Roman"/>
                <w:color w:val="000000"/>
                <w:szCs w:val="20"/>
                <w:lang w:eastAsia="en-AU"/>
              </w:rPr>
              <w:t>not suitable</w:t>
            </w:r>
            <w:r>
              <w:rPr>
                <w:rFonts w:eastAsia="Times New Roman" w:cs="Times New Roman"/>
                <w:color w:val="000000"/>
                <w:szCs w:val="20"/>
                <w:lang w:eastAsia="en-AU"/>
              </w:rPr>
              <w:t xml:space="preserve"> as either a standalone</w:t>
            </w:r>
            <w:r w:rsidRPr="00EA0CF4">
              <w:rPr>
                <w:rFonts w:eastAsia="Times New Roman" w:cs="Times New Roman"/>
                <w:color w:val="000000"/>
                <w:szCs w:val="20"/>
                <w:lang w:eastAsia="en-AU"/>
              </w:rPr>
              <w:t xml:space="preserve"> comparator</w:t>
            </w:r>
            <w:r>
              <w:rPr>
                <w:rFonts w:eastAsia="Times New Roman" w:cs="Times New Roman"/>
                <w:color w:val="000000"/>
                <w:szCs w:val="20"/>
                <w:lang w:eastAsia="en-AU"/>
              </w:rPr>
              <w:t xml:space="preserve"> or as part of the proposed SOC comparator. </w:t>
            </w:r>
          </w:p>
          <w:p w14:paraId="4CFBD33E" w14:textId="77777777" w:rsidR="0018750D" w:rsidRPr="0089597A" w:rsidRDefault="0018750D">
            <w:pPr>
              <w:pStyle w:val="ListParagraph"/>
              <w:numPr>
                <w:ilvl w:val="0"/>
                <w:numId w:val="21"/>
              </w:numPr>
              <w:spacing w:before="240" w:after="240"/>
              <w:ind w:left="599" w:hanging="599"/>
            </w:pPr>
            <w:r w:rsidRPr="00515AC3">
              <w:t xml:space="preserve">The outcomes in the model </w:t>
            </w:r>
            <w:r>
              <w:t xml:space="preserve">are focused </w:t>
            </w:r>
            <w:r w:rsidRPr="00515AC3">
              <w:t>only on test accuracy and cost per correct diagnosis</w:t>
            </w:r>
            <w:r w:rsidRPr="0089597A">
              <w:t xml:space="preserve">. </w:t>
            </w:r>
            <w:r>
              <w:t>ESC considered that the model</w:t>
            </w:r>
            <w:r w:rsidRPr="0089597A">
              <w:t xml:space="preserve"> </w:t>
            </w:r>
            <w:r>
              <w:t>should</w:t>
            </w:r>
            <w:r w:rsidRPr="0089597A">
              <w:t xml:space="preserve"> be expanded to include </w:t>
            </w:r>
            <w:r>
              <w:t xml:space="preserve">long-term and </w:t>
            </w:r>
            <w:r w:rsidRPr="0089597A">
              <w:t xml:space="preserve">downstream outcomes – such as change in management, reduced disease progression, liver-related morbidity and mortality, cases of cirrhosis or liver cancer averted and </w:t>
            </w:r>
            <w:r w:rsidRPr="00EA0CF4">
              <w:rPr>
                <w:rFonts w:eastAsia="Times New Roman" w:cs="Times New Roman"/>
                <w:color w:val="000000"/>
                <w:szCs w:val="20"/>
                <w:lang w:eastAsia="en-AU"/>
              </w:rPr>
              <w:t xml:space="preserve">quality-adjusted life-years </w:t>
            </w:r>
            <w:r>
              <w:rPr>
                <w:rFonts w:eastAsia="Times New Roman" w:cs="Times New Roman"/>
                <w:color w:val="000000"/>
                <w:szCs w:val="20"/>
                <w:lang w:eastAsia="en-AU"/>
              </w:rPr>
              <w:t>(</w:t>
            </w:r>
            <w:r w:rsidRPr="0089597A">
              <w:t>QALYs</w:t>
            </w:r>
            <w:r>
              <w:t>)</w:t>
            </w:r>
            <w:r w:rsidRPr="0089597A">
              <w:t xml:space="preserve"> – to </w:t>
            </w:r>
            <w:r>
              <w:t xml:space="preserve">better </w:t>
            </w:r>
            <w:r w:rsidRPr="0089597A">
              <w:t xml:space="preserve">demonstrate meaningful patient benefit </w:t>
            </w:r>
            <w:r>
              <w:t>and therefore economic value of funding the proposed intervention</w:t>
            </w:r>
            <w:r w:rsidRPr="0089597A">
              <w:t>.</w:t>
            </w:r>
          </w:p>
          <w:p w14:paraId="73E3D94C" w14:textId="77777777" w:rsidR="0018750D" w:rsidRPr="0089597A" w:rsidRDefault="0018750D">
            <w:pPr>
              <w:pStyle w:val="ListParagraph"/>
              <w:numPr>
                <w:ilvl w:val="0"/>
                <w:numId w:val="21"/>
              </w:numPr>
              <w:spacing w:before="240" w:after="240"/>
              <w:ind w:left="591" w:hanging="578"/>
            </w:pPr>
            <w:r>
              <w:lastRenderedPageBreak/>
              <w:t xml:space="preserve">ESC noted the </w:t>
            </w:r>
            <w:r w:rsidRPr="00413D78">
              <w:t>exploratory analysis conducted during the evaluation</w:t>
            </w:r>
            <w:r>
              <w:t>, which</w:t>
            </w:r>
            <w:r w:rsidRPr="00413D78">
              <w:t xml:space="preserve"> compar</w:t>
            </w:r>
            <w:r>
              <w:t>ed</w:t>
            </w:r>
            <w:r w:rsidRPr="00413D78">
              <w:t xml:space="preserve"> the sequential strategy of FIB-4 testing followed by VCTE </w:t>
            </w:r>
            <w:r>
              <w:t>versus</w:t>
            </w:r>
            <w:r w:rsidRPr="00413D78">
              <w:t xml:space="preserve"> FIB-4 testing only</w:t>
            </w:r>
            <w:r>
              <w:t>. ESC noted the results of the exploratory analysis and considered that the application should proceed with evidence-based VCTE thresholds and present data on misclassification.</w:t>
            </w:r>
          </w:p>
          <w:p w14:paraId="07142868" w14:textId="77777777" w:rsidR="0018750D" w:rsidRPr="0089597A" w:rsidRDefault="0018750D">
            <w:pPr>
              <w:spacing w:before="240" w:after="240"/>
              <w:rPr>
                <w:b/>
                <w:bCs/>
              </w:rPr>
            </w:pPr>
            <w:r w:rsidRPr="0089597A">
              <w:rPr>
                <w:b/>
                <w:bCs/>
              </w:rPr>
              <w:t>Financial issues:</w:t>
            </w:r>
          </w:p>
          <w:p w14:paraId="2B5ED18F" w14:textId="77777777" w:rsidR="0018750D" w:rsidRPr="000B734C" w:rsidRDefault="0018750D">
            <w:pPr>
              <w:pStyle w:val="Instructionaltext-bullet"/>
              <w:numPr>
                <w:ilvl w:val="0"/>
                <w:numId w:val="0"/>
              </w:numPr>
            </w:pPr>
            <w:r w:rsidRPr="00921A9D">
              <w:rPr>
                <w:color w:val="auto"/>
              </w:rPr>
              <w:t xml:space="preserve">The </w:t>
            </w:r>
            <w:r>
              <w:rPr>
                <w:color w:val="auto"/>
              </w:rPr>
              <w:t>financial estimates were likely to be highly uncertain as:</w:t>
            </w:r>
          </w:p>
          <w:p w14:paraId="6F9A2221" w14:textId="77777777" w:rsidR="0018750D" w:rsidRDefault="0018750D">
            <w:pPr>
              <w:pStyle w:val="ListParagraph"/>
              <w:numPr>
                <w:ilvl w:val="0"/>
                <w:numId w:val="21"/>
              </w:numPr>
              <w:spacing w:before="240" w:after="240"/>
              <w:ind w:left="591" w:hanging="578"/>
            </w:pPr>
            <w:r>
              <w:t>ESC noted that the financial estimates were generated using a mixed epidemiological and market-share approach, and that k</w:t>
            </w:r>
            <w:r w:rsidRPr="00FD5805">
              <w:t>ey assumptions rely on expert opinion only,</w:t>
            </w:r>
            <w:r>
              <w:t xml:space="preserve"> including the relative utilisation of VCTE in primary versus specialist care settings.</w:t>
            </w:r>
          </w:p>
          <w:p w14:paraId="071C3B43" w14:textId="77777777" w:rsidR="0018750D" w:rsidRPr="0089597A" w:rsidRDefault="0018750D">
            <w:pPr>
              <w:pStyle w:val="ListParagraph"/>
              <w:numPr>
                <w:ilvl w:val="0"/>
                <w:numId w:val="21"/>
              </w:numPr>
              <w:spacing w:before="240" w:after="240"/>
              <w:ind w:left="591" w:hanging="578"/>
            </w:pPr>
            <w:r w:rsidRPr="000B734C">
              <w:t>Cost offsets are uncertain</w:t>
            </w:r>
            <w:r w:rsidRPr="0089597A">
              <w:t xml:space="preserve">. </w:t>
            </w:r>
            <w:r>
              <w:t>ESC considered that the</w:t>
            </w:r>
            <w:r w:rsidRPr="0089597A">
              <w:t xml:space="preserve"> financial impact should be re-specified, including and excluding cost offsets due to the use of MBS item 55036 for abdominal US as S</w:t>
            </w:r>
            <w:r>
              <w:t>O</w:t>
            </w:r>
            <w:r w:rsidRPr="0089597A">
              <w:t xml:space="preserve">C. </w:t>
            </w:r>
            <w:r>
              <w:t xml:space="preserve">ESC considered that, to address the uncertainty, </w:t>
            </w:r>
            <w:r w:rsidRPr="0089597A">
              <w:t>the applicant could demonstrate the effect of removing all cost offsets</w:t>
            </w:r>
            <w:r>
              <w:t xml:space="preserve"> — </w:t>
            </w:r>
            <w:r w:rsidRPr="0089597A">
              <w:t>that is, from 60% to 0% in specialist care</w:t>
            </w:r>
            <w:r>
              <w:t>,</w:t>
            </w:r>
            <w:r w:rsidRPr="0089597A">
              <w:t xml:space="preserve"> as well as </w:t>
            </w:r>
            <w:r>
              <w:t xml:space="preserve">conduct </w:t>
            </w:r>
            <w:r w:rsidRPr="0089597A">
              <w:t>a sensitivity analysis on reduced referral rates.</w:t>
            </w:r>
          </w:p>
          <w:p w14:paraId="611A22C6" w14:textId="77777777" w:rsidR="0018750D" w:rsidRPr="0089597A" w:rsidRDefault="0018750D">
            <w:pPr>
              <w:pStyle w:val="ListParagraph"/>
              <w:numPr>
                <w:ilvl w:val="0"/>
                <w:numId w:val="21"/>
              </w:numPr>
              <w:ind w:left="599" w:hanging="567"/>
            </w:pPr>
            <w:r>
              <w:t>ESC considered that the use of MBS item 55036 (abdominal ultrasound) for the utilisation estimates was highly uncertain, as the item is not specific to patients with MAFLD. ESC therefore considered that utilisation was likely overestimated.</w:t>
            </w:r>
          </w:p>
          <w:p w14:paraId="42B4F0ED" w14:textId="77777777" w:rsidR="0018750D" w:rsidRPr="0089597A" w:rsidRDefault="0018750D">
            <w:pPr>
              <w:spacing w:before="240" w:after="240"/>
              <w:rPr>
                <w:b/>
                <w:bCs/>
              </w:rPr>
            </w:pPr>
            <w:r w:rsidRPr="0089597A">
              <w:rPr>
                <w:b/>
                <w:bCs/>
              </w:rPr>
              <w:t>Other relevant information:</w:t>
            </w:r>
          </w:p>
          <w:p w14:paraId="328B9CA0" w14:textId="77777777" w:rsidR="0018750D" w:rsidRDefault="0018750D">
            <w:pPr>
              <w:pStyle w:val="ListParagraph"/>
              <w:numPr>
                <w:ilvl w:val="0"/>
                <w:numId w:val="21"/>
              </w:numPr>
              <w:spacing w:before="240" w:after="240"/>
              <w:ind w:left="591" w:hanging="578"/>
            </w:pPr>
            <w:r w:rsidRPr="00475236">
              <w:t xml:space="preserve">The MBS item descriptor proposed in the ADAR allows for testing once every 3 years for all patients. </w:t>
            </w:r>
            <w:r>
              <w:t>ESC noted that the</w:t>
            </w:r>
            <w:r w:rsidRPr="00475236">
              <w:t xml:space="preserve"> proposed descriptor </w:t>
            </w:r>
            <w:r>
              <w:t>allows</w:t>
            </w:r>
            <w:r w:rsidRPr="00475236">
              <w:t xml:space="preserve"> the possibility that the proposed item will be used for ongoing monitoring and could result in use of the item </w:t>
            </w:r>
            <w:r>
              <w:t xml:space="preserve">outside its proposed scope of diagnosis only and </w:t>
            </w:r>
            <w:r w:rsidRPr="00475236">
              <w:t>exceeding the uncertain utilisation estimates.</w:t>
            </w:r>
          </w:p>
          <w:p w14:paraId="31046883" w14:textId="77777777" w:rsidR="0018750D" w:rsidRPr="0070319A" w:rsidRDefault="0018750D">
            <w:pPr>
              <w:pStyle w:val="ListParagraph"/>
              <w:numPr>
                <w:ilvl w:val="0"/>
                <w:numId w:val="21"/>
              </w:numPr>
              <w:spacing w:before="240" w:after="240"/>
              <w:ind w:left="591" w:hanging="578"/>
            </w:pPr>
            <w:r>
              <w:t xml:space="preserve">ESC noted the </w:t>
            </w:r>
            <w:r w:rsidRPr="00D42606">
              <w:t xml:space="preserve">ethical issue </w:t>
            </w:r>
            <w:r>
              <w:t xml:space="preserve">raised by the commentary </w:t>
            </w:r>
            <w:r w:rsidRPr="00D42606">
              <w:t>of whether efficiency in the cohort</w:t>
            </w:r>
            <w:r>
              <w:t xml:space="preserve"> (as determined by the commentary’s exploratory economic analysis)</w:t>
            </w:r>
            <w:r w:rsidRPr="00D42606">
              <w:t xml:space="preserve"> should be prioritised over some p</w:t>
            </w:r>
            <w:r>
              <w:t>atien</w:t>
            </w:r>
            <w:r w:rsidRPr="00D42606">
              <w:t>ts being worse off</w:t>
            </w:r>
            <w:r>
              <w:t xml:space="preserve"> (due to increased numbers of missed cases).</w:t>
            </w:r>
          </w:p>
        </w:tc>
      </w:tr>
    </w:tbl>
    <w:bookmarkEnd w:id="60"/>
    <w:p w14:paraId="1D07E908" w14:textId="77777777" w:rsidR="0018750D" w:rsidRPr="009E1F15" w:rsidRDefault="0018750D" w:rsidP="0018750D">
      <w:pPr>
        <w:tabs>
          <w:tab w:val="left" w:pos="263"/>
        </w:tabs>
        <w:spacing w:after="120" w:line="240" w:lineRule="auto"/>
        <w:rPr>
          <w:rFonts w:eastAsia="Times New Roman" w:cs="Times New Roman"/>
          <w:b/>
          <w:bCs/>
          <w:kern w:val="2"/>
          <w:lang w:eastAsia="en-GB"/>
          <w14:ligatures w14:val="standardContextual"/>
        </w:rPr>
      </w:pPr>
      <w:r w:rsidRPr="009E1F15">
        <w:rPr>
          <w:rFonts w:eastAsia="Times New Roman" w:cs="Times New Roman"/>
          <w:b/>
          <w:bCs/>
          <w:kern w:val="2"/>
          <w:lang w:eastAsia="en-GB"/>
          <w14:ligatures w14:val="standardContextual"/>
        </w:rPr>
        <w:lastRenderedPageBreak/>
        <w:t>ESC discussion</w:t>
      </w:r>
    </w:p>
    <w:p w14:paraId="5383A3F5" w14:textId="77777777" w:rsidR="0018750D" w:rsidRPr="00EA0CF4" w:rsidRDefault="0018750D" w:rsidP="0018750D">
      <w:pPr>
        <w:spacing w:before="0" w:after="240" w:line="240" w:lineRule="auto"/>
        <w:rPr>
          <w:rFonts w:eastAsia="Times New Roman" w:cs="Times New Roman"/>
          <w:color w:val="000000"/>
          <w:szCs w:val="20"/>
          <w:lang w:eastAsia="en-AU"/>
        </w:rPr>
      </w:pPr>
      <w:r w:rsidRPr="000B734C">
        <w:rPr>
          <w:rFonts w:eastAsia="Times New Roman" w:cs="Times New Roman"/>
          <w:color w:val="000000"/>
          <w:szCs w:val="20"/>
          <w:lang w:eastAsia="en-AU"/>
        </w:rPr>
        <w:t>ESC noted that this application from Health Technology Analysts Pty Ltd was for Medicare Benefits Schedule (</w:t>
      </w:r>
      <w:r w:rsidRPr="00EA0CF4">
        <w:rPr>
          <w:rFonts w:eastAsia="Times New Roman" w:cs="Times New Roman"/>
          <w:color w:val="000000"/>
          <w:szCs w:val="20"/>
          <w:lang w:eastAsia="en-AU"/>
        </w:rPr>
        <w:t>MBS) listing of Vibration-Controlled Transient Elastography (VCTE™) for detection of advanced fibrosis in people with metabolic dysfunction-associated fatty liver disease (MAFLD) stratified by a prior FIB-4 (fibrosis-4 score) of &gt;1.3.</w:t>
      </w:r>
    </w:p>
    <w:p w14:paraId="7C35D5DA" w14:textId="77777777" w:rsidR="0018750D" w:rsidRPr="000B734C"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noted that MSAC has not considered this application before, but has previously considered </w:t>
      </w:r>
      <w:r>
        <w:rPr>
          <w:rFonts w:eastAsia="Times New Roman" w:cs="Times New Roman"/>
          <w:color w:val="000000"/>
          <w:szCs w:val="20"/>
          <w:lang w:eastAsia="en-AU"/>
        </w:rPr>
        <w:t>other</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relevant</w:t>
      </w:r>
      <w:r w:rsidRPr="00EA0CF4">
        <w:rPr>
          <w:rFonts w:eastAsia="Times New Roman" w:cs="Times New Roman"/>
          <w:color w:val="000000"/>
          <w:szCs w:val="20"/>
          <w:lang w:eastAsia="en-AU"/>
        </w:rPr>
        <w:t xml:space="preserve"> applications</w:t>
      </w:r>
      <w:r>
        <w:rPr>
          <w:rFonts w:eastAsia="Times New Roman" w:cs="Times New Roman"/>
          <w:color w:val="000000"/>
          <w:szCs w:val="20"/>
          <w:lang w:eastAsia="en-AU"/>
        </w:rPr>
        <w:t>.</w:t>
      </w:r>
      <w:r>
        <w:t xml:space="preserve"> ESC noted MSAC considered and did not support MSAC </w:t>
      </w:r>
      <w:hyperlink r:id="rId16" w:history="1">
        <w:r w:rsidRPr="000B734C">
          <w:rPr>
            <w:rFonts w:eastAsia="Times New Roman" w:cs="Times New Roman"/>
            <w:color w:val="0000FF"/>
            <w:szCs w:val="20"/>
            <w:u w:val="single"/>
            <w:lang w:eastAsia="en-AU"/>
          </w:rPr>
          <w:t>Application 1366</w:t>
        </w:r>
      </w:hyperlink>
      <w:r>
        <w:t xml:space="preserve"> (2016)</w:t>
      </w:r>
      <w:r w:rsidRPr="000B734C">
        <w:rPr>
          <w:rFonts w:eastAsia="Times New Roman" w:cs="Times New Roman"/>
          <w:color w:val="000000"/>
          <w:szCs w:val="20"/>
          <w:lang w:eastAsia="en-AU"/>
        </w:rPr>
        <w:t xml:space="preserve"> (Transient Elastography at 50Hz for the diagnosis of Liver Fibrosis in patients with confirmed Hepatitis B or confirmed Hepatitis C</w:t>
      </w:r>
      <w:r>
        <w:rPr>
          <w:rFonts w:eastAsia="Times New Roman" w:cs="Times New Roman"/>
          <w:color w:val="000000"/>
          <w:szCs w:val="20"/>
          <w:lang w:eastAsia="en-AU"/>
        </w:rPr>
        <w:t>) in primary care settings.</w:t>
      </w:r>
      <w:r w:rsidRPr="000B734C">
        <w:rPr>
          <w:rFonts w:eastAsia="Times New Roman" w:cs="Times New Roman"/>
          <w:color w:val="000000"/>
          <w:szCs w:val="20"/>
          <w:lang w:eastAsia="en-AU"/>
        </w:rPr>
        <w:t xml:space="preserve"> </w:t>
      </w:r>
      <w:r>
        <w:rPr>
          <w:rFonts w:eastAsia="Times New Roman" w:cs="Times New Roman"/>
          <w:color w:val="000000"/>
          <w:szCs w:val="20"/>
          <w:lang w:eastAsia="en-AU"/>
        </w:rPr>
        <w:t xml:space="preserve">ESC noted that </w:t>
      </w:r>
      <w:r w:rsidRPr="000B734C">
        <w:rPr>
          <w:rFonts w:eastAsia="Times New Roman" w:cs="Times New Roman"/>
          <w:color w:val="000000"/>
          <w:szCs w:val="20"/>
          <w:lang w:eastAsia="en-AU"/>
        </w:rPr>
        <w:t xml:space="preserve">MSAC </w:t>
      </w:r>
      <w:r>
        <w:rPr>
          <w:rFonts w:eastAsia="Times New Roman" w:cs="Times New Roman"/>
          <w:color w:val="000000"/>
          <w:szCs w:val="20"/>
          <w:lang w:eastAsia="en-AU"/>
        </w:rPr>
        <w:t>considered that, because</w:t>
      </w:r>
      <w:r w:rsidRPr="000B734C">
        <w:rPr>
          <w:rFonts w:eastAsia="Times New Roman" w:cs="Times New Roman"/>
          <w:color w:val="000000"/>
          <w:szCs w:val="20"/>
          <w:lang w:eastAsia="en-AU"/>
        </w:rPr>
        <w:t xml:space="preserve"> </w:t>
      </w:r>
      <w:r w:rsidRPr="00D05B27">
        <w:rPr>
          <w:lang w:eastAsia="en-AU"/>
        </w:rPr>
        <w:t xml:space="preserve">the evidence </w:t>
      </w:r>
      <w:r>
        <w:rPr>
          <w:lang w:eastAsia="en-AU"/>
        </w:rPr>
        <w:t xml:space="preserve">provided </w:t>
      </w:r>
      <w:r w:rsidRPr="00D05B27">
        <w:rPr>
          <w:lang w:eastAsia="en-AU"/>
        </w:rPr>
        <w:t xml:space="preserve">was </w:t>
      </w:r>
      <w:r w:rsidRPr="000B734C">
        <w:rPr>
          <w:rFonts w:eastAsia="Times New Roman" w:cs="Times New Roman"/>
          <w:color w:val="000000"/>
          <w:szCs w:val="20"/>
          <w:lang w:eastAsia="en-AU"/>
        </w:rPr>
        <w:t>from tertiary settings</w:t>
      </w:r>
      <w:r>
        <w:rPr>
          <w:rFonts w:eastAsia="Times New Roman" w:cs="Times New Roman"/>
          <w:color w:val="000000"/>
          <w:szCs w:val="20"/>
          <w:lang w:eastAsia="en-AU"/>
        </w:rPr>
        <w:t>,</w:t>
      </w:r>
      <w:r w:rsidRPr="000B734C">
        <w:rPr>
          <w:rFonts w:eastAsia="Times New Roman" w:cs="Times New Roman"/>
          <w:color w:val="000000"/>
          <w:szCs w:val="20"/>
          <w:lang w:eastAsia="en-AU"/>
        </w:rPr>
        <w:t xml:space="preserve"> the positive predictive value (PPV)</w:t>
      </w:r>
      <w:r>
        <w:rPr>
          <w:rFonts w:eastAsia="Times New Roman" w:cs="Times New Roman"/>
          <w:color w:val="000000"/>
          <w:szCs w:val="20"/>
          <w:lang w:eastAsia="en-AU"/>
        </w:rPr>
        <w:t xml:space="preserve"> provided may not be applicable to the proposed primary care settings, where the PPV is likely to be lower (due to the lower prevalence of liver fibrosis in primary care compared to tertiary care settings). MSAC also considered that the </w:t>
      </w:r>
      <w:r w:rsidRPr="000B734C">
        <w:rPr>
          <w:rFonts w:eastAsia="Times New Roman" w:cs="Times New Roman"/>
          <w:color w:val="000000"/>
          <w:szCs w:val="20"/>
          <w:lang w:eastAsia="en-AU"/>
        </w:rPr>
        <w:t>proposed fee was high</w:t>
      </w:r>
      <w:r>
        <w:rPr>
          <w:rFonts w:eastAsia="Times New Roman" w:cs="Times New Roman"/>
          <w:color w:val="000000"/>
          <w:szCs w:val="20"/>
          <w:lang w:eastAsia="en-AU"/>
        </w:rPr>
        <w:t>,</w:t>
      </w:r>
      <w:r w:rsidRPr="000B734C">
        <w:rPr>
          <w:rFonts w:eastAsia="Times New Roman" w:cs="Times New Roman"/>
          <w:color w:val="000000"/>
          <w:szCs w:val="20"/>
          <w:lang w:eastAsia="en-AU"/>
        </w:rPr>
        <w:t xml:space="preserve"> and there was a </w:t>
      </w:r>
      <w:r>
        <w:rPr>
          <w:rFonts w:eastAsia="Times New Roman" w:cs="Times New Roman"/>
          <w:color w:val="000000"/>
          <w:szCs w:val="20"/>
          <w:lang w:eastAsia="en-AU"/>
        </w:rPr>
        <w:t>high risk of the proposed item being used in populations and for uses outside those proposed in the application</w:t>
      </w:r>
      <w:r w:rsidRPr="000B734C">
        <w:rPr>
          <w:rFonts w:eastAsia="Times New Roman" w:cs="Times New Roman"/>
          <w:color w:val="000000"/>
          <w:szCs w:val="20"/>
          <w:lang w:eastAsia="en-AU"/>
        </w:rPr>
        <w:t>.</w:t>
      </w:r>
      <w:r>
        <w:rPr>
          <w:rFonts w:eastAsia="Times New Roman" w:cs="Times New Roman"/>
          <w:color w:val="000000"/>
          <w:szCs w:val="20"/>
          <w:lang w:eastAsia="en-AU"/>
        </w:rPr>
        <w:t xml:space="preserve"> ESC also noted MSAC considered and did not support </w:t>
      </w:r>
      <w:r>
        <w:t xml:space="preserve">MSAC </w:t>
      </w:r>
      <w:hyperlink r:id="rId17" w:history="1">
        <w:r w:rsidRPr="000B734C">
          <w:rPr>
            <w:rFonts w:eastAsia="Times New Roman" w:cs="Times New Roman"/>
            <w:color w:val="0000FF"/>
            <w:szCs w:val="20"/>
            <w:u w:val="single"/>
            <w:lang w:eastAsia="en-AU"/>
          </w:rPr>
          <w:t>Application 1446</w:t>
        </w:r>
      </w:hyperlink>
      <w:r>
        <w:t xml:space="preserve"> (2020)</w:t>
      </w:r>
      <w:r w:rsidRPr="000B734C">
        <w:rPr>
          <w:rFonts w:eastAsia="Times New Roman" w:cs="Times New Roman"/>
          <w:color w:val="000000"/>
          <w:szCs w:val="20"/>
          <w:lang w:eastAsia="en-AU"/>
        </w:rPr>
        <w:t xml:space="preserve"> </w:t>
      </w:r>
      <w:r>
        <w:rPr>
          <w:rFonts w:eastAsia="Times New Roman" w:cs="Times New Roman"/>
          <w:color w:val="000000"/>
          <w:szCs w:val="20"/>
          <w:lang w:eastAsia="en-AU"/>
        </w:rPr>
        <w:t>(</w:t>
      </w:r>
      <w:r w:rsidRPr="000B734C">
        <w:rPr>
          <w:rFonts w:eastAsia="Times New Roman" w:cs="Times New Roman"/>
          <w:color w:val="000000"/>
          <w:szCs w:val="20"/>
          <w:lang w:eastAsia="en-AU"/>
        </w:rPr>
        <w:t>Hepascore test to diagnose and monitor liver fibrosis severity in chronic liver disease</w:t>
      </w:r>
      <w:r>
        <w:rPr>
          <w:rFonts w:eastAsia="Times New Roman" w:cs="Times New Roman"/>
          <w:color w:val="000000"/>
          <w:szCs w:val="20"/>
          <w:lang w:eastAsia="en-AU"/>
        </w:rPr>
        <w:t>).</w:t>
      </w:r>
      <w:r w:rsidRPr="000B734C">
        <w:rPr>
          <w:rFonts w:eastAsia="Times New Roman" w:cs="Times New Roman"/>
          <w:color w:val="000000"/>
          <w:szCs w:val="20"/>
          <w:lang w:eastAsia="en-AU"/>
        </w:rPr>
        <w:t xml:space="preserve"> </w:t>
      </w:r>
      <w:r>
        <w:rPr>
          <w:rFonts w:eastAsia="Times New Roman" w:cs="Times New Roman"/>
          <w:color w:val="000000"/>
          <w:szCs w:val="20"/>
          <w:lang w:eastAsia="en-AU"/>
        </w:rPr>
        <w:t xml:space="preserve">ESC noted </w:t>
      </w:r>
      <w:r w:rsidRPr="000B734C">
        <w:rPr>
          <w:rFonts w:eastAsia="Times New Roman" w:cs="Times New Roman"/>
          <w:color w:val="000000"/>
          <w:szCs w:val="20"/>
          <w:lang w:eastAsia="en-AU"/>
        </w:rPr>
        <w:t xml:space="preserve">MSAC </w:t>
      </w:r>
      <w:r>
        <w:rPr>
          <w:rFonts w:eastAsia="Times New Roman" w:cs="Times New Roman"/>
          <w:color w:val="000000"/>
          <w:szCs w:val="20"/>
          <w:lang w:eastAsia="en-AU"/>
        </w:rPr>
        <w:t>did not consider</w:t>
      </w:r>
      <w:r w:rsidRPr="000B734C">
        <w:rPr>
          <w:rFonts w:eastAsia="Times New Roman" w:cs="Times New Roman"/>
          <w:color w:val="000000"/>
          <w:szCs w:val="20"/>
          <w:lang w:eastAsia="en-AU"/>
        </w:rPr>
        <w:t xml:space="preserve"> the evidence from tertiary populations</w:t>
      </w:r>
      <w:r>
        <w:rPr>
          <w:rFonts w:eastAsia="Times New Roman" w:cs="Times New Roman"/>
          <w:color w:val="000000"/>
          <w:szCs w:val="20"/>
          <w:lang w:eastAsia="en-AU"/>
        </w:rPr>
        <w:t xml:space="preserve"> could be generalised to the proposed healthcare settings (primary care and specialist settings). </w:t>
      </w:r>
      <w:r w:rsidRPr="000B734C" w:rsidDel="00B25BAF">
        <w:rPr>
          <w:rFonts w:eastAsia="Times New Roman" w:cs="Times New Roman"/>
          <w:color w:val="000000"/>
          <w:szCs w:val="20"/>
          <w:lang w:eastAsia="en-AU"/>
        </w:rPr>
        <w:t>T</w:t>
      </w:r>
      <w:r w:rsidRPr="000B734C">
        <w:rPr>
          <w:rFonts w:eastAsia="Times New Roman" w:cs="Times New Roman"/>
          <w:color w:val="000000"/>
          <w:szCs w:val="20"/>
          <w:lang w:eastAsia="en-AU"/>
        </w:rPr>
        <w:t>here was a lack of evidence on how</w:t>
      </w:r>
      <w:r>
        <w:rPr>
          <w:rFonts w:eastAsia="Times New Roman" w:cs="Times New Roman"/>
          <w:color w:val="000000"/>
          <w:szCs w:val="20"/>
          <w:lang w:eastAsia="en-AU"/>
        </w:rPr>
        <w:t xml:space="preserve"> </w:t>
      </w:r>
      <w:r w:rsidRPr="000B734C" w:rsidDel="00B25BAF">
        <w:rPr>
          <w:rFonts w:eastAsia="Times New Roman" w:cs="Times New Roman"/>
          <w:color w:val="000000"/>
          <w:szCs w:val="20"/>
          <w:lang w:eastAsia="en-AU"/>
        </w:rPr>
        <w:t>Hepascore</w:t>
      </w:r>
      <w:r w:rsidRPr="000B734C">
        <w:rPr>
          <w:rFonts w:eastAsia="Times New Roman" w:cs="Times New Roman"/>
          <w:color w:val="000000"/>
          <w:szCs w:val="20"/>
          <w:lang w:eastAsia="en-AU"/>
        </w:rPr>
        <w:t xml:space="preserve"> would </w:t>
      </w:r>
      <w:r>
        <w:rPr>
          <w:rFonts w:eastAsia="Times New Roman" w:cs="Times New Roman"/>
          <w:color w:val="000000"/>
          <w:szCs w:val="20"/>
          <w:lang w:eastAsia="en-AU"/>
        </w:rPr>
        <w:t>influence</w:t>
      </w:r>
      <w:r w:rsidRPr="000B734C">
        <w:rPr>
          <w:rFonts w:eastAsia="Times New Roman" w:cs="Times New Roman"/>
          <w:color w:val="000000"/>
          <w:szCs w:val="20"/>
          <w:lang w:eastAsia="en-AU"/>
        </w:rPr>
        <w:t xml:space="preserve"> clinical management</w:t>
      </w:r>
      <w:r>
        <w:rPr>
          <w:rFonts w:eastAsia="Times New Roman" w:cs="Times New Roman"/>
          <w:color w:val="000000"/>
          <w:szCs w:val="20"/>
          <w:lang w:eastAsia="en-AU"/>
        </w:rPr>
        <w:t>,</w:t>
      </w:r>
      <w:r w:rsidRPr="000B734C">
        <w:rPr>
          <w:rFonts w:eastAsia="Times New Roman" w:cs="Times New Roman"/>
          <w:color w:val="000000"/>
          <w:szCs w:val="20"/>
          <w:lang w:eastAsia="en-AU"/>
        </w:rPr>
        <w:t xml:space="preserve"> such as enabling earlier diagnosis</w:t>
      </w:r>
      <w:r>
        <w:rPr>
          <w:rFonts w:eastAsia="Times New Roman" w:cs="Times New Roman"/>
          <w:color w:val="000000"/>
          <w:szCs w:val="20"/>
          <w:lang w:eastAsia="en-AU"/>
        </w:rPr>
        <w:t xml:space="preserve"> or</w:t>
      </w:r>
      <w:r w:rsidRPr="000B734C">
        <w:rPr>
          <w:rFonts w:eastAsia="Times New Roman" w:cs="Times New Roman"/>
          <w:color w:val="000000"/>
          <w:szCs w:val="20"/>
          <w:lang w:eastAsia="en-AU"/>
        </w:rPr>
        <w:t xml:space="preserve"> reducing complications.</w:t>
      </w:r>
    </w:p>
    <w:p w14:paraId="385A02F5" w14:textId="77777777" w:rsidR="0018750D" w:rsidRPr="00EA0CF4" w:rsidRDefault="0018750D" w:rsidP="0018750D">
      <w:pPr>
        <w:spacing w:before="0" w:after="240" w:line="240" w:lineRule="auto"/>
        <w:rPr>
          <w:rFonts w:eastAsia="Times New Roman" w:cs="Times New Roman"/>
          <w:color w:val="000000"/>
          <w:szCs w:val="20"/>
          <w:lang w:eastAsia="en-AU"/>
        </w:rPr>
      </w:pPr>
      <w:r w:rsidRPr="000B734C">
        <w:lastRenderedPageBreak/>
        <w:t xml:space="preserve">ESC noted and welcomed </w:t>
      </w:r>
      <w:r>
        <w:t xml:space="preserve">the public </w:t>
      </w:r>
      <w:r w:rsidRPr="000B734C">
        <w:t xml:space="preserve">consultation input </w:t>
      </w:r>
      <w:r>
        <w:t>from consumers, health professionals and organisations for this application</w:t>
      </w:r>
      <w:r w:rsidRPr="000B734C">
        <w: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ESC noted </w:t>
      </w:r>
      <w:r w:rsidRPr="00EA0CF4">
        <w:rPr>
          <w:rFonts w:eastAsia="Times New Roman" w:cs="Times New Roman"/>
          <w:color w:val="000000"/>
          <w:szCs w:val="20"/>
          <w:lang w:eastAsia="en-AU"/>
        </w:rPr>
        <w:t xml:space="preserve">the </w:t>
      </w:r>
      <w:r>
        <w:rPr>
          <w:rFonts w:eastAsia="Times New Roman" w:cs="Times New Roman"/>
          <w:color w:val="000000"/>
          <w:szCs w:val="20"/>
          <w:lang w:eastAsia="en-AU"/>
        </w:rPr>
        <w:t>feedback</w:t>
      </w:r>
      <w:r w:rsidRPr="00EA0CF4">
        <w:rPr>
          <w:rFonts w:eastAsia="Times New Roman" w:cs="Times New Roman"/>
          <w:color w:val="000000"/>
          <w:szCs w:val="20"/>
          <w:lang w:eastAsia="en-AU"/>
        </w:rPr>
        <w:t xml:space="preserve"> was of mixed support for the application. </w:t>
      </w:r>
      <w:r>
        <w:rPr>
          <w:rFonts w:eastAsia="Times New Roman" w:cs="Times New Roman"/>
          <w:color w:val="000000"/>
          <w:szCs w:val="20"/>
          <w:lang w:eastAsia="en-AU"/>
        </w:rPr>
        <w:t>ESC noted that t</w:t>
      </w:r>
      <w:r w:rsidRPr="00EA0CF4">
        <w:rPr>
          <w:rFonts w:eastAsia="Times New Roman" w:cs="Times New Roman"/>
          <w:color w:val="000000"/>
          <w:szCs w:val="20"/>
          <w:lang w:eastAsia="en-AU"/>
        </w:rPr>
        <w:t>he Royal Australian and New Zealand College of Radiologists (RANZCR) was not supportive</w:t>
      </w:r>
      <w:r>
        <w:rPr>
          <w:rFonts w:eastAsia="Times New Roman" w:cs="Times New Roman"/>
          <w:color w:val="000000"/>
          <w:szCs w:val="20"/>
          <w:lang w:eastAsia="en-AU"/>
        </w:rPr>
        <w:t xml:space="preserve"> of the application because it does not acknowledge other similar technology that is widely available</w:t>
      </w:r>
      <w:r w:rsidRPr="00EA0CF4">
        <w:rPr>
          <w:rFonts w:eastAsia="Times New Roman" w:cs="Times New Roman"/>
          <w:color w:val="000000"/>
          <w:szCs w:val="20"/>
          <w:lang w:eastAsia="en-AU"/>
        </w:rPr>
        <w:t>. Other feedback suggested that VCTE interpretation was</w:t>
      </w:r>
      <w:r w:rsidRPr="00EA0CF4">
        <w:rPr>
          <w:rFonts w:eastAsia="Times New Roman" w:cs="Times New Roman"/>
          <w:b/>
          <w:bCs/>
          <w:color w:val="000000"/>
          <w:szCs w:val="20"/>
          <w:lang w:eastAsia="en-AU"/>
        </w:rPr>
        <w:t xml:space="preserve"> </w:t>
      </w:r>
      <w:r w:rsidRPr="00EA0CF4">
        <w:rPr>
          <w:rFonts w:eastAsia="Times New Roman" w:cs="Times New Roman"/>
          <w:color w:val="000000"/>
          <w:szCs w:val="20"/>
          <w:lang w:eastAsia="en-AU"/>
        </w:rPr>
        <w:t>challenging and best restricted to specialists. ESC also noted that</w:t>
      </w:r>
      <w:r>
        <w:rPr>
          <w:rFonts w:eastAsia="Times New Roman" w:cs="Times New Roman"/>
          <w:color w:val="000000"/>
          <w:szCs w:val="20"/>
          <w:lang w:eastAsia="en-AU"/>
        </w:rPr>
        <w:t xml:space="preserve"> although</w:t>
      </w:r>
      <w:r w:rsidRPr="00EA0CF4">
        <w:rPr>
          <w:rFonts w:eastAsia="Times New Roman" w:cs="Times New Roman"/>
          <w:color w:val="000000"/>
          <w:szCs w:val="20"/>
          <w:lang w:eastAsia="en-AU"/>
        </w:rPr>
        <w:t xml:space="preserve"> the application </w:t>
      </w:r>
      <w:r>
        <w:rPr>
          <w:rFonts w:eastAsia="Times New Roman" w:cs="Times New Roman"/>
          <w:color w:val="000000"/>
          <w:szCs w:val="20"/>
          <w:lang w:eastAsia="en-AU"/>
        </w:rPr>
        <w:t xml:space="preserve">claimed the technology would be beneficial for First Nations people, the application </w:t>
      </w:r>
      <w:r w:rsidRPr="00EA0CF4">
        <w:rPr>
          <w:rFonts w:eastAsia="Times New Roman" w:cs="Times New Roman"/>
          <w:color w:val="000000"/>
          <w:szCs w:val="20"/>
          <w:lang w:eastAsia="en-AU"/>
        </w:rPr>
        <w:t xml:space="preserve">did not adequately address how </w:t>
      </w:r>
      <w:r>
        <w:rPr>
          <w:rFonts w:eastAsia="Times New Roman" w:cs="Times New Roman"/>
          <w:color w:val="000000"/>
          <w:szCs w:val="20"/>
          <w:lang w:eastAsia="en-AU"/>
        </w:rPr>
        <w:t xml:space="preserve">the needs of </w:t>
      </w:r>
      <w:r w:rsidRPr="00EA0CF4">
        <w:rPr>
          <w:rFonts w:eastAsia="Times New Roman" w:cs="Times New Roman"/>
          <w:color w:val="000000"/>
          <w:szCs w:val="20"/>
          <w:lang w:eastAsia="en-AU"/>
        </w:rPr>
        <w:t xml:space="preserve">First Nations people, who have higher prevalence of obesity and liver conditions than non-First Nations people, </w:t>
      </w:r>
      <w:r>
        <w:rPr>
          <w:rFonts w:eastAsia="Times New Roman" w:cs="Times New Roman"/>
          <w:color w:val="000000"/>
          <w:szCs w:val="20"/>
          <w:lang w:eastAsia="en-AU"/>
        </w:rPr>
        <w:t>would be addressed by funding of</w:t>
      </w:r>
      <w:r w:rsidRPr="00EA0CF4">
        <w:rPr>
          <w:rFonts w:eastAsia="Times New Roman" w:cs="Times New Roman"/>
          <w:color w:val="000000"/>
          <w:szCs w:val="20"/>
          <w:lang w:eastAsia="en-AU"/>
        </w:rPr>
        <w:t xml:space="preserve"> VCTE.</w:t>
      </w:r>
    </w:p>
    <w:p w14:paraId="70304718" w14:textId="77777777" w:rsidR="0018750D" w:rsidRPr="007B7527" w:rsidRDefault="0018750D" w:rsidP="0018750D">
      <w:pPr>
        <w:keepNext/>
        <w:spacing w:before="0" w:after="120" w:line="240" w:lineRule="auto"/>
        <w:rPr>
          <w:rFonts w:eastAsia="Times New Roman" w:cs="Times New Roman"/>
          <w:color w:val="000000"/>
          <w:szCs w:val="20"/>
          <w:lang w:eastAsia="en-AU"/>
        </w:rPr>
      </w:pPr>
      <w:r w:rsidRPr="000B734C">
        <w:rPr>
          <w:rFonts w:eastAsia="Times New Roman" w:cs="Times New Roman"/>
          <w:color w:val="000000"/>
          <w:szCs w:val="20"/>
          <w:lang w:eastAsia="en-AU"/>
        </w:rPr>
        <w:t>ESC noted that the applicant-developed assessment report (ADAR) included 2 populations:</w:t>
      </w:r>
    </w:p>
    <w:p w14:paraId="0724589C" w14:textId="77777777" w:rsidR="0018750D" w:rsidRDefault="0018750D" w:rsidP="0018750D">
      <w:pPr>
        <w:pStyle w:val="ListParagraph"/>
        <w:numPr>
          <w:ilvl w:val="0"/>
          <w:numId w:val="22"/>
        </w:numPr>
        <w:tabs>
          <w:tab w:val="num" w:pos="567"/>
        </w:tabs>
        <w:spacing w:before="0" w:after="120" w:line="240" w:lineRule="auto"/>
        <w:ind w:left="567" w:hanging="567"/>
        <w:rPr>
          <w:rFonts w:eastAsia="Times New Roman" w:cs="Times New Roman"/>
          <w:color w:val="000000"/>
          <w:szCs w:val="20"/>
          <w:lang w:eastAsia="en-AU"/>
        </w:rPr>
      </w:pPr>
      <w:r w:rsidRPr="005876E6">
        <w:rPr>
          <w:rFonts w:eastAsia="Times New Roman" w:cs="Times New Roman"/>
          <w:color w:val="000000"/>
          <w:szCs w:val="20"/>
          <w:lang w:eastAsia="en-AU"/>
        </w:rPr>
        <w:t xml:space="preserve">Population 1 – patients with a diagnosis of MAFLD (≥5% hepatosteatosis, and at least one of overweight, type 2 diabetes mellitus [T2DM] or metabolic dysfunction), plus a FIB-4 score (requiring age, aspartate aminotransferase [AST], alanine transaminase [ALT] and platelet count) of 1.3–2.7 in </w:t>
      </w:r>
      <w:r>
        <w:rPr>
          <w:rFonts w:eastAsia="Times New Roman" w:cs="Times New Roman"/>
          <w:color w:val="000000"/>
          <w:szCs w:val="20"/>
          <w:lang w:eastAsia="en-AU"/>
        </w:rPr>
        <w:t xml:space="preserve">a </w:t>
      </w:r>
      <w:r w:rsidRPr="005876E6">
        <w:rPr>
          <w:rFonts w:eastAsia="Times New Roman" w:cs="Times New Roman"/>
          <w:color w:val="000000"/>
          <w:szCs w:val="20"/>
          <w:lang w:eastAsia="en-AU"/>
        </w:rPr>
        <w:t>primary care</w:t>
      </w:r>
      <w:r>
        <w:rPr>
          <w:rFonts w:eastAsia="Times New Roman" w:cs="Times New Roman"/>
          <w:color w:val="000000"/>
          <w:szCs w:val="20"/>
          <w:lang w:eastAsia="en-AU"/>
        </w:rPr>
        <w:t xml:space="preserve"> setting.</w:t>
      </w:r>
    </w:p>
    <w:p w14:paraId="186819F0" w14:textId="77777777" w:rsidR="0018750D" w:rsidRPr="005876E6" w:rsidRDefault="0018750D" w:rsidP="0018750D">
      <w:pPr>
        <w:pStyle w:val="ListParagraph"/>
        <w:spacing w:before="0" w:after="120" w:line="240" w:lineRule="auto"/>
        <w:ind w:left="567"/>
        <w:rPr>
          <w:rFonts w:eastAsia="Times New Roman" w:cs="Times New Roman"/>
          <w:color w:val="000000"/>
          <w:szCs w:val="20"/>
          <w:lang w:eastAsia="en-AU"/>
        </w:rPr>
      </w:pPr>
    </w:p>
    <w:p w14:paraId="6CB7C7AE" w14:textId="77777777" w:rsidR="0018750D" w:rsidRPr="005876E6" w:rsidRDefault="0018750D" w:rsidP="0018750D">
      <w:pPr>
        <w:pStyle w:val="ListParagraph"/>
        <w:numPr>
          <w:ilvl w:val="0"/>
          <w:numId w:val="22"/>
        </w:numPr>
        <w:tabs>
          <w:tab w:val="num" w:pos="567"/>
        </w:tabs>
        <w:spacing w:before="0" w:after="240" w:line="240" w:lineRule="auto"/>
        <w:ind w:left="567" w:hanging="567"/>
        <w:rPr>
          <w:rFonts w:eastAsia="Times New Roman" w:cs="Times New Roman"/>
          <w:color w:val="000000"/>
          <w:szCs w:val="20"/>
          <w:lang w:eastAsia="en-AU"/>
        </w:rPr>
      </w:pPr>
      <w:r w:rsidRPr="005876E6">
        <w:rPr>
          <w:rFonts w:eastAsia="Times New Roman" w:cs="Times New Roman"/>
          <w:color w:val="000000"/>
          <w:szCs w:val="20"/>
          <w:lang w:eastAsia="en-AU"/>
        </w:rPr>
        <w:t xml:space="preserve">Population 2 – patients with a diagnosis of MAFLD (≥5% hepatosteatosis, and at least one of overweight, type 2 diabetes mellitus [T2DM] or metabolic dysfunction), </w:t>
      </w:r>
      <w:r>
        <w:rPr>
          <w:rFonts w:eastAsia="Times New Roman" w:cs="Times New Roman"/>
          <w:color w:val="000000"/>
          <w:szCs w:val="20"/>
          <w:lang w:eastAsia="en-AU"/>
        </w:rPr>
        <w:t>and</w:t>
      </w:r>
      <w:r w:rsidRPr="005876E6">
        <w:rPr>
          <w:rFonts w:eastAsia="Times New Roman" w:cs="Times New Roman"/>
          <w:color w:val="000000"/>
          <w:szCs w:val="20"/>
          <w:lang w:eastAsia="en-AU"/>
        </w:rPr>
        <w:t xml:space="preserve"> a FIB-4 </w:t>
      </w:r>
      <w:r>
        <w:rPr>
          <w:rFonts w:eastAsia="Times New Roman" w:cs="Times New Roman"/>
          <w:color w:val="000000"/>
          <w:szCs w:val="20"/>
          <w:lang w:eastAsia="en-AU"/>
        </w:rPr>
        <w:t>score</w:t>
      </w:r>
      <w:r w:rsidRPr="005876E6">
        <w:rPr>
          <w:rFonts w:eastAsia="Times New Roman" w:cs="Times New Roman"/>
          <w:color w:val="000000"/>
          <w:szCs w:val="20"/>
          <w:lang w:eastAsia="en-AU"/>
        </w:rPr>
        <w:t xml:space="preserve"> of &gt;2.7 in </w:t>
      </w:r>
      <w:r>
        <w:rPr>
          <w:rFonts w:eastAsia="Times New Roman" w:cs="Times New Roman"/>
          <w:color w:val="000000"/>
          <w:szCs w:val="20"/>
          <w:lang w:eastAsia="en-AU"/>
        </w:rPr>
        <w:t xml:space="preserve">a </w:t>
      </w:r>
      <w:r w:rsidRPr="005876E6">
        <w:rPr>
          <w:rFonts w:eastAsia="Times New Roman" w:cs="Times New Roman"/>
          <w:color w:val="000000"/>
          <w:szCs w:val="20"/>
          <w:lang w:eastAsia="en-AU"/>
        </w:rPr>
        <w:t>specialist care</w:t>
      </w:r>
      <w:r>
        <w:rPr>
          <w:rFonts w:eastAsia="Times New Roman" w:cs="Times New Roman"/>
          <w:color w:val="000000"/>
          <w:szCs w:val="20"/>
          <w:lang w:eastAsia="en-AU"/>
        </w:rPr>
        <w:t xml:space="preserve"> setting</w:t>
      </w:r>
      <w:r w:rsidRPr="005876E6">
        <w:rPr>
          <w:rFonts w:eastAsia="Times New Roman" w:cs="Times New Roman"/>
          <w:color w:val="000000"/>
          <w:szCs w:val="20"/>
          <w:lang w:eastAsia="en-AU"/>
        </w:rPr>
        <w:t>.</w:t>
      </w:r>
    </w:p>
    <w:p w14:paraId="61744097" w14:textId="77777777" w:rsidR="0018750D" w:rsidRPr="00AD6BF5" w:rsidRDefault="0018750D" w:rsidP="0018750D">
      <w:pPr>
        <w:spacing w:before="240" w:after="240"/>
      </w:pPr>
      <w:r>
        <w:t>ESC noted that t</w:t>
      </w:r>
      <w:r w:rsidRPr="007F24E2">
        <w:t>he role of VCTE is unclear</w:t>
      </w:r>
      <w:r>
        <w:t xml:space="preserve"> in the application</w:t>
      </w:r>
      <w:r w:rsidRPr="0089597A">
        <w:t xml:space="preserve">. </w:t>
      </w:r>
      <w:r>
        <w:t>ESC considered that t</w:t>
      </w:r>
      <w:r w:rsidRPr="0089597A">
        <w:t xml:space="preserve">he </w:t>
      </w:r>
      <w:r>
        <w:t>application</w:t>
      </w:r>
      <w:r w:rsidRPr="0089597A">
        <w:t xml:space="preserve"> must clarify </w:t>
      </w:r>
      <w:r>
        <w:t xml:space="preserve">the purpose of </w:t>
      </w:r>
      <w:r w:rsidRPr="0089597A">
        <w:t>VCTE</w:t>
      </w:r>
      <w:r>
        <w:t xml:space="preserve">, in particular clarifying whether it is a tool for </w:t>
      </w:r>
      <w:r w:rsidRPr="0089597A">
        <w:t>diagnosis</w:t>
      </w:r>
      <w:r>
        <w:t xml:space="preserve"> and monitoring of AF</w:t>
      </w:r>
      <w:r w:rsidRPr="0089597A">
        <w:t xml:space="preserve"> or </w:t>
      </w:r>
      <w:r>
        <w:t xml:space="preserve">a tool for stratifying a patient’s </w:t>
      </w:r>
      <w:r w:rsidRPr="0089597A">
        <w:t xml:space="preserve">risk </w:t>
      </w:r>
      <w:r>
        <w:t>of AF</w:t>
      </w:r>
      <w:r w:rsidRPr="0089597A">
        <w:t xml:space="preserve">. ESC considered that </w:t>
      </w:r>
      <w:r>
        <w:t>VCTE</w:t>
      </w:r>
      <w:r w:rsidRPr="0089597A">
        <w:t xml:space="preserve"> </w:t>
      </w:r>
      <w:r>
        <w:t xml:space="preserve">has been positioned by the applicant as </w:t>
      </w:r>
      <w:r w:rsidRPr="0089597A">
        <w:t>a risk stratification tool, but this should be clarified by the applicant.</w:t>
      </w:r>
    </w:p>
    <w:p w14:paraId="43DECDBA"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ESC noted issues with the comparator in the ADAR</w:t>
      </w:r>
      <w:r>
        <w:rPr>
          <w:rFonts w:eastAsia="Times New Roman" w:cs="Times New Roman"/>
          <w:color w:val="000000"/>
          <w:szCs w:val="20"/>
          <w:lang w:eastAsia="en-AU"/>
        </w:rPr>
        <w:t xml:space="preserve">, where the stated comparator was </w:t>
      </w:r>
      <w:r w:rsidRPr="00EA0CF4">
        <w:rPr>
          <w:rFonts w:eastAsia="Times New Roman" w:cs="Times New Roman"/>
          <w:color w:val="000000"/>
          <w:szCs w:val="20"/>
          <w:lang w:eastAsia="en-AU"/>
        </w:rPr>
        <w:t xml:space="preserve">standard of care </w:t>
      </w:r>
      <w:r>
        <w:rPr>
          <w:rFonts w:eastAsia="Times New Roman" w:cs="Times New Roman"/>
          <w:color w:val="000000"/>
          <w:szCs w:val="20"/>
          <w:lang w:eastAsia="en-AU"/>
        </w:rPr>
        <w:t>(</w:t>
      </w:r>
      <w:r w:rsidRPr="00EA0CF4">
        <w:rPr>
          <w:rFonts w:eastAsia="Times New Roman" w:cs="Times New Roman"/>
          <w:color w:val="000000"/>
          <w:szCs w:val="20"/>
          <w:lang w:eastAsia="en-AU"/>
        </w:rPr>
        <w:t>S</w:t>
      </w:r>
      <w:r>
        <w:rPr>
          <w:rFonts w:eastAsia="Times New Roman" w:cs="Times New Roman"/>
          <w:color w:val="000000"/>
          <w:szCs w:val="20"/>
          <w:lang w:eastAsia="en-AU"/>
        </w:rPr>
        <w:t>O</w:t>
      </w:r>
      <w:r w:rsidRPr="00EA0CF4">
        <w:rPr>
          <w:rFonts w:eastAsia="Times New Roman" w:cs="Times New Roman"/>
          <w:color w:val="000000"/>
          <w:szCs w:val="20"/>
          <w:lang w:eastAsia="en-AU"/>
        </w:rPr>
        <w:t>C</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including abdominal ultrasound (US), other diagnostic tests that are not publicly funded, or ongoing management.</w:t>
      </w:r>
      <w:r w:rsidRPr="005A7D83">
        <w:t xml:space="preserve"> However, no comparative effectiveness or safety data were presented against the </w:t>
      </w:r>
      <w:r>
        <w:t xml:space="preserve">management </w:t>
      </w:r>
      <w:r w:rsidRPr="005A7D83">
        <w:t xml:space="preserve">options in SOC </w:t>
      </w:r>
      <w:r>
        <w:t>following</w:t>
      </w:r>
      <w:r w:rsidRPr="005A7D83">
        <w:t xml:space="preserve"> the proposed </w:t>
      </w:r>
      <w:r>
        <w:t>triage strategy</w:t>
      </w:r>
      <w:r w:rsidRPr="005A7D83">
        <w:t xml:space="preserve"> (i.e. </w:t>
      </w:r>
      <w:r w:rsidRPr="00EA4FE8">
        <w:rPr>
          <w:rFonts w:eastAsia="Calibri" w:cs="Times New Roman"/>
        </w:rPr>
        <w:t>Vibration-Controlled Transient Elastography</w:t>
      </w:r>
      <w:r>
        <w:rPr>
          <w:rFonts w:eastAsia="Calibri" w:cs="Times New Roman"/>
        </w:rPr>
        <w:t xml:space="preserve"> [VCTE]</w:t>
      </w:r>
      <w:r>
        <w:t xml:space="preserve"> performed as a </w:t>
      </w:r>
      <w:r w:rsidRPr="005A7D83">
        <w:t>second line t</w:t>
      </w:r>
      <w:r w:rsidRPr="00221E3C">
        <w:t>e</w:t>
      </w:r>
      <w:r w:rsidRPr="005A7D83">
        <w:t>st following FIB-4 testing).</w:t>
      </w:r>
      <w:r>
        <w:t xml:space="preserve"> Further, ESC noted that </w:t>
      </w:r>
      <w:r>
        <w:rPr>
          <w:rFonts w:eastAsia="Times New Roman" w:cs="Times New Roman"/>
          <w:color w:val="000000"/>
          <w:szCs w:val="20"/>
          <w:lang w:eastAsia="en-AU"/>
        </w:rPr>
        <w:t>the</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comparator used for the purposes of economic and financial evaluation included only </w:t>
      </w:r>
      <w:r w:rsidRPr="00EA0CF4">
        <w:rPr>
          <w:rFonts w:eastAsia="Times New Roman" w:cs="Times New Roman"/>
          <w:color w:val="000000"/>
          <w:szCs w:val="20"/>
          <w:lang w:eastAsia="en-AU"/>
        </w:rPr>
        <w:t>US</w:t>
      </w:r>
      <w:r>
        <w:rPr>
          <w:rFonts w:eastAsia="Times New Roman" w:cs="Times New Roman"/>
          <w:color w:val="000000"/>
          <w:szCs w:val="20"/>
          <w:lang w:eastAsia="en-AU"/>
        </w:rPr>
        <w:t xml:space="preserve"> in addition to a GP or specialist consultation.</w:t>
      </w:r>
      <w:r w:rsidRPr="00EA0CF4">
        <w:rPr>
          <w:rFonts w:eastAsia="Times New Roman" w:cs="Times New Roman"/>
          <w:color w:val="000000"/>
          <w:szCs w:val="20"/>
          <w:lang w:eastAsia="en-AU"/>
        </w:rPr>
        <w:t xml:space="preserve"> ESC considered that US is a prior test</w:t>
      </w:r>
      <w:r>
        <w:rPr>
          <w:rFonts w:eastAsia="Times New Roman" w:cs="Times New Roman"/>
          <w:color w:val="000000"/>
          <w:szCs w:val="20"/>
          <w:lang w:eastAsia="en-AU"/>
        </w:rPr>
        <w:t xml:space="preserve"> in these populations and</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was </w:t>
      </w:r>
      <w:r w:rsidRPr="00EA0CF4">
        <w:rPr>
          <w:rFonts w:eastAsia="Times New Roman" w:cs="Times New Roman"/>
          <w:color w:val="000000"/>
          <w:szCs w:val="20"/>
          <w:lang w:eastAsia="en-AU"/>
        </w:rPr>
        <w:t>not a</w:t>
      </w:r>
      <w:r>
        <w:rPr>
          <w:rFonts w:eastAsia="Times New Roman" w:cs="Times New Roman"/>
          <w:color w:val="000000"/>
          <w:szCs w:val="20"/>
          <w:lang w:eastAsia="en-AU"/>
        </w:rPr>
        <w:t>ppropriate for inclusion in the</w:t>
      </w:r>
      <w:r w:rsidRPr="00EA0CF4">
        <w:rPr>
          <w:rFonts w:eastAsia="Times New Roman" w:cs="Times New Roman"/>
          <w:color w:val="000000"/>
          <w:szCs w:val="20"/>
          <w:lang w:eastAsia="en-AU"/>
        </w:rPr>
        <w:t xml:space="preserve"> S</w:t>
      </w:r>
      <w:r>
        <w:rPr>
          <w:rFonts w:eastAsia="Times New Roman" w:cs="Times New Roman"/>
          <w:color w:val="000000"/>
          <w:szCs w:val="20"/>
          <w:lang w:eastAsia="en-AU"/>
        </w:rPr>
        <w:t>O</w:t>
      </w:r>
      <w:r w:rsidRPr="00EA0CF4">
        <w:rPr>
          <w:rFonts w:eastAsia="Times New Roman" w:cs="Times New Roman"/>
          <w:color w:val="000000"/>
          <w:szCs w:val="20"/>
          <w:lang w:eastAsia="en-AU"/>
        </w:rPr>
        <w:t>C</w:t>
      </w:r>
      <w:r>
        <w:rPr>
          <w:rFonts w:eastAsia="Times New Roman" w:cs="Times New Roman"/>
          <w:color w:val="000000"/>
          <w:szCs w:val="20"/>
          <w:lang w:eastAsia="en-AU"/>
        </w:rPr>
        <w:t xml:space="preserve"> comparator, noting that guidelines do not recommend anatomical assessment as part of fibrosis testing, and ultrasound </w:t>
      </w:r>
      <w:r w:rsidRPr="00EA0CF4">
        <w:rPr>
          <w:rFonts w:eastAsia="Times New Roman" w:cs="Times New Roman"/>
          <w:color w:val="000000"/>
          <w:szCs w:val="20"/>
          <w:lang w:eastAsia="en-AU"/>
        </w:rPr>
        <w:t xml:space="preserve">is not MBS-supported for elastography. </w:t>
      </w:r>
      <w:r w:rsidRPr="00404411">
        <w:rPr>
          <w:rFonts w:eastAsia="Times New Roman" w:cs="Times New Roman"/>
          <w:color w:val="000000"/>
          <w:szCs w:val="20"/>
          <w:lang w:eastAsia="en-AU"/>
        </w:rPr>
        <w:t>ESC noted that this positioning of US in the S</w:t>
      </w:r>
      <w:r>
        <w:rPr>
          <w:rFonts w:eastAsia="Times New Roman" w:cs="Times New Roman"/>
          <w:color w:val="000000"/>
          <w:szCs w:val="20"/>
          <w:lang w:eastAsia="en-AU"/>
        </w:rPr>
        <w:t>O</w:t>
      </w:r>
      <w:r w:rsidRPr="00404411">
        <w:rPr>
          <w:rFonts w:eastAsia="Times New Roman" w:cs="Times New Roman"/>
          <w:color w:val="000000"/>
          <w:szCs w:val="20"/>
          <w:lang w:eastAsia="en-AU"/>
        </w:rPr>
        <w:t xml:space="preserve">C comparator had many flow-on effects throughout the application, including to the proposed clinical management algorithm, in which an abdominal US was incorrectly duplicated for population 2 </w:t>
      </w:r>
      <w:r>
        <w:rPr>
          <w:rFonts w:eastAsia="Times New Roman" w:cs="Times New Roman"/>
          <w:color w:val="000000"/>
          <w:szCs w:val="20"/>
          <w:lang w:eastAsia="en-AU"/>
        </w:rPr>
        <w:t>following</w:t>
      </w:r>
      <w:r w:rsidRPr="00404411">
        <w:rPr>
          <w:rFonts w:eastAsia="Times New Roman" w:cs="Times New Roman"/>
          <w:color w:val="000000"/>
          <w:szCs w:val="20"/>
          <w:lang w:eastAsia="en-AU"/>
        </w:rPr>
        <w:t xml:space="preserve"> VCTE.</w:t>
      </w:r>
      <w:r w:rsidRPr="00EA0CF4">
        <w:rPr>
          <w:rFonts w:eastAsia="Times New Roman" w:cs="Times New Roman"/>
          <w:color w:val="000000"/>
          <w:szCs w:val="20"/>
          <w:lang w:eastAsia="en-AU"/>
        </w:rPr>
        <w:t xml:space="preserve"> </w:t>
      </w:r>
      <w:r w:rsidRPr="00EA0CF4" w:rsidDel="00CA6C65">
        <w:rPr>
          <w:rFonts w:eastAsia="Times New Roman" w:cs="Times New Roman"/>
          <w:color w:val="000000"/>
          <w:szCs w:val="20"/>
          <w:lang w:eastAsia="en-AU"/>
        </w:rPr>
        <w:t xml:space="preserve"> </w:t>
      </w:r>
    </w:p>
    <w:p w14:paraId="55872F7C" w14:textId="77777777" w:rsidR="0018750D"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noted </w:t>
      </w:r>
      <w:r>
        <w:rPr>
          <w:rFonts w:eastAsia="Times New Roman" w:cs="Times New Roman"/>
          <w:color w:val="000000"/>
          <w:szCs w:val="20"/>
          <w:lang w:eastAsia="en-AU"/>
        </w:rPr>
        <w:t xml:space="preserve">a number of issues with </w:t>
      </w:r>
      <w:r w:rsidRPr="00EA0CF4">
        <w:rPr>
          <w:rFonts w:eastAsia="Times New Roman" w:cs="Times New Roman"/>
          <w:color w:val="000000"/>
          <w:szCs w:val="20"/>
          <w:lang w:eastAsia="en-AU"/>
        </w:rPr>
        <w:t xml:space="preserve">the proposed MBS descriptor, including that there </w:t>
      </w:r>
      <w:r>
        <w:rPr>
          <w:rFonts w:eastAsia="Times New Roman" w:cs="Times New Roman"/>
          <w:color w:val="000000"/>
          <w:szCs w:val="20"/>
          <w:lang w:eastAsia="en-AU"/>
        </w:rPr>
        <w:t xml:space="preserve">is </w:t>
      </w:r>
      <w:r w:rsidRPr="00EA0CF4">
        <w:rPr>
          <w:rFonts w:eastAsia="Times New Roman" w:cs="Times New Roman"/>
          <w:color w:val="000000"/>
          <w:szCs w:val="20"/>
          <w:lang w:eastAsia="en-AU"/>
        </w:rPr>
        <w:t>no wording to prevent the MBS item from being used as a monitoring tool</w:t>
      </w:r>
      <w:r>
        <w:rPr>
          <w:rFonts w:eastAsia="Times New Roman" w:cs="Times New Roman"/>
          <w:color w:val="000000"/>
          <w:szCs w:val="20"/>
          <w:lang w:eastAsia="en-AU"/>
        </w:rPr>
        <w:t>, as the descriptor allows testing for patients once every 3 years, including those who have already been stratified as having high AF risk</w:t>
      </w:r>
      <w:r w:rsidRPr="00EA0CF4">
        <w:rPr>
          <w:rFonts w:eastAsia="Times New Roman" w:cs="Times New Roman"/>
          <w:color w:val="000000"/>
          <w:szCs w:val="20"/>
          <w:lang w:eastAsia="en-AU"/>
        </w:rPr>
        <w:t xml:space="preserve">. </w:t>
      </w:r>
      <w:r w:rsidRPr="003C1FD3">
        <w:rPr>
          <w:rFonts w:eastAsia="Times New Roman" w:cs="Times New Roman"/>
          <w:color w:val="000000"/>
          <w:szCs w:val="20"/>
          <w:lang w:eastAsia="en-AU"/>
        </w:rPr>
        <w:t>ESC considered that although the proposed MBS item descriptor restricts the item to the MAFLD population only, in practice, there was potential for the item to be used in patients who have other causes of chronic liver disease (e.g. chronic viral hepatitis). ESC noted that no risk mitigation strategy had been presented to prevent use outside of the intended MAFLD population. ESC noted that this was concerning given that MSAC had previously not supported use</w:t>
      </w:r>
      <w:r>
        <w:rPr>
          <w:rFonts w:eastAsia="Times New Roman" w:cs="Times New Roman"/>
          <w:color w:val="000000"/>
          <w:szCs w:val="20"/>
          <w:lang w:eastAsia="en-AU"/>
        </w:rPr>
        <w:t xml:space="preserve"> of VCTE</w:t>
      </w:r>
      <w:r w:rsidRPr="003C1FD3">
        <w:rPr>
          <w:rFonts w:eastAsia="Times New Roman" w:cs="Times New Roman"/>
          <w:color w:val="000000"/>
          <w:szCs w:val="20"/>
          <w:lang w:eastAsia="en-AU"/>
        </w:rPr>
        <w:t xml:space="preserve"> in people with viral hepatitis (MSAC Application 1366). </w:t>
      </w:r>
      <w:r w:rsidRPr="00EA0CF4">
        <w:rPr>
          <w:rFonts w:eastAsia="Times New Roman" w:cs="Times New Roman"/>
          <w:color w:val="000000"/>
          <w:szCs w:val="20"/>
          <w:lang w:eastAsia="en-AU"/>
        </w:rPr>
        <w:t xml:space="preserve">ESC also considered the </w:t>
      </w:r>
      <w:r>
        <w:rPr>
          <w:rFonts w:eastAsia="Times New Roman" w:cs="Times New Roman"/>
          <w:color w:val="000000"/>
          <w:szCs w:val="20"/>
          <w:lang w:eastAsia="en-AU"/>
        </w:rPr>
        <w:t xml:space="preserve">proposed </w:t>
      </w:r>
      <w:r w:rsidRPr="00EA0CF4">
        <w:rPr>
          <w:rFonts w:eastAsia="Times New Roman" w:cs="Times New Roman"/>
          <w:color w:val="000000"/>
          <w:szCs w:val="20"/>
          <w:lang w:eastAsia="en-AU"/>
        </w:rPr>
        <w:t>fee of $58.85 to be too high</w:t>
      </w:r>
      <w:r>
        <w:rPr>
          <w:rFonts w:eastAsia="Times New Roman" w:cs="Times New Roman"/>
          <w:color w:val="000000"/>
          <w:szCs w:val="20"/>
          <w:lang w:eastAsia="en-AU"/>
        </w:rPr>
        <w:t>, noting that the</w:t>
      </w:r>
      <w:r w:rsidRPr="00EA0CF4">
        <w:rPr>
          <w:rFonts w:eastAsia="Times New Roman" w:cs="Times New Roman"/>
          <w:color w:val="000000"/>
          <w:szCs w:val="20"/>
          <w:lang w:eastAsia="en-AU"/>
        </w:rPr>
        <w:t xml:space="preserve"> procedure only takes 4–10 minutes and can be </w:t>
      </w:r>
      <w:r>
        <w:rPr>
          <w:rFonts w:eastAsia="Times New Roman" w:cs="Times New Roman"/>
          <w:color w:val="000000"/>
          <w:szCs w:val="20"/>
          <w:lang w:eastAsia="en-AU"/>
        </w:rPr>
        <w:t>performed</w:t>
      </w:r>
      <w:r w:rsidRPr="00EA0CF4">
        <w:rPr>
          <w:rFonts w:eastAsia="Times New Roman" w:cs="Times New Roman"/>
          <w:color w:val="000000"/>
          <w:szCs w:val="20"/>
          <w:lang w:eastAsia="en-AU"/>
        </w:rPr>
        <w:t xml:space="preserve"> by a technician</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ESC</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noted that the fee for the </w:t>
      </w:r>
      <w:r w:rsidRPr="00DE763A">
        <w:rPr>
          <w:rFonts w:eastAsia="Times New Roman" w:cs="Times New Roman"/>
          <w:color w:val="000000"/>
          <w:szCs w:val="20"/>
          <w:lang w:eastAsia="en-AU"/>
        </w:rPr>
        <w:t xml:space="preserve">nurse practitioner attendance item 82205 </w:t>
      </w:r>
      <w:r>
        <w:rPr>
          <w:rFonts w:eastAsia="Times New Roman" w:cs="Times New Roman"/>
          <w:color w:val="000000"/>
          <w:szCs w:val="20"/>
          <w:lang w:eastAsia="en-AU"/>
        </w:rPr>
        <w:t>is</w:t>
      </w:r>
      <w:r w:rsidRPr="00DE763A">
        <w:rPr>
          <w:rFonts w:eastAsia="Times New Roman" w:cs="Times New Roman"/>
          <w:color w:val="000000"/>
          <w:szCs w:val="20"/>
          <w:lang w:eastAsia="en-AU"/>
        </w:rPr>
        <w:t xml:space="preserve"> $31.05 for consultations lasting 6 to less than 20 minutes</w:t>
      </w:r>
      <w:r>
        <w:rPr>
          <w:rFonts w:eastAsia="Times New Roman" w:cs="Times New Roman"/>
          <w:color w:val="000000"/>
          <w:szCs w:val="20"/>
          <w:lang w:eastAsia="en-AU"/>
        </w:rPr>
        <w:t>,</w:t>
      </w:r>
      <w:r w:rsidRPr="00DE763A">
        <w:rPr>
          <w:rFonts w:eastAsia="Times New Roman" w:cs="Times New Roman"/>
          <w:color w:val="000000"/>
          <w:szCs w:val="20"/>
          <w:lang w:eastAsia="en-AU"/>
        </w:rPr>
        <w:t xml:space="preserve"> </w:t>
      </w:r>
      <w:r>
        <w:rPr>
          <w:rFonts w:eastAsia="Times New Roman" w:cs="Times New Roman"/>
          <w:color w:val="000000"/>
          <w:szCs w:val="20"/>
          <w:lang w:eastAsia="en-AU"/>
        </w:rPr>
        <w:t>and considered that a fee less than this</w:t>
      </w:r>
      <w:r w:rsidRPr="00DE763A">
        <w:rPr>
          <w:rFonts w:eastAsia="Times New Roman" w:cs="Times New Roman"/>
          <w:color w:val="000000"/>
          <w:szCs w:val="20"/>
          <w:lang w:eastAsia="en-AU"/>
        </w:rPr>
        <w:t xml:space="preserve"> </w:t>
      </w:r>
      <w:r>
        <w:rPr>
          <w:rFonts w:eastAsia="Times New Roman" w:cs="Times New Roman"/>
          <w:color w:val="000000"/>
          <w:szCs w:val="20"/>
          <w:lang w:eastAsia="en-AU"/>
        </w:rPr>
        <w:t>would</w:t>
      </w:r>
      <w:r w:rsidRPr="00DE763A">
        <w:rPr>
          <w:rFonts w:eastAsia="Times New Roman" w:cs="Times New Roman"/>
          <w:color w:val="000000"/>
          <w:szCs w:val="20"/>
          <w:lang w:eastAsia="en-AU"/>
        </w:rPr>
        <w:t xml:space="preserve"> be more appropriate</w:t>
      </w:r>
      <w:r w:rsidRPr="00EA0CF4">
        <w:rPr>
          <w:rFonts w:eastAsia="Times New Roman" w:cs="Times New Roman"/>
          <w:color w:val="000000"/>
          <w:szCs w:val="20"/>
          <w:lang w:eastAsia="en-AU"/>
        </w:rPr>
        <w:t xml:space="preserve">. ESC noted the </w:t>
      </w:r>
      <w:r>
        <w:rPr>
          <w:rFonts w:eastAsia="Times New Roman" w:cs="Times New Roman"/>
          <w:color w:val="000000"/>
          <w:szCs w:val="20"/>
          <w:lang w:eastAsia="en-AU"/>
        </w:rPr>
        <w:t>possibility</w:t>
      </w:r>
      <w:r w:rsidRPr="00EA0CF4">
        <w:rPr>
          <w:rFonts w:eastAsia="Times New Roman" w:cs="Times New Roman"/>
          <w:color w:val="000000"/>
          <w:szCs w:val="20"/>
          <w:lang w:eastAsia="en-AU"/>
        </w:rPr>
        <w:t xml:space="preserve"> that out-of-pocket costs </w:t>
      </w:r>
      <w:r>
        <w:rPr>
          <w:rFonts w:eastAsia="Times New Roman" w:cs="Times New Roman"/>
          <w:color w:val="000000"/>
          <w:szCs w:val="20"/>
          <w:lang w:eastAsia="en-AU"/>
        </w:rPr>
        <w:t xml:space="preserve">for patients </w:t>
      </w:r>
      <w:r w:rsidRPr="00EA0CF4">
        <w:rPr>
          <w:rFonts w:eastAsia="Times New Roman" w:cs="Times New Roman"/>
          <w:color w:val="000000"/>
          <w:szCs w:val="20"/>
          <w:lang w:eastAsia="en-AU"/>
        </w:rPr>
        <w:t xml:space="preserve">could be high because of the establishment costs </w:t>
      </w:r>
      <w:r w:rsidRPr="00EA0CF4">
        <w:rPr>
          <w:rFonts w:eastAsia="Times New Roman" w:cs="Times New Roman"/>
          <w:color w:val="000000"/>
          <w:szCs w:val="20"/>
          <w:lang w:eastAsia="en-AU"/>
        </w:rPr>
        <w:lastRenderedPageBreak/>
        <w:t>associated with VCTE</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However,</w:t>
      </w:r>
      <w:r w:rsidRPr="00EA0CF4">
        <w:rPr>
          <w:rFonts w:eastAsia="Times New Roman" w:cs="Times New Roman"/>
          <w:color w:val="000000"/>
          <w:szCs w:val="20"/>
          <w:lang w:eastAsia="en-AU"/>
        </w:rPr>
        <w:t xml:space="preserve"> ESC considered this to be unlikely since</w:t>
      </w:r>
      <w:r>
        <w:rPr>
          <w:rFonts w:eastAsia="Times New Roman" w:cs="Times New Roman"/>
          <w:color w:val="000000"/>
          <w:szCs w:val="20"/>
          <w:lang w:eastAsia="en-AU"/>
        </w:rPr>
        <w:t xml:space="preserve"> in</w:t>
      </w:r>
      <w:r w:rsidRPr="00EA0CF4">
        <w:rPr>
          <w:rFonts w:eastAsia="Times New Roman" w:cs="Times New Roman"/>
          <w:color w:val="000000"/>
          <w:szCs w:val="20"/>
          <w:lang w:eastAsia="en-AU"/>
        </w:rPr>
        <w:t xml:space="preserve"> the current </w:t>
      </w:r>
      <w:r>
        <w:rPr>
          <w:rFonts w:eastAsia="Times New Roman" w:cs="Times New Roman"/>
          <w:color w:val="000000"/>
          <w:szCs w:val="20"/>
          <w:lang w:eastAsia="en-AU"/>
        </w:rPr>
        <w:t xml:space="preserve">referral pathway and </w:t>
      </w:r>
      <w:r w:rsidRPr="00EA0CF4">
        <w:rPr>
          <w:rFonts w:eastAsia="Times New Roman" w:cs="Times New Roman"/>
          <w:color w:val="000000"/>
          <w:szCs w:val="20"/>
          <w:lang w:eastAsia="en-AU"/>
        </w:rPr>
        <w:t>model of care</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m</w:t>
      </w:r>
      <w:r>
        <w:rPr>
          <w:rFonts w:eastAsia="Times New Roman" w:cs="Times New Roman"/>
          <w:color w:val="000000"/>
          <w:szCs w:val="20"/>
          <w:lang w:eastAsia="en-AU"/>
        </w:rPr>
        <w:t>any</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of these </w:t>
      </w:r>
      <w:r w:rsidRPr="00EA0CF4">
        <w:rPr>
          <w:rFonts w:eastAsia="Times New Roman" w:cs="Times New Roman"/>
          <w:color w:val="000000"/>
          <w:szCs w:val="20"/>
          <w:lang w:eastAsia="en-AU"/>
        </w:rPr>
        <w:t>procedures are bulk-billed using</w:t>
      </w:r>
      <w:r>
        <w:rPr>
          <w:rFonts w:eastAsia="Times New Roman" w:cs="Times New Roman"/>
          <w:color w:val="000000"/>
          <w:szCs w:val="20"/>
          <w:lang w:eastAsia="en-AU"/>
        </w:rPr>
        <w:t xml:space="preserve"> MBS</w:t>
      </w:r>
      <w:r w:rsidRPr="00EA0CF4">
        <w:rPr>
          <w:rFonts w:eastAsia="Times New Roman" w:cs="Times New Roman"/>
          <w:color w:val="000000"/>
          <w:szCs w:val="20"/>
          <w:lang w:eastAsia="en-AU"/>
        </w:rPr>
        <w:t xml:space="preserve"> consultation items </w:t>
      </w:r>
      <w:r w:rsidRPr="008E9321">
        <w:rPr>
          <w:rFonts w:eastAsia="Times New Roman" w:cs="Times New Roman"/>
          <w:color w:val="000000" w:themeColor="text1"/>
          <w:lang w:eastAsia="en-AU"/>
        </w:rPr>
        <w:t xml:space="preserve">or </w:t>
      </w:r>
      <w:r>
        <w:rPr>
          <w:rFonts w:eastAsia="Times New Roman" w:cs="Times New Roman"/>
          <w:color w:val="000000" w:themeColor="text1"/>
          <w:lang w:eastAsia="en-AU"/>
        </w:rPr>
        <w:t xml:space="preserve">performed </w:t>
      </w:r>
      <w:r w:rsidRPr="008E9321">
        <w:rPr>
          <w:rFonts w:eastAsia="Times New Roman" w:cs="Times New Roman"/>
          <w:color w:val="000000" w:themeColor="text1"/>
          <w:lang w:eastAsia="en-AU"/>
        </w:rPr>
        <w:t xml:space="preserve">at no additional cost </w:t>
      </w:r>
      <w:r>
        <w:rPr>
          <w:rFonts w:eastAsia="Times New Roman" w:cs="Times New Roman"/>
          <w:color w:val="000000" w:themeColor="text1"/>
          <w:lang w:eastAsia="en-AU"/>
        </w:rPr>
        <w:t>when</w:t>
      </w:r>
      <w:r w:rsidRPr="008E9321">
        <w:rPr>
          <w:rFonts w:eastAsia="Times New Roman" w:cs="Times New Roman"/>
          <w:color w:val="000000" w:themeColor="text1"/>
          <w:lang w:eastAsia="en-AU"/>
        </w:rPr>
        <w:t xml:space="preserve"> morphological ultrasound </w:t>
      </w:r>
      <w:r>
        <w:rPr>
          <w:rFonts w:eastAsia="Times New Roman" w:cs="Times New Roman"/>
          <w:color w:val="000000" w:themeColor="text1"/>
          <w:lang w:eastAsia="en-AU"/>
        </w:rPr>
        <w:t xml:space="preserve">is provided </w:t>
      </w:r>
      <w:r w:rsidRPr="008E9321">
        <w:rPr>
          <w:rFonts w:eastAsia="Times New Roman" w:cs="Times New Roman"/>
          <w:color w:val="000000" w:themeColor="text1"/>
          <w:lang w:eastAsia="en-AU"/>
        </w:rPr>
        <w:t>(</w:t>
      </w:r>
      <w:r>
        <w:rPr>
          <w:rFonts w:eastAsia="Times New Roman" w:cs="Times New Roman"/>
          <w:color w:val="000000" w:themeColor="text1"/>
          <w:lang w:eastAsia="en-AU"/>
        </w:rPr>
        <w:t xml:space="preserve">under </w:t>
      </w:r>
      <w:r w:rsidRPr="008E9321">
        <w:rPr>
          <w:rFonts w:eastAsia="Times New Roman" w:cs="Times New Roman"/>
          <w:color w:val="000000" w:themeColor="text1"/>
          <w:lang w:eastAsia="en-AU"/>
        </w:rPr>
        <w:t xml:space="preserve">both referred and non-referred </w:t>
      </w:r>
      <w:r>
        <w:rPr>
          <w:rFonts w:eastAsia="Times New Roman" w:cs="Times New Roman"/>
          <w:color w:val="000000" w:themeColor="text1"/>
          <w:lang w:eastAsia="en-AU"/>
        </w:rPr>
        <w:t xml:space="preserve">MBS </w:t>
      </w:r>
      <w:r w:rsidRPr="008E9321">
        <w:rPr>
          <w:rFonts w:eastAsia="Times New Roman" w:cs="Times New Roman"/>
          <w:color w:val="000000" w:themeColor="text1"/>
          <w:lang w:eastAsia="en-AU"/>
        </w:rPr>
        <w:t>items)</w:t>
      </w:r>
      <w:r w:rsidRPr="00EA0CF4">
        <w:rPr>
          <w:rFonts w:eastAsia="Times New Roman" w:cs="Times New Roman"/>
          <w:color w:val="000000"/>
          <w:szCs w:val="20"/>
          <w:lang w:eastAsia="en-AU"/>
        </w:rPr>
        <w:t xml:space="preserve">. </w:t>
      </w:r>
    </w:p>
    <w:p w14:paraId="29CF8495"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ESC noted that the ADAR used a linked evidence approach</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ESC noted the commentary’s analysis that the linked evidence provided for changes in the steps of the primary care pathway had the following issues: imbalances in baseline characteristics favouring one arm of the study; no assessment of VCTE as a second-line test following a FIB-4 result; and the evidence supporting  VCTE’s role in reducing unnecessary specialist referrals was a single arm study only. The linked evidence for change in management in the specialist care setting was based on reducing the number of liver biopsies, however the commentary noted that the evidence provided did not match the 8 kPa single threshold proposed by the ADAR. ESC further noted that </w:t>
      </w:r>
      <w:r w:rsidRPr="00EA0CF4">
        <w:rPr>
          <w:rFonts w:eastAsia="Times New Roman" w:cs="Times New Roman"/>
          <w:color w:val="000000"/>
          <w:szCs w:val="20"/>
          <w:lang w:eastAsia="en-AU"/>
        </w:rPr>
        <w:t xml:space="preserve">no evidence </w:t>
      </w:r>
      <w:r>
        <w:rPr>
          <w:rFonts w:eastAsia="Times New Roman" w:cs="Times New Roman"/>
          <w:color w:val="000000"/>
          <w:szCs w:val="20"/>
          <w:lang w:eastAsia="en-AU"/>
        </w:rPr>
        <w:t>was</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provided</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to support the claim that use of VCTE results in a </w:t>
      </w:r>
      <w:r w:rsidRPr="00EA0CF4">
        <w:rPr>
          <w:rFonts w:eastAsia="Times New Roman" w:cs="Times New Roman"/>
          <w:color w:val="000000"/>
          <w:szCs w:val="20"/>
          <w:lang w:eastAsia="en-AU"/>
        </w:rPr>
        <w:t xml:space="preserve">change in </w:t>
      </w:r>
      <w:r>
        <w:rPr>
          <w:rFonts w:eastAsia="Times New Roman" w:cs="Times New Roman"/>
          <w:color w:val="000000"/>
          <w:szCs w:val="20"/>
          <w:lang w:eastAsia="en-AU"/>
        </w:rPr>
        <w:t>treatment decisions</w:t>
      </w:r>
      <w:r w:rsidRPr="00EA0CF4">
        <w:rPr>
          <w:rFonts w:eastAsia="Times New Roman" w:cs="Times New Roman"/>
          <w:color w:val="000000"/>
          <w:szCs w:val="20"/>
          <w:lang w:eastAsia="en-AU"/>
        </w:rPr>
        <w:t xml:space="preserve"> or health outcomes</w:t>
      </w:r>
      <w:r>
        <w:rPr>
          <w:rFonts w:eastAsia="Times New Roman" w:cs="Times New Roman"/>
          <w:color w:val="000000"/>
          <w:szCs w:val="20"/>
          <w:lang w:eastAsia="en-AU"/>
        </w:rPr>
        <w:t>, apart from changes in referral pathway</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ESC acknowledged that the commentary noted that i</w:t>
      </w:r>
      <w:r w:rsidRPr="00394FDB">
        <w:rPr>
          <w:rFonts w:eastAsia="Times New Roman" w:cs="Times New Roman"/>
          <w:color w:val="000000"/>
          <w:szCs w:val="20"/>
          <w:lang w:eastAsia="en-AU"/>
        </w:rPr>
        <w:t>n contrast to the ADAR, the current GESA MAFLD consensus statement does not designate VCTE as the only standard second-line test following initial blood-based assessments (e.g. FIB-4)</w:t>
      </w:r>
      <w:r>
        <w:rPr>
          <w:rFonts w:eastAsia="Times New Roman" w:cs="Times New Roman"/>
          <w:color w:val="000000"/>
          <w:szCs w:val="20"/>
          <w:lang w:eastAsia="en-AU"/>
        </w:rPr>
        <w:t xml:space="preserve"> and i</w:t>
      </w:r>
      <w:r w:rsidRPr="00394FDB">
        <w:rPr>
          <w:rFonts w:eastAsia="Times New Roman" w:cs="Times New Roman"/>
          <w:color w:val="000000"/>
          <w:szCs w:val="20"/>
          <w:lang w:eastAsia="en-AU"/>
        </w:rPr>
        <w:t>nstead recommends different liver elastography methods (such as VCTE or SWE) or direct serum fibrosis tests (such as Hepascore or ELF) as suitable second-line options for indeterminate FIB-4 results</w:t>
      </w:r>
      <w:r>
        <w:rPr>
          <w:rFonts w:eastAsia="Times New Roman" w:cs="Times New Roman"/>
          <w:color w:val="000000"/>
          <w:szCs w:val="20"/>
          <w:lang w:eastAsia="en-AU"/>
        </w:rPr>
        <w:t xml:space="preserve">. ESC noted </w:t>
      </w:r>
      <w:r w:rsidRPr="00EA0CF4">
        <w:rPr>
          <w:rFonts w:eastAsia="Times New Roman" w:cs="Times New Roman"/>
          <w:color w:val="000000"/>
          <w:szCs w:val="20"/>
          <w:lang w:eastAsia="en-AU"/>
        </w:rPr>
        <w:t xml:space="preserve">that the </w:t>
      </w:r>
      <w:r>
        <w:rPr>
          <w:rFonts w:eastAsia="Times New Roman" w:cs="Times New Roman"/>
          <w:color w:val="000000"/>
          <w:szCs w:val="20"/>
          <w:lang w:eastAsia="en-AU"/>
        </w:rPr>
        <w:t>PASC-ratified</w:t>
      </w:r>
      <w:r w:rsidRPr="00EA0CF4">
        <w:rPr>
          <w:rFonts w:eastAsia="Times New Roman" w:cs="Times New Roman"/>
          <w:color w:val="000000"/>
          <w:szCs w:val="20"/>
          <w:lang w:eastAsia="en-AU"/>
        </w:rPr>
        <w:t xml:space="preserve"> PICO included several health outcomes for change in patient management, </w:t>
      </w:r>
      <w:r>
        <w:rPr>
          <w:rFonts w:eastAsia="Times New Roman" w:cs="Times New Roman"/>
          <w:color w:val="000000"/>
          <w:szCs w:val="20"/>
          <w:lang w:eastAsia="en-AU"/>
        </w:rPr>
        <w:t>however most of these were excluded from the ADAR.</w:t>
      </w:r>
      <w:r w:rsidRPr="00EA0CF4">
        <w:rPr>
          <w:rFonts w:eastAsia="Times New Roman" w:cs="Times New Roman"/>
          <w:color w:val="000000"/>
          <w:szCs w:val="20"/>
          <w:lang w:eastAsia="en-AU"/>
        </w:rPr>
        <w:t xml:space="preserve"> </w:t>
      </w:r>
      <w:r>
        <w:t>ESC also noted that</w:t>
      </w:r>
      <w:r w:rsidRPr="007F24E2">
        <w:t xml:space="preserve"> the option of continued management without further testing was omitted without explanation</w:t>
      </w:r>
      <w:r>
        <w:t xml:space="preserve">. </w:t>
      </w:r>
      <w:r w:rsidRPr="00EA0CF4">
        <w:rPr>
          <w:rFonts w:eastAsia="Times New Roman" w:cs="Times New Roman"/>
          <w:color w:val="000000"/>
          <w:szCs w:val="20"/>
          <w:lang w:eastAsia="en-AU"/>
        </w:rPr>
        <w:t xml:space="preserve">ESC considered that MSAC may accept </w:t>
      </w:r>
      <w:r>
        <w:rPr>
          <w:rFonts w:eastAsia="Times New Roman" w:cs="Times New Roman"/>
          <w:color w:val="000000"/>
          <w:szCs w:val="20"/>
          <w:lang w:eastAsia="en-AU"/>
        </w:rPr>
        <w:t xml:space="preserve">that </w:t>
      </w:r>
      <w:r w:rsidRPr="00EA0CF4">
        <w:rPr>
          <w:rFonts w:eastAsia="Times New Roman" w:cs="Times New Roman"/>
          <w:color w:val="000000"/>
          <w:szCs w:val="20"/>
          <w:lang w:eastAsia="en-AU"/>
        </w:rPr>
        <w:t xml:space="preserve">a reduction in liver clinic referrals </w:t>
      </w:r>
      <w:r>
        <w:rPr>
          <w:rFonts w:eastAsia="Times New Roman" w:cs="Times New Roman"/>
          <w:color w:val="000000"/>
          <w:szCs w:val="20"/>
          <w:lang w:eastAsia="en-AU"/>
        </w:rPr>
        <w:t>i</w:t>
      </w:r>
      <w:r w:rsidRPr="00EA0CF4">
        <w:rPr>
          <w:rFonts w:eastAsia="Times New Roman" w:cs="Times New Roman"/>
          <w:color w:val="000000"/>
          <w:szCs w:val="20"/>
          <w:lang w:eastAsia="en-AU"/>
        </w:rPr>
        <w:t xml:space="preserve">s beneficial, but </w:t>
      </w:r>
      <w:r>
        <w:rPr>
          <w:rFonts w:eastAsia="Times New Roman" w:cs="Times New Roman"/>
          <w:color w:val="000000"/>
          <w:szCs w:val="20"/>
          <w:lang w:eastAsia="en-AU"/>
        </w:rPr>
        <w:t>that this alone</w:t>
      </w:r>
      <w:r w:rsidRPr="00EA0CF4">
        <w:rPr>
          <w:rFonts w:eastAsia="Times New Roman" w:cs="Times New Roman"/>
          <w:color w:val="000000"/>
          <w:szCs w:val="20"/>
          <w:lang w:eastAsia="en-AU"/>
        </w:rPr>
        <w:t xml:space="preserve"> is inadequate evidence of improvement in health outcomes. ESC noted that it is not the tests themselves that generate health outcomes, but rather the subsequent choice of clinical management. </w:t>
      </w:r>
      <w:r>
        <w:rPr>
          <w:rFonts w:eastAsia="Times New Roman" w:cs="Times New Roman"/>
          <w:color w:val="000000"/>
          <w:szCs w:val="20"/>
          <w:lang w:eastAsia="en-AU"/>
        </w:rPr>
        <w:t>ESC also noted that</w:t>
      </w:r>
      <w:r w:rsidRPr="00EA0CF4">
        <w:rPr>
          <w:rFonts w:eastAsia="Times New Roman" w:cs="Times New Roman"/>
          <w:color w:val="000000"/>
          <w:szCs w:val="20"/>
          <w:lang w:eastAsia="en-AU"/>
        </w:rPr>
        <w:t xml:space="preserve"> there </w:t>
      </w:r>
      <w:r>
        <w:rPr>
          <w:rFonts w:eastAsia="Times New Roman" w:cs="Times New Roman"/>
          <w:color w:val="000000"/>
          <w:szCs w:val="20"/>
          <w:lang w:eastAsia="en-AU"/>
        </w:rPr>
        <w:t>were</w:t>
      </w:r>
      <w:r w:rsidRPr="00EA0CF4">
        <w:rPr>
          <w:rFonts w:eastAsia="Times New Roman" w:cs="Times New Roman"/>
          <w:color w:val="000000"/>
          <w:szCs w:val="20"/>
          <w:lang w:eastAsia="en-AU"/>
        </w:rPr>
        <w:t xml:space="preserve"> no comparative data available</w:t>
      </w:r>
      <w:r>
        <w:rPr>
          <w:rFonts w:eastAsia="Times New Roman" w:cs="Times New Roman"/>
          <w:color w:val="000000"/>
          <w:szCs w:val="20"/>
          <w:lang w:eastAsia="en-AU"/>
        </w:rPr>
        <w:t xml:space="preserve"> for any stage of the linked evidence approach</w:t>
      </w:r>
      <w:r w:rsidRPr="00EA0CF4">
        <w:rPr>
          <w:rFonts w:eastAsia="Times New Roman" w:cs="Times New Roman"/>
          <w:color w:val="000000"/>
          <w:szCs w:val="20"/>
          <w:lang w:eastAsia="en-AU"/>
        </w:rPr>
        <w:t>.</w:t>
      </w:r>
    </w:p>
    <w:p w14:paraId="191E07BF"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noted that no comparative data </w:t>
      </w:r>
      <w:r>
        <w:rPr>
          <w:rFonts w:eastAsia="Times New Roman" w:cs="Times New Roman"/>
          <w:color w:val="000000"/>
          <w:szCs w:val="20"/>
          <w:lang w:eastAsia="en-AU"/>
        </w:rPr>
        <w:t>were</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provided</w:t>
      </w:r>
      <w:r w:rsidRPr="00EA0CF4">
        <w:rPr>
          <w:rFonts w:eastAsia="Times New Roman" w:cs="Times New Roman"/>
          <w:color w:val="000000"/>
          <w:szCs w:val="20"/>
          <w:lang w:eastAsia="en-AU"/>
        </w:rPr>
        <w:t xml:space="preserve"> to evaluate safety</w:t>
      </w:r>
      <w:r>
        <w:rPr>
          <w:rFonts w:eastAsia="Times New Roman" w:cs="Times New Roman"/>
          <w:color w:val="000000"/>
          <w:szCs w:val="20"/>
          <w:lang w:eastAsia="en-AU"/>
        </w:rPr>
        <w:t>: however</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it</w:t>
      </w:r>
      <w:r w:rsidRPr="00EA0CF4">
        <w:rPr>
          <w:rFonts w:eastAsia="Times New Roman" w:cs="Times New Roman"/>
          <w:color w:val="000000"/>
          <w:szCs w:val="20"/>
          <w:lang w:eastAsia="en-AU"/>
        </w:rPr>
        <w:t xml:space="preserve"> considered that procedure-related safety concerns are</w:t>
      </w:r>
      <w:r>
        <w:rPr>
          <w:rFonts w:eastAsia="Times New Roman" w:cs="Times New Roman"/>
          <w:color w:val="000000"/>
          <w:szCs w:val="20"/>
          <w:lang w:eastAsia="en-AU"/>
        </w:rPr>
        <w:t xml:space="preserve"> minimal</w:t>
      </w:r>
      <w:r w:rsidRPr="00EA0CF4">
        <w:rPr>
          <w:rFonts w:eastAsia="Times New Roman" w:cs="Times New Roman"/>
          <w:color w:val="000000"/>
          <w:szCs w:val="20"/>
          <w:lang w:eastAsia="en-AU"/>
        </w:rPr>
        <w:t xml:space="preserve">, as VCTE </w:t>
      </w:r>
      <w:r>
        <w:rPr>
          <w:rFonts w:eastAsia="Times New Roman" w:cs="Times New Roman"/>
          <w:color w:val="000000"/>
          <w:szCs w:val="20"/>
          <w:lang w:eastAsia="en-AU"/>
        </w:rPr>
        <w:t>uses</w:t>
      </w:r>
      <w:r w:rsidRPr="00EA0CF4">
        <w:rPr>
          <w:rFonts w:eastAsia="Times New Roman" w:cs="Times New Roman"/>
          <w:color w:val="000000"/>
          <w:szCs w:val="20"/>
          <w:lang w:eastAsia="en-AU"/>
        </w:rPr>
        <w:t xml:space="preserve"> a non-invasive technique. However, ESC considered that test-related safety </w:t>
      </w:r>
      <w:r>
        <w:rPr>
          <w:rFonts w:eastAsia="Times New Roman" w:cs="Times New Roman"/>
          <w:color w:val="000000"/>
          <w:szCs w:val="20"/>
          <w:lang w:eastAsia="en-AU"/>
        </w:rPr>
        <w:t xml:space="preserve">issues </w:t>
      </w:r>
      <w:r w:rsidRPr="00EA0CF4">
        <w:rPr>
          <w:rFonts w:eastAsia="Times New Roman" w:cs="Times New Roman"/>
          <w:color w:val="000000"/>
          <w:szCs w:val="20"/>
          <w:lang w:eastAsia="en-AU"/>
        </w:rPr>
        <w:t>due to misclassification had not been addressed in the ADAR, such as undertreatment</w:t>
      </w:r>
      <w:r>
        <w:rPr>
          <w:rFonts w:eastAsia="Times New Roman" w:cs="Times New Roman"/>
          <w:color w:val="000000"/>
          <w:szCs w:val="20"/>
          <w:lang w:eastAsia="en-AU"/>
        </w:rPr>
        <w:t xml:space="preserve"> for patients with false-negative results, or </w:t>
      </w:r>
      <w:r w:rsidRPr="00EA0CF4">
        <w:rPr>
          <w:rFonts w:eastAsia="Times New Roman" w:cs="Times New Roman"/>
          <w:color w:val="000000"/>
          <w:szCs w:val="20"/>
          <w:lang w:eastAsia="en-AU"/>
        </w:rPr>
        <w:t xml:space="preserve">overtreatment </w:t>
      </w:r>
      <w:r>
        <w:rPr>
          <w:rFonts w:eastAsia="Times New Roman" w:cs="Times New Roman"/>
          <w:color w:val="000000"/>
          <w:szCs w:val="20"/>
          <w:lang w:eastAsia="en-AU"/>
        </w:rPr>
        <w:t>or referral for</w:t>
      </w:r>
      <w:r w:rsidRPr="00EA0CF4">
        <w:rPr>
          <w:rFonts w:eastAsia="Times New Roman" w:cs="Times New Roman"/>
          <w:color w:val="000000"/>
          <w:szCs w:val="20"/>
          <w:lang w:eastAsia="en-AU"/>
        </w:rPr>
        <w:t xml:space="preserve"> unnecessary liver biops</w:t>
      </w:r>
      <w:r>
        <w:rPr>
          <w:rFonts w:eastAsia="Times New Roman" w:cs="Times New Roman"/>
          <w:color w:val="000000"/>
          <w:szCs w:val="20"/>
          <w:lang w:eastAsia="en-AU"/>
        </w:rPr>
        <w:t>ies for patients with false-positive results</w:t>
      </w:r>
      <w:r w:rsidRPr="00EA0CF4">
        <w:rPr>
          <w:rFonts w:eastAsia="Times New Roman" w:cs="Times New Roman"/>
          <w:color w:val="000000"/>
          <w:szCs w:val="20"/>
          <w:lang w:eastAsia="en-AU"/>
        </w:rPr>
        <w:t xml:space="preserve">. </w:t>
      </w:r>
    </w:p>
    <w:p w14:paraId="301BE608" w14:textId="77777777" w:rsidR="0018750D" w:rsidRPr="00EA0CF4" w:rsidRDefault="0018750D" w:rsidP="0018750D">
      <w:pPr>
        <w:keepNext/>
        <w:spacing w:before="0" w:after="12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reviewed the diagnostic performance of VCTE. </w:t>
      </w:r>
      <w:r>
        <w:rPr>
          <w:rFonts w:eastAsia="Times New Roman" w:cs="Times New Roman"/>
          <w:color w:val="000000"/>
          <w:szCs w:val="20"/>
          <w:lang w:eastAsia="en-AU"/>
        </w:rPr>
        <w:t>ESC noted that the ADAR</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presented a</w:t>
      </w:r>
      <w:r w:rsidRPr="00EA0CF4">
        <w:rPr>
          <w:rFonts w:eastAsia="Times New Roman" w:cs="Times New Roman"/>
          <w:color w:val="000000"/>
          <w:szCs w:val="20"/>
          <w:lang w:eastAsia="en-AU"/>
        </w:rPr>
        <w:t xml:space="preserve"> meta-analysis (Mozes </w:t>
      </w:r>
      <w:r>
        <w:rPr>
          <w:rFonts w:eastAsia="Times New Roman" w:cs="Times New Roman"/>
          <w:color w:val="000000"/>
          <w:szCs w:val="20"/>
          <w:lang w:eastAsia="en-AU"/>
        </w:rPr>
        <w:t xml:space="preserve">et al. </w:t>
      </w:r>
      <w:r w:rsidRPr="00EA0CF4">
        <w:rPr>
          <w:rFonts w:eastAsia="Times New Roman" w:cs="Times New Roman"/>
          <w:color w:val="000000"/>
          <w:szCs w:val="20"/>
          <w:lang w:eastAsia="en-AU"/>
        </w:rPr>
        <w:t>2022)</w:t>
      </w:r>
      <w:r>
        <w:rPr>
          <w:rStyle w:val="FootnoteReference"/>
          <w:rFonts w:eastAsia="Times New Roman" w:cs="Times New Roman"/>
          <w:color w:val="000000"/>
          <w:szCs w:val="20"/>
          <w:lang w:eastAsia="en-AU"/>
        </w:rPr>
        <w:footnoteReference w:id="2"/>
      </w:r>
      <w:r w:rsidRPr="00EA0CF4">
        <w:rPr>
          <w:rFonts w:eastAsia="Times New Roman" w:cs="Times New Roman"/>
          <w:color w:val="000000"/>
          <w:szCs w:val="20"/>
          <w:lang w:eastAsia="en-AU"/>
        </w:rPr>
        <w:t xml:space="preserve"> of cross-sectional studies comparing FIB-4 and VCTE with a reference standard of liver biopsy</w:t>
      </w:r>
      <w:r>
        <w:rPr>
          <w:rFonts w:eastAsia="Times New Roman" w:cs="Times New Roman"/>
          <w:color w:val="000000"/>
          <w:szCs w:val="20"/>
          <w:lang w:eastAsia="en-AU"/>
        </w:rPr>
        <w:t>. The meta-analysis</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found that the</w:t>
      </w:r>
      <w:r w:rsidRPr="00EA0CF4">
        <w:rPr>
          <w:rFonts w:eastAsia="Times New Roman" w:cs="Times New Roman"/>
          <w:color w:val="000000"/>
          <w:szCs w:val="20"/>
          <w:lang w:eastAsia="en-AU"/>
        </w:rPr>
        <w:t xml:space="preserve"> diagnostic performance of FIB-4 and VCTE </w:t>
      </w:r>
      <w:r>
        <w:rPr>
          <w:rFonts w:eastAsia="Times New Roman" w:cs="Times New Roman"/>
          <w:color w:val="000000"/>
          <w:szCs w:val="20"/>
          <w:lang w:eastAsia="en-AU"/>
        </w:rPr>
        <w:t>was acceptable</w:t>
      </w:r>
      <w:r w:rsidRPr="00EA0CF4">
        <w:rPr>
          <w:rFonts w:eastAsia="Times New Roman" w:cs="Times New Roman"/>
          <w:color w:val="000000"/>
          <w:szCs w:val="20"/>
          <w:lang w:eastAsia="en-AU"/>
        </w:rPr>
        <w:t xml:space="preserve"> in </w:t>
      </w:r>
      <w:r>
        <w:rPr>
          <w:rFonts w:eastAsia="Times New Roman" w:cs="Times New Roman"/>
          <w:color w:val="000000"/>
          <w:szCs w:val="20"/>
          <w:lang w:eastAsia="en-AU"/>
        </w:rPr>
        <w:t xml:space="preserve">terms of the </w:t>
      </w:r>
      <w:r w:rsidRPr="00EA0CF4">
        <w:rPr>
          <w:rFonts w:eastAsia="Times New Roman" w:cs="Times New Roman"/>
          <w:color w:val="000000"/>
          <w:szCs w:val="20"/>
          <w:lang w:eastAsia="en-AU"/>
        </w:rPr>
        <w:t>detecti</w:t>
      </w:r>
      <w:r>
        <w:rPr>
          <w:rFonts w:eastAsia="Times New Roman" w:cs="Times New Roman"/>
          <w:color w:val="000000"/>
          <w:szCs w:val="20"/>
          <w:lang w:eastAsia="en-AU"/>
        </w:rPr>
        <w:t>on of</w:t>
      </w:r>
      <w:r w:rsidRPr="00EA0CF4">
        <w:rPr>
          <w:rFonts w:eastAsia="Times New Roman" w:cs="Times New Roman"/>
          <w:color w:val="000000"/>
          <w:szCs w:val="20"/>
          <w:lang w:eastAsia="en-AU"/>
        </w:rPr>
        <w:t xml:space="preserve"> advanced fibrosis. </w:t>
      </w:r>
      <w:r>
        <w:rPr>
          <w:rFonts w:eastAsia="Times New Roman" w:cs="Times New Roman"/>
          <w:color w:val="000000"/>
          <w:szCs w:val="20"/>
          <w:lang w:eastAsia="en-AU"/>
        </w:rPr>
        <w:t>Mozes et al. (2022)</w:t>
      </w:r>
      <w:r w:rsidRPr="00EA0CF4">
        <w:rPr>
          <w:rFonts w:eastAsia="Times New Roman" w:cs="Times New Roman"/>
          <w:color w:val="000000"/>
          <w:szCs w:val="20"/>
          <w:lang w:eastAsia="en-AU"/>
        </w:rPr>
        <w:t xml:space="preserve"> also presented modelled data on </w:t>
      </w:r>
      <w:r>
        <w:rPr>
          <w:rFonts w:eastAsia="Times New Roman" w:cs="Times New Roman"/>
          <w:color w:val="000000"/>
          <w:szCs w:val="20"/>
          <w:lang w:eastAsia="en-AU"/>
        </w:rPr>
        <w:t>the sequential use of</w:t>
      </w:r>
      <w:r w:rsidRPr="00EA0CF4">
        <w:rPr>
          <w:rFonts w:eastAsia="Times New Roman" w:cs="Times New Roman"/>
          <w:color w:val="000000"/>
          <w:szCs w:val="20"/>
          <w:lang w:eastAsia="en-AU"/>
        </w:rPr>
        <w:t xml:space="preserve"> FIB-4 followed by VCTE</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to determine if </w:t>
      </w:r>
      <w:r>
        <w:rPr>
          <w:rFonts w:eastAsia="Times New Roman" w:cs="Times New Roman"/>
          <w:color w:val="000000"/>
          <w:szCs w:val="20"/>
          <w:lang w:eastAsia="en-AU"/>
        </w:rPr>
        <w:t>this testing strategy</w:t>
      </w:r>
      <w:r w:rsidRPr="00EA0CF4">
        <w:rPr>
          <w:rFonts w:eastAsia="Times New Roman" w:cs="Times New Roman"/>
          <w:color w:val="000000"/>
          <w:szCs w:val="20"/>
          <w:lang w:eastAsia="en-AU"/>
        </w:rPr>
        <w:t xml:space="preserve"> was sufficiently accurate (</w:t>
      </w:r>
      <w:r>
        <w:rPr>
          <w:rFonts w:eastAsia="Times New Roman" w:cs="Times New Roman"/>
          <w:color w:val="000000"/>
          <w:szCs w:val="20"/>
          <w:lang w:eastAsia="en-AU"/>
        </w:rPr>
        <w:t>compared to</w:t>
      </w:r>
      <w:r w:rsidRPr="00EA0CF4">
        <w:rPr>
          <w:rFonts w:eastAsia="Times New Roman" w:cs="Times New Roman"/>
          <w:color w:val="000000"/>
          <w:szCs w:val="20"/>
          <w:lang w:eastAsia="en-AU"/>
        </w:rPr>
        <w:t xml:space="preserve"> liver biopsy) </w:t>
      </w:r>
      <w:r>
        <w:rPr>
          <w:rFonts w:eastAsia="Times New Roman" w:cs="Times New Roman"/>
          <w:color w:val="000000"/>
          <w:szCs w:val="20"/>
          <w:lang w:eastAsia="en-AU"/>
        </w:rPr>
        <w:t>and could lead to the avoidance of liver biopsy in some patients.</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ESC noted that</w:t>
      </w:r>
      <w:r w:rsidRPr="00EA0CF4">
        <w:rPr>
          <w:rFonts w:eastAsia="Times New Roman" w:cs="Times New Roman"/>
          <w:color w:val="000000"/>
          <w:szCs w:val="20"/>
          <w:lang w:eastAsia="en-AU"/>
        </w:rPr>
        <w:t xml:space="preserve"> it showed that the sequential use (modelled data only) may reduce </w:t>
      </w:r>
      <w:r>
        <w:rPr>
          <w:rFonts w:eastAsia="Times New Roman" w:cs="Times New Roman"/>
          <w:color w:val="000000"/>
          <w:szCs w:val="20"/>
          <w:lang w:eastAsia="en-AU"/>
        </w:rPr>
        <w:t xml:space="preserve">the </w:t>
      </w:r>
      <w:r w:rsidRPr="00EA0CF4">
        <w:rPr>
          <w:rFonts w:eastAsia="Times New Roman" w:cs="Times New Roman"/>
          <w:color w:val="000000"/>
          <w:szCs w:val="20"/>
          <w:lang w:eastAsia="en-AU"/>
        </w:rPr>
        <w:t xml:space="preserve">need for </w:t>
      </w:r>
      <w:r>
        <w:rPr>
          <w:rFonts w:eastAsia="Times New Roman" w:cs="Times New Roman"/>
          <w:color w:val="000000"/>
          <w:szCs w:val="20"/>
          <w:lang w:eastAsia="en-AU"/>
        </w:rPr>
        <w:t xml:space="preserve">liver </w:t>
      </w:r>
      <w:r w:rsidRPr="00EA0CF4">
        <w:rPr>
          <w:rFonts w:eastAsia="Times New Roman" w:cs="Times New Roman"/>
          <w:color w:val="000000"/>
          <w:szCs w:val="20"/>
          <w:lang w:eastAsia="en-AU"/>
        </w:rPr>
        <w:t xml:space="preserve">biopsy. However, ESC </w:t>
      </w:r>
      <w:r>
        <w:rPr>
          <w:rFonts w:eastAsia="Times New Roman" w:cs="Times New Roman"/>
          <w:color w:val="000000"/>
          <w:szCs w:val="20"/>
          <w:lang w:eastAsia="en-AU"/>
        </w:rPr>
        <w:t>noted</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the following issues raised by the commentary regarding </w:t>
      </w:r>
      <w:r w:rsidRPr="00EA0CF4">
        <w:rPr>
          <w:rFonts w:eastAsia="Times New Roman" w:cs="Times New Roman"/>
          <w:color w:val="000000"/>
          <w:szCs w:val="20"/>
          <w:lang w:eastAsia="en-AU"/>
        </w:rPr>
        <w:t xml:space="preserve">the </w:t>
      </w:r>
      <w:r>
        <w:rPr>
          <w:rFonts w:eastAsia="Times New Roman" w:cs="Times New Roman"/>
          <w:color w:val="000000"/>
          <w:szCs w:val="20"/>
          <w:lang w:eastAsia="en-AU"/>
        </w:rPr>
        <w:t>evidence</w:t>
      </w:r>
      <w:r w:rsidRPr="00EA0CF4">
        <w:rPr>
          <w:rFonts w:eastAsia="Times New Roman" w:cs="Times New Roman"/>
          <w:color w:val="000000"/>
          <w:szCs w:val="20"/>
          <w:lang w:eastAsia="en-AU"/>
        </w:rPr>
        <w:t>:</w:t>
      </w:r>
    </w:p>
    <w:p w14:paraId="39548ADC" w14:textId="77777777" w:rsidR="0018750D" w:rsidRPr="00C37BF3" w:rsidRDefault="0018750D" w:rsidP="0018750D">
      <w:pPr>
        <w:pStyle w:val="ListParagraph"/>
        <w:numPr>
          <w:ilvl w:val="0"/>
          <w:numId w:val="25"/>
        </w:numPr>
        <w:tabs>
          <w:tab w:val="num" w:pos="567"/>
        </w:tabs>
        <w:spacing w:before="0" w:after="120" w:line="240" w:lineRule="auto"/>
        <w:ind w:left="567" w:hanging="567"/>
        <w:contextualSpacing w:val="0"/>
        <w:rPr>
          <w:rFonts w:eastAsia="Times New Roman" w:cs="Times New Roman"/>
          <w:color w:val="000000"/>
          <w:szCs w:val="20"/>
          <w:lang w:eastAsia="en-AU"/>
        </w:rPr>
      </w:pPr>
      <w:r w:rsidRPr="00C37BF3">
        <w:rPr>
          <w:rFonts w:eastAsia="Times New Roman" w:cs="Times New Roman"/>
          <w:color w:val="000000"/>
          <w:szCs w:val="20"/>
          <w:lang w:eastAsia="en-AU"/>
        </w:rPr>
        <w:t xml:space="preserve">Different </w:t>
      </w:r>
      <w:r>
        <w:rPr>
          <w:rFonts w:eastAsia="Times New Roman" w:cs="Times New Roman"/>
          <w:color w:val="000000"/>
          <w:szCs w:val="20"/>
          <w:lang w:eastAsia="en-AU"/>
        </w:rPr>
        <w:t>LSM</w:t>
      </w:r>
      <w:r w:rsidRPr="00C37BF3">
        <w:rPr>
          <w:rFonts w:eastAsia="Times New Roman" w:cs="Times New Roman"/>
          <w:color w:val="000000"/>
          <w:szCs w:val="20"/>
          <w:lang w:eastAsia="en-AU"/>
        </w:rPr>
        <w:t xml:space="preserve"> thresholds were used </w:t>
      </w:r>
      <w:r>
        <w:rPr>
          <w:rFonts w:eastAsia="Times New Roman" w:cs="Times New Roman"/>
          <w:color w:val="000000"/>
          <w:szCs w:val="20"/>
          <w:lang w:eastAsia="en-AU"/>
        </w:rPr>
        <w:t>compared to the ADAR</w:t>
      </w:r>
      <w:r w:rsidRPr="00C37BF3">
        <w:rPr>
          <w:rFonts w:eastAsia="Times New Roman" w:cs="Times New Roman"/>
          <w:color w:val="000000"/>
          <w:szCs w:val="20"/>
          <w:lang w:eastAsia="en-AU"/>
        </w:rPr>
        <w:t xml:space="preserve"> and were dual, not single – for example, FIB-4 (&lt;1.3, ≥2.67) or VCTE (&lt;8 kPa, ≥10 kPa) and for VCTE (≥10 kPa, ≥20 kPa or ≥28 kPa). The ADAR used a single cut-off of 8 kPa.</w:t>
      </w:r>
    </w:p>
    <w:p w14:paraId="7B5FFE79" w14:textId="77777777" w:rsidR="0018750D" w:rsidRPr="00C37BF3" w:rsidRDefault="0018750D" w:rsidP="0018750D">
      <w:pPr>
        <w:pStyle w:val="ListParagraph"/>
        <w:numPr>
          <w:ilvl w:val="0"/>
          <w:numId w:val="25"/>
        </w:numPr>
        <w:tabs>
          <w:tab w:val="num" w:pos="567"/>
        </w:tabs>
        <w:spacing w:before="0" w:after="120" w:line="240" w:lineRule="auto"/>
        <w:ind w:left="567" w:hanging="567"/>
        <w:contextualSpacing w:val="0"/>
        <w:rPr>
          <w:rFonts w:eastAsia="Times New Roman" w:cs="Times New Roman"/>
          <w:color w:val="000000"/>
          <w:szCs w:val="20"/>
          <w:lang w:eastAsia="en-AU"/>
        </w:rPr>
      </w:pPr>
      <w:r w:rsidRPr="00C37BF3">
        <w:rPr>
          <w:rFonts w:eastAsia="Times New Roman" w:cs="Times New Roman"/>
          <w:color w:val="000000"/>
          <w:szCs w:val="20"/>
          <w:lang w:eastAsia="en-AU"/>
        </w:rPr>
        <w:t>Patient demographics that affect accuracy were not reported, such as age, obesity and T2DM status.</w:t>
      </w:r>
    </w:p>
    <w:p w14:paraId="2CB25F05" w14:textId="77777777" w:rsidR="0018750D" w:rsidRPr="00EA0CF4" w:rsidRDefault="0018750D" w:rsidP="0018750D">
      <w:pPr>
        <w:pStyle w:val="ListParagraph"/>
        <w:numPr>
          <w:ilvl w:val="0"/>
          <w:numId w:val="25"/>
        </w:numPr>
        <w:tabs>
          <w:tab w:val="num" w:pos="567"/>
        </w:tabs>
        <w:spacing w:before="0" w:after="120" w:line="240" w:lineRule="auto"/>
        <w:ind w:left="567" w:hanging="567"/>
        <w:contextualSpacing w:val="0"/>
        <w:rPr>
          <w:rFonts w:eastAsia="Times New Roman" w:cs="Times New Roman"/>
          <w:color w:val="000000"/>
          <w:szCs w:val="20"/>
          <w:lang w:eastAsia="en-AU"/>
        </w:rPr>
      </w:pPr>
      <w:r w:rsidRPr="00EA0CF4">
        <w:rPr>
          <w:rFonts w:eastAsia="Times New Roman" w:cs="Times New Roman"/>
          <w:color w:val="000000"/>
          <w:szCs w:val="20"/>
          <w:lang w:eastAsia="en-AU"/>
        </w:rPr>
        <w:t xml:space="preserve">Sequential use results were modelled and </w:t>
      </w:r>
      <w:r>
        <w:rPr>
          <w:rFonts w:eastAsia="Times New Roman" w:cs="Times New Roman"/>
          <w:color w:val="000000"/>
          <w:szCs w:val="20"/>
          <w:lang w:eastAsia="en-AU"/>
        </w:rPr>
        <w:t>did not represent</w:t>
      </w:r>
      <w:r w:rsidRPr="00EA0CF4">
        <w:rPr>
          <w:rFonts w:eastAsia="Times New Roman" w:cs="Times New Roman"/>
          <w:color w:val="000000"/>
          <w:szCs w:val="20"/>
          <w:lang w:eastAsia="en-AU"/>
        </w:rPr>
        <w:t xml:space="preserve"> real-world empirical data.</w:t>
      </w:r>
    </w:p>
    <w:p w14:paraId="51F40E6B" w14:textId="77777777" w:rsidR="0018750D" w:rsidRDefault="0018750D" w:rsidP="0018750D">
      <w:pPr>
        <w:pStyle w:val="ListParagraph"/>
        <w:numPr>
          <w:ilvl w:val="0"/>
          <w:numId w:val="25"/>
        </w:numPr>
        <w:tabs>
          <w:tab w:val="num" w:pos="567"/>
        </w:tabs>
        <w:spacing w:before="0" w:after="120" w:line="240" w:lineRule="auto"/>
        <w:ind w:left="567" w:hanging="567"/>
        <w:rPr>
          <w:rFonts w:eastAsia="Times New Roman" w:cs="Times New Roman"/>
          <w:color w:val="000000"/>
          <w:szCs w:val="20"/>
          <w:lang w:eastAsia="en-AU"/>
        </w:rPr>
      </w:pPr>
      <w:r w:rsidRPr="00EA0CF4">
        <w:rPr>
          <w:rFonts w:eastAsia="Times New Roman" w:cs="Times New Roman"/>
          <w:color w:val="000000"/>
          <w:szCs w:val="20"/>
          <w:lang w:eastAsia="en-AU"/>
        </w:rPr>
        <w:t>There were some methodological concerns – 36/37 studies had high risk of bias</w:t>
      </w:r>
      <w:r>
        <w:rPr>
          <w:rFonts w:eastAsia="Times New Roman" w:cs="Times New Roman"/>
          <w:color w:val="000000"/>
          <w:szCs w:val="20"/>
          <w:lang w:eastAsia="en-AU"/>
        </w:rPr>
        <w:t xml:space="preserve">, as </w:t>
      </w:r>
    </w:p>
    <w:p w14:paraId="1ADA0347" w14:textId="77777777" w:rsidR="0018750D" w:rsidRPr="00EA0CF4" w:rsidRDefault="0018750D" w:rsidP="0018750D">
      <w:pPr>
        <w:pStyle w:val="ListParagraph"/>
        <w:spacing w:before="0" w:after="120" w:line="240" w:lineRule="auto"/>
        <w:ind w:left="567"/>
        <w:rPr>
          <w:rFonts w:eastAsia="Times New Roman" w:cs="Times New Roman"/>
          <w:color w:val="000000"/>
          <w:szCs w:val="20"/>
          <w:lang w:eastAsia="en-AU"/>
        </w:rPr>
      </w:pPr>
      <w:r>
        <w:rPr>
          <w:rFonts w:eastAsia="Times New Roman" w:cs="Times New Roman"/>
          <w:color w:val="000000"/>
          <w:szCs w:val="20"/>
          <w:lang w:eastAsia="en-AU"/>
        </w:rPr>
        <w:lastRenderedPageBreak/>
        <w:t>assessed by the commentary</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due to issues </w:t>
      </w:r>
      <w:r w:rsidRPr="00EA0CF4">
        <w:rPr>
          <w:rFonts w:eastAsia="Times New Roman" w:cs="Times New Roman"/>
          <w:color w:val="000000"/>
          <w:szCs w:val="20"/>
          <w:lang w:eastAsia="en-AU"/>
        </w:rPr>
        <w:t>such as selection bias and pairwise deletion.</w:t>
      </w:r>
    </w:p>
    <w:p w14:paraId="38BC7D8E"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In addition, ESC </w:t>
      </w:r>
      <w:r>
        <w:rPr>
          <w:rFonts w:eastAsia="Times New Roman" w:cs="Times New Roman"/>
          <w:color w:val="000000"/>
          <w:szCs w:val="20"/>
          <w:lang w:eastAsia="en-AU"/>
        </w:rPr>
        <w:t>noted</w:t>
      </w:r>
      <w:r w:rsidRPr="00EA0CF4">
        <w:rPr>
          <w:rFonts w:eastAsia="Times New Roman" w:cs="Times New Roman"/>
          <w:color w:val="000000"/>
          <w:szCs w:val="20"/>
          <w:lang w:eastAsia="en-AU"/>
        </w:rPr>
        <w:t xml:space="preserve"> that the diagnostic accuracy was only applicable to the specialist setting (population 2), and 30% of this population had advanced fibrosis and 11% had cirrhosis. The misclassification rate was also high, which ESC considered w</w:t>
      </w:r>
      <w:r>
        <w:rPr>
          <w:rFonts w:eastAsia="Times New Roman" w:cs="Times New Roman"/>
          <w:color w:val="000000"/>
          <w:szCs w:val="20"/>
          <w:lang w:eastAsia="en-AU"/>
        </w:rPr>
        <w:t>ould</w:t>
      </w:r>
      <w:r w:rsidRPr="00EA0CF4">
        <w:rPr>
          <w:rFonts w:eastAsia="Times New Roman" w:cs="Times New Roman"/>
          <w:color w:val="000000"/>
          <w:szCs w:val="20"/>
          <w:lang w:eastAsia="en-AU"/>
        </w:rPr>
        <w:t xml:space="preserve"> mostly be </w:t>
      </w:r>
      <w:r>
        <w:rPr>
          <w:rFonts w:eastAsia="Times New Roman" w:cs="Times New Roman"/>
          <w:color w:val="000000"/>
          <w:szCs w:val="20"/>
          <w:lang w:eastAsia="en-AU"/>
        </w:rPr>
        <w:t xml:space="preserve">due to </w:t>
      </w:r>
      <w:r w:rsidRPr="00EA0CF4">
        <w:rPr>
          <w:rFonts w:eastAsia="Times New Roman" w:cs="Times New Roman"/>
          <w:color w:val="000000"/>
          <w:szCs w:val="20"/>
          <w:lang w:eastAsia="en-AU"/>
        </w:rPr>
        <w:t>false</w:t>
      </w:r>
      <w:r>
        <w:rPr>
          <w:rFonts w:eastAsia="Times New Roman" w:cs="Times New Roman"/>
          <w:color w:val="000000"/>
          <w:szCs w:val="20"/>
          <w:lang w:eastAsia="en-AU"/>
        </w:rPr>
        <w:t>-</w:t>
      </w:r>
      <w:r w:rsidRPr="00EA0CF4">
        <w:rPr>
          <w:rFonts w:eastAsia="Times New Roman" w:cs="Times New Roman"/>
          <w:color w:val="000000"/>
          <w:szCs w:val="20"/>
          <w:lang w:eastAsia="en-AU"/>
        </w:rPr>
        <w:t>positive</w:t>
      </w:r>
      <w:r>
        <w:rPr>
          <w:rFonts w:eastAsia="Times New Roman" w:cs="Times New Roman"/>
          <w:color w:val="000000"/>
          <w:szCs w:val="20"/>
          <w:lang w:eastAsia="en-AU"/>
        </w:rPr>
        <w:t xml:space="preserve"> results. This means</w:t>
      </w:r>
      <w:r w:rsidRPr="00EA0CF4">
        <w:rPr>
          <w:rFonts w:eastAsia="Times New Roman" w:cs="Times New Roman"/>
          <w:color w:val="000000"/>
          <w:szCs w:val="20"/>
          <w:lang w:eastAsia="en-AU"/>
        </w:rPr>
        <w:t xml:space="preserve"> that some patients will be negatively affected by VCTE and undergo unnecessary further management, which will increase costs</w:t>
      </w:r>
      <w:r>
        <w:rPr>
          <w:rFonts w:eastAsia="Times New Roman" w:cs="Times New Roman"/>
          <w:color w:val="000000"/>
          <w:szCs w:val="20"/>
          <w:lang w:eastAsia="en-AU"/>
        </w:rPr>
        <w:t xml:space="preserve"> and unnecessarily expose patients to the adverse effects of further treatment and investigation</w:t>
      </w:r>
      <w:r w:rsidRPr="00EA0CF4">
        <w:rPr>
          <w:rFonts w:eastAsia="Times New Roman" w:cs="Times New Roman"/>
          <w:color w:val="000000"/>
          <w:szCs w:val="20"/>
          <w:lang w:eastAsia="en-AU"/>
        </w:rPr>
        <w:t>.</w:t>
      </w:r>
      <w:r>
        <w:rPr>
          <w:rFonts w:eastAsia="Times New Roman" w:cs="Times New Roman"/>
          <w:color w:val="000000"/>
          <w:szCs w:val="20"/>
          <w:lang w:eastAsia="en-AU"/>
        </w:rPr>
        <w:t xml:space="preserve"> </w:t>
      </w:r>
      <w:r w:rsidRPr="003E1F99">
        <w:rPr>
          <w:rFonts w:eastAsia="Times New Roman" w:cs="Times New Roman"/>
          <w:color w:val="000000"/>
          <w:szCs w:val="20"/>
          <w:lang w:eastAsia="en-AU"/>
        </w:rPr>
        <w:t xml:space="preserve">ESC </w:t>
      </w:r>
      <w:r>
        <w:rPr>
          <w:rFonts w:eastAsia="Times New Roman" w:cs="Times New Roman"/>
          <w:color w:val="000000"/>
          <w:szCs w:val="20"/>
          <w:lang w:eastAsia="en-AU"/>
        </w:rPr>
        <w:t>acknowledged</w:t>
      </w:r>
      <w:r w:rsidRPr="003E1F99">
        <w:rPr>
          <w:rFonts w:eastAsia="Times New Roman" w:cs="Times New Roman"/>
          <w:color w:val="000000"/>
          <w:szCs w:val="20"/>
          <w:lang w:eastAsia="en-AU"/>
        </w:rPr>
        <w:t xml:space="preserve"> that </w:t>
      </w:r>
      <w:r>
        <w:rPr>
          <w:rFonts w:eastAsia="Times New Roman" w:cs="Times New Roman"/>
          <w:color w:val="000000"/>
          <w:szCs w:val="20"/>
          <w:lang w:eastAsia="en-AU"/>
        </w:rPr>
        <w:t>the specificity of FIB-4 reduces with increasing age, as noted by the GESA Australian consensus recommendations for the assessment of MAFLD.</w:t>
      </w:r>
      <w:r>
        <w:rPr>
          <w:rStyle w:val="FootnoteReference"/>
          <w:rFonts w:eastAsia="Times New Roman" w:cs="Times New Roman"/>
          <w:color w:val="000000"/>
          <w:szCs w:val="20"/>
          <w:lang w:eastAsia="en-AU"/>
        </w:rPr>
        <w:footnoteReference w:id="3"/>
      </w:r>
      <w:r>
        <w:rPr>
          <w:rFonts w:eastAsia="Times New Roman" w:cs="Times New Roman"/>
          <w:color w:val="000000"/>
          <w:szCs w:val="20"/>
          <w:lang w:eastAsia="en-AU"/>
        </w:rPr>
        <w:t xml:space="preserve"> Therefore, ESC noted that </w:t>
      </w:r>
      <w:r w:rsidRPr="003E1F99">
        <w:rPr>
          <w:rFonts w:eastAsia="Times New Roman" w:cs="Times New Roman"/>
          <w:color w:val="000000"/>
          <w:szCs w:val="20"/>
          <w:lang w:eastAsia="en-AU"/>
        </w:rPr>
        <w:t>the</w:t>
      </w:r>
      <w:r>
        <w:rPr>
          <w:rFonts w:eastAsia="Times New Roman" w:cs="Times New Roman"/>
          <w:color w:val="000000"/>
          <w:szCs w:val="20"/>
          <w:lang w:eastAsia="en-AU"/>
        </w:rPr>
        <w:t xml:space="preserve"> </w:t>
      </w:r>
      <w:r w:rsidRPr="003E1F99">
        <w:rPr>
          <w:rFonts w:eastAsia="Times New Roman" w:cs="Times New Roman"/>
          <w:color w:val="000000"/>
          <w:szCs w:val="20"/>
          <w:lang w:eastAsia="en-AU"/>
        </w:rPr>
        <w:t xml:space="preserve">diagnostic accuracy of the proposed </w:t>
      </w:r>
      <w:r>
        <w:rPr>
          <w:rFonts w:eastAsia="Times New Roman" w:cs="Times New Roman"/>
          <w:color w:val="000000"/>
          <w:szCs w:val="20"/>
          <w:lang w:eastAsia="en-AU"/>
        </w:rPr>
        <w:t>FIB-4 threshold</w:t>
      </w:r>
      <w:r w:rsidRPr="003E1F99">
        <w:rPr>
          <w:rFonts w:eastAsia="Times New Roman" w:cs="Times New Roman"/>
          <w:color w:val="000000"/>
          <w:szCs w:val="20"/>
          <w:lang w:eastAsia="en-AU"/>
        </w:rPr>
        <w:t xml:space="preserve"> of 1.3</w:t>
      </w:r>
      <w:r>
        <w:rPr>
          <w:rFonts w:eastAsia="Times New Roman" w:cs="Times New Roman"/>
          <w:color w:val="000000"/>
          <w:szCs w:val="20"/>
          <w:lang w:eastAsia="en-AU"/>
        </w:rPr>
        <w:t xml:space="preserve"> was low</w:t>
      </w:r>
      <w:r w:rsidRPr="003E1F99">
        <w:rPr>
          <w:rFonts w:eastAsia="Times New Roman" w:cs="Times New Roman"/>
          <w:color w:val="000000"/>
          <w:szCs w:val="20"/>
          <w:lang w:eastAsia="en-AU"/>
        </w:rPr>
        <w:t xml:space="preserve"> in older populations over 65 years (specificity 35%) compared to a threshold of 2.0</w:t>
      </w:r>
      <w:r>
        <w:rPr>
          <w:rFonts w:eastAsia="Times New Roman" w:cs="Times New Roman"/>
          <w:color w:val="000000"/>
          <w:szCs w:val="20"/>
          <w:lang w:eastAsia="en-AU"/>
        </w:rPr>
        <w:t xml:space="preserve"> (specificity increases to 70%), as proposed by Mcpherson et al. (2017)</w:t>
      </w:r>
      <w:r>
        <w:rPr>
          <w:rStyle w:val="FootnoteReference"/>
          <w:rFonts w:eastAsia="Times New Roman" w:cs="Times New Roman"/>
          <w:color w:val="000000"/>
          <w:szCs w:val="20"/>
          <w:lang w:eastAsia="en-AU"/>
        </w:rPr>
        <w:footnoteReference w:id="4"/>
      </w:r>
      <w:r>
        <w:rPr>
          <w:rFonts w:eastAsia="Times New Roman" w:cs="Times New Roman"/>
          <w:color w:val="000000"/>
          <w:szCs w:val="20"/>
          <w:lang w:eastAsia="en-AU"/>
        </w:rPr>
        <w:t>.ESC considered that it would be informative to capture the impact of this additional age-based cutoff (increasing the lower FIB-4 threshold for the indeterminate range from 1.3 to 2.0 for people aged 65 years and over) in the economic and financial modelling</w:t>
      </w:r>
      <w:r w:rsidRPr="00EA0CF4">
        <w:rPr>
          <w:rFonts w:eastAsia="Times New Roman" w:cs="Times New Roman"/>
          <w:color w:val="000000"/>
          <w:szCs w:val="20"/>
          <w:lang w:eastAsia="en-AU"/>
        </w:rPr>
        <w:t xml:space="preserve">. ESC noted that the sequential </w:t>
      </w:r>
      <w:r>
        <w:rPr>
          <w:rFonts w:eastAsia="Times New Roman" w:cs="Times New Roman"/>
          <w:color w:val="000000"/>
          <w:szCs w:val="20"/>
          <w:lang w:eastAsia="en-AU"/>
        </w:rPr>
        <w:t>testing</w:t>
      </w:r>
      <w:r w:rsidRPr="00EA0CF4">
        <w:rPr>
          <w:rFonts w:eastAsia="Times New Roman" w:cs="Times New Roman"/>
          <w:color w:val="000000"/>
          <w:szCs w:val="20"/>
          <w:lang w:eastAsia="en-AU"/>
        </w:rPr>
        <w:t xml:space="preserve"> strategy had a PPV of 66% and a negative predictive value (NPV) of 86% in </w:t>
      </w:r>
      <w:r>
        <w:rPr>
          <w:rFonts w:eastAsia="Times New Roman" w:cs="Times New Roman"/>
          <w:color w:val="000000"/>
          <w:szCs w:val="20"/>
          <w:lang w:eastAsia="en-AU"/>
        </w:rPr>
        <w:t>a population assumed to have</w:t>
      </w:r>
      <w:r w:rsidRPr="00EA0CF4">
        <w:rPr>
          <w:rFonts w:eastAsia="Times New Roman" w:cs="Times New Roman"/>
          <w:color w:val="000000"/>
          <w:szCs w:val="20"/>
          <w:lang w:eastAsia="en-AU"/>
        </w:rPr>
        <w:t xml:space="preserve"> 30% prevalence</w:t>
      </w:r>
      <w:r>
        <w:rPr>
          <w:rFonts w:eastAsia="Times New Roman" w:cs="Times New Roman"/>
          <w:color w:val="000000"/>
          <w:szCs w:val="20"/>
          <w:lang w:eastAsia="en-AU"/>
        </w:rPr>
        <w:t xml:space="preserve"> of AF</w:t>
      </w:r>
      <w:r w:rsidRPr="00EA0CF4">
        <w:rPr>
          <w:rFonts w:eastAsia="Times New Roman" w:cs="Times New Roman"/>
          <w:color w:val="000000"/>
          <w:szCs w:val="20"/>
          <w:lang w:eastAsia="en-AU"/>
        </w:rPr>
        <w:t xml:space="preserve">. ESC considered that the ADAR should </w:t>
      </w:r>
      <w:r>
        <w:rPr>
          <w:rFonts w:eastAsia="Times New Roman" w:cs="Times New Roman"/>
          <w:color w:val="000000"/>
          <w:szCs w:val="20"/>
          <w:lang w:eastAsia="en-AU"/>
        </w:rPr>
        <w:t xml:space="preserve">have </w:t>
      </w:r>
      <w:r w:rsidRPr="00EA0CF4">
        <w:rPr>
          <w:rFonts w:eastAsia="Times New Roman" w:cs="Times New Roman"/>
          <w:color w:val="000000"/>
          <w:szCs w:val="20"/>
          <w:lang w:eastAsia="en-AU"/>
        </w:rPr>
        <w:t>explore</w:t>
      </w:r>
      <w:r>
        <w:rPr>
          <w:rFonts w:eastAsia="Times New Roman" w:cs="Times New Roman"/>
          <w:color w:val="000000"/>
          <w:szCs w:val="20"/>
          <w:lang w:eastAsia="en-AU"/>
        </w:rPr>
        <w:t>d</w:t>
      </w:r>
      <w:r w:rsidRPr="00EA0CF4">
        <w:rPr>
          <w:rFonts w:eastAsia="Times New Roman" w:cs="Times New Roman"/>
          <w:color w:val="000000"/>
          <w:szCs w:val="20"/>
          <w:lang w:eastAsia="en-AU"/>
        </w:rPr>
        <w:t xml:space="preserve"> the diagnostic accuracy evidence for the primary care setting or in populations with low </w:t>
      </w:r>
      <w:r>
        <w:rPr>
          <w:rFonts w:eastAsia="Times New Roman" w:cs="Times New Roman"/>
          <w:color w:val="000000"/>
          <w:szCs w:val="20"/>
          <w:lang w:eastAsia="en-AU"/>
        </w:rPr>
        <w:t>prevalence</w:t>
      </w:r>
      <w:r w:rsidRPr="00EA0CF4">
        <w:rPr>
          <w:rFonts w:eastAsia="Times New Roman" w:cs="Times New Roman"/>
          <w:color w:val="000000"/>
          <w:szCs w:val="20"/>
          <w:lang w:eastAsia="en-AU"/>
        </w:rPr>
        <w:t xml:space="preserve"> of </w:t>
      </w:r>
      <w:r>
        <w:rPr>
          <w:rFonts w:eastAsia="Times New Roman" w:cs="Times New Roman"/>
          <w:color w:val="000000"/>
          <w:szCs w:val="20"/>
          <w:lang w:eastAsia="en-AU"/>
        </w:rPr>
        <w:t>AF</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e.g. </w:t>
      </w:r>
      <w:r w:rsidRPr="00EA0CF4">
        <w:rPr>
          <w:rFonts w:eastAsia="Times New Roman" w:cs="Times New Roman"/>
          <w:color w:val="000000"/>
          <w:szCs w:val="20"/>
          <w:lang w:eastAsia="en-AU"/>
        </w:rPr>
        <w:t>5%</w:t>
      </w:r>
      <w:r>
        <w:rPr>
          <w:rFonts w:eastAsia="Times New Roman" w:cs="Times New Roman"/>
          <w:color w:val="000000"/>
          <w:szCs w:val="20"/>
          <w:lang w:eastAsia="en-AU"/>
        </w:rPr>
        <w:t>, as the ADAR noted the prevalence of AF in general practice is 5-10%</w:t>
      </w:r>
      <w:r w:rsidRPr="00EA0CF4">
        <w:rPr>
          <w:rFonts w:eastAsia="Times New Roman" w:cs="Times New Roman"/>
          <w:color w:val="000000"/>
          <w:szCs w:val="20"/>
          <w:lang w:eastAsia="en-AU"/>
        </w:rPr>
        <w:t>), as well as the effect of misclassification when modelling outcomes.</w:t>
      </w:r>
    </w:p>
    <w:p w14:paraId="3229845B"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w:t>
      </w:r>
      <w:r>
        <w:rPr>
          <w:rFonts w:eastAsia="Times New Roman" w:cs="Times New Roman"/>
          <w:color w:val="000000"/>
          <w:szCs w:val="20"/>
          <w:lang w:eastAsia="en-AU"/>
        </w:rPr>
        <w:t>noted</w:t>
      </w:r>
      <w:r w:rsidRPr="00EA0CF4">
        <w:rPr>
          <w:rFonts w:eastAsia="Times New Roman" w:cs="Times New Roman"/>
          <w:color w:val="000000"/>
          <w:szCs w:val="20"/>
          <w:lang w:eastAsia="en-AU"/>
        </w:rPr>
        <w:t xml:space="preserve"> the prognostic performance of VCTE</w:t>
      </w:r>
      <w:r>
        <w:rPr>
          <w:rFonts w:eastAsia="Times New Roman" w:cs="Times New Roman"/>
          <w:color w:val="000000"/>
          <w:szCs w:val="20"/>
          <w:lang w:eastAsia="en-AU"/>
        </w:rPr>
        <w:t xml:space="preserve"> presented by the ADAR and commentary</w:t>
      </w:r>
      <w:r w:rsidRPr="00EA0CF4">
        <w:rPr>
          <w:rFonts w:eastAsia="Times New Roman" w:cs="Times New Roman"/>
          <w:color w:val="000000"/>
          <w:szCs w:val="20"/>
          <w:lang w:eastAsia="en-AU"/>
        </w:rPr>
        <w:t xml:space="preserve">. A meta-analysis (Mozes </w:t>
      </w:r>
      <w:r>
        <w:rPr>
          <w:rFonts w:eastAsia="Times New Roman" w:cs="Times New Roman"/>
          <w:color w:val="000000"/>
          <w:szCs w:val="20"/>
          <w:lang w:eastAsia="en-AU"/>
        </w:rPr>
        <w:t xml:space="preserve">et al. </w:t>
      </w:r>
      <w:r w:rsidRPr="00EA0CF4">
        <w:rPr>
          <w:rFonts w:eastAsia="Times New Roman" w:cs="Times New Roman"/>
          <w:color w:val="000000"/>
          <w:szCs w:val="20"/>
          <w:lang w:eastAsia="en-AU"/>
        </w:rPr>
        <w:t>2023)</w:t>
      </w:r>
      <w:r>
        <w:rPr>
          <w:rStyle w:val="FootnoteReference"/>
          <w:rFonts w:eastAsia="Times New Roman" w:cs="Times New Roman"/>
          <w:color w:val="000000"/>
          <w:szCs w:val="20"/>
          <w:lang w:eastAsia="en-AU"/>
        </w:rPr>
        <w:footnoteReference w:id="5"/>
      </w:r>
      <w:r w:rsidRPr="00EA0CF4">
        <w:rPr>
          <w:rFonts w:eastAsia="Times New Roman" w:cs="Times New Roman"/>
          <w:color w:val="000000"/>
          <w:szCs w:val="20"/>
          <w:lang w:eastAsia="en-AU"/>
        </w:rPr>
        <w:t xml:space="preserve"> assessed the prognostic performance of VCTE only with </w:t>
      </w:r>
      <w:r>
        <w:rPr>
          <w:rFonts w:eastAsia="Times New Roman" w:cs="Times New Roman"/>
          <w:color w:val="000000"/>
          <w:szCs w:val="20"/>
          <w:lang w:eastAsia="en-AU"/>
        </w:rPr>
        <w:t xml:space="preserve">regards to </w:t>
      </w:r>
      <w:r w:rsidRPr="00EA0CF4">
        <w:rPr>
          <w:rFonts w:eastAsia="Times New Roman" w:cs="Times New Roman"/>
          <w:color w:val="000000"/>
          <w:szCs w:val="20"/>
          <w:lang w:eastAsia="en-AU"/>
        </w:rPr>
        <w:t>liver-related outcomes</w:t>
      </w:r>
      <w:r>
        <w:rPr>
          <w:rFonts w:eastAsia="Times New Roman" w:cs="Times New Roman"/>
          <w:color w:val="000000"/>
          <w:szCs w:val="20"/>
          <w:lang w:eastAsia="en-AU"/>
        </w:rPr>
        <w:t xml:space="preserve"> and to </w:t>
      </w:r>
      <w:r w:rsidRPr="00EA0CF4">
        <w:rPr>
          <w:rFonts w:eastAsia="Times New Roman" w:cs="Times New Roman"/>
          <w:color w:val="000000"/>
          <w:szCs w:val="20"/>
          <w:lang w:eastAsia="en-AU"/>
        </w:rPr>
        <w:t>calculat</w:t>
      </w:r>
      <w:r>
        <w:rPr>
          <w:rFonts w:eastAsia="Times New Roman" w:cs="Times New Roman"/>
          <w:color w:val="000000"/>
          <w:szCs w:val="20"/>
          <w:lang w:eastAsia="en-AU"/>
        </w:rPr>
        <w:t>e</w:t>
      </w:r>
      <w:r w:rsidRPr="00EA0CF4">
        <w:rPr>
          <w:rFonts w:eastAsia="Times New Roman" w:cs="Times New Roman"/>
          <w:color w:val="000000"/>
          <w:szCs w:val="20"/>
          <w:lang w:eastAsia="en-AU"/>
        </w:rPr>
        <w:t xml:space="preserve"> adjusted survival</w:t>
      </w:r>
      <w:r>
        <w:rPr>
          <w:rFonts w:eastAsia="Times New Roman" w:cs="Times New Roman"/>
          <w:color w:val="000000"/>
          <w:szCs w:val="20"/>
          <w:lang w:eastAsia="en-AU"/>
        </w:rPr>
        <w:t xml:space="preserve"> outcomes.</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However, Mozes et al. (2023)</w:t>
      </w:r>
      <w:r w:rsidRPr="00EA0CF4">
        <w:rPr>
          <w:rFonts w:eastAsia="Times New Roman" w:cs="Times New Roman"/>
          <w:color w:val="000000"/>
          <w:szCs w:val="20"/>
          <w:lang w:eastAsia="en-AU"/>
        </w:rPr>
        <w:t xml:space="preserve"> used </w:t>
      </w:r>
      <w:r>
        <w:rPr>
          <w:rFonts w:eastAsia="Times New Roman" w:cs="Times New Roman"/>
          <w:color w:val="000000"/>
          <w:szCs w:val="20"/>
          <w:lang w:eastAsia="en-AU"/>
        </w:rPr>
        <w:t xml:space="preserve">dual thresholds with </w:t>
      </w:r>
      <w:r w:rsidRPr="00EA0CF4">
        <w:rPr>
          <w:rFonts w:eastAsia="Times New Roman" w:cs="Times New Roman"/>
          <w:color w:val="000000"/>
          <w:szCs w:val="20"/>
          <w:lang w:eastAsia="en-AU"/>
        </w:rPr>
        <w:t xml:space="preserve">rule-out (&lt;10 kPa) and rule-in (&gt;20 kPa) thresholds </w:t>
      </w:r>
      <w:r>
        <w:rPr>
          <w:rFonts w:eastAsia="Times New Roman" w:cs="Times New Roman"/>
          <w:color w:val="000000"/>
          <w:szCs w:val="20"/>
          <w:lang w:eastAsia="en-AU"/>
        </w:rPr>
        <w:t xml:space="preserve">opposed to </w:t>
      </w:r>
      <w:r w:rsidRPr="00EA0CF4">
        <w:rPr>
          <w:rFonts w:eastAsia="Times New Roman" w:cs="Times New Roman"/>
          <w:color w:val="000000"/>
          <w:szCs w:val="20"/>
          <w:lang w:eastAsia="en-AU"/>
        </w:rPr>
        <w:t>the ADAR</w:t>
      </w:r>
      <w:r>
        <w:rPr>
          <w:rFonts w:eastAsia="Times New Roman" w:cs="Times New Roman"/>
          <w:color w:val="000000"/>
          <w:szCs w:val="20"/>
          <w:lang w:eastAsia="en-AU"/>
        </w:rPr>
        <w:t>’s</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single rule-in/rule-out threshold of </w:t>
      </w:r>
      <w:r w:rsidRPr="00EA0CF4">
        <w:rPr>
          <w:rFonts w:eastAsia="Times New Roman" w:cs="Times New Roman"/>
          <w:color w:val="000000"/>
          <w:szCs w:val="20"/>
          <w:lang w:eastAsia="en-AU"/>
        </w:rPr>
        <w:t xml:space="preserve">&lt;8 kPa. </w:t>
      </w:r>
      <w:r>
        <w:rPr>
          <w:rFonts w:eastAsia="Times New Roman" w:cs="Times New Roman"/>
          <w:color w:val="000000"/>
          <w:szCs w:val="20"/>
          <w:lang w:eastAsia="en-AU"/>
        </w:rPr>
        <w:t>ESC noted that in the</w:t>
      </w:r>
      <w:r w:rsidRPr="00EA0CF4">
        <w:rPr>
          <w:rFonts w:eastAsia="Times New Roman" w:cs="Times New Roman"/>
          <w:color w:val="000000"/>
          <w:szCs w:val="20"/>
          <w:lang w:eastAsia="en-AU"/>
        </w:rPr>
        <w:t xml:space="preserve"> tertiary population</w:t>
      </w:r>
      <w:r>
        <w:rPr>
          <w:rFonts w:eastAsia="Times New Roman" w:cs="Times New Roman"/>
          <w:color w:val="000000"/>
          <w:szCs w:val="20"/>
          <w:lang w:eastAsia="en-AU"/>
        </w:rPr>
        <w:t>s presented in Mozes et al. (2023)</w:t>
      </w:r>
      <w:r w:rsidRPr="00EA0CF4">
        <w:rPr>
          <w:rFonts w:eastAsia="Times New Roman" w:cs="Times New Roman"/>
          <w:color w:val="000000"/>
          <w:szCs w:val="20"/>
          <w:lang w:eastAsia="en-AU"/>
        </w:rPr>
        <w:t xml:space="preserve">, there was limited evidence for </w:t>
      </w:r>
      <w:r>
        <w:rPr>
          <w:rFonts w:eastAsia="Times New Roman" w:cs="Times New Roman"/>
          <w:color w:val="000000"/>
          <w:szCs w:val="20"/>
          <w:lang w:eastAsia="en-AU"/>
        </w:rPr>
        <w:t xml:space="preserve">the </w:t>
      </w:r>
      <w:r w:rsidRPr="00EA0CF4">
        <w:rPr>
          <w:rFonts w:eastAsia="Times New Roman" w:cs="Times New Roman"/>
          <w:color w:val="000000"/>
          <w:szCs w:val="20"/>
          <w:lang w:eastAsia="en-AU"/>
        </w:rPr>
        <w:t xml:space="preserve">prognostic ability of a single, baseline VCTE in a highly selected population. However, </w:t>
      </w:r>
      <w:r>
        <w:rPr>
          <w:rFonts w:eastAsia="Times New Roman" w:cs="Times New Roman"/>
          <w:color w:val="000000"/>
          <w:szCs w:val="20"/>
          <w:lang w:eastAsia="en-AU"/>
        </w:rPr>
        <w:t>ESC noted MSAC’s advice in previous applications (such as 1366 and 1446, discussed above) that evidence from tertiary settings is not necessarily applicable to primary care. ESC further noted that</w:t>
      </w:r>
      <w:r w:rsidRPr="00EA0CF4">
        <w:rPr>
          <w:rFonts w:eastAsia="Times New Roman" w:cs="Times New Roman"/>
          <w:color w:val="000000"/>
          <w:szCs w:val="20"/>
          <w:lang w:eastAsia="en-AU"/>
        </w:rPr>
        <w:t xml:space="preserve"> Mozes </w:t>
      </w:r>
      <w:r>
        <w:rPr>
          <w:rFonts w:eastAsia="Times New Roman" w:cs="Times New Roman"/>
          <w:color w:val="000000"/>
          <w:szCs w:val="20"/>
          <w:lang w:eastAsia="en-AU"/>
        </w:rPr>
        <w:t>et al. (</w:t>
      </w:r>
      <w:r w:rsidRPr="00EA0CF4">
        <w:rPr>
          <w:rFonts w:eastAsia="Times New Roman" w:cs="Times New Roman"/>
          <w:color w:val="000000"/>
          <w:szCs w:val="20"/>
          <w:lang w:eastAsia="en-AU"/>
        </w:rPr>
        <w:t>2023</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d</w:t>
      </w:r>
      <w:r>
        <w:rPr>
          <w:rFonts w:eastAsia="Times New Roman" w:cs="Times New Roman"/>
          <w:color w:val="000000"/>
          <w:szCs w:val="20"/>
          <w:lang w:eastAsia="en-AU"/>
        </w:rPr>
        <w:t>id</w:t>
      </w:r>
      <w:r w:rsidRPr="00EA0CF4">
        <w:rPr>
          <w:rFonts w:eastAsia="Times New Roman" w:cs="Times New Roman"/>
          <w:color w:val="000000"/>
          <w:szCs w:val="20"/>
          <w:lang w:eastAsia="en-AU"/>
        </w:rPr>
        <w:t xml:space="preserve"> not fully align with the MSAC guidelines’ broader framework for longitudinal accuracy assessment, which also requires evaluating the test’s incremental benefit over existing clinical risk stratification tools, assessing clinical utility and demonstrating impact on management or outcomes. </w:t>
      </w:r>
      <w:r>
        <w:rPr>
          <w:rFonts w:eastAsia="Times New Roman" w:cs="Times New Roman"/>
          <w:color w:val="000000"/>
          <w:szCs w:val="20"/>
          <w:lang w:eastAsia="en-AU"/>
        </w:rPr>
        <w:t>ESC noted that t</w:t>
      </w:r>
      <w:r w:rsidRPr="00EA0CF4">
        <w:rPr>
          <w:rFonts w:eastAsia="Times New Roman" w:cs="Times New Roman"/>
          <w:color w:val="000000"/>
          <w:szCs w:val="20"/>
          <w:lang w:eastAsia="en-AU"/>
        </w:rPr>
        <w:t>he commentary identified 2 studies that were omitted in the ADAR – Leite</w:t>
      </w:r>
      <w:r>
        <w:rPr>
          <w:rFonts w:eastAsia="Times New Roman" w:cs="Times New Roman"/>
          <w:color w:val="000000"/>
          <w:szCs w:val="20"/>
          <w:lang w:eastAsia="en-AU"/>
        </w:rPr>
        <w:t xml:space="preserve"> et al.</w:t>
      </w:r>
      <w:r w:rsidRPr="00EA0CF4">
        <w:rPr>
          <w:rFonts w:eastAsia="Times New Roman" w:cs="Times New Roman"/>
          <w:color w:val="000000"/>
          <w:szCs w:val="20"/>
          <w:lang w:eastAsia="en-AU"/>
        </w:rPr>
        <w:t xml:space="preserve"> (2025)</w:t>
      </w:r>
      <w:r>
        <w:rPr>
          <w:rStyle w:val="FootnoteReference"/>
          <w:rFonts w:eastAsia="Times New Roman" w:cs="Times New Roman"/>
          <w:color w:val="000000"/>
          <w:szCs w:val="20"/>
          <w:lang w:eastAsia="en-AU"/>
        </w:rPr>
        <w:footnoteReference w:id="6"/>
      </w:r>
      <w:r w:rsidRPr="00EA0CF4">
        <w:rPr>
          <w:rFonts w:eastAsia="Times New Roman" w:cs="Times New Roman"/>
          <w:color w:val="000000"/>
          <w:szCs w:val="20"/>
          <w:lang w:eastAsia="en-AU"/>
        </w:rPr>
        <w:t xml:space="preserve"> and Gawrieh </w:t>
      </w:r>
      <w:r>
        <w:rPr>
          <w:rFonts w:eastAsia="Times New Roman" w:cs="Times New Roman"/>
          <w:color w:val="000000"/>
          <w:szCs w:val="20"/>
          <w:lang w:eastAsia="en-AU"/>
        </w:rPr>
        <w:t xml:space="preserve">et al. </w:t>
      </w:r>
      <w:r w:rsidRPr="00EA0CF4">
        <w:rPr>
          <w:rFonts w:eastAsia="Times New Roman" w:cs="Times New Roman"/>
          <w:color w:val="000000"/>
          <w:szCs w:val="20"/>
          <w:lang w:eastAsia="en-AU"/>
        </w:rPr>
        <w:t>(2024)</w:t>
      </w:r>
      <w:r>
        <w:rPr>
          <w:rStyle w:val="FootnoteReference"/>
          <w:rFonts w:eastAsia="Times New Roman" w:cs="Times New Roman"/>
          <w:color w:val="000000"/>
          <w:szCs w:val="20"/>
          <w:lang w:eastAsia="en-AU"/>
        </w:rPr>
        <w:footnoteReference w:id="7"/>
      </w:r>
      <w:r w:rsidRPr="00EA0CF4">
        <w:rPr>
          <w:rFonts w:eastAsia="Times New Roman" w:cs="Times New Roman"/>
          <w:color w:val="000000"/>
          <w:szCs w:val="20"/>
          <w:lang w:eastAsia="en-AU"/>
        </w:rPr>
        <w:t xml:space="preserve">, both prospective cohort studies – that incorporated serial VCTE measurements. </w:t>
      </w:r>
      <w:r>
        <w:rPr>
          <w:rFonts w:eastAsia="Times New Roman" w:cs="Times New Roman"/>
          <w:color w:val="000000"/>
          <w:szCs w:val="20"/>
          <w:lang w:eastAsia="en-AU"/>
        </w:rPr>
        <w:t>ESC noted that t</w:t>
      </w:r>
      <w:r w:rsidRPr="00EA0CF4">
        <w:rPr>
          <w:rFonts w:eastAsia="Times New Roman" w:cs="Times New Roman"/>
          <w:color w:val="000000"/>
          <w:szCs w:val="20"/>
          <w:lang w:eastAsia="en-AU"/>
        </w:rPr>
        <w:t xml:space="preserve">hese studies demonstrated that dynamic changes in liver stiffness were independently associated with clinical outcomes, which aligns more closely with the health technology assessment (HTA) concept of longitudinal </w:t>
      </w:r>
      <w:r w:rsidRPr="00EA0CF4">
        <w:rPr>
          <w:rFonts w:eastAsia="Times New Roman" w:cs="Times New Roman"/>
          <w:color w:val="000000"/>
          <w:szCs w:val="20"/>
          <w:lang w:eastAsia="en-AU"/>
        </w:rPr>
        <w:lastRenderedPageBreak/>
        <w:t xml:space="preserve">accuracy. However, </w:t>
      </w:r>
      <w:r>
        <w:rPr>
          <w:rFonts w:eastAsia="Times New Roman" w:cs="Times New Roman"/>
          <w:color w:val="000000"/>
          <w:szCs w:val="20"/>
          <w:lang w:eastAsia="en-AU"/>
        </w:rPr>
        <w:t>ESC noted that</w:t>
      </w:r>
      <w:r w:rsidRPr="00EA0CF4">
        <w:rPr>
          <w:rFonts w:eastAsia="Times New Roman" w:cs="Times New Roman"/>
          <w:color w:val="000000"/>
          <w:szCs w:val="20"/>
          <w:lang w:eastAsia="en-AU"/>
        </w:rPr>
        <w:t xml:space="preserve"> neither study evaluated the sequential FIB-4 to VCTE approach or validated the ADAR’s 8.0</w:t>
      </w:r>
      <w:r w:rsidRPr="00EA0CF4">
        <w:rPr>
          <w:rFonts w:ascii="Arial" w:eastAsia="Times New Roman" w:hAnsi="Arial" w:cs="Arial"/>
          <w:color w:val="000000"/>
          <w:szCs w:val="20"/>
          <w:lang w:eastAsia="en-AU"/>
        </w:rPr>
        <w:t> </w:t>
      </w:r>
      <w:r w:rsidRPr="00EA0CF4">
        <w:rPr>
          <w:rFonts w:eastAsia="Times New Roman" w:cs="Times New Roman"/>
          <w:color w:val="000000"/>
          <w:szCs w:val="20"/>
          <w:lang w:eastAsia="en-AU"/>
        </w:rPr>
        <w:t>kPa cut-off.</w:t>
      </w:r>
    </w:p>
    <w:p w14:paraId="7DC773BE"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noted the </w:t>
      </w:r>
      <w:r>
        <w:rPr>
          <w:rFonts w:eastAsia="Times New Roman" w:cs="Times New Roman"/>
          <w:color w:val="000000"/>
          <w:szCs w:val="20"/>
          <w:lang w:eastAsia="en-AU"/>
        </w:rPr>
        <w:t xml:space="preserve">ADAR’s </w:t>
      </w:r>
      <w:r w:rsidRPr="00EA0CF4">
        <w:rPr>
          <w:rFonts w:eastAsia="Times New Roman" w:cs="Times New Roman"/>
          <w:color w:val="000000"/>
          <w:szCs w:val="20"/>
          <w:lang w:eastAsia="en-AU"/>
        </w:rPr>
        <w:t xml:space="preserve">acknowledgement that a single </w:t>
      </w:r>
      <w:r>
        <w:rPr>
          <w:rFonts w:eastAsia="Times New Roman" w:cs="Times New Roman"/>
          <w:color w:val="000000"/>
          <w:szCs w:val="20"/>
          <w:lang w:eastAsia="en-AU"/>
        </w:rPr>
        <w:t xml:space="preserve">VCTE LSM </w:t>
      </w:r>
      <w:r w:rsidRPr="00EA0CF4">
        <w:rPr>
          <w:rFonts w:eastAsia="Times New Roman" w:cs="Times New Roman"/>
          <w:color w:val="000000"/>
          <w:szCs w:val="20"/>
          <w:lang w:eastAsia="en-AU"/>
        </w:rPr>
        <w:t>cut-off</w:t>
      </w:r>
      <w:r>
        <w:rPr>
          <w:rFonts w:eastAsia="Times New Roman" w:cs="Times New Roman"/>
          <w:color w:val="000000"/>
          <w:szCs w:val="20"/>
          <w:lang w:eastAsia="en-AU"/>
        </w:rPr>
        <w:t xml:space="preserve"> to determine risk of AF</w:t>
      </w:r>
      <w:r w:rsidRPr="00EA0CF4">
        <w:rPr>
          <w:rFonts w:eastAsia="Times New Roman" w:cs="Times New Roman"/>
          <w:color w:val="000000"/>
          <w:szCs w:val="20"/>
          <w:lang w:eastAsia="en-AU"/>
        </w:rPr>
        <w:t xml:space="preserve"> does not perform as well</w:t>
      </w:r>
      <w:r>
        <w:rPr>
          <w:rFonts w:eastAsia="Times New Roman" w:cs="Times New Roman"/>
          <w:color w:val="000000"/>
          <w:szCs w:val="20"/>
          <w:lang w:eastAsia="en-AU"/>
        </w:rPr>
        <w:t xml:space="preserve"> in terms of diagnostic accuracy.</w:t>
      </w:r>
      <w:r w:rsidRPr="00EA0CF4">
        <w:rPr>
          <w:rFonts w:eastAsia="Times New Roman" w:cs="Times New Roman"/>
          <w:color w:val="000000"/>
          <w:szCs w:val="20"/>
          <w:lang w:eastAsia="en-AU"/>
        </w:rPr>
        <w:t xml:space="preserve"> </w:t>
      </w:r>
      <w:r>
        <w:rPr>
          <w:rFonts w:eastAsia="Calibri" w:cs="Times New Roman"/>
        </w:rPr>
        <w:t>ESC noted that use of a single threshold was inconsistent with the clinical evidence provided, in which the large majority of studies (including Mozes et al. 2022, which was relied upon by the ADAR to inform the diagnostic accuracy of VCTE compared to liver biopsy as the reference standard) used different thresholds for rule-out and rule-in, due to the relatively poor diagnostic performance of a single threshold. For example,</w:t>
      </w:r>
      <w:r w:rsidRPr="00EA0CF4">
        <w:rPr>
          <w:rFonts w:eastAsia="Times New Roman" w:cs="Times New Roman"/>
          <w:color w:val="000000"/>
          <w:szCs w:val="20"/>
          <w:lang w:eastAsia="en-AU"/>
        </w:rPr>
        <w:t xml:space="preserve"> ESC </w:t>
      </w:r>
      <w:r>
        <w:rPr>
          <w:rFonts w:eastAsia="Times New Roman" w:cs="Times New Roman"/>
          <w:color w:val="000000"/>
          <w:szCs w:val="20"/>
          <w:lang w:eastAsia="en-AU"/>
        </w:rPr>
        <w:t>noted</w:t>
      </w:r>
      <w:r w:rsidRPr="00EA0CF4">
        <w:rPr>
          <w:rFonts w:eastAsia="Times New Roman" w:cs="Times New Roman"/>
          <w:color w:val="000000"/>
          <w:szCs w:val="20"/>
          <w:lang w:eastAsia="en-AU"/>
        </w:rPr>
        <w:t xml:space="preserve"> the commentary’s observation that </w:t>
      </w:r>
      <w:r>
        <w:rPr>
          <w:rFonts w:eastAsia="Times New Roman" w:cs="Times New Roman"/>
          <w:color w:val="000000"/>
          <w:szCs w:val="20"/>
          <w:lang w:eastAsia="en-AU"/>
        </w:rPr>
        <w:t xml:space="preserve">the </w:t>
      </w:r>
      <w:r w:rsidRPr="00EA0CF4">
        <w:rPr>
          <w:rFonts w:eastAsia="Times New Roman" w:cs="Times New Roman"/>
          <w:color w:val="000000"/>
          <w:szCs w:val="20"/>
          <w:lang w:eastAsia="en-AU"/>
        </w:rPr>
        <w:t xml:space="preserve">Mozes </w:t>
      </w:r>
      <w:r>
        <w:rPr>
          <w:rFonts w:eastAsia="Times New Roman" w:cs="Times New Roman"/>
          <w:color w:val="000000"/>
          <w:szCs w:val="20"/>
          <w:lang w:eastAsia="en-AU"/>
        </w:rPr>
        <w:t>et al. (</w:t>
      </w:r>
      <w:r w:rsidRPr="00EA0CF4">
        <w:rPr>
          <w:rFonts w:eastAsia="Times New Roman" w:cs="Times New Roman"/>
          <w:color w:val="000000"/>
          <w:szCs w:val="20"/>
          <w:lang w:eastAsia="en-AU"/>
        </w:rPr>
        <w:t>2022</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and Noorian </w:t>
      </w:r>
      <w:r>
        <w:rPr>
          <w:rFonts w:eastAsia="Times New Roman" w:cs="Times New Roman"/>
          <w:color w:val="000000"/>
          <w:szCs w:val="20"/>
          <w:lang w:eastAsia="en-AU"/>
        </w:rPr>
        <w:t>et al. (</w:t>
      </w:r>
      <w:r w:rsidRPr="00EA0CF4">
        <w:rPr>
          <w:rFonts w:eastAsia="Times New Roman" w:cs="Times New Roman"/>
          <w:color w:val="000000"/>
          <w:szCs w:val="20"/>
          <w:lang w:eastAsia="en-AU"/>
        </w:rPr>
        <w:t>2022</w:t>
      </w:r>
      <w:r>
        <w:rPr>
          <w:rFonts w:eastAsia="Times New Roman" w:cs="Times New Roman"/>
          <w:color w:val="000000"/>
          <w:szCs w:val="20"/>
          <w:lang w:eastAsia="en-AU"/>
        </w:rPr>
        <w:t>)</w:t>
      </w:r>
      <w:r>
        <w:rPr>
          <w:rStyle w:val="FootnoteReference"/>
          <w:rFonts w:eastAsia="Times New Roman" w:cs="Times New Roman"/>
          <w:color w:val="000000"/>
          <w:szCs w:val="20"/>
          <w:lang w:eastAsia="en-AU"/>
        </w:rPr>
        <w:footnoteReference w:id="8"/>
      </w:r>
      <w:r>
        <w:rPr>
          <w:rFonts w:eastAsia="Times New Roman" w:cs="Times New Roman"/>
          <w:color w:val="000000"/>
          <w:szCs w:val="20"/>
          <w:lang w:eastAsia="en-AU"/>
        </w:rPr>
        <w:t xml:space="preserve"> studies</w:t>
      </w:r>
      <w:r w:rsidRPr="00EA0CF4">
        <w:rPr>
          <w:rFonts w:eastAsia="Times New Roman" w:cs="Times New Roman"/>
          <w:color w:val="000000"/>
          <w:szCs w:val="20"/>
          <w:lang w:eastAsia="en-AU"/>
        </w:rPr>
        <w:t xml:space="preserve"> demonstrate</w:t>
      </w:r>
      <w:r>
        <w:rPr>
          <w:rFonts w:eastAsia="Times New Roman" w:cs="Times New Roman"/>
          <w:color w:val="000000"/>
          <w:szCs w:val="20"/>
          <w:lang w:eastAsia="en-AU"/>
        </w:rPr>
        <w:t>d</w:t>
      </w:r>
      <w:r w:rsidRPr="00EA0CF4">
        <w:rPr>
          <w:rFonts w:eastAsia="Times New Roman" w:cs="Times New Roman"/>
          <w:color w:val="000000"/>
          <w:szCs w:val="20"/>
          <w:lang w:eastAsia="en-AU"/>
        </w:rPr>
        <w:t xml:space="preserve"> that 2- or 3-tiered models (e.g. &lt;7.9, 7.9–9.6, ≥9.6 kPa) provide superior sensitivity and specificity</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and allow for a grey zone to manage diagnostic uncertainty, at the </w:t>
      </w:r>
      <w:r>
        <w:rPr>
          <w:rFonts w:eastAsia="Times New Roman" w:cs="Times New Roman"/>
          <w:color w:val="000000"/>
          <w:szCs w:val="20"/>
          <w:lang w:eastAsia="en-AU"/>
        </w:rPr>
        <w:t xml:space="preserve">risk </w:t>
      </w:r>
      <w:r w:rsidRPr="00EA0CF4">
        <w:rPr>
          <w:rFonts w:eastAsia="Times New Roman" w:cs="Times New Roman"/>
          <w:color w:val="000000"/>
          <w:szCs w:val="20"/>
          <w:lang w:eastAsia="en-AU"/>
        </w:rPr>
        <w:t xml:space="preserve">of having a proportion of patients being considered as having indeterminate outcomes. </w:t>
      </w:r>
      <w:r>
        <w:rPr>
          <w:rFonts w:eastAsia="Times New Roman" w:cs="Times New Roman"/>
          <w:color w:val="000000"/>
          <w:szCs w:val="20"/>
          <w:lang w:eastAsia="en-AU"/>
        </w:rPr>
        <w:t>ESC noted that, i</w:t>
      </w:r>
      <w:r w:rsidRPr="00EA0CF4">
        <w:rPr>
          <w:rFonts w:eastAsia="Times New Roman" w:cs="Times New Roman"/>
          <w:color w:val="000000"/>
          <w:szCs w:val="20"/>
          <w:lang w:eastAsia="en-AU"/>
        </w:rPr>
        <w:t xml:space="preserve">n contrast, a single cut-off at 8.0 kPa avoids having this indeterminate outcome at the </w:t>
      </w:r>
      <w:r>
        <w:rPr>
          <w:rFonts w:eastAsia="Times New Roman" w:cs="Times New Roman"/>
          <w:color w:val="000000"/>
          <w:szCs w:val="20"/>
          <w:lang w:eastAsia="en-AU"/>
        </w:rPr>
        <w:t>risk</w:t>
      </w:r>
      <w:r w:rsidRPr="00EA0CF4">
        <w:rPr>
          <w:rFonts w:eastAsia="Times New Roman" w:cs="Times New Roman"/>
          <w:color w:val="000000"/>
          <w:szCs w:val="20"/>
          <w:lang w:eastAsia="en-AU"/>
        </w:rPr>
        <w:t xml:space="preserve"> of an increased r</w:t>
      </w:r>
      <w:r>
        <w:rPr>
          <w:rFonts w:eastAsia="Times New Roman" w:cs="Times New Roman"/>
          <w:color w:val="000000"/>
          <w:szCs w:val="20"/>
          <w:lang w:eastAsia="en-AU"/>
        </w:rPr>
        <w:t>ate</w:t>
      </w:r>
      <w:r w:rsidRPr="00EA0CF4">
        <w:rPr>
          <w:rFonts w:eastAsia="Times New Roman" w:cs="Times New Roman"/>
          <w:color w:val="000000"/>
          <w:szCs w:val="20"/>
          <w:lang w:eastAsia="en-AU"/>
        </w:rPr>
        <w:t xml:space="preserve"> of misclassification. ESC also noted that</w:t>
      </w:r>
      <w:r>
        <w:rPr>
          <w:rFonts w:eastAsia="Times New Roman" w:cs="Times New Roman"/>
          <w:color w:val="000000"/>
          <w:szCs w:val="20"/>
          <w:lang w:eastAsia="en-AU"/>
        </w:rPr>
        <w:t xml:space="preserve"> both the ADAR and pre-ESC response state that the single 8.0 kPa cutoff for VCTE </w:t>
      </w:r>
      <w:r w:rsidRPr="00EA0CF4">
        <w:rPr>
          <w:rFonts w:eastAsia="Times New Roman" w:cs="Times New Roman"/>
          <w:color w:val="000000"/>
          <w:szCs w:val="20"/>
          <w:lang w:eastAsia="en-AU"/>
        </w:rPr>
        <w:t xml:space="preserve">is supported by an expert consensus guideline. </w:t>
      </w:r>
      <w:r>
        <w:rPr>
          <w:rFonts w:eastAsia="Times New Roman" w:cs="Times New Roman"/>
          <w:color w:val="000000"/>
          <w:szCs w:val="20"/>
          <w:lang w:eastAsia="en-AU"/>
        </w:rPr>
        <w:t>H</w:t>
      </w:r>
      <w:r w:rsidRPr="00EA0CF4">
        <w:rPr>
          <w:rFonts w:eastAsia="Times New Roman" w:cs="Times New Roman"/>
          <w:color w:val="000000"/>
          <w:szCs w:val="20"/>
          <w:lang w:eastAsia="en-AU"/>
        </w:rPr>
        <w:t xml:space="preserve">owever, </w:t>
      </w:r>
      <w:r>
        <w:rPr>
          <w:rFonts w:eastAsia="Times New Roman" w:cs="Times New Roman"/>
          <w:color w:val="000000"/>
          <w:szCs w:val="20"/>
          <w:lang w:eastAsia="en-AU"/>
        </w:rPr>
        <w:t>ESC considered that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supporting clinical evidence should be presented as the primary evidence source, in addition to expert opinion</w:t>
      </w:r>
      <w:r w:rsidRPr="00EA0CF4">
        <w:rPr>
          <w:rFonts w:eastAsia="Times New Roman" w:cs="Times New Roman"/>
          <w:color w:val="000000"/>
          <w:szCs w:val="20"/>
          <w:lang w:eastAsia="en-AU"/>
        </w:rPr>
        <w:t xml:space="preserve">. </w:t>
      </w:r>
      <w:r>
        <w:rPr>
          <w:rFonts w:eastAsia="Calibri" w:cs="Times New Roman"/>
        </w:rPr>
        <w:t>E</w:t>
      </w:r>
      <w:r w:rsidRPr="00932C94">
        <w:rPr>
          <w:rFonts w:eastAsia="Calibri" w:cs="Times New Roman"/>
        </w:rPr>
        <w:t xml:space="preserve">SC considered that the </w:t>
      </w:r>
      <w:r>
        <w:rPr>
          <w:rFonts w:eastAsia="Calibri" w:cs="Times New Roman"/>
        </w:rPr>
        <w:t xml:space="preserve">incremental </w:t>
      </w:r>
      <w:r w:rsidRPr="00932C94">
        <w:rPr>
          <w:rFonts w:eastAsia="Calibri" w:cs="Times New Roman"/>
        </w:rPr>
        <w:t xml:space="preserve">cost-effectiveness of using different thresholds or adopting the higher </w:t>
      </w:r>
      <w:r>
        <w:rPr>
          <w:rFonts w:eastAsia="Calibri" w:cs="Times New Roman"/>
        </w:rPr>
        <w:t xml:space="preserve">rule-in </w:t>
      </w:r>
      <w:r w:rsidRPr="00932C94">
        <w:rPr>
          <w:rFonts w:eastAsia="Calibri" w:cs="Times New Roman"/>
        </w:rPr>
        <w:t>VCTE thresholds as per the literature could be explored (</w:t>
      </w:r>
      <w:r>
        <w:rPr>
          <w:rFonts w:eastAsia="Calibri" w:cs="Times New Roman"/>
        </w:rPr>
        <w:t xml:space="preserve">e.g. </w:t>
      </w:r>
      <w:r w:rsidRPr="00932C94">
        <w:rPr>
          <w:rFonts w:eastAsia="Calibri" w:cs="Times New Roman"/>
        </w:rPr>
        <w:t xml:space="preserve">&gt;10 kPa or &gt;12 kPa), acknowledging that </w:t>
      </w:r>
      <w:r>
        <w:rPr>
          <w:rFonts w:eastAsia="Calibri" w:cs="Times New Roman"/>
        </w:rPr>
        <w:t>different thresholds would influence the proportion of</w:t>
      </w:r>
      <w:r w:rsidRPr="00932C94">
        <w:rPr>
          <w:rFonts w:eastAsia="Calibri" w:cs="Times New Roman"/>
        </w:rPr>
        <w:t xml:space="preserve"> patients </w:t>
      </w:r>
      <w:r>
        <w:rPr>
          <w:rFonts w:eastAsia="Calibri" w:cs="Times New Roman"/>
        </w:rPr>
        <w:t>who would</w:t>
      </w:r>
      <w:r w:rsidRPr="00932C94">
        <w:rPr>
          <w:rFonts w:eastAsia="Calibri" w:cs="Times New Roman"/>
        </w:rPr>
        <w:t xml:space="preserve"> be </w:t>
      </w:r>
      <w:r>
        <w:rPr>
          <w:rFonts w:eastAsia="Calibri" w:cs="Times New Roman"/>
        </w:rPr>
        <w:t>misclassified.</w:t>
      </w:r>
    </w:p>
    <w:p w14:paraId="67B0344F"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w:t>
      </w:r>
      <w:r>
        <w:rPr>
          <w:rFonts w:eastAsia="Times New Roman" w:cs="Times New Roman"/>
          <w:color w:val="000000"/>
          <w:szCs w:val="20"/>
          <w:lang w:eastAsia="en-AU"/>
        </w:rPr>
        <w:t>noted</w:t>
      </w:r>
      <w:r w:rsidRPr="00EA0CF4">
        <w:rPr>
          <w:rFonts w:eastAsia="Times New Roman" w:cs="Times New Roman"/>
          <w:color w:val="000000"/>
          <w:szCs w:val="20"/>
          <w:lang w:eastAsia="en-AU"/>
        </w:rPr>
        <w:t xml:space="preserve"> the evidence </w:t>
      </w:r>
      <w:r>
        <w:rPr>
          <w:rFonts w:eastAsia="Times New Roman" w:cs="Times New Roman"/>
          <w:color w:val="000000"/>
          <w:szCs w:val="20"/>
          <w:lang w:eastAsia="en-AU"/>
        </w:rPr>
        <w:t>presented in the ADAR and commentary regarding</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the proposed test’s impact on the </w:t>
      </w:r>
      <w:r w:rsidRPr="00EA0CF4">
        <w:rPr>
          <w:rFonts w:eastAsia="Times New Roman" w:cs="Times New Roman"/>
          <w:color w:val="000000"/>
          <w:szCs w:val="20"/>
          <w:lang w:eastAsia="en-AU"/>
        </w:rPr>
        <w:t xml:space="preserve">change in management. </w:t>
      </w:r>
      <w:r>
        <w:rPr>
          <w:rFonts w:eastAsia="Times New Roman" w:cs="Times New Roman"/>
          <w:color w:val="000000"/>
          <w:szCs w:val="20"/>
          <w:lang w:eastAsia="en-AU"/>
        </w:rPr>
        <w:t xml:space="preserve">ESC noted that </w:t>
      </w:r>
      <w:r w:rsidRPr="00EA0CF4">
        <w:rPr>
          <w:rFonts w:eastAsia="Times New Roman" w:cs="Times New Roman"/>
          <w:color w:val="000000"/>
          <w:szCs w:val="20"/>
          <w:lang w:eastAsia="en-AU"/>
        </w:rPr>
        <w:t xml:space="preserve">Tulleners </w:t>
      </w:r>
      <w:r>
        <w:rPr>
          <w:rFonts w:eastAsia="Times New Roman" w:cs="Times New Roman"/>
          <w:color w:val="000000"/>
          <w:szCs w:val="20"/>
          <w:lang w:eastAsia="en-AU"/>
        </w:rPr>
        <w:t>et al. (</w:t>
      </w:r>
      <w:r w:rsidRPr="00EA0CF4">
        <w:rPr>
          <w:rFonts w:eastAsia="Times New Roman" w:cs="Times New Roman"/>
          <w:color w:val="000000"/>
          <w:szCs w:val="20"/>
          <w:lang w:eastAsia="en-AU"/>
        </w:rPr>
        <w:t>2024</w:t>
      </w:r>
      <w:r>
        <w:rPr>
          <w:rFonts w:eastAsia="Times New Roman" w:cs="Times New Roman"/>
          <w:color w:val="000000"/>
          <w:szCs w:val="20"/>
          <w:lang w:eastAsia="en-AU"/>
        </w:rPr>
        <w:t>)</w:t>
      </w:r>
      <w:r>
        <w:rPr>
          <w:rStyle w:val="FootnoteReference"/>
          <w:rFonts w:eastAsia="Times New Roman" w:cs="Times New Roman"/>
          <w:color w:val="000000"/>
          <w:szCs w:val="20"/>
          <w:lang w:eastAsia="en-AU"/>
        </w:rPr>
        <w:footnoteReference w:id="9"/>
      </w:r>
      <w:r w:rsidRPr="00EA0CF4">
        <w:rPr>
          <w:rFonts w:eastAsia="Times New Roman" w:cs="Times New Roman"/>
          <w:color w:val="000000"/>
          <w:szCs w:val="20"/>
          <w:lang w:eastAsia="en-AU"/>
        </w:rPr>
        <w:t xml:space="preserve"> was a</w:t>
      </w:r>
      <w:r>
        <w:rPr>
          <w:rFonts w:eastAsia="Times New Roman" w:cs="Times New Roman"/>
          <w:color w:val="000000"/>
          <w:szCs w:val="20"/>
          <w:lang w:eastAsia="en-AU"/>
        </w:rPr>
        <w:t>n Australian-based</w:t>
      </w:r>
      <w:r w:rsidRPr="00EA0CF4">
        <w:rPr>
          <w:rFonts w:eastAsia="Times New Roman" w:cs="Times New Roman"/>
          <w:color w:val="000000"/>
          <w:szCs w:val="20"/>
          <w:lang w:eastAsia="en-AU"/>
        </w:rPr>
        <w:t xml:space="preserve"> randomised controlled trial (RCT) with 2 arms: usual care </w:t>
      </w:r>
      <w:r>
        <w:rPr>
          <w:rFonts w:eastAsia="Times New Roman" w:cs="Times New Roman"/>
          <w:color w:val="000000"/>
          <w:szCs w:val="20"/>
          <w:lang w:eastAsia="en-AU"/>
        </w:rPr>
        <w:t>versus</w:t>
      </w:r>
      <w:r w:rsidRPr="00EA0CF4">
        <w:rPr>
          <w:rFonts w:eastAsia="Times New Roman" w:cs="Times New Roman"/>
          <w:color w:val="000000"/>
          <w:szCs w:val="20"/>
          <w:lang w:eastAsia="en-AU"/>
        </w:rPr>
        <w:t xml:space="preserve"> early VCTE</w:t>
      </w:r>
      <w:r>
        <w:rPr>
          <w:rFonts w:eastAsia="Times New Roman" w:cs="Times New Roman"/>
          <w:color w:val="000000"/>
          <w:szCs w:val="20"/>
          <w:lang w:eastAsia="en-AU"/>
        </w:rPr>
        <w:t xml:space="preserve">, where </w:t>
      </w:r>
      <w:r w:rsidRPr="00510C3C">
        <w:rPr>
          <w:rFonts w:eastAsia="Times New Roman" w:cs="Times New Roman"/>
          <w:color w:val="000000"/>
          <w:szCs w:val="20"/>
          <w:lang w:eastAsia="en-AU"/>
        </w:rPr>
        <w:t xml:space="preserve">participants </w:t>
      </w:r>
      <w:r>
        <w:rPr>
          <w:rFonts w:eastAsia="Times New Roman" w:cs="Times New Roman"/>
          <w:color w:val="000000"/>
          <w:szCs w:val="20"/>
          <w:lang w:eastAsia="en-AU"/>
        </w:rPr>
        <w:t>with MAFLD</w:t>
      </w:r>
      <w:r w:rsidRPr="00510C3C">
        <w:rPr>
          <w:rFonts w:eastAsia="Times New Roman" w:cs="Times New Roman"/>
          <w:color w:val="000000"/>
          <w:szCs w:val="20"/>
          <w:lang w:eastAsia="en-AU"/>
        </w:rPr>
        <w:t xml:space="preserve"> </w:t>
      </w:r>
      <w:r>
        <w:rPr>
          <w:rFonts w:eastAsia="Times New Roman" w:cs="Times New Roman"/>
          <w:color w:val="000000"/>
          <w:szCs w:val="20"/>
          <w:lang w:eastAsia="en-AU"/>
        </w:rPr>
        <w:t xml:space="preserve">and FIB-4 ≥1.3, </w:t>
      </w:r>
      <w:r w:rsidRPr="00510C3C">
        <w:rPr>
          <w:rFonts w:eastAsia="Times New Roman" w:cs="Times New Roman"/>
          <w:color w:val="000000"/>
          <w:szCs w:val="20"/>
          <w:lang w:eastAsia="en-AU"/>
        </w:rPr>
        <w:t>received a VCTE assessment and were classified as low risk (&lt;8.0 kPa) or high-risk (≥8.0 kPa) for advanced fibrosis</w:t>
      </w:r>
      <w:r w:rsidRPr="00EA0CF4">
        <w:rPr>
          <w:rFonts w:eastAsia="Times New Roman" w:cs="Times New Roman"/>
          <w:color w:val="000000"/>
          <w:szCs w:val="20"/>
          <w:lang w:eastAsia="en-AU"/>
        </w:rPr>
        <w:t xml:space="preserve">. ESC </w:t>
      </w:r>
      <w:r>
        <w:rPr>
          <w:rFonts w:eastAsia="Times New Roman" w:cs="Times New Roman"/>
          <w:color w:val="000000"/>
          <w:szCs w:val="20"/>
          <w:lang w:eastAsia="en-AU"/>
        </w:rPr>
        <w:t>noted that</w:t>
      </w:r>
      <w:r w:rsidRPr="00EA0CF4">
        <w:rPr>
          <w:rFonts w:eastAsia="Times New Roman" w:cs="Times New Roman"/>
          <w:color w:val="000000"/>
          <w:szCs w:val="20"/>
          <w:lang w:eastAsia="en-AU"/>
        </w:rPr>
        <w:t xml:space="preserve"> the commentary </w:t>
      </w:r>
      <w:r>
        <w:rPr>
          <w:rFonts w:eastAsia="Times New Roman" w:cs="Times New Roman"/>
          <w:color w:val="000000"/>
          <w:szCs w:val="20"/>
          <w:lang w:eastAsia="en-AU"/>
        </w:rPr>
        <w:t>stated</w:t>
      </w:r>
      <w:r w:rsidRPr="00EA0CF4">
        <w:rPr>
          <w:rFonts w:eastAsia="Times New Roman" w:cs="Times New Roman"/>
          <w:color w:val="000000"/>
          <w:szCs w:val="20"/>
          <w:lang w:eastAsia="en-AU"/>
        </w:rPr>
        <w:t xml:space="preserve"> the outcomes </w:t>
      </w:r>
      <w:r>
        <w:rPr>
          <w:rFonts w:eastAsia="Times New Roman" w:cs="Times New Roman"/>
          <w:color w:val="000000"/>
          <w:szCs w:val="20"/>
          <w:lang w:eastAsia="en-AU"/>
        </w:rPr>
        <w:t>of Tulleners et al. (2024)</w:t>
      </w:r>
      <w:r w:rsidRPr="00EA0CF4">
        <w:rPr>
          <w:rFonts w:eastAsia="Times New Roman" w:cs="Times New Roman"/>
          <w:color w:val="000000"/>
          <w:szCs w:val="20"/>
          <w:lang w:eastAsia="en-AU"/>
        </w:rPr>
        <w:t xml:space="preserve"> did not </w:t>
      </w:r>
      <w:r>
        <w:rPr>
          <w:rFonts w:eastAsia="Times New Roman" w:cs="Times New Roman"/>
          <w:color w:val="000000"/>
          <w:szCs w:val="20"/>
          <w:lang w:eastAsia="en-AU"/>
        </w:rPr>
        <w:t>demonstrate that early use of VCTE led to</w:t>
      </w:r>
      <w:r w:rsidRPr="00EA0CF4">
        <w:rPr>
          <w:rFonts w:eastAsia="Times New Roman" w:cs="Times New Roman"/>
          <w:color w:val="000000"/>
          <w:szCs w:val="20"/>
          <w:lang w:eastAsia="en-AU"/>
        </w:rPr>
        <w:t xml:space="preserve"> a change in diagnosis (and </w:t>
      </w:r>
      <w:r>
        <w:rPr>
          <w:rFonts w:eastAsia="Times New Roman" w:cs="Times New Roman"/>
          <w:color w:val="000000"/>
          <w:szCs w:val="20"/>
          <w:lang w:eastAsia="en-AU"/>
        </w:rPr>
        <w:t xml:space="preserve">hence </w:t>
      </w:r>
      <w:r w:rsidRPr="00EA0CF4">
        <w:rPr>
          <w:rFonts w:eastAsia="Times New Roman" w:cs="Times New Roman"/>
          <w:color w:val="000000"/>
          <w:szCs w:val="20"/>
          <w:lang w:eastAsia="en-AU"/>
        </w:rPr>
        <w:t xml:space="preserve">assumed </w:t>
      </w:r>
      <w:r>
        <w:rPr>
          <w:rFonts w:eastAsia="Times New Roman" w:cs="Times New Roman"/>
          <w:color w:val="000000"/>
          <w:szCs w:val="20"/>
          <w:lang w:eastAsia="en-AU"/>
        </w:rPr>
        <w:t>n</w:t>
      </w:r>
      <w:r w:rsidRPr="00EA0CF4">
        <w:rPr>
          <w:rFonts w:eastAsia="Times New Roman" w:cs="Times New Roman"/>
          <w:color w:val="000000"/>
          <w:szCs w:val="20"/>
          <w:lang w:eastAsia="en-AU"/>
        </w:rPr>
        <w:t>o change in management)</w:t>
      </w:r>
      <w:r>
        <w:rPr>
          <w:rFonts w:eastAsia="Times New Roman" w:cs="Times New Roman"/>
          <w:color w:val="000000"/>
          <w:szCs w:val="20"/>
          <w:lang w:eastAsia="en-AU"/>
        </w:rPr>
        <w:t>. Additionally,</w:t>
      </w:r>
      <w:r w:rsidRPr="00EA0CF4">
        <w:rPr>
          <w:rFonts w:eastAsia="Times New Roman" w:cs="Times New Roman"/>
          <w:color w:val="000000"/>
          <w:szCs w:val="20"/>
          <w:lang w:eastAsia="en-AU"/>
        </w:rPr>
        <w:t xml:space="preserve"> although &gt;85% of patients had FIB-4 testing, not all patients did, and some patients with FIB-4 &lt;1.3 were included</w:t>
      </w:r>
      <w:r>
        <w:rPr>
          <w:rFonts w:eastAsia="Times New Roman" w:cs="Times New Roman"/>
          <w:color w:val="000000"/>
          <w:szCs w:val="20"/>
          <w:lang w:eastAsia="en-AU"/>
        </w:rPr>
        <w:t xml:space="preserve"> in the study</w:t>
      </w:r>
      <w:r w:rsidRPr="00EA0CF4">
        <w:rPr>
          <w:rFonts w:eastAsia="Times New Roman" w:cs="Times New Roman"/>
          <w:color w:val="000000"/>
          <w:szCs w:val="20"/>
          <w:lang w:eastAsia="en-AU"/>
        </w:rPr>
        <w:t xml:space="preserve">. ESC considered that the </w:t>
      </w:r>
      <w:r>
        <w:rPr>
          <w:rFonts w:eastAsia="Times New Roman" w:cs="Times New Roman"/>
          <w:color w:val="000000"/>
          <w:szCs w:val="20"/>
          <w:lang w:eastAsia="en-AU"/>
        </w:rPr>
        <w:t>study</w:t>
      </w:r>
      <w:r w:rsidRPr="00EA0CF4">
        <w:rPr>
          <w:rFonts w:eastAsia="Times New Roman" w:cs="Times New Roman"/>
          <w:color w:val="000000"/>
          <w:szCs w:val="20"/>
          <w:lang w:eastAsia="en-AU"/>
        </w:rPr>
        <w:t xml:space="preserve"> population was applicable and possibly demonstrated a trend to</w:t>
      </w:r>
      <w:r>
        <w:rPr>
          <w:rFonts w:eastAsia="Times New Roman" w:cs="Times New Roman"/>
          <w:color w:val="000000"/>
          <w:szCs w:val="20"/>
          <w:lang w:eastAsia="en-AU"/>
        </w:rPr>
        <w:t>ward</w:t>
      </w:r>
      <w:r w:rsidRPr="00EA0CF4">
        <w:rPr>
          <w:rFonts w:eastAsia="Times New Roman" w:cs="Times New Roman"/>
          <w:color w:val="000000"/>
          <w:szCs w:val="20"/>
          <w:lang w:eastAsia="en-AU"/>
        </w:rPr>
        <w:t xml:space="preserve"> earlier diagnosis</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but there was still no evidence of a change in management. </w:t>
      </w:r>
      <w:r>
        <w:rPr>
          <w:rFonts w:eastAsia="Times New Roman" w:cs="Times New Roman"/>
          <w:color w:val="000000"/>
          <w:szCs w:val="20"/>
          <w:lang w:eastAsia="en-AU"/>
        </w:rPr>
        <w:t xml:space="preserve">ESC also noted </w:t>
      </w:r>
      <w:r w:rsidRPr="00EA0CF4">
        <w:rPr>
          <w:rFonts w:eastAsia="Times New Roman" w:cs="Times New Roman"/>
          <w:color w:val="000000"/>
          <w:szCs w:val="20"/>
          <w:lang w:eastAsia="en-AU"/>
        </w:rPr>
        <w:t xml:space="preserve">Hayward </w:t>
      </w:r>
      <w:r>
        <w:rPr>
          <w:rFonts w:eastAsia="Times New Roman" w:cs="Times New Roman"/>
          <w:color w:val="000000"/>
          <w:szCs w:val="20"/>
          <w:lang w:eastAsia="en-AU"/>
        </w:rPr>
        <w:t>et al. (</w:t>
      </w:r>
      <w:r w:rsidRPr="00EA0CF4">
        <w:rPr>
          <w:rFonts w:eastAsia="Times New Roman" w:cs="Times New Roman"/>
          <w:color w:val="000000"/>
          <w:szCs w:val="20"/>
          <w:lang w:eastAsia="en-AU"/>
        </w:rPr>
        <w:t>2022</w:t>
      </w:r>
      <w:r>
        <w:rPr>
          <w:rFonts w:eastAsia="Times New Roman" w:cs="Times New Roman"/>
          <w:color w:val="000000"/>
          <w:szCs w:val="20"/>
          <w:lang w:eastAsia="en-AU"/>
        </w:rPr>
        <w:t>)</w:t>
      </w:r>
      <w:r>
        <w:rPr>
          <w:rStyle w:val="FootnoteReference"/>
          <w:rFonts w:eastAsia="Times New Roman" w:cs="Times New Roman"/>
          <w:color w:val="000000"/>
          <w:szCs w:val="20"/>
          <w:lang w:eastAsia="en-AU"/>
        </w:rPr>
        <w:footnoteReference w:id="10"/>
      </w:r>
      <w:r w:rsidRPr="00EA0CF4">
        <w:rPr>
          <w:rFonts w:eastAsia="Times New Roman" w:cs="Times New Roman"/>
          <w:color w:val="000000"/>
          <w:szCs w:val="20"/>
          <w:lang w:eastAsia="en-AU"/>
        </w:rPr>
        <w:t xml:space="preserve"> was a single-arm study in which patients were stratified using FIB-4 and non-alcoholic fatty liver disease [NAFLD] Fibrosis Score</w:t>
      </w:r>
      <w:r>
        <w:rPr>
          <w:rFonts w:eastAsia="Times New Roman" w:cs="Times New Roman"/>
          <w:color w:val="000000"/>
          <w:szCs w:val="20"/>
          <w:lang w:eastAsia="en-AU"/>
        </w:rPr>
        <w:t xml:space="preserve"> (NFS</w:t>
      </w:r>
      <w:r w:rsidRPr="00EA0CF4">
        <w:rPr>
          <w:rFonts w:eastAsia="Times New Roman" w:cs="Times New Roman"/>
          <w:color w:val="000000"/>
          <w:szCs w:val="20"/>
          <w:lang w:eastAsia="en-AU"/>
        </w:rPr>
        <w:t xml:space="preserve">), with </w:t>
      </w:r>
      <w:r>
        <w:rPr>
          <w:rFonts w:eastAsia="Times New Roman" w:cs="Times New Roman"/>
          <w:color w:val="000000"/>
          <w:szCs w:val="20"/>
          <w:lang w:eastAsia="en-AU"/>
        </w:rPr>
        <w:t>patients determined</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to be at</w:t>
      </w:r>
      <w:r w:rsidRPr="00EA0CF4">
        <w:rPr>
          <w:rFonts w:eastAsia="Times New Roman" w:cs="Times New Roman"/>
          <w:color w:val="000000"/>
          <w:szCs w:val="20"/>
          <w:lang w:eastAsia="en-AU"/>
        </w:rPr>
        <w:t xml:space="preserve"> low risk of advanced liver fibrosis remaining in primary care</w:t>
      </w:r>
      <w:r>
        <w:rPr>
          <w:rFonts w:eastAsia="Times New Roman" w:cs="Times New Roman"/>
          <w:color w:val="000000"/>
          <w:szCs w:val="20"/>
          <w:lang w:eastAsia="en-AU"/>
        </w:rPr>
        <w:t>, while</w:t>
      </w:r>
      <w:r w:rsidRPr="00EA0CF4">
        <w:rPr>
          <w:rFonts w:eastAsia="Times New Roman" w:cs="Times New Roman"/>
          <w:color w:val="000000"/>
          <w:szCs w:val="20"/>
          <w:lang w:eastAsia="en-AU"/>
        </w:rPr>
        <w:t xml:space="preserve"> those at indeterminate or high risk proce</w:t>
      </w:r>
      <w:r>
        <w:rPr>
          <w:rFonts w:eastAsia="Times New Roman" w:cs="Times New Roman"/>
          <w:color w:val="000000"/>
          <w:szCs w:val="20"/>
          <w:lang w:eastAsia="en-AU"/>
        </w:rPr>
        <w:t>eded</w:t>
      </w:r>
      <w:r w:rsidRPr="00EA0CF4">
        <w:rPr>
          <w:rFonts w:eastAsia="Times New Roman" w:cs="Times New Roman"/>
          <w:color w:val="000000"/>
          <w:szCs w:val="20"/>
          <w:lang w:eastAsia="en-AU"/>
        </w:rPr>
        <w:t xml:space="preserve"> to VCTE</w:t>
      </w:r>
      <w:r>
        <w:rPr>
          <w:rFonts w:eastAsia="Times New Roman" w:cs="Times New Roman"/>
          <w:color w:val="000000"/>
          <w:szCs w:val="20"/>
          <w:lang w:eastAsia="en-AU"/>
        </w:rPr>
        <w:t xml:space="preserve"> testing</w:t>
      </w:r>
      <w:r w:rsidRPr="00EA0CF4">
        <w:rPr>
          <w:rFonts w:eastAsia="Times New Roman" w:cs="Times New Roman"/>
          <w:color w:val="000000"/>
          <w:szCs w:val="20"/>
          <w:lang w:eastAsia="en-AU"/>
        </w:rPr>
        <w:t xml:space="preserve">; if the </w:t>
      </w:r>
      <w:r>
        <w:rPr>
          <w:rFonts w:eastAsia="Times New Roman" w:cs="Times New Roman"/>
          <w:color w:val="000000"/>
          <w:szCs w:val="20"/>
          <w:lang w:eastAsia="en-AU"/>
        </w:rPr>
        <w:t xml:space="preserve">resulting </w:t>
      </w:r>
      <w:r w:rsidRPr="00EA0CF4">
        <w:rPr>
          <w:rFonts w:eastAsia="Times New Roman" w:cs="Times New Roman"/>
          <w:color w:val="000000"/>
          <w:szCs w:val="20"/>
          <w:lang w:eastAsia="en-AU"/>
        </w:rPr>
        <w:t>LSM was ≥ 8</w:t>
      </w:r>
      <w:r>
        <w:rPr>
          <w:rFonts w:eastAsia="Times New Roman" w:cs="Times New Roman"/>
          <w:color w:val="000000"/>
          <w:szCs w:val="20"/>
          <w:lang w:eastAsia="en-AU"/>
        </w:rPr>
        <w:t xml:space="preserve"> </w:t>
      </w:r>
      <w:r w:rsidRPr="00EA0CF4">
        <w:rPr>
          <w:rFonts w:eastAsia="Times New Roman" w:cs="Times New Roman"/>
          <w:color w:val="000000"/>
          <w:szCs w:val="20"/>
          <w:lang w:eastAsia="en-AU"/>
        </w:rPr>
        <w:t>k</w:t>
      </w:r>
      <w:r>
        <w:rPr>
          <w:rFonts w:eastAsia="Times New Roman" w:cs="Times New Roman"/>
          <w:color w:val="000000"/>
          <w:szCs w:val="20"/>
          <w:lang w:eastAsia="en-AU"/>
        </w:rPr>
        <w:t>P</w:t>
      </w:r>
      <w:r w:rsidRPr="00EA0CF4">
        <w:rPr>
          <w:rFonts w:eastAsia="Times New Roman" w:cs="Times New Roman"/>
          <w:color w:val="000000"/>
          <w:szCs w:val="20"/>
          <w:lang w:eastAsia="en-AU"/>
        </w:rPr>
        <w:t>a</w:t>
      </w:r>
      <w:r>
        <w:rPr>
          <w:rFonts w:eastAsia="Times New Roman" w:cs="Times New Roman"/>
          <w:color w:val="000000"/>
          <w:szCs w:val="20"/>
          <w:lang w:eastAsia="en-AU"/>
        </w:rPr>
        <w:t xml:space="preserve"> patients were</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then</w:t>
      </w:r>
      <w:r w:rsidRPr="00EA0CF4">
        <w:rPr>
          <w:rFonts w:eastAsia="Times New Roman" w:cs="Times New Roman"/>
          <w:color w:val="000000"/>
          <w:szCs w:val="20"/>
          <w:lang w:eastAsia="en-AU"/>
        </w:rPr>
        <w:t xml:space="preserve"> referred to a liver clinic. </w:t>
      </w:r>
      <w:r>
        <w:rPr>
          <w:rFonts w:eastAsia="Times New Roman" w:cs="Times New Roman"/>
          <w:color w:val="000000"/>
          <w:szCs w:val="20"/>
          <w:lang w:eastAsia="en-AU"/>
        </w:rPr>
        <w:t>ESC noted that t</w:t>
      </w:r>
      <w:r w:rsidRPr="00EA0CF4">
        <w:rPr>
          <w:rFonts w:eastAsia="Times New Roman" w:cs="Times New Roman"/>
          <w:color w:val="000000"/>
          <w:szCs w:val="20"/>
          <w:lang w:eastAsia="en-AU"/>
        </w:rPr>
        <w:t xml:space="preserve">he primary outcome was identification of patients at risk for advanced liver fibrosis. </w:t>
      </w:r>
      <w:r>
        <w:rPr>
          <w:rFonts w:eastAsia="Times New Roman" w:cs="Times New Roman"/>
          <w:color w:val="000000"/>
          <w:szCs w:val="20"/>
          <w:lang w:eastAsia="en-AU"/>
        </w:rPr>
        <w:t>ESC then noted that t</w:t>
      </w:r>
      <w:r w:rsidRPr="00EA0CF4">
        <w:rPr>
          <w:rFonts w:eastAsia="Times New Roman" w:cs="Times New Roman"/>
          <w:color w:val="000000"/>
          <w:szCs w:val="20"/>
          <w:lang w:eastAsia="en-AU"/>
        </w:rPr>
        <w:t xml:space="preserve">he commentary </w:t>
      </w:r>
      <w:r>
        <w:rPr>
          <w:rFonts w:eastAsia="Times New Roman" w:cs="Times New Roman"/>
          <w:color w:val="000000"/>
          <w:szCs w:val="20"/>
          <w:lang w:eastAsia="en-AU"/>
        </w:rPr>
        <w:t>identified issues regarding</w:t>
      </w:r>
      <w:r w:rsidRPr="00EA0CF4">
        <w:rPr>
          <w:rFonts w:eastAsia="Times New Roman" w:cs="Times New Roman"/>
          <w:color w:val="000000"/>
          <w:szCs w:val="20"/>
          <w:lang w:eastAsia="en-AU"/>
        </w:rPr>
        <w:t xml:space="preserve"> the lack of a comparator group, that outcomes were limited to a referral pathway </w:t>
      </w:r>
      <w:r>
        <w:rPr>
          <w:rFonts w:eastAsia="Times New Roman" w:cs="Times New Roman"/>
          <w:color w:val="000000"/>
          <w:szCs w:val="20"/>
          <w:lang w:eastAsia="en-AU"/>
        </w:rPr>
        <w:t>with</w:t>
      </w:r>
      <w:r w:rsidRPr="00EA0CF4">
        <w:rPr>
          <w:rFonts w:eastAsia="Times New Roman" w:cs="Times New Roman"/>
          <w:color w:val="000000"/>
          <w:szCs w:val="20"/>
          <w:lang w:eastAsia="en-AU"/>
        </w:rPr>
        <w:t xml:space="preserve"> no data beyond </w:t>
      </w:r>
      <w:r>
        <w:rPr>
          <w:rFonts w:eastAsia="Times New Roman" w:cs="Times New Roman"/>
          <w:color w:val="000000"/>
          <w:szCs w:val="20"/>
          <w:lang w:eastAsia="en-AU"/>
        </w:rPr>
        <w:t>the point of referral.</w:t>
      </w:r>
      <w:r w:rsidRPr="00EA0CF4">
        <w:rPr>
          <w:rFonts w:eastAsia="Times New Roman" w:cs="Times New Roman"/>
          <w:color w:val="000000"/>
          <w:szCs w:val="20"/>
          <w:lang w:eastAsia="en-AU"/>
        </w:rPr>
        <w:t xml:space="preserve"> ESC further noted that the Mozes </w:t>
      </w:r>
      <w:r>
        <w:rPr>
          <w:rFonts w:eastAsia="Times New Roman" w:cs="Times New Roman"/>
          <w:color w:val="000000"/>
          <w:szCs w:val="20"/>
          <w:lang w:eastAsia="en-AU"/>
        </w:rPr>
        <w:t>et al. (</w:t>
      </w:r>
      <w:r w:rsidRPr="00EA0CF4">
        <w:rPr>
          <w:rFonts w:eastAsia="Times New Roman" w:cs="Times New Roman"/>
          <w:color w:val="000000"/>
          <w:szCs w:val="20"/>
          <w:lang w:eastAsia="en-AU"/>
        </w:rPr>
        <w:t>2022</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study was also referenced as the modelling suggested that a 2-tier strategy </w:t>
      </w:r>
      <w:r>
        <w:rPr>
          <w:rFonts w:eastAsia="Times New Roman" w:cs="Times New Roman"/>
          <w:color w:val="000000"/>
          <w:szCs w:val="20"/>
          <w:lang w:eastAsia="en-AU"/>
        </w:rPr>
        <w:t>may</w:t>
      </w:r>
      <w:r w:rsidRPr="00EA0CF4">
        <w:rPr>
          <w:rFonts w:eastAsia="Times New Roman" w:cs="Times New Roman"/>
          <w:color w:val="000000"/>
          <w:szCs w:val="20"/>
          <w:lang w:eastAsia="en-AU"/>
        </w:rPr>
        <w:t xml:space="preserve"> reduce </w:t>
      </w:r>
      <w:r>
        <w:rPr>
          <w:rFonts w:eastAsia="Times New Roman" w:cs="Times New Roman"/>
          <w:color w:val="000000"/>
          <w:szCs w:val="20"/>
          <w:lang w:eastAsia="en-AU"/>
        </w:rPr>
        <w:t xml:space="preserve">liver </w:t>
      </w:r>
      <w:r w:rsidRPr="00EA0CF4">
        <w:rPr>
          <w:rFonts w:eastAsia="Times New Roman" w:cs="Times New Roman"/>
          <w:color w:val="000000"/>
          <w:szCs w:val="20"/>
          <w:lang w:eastAsia="en-AU"/>
        </w:rPr>
        <w:t xml:space="preserve">biopsies. However, </w:t>
      </w:r>
      <w:r>
        <w:rPr>
          <w:rFonts w:eastAsia="Times New Roman" w:cs="Times New Roman"/>
          <w:color w:val="000000"/>
          <w:szCs w:val="20"/>
          <w:lang w:eastAsia="en-AU"/>
        </w:rPr>
        <w:t>ESC considered that</w:t>
      </w:r>
      <w:r w:rsidRPr="00EA0CF4">
        <w:rPr>
          <w:rFonts w:eastAsia="Times New Roman" w:cs="Times New Roman"/>
          <w:color w:val="000000"/>
          <w:szCs w:val="20"/>
          <w:lang w:eastAsia="en-AU"/>
        </w:rPr>
        <w:t xml:space="preserve"> biopsies are very infrequently done </w:t>
      </w:r>
      <w:r>
        <w:rPr>
          <w:rFonts w:eastAsia="Times New Roman" w:cs="Times New Roman"/>
          <w:color w:val="000000"/>
          <w:szCs w:val="20"/>
          <w:lang w:eastAsia="en-AU"/>
        </w:rPr>
        <w:t xml:space="preserve">in patients with MAFLD to investigate the presence of liver fibrosis, </w:t>
      </w:r>
      <w:r w:rsidRPr="00EA0CF4">
        <w:rPr>
          <w:rFonts w:eastAsia="Times New Roman" w:cs="Times New Roman"/>
          <w:color w:val="000000"/>
          <w:szCs w:val="20"/>
          <w:lang w:eastAsia="en-AU"/>
        </w:rPr>
        <w:t xml:space="preserve">meaning that any cost offsets </w:t>
      </w:r>
      <w:r>
        <w:rPr>
          <w:rFonts w:eastAsia="Times New Roman" w:cs="Times New Roman"/>
          <w:color w:val="000000"/>
          <w:szCs w:val="20"/>
          <w:lang w:eastAsia="en-AU"/>
        </w:rPr>
        <w:t xml:space="preserve">in practice </w:t>
      </w:r>
      <w:r w:rsidRPr="00EA0CF4">
        <w:rPr>
          <w:rFonts w:eastAsia="Times New Roman" w:cs="Times New Roman"/>
          <w:color w:val="000000"/>
          <w:szCs w:val="20"/>
          <w:lang w:eastAsia="en-AU"/>
        </w:rPr>
        <w:t>would be negligible</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and </w:t>
      </w:r>
      <w:r>
        <w:rPr>
          <w:rFonts w:eastAsia="Times New Roman" w:cs="Times New Roman"/>
          <w:color w:val="000000"/>
          <w:szCs w:val="20"/>
          <w:lang w:eastAsia="en-AU"/>
        </w:rPr>
        <w:t xml:space="preserve">that </w:t>
      </w:r>
      <w:r w:rsidRPr="00EA0CF4">
        <w:rPr>
          <w:rFonts w:eastAsia="Times New Roman" w:cs="Times New Roman"/>
          <w:color w:val="000000"/>
          <w:szCs w:val="20"/>
          <w:lang w:eastAsia="en-AU"/>
        </w:rPr>
        <w:t xml:space="preserve">there </w:t>
      </w:r>
      <w:r>
        <w:rPr>
          <w:rFonts w:eastAsia="Times New Roman" w:cs="Times New Roman"/>
          <w:color w:val="000000"/>
          <w:szCs w:val="20"/>
          <w:lang w:eastAsia="en-AU"/>
        </w:rPr>
        <w:t>were</w:t>
      </w:r>
      <w:r w:rsidRPr="00EA0CF4">
        <w:rPr>
          <w:rFonts w:eastAsia="Times New Roman" w:cs="Times New Roman"/>
          <w:color w:val="000000"/>
          <w:szCs w:val="20"/>
          <w:lang w:eastAsia="en-AU"/>
        </w:rPr>
        <w:t xml:space="preserve"> no real-world data to support this modelling. </w:t>
      </w:r>
      <w:r>
        <w:rPr>
          <w:rFonts w:eastAsia="Times New Roman" w:cs="Times New Roman"/>
          <w:color w:val="000000"/>
          <w:szCs w:val="20"/>
          <w:lang w:eastAsia="en-AU"/>
        </w:rPr>
        <w:t>ESC noted that t</w:t>
      </w:r>
      <w:r w:rsidRPr="00EA0CF4">
        <w:rPr>
          <w:rFonts w:eastAsia="Times New Roman" w:cs="Times New Roman"/>
          <w:color w:val="000000"/>
          <w:szCs w:val="20"/>
          <w:lang w:eastAsia="en-AU"/>
        </w:rPr>
        <w:t>he pre-ESC response reiterated that there is evidence that VCTE</w:t>
      </w:r>
      <w:r>
        <w:rPr>
          <w:rFonts w:eastAsia="Times New Roman" w:cs="Times New Roman"/>
          <w:color w:val="000000"/>
          <w:szCs w:val="20"/>
          <w:lang w:eastAsia="en-AU"/>
        </w:rPr>
        <w:t xml:space="preserve"> testing</w:t>
      </w:r>
      <w:r w:rsidRPr="00EA0CF4">
        <w:rPr>
          <w:rFonts w:eastAsia="Times New Roman" w:cs="Times New Roman"/>
          <w:color w:val="000000"/>
          <w:szCs w:val="20"/>
          <w:lang w:eastAsia="en-AU"/>
        </w:rPr>
        <w:t xml:space="preserve"> results in reduced </w:t>
      </w:r>
      <w:r>
        <w:rPr>
          <w:rFonts w:eastAsia="Times New Roman" w:cs="Times New Roman"/>
          <w:color w:val="000000"/>
          <w:szCs w:val="20"/>
          <w:lang w:eastAsia="en-AU"/>
        </w:rPr>
        <w:lastRenderedPageBreak/>
        <w:t xml:space="preserve">specialist </w:t>
      </w:r>
      <w:r w:rsidRPr="00EA0CF4">
        <w:rPr>
          <w:rFonts w:eastAsia="Times New Roman" w:cs="Times New Roman"/>
          <w:color w:val="000000"/>
          <w:szCs w:val="20"/>
          <w:lang w:eastAsia="en-AU"/>
        </w:rPr>
        <w:t xml:space="preserve">referrals, </w:t>
      </w:r>
      <w:r>
        <w:rPr>
          <w:rFonts w:eastAsia="Times New Roman" w:cs="Times New Roman"/>
          <w:color w:val="000000"/>
          <w:szCs w:val="20"/>
          <w:lang w:eastAsia="en-AU"/>
        </w:rPr>
        <w:t>however</w:t>
      </w:r>
      <w:r w:rsidRPr="00EA0CF4">
        <w:rPr>
          <w:rFonts w:eastAsia="Times New Roman" w:cs="Times New Roman"/>
          <w:color w:val="000000"/>
          <w:szCs w:val="20"/>
          <w:lang w:eastAsia="en-AU"/>
        </w:rPr>
        <w:t xml:space="preserve"> ESC considered </w:t>
      </w:r>
      <w:r>
        <w:rPr>
          <w:rFonts w:eastAsia="Times New Roman" w:cs="Times New Roman"/>
          <w:color w:val="000000"/>
          <w:szCs w:val="20"/>
          <w:lang w:eastAsia="en-AU"/>
        </w:rPr>
        <w:t xml:space="preserve">that there were no studies presented to support </w:t>
      </w:r>
      <w:r w:rsidRPr="00EA0CF4">
        <w:rPr>
          <w:rFonts w:eastAsia="Times New Roman" w:cs="Times New Roman"/>
          <w:color w:val="000000"/>
          <w:szCs w:val="20"/>
          <w:lang w:eastAsia="en-AU"/>
        </w:rPr>
        <w:t xml:space="preserve">a change in </w:t>
      </w:r>
      <w:r>
        <w:rPr>
          <w:rFonts w:eastAsia="Times New Roman" w:cs="Times New Roman"/>
          <w:color w:val="000000"/>
          <w:szCs w:val="20"/>
          <w:lang w:eastAsia="en-AU"/>
        </w:rPr>
        <w:t>clinical decision making or health outcomes</w:t>
      </w:r>
      <w:r w:rsidRPr="00EA0CF4">
        <w:rPr>
          <w:rFonts w:eastAsia="Times New Roman" w:cs="Times New Roman"/>
          <w:color w:val="000000"/>
          <w:szCs w:val="20"/>
          <w:lang w:eastAsia="en-AU"/>
        </w:rPr>
        <w:t>.</w:t>
      </w:r>
    </w:p>
    <w:p w14:paraId="6DD3B74D" w14:textId="77777777" w:rsidR="0018750D" w:rsidRDefault="0018750D" w:rsidP="0018750D">
      <w:pPr>
        <w:spacing w:before="0" w:after="240" w:line="240" w:lineRule="auto"/>
      </w:pPr>
      <w:r w:rsidRPr="00EA0CF4">
        <w:rPr>
          <w:rFonts w:eastAsia="Times New Roman" w:cs="Times New Roman"/>
          <w:color w:val="000000"/>
          <w:szCs w:val="20"/>
          <w:lang w:eastAsia="en-AU"/>
        </w:rPr>
        <w:t>ESC noted that the economic evaluation was a cost-consequence analysis of VCTE for the identification of advanced fibrosis in individuals with diagnosed MAFLD in both primary care (general practice and community settings) and specialist care (hepatology practices)</w:t>
      </w:r>
      <w:r>
        <w:rPr>
          <w:rFonts w:eastAsia="Times New Roman" w:cs="Times New Roman"/>
          <w:color w:val="000000"/>
          <w:szCs w:val="20"/>
          <w:lang w:eastAsia="en-AU"/>
        </w:rPr>
        <w:t xml:space="preserve"> settings</w:t>
      </w:r>
      <w:r w:rsidRPr="00EA0CF4">
        <w:rPr>
          <w:rFonts w:eastAsia="Times New Roman" w:cs="Times New Roman"/>
          <w:color w:val="000000"/>
          <w:szCs w:val="20"/>
          <w:lang w:eastAsia="en-AU"/>
        </w:rPr>
        <w:t xml:space="preserve">. </w:t>
      </w:r>
      <w:r>
        <w:t>ESC noted that the model</w:t>
      </w:r>
      <w:r w:rsidRPr="005A7D83">
        <w:t xml:space="preserve"> outcomes </w:t>
      </w:r>
      <w:r>
        <w:t xml:space="preserve">are focused </w:t>
      </w:r>
      <w:r w:rsidRPr="005A7D83">
        <w:t>only on test accuracy and cost per correct diagnosis</w:t>
      </w:r>
      <w:r w:rsidRPr="0089597A">
        <w:t xml:space="preserve">. </w:t>
      </w:r>
      <w:r>
        <w:t>ESC considered that the model</w:t>
      </w:r>
      <w:r w:rsidRPr="0089597A">
        <w:t xml:space="preserve"> </w:t>
      </w:r>
      <w:r>
        <w:t>should</w:t>
      </w:r>
      <w:r w:rsidRPr="0089597A">
        <w:t xml:space="preserve"> be expanded to include </w:t>
      </w:r>
      <w:r>
        <w:t xml:space="preserve">long-term and </w:t>
      </w:r>
      <w:r w:rsidRPr="0089597A">
        <w:t xml:space="preserve">downstream outcomes – such as change in management, reduced disease progression, liver-related morbidity and mortality, cases of cirrhosis or liver cancer averted and </w:t>
      </w:r>
      <w:r w:rsidRPr="00EA0CF4">
        <w:rPr>
          <w:rFonts w:eastAsia="Times New Roman" w:cs="Times New Roman"/>
          <w:color w:val="000000"/>
          <w:szCs w:val="20"/>
          <w:lang w:eastAsia="en-AU"/>
        </w:rPr>
        <w:t xml:space="preserve">quality-adjusted life-years </w:t>
      </w:r>
      <w:r>
        <w:rPr>
          <w:rFonts w:eastAsia="Times New Roman" w:cs="Times New Roman"/>
          <w:color w:val="000000"/>
          <w:szCs w:val="20"/>
          <w:lang w:eastAsia="en-AU"/>
        </w:rPr>
        <w:t>(</w:t>
      </w:r>
      <w:r w:rsidRPr="0089597A">
        <w:t>QALYs</w:t>
      </w:r>
      <w:r>
        <w:t>)</w:t>
      </w:r>
      <w:r w:rsidRPr="0089597A">
        <w:t xml:space="preserve"> – to </w:t>
      </w:r>
      <w:r>
        <w:t xml:space="preserve">better </w:t>
      </w:r>
      <w:r w:rsidRPr="0089597A">
        <w:t xml:space="preserve">demonstrate meaningful patient benefit </w:t>
      </w:r>
      <w:r>
        <w:t xml:space="preserve">and therefore economic value of funding the proposed intervention. </w:t>
      </w:r>
    </w:p>
    <w:p w14:paraId="6E2C07CC" w14:textId="77777777" w:rsidR="0018750D" w:rsidRPr="00EA0CF4" w:rsidRDefault="0018750D" w:rsidP="0018750D">
      <w:pPr>
        <w:spacing w:before="0" w:after="24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agreed with the commentary that the </w:t>
      </w:r>
      <w:r>
        <w:rPr>
          <w:rFonts w:eastAsia="Times New Roman" w:cs="Times New Roman"/>
          <w:color w:val="000000"/>
          <w:szCs w:val="20"/>
          <w:lang w:eastAsia="en-AU"/>
        </w:rPr>
        <w:t>economic</w:t>
      </w:r>
      <w:r w:rsidRPr="00EA0CF4">
        <w:rPr>
          <w:rFonts w:eastAsia="Times New Roman" w:cs="Times New Roman"/>
          <w:color w:val="000000"/>
          <w:szCs w:val="20"/>
          <w:lang w:eastAsia="en-AU"/>
        </w:rPr>
        <w:t xml:space="preserve"> model, although based on the National Institute for Health and Care Excellence (NICE) guidelines,</w:t>
      </w:r>
      <w:r>
        <w:rPr>
          <w:rStyle w:val="FootnoteReference"/>
          <w:rFonts w:eastAsia="Times New Roman" w:cs="Times New Roman"/>
          <w:color w:val="000000"/>
          <w:szCs w:val="20"/>
          <w:lang w:eastAsia="en-AU"/>
        </w:rPr>
        <w:footnoteReference w:id="11"/>
      </w:r>
      <w:r w:rsidRPr="00EA0CF4">
        <w:rPr>
          <w:rFonts w:eastAsia="Times New Roman" w:cs="Times New Roman"/>
          <w:color w:val="000000"/>
          <w:szCs w:val="20"/>
          <w:lang w:eastAsia="en-AU"/>
        </w:rPr>
        <w:t xml:space="preserve"> has incorrect assumptions – namely, </w:t>
      </w:r>
      <w:r>
        <w:rPr>
          <w:rFonts w:eastAsia="Times New Roman" w:cs="Times New Roman"/>
          <w:color w:val="000000"/>
          <w:szCs w:val="20"/>
          <w:lang w:eastAsia="en-AU"/>
        </w:rPr>
        <w:t>the model incorrectly assumes</w:t>
      </w:r>
      <w:r w:rsidRPr="00EA0CF4">
        <w:rPr>
          <w:rFonts w:eastAsia="Times New Roman" w:cs="Times New Roman"/>
          <w:color w:val="000000"/>
          <w:szCs w:val="20"/>
          <w:lang w:eastAsia="en-AU"/>
        </w:rPr>
        <w:t xml:space="preserve"> that no further testing </w:t>
      </w:r>
      <w:r>
        <w:rPr>
          <w:rFonts w:eastAsia="Times New Roman" w:cs="Times New Roman"/>
          <w:color w:val="000000"/>
          <w:szCs w:val="20"/>
          <w:lang w:eastAsia="en-AU"/>
        </w:rPr>
        <w:t>always suggests</w:t>
      </w:r>
      <w:r w:rsidRPr="00EA0CF4">
        <w:rPr>
          <w:rFonts w:eastAsia="Times New Roman" w:cs="Times New Roman"/>
          <w:color w:val="000000"/>
          <w:szCs w:val="20"/>
          <w:lang w:eastAsia="en-AU"/>
        </w:rPr>
        <w:t xml:space="preserve"> an incorrect diagnosis</w:t>
      </w:r>
      <w:r>
        <w:rPr>
          <w:rFonts w:eastAsia="Times New Roman" w:cs="Times New Roman"/>
          <w:color w:val="000000"/>
          <w:szCs w:val="20"/>
          <w:lang w:eastAsia="en-AU"/>
        </w:rPr>
        <w:t xml:space="preserve"> (whereas this can be due to other factors such as missed appointments or scan failures). The model also incorrectly assumes</w:t>
      </w:r>
      <w:r w:rsidRPr="00EA0CF4">
        <w:rPr>
          <w:rFonts w:eastAsia="Times New Roman" w:cs="Times New Roman"/>
          <w:color w:val="000000"/>
          <w:szCs w:val="20"/>
          <w:lang w:eastAsia="en-AU"/>
        </w:rPr>
        <w:t xml:space="preserve"> th</w:t>
      </w:r>
      <w:r>
        <w:rPr>
          <w:rFonts w:eastAsia="Times New Roman" w:cs="Times New Roman"/>
          <w:color w:val="000000"/>
          <w:szCs w:val="20"/>
          <w:lang w:eastAsia="en-AU"/>
        </w:rPr>
        <w:t xml:space="preserve">at the </w:t>
      </w:r>
      <w:r w:rsidRPr="00EA0CF4">
        <w:rPr>
          <w:rFonts w:eastAsia="Times New Roman" w:cs="Times New Roman"/>
          <w:color w:val="000000"/>
          <w:szCs w:val="20"/>
          <w:lang w:eastAsia="en-AU"/>
        </w:rPr>
        <w:t>use of a single cut-off for FIB-4 (no intermediate subgroup)</w:t>
      </w:r>
      <w:r>
        <w:rPr>
          <w:rFonts w:eastAsia="Times New Roman" w:cs="Times New Roman"/>
          <w:color w:val="000000"/>
          <w:szCs w:val="20"/>
          <w:lang w:eastAsia="en-AU"/>
        </w:rPr>
        <w:t xml:space="preserve"> is appropriate</w:t>
      </w:r>
      <w:r w:rsidRPr="00EA0CF4">
        <w:rPr>
          <w:rFonts w:eastAsia="Times New Roman" w:cs="Times New Roman"/>
          <w:color w:val="000000"/>
          <w:szCs w:val="20"/>
          <w:lang w:eastAsia="en-AU"/>
        </w:rPr>
        <w:t xml:space="preserve">, and </w:t>
      </w:r>
      <w:r>
        <w:rPr>
          <w:rFonts w:eastAsia="Times New Roman" w:cs="Times New Roman"/>
          <w:color w:val="000000"/>
          <w:szCs w:val="20"/>
          <w:lang w:eastAsia="en-AU"/>
        </w:rPr>
        <w:t>that</w:t>
      </w:r>
      <w:r w:rsidRPr="00EA0CF4">
        <w:rPr>
          <w:rFonts w:eastAsia="Times New Roman" w:cs="Times New Roman"/>
          <w:color w:val="000000"/>
          <w:szCs w:val="20"/>
          <w:lang w:eastAsia="en-AU"/>
        </w:rPr>
        <w:t xml:space="preserve"> US </w:t>
      </w:r>
      <w:r>
        <w:rPr>
          <w:rFonts w:eastAsia="Times New Roman" w:cs="Times New Roman"/>
          <w:color w:val="000000"/>
          <w:szCs w:val="20"/>
          <w:lang w:eastAsia="en-AU"/>
        </w:rPr>
        <w:t>i</w:t>
      </w:r>
      <w:r w:rsidRPr="00EA0CF4">
        <w:rPr>
          <w:rFonts w:eastAsia="Times New Roman" w:cs="Times New Roman"/>
          <w:color w:val="000000"/>
          <w:szCs w:val="20"/>
          <w:lang w:eastAsia="en-AU"/>
        </w:rPr>
        <w:t xml:space="preserve">s a comparator. ESC </w:t>
      </w:r>
      <w:r>
        <w:rPr>
          <w:rFonts w:eastAsia="Times New Roman" w:cs="Times New Roman"/>
          <w:color w:val="000000"/>
          <w:szCs w:val="20"/>
          <w:lang w:eastAsia="en-AU"/>
        </w:rPr>
        <w:t>considered</w:t>
      </w:r>
      <w:r w:rsidRPr="00EA0CF4">
        <w:rPr>
          <w:rFonts w:eastAsia="Times New Roman" w:cs="Times New Roman"/>
          <w:color w:val="000000"/>
          <w:szCs w:val="20"/>
          <w:lang w:eastAsia="en-AU"/>
        </w:rPr>
        <w:t xml:space="preserve"> that adding scan failures or missed appointments (for no further testing) is appropriate</w:t>
      </w:r>
      <w:r>
        <w:rPr>
          <w:rFonts w:eastAsia="Times New Roman" w:cs="Times New Roman"/>
          <w:color w:val="000000"/>
          <w:szCs w:val="20"/>
          <w:lang w:eastAsia="en-AU"/>
        </w:rPr>
        <w:t xml:space="preserve">, that </w:t>
      </w:r>
      <w:r w:rsidRPr="00EA0CF4">
        <w:rPr>
          <w:rFonts w:eastAsia="Times New Roman" w:cs="Times New Roman"/>
          <w:color w:val="000000"/>
          <w:szCs w:val="20"/>
          <w:lang w:eastAsia="en-AU"/>
        </w:rPr>
        <w:t>the model should align with PICO cut-off thresholds (FIB-4 1.3 and 2.7)</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and the comparator should be S</w:t>
      </w:r>
      <w:r>
        <w:rPr>
          <w:rFonts w:eastAsia="Times New Roman" w:cs="Times New Roman"/>
          <w:color w:val="000000"/>
          <w:szCs w:val="20"/>
          <w:lang w:eastAsia="en-AU"/>
        </w:rPr>
        <w:t>O</w:t>
      </w:r>
      <w:r w:rsidRPr="00EA0CF4">
        <w:rPr>
          <w:rFonts w:eastAsia="Times New Roman" w:cs="Times New Roman"/>
          <w:color w:val="000000"/>
          <w:szCs w:val="20"/>
          <w:lang w:eastAsia="en-AU"/>
        </w:rPr>
        <w:t>C</w:t>
      </w:r>
      <w:r>
        <w:rPr>
          <w:rFonts w:eastAsia="Times New Roman" w:cs="Times New Roman"/>
          <w:color w:val="000000"/>
          <w:szCs w:val="20"/>
          <w:lang w:eastAsia="en-AU"/>
        </w:rPr>
        <w:t xml:space="preserve"> including non-funded tests and excluding US</w:t>
      </w:r>
      <w:r w:rsidRPr="00EA0CF4">
        <w:rPr>
          <w:rFonts w:eastAsia="Times New Roman" w:cs="Times New Roman"/>
          <w:color w:val="000000"/>
          <w:szCs w:val="20"/>
          <w:lang w:eastAsia="en-AU"/>
        </w:rPr>
        <w:t xml:space="preserve">. In addition, </w:t>
      </w:r>
      <w:r>
        <w:rPr>
          <w:rFonts w:eastAsia="Times New Roman" w:cs="Times New Roman"/>
          <w:color w:val="000000"/>
          <w:szCs w:val="20"/>
          <w:lang w:eastAsia="en-AU"/>
        </w:rPr>
        <w:t>ESC agreed with the commentary noting that</w:t>
      </w:r>
      <w:r w:rsidRPr="00EA0CF4">
        <w:rPr>
          <w:rFonts w:eastAsia="Times New Roman" w:cs="Times New Roman"/>
          <w:color w:val="000000"/>
          <w:szCs w:val="20"/>
          <w:lang w:eastAsia="en-AU"/>
        </w:rPr>
        <w:t xml:space="preserve"> there were issues with applicability to the Australian setting (prevalence source </w:t>
      </w:r>
      <w:r>
        <w:rPr>
          <w:rFonts w:eastAsia="Times New Roman" w:cs="Times New Roman"/>
          <w:color w:val="000000"/>
          <w:szCs w:val="20"/>
          <w:lang w:eastAsia="en-AU"/>
        </w:rPr>
        <w:t>Armstrong et al. 2021</w:t>
      </w:r>
      <w:r>
        <w:rPr>
          <w:rStyle w:val="FootnoteReference"/>
          <w:rFonts w:eastAsia="Times New Roman" w:cs="Times New Roman"/>
          <w:color w:val="000000"/>
          <w:szCs w:val="20"/>
          <w:lang w:eastAsia="en-AU"/>
        </w:rPr>
        <w:footnoteReference w:id="12"/>
      </w:r>
      <w:r>
        <w:rPr>
          <w:rFonts w:eastAsia="Times New Roman" w:cs="Times New Roman"/>
          <w:color w:val="000000"/>
          <w:szCs w:val="20"/>
          <w:lang w:eastAsia="en-AU"/>
        </w:rPr>
        <w:t xml:space="preserve"> which is also the reference for the GESA guidelines was a UK based study</w:t>
      </w:r>
      <w:r w:rsidRPr="00EA0CF4">
        <w:rPr>
          <w:rFonts w:eastAsia="Times New Roman" w:cs="Times New Roman"/>
          <w:color w:val="000000"/>
          <w:szCs w:val="20"/>
          <w:lang w:eastAsia="en-AU"/>
        </w:rPr>
        <w:t xml:space="preserve">), and </w:t>
      </w:r>
      <w:r>
        <w:rPr>
          <w:rFonts w:eastAsia="Times New Roman" w:cs="Times New Roman"/>
          <w:color w:val="000000"/>
          <w:szCs w:val="20"/>
          <w:lang w:eastAsia="en-AU"/>
        </w:rPr>
        <w:t>that the model did not differentiate between management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in </w:t>
      </w:r>
      <w:r w:rsidRPr="00EA0CF4">
        <w:rPr>
          <w:rFonts w:eastAsia="Times New Roman" w:cs="Times New Roman"/>
          <w:color w:val="000000"/>
          <w:szCs w:val="20"/>
          <w:lang w:eastAsia="en-AU"/>
        </w:rPr>
        <w:t xml:space="preserve">primary and specialist care. </w:t>
      </w:r>
      <w:r>
        <w:rPr>
          <w:rFonts w:eastAsia="Times New Roman" w:cs="Times New Roman"/>
          <w:color w:val="000000"/>
          <w:szCs w:val="20"/>
          <w:lang w:eastAsia="en-AU"/>
        </w:rPr>
        <w:t xml:space="preserve">ESC also agreed with the commentary on </w:t>
      </w:r>
      <w:r w:rsidRPr="00265D39">
        <w:rPr>
          <w:rFonts w:eastAsia="Times New Roman" w:cs="Times New Roman"/>
          <w:color w:val="000000"/>
          <w:szCs w:val="20"/>
          <w:lang w:eastAsia="en-AU"/>
        </w:rPr>
        <w:t>uncertainty around key inputs in the economic model such as utilisation and costs of VCTE, US, GP visits and specialist visits.</w:t>
      </w:r>
      <w:r>
        <w:rPr>
          <w:rFonts w:eastAsia="Times New Roman" w:cs="Times New Roman"/>
          <w:color w:val="000000"/>
          <w:szCs w:val="20"/>
          <w:lang w:eastAsia="en-AU"/>
        </w:rPr>
        <w:t xml:space="preserve"> </w:t>
      </w:r>
      <w:r>
        <w:t xml:space="preserve">ESC noted the </w:t>
      </w:r>
      <w:r w:rsidRPr="00413D78">
        <w:t xml:space="preserve">exploratory analysis conducted </w:t>
      </w:r>
      <w:r>
        <w:t xml:space="preserve">by the commentary </w:t>
      </w:r>
      <w:r w:rsidRPr="00413D78">
        <w:t>during the evaluation</w:t>
      </w:r>
      <w:r>
        <w:t>, which</w:t>
      </w:r>
      <w:r w:rsidRPr="00413D78">
        <w:t xml:space="preserve"> compar</w:t>
      </w:r>
      <w:r>
        <w:t>ed</w:t>
      </w:r>
      <w:r w:rsidRPr="00413D78">
        <w:t xml:space="preserve"> the sequential strategy of FIB-4 testing followed by VCTE using a rule</w:t>
      </w:r>
      <w:r>
        <w:t>-</w:t>
      </w:r>
      <w:r w:rsidRPr="00413D78">
        <w:t>out and rule</w:t>
      </w:r>
      <w:r>
        <w:t>-</w:t>
      </w:r>
      <w:r w:rsidRPr="00413D78">
        <w:t>in threshold of &lt;</w:t>
      </w:r>
      <w:r>
        <w:t xml:space="preserve"> </w:t>
      </w:r>
      <w:r w:rsidRPr="00413D78">
        <w:t>8.0kPa and ≥</w:t>
      </w:r>
      <w:r>
        <w:t xml:space="preserve"> </w:t>
      </w:r>
      <w:r w:rsidRPr="00413D78">
        <w:t>10.0kPa in patients with FIB-4 ≥</w:t>
      </w:r>
      <w:r>
        <w:t xml:space="preserve"> </w:t>
      </w:r>
      <w:r w:rsidRPr="00413D78">
        <w:t xml:space="preserve">1.3 and &lt; 2.67 (informed by Mozes </w:t>
      </w:r>
      <w:r>
        <w:t xml:space="preserve">et al. </w:t>
      </w:r>
      <w:r w:rsidRPr="00413D78">
        <w:t>2022)</w:t>
      </w:r>
      <w:r>
        <w:t xml:space="preserve">. The </w:t>
      </w:r>
      <w:r w:rsidRPr="00413D78">
        <w:t xml:space="preserve">comparator </w:t>
      </w:r>
      <w:r>
        <w:t>in the analysis was</w:t>
      </w:r>
      <w:r w:rsidRPr="00413D78">
        <w:t xml:space="preserve"> FIB-4 testing only (with referral if FIB-4≥1.3)</w:t>
      </w:r>
      <w:r>
        <w:t>. ESC noted the analysis</w:t>
      </w:r>
      <w:r w:rsidRPr="00413D78">
        <w:t xml:space="preserve"> suggested that there would be fewer misclassified patients and fewer unnecessary referrals with the sequential strategy, resulting in a lower cost per correct diagnosis. However, the sequential strategy was also associated with more missed diagnoses of AF compared to FIB-4 testing only. </w:t>
      </w:r>
      <w:r>
        <w:t xml:space="preserve">ESC noted the results of the exploratory analysis and considered that the application should proceed with the thresholds in the evidence and present data on misclassification. </w:t>
      </w:r>
      <w:r w:rsidRPr="00EA0CF4">
        <w:rPr>
          <w:rFonts w:eastAsia="Times New Roman" w:cs="Times New Roman"/>
          <w:color w:val="000000"/>
          <w:szCs w:val="20"/>
          <w:lang w:eastAsia="en-AU"/>
        </w:rPr>
        <w:t xml:space="preserve">ESC </w:t>
      </w:r>
      <w:r>
        <w:rPr>
          <w:rFonts w:eastAsia="Times New Roman" w:cs="Times New Roman"/>
          <w:color w:val="000000"/>
          <w:szCs w:val="20"/>
          <w:lang w:eastAsia="en-AU"/>
        </w:rPr>
        <w:t>also</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considered</w:t>
      </w:r>
      <w:r w:rsidRPr="00EA0CF4">
        <w:rPr>
          <w:rFonts w:eastAsia="Times New Roman" w:cs="Times New Roman"/>
          <w:color w:val="000000"/>
          <w:szCs w:val="20"/>
          <w:lang w:eastAsia="en-AU"/>
        </w:rPr>
        <w:t xml:space="preserve"> that the commentary’s reanalysis using 2-tier diagnostic tests </w:t>
      </w:r>
      <w:r>
        <w:rPr>
          <w:rFonts w:eastAsia="Times New Roman" w:cs="Times New Roman"/>
          <w:color w:val="000000"/>
          <w:szCs w:val="20"/>
          <w:lang w:eastAsia="en-AU"/>
        </w:rPr>
        <w:t xml:space="preserve">highlighted differences to the base case and </w:t>
      </w:r>
      <w:r w:rsidRPr="00EA0CF4">
        <w:rPr>
          <w:rFonts w:eastAsia="Times New Roman" w:cs="Times New Roman"/>
          <w:color w:val="000000"/>
          <w:szCs w:val="20"/>
          <w:lang w:eastAsia="en-AU"/>
        </w:rPr>
        <w:t>w</w:t>
      </w:r>
      <w:r>
        <w:rPr>
          <w:rFonts w:eastAsia="Times New Roman" w:cs="Times New Roman"/>
          <w:color w:val="000000"/>
          <w:szCs w:val="20"/>
          <w:lang w:eastAsia="en-AU"/>
        </w:rPr>
        <w:t>as</w:t>
      </w:r>
      <w:r w:rsidRPr="00EA0CF4">
        <w:rPr>
          <w:rFonts w:eastAsia="Times New Roman" w:cs="Times New Roman"/>
          <w:color w:val="000000"/>
          <w:szCs w:val="20"/>
          <w:lang w:eastAsia="en-AU"/>
        </w:rPr>
        <w:t xml:space="preserve"> more appropriate</w:t>
      </w:r>
      <w:r>
        <w:rPr>
          <w:rFonts w:eastAsia="Times New Roman" w:cs="Times New Roman"/>
          <w:color w:val="000000"/>
          <w:szCs w:val="20"/>
          <w:lang w:eastAsia="en-AU"/>
        </w:rPr>
        <w:t xml:space="preserve"> for informing the economic evaluation than the approach in the ADAR</w:t>
      </w:r>
      <w:r w:rsidRPr="00EA0CF4">
        <w:rPr>
          <w:rFonts w:eastAsia="Times New Roman" w:cs="Times New Roman"/>
          <w:color w:val="000000"/>
          <w:szCs w:val="20"/>
          <w:lang w:eastAsia="en-AU"/>
        </w:rPr>
        <w:t xml:space="preserve">. </w:t>
      </w:r>
    </w:p>
    <w:p w14:paraId="2A33FCA5" w14:textId="2D9BF3BB" w:rsidR="0018750D" w:rsidRPr="00EA0CF4" w:rsidRDefault="0018750D" w:rsidP="0018750D">
      <w:p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ESC noted t</w:t>
      </w:r>
      <w:r w:rsidRPr="00EA0CF4">
        <w:rPr>
          <w:rFonts w:eastAsia="Times New Roman" w:cs="Times New Roman"/>
          <w:color w:val="000000"/>
          <w:szCs w:val="20"/>
          <w:lang w:eastAsia="en-AU"/>
        </w:rPr>
        <w:t xml:space="preserve">he base case </w:t>
      </w:r>
      <w:r w:rsidR="0039253C">
        <w:rPr>
          <w:rFonts w:eastAsia="Times New Roman" w:cs="Times New Roman"/>
          <w:color w:val="000000"/>
          <w:szCs w:val="20"/>
          <w:lang w:eastAsia="en-AU"/>
        </w:rPr>
        <w:t xml:space="preserve">results </w:t>
      </w:r>
      <w:r w:rsidRPr="00EA0CF4">
        <w:rPr>
          <w:rFonts w:eastAsia="Times New Roman" w:cs="Times New Roman"/>
          <w:color w:val="000000"/>
          <w:szCs w:val="20"/>
          <w:lang w:eastAsia="en-AU"/>
        </w:rPr>
        <w:t>for primary care were $218.74 per correct diagnosis for VCTE and $451.04 per correct diagnosis for S</w:t>
      </w:r>
      <w:r>
        <w:rPr>
          <w:rFonts w:eastAsia="Times New Roman" w:cs="Times New Roman"/>
          <w:color w:val="000000"/>
          <w:szCs w:val="20"/>
          <w:lang w:eastAsia="en-AU"/>
        </w:rPr>
        <w:t>O</w:t>
      </w:r>
      <w:r w:rsidRPr="00EA0CF4">
        <w:rPr>
          <w:rFonts w:eastAsia="Times New Roman" w:cs="Times New Roman"/>
          <w:color w:val="000000"/>
          <w:szCs w:val="20"/>
          <w:lang w:eastAsia="en-AU"/>
        </w:rPr>
        <w:t xml:space="preserve">C. For secondary care, the </w:t>
      </w:r>
      <w:r w:rsidR="00C54540">
        <w:rPr>
          <w:rFonts w:eastAsia="Times New Roman" w:cs="Times New Roman"/>
          <w:color w:val="000000"/>
          <w:szCs w:val="20"/>
          <w:lang w:eastAsia="en-AU"/>
        </w:rPr>
        <w:t xml:space="preserve">results </w:t>
      </w:r>
      <w:r w:rsidRPr="00EA0CF4">
        <w:rPr>
          <w:rFonts w:eastAsia="Times New Roman" w:cs="Times New Roman"/>
          <w:color w:val="000000"/>
          <w:szCs w:val="20"/>
          <w:lang w:eastAsia="en-AU"/>
        </w:rPr>
        <w:t>were $204.98 per correct diagnosis for VCTE and $392.22 per correct diagnosis for S</w:t>
      </w:r>
      <w:r>
        <w:rPr>
          <w:rFonts w:eastAsia="Times New Roman" w:cs="Times New Roman"/>
          <w:color w:val="000000"/>
          <w:szCs w:val="20"/>
          <w:lang w:eastAsia="en-AU"/>
        </w:rPr>
        <w:t>O</w:t>
      </w:r>
      <w:r w:rsidRPr="00EA0CF4">
        <w:rPr>
          <w:rFonts w:eastAsia="Times New Roman" w:cs="Times New Roman"/>
          <w:color w:val="000000"/>
          <w:szCs w:val="20"/>
          <w:lang w:eastAsia="en-AU"/>
        </w:rPr>
        <w:t xml:space="preserve">C. </w:t>
      </w:r>
      <w:r>
        <w:rPr>
          <w:rFonts w:eastAsia="Times New Roman" w:cs="Times New Roman"/>
          <w:color w:val="000000"/>
          <w:szCs w:val="20"/>
          <w:lang w:eastAsia="en-AU"/>
        </w:rPr>
        <w:t>ESC considered that t</w:t>
      </w:r>
      <w:r w:rsidRPr="00EA0CF4">
        <w:rPr>
          <w:rFonts w:eastAsia="Times New Roman" w:cs="Times New Roman"/>
          <w:color w:val="000000"/>
          <w:szCs w:val="20"/>
          <w:lang w:eastAsia="en-AU"/>
        </w:rPr>
        <w:t>he sensitivity analyses demonstrated that VCTE remained cheaper than S</w:t>
      </w:r>
      <w:r>
        <w:rPr>
          <w:rFonts w:eastAsia="Times New Roman" w:cs="Times New Roman"/>
          <w:color w:val="000000"/>
          <w:szCs w:val="20"/>
          <w:lang w:eastAsia="en-AU"/>
        </w:rPr>
        <w:t>O</w:t>
      </w:r>
      <w:r w:rsidRPr="00EA0CF4">
        <w:rPr>
          <w:rFonts w:eastAsia="Times New Roman" w:cs="Times New Roman"/>
          <w:color w:val="000000"/>
          <w:szCs w:val="20"/>
          <w:lang w:eastAsia="en-AU"/>
        </w:rPr>
        <w:t xml:space="preserve">C per correct diagnosis for different scenarios, such as different fibrosis prevalences and VCTE sensitivities and specificities, for both care settings. </w:t>
      </w:r>
      <w:r>
        <w:rPr>
          <w:rFonts w:eastAsia="Times New Roman" w:cs="Times New Roman"/>
          <w:color w:val="000000"/>
          <w:szCs w:val="20"/>
          <w:lang w:eastAsia="en-AU"/>
        </w:rPr>
        <w:t>ESC noted t</w:t>
      </w:r>
      <w:r w:rsidRPr="00EA0CF4">
        <w:rPr>
          <w:rFonts w:eastAsia="Times New Roman" w:cs="Times New Roman"/>
          <w:color w:val="000000"/>
          <w:szCs w:val="20"/>
          <w:lang w:eastAsia="en-AU"/>
        </w:rPr>
        <w:t>he sensitivity analyses</w:t>
      </w:r>
      <w:r>
        <w:rPr>
          <w:rFonts w:eastAsia="Times New Roman" w:cs="Times New Roman"/>
          <w:color w:val="000000"/>
          <w:szCs w:val="20"/>
          <w:lang w:eastAsia="en-AU"/>
        </w:rPr>
        <w:t xml:space="preserve"> in the commentary,</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which </w:t>
      </w:r>
      <w:r w:rsidRPr="00EA0CF4">
        <w:rPr>
          <w:rFonts w:eastAsia="Times New Roman" w:cs="Times New Roman"/>
          <w:color w:val="000000"/>
          <w:szCs w:val="20"/>
          <w:lang w:eastAsia="en-AU"/>
        </w:rPr>
        <w:t>correct</w:t>
      </w:r>
      <w:r>
        <w:rPr>
          <w:rFonts w:eastAsia="Times New Roman" w:cs="Times New Roman"/>
          <w:color w:val="000000"/>
          <w:szCs w:val="20"/>
          <w:lang w:eastAsia="en-AU"/>
        </w:rPr>
        <w:t>ed</w:t>
      </w:r>
      <w:r w:rsidRPr="00EA0CF4">
        <w:rPr>
          <w:rFonts w:eastAsia="Times New Roman" w:cs="Times New Roman"/>
          <w:color w:val="000000"/>
          <w:szCs w:val="20"/>
          <w:lang w:eastAsia="en-AU"/>
        </w:rPr>
        <w:t xml:space="preserve"> the assumptions made in the ADAR</w:t>
      </w:r>
      <w:r>
        <w:rPr>
          <w:rFonts w:eastAsia="Times New Roman" w:cs="Times New Roman"/>
          <w:color w:val="000000"/>
          <w:szCs w:val="20"/>
          <w:lang w:eastAsia="en-AU"/>
        </w:rPr>
        <w:t>, including the use of dual LSM thresholds (aligned with the clinical evidence provided).</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The analyses</w:t>
      </w:r>
      <w:r w:rsidRPr="00EA0CF4">
        <w:rPr>
          <w:rFonts w:eastAsia="Times New Roman" w:cs="Times New Roman"/>
          <w:color w:val="000000"/>
          <w:szCs w:val="20"/>
          <w:lang w:eastAsia="en-AU"/>
        </w:rPr>
        <w:t xml:space="preserve"> determined that FIB-4 + VCTE </w:t>
      </w:r>
      <w:r>
        <w:rPr>
          <w:rFonts w:eastAsia="Times New Roman" w:cs="Times New Roman"/>
          <w:color w:val="000000"/>
          <w:szCs w:val="20"/>
          <w:lang w:eastAsia="en-AU"/>
        </w:rPr>
        <w:t>resulted in 16% more</w:t>
      </w:r>
      <w:r w:rsidRPr="00EA0CF4">
        <w:rPr>
          <w:rFonts w:eastAsia="Times New Roman" w:cs="Times New Roman"/>
          <w:color w:val="000000"/>
          <w:szCs w:val="20"/>
          <w:lang w:eastAsia="en-AU"/>
        </w:rPr>
        <w:t xml:space="preserve"> correct diagnoses </w:t>
      </w:r>
      <w:r>
        <w:rPr>
          <w:rFonts w:eastAsia="Times New Roman" w:cs="Times New Roman"/>
          <w:color w:val="000000"/>
          <w:szCs w:val="20"/>
          <w:lang w:eastAsia="en-AU"/>
        </w:rPr>
        <w:t>compared with SOC.</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ESC further noted that t</w:t>
      </w:r>
      <w:r w:rsidRPr="00EA0CF4">
        <w:rPr>
          <w:rFonts w:eastAsia="Times New Roman" w:cs="Times New Roman"/>
          <w:color w:val="000000"/>
          <w:szCs w:val="20"/>
          <w:lang w:eastAsia="en-AU"/>
        </w:rPr>
        <w:t xml:space="preserve">he commentary determined </w:t>
      </w:r>
      <w:r w:rsidRPr="00EA0CF4">
        <w:rPr>
          <w:rFonts w:eastAsia="Times New Roman" w:cs="Times New Roman"/>
          <w:color w:val="000000"/>
          <w:szCs w:val="20"/>
          <w:lang w:eastAsia="en-AU"/>
        </w:rPr>
        <w:lastRenderedPageBreak/>
        <w:t>that FIB-4 + VCTE was associated with a lower cost per correct diagnosis than S</w:t>
      </w:r>
      <w:r>
        <w:rPr>
          <w:rFonts w:eastAsia="Times New Roman" w:cs="Times New Roman"/>
          <w:color w:val="000000"/>
          <w:szCs w:val="20"/>
          <w:lang w:eastAsia="en-AU"/>
        </w:rPr>
        <w:t>O</w:t>
      </w:r>
      <w:r w:rsidRPr="00EA0CF4">
        <w:rPr>
          <w:rFonts w:eastAsia="Times New Roman" w:cs="Times New Roman"/>
          <w:color w:val="000000"/>
          <w:szCs w:val="20"/>
          <w:lang w:eastAsia="en-AU"/>
        </w:rPr>
        <w:t xml:space="preserve">C, </w:t>
      </w:r>
      <w:r>
        <w:rPr>
          <w:rFonts w:eastAsia="Times New Roman" w:cs="Times New Roman"/>
          <w:color w:val="000000"/>
          <w:szCs w:val="20"/>
          <w:lang w:eastAsia="en-AU"/>
        </w:rPr>
        <w:t xml:space="preserve">although </w:t>
      </w:r>
      <w:r w:rsidRPr="00EA0CF4">
        <w:rPr>
          <w:rFonts w:eastAsia="Times New Roman" w:cs="Times New Roman"/>
          <w:color w:val="000000"/>
          <w:szCs w:val="20"/>
          <w:lang w:eastAsia="en-AU"/>
        </w:rPr>
        <w:t xml:space="preserve">costs were higher than </w:t>
      </w:r>
      <w:r>
        <w:rPr>
          <w:rFonts w:eastAsia="Times New Roman" w:cs="Times New Roman"/>
          <w:color w:val="000000"/>
          <w:szCs w:val="20"/>
          <w:lang w:eastAsia="en-AU"/>
        </w:rPr>
        <w:t>those</w:t>
      </w:r>
      <w:r w:rsidRPr="00EA0CF4">
        <w:rPr>
          <w:rFonts w:eastAsia="Times New Roman" w:cs="Times New Roman"/>
          <w:color w:val="000000"/>
          <w:szCs w:val="20"/>
          <w:lang w:eastAsia="en-AU"/>
        </w:rPr>
        <w:t xml:space="preserve"> calculated in the ADAR.</w:t>
      </w:r>
    </w:p>
    <w:p w14:paraId="27701032" w14:textId="77777777" w:rsidR="0018750D" w:rsidRPr="00EA0CF4" w:rsidRDefault="0018750D" w:rsidP="0018750D">
      <w:pPr>
        <w:keepNext/>
        <w:spacing w:before="0" w:after="12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noted that the financial impact was calculated using a mixed epidemiological and market-based approach. </w:t>
      </w:r>
      <w:r>
        <w:rPr>
          <w:rFonts w:eastAsia="Times New Roman" w:cs="Times New Roman"/>
          <w:color w:val="000000"/>
          <w:szCs w:val="20"/>
          <w:lang w:eastAsia="en-AU"/>
        </w:rPr>
        <w:t>ESC noted that c</w:t>
      </w:r>
      <w:r w:rsidRPr="00EA0CF4">
        <w:rPr>
          <w:rFonts w:eastAsia="Times New Roman" w:cs="Times New Roman"/>
          <w:color w:val="000000"/>
          <w:szCs w:val="20"/>
          <w:lang w:eastAsia="en-AU"/>
        </w:rPr>
        <w:t xml:space="preserve">osts to the MBS </w:t>
      </w:r>
      <w:r>
        <w:rPr>
          <w:rFonts w:eastAsia="Times New Roman" w:cs="Times New Roman"/>
          <w:color w:val="000000"/>
          <w:szCs w:val="20"/>
          <w:lang w:eastAsia="en-AU"/>
        </w:rPr>
        <w:t>–</w:t>
      </w:r>
      <w:r w:rsidRPr="00EA0CF4">
        <w:rPr>
          <w:rFonts w:eastAsia="Times New Roman" w:cs="Times New Roman"/>
          <w:color w:val="000000"/>
          <w:szCs w:val="20"/>
          <w:lang w:eastAsia="en-AU"/>
        </w:rPr>
        <w:t xml:space="preserve"> </w:t>
      </w:r>
      <w:r>
        <w:rPr>
          <w:rFonts w:eastAsia="Times New Roman" w:cs="Times New Roman"/>
          <w:color w:val="000000"/>
          <w:szCs w:val="20"/>
          <w:lang w:eastAsia="en-AU"/>
        </w:rPr>
        <w:t xml:space="preserve">without considering the cost offsets due to changes in use of other health technologies – </w:t>
      </w:r>
      <w:r w:rsidRPr="00EA0CF4">
        <w:rPr>
          <w:rFonts w:eastAsia="Times New Roman" w:cs="Times New Roman"/>
          <w:color w:val="000000"/>
          <w:szCs w:val="20"/>
          <w:lang w:eastAsia="en-AU"/>
        </w:rPr>
        <w:t>were as follows:</w:t>
      </w:r>
    </w:p>
    <w:p w14:paraId="19561FA6" w14:textId="223F447E" w:rsidR="0018750D" w:rsidRPr="00872EFA" w:rsidRDefault="0018750D" w:rsidP="00872EFA">
      <w:pPr>
        <w:pStyle w:val="ListParagraph"/>
        <w:numPr>
          <w:ilvl w:val="0"/>
          <w:numId w:val="23"/>
        </w:numPr>
        <w:tabs>
          <w:tab w:val="num" w:pos="567"/>
        </w:tabs>
        <w:spacing w:before="0" w:after="120" w:line="240" w:lineRule="auto"/>
        <w:ind w:left="567" w:hanging="567"/>
        <w:contextualSpacing w:val="0"/>
        <w:rPr>
          <w:rFonts w:eastAsia="Times New Roman" w:cs="Times New Roman"/>
          <w:color w:val="000000"/>
          <w:szCs w:val="20"/>
          <w:lang w:eastAsia="en-AU"/>
        </w:rPr>
      </w:pPr>
      <w:r w:rsidRPr="001E7A18">
        <w:rPr>
          <w:rFonts w:eastAsia="Times New Roman" w:cs="Times New Roman"/>
          <w:color w:val="000000"/>
          <w:szCs w:val="20"/>
          <w:lang w:eastAsia="en-AU"/>
        </w:rPr>
        <w:t>In primary care: $3,641,063 in year 1, increasing to $9,123,754 in year 6</w:t>
      </w:r>
    </w:p>
    <w:p w14:paraId="1808F055" w14:textId="77777777" w:rsidR="0018750D" w:rsidRPr="001E7A18" w:rsidRDefault="0018750D" w:rsidP="0018750D">
      <w:pPr>
        <w:pStyle w:val="ListParagraph"/>
        <w:numPr>
          <w:ilvl w:val="0"/>
          <w:numId w:val="23"/>
        </w:numPr>
        <w:tabs>
          <w:tab w:val="num" w:pos="567"/>
        </w:tabs>
        <w:spacing w:before="0" w:after="240" w:line="240" w:lineRule="auto"/>
        <w:ind w:left="567" w:hanging="567"/>
        <w:rPr>
          <w:rFonts w:eastAsia="Times New Roman" w:cs="Times New Roman"/>
          <w:color w:val="000000"/>
          <w:szCs w:val="20"/>
          <w:lang w:eastAsia="en-AU"/>
        </w:rPr>
      </w:pPr>
      <w:r w:rsidRPr="001E7A18">
        <w:rPr>
          <w:rFonts w:eastAsia="Times New Roman" w:cs="Times New Roman"/>
          <w:color w:val="000000"/>
          <w:szCs w:val="20"/>
          <w:lang w:eastAsia="en-AU"/>
        </w:rPr>
        <w:t>In specialist care: $24,022,800 in year 1, decreasing to $10,885,142 in year 6.</w:t>
      </w:r>
    </w:p>
    <w:p w14:paraId="29F8BC3B" w14:textId="77777777" w:rsidR="0018750D" w:rsidRDefault="0018750D" w:rsidP="0018750D">
      <w:pPr>
        <w:keepNext/>
        <w:spacing w:before="0" w:after="12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However, ESC </w:t>
      </w:r>
      <w:r>
        <w:rPr>
          <w:rFonts w:eastAsia="Times New Roman" w:cs="Times New Roman"/>
          <w:color w:val="000000"/>
          <w:szCs w:val="20"/>
          <w:lang w:eastAsia="en-AU"/>
        </w:rPr>
        <w:t xml:space="preserve">considered that the </w:t>
      </w:r>
      <w:r w:rsidRPr="00EA0CF4">
        <w:rPr>
          <w:rFonts w:eastAsia="Times New Roman" w:cs="Times New Roman"/>
          <w:color w:val="000000"/>
          <w:szCs w:val="20"/>
          <w:lang w:eastAsia="en-AU"/>
        </w:rPr>
        <w:t xml:space="preserve">financial </w:t>
      </w:r>
      <w:r>
        <w:rPr>
          <w:rFonts w:eastAsia="Times New Roman" w:cs="Times New Roman"/>
          <w:color w:val="000000"/>
          <w:szCs w:val="20"/>
          <w:lang w:eastAsia="en-AU"/>
        </w:rPr>
        <w:t xml:space="preserve">estimates and </w:t>
      </w:r>
      <w:r w:rsidRPr="00EA0CF4">
        <w:rPr>
          <w:rFonts w:eastAsia="Times New Roman" w:cs="Times New Roman"/>
          <w:color w:val="000000"/>
          <w:szCs w:val="20"/>
          <w:lang w:eastAsia="en-AU"/>
        </w:rPr>
        <w:t>impact</w:t>
      </w:r>
      <w:r>
        <w:rPr>
          <w:rFonts w:eastAsia="Times New Roman" w:cs="Times New Roman"/>
          <w:color w:val="000000"/>
          <w:szCs w:val="20"/>
          <w:lang w:eastAsia="en-AU"/>
        </w:rPr>
        <w:t xml:space="preserve"> were highly uncertain. </w:t>
      </w:r>
      <w:r w:rsidRPr="00265D39">
        <w:rPr>
          <w:rFonts w:eastAsia="Times New Roman" w:cs="Times New Roman"/>
          <w:color w:val="000000"/>
          <w:szCs w:val="20"/>
          <w:lang w:eastAsia="en-AU"/>
        </w:rPr>
        <w:t>ESC considered the use of MBS item 55036 (abdominal ultrasound) as a proxy for the number of MAFLD patients potentially eligible for VCTE was highly uncertain and will likely overestimate the MAFLD population, as item 55036 is for any morphological assessment of the abdomen by ultrasound regardless of underlying diagnosis and is therefore not specific for MAFLD diagnosis. Furthermore, ESC noted that some patients may use the item multiple times per year, and tests other than ultrasound may be used to diagnose MAFLD. ESC also noted that the ADAR used the incorrect MBS item to calculate cost offsets, th</w:t>
      </w:r>
      <w:r>
        <w:rPr>
          <w:rFonts w:eastAsia="Times New Roman" w:cs="Times New Roman"/>
          <w:color w:val="000000"/>
          <w:szCs w:val="20"/>
          <w:lang w:eastAsia="en-AU"/>
        </w:rPr>
        <w:t>ereby</w:t>
      </w:r>
      <w:r w:rsidRPr="00265D39">
        <w:rPr>
          <w:rFonts w:eastAsia="Times New Roman" w:cs="Times New Roman"/>
          <w:color w:val="000000"/>
          <w:szCs w:val="20"/>
          <w:lang w:eastAsia="en-AU"/>
        </w:rPr>
        <w:t xml:space="preserve"> making these calculations uncertain</w:t>
      </w:r>
      <w:r>
        <w:rPr>
          <w:rFonts w:eastAsia="Times New Roman" w:cs="Times New Roman"/>
          <w:color w:val="000000"/>
          <w:szCs w:val="20"/>
          <w:lang w:eastAsia="en-AU"/>
        </w:rPr>
        <w:t>; however</w:t>
      </w:r>
      <w:r w:rsidRPr="00265D39">
        <w:rPr>
          <w:rFonts w:eastAsia="Times New Roman" w:cs="Times New Roman"/>
          <w:color w:val="000000"/>
          <w:szCs w:val="20"/>
          <w:lang w:eastAsia="en-AU"/>
        </w:rPr>
        <w:t xml:space="preserve">, </w:t>
      </w:r>
      <w:r>
        <w:rPr>
          <w:rFonts w:eastAsia="Times New Roman" w:cs="Times New Roman"/>
          <w:color w:val="000000"/>
          <w:szCs w:val="20"/>
          <w:lang w:eastAsia="en-AU"/>
        </w:rPr>
        <w:t>it was</w:t>
      </w:r>
      <w:r w:rsidRPr="00265D39">
        <w:rPr>
          <w:rFonts w:eastAsia="Times New Roman" w:cs="Times New Roman"/>
          <w:color w:val="000000"/>
          <w:szCs w:val="20"/>
          <w:lang w:eastAsia="en-AU"/>
        </w:rPr>
        <w:t xml:space="preserve"> noted that using </w:t>
      </w:r>
      <w:r>
        <w:rPr>
          <w:rFonts w:eastAsia="Times New Roman" w:cs="Times New Roman"/>
          <w:color w:val="000000"/>
          <w:szCs w:val="20"/>
          <w:lang w:eastAsia="en-AU"/>
        </w:rPr>
        <w:t xml:space="preserve">the </w:t>
      </w:r>
      <w:r w:rsidRPr="00265D39">
        <w:rPr>
          <w:rFonts w:eastAsia="Times New Roman" w:cs="Times New Roman"/>
          <w:color w:val="000000"/>
          <w:szCs w:val="20"/>
          <w:lang w:eastAsia="en-AU"/>
        </w:rPr>
        <w:t>correct costs did not significantly alter the outcomes. ESC considered it would be informative to show the effect of removing all cost offsets and a sensitivity analysis on reduced referral rates.</w:t>
      </w:r>
      <w:r>
        <w:rPr>
          <w:rFonts w:eastAsia="Times New Roman" w:cs="Times New Roman"/>
          <w:color w:val="000000"/>
          <w:szCs w:val="20"/>
          <w:lang w:eastAsia="en-AU"/>
        </w:rPr>
        <w:t xml:space="preserve"> </w:t>
      </w:r>
      <w:r>
        <w:t>ESC also noted that t</w:t>
      </w:r>
      <w:r w:rsidRPr="004F7F4B">
        <w:t>he selection of data sources was not aligned with the proposed clinical setting</w:t>
      </w:r>
      <w:r w:rsidRPr="00265D39">
        <w:rPr>
          <w:rFonts w:eastAsia="Times New Roman" w:cs="Times New Roman"/>
          <w:color w:val="000000"/>
          <w:szCs w:val="20"/>
          <w:lang w:eastAsia="en-AU"/>
        </w:rPr>
        <w:t xml:space="preserve"> </w:t>
      </w:r>
      <w:r>
        <w:rPr>
          <w:rFonts w:eastAsia="Times New Roman" w:cs="Times New Roman"/>
          <w:color w:val="000000"/>
          <w:szCs w:val="20"/>
          <w:lang w:eastAsia="en-AU"/>
        </w:rPr>
        <w:t xml:space="preserve">and considered it introduced uncertainty to the financial impact. </w:t>
      </w:r>
      <w:r w:rsidRPr="00265D39">
        <w:rPr>
          <w:rFonts w:eastAsia="Times New Roman" w:cs="Times New Roman"/>
          <w:color w:val="000000"/>
          <w:szCs w:val="20"/>
          <w:lang w:eastAsia="en-AU"/>
        </w:rPr>
        <w:t xml:space="preserve">For example, prevalence data from a primary care population (Anstee </w:t>
      </w:r>
      <w:r>
        <w:rPr>
          <w:rFonts w:eastAsia="Times New Roman" w:cs="Times New Roman"/>
          <w:color w:val="000000"/>
          <w:szCs w:val="20"/>
          <w:lang w:eastAsia="en-AU"/>
        </w:rPr>
        <w:t xml:space="preserve">et al. </w:t>
      </w:r>
      <w:r w:rsidRPr="00265D39">
        <w:rPr>
          <w:rFonts w:eastAsia="Times New Roman" w:cs="Times New Roman"/>
          <w:color w:val="000000"/>
          <w:szCs w:val="20"/>
          <w:lang w:eastAsia="en-AU"/>
        </w:rPr>
        <w:t>2024)</w:t>
      </w:r>
      <w:r>
        <w:rPr>
          <w:rStyle w:val="FootnoteReference"/>
          <w:rFonts w:eastAsia="Times New Roman" w:cs="Times New Roman"/>
          <w:color w:val="000000"/>
          <w:szCs w:val="20"/>
          <w:lang w:eastAsia="en-AU"/>
        </w:rPr>
        <w:footnoteReference w:id="13"/>
      </w:r>
      <w:r w:rsidRPr="00265D39">
        <w:rPr>
          <w:rFonts w:eastAsia="Times New Roman" w:cs="Times New Roman"/>
          <w:color w:val="000000"/>
          <w:szCs w:val="20"/>
          <w:lang w:eastAsia="en-AU"/>
        </w:rPr>
        <w:t xml:space="preserve"> w</w:t>
      </w:r>
      <w:r>
        <w:rPr>
          <w:rFonts w:eastAsia="Times New Roman" w:cs="Times New Roman"/>
          <w:color w:val="000000"/>
          <w:szCs w:val="20"/>
          <w:lang w:eastAsia="en-AU"/>
        </w:rPr>
        <w:t>ere</w:t>
      </w:r>
      <w:r w:rsidRPr="00265D39">
        <w:rPr>
          <w:rFonts w:eastAsia="Times New Roman" w:cs="Times New Roman"/>
          <w:color w:val="000000"/>
          <w:szCs w:val="20"/>
          <w:lang w:eastAsia="en-AU"/>
        </w:rPr>
        <w:t xml:space="preserve"> applied to the secondary care population (PICO 2), and accuracy results from McPherson </w:t>
      </w:r>
      <w:r>
        <w:rPr>
          <w:rFonts w:eastAsia="Times New Roman" w:cs="Times New Roman"/>
          <w:color w:val="000000"/>
          <w:szCs w:val="20"/>
          <w:lang w:eastAsia="en-AU"/>
        </w:rPr>
        <w:t>et al. (</w:t>
      </w:r>
      <w:r w:rsidRPr="00265D39">
        <w:rPr>
          <w:rFonts w:eastAsia="Times New Roman" w:cs="Times New Roman"/>
          <w:color w:val="000000"/>
          <w:szCs w:val="20"/>
          <w:lang w:eastAsia="en-AU"/>
        </w:rPr>
        <w:t>2010</w:t>
      </w:r>
      <w:r>
        <w:rPr>
          <w:rFonts w:eastAsia="Times New Roman" w:cs="Times New Roman"/>
          <w:color w:val="000000"/>
          <w:szCs w:val="20"/>
          <w:lang w:eastAsia="en-AU"/>
        </w:rPr>
        <w:t>)</w:t>
      </w:r>
      <w:r>
        <w:rPr>
          <w:rStyle w:val="FootnoteReference"/>
          <w:rFonts w:eastAsia="Times New Roman" w:cs="Times New Roman"/>
          <w:color w:val="000000"/>
          <w:szCs w:val="20"/>
          <w:lang w:eastAsia="en-AU"/>
        </w:rPr>
        <w:footnoteReference w:id="14"/>
      </w:r>
      <w:r w:rsidRPr="00265D39">
        <w:rPr>
          <w:rFonts w:eastAsia="Times New Roman" w:cs="Times New Roman"/>
          <w:color w:val="000000"/>
          <w:szCs w:val="20"/>
          <w:lang w:eastAsia="en-AU"/>
        </w:rPr>
        <w:t>, which used a rule</w:t>
      </w:r>
      <w:r>
        <w:rPr>
          <w:rFonts w:eastAsia="Times New Roman" w:cs="Times New Roman"/>
          <w:color w:val="000000"/>
          <w:szCs w:val="20"/>
          <w:lang w:eastAsia="en-AU"/>
        </w:rPr>
        <w:t>-</w:t>
      </w:r>
      <w:r w:rsidRPr="00265D39">
        <w:rPr>
          <w:rFonts w:eastAsia="Times New Roman" w:cs="Times New Roman"/>
          <w:color w:val="000000"/>
          <w:szCs w:val="20"/>
          <w:lang w:eastAsia="en-AU"/>
        </w:rPr>
        <w:t>in threshold of 3.25 for FIB-4, were used to inform the estimates for a rule</w:t>
      </w:r>
      <w:r>
        <w:rPr>
          <w:rFonts w:eastAsia="Times New Roman" w:cs="Times New Roman"/>
          <w:color w:val="000000"/>
          <w:szCs w:val="20"/>
          <w:lang w:eastAsia="en-AU"/>
        </w:rPr>
        <w:t>-</w:t>
      </w:r>
      <w:r w:rsidRPr="00265D39">
        <w:rPr>
          <w:rFonts w:eastAsia="Times New Roman" w:cs="Times New Roman"/>
          <w:color w:val="000000"/>
          <w:szCs w:val="20"/>
          <w:lang w:eastAsia="en-AU"/>
        </w:rPr>
        <w:t>in threshold of 2.7 as proposed by the ADAR.</w:t>
      </w:r>
    </w:p>
    <w:p w14:paraId="4659E49F" w14:textId="77777777" w:rsidR="0018750D" w:rsidRPr="00EA0CF4" w:rsidRDefault="0018750D" w:rsidP="0018750D">
      <w:pPr>
        <w:keepNext/>
        <w:spacing w:before="0" w:after="120" w:line="240" w:lineRule="auto"/>
        <w:rPr>
          <w:rFonts w:eastAsia="Times New Roman" w:cs="Times New Roman"/>
          <w:color w:val="000000"/>
          <w:szCs w:val="20"/>
          <w:lang w:eastAsia="en-AU"/>
        </w:rPr>
      </w:pPr>
      <w:r w:rsidRPr="00EA0CF4">
        <w:rPr>
          <w:rFonts w:eastAsia="Times New Roman" w:cs="Times New Roman"/>
          <w:color w:val="000000"/>
          <w:szCs w:val="20"/>
          <w:lang w:eastAsia="en-AU"/>
        </w:rPr>
        <w:t xml:space="preserve">ESC </w:t>
      </w:r>
      <w:r>
        <w:rPr>
          <w:rFonts w:eastAsia="Times New Roman" w:cs="Times New Roman"/>
          <w:color w:val="000000"/>
          <w:szCs w:val="20"/>
          <w:lang w:eastAsia="en-AU"/>
        </w:rPr>
        <w:t>also considered that there were</w:t>
      </w:r>
      <w:r w:rsidRPr="00EA0CF4">
        <w:rPr>
          <w:rFonts w:eastAsia="Times New Roman" w:cs="Times New Roman"/>
          <w:color w:val="000000"/>
          <w:szCs w:val="20"/>
          <w:lang w:eastAsia="en-AU"/>
        </w:rPr>
        <w:t xml:space="preserve"> several </w:t>
      </w:r>
      <w:r>
        <w:rPr>
          <w:rFonts w:eastAsia="Times New Roman" w:cs="Times New Roman"/>
          <w:color w:val="000000"/>
          <w:szCs w:val="20"/>
          <w:lang w:eastAsia="en-AU"/>
        </w:rPr>
        <w:t xml:space="preserve">more </w:t>
      </w:r>
      <w:r w:rsidRPr="00EA0CF4">
        <w:rPr>
          <w:rFonts w:eastAsia="Times New Roman" w:cs="Times New Roman"/>
          <w:color w:val="000000"/>
          <w:szCs w:val="20"/>
          <w:lang w:eastAsia="en-AU"/>
        </w:rPr>
        <w:t xml:space="preserve">concerns </w:t>
      </w:r>
      <w:r w:rsidRPr="00331776">
        <w:rPr>
          <w:rFonts w:eastAsia="Times New Roman" w:cs="Times New Roman"/>
          <w:color w:val="000000"/>
          <w:szCs w:val="20"/>
          <w:lang w:eastAsia="en-AU"/>
        </w:rPr>
        <w:t xml:space="preserve">regarding assumptions </w:t>
      </w:r>
      <w:r>
        <w:rPr>
          <w:rFonts w:eastAsia="Times New Roman" w:cs="Times New Roman"/>
          <w:color w:val="000000"/>
          <w:szCs w:val="20"/>
          <w:lang w:eastAsia="en-AU"/>
        </w:rPr>
        <w:t xml:space="preserve">included in </w:t>
      </w:r>
      <w:r w:rsidRPr="00EA0CF4">
        <w:rPr>
          <w:rFonts w:eastAsia="Times New Roman" w:cs="Times New Roman"/>
          <w:color w:val="000000"/>
          <w:szCs w:val="20"/>
          <w:lang w:eastAsia="en-AU"/>
        </w:rPr>
        <w:t xml:space="preserve">the ADAR’s </w:t>
      </w:r>
      <w:r>
        <w:rPr>
          <w:rFonts w:eastAsia="Times New Roman" w:cs="Times New Roman"/>
          <w:color w:val="000000"/>
          <w:szCs w:val="20"/>
          <w:lang w:eastAsia="en-AU"/>
        </w:rPr>
        <w:t xml:space="preserve">evaluation of the </w:t>
      </w:r>
      <w:r w:rsidRPr="00EA0CF4">
        <w:rPr>
          <w:rFonts w:eastAsia="Times New Roman" w:cs="Times New Roman"/>
          <w:color w:val="000000"/>
          <w:szCs w:val="20"/>
          <w:lang w:eastAsia="en-AU"/>
        </w:rPr>
        <w:t>financial impact:</w:t>
      </w:r>
    </w:p>
    <w:p w14:paraId="01A482A7" w14:textId="77777777" w:rsidR="0018750D" w:rsidRPr="00713F82" w:rsidRDefault="0018750D" w:rsidP="0018750D">
      <w:pPr>
        <w:pStyle w:val="ListParagraph"/>
        <w:numPr>
          <w:ilvl w:val="0"/>
          <w:numId w:val="24"/>
        </w:numPr>
        <w:tabs>
          <w:tab w:val="num" w:pos="567"/>
        </w:tabs>
        <w:spacing w:before="0" w:after="120" w:line="240" w:lineRule="auto"/>
        <w:ind w:left="567" w:hanging="567"/>
        <w:contextualSpacing w:val="0"/>
        <w:rPr>
          <w:rFonts w:eastAsia="Times New Roman" w:cs="Times New Roman"/>
          <w:color w:val="000000"/>
          <w:szCs w:val="20"/>
          <w:lang w:eastAsia="en-AU"/>
        </w:rPr>
      </w:pPr>
      <w:r w:rsidRPr="00713F82">
        <w:rPr>
          <w:rFonts w:eastAsia="Times New Roman" w:cs="Times New Roman"/>
          <w:color w:val="000000"/>
          <w:szCs w:val="20"/>
          <w:lang w:eastAsia="en-AU"/>
        </w:rPr>
        <w:t>The ADAR calculated cost savings for the net MBS impact</w:t>
      </w:r>
      <w:r>
        <w:rPr>
          <w:rFonts w:eastAsia="Times New Roman" w:cs="Times New Roman"/>
          <w:color w:val="000000"/>
          <w:szCs w:val="20"/>
          <w:lang w:eastAsia="en-AU"/>
        </w:rPr>
        <w:t xml:space="preserve">. While </w:t>
      </w:r>
      <w:r w:rsidRPr="00713F82">
        <w:rPr>
          <w:rFonts w:eastAsia="Times New Roman" w:cs="Times New Roman"/>
          <w:color w:val="000000"/>
          <w:szCs w:val="20"/>
          <w:lang w:eastAsia="en-AU"/>
        </w:rPr>
        <w:t xml:space="preserve">these savings assumed large drops in referrals and unnecessary tests, </w:t>
      </w:r>
      <w:r>
        <w:rPr>
          <w:rFonts w:eastAsia="Times New Roman" w:cs="Times New Roman"/>
          <w:color w:val="000000"/>
          <w:szCs w:val="20"/>
          <w:lang w:eastAsia="en-AU"/>
        </w:rPr>
        <w:t xml:space="preserve">the number of </w:t>
      </w:r>
      <w:r w:rsidRPr="00713F82">
        <w:rPr>
          <w:rFonts w:eastAsia="Times New Roman" w:cs="Times New Roman"/>
          <w:color w:val="000000"/>
          <w:szCs w:val="20"/>
          <w:lang w:eastAsia="en-AU"/>
        </w:rPr>
        <w:t xml:space="preserve">false positive </w:t>
      </w:r>
      <w:r>
        <w:rPr>
          <w:rFonts w:eastAsia="Times New Roman" w:cs="Times New Roman"/>
          <w:color w:val="000000"/>
          <w:szCs w:val="20"/>
          <w:lang w:eastAsia="en-AU"/>
        </w:rPr>
        <w:t>results</w:t>
      </w:r>
      <w:r w:rsidRPr="00713F82">
        <w:rPr>
          <w:rFonts w:eastAsia="Times New Roman" w:cs="Times New Roman"/>
          <w:color w:val="000000"/>
          <w:szCs w:val="20"/>
          <w:lang w:eastAsia="en-AU"/>
        </w:rPr>
        <w:t xml:space="preserve"> </w:t>
      </w:r>
      <w:r>
        <w:rPr>
          <w:rFonts w:eastAsia="Times New Roman" w:cs="Times New Roman"/>
          <w:color w:val="000000"/>
          <w:szCs w:val="20"/>
          <w:lang w:eastAsia="en-AU"/>
        </w:rPr>
        <w:t>was</w:t>
      </w:r>
      <w:r w:rsidRPr="00713F82">
        <w:rPr>
          <w:rFonts w:eastAsia="Times New Roman" w:cs="Times New Roman"/>
          <w:color w:val="000000"/>
          <w:szCs w:val="20"/>
          <w:lang w:eastAsia="en-AU"/>
        </w:rPr>
        <w:t xml:space="preserve"> not well estimated.</w:t>
      </w:r>
    </w:p>
    <w:p w14:paraId="1F3500CF" w14:textId="77777777" w:rsidR="0018750D" w:rsidRPr="00713F82" w:rsidRDefault="0018750D" w:rsidP="0018750D">
      <w:pPr>
        <w:pStyle w:val="ListParagraph"/>
        <w:numPr>
          <w:ilvl w:val="0"/>
          <w:numId w:val="24"/>
        </w:numPr>
        <w:tabs>
          <w:tab w:val="num" w:pos="567"/>
        </w:tabs>
        <w:spacing w:before="0" w:after="120" w:line="240" w:lineRule="auto"/>
        <w:ind w:left="567" w:hanging="567"/>
        <w:contextualSpacing w:val="0"/>
        <w:rPr>
          <w:rFonts w:eastAsia="Times New Roman" w:cs="Times New Roman"/>
          <w:color w:val="000000"/>
          <w:szCs w:val="20"/>
          <w:lang w:eastAsia="en-AU"/>
        </w:rPr>
      </w:pPr>
      <w:r w:rsidRPr="00713F82">
        <w:rPr>
          <w:rFonts w:eastAsia="Times New Roman" w:cs="Times New Roman"/>
          <w:color w:val="000000"/>
          <w:szCs w:val="20"/>
          <w:lang w:eastAsia="en-AU"/>
        </w:rPr>
        <w:t>Some key assumptions (US/biopsy reductions, uptake rates) rely on expert opinion</w:t>
      </w:r>
      <w:r>
        <w:rPr>
          <w:rFonts w:eastAsia="Times New Roman" w:cs="Times New Roman"/>
          <w:color w:val="000000"/>
          <w:szCs w:val="20"/>
          <w:lang w:eastAsia="en-AU"/>
        </w:rPr>
        <w:t xml:space="preserve"> only</w:t>
      </w:r>
      <w:r w:rsidRPr="00713F82">
        <w:rPr>
          <w:rFonts w:eastAsia="Times New Roman" w:cs="Times New Roman"/>
          <w:color w:val="000000"/>
          <w:szCs w:val="20"/>
          <w:lang w:eastAsia="en-AU"/>
        </w:rPr>
        <w:t xml:space="preserve">, </w:t>
      </w:r>
      <w:r>
        <w:rPr>
          <w:rFonts w:eastAsia="Times New Roman" w:cs="Times New Roman"/>
          <w:color w:val="000000"/>
          <w:szCs w:val="20"/>
          <w:lang w:eastAsia="en-AU"/>
        </w:rPr>
        <w:t>rather than robust clinical evidence</w:t>
      </w:r>
      <w:r w:rsidRPr="00713F82">
        <w:rPr>
          <w:rFonts w:eastAsia="Times New Roman" w:cs="Times New Roman"/>
          <w:color w:val="000000"/>
          <w:szCs w:val="20"/>
          <w:lang w:eastAsia="en-AU"/>
        </w:rPr>
        <w:t>.</w:t>
      </w:r>
      <w:r>
        <w:rPr>
          <w:rFonts w:eastAsia="Times New Roman" w:cs="Times New Roman"/>
          <w:color w:val="000000"/>
          <w:szCs w:val="20"/>
          <w:lang w:eastAsia="en-AU"/>
        </w:rPr>
        <w:t xml:space="preserve"> ESC expressed concern that the number of liver biopsies offset is likely to be negligible.</w:t>
      </w:r>
    </w:p>
    <w:p w14:paraId="4F6CCB42" w14:textId="77777777" w:rsidR="0018750D" w:rsidRPr="00713F82" w:rsidRDefault="0018750D" w:rsidP="0018750D">
      <w:pPr>
        <w:pStyle w:val="ListParagraph"/>
        <w:numPr>
          <w:ilvl w:val="0"/>
          <w:numId w:val="24"/>
        </w:numPr>
        <w:tabs>
          <w:tab w:val="num" w:pos="567"/>
        </w:tabs>
        <w:spacing w:before="0" w:after="120" w:line="240" w:lineRule="auto"/>
        <w:ind w:left="567" w:hanging="567"/>
        <w:contextualSpacing w:val="0"/>
        <w:rPr>
          <w:rFonts w:eastAsia="Times New Roman" w:cs="Times New Roman"/>
          <w:color w:val="000000"/>
          <w:szCs w:val="20"/>
          <w:lang w:eastAsia="en-AU"/>
        </w:rPr>
      </w:pPr>
      <w:r w:rsidRPr="00713F82">
        <w:rPr>
          <w:rFonts w:eastAsia="Times New Roman" w:cs="Times New Roman"/>
          <w:color w:val="000000"/>
          <w:szCs w:val="20"/>
          <w:lang w:eastAsia="en-AU"/>
        </w:rPr>
        <w:t xml:space="preserve">Some cost offsets </w:t>
      </w:r>
      <w:r>
        <w:rPr>
          <w:rFonts w:eastAsia="Times New Roman" w:cs="Times New Roman"/>
          <w:color w:val="000000"/>
          <w:szCs w:val="20"/>
          <w:lang w:eastAsia="en-AU"/>
        </w:rPr>
        <w:t>are based on</w:t>
      </w:r>
      <w:r w:rsidRPr="00713F82">
        <w:rPr>
          <w:rFonts w:eastAsia="Times New Roman" w:cs="Times New Roman"/>
          <w:color w:val="000000"/>
          <w:szCs w:val="20"/>
          <w:lang w:eastAsia="en-AU"/>
        </w:rPr>
        <w:t xml:space="preserve"> mis</w:t>
      </w:r>
      <w:r>
        <w:rPr>
          <w:rFonts w:eastAsia="Times New Roman" w:cs="Times New Roman"/>
          <w:color w:val="000000"/>
          <w:szCs w:val="20"/>
          <w:lang w:eastAsia="en-AU"/>
        </w:rPr>
        <w:t xml:space="preserve">application of MBS services </w:t>
      </w:r>
      <w:r w:rsidRPr="00713F82">
        <w:rPr>
          <w:rFonts w:eastAsia="Times New Roman" w:cs="Times New Roman"/>
          <w:color w:val="000000"/>
          <w:szCs w:val="20"/>
          <w:lang w:eastAsia="en-AU"/>
        </w:rPr>
        <w:t>(for example, </w:t>
      </w:r>
      <w:r>
        <w:rPr>
          <w:rFonts w:eastAsia="Times New Roman" w:cs="Times New Roman"/>
          <w:color w:val="000000"/>
          <w:szCs w:val="20"/>
          <w:lang w:eastAsia="en-AU"/>
        </w:rPr>
        <w:t xml:space="preserve">the </w:t>
      </w:r>
      <w:r w:rsidRPr="00713F82">
        <w:rPr>
          <w:rFonts w:eastAsia="Times New Roman" w:cs="Times New Roman"/>
          <w:color w:val="000000"/>
          <w:szCs w:val="20"/>
          <w:lang w:eastAsia="en-AU"/>
        </w:rPr>
        <w:t xml:space="preserve">US </w:t>
      </w:r>
      <w:r>
        <w:rPr>
          <w:rFonts w:eastAsia="Times New Roman" w:cs="Times New Roman"/>
          <w:color w:val="000000"/>
          <w:szCs w:val="20"/>
          <w:lang w:eastAsia="en-AU"/>
        </w:rPr>
        <w:t>item on the MBS is for morphological assessment, which is not relevant to second-line testing for fibrosis in SOC</w:t>
      </w:r>
      <w:r w:rsidRPr="00713F82">
        <w:rPr>
          <w:rFonts w:eastAsia="Times New Roman" w:cs="Times New Roman"/>
          <w:color w:val="000000"/>
          <w:szCs w:val="20"/>
          <w:lang w:eastAsia="en-AU"/>
        </w:rPr>
        <w:t>).</w:t>
      </w:r>
    </w:p>
    <w:p w14:paraId="1BBE81F3" w14:textId="77777777" w:rsidR="0018750D" w:rsidRPr="00713F82" w:rsidRDefault="0018750D" w:rsidP="0018750D">
      <w:pPr>
        <w:pStyle w:val="ListParagraph"/>
        <w:numPr>
          <w:ilvl w:val="0"/>
          <w:numId w:val="24"/>
        </w:numPr>
        <w:tabs>
          <w:tab w:val="num" w:pos="567"/>
        </w:tabs>
        <w:spacing w:before="0" w:after="120" w:line="240" w:lineRule="auto"/>
        <w:ind w:left="567" w:hanging="567"/>
        <w:contextualSpacing w:val="0"/>
        <w:rPr>
          <w:rFonts w:eastAsia="Times New Roman" w:cs="Times New Roman"/>
          <w:color w:val="000000"/>
          <w:szCs w:val="20"/>
          <w:lang w:eastAsia="en-AU"/>
        </w:rPr>
      </w:pPr>
      <w:r w:rsidRPr="00713F82">
        <w:rPr>
          <w:rFonts w:eastAsia="Times New Roman" w:cs="Times New Roman"/>
          <w:color w:val="000000"/>
          <w:szCs w:val="20"/>
          <w:lang w:eastAsia="en-AU"/>
        </w:rPr>
        <w:t>Projections are overly optimistic and inconsistent (for example, savings fall even as test use increases).</w:t>
      </w:r>
    </w:p>
    <w:p w14:paraId="768C16B3" w14:textId="77777777" w:rsidR="0018750D" w:rsidRPr="00E61455" w:rsidRDefault="0018750D" w:rsidP="0018750D">
      <w:pPr>
        <w:spacing w:before="0" w:after="120" w:line="240" w:lineRule="auto"/>
        <w:rPr>
          <w:rFonts w:eastAsia="Times New Roman" w:cs="Times New Roman"/>
          <w:color w:val="000000"/>
          <w:szCs w:val="20"/>
          <w:lang w:eastAsia="en-AU"/>
        </w:rPr>
      </w:pPr>
      <w:r>
        <w:rPr>
          <w:rFonts w:eastAsia="Times New Roman" w:cs="Times New Roman"/>
          <w:color w:val="000000"/>
          <w:szCs w:val="20"/>
          <w:lang w:eastAsia="en-AU"/>
        </w:rPr>
        <w:t>ESC considered that US should be removed from the economic model and financial analysis, and replaced with the appropriate SOC comparator.</w:t>
      </w:r>
    </w:p>
    <w:p w14:paraId="2F24CBFD" w14:textId="7DFDE482" w:rsidR="0018750D" w:rsidRPr="00A737D1" w:rsidRDefault="0018750D" w:rsidP="00872EFA">
      <w:pPr>
        <w:pStyle w:val="Heading2"/>
        <w:numPr>
          <w:ilvl w:val="0"/>
          <w:numId w:val="27"/>
        </w:numPr>
        <w:ind w:hanging="795"/>
      </w:pPr>
      <w:bookmarkStart w:id="61" w:name="_Hlk213745948"/>
      <w:r w:rsidRPr="003A793E">
        <w:lastRenderedPageBreak/>
        <w:t>Applicant comments on MSAC’s Public Summary Document</w:t>
      </w:r>
    </w:p>
    <w:p w14:paraId="598851F9" w14:textId="6895A994" w:rsidR="00EB12DA" w:rsidRPr="00D6459A" w:rsidRDefault="00EB12DA" w:rsidP="00EB12DA">
      <w:pPr>
        <w:spacing w:after="240"/>
      </w:pPr>
      <w:r w:rsidRPr="00D6459A">
        <w:t>The applicant thanks MSAC for considering this application for VCTE as part of sequential non-invasive testing in Australian clinical practice for patients with MAFLD, a large and high burden population that is growing. We also acknowledge the supportive consumer and clinician input, reflecting the significant clinical need for improved risk stratification and timely identification of patients with advanced liver fibrosis. While non-invasive testing practices are already being used in Australian clinical practice, the</w:t>
      </w:r>
      <w:r w:rsidR="00104B1F">
        <w:t xml:space="preserve"> applicant considers that the</w:t>
      </w:r>
      <w:r w:rsidRPr="00D6459A">
        <w:t xml:space="preserve"> absence of public funding results in inequitable and fragmented access, particularly for underserved populations. </w:t>
      </w:r>
    </w:p>
    <w:p w14:paraId="163100C9" w14:textId="57A58A63" w:rsidR="00E222A0" w:rsidRPr="00D6459A" w:rsidRDefault="00EB12DA" w:rsidP="00EB12DA">
      <w:pPr>
        <w:spacing w:after="240"/>
      </w:pPr>
      <w:r w:rsidRPr="00D6459A">
        <w:t xml:space="preserve">Regarding MSAC’s consideration of the presented evidence, the applicant clarifies that the submission was intended to demonstrate intermediate clinical utility (risk stratification and referral optimization), rather than to model long-term disease progression outcomes, which remain challenging to quantify in MAFLD. The applicant notes that the absence of direct evidence linking VCTE use to long-term outcomes reflects limitations of the current evidence base rather than evidence of no clinical benefit. The applicant clarifies that the proposed 8 kPa threshold was intended as a conservative referral threshold in primary care, rather than a diagnostic cut-off. In this context, false-positive results lead to further specialist assessment rather than treatment initiation, whereas the clinical consequences of missed advanced fibrosis remain the primary safety concern. The applicant notes that comparator choice of abdominal ultrasound was as a pragmatic proxy to reflect real-world diagnostic activity in the absence of a reimbursed second-line non-invasive fibrosis test, rather than as a fibrosis staging comparator. </w:t>
      </w:r>
    </w:p>
    <w:p w14:paraId="3FE47261" w14:textId="0D303656" w:rsidR="0018750D" w:rsidRPr="00A737D1" w:rsidRDefault="0018750D" w:rsidP="00872EFA">
      <w:pPr>
        <w:pStyle w:val="Heading2"/>
        <w:numPr>
          <w:ilvl w:val="0"/>
          <w:numId w:val="27"/>
        </w:numPr>
        <w:ind w:hanging="795"/>
      </w:pPr>
      <w:r w:rsidRPr="003A793E">
        <w:t>Further information on MSAC</w:t>
      </w:r>
    </w:p>
    <w:p w14:paraId="2D981EDB" w14:textId="33F84F28" w:rsidR="0018750D" w:rsidRPr="0018750D" w:rsidRDefault="0018750D" w:rsidP="0018750D">
      <w:pPr>
        <w:pStyle w:val="BodyText"/>
        <w:rPr>
          <w:rFonts w:ascii="Franklin Gothic Book" w:hAnsi="Franklin Gothic Book"/>
          <w:sz w:val="22"/>
          <w:szCs w:val="22"/>
        </w:rPr>
      </w:pPr>
      <w:r w:rsidRPr="0018750D">
        <w:rPr>
          <w:rFonts w:ascii="Franklin Gothic Book" w:hAnsi="Franklin Gothic Book"/>
          <w:bCs/>
          <w:iCs/>
          <w:sz w:val="22"/>
          <w:szCs w:val="22"/>
        </w:rPr>
        <w:t xml:space="preserve">MSAC Terms of Reference and other information are available on the MSAC Website: </w:t>
      </w:r>
      <w:hyperlink r:id="rId18" w:tooltip="Link to the MSAC website" w:history="1">
        <w:r w:rsidRPr="0018750D">
          <w:rPr>
            <w:rStyle w:val="Hyperlink"/>
            <w:rFonts w:ascii="Franklin Gothic Book" w:hAnsi="Franklin Gothic Book"/>
            <w:iCs/>
            <w:color w:val="007BB8"/>
            <w:sz w:val="22"/>
            <w:szCs w:val="22"/>
          </w:rPr>
          <w:t>visit the MSAC website</w:t>
        </w:r>
      </w:hyperlink>
      <w:bookmarkEnd w:id="61"/>
    </w:p>
    <w:sectPr w:rsidR="0018750D" w:rsidRPr="0018750D" w:rsidSect="00784341">
      <w:headerReference w:type="even" r:id="rId19"/>
      <w:headerReference w:type="default" r:id="rId20"/>
      <w:footerReference w:type="even" r:id="rId21"/>
      <w:footerReference w:type="default" r:id="rId22"/>
      <w:headerReference w:type="first" r:id="rId23"/>
      <w:footerReference w:type="first" r:id="rId24"/>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9420" w14:textId="77777777" w:rsidR="000A516C" w:rsidRDefault="000A516C" w:rsidP="00B62DF2">
      <w:pPr>
        <w:spacing w:after="0" w:line="240" w:lineRule="auto"/>
      </w:pPr>
      <w:r>
        <w:separator/>
      </w:r>
    </w:p>
  </w:endnote>
  <w:endnote w:type="continuationSeparator" w:id="0">
    <w:p w14:paraId="5FA97D28" w14:textId="77777777" w:rsidR="000A516C" w:rsidRDefault="000A516C" w:rsidP="00B6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rutigerLTPro-Condensed">
    <w:altName w:val="Yu Gothic"/>
    <w:panose1 w:val="00000000000000000000"/>
    <w:charset w:val="80"/>
    <w:family w:val="swiss"/>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428C" w14:textId="36F1FE33" w:rsidR="005947B5" w:rsidRDefault="00450883" w:rsidP="009C2AD4">
    <w:pPr>
      <w:pStyle w:val="Footer"/>
      <w:jc w:val="right"/>
    </w:pPr>
    <w:r>
      <w:rPr>
        <w:noProof/>
      </w:rPr>
      <mc:AlternateContent>
        <mc:Choice Requires="wps">
          <w:drawing>
            <wp:anchor distT="0" distB="0" distL="0" distR="0" simplePos="0" relativeHeight="251669509" behindDoc="0" locked="0" layoutInCell="1" allowOverlap="1" wp14:anchorId="7CB1ACB0" wp14:editId="14DBFA32">
              <wp:simplePos x="635" y="635"/>
              <wp:positionH relativeFrom="page">
                <wp:align>center</wp:align>
              </wp:positionH>
              <wp:positionV relativeFrom="page">
                <wp:align>bottom</wp:align>
              </wp:positionV>
              <wp:extent cx="622300" cy="467360"/>
              <wp:effectExtent l="0" t="0" r="6350" b="0"/>
              <wp:wrapNone/>
              <wp:docPr id="12134975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34986B61" w14:textId="565C411A"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1ACB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6.8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34986B61" w14:textId="565C411A"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85A" w14:textId="3E0D87A2" w:rsidR="005947B5" w:rsidRDefault="00450883" w:rsidP="00052DD3">
    <w:pPr>
      <w:pStyle w:val="Footer"/>
      <w:jc w:val="right"/>
    </w:pPr>
    <w:r>
      <w:rPr>
        <w:noProof/>
      </w:rPr>
      <mc:AlternateContent>
        <mc:Choice Requires="wps">
          <w:drawing>
            <wp:anchor distT="0" distB="0" distL="0" distR="0" simplePos="0" relativeHeight="251670533" behindDoc="0" locked="0" layoutInCell="1" allowOverlap="1" wp14:anchorId="28191643" wp14:editId="33265223">
              <wp:simplePos x="635" y="635"/>
              <wp:positionH relativeFrom="page">
                <wp:align>center</wp:align>
              </wp:positionH>
              <wp:positionV relativeFrom="page">
                <wp:align>bottom</wp:align>
              </wp:positionV>
              <wp:extent cx="622300" cy="467360"/>
              <wp:effectExtent l="0" t="0" r="6350" b="0"/>
              <wp:wrapNone/>
              <wp:docPr id="4364725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23E3B1E" w14:textId="686EC410"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9164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6.8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423E3B1E" w14:textId="686EC410"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v:textbox>
              <w10:wrap anchorx="page" anchory="page"/>
            </v:shape>
          </w:pict>
        </mc:Fallback>
      </mc:AlternateContent>
    </w:r>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A129" w14:textId="50847635" w:rsidR="00E05BEF" w:rsidRDefault="00450883">
    <w:pPr>
      <w:pStyle w:val="Footer"/>
    </w:pPr>
    <w:r>
      <w:rPr>
        <w:noProof/>
      </w:rPr>
      <mc:AlternateContent>
        <mc:Choice Requires="wps">
          <w:drawing>
            <wp:anchor distT="0" distB="0" distL="0" distR="0" simplePos="0" relativeHeight="251668485" behindDoc="0" locked="0" layoutInCell="1" allowOverlap="1" wp14:anchorId="04B7B6E2" wp14:editId="3C351CDF">
              <wp:simplePos x="635" y="635"/>
              <wp:positionH relativeFrom="page">
                <wp:align>center</wp:align>
              </wp:positionH>
              <wp:positionV relativeFrom="page">
                <wp:align>bottom</wp:align>
              </wp:positionV>
              <wp:extent cx="622300" cy="467360"/>
              <wp:effectExtent l="0" t="0" r="6350" b="0"/>
              <wp:wrapNone/>
              <wp:docPr id="21130068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0563249A" w14:textId="477FEE61"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7B6E2" id="_x0000_t202" coordsize="21600,21600" o:spt="202" path="m,l,21600r21600,l21600,xe">
              <v:stroke joinstyle="miter"/>
              <v:path gradientshapeok="t" o:connecttype="rect"/>
            </v:shapetype>
            <v:shape id="Text Box 4" o:spid="_x0000_s1031" type="#_x0000_t202" alt="OFFICIAL" style="position:absolute;margin-left:0;margin-top:0;width:49pt;height:36.8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0563249A" w14:textId="477FEE61"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36C7" w14:textId="77777777" w:rsidR="000A516C" w:rsidRDefault="000A516C" w:rsidP="00B62DF2">
      <w:pPr>
        <w:spacing w:after="0" w:line="240" w:lineRule="auto"/>
      </w:pPr>
      <w:r>
        <w:separator/>
      </w:r>
    </w:p>
  </w:footnote>
  <w:footnote w:type="continuationSeparator" w:id="0">
    <w:p w14:paraId="0AFE127E" w14:textId="77777777" w:rsidR="000A516C" w:rsidRDefault="000A516C" w:rsidP="00B62DF2">
      <w:pPr>
        <w:spacing w:after="0" w:line="240" w:lineRule="auto"/>
      </w:pPr>
      <w:r>
        <w:continuationSeparator/>
      </w:r>
    </w:p>
  </w:footnote>
  <w:footnote w:id="1">
    <w:p w14:paraId="523678C1" w14:textId="6656304D" w:rsidR="00567057" w:rsidRPr="000F5D08" w:rsidRDefault="00567057">
      <w:pPr>
        <w:pStyle w:val="FootnoteText"/>
        <w:rPr>
          <w:lang w:val="nl-NL"/>
        </w:rPr>
      </w:pPr>
      <w:r>
        <w:rPr>
          <w:rStyle w:val="FootnoteReference"/>
        </w:rPr>
        <w:footnoteRef/>
      </w:r>
      <w:r>
        <w:t xml:space="preserve"> </w:t>
      </w:r>
      <w:r w:rsidRPr="00567057">
        <w:t xml:space="preserve">  Cassinotto et al.  Agreement Between 2-Dimensional Shear Wave and Transient Elastography Values for Diagnosis of Advanced Chronic Liver Disease. </w:t>
      </w:r>
      <w:r w:rsidRPr="000F5D08">
        <w:rPr>
          <w:lang w:val="nl-NL"/>
        </w:rPr>
        <w:t>Clin Gastroenterol Hepatol. 2020 Dec;18(13):2971-2979.e3</w:t>
      </w:r>
    </w:p>
  </w:footnote>
  <w:footnote w:id="2">
    <w:p w14:paraId="774FBF8B" w14:textId="77777777" w:rsidR="0018750D" w:rsidRDefault="0018750D" w:rsidP="0018750D">
      <w:pPr>
        <w:pStyle w:val="FootnoteText"/>
      </w:pPr>
      <w:r>
        <w:rPr>
          <w:rStyle w:val="FootnoteReference"/>
        </w:rPr>
        <w:footnoteRef/>
      </w:r>
      <w:r w:rsidRPr="000F5D08">
        <w:rPr>
          <w:lang w:val="nl-NL"/>
        </w:rPr>
        <w:t xml:space="preserve"> Mózes FE, Lee JA, Selvaraj EA, et al. </w:t>
      </w:r>
      <w:r w:rsidRPr="00966E00">
        <w:t>Diagnostic accuracy of non-invasive tests for advanced fibrosis in patients with NAFLD: an individual patient data meta-analysis. Gut. 2022;71(5):1006-1019. doi:10.1136/gutjnl-2021-324243</w:t>
      </w:r>
    </w:p>
  </w:footnote>
  <w:footnote w:id="3">
    <w:p w14:paraId="497434B3" w14:textId="77777777" w:rsidR="0018750D" w:rsidRDefault="0018750D" w:rsidP="0018750D">
      <w:pPr>
        <w:pStyle w:val="FootnoteText"/>
      </w:pPr>
      <w:r>
        <w:rPr>
          <w:rStyle w:val="FootnoteReference"/>
        </w:rPr>
        <w:footnoteRef/>
      </w:r>
      <w:r>
        <w:t xml:space="preserve"> </w:t>
      </w:r>
      <w:r w:rsidRPr="005050A8">
        <w:t>MAFLD Consensus Statement Working Group. Recommendations for the assessment of metabolic dysfunction</w:t>
      </w:r>
      <w:r>
        <w:t xml:space="preserve"> </w:t>
      </w:r>
      <w:r w:rsidRPr="005050A8">
        <w:t>associated fatty liver disease (MAFLD) in primary care: a consensus statement. Gastroenterological Society of Australia</w:t>
      </w:r>
      <w:r>
        <w:t xml:space="preserve"> (GESA)</w:t>
      </w:r>
      <w:r w:rsidRPr="005050A8">
        <w:t>, 2024.</w:t>
      </w:r>
      <w:r>
        <w:t xml:space="preserve"> </w:t>
      </w:r>
      <w:r w:rsidRPr="00937EBA">
        <w:t>https://www.gesa.org.au/public/13/files/Education%20%26%20Resources/Clinical%20Practice%20Resources/MAFLD/MAFLD%20consensus%20statement%202024.pdf</w:t>
      </w:r>
    </w:p>
  </w:footnote>
  <w:footnote w:id="4">
    <w:p w14:paraId="0A16A4F3" w14:textId="77777777" w:rsidR="0018750D" w:rsidRPr="000F5D08" w:rsidRDefault="0018750D" w:rsidP="0018750D">
      <w:pPr>
        <w:pStyle w:val="FootnoteText"/>
        <w:rPr>
          <w:lang w:val="nl-NL"/>
        </w:rPr>
      </w:pPr>
      <w:r>
        <w:rPr>
          <w:rStyle w:val="FootnoteReference"/>
        </w:rPr>
        <w:footnoteRef/>
      </w:r>
      <w:r>
        <w:t xml:space="preserve"> </w:t>
      </w:r>
      <w:r w:rsidRPr="00C619AE">
        <w:t>McPherson S, Hardy T, Dufour JF, et al. Age as a Confounding Factor for the Accurate Non-Invasive Diagnosis of Advanced NAFLD Fibrosis. </w:t>
      </w:r>
      <w:r w:rsidRPr="000F5D08">
        <w:rPr>
          <w:i/>
          <w:iCs/>
          <w:lang w:val="nl-NL"/>
        </w:rPr>
        <w:t>Am J Gastroenterol</w:t>
      </w:r>
      <w:r w:rsidRPr="000F5D08">
        <w:rPr>
          <w:lang w:val="nl-NL"/>
        </w:rPr>
        <w:t>. 2017;112(5):740-751. doi:10.1038/ajg.2016.453</w:t>
      </w:r>
    </w:p>
  </w:footnote>
  <w:footnote w:id="5">
    <w:p w14:paraId="21C2C3AA" w14:textId="77777777" w:rsidR="0018750D" w:rsidRDefault="0018750D" w:rsidP="0018750D">
      <w:pPr>
        <w:pStyle w:val="FootnoteText"/>
      </w:pPr>
      <w:r>
        <w:rPr>
          <w:rStyle w:val="FootnoteReference"/>
        </w:rPr>
        <w:footnoteRef/>
      </w:r>
      <w:r w:rsidRPr="000F5D08">
        <w:rPr>
          <w:lang w:val="nl-NL"/>
        </w:rPr>
        <w:t xml:space="preserve"> Mózes FE, Lee JA, Vali Y, et al. </w:t>
      </w:r>
      <w:r w:rsidRPr="00C67F0A">
        <w:t>Performance of non-invasive tests and histology for the prediction of clinical outcomes in patients with non-alcoholic fatty liver disease: an individual participant data meta-analysis. Lancet Gastroenterol Hepatol. 2023;8(8):704-713. doi:10.1016/S2468-1253(23)00141-3</w:t>
      </w:r>
    </w:p>
  </w:footnote>
  <w:footnote w:id="6">
    <w:p w14:paraId="47D90BE0" w14:textId="77777777" w:rsidR="0018750D" w:rsidRPr="000F5D08" w:rsidRDefault="0018750D" w:rsidP="0018750D">
      <w:pPr>
        <w:pStyle w:val="FootnoteText"/>
        <w:rPr>
          <w:lang w:val="nl-NL"/>
        </w:rPr>
      </w:pPr>
      <w:r>
        <w:rPr>
          <w:rStyle w:val="FootnoteReference"/>
        </w:rPr>
        <w:footnoteRef/>
      </w:r>
      <w:r>
        <w:t xml:space="preserve"> </w:t>
      </w:r>
      <w:r w:rsidRPr="00EE486C">
        <w:t>Leite NC, Villela-Nogueira CA, Santos LV, Cardoso CRL, Salles GF. Prognostic value of changes in vibration-controlled transient elastography parameters for liver, cardiovascular and mortality outcomes in individuals with type 2 diabetes and metabolic dysfunction-associated steatotic liver disease: The Rio de Janeiro type 2 diabetes cohort. </w:t>
      </w:r>
      <w:r w:rsidRPr="000F5D08">
        <w:rPr>
          <w:i/>
          <w:iCs/>
          <w:lang w:val="nl-NL"/>
        </w:rPr>
        <w:t>Diabetes Obes Metab</w:t>
      </w:r>
      <w:r w:rsidRPr="000F5D08">
        <w:rPr>
          <w:lang w:val="nl-NL"/>
        </w:rPr>
        <w:t>. 2025;27(4):2024-2034. doi:10.1111/dom.16195</w:t>
      </w:r>
    </w:p>
  </w:footnote>
  <w:footnote w:id="7">
    <w:p w14:paraId="6CA97646" w14:textId="77777777" w:rsidR="0018750D" w:rsidRDefault="0018750D" w:rsidP="0018750D">
      <w:pPr>
        <w:pStyle w:val="FootnoteText"/>
      </w:pPr>
      <w:r>
        <w:rPr>
          <w:rStyle w:val="FootnoteReference"/>
        </w:rPr>
        <w:footnoteRef/>
      </w:r>
      <w:r w:rsidRPr="000F5D08">
        <w:rPr>
          <w:lang w:val="nl-NL"/>
        </w:rPr>
        <w:t xml:space="preserve"> Gawrieh S, Vilar-Gomez E, Wilson LA, et al. </w:t>
      </w:r>
      <w:r w:rsidRPr="006447C3">
        <w:t>Increases and decreases in liver stiffness measurement are independently associated with the risk of liver-related events in NAFLD. </w:t>
      </w:r>
      <w:r w:rsidRPr="006447C3">
        <w:rPr>
          <w:i/>
          <w:iCs/>
        </w:rPr>
        <w:t>J Hepatol</w:t>
      </w:r>
      <w:r w:rsidRPr="006447C3">
        <w:t>. 2024;81(4):600-608. doi:10.1016/j.jhep.2024.05.008</w:t>
      </w:r>
    </w:p>
  </w:footnote>
  <w:footnote w:id="8">
    <w:p w14:paraId="3C2B5CD5" w14:textId="77777777" w:rsidR="0018750D" w:rsidRDefault="0018750D" w:rsidP="0018750D">
      <w:pPr>
        <w:pStyle w:val="FootnoteText"/>
      </w:pPr>
      <w:r>
        <w:rPr>
          <w:rStyle w:val="FootnoteReference"/>
        </w:rPr>
        <w:footnoteRef/>
      </w:r>
      <w:r>
        <w:t xml:space="preserve"> </w:t>
      </w:r>
      <w:r w:rsidRPr="00165380">
        <w:t>Noorian S, Patel A, Ashkar C, Saab S. Identifying Advanced Fibrosis in NAFLD Using Noninvasive Tests: A Systematic Review of Sequential Algorithms. </w:t>
      </w:r>
      <w:r w:rsidRPr="00165380">
        <w:rPr>
          <w:i/>
          <w:iCs/>
        </w:rPr>
        <w:t>J Clin Gastroenterol</w:t>
      </w:r>
      <w:r w:rsidRPr="00165380">
        <w:t>. 2022;56(3):266-272. doi:10.1097/MCG.0000000000001517</w:t>
      </w:r>
    </w:p>
  </w:footnote>
  <w:footnote w:id="9">
    <w:p w14:paraId="66952587" w14:textId="77777777" w:rsidR="0018750D" w:rsidRDefault="0018750D" w:rsidP="0018750D">
      <w:pPr>
        <w:pStyle w:val="FootnoteText"/>
      </w:pPr>
      <w:r>
        <w:rPr>
          <w:rStyle w:val="FootnoteReference"/>
        </w:rPr>
        <w:footnoteRef/>
      </w:r>
      <w:r>
        <w:t xml:space="preserve"> </w:t>
      </w:r>
      <w:r w:rsidRPr="00661463">
        <w:t>Tulleners R, Barnett A, O'Beirne J, et al. Parallel randomised trial testing community fibrosis assessment for suspected non-alcoholic fatty liver disease: outcomes from LOCATE-NAFLD. </w:t>
      </w:r>
      <w:r w:rsidRPr="00661463">
        <w:rPr>
          <w:i/>
          <w:iCs/>
        </w:rPr>
        <w:t>BMJ Open Gastroenterol</w:t>
      </w:r>
      <w:r w:rsidRPr="00661463">
        <w:t>. 2024;11(1):e001418. Published 2024 Dec 20. doi:10.1136/bmjgast-2024-001418</w:t>
      </w:r>
    </w:p>
  </w:footnote>
  <w:footnote w:id="10">
    <w:p w14:paraId="02CD9732" w14:textId="77777777" w:rsidR="0018750D" w:rsidRDefault="0018750D" w:rsidP="0018750D">
      <w:pPr>
        <w:pStyle w:val="FootnoteText"/>
      </w:pPr>
      <w:r>
        <w:rPr>
          <w:rStyle w:val="FootnoteReference"/>
        </w:rPr>
        <w:footnoteRef/>
      </w:r>
      <w:r>
        <w:t xml:space="preserve"> </w:t>
      </w:r>
      <w:r w:rsidRPr="00A400DF">
        <w:t>Hayward KL, McKillen BJ, Horsfall LU, et al. Towards collaborative management of non-alcoholic fatty liver disease: a 'real-world' pathway for fibrosis risk assessment in primary care. </w:t>
      </w:r>
      <w:r w:rsidRPr="00A400DF">
        <w:rPr>
          <w:i/>
          <w:iCs/>
        </w:rPr>
        <w:t>Intern Med J</w:t>
      </w:r>
      <w:r w:rsidRPr="00A400DF">
        <w:t>. 2022;52(10):1749-1758. doi:10.1111/imj.15422</w:t>
      </w:r>
    </w:p>
  </w:footnote>
  <w:footnote w:id="11">
    <w:p w14:paraId="242E02E7" w14:textId="77777777" w:rsidR="0018750D" w:rsidRDefault="0018750D" w:rsidP="0018750D">
      <w:pPr>
        <w:pStyle w:val="FootnoteText"/>
      </w:pPr>
      <w:r>
        <w:rPr>
          <w:rStyle w:val="FootnoteReference"/>
        </w:rPr>
        <w:footnoteRef/>
      </w:r>
      <w:r>
        <w:t xml:space="preserve"> NICE guideline. Non-alcoholic fatty liver disease (NAFLD): assessment and management. National Institute of Health and Care Excellence (NICE), 2016 (last reviewed 2024)</w:t>
      </w:r>
      <w:r w:rsidRPr="005050A8">
        <w:t>.</w:t>
      </w:r>
      <w:r>
        <w:t xml:space="preserve"> </w:t>
      </w:r>
      <w:r w:rsidRPr="004C7C1A">
        <w:t>https://www.nice.org.uk/guidance/ng49</w:t>
      </w:r>
    </w:p>
  </w:footnote>
  <w:footnote w:id="12">
    <w:p w14:paraId="14321211" w14:textId="77777777" w:rsidR="0018750D" w:rsidRPr="000F5D08" w:rsidRDefault="0018750D" w:rsidP="0018750D">
      <w:pPr>
        <w:pStyle w:val="FootnoteText"/>
        <w:rPr>
          <w:lang w:val="nl-NL"/>
        </w:rPr>
      </w:pPr>
      <w:r>
        <w:rPr>
          <w:rStyle w:val="FootnoteReference"/>
        </w:rPr>
        <w:footnoteRef/>
      </w:r>
      <w:r>
        <w:t xml:space="preserve"> </w:t>
      </w:r>
      <w:r w:rsidRPr="005B5ACA">
        <w:t>Armstrong MJ, Houlihan DD, Bentham L, et al. Presence and severity of non-alcoholic fatty liver disease in a large prospective primary care cohort. </w:t>
      </w:r>
      <w:r w:rsidRPr="000F5D08">
        <w:rPr>
          <w:i/>
          <w:iCs/>
          <w:lang w:val="nl-NL"/>
        </w:rPr>
        <w:t>J Hepatol</w:t>
      </w:r>
      <w:r w:rsidRPr="000F5D08">
        <w:rPr>
          <w:lang w:val="nl-NL"/>
        </w:rPr>
        <w:t>. 2012;56(1):234-240. doi:10.1016/j.jhep.2011.03.020</w:t>
      </w:r>
    </w:p>
  </w:footnote>
  <w:footnote w:id="13">
    <w:p w14:paraId="5FEBDEDB" w14:textId="77777777" w:rsidR="0018750D" w:rsidRDefault="0018750D" w:rsidP="0018750D">
      <w:pPr>
        <w:pStyle w:val="FootnoteText"/>
      </w:pPr>
      <w:r>
        <w:rPr>
          <w:rStyle w:val="FootnoteReference"/>
        </w:rPr>
        <w:footnoteRef/>
      </w:r>
      <w:r w:rsidRPr="000F5D08">
        <w:rPr>
          <w:lang w:val="nl-NL"/>
        </w:rPr>
        <w:t xml:space="preserve"> Anstee QM, Berentzen TL, Nitze LM, et al. </w:t>
      </w:r>
      <w:r w:rsidRPr="00402DFA">
        <w:t>Prognostic utility of Fibrosis-4 Index for risk of subsequent liver and cardiovascular events, and all-cause mortality in individuals with obesity and/or type 2 diabetes: a longitudinal cohort study. </w:t>
      </w:r>
      <w:r w:rsidRPr="00402DFA">
        <w:rPr>
          <w:i/>
          <w:iCs/>
        </w:rPr>
        <w:t>Lancet Reg Health Eur</w:t>
      </w:r>
      <w:r w:rsidRPr="00402DFA">
        <w:t>. 2023;36:100780. Published 2023 Dec 19. doi:10.1016/j.lanepe.2023.100780</w:t>
      </w:r>
    </w:p>
  </w:footnote>
  <w:footnote w:id="14">
    <w:p w14:paraId="76D158BD" w14:textId="77777777" w:rsidR="0018750D" w:rsidRDefault="0018750D" w:rsidP="0018750D">
      <w:pPr>
        <w:pStyle w:val="FootnoteText"/>
      </w:pPr>
      <w:r>
        <w:rPr>
          <w:rStyle w:val="FootnoteReference"/>
        </w:rPr>
        <w:footnoteRef/>
      </w:r>
      <w:r>
        <w:t xml:space="preserve"> </w:t>
      </w:r>
      <w:r w:rsidRPr="00DC06C6">
        <w:t>McPherson S, Stewart SF, Henderson E, Burt AD, Day CP. Simple non-invasive fibrosis scoring systems can reliably exclude advanced fibrosis in patients with non-alcoholic fatty liver disease. </w:t>
      </w:r>
      <w:r w:rsidRPr="00DC06C6">
        <w:rPr>
          <w:i/>
          <w:iCs/>
        </w:rPr>
        <w:t>Gut</w:t>
      </w:r>
      <w:r w:rsidRPr="00DC06C6">
        <w:t>. 2010;59(9):1265-1269. doi:10.1136/gut.2010.216077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C616" w14:textId="4300DEE9" w:rsidR="00E05BEF" w:rsidRDefault="00450883">
    <w:pPr>
      <w:pStyle w:val="Header"/>
    </w:pPr>
    <w:r>
      <w:rPr>
        <w:noProof/>
      </w:rPr>
      <mc:AlternateContent>
        <mc:Choice Requires="wps">
          <w:drawing>
            <wp:anchor distT="0" distB="0" distL="0" distR="0" simplePos="0" relativeHeight="251666437" behindDoc="0" locked="0" layoutInCell="1" allowOverlap="1" wp14:anchorId="137472BB" wp14:editId="3D0A8FAC">
              <wp:simplePos x="635" y="635"/>
              <wp:positionH relativeFrom="page">
                <wp:align>center</wp:align>
              </wp:positionH>
              <wp:positionV relativeFrom="page">
                <wp:align>top</wp:align>
              </wp:positionV>
              <wp:extent cx="622300" cy="467360"/>
              <wp:effectExtent l="0" t="0" r="6350" b="8890"/>
              <wp:wrapNone/>
              <wp:docPr id="1989606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F9F3435" w14:textId="29A2A667"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472BB"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fill o:detectmouseclick="t"/>
              <v:textbox style="mso-fit-shape-to-text:t" inset="0,15pt,0,0">
                <w:txbxContent>
                  <w:p w14:paraId="4F9F3435" w14:textId="29A2A667"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2F1A" w14:textId="1E5701F9" w:rsidR="00E05BEF" w:rsidRDefault="00450883">
    <w:pPr>
      <w:pStyle w:val="Header"/>
    </w:pPr>
    <w:r>
      <w:rPr>
        <w:noProof/>
      </w:rPr>
      <mc:AlternateContent>
        <mc:Choice Requires="wps">
          <w:drawing>
            <wp:anchor distT="0" distB="0" distL="0" distR="0" simplePos="0" relativeHeight="251667461" behindDoc="0" locked="0" layoutInCell="1" allowOverlap="1" wp14:anchorId="0AF36C40" wp14:editId="4564F960">
              <wp:simplePos x="635" y="635"/>
              <wp:positionH relativeFrom="page">
                <wp:align>center</wp:align>
              </wp:positionH>
              <wp:positionV relativeFrom="page">
                <wp:align>top</wp:align>
              </wp:positionV>
              <wp:extent cx="622300" cy="467360"/>
              <wp:effectExtent l="0" t="0" r="6350" b="8890"/>
              <wp:wrapNone/>
              <wp:docPr id="4767929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6559105" w14:textId="3BA926E3"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36C40"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fill o:detectmouseclick="t"/>
              <v:textbox style="mso-fit-shape-to-text:t" inset="0,15pt,0,0">
                <w:txbxContent>
                  <w:p w14:paraId="26559105" w14:textId="3BA926E3"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087A" w14:textId="4AA9D104" w:rsidR="00E05BEF" w:rsidRDefault="00450883">
    <w:pPr>
      <w:pStyle w:val="Header"/>
    </w:pPr>
    <w:r>
      <w:rPr>
        <w:noProof/>
      </w:rPr>
      <mc:AlternateContent>
        <mc:Choice Requires="wps">
          <w:drawing>
            <wp:anchor distT="0" distB="0" distL="0" distR="0" simplePos="0" relativeHeight="251665413" behindDoc="0" locked="0" layoutInCell="1" allowOverlap="1" wp14:anchorId="6FC45760" wp14:editId="088A81A6">
              <wp:simplePos x="635" y="635"/>
              <wp:positionH relativeFrom="page">
                <wp:align>center</wp:align>
              </wp:positionH>
              <wp:positionV relativeFrom="page">
                <wp:align>top</wp:align>
              </wp:positionV>
              <wp:extent cx="622300" cy="467360"/>
              <wp:effectExtent l="0" t="0" r="6350" b="8890"/>
              <wp:wrapNone/>
              <wp:docPr id="1759820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E554DD9" w14:textId="49984CCE"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45760"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fill o:detectmouseclick="t"/>
              <v:textbox style="mso-fit-shape-to-text:t" inset="0,15pt,0,0">
                <w:txbxContent>
                  <w:p w14:paraId="1E554DD9" w14:textId="49984CCE" w:rsidR="00450883" w:rsidRPr="00450883" w:rsidRDefault="00450883" w:rsidP="00450883">
                    <w:pPr>
                      <w:spacing w:after="0"/>
                      <w:rPr>
                        <w:rFonts w:ascii="Aptos" w:eastAsia="Aptos" w:hAnsi="Aptos" w:cs="Aptos"/>
                        <w:noProof/>
                        <w:color w:val="FF0000"/>
                        <w:sz w:val="24"/>
                        <w:szCs w:val="24"/>
                      </w:rPr>
                    </w:pPr>
                    <w:r w:rsidRPr="0045088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97E"/>
    <w:multiLevelType w:val="hybridMultilevel"/>
    <w:tmpl w:val="33D49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829EC"/>
    <w:multiLevelType w:val="hybridMultilevel"/>
    <w:tmpl w:val="0BA87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E21EF"/>
    <w:multiLevelType w:val="hybridMultilevel"/>
    <w:tmpl w:val="FA2CF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3046A2"/>
    <w:multiLevelType w:val="hybridMultilevel"/>
    <w:tmpl w:val="080E4C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545DB0"/>
    <w:multiLevelType w:val="hybridMultilevel"/>
    <w:tmpl w:val="FF086C36"/>
    <w:lvl w:ilvl="0" w:tplc="FBF80A34">
      <w:numFmt w:val="bullet"/>
      <w:lvlText w:val="•"/>
      <w:lvlJc w:val="left"/>
      <w:pPr>
        <w:ind w:left="1080" w:hanging="720"/>
      </w:pPr>
      <w:rPr>
        <w:rFonts w:ascii="Franklin Gothic Book" w:eastAsiaTheme="minorHAnsi" w:hAnsi="Franklin Gothic Book"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206BE"/>
    <w:multiLevelType w:val="hybridMultilevel"/>
    <w:tmpl w:val="9844CE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401640"/>
    <w:multiLevelType w:val="hybridMultilevel"/>
    <w:tmpl w:val="A652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EC0D50"/>
    <w:multiLevelType w:val="hybridMultilevel"/>
    <w:tmpl w:val="9DCE5A80"/>
    <w:lvl w:ilvl="0" w:tplc="FBF80A34">
      <w:numFmt w:val="bullet"/>
      <w:lvlText w:val="•"/>
      <w:lvlJc w:val="left"/>
      <w:pPr>
        <w:ind w:left="1080" w:hanging="720"/>
      </w:pPr>
      <w:rPr>
        <w:rFonts w:ascii="Franklin Gothic Book" w:eastAsiaTheme="minorHAnsi" w:hAnsi="Franklin Gothic Book"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FD0D64"/>
    <w:multiLevelType w:val="hybridMultilevel"/>
    <w:tmpl w:val="CA6AE92E"/>
    <w:lvl w:ilvl="0" w:tplc="FBF80A34">
      <w:numFmt w:val="bullet"/>
      <w:lvlText w:val="•"/>
      <w:lvlJc w:val="left"/>
      <w:pPr>
        <w:ind w:left="1080" w:hanging="720"/>
      </w:pPr>
      <w:rPr>
        <w:rFonts w:ascii="Franklin Gothic Book" w:eastAsiaTheme="minorHAnsi" w:hAnsi="Franklin Gothic Book"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1" w15:restartNumberingAfterBreak="0">
    <w:nsid w:val="24E81EBF"/>
    <w:multiLevelType w:val="hybridMultilevel"/>
    <w:tmpl w:val="612085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4124C0"/>
    <w:multiLevelType w:val="hybridMultilevel"/>
    <w:tmpl w:val="0A78F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E2576BE"/>
    <w:multiLevelType w:val="multilevel"/>
    <w:tmpl w:val="65D0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CC0771"/>
    <w:multiLevelType w:val="hybridMultilevel"/>
    <w:tmpl w:val="96B65202"/>
    <w:lvl w:ilvl="0" w:tplc="A3AC9562">
      <w:start w:val="1"/>
      <w:numFmt w:val="upperLetter"/>
      <w:lvlText w:val="%1)"/>
      <w:lvlJc w:val="left"/>
      <w:pPr>
        <w:ind w:left="720" w:hanging="360"/>
      </w:pPr>
      <w:rPr>
        <w:rFonts w:ascii="Montserrat" w:eastAsia="Calibri" w:hAnsi="Montserrat"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73599D"/>
    <w:multiLevelType w:val="hybridMultilevel"/>
    <w:tmpl w:val="3FE6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B1621"/>
    <w:multiLevelType w:val="hybridMultilevel"/>
    <w:tmpl w:val="3A3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4459A5"/>
    <w:multiLevelType w:val="hybridMultilevel"/>
    <w:tmpl w:val="FEBAEA64"/>
    <w:lvl w:ilvl="0" w:tplc="FBF80A34">
      <w:numFmt w:val="bullet"/>
      <w:lvlText w:val="•"/>
      <w:lvlJc w:val="left"/>
      <w:pPr>
        <w:ind w:left="1080" w:hanging="720"/>
      </w:pPr>
      <w:rPr>
        <w:rFonts w:ascii="Franklin Gothic Book" w:eastAsiaTheme="minorHAnsi" w:hAnsi="Franklin Gothic Book"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AD52402"/>
    <w:multiLevelType w:val="multilevel"/>
    <w:tmpl w:val="2986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190DC4"/>
    <w:multiLevelType w:val="hybridMultilevel"/>
    <w:tmpl w:val="895E4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530311"/>
    <w:multiLevelType w:val="hybridMultilevel"/>
    <w:tmpl w:val="85A237A8"/>
    <w:lvl w:ilvl="0" w:tplc="9A7632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ED0E2D"/>
    <w:multiLevelType w:val="hybridMultilevel"/>
    <w:tmpl w:val="227C4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FF32AE"/>
    <w:multiLevelType w:val="hybridMultilevel"/>
    <w:tmpl w:val="D666C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A344A6"/>
    <w:multiLevelType w:val="hybridMultilevel"/>
    <w:tmpl w:val="C3682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406A2A"/>
    <w:multiLevelType w:val="hybridMultilevel"/>
    <w:tmpl w:val="27488200"/>
    <w:lvl w:ilvl="0" w:tplc="7FA8CFAA">
      <w:start w:val="16"/>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6F510B"/>
    <w:multiLevelType w:val="hybridMultilevel"/>
    <w:tmpl w:val="BEF8C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C00380"/>
    <w:multiLevelType w:val="hybridMultilevel"/>
    <w:tmpl w:val="D3FAC3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5D431337"/>
    <w:multiLevelType w:val="hybridMultilevel"/>
    <w:tmpl w:val="853A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201E98"/>
    <w:multiLevelType w:val="hybridMultilevel"/>
    <w:tmpl w:val="BE1CE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8E0D50"/>
    <w:multiLevelType w:val="hybridMultilevel"/>
    <w:tmpl w:val="D200C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713781"/>
    <w:multiLevelType w:val="hybridMultilevel"/>
    <w:tmpl w:val="04E2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722BF9"/>
    <w:multiLevelType w:val="hybridMultilevel"/>
    <w:tmpl w:val="AA1A3952"/>
    <w:lvl w:ilvl="0" w:tplc="FBF80A34">
      <w:numFmt w:val="bullet"/>
      <w:lvlText w:val="•"/>
      <w:lvlJc w:val="left"/>
      <w:pPr>
        <w:ind w:left="1080" w:hanging="720"/>
      </w:pPr>
      <w:rPr>
        <w:rFonts w:ascii="Franklin Gothic Book" w:eastAsiaTheme="minorHAnsi" w:hAnsi="Franklin Gothic Book"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EF03AD"/>
    <w:multiLevelType w:val="hybridMultilevel"/>
    <w:tmpl w:val="8272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012067"/>
    <w:multiLevelType w:val="hybridMultilevel"/>
    <w:tmpl w:val="A8A428C6"/>
    <w:lvl w:ilvl="0" w:tplc="5032E7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834199"/>
    <w:multiLevelType w:val="multilevel"/>
    <w:tmpl w:val="B4686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950292"/>
    <w:multiLevelType w:val="hybridMultilevel"/>
    <w:tmpl w:val="6C2AF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749109160">
    <w:abstractNumId w:val="17"/>
  </w:num>
  <w:num w:numId="2" w16cid:durableId="1270162788">
    <w:abstractNumId w:val="42"/>
  </w:num>
  <w:num w:numId="3" w16cid:durableId="1754930659">
    <w:abstractNumId w:val="2"/>
  </w:num>
  <w:num w:numId="4" w16cid:durableId="410388863">
    <w:abstractNumId w:val="10"/>
  </w:num>
  <w:num w:numId="5" w16cid:durableId="1821774551">
    <w:abstractNumId w:val="39"/>
  </w:num>
  <w:num w:numId="6" w16cid:durableId="758334604">
    <w:abstractNumId w:val="13"/>
  </w:num>
  <w:num w:numId="7" w16cid:durableId="1414619933">
    <w:abstractNumId w:val="14"/>
  </w:num>
  <w:num w:numId="8" w16cid:durableId="747844684">
    <w:abstractNumId w:val="16"/>
  </w:num>
  <w:num w:numId="9" w16cid:durableId="1180662619">
    <w:abstractNumId w:val="22"/>
  </w:num>
  <w:num w:numId="10" w16cid:durableId="571045688">
    <w:abstractNumId w:val="6"/>
  </w:num>
  <w:num w:numId="11" w16cid:durableId="488909302">
    <w:abstractNumId w:val="30"/>
  </w:num>
  <w:num w:numId="12" w16cid:durableId="844629171">
    <w:abstractNumId w:val="41"/>
  </w:num>
  <w:num w:numId="13" w16cid:durableId="507790524">
    <w:abstractNumId w:val="11"/>
  </w:num>
  <w:num w:numId="14" w16cid:durableId="1467578908">
    <w:abstractNumId w:val="26"/>
  </w:num>
  <w:num w:numId="15" w16cid:durableId="1458256442">
    <w:abstractNumId w:val="3"/>
  </w:num>
  <w:num w:numId="16" w16cid:durableId="842628923">
    <w:abstractNumId w:val="19"/>
  </w:num>
  <w:num w:numId="17" w16cid:durableId="85730963">
    <w:abstractNumId w:val="18"/>
  </w:num>
  <w:num w:numId="18" w16cid:durableId="726419954">
    <w:abstractNumId w:val="4"/>
  </w:num>
  <w:num w:numId="19" w16cid:durableId="1999187002">
    <w:abstractNumId w:val="34"/>
  </w:num>
  <w:num w:numId="20" w16cid:durableId="667561265">
    <w:abstractNumId w:val="31"/>
  </w:num>
  <w:num w:numId="21" w16cid:durableId="2006276201">
    <w:abstractNumId w:val="8"/>
  </w:num>
  <w:num w:numId="22" w16cid:durableId="549806550">
    <w:abstractNumId w:val="5"/>
  </w:num>
  <w:num w:numId="23" w16cid:durableId="1909993797">
    <w:abstractNumId w:val="36"/>
  </w:num>
  <w:num w:numId="24" w16cid:durableId="631638731">
    <w:abstractNumId w:val="21"/>
  </w:num>
  <w:num w:numId="25" w16cid:durableId="2047021621">
    <w:abstractNumId w:val="9"/>
  </w:num>
  <w:num w:numId="26" w16cid:durableId="964845229">
    <w:abstractNumId w:val="35"/>
  </w:num>
  <w:num w:numId="27" w16cid:durableId="1837837336">
    <w:abstractNumId w:val="29"/>
  </w:num>
  <w:num w:numId="28" w16cid:durableId="1620452027">
    <w:abstractNumId w:val="40"/>
  </w:num>
  <w:num w:numId="29" w16cid:durableId="162867402">
    <w:abstractNumId w:val="15"/>
  </w:num>
  <w:num w:numId="30" w16cid:durableId="1606426979">
    <w:abstractNumId w:val="23"/>
  </w:num>
  <w:num w:numId="31" w16cid:durableId="1229389825">
    <w:abstractNumId w:val="20"/>
  </w:num>
  <w:num w:numId="32" w16cid:durableId="236013820">
    <w:abstractNumId w:val="12"/>
  </w:num>
  <w:num w:numId="33" w16cid:durableId="86930702">
    <w:abstractNumId w:val="32"/>
  </w:num>
  <w:num w:numId="34" w16cid:durableId="1996913695">
    <w:abstractNumId w:val="38"/>
  </w:num>
  <w:num w:numId="35" w16cid:durableId="1923681232">
    <w:abstractNumId w:val="25"/>
  </w:num>
  <w:num w:numId="36" w16cid:durableId="1066538431">
    <w:abstractNumId w:val="0"/>
  </w:num>
  <w:num w:numId="37" w16cid:durableId="979656852">
    <w:abstractNumId w:val="33"/>
  </w:num>
  <w:num w:numId="38" w16cid:durableId="625547830">
    <w:abstractNumId w:val="28"/>
  </w:num>
  <w:num w:numId="39" w16cid:durableId="518665774">
    <w:abstractNumId w:val="27"/>
  </w:num>
  <w:num w:numId="40" w16cid:durableId="199441972">
    <w:abstractNumId w:val="1"/>
  </w:num>
  <w:num w:numId="41" w16cid:durableId="1029837306">
    <w:abstractNumId w:val="24"/>
  </w:num>
  <w:num w:numId="42" w16cid:durableId="212620082">
    <w:abstractNumId w:val="37"/>
  </w:num>
  <w:num w:numId="43" w16cid:durableId="268974854">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053"/>
    <w:rsid w:val="0000006C"/>
    <w:rsid w:val="000000BB"/>
    <w:rsid w:val="0000058F"/>
    <w:rsid w:val="00000A98"/>
    <w:rsid w:val="00000D10"/>
    <w:rsid w:val="00000ECF"/>
    <w:rsid w:val="00000EDE"/>
    <w:rsid w:val="0000109A"/>
    <w:rsid w:val="00001155"/>
    <w:rsid w:val="00001479"/>
    <w:rsid w:val="00001AE6"/>
    <w:rsid w:val="00001D55"/>
    <w:rsid w:val="00001D77"/>
    <w:rsid w:val="00001D9B"/>
    <w:rsid w:val="00001E9B"/>
    <w:rsid w:val="00002066"/>
    <w:rsid w:val="00002330"/>
    <w:rsid w:val="0000281C"/>
    <w:rsid w:val="00002876"/>
    <w:rsid w:val="00002EBA"/>
    <w:rsid w:val="00002FCC"/>
    <w:rsid w:val="00003261"/>
    <w:rsid w:val="00003489"/>
    <w:rsid w:val="0000368A"/>
    <w:rsid w:val="000036D1"/>
    <w:rsid w:val="0000389F"/>
    <w:rsid w:val="00003ABD"/>
    <w:rsid w:val="00003E1A"/>
    <w:rsid w:val="00003E2E"/>
    <w:rsid w:val="000040B8"/>
    <w:rsid w:val="00004469"/>
    <w:rsid w:val="000046AB"/>
    <w:rsid w:val="000046F5"/>
    <w:rsid w:val="00004946"/>
    <w:rsid w:val="00004982"/>
    <w:rsid w:val="00004C74"/>
    <w:rsid w:val="00004CE0"/>
    <w:rsid w:val="00004D64"/>
    <w:rsid w:val="00004D69"/>
    <w:rsid w:val="00004E03"/>
    <w:rsid w:val="00004E30"/>
    <w:rsid w:val="00004EB9"/>
    <w:rsid w:val="00004EE2"/>
    <w:rsid w:val="00004F7F"/>
    <w:rsid w:val="000051E0"/>
    <w:rsid w:val="000051F7"/>
    <w:rsid w:val="000053E4"/>
    <w:rsid w:val="000054C9"/>
    <w:rsid w:val="000055B1"/>
    <w:rsid w:val="00005670"/>
    <w:rsid w:val="000056B1"/>
    <w:rsid w:val="000059E0"/>
    <w:rsid w:val="00005AE6"/>
    <w:rsid w:val="00005B60"/>
    <w:rsid w:val="00005BD5"/>
    <w:rsid w:val="00005F48"/>
    <w:rsid w:val="00006010"/>
    <w:rsid w:val="00006073"/>
    <w:rsid w:val="000062C9"/>
    <w:rsid w:val="000064D7"/>
    <w:rsid w:val="00006512"/>
    <w:rsid w:val="00006552"/>
    <w:rsid w:val="00006624"/>
    <w:rsid w:val="000067D9"/>
    <w:rsid w:val="000067DB"/>
    <w:rsid w:val="000069FD"/>
    <w:rsid w:val="00006B82"/>
    <w:rsid w:val="00006CCA"/>
    <w:rsid w:val="000070F4"/>
    <w:rsid w:val="00007143"/>
    <w:rsid w:val="000071CD"/>
    <w:rsid w:val="000073DC"/>
    <w:rsid w:val="00007702"/>
    <w:rsid w:val="00007707"/>
    <w:rsid w:val="00007746"/>
    <w:rsid w:val="00007983"/>
    <w:rsid w:val="000079DB"/>
    <w:rsid w:val="00007C66"/>
    <w:rsid w:val="00007DF9"/>
    <w:rsid w:val="00010112"/>
    <w:rsid w:val="00010233"/>
    <w:rsid w:val="000105AF"/>
    <w:rsid w:val="00010931"/>
    <w:rsid w:val="00010B9A"/>
    <w:rsid w:val="00010DA4"/>
    <w:rsid w:val="00010EF9"/>
    <w:rsid w:val="00010F59"/>
    <w:rsid w:val="000112C1"/>
    <w:rsid w:val="00011493"/>
    <w:rsid w:val="00011568"/>
    <w:rsid w:val="0001179A"/>
    <w:rsid w:val="000117C9"/>
    <w:rsid w:val="00011850"/>
    <w:rsid w:val="00011991"/>
    <w:rsid w:val="00011AD5"/>
    <w:rsid w:val="00011BC2"/>
    <w:rsid w:val="00011C42"/>
    <w:rsid w:val="00011E27"/>
    <w:rsid w:val="00011E2A"/>
    <w:rsid w:val="00011E2B"/>
    <w:rsid w:val="00012076"/>
    <w:rsid w:val="000125E3"/>
    <w:rsid w:val="00012746"/>
    <w:rsid w:val="000130E4"/>
    <w:rsid w:val="00013138"/>
    <w:rsid w:val="000134EB"/>
    <w:rsid w:val="00013562"/>
    <w:rsid w:val="000136D0"/>
    <w:rsid w:val="000138E5"/>
    <w:rsid w:val="00013FDD"/>
    <w:rsid w:val="00014107"/>
    <w:rsid w:val="000141F5"/>
    <w:rsid w:val="000143A0"/>
    <w:rsid w:val="0001461E"/>
    <w:rsid w:val="00014809"/>
    <w:rsid w:val="00014843"/>
    <w:rsid w:val="00014974"/>
    <w:rsid w:val="00014BBB"/>
    <w:rsid w:val="00014C80"/>
    <w:rsid w:val="00014D18"/>
    <w:rsid w:val="00014E4D"/>
    <w:rsid w:val="00014F39"/>
    <w:rsid w:val="000150E9"/>
    <w:rsid w:val="000151DA"/>
    <w:rsid w:val="000156DE"/>
    <w:rsid w:val="00015EFF"/>
    <w:rsid w:val="00015F41"/>
    <w:rsid w:val="0001617C"/>
    <w:rsid w:val="00016223"/>
    <w:rsid w:val="00016290"/>
    <w:rsid w:val="0001629B"/>
    <w:rsid w:val="00016443"/>
    <w:rsid w:val="00016561"/>
    <w:rsid w:val="00016A8A"/>
    <w:rsid w:val="00016B89"/>
    <w:rsid w:val="00016D82"/>
    <w:rsid w:val="00016E65"/>
    <w:rsid w:val="00016EB0"/>
    <w:rsid w:val="00017189"/>
    <w:rsid w:val="00017236"/>
    <w:rsid w:val="00017269"/>
    <w:rsid w:val="000172ED"/>
    <w:rsid w:val="000177A3"/>
    <w:rsid w:val="000178CB"/>
    <w:rsid w:val="000178EA"/>
    <w:rsid w:val="00017935"/>
    <w:rsid w:val="00017C42"/>
    <w:rsid w:val="00017CCF"/>
    <w:rsid w:val="00017DC6"/>
    <w:rsid w:val="000200C5"/>
    <w:rsid w:val="00020299"/>
    <w:rsid w:val="00020328"/>
    <w:rsid w:val="00020438"/>
    <w:rsid w:val="00020584"/>
    <w:rsid w:val="00020674"/>
    <w:rsid w:val="000207B0"/>
    <w:rsid w:val="000207B5"/>
    <w:rsid w:val="00020867"/>
    <w:rsid w:val="00020A55"/>
    <w:rsid w:val="00020AD7"/>
    <w:rsid w:val="00020B2C"/>
    <w:rsid w:val="00020B78"/>
    <w:rsid w:val="00020DEC"/>
    <w:rsid w:val="00021073"/>
    <w:rsid w:val="00021080"/>
    <w:rsid w:val="000210B2"/>
    <w:rsid w:val="000213A1"/>
    <w:rsid w:val="000214A4"/>
    <w:rsid w:val="0002178A"/>
    <w:rsid w:val="00021794"/>
    <w:rsid w:val="00021852"/>
    <w:rsid w:val="00021CED"/>
    <w:rsid w:val="00021E86"/>
    <w:rsid w:val="00021E8A"/>
    <w:rsid w:val="00021F91"/>
    <w:rsid w:val="00022269"/>
    <w:rsid w:val="0002275D"/>
    <w:rsid w:val="0002277E"/>
    <w:rsid w:val="000227EE"/>
    <w:rsid w:val="00022852"/>
    <w:rsid w:val="000228B8"/>
    <w:rsid w:val="000228E0"/>
    <w:rsid w:val="000229D4"/>
    <w:rsid w:val="00022BB2"/>
    <w:rsid w:val="00022D82"/>
    <w:rsid w:val="00023074"/>
    <w:rsid w:val="0002318B"/>
    <w:rsid w:val="000231A8"/>
    <w:rsid w:val="0002381B"/>
    <w:rsid w:val="000239CB"/>
    <w:rsid w:val="00023A76"/>
    <w:rsid w:val="00023AE8"/>
    <w:rsid w:val="00023BB0"/>
    <w:rsid w:val="00023C6B"/>
    <w:rsid w:val="00023E03"/>
    <w:rsid w:val="00024002"/>
    <w:rsid w:val="00024371"/>
    <w:rsid w:val="00024559"/>
    <w:rsid w:val="00024842"/>
    <w:rsid w:val="000248F2"/>
    <w:rsid w:val="0002491E"/>
    <w:rsid w:val="0002495E"/>
    <w:rsid w:val="00024EA5"/>
    <w:rsid w:val="00024F1A"/>
    <w:rsid w:val="00025547"/>
    <w:rsid w:val="00025B87"/>
    <w:rsid w:val="00025DC4"/>
    <w:rsid w:val="00026299"/>
    <w:rsid w:val="0002629F"/>
    <w:rsid w:val="000262F8"/>
    <w:rsid w:val="0002634F"/>
    <w:rsid w:val="00026479"/>
    <w:rsid w:val="000265D8"/>
    <w:rsid w:val="00026B41"/>
    <w:rsid w:val="00026BF8"/>
    <w:rsid w:val="000270EF"/>
    <w:rsid w:val="000272DB"/>
    <w:rsid w:val="00027324"/>
    <w:rsid w:val="0002755F"/>
    <w:rsid w:val="00027922"/>
    <w:rsid w:val="00027ADC"/>
    <w:rsid w:val="00027B2F"/>
    <w:rsid w:val="00027C6A"/>
    <w:rsid w:val="000303C6"/>
    <w:rsid w:val="000306C4"/>
    <w:rsid w:val="0003084B"/>
    <w:rsid w:val="00030ACD"/>
    <w:rsid w:val="00030B9C"/>
    <w:rsid w:val="00031299"/>
    <w:rsid w:val="000313FE"/>
    <w:rsid w:val="00031550"/>
    <w:rsid w:val="000319FD"/>
    <w:rsid w:val="00031AED"/>
    <w:rsid w:val="00031BA6"/>
    <w:rsid w:val="00031D2F"/>
    <w:rsid w:val="00031D90"/>
    <w:rsid w:val="00032060"/>
    <w:rsid w:val="0003208F"/>
    <w:rsid w:val="000321F5"/>
    <w:rsid w:val="000322DE"/>
    <w:rsid w:val="00032378"/>
    <w:rsid w:val="00032873"/>
    <w:rsid w:val="00032BB4"/>
    <w:rsid w:val="00032C05"/>
    <w:rsid w:val="00032C69"/>
    <w:rsid w:val="00032FB3"/>
    <w:rsid w:val="0003313E"/>
    <w:rsid w:val="00033251"/>
    <w:rsid w:val="0003326E"/>
    <w:rsid w:val="000332C4"/>
    <w:rsid w:val="00033458"/>
    <w:rsid w:val="0003345F"/>
    <w:rsid w:val="000338FD"/>
    <w:rsid w:val="00033A97"/>
    <w:rsid w:val="00033B3D"/>
    <w:rsid w:val="00033B48"/>
    <w:rsid w:val="00033E30"/>
    <w:rsid w:val="00033F3C"/>
    <w:rsid w:val="00033F61"/>
    <w:rsid w:val="00033FF0"/>
    <w:rsid w:val="0003423A"/>
    <w:rsid w:val="000345B8"/>
    <w:rsid w:val="0003477F"/>
    <w:rsid w:val="0003494B"/>
    <w:rsid w:val="00034C43"/>
    <w:rsid w:val="00034C7F"/>
    <w:rsid w:val="00034DF8"/>
    <w:rsid w:val="00035036"/>
    <w:rsid w:val="00035057"/>
    <w:rsid w:val="00035241"/>
    <w:rsid w:val="0003538B"/>
    <w:rsid w:val="000353A9"/>
    <w:rsid w:val="00035492"/>
    <w:rsid w:val="000354AC"/>
    <w:rsid w:val="00035699"/>
    <w:rsid w:val="00035815"/>
    <w:rsid w:val="00035C05"/>
    <w:rsid w:val="00035C1C"/>
    <w:rsid w:val="00035F98"/>
    <w:rsid w:val="000362E6"/>
    <w:rsid w:val="00036354"/>
    <w:rsid w:val="00036443"/>
    <w:rsid w:val="00036536"/>
    <w:rsid w:val="000365A3"/>
    <w:rsid w:val="00036600"/>
    <w:rsid w:val="00036853"/>
    <w:rsid w:val="00036AD8"/>
    <w:rsid w:val="00036CAD"/>
    <w:rsid w:val="00037037"/>
    <w:rsid w:val="0003708D"/>
    <w:rsid w:val="00037093"/>
    <w:rsid w:val="00037302"/>
    <w:rsid w:val="000376B6"/>
    <w:rsid w:val="00037914"/>
    <w:rsid w:val="00037A88"/>
    <w:rsid w:val="00037C6B"/>
    <w:rsid w:val="0004005D"/>
    <w:rsid w:val="000408F0"/>
    <w:rsid w:val="00040ADF"/>
    <w:rsid w:val="00040D24"/>
    <w:rsid w:val="00040FB4"/>
    <w:rsid w:val="000413B5"/>
    <w:rsid w:val="00041430"/>
    <w:rsid w:val="000414A2"/>
    <w:rsid w:val="0004170C"/>
    <w:rsid w:val="0004178C"/>
    <w:rsid w:val="0004198A"/>
    <w:rsid w:val="00041C08"/>
    <w:rsid w:val="00041CCB"/>
    <w:rsid w:val="00041D46"/>
    <w:rsid w:val="00041D8B"/>
    <w:rsid w:val="00041F5D"/>
    <w:rsid w:val="00041FEA"/>
    <w:rsid w:val="000420A0"/>
    <w:rsid w:val="0004261F"/>
    <w:rsid w:val="00042686"/>
    <w:rsid w:val="000426E8"/>
    <w:rsid w:val="00042AA2"/>
    <w:rsid w:val="00042B4F"/>
    <w:rsid w:val="00042C90"/>
    <w:rsid w:val="0004341B"/>
    <w:rsid w:val="000435CB"/>
    <w:rsid w:val="00043795"/>
    <w:rsid w:val="00043C95"/>
    <w:rsid w:val="00043F68"/>
    <w:rsid w:val="0004406F"/>
    <w:rsid w:val="000443A6"/>
    <w:rsid w:val="000444EE"/>
    <w:rsid w:val="00044527"/>
    <w:rsid w:val="000445D0"/>
    <w:rsid w:val="00044618"/>
    <w:rsid w:val="0004485D"/>
    <w:rsid w:val="0004488B"/>
    <w:rsid w:val="00044984"/>
    <w:rsid w:val="000449D1"/>
    <w:rsid w:val="00044CB8"/>
    <w:rsid w:val="000450F4"/>
    <w:rsid w:val="000451D9"/>
    <w:rsid w:val="0004563A"/>
    <w:rsid w:val="00045728"/>
    <w:rsid w:val="00045A09"/>
    <w:rsid w:val="00045B8D"/>
    <w:rsid w:val="00045BD2"/>
    <w:rsid w:val="00045C5A"/>
    <w:rsid w:val="00045CC5"/>
    <w:rsid w:val="0004617B"/>
    <w:rsid w:val="000463C6"/>
    <w:rsid w:val="0004656D"/>
    <w:rsid w:val="000465C5"/>
    <w:rsid w:val="000467AB"/>
    <w:rsid w:val="00046942"/>
    <w:rsid w:val="0004696F"/>
    <w:rsid w:val="00046B07"/>
    <w:rsid w:val="00046B6A"/>
    <w:rsid w:val="00046DD9"/>
    <w:rsid w:val="00046F2D"/>
    <w:rsid w:val="00046FF1"/>
    <w:rsid w:val="000470C4"/>
    <w:rsid w:val="000472D4"/>
    <w:rsid w:val="00047425"/>
    <w:rsid w:val="000474A0"/>
    <w:rsid w:val="000475D8"/>
    <w:rsid w:val="00047625"/>
    <w:rsid w:val="0004769D"/>
    <w:rsid w:val="000477B6"/>
    <w:rsid w:val="00047A44"/>
    <w:rsid w:val="00047A84"/>
    <w:rsid w:val="00047E8A"/>
    <w:rsid w:val="00047F74"/>
    <w:rsid w:val="00050015"/>
    <w:rsid w:val="00050418"/>
    <w:rsid w:val="00050473"/>
    <w:rsid w:val="00050763"/>
    <w:rsid w:val="00050895"/>
    <w:rsid w:val="00050996"/>
    <w:rsid w:val="00050DF2"/>
    <w:rsid w:val="00050FAF"/>
    <w:rsid w:val="000518E8"/>
    <w:rsid w:val="00051A22"/>
    <w:rsid w:val="00051CA9"/>
    <w:rsid w:val="00052024"/>
    <w:rsid w:val="0005208F"/>
    <w:rsid w:val="000522C9"/>
    <w:rsid w:val="00052653"/>
    <w:rsid w:val="000526AB"/>
    <w:rsid w:val="000527F1"/>
    <w:rsid w:val="0005281F"/>
    <w:rsid w:val="00052AFF"/>
    <w:rsid w:val="00052B71"/>
    <w:rsid w:val="00052BC2"/>
    <w:rsid w:val="00052C06"/>
    <w:rsid w:val="00052DB7"/>
    <w:rsid w:val="00052DD3"/>
    <w:rsid w:val="0005326D"/>
    <w:rsid w:val="00053381"/>
    <w:rsid w:val="000533A8"/>
    <w:rsid w:val="000535C8"/>
    <w:rsid w:val="00053656"/>
    <w:rsid w:val="00053CB6"/>
    <w:rsid w:val="00053F2F"/>
    <w:rsid w:val="00053F6C"/>
    <w:rsid w:val="00054040"/>
    <w:rsid w:val="000540A3"/>
    <w:rsid w:val="000545C8"/>
    <w:rsid w:val="00054A96"/>
    <w:rsid w:val="00054BBE"/>
    <w:rsid w:val="0005505C"/>
    <w:rsid w:val="000551B2"/>
    <w:rsid w:val="00055293"/>
    <w:rsid w:val="000552B3"/>
    <w:rsid w:val="00055320"/>
    <w:rsid w:val="00055382"/>
    <w:rsid w:val="000553EF"/>
    <w:rsid w:val="0005561B"/>
    <w:rsid w:val="0005568C"/>
    <w:rsid w:val="00055C36"/>
    <w:rsid w:val="00055C79"/>
    <w:rsid w:val="000564F3"/>
    <w:rsid w:val="0005668B"/>
    <w:rsid w:val="00056696"/>
    <w:rsid w:val="000567B1"/>
    <w:rsid w:val="00056A66"/>
    <w:rsid w:val="00056A68"/>
    <w:rsid w:val="00056C49"/>
    <w:rsid w:val="00056C53"/>
    <w:rsid w:val="00056CFB"/>
    <w:rsid w:val="00056E19"/>
    <w:rsid w:val="000570F5"/>
    <w:rsid w:val="00057291"/>
    <w:rsid w:val="0005782D"/>
    <w:rsid w:val="00057BC8"/>
    <w:rsid w:val="00057ED9"/>
    <w:rsid w:val="00057F3E"/>
    <w:rsid w:val="000600EA"/>
    <w:rsid w:val="00060837"/>
    <w:rsid w:val="00060B2C"/>
    <w:rsid w:val="00060BF7"/>
    <w:rsid w:val="00060DAC"/>
    <w:rsid w:val="00060DAE"/>
    <w:rsid w:val="00060DBD"/>
    <w:rsid w:val="00060FE7"/>
    <w:rsid w:val="000610A1"/>
    <w:rsid w:val="00061338"/>
    <w:rsid w:val="00061AA3"/>
    <w:rsid w:val="00061C6B"/>
    <w:rsid w:val="00061C82"/>
    <w:rsid w:val="00061F2A"/>
    <w:rsid w:val="00061F76"/>
    <w:rsid w:val="00061FD1"/>
    <w:rsid w:val="00061FEB"/>
    <w:rsid w:val="00062016"/>
    <w:rsid w:val="000621C8"/>
    <w:rsid w:val="000623DC"/>
    <w:rsid w:val="00062567"/>
    <w:rsid w:val="0006268B"/>
    <w:rsid w:val="0006275D"/>
    <w:rsid w:val="0006299F"/>
    <w:rsid w:val="00062BD5"/>
    <w:rsid w:val="00062CFB"/>
    <w:rsid w:val="00062D18"/>
    <w:rsid w:val="00062DD6"/>
    <w:rsid w:val="00062EB2"/>
    <w:rsid w:val="000630CD"/>
    <w:rsid w:val="0006339C"/>
    <w:rsid w:val="000637E2"/>
    <w:rsid w:val="00063BE2"/>
    <w:rsid w:val="00063E28"/>
    <w:rsid w:val="00063F26"/>
    <w:rsid w:val="0006406F"/>
    <w:rsid w:val="00064598"/>
    <w:rsid w:val="00064783"/>
    <w:rsid w:val="000647C2"/>
    <w:rsid w:val="000648FC"/>
    <w:rsid w:val="000648FF"/>
    <w:rsid w:val="00064A07"/>
    <w:rsid w:val="00064C22"/>
    <w:rsid w:val="00064E67"/>
    <w:rsid w:val="00064EF6"/>
    <w:rsid w:val="00064F2B"/>
    <w:rsid w:val="000659D0"/>
    <w:rsid w:val="00065A7A"/>
    <w:rsid w:val="00065F5C"/>
    <w:rsid w:val="00066103"/>
    <w:rsid w:val="00066264"/>
    <w:rsid w:val="000663EA"/>
    <w:rsid w:val="000665A7"/>
    <w:rsid w:val="00066831"/>
    <w:rsid w:val="00066969"/>
    <w:rsid w:val="00066AB0"/>
    <w:rsid w:val="00067280"/>
    <w:rsid w:val="0006728E"/>
    <w:rsid w:val="00067334"/>
    <w:rsid w:val="000673EC"/>
    <w:rsid w:val="00067428"/>
    <w:rsid w:val="0006745D"/>
    <w:rsid w:val="00067A6D"/>
    <w:rsid w:val="00067C56"/>
    <w:rsid w:val="00067CA2"/>
    <w:rsid w:val="00067F0F"/>
    <w:rsid w:val="0007021F"/>
    <w:rsid w:val="00070459"/>
    <w:rsid w:val="00070672"/>
    <w:rsid w:val="0007077A"/>
    <w:rsid w:val="000709A0"/>
    <w:rsid w:val="00070C1A"/>
    <w:rsid w:val="00070E2F"/>
    <w:rsid w:val="00070FC1"/>
    <w:rsid w:val="00071167"/>
    <w:rsid w:val="0007160B"/>
    <w:rsid w:val="0007178F"/>
    <w:rsid w:val="000718B1"/>
    <w:rsid w:val="00071984"/>
    <w:rsid w:val="00071A1C"/>
    <w:rsid w:val="00071B5A"/>
    <w:rsid w:val="00071D0C"/>
    <w:rsid w:val="00071DB1"/>
    <w:rsid w:val="00071E3D"/>
    <w:rsid w:val="0007251E"/>
    <w:rsid w:val="000725CA"/>
    <w:rsid w:val="00072F0F"/>
    <w:rsid w:val="00072FFE"/>
    <w:rsid w:val="00073124"/>
    <w:rsid w:val="0007347B"/>
    <w:rsid w:val="0007369A"/>
    <w:rsid w:val="00073C68"/>
    <w:rsid w:val="00073DD7"/>
    <w:rsid w:val="000740A8"/>
    <w:rsid w:val="0007413D"/>
    <w:rsid w:val="00074151"/>
    <w:rsid w:val="00074199"/>
    <w:rsid w:val="000742C1"/>
    <w:rsid w:val="0007470A"/>
    <w:rsid w:val="00074950"/>
    <w:rsid w:val="000749AC"/>
    <w:rsid w:val="00074AD0"/>
    <w:rsid w:val="00074BED"/>
    <w:rsid w:val="00074D4C"/>
    <w:rsid w:val="00075031"/>
    <w:rsid w:val="000750EE"/>
    <w:rsid w:val="00075202"/>
    <w:rsid w:val="00075288"/>
    <w:rsid w:val="00075304"/>
    <w:rsid w:val="00075379"/>
    <w:rsid w:val="000753EE"/>
    <w:rsid w:val="0007560F"/>
    <w:rsid w:val="000756B6"/>
    <w:rsid w:val="00075BCB"/>
    <w:rsid w:val="00075F39"/>
    <w:rsid w:val="0007634D"/>
    <w:rsid w:val="000764B8"/>
    <w:rsid w:val="000765A7"/>
    <w:rsid w:val="00076849"/>
    <w:rsid w:val="0007699D"/>
    <w:rsid w:val="00076BBD"/>
    <w:rsid w:val="00076BD0"/>
    <w:rsid w:val="00076EBE"/>
    <w:rsid w:val="0007718B"/>
    <w:rsid w:val="00077200"/>
    <w:rsid w:val="0007738D"/>
    <w:rsid w:val="00077645"/>
    <w:rsid w:val="0007766E"/>
    <w:rsid w:val="00077757"/>
    <w:rsid w:val="00077946"/>
    <w:rsid w:val="00077C99"/>
    <w:rsid w:val="00077D7C"/>
    <w:rsid w:val="000801D2"/>
    <w:rsid w:val="00080241"/>
    <w:rsid w:val="000803A8"/>
    <w:rsid w:val="000804E8"/>
    <w:rsid w:val="0008082B"/>
    <w:rsid w:val="00080917"/>
    <w:rsid w:val="00080B3D"/>
    <w:rsid w:val="00080D89"/>
    <w:rsid w:val="00080DE6"/>
    <w:rsid w:val="00080FBF"/>
    <w:rsid w:val="0008138B"/>
    <w:rsid w:val="00081778"/>
    <w:rsid w:val="00081D40"/>
    <w:rsid w:val="00081E41"/>
    <w:rsid w:val="000820BC"/>
    <w:rsid w:val="0008246F"/>
    <w:rsid w:val="00082613"/>
    <w:rsid w:val="00082767"/>
    <w:rsid w:val="000827B8"/>
    <w:rsid w:val="00082968"/>
    <w:rsid w:val="00082C0E"/>
    <w:rsid w:val="00082CB1"/>
    <w:rsid w:val="00082EB4"/>
    <w:rsid w:val="000830C5"/>
    <w:rsid w:val="00083237"/>
    <w:rsid w:val="00083339"/>
    <w:rsid w:val="00083485"/>
    <w:rsid w:val="000834FF"/>
    <w:rsid w:val="000839D9"/>
    <w:rsid w:val="00083EF4"/>
    <w:rsid w:val="00083FFB"/>
    <w:rsid w:val="00084017"/>
    <w:rsid w:val="00084025"/>
    <w:rsid w:val="00084281"/>
    <w:rsid w:val="0008472F"/>
    <w:rsid w:val="0008486B"/>
    <w:rsid w:val="000849BB"/>
    <w:rsid w:val="00084CD8"/>
    <w:rsid w:val="00085251"/>
    <w:rsid w:val="00085282"/>
    <w:rsid w:val="00085285"/>
    <w:rsid w:val="000853DD"/>
    <w:rsid w:val="00085443"/>
    <w:rsid w:val="00085490"/>
    <w:rsid w:val="000855BF"/>
    <w:rsid w:val="00085680"/>
    <w:rsid w:val="000856B7"/>
    <w:rsid w:val="00085792"/>
    <w:rsid w:val="000857CC"/>
    <w:rsid w:val="00085AC6"/>
    <w:rsid w:val="00085B3C"/>
    <w:rsid w:val="00085C83"/>
    <w:rsid w:val="00086429"/>
    <w:rsid w:val="00086458"/>
    <w:rsid w:val="0008650E"/>
    <w:rsid w:val="0008677C"/>
    <w:rsid w:val="00086A82"/>
    <w:rsid w:val="00086DE1"/>
    <w:rsid w:val="00086DEE"/>
    <w:rsid w:val="00086F14"/>
    <w:rsid w:val="000870B6"/>
    <w:rsid w:val="00087476"/>
    <w:rsid w:val="0008764F"/>
    <w:rsid w:val="00087681"/>
    <w:rsid w:val="000876D2"/>
    <w:rsid w:val="00087A2E"/>
    <w:rsid w:val="00087B10"/>
    <w:rsid w:val="00087C35"/>
    <w:rsid w:val="00087D2A"/>
    <w:rsid w:val="000901D6"/>
    <w:rsid w:val="00090257"/>
    <w:rsid w:val="0009037A"/>
    <w:rsid w:val="00090613"/>
    <w:rsid w:val="00090A1C"/>
    <w:rsid w:val="00090A94"/>
    <w:rsid w:val="00090BBF"/>
    <w:rsid w:val="00090BD1"/>
    <w:rsid w:val="00090BF8"/>
    <w:rsid w:val="00090D0A"/>
    <w:rsid w:val="00090F34"/>
    <w:rsid w:val="00090FBE"/>
    <w:rsid w:val="00090FD1"/>
    <w:rsid w:val="0009106B"/>
    <w:rsid w:val="0009129A"/>
    <w:rsid w:val="000914D3"/>
    <w:rsid w:val="00091777"/>
    <w:rsid w:val="00091857"/>
    <w:rsid w:val="000918D4"/>
    <w:rsid w:val="00091A0C"/>
    <w:rsid w:val="00091C59"/>
    <w:rsid w:val="00091FB0"/>
    <w:rsid w:val="00092081"/>
    <w:rsid w:val="00092106"/>
    <w:rsid w:val="00092340"/>
    <w:rsid w:val="0009268D"/>
    <w:rsid w:val="00092A21"/>
    <w:rsid w:val="00092C04"/>
    <w:rsid w:val="00092D4C"/>
    <w:rsid w:val="00093063"/>
    <w:rsid w:val="0009313E"/>
    <w:rsid w:val="00093312"/>
    <w:rsid w:val="00093417"/>
    <w:rsid w:val="00093555"/>
    <w:rsid w:val="000937BE"/>
    <w:rsid w:val="00093A5B"/>
    <w:rsid w:val="00093D9A"/>
    <w:rsid w:val="00093F82"/>
    <w:rsid w:val="0009403A"/>
    <w:rsid w:val="00094182"/>
    <w:rsid w:val="0009438C"/>
    <w:rsid w:val="00094498"/>
    <w:rsid w:val="000944FA"/>
    <w:rsid w:val="00094656"/>
    <w:rsid w:val="00094809"/>
    <w:rsid w:val="00094DA7"/>
    <w:rsid w:val="0009527D"/>
    <w:rsid w:val="00095440"/>
    <w:rsid w:val="0009546C"/>
    <w:rsid w:val="00095576"/>
    <w:rsid w:val="00095604"/>
    <w:rsid w:val="0009560D"/>
    <w:rsid w:val="000957F3"/>
    <w:rsid w:val="00095953"/>
    <w:rsid w:val="00095979"/>
    <w:rsid w:val="00095B39"/>
    <w:rsid w:val="00095BF4"/>
    <w:rsid w:val="00095C9B"/>
    <w:rsid w:val="00095CA2"/>
    <w:rsid w:val="00095E8C"/>
    <w:rsid w:val="0009607C"/>
    <w:rsid w:val="00096338"/>
    <w:rsid w:val="000964BD"/>
    <w:rsid w:val="000965BA"/>
    <w:rsid w:val="00096B52"/>
    <w:rsid w:val="00096CD0"/>
    <w:rsid w:val="00096D5A"/>
    <w:rsid w:val="00096E72"/>
    <w:rsid w:val="00097118"/>
    <w:rsid w:val="0009724E"/>
    <w:rsid w:val="0009740B"/>
    <w:rsid w:val="000974D8"/>
    <w:rsid w:val="000977D1"/>
    <w:rsid w:val="00097FE6"/>
    <w:rsid w:val="000A0065"/>
    <w:rsid w:val="000A043F"/>
    <w:rsid w:val="000A04E8"/>
    <w:rsid w:val="000A0540"/>
    <w:rsid w:val="000A09DC"/>
    <w:rsid w:val="000A0E0D"/>
    <w:rsid w:val="000A0E95"/>
    <w:rsid w:val="000A1030"/>
    <w:rsid w:val="000A10BF"/>
    <w:rsid w:val="000A1295"/>
    <w:rsid w:val="000A1B35"/>
    <w:rsid w:val="000A1BBE"/>
    <w:rsid w:val="000A1F46"/>
    <w:rsid w:val="000A2042"/>
    <w:rsid w:val="000A227A"/>
    <w:rsid w:val="000A2356"/>
    <w:rsid w:val="000A245D"/>
    <w:rsid w:val="000A24F1"/>
    <w:rsid w:val="000A291F"/>
    <w:rsid w:val="000A2ACD"/>
    <w:rsid w:val="000A2B65"/>
    <w:rsid w:val="000A2C81"/>
    <w:rsid w:val="000A2CE6"/>
    <w:rsid w:val="000A2DA8"/>
    <w:rsid w:val="000A31ED"/>
    <w:rsid w:val="000A3339"/>
    <w:rsid w:val="000A3715"/>
    <w:rsid w:val="000A38B8"/>
    <w:rsid w:val="000A397D"/>
    <w:rsid w:val="000A39DE"/>
    <w:rsid w:val="000A3A0F"/>
    <w:rsid w:val="000A3E65"/>
    <w:rsid w:val="000A3EBE"/>
    <w:rsid w:val="000A4120"/>
    <w:rsid w:val="000A41B5"/>
    <w:rsid w:val="000A41BA"/>
    <w:rsid w:val="000A426E"/>
    <w:rsid w:val="000A4304"/>
    <w:rsid w:val="000A430E"/>
    <w:rsid w:val="000A4384"/>
    <w:rsid w:val="000A4595"/>
    <w:rsid w:val="000A45A5"/>
    <w:rsid w:val="000A4877"/>
    <w:rsid w:val="000A4941"/>
    <w:rsid w:val="000A49B4"/>
    <w:rsid w:val="000A4A17"/>
    <w:rsid w:val="000A4C1D"/>
    <w:rsid w:val="000A4CD4"/>
    <w:rsid w:val="000A4D87"/>
    <w:rsid w:val="000A4DD1"/>
    <w:rsid w:val="000A4E14"/>
    <w:rsid w:val="000A4F8E"/>
    <w:rsid w:val="000A516C"/>
    <w:rsid w:val="000A5271"/>
    <w:rsid w:val="000A53CD"/>
    <w:rsid w:val="000A541B"/>
    <w:rsid w:val="000A5581"/>
    <w:rsid w:val="000A56AD"/>
    <w:rsid w:val="000A56F0"/>
    <w:rsid w:val="000A5BD2"/>
    <w:rsid w:val="000A5C27"/>
    <w:rsid w:val="000A5C47"/>
    <w:rsid w:val="000A5DB6"/>
    <w:rsid w:val="000A6281"/>
    <w:rsid w:val="000A629E"/>
    <w:rsid w:val="000A6360"/>
    <w:rsid w:val="000A66BA"/>
    <w:rsid w:val="000A6B30"/>
    <w:rsid w:val="000A6FDC"/>
    <w:rsid w:val="000A7029"/>
    <w:rsid w:val="000A7942"/>
    <w:rsid w:val="000A7DE7"/>
    <w:rsid w:val="000A7F46"/>
    <w:rsid w:val="000A7F58"/>
    <w:rsid w:val="000B01C2"/>
    <w:rsid w:val="000B01FD"/>
    <w:rsid w:val="000B022E"/>
    <w:rsid w:val="000B028E"/>
    <w:rsid w:val="000B04CC"/>
    <w:rsid w:val="000B06F2"/>
    <w:rsid w:val="000B0813"/>
    <w:rsid w:val="000B0A11"/>
    <w:rsid w:val="000B0B4C"/>
    <w:rsid w:val="000B0BC6"/>
    <w:rsid w:val="000B0D09"/>
    <w:rsid w:val="000B0DB8"/>
    <w:rsid w:val="000B0E3D"/>
    <w:rsid w:val="000B0FC0"/>
    <w:rsid w:val="000B1002"/>
    <w:rsid w:val="000B1047"/>
    <w:rsid w:val="000B10D5"/>
    <w:rsid w:val="000B1155"/>
    <w:rsid w:val="000B11DA"/>
    <w:rsid w:val="000B137D"/>
    <w:rsid w:val="000B16B3"/>
    <w:rsid w:val="000B17EA"/>
    <w:rsid w:val="000B1952"/>
    <w:rsid w:val="000B199E"/>
    <w:rsid w:val="000B1CA5"/>
    <w:rsid w:val="000B1F2A"/>
    <w:rsid w:val="000B2018"/>
    <w:rsid w:val="000B21AF"/>
    <w:rsid w:val="000B22E3"/>
    <w:rsid w:val="000B2792"/>
    <w:rsid w:val="000B27D2"/>
    <w:rsid w:val="000B2ACE"/>
    <w:rsid w:val="000B2B7A"/>
    <w:rsid w:val="000B2CB0"/>
    <w:rsid w:val="000B2CCD"/>
    <w:rsid w:val="000B2D40"/>
    <w:rsid w:val="000B3330"/>
    <w:rsid w:val="000B35D4"/>
    <w:rsid w:val="000B371B"/>
    <w:rsid w:val="000B39CC"/>
    <w:rsid w:val="000B4671"/>
    <w:rsid w:val="000B46FF"/>
    <w:rsid w:val="000B49A9"/>
    <w:rsid w:val="000B4A71"/>
    <w:rsid w:val="000B4F7A"/>
    <w:rsid w:val="000B531F"/>
    <w:rsid w:val="000B5326"/>
    <w:rsid w:val="000B58B4"/>
    <w:rsid w:val="000B5B6A"/>
    <w:rsid w:val="000B5D60"/>
    <w:rsid w:val="000B5E38"/>
    <w:rsid w:val="000B5F2C"/>
    <w:rsid w:val="000B61DC"/>
    <w:rsid w:val="000B61F9"/>
    <w:rsid w:val="000B63F5"/>
    <w:rsid w:val="000B67D2"/>
    <w:rsid w:val="000B69C0"/>
    <w:rsid w:val="000B6CF0"/>
    <w:rsid w:val="000B6DC7"/>
    <w:rsid w:val="000B6EA3"/>
    <w:rsid w:val="000B70AB"/>
    <w:rsid w:val="000B710F"/>
    <w:rsid w:val="000B71FA"/>
    <w:rsid w:val="000B720C"/>
    <w:rsid w:val="000B7236"/>
    <w:rsid w:val="000B734C"/>
    <w:rsid w:val="000B755C"/>
    <w:rsid w:val="000B756C"/>
    <w:rsid w:val="000B7665"/>
    <w:rsid w:val="000B79B6"/>
    <w:rsid w:val="000B7A9C"/>
    <w:rsid w:val="000B7CA5"/>
    <w:rsid w:val="000B7D70"/>
    <w:rsid w:val="000B7F32"/>
    <w:rsid w:val="000C0439"/>
    <w:rsid w:val="000C0458"/>
    <w:rsid w:val="000C045B"/>
    <w:rsid w:val="000C0491"/>
    <w:rsid w:val="000C0885"/>
    <w:rsid w:val="000C0AEE"/>
    <w:rsid w:val="000C115E"/>
    <w:rsid w:val="000C12A8"/>
    <w:rsid w:val="000C13B3"/>
    <w:rsid w:val="000C13CA"/>
    <w:rsid w:val="000C14C7"/>
    <w:rsid w:val="000C1724"/>
    <w:rsid w:val="000C1E8A"/>
    <w:rsid w:val="000C2075"/>
    <w:rsid w:val="000C22A8"/>
    <w:rsid w:val="000C2315"/>
    <w:rsid w:val="000C23D4"/>
    <w:rsid w:val="000C26CC"/>
    <w:rsid w:val="000C2718"/>
    <w:rsid w:val="000C298F"/>
    <w:rsid w:val="000C2C68"/>
    <w:rsid w:val="000C2DBE"/>
    <w:rsid w:val="000C2F29"/>
    <w:rsid w:val="000C2F87"/>
    <w:rsid w:val="000C3036"/>
    <w:rsid w:val="000C344E"/>
    <w:rsid w:val="000C34D6"/>
    <w:rsid w:val="000C3593"/>
    <w:rsid w:val="000C365A"/>
    <w:rsid w:val="000C36FE"/>
    <w:rsid w:val="000C37CD"/>
    <w:rsid w:val="000C3AE3"/>
    <w:rsid w:val="000C3F05"/>
    <w:rsid w:val="000C3F54"/>
    <w:rsid w:val="000C404F"/>
    <w:rsid w:val="000C4265"/>
    <w:rsid w:val="000C43CA"/>
    <w:rsid w:val="000C46F6"/>
    <w:rsid w:val="000C470B"/>
    <w:rsid w:val="000C4F01"/>
    <w:rsid w:val="000C4FDE"/>
    <w:rsid w:val="000C5231"/>
    <w:rsid w:val="000C5442"/>
    <w:rsid w:val="000C5860"/>
    <w:rsid w:val="000C5900"/>
    <w:rsid w:val="000C593F"/>
    <w:rsid w:val="000C5A0D"/>
    <w:rsid w:val="000C5AD5"/>
    <w:rsid w:val="000C5E16"/>
    <w:rsid w:val="000C5FF5"/>
    <w:rsid w:val="000C6260"/>
    <w:rsid w:val="000C64BC"/>
    <w:rsid w:val="000C6658"/>
    <w:rsid w:val="000C67F8"/>
    <w:rsid w:val="000C6BF7"/>
    <w:rsid w:val="000C6D9D"/>
    <w:rsid w:val="000C6F75"/>
    <w:rsid w:val="000C70D0"/>
    <w:rsid w:val="000C7117"/>
    <w:rsid w:val="000C72AE"/>
    <w:rsid w:val="000C72BB"/>
    <w:rsid w:val="000C736C"/>
    <w:rsid w:val="000C78E3"/>
    <w:rsid w:val="000C7BE5"/>
    <w:rsid w:val="000C7C46"/>
    <w:rsid w:val="000C7FDA"/>
    <w:rsid w:val="000D0152"/>
    <w:rsid w:val="000D019E"/>
    <w:rsid w:val="000D0501"/>
    <w:rsid w:val="000D052F"/>
    <w:rsid w:val="000D08B1"/>
    <w:rsid w:val="000D0A4B"/>
    <w:rsid w:val="000D0BF8"/>
    <w:rsid w:val="000D0CD9"/>
    <w:rsid w:val="000D0F73"/>
    <w:rsid w:val="000D0FA2"/>
    <w:rsid w:val="000D1012"/>
    <w:rsid w:val="000D12F6"/>
    <w:rsid w:val="000D12FC"/>
    <w:rsid w:val="000D1327"/>
    <w:rsid w:val="000D1465"/>
    <w:rsid w:val="000D1489"/>
    <w:rsid w:val="000D16A2"/>
    <w:rsid w:val="000D1AF4"/>
    <w:rsid w:val="000D1B14"/>
    <w:rsid w:val="000D1B52"/>
    <w:rsid w:val="000D1C1F"/>
    <w:rsid w:val="000D1CFE"/>
    <w:rsid w:val="000D22CB"/>
    <w:rsid w:val="000D266F"/>
    <w:rsid w:val="000D2A58"/>
    <w:rsid w:val="000D321B"/>
    <w:rsid w:val="000D345F"/>
    <w:rsid w:val="000D3961"/>
    <w:rsid w:val="000D397F"/>
    <w:rsid w:val="000D39F5"/>
    <w:rsid w:val="000D3A05"/>
    <w:rsid w:val="000D3D32"/>
    <w:rsid w:val="000D4033"/>
    <w:rsid w:val="000D428C"/>
    <w:rsid w:val="000D42A6"/>
    <w:rsid w:val="000D43D9"/>
    <w:rsid w:val="000D453E"/>
    <w:rsid w:val="000D454E"/>
    <w:rsid w:val="000D46CF"/>
    <w:rsid w:val="000D47E3"/>
    <w:rsid w:val="000D4866"/>
    <w:rsid w:val="000D4B8D"/>
    <w:rsid w:val="000D4C1B"/>
    <w:rsid w:val="000D4DB6"/>
    <w:rsid w:val="000D4E40"/>
    <w:rsid w:val="000D4EA3"/>
    <w:rsid w:val="000D50FB"/>
    <w:rsid w:val="000D52EA"/>
    <w:rsid w:val="000D5523"/>
    <w:rsid w:val="000D57A9"/>
    <w:rsid w:val="000D5841"/>
    <w:rsid w:val="000D58E6"/>
    <w:rsid w:val="000D5A9D"/>
    <w:rsid w:val="000D5C1B"/>
    <w:rsid w:val="000D5C9C"/>
    <w:rsid w:val="000D5DE1"/>
    <w:rsid w:val="000D5E42"/>
    <w:rsid w:val="000D5E52"/>
    <w:rsid w:val="000D5EF9"/>
    <w:rsid w:val="000D5FDF"/>
    <w:rsid w:val="000D628B"/>
    <w:rsid w:val="000D658B"/>
    <w:rsid w:val="000D660C"/>
    <w:rsid w:val="000D6841"/>
    <w:rsid w:val="000D6963"/>
    <w:rsid w:val="000D69F0"/>
    <w:rsid w:val="000D6A59"/>
    <w:rsid w:val="000D6C69"/>
    <w:rsid w:val="000D6E07"/>
    <w:rsid w:val="000D6F01"/>
    <w:rsid w:val="000D7301"/>
    <w:rsid w:val="000D73C4"/>
    <w:rsid w:val="000D795D"/>
    <w:rsid w:val="000D7AB0"/>
    <w:rsid w:val="000D7ABF"/>
    <w:rsid w:val="000D7BB1"/>
    <w:rsid w:val="000D7D87"/>
    <w:rsid w:val="000E0186"/>
    <w:rsid w:val="000E024E"/>
    <w:rsid w:val="000E03DC"/>
    <w:rsid w:val="000E08D4"/>
    <w:rsid w:val="000E0B9F"/>
    <w:rsid w:val="000E0E2B"/>
    <w:rsid w:val="000E10CD"/>
    <w:rsid w:val="000E1124"/>
    <w:rsid w:val="000E1424"/>
    <w:rsid w:val="000E1607"/>
    <w:rsid w:val="000E16B3"/>
    <w:rsid w:val="000E1718"/>
    <w:rsid w:val="000E1A67"/>
    <w:rsid w:val="000E1C5D"/>
    <w:rsid w:val="000E1C5F"/>
    <w:rsid w:val="000E1CF7"/>
    <w:rsid w:val="000E1E57"/>
    <w:rsid w:val="000E1F3B"/>
    <w:rsid w:val="000E2028"/>
    <w:rsid w:val="000E230B"/>
    <w:rsid w:val="000E2372"/>
    <w:rsid w:val="000E2486"/>
    <w:rsid w:val="000E25C8"/>
    <w:rsid w:val="000E288D"/>
    <w:rsid w:val="000E3376"/>
    <w:rsid w:val="000E339D"/>
    <w:rsid w:val="000E3461"/>
    <w:rsid w:val="000E3573"/>
    <w:rsid w:val="000E38D6"/>
    <w:rsid w:val="000E39C3"/>
    <w:rsid w:val="000E3A47"/>
    <w:rsid w:val="000E3DAB"/>
    <w:rsid w:val="000E3DD4"/>
    <w:rsid w:val="000E3FBC"/>
    <w:rsid w:val="000E4289"/>
    <w:rsid w:val="000E432A"/>
    <w:rsid w:val="000E4570"/>
    <w:rsid w:val="000E4696"/>
    <w:rsid w:val="000E471E"/>
    <w:rsid w:val="000E4755"/>
    <w:rsid w:val="000E47F1"/>
    <w:rsid w:val="000E484F"/>
    <w:rsid w:val="000E4C22"/>
    <w:rsid w:val="000E4DBE"/>
    <w:rsid w:val="000E4EAC"/>
    <w:rsid w:val="000E4F8B"/>
    <w:rsid w:val="000E5211"/>
    <w:rsid w:val="000E54DC"/>
    <w:rsid w:val="000E5531"/>
    <w:rsid w:val="000E5558"/>
    <w:rsid w:val="000E55DA"/>
    <w:rsid w:val="000E57C4"/>
    <w:rsid w:val="000E57F0"/>
    <w:rsid w:val="000E580D"/>
    <w:rsid w:val="000E59A1"/>
    <w:rsid w:val="000E5A80"/>
    <w:rsid w:val="000E5C87"/>
    <w:rsid w:val="000E5D11"/>
    <w:rsid w:val="000E61BE"/>
    <w:rsid w:val="000E62BD"/>
    <w:rsid w:val="000E6396"/>
    <w:rsid w:val="000E6410"/>
    <w:rsid w:val="000E6480"/>
    <w:rsid w:val="000E64DE"/>
    <w:rsid w:val="000E6500"/>
    <w:rsid w:val="000E665A"/>
    <w:rsid w:val="000E66A6"/>
    <w:rsid w:val="000E678B"/>
    <w:rsid w:val="000E6B11"/>
    <w:rsid w:val="000E6EB9"/>
    <w:rsid w:val="000E7335"/>
    <w:rsid w:val="000E734B"/>
    <w:rsid w:val="000E73C6"/>
    <w:rsid w:val="000E76DA"/>
    <w:rsid w:val="000E7786"/>
    <w:rsid w:val="000E7DEF"/>
    <w:rsid w:val="000F0039"/>
    <w:rsid w:val="000F00D1"/>
    <w:rsid w:val="000F019F"/>
    <w:rsid w:val="000F0276"/>
    <w:rsid w:val="000F02D7"/>
    <w:rsid w:val="000F08CB"/>
    <w:rsid w:val="000F0C33"/>
    <w:rsid w:val="000F0CD2"/>
    <w:rsid w:val="000F0E7B"/>
    <w:rsid w:val="000F0F25"/>
    <w:rsid w:val="000F13D9"/>
    <w:rsid w:val="000F1741"/>
    <w:rsid w:val="000F1752"/>
    <w:rsid w:val="000F17F0"/>
    <w:rsid w:val="000F1836"/>
    <w:rsid w:val="000F1B22"/>
    <w:rsid w:val="000F1E90"/>
    <w:rsid w:val="000F1EE3"/>
    <w:rsid w:val="000F2570"/>
    <w:rsid w:val="000F2617"/>
    <w:rsid w:val="000F261F"/>
    <w:rsid w:val="000F2831"/>
    <w:rsid w:val="000F289B"/>
    <w:rsid w:val="000F2D12"/>
    <w:rsid w:val="000F2E01"/>
    <w:rsid w:val="000F2F91"/>
    <w:rsid w:val="000F31FA"/>
    <w:rsid w:val="000F32A9"/>
    <w:rsid w:val="000F32E2"/>
    <w:rsid w:val="000F393B"/>
    <w:rsid w:val="000F3ACA"/>
    <w:rsid w:val="000F3C6C"/>
    <w:rsid w:val="000F3CA0"/>
    <w:rsid w:val="000F3EFE"/>
    <w:rsid w:val="000F403E"/>
    <w:rsid w:val="000F4110"/>
    <w:rsid w:val="000F4299"/>
    <w:rsid w:val="000F45DE"/>
    <w:rsid w:val="000F4704"/>
    <w:rsid w:val="000F4826"/>
    <w:rsid w:val="000F4873"/>
    <w:rsid w:val="000F4C41"/>
    <w:rsid w:val="000F4E21"/>
    <w:rsid w:val="000F4EDA"/>
    <w:rsid w:val="000F5170"/>
    <w:rsid w:val="000F5454"/>
    <w:rsid w:val="000F5533"/>
    <w:rsid w:val="000F56C8"/>
    <w:rsid w:val="000F57B1"/>
    <w:rsid w:val="000F5A54"/>
    <w:rsid w:val="000F5B1F"/>
    <w:rsid w:val="000F5C51"/>
    <w:rsid w:val="000F5C85"/>
    <w:rsid w:val="000F5D08"/>
    <w:rsid w:val="000F5D3B"/>
    <w:rsid w:val="000F5D63"/>
    <w:rsid w:val="000F62BA"/>
    <w:rsid w:val="000F668D"/>
    <w:rsid w:val="000F6834"/>
    <w:rsid w:val="000F6AF2"/>
    <w:rsid w:val="000F6BA0"/>
    <w:rsid w:val="000F6D1B"/>
    <w:rsid w:val="000F7162"/>
    <w:rsid w:val="000F72B4"/>
    <w:rsid w:val="000F73AA"/>
    <w:rsid w:val="000F759C"/>
    <w:rsid w:val="000F77D6"/>
    <w:rsid w:val="000F77FD"/>
    <w:rsid w:val="000F7987"/>
    <w:rsid w:val="000F7B18"/>
    <w:rsid w:val="000F7B30"/>
    <w:rsid w:val="000F7B3A"/>
    <w:rsid w:val="000F7D35"/>
    <w:rsid w:val="000F7F5E"/>
    <w:rsid w:val="0010000C"/>
    <w:rsid w:val="001004F2"/>
    <w:rsid w:val="0010051C"/>
    <w:rsid w:val="00100580"/>
    <w:rsid w:val="001005D5"/>
    <w:rsid w:val="001009E6"/>
    <w:rsid w:val="00100AD2"/>
    <w:rsid w:val="00100BD6"/>
    <w:rsid w:val="00100C69"/>
    <w:rsid w:val="00100D71"/>
    <w:rsid w:val="00100EFB"/>
    <w:rsid w:val="0010109F"/>
    <w:rsid w:val="00101164"/>
    <w:rsid w:val="00101165"/>
    <w:rsid w:val="001015E5"/>
    <w:rsid w:val="00101860"/>
    <w:rsid w:val="00101862"/>
    <w:rsid w:val="00101AAD"/>
    <w:rsid w:val="0010211F"/>
    <w:rsid w:val="00102266"/>
    <w:rsid w:val="001022E8"/>
    <w:rsid w:val="0010232A"/>
    <w:rsid w:val="0010242D"/>
    <w:rsid w:val="001026F0"/>
    <w:rsid w:val="00102ED0"/>
    <w:rsid w:val="001030EA"/>
    <w:rsid w:val="001031F9"/>
    <w:rsid w:val="001032B9"/>
    <w:rsid w:val="001035B8"/>
    <w:rsid w:val="00103A34"/>
    <w:rsid w:val="001041E7"/>
    <w:rsid w:val="00104201"/>
    <w:rsid w:val="00104325"/>
    <w:rsid w:val="001043DA"/>
    <w:rsid w:val="0010448B"/>
    <w:rsid w:val="0010459D"/>
    <w:rsid w:val="0010478A"/>
    <w:rsid w:val="001049C8"/>
    <w:rsid w:val="00104B0C"/>
    <w:rsid w:val="00104B1F"/>
    <w:rsid w:val="00104E51"/>
    <w:rsid w:val="00104EFE"/>
    <w:rsid w:val="00105136"/>
    <w:rsid w:val="0010521F"/>
    <w:rsid w:val="00105676"/>
    <w:rsid w:val="001059D5"/>
    <w:rsid w:val="00105BDC"/>
    <w:rsid w:val="001060FC"/>
    <w:rsid w:val="0010625A"/>
    <w:rsid w:val="0010637D"/>
    <w:rsid w:val="00106622"/>
    <w:rsid w:val="00106634"/>
    <w:rsid w:val="001068D5"/>
    <w:rsid w:val="00106929"/>
    <w:rsid w:val="0010698E"/>
    <w:rsid w:val="00106A7F"/>
    <w:rsid w:val="00106AC0"/>
    <w:rsid w:val="00106E7D"/>
    <w:rsid w:val="001070BE"/>
    <w:rsid w:val="00107290"/>
    <w:rsid w:val="0010743F"/>
    <w:rsid w:val="00107475"/>
    <w:rsid w:val="00107524"/>
    <w:rsid w:val="00107723"/>
    <w:rsid w:val="00107845"/>
    <w:rsid w:val="00107DCD"/>
    <w:rsid w:val="00107E08"/>
    <w:rsid w:val="00107E15"/>
    <w:rsid w:val="00107EF0"/>
    <w:rsid w:val="00110762"/>
    <w:rsid w:val="00110831"/>
    <w:rsid w:val="00110A9F"/>
    <w:rsid w:val="00110B1B"/>
    <w:rsid w:val="00110E46"/>
    <w:rsid w:val="00110F0A"/>
    <w:rsid w:val="00110F72"/>
    <w:rsid w:val="00110FAD"/>
    <w:rsid w:val="001113EA"/>
    <w:rsid w:val="00111417"/>
    <w:rsid w:val="001114A2"/>
    <w:rsid w:val="00111E37"/>
    <w:rsid w:val="0011267D"/>
    <w:rsid w:val="00112681"/>
    <w:rsid w:val="00112751"/>
    <w:rsid w:val="0011277C"/>
    <w:rsid w:val="0011286B"/>
    <w:rsid w:val="00112D39"/>
    <w:rsid w:val="00112D53"/>
    <w:rsid w:val="00112DE5"/>
    <w:rsid w:val="00112E06"/>
    <w:rsid w:val="0011304D"/>
    <w:rsid w:val="00113370"/>
    <w:rsid w:val="00113396"/>
    <w:rsid w:val="001133DE"/>
    <w:rsid w:val="001135CF"/>
    <w:rsid w:val="001135EB"/>
    <w:rsid w:val="0011368A"/>
    <w:rsid w:val="0011397E"/>
    <w:rsid w:val="00113987"/>
    <w:rsid w:val="00113A97"/>
    <w:rsid w:val="00113AEB"/>
    <w:rsid w:val="00113C60"/>
    <w:rsid w:val="0011403F"/>
    <w:rsid w:val="00114040"/>
    <w:rsid w:val="0011416C"/>
    <w:rsid w:val="0011464C"/>
    <w:rsid w:val="0011478A"/>
    <w:rsid w:val="00114C3B"/>
    <w:rsid w:val="00114CBB"/>
    <w:rsid w:val="00114D74"/>
    <w:rsid w:val="00115140"/>
    <w:rsid w:val="001153FA"/>
    <w:rsid w:val="001155B2"/>
    <w:rsid w:val="00115691"/>
    <w:rsid w:val="001158CA"/>
    <w:rsid w:val="00115A1B"/>
    <w:rsid w:val="00115BA0"/>
    <w:rsid w:val="00115BD3"/>
    <w:rsid w:val="00115CB8"/>
    <w:rsid w:val="00115DB3"/>
    <w:rsid w:val="00115FB0"/>
    <w:rsid w:val="00116188"/>
    <w:rsid w:val="001161B4"/>
    <w:rsid w:val="001163F7"/>
    <w:rsid w:val="00116579"/>
    <w:rsid w:val="00116863"/>
    <w:rsid w:val="00116985"/>
    <w:rsid w:val="00117039"/>
    <w:rsid w:val="0011750B"/>
    <w:rsid w:val="00117730"/>
    <w:rsid w:val="00117EE5"/>
    <w:rsid w:val="00117F04"/>
    <w:rsid w:val="0012013D"/>
    <w:rsid w:val="0012014C"/>
    <w:rsid w:val="0012019F"/>
    <w:rsid w:val="00120417"/>
    <w:rsid w:val="001204AC"/>
    <w:rsid w:val="001205E8"/>
    <w:rsid w:val="00120845"/>
    <w:rsid w:val="00120928"/>
    <w:rsid w:val="00120BD3"/>
    <w:rsid w:val="00120D5F"/>
    <w:rsid w:val="00120FA6"/>
    <w:rsid w:val="001212E4"/>
    <w:rsid w:val="00121353"/>
    <w:rsid w:val="0012135A"/>
    <w:rsid w:val="00121446"/>
    <w:rsid w:val="0012167A"/>
    <w:rsid w:val="00121927"/>
    <w:rsid w:val="00121A34"/>
    <w:rsid w:val="00121DA8"/>
    <w:rsid w:val="00122080"/>
    <w:rsid w:val="00122290"/>
    <w:rsid w:val="0012299F"/>
    <w:rsid w:val="001229C0"/>
    <w:rsid w:val="00122AE3"/>
    <w:rsid w:val="00122E3C"/>
    <w:rsid w:val="00122EE1"/>
    <w:rsid w:val="0012332F"/>
    <w:rsid w:val="00123431"/>
    <w:rsid w:val="001234A6"/>
    <w:rsid w:val="00123658"/>
    <w:rsid w:val="001237AF"/>
    <w:rsid w:val="0012380C"/>
    <w:rsid w:val="001247EB"/>
    <w:rsid w:val="00124E0A"/>
    <w:rsid w:val="00124E5A"/>
    <w:rsid w:val="00124F3C"/>
    <w:rsid w:val="0012513F"/>
    <w:rsid w:val="001251AB"/>
    <w:rsid w:val="001251D9"/>
    <w:rsid w:val="00125209"/>
    <w:rsid w:val="0012571B"/>
    <w:rsid w:val="001257D9"/>
    <w:rsid w:val="001259E5"/>
    <w:rsid w:val="00125B61"/>
    <w:rsid w:val="00125BC5"/>
    <w:rsid w:val="00125C67"/>
    <w:rsid w:val="00125D60"/>
    <w:rsid w:val="00125F33"/>
    <w:rsid w:val="00126122"/>
    <w:rsid w:val="0012633A"/>
    <w:rsid w:val="00126361"/>
    <w:rsid w:val="001263FE"/>
    <w:rsid w:val="00126456"/>
    <w:rsid w:val="001264BB"/>
    <w:rsid w:val="00126616"/>
    <w:rsid w:val="001266F8"/>
    <w:rsid w:val="00127188"/>
    <w:rsid w:val="0012743A"/>
    <w:rsid w:val="001277D6"/>
    <w:rsid w:val="00127A5B"/>
    <w:rsid w:val="00127A83"/>
    <w:rsid w:val="00127E12"/>
    <w:rsid w:val="00127EA5"/>
    <w:rsid w:val="00127EF2"/>
    <w:rsid w:val="00130281"/>
    <w:rsid w:val="0013063A"/>
    <w:rsid w:val="00130C21"/>
    <w:rsid w:val="00130C51"/>
    <w:rsid w:val="00130FCA"/>
    <w:rsid w:val="00130FE0"/>
    <w:rsid w:val="00131394"/>
    <w:rsid w:val="00131754"/>
    <w:rsid w:val="001317F9"/>
    <w:rsid w:val="00131886"/>
    <w:rsid w:val="00131981"/>
    <w:rsid w:val="00131D45"/>
    <w:rsid w:val="00131DED"/>
    <w:rsid w:val="00131E91"/>
    <w:rsid w:val="00131EA3"/>
    <w:rsid w:val="00131F63"/>
    <w:rsid w:val="00131F9C"/>
    <w:rsid w:val="001320F0"/>
    <w:rsid w:val="001323BD"/>
    <w:rsid w:val="00132513"/>
    <w:rsid w:val="001325F2"/>
    <w:rsid w:val="001326A0"/>
    <w:rsid w:val="00132703"/>
    <w:rsid w:val="00132713"/>
    <w:rsid w:val="00132A11"/>
    <w:rsid w:val="00132C2B"/>
    <w:rsid w:val="00132D21"/>
    <w:rsid w:val="0013315C"/>
    <w:rsid w:val="001331F8"/>
    <w:rsid w:val="00133326"/>
    <w:rsid w:val="0013335D"/>
    <w:rsid w:val="001333C7"/>
    <w:rsid w:val="001334B2"/>
    <w:rsid w:val="001334F0"/>
    <w:rsid w:val="001336B4"/>
    <w:rsid w:val="001336E0"/>
    <w:rsid w:val="0013375A"/>
    <w:rsid w:val="00133A47"/>
    <w:rsid w:val="00133A4A"/>
    <w:rsid w:val="00133D3C"/>
    <w:rsid w:val="00133D43"/>
    <w:rsid w:val="00133F34"/>
    <w:rsid w:val="00133FA4"/>
    <w:rsid w:val="0013405D"/>
    <w:rsid w:val="001341F0"/>
    <w:rsid w:val="001343C1"/>
    <w:rsid w:val="001347BB"/>
    <w:rsid w:val="00134815"/>
    <w:rsid w:val="001349E4"/>
    <w:rsid w:val="00134A33"/>
    <w:rsid w:val="00135273"/>
    <w:rsid w:val="00135326"/>
    <w:rsid w:val="00135550"/>
    <w:rsid w:val="00135C1E"/>
    <w:rsid w:val="00135CF0"/>
    <w:rsid w:val="00135EBF"/>
    <w:rsid w:val="00135FC9"/>
    <w:rsid w:val="0013604E"/>
    <w:rsid w:val="0013608A"/>
    <w:rsid w:val="001367AA"/>
    <w:rsid w:val="00136935"/>
    <w:rsid w:val="001369B1"/>
    <w:rsid w:val="001369B3"/>
    <w:rsid w:val="00136A10"/>
    <w:rsid w:val="00136B1F"/>
    <w:rsid w:val="00136D2E"/>
    <w:rsid w:val="00136EB3"/>
    <w:rsid w:val="00137020"/>
    <w:rsid w:val="0013729B"/>
    <w:rsid w:val="001372EF"/>
    <w:rsid w:val="001373F2"/>
    <w:rsid w:val="00137423"/>
    <w:rsid w:val="001375BB"/>
    <w:rsid w:val="00137653"/>
    <w:rsid w:val="0013785C"/>
    <w:rsid w:val="00137924"/>
    <w:rsid w:val="001379A0"/>
    <w:rsid w:val="001379DB"/>
    <w:rsid w:val="00137BCE"/>
    <w:rsid w:val="00137C8F"/>
    <w:rsid w:val="0014005C"/>
    <w:rsid w:val="001405D7"/>
    <w:rsid w:val="00140D79"/>
    <w:rsid w:val="00141060"/>
    <w:rsid w:val="0014126D"/>
    <w:rsid w:val="00141505"/>
    <w:rsid w:val="00141A51"/>
    <w:rsid w:val="00141B30"/>
    <w:rsid w:val="001424E6"/>
    <w:rsid w:val="001428CA"/>
    <w:rsid w:val="00142AAC"/>
    <w:rsid w:val="00142D24"/>
    <w:rsid w:val="00142DED"/>
    <w:rsid w:val="00143091"/>
    <w:rsid w:val="001431B3"/>
    <w:rsid w:val="001433E5"/>
    <w:rsid w:val="00143478"/>
    <w:rsid w:val="00143482"/>
    <w:rsid w:val="001434AD"/>
    <w:rsid w:val="00143816"/>
    <w:rsid w:val="0014388B"/>
    <w:rsid w:val="00143A03"/>
    <w:rsid w:val="00143F2F"/>
    <w:rsid w:val="00143F45"/>
    <w:rsid w:val="00144909"/>
    <w:rsid w:val="00144CE2"/>
    <w:rsid w:val="001451D6"/>
    <w:rsid w:val="0014550A"/>
    <w:rsid w:val="0014560F"/>
    <w:rsid w:val="001458FA"/>
    <w:rsid w:val="00145975"/>
    <w:rsid w:val="00145B32"/>
    <w:rsid w:val="00145CB2"/>
    <w:rsid w:val="00145D47"/>
    <w:rsid w:val="00145DAC"/>
    <w:rsid w:val="00145E06"/>
    <w:rsid w:val="00146062"/>
    <w:rsid w:val="00146218"/>
    <w:rsid w:val="00146338"/>
    <w:rsid w:val="001463F6"/>
    <w:rsid w:val="00146548"/>
    <w:rsid w:val="00146624"/>
    <w:rsid w:val="00146B43"/>
    <w:rsid w:val="00146FA0"/>
    <w:rsid w:val="001471E2"/>
    <w:rsid w:val="001474E7"/>
    <w:rsid w:val="0014750B"/>
    <w:rsid w:val="0014750C"/>
    <w:rsid w:val="0014755D"/>
    <w:rsid w:val="001476BB"/>
    <w:rsid w:val="00147703"/>
    <w:rsid w:val="00147D81"/>
    <w:rsid w:val="00147E02"/>
    <w:rsid w:val="00147F99"/>
    <w:rsid w:val="00150000"/>
    <w:rsid w:val="00150376"/>
    <w:rsid w:val="00150567"/>
    <w:rsid w:val="0015075D"/>
    <w:rsid w:val="00150B30"/>
    <w:rsid w:val="00150E85"/>
    <w:rsid w:val="00151091"/>
    <w:rsid w:val="0015127B"/>
    <w:rsid w:val="00151798"/>
    <w:rsid w:val="001518D6"/>
    <w:rsid w:val="00151DBD"/>
    <w:rsid w:val="00151F79"/>
    <w:rsid w:val="00152313"/>
    <w:rsid w:val="00152437"/>
    <w:rsid w:val="00152445"/>
    <w:rsid w:val="00152638"/>
    <w:rsid w:val="001527B9"/>
    <w:rsid w:val="00152A73"/>
    <w:rsid w:val="00152F50"/>
    <w:rsid w:val="00153128"/>
    <w:rsid w:val="001531D6"/>
    <w:rsid w:val="00153570"/>
    <w:rsid w:val="001535CC"/>
    <w:rsid w:val="001535F1"/>
    <w:rsid w:val="00153670"/>
    <w:rsid w:val="001538AD"/>
    <w:rsid w:val="001539B4"/>
    <w:rsid w:val="00153A25"/>
    <w:rsid w:val="00153D6A"/>
    <w:rsid w:val="00153EF9"/>
    <w:rsid w:val="001541CC"/>
    <w:rsid w:val="001548D3"/>
    <w:rsid w:val="00154A16"/>
    <w:rsid w:val="00154CA8"/>
    <w:rsid w:val="00154D11"/>
    <w:rsid w:val="0015506C"/>
    <w:rsid w:val="00155434"/>
    <w:rsid w:val="001554B8"/>
    <w:rsid w:val="00155551"/>
    <w:rsid w:val="00155685"/>
    <w:rsid w:val="00155861"/>
    <w:rsid w:val="00155863"/>
    <w:rsid w:val="00155A31"/>
    <w:rsid w:val="00155BDA"/>
    <w:rsid w:val="00155CC4"/>
    <w:rsid w:val="00155D73"/>
    <w:rsid w:val="00156127"/>
    <w:rsid w:val="001561AA"/>
    <w:rsid w:val="001563B9"/>
    <w:rsid w:val="00156587"/>
    <w:rsid w:val="00156860"/>
    <w:rsid w:val="00156A9F"/>
    <w:rsid w:val="00156FA7"/>
    <w:rsid w:val="0015713C"/>
    <w:rsid w:val="001574E4"/>
    <w:rsid w:val="0015771A"/>
    <w:rsid w:val="00157730"/>
    <w:rsid w:val="00157827"/>
    <w:rsid w:val="0015786B"/>
    <w:rsid w:val="001578AF"/>
    <w:rsid w:val="00157B93"/>
    <w:rsid w:val="001600AD"/>
    <w:rsid w:val="0016023A"/>
    <w:rsid w:val="0016038D"/>
    <w:rsid w:val="00160454"/>
    <w:rsid w:val="001606A4"/>
    <w:rsid w:val="0016094E"/>
    <w:rsid w:val="001609D3"/>
    <w:rsid w:val="00160B1A"/>
    <w:rsid w:val="00160BB9"/>
    <w:rsid w:val="00160C29"/>
    <w:rsid w:val="0016153A"/>
    <w:rsid w:val="00161752"/>
    <w:rsid w:val="00161910"/>
    <w:rsid w:val="0016194E"/>
    <w:rsid w:val="00161A32"/>
    <w:rsid w:val="00161CA0"/>
    <w:rsid w:val="00161E44"/>
    <w:rsid w:val="001620B5"/>
    <w:rsid w:val="00162109"/>
    <w:rsid w:val="001623FA"/>
    <w:rsid w:val="00162560"/>
    <w:rsid w:val="00162A76"/>
    <w:rsid w:val="00162D49"/>
    <w:rsid w:val="00162DBF"/>
    <w:rsid w:val="00162F49"/>
    <w:rsid w:val="00162FFC"/>
    <w:rsid w:val="00163568"/>
    <w:rsid w:val="0016375B"/>
    <w:rsid w:val="00163CCC"/>
    <w:rsid w:val="00163EFE"/>
    <w:rsid w:val="00164192"/>
    <w:rsid w:val="0016432F"/>
    <w:rsid w:val="001645B8"/>
    <w:rsid w:val="00164656"/>
    <w:rsid w:val="00164696"/>
    <w:rsid w:val="001646ED"/>
    <w:rsid w:val="001647BE"/>
    <w:rsid w:val="0016499C"/>
    <w:rsid w:val="00164A72"/>
    <w:rsid w:val="00164B66"/>
    <w:rsid w:val="00164BCB"/>
    <w:rsid w:val="00164CF8"/>
    <w:rsid w:val="00164FF4"/>
    <w:rsid w:val="00165091"/>
    <w:rsid w:val="001650B3"/>
    <w:rsid w:val="0016517A"/>
    <w:rsid w:val="00165380"/>
    <w:rsid w:val="001653AE"/>
    <w:rsid w:val="00165488"/>
    <w:rsid w:val="00165534"/>
    <w:rsid w:val="0016570D"/>
    <w:rsid w:val="001659C3"/>
    <w:rsid w:val="00165C41"/>
    <w:rsid w:val="00165F29"/>
    <w:rsid w:val="0016614E"/>
    <w:rsid w:val="001661EE"/>
    <w:rsid w:val="00166266"/>
    <w:rsid w:val="00166291"/>
    <w:rsid w:val="001666FD"/>
    <w:rsid w:val="00166D28"/>
    <w:rsid w:val="00166FB7"/>
    <w:rsid w:val="00167134"/>
    <w:rsid w:val="001671EC"/>
    <w:rsid w:val="0016726E"/>
    <w:rsid w:val="001674B2"/>
    <w:rsid w:val="00167674"/>
    <w:rsid w:val="00167A25"/>
    <w:rsid w:val="00167B01"/>
    <w:rsid w:val="001700CE"/>
    <w:rsid w:val="001702EE"/>
    <w:rsid w:val="001706EC"/>
    <w:rsid w:val="00170725"/>
    <w:rsid w:val="00170AF6"/>
    <w:rsid w:val="00170B46"/>
    <w:rsid w:val="00170C9D"/>
    <w:rsid w:val="00170D5B"/>
    <w:rsid w:val="00170EED"/>
    <w:rsid w:val="001711ED"/>
    <w:rsid w:val="001712BE"/>
    <w:rsid w:val="001713F7"/>
    <w:rsid w:val="00171551"/>
    <w:rsid w:val="00171663"/>
    <w:rsid w:val="00171668"/>
    <w:rsid w:val="00171EA9"/>
    <w:rsid w:val="00171F4F"/>
    <w:rsid w:val="001722CE"/>
    <w:rsid w:val="001723F5"/>
    <w:rsid w:val="001725CA"/>
    <w:rsid w:val="001728C2"/>
    <w:rsid w:val="00172B8F"/>
    <w:rsid w:val="00172F6F"/>
    <w:rsid w:val="001730D0"/>
    <w:rsid w:val="001730E7"/>
    <w:rsid w:val="00173305"/>
    <w:rsid w:val="0017363F"/>
    <w:rsid w:val="00173676"/>
    <w:rsid w:val="001736B2"/>
    <w:rsid w:val="001736F8"/>
    <w:rsid w:val="00173905"/>
    <w:rsid w:val="00173C32"/>
    <w:rsid w:val="00173CCA"/>
    <w:rsid w:val="00173D85"/>
    <w:rsid w:val="00173E67"/>
    <w:rsid w:val="0017407E"/>
    <w:rsid w:val="0017442C"/>
    <w:rsid w:val="001744A4"/>
    <w:rsid w:val="001745FF"/>
    <w:rsid w:val="00174919"/>
    <w:rsid w:val="001749B1"/>
    <w:rsid w:val="00174B09"/>
    <w:rsid w:val="00174C84"/>
    <w:rsid w:val="00174CAF"/>
    <w:rsid w:val="00174E47"/>
    <w:rsid w:val="00174F01"/>
    <w:rsid w:val="00174FD4"/>
    <w:rsid w:val="001750D7"/>
    <w:rsid w:val="00175129"/>
    <w:rsid w:val="00175260"/>
    <w:rsid w:val="001756EE"/>
    <w:rsid w:val="0017583D"/>
    <w:rsid w:val="00175A6B"/>
    <w:rsid w:val="00175E07"/>
    <w:rsid w:val="00175F86"/>
    <w:rsid w:val="00176021"/>
    <w:rsid w:val="0017648D"/>
    <w:rsid w:val="0017653E"/>
    <w:rsid w:val="0017668F"/>
    <w:rsid w:val="00176722"/>
    <w:rsid w:val="00176842"/>
    <w:rsid w:val="00177336"/>
    <w:rsid w:val="001777A0"/>
    <w:rsid w:val="00177823"/>
    <w:rsid w:val="00177BBB"/>
    <w:rsid w:val="00177F88"/>
    <w:rsid w:val="0018012D"/>
    <w:rsid w:val="0018016C"/>
    <w:rsid w:val="001805C2"/>
    <w:rsid w:val="00180673"/>
    <w:rsid w:val="00180707"/>
    <w:rsid w:val="001807A3"/>
    <w:rsid w:val="001807C5"/>
    <w:rsid w:val="00180A9B"/>
    <w:rsid w:val="00180B50"/>
    <w:rsid w:val="00180EFA"/>
    <w:rsid w:val="00180F96"/>
    <w:rsid w:val="0018120D"/>
    <w:rsid w:val="00181300"/>
    <w:rsid w:val="0018145A"/>
    <w:rsid w:val="0018180A"/>
    <w:rsid w:val="0018182E"/>
    <w:rsid w:val="00181879"/>
    <w:rsid w:val="001818F6"/>
    <w:rsid w:val="001819D0"/>
    <w:rsid w:val="00181AD2"/>
    <w:rsid w:val="00181BCA"/>
    <w:rsid w:val="00181C1B"/>
    <w:rsid w:val="00181D71"/>
    <w:rsid w:val="00181FBE"/>
    <w:rsid w:val="00182416"/>
    <w:rsid w:val="001826B5"/>
    <w:rsid w:val="0018278F"/>
    <w:rsid w:val="00182884"/>
    <w:rsid w:val="001828F4"/>
    <w:rsid w:val="00182CA0"/>
    <w:rsid w:val="00182D7B"/>
    <w:rsid w:val="00182DC4"/>
    <w:rsid w:val="00182E80"/>
    <w:rsid w:val="00182FA3"/>
    <w:rsid w:val="00182FAB"/>
    <w:rsid w:val="001833A2"/>
    <w:rsid w:val="0018342A"/>
    <w:rsid w:val="00183431"/>
    <w:rsid w:val="00183654"/>
    <w:rsid w:val="00183A8B"/>
    <w:rsid w:val="00183D0E"/>
    <w:rsid w:val="00183EF3"/>
    <w:rsid w:val="001840A6"/>
    <w:rsid w:val="001841DC"/>
    <w:rsid w:val="00184417"/>
    <w:rsid w:val="0018457A"/>
    <w:rsid w:val="001846AC"/>
    <w:rsid w:val="00184750"/>
    <w:rsid w:val="001848CF"/>
    <w:rsid w:val="0018493C"/>
    <w:rsid w:val="001849C8"/>
    <w:rsid w:val="00184BAE"/>
    <w:rsid w:val="00184DD8"/>
    <w:rsid w:val="00185320"/>
    <w:rsid w:val="00185584"/>
    <w:rsid w:val="0018583F"/>
    <w:rsid w:val="0018594A"/>
    <w:rsid w:val="00185A73"/>
    <w:rsid w:val="00185DEC"/>
    <w:rsid w:val="00185E50"/>
    <w:rsid w:val="0018623B"/>
    <w:rsid w:val="001863A5"/>
    <w:rsid w:val="001864AB"/>
    <w:rsid w:val="00186514"/>
    <w:rsid w:val="00186738"/>
    <w:rsid w:val="00186760"/>
    <w:rsid w:val="0018680E"/>
    <w:rsid w:val="00187255"/>
    <w:rsid w:val="0018750D"/>
    <w:rsid w:val="001875F4"/>
    <w:rsid w:val="001876E5"/>
    <w:rsid w:val="0018789A"/>
    <w:rsid w:val="001878D1"/>
    <w:rsid w:val="00187BD8"/>
    <w:rsid w:val="001905DE"/>
    <w:rsid w:val="001906D8"/>
    <w:rsid w:val="00190912"/>
    <w:rsid w:val="00190EE8"/>
    <w:rsid w:val="00190FF3"/>
    <w:rsid w:val="00191083"/>
    <w:rsid w:val="001915DA"/>
    <w:rsid w:val="0019161F"/>
    <w:rsid w:val="001918B6"/>
    <w:rsid w:val="001919CB"/>
    <w:rsid w:val="00191A15"/>
    <w:rsid w:val="00191D16"/>
    <w:rsid w:val="00191E72"/>
    <w:rsid w:val="0019201A"/>
    <w:rsid w:val="001920CA"/>
    <w:rsid w:val="00192595"/>
    <w:rsid w:val="00192B67"/>
    <w:rsid w:val="00192C14"/>
    <w:rsid w:val="00192F14"/>
    <w:rsid w:val="001931AD"/>
    <w:rsid w:val="00193286"/>
    <w:rsid w:val="001933B5"/>
    <w:rsid w:val="0019342D"/>
    <w:rsid w:val="0019356B"/>
    <w:rsid w:val="0019362A"/>
    <w:rsid w:val="00193784"/>
    <w:rsid w:val="00193D07"/>
    <w:rsid w:val="0019426A"/>
    <w:rsid w:val="0019438F"/>
    <w:rsid w:val="00194611"/>
    <w:rsid w:val="0019474E"/>
    <w:rsid w:val="00194C1B"/>
    <w:rsid w:val="00194E36"/>
    <w:rsid w:val="00194F84"/>
    <w:rsid w:val="00194FD4"/>
    <w:rsid w:val="0019548A"/>
    <w:rsid w:val="00195549"/>
    <w:rsid w:val="00195728"/>
    <w:rsid w:val="001957A4"/>
    <w:rsid w:val="00195889"/>
    <w:rsid w:val="00195C7B"/>
    <w:rsid w:val="00195DD4"/>
    <w:rsid w:val="00195DEA"/>
    <w:rsid w:val="00195E81"/>
    <w:rsid w:val="00196016"/>
    <w:rsid w:val="0019644D"/>
    <w:rsid w:val="001964ED"/>
    <w:rsid w:val="0019663B"/>
    <w:rsid w:val="00196A22"/>
    <w:rsid w:val="00196A67"/>
    <w:rsid w:val="00196E5F"/>
    <w:rsid w:val="0019708E"/>
    <w:rsid w:val="001970C0"/>
    <w:rsid w:val="00197120"/>
    <w:rsid w:val="001972E2"/>
    <w:rsid w:val="00197B38"/>
    <w:rsid w:val="00197D48"/>
    <w:rsid w:val="00197DF2"/>
    <w:rsid w:val="00197F12"/>
    <w:rsid w:val="001A00EA"/>
    <w:rsid w:val="001A01DB"/>
    <w:rsid w:val="001A02E2"/>
    <w:rsid w:val="001A030E"/>
    <w:rsid w:val="001A0372"/>
    <w:rsid w:val="001A04CD"/>
    <w:rsid w:val="001A0529"/>
    <w:rsid w:val="001A054A"/>
    <w:rsid w:val="001A05D2"/>
    <w:rsid w:val="001A06F9"/>
    <w:rsid w:val="001A0870"/>
    <w:rsid w:val="001A08B3"/>
    <w:rsid w:val="001A0958"/>
    <w:rsid w:val="001A0AE2"/>
    <w:rsid w:val="001A0C25"/>
    <w:rsid w:val="001A0F1C"/>
    <w:rsid w:val="001A1222"/>
    <w:rsid w:val="001A131B"/>
    <w:rsid w:val="001A155F"/>
    <w:rsid w:val="001A177F"/>
    <w:rsid w:val="001A1CB7"/>
    <w:rsid w:val="001A1CCF"/>
    <w:rsid w:val="001A1D37"/>
    <w:rsid w:val="001A1EF8"/>
    <w:rsid w:val="001A1F50"/>
    <w:rsid w:val="001A1F5D"/>
    <w:rsid w:val="001A23BD"/>
    <w:rsid w:val="001A23CF"/>
    <w:rsid w:val="001A302E"/>
    <w:rsid w:val="001A33A1"/>
    <w:rsid w:val="001A384C"/>
    <w:rsid w:val="001A39F8"/>
    <w:rsid w:val="001A3A2F"/>
    <w:rsid w:val="001A3C90"/>
    <w:rsid w:val="001A3D2E"/>
    <w:rsid w:val="001A3D6E"/>
    <w:rsid w:val="001A3E51"/>
    <w:rsid w:val="001A3E6F"/>
    <w:rsid w:val="001A420B"/>
    <w:rsid w:val="001A432F"/>
    <w:rsid w:val="001A43D2"/>
    <w:rsid w:val="001A48FD"/>
    <w:rsid w:val="001A49EB"/>
    <w:rsid w:val="001A4A73"/>
    <w:rsid w:val="001A4B97"/>
    <w:rsid w:val="001A4EA4"/>
    <w:rsid w:val="001A4F19"/>
    <w:rsid w:val="001A4F7D"/>
    <w:rsid w:val="001A534D"/>
    <w:rsid w:val="001A56C9"/>
    <w:rsid w:val="001A56D9"/>
    <w:rsid w:val="001A56E5"/>
    <w:rsid w:val="001A5933"/>
    <w:rsid w:val="001A59D0"/>
    <w:rsid w:val="001A5B45"/>
    <w:rsid w:val="001A6183"/>
    <w:rsid w:val="001A63CF"/>
    <w:rsid w:val="001A6555"/>
    <w:rsid w:val="001A659E"/>
    <w:rsid w:val="001A664D"/>
    <w:rsid w:val="001A67A1"/>
    <w:rsid w:val="001A688D"/>
    <w:rsid w:val="001A6A0A"/>
    <w:rsid w:val="001A6BDA"/>
    <w:rsid w:val="001A6C96"/>
    <w:rsid w:val="001A7004"/>
    <w:rsid w:val="001A70E2"/>
    <w:rsid w:val="001A7344"/>
    <w:rsid w:val="001A75CA"/>
    <w:rsid w:val="001A767F"/>
    <w:rsid w:val="001A787A"/>
    <w:rsid w:val="001A7B42"/>
    <w:rsid w:val="001A7B4C"/>
    <w:rsid w:val="001A7C85"/>
    <w:rsid w:val="001A7D8F"/>
    <w:rsid w:val="001A7E43"/>
    <w:rsid w:val="001B02FB"/>
    <w:rsid w:val="001B03E3"/>
    <w:rsid w:val="001B0CB1"/>
    <w:rsid w:val="001B0D07"/>
    <w:rsid w:val="001B0DB7"/>
    <w:rsid w:val="001B11D4"/>
    <w:rsid w:val="001B14E9"/>
    <w:rsid w:val="001B17D6"/>
    <w:rsid w:val="001B17E1"/>
    <w:rsid w:val="001B1821"/>
    <w:rsid w:val="001B1C4D"/>
    <w:rsid w:val="001B1CBB"/>
    <w:rsid w:val="001B1E1F"/>
    <w:rsid w:val="001B1E51"/>
    <w:rsid w:val="001B1EC8"/>
    <w:rsid w:val="001B1ECD"/>
    <w:rsid w:val="001B212B"/>
    <w:rsid w:val="001B22CB"/>
    <w:rsid w:val="001B241B"/>
    <w:rsid w:val="001B2643"/>
    <w:rsid w:val="001B2768"/>
    <w:rsid w:val="001B2857"/>
    <w:rsid w:val="001B2A28"/>
    <w:rsid w:val="001B2A97"/>
    <w:rsid w:val="001B2BDB"/>
    <w:rsid w:val="001B2CD4"/>
    <w:rsid w:val="001B2F0A"/>
    <w:rsid w:val="001B3148"/>
    <w:rsid w:val="001B3280"/>
    <w:rsid w:val="001B32CF"/>
    <w:rsid w:val="001B3702"/>
    <w:rsid w:val="001B3757"/>
    <w:rsid w:val="001B3826"/>
    <w:rsid w:val="001B3E0F"/>
    <w:rsid w:val="001B3F27"/>
    <w:rsid w:val="001B4136"/>
    <w:rsid w:val="001B429E"/>
    <w:rsid w:val="001B4330"/>
    <w:rsid w:val="001B43AC"/>
    <w:rsid w:val="001B44BA"/>
    <w:rsid w:val="001B45FB"/>
    <w:rsid w:val="001B482C"/>
    <w:rsid w:val="001B49AC"/>
    <w:rsid w:val="001B4A6D"/>
    <w:rsid w:val="001B4AD4"/>
    <w:rsid w:val="001B4B7C"/>
    <w:rsid w:val="001B4C05"/>
    <w:rsid w:val="001B4C09"/>
    <w:rsid w:val="001B4D86"/>
    <w:rsid w:val="001B5468"/>
    <w:rsid w:val="001B57AB"/>
    <w:rsid w:val="001B588B"/>
    <w:rsid w:val="001B62B5"/>
    <w:rsid w:val="001B62DD"/>
    <w:rsid w:val="001B62F6"/>
    <w:rsid w:val="001B6393"/>
    <w:rsid w:val="001B65FD"/>
    <w:rsid w:val="001B664F"/>
    <w:rsid w:val="001B6829"/>
    <w:rsid w:val="001B6973"/>
    <w:rsid w:val="001B698F"/>
    <w:rsid w:val="001B6A46"/>
    <w:rsid w:val="001B6BBF"/>
    <w:rsid w:val="001B7329"/>
    <w:rsid w:val="001B7763"/>
    <w:rsid w:val="001B7855"/>
    <w:rsid w:val="001B7A57"/>
    <w:rsid w:val="001B7DDC"/>
    <w:rsid w:val="001B7DF5"/>
    <w:rsid w:val="001C0152"/>
    <w:rsid w:val="001C0387"/>
    <w:rsid w:val="001C053C"/>
    <w:rsid w:val="001C0690"/>
    <w:rsid w:val="001C078B"/>
    <w:rsid w:val="001C07CA"/>
    <w:rsid w:val="001C0CCC"/>
    <w:rsid w:val="001C0F3C"/>
    <w:rsid w:val="001C1049"/>
    <w:rsid w:val="001C125B"/>
    <w:rsid w:val="001C147B"/>
    <w:rsid w:val="001C171B"/>
    <w:rsid w:val="001C174A"/>
    <w:rsid w:val="001C1801"/>
    <w:rsid w:val="001C1B73"/>
    <w:rsid w:val="001C1C70"/>
    <w:rsid w:val="001C1D05"/>
    <w:rsid w:val="001C2301"/>
    <w:rsid w:val="001C2625"/>
    <w:rsid w:val="001C28DF"/>
    <w:rsid w:val="001C2A48"/>
    <w:rsid w:val="001C2C2C"/>
    <w:rsid w:val="001C2E71"/>
    <w:rsid w:val="001C2EB7"/>
    <w:rsid w:val="001C3467"/>
    <w:rsid w:val="001C3722"/>
    <w:rsid w:val="001C38BE"/>
    <w:rsid w:val="001C39F9"/>
    <w:rsid w:val="001C3AA2"/>
    <w:rsid w:val="001C3C60"/>
    <w:rsid w:val="001C3CC1"/>
    <w:rsid w:val="001C4091"/>
    <w:rsid w:val="001C4521"/>
    <w:rsid w:val="001C4546"/>
    <w:rsid w:val="001C45AA"/>
    <w:rsid w:val="001C4756"/>
    <w:rsid w:val="001C4DE8"/>
    <w:rsid w:val="001C50C8"/>
    <w:rsid w:val="001C525C"/>
    <w:rsid w:val="001C5338"/>
    <w:rsid w:val="001C5895"/>
    <w:rsid w:val="001C591E"/>
    <w:rsid w:val="001C5F2D"/>
    <w:rsid w:val="001C5F44"/>
    <w:rsid w:val="001C6076"/>
    <w:rsid w:val="001C67CD"/>
    <w:rsid w:val="001C68A1"/>
    <w:rsid w:val="001C699B"/>
    <w:rsid w:val="001C69E3"/>
    <w:rsid w:val="001C6DFD"/>
    <w:rsid w:val="001C6F03"/>
    <w:rsid w:val="001C70D6"/>
    <w:rsid w:val="001C71C3"/>
    <w:rsid w:val="001C71F6"/>
    <w:rsid w:val="001C7398"/>
    <w:rsid w:val="001C7475"/>
    <w:rsid w:val="001C749B"/>
    <w:rsid w:val="001C76D8"/>
    <w:rsid w:val="001C7A59"/>
    <w:rsid w:val="001C7AD6"/>
    <w:rsid w:val="001C7CB7"/>
    <w:rsid w:val="001D0183"/>
    <w:rsid w:val="001D033A"/>
    <w:rsid w:val="001D03D9"/>
    <w:rsid w:val="001D04EB"/>
    <w:rsid w:val="001D050B"/>
    <w:rsid w:val="001D0528"/>
    <w:rsid w:val="001D07AA"/>
    <w:rsid w:val="001D08D1"/>
    <w:rsid w:val="001D0918"/>
    <w:rsid w:val="001D0986"/>
    <w:rsid w:val="001D09FD"/>
    <w:rsid w:val="001D0AFF"/>
    <w:rsid w:val="001D0BDE"/>
    <w:rsid w:val="001D0FD9"/>
    <w:rsid w:val="001D11D0"/>
    <w:rsid w:val="001D11D8"/>
    <w:rsid w:val="001D1582"/>
    <w:rsid w:val="001D1728"/>
    <w:rsid w:val="001D1841"/>
    <w:rsid w:val="001D18AB"/>
    <w:rsid w:val="001D19D1"/>
    <w:rsid w:val="001D1AAE"/>
    <w:rsid w:val="001D2251"/>
    <w:rsid w:val="001D2337"/>
    <w:rsid w:val="001D2409"/>
    <w:rsid w:val="001D269A"/>
    <w:rsid w:val="001D27F7"/>
    <w:rsid w:val="001D29C5"/>
    <w:rsid w:val="001D29CD"/>
    <w:rsid w:val="001D29DF"/>
    <w:rsid w:val="001D2B77"/>
    <w:rsid w:val="001D2B89"/>
    <w:rsid w:val="001D2D01"/>
    <w:rsid w:val="001D3110"/>
    <w:rsid w:val="001D322C"/>
    <w:rsid w:val="001D3281"/>
    <w:rsid w:val="001D32C0"/>
    <w:rsid w:val="001D3670"/>
    <w:rsid w:val="001D3975"/>
    <w:rsid w:val="001D3A64"/>
    <w:rsid w:val="001D3AD1"/>
    <w:rsid w:val="001D3AEF"/>
    <w:rsid w:val="001D3DF2"/>
    <w:rsid w:val="001D4294"/>
    <w:rsid w:val="001D43E2"/>
    <w:rsid w:val="001D461A"/>
    <w:rsid w:val="001D4A39"/>
    <w:rsid w:val="001D4CD9"/>
    <w:rsid w:val="001D4E8F"/>
    <w:rsid w:val="001D525B"/>
    <w:rsid w:val="001D5271"/>
    <w:rsid w:val="001D550B"/>
    <w:rsid w:val="001D5793"/>
    <w:rsid w:val="001D5838"/>
    <w:rsid w:val="001D5A1D"/>
    <w:rsid w:val="001D5B1C"/>
    <w:rsid w:val="001D5BFB"/>
    <w:rsid w:val="001D5E0B"/>
    <w:rsid w:val="001D60A6"/>
    <w:rsid w:val="001D6145"/>
    <w:rsid w:val="001D61B5"/>
    <w:rsid w:val="001D6298"/>
    <w:rsid w:val="001D62B4"/>
    <w:rsid w:val="001D638D"/>
    <w:rsid w:val="001D63AE"/>
    <w:rsid w:val="001D65E8"/>
    <w:rsid w:val="001D65FD"/>
    <w:rsid w:val="001D66BD"/>
    <w:rsid w:val="001D6A94"/>
    <w:rsid w:val="001D6FDE"/>
    <w:rsid w:val="001D70F2"/>
    <w:rsid w:val="001D7376"/>
    <w:rsid w:val="001D7423"/>
    <w:rsid w:val="001D74A7"/>
    <w:rsid w:val="001D7579"/>
    <w:rsid w:val="001D7603"/>
    <w:rsid w:val="001D79AA"/>
    <w:rsid w:val="001D7C46"/>
    <w:rsid w:val="001D7F91"/>
    <w:rsid w:val="001E0003"/>
    <w:rsid w:val="001E0117"/>
    <w:rsid w:val="001E0122"/>
    <w:rsid w:val="001E0365"/>
    <w:rsid w:val="001E041A"/>
    <w:rsid w:val="001E04FB"/>
    <w:rsid w:val="001E0672"/>
    <w:rsid w:val="001E07CD"/>
    <w:rsid w:val="001E0CA1"/>
    <w:rsid w:val="001E0D5D"/>
    <w:rsid w:val="001E0FE0"/>
    <w:rsid w:val="001E15CF"/>
    <w:rsid w:val="001E15F2"/>
    <w:rsid w:val="001E167D"/>
    <w:rsid w:val="001E16B2"/>
    <w:rsid w:val="001E1887"/>
    <w:rsid w:val="001E1F49"/>
    <w:rsid w:val="001E21D2"/>
    <w:rsid w:val="001E2239"/>
    <w:rsid w:val="001E229E"/>
    <w:rsid w:val="001E22F7"/>
    <w:rsid w:val="001E2395"/>
    <w:rsid w:val="001E24D4"/>
    <w:rsid w:val="001E2870"/>
    <w:rsid w:val="001E296E"/>
    <w:rsid w:val="001E2B7E"/>
    <w:rsid w:val="001E2BB5"/>
    <w:rsid w:val="001E309D"/>
    <w:rsid w:val="001E31A8"/>
    <w:rsid w:val="001E3680"/>
    <w:rsid w:val="001E3749"/>
    <w:rsid w:val="001E374E"/>
    <w:rsid w:val="001E37D6"/>
    <w:rsid w:val="001E3835"/>
    <w:rsid w:val="001E39B3"/>
    <w:rsid w:val="001E3A42"/>
    <w:rsid w:val="001E3AF9"/>
    <w:rsid w:val="001E3B72"/>
    <w:rsid w:val="001E3E9D"/>
    <w:rsid w:val="001E3F00"/>
    <w:rsid w:val="001E40F5"/>
    <w:rsid w:val="001E465F"/>
    <w:rsid w:val="001E47C0"/>
    <w:rsid w:val="001E4D99"/>
    <w:rsid w:val="001E502B"/>
    <w:rsid w:val="001E511B"/>
    <w:rsid w:val="001E5299"/>
    <w:rsid w:val="001E588E"/>
    <w:rsid w:val="001E59B2"/>
    <w:rsid w:val="001E5E11"/>
    <w:rsid w:val="001E63B2"/>
    <w:rsid w:val="001E66E3"/>
    <w:rsid w:val="001E68CE"/>
    <w:rsid w:val="001E6981"/>
    <w:rsid w:val="001E6987"/>
    <w:rsid w:val="001E6990"/>
    <w:rsid w:val="001E69C2"/>
    <w:rsid w:val="001E6B92"/>
    <w:rsid w:val="001E7026"/>
    <w:rsid w:val="001E716D"/>
    <w:rsid w:val="001E7308"/>
    <w:rsid w:val="001E7341"/>
    <w:rsid w:val="001E7460"/>
    <w:rsid w:val="001E766B"/>
    <w:rsid w:val="001E79E5"/>
    <w:rsid w:val="001E7A18"/>
    <w:rsid w:val="001E7B28"/>
    <w:rsid w:val="001E7DA7"/>
    <w:rsid w:val="001F01D7"/>
    <w:rsid w:val="001F01DD"/>
    <w:rsid w:val="001F02ED"/>
    <w:rsid w:val="001F10EA"/>
    <w:rsid w:val="001F11CC"/>
    <w:rsid w:val="001F11F1"/>
    <w:rsid w:val="001F147A"/>
    <w:rsid w:val="001F168A"/>
    <w:rsid w:val="001F16F6"/>
    <w:rsid w:val="001F17DE"/>
    <w:rsid w:val="001F18EF"/>
    <w:rsid w:val="001F1AFE"/>
    <w:rsid w:val="001F1EC7"/>
    <w:rsid w:val="001F1F11"/>
    <w:rsid w:val="001F1FBA"/>
    <w:rsid w:val="001F1FBC"/>
    <w:rsid w:val="001F223C"/>
    <w:rsid w:val="001F2351"/>
    <w:rsid w:val="001F2357"/>
    <w:rsid w:val="001F251D"/>
    <w:rsid w:val="001F27AF"/>
    <w:rsid w:val="001F2902"/>
    <w:rsid w:val="001F29BE"/>
    <w:rsid w:val="001F29F6"/>
    <w:rsid w:val="001F2B72"/>
    <w:rsid w:val="001F31A0"/>
    <w:rsid w:val="001F32E4"/>
    <w:rsid w:val="001F3362"/>
    <w:rsid w:val="001F34B9"/>
    <w:rsid w:val="001F3560"/>
    <w:rsid w:val="001F358D"/>
    <w:rsid w:val="001F38A5"/>
    <w:rsid w:val="001F39D9"/>
    <w:rsid w:val="001F3C31"/>
    <w:rsid w:val="001F3E59"/>
    <w:rsid w:val="001F3E96"/>
    <w:rsid w:val="001F3F0A"/>
    <w:rsid w:val="001F3F36"/>
    <w:rsid w:val="001F40DF"/>
    <w:rsid w:val="001F4108"/>
    <w:rsid w:val="001F459F"/>
    <w:rsid w:val="001F46ED"/>
    <w:rsid w:val="001F4BB8"/>
    <w:rsid w:val="001F4FEB"/>
    <w:rsid w:val="001F5026"/>
    <w:rsid w:val="001F5034"/>
    <w:rsid w:val="001F5043"/>
    <w:rsid w:val="001F52BE"/>
    <w:rsid w:val="001F53F4"/>
    <w:rsid w:val="001F5AFC"/>
    <w:rsid w:val="001F5FF1"/>
    <w:rsid w:val="001F60AE"/>
    <w:rsid w:val="001F60BC"/>
    <w:rsid w:val="001F61B5"/>
    <w:rsid w:val="001F6315"/>
    <w:rsid w:val="001F634E"/>
    <w:rsid w:val="001F63D6"/>
    <w:rsid w:val="001F658C"/>
    <w:rsid w:val="001F65AA"/>
    <w:rsid w:val="001F675C"/>
    <w:rsid w:val="001F68E3"/>
    <w:rsid w:val="001F6905"/>
    <w:rsid w:val="001F69D0"/>
    <w:rsid w:val="001F6A52"/>
    <w:rsid w:val="001F6A67"/>
    <w:rsid w:val="001F6CB0"/>
    <w:rsid w:val="001F6E40"/>
    <w:rsid w:val="001F6F44"/>
    <w:rsid w:val="001F73FC"/>
    <w:rsid w:val="001F7475"/>
    <w:rsid w:val="001F7563"/>
    <w:rsid w:val="001F7761"/>
    <w:rsid w:val="001F781C"/>
    <w:rsid w:val="001F794A"/>
    <w:rsid w:val="001F7DBB"/>
    <w:rsid w:val="002001CE"/>
    <w:rsid w:val="002004E0"/>
    <w:rsid w:val="00200F69"/>
    <w:rsid w:val="00201134"/>
    <w:rsid w:val="002014F7"/>
    <w:rsid w:val="00201652"/>
    <w:rsid w:val="0020244C"/>
    <w:rsid w:val="00202546"/>
    <w:rsid w:val="00202908"/>
    <w:rsid w:val="00202F63"/>
    <w:rsid w:val="0020329D"/>
    <w:rsid w:val="002033BE"/>
    <w:rsid w:val="00203941"/>
    <w:rsid w:val="00203A63"/>
    <w:rsid w:val="00203A79"/>
    <w:rsid w:val="00203D56"/>
    <w:rsid w:val="00203E4B"/>
    <w:rsid w:val="00203EA2"/>
    <w:rsid w:val="00203F99"/>
    <w:rsid w:val="002040E4"/>
    <w:rsid w:val="00204132"/>
    <w:rsid w:val="002043D2"/>
    <w:rsid w:val="0020442A"/>
    <w:rsid w:val="00204438"/>
    <w:rsid w:val="0020462F"/>
    <w:rsid w:val="002046A4"/>
    <w:rsid w:val="00204722"/>
    <w:rsid w:val="00204733"/>
    <w:rsid w:val="0020496D"/>
    <w:rsid w:val="002049CF"/>
    <w:rsid w:val="00204A15"/>
    <w:rsid w:val="00204C5A"/>
    <w:rsid w:val="00204C5B"/>
    <w:rsid w:val="00204D20"/>
    <w:rsid w:val="00204F15"/>
    <w:rsid w:val="002050B6"/>
    <w:rsid w:val="002050BC"/>
    <w:rsid w:val="002053F7"/>
    <w:rsid w:val="00205444"/>
    <w:rsid w:val="00205571"/>
    <w:rsid w:val="002056BF"/>
    <w:rsid w:val="002057AE"/>
    <w:rsid w:val="00205DE5"/>
    <w:rsid w:val="00205EB1"/>
    <w:rsid w:val="00205F96"/>
    <w:rsid w:val="00205F9E"/>
    <w:rsid w:val="002064BB"/>
    <w:rsid w:val="00206521"/>
    <w:rsid w:val="00206595"/>
    <w:rsid w:val="00206732"/>
    <w:rsid w:val="00206B91"/>
    <w:rsid w:val="00206D34"/>
    <w:rsid w:val="00206D6F"/>
    <w:rsid w:val="00206EFB"/>
    <w:rsid w:val="00206FCD"/>
    <w:rsid w:val="0020710B"/>
    <w:rsid w:val="002071E7"/>
    <w:rsid w:val="002073DD"/>
    <w:rsid w:val="0020749A"/>
    <w:rsid w:val="002077F0"/>
    <w:rsid w:val="002079CA"/>
    <w:rsid w:val="00207F59"/>
    <w:rsid w:val="00210293"/>
    <w:rsid w:val="00210351"/>
    <w:rsid w:val="002104F7"/>
    <w:rsid w:val="00210757"/>
    <w:rsid w:val="002107D9"/>
    <w:rsid w:val="0021096B"/>
    <w:rsid w:val="00210A21"/>
    <w:rsid w:val="00210A85"/>
    <w:rsid w:val="00210AB2"/>
    <w:rsid w:val="00210B01"/>
    <w:rsid w:val="002110BD"/>
    <w:rsid w:val="0021128A"/>
    <w:rsid w:val="002113FF"/>
    <w:rsid w:val="00211632"/>
    <w:rsid w:val="00211C9D"/>
    <w:rsid w:val="00211CB5"/>
    <w:rsid w:val="00211DC3"/>
    <w:rsid w:val="00211ED0"/>
    <w:rsid w:val="00211ED5"/>
    <w:rsid w:val="00211F7C"/>
    <w:rsid w:val="002125DB"/>
    <w:rsid w:val="00212777"/>
    <w:rsid w:val="002127BD"/>
    <w:rsid w:val="00212892"/>
    <w:rsid w:val="0021297F"/>
    <w:rsid w:val="00212B91"/>
    <w:rsid w:val="00212DB2"/>
    <w:rsid w:val="00212DC6"/>
    <w:rsid w:val="00212E6D"/>
    <w:rsid w:val="00213267"/>
    <w:rsid w:val="00213428"/>
    <w:rsid w:val="002137F6"/>
    <w:rsid w:val="0021386B"/>
    <w:rsid w:val="00213F48"/>
    <w:rsid w:val="00213FF0"/>
    <w:rsid w:val="00214162"/>
    <w:rsid w:val="0021416C"/>
    <w:rsid w:val="002141B8"/>
    <w:rsid w:val="00214244"/>
    <w:rsid w:val="002143F2"/>
    <w:rsid w:val="00214674"/>
    <w:rsid w:val="002147E2"/>
    <w:rsid w:val="00214C6A"/>
    <w:rsid w:val="00214E7A"/>
    <w:rsid w:val="00214E91"/>
    <w:rsid w:val="00214FB0"/>
    <w:rsid w:val="002155B6"/>
    <w:rsid w:val="00215773"/>
    <w:rsid w:val="002157E4"/>
    <w:rsid w:val="00215816"/>
    <w:rsid w:val="002159B4"/>
    <w:rsid w:val="00215A47"/>
    <w:rsid w:val="00215AFB"/>
    <w:rsid w:val="00215BC1"/>
    <w:rsid w:val="00215DEA"/>
    <w:rsid w:val="00215E9B"/>
    <w:rsid w:val="00216728"/>
    <w:rsid w:val="0021673B"/>
    <w:rsid w:val="00216CDE"/>
    <w:rsid w:val="00216D32"/>
    <w:rsid w:val="00216E3E"/>
    <w:rsid w:val="00216EA5"/>
    <w:rsid w:val="00216FCA"/>
    <w:rsid w:val="002171D1"/>
    <w:rsid w:val="00217868"/>
    <w:rsid w:val="00217A35"/>
    <w:rsid w:val="00217C35"/>
    <w:rsid w:val="00217CF4"/>
    <w:rsid w:val="002200D8"/>
    <w:rsid w:val="00220443"/>
    <w:rsid w:val="002207A1"/>
    <w:rsid w:val="00220E13"/>
    <w:rsid w:val="00221218"/>
    <w:rsid w:val="0022126B"/>
    <w:rsid w:val="002213BE"/>
    <w:rsid w:val="002218F9"/>
    <w:rsid w:val="00221B7A"/>
    <w:rsid w:val="00221D54"/>
    <w:rsid w:val="00221D94"/>
    <w:rsid w:val="00221E3C"/>
    <w:rsid w:val="002220F7"/>
    <w:rsid w:val="002223F8"/>
    <w:rsid w:val="002227B4"/>
    <w:rsid w:val="00222995"/>
    <w:rsid w:val="00222DFF"/>
    <w:rsid w:val="00223191"/>
    <w:rsid w:val="00223284"/>
    <w:rsid w:val="0022340F"/>
    <w:rsid w:val="00223566"/>
    <w:rsid w:val="00223664"/>
    <w:rsid w:val="00223A56"/>
    <w:rsid w:val="00223A9B"/>
    <w:rsid w:val="00223B67"/>
    <w:rsid w:val="00224306"/>
    <w:rsid w:val="00224369"/>
    <w:rsid w:val="002246A0"/>
    <w:rsid w:val="00224904"/>
    <w:rsid w:val="00224A0C"/>
    <w:rsid w:val="00224C53"/>
    <w:rsid w:val="00224F40"/>
    <w:rsid w:val="002250D1"/>
    <w:rsid w:val="002254E9"/>
    <w:rsid w:val="0022552A"/>
    <w:rsid w:val="002256EF"/>
    <w:rsid w:val="00225833"/>
    <w:rsid w:val="00225CD0"/>
    <w:rsid w:val="00225D5A"/>
    <w:rsid w:val="00225F3C"/>
    <w:rsid w:val="00226095"/>
    <w:rsid w:val="0022628A"/>
    <w:rsid w:val="002262E1"/>
    <w:rsid w:val="002264D3"/>
    <w:rsid w:val="002268A6"/>
    <w:rsid w:val="00226AAB"/>
    <w:rsid w:val="00226F60"/>
    <w:rsid w:val="00227027"/>
    <w:rsid w:val="0022708B"/>
    <w:rsid w:val="0022732B"/>
    <w:rsid w:val="00227449"/>
    <w:rsid w:val="0022753F"/>
    <w:rsid w:val="0022775E"/>
    <w:rsid w:val="00227B89"/>
    <w:rsid w:val="00227F43"/>
    <w:rsid w:val="00227F79"/>
    <w:rsid w:val="002300D1"/>
    <w:rsid w:val="00230770"/>
    <w:rsid w:val="0023082F"/>
    <w:rsid w:val="002310EE"/>
    <w:rsid w:val="0023115E"/>
    <w:rsid w:val="002311A3"/>
    <w:rsid w:val="002311A4"/>
    <w:rsid w:val="002311D6"/>
    <w:rsid w:val="002314B8"/>
    <w:rsid w:val="002314BC"/>
    <w:rsid w:val="0023162D"/>
    <w:rsid w:val="00231D3D"/>
    <w:rsid w:val="00231ED5"/>
    <w:rsid w:val="0023245B"/>
    <w:rsid w:val="002327B0"/>
    <w:rsid w:val="00232BE5"/>
    <w:rsid w:val="00232DA7"/>
    <w:rsid w:val="00232E2A"/>
    <w:rsid w:val="00233137"/>
    <w:rsid w:val="002331B9"/>
    <w:rsid w:val="00233CDE"/>
    <w:rsid w:val="00233DB4"/>
    <w:rsid w:val="002343D9"/>
    <w:rsid w:val="002344B5"/>
    <w:rsid w:val="00234640"/>
    <w:rsid w:val="002346DC"/>
    <w:rsid w:val="00234AF3"/>
    <w:rsid w:val="00234DC4"/>
    <w:rsid w:val="00234E12"/>
    <w:rsid w:val="00235491"/>
    <w:rsid w:val="002357EB"/>
    <w:rsid w:val="00235C0B"/>
    <w:rsid w:val="00235DB9"/>
    <w:rsid w:val="00236260"/>
    <w:rsid w:val="00236423"/>
    <w:rsid w:val="0023642A"/>
    <w:rsid w:val="00236C9E"/>
    <w:rsid w:val="00236F5D"/>
    <w:rsid w:val="00236FFC"/>
    <w:rsid w:val="00237057"/>
    <w:rsid w:val="00237149"/>
    <w:rsid w:val="00237275"/>
    <w:rsid w:val="00237374"/>
    <w:rsid w:val="002378E7"/>
    <w:rsid w:val="00237A9E"/>
    <w:rsid w:val="00237CA0"/>
    <w:rsid w:val="00237D7D"/>
    <w:rsid w:val="0024007F"/>
    <w:rsid w:val="00240106"/>
    <w:rsid w:val="00240457"/>
    <w:rsid w:val="002406E6"/>
    <w:rsid w:val="00240774"/>
    <w:rsid w:val="002407CB"/>
    <w:rsid w:val="00240A7A"/>
    <w:rsid w:val="00240CB5"/>
    <w:rsid w:val="00240CD3"/>
    <w:rsid w:val="00240D41"/>
    <w:rsid w:val="00240DA8"/>
    <w:rsid w:val="00240E40"/>
    <w:rsid w:val="00240FC4"/>
    <w:rsid w:val="002411C7"/>
    <w:rsid w:val="0024186A"/>
    <w:rsid w:val="002418E5"/>
    <w:rsid w:val="00241C1A"/>
    <w:rsid w:val="00241C67"/>
    <w:rsid w:val="00241D93"/>
    <w:rsid w:val="00241E8F"/>
    <w:rsid w:val="00241EF2"/>
    <w:rsid w:val="00241F2C"/>
    <w:rsid w:val="00242056"/>
    <w:rsid w:val="0024208D"/>
    <w:rsid w:val="00242F4E"/>
    <w:rsid w:val="00242F65"/>
    <w:rsid w:val="002432A5"/>
    <w:rsid w:val="0024334F"/>
    <w:rsid w:val="00243777"/>
    <w:rsid w:val="00243807"/>
    <w:rsid w:val="00243C97"/>
    <w:rsid w:val="0024407D"/>
    <w:rsid w:val="00244314"/>
    <w:rsid w:val="002444CA"/>
    <w:rsid w:val="0024490E"/>
    <w:rsid w:val="00245260"/>
    <w:rsid w:val="002452A0"/>
    <w:rsid w:val="0024544C"/>
    <w:rsid w:val="002456DD"/>
    <w:rsid w:val="002456E2"/>
    <w:rsid w:val="00245708"/>
    <w:rsid w:val="00245805"/>
    <w:rsid w:val="00245BB1"/>
    <w:rsid w:val="00245C53"/>
    <w:rsid w:val="00246035"/>
    <w:rsid w:val="002462A9"/>
    <w:rsid w:val="002462F2"/>
    <w:rsid w:val="002463A6"/>
    <w:rsid w:val="002466E4"/>
    <w:rsid w:val="00246A12"/>
    <w:rsid w:val="00246A90"/>
    <w:rsid w:val="00246AD1"/>
    <w:rsid w:val="00246ADB"/>
    <w:rsid w:val="00246F06"/>
    <w:rsid w:val="00247139"/>
    <w:rsid w:val="0024750C"/>
    <w:rsid w:val="002475DB"/>
    <w:rsid w:val="00247636"/>
    <w:rsid w:val="0024764E"/>
    <w:rsid w:val="002476AF"/>
    <w:rsid w:val="002476F4"/>
    <w:rsid w:val="00247716"/>
    <w:rsid w:val="00247B9F"/>
    <w:rsid w:val="00247CFA"/>
    <w:rsid w:val="00247D09"/>
    <w:rsid w:val="00247D37"/>
    <w:rsid w:val="00250004"/>
    <w:rsid w:val="00250266"/>
    <w:rsid w:val="002508B3"/>
    <w:rsid w:val="00250B02"/>
    <w:rsid w:val="00250BD7"/>
    <w:rsid w:val="00250C49"/>
    <w:rsid w:val="00251050"/>
    <w:rsid w:val="0025105E"/>
    <w:rsid w:val="00251101"/>
    <w:rsid w:val="002512AD"/>
    <w:rsid w:val="002513AC"/>
    <w:rsid w:val="0025150F"/>
    <w:rsid w:val="002515BC"/>
    <w:rsid w:val="00251714"/>
    <w:rsid w:val="002517A5"/>
    <w:rsid w:val="002517E8"/>
    <w:rsid w:val="00251B3A"/>
    <w:rsid w:val="00251D8D"/>
    <w:rsid w:val="00251F6C"/>
    <w:rsid w:val="00251F8F"/>
    <w:rsid w:val="0025249C"/>
    <w:rsid w:val="00252994"/>
    <w:rsid w:val="00252F23"/>
    <w:rsid w:val="00252F88"/>
    <w:rsid w:val="00253070"/>
    <w:rsid w:val="002531E1"/>
    <w:rsid w:val="002535AC"/>
    <w:rsid w:val="0025368F"/>
    <w:rsid w:val="002539ED"/>
    <w:rsid w:val="00253AC3"/>
    <w:rsid w:val="00253B16"/>
    <w:rsid w:val="00253B28"/>
    <w:rsid w:val="00253B47"/>
    <w:rsid w:val="00253DAD"/>
    <w:rsid w:val="0025440D"/>
    <w:rsid w:val="002544D3"/>
    <w:rsid w:val="0025450E"/>
    <w:rsid w:val="0025491F"/>
    <w:rsid w:val="00254AC5"/>
    <w:rsid w:val="00254AF5"/>
    <w:rsid w:val="00254D6C"/>
    <w:rsid w:val="0025500D"/>
    <w:rsid w:val="00255152"/>
    <w:rsid w:val="0025554E"/>
    <w:rsid w:val="002555E2"/>
    <w:rsid w:val="00255957"/>
    <w:rsid w:val="00255C30"/>
    <w:rsid w:val="00255D01"/>
    <w:rsid w:val="00256103"/>
    <w:rsid w:val="00256264"/>
    <w:rsid w:val="0025649D"/>
    <w:rsid w:val="00256B69"/>
    <w:rsid w:val="00256C7D"/>
    <w:rsid w:val="00256CAF"/>
    <w:rsid w:val="0025709D"/>
    <w:rsid w:val="00257176"/>
    <w:rsid w:val="00257326"/>
    <w:rsid w:val="00257512"/>
    <w:rsid w:val="00257BAC"/>
    <w:rsid w:val="00257BE6"/>
    <w:rsid w:val="00257C06"/>
    <w:rsid w:val="00257FF1"/>
    <w:rsid w:val="002600E8"/>
    <w:rsid w:val="002601D5"/>
    <w:rsid w:val="002602D6"/>
    <w:rsid w:val="00260567"/>
    <w:rsid w:val="00260833"/>
    <w:rsid w:val="00260862"/>
    <w:rsid w:val="00260F79"/>
    <w:rsid w:val="0026122C"/>
    <w:rsid w:val="0026142E"/>
    <w:rsid w:val="00261539"/>
    <w:rsid w:val="002615AF"/>
    <w:rsid w:val="002617C5"/>
    <w:rsid w:val="002618C4"/>
    <w:rsid w:val="00261BFA"/>
    <w:rsid w:val="0026219F"/>
    <w:rsid w:val="002623F1"/>
    <w:rsid w:val="002624BC"/>
    <w:rsid w:val="00262732"/>
    <w:rsid w:val="00262907"/>
    <w:rsid w:val="00262B58"/>
    <w:rsid w:val="00262D25"/>
    <w:rsid w:val="00262DAD"/>
    <w:rsid w:val="00262F24"/>
    <w:rsid w:val="00262F73"/>
    <w:rsid w:val="00263144"/>
    <w:rsid w:val="0026352F"/>
    <w:rsid w:val="00263889"/>
    <w:rsid w:val="002638F4"/>
    <w:rsid w:val="00263A76"/>
    <w:rsid w:val="00263C2F"/>
    <w:rsid w:val="00263C94"/>
    <w:rsid w:val="00264015"/>
    <w:rsid w:val="0026467D"/>
    <w:rsid w:val="00264772"/>
    <w:rsid w:val="00264A22"/>
    <w:rsid w:val="00264AC2"/>
    <w:rsid w:val="00264EB3"/>
    <w:rsid w:val="00264FB8"/>
    <w:rsid w:val="002658BF"/>
    <w:rsid w:val="00265D39"/>
    <w:rsid w:val="00265D52"/>
    <w:rsid w:val="00265F2C"/>
    <w:rsid w:val="0026616E"/>
    <w:rsid w:val="0026632B"/>
    <w:rsid w:val="00266604"/>
    <w:rsid w:val="00266605"/>
    <w:rsid w:val="002667AE"/>
    <w:rsid w:val="00266A17"/>
    <w:rsid w:val="00266AEB"/>
    <w:rsid w:val="00266B41"/>
    <w:rsid w:val="00266DD4"/>
    <w:rsid w:val="0026704F"/>
    <w:rsid w:val="002672BE"/>
    <w:rsid w:val="00267B73"/>
    <w:rsid w:val="00267F6D"/>
    <w:rsid w:val="0027018F"/>
    <w:rsid w:val="00270191"/>
    <w:rsid w:val="002701B4"/>
    <w:rsid w:val="00270338"/>
    <w:rsid w:val="00270950"/>
    <w:rsid w:val="00270A23"/>
    <w:rsid w:val="00270AD6"/>
    <w:rsid w:val="00270C04"/>
    <w:rsid w:val="00271044"/>
    <w:rsid w:val="002712AF"/>
    <w:rsid w:val="002714E3"/>
    <w:rsid w:val="0027160C"/>
    <w:rsid w:val="00271A6E"/>
    <w:rsid w:val="00271CF7"/>
    <w:rsid w:val="00271E53"/>
    <w:rsid w:val="00271EBF"/>
    <w:rsid w:val="00271F2F"/>
    <w:rsid w:val="00272376"/>
    <w:rsid w:val="0027245E"/>
    <w:rsid w:val="00272670"/>
    <w:rsid w:val="002729CB"/>
    <w:rsid w:val="00272ECF"/>
    <w:rsid w:val="002730A5"/>
    <w:rsid w:val="002730B9"/>
    <w:rsid w:val="002732A9"/>
    <w:rsid w:val="0027345C"/>
    <w:rsid w:val="002736DA"/>
    <w:rsid w:val="0027380A"/>
    <w:rsid w:val="00273C42"/>
    <w:rsid w:val="00273FA9"/>
    <w:rsid w:val="002740BB"/>
    <w:rsid w:val="002746DD"/>
    <w:rsid w:val="00274790"/>
    <w:rsid w:val="002748F0"/>
    <w:rsid w:val="002748F1"/>
    <w:rsid w:val="002749B7"/>
    <w:rsid w:val="00274B0B"/>
    <w:rsid w:val="00274BAE"/>
    <w:rsid w:val="00274CBE"/>
    <w:rsid w:val="00274F10"/>
    <w:rsid w:val="00274F66"/>
    <w:rsid w:val="002751A5"/>
    <w:rsid w:val="002751D1"/>
    <w:rsid w:val="00275209"/>
    <w:rsid w:val="002753AE"/>
    <w:rsid w:val="00275DDC"/>
    <w:rsid w:val="0027606E"/>
    <w:rsid w:val="0027673D"/>
    <w:rsid w:val="00276875"/>
    <w:rsid w:val="002769B3"/>
    <w:rsid w:val="00276ADE"/>
    <w:rsid w:val="00277002"/>
    <w:rsid w:val="002775ED"/>
    <w:rsid w:val="002776AE"/>
    <w:rsid w:val="0027783E"/>
    <w:rsid w:val="002778D4"/>
    <w:rsid w:val="00277A29"/>
    <w:rsid w:val="00277B6D"/>
    <w:rsid w:val="00277B7E"/>
    <w:rsid w:val="00277B90"/>
    <w:rsid w:val="00277E0B"/>
    <w:rsid w:val="00277E37"/>
    <w:rsid w:val="00277FDE"/>
    <w:rsid w:val="00280163"/>
    <w:rsid w:val="002801AB"/>
    <w:rsid w:val="0028026A"/>
    <w:rsid w:val="00280420"/>
    <w:rsid w:val="0028046D"/>
    <w:rsid w:val="0028058C"/>
    <w:rsid w:val="002807B2"/>
    <w:rsid w:val="00280D92"/>
    <w:rsid w:val="00281019"/>
    <w:rsid w:val="00281169"/>
    <w:rsid w:val="002815B7"/>
    <w:rsid w:val="00281645"/>
    <w:rsid w:val="00281CB6"/>
    <w:rsid w:val="00282219"/>
    <w:rsid w:val="00282457"/>
    <w:rsid w:val="002824A8"/>
    <w:rsid w:val="002824B2"/>
    <w:rsid w:val="002825C4"/>
    <w:rsid w:val="00282B46"/>
    <w:rsid w:val="00282DF8"/>
    <w:rsid w:val="00282F29"/>
    <w:rsid w:val="00282F72"/>
    <w:rsid w:val="00283035"/>
    <w:rsid w:val="0028326C"/>
    <w:rsid w:val="0028327F"/>
    <w:rsid w:val="00283281"/>
    <w:rsid w:val="00283BE4"/>
    <w:rsid w:val="00283C0C"/>
    <w:rsid w:val="00283C89"/>
    <w:rsid w:val="00283D55"/>
    <w:rsid w:val="00283D76"/>
    <w:rsid w:val="00283DBE"/>
    <w:rsid w:val="00283E81"/>
    <w:rsid w:val="00283F77"/>
    <w:rsid w:val="00283FE8"/>
    <w:rsid w:val="00284056"/>
    <w:rsid w:val="00284097"/>
    <w:rsid w:val="0028417F"/>
    <w:rsid w:val="0028428A"/>
    <w:rsid w:val="0028431D"/>
    <w:rsid w:val="00284340"/>
    <w:rsid w:val="002844E0"/>
    <w:rsid w:val="00284792"/>
    <w:rsid w:val="002847C6"/>
    <w:rsid w:val="002848D4"/>
    <w:rsid w:val="00284B77"/>
    <w:rsid w:val="00284DD5"/>
    <w:rsid w:val="00284EF6"/>
    <w:rsid w:val="00284F4C"/>
    <w:rsid w:val="00284FC4"/>
    <w:rsid w:val="00285080"/>
    <w:rsid w:val="0028514D"/>
    <w:rsid w:val="00285204"/>
    <w:rsid w:val="00285326"/>
    <w:rsid w:val="002856DA"/>
    <w:rsid w:val="0028572D"/>
    <w:rsid w:val="002859C1"/>
    <w:rsid w:val="00285A84"/>
    <w:rsid w:val="00285D0F"/>
    <w:rsid w:val="002863D6"/>
    <w:rsid w:val="00286718"/>
    <w:rsid w:val="0028691E"/>
    <w:rsid w:val="00286AAD"/>
    <w:rsid w:val="00286B55"/>
    <w:rsid w:val="00286BBE"/>
    <w:rsid w:val="00286E03"/>
    <w:rsid w:val="00286F9C"/>
    <w:rsid w:val="00287156"/>
    <w:rsid w:val="0028727F"/>
    <w:rsid w:val="00287572"/>
    <w:rsid w:val="0028793D"/>
    <w:rsid w:val="002879EB"/>
    <w:rsid w:val="00287A1B"/>
    <w:rsid w:val="00287B11"/>
    <w:rsid w:val="00287E78"/>
    <w:rsid w:val="00287F07"/>
    <w:rsid w:val="00287F4B"/>
    <w:rsid w:val="00287F5A"/>
    <w:rsid w:val="0029050A"/>
    <w:rsid w:val="00290676"/>
    <w:rsid w:val="0029074E"/>
    <w:rsid w:val="002907F1"/>
    <w:rsid w:val="002910E4"/>
    <w:rsid w:val="00291290"/>
    <w:rsid w:val="00291353"/>
    <w:rsid w:val="0029143F"/>
    <w:rsid w:val="00291462"/>
    <w:rsid w:val="002914E1"/>
    <w:rsid w:val="00291572"/>
    <w:rsid w:val="002915A9"/>
    <w:rsid w:val="0029167C"/>
    <w:rsid w:val="00291729"/>
    <w:rsid w:val="00291996"/>
    <w:rsid w:val="00291B68"/>
    <w:rsid w:val="00291CF0"/>
    <w:rsid w:val="00291EA1"/>
    <w:rsid w:val="002920EC"/>
    <w:rsid w:val="002921AF"/>
    <w:rsid w:val="002921EE"/>
    <w:rsid w:val="002924E8"/>
    <w:rsid w:val="0029274F"/>
    <w:rsid w:val="00292AC1"/>
    <w:rsid w:val="00292CAE"/>
    <w:rsid w:val="00292CC6"/>
    <w:rsid w:val="00292D9C"/>
    <w:rsid w:val="00292DA3"/>
    <w:rsid w:val="00292DD0"/>
    <w:rsid w:val="00292E79"/>
    <w:rsid w:val="002930A5"/>
    <w:rsid w:val="0029315E"/>
    <w:rsid w:val="002933B3"/>
    <w:rsid w:val="002936D1"/>
    <w:rsid w:val="002936DB"/>
    <w:rsid w:val="00293840"/>
    <w:rsid w:val="002939EB"/>
    <w:rsid w:val="00293D3E"/>
    <w:rsid w:val="00293FA0"/>
    <w:rsid w:val="00294325"/>
    <w:rsid w:val="0029437E"/>
    <w:rsid w:val="002943DF"/>
    <w:rsid w:val="00294E06"/>
    <w:rsid w:val="0029511A"/>
    <w:rsid w:val="0029549D"/>
    <w:rsid w:val="0029567C"/>
    <w:rsid w:val="002959A2"/>
    <w:rsid w:val="00295C1C"/>
    <w:rsid w:val="00295D5F"/>
    <w:rsid w:val="00295E9E"/>
    <w:rsid w:val="00295F97"/>
    <w:rsid w:val="00295FDE"/>
    <w:rsid w:val="00296181"/>
    <w:rsid w:val="002961AC"/>
    <w:rsid w:val="002962BE"/>
    <w:rsid w:val="0029659F"/>
    <w:rsid w:val="0029663C"/>
    <w:rsid w:val="0029671E"/>
    <w:rsid w:val="002975C0"/>
    <w:rsid w:val="002975FC"/>
    <w:rsid w:val="00297878"/>
    <w:rsid w:val="00297937"/>
    <w:rsid w:val="002979D8"/>
    <w:rsid w:val="00297C8B"/>
    <w:rsid w:val="00297FC5"/>
    <w:rsid w:val="00297FED"/>
    <w:rsid w:val="002A04B4"/>
    <w:rsid w:val="002A08A9"/>
    <w:rsid w:val="002A0C1C"/>
    <w:rsid w:val="002A0C20"/>
    <w:rsid w:val="002A0DE7"/>
    <w:rsid w:val="002A0E8D"/>
    <w:rsid w:val="002A0ED0"/>
    <w:rsid w:val="002A104B"/>
    <w:rsid w:val="002A11F5"/>
    <w:rsid w:val="002A1274"/>
    <w:rsid w:val="002A12B5"/>
    <w:rsid w:val="002A13BD"/>
    <w:rsid w:val="002A145B"/>
    <w:rsid w:val="002A14C9"/>
    <w:rsid w:val="002A18BE"/>
    <w:rsid w:val="002A2139"/>
    <w:rsid w:val="002A2542"/>
    <w:rsid w:val="002A2695"/>
    <w:rsid w:val="002A2915"/>
    <w:rsid w:val="002A29F6"/>
    <w:rsid w:val="002A2B68"/>
    <w:rsid w:val="002A2CD8"/>
    <w:rsid w:val="002A2DBE"/>
    <w:rsid w:val="002A2F35"/>
    <w:rsid w:val="002A3243"/>
    <w:rsid w:val="002A32EA"/>
    <w:rsid w:val="002A33EB"/>
    <w:rsid w:val="002A3414"/>
    <w:rsid w:val="002A350C"/>
    <w:rsid w:val="002A35D5"/>
    <w:rsid w:val="002A36F6"/>
    <w:rsid w:val="002A3711"/>
    <w:rsid w:val="002A38A8"/>
    <w:rsid w:val="002A3B47"/>
    <w:rsid w:val="002A3BC9"/>
    <w:rsid w:val="002A3E5D"/>
    <w:rsid w:val="002A4084"/>
    <w:rsid w:val="002A416C"/>
    <w:rsid w:val="002A42C1"/>
    <w:rsid w:val="002A42C7"/>
    <w:rsid w:val="002A45EC"/>
    <w:rsid w:val="002A4620"/>
    <w:rsid w:val="002A48B3"/>
    <w:rsid w:val="002A48C1"/>
    <w:rsid w:val="002A4A68"/>
    <w:rsid w:val="002A4AD6"/>
    <w:rsid w:val="002A4BDC"/>
    <w:rsid w:val="002A4DEC"/>
    <w:rsid w:val="002A4F7A"/>
    <w:rsid w:val="002A5326"/>
    <w:rsid w:val="002A5571"/>
    <w:rsid w:val="002A57D9"/>
    <w:rsid w:val="002A57F9"/>
    <w:rsid w:val="002A59D5"/>
    <w:rsid w:val="002A5A86"/>
    <w:rsid w:val="002A5DBA"/>
    <w:rsid w:val="002A5E8E"/>
    <w:rsid w:val="002A5FFB"/>
    <w:rsid w:val="002A60D3"/>
    <w:rsid w:val="002A6194"/>
    <w:rsid w:val="002A6232"/>
    <w:rsid w:val="002A6503"/>
    <w:rsid w:val="002A6712"/>
    <w:rsid w:val="002A69AD"/>
    <w:rsid w:val="002A6CC9"/>
    <w:rsid w:val="002A6DE4"/>
    <w:rsid w:val="002A6F26"/>
    <w:rsid w:val="002A7079"/>
    <w:rsid w:val="002A7196"/>
    <w:rsid w:val="002A76AE"/>
    <w:rsid w:val="002A775A"/>
    <w:rsid w:val="002A7978"/>
    <w:rsid w:val="002A79B9"/>
    <w:rsid w:val="002A7B64"/>
    <w:rsid w:val="002A7FE5"/>
    <w:rsid w:val="002B002D"/>
    <w:rsid w:val="002B0221"/>
    <w:rsid w:val="002B044B"/>
    <w:rsid w:val="002B0672"/>
    <w:rsid w:val="002B0820"/>
    <w:rsid w:val="002B0855"/>
    <w:rsid w:val="002B0892"/>
    <w:rsid w:val="002B0A27"/>
    <w:rsid w:val="002B0BFA"/>
    <w:rsid w:val="002B0D03"/>
    <w:rsid w:val="002B0FDF"/>
    <w:rsid w:val="002B0FEB"/>
    <w:rsid w:val="002B101B"/>
    <w:rsid w:val="002B1213"/>
    <w:rsid w:val="002B1384"/>
    <w:rsid w:val="002B1A7F"/>
    <w:rsid w:val="002B1EB3"/>
    <w:rsid w:val="002B2857"/>
    <w:rsid w:val="002B295C"/>
    <w:rsid w:val="002B2B24"/>
    <w:rsid w:val="002B345C"/>
    <w:rsid w:val="002B3681"/>
    <w:rsid w:val="002B36AD"/>
    <w:rsid w:val="002B3A50"/>
    <w:rsid w:val="002B3C25"/>
    <w:rsid w:val="002B3C7B"/>
    <w:rsid w:val="002B40A5"/>
    <w:rsid w:val="002B42A2"/>
    <w:rsid w:val="002B4614"/>
    <w:rsid w:val="002B48A9"/>
    <w:rsid w:val="002B49E2"/>
    <w:rsid w:val="002B4CB8"/>
    <w:rsid w:val="002B5066"/>
    <w:rsid w:val="002B5134"/>
    <w:rsid w:val="002B51FA"/>
    <w:rsid w:val="002B522A"/>
    <w:rsid w:val="002B5255"/>
    <w:rsid w:val="002B5710"/>
    <w:rsid w:val="002B584B"/>
    <w:rsid w:val="002B58BD"/>
    <w:rsid w:val="002B58E9"/>
    <w:rsid w:val="002B597E"/>
    <w:rsid w:val="002B5B69"/>
    <w:rsid w:val="002B5BDB"/>
    <w:rsid w:val="002B5F5C"/>
    <w:rsid w:val="002B6375"/>
    <w:rsid w:val="002B637B"/>
    <w:rsid w:val="002B667C"/>
    <w:rsid w:val="002B6A3B"/>
    <w:rsid w:val="002B6A5D"/>
    <w:rsid w:val="002B6ADC"/>
    <w:rsid w:val="002B6BC2"/>
    <w:rsid w:val="002B6D85"/>
    <w:rsid w:val="002B6ECB"/>
    <w:rsid w:val="002B6EF0"/>
    <w:rsid w:val="002B7216"/>
    <w:rsid w:val="002B76F3"/>
    <w:rsid w:val="002B7867"/>
    <w:rsid w:val="002B78AF"/>
    <w:rsid w:val="002B7A67"/>
    <w:rsid w:val="002B7A83"/>
    <w:rsid w:val="002B7A86"/>
    <w:rsid w:val="002B7CAA"/>
    <w:rsid w:val="002C0029"/>
    <w:rsid w:val="002C00B6"/>
    <w:rsid w:val="002C0383"/>
    <w:rsid w:val="002C04CF"/>
    <w:rsid w:val="002C0708"/>
    <w:rsid w:val="002C072C"/>
    <w:rsid w:val="002C0DA5"/>
    <w:rsid w:val="002C0E73"/>
    <w:rsid w:val="002C0F2A"/>
    <w:rsid w:val="002C10FF"/>
    <w:rsid w:val="002C11CA"/>
    <w:rsid w:val="002C14B6"/>
    <w:rsid w:val="002C14CE"/>
    <w:rsid w:val="002C15F9"/>
    <w:rsid w:val="002C1619"/>
    <w:rsid w:val="002C16F3"/>
    <w:rsid w:val="002C16F6"/>
    <w:rsid w:val="002C1DE7"/>
    <w:rsid w:val="002C1F01"/>
    <w:rsid w:val="002C2092"/>
    <w:rsid w:val="002C2110"/>
    <w:rsid w:val="002C2373"/>
    <w:rsid w:val="002C23F3"/>
    <w:rsid w:val="002C24BA"/>
    <w:rsid w:val="002C261A"/>
    <w:rsid w:val="002C2BC5"/>
    <w:rsid w:val="002C31CD"/>
    <w:rsid w:val="002C335F"/>
    <w:rsid w:val="002C34B3"/>
    <w:rsid w:val="002C3545"/>
    <w:rsid w:val="002C35BF"/>
    <w:rsid w:val="002C3790"/>
    <w:rsid w:val="002C389D"/>
    <w:rsid w:val="002C38FB"/>
    <w:rsid w:val="002C399C"/>
    <w:rsid w:val="002C3A9E"/>
    <w:rsid w:val="002C3B72"/>
    <w:rsid w:val="002C3C2C"/>
    <w:rsid w:val="002C3C7D"/>
    <w:rsid w:val="002C3EAF"/>
    <w:rsid w:val="002C4295"/>
    <w:rsid w:val="002C459C"/>
    <w:rsid w:val="002C45E8"/>
    <w:rsid w:val="002C4620"/>
    <w:rsid w:val="002C4712"/>
    <w:rsid w:val="002C4AE2"/>
    <w:rsid w:val="002C4C43"/>
    <w:rsid w:val="002C4EF7"/>
    <w:rsid w:val="002C50D0"/>
    <w:rsid w:val="002C50F7"/>
    <w:rsid w:val="002C546B"/>
    <w:rsid w:val="002C58A5"/>
    <w:rsid w:val="002C58CD"/>
    <w:rsid w:val="002C5A89"/>
    <w:rsid w:val="002C5BAD"/>
    <w:rsid w:val="002C5E7A"/>
    <w:rsid w:val="002C5FD1"/>
    <w:rsid w:val="002C6233"/>
    <w:rsid w:val="002C637C"/>
    <w:rsid w:val="002C6497"/>
    <w:rsid w:val="002C64B3"/>
    <w:rsid w:val="002C6A9F"/>
    <w:rsid w:val="002C6CEC"/>
    <w:rsid w:val="002C6E49"/>
    <w:rsid w:val="002C70CE"/>
    <w:rsid w:val="002C71DA"/>
    <w:rsid w:val="002C7319"/>
    <w:rsid w:val="002C75FC"/>
    <w:rsid w:val="002C760C"/>
    <w:rsid w:val="002C7766"/>
    <w:rsid w:val="002C77C1"/>
    <w:rsid w:val="002C799E"/>
    <w:rsid w:val="002C7A06"/>
    <w:rsid w:val="002C7CF5"/>
    <w:rsid w:val="002C7EA3"/>
    <w:rsid w:val="002C7EBE"/>
    <w:rsid w:val="002D06FA"/>
    <w:rsid w:val="002D071C"/>
    <w:rsid w:val="002D0BD8"/>
    <w:rsid w:val="002D0C5F"/>
    <w:rsid w:val="002D1875"/>
    <w:rsid w:val="002D1B6F"/>
    <w:rsid w:val="002D1D8F"/>
    <w:rsid w:val="002D2065"/>
    <w:rsid w:val="002D2133"/>
    <w:rsid w:val="002D2724"/>
    <w:rsid w:val="002D2B90"/>
    <w:rsid w:val="002D2C0E"/>
    <w:rsid w:val="002D2D77"/>
    <w:rsid w:val="002D2DD4"/>
    <w:rsid w:val="002D2DE2"/>
    <w:rsid w:val="002D2EB6"/>
    <w:rsid w:val="002D30E8"/>
    <w:rsid w:val="002D3375"/>
    <w:rsid w:val="002D33C6"/>
    <w:rsid w:val="002D3560"/>
    <w:rsid w:val="002D3661"/>
    <w:rsid w:val="002D397D"/>
    <w:rsid w:val="002D39AC"/>
    <w:rsid w:val="002D4175"/>
    <w:rsid w:val="002D464E"/>
    <w:rsid w:val="002D4704"/>
    <w:rsid w:val="002D4928"/>
    <w:rsid w:val="002D4E12"/>
    <w:rsid w:val="002D5097"/>
    <w:rsid w:val="002D5146"/>
    <w:rsid w:val="002D5272"/>
    <w:rsid w:val="002D5496"/>
    <w:rsid w:val="002D55E4"/>
    <w:rsid w:val="002D56A8"/>
    <w:rsid w:val="002D58A8"/>
    <w:rsid w:val="002D58DA"/>
    <w:rsid w:val="002D5B5A"/>
    <w:rsid w:val="002D5DB5"/>
    <w:rsid w:val="002D6122"/>
    <w:rsid w:val="002D63CF"/>
    <w:rsid w:val="002D677F"/>
    <w:rsid w:val="002D67AA"/>
    <w:rsid w:val="002D690D"/>
    <w:rsid w:val="002D6B5E"/>
    <w:rsid w:val="002D6BA7"/>
    <w:rsid w:val="002D6C29"/>
    <w:rsid w:val="002D6E80"/>
    <w:rsid w:val="002D6EE6"/>
    <w:rsid w:val="002D6FB9"/>
    <w:rsid w:val="002D71D0"/>
    <w:rsid w:val="002D724A"/>
    <w:rsid w:val="002D76EF"/>
    <w:rsid w:val="002D7773"/>
    <w:rsid w:val="002D784D"/>
    <w:rsid w:val="002D7BDD"/>
    <w:rsid w:val="002D7CF6"/>
    <w:rsid w:val="002D7DA0"/>
    <w:rsid w:val="002D7F35"/>
    <w:rsid w:val="002D7F53"/>
    <w:rsid w:val="002D7F6F"/>
    <w:rsid w:val="002E004F"/>
    <w:rsid w:val="002E077F"/>
    <w:rsid w:val="002E08DE"/>
    <w:rsid w:val="002E0973"/>
    <w:rsid w:val="002E0981"/>
    <w:rsid w:val="002E0B57"/>
    <w:rsid w:val="002E1117"/>
    <w:rsid w:val="002E1174"/>
    <w:rsid w:val="002E1332"/>
    <w:rsid w:val="002E148D"/>
    <w:rsid w:val="002E17A3"/>
    <w:rsid w:val="002E1907"/>
    <w:rsid w:val="002E1911"/>
    <w:rsid w:val="002E1913"/>
    <w:rsid w:val="002E1A8A"/>
    <w:rsid w:val="002E1C61"/>
    <w:rsid w:val="002E1C63"/>
    <w:rsid w:val="002E1D40"/>
    <w:rsid w:val="002E2118"/>
    <w:rsid w:val="002E2188"/>
    <w:rsid w:val="002E2490"/>
    <w:rsid w:val="002E24DA"/>
    <w:rsid w:val="002E2856"/>
    <w:rsid w:val="002E29B6"/>
    <w:rsid w:val="002E2A0D"/>
    <w:rsid w:val="002E2E64"/>
    <w:rsid w:val="002E3388"/>
    <w:rsid w:val="002E350B"/>
    <w:rsid w:val="002E352B"/>
    <w:rsid w:val="002E36B3"/>
    <w:rsid w:val="002E36BD"/>
    <w:rsid w:val="002E3752"/>
    <w:rsid w:val="002E379D"/>
    <w:rsid w:val="002E3AEC"/>
    <w:rsid w:val="002E4374"/>
    <w:rsid w:val="002E45EF"/>
    <w:rsid w:val="002E46E5"/>
    <w:rsid w:val="002E49EC"/>
    <w:rsid w:val="002E4B36"/>
    <w:rsid w:val="002E4DDE"/>
    <w:rsid w:val="002E4F58"/>
    <w:rsid w:val="002E4F96"/>
    <w:rsid w:val="002E4FF9"/>
    <w:rsid w:val="002E5361"/>
    <w:rsid w:val="002E5582"/>
    <w:rsid w:val="002E55C4"/>
    <w:rsid w:val="002E58E2"/>
    <w:rsid w:val="002E5AC6"/>
    <w:rsid w:val="002E5CC4"/>
    <w:rsid w:val="002E6323"/>
    <w:rsid w:val="002E63BE"/>
    <w:rsid w:val="002E687E"/>
    <w:rsid w:val="002E6901"/>
    <w:rsid w:val="002E6949"/>
    <w:rsid w:val="002E6AAB"/>
    <w:rsid w:val="002E6C75"/>
    <w:rsid w:val="002E6CBA"/>
    <w:rsid w:val="002E6E33"/>
    <w:rsid w:val="002E724E"/>
    <w:rsid w:val="002E7548"/>
    <w:rsid w:val="002E7775"/>
    <w:rsid w:val="002E7AD2"/>
    <w:rsid w:val="002E7C2E"/>
    <w:rsid w:val="002E7CCD"/>
    <w:rsid w:val="002E7D92"/>
    <w:rsid w:val="002E7F1B"/>
    <w:rsid w:val="002F003B"/>
    <w:rsid w:val="002F01A5"/>
    <w:rsid w:val="002F032B"/>
    <w:rsid w:val="002F08C3"/>
    <w:rsid w:val="002F0A91"/>
    <w:rsid w:val="002F0B63"/>
    <w:rsid w:val="002F0BF1"/>
    <w:rsid w:val="002F0E48"/>
    <w:rsid w:val="002F0E53"/>
    <w:rsid w:val="002F0F0E"/>
    <w:rsid w:val="002F0F15"/>
    <w:rsid w:val="002F121E"/>
    <w:rsid w:val="002F127F"/>
    <w:rsid w:val="002F129A"/>
    <w:rsid w:val="002F1399"/>
    <w:rsid w:val="002F1402"/>
    <w:rsid w:val="002F1542"/>
    <w:rsid w:val="002F16B0"/>
    <w:rsid w:val="002F1863"/>
    <w:rsid w:val="002F1A09"/>
    <w:rsid w:val="002F1AB9"/>
    <w:rsid w:val="002F1DE6"/>
    <w:rsid w:val="002F1FEF"/>
    <w:rsid w:val="002F20DD"/>
    <w:rsid w:val="002F21A4"/>
    <w:rsid w:val="002F227C"/>
    <w:rsid w:val="002F22D2"/>
    <w:rsid w:val="002F2366"/>
    <w:rsid w:val="002F2758"/>
    <w:rsid w:val="002F2CA4"/>
    <w:rsid w:val="002F3010"/>
    <w:rsid w:val="002F32FB"/>
    <w:rsid w:val="002F3356"/>
    <w:rsid w:val="002F33AD"/>
    <w:rsid w:val="002F35E0"/>
    <w:rsid w:val="002F374D"/>
    <w:rsid w:val="002F38A3"/>
    <w:rsid w:val="002F38F1"/>
    <w:rsid w:val="002F3987"/>
    <w:rsid w:val="002F3B82"/>
    <w:rsid w:val="002F3C86"/>
    <w:rsid w:val="002F3FB9"/>
    <w:rsid w:val="002F403C"/>
    <w:rsid w:val="002F4196"/>
    <w:rsid w:val="002F43B5"/>
    <w:rsid w:val="002F46AE"/>
    <w:rsid w:val="002F48F1"/>
    <w:rsid w:val="002F52E6"/>
    <w:rsid w:val="002F541C"/>
    <w:rsid w:val="002F5431"/>
    <w:rsid w:val="002F547A"/>
    <w:rsid w:val="002F5558"/>
    <w:rsid w:val="002F5611"/>
    <w:rsid w:val="002F5C79"/>
    <w:rsid w:val="002F5EAC"/>
    <w:rsid w:val="002F5F5E"/>
    <w:rsid w:val="002F5F85"/>
    <w:rsid w:val="002F65B6"/>
    <w:rsid w:val="002F679A"/>
    <w:rsid w:val="002F693F"/>
    <w:rsid w:val="002F6AD6"/>
    <w:rsid w:val="002F6CDE"/>
    <w:rsid w:val="002F6E4E"/>
    <w:rsid w:val="002F6E62"/>
    <w:rsid w:val="002F6E70"/>
    <w:rsid w:val="002F6EF5"/>
    <w:rsid w:val="002F70E3"/>
    <w:rsid w:val="002F7264"/>
    <w:rsid w:val="002F74F3"/>
    <w:rsid w:val="002F7650"/>
    <w:rsid w:val="002F7678"/>
    <w:rsid w:val="002F78CF"/>
    <w:rsid w:val="002F7907"/>
    <w:rsid w:val="002F7984"/>
    <w:rsid w:val="002F7B4B"/>
    <w:rsid w:val="002F7E8B"/>
    <w:rsid w:val="003000E3"/>
    <w:rsid w:val="00300483"/>
    <w:rsid w:val="003004EB"/>
    <w:rsid w:val="0030070C"/>
    <w:rsid w:val="0030083F"/>
    <w:rsid w:val="003008CC"/>
    <w:rsid w:val="0030094C"/>
    <w:rsid w:val="00300991"/>
    <w:rsid w:val="00300B71"/>
    <w:rsid w:val="00300CB8"/>
    <w:rsid w:val="00300CBA"/>
    <w:rsid w:val="00300D49"/>
    <w:rsid w:val="00300F42"/>
    <w:rsid w:val="00301065"/>
    <w:rsid w:val="003013B7"/>
    <w:rsid w:val="003016E2"/>
    <w:rsid w:val="00301709"/>
    <w:rsid w:val="00301763"/>
    <w:rsid w:val="00301804"/>
    <w:rsid w:val="00301823"/>
    <w:rsid w:val="00301876"/>
    <w:rsid w:val="003019F7"/>
    <w:rsid w:val="00301C8E"/>
    <w:rsid w:val="00301DA3"/>
    <w:rsid w:val="00301FF1"/>
    <w:rsid w:val="003021C3"/>
    <w:rsid w:val="00302252"/>
    <w:rsid w:val="003023EC"/>
    <w:rsid w:val="003024F7"/>
    <w:rsid w:val="003026F0"/>
    <w:rsid w:val="00302BE8"/>
    <w:rsid w:val="00302CF2"/>
    <w:rsid w:val="0030313F"/>
    <w:rsid w:val="00303A00"/>
    <w:rsid w:val="00303BB1"/>
    <w:rsid w:val="00303C60"/>
    <w:rsid w:val="00303D24"/>
    <w:rsid w:val="00303F0E"/>
    <w:rsid w:val="0030409A"/>
    <w:rsid w:val="003040BD"/>
    <w:rsid w:val="0030454F"/>
    <w:rsid w:val="003045A7"/>
    <w:rsid w:val="0030473E"/>
    <w:rsid w:val="00304812"/>
    <w:rsid w:val="00304A4C"/>
    <w:rsid w:val="00304AB6"/>
    <w:rsid w:val="00304AE0"/>
    <w:rsid w:val="00304C7F"/>
    <w:rsid w:val="00304FB8"/>
    <w:rsid w:val="00305122"/>
    <w:rsid w:val="00305230"/>
    <w:rsid w:val="00305697"/>
    <w:rsid w:val="003058B4"/>
    <w:rsid w:val="00305B97"/>
    <w:rsid w:val="003060A4"/>
    <w:rsid w:val="003064D2"/>
    <w:rsid w:val="00306637"/>
    <w:rsid w:val="00306CD8"/>
    <w:rsid w:val="00306EA3"/>
    <w:rsid w:val="0030727A"/>
    <w:rsid w:val="00307299"/>
    <w:rsid w:val="003074F7"/>
    <w:rsid w:val="00307A8E"/>
    <w:rsid w:val="00307B84"/>
    <w:rsid w:val="00307BC2"/>
    <w:rsid w:val="00307E82"/>
    <w:rsid w:val="003106BA"/>
    <w:rsid w:val="00310724"/>
    <w:rsid w:val="0031079E"/>
    <w:rsid w:val="00310A58"/>
    <w:rsid w:val="00310AAA"/>
    <w:rsid w:val="00310B9B"/>
    <w:rsid w:val="00310C3F"/>
    <w:rsid w:val="00310D8E"/>
    <w:rsid w:val="00310E05"/>
    <w:rsid w:val="003110EB"/>
    <w:rsid w:val="003113EE"/>
    <w:rsid w:val="00311446"/>
    <w:rsid w:val="003116A9"/>
    <w:rsid w:val="00311AAB"/>
    <w:rsid w:val="00311B38"/>
    <w:rsid w:val="00311B52"/>
    <w:rsid w:val="00311EE0"/>
    <w:rsid w:val="0031252E"/>
    <w:rsid w:val="0031264D"/>
    <w:rsid w:val="00312666"/>
    <w:rsid w:val="00312678"/>
    <w:rsid w:val="003126D5"/>
    <w:rsid w:val="00312D49"/>
    <w:rsid w:val="0031329B"/>
    <w:rsid w:val="00313357"/>
    <w:rsid w:val="003133B8"/>
    <w:rsid w:val="003133D1"/>
    <w:rsid w:val="00313616"/>
    <w:rsid w:val="00313C47"/>
    <w:rsid w:val="00313C85"/>
    <w:rsid w:val="00313CBA"/>
    <w:rsid w:val="00313D71"/>
    <w:rsid w:val="00313EAC"/>
    <w:rsid w:val="00313FEF"/>
    <w:rsid w:val="0031403A"/>
    <w:rsid w:val="003140D2"/>
    <w:rsid w:val="00314164"/>
    <w:rsid w:val="003144A4"/>
    <w:rsid w:val="00314639"/>
    <w:rsid w:val="00314711"/>
    <w:rsid w:val="003148D1"/>
    <w:rsid w:val="00314976"/>
    <w:rsid w:val="00314AAB"/>
    <w:rsid w:val="00314C89"/>
    <w:rsid w:val="00314D69"/>
    <w:rsid w:val="00314EA9"/>
    <w:rsid w:val="003157E8"/>
    <w:rsid w:val="00315BB5"/>
    <w:rsid w:val="00315C9A"/>
    <w:rsid w:val="00315F04"/>
    <w:rsid w:val="003160EB"/>
    <w:rsid w:val="003162B2"/>
    <w:rsid w:val="00316415"/>
    <w:rsid w:val="003164D6"/>
    <w:rsid w:val="0031650F"/>
    <w:rsid w:val="00316992"/>
    <w:rsid w:val="00316A7F"/>
    <w:rsid w:val="00316DDF"/>
    <w:rsid w:val="00316E5F"/>
    <w:rsid w:val="003173DF"/>
    <w:rsid w:val="003174F0"/>
    <w:rsid w:val="00317596"/>
    <w:rsid w:val="00317647"/>
    <w:rsid w:val="00317662"/>
    <w:rsid w:val="00317714"/>
    <w:rsid w:val="00317A43"/>
    <w:rsid w:val="00317F33"/>
    <w:rsid w:val="00317F91"/>
    <w:rsid w:val="003201C5"/>
    <w:rsid w:val="0032077F"/>
    <w:rsid w:val="0032082D"/>
    <w:rsid w:val="003209D4"/>
    <w:rsid w:val="00320A17"/>
    <w:rsid w:val="00320BF9"/>
    <w:rsid w:val="00320D01"/>
    <w:rsid w:val="00320E81"/>
    <w:rsid w:val="00320F83"/>
    <w:rsid w:val="00321457"/>
    <w:rsid w:val="00321656"/>
    <w:rsid w:val="003218C7"/>
    <w:rsid w:val="0032192D"/>
    <w:rsid w:val="003221D9"/>
    <w:rsid w:val="0032238A"/>
    <w:rsid w:val="003227ED"/>
    <w:rsid w:val="00322930"/>
    <w:rsid w:val="00322AEC"/>
    <w:rsid w:val="00322CBF"/>
    <w:rsid w:val="00322D6B"/>
    <w:rsid w:val="00322DA9"/>
    <w:rsid w:val="00323038"/>
    <w:rsid w:val="00323080"/>
    <w:rsid w:val="0032362D"/>
    <w:rsid w:val="00323680"/>
    <w:rsid w:val="00323AF6"/>
    <w:rsid w:val="00323B82"/>
    <w:rsid w:val="0032437A"/>
    <w:rsid w:val="00324854"/>
    <w:rsid w:val="00324DBE"/>
    <w:rsid w:val="0032511A"/>
    <w:rsid w:val="003251C2"/>
    <w:rsid w:val="00325578"/>
    <w:rsid w:val="003259B2"/>
    <w:rsid w:val="00325AFE"/>
    <w:rsid w:val="00325C6A"/>
    <w:rsid w:val="00325FA0"/>
    <w:rsid w:val="00326150"/>
    <w:rsid w:val="003262D2"/>
    <w:rsid w:val="003263D3"/>
    <w:rsid w:val="003265A9"/>
    <w:rsid w:val="00326711"/>
    <w:rsid w:val="0032694D"/>
    <w:rsid w:val="00326E4E"/>
    <w:rsid w:val="00326F1C"/>
    <w:rsid w:val="0032701C"/>
    <w:rsid w:val="00327162"/>
    <w:rsid w:val="0032782B"/>
    <w:rsid w:val="003279C3"/>
    <w:rsid w:val="00327BF7"/>
    <w:rsid w:val="00327EF0"/>
    <w:rsid w:val="00330082"/>
    <w:rsid w:val="00330590"/>
    <w:rsid w:val="00330826"/>
    <w:rsid w:val="00330970"/>
    <w:rsid w:val="00330A0A"/>
    <w:rsid w:val="00330E93"/>
    <w:rsid w:val="00330ED9"/>
    <w:rsid w:val="00330FF7"/>
    <w:rsid w:val="003312E9"/>
    <w:rsid w:val="003313BA"/>
    <w:rsid w:val="00331648"/>
    <w:rsid w:val="0033164D"/>
    <w:rsid w:val="00331704"/>
    <w:rsid w:val="00331776"/>
    <w:rsid w:val="003319A4"/>
    <w:rsid w:val="00331BEF"/>
    <w:rsid w:val="00331E09"/>
    <w:rsid w:val="00331E6F"/>
    <w:rsid w:val="003320B7"/>
    <w:rsid w:val="00332243"/>
    <w:rsid w:val="003323A5"/>
    <w:rsid w:val="003323CE"/>
    <w:rsid w:val="00332572"/>
    <w:rsid w:val="0033266E"/>
    <w:rsid w:val="003327D0"/>
    <w:rsid w:val="003328A9"/>
    <w:rsid w:val="0033299D"/>
    <w:rsid w:val="00332AAD"/>
    <w:rsid w:val="00332C60"/>
    <w:rsid w:val="00332CF6"/>
    <w:rsid w:val="00332DBD"/>
    <w:rsid w:val="00332EB1"/>
    <w:rsid w:val="0033336E"/>
    <w:rsid w:val="003333DF"/>
    <w:rsid w:val="00333461"/>
    <w:rsid w:val="00333626"/>
    <w:rsid w:val="003338B4"/>
    <w:rsid w:val="00333A11"/>
    <w:rsid w:val="00333E79"/>
    <w:rsid w:val="003341AF"/>
    <w:rsid w:val="003343BC"/>
    <w:rsid w:val="00334469"/>
    <w:rsid w:val="00334486"/>
    <w:rsid w:val="003349D8"/>
    <w:rsid w:val="00334CD1"/>
    <w:rsid w:val="003350D7"/>
    <w:rsid w:val="00335195"/>
    <w:rsid w:val="0033546D"/>
    <w:rsid w:val="003355BB"/>
    <w:rsid w:val="00335631"/>
    <w:rsid w:val="0033592D"/>
    <w:rsid w:val="00335E4D"/>
    <w:rsid w:val="00336687"/>
    <w:rsid w:val="00336852"/>
    <w:rsid w:val="00336F9C"/>
    <w:rsid w:val="003371B5"/>
    <w:rsid w:val="0033752D"/>
    <w:rsid w:val="0033772A"/>
    <w:rsid w:val="00337897"/>
    <w:rsid w:val="00337A97"/>
    <w:rsid w:val="00337B1A"/>
    <w:rsid w:val="00337BAF"/>
    <w:rsid w:val="00340044"/>
    <w:rsid w:val="003402E9"/>
    <w:rsid w:val="00340341"/>
    <w:rsid w:val="003404B0"/>
    <w:rsid w:val="003405A0"/>
    <w:rsid w:val="003406F2"/>
    <w:rsid w:val="0034080A"/>
    <w:rsid w:val="003408DD"/>
    <w:rsid w:val="00340982"/>
    <w:rsid w:val="003409F4"/>
    <w:rsid w:val="00340BCD"/>
    <w:rsid w:val="00340D5B"/>
    <w:rsid w:val="00340D6F"/>
    <w:rsid w:val="003410AE"/>
    <w:rsid w:val="003412DD"/>
    <w:rsid w:val="00341377"/>
    <w:rsid w:val="00341431"/>
    <w:rsid w:val="003417CB"/>
    <w:rsid w:val="003418AC"/>
    <w:rsid w:val="00341F1F"/>
    <w:rsid w:val="0034221E"/>
    <w:rsid w:val="00342224"/>
    <w:rsid w:val="00342316"/>
    <w:rsid w:val="003424D6"/>
    <w:rsid w:val="00342543"/>
    <w:rsid w:val="003425ED"/>
    <w:rsid w:val="00342786"/>
    <w:rsid w:val="0034285A"/>
    <w:rsid w:val="003428B6"/>
    <w:rsid w:val="00342A2E"/>
    <w:rsid w:val="00342E53"/>
    <w:rsid w:val="00343220"/>
    <w:rsid w:val="003435A9"/>
    <w:rsid w:val="00343802"/>
    <w:rsid w:val="00343E02"/>
    <w:rsid w:val="0034415E"/>
    <w:rsid w:val="00344518"/>
    <w:rsid w:val="003445CF"/>
    <w:rsid w:val="00344649"/>
    <w:rsid w:val="0034465B"/>
    <w:rsid w:val="00344754"/>
    <w:rsid w:val="00344ACC"/>
    <w:rsid w:val="00344B6F"/>
    <w:rsid w:val="00344BCA"/>
    <w:rsid w:val="00344CA9"/>
    <w:rsid w:val="00345349"/>
    <w:rsid w:val="00345496"/>
    <w:rsid w:val="003456EC"/>
    <w:rsid w:val="003457F7"/>
    <w:rsid w:val="00345BCF"/>
    <w:rsid w:val="00345C93"/>
    <w:rsid w:val="00345D20"/>
    <w:rsid w:val="00345DAF"/>
    <w:rsid w:val="0034613E"/>
    <w:rsid w:val="00346162"/>
    <w:rsid w:val="00346221"/>
    <w:rsid w:val="0034647A"/>
    <w:rsid w:val="003464B4"/>
    <w:rsid w:val="003466F9"/>
    <w:rsid w:val="003467C8"/>
    <w:rsid w:val="003467FC"/>
    <w:rsid w:val="0034689B"/>
    <w:rsid w:val="00346951"/>
    <w:rsid w:val="00346C1A"/>
    <w:rsid w:val="003478E3"/>
    <w:rsid w:val="00347C35"/>
    <w:rsid w:val="00347D98"/>
    <w:rsid w:val="00350092"/>
    <w:rsid w:val="00350324"/>
    <w:rsid w:val="00350441"/>
    <w:rsid w:val="0035081A"/>
    <w:rsid w:val="0035083F"/>
    <w:rsid w:val="00350D91"/>
    <w:rsid w:val="00351092"/>
    <w:rsid w:val="00351267"/>
    <w:rsid w:val="00351462"/>
    <w:rsid w:val="00351853"/>
    <w:rsid w:val="003519AD"/>
    <w:rsid w:val="00351ABF"/>
    <w:rsid w:val="00351B45"/>
    <w:rsid w:val="00351B97"/>
    <w:rsid w:val="00351BDF"/>
    <w:rsid w:val="00351C94"/>
    <w:rsid w:val="00351CAE"/>
    <w:rsid w:val="00351D17"/>
    <w:rsid w:val="00351DD6"/>
    <w:rsid w:val="00351E0E"/>
    <w:rsid w:val="00351FC4"/>
    <w:rsid w:val="00352134"/>
    <w:rsid w:val="003523AE"/>
    <w:rsid w:val="003523F2"/>
    <w:rsid w:val="00352648"/>
    <w:rsid w:val="0035268F"/>
    <w:rsid w:val="003529FD"/>
    <w:rsid w:val="00352AF5"/>
    <w:rsid w:val="00352CA7"/>
    <w:rsid w:val="00352E1E"/>
    <w:rsid w:val="003530B2"/>
    <w:rsid w:val="0035375E"/>
    <w:rsid w:val="00353764"/>
    <w:rsid w:val="003538FB"/>
    <w:rsid w:val="00353A73"/>
    <w:rsid w:val="00353AF4"/>
    <w:rsid w:val="00353F33"/>
    <w:rsid w:val="003541D0"/>
    <w:rsid w:val="00354888"/>
    <w:rsid w:val="0035495D"/>
    <w:rsid w:val="00354AB5"/>
    <w:rsid w:val="00354C05"/>
    <w:rsid w:val="00354E62"/>
    <w:rsid w:val="00354E85"/>
    <w:rsid w:val="00354EB4"/>
    <w:rsid w:val="0035503C"/>
    <w:rsid w:val="00355097"/>
    <w:rsid w:val="00355171"/>
    <w:rsid w:val="003553F3"/>
    <w:rsid w:val="0035546E"/>
    <w:rsid w:val="003554A6"/>
    <w:rsid w:val="003554FD"/>
    <w:rsid w:val="00355627"/>
    <w:rsid w:val="003556EA"/>
    <w:rsid w:val="003559B9"/>
    <w:rsid w:val="0035635F"/>
    <w:rsid w:val="0035642C"/>
    <w:rsid w:val="003567B2"/>
    <w:rsid w:val="00356A58"/>
    <w:rsid w:val="00356D29"/>
    <w:rsid w:val="00356D4C"/>
    <w:rsid w:val="003571C2"/>
    <w:rsid w:val="003571E9"/>
    <w:rsid w:val="00357305"/>
    <w:rsid w:val="003575C4"/>
    <w:rsid w:val="0035763B"/>
    <w:rsid w:val="003579FE"/>
    <w:rsid w:val="00357BB4"/>
    <w:rsid w:val="00357F54"/>
    <w:rsid w:val="003600EB"/>
    <w:rsid w:val="0036010F"/>
    <w:rsid w:val="00360126"/>
    <w:rsid w:val="003603D5"/>
    <w:rsid w:val="003605C5"/>
    <w:rsid w:val="003605DA"/>
    <w:rsid w:val="003607DD"/>
    <w:rsid w:val="00360A00"/>
    <w:rsid w:val="00360CF0"/>
    <w:rsid w:val="00360CFC"/>
    <w:rsid w:val="00360F0C"/>
    <w:rsid w:val="00361075"/>
    <w:rsid w:val="0036114D"/>
    <w:rsid w:val="0036127F"/>
    <w:rsid w:val="00361360"/>
    <w:rsid w:val="0036138F"/>
    <w:rsid w:val="003614D5"/>
    <w:rsid w:val="003619DD"/>
    <w:rsid w:val="00361ADB"/>
    <w:rsid w:val="00361C72"/>
    <w:rsid w:val="00361D0B"/>
    <w:rsid w:val="00361F2B"/>
    <w:rsid w:val="00361FB4"/>
    <w:rsid w:val="003620C3"/>
    <w:rsid w:val="00362262"/>
    <w:rsid w:val="003623FD"/>
    <w:rsid w:val="00362737"/>
    <w:rsid w:val="003627E9"/>
    <w:rsid w:val="00362D87"/>
    <w:rsid w:val="00362DAA"/>
    <w:rsid w:val="00362F74"/>
    <w:rsid w:val="0036309B"/>
    <w:rsid w:val="00363111"/>
    <w:rsid w:val="00363145"/>
    <w:rsid w:val="0036314B"/>
    <w:rsid w:val="00363393"/>
    <w:rsid w:val="00363663"/>
    <w:rsid w:val="0036392B"/>
    <w:rsid w:val="0036394A"/>
    <w:rsid w:val="00363961"/>
    <w:rsid w:val="00363CC5"/>
    <w:rsid w:val="00363DE2"/>
    <w:rsid w:val="00363E7C"/>
    <w:rsid w:val="00363EB1"/>
    <w:rsid w:val="003640A7"/>
    <w:rsid w:val="0036448C"/>
    <w:rsid w:val="00364597"/>
    <w:rsid w:val="003647C4"/>
    <w:rsid w:val="003647D3"/>
    <w:rsid w:val="003647EC"/>
    <w:rsid w:val="00364A14"/>
    <w:rsid w:val="00364AA9"/>
    <w:rsid w:val="00364CAF"/>
    <w:rsid w:val="00364EA4"/>
    <w:rsid w:val="00364EEE"/>
    <w:rsid w:val="00364FC0"/>
    <w:rsid w:val="00364FE1"/>
    <w:rsid w:val="0036512B"/>
    <w:rsid w:val="0036519E"/>
    <w:rsid w:val="00365447"/>
    <w:rsid w:val="00365594"/>
    <w:rsid w:val="00365648"/>
    <w:rsid w:val="00365837"/>
    <w:rsid w:val="003658C1"/>
    <w:rsid w:val="00366010"/>
    <w:rsid w:val="00366115"/>
    <w:rsid w:val="00366342"/>
    <w:rsid w:val="0036651B"/>
    <w:rsid w:val="003666EC"/>
    <w:rsid w:val="00366792"/>
    <w:rsid w:val="003667A8"/>
    <w:rsid w:val="00366C14"/>
    <w:rsid w:val="00366F0D"/>
    <w:rsid w:val="0036722A"/>
    <w:rsid w:val="00367343"/>
    <w:rsid w:val="0036791B"/>
    <w:rsid w:val="0036794E"/>
    <w:rsid w:val="00367C1F"/>
    <w:rsid w:val="00367F03"/>
    <w:rsid w:val="0037017E"/>
    <w:rsid w:val="00370293"/>
    <w:rsid w:val="00370483"/>
    <w:rsid w:val="003707B7"/>
    <w:rsid w:val="00370935"/>
    <w:rsid w:val="00370BF5"/>
    <w:rsid w:val="00370CA4"/>
    <w:rsid w:val="00370CA9"/>
    <w:rsid w:val="00370CC8"/>
    <w:rsid w:val="00370DD3"/>
    <w:rsid w:val="003710FE"/>
    <w:rsid w:val="003711A3"/>
    <w:rsid w:val="00371A28"/>
    <w:rsid w:val="00371B59"/>
    <w:rsid w:val="00371DB8"/>
    <w:rsid w:val="0037203F"/>
    <w:rsid w:val="0037276C"/>
    <w:rsid w:val="003727FD"/>
    <w:rsid w:val="0037297E"/>
    <w:rsid w:val="00372A6A"/>
    <w:rsid w:val="00372DBD"/>
    <w:rsid w:val="00372E18"/>
    <w:rsid w:val="003733DF"/>
    <w:rsid w:val="00373575"/>
    <w:rsid w:val="00373686"/>
    <w:rsid w:val="00373A70"/>
    <w:rsid w:val="00373ACA"/>
    <w:rsid w:val="00373D7A"/>
    <w:rsid w:val="00373DD8"/>
    <w:rsid w:val="00373E8B"/>
    <w:rsid w:val="00373E8F"/>
    <w:rsid w:val="00373EB9"/>
    <w:rsid w:val="0037404C"/>
    <w:rsid w:val="0037435E"/>
    <w:rsid w:val="003744F4"/>
    <w:rsid w:val="00374572"/>
    <w:rsid w:val="00374630"/>
    <w:rsid w:val="00374765"/>
    <w:rsid w:val="00374A7D"/>
    <w:rsid w:val="00374BDF"/>
    <w:rsid w:val="0037508B"/>
    <w:rsid w:val="00375232"/>
    <w:rsid w:val="003756C1"/>
    <w:rsid w:val="0037594D"/>
    <w:rsid w:val="00375A31"/>
    <w:rsid w:val="00375B38"/>
    <w:rsid w:val="00375C30"/>
    <w:rsid w:val="00375DA2"/>
    <w:rsid w:val="00375FA2"/>
    <w:rsid w:val="00376121"/>
    <w:rsid w:val="003762AA"/>
    <w:rsid w:val="0037644D"/>
    <w:rsid w:val="00376801"/>
    <w:rsid w:val="00376A03"/>
    <w:rsid w:val="00376A0E"/>
    <w:rsid w:val="00376B01"/>
    <w:rsid w:val="00376D65"/>
    <w:rsid w:val="00376F80"/>
    <w:rsid w:val="00376FE9"/>
    <w:rsid w:val="003771F4"/>
    <w:rsid w:val="0037734A"/>
    <w:rsid w:val="003773C1"/>
    <w:rsid w:val="00377536"/>
    <w:rsid w:val="0037767D"/>
    <w:rsid w:val="003778C8"/>
    <w:rsid w:val="00380317"/>
    <w:rsid w:val="00380412"/>
    <w:rsid w:val="0038052D"/>
    <w:rsid w:val="0038098D"/>
    <w:rsid w:val="003809C1"/>
    <w:rsid w:val="00380CBF"/>
    <w:rsid w:val="00380F84"/>
    <w:rsid w:val="0038146C"/>
    <w:rsid w:val="00381686"/>
    <w:rsid w:val="00381744"/>
    <w:rsid w:val="003818E1"/>
    <w:rsid w:val="00381C57"/>
    <w:rsid w:val="00381C67"/>
    <w:rsid w:val="00381E21"/>
    <w:rsid w:val="00382206"/>
    <w:rsid w:val="003822C6"/>
    <w:rsid w:val="00382544"/>
    <w:rsid w:val="0038255C"/>
    <w:rsid w:val="00382609"/>
    <w:rsid w:val="003827E9"/>
    <w:rsid w:val="00382975"/>
    <w:rsid w:val="003829F3"/>
    <w:rsid w:val="00382C70"/>
    <w:rsid w:val="00382CF7"/>
    <w:rsid w:val="00382EB0"/>
    <w:rsid w:val="00382FAA"/>
    <w:rsid w:val="00383240"/>
    <w:rsid w:val="003833E4"/>
    <w:rsid w:val="00383545"/>
    <w:rsid w:val="003837B8"/>
    <w:rsid w:val="003841C9"/>
    <w:rsid w:val="00384260"/>
    <w:rsid w:val="003848A1"/>
    <w:rsid w:val="003848D3"/>
    <w:rsid w:val="003849F6"/>
    <w:rsid w:val="00384A05"/>
    <w:rsid w:val="00385130"/>
    <w:rsid w:val="003853B0"/>
    <w:rsid w:val="003857EB"/>
    <w:rsid w:val="00385902"/>
    <w:rsid w:val="00385972"/>
    <w:rsid w:val="00385973"/>
    <w:rsid w:val="00385A47"/>
    <w:rsid w:val="00385AAC"/>
    <w:rsid w:val="00385DC2"/>
    <w:rsid w:val="00385F17"/>
    <w:rsid w:val="00386124"/>
    <w:rsid w:val="00386434"/>
    <w:rsid w:val="003864D5"/>
    <w:rsid w:val="003867CC"/>
    <w:rsid w:val="00386930"/>
    <w:rsid w:val="00386DB6"/>
    <w:rsid w:val="00386E10"/>
    <w:rsid w:val="00386EC0"/>
    <w:rsid w:val="003870B1"/>
    <w:rsid w:val="0038720A"/>
    <w:rsid w:val="0038725E"/>
    <w:rsid w:val="00387298"/>
    <w:rsid w:val="003876B8"/>
    <w:rsid w:val="003901A4"/>
    <w:rsid w:val="00390243"/>
    <w:rsid w:val="003902AF"/>
    <w:rsid w:val="00390406"/>
    <w:rsid w:val="00390567"/>
    <w:rsid w:val="003905A6"/>
    <w:rsid w:val="00390778"/>
    <w:rsid w:val="00390ABA"/>
    <w:rsid w:val="00390AD4"/>
    <w:rsid w:val="00390D39"/>
    <w:rsid w:val="00390DF0"/>
    <w:rsid w:val="00391430"/>
    <w:rsid w:val="003915A6"/>
    <w:rsid w:val="00391651"/>
    <w:rsid w:val="00391790"/>
    <w:rsid w:val="003917CC"/>
    <w:rsid w:val="00391AC2"/>
    <w:rsid w:val="00391DB9"/>
    <w:rsid w:val="00391FB0"/>
    <w:rsid w:val="00392107"/>
    <w:rsid w:val="003921F5"/>
    <w:rsid w:val="0039253C"/>
    <w:rsid w:val="003927EF"/>
    <w:rsid w:val="003928B6"/>
    <w:rsid w:val="00392B6D"/>
    <w:rsid w:val="00393044"/>
    <w:rsid w:val="00393121"/>
    <w:rsid w:val="0039356A"/>
    <w:rsid w:val="003936BE"/>
    <w:rsid w:val="00393CA7"/>
    <w:rsid w:val="00394300"/>
    <w:rsid w:val="0039454A"/>
    <w:rsid w:val="003945CB"/>
    <w:rsid w:val="003946C7"/>
    <w:rsid w:val="00394701"/>
    <w:rsid w:val="00394903"/>
    <w:rsid w:val="00394954"/>
    <w:rsid w:val="00394A89"/>
    <w:rsid w:val="00394C88"/>
    <w:rsid w:val="00394CA6"/>
    <w:rsid w:val="00394CDB"/>
    <w:rsid w:val="00394FCB"/>
    <w:rsid w:val="00394FDB"/>
    <w:rsid w:val="0039502D"/>
    <w:rsid w:val="003950BE"/>
    <w:rsid w:val="00395272"/>
    <w:rsid w:val="00395310"/>
    <w:rsid w:val="0039537F"/>
    <w:rsid w:val="003953DA"/>
    <w:rsid w:val="00395573"/>
    <w:rsid w:val="003958D2"/>
    <w:rsid w:val="00395D30"/>
    <w:rsid w:val="00395D91"/>
    <w:rsid w:val="00395ECB"/>
    <w:rsid w:val="00396124"/>
    <w:rsid w:val="003966F6"/>
    <w:rsid w:val="0039677D"/>
    <w:rsid w:val="003967EA"/>
    <w:rsid w:val="00396869"/>
    <w:rsid w:val="00396911"/>
    <w:rsid w:val="003969AB"/>
    <w:rsid w:val="00396AD1"/>
    <w:rsid w:val="00396D55"/>
    <w:rsid w:val="00396DEF"/>
    <w:rsid w:val="00396F39"/>
    <w:rsid w:val="00396F4D"/>
    <w:rsid w:val="00396FAE"/>
    <w:rsid w:val="00397268"/>
    <w:rsid w:val="0039734F"/>
    <w:rsid w:val="00397706"/>
    <w:rsid w:val="00397A73"/>
    <w:rsid w:val="00397B20"/>
    <w:rsid w:val="00397B85"/>
    <w:rsid w:val="00397C73"/>
    <w:rsid w:val="00397CE2"/>
    <w:rsid w:val="00397EF1"/>
    <w:rsid w:val="003A0349"/>
    <w:rsid w:val="003A03AB"/>
    <w:rsid w:val="003A0660"/>
    <w:rsid w:val="003A0848"/>
    <w:rsid w:val="003A088A"/>
    <w:rsid w:val="003A0C09"/>
    <w:rsid w:val="003A0D52"/>
    <w:rsid w:val="003A0F8B"/>
    <w:rsid w:val="003A12C5"/>
    <w:rsid w:val="003A153D"/>
    <w:rsid w:val="003A169A"/>
    <w:rsid w:val="003A1BAB"/>
    <w:rsid w:val="003A2098"/>
    <w:rsid w:val="003A2137"/>
    <w:rsid w:val="003A216E"/>
    <w:rsid w:val="003A2298"/>
    <w:rsid w:val="003A23EE"/>
    <w:rsid w:val="003A24B3"/>
    <w:rsid w:val="003A24EF"/>
    <w:rsid w:val="003A2ADA"/>
    <w:rsid w:val="003A2D7D"/>
    <w:rsid w:val="003A2ED1"/>
    <w:rsid w:val="003A2FF4"/>
    <w:rsid w:val="003A3008"/>
    <w:rsid w:val="003A3459"/>
    <w:rsid w:val="003A36D2"/>
    <w:rsid w:val="003A3839"/>
    <w:rsid w:val="003A3B70"/>
    <w:rsid w:val="003A3DF9"/>
    <w:rsid w:val="003A4005"/>
    <w:rsid w:val="003A440F"/>
    <w:rsid w:val="003A442A"/>
    <w:rsid w:val="003A4672"/>
    <w:rsid w:val="003A46C9"/>
    <w:rsid w:val="003A47FB"/>
    <w:rsid w:val="003A49F1"/>
    <w:rsid w:val="003A4BA8"/>
    <w:rsid w:val="003A4C47"/>
    <w:rsid w:val="003A4D35"/>
    <w:rsid w:val="003A5166"/>
    <w:rsid w:val="003A55C1"/>
    <w:rsid w:val="003A57C6"/>
    <w:rsid w:val="003A5862"/>
    <w:rsid w:val="003A5920"/>
    <w:rsid w:val="003A5BE1"/>
    <w:rsid w:val="003A60BE"/>
    <w:rsid w:val="003A6137"/>
    <w:rsid w:val="003A62AD"/>
    <w:rsid w:val="003A66AD"/>
    <w:rsid w:val="003A6724"/>
    <w:rsid w:val="003A686F"/>
    <w:rsid w:val="003A6994"/>
    <w:rsid w:val="003A6A85"/>
    <w:rsid w:val="003A6C56"/>
    <w:rsid w:val="003A6D5F"/>
    <w:rsid w:val="003A6D83"/>
    <w:rsid w:val="003A6E1A"/>
    <w:rsid w:val="003A7146"/>
    <w:rsid w:val="003A7363"/>
    <w:rsid w:val="003A74D0"/>
    <w:rsid w:val="003A7574"/>
    <w:rsid w:val="003A75F5"/>
    <w:rsid w:val="003A7705"/>
    <w:rsid w:val="003A7951"/>
    <w:rsid w:val="003A7AF4"/>
    <w:rsid w:val="003A7B3F"/>
    <w:rsid w:val="003A7CC0"/>
    <w:rsid w:val="003A7EB4"/>
    <w:rsid w:val="003A7F6B"/>
    <w:rsid w:val="003B0370"/>
    <w:rsid w:val="003B0472"/>
    <w:rsid w:val="003B067C"/>
    <w:rsid w:val="003B0800"/>
    <w:rsid w:val="003B0BA1"/>
    <w:rsid w:val="003B0F21"/>
    <w:rsid w:val="003B13A7"/>
    <w:rsid w:val="003B15A5"/>
    <w:rsid w:val="003B1610"/>
    <w:rsid w:val="003B1684"/>
    <w:rsid w:val="003B1BA6"/>
    <w:rsid w:val="003B25FF"/>
    <w:rsid w:val="003B2739"/>
    <w:rsid w:val="003B2CF6"/>
    <w:rsid w:val="003B2DF6"/>
    <w:rsid w:val="003B2E8F"/>
    <w:rsid w:val="003B2F13"/>
    <w:rsid w:val="003B2F78"/>
    <w:rsid w:val="003B31F3"/>
    <w:rsid w:val="003B3529"/>
    <w:rsid w:val="003B35C8"/>
    <w:rsid w:val="003B3A0D"/>
    <w:rsid w:val="003B3CF7"/>
    <w:rsid w:val="003B3E4F"/>
    <w:rsid w:val="003B4131"/>
    <w:rsid w:val="003B4599"/>
    <w:rsid w:val="003B45A9"/>
    <w:rsid w:val="003B46DE"/>
    <w:rsid w:val="003B4757"/>
    <w:rsid w:val="003B4842"/>
    <w:rsid w:val="003B48F2"/>
    <w:rsid w:val="003B4903"/>
    <w:rsid w:val="003B4C30"/>
    <w:rsid w:val="003B4C66"/>
    <w:rsid w:val="003B548F"/>
    <w:rsid w:val="003B58C0"/>
    <w:rsid w:val="003B5D2A"/>
    <w:rsid w:val="003B5FC8"/>
    <w:rsid w:val="003B60AC"/>
    <w:rsid w:val="003B6148"/>
    <w:rsid w:val="003B6166"/>
    <w:rsid w:val="003B61B7"/>
    <w:rsid w:val="003B63AE"/>
    <w:rsid w:val="003B641C"/>
    <w:rsid w:val="003B6425"/>
    <w:rsid w:val="003B6516"/>
    <w:rsid w:val="003B6783"/>
    <w:rsid w:val="003B67B0"/>
    <w:rsid w:val="003B67FB"/>
    <w:rsid w:val="003B6E9F"/>
    <w:rsid w:val="003B6F64"/>
    <w:rsid w:val="003B713D"/>
    <w:rsid w:val="003B745E"/>
    <w:rsid w:val="003B75D5"/>
    <w:rsid w:val="003B7704"/>
    <w:rsid w:val="003B77F0"/>
    <w:rsid w:val="003B78D5"/>
    <w:rsid w:val="003B7D85"/>
    <w:rsid w:val="003B7EC0"/>
    <w:rsid w:val="003B7F0C"/>
    <w:rsid w:val="003C05AC"/>
    <w:rsid w:val="003C067F"/>
    <w:rsid w:val="003C0A81"/>
    <w:rsid w:val="003C0D15"/>
    <w:rsid w:val="003C0D26"/>
    <w:rsid w:val="003C0D88"/>
    <w:rsid w:val="003C0F7C"/>
    <w:rsid w:val="003C102B"/>
    <w:rsid w:val="003C1569"/>
    <w:rsid w:val="003C15C7"/>
    <w:rsid w:val="003C192E"/>
    <w:rsid w:val="003C1A62"/>
    <w:rsid w:val="003C1AE2"/>
    <w:rsid w:val="003C1AF2"/>
    <w:rsid w:val="003C1E4C"/>
    <w:rsid w:val="003C1FD3"/>
    <w:rsid w:val="003C207C"/>
    <w:rsid w:val="003C2296"/>
    <w:rsid w:val="003C239F"/>
    <w:rsid w:val="003C25F2"/>
    <w:rsid w:val="003C2714"/>
    <w:rsid w:val="003C2771"/>
    <w:rsid w:val="003C2813"/>
    <w:rsid w:val="003C2868"/>
    <w:rsid w:val="003C2987"/>
    <w:rsid w:val="003C2D4C"/>
    <w:rsid w:val="003C2F0A"/>
    <w:rsid w:val="003C2F7B"/>
    <w:rsid w:val="003C2FE3"/>
    <w:rsid w:val="003C326A"/>
    <w:rsid w:val="003C3276"/>
    <w:rsid w:val="003C3335"/>
    <w:rsid w:val="003C33BE"/>
    <w:rsid w:val="003C3A3E"/>
    <w:rsid w:val="003C3B61"/>
    <w:rsid w:val="003C40D5"/>
    <w:rsid w:val="003C45A1"/>
    <w:rsid w:val="003C471D"/>
    <w:rsid w:val="003C485C"/>
    <w:rsid w:val="003C4F8F"/>
    <w:rsid w:val="003C57D0"/>
    <w:rsid w:val="003C5A5B"/>
    <w:rsid w:val="003C5CCA"/>
    <w:rsid w:val="003C5D1C"/>
    <w:rsid w:val="003C60A2"/>
    <w:rsid w:val="003C6219"/>
    <w:rsid w:val="003C6259"/>
    <w:rsid w:val="003C6289"/>
    <w:rsid w:val="003C6472"/>
    <w:rsid w:val="003C654B"/>
    <w:rsid w:val="003C67A4"/>
    <w:rsid w:val="003C6849"/>
    <w:rsid w:val="003C69B0"/>
    <w:rsid w:val="003C69B1"/>
    <w:rsid w:val="003C6AB0"/>
    <w:rsid w:val="003C6AB4"/>
    <w:rsid w:val="003C6B59"/>
    <w:rsid w:val="003C6F68"/>
    <w:rsid w:val="003C7027"/>
    <w:rsid w:val="003C717E"/>
    <w:rsid w:val="003C74B1"/>
    <w:rsid w:val="003C75DC"/>
    <w:rsid w:val="003C7694"/>
    <w:rsid w:val="003C785F"/>
    <w:rsid w:val="003C7B15"/>
    <w:rsid w:val="003C7CD6"/>
    <w:rsid w:val="003C7E03"/>
    <w:rsid w:val="003C7E78"/>
    <w:rsid w:val="003D007F"/>
    <w:rsid w:val="003D01CB"/>
    <w:rsid w:val="003D0237"/>
    <w:rsid w:val="003D04AA"/>
    <w:rsid w:val="003D04E0"/>
    <w:rsid w:val="003D091E"/>
    <w:rsid w:val="003D0AD3"/>
    <w:rsid w:val="003D0FCC"/>
    <w:rsid w:val="003D1547"/>
    <w:rsid w:val="003D1889"/>
    <w:rsid w:val="003D18AA"/>
    <w:rsid w:val="003D1D04"/>
    <w:rsid w:val="003D21A7"/>
    <w:rsid w:val="003D2292"/>
    <w:rsid w:val="003D25E2"/>
    <w:rsid w:val="003D26BE"/>
    <w:rsid w:val="003D26F5"/>
    <w:rsid w:val="003D287F"/>
    <w:rsid w:val="003D299E"/>
    <w:rsid w:val="003D2B90"/>
    <w:rsid w:val="003D2E74"/>
    <w:rsid w:val="003D33CA"/>
    <w:rsid w:val="003D3487"/>
    <w:rsid w:val="003D397C"/>
    <w:rsid w:val="003D3B01"/>
    <w:rsid w:val="003D45E5"/>
    <w:rsid w:val="003D4738"/>
    <w:rsid w:val="003D4799"/>
    <w:rsid w:val="003D48F8"/>
    <w:rsid w:val="003D4A1C"/>
    <w:rsid w:val="003D4AA1"/>
    <w:rsid w:val="003D4C76"/>
    <w:rsid w:val="003D4D86"/>
    <w:rsid w:val="003D5110"/>
    <w:rsid w:val="003D55E1"/>
    <w:rsid w:val="003D5952"/>
    <w:rsid w:val="003D5AE7"/>
    <w:rsid w:val="003D5EAC"/>
    <w:rsid w:val="003D6091"/>
    <w:rsid w:val="003D60E4"/>
    <w:rsid w:val="003D641A"/>
    <w:rsid w:val="003D64BB"/>
    <w:rsid w:val="003D64EB"/>
    <w:rsid w:val="003D691C"/>
    <w:rsid w:val="003D692B"/>
    <w:rsid w:val="003D6A59"/>
    <w:rsid w:val="003D6AA4"/>
    <w:rsid w:val="003D702B"/>
    <w:rsid w:val="003D71EB"/>
    <w:rsid w:val="003D72BE"/>
    <w:rsid w:val="003D7D9A"/>
    <w:rsid w:val="003D7E93"/>
    <w:rsid w:val="003E03E0"/>
    <w:rsid w:val="003E0477"/>
    <w:rsid w:val="003E0988"/>
    <w:rsid w:val="003E0B39"/>
    <w:rsid w:val="003E0BB6"/>
    <w:rsid w:val="003E1044"/>
    <w:rsid w:val="003E108A"/>
    <w:rsid w:val="003E1643"/>
    <w:rsid w:val="003E16E5"/>
    <w:rsid w:val="003E191D"/>
    <w:rsid w:val="003E194B"/>
    <w:rsid w:val="003E1C2E"/>
    <w:rsid w:val="003E1C50"/>
    <w:rsid w:val="003E1EE7"/>
    <w:rsid w:val="003E1EEA"/>
    <w:rsid w:val="003E1F99"/>
    <w:rsid w:val="003E218C"/>
    <w:rsid w:val="003E2238"/>
    <w:rsid w:val="003E22CB"/>
    <w:rsid w:val="003E2343"/>
    <w:rsid w:val="003E24C0"/>
    <w:rsid w:val="003E2C12"/>
    <w:rsid w:val="003E3069"/>
    <w:rsid w:val="003E3184"/>
    <w:rsid w:val="003E3545"/>
    <w:rsid w:val="003E3744"/>
    <w:rsid w:val="003E37EC"/>
    <w:rsid w:val="003E3BC6"/>
    <w:rsid w:val="003E3BF3"/>
    <w:rsid w:val="003E3CE1"/>
    <w:rsid w:val="003E3FBA"/>
    <w:rsid w:val="003E406B"/>
    <w:rsid w:val="003E421C"/>
    <w:rsid w:val="003E4478"/>
    <w:rsid w:val="003E4528"/>
    <w:rsid w:val="003E4596"/>
    <w:rsid w:val="003E493D"/>
    <w:rsid w:val="003E49FF"/>
    <w:rsid w:val="003E4D40"/>
    <w:rsid w:val="003E4F96"/>
    <w:rsid w:val="003E5273"/>
    <w:rsid w:val="003E52D4"/>
    <w:rsid w:val="003E58E8"/>
    <w:rsid w:val="003E5B33"/>
    <w:rsid w:val="003E5C32"/>
    <w:rsid w:val="003E5CCA"/>
    <w:rsid w:val="003E5EA1"/>
    <w:rsid w:val="003E605C"/>
    <w:rsid w:val="003E6263"/>
    <w:rsid w:val="003E63AE"/>
    <w:rsid w:val="003E6FA7"/>
    <w:rsid w:val="003E712C"/>
    <w:rsid w:val="003E73BA"/>
    <w:rsid w:val="003E7773"/>
    <w:rsid w:val="003E77B8"/>
    <w:rsid w:val="003E7875"/>
    <w:rsid w:val="003E789F"/>
    <w:rsid w:val="003E7B12"/>
    <w:rsid w:val="003E7FF3"/>
    <w:rsid w:val="003F0067"/>
    <w:rsid w:val="003F0180"/>
    <w:rsid w:val="003F0944"/>
    <w:rsid w:val="003F0EFD"/>
    <w:rsid w:val="003F115E"/>
    <w:rsid w:val="003F11BA"/>
    <w:rsid w:val="003F1423"/>
    <w:rsid w:val="003F14C2"/>
    <w:rsid w:val="003F16AB"/>
    <w:rsid w:val="003F17FB"/>
    <w:rsid w:val="003F1E71"/>
    <w:rsid w:val="003F216A"/>
    <w:rsid w:val="003F2210"/>
    <w:rsid w:val="003F2382"/>
    <w:rsid w:val="003F24A9"/>
    <w:rsid w:val="003F24EB"/>
    <w:rsid w:val="003F2637"/>
    <w:rsid w:val="003F26CC"/>
    <w:rsid w:val="003F28D2"/>
    <w:rsid w:val="003F28E3"/>
    <w:rsid w:val="003F28EB"/>
    <w:rsid w:val="003F2ACA"/>
    <w:rsid w:val="003F2C3C"/>
    <w:rsid w:val="003F30BB"/>
    <w:rsid w:val="003F3126"/>
    <w:rsid w:val="003F3176"/>
    <w:rsid w:val="003F3222"/>
    <w:rsid w:val="003F3238"/>
    <w:rsid w:val="003F3397"/>
    <w:rsid w:val="003F33FD"/>
    <w:rsid w:val="003F349A"/>
    <w:rsid w:val="003F3AC3"/>
    <w:rsid w:val="003F3B79"/>
    <w:rsid w:val="003F3E7A"/>
    <w:rsid w:val="003F3E7B"/>
    <w:rsid w:val="003F4066"/>
    <w:rsid w:val="003F411D"/>
    <w:rsid w:val="003F4355"/>
    <w:rsid w:val="003F43E8"/>
    <w:rsid w:val="003F4806"/>
    <w:rsid w:val="003F4D11"/>
    <w:rsid w:val="003F4D7C"/>
    <w:rsid w:val="003F50B3"/>
    <w:rsid w:val="003F535C"/>
    <w:rsid w:val="003F53C8"/>
    <w:rsid w:val="003F5431"/>
    <w:rsid w:val="003F544E"/>
    <w:rsid w:val="003F55E4"/>
    <w:rsid w:val="003F5824"/>
    <w:rsid w:val="003F5893"/>
    <w:rsid w:val="003F5D4F"/>
    <w:rsid w:val="003F5E2F"/>
    <w:rsid w:val="003F627E"/>
    <w:rsid w:val="003F62CB"/>
    <w:rsid w:val="003F6399"/>
    <w:rsid w:val="003F63BF"/>
    <w:rsid w:val="003F68AF"/>
    <w:rsid w:val="003F68CC"/>
    <w:rsid w:val="003F6943"/>
    <w:rsid w:val="003F694D"/>
    <w:rsid w:val="003F695D"/>
    <w:rsid w:val="003F69A9"/>
    <w:rsid w:val="003F6A43"/>
    <w:rsid w:val="003F6ACA"/>
    <w:rsid w:val="003F6C06"/>
    <w:rsid w:val="003F6F9B"/>
    <w:rsid w:val="003F7196"/>
    <w:rsid w:val="003F71A8"/>
    <w:rsid w:val="003F7263"/>
    <w:rsid w:val="003F728D"/>
    <w:rsid w:val="003F72E5"/>
    <w:rsid w:val="003F75F7"/>
    <w:rsid w:val="003F7791"/>
    <w:rsid w:val="003F781C"/>
    <w:rsid w:val="003F7932"/>
    <w:rsid w:val="003F7CD3"/>
    <w:rsid w:val="003F7D5B"/>
    <w:rsid w:val="003F7D83"/>
    <w:rsid w:val="00400059"/>
    <w:rsid w:val="004001B4"/>
    <w:rsid w:val="00400316"/>
    <w:rsid w:val="004005ED"/>
    <w:rsid w:val="004006B3"/>
    <w:rsid w:val="0040078F"/>
    <w:rsid w:val="004008AF"/>
    <w:rsid w:val="00400AF9"/>
    <w:rsid w:val="00400B5F"/>
    <w:rsid w:val="00400BC8"/>
    <w:rsid w:val="00400E51"/>
    <w:rsid w:val="00401211"/>
    <w:rsid w:val="00401255"/>
    <w:rsid w:val="00401315"/>
    <w:rsid w:val="004015E2"/>
    <w:rsid w:val="004018E8"/>
    <w:rsid w:val="00401A63"/>
    <w:rsid w:val="00401DBF"/>
    <w:rsid w:val="0040234C"/>
    <w:rsid w:val="004023A8"/>
    <w:rsid w:val="00402462"/>
    <w:rsid w:val="0040265C"/>
    <w:rsid w:val="004026FA"/>
    <w:rsid w:val="00402AB7"/>
    <w:rsid w:val="00402B21"/>
    <w:rsid w:val="00402BB6"/>
    <w:rsid w:val="00402DFA"/>
    <w:rsid w:val="004033D9"/>
    <w:rsid w:val="004033EB"/>
    <w:rsid w:val="00403837"/>
    <w:rsid w:val="004039B9"/>
    <w:rsid w:val="00403AFF"/>
    <w:rsid w:val="00403B70"/>
    <w:rsid w:val="00403B76"/>
    <w:rsid w:val="00403C40"/>
    <w:rsid w:val="00403CA7"/>
    <w:rsid w:val="00403F59"/>
    <w:rsid w:val="004040D3"/>
    <w:rsid w:val="0040412F"/>
    <w:rsid w:val="00404411"/>
    <w:rsid w:val="00404762"/>
    <w:rsid w:val="00404933"/>
    <w:rsid w:val="00404A65"/>
    <w:rsid w:val="00404A94"/>
    <w:rsid w:val="00404D2D"/>
    <w:rsid w:val="00404FCC"/>
    <w:rsid w:val="0040504C"/>
    <w:rsid w:val="00405200"/>
    <w:rsid w:val="004052B0"/>
    <w:rsid w:val="0040543B"/>
    <w:rsid w:val="0040551F"/>
    <w:rsid w:val="004057FC"/>
    <w:rsid w:val="00405A66"/>
    <w:rsid w:val="00405B92"/>
    <w:rsid w:val="00405DD3"/>
    <w:rsid w:val="00406055"/>
    <w:rsid w:val="00406387"/>
    <w:rsid w:val="004064BC"/>
    <w:rsid w:val="004065B2"/>
    <w:rsid w:val="0040697E"/>
    <w:rsid w:val="00406B42"/>
    <w:rsid w:val="00406C0B"/>
    <w:rsid w:val="00406D4D"/>
    <w:rsid w:val="00406E52"/>
    <w:rsid w:val="00406FF1"/>
    <w:rsid w:val="004070E8"/>
    <w:rsid w:val="004072DD"/>
    <w:rsid w:val="0040734C"/>
    <w:rsid w:val="004074B1"/>
    <w:rsid w:val="0040771F"/>
    <w:rsid w:val="00407B6A"/>
    <w:rsid w:val="00407B94"/>
    <w:rsid w:val="00407D00"/>
    <w:rsid w:val="00407D73"/>
    <w:rsid w:val="00407E5F"/>
    <w:rsid w:val="00407FA0"/>
    <w:rsid w:val="00410149"/>
    <w:rsid w:val="00410256"/>
    <w:rsid w:val="004104BF"/>
    <w:rsid w:val="004107F4"/>
    <w:rsid w:val="00410FF0"/>
    <w:rsid w:val="004111F7"/>
    <w:rsid w:val="00411459"/>
    <w:rsid w:val="00411593"/>
    <w:rsid w:val="0041193D"/>
    <w:rsid w:val="00411B41"/>
    <w:rsid w:val="00411C13"/>
    <w:rsid w:val="00411EAF"/>
    <w:rsid w:val="00411EC5"/>
    <w:rsid w:val="00411EF2"/>
    <w:rsid w:val="0041217D"/>
    <w:rsid w:val="004121B7"/>
    <w:rsid w:val="00412250"/>
    <w:rsid w:val="004124EF"/>
    <w:rsid w:val="004125C6"/>
    <w:rsid w:val="00412732"/>
    <w:rsid w:val="0041275F"/>
    <w:rsid w:val="004128EC"/>
    <w:rsid w:val="0041296D"/>
    <w:rsid w:val="00412A40"/>
    <w:rsid w:val="00412A76"/>
    <w:rsid w:val="004131E4"/>
    <w:rsid w:val="0041354B"/>
    <w:rsid w:val="00413556"/>
    <w:rsid w:val="004136B2"/>
    <w:rsid w:val="004138BA"/>
    <w:rsid w:val="00413917"/>
    <w:rsid w:val="00413D6C"/>
    <w:rsid w:val="00413D78"/>
    <w:rsid w:val="00413D8F"/>
    <w:rsid w:val="004140B4"/>
    <w:rsid w:val="0041431D"/>
    <w:rsid w:val="004147FD"/>
    <w:rsid w:val="0041485E"/>
    <w:rsid w:val="00414865"/>
    <w:rsid w:val="004148E6"/>
    <w:rsid w:val="00414A35"/>
    <w:rsid w:val="00414C6C"/>
    <w:rsid w:val="0041512B"/>
    <w:rsid w:val="004154DD"/>
    <w:rsid w:val="00415771"/>
    <w:rsid w:val="0041586B"/>
    <w:rsid w:val="00415AD3"/>
    <w:rsid w:val="00415E61"/>
    <w:rsid w:val="00415E7F"/>
    <w:rsid w:val="00415FCB"/>
    <w:rsid w:val="00415FD3"/>
    <w:rsid w:val="004162C6"/>
    <w:rsid w:val="00416393"/>
    <w:rsid w:val="004168B6"/>
    <w:rsid w:val="004168F4"/>
    <w:rsid w:val="004169F0"/>
    <w:rsid w:val="00416A61"/>
    <w:rsid w:val="00416DDA"/>
    <w:rsid w:val="00417F71"/>
    <w:rsid w:val="004200A3"/>
    <w:rsid w:val="004203DE"/>
    <w:rsid w:val="00420469"/>
    <w:rsid w:val="00420CC8"/>
    <w:rsid w:val="00420D56"/>
    <w:rsid w:val="00420DCC"/>
    <w:rsid w:val="00420E03"/>
    <w:rsid w:val="00420E30"/>
    <w:rsid w:val="004211F5"/>
    <w:rsid w:val="004212F7"/>
    <w:rsid w:val="004213A9"/>
    <w:rsid w:val="0042145C"/>
    <w:rsid w:val="00421485"/>
    <w:rsid w:val="004214AA"/>
    <w:rsid w:val="00421537"/>
    <w:rsid w:val="0042176A"/>
    <w:rsid w:val="0042180C"/>
    <w:rsid w:val="00421838"/>
    <w:rsid w:val="00421A89"/>
    <w:rsid w:val="00421AA0"/>
    <w:rsid w:val="00421D6A"/>
    <w:rsid w:val="00421D76"/>
    <w:rsid w:val="00421EBC"/>
    <w:rsid w:val="00422041"/>
    <w:rsid w:val="004220E5"/>
    <w:rsid w:val="00422141"/>
    <w:rsid w:val="004221A6"/>
    <w:rsid w:val="00422783"/>
    <w:rsid w:val="00422BC1"/>
    <w:rsid w:val="00422F90"/>
    <w:rsid w:val="0042304B"/>
    <w:rsid w:val="00423128"/>
    <w:rsid w:val="0042325A"/>
    <w:rsid w:val="004232F6"/>
    <w:rsid w:val="0042340A"/>
    <w:rsid w:val="00423914"/>
    <w:rsid w:val="00423DA5"/>
    <w:rsid w:val="00423E14"/>
    <w:rsid w:val="00424084"/>
    <w:rsid w:val="004240BC"/>
    <w:rsid w:val="004245C5"/>
    <w:rsid w:val="00424602"/>
    <w:rsid w:val="0042468B"/>
    <w:rsid w:val="004247A4"/>
    <w:rsid w:val="004249E6"/>
    <w:rsid w:val="00424A58"/>
    <w:rsid w:val="00424C45"/>
    <w:rsid w:val="00424DFB"/>
    <w:rsid w:val="00424EEB"/>
    <w:rsid w:val="00425145"/>
    <w:rsid w:val="00425167"/>
    <w:rsid w:val="00425307"/>
    <w:rsid w:val="004258A5"/>
    <w:rsid w:val="00425931"/>
    <w:rsid w:val="00425ABB"/>
    <w:rsid w:val="00425B12"/>
    <w:rsid w:val="00425B2C"/>
    <w:rsid w:val="00425B7E"/>
    <w:rsid w:val="00425BF1"/>
    <w:rsid w:val="00425D1B"/>
    <w:rsid w:val="00425FE7"/>
    <w:rsid w:val="004260C6"/>
    <w:rsid w:val="004264E3"/>
    <w:rsid w:val="004265A6"/>
    <w:rsid w:val="00426810"/>
    <w:rsid w:val="004268F4"/>
    <w:rsid w:val="00426B2B"/>
    <w:rsid w:val="00426DCA"/>
    <w:rsid w:val="004273A6"/>
    <w:rsid w:val="004273AD"/>
    <w:rsid w:val="00427630"/>
    <w:rsid w:val="00427725"/>
    <w:rsid w:val="004277DD"/>
    <w:rsid w:val="00427B98"/>
    <w:rsid w:val="00427E3F"/>
    <w:rsid w:val="00427FF9"/>
    <w:rsid w:val="00430251"/>
    <w:rsid w:val="004305AE"/>
    <w:rsid w:val="004306B3"/>
    <w:rsid w:val="00430805"/>
    <w:rsid w:val="00430832"/>
    <w:rsid w:val="00430CA2"/>
    <w:rsid w:val="00430D98"/>
    <w:rsid w:val="00430FF0"/>
    <w:rsid w:val="00431309"/>
    <w:rsid w:val="004313E8"/>
    <w:rsid w:val="00431800"/>
    <w:rsid w:val="00431820"/>
    <w:rsid w:val="00431B42"/>
    <w:rsid w:val="00431E0A"/>
    <w:rsid w:val="00431F3D"/>
    <w:rsid w:val="00431F74"/>
    <w:rsid w:val="00432101"/>
    <w:rsid w:val="00432473"/>
    <w:rsid w:val="00432822"/>
    <w:rsid w:val="00432C43"/>
    <w:rsid w:val="00432E19"/>
    <w:rsid w:val="00432E51"/>
    <w:rsid w:val="00433416"/>
    <w:rsid w:val="0043349A"/>
    <w:rsid w:val="00433541"/>
    <w:rsid w:val="0043358E"/>
    <w:rsid w:val="0043371E"/>
    <w:rsid w:val="00433728"/>
    <w:rsid w:val="004337CD"/>
    <w:rsid w:val="00433812"/>
    <w:rsid w:val="00433840"/>
    <w:rsid w:val="00433891"/>
    <w:rsid w:val="004338C2"/>
    <w:rsid w:val="00433C2B"/>
    <w:rsid w:val="00433F2B"/>
    <w:rsid w:val="004341AE"/>
    <w:rsid w:val="0043465D"/>
    <w:rsid w:val="00434A19"/>
    <w:rsid w:val="00434BEB"/>
    <w:rsid w:val="00434C5F"/>
    <w:rsid w:val="00434D15"/>
    <w:rsid w:val="00434DC7"/>
    <w:rsid w:val="00434E78"/>
    <w:rsid w:val="00434F23"/>
    <w:rsid w:val="004356AF"/>
    <w:rsid w:val="00435893"/>
    <w:rsid w:val="00435AC8"/>
    <w:rsid w:val="00435DA1"/>
    <w:rsid w:val="0043603D"/>
    <w:rsid w:val="0043638B"/>
    <w:rsid w:val="004364FE"/>
    <w:rsid w:val="00436514"/>
    <w:rsid w:val="0043665B"/>
    <w:rsid w:val="00436A12"/>
    <w:rsid w:val="00436A78"/>
    <w:rsid w:val="00436C05"/>
    <w:rsid w:val="00437023"/>
    <w:rsid w:val="00437054"/>
    <w:rsid w:val="00437285"/>
    <w:rsid w:val="00437454"/>
    <w:rsid w:val="00437504"/>
    <w:rsid w:val="00437B9B"/>
    <w:rsid w:val="00437E32"/>
    <w:rsid w:val="00437E85"/>
    <w:rsid w:val="00437F40"/>
    <w:rsid w:val="00440107"/>
    <w:rsid w:val="00440799"/>
    <w:rsid w:val="00440942"/>
    <w:rsid w:val="00440A26"/>
    <w:rsid w:val="00440FC7"/>
    <w:rsid w:val="0044107C"/>
    <w:rsid w:val="00441087"/>
    <w:rsid w:val="0044132C"/>
    <w:rsid w:val="0044135B"/>
    <w:rsid w:val="004413FA"/>
    <w:rsid w:val="004414BF"/>
    <w:rsid w:val="004414EA"/>
    <w:rsid w:val="0044154F"/>
    <w:rsid w:val="00441603"/>
    <w:rsid w:val="00441906"/>
    <w:rsid w:val="00441A1E"/>
    <w:rsid w:val="00441B8E"/>
    <w:rsid w:val="00441D68"/>
    <w:rsid w:val="00441F19"/>
    <w:rsid w:val="00442035"/>
    <w:rsid w:val="004421FB"/>
    <w:rsid w:val="00442253"/>
    <w:rsid w:val="00442372"/>
    <w:rsid w:val="004423F7"/>
    <w:rsid w:val="004428A1"/>
    <w:rsid w:val="00442974"/>
    <w:rsid w:val="00442A49"/>
    <w:rsid w:val="00442C7A"/>
    <w:rsid w:val="00442D4D"/>
    <w:rsid w:val="004431AC"/>
    <w:rsid w:val="00443625"/>
    <w:rsid w:val="00443841"/>
    <w:rsid w:val="00443894"/>
    <w:rsid w:val="0044389C"/>
    <w:rsid w:val="00443E90"/>
    <w:rsid w:val="00443F10"/>
    <w:rsid w:val="004444B0"/>
    <w:rsid w:val="004448A0"/>
    <w:rsid w:val="00444B72"/>
    <w:rsid w:val="00444C85"/>
    <w:rsid w:val="00444D40"/>
    <w:rsid w:val="00444E18"/>
    <w:rsid w:val="00445165"/>
    <w:rsid w:val="004457C6"/>
    <w:rsid w:val="004458D0"/>
    <w:rsid w:val="00445936"/>
    <w:rsid w:val="00445A00"/>
    <w:rsid w:val="00445A7A"/>
    <w:rsid w:val="00445C73"/>
    <w:rsid w:val="00445D30"/>
    <w:rsid w:val="00445F7A"/>
    <w:rsid w:val="0044637C"/>
    <w:rsid w:val="0044651D"/>
    <w:rsid w:val="0044690B"/>
    <w:rsid w:val="004469DD"/>
    <w:rsid w:val="00446BBE"/>
    <w:rsid w:val="00446D31"/>
    <w:rsid w:val="004473B4"/>
    <w:rsid w:val="0044782C"/>
    <w:rsid w:val="00447984"/>
    <w:rsid w:val="00447B1B"/>
    <w:rsid w:val="00447B24"/>
    <w:rsid w:val="00447C55"/>
    <w:rsid w:val="004501FB"/>
    <w:rsid w:val="0045046F"/>
    <w:rsid w:val="004504E5"/>
    <w:rsid w:val="0045063F"/>
    <w:rsid w:val="004507A6"/>
    <w:rsid w:val="00450883"/>
    <w:rsid w:val="0045093D"/>
    <w:rsid w:val="00450F10"/>
    <w:rsid w:val="004510D0"/>
    <w:rsid w:val="00451488"/>
    <w:rsid w:val="00451645"/>
    <w:rsid w:val="0045179F"/>
    <w:rsid w:val="004518F0"/>
    <w:rsid w:val="00451C01"/>
    <w:rsid w:val="00451EE2"/>
    <w:rsid w:val="0045205C"/>
    <w:rsid w:val="00452357"/>
    <w:rsid w:val="0045236E"/>
    <w:rsid w:val="00452596"/>
    <w:rsid w:val="00452C98"/>
    <w:rsid w:val="00452E72"/>
    <w:rsid w:val="0045302E"/>
    <w:rsid w:val="00453064"/>
    <w:rsid w:val="004532C9"/>
    <w:rsid w:val="004533EC"/>
    <w:rsid w:val="004534A4"/>
    <w:rsid w:val="004539E8"/>
    <w:rsid w:val="00453CEF"/>
    <w:rsid w:val="0045416A"/>
    <w:rsid w:val="004542CB"/>
    <w:rsid w:val="004544B0"/>
    <w:rsid w:val="0045479A"/>
    <w:rsid w:val="00454AD2"/>
    <w:rsid w:val="00454EB8"/>
    <w:rsid w:val="00454F8E"/>
    <w:rsid w:val="004551FF"/>
    <w:rsid w:val="0045543A"/>
    <w:rsid w:val="00455669"/>
    <w:rsid w:val="0045571C"/>
    <w:rsid w:val="00455C92"/>
    <w:rsid w:val="00455FEF"/>
    <w:rsid w:val="0045616F"/>
    <w:rsid w:val="004563AA"/>
    <w:rsid w:val="00456749"/>
    <w:rsid w:val="00456839"/>
    <w:rsid w:val="00456998"/>
    <w:rsid w:val="00456C63"/>
    <w:rsid w:val="00456E6C"/>
    <w:rsid w:val="00457023"/>
    <w:rsid w:val="00457306"/>
    <w:rsid w:val="004574D2"/>
    <w:rsid w:val="0045785E"/>
    <w:rsid w:val="004578AD"/>
    <w:rsid w:val="00457A62"/>
    <w:rsid w:val="00457CD1"/>
    <w:rsid w:val="00457E0F"/>
    <w:rsid w:val="00457E61"/>
    <w:rsid w:val="004607BA"/>
    <w:rsid w:val="00460832"/>
    <w:rsid w:val="00460C0D"/>
    <w:rsid w:val="00460C78"/>
    <w:rsid w:val="00460E63"/>
    <w:rsid w:val="00460FD5"/>
    <w:rsid w:val="00461581"/>
    <w:rsid w:val="00461793"/>
    <w:rsid w:val="004617FF"/>
    <w:rsid w:val="00461822"/>
    <w:rsid w:val="0046194D"/>
    <w:rsid w:val="00461A7B"/>
    <w:rsid w:val="00461E92"/>
    <w:rsid w:val="00462279"/>
    <w:rsid w:val="0046237D"/>
    <w:rsid w:val="00462431"/>
    <w:rsid w:val="00462458"/>
    <w:rsid w:val="004625AC"/>
    <w:rsid w:val="00462778"/>
    <w:rsid w:val="00462CD8"/>
    <w:rsid w:val="00462CDB"/>
    <w:rsid w:val="004630DB"/>
    <w:rsid w:val="00463123"/>
    <w:rsid w:val="00463148"/>
    <w:rsid w:val="004633ED"/>
    <w:rsid w:val="004634D4"/>
    <w:rsid w:val="004634E3"/>
    <w:rsid w:val="00463814"/>
    <w:rsid w:val="004639F5"/>
    <w:rsid w:val="00463C22"/>
    <w:rsid w:val="00463C3E"/>
    <w:rsid w:val="00463C42"/>
    <w:rsid w:val="00463CE9"/>
    <w:rsid w:val="00463D2F"/>
    <w:rsid w:val="00463EDA"/>
    <w:rsid w:val="00464119"/>
    <w:rsid w:val="0046411F"/>
    <w:rsid w:val="004642FF"/>
    <w:rsid w:val="0046471D"/>
    <w:rsid w:val="00464792"/>
    <w:rsid w:val="0046479C"/>
    <w:rsid w:val="004647E7"/>
    <w:rsid w:val="00464A02"/>
    <w:rsid w:val="00464C02"/>
    <w:rsid w:val="00464F05"/>
    <w:rsid w:val="00464F38"/>
    <w:rsid w:val="00464F6C"/>
    <w:rsid w:val="00464FD8"/>
    <w:rsid w:val="0046500F"/>
    <w:rsid w:val="004650B4"/>
    <w:rsid w:val="004650ED"/>
    <w:rsid w:val="004655DB"/>
    <w:rsid w:val="00465754"/>
    <w:rsid w:val="00465B10"/>
    <w:rsid w:val="00465C59"/>
    <w:rsid w:val="00465C65"/>
    <w:rsid w:val="00465DF7"/>
    <w:rsid w:val="004660B3"/>
    <w:rsid w:val="004662D0"/>
    <w:rsid w:val="00466595"/>
    <w:rsid w:val="00466993"/>
    <w:rsid w:val="00466C13"/>
    <w:rsid w:val="00466EF7"/>
    <w:rsid w:val="00467035"/>
    <w:rsid w:val="004673B5"/>
    <w:rsid w:val="00467970"/>
    <w:rsid w:val="00467B87"/>
    <w:rsid w:val="00467FFA"/>
    <w:rsid w:val="0047005B"/>
    <w:rsid w:val="004701CC"/>
    <w:rsid w:val="00470380"/>
    <w:rsid w:val="00470460"/>
    <w:rsid w:val="0047054F"/>
    <w:rsid w:val="00470579"/>
    <w:rsid w:val="00470597"/>
    <w:rsid w:val="00470799"/>
    <w:rsid w:val="004709E5"/>
    <w:rsid w:val="00470B35"/>
    <w:rsid w:val="00470BFA"/>
    <w:rsid w:val="00470F85"/>
    <w:rsid w:val="00471210"/>
    <w:rsid w:val="00471273"/>
    <w:rsid w:val="004712EC"/>
    <w:rsid w:val="0047140D"/>
    <w:rsid w:val="0047146D"/>
    <w:rsid w:val="0047147F"/>
    <w:rsid w:val="00471647"/>
    <w:rsid w:val="00471736"/>
    <w:rsid w:val="0047179D"/>
    <w:rsid w:val="00471876"/>
    <w:rsid w:val="004718C7"/>
    <w:rsid w:val="00471ADA"/>
    <w:rsid w:val="00471D0D"/>
    <w:rsid w:val="004720E5"/>
    <w:rsid w:val="00472257"/>
    <w:rsid w:val="004723F5"/>
    <w:rsid w:val="004725CE"/>
    <w:rsid w:val="00472635"/>
    <w:rsid w:val="00472B99"/>
    <w:rsid w:val="00472E17"/>
    <w:rsid w:val="00472E84"/>
    <w:rsid w:val="00472ED9"/>
    <w:rsid w:val="00472FF8"/>
    <w:rsid w:val="004732CB"/>
    <w:rsid w:val="004732FC"/>
    <w:rsid w:val="0047339E"/>
    <w:rsid w:val="004736CF"/>
    <w:rsid w:val="00473961"/>
    <w:rsid w:val="0047396D"/>
    <w:rsid w:val="00473A50"/>
    <w:rsid w:val="00473C28"/>
    <w:rsid w:val="00473DAE"/>
    <w:rsid w:val="0047400C"/>
    <w:rsid w:val="0047426A"/>
    <w:rsid w:val="00474791"/>
    <w:rsid w:val="0047484E"/>
    <w:rsid w:val="004749A8"/>
    <w:rsid w:val="00474A75"/>
    <w:rsid w:val="00474B54"/>
    <w:rsid w:val="00474BA2"/>
    <w:rsid w:val="00474E01"/>
    <w:rsid w:val="00475236"/>
    <w:rsid w:val="004754DE"/>
    <w:rsid w:val="004755E3"/>
    <w:rsid w:val="0047569E"/>
    <w:rsid w:val="004758FF"/>
    <w:rsid w:val="0047596D"/>
    <w:rsid w:val="00475A2F"/>
    <w:rsid w:val="00475A77"/>
    <w:rsid w:val="00475B68"/>
    <w:rsid w:val="00475C3B"/>
    <w:rsid w:val="00475C58"/>
    <w:rsid w:val="00475CB1"/>
    <w:rsid w:val="00475D91"/>
    <w:rsid w:val="00476353"/>
    <w:rsid w:val="0047646B"/>
    <w:rsid w:val="00476613"/>
    <w:rsid w:val="00476A56"/>
    <w:rsid w:val="00476E78"/>
    <w:rsid w:val="00476F27"/>
    <w:rsid w:val="00477482"/>
    <w:rsid w:val="00477868"/>
    <w:rsid w:val="00477A28"/>
    <w:rsid w:val="00480080"/>
    <w:rsid w:val="004804FD"/>
    <w:rsid w:val="004805C0"/>
    <w:rsid w:val="00480628"/>
    <w:rsid w:val="004808E1"/>
    <w:rsid w:val="00480B21"/>
    <w:rsid w:val="00480B33"/>
    <w:rsid w:val="00480B90"/>
    <w:rsid w:val="004813EF"/>
    <w:rsid w:val="004816CA"/>
    <w:rsid w:val="004819F4"/>
    <w:rsid w:val="00481AE6"/>
    <w:rsid w:val="00481B6B"/>
    <w:rsid w:val="00481FD8"/>
    <w:rsid w:val="0048201F"/>
    <w:rsid w:val="00482528"/>
    <w:rsid w:val="004825BD"/>
    <w:rsid w:val="004825C8"/>
    <w:rsid w:val="004825E7"/>
    <w:rsid w:val="004827AB"/>
    <w:rsid w:val="00482804"/>
    <w:rsid w:val="00482B47"/>
    <w:rsid w:val="00482EC4"/>
    <w:rsid w:val="0048323E"/>
    <w:rsid w:val="00483277"/>
    <w:rsid w:val="0048342A"/>
    <w:rsid w:val="00483555"/>
    <w:rsid w:val="004835F1"/>
    <w:rsid w:val="00483625"/>
    <w:rsid w:val="0048387A"/>
    <w:rsid w:val="00483C8D"/>
    <w:rsid w:val="004840B7"/>
    <w:rsid w:val="00484245"/>
    <w:rsid w:val="00484918"/>
    <w:rsid w:val="0048495A"/>
    <w:rsid w:val="00484A97"/>
    <w:rsid w:val="00484AEC"/>
    <w:rsid w:val="00484CC5"/>
    <w:rsid w:val="00484DB6"/>
    <w:rsid w:val="00484DC5"/>
    <w:rsid w:val="00485186"/>
    <w:rsid w:val="004853A5"/>
    <w:rsid w:val="004853FD"/>
    <w:rsid w:val="004853FF"/>
    <w:rsid w:val="00485675"/>
    <w:rsid w:val="00485849"/>
    <w:rsid w:val="00486113"/>
    <w:rsid w:val="004864CE"/>
    <w:rsid w:val="0048667F"/>
    <w:rsid w:val="004866A0"/>
    <w:rsid w:val="00486AF1"/>
    <w:rsid w:val="00486C9B"/>
    <w:rsid w:val="00486FC1"/>
    <w:rsid w:val="00487635"/>
    <w:rsid w:val="004877BE"/>
    <w:rsid w:val="004879DA"/>
    <w:rsid w:val="00487A6C"/>
    <w:rsid w:val="00487A9F"/>
    <w:rsid w:val="00487C85"/>
    <w:rsid w:val="00490273"/>
    <w:rsid w:val="0049041F"/>
    <w:rsid w:val="004904AD"/>
    <w:rsid w:val="00490B8F"/>
    <w:rsid w:val="00490DC4"/>
    <w:rsid w:val="00490E6E"/>
    <w:rsid w:val="00490EC6"/>
    <w:rsid w:val="00490F3F"/>
    <w:rsid w:val="004912A5"/>
    <w:rsid w:val="004912BE"/>
    <w:rsid w:val="0049149A"/>
    <w:rsid w:val="00491586"/>
    <w:rsid w:val="004918EC"/>
    <w:rsid w:val="004920D3"/>
    <w:rsid w:val="00492119"/>
    <w:rsid w:val="0049220F"/>
    <w:rsid w:val="00492317"/>
    <w:rsid w:val="004923CD"/>
    <w:rsid w:val="0049265E"/>
    <w:rsid w:val="0049269E"/>
    <w:rsid w:val="00492818"/>
    <w:rsid w:val="004929F1"/>
    <w:rsid w:val="00492AC3"/>
    <w:rsid w:val="00492BB0"/>
    <w:rsid w:val="00492ED4"/>
    <w:rsid w:val="00492F3B"/>
    <w:rsid w:val="00492F52"/>
    <w:rsid w:val="00493100"/>
    <w:rsid w:val="00493213"/>
    <w:rsid w:val="004932FD"/>
    <w:rsid w:val="00493C08"/>
    <w:rsid w:val="00493E59"/>
    <w:rsid w:val="00494001"/>
    <w:rsid w:val="004940D0"/>
    <w:rsid w:val="00494368"/>
    <w:rsid w:val="00494402"/>
    <w:rsid w:val="004944E7"/>
    <w:rsid w:val="004946A0"/>
    <w:rsid w:val="004946A9"/>
    <w:rsid w:val="0049472B"/>
    <w:rsid w:val="00494791"/>
    <w:rsid w:val="00494864"/>
    <w:rsid w:val="0049496C"/>
    <w:rsid w:val="00494E79"/>
    <w:rsid w:val="00494F64"/>
    <w:rsid w:val="004952EF"/>
    <w:rsid w:val="00495584"/>
    <w:rsid w:val="0049559D"/>
    <w:rsid w:val="004955D8"/>
    <w:rsid w:val="004956E0"/>
    <w:rsid w:val="0049580A"/>
    <w:rsid w:val="00495A3C"/>
    <w:rsid w:val="00495F16"/>
    <w:rsid w:val="00495FF7"/>
    <w:rsid w:val="00496332"/>
    <w:rsid w:val="004963BC"/>
    <w:rsid w:val="004965E0"/>
    <w:rsid w:val="004967E1"/>
    <w:rsid w:val="00496C46"/>
    <w:rsid w:val="00496DEF"/>
    <w:rsid w:val="00496E0D"/>
    <w:rsid w:val="0049701C"/>
    <w:rsid w:val="004971B6"/>
    <w:rsid w:val="0049775D"/>
    <w:rsid w:val="004977DF"/>
    <w:rsid w:val="00497AFA"/>
    <w:rsid w:val="00497B9F"/>
    <w:rsid w:val="004A0577"/>
    <w:rsid w:val="004A0631"/>
    <w:rsid w:val="004A0EC3"/>
    <w:rsid w:val="004A1068"/>
    <w:rsid w:val="004A107B"/>
    <w:rsid w:val="004A113A"/>
    <w:rsid w:val="004A1661"/>
    <w:rsid w:val="004A1755"/>
    <w:rsid w:val="004A1903"/>
    <w:rsid w:val="004A1D28"/>
    <w:rsid w:val="004A2084"/>
    <w:rsid w:val="004A2140"/>
    <w:rsid w:val="004A2171"/>
    <w:rsid w:val="004A21FC"/>
    <w:rsid w:val="004A2439"/>
    <w:rsid w:val="004A2484"/>
    <w:rsid w:val="004A2876"/>
    <w:rsid w:val="004A2B60"/>
    <w:rsid w:val="004A2D03"/>
    <w:rsid w:val="004A2D66"/>
    <w:rsid w:val="004A2DB9"/>
    <w:rsid w:val="004A2EC1"/>
    <w:rsid w:val="004A2F2A"/>
    <w:rsid w:val="004A2FBB"/>
    <w:rsid w:val="004A31E3"/>
    <w:rsid w:val="004A31E9"/>
    <w:rsid w:val="004A3589"/>
    <w:rsid w:val="004A36C1"/>
    <w:rsid w:val="004A3739"/>
    <w:rsid w:val="004A37A3"/>
    <w:rsid w:val="004A3812"/>
    <w:rsid w:val="004A3B6A"/>
    <w:rsid w:val="004A3E19"/>
    <w:rsid w:val="004A3E7A"/>
    <w:rsid w:val="004A3FEA"/>
    <w:rsid w:val="004A4430"/>
    <w:rsid w:val="004A451D"/>
    <w:rsid w:val="004A47FD"/>
    <w:rsid w:val="004A4999"/>
    <w:rsid w:val="004A4BD0"/>
    <w:rsid w:val="004A4FD1"/>
    <w:rsid w:val="004A4FD9"/>
    <w:rsid w:val="004A4FDF"/>
    <w:rsid w:val="004A50B1"/>
    <w:rsid w:val="004A527D"/>
    <w:rsid w:val="004A5464"/>
    <w:rsid w:val="004A5489"/>
    <w:rsid w:val="004A5574"/>
    <w:rsid w:val="004A55EE"/>
    <w:rsid w:val="004A55FB"/>
    <w:rsid w:val="004A590D"/>
    <w:rsid w:val="004A5A14"/>
    <w:rsid w:val="004A5D96"/>
    <w:rsid w:val="004A5E73"/>
    <w:rsid w:val="004A5EED"/>
    <w:rsid w:val="004A5EF4"/>
    <w:rsid w:val="004A61D0"/>
    <w:rsid w:val="004A632C"/>
    <w:rsid w:val="004A64A1"/>
    <w:rsid w:val="004A669E"/>
    <w:rsid w:val="004A6831"/>
    <w:rsid w:val="004A6843"/>
    <w:rsid w:val="004A6B1B"/>
    <w:rsid w:val="004A6B2C"/>
    <w:rsid w:val="004A6D12"/>
    <w:rsid w:val="004A7037"/>
    <w:rsid w:val="004A70B0"/>
    <w:rsid w:val="004A7647"/>
    <w:rsid w:val="004A79F7"/>
    <w:rsid w:val="004A7A52"/>
    <w:rsid w:val="004A7FF0"/>
    <w:rsid w:val="004B05A0"/>
    <w:rsid w:val="004B072F"/>
    <w:rsid w:val="004B119C"/>
    <w:rsid w:val="004B11BE"/>
    <w:rsid w:val="004B13FC"/>
    <w:rsid w:val="004B1554"/>
    <w:rsid w:val="004B1664"/>
    <w:rsid w:val="004B19FE"/>
    <w:rsid w:val="004B1AC3"/>
    <w:rsid w:val="004B1B88"/>
    <w:rsid w:val="004B1D19"/>
    <w:rsid w:val="004B1D37"/>
    <w:rsid w:val="004B2090"/>
    <w:rsid w:val="004B21C4"/>
    <w:rsid w:val="004B2303"/>
    <w:rsid w:val="004B242F"/>
    <w:rsid w:val="004B2510"/>
    <w:rsid w:val="004B2A0B"/>
    <w:rsid w:val="004B2A0C"/>
    <w:rsid w:val="004B2A4D"/>
    <w:rsid w:val="004B2E84"/>
    <w:rsid w:val="004B2F45"/>
    <w:rsid w:val="004B3167"/>
    <w:rsid w:val="004B31ED"/>
    <w:rsid w:val="004B33B1"/>
    <w:rsid w:val="004B33C2"/>
    <w:rsid w:val="004B3683"/>
    <w:rsid w:val="004B391C"/>
    <w:rsid w:val="004B3AF7"/>
    <w:rsid w:val="004B3D88"/>
    <w:rsid w:val="004B3F4D"/>
    <w:rsid w:val="004B412E"/>
    <w:rsid w:val="004B41AE"/>
    <w:rsid w:val="004B41F2"/>
    <w:rsid w:val="004B4214"/>
    <w:rsid w:val="004B45CC"/>
    <w:rsid w:val="004B479B"/>
    <w:rsid w:val="004B4A01"/>
    <w:rsid w:val="004B4BEE"/>
    <w:rsid w:val="004B4E07"/>
    <w:rsid w:val="004B4ECB"/>
    <w:rsid w:val="004B5096"/>
    <w:rsid w:val="004B514F"/>
    <w:rsid w:val="004B5458"/>
    <w:rsid w:val="004B54AC"/>
    <w:rsid w:val="004B563B"/>
    <w:rsid w:val="004B57A2"/>
    <w:rsid w:val="004B5A4B"/>
    <w:rsid w:val="004B5BF9"/>
    <w:rsid w:val="004B5D8D"/>
    <w:rsid w:val="004B5E2F"/>
    <w:rsid w:val="004B607C"/>
    <w:rsid w:val="004B6183"/>
    <w:rsid w:val="004B630D"/>
    <w:rsid w:val="004B64F3"/>
    <w:rsid w:val="004B6546"/>
    <w:rsid w:val="004B6704"/>
    <w:rsid w:val="004B676F"/>
    <w:rsid w:val="004B689D"/>
    <w:rsid w:val="004B69A0"/>
    <w:rsid w:val="004B6AD1"/>
    <w:rsid w:val="004B6BAE"/>
    <w:rsid w:val="004B6D7C"/>
    <w:rsid w:val="004B70AA"/>
    <w:rsid w:val="004B70D2"/>
    <w:rsid w:val="004B7173"/>
    <w:rsid w:val="004B71F5"/>
    <w:rsid w:val="004B736A"/>
    <w:rsid w:val="004B73BA"/>
    <w:rsid w:val="004B75CC"/>
    <w:rsid w:val="004B75E2"/>
    <w:rsid w:val="004B762C"/>
    <w:rsid w:val="004B7972"/>
    <w:rsid w:val="004B79C9"/>
    <w:rsid w:val="004B7A40"/>
    <w:rsid w:val="004B7B18"/>
    <w:rsid w:val="004B7FD2"/>
    <w:rsid w:val="004C0116"/>
    <w:rsid w:val="004C013E"/>
    <w:rsid w:val="004C04CA"/>
    <w:rsid w:val="004C055B"/>
    <w:rsid w:val="004C0609"/>
    <w:rsid w:val="004C0611"/>
    <w:rsid w:val="004C06E6"/>
    <w:rsid w:val="004C0A1E"/>
    <w:rsid w:val="004C0B09"/>
    <w:rsid w:val="004C0BAD"/>
    <w:rsid w:val="004C0C96"/>
    <w:rsid w:val="004C0CE0"/>
    <w:rsid w:val="004C0D91"/>
    <w:rsid w:val="004C0DB4"/>
    <w:rsid w:val="004C0E97"/>
    <w:rsid w:val="004C1356"/>
    <w:rsid w:val="004C175E"/>
    <w:rsid w:val="004C1EAC"/>
    <w:rsid w:val="004C1F9E"/>
    <w:rsid w:val="004C20BA"/>
    <w:rsid w:val="004C22B7"/>
    <w:rsid w:val="004C2686"/>
    <w:rsid w:val="004C2804"/>
    <w:rsid w:val="004C2996"/>
    <w:rsid w:val="004C2A36"/>
    <w:rsid w:val="004C2AA1"/>
    <w:rsid w:val="004C2AE9"/>
    <w:rsid w:val="004C2C75"/>
    <w:rsid w:val="004C2D57"/>
    <w:rsid w:val="004C30D4"/>
    <w:rsid w:val="004C318B"/>
    <w:rsid w:val="004C3563"/>
    <w:rsid w:val="004C36C9"/>
    <w:rsid w:val="004C3CFA"/>
    <w:rsid w:val="004C3D12"/>
    <w:rsid w:val="004C3E02"/>
    <w:rsid w:val="004C40EC"/>
    <w:rsid w:val="004C42F0"/>
    <w:rsid w:val="004C453D"/>
    <w:rsid w:val="004C473D"/>
    <w:rsid w:val="004C4813"/>
    <w:rsid w:val="004C48C8"/>
    <w:rsid w:val="004C494A"/>
    <w:rsid w:val="004C4982"/>
    <w:rsid w:val="004C4DA7"/>
    <w:rsid w:val="004C4E6D"/>
    <w:rsid w:val="004C4FA0"/>
    <w:rsid w:val="004C5037"/>
    <w:rsid w:val="004C50B8"/>
    <w:rsid w:val="004C5378"/>
    <w:rsid w:val="004C558B"/>
    <w:rsid w:val="004C5955"/>
    <w:rsid w:val="004C598D"/>
    <w:rsid w:val="004C5B4B"/>
    <w:rsid w:val="004C5DB6"/>
    <w:rsid w:val="004C5F1D"/>
    <w:rsid w:val="004C622A"/>
    <w:rsid w:val="004C6534"/>
    <w:rsid w:val="004C67B5"/>
    <w:rsid w:val="004C67C8"/>
    <w:rsid w:val="004C6A8B"/>
    <w:rsid w:val="004C6CF7"/>
    <w:rsid w:val="004C6D49"/>
    <w:rsid w:val="004C704E"/>
    <w:rsid w:val="004C70EC"/>
    <w:rsid w:val="004C7240"/>
    <w:rsid w:val="004C73EF"/>
    <w:rsid w:val="004C75D4"/>
    <w:rsid w:val="004C7671"/>
    <w:rsid w:val="004C7866"/>
    <w:rsid w:val="004C7A7B"/>
    <w:rsid w:val="004C7C1A"/>
    <w:rsid w:val="004C7D0C"/>
    <w:rsid w:val="004D063E"/>
    <w:rsid w:val="004D0803"/>
    <w:rsid w:val="004D0DAA"/>
    <w:rsid w:val="004D0E30"/>
    <w:rsid w:val="004D10D6"/>
    <w:rsid w:val="004D134A"/>
    <w:rsid w:val="004D147C"/>
    <w:rsid w:val="004D16F1"/>
    <w:rsid w:val="004D1714"/>
    <w:rsid w:val="004D17E6"/>
    <w:rsid w:val="004D1D09"/>
    <w:rsid w:val="004D1E5F"/>
    <w:rsid w:val="004D22B8"/>
    <w:rsid w:val="004D23EF"/>
    <w:rsid w:val="004D2475"/>
    <w:rsid w:val="004D25BE"/>
    <w:rsid w:val="004D25F4"/>
    <w:rsid w:val="004D294E"/>
    <w:rsid w:val="004D2A38"/>
    <w:rsid w:val="004D2A4D"/>
    <w:rsid w:val="004D2DE7"/>
    <w:rsid w:val="004D2E8D"/>
    <w:rsid w:val="004D313D"/>
    <w:rsid w:val="004D314F"/>
    <w:rsid w:val="004D35C8"/>
    <w:rsid w:val="004D3897"/>
    <w:rsid w:val="004D3FC6"/>
    <w:rsid w:val="004D3FD4"/>
    <w:rsid w:val="004D4040"/>
    <w:rsid w:val="004D4172"/>
    <w:rsid w:val="004D4291"/>
    <w:rsid w:val="004D4425"/>
    <w:rsid w:val="004D44A3"/>
    <w:rsid w:val="004D489D"/>
    <w:rsid w:val="004D49E0"/>
    <w:rsid w:val="004D4D17"/>
    <w:rsid w:val="004D5126"/>
    <w:rsid w:val="004D51F3"/>
    <w:rsid w:val="004D52FD"/>
    <w:rsid w:val="004D53B6"/>
    <w:rsid w:val="004D5557"/>
    <w:rsid w:val="004D566D"/>
    <w:rsid w:val="004D56E1"/>
    <w:rsid w:val="004D5862"/>
    <w:rsid w:val="004D5967"/>
    <w:rsid w:val="004D59A1"/>
    <w:rsid w:val="004D5ADF"/>
    <w:rsid w:val="004D5D4E"/>
    <w:rsid w:val="004D5DBF"/>
    <w:rsid w:val="004D5FE2"/>
    <w:rsid w:val="004D6039"/>
    <w:rsid w:val="004D60EC"/>
    <w:rsid w:val="004D6131"/>
    <w:rsid w:val="004D647D"/>
    <w:rsid w:val="004D6675"/>
    <w:rsid w:val="004D66CB"/>
    <w:rsid w:val="004D6784"/>
    <w:rsid w:val="004D6A0A"/>
    <w:rsid w:val="004D6D9E"/>
    <w:rsid w:val="004D70E8"/>
    <w:rsid w:val="004D748A"/>
    <w:rsid w:val="004D757B"/>
    <w:rsid w:val="004D77F9"/>
    <w:rsid w:val="004D7B53"/>
    <w:rsid w:val="004D7B8C"/>
    <w:rsid w:val="004D7F96"/>
    <w:rsid w:val="004D7FED"/>
    <w:rsid w:val="004E0377"/>
    <w:rsid w:val="004E04FE"/>
    <w:rsid w:val="004E0D6B"/>
    <w:rsid w:val="004E0EB3"/>
    <w:rsid w:val="004E0EE2"/>
    <w:rsid w:val="004E0F74"/>
    <w:rsid w:val="004E12CB"/>
    <w:rsid w:val="004E18EB"/>
    <w:rsid w:val="004E1A66"/>
    <w:rsid w:val="004E1B4A"/>
    <w:rsid w:val="004E1B90"/>
    <w:rsid w:val="004E1D11"/>
    <w:rsid w:val="004E1EC3"/>
    <w:rsid w:val="004E210F"/>
    <w:rsid w:val="004E2524"/>
    <w:rsid w:val="004E2AFD"/>
    <w:rsid w:val="004E2BD6"/>
    <w:rsid w:val="004E2EA2"/>
    <w:rsid w:val="004E319B"/>
    <w:rsid w:val="004E32CD"/>
    <w:rsid w:val="004E367E"/>
    <w:rsid w:val="004E382B"/>
    <w:rsid w:val="004E3888"/>
    <w:rsid w:val="004E3937"/>
    <w:rsid w:val="004E399B"/>
    <w:rsid w:val="004E3CC1"/>
    <w:rsid w:val="004E4262"/>
    <w:rsid w:val="004E46BC"/>
    <w:rsid w:val="004E4C6E"/>
    <w:rsid w:val="004E4C76"/>
    <w:rsid w:val="004E4CE6"/>
    <w:rsid w:val="004E5012"/>
    <w:rsid w:val="004E50BE"/>
    <w:rsid w:val="004E536D"/>
    <w:rsid w:val="004E54F6"/>
    <w:rsid w:val="004E5699"/>
    <w:rsid w:val="004E5817"/>
    <w:rsid w:val="004E5847"/>
    <w:rsid w:val="004E5AAC"/>
    <w:rsid w:val="004E5AB5"/>
    <w:rsid w:val="004E5DDC"/>
    <w:rsid w:val="004E5EFE"/>
    <w:rsid w:val="004E5F75"/>
    <w:rsid w:val="004E6204"/>
    <w:rsid w:val="004E67C4"/>
    <w:rsid w:val="004E68A5"/>
    <w:rsid w:val="004E68B2"/>
    <w:rsid w:val="004E6906"/>
    <w:rsid w:val="004E69C6"/>
    <w:rsid w:val="004E6A4E"/>
    <w:rsid w:val="004E6B77"/>
    <w:rsid w:val="004E6BF3"/>
    <w:rsid w:val="004E6CCF"/>
    <w:rsid w:val="004E6F45"/>
    <w:rsid w:val="004E7038"/>
    <w:rsid w:val="004E73DC"/>
    <w:rsid w:val="004E752A"/>
    <w:rsid w:val="004E7592"/>
    <w:rsid w:val="004E77EF"/>
    <w:rsid w:val="004E78C8"/>
    <w:rsid w:val="004E7A42"/>
    <w:rsid w:val="004E7AC8"/>
    <w:rsid w:val="004E7CFC"/>
    <w:rsid w:val="004F00B0"/>
    <w:rsid w:val="004F00E5"/>
    <w:rsid w:val="004F0411"/>
    <w:rsid w:val="004F04B3"/>
    <w:rsid w:val="004F0745"/>
    <w:rsid w:val="004F075B"/>
    <w:rsid w:val="004F0811"/>
    <w:rsid w:val="004F0BA2"/>
    <w:rsid w:val="004F0C02"/>
    <w:rsid w:val="004F0C46"/>
    <w:rsid w:val="004F0DCA"/>
    <w:rsid w:val="004F0FDB"/>
    <w:rsid w:val="004F10FF"/>
    <w:rsid w:val="004F1883"/>
    <w:rsid w:val="004F1B27"/>
    <w:rsid w:val="004F1B6A"/>
    <w:rsid w:val="004F1C0F"/>
    <w:rsid w:val="004F1E28"/>
    <w:rsid w:val="004F2269"/>
    <w:rsid w:val="004F259E"/>
    <w:rsid w:val="004F2707"/>
    <w:rsid w:val="004F287F"/>
    <w:rsid w:val="004F2AAF"/>
    <w:rsid w:val="004F2AC4"/>
    <w:rsid w:val="004F2DDE"/>
    <w:rsid w:val="004F2DF5"/>
    <w:rsid w:val="004F32DD"/>
    <w:rsid w:val="004F341A"/>
    <w:rsid w:val="004F3941"/>
    <w:rsid w:val="004F3975"/>
    <w:rsid w:val="004F39C3"/>
    <w:rsid w:val="004F3A37"/>
    <w:rsid w:val="004F3AC8"/>
    <w:rsid w:val="004F3C8B"/>
    <w:rsid w:val="004F3D60"/>
    <w:rsid w:val="004F40C8"/>
    <w:rsid w:val="004F4191"/>
    <w:rsid w:val="004F4282"/>
    <w:rsid w:val="004F45D9"/>
    <w:rsid w:val="004F45FE"/>
    <w:rsid w:val="004F473B"/>
    <w:rsid w:val="004F4C53"/>
    <w:rsid w:val="004F4C81"/>
    <w:rsid w:val="004F4F89"/>
    <w:rsid w:val="004F51E8"/>
    <w:rsid w:val="004F5531"/>
    <w:rsid w:val="004F5C69"/>
    <w:rsid w:val="004F5E1B"/>
    <w:rsid w:val="004F5FED"/>
    <w:rsid w:val="004F61C6"/>
    <w:rsid w:val="004F67B2"/>
    <w:rsid w:val="004F67E5"/>
    <w:rsid w:val="004F6849"/>
    <w:rsid w:val="004F69DB"/>
    <w:rsid w:val="004F6AD3"/>
    <w:rsid w:val="004F6B5B"/>
    <w:rsid w:val="004F6BC6"/>
    <w:rsid w:val="004F6BE6"/>
    <w:rsid w:val="004F6CC9"/>
    <w:rsid w:val="004F6CF1"/>
    <w:rsid w:val="004F7159"/>
    <w:rsid w:val="004F75CC"/>
    <w:rsid w:val="004F762E"/>
    <w:rsid w:val="004F7F28"/>
    <w:rsid w:val="004F7F4B"/>
    <w:rsid w:val="0050043E"/>
    <w:rsid w:val="00500E5C"/>
    <w:rsid w:val="00501057"/>
    <w:rsid w:val="005012DA"/>
    <w:rsid w:val="0050132A"/>
    <w:rsid w:val="00501386"/>
    <w:rsid w:val="00501645"/>
    <w:rsid w:val="00501BD9"/>
    <w:rsid w:val="00501C25"/>
    <w:rsid w:val="00501CE9"/>
    <w:rsid w:val="00501FDE"/>
    <w:rsid w:val="0050235A"/>
    <w:rsid w:val="005027A6"/>
    <w:rsid w:val="00502AF7"/>
    <w:rsid w:val="00502DA1"/>
    <w:rsid w:val="00502DAE"/>
    <w:rsid w:val="00502FFB"/>
    <w:rsid w:val="005031DD"/>
    <w:rsid w:val="0050329A"/>
    <w:rsid w:val="0050357B"/>
    <w:rsid w:val="0050359D"/>
    <w:rsid w:val="005038A0"/>
    <w:rsid w:val="005039F9"/>
    <w:rsid w:val="00503A1A"/>
    <w:rsid w:val="00503B2B"/>
    <w:rsid w:val="00503DB4"/>
    <w:rsid w:val="00503DD8"/>
    <w:rsid w:val="00504085"/>
    <w:rsid w:val="00504782"/>
    <w:rsid w:val="00504A57"/>
    <w:rsid w:val="00504A82"/>
    <w:rsid w:val="00504B16"/>
    <w:rsid w:val="00504C0D"/>
    <w:rsid w:val="00504CA5"/>
    <w:rsid w:val="00504D9E"/>
    <w:rsid w:val="00504E1D"/>
    <w:rsid w:val="00504E47"/>
    <w:rsid w:val="00504EEB"/>
    <w:rsid w:val="00504F31"/>
    <w:rsid w:val="00504FBA"/>
    <w:rsid w:val="005050A8"/>
    <w:rsid w:val="005052FC"/>
    <w:rsid w:val="005056C2"/>
    <w:rsid w:val="00505E19"/>
    <w:rsid w:val="005062A2"/>
    <w:rsid w:val="005062E5"/>
    <w:rsid w:val="00506771"/>
    <w:rsid w:val="005068B6"/>
    <w:rsid w:val="005068F8"/>
    <w:rsid w:val="00506C31"/>
    <w:rsid w:val="00506D79"/>
    <w:rsid w:val="00506FAC"/>
    <w:rsid w:val="0050715A"/>
    <w:rsid w:val="00507187"/>
    <w:rsid w:val="00507206"/>
    <w:rsid w:val="005072CB"/>
    <w:rsid w:val="00507328"/>
    <w:rsid w:val="00507362"/>
    <w:rsid w:val="0050754D"/>
    <w:rsid w:val="0050776B"/>
    <w:rsid w:val="00507856"/>
    <w:rsid w:val="00507B74"/>
    <w:rsid w:val="00507D8C"/>
    <w:rsid w:val="00507DCA"/>
    <w:rsid w:val="00507ECF"/>
    <w:rsid w:val="005103C5"/>
    <w:rsid w:val="00510506"/>
    <w:rsid w:val="00510679"/>
    <w:rsid w:val="005109D0"/>
    <w:rsid w:val="005109DC"/>
    <w:rsid w:val="00510C3C"/>
    <w:rsid w:val="00510C9C"/>
    <w:rsid w:val="00510DC0"/>
    <w:rsid w:val="00510EF1"/>
    <w:rsid w:val="00511032"/>
    <w:rsid w:val="0051125B"/>
    <w:rsid w:val="005112C4"/>
    <w:rsid w:val="0051140F"/>
    <w:rsid w:val="005118AE"/>
    <w:rsid w:val="00511C2C"/>
    <w:rsid w:val="00511E8E"/>
    <w:rsid w:val="00512095"/>
    <w:rsid w:val="005120A8"/>
    <w:rsid w:val="0051225F"/>
    <w:rsid w:val="005124B2"/>
    <w:rsid w:val="0051257B"/>
    <w:rsid w:val="0051260D"/>
    <w:rsid w:val="005127B2"/>
    <w:rsid w:val="005131CF"/>
    <w:rsid w:val="005131D3"/>
    <w:rsid w:val="00513267"/>
    <w:rsid w:val="00513529"/>
    <w:rsid w:val="0051352C"/>
    <w:rsid w:val="00513556"/>
    <w:rsid w:val="0051361E"/>
    <w:rsid w:val="005139D3"/>
    <w:rsid w:val="00513A04"/>
    <w:rsid w:val="00513FAF"/>
    <w:rsid w:val="00514211"/>
    <w:rsid w:val="00514215"/>
    <w:rsid w:val="00514297"/>
    <w:rsid w:val="005142B6"/>
    <w:rsid w:val="0051434A"/>
    <w:rsid w:val="0051476E"/>
    <w:rsid w:val="00514A16"/>
    <w:rsid w:val="00514FC2"/>
    <w:rsid w:val="00515149"/>
    <w:rsid w:val="0051517C"/>
    <w:rsid w:val="005151C2"/>
    <w:rsid w:val="0051532E"/>
    <w:rsid w:val="00515A06"/>
    <w:rsid w:val="00515AC3"/>
    <w:rsid w:val="00515B57"/>
    <w:rsid w:val="00515BFA"/>
    <w:rsid w:val="00515C44"/>
    <w:rsid w:val="00515CAF"/>
    <w:rsid w:val="005162B2"/>
    <w:rsid w:val="0051634A"/>
    <w:rsid w:val="00516517"/>
    <w:rsid w:val="00516758"/>
    <w:rsid w:val="00516EE4"/>
    <w:rsid w:val="005174BB"/>
    <w:rsid w:val="00517764"/>
    <w:rsid w:val="005178AC"/>
    <w:rsid w:val="00517999"/>
    <w:rsid w:val="00517A86"/>
    <w:rsid w:val="00517AF8"/>
    <w:rsid w:val="00520213"/>
    <w:rsid w:val="0052024E"/>
    <w:rsid w:val="00520346"/>
    <w:rsid w:val="00520712"/>
    <w:rsid w:val="00520726"/>
    <w:rsid w:val="00520AD0"/>
    <w:rsid w:val="00520BFD"/>
    <w:rsid w:val="0052124E"/>
    <w:rsid w:val="005212CD"/>
    <w:rsid w:val="00521381"/>
    <w:rsid w:val="005213A9"/>
    <w:rsid w:val="00521522"/>
    <w:rsid w:val="005215B3"/>
    <w:rsid w:val="00521669"/>
    <w:rsid w:val="00521872"/>
    <w:rsid w:val="005218ED"/>
    <w:rsid w:val="00521C8B"/>
    <w:rsid w:val="00521D53"/>
    <w:rsid w:val="00521E6E"/>
    <w:rsid w:val="005220F4"/>
    <w:rsid w:val="005221C1"/>
    <w:rsid w:val="005225A6"/>
    <w:rsid w:val="00522701"/>
    <w:rsid w:val="005227FD"/>
    <w:rsid w:val="005228D9"/>
    <w:rsid w:val="00522FA1"/>
    <w:rsid w:val="0052349D"/>
    <w:rsid w:val="005236BA"/>
    <w:rsid w:val="00523823"/>
    <w:rsid w:val="00523B01"/>
    <w:rsid w:val="00523E55"/>
    <w:rsid w:val="00523F4A"/>
    <w:rsid w:val="005241DE"/>
    <w:rsid w:val="005242EF"/>
    <w:rsid w:val="005243A3"/>
    <w:rsid w:val="0052458F"/>
    <w:rsid w:val="00524611"/>
    <w:rsid w:val="005246AA"/>
    <w:rsid w:val="0052493E"/>
    <w:rsid w:val="00524AC4"/>
    <w:rsid w:val="00524BE8"/>
    <w:rsid w:val="00524D8F"/>
    <w:rsid w:val="00524E12"/>
    <w:rsid w:val="00524FC0"/>
    <w:rsid w:val="0052506A"/>
    <w:rsid w:val="005251B1"/>
    <w:rsid w:val="00525437"/>
    <w:rsid w:val="00525485"/>
    <w:rsid w:val="0052575D"/>
    <w:rsid w:val="00525CE4"/>
    <w:rsid w:val="00525D6E"/>
    <w:rsid w:val="00526120"/>
    <w:rsid w:val="00526791"/>
    <w:rsid w:val="0052694B"/>
    <w:rsid w:val="00526A95"/>
    <w:rsid w:val="00526B09"/>
    <w:rsid w:val="00526C2F"/>
    <w:rsid w:val="00526C92"/>
    <w:rsid w:val="00526E16"/>
    <w:rsid w:val="00526E3F"/>
    <w:rsid w:val="00526EC9"/>
    <w:rsid w:val="00526F96"/>
    <w:rsid w:val="005272BE"/>
    <w:rsid w:val="005274B9"/>
    <w:rsid w:val="005274DC"/>
    <w:rsid w:val="0052757D"/>
    <w:rsid w:val="005275FA"/>
    <w:rsid w:val="005275FC"/>
    <w:rsid w:val="00527687"/>
    <w:rsid w:val="0052768C"/>
    <w:rsid w:val="005301E5"/>
    <w:rsid w:val="005302E5"/>
    <w:rsid w:val="0053053E"/>
    <w:rsid w:val="0053072B"/>
    <w:rsid w:val="00530896"/>
    <w:rsid w:val="00530EE7"/>
    <w:rsid w:val="005310AF"/>
    <w:rsid w:val="005311F3"/>
    <w:rsid w:val="00531544"/>
    <w:rsid w:val="00531658"/>
    <w:rsid w:val="0053170B"/>
    <w:rsid w:val="005317AE"/>
    <w:rsid w:val="005319FF"/>
    <w:rsid w:val="00531A11"/>
    <w:rsid w:val="00531AA0"/>
    <w:rsid w:val="00531F2C"/>
    <w:rsid w:val="00532220"/>
    <w:rsid w:val="0053235A"/>
    <w:rsid w:val="005325B8"/>
    <w:rsid w:val="005328A4"/>
    <w:rsid w:val="005328BF"/>
    <w:rsid w:val="005329FD"/>
    <w:rsid w:val="00532C8B"/>
    <w:rsid w:val="00532CC8"/>
    <w:rsid w:val="00532F56"/>
    <w:rsid w:val="005332FD"/>
    <w:rsid w:val="0053333C"/>
    <w:rsid w:val="00533362"/>
    <w:rsid w:val="0053344E"/>
    <w:rsid w:val="005339A5"/>
    <w:rsid w:val="00533DB9"/>
    <w:rsid w:val="00533E49"/>
    <w:rsid w:val="0053424D"/>
    <w:rsid w:val="005342C3"/>
    <w:rsid w:val="005344CC"/>
    <w:rsid w:val="00534560"/>
    <w:rsid w:val="00534632"/>
    <w:rsid w:val="00534689"/>
    <w:rsid w:val="00534E05"/>
    <w:rsid w:val="00534F23"/>
    <w:rsid w:val="00534FF9"/>
    <w:rsid w:val="00535263"/>
    <w:rsid w:val="0053532C"/>
    <w:rsid w:val="005355EC"/>
    <w:rsid w:val="005356B3"/>
    <w:rsid w:val="00535749"/>
    <w:rsid w:val="005359EE"/>
    <w:rsid w:val="005359FA"/>
    <w:rsid w:val="00535B3D"/>
    <w:rsid w:val="00535B62"/>
    <w:rsid w:val="00535BB2"/>
    <w:rsid w:val="00535CEF"/>
    <w:rsid w:val="00535D84"/>
    <w:rsid w:val="005362F5"/>
    <w:rsid w:val="005367F2"/>
    <w:rsid w:val="00536898"/>
    <w:rsid w:val="005369A5"/>
    <w:rsid w:val="00536E2F"/>
    <w:rsid w:val="00536EE8"/>
    <w:rsid w:val="00537139"/>
    <w:rsid w:val="0053725B"/>
    <w:rsid w:val="005372CF"/>
    <w:rsid w:val="00537514"/>
    <w:rsid w:val="00537A1D"/>
    <w:rsid w:val="00537C9A"/>
    <w:rsid w:val="00537E11"/>
    <w:rsid w:val="00537F1B"/>
    <w:rsid w:val="00540051"/>
    <w:rsid w:val="0054005E"/>
    <w:rsid w:val="00540237"/>
    <w:rsid w:val="0054036F"/>
    <w:rsid w:val="00540524"/>
    <w:rsid w:val="00540600"/>
    <w:rsid w:val="0054064E"/>
    <w:rsid w:val="005407B1"/>
    <w:rsid w:val="005407F5"/>
    <w:rsid w:val="005409A0"/>
    <w:rsid w:val="00540AA3"/>
    <w:rsid w:val="00540C57"/>
    <w:rsid w:val="00540CA0"/>
    <w:rsid w:val="00540CF7"/>
    <w:rsid w:val="00540FB3"/>
    <w:rsid w:val="00541088"/>
    <w:rsid w:val="00541341"/>
    <w:rsid w:val="0054150D"/>
    <w:rsid w:val="00541555"/>
    <w:rsid w:val="00541958"/>
    <w:rsid w:val="00541C60"/>
    <w:rsid w:val="00541DA4"/>
    <w:rsid w:val="00541F1F"/>
    <w:rsid w:val="005421A5"/>
    <w:rsid w:val="005422D6"/>
    <w:rsid w:val="00542634"/>
    <w:rsid w:val="00542916"/>
    <w:rsid w:val="00542BA0"/>
    <w:rsid w:val="00542C5F"/>
    <w:rsid w:val="00542D05"/>
    <w:rsid w:val="00542D84"/>
    <w:rsid w:val="0054300D"/>
    <w:rsid w:val="00543212"/>
    <w:rsid w:val="0054333E"/>
    <w:rsid w:val="005434D8"/>
    <w:rsid w:val="00543965"/>
    <w:rsid w:val="005439E4"/>
    <w:rsid w:val="00543A06"/>
    <w:rsid w:val="00543F02"/>
    <w:rsid w:val="00543F29"/>
    <w:rsid w:val="00543F5B"/>
    <w:rsid w:val="005446F5"/>
    <w:rsid w:val="0054496B"/>
    <w:rsid w:val="005449DC"/>
    <w:rsid w:val="00544C6F"/>
    <w:rsid w:val="00544EAA"/>
    <w:rsid w:val="00544EB0"/>
    <w:rsid w:val="00545015"/>
    <w:rsid w:val="00545649"/>
    <w:rsid w:val="005459C2"/>
    <w:rsid w:val="00545C37"/>
    <w:rsid w:val="00545C89"/>
    <w:rsid w:val="00545D37"/>
    <w:rsid w:val="00545FBE"/>
    <w:rsid w:val="00546358"/>
    <w:rsid w:val="0054656A"/>
    <w:rsid w:val="00546A3D"/>
    <w:rsid w:val="00546B8F"/>
    <w:rsid w:val="00546C2A"/>
    <w:rsid w:val="00547029"/>
    <w:rsid w:val="005471A1"/>
    <w:rsid w:val="00547301"/>
    <w:rsid w:val="0054762F"/>
    <w:rsid w:val="00547A7A"/>
    <w:rsid w:val="00547F7A"/>
    <w:rsid w:val="0055005D"/>
    <w:rsid w:val="005501BD"/>
    <w:rsid w:val="005503ED"/>
    <w:rsid w:val="00550653"/>
    <w:rsid w:val="005507C7"/>
    <w:rsid w:val="00550967"/>
    <w:rsid w:val="00550FC1"/>
    <w:rsid w:val="00551003"/>
    <w:rsid w:val="005510CA"/>
    <w:rsid w:val="0055112A"/>
    <w:rsid w:val="00551233"/>
    <w:rsid w:val="005512A6"/>
    <w:rsid w:val="00551369"/>
    <w:rsid w:val="00551529"/>
    <w:rsid w:val="005515BF"/>
    <w:rsid w:val="0055164E"/>
    <w:rsid w:val="00551AEE"/>
    <w:rsid w:val="00551DEC"/>
    <w:rsid w:val="00551F17"/>
    <w:rsid w:val="00551F20"/>
    <w:rsid w:val="0055228F"/>
    <w:rsid w:val="00552550"/>
    <w:rsid w:val="00552567"/>
    <w:rsid w:val="0055256C"/>
    <w:rsid w:val="00552572"/>
    <w:rsid w:val="0055282F"/>
    <w:rsid w:val="00552929"/>
    <w:rsid w:val="00552A8B"/>
    <w:rsid w:val="00552B4A"/>
    <w:rsid w:val="00552EA6"/>
    <w:rsid w:val="00552EDE"/>
    <w:rsid w:val="005531BD"/>
    <w:rsid w:val="0055363B"/>
    <w:rsid w:val="005536B9"/>
    <w:rsid w:val="00553835"/>
    <w:rsid w:val="005539A3"/>
    <w:rsid w:val="005539FA"/>
    <w:rsid w:val="00553B75"/>
    <w:rsid w:val="00553CE7"/>
    <w:rsid w:val="00553DEE"/>
    <w:rsid w:val="00553F17"/>
    <w:rsid w:val="00554088"/>
    <w:rsid w:val="005540EE"/>
    <w:rsid w:val="00554CDE"/>
    <w:rsid w:val="00554F8B"/>
    <w:rsid w:val="005550FA"/>
    <w:rsid w:val="0055527E"/>
    <w:rsid w:val="005552B6"/>
    <w:rsid w:val="0055533D"/>
    <w:rsid w:val="005553E8"/>
    <w:rsid w:val="0055557E"/>
    <w:rsid w:val="00555583"/>
    <w:rsid w:val="0055588E"/>
    <w:rsid w:val="005558D2"/>
    <w:rsid w:val="005558F7"/>
    <w:rsid w:val="00555B51"/>
    <w:rsid w:val="00555CBA"/>
    <w:rsid w:val="00555D29"/>
    <w:rsid w:val="00555D78"/>
    <w:rsid w:val="00555F52"/>
    <w:rsid w:val="00555F6A"/>
    <w:rsid w:val="00556161"/>
    <w:rsid w:val="005561C4"/>
    <w:rsid w:val="005561E2"/>
    <w:rsid w:val="00556685"/>
    <w:rsid w:val="005567B2"/>
    <w:rsid w:val="00556AB1"/>
    <w:rsid w:val="00556EA2"/>
    <w:rsid w:val="00556EFB"/>
    <w:rsid w:val="00557023"/>
    <w:rsid w:val="0055714A"/>
    <w:rsid w:val="0055717A"/>
    <w:rsid w:val="005572C9"/>
    <w:rsid w:val="0055743E"/>
    <w:rsid w:val="005574AE"/>
    <w:rsid w:val="00557572"/>
    <w:rsid w:val="005577D6"/>
    <w:rsid w:val="00557870"/>
    <w:rsid w:val="00557CA5"/>
    <w:rsid w:val="00560043"/>
    <w:rsid w:val="0056018D"/>
    <w:rsid w:val="00560277"/>
    <w:rsid w:val="005603E9"/>
    <w:rsid w:val="00560570"/>
    <w:rsid w:val="00560938"/>
    <w:rsid w:val="0056098E"/>
    <w:rsid w:val="00560AF1"/>
    <w:rsid w:val="00560B7E"/>
    <w:rsid w:val="00560B8A"/>
    <w:rsid w:val="00560BBA"/>
    <w:rsid w:val="00560CF1"/>
    <w:rsid w:val="00560DAF"/>
    <w:rsid w:val="00560EB2"/>
    <w:rsid w:val="005614DF"/>
    <w:rsid w:val="0056151F"/>
    <w:rsid w:val="00561562"/>
    <w:rsid w:val="0056158B"/>
    <w:rsid w:val="00561767"/>
    <w:rsid w:val="00561803"/>
    <w:rsid w:val="0056191D"/>
    <w:rsid w:val="00561931"/>
    <w:rsid w:val="00561A97"/>
    <w:rsid w:val="00561C27"/>
    <w:rsid w:val="00561C8A"/>
    <w:rsid w:val="00562270"/>
    <w:rsid w:val="005624DC"/>
    <w:rsid w:val="00562588"/>
    <w:rsid w:val="00562591"/>
    <w:rsid w:val="00562696"/>
    <w:rsid w:val="0056287D"/>
    <w:rsid w:val="005629EB"/>
    <w:rsid w:val="00562A6F"/>
    <w:rsid w:val="00563130"/>
    <w:rsid w:val="00563290"/>
    <w:rsid w:val="005639C3"/>
    <w:rsid w:val="00563A1D"/>
    <w:rsid w:val="00563AC6"/>
    <w:rsid w:val="00563C6C"/>
    <w:rsid w:val="00563CAA"/>
    <w:rsid w:val="00563D55"/>
    <w:rsid w:val="00563D75"/>
    <w:rsid w:val="00563DE6"/>
    <w:rsid w:val="00563E2B"/>
    <w:rsid w:val="00563E50"/>
    <w:rsid w:val="00563EDC"/>
    <w:rsid w:val="00564271"/>
    <w:rsid w:val="00564414"/>
    <w:rsid w:val="0056464E"/>
    <w:rsid w:val="00564823"/>
    <w:rsid w:val="00564912"/>
    <w:rsid w:val="005649CA"/>
    <w:rsid w:val="00564CD6"/>
    <w:rsid w:val="00565005"/>
    <w:rsid w:val="0056528D"/>
    <w:rsid w:val="00565350"/>
    <w:rsid w:val="0056538D"/>
    <w:rsid w:val="0056569B"/>
    <w:rsid w:val="00565756"/>
    <w:rsid w:val="005659EE"/>
    <w:rsid w:val="00565B6B"/>
    <w:rsid w:val="00565D02"/>
    <w:rsid w:val="00565FF7"/>
    <w:rsid w:val="00566001"/>
    <w:rsid w:val="0056628B"/>
    <w:rsid w:val="00566298"/>
    <w:rsid w:val="00566352"/>
    <w:rsid w:val="0056690D"/>
    <w:rsid w:val="00566A4C"/>
    <w:rsid w:val="00566CA9"/>
    <w:rsid w:val="00566D48"/>
    <w:rsid w:val="00566EFA"/>
    <w:rsid w:val="00567057"/>
    <w:rsid w:val="0056748B"/>
    <w:rsid w:val="005676B8"/>
    <w:rsid w:val="00567DAE"/>
    <w:rsid w:val="00567DBE"/>
    <w:rsid w:val="00567DE4"/>
    <w:rsid w:val="00570338"/>
    <w:rsid w:val="00570343"/>
    <w:rsid w:val="00570551"/>
    <w:rsid w:val="005706A2"/>
    <w:rsid w:val="005706E8"/>
    <w:rsid w:val="0057091E"/>
    <w:rsid w:val="00570EFB"/>
    <w:rsid w:val="005710CB"/>
    <w:rsid w:val="0057113A"/>
    <w:rsid w:val="00571174"/>
    <w:rsid w:val="00571236"/>
    <w:rsid w:val="005714B3"/>
    <w:rsid w:val="005714F0"/>
    <w:rsid w:val="00571637"/>
    <w:rsid w:val="005716DA"/>
    <w:rsid w:val="00571B2D"/>
    <w:rsid w:val="0057212A"/>
    <w:rsid w:val="00572180"/>
    <w:rsid w:val="0057218D"/>
    <w:rsid w:val="005723D6"/>
    <w:rsid w:val="005727F2"/>
    <w:rsid w:val="00572841"/>
    <w:rsid w:val="005728B4"/>
    <w:rsid w:val="00572936"/>
    <w:rsid w:val="00572AC5"/>
    <w:rsid w:val="00572C8C"/>
    <w:rsid w:val="00572FA1"/>
    <w:rsid w:val="00572FA4"/>
    <w:rsid w:val="00572FA7"/>
    <w:rsid w:val="00573564"/>
    <w:rsid w:val="005735A9"/>
    <w:rsid w:val="00573663"/>
    <w:rsid w:val="005737F5"/>
    <w:rsid w:val="0057387F"/>
    <w:rsid w:val="00573895"/>
    <w:rsid w:val="005739A8"/>
    <w:rsid w:val="00573AB6"/>
    <w:rsid w:val="00573F41"/>
    <w:rsid w:val="005740B8"/>
    <w:rsid w:val="00574943"/>
    <w:rsid w:val="00574A6E"/>
    <w:rsid w:val="00574A7F"/>
    <w:rsid w:val="00574B17"/>
    <w:rsid w:val="00574CDD"/>
    <w:rsid w:val="00574FA2"/>
    <w:rsid w:val="005752C4"/>
    <w:rsid w:val="0057534A"/>
    <w:rsid w:val="00575367"/>
    <w:rsid w:val="0057539E"/>
    <w:rsid w:val="005753EC"/>
    <w:rsid w:val="00575462"/>
    <w:rsid w:val="0057546E"/>
    <w:rsid w:val="00575509"/>
    <w:rsid w:val="00575657"/>
    <w:rsid w:val="00575662"/>
    <w:rsid w:val="00575A25"/>
    <w:rsid w:val="00575B34"/>
    <w:rsid w:val="005761E5"/>
    <w:rsid w:val="00576746"/>
    <w:rsid w:val="00576899"/>
    <w:rsid w:val="00576B31"/>
    <w:rsid w:val="00576CFC"/>
    <w:rsid w:val="00576EC2"/>
    <w:rsid w:val="00576F53"/>
    <w:rsid w:val="00576F8F"/>
    <w:rsid w:val="00577145"/>
    <w:rsid w:val="0057721A"/>
    <w:rsid w:val="005773BE"/>
    <w:rsid w:val="00577812"/>
    <w:rsid w:val="00577D67"/>
    <w:rsid w:val="00577EA9"/>
    <w:rsid w:val="00580272"/>
    <w:rsid w:val="0058037D"/>
    <w:rsid w:val="005808FD"/>
    <w:rsid w:val="0058091E"/>
    <w:rsid w:val="00580A05"/>
    <w:rsid w:val="00580D50"/>
    <w:rsid w:val="00580D66"/>
    <w:rsid w:val="00580D69"/>
    <w:rsid w:val="005811D2"/>
    <w:rsid w:val="00581524"/>
    <w:rsid w:val="005816DE"/>
    <w:rsid w:val="00581A7E"/>
    <w:rsid w:val="00581B1B"/>
    <w:rsid w:val="00582365"/>
    <w:rsid w:val="00582377"/>
    <w:rsid w:val="005823FC"/>
    <w:rsid w:val="00582482"/>
    <w:rsid w:val="005826FE"/>
    <w:rsid w:val="005829E5"/>
    <w:rsid w:val="005829FD"/>
    <w:rsid w:val="00582A04"/>
    <w:rsid w:val="00582A3C"/>
    <w:rsid w:val="005830A6"/>
    <w:rsid w:val="00583271"/>
    <w:rsid w:val="00583462"/>
    <w:rsid w:val="005835D0"/>
    <w:rsid w:val="0058388E"/>
    <w:rsid w:val="00583A84"/>
    <w:rsid w:val="00583B56"/>
    <w:rsid w:val="00583B6B"/>
    <w:rsid w:val="00583C2C"/>
    <w:rsid w:val="00583FA0"/>
    <w:rsid w:val="00584070"/>
    <w:rsid w:val="0058410E"/>
    <w:rsid w:val="00584154"/>
    <w:rsid w:val="005844D2"/>
    <w:rsid w:val="00584547"/>
    <w:rsid w:val="005847F0"/>
    <w:rsid w:val="00584869"/>
    <w:rsid w:val="00584D0F"/>
    <w:rsid w:val="00584F81"/>
    <w:rsid w:val="005852E7"/>
    <w:rsid w:val="0058542C"/>
    <w:rsid w:val="005859D5"/>
    <w:rsid w:val="00585A62"/>
    <w:rsid w:val="00585A80"/>
    <w:rsid w:val="00585BEC"/>
    <w:rsid w:val="00585C1B"/>
    <w:rsid w:val="00585E15"/>
    <w:rsid w:val="00586088"/>
    <w:rsid w:val="005861A7"/>
    <w:rsid w:val="0058634C"/>
    <w:rsid w:val="005863F8"/>
    <w:rsid w:val="005864A8"/>
    <w:rsid w:val="0058666A"/>
    <w:rsid w:val="005867D0"/>
    <w:rsid w:val="005869EB"/>
    <w:rsid w:val="00586A71"/>
    <w:rsid w:val="00586A9C"/>
    <w:rsid w:val="00586CB8"/>
    <w:rsid w:val="00586F81"/>
    <w:rsid w:val="00587082"/>
    <w:rsid w:val="00587142"/>
    <w:rsid w:val="00587226"/>
    <w:rsid w:val="005872CD"/>
    <w:rsid w:val="005874BA"/>
    <w:rsid w:val="005874CB"/>
    <w:rsid w:val="00587608"/>
    <w:rsid w:val="00587639"/>
    <w:rsid w:val="005876E6"/>
    <w:rsid w:val="005877B9"/>
    <w:rsid w:val="005879F4"/>
    <w:rsid w:val="00587A3E"/>
    <w:rsid w:val="00587CF5"/>
    <w:rsid w:val="00587F12"/>
    <w:rsid w:val="00590723"/>
    <w:rsid w:val="00590985"/>
    <w:rsid w:val="00590B03"/>
    <w:rsid w:val="00590DFC"/>
    <w:rsid w:val="00590E8E"/>
    <w:rsid w:val="0059100E"/>
    <w:rsid w:val="005911CE"/>
    <w:rsid w:val="0059130B"/>
    <w:rsid w:val="005913FC"/>
    <w:rsid w:val="0059146C"/>
    <w:rsid w:val="005914A9"/>
    <w:rsid w:val="00591606"/>
    <w:rsid w:val="00592274"/>
    <w:rsid w:val="00592333"/>
    <w:rsid w:val="00592347"/>
    <w:rsid w:val="005924E2"/>
    <w:rsid w:val="00592638"/>
    <w:rsid w:val="005927FD"/>
    <w:rsid w:val="00592AA1"/>
    <w:rsid w:val="00592CF1"/>
    <w:rsid w:val="00593126"/>
    <w:rsid w:val="00593138"/>
    <w:rsid w:val="005931E5"/>
    <w:rsid w:val="005933F3"/>
    <w:rsid w:val="005938CE"/>
    <w:rsid w:val="00593A33"/>
    <w:rsid w:val="00593CF4"/>
    <w:rsid w:val="00593DB6"/>
    <w:rsid w:val="00593DF6"/>
    <w:rsid w:val="00593E3C"/>
    <w:rsid w:val="00593E54"/>
    <w:rsid w:val="00594018"/>
    <w:rsid w:val="00594203"/>
    <w:rsid w:val="0059471C"/>
    <w:rsid w:val="005947B5"/>
    <w:rsid w:val="00594887"/>
    <w:rsid w:val="00594A8C"/>
    <w:rsid w:val="005950F0"/>
    <w:rsid w:val="00595135"/>
    <w:rsid w:val="005951A6"/>
    <w:rsid w:val="0059550A"/>
    <w:rsid w:val="0059595C"/>
    <w:rsid w:val="005959A6"/>
    <w:rsid w:val="00595B16"/>
    <w:rsid w:val="00595B40"/>
    <w:rsid w:val="00595E43"/>
    <w:rsid w:val="00595F92"/>
    <w:rsid w:val="005960BB"/>
    <w:rsid w:val="00596256"/>
    <w:rsid w:val="00596411"/>
    <w:rsid w:val="0059660A"/>
    <w:rsid w:val="0059681D"/>
    <w:rsid w:val="00596C49"/>
    <w:rsid w:val="00596DD8"/>
    <w:rsid w:val="0059703E"/>
    <w:rsid w:val="0059708B"/>
    <w:rsid w:val="00597179"/>
    <w:rsid w:val="0059720C"/>
    <w:rsid w:val="00597407"/>
    <w:rsid w:val="005979D9"/>
    <w:rsid w:val="005979EB"/>
    <w:rsid w:val="00597F43"/>
    <w:rsid w:val="0059B2B9"/>
    <w:rsid w:val="005A040C"/>
    <w:rsid w:val="005A0471"/>
    <w:rsid w:val="005A0496"/>
    <w:rsid w:val="005A065E"/>
    <w:rsid w:val="005A0778"/>
    <w:rsid w:val="005A0875"/>
    <w:rsid w:val="005A0989"/>
    <w:rsid w:val="005A0DBD"/>
    <w:rsid w:val="005A0E67"/>
    <w:rsid w:val="005A0E68"/>
    <w:rsid w:val="005A0E9E"/>
    <w:rsid w:val="005A11E1"/>
    <w:rsid w:val="005A1247"/>
    <w:rsid w:val="005A12FC"/>
    <w:rsid w:val="005A165F"/>
    <w:rsid w:val="005A1778"/>
    <w:rsid w:val="005A18E7"/>
    <w:rsid w:val="005A1905"/>
    <w:rsid w:val="005A19A3"/>
    <w:rsid w:val="005A1D71"/>
    <w:rsid w:val="005A203D"/>
    <w:rsid w:val="005A21C1"/>
    <w:rsid w:val="005A22AA"/>
    <w:rsid w:val="005A23ED"/>
    <w:rsid w:val="005A2535"/>
    <w:rsid w:val="005A2D77"/>
    <w:rsid w:val="005A3075"/>
    <w:rsid w:val="005A33EB"/>
    <w:rsid w:val="005A3E8C"/>
    <w:rsid w:val="005A4047"/>
    <w:rsid w:val="005A42B1"/>
    <w:rsid w:val="005A42BD"/>
    <w:rsid w:val="005A4384"/>
    <w:rsid w:val="005A4720"/>
    <w:rsid w:val="005A47B3"/>
    <w:rsid w:val="005A48D7"/>
    <w:rsid w:val="005A4A4D"/>
    <w:rsid w:val="005A4D5C"/>
    <w:rsid w:val="005A5164"/>
    <w:rsid w:val="005A533C"/>
    <w:rsid w:val="005A5740"/>
    <w:rsid w:val="005A574D"/>
    <w:rsid w:val="005A57F9"/>
    <w:rsid w:val="005A5868"/>
    <w:rsid w:val="005A59CF"/>
    <w:rsid w:val="005A5B9A"/>
    <w:rsid w:val="005A5BFA"/>
    <w:rsid w:val="005A5CDC"/>
    <w:rsid w:val="005A5F09"/>
    <w:rsid w:val="005A624A"/>
    <w:rsid w:val="005A63D9"/>
    <w:rsid w:val="005A6512"/>
    <w:rsid w:val="005A65D6"/>
    <w:rsid w:val="005A65F8"/>
    <w:rsid w:val="005A6B4B"/>
    <w:rsid w:val="005A6E0F"/>
    <w:rsid w:val="005A6FCC"/>
    <w:rsid w:val="005A6FD7"/>
    <w:rsid w:val="005A7012"/>
    <w:rsid w:val="005A709A"/>
    <w:rsid w:val="005A73AE"/>
    <w:rsid w:val="005A77C2"/>
    <w:rsid w:val="005A78B1"/>
    <w:rsid w:val="005A78C6"/>
    <w:rsid w:val="005A7A47"/>
    <w:rsid w:val="005A7A5E"/>
    <w:rsid w:val="005A7C14"/>
    <w:rsid w:val="005A7EE7"/>
    <w:rsid w:val="005B0021"/>
    <w:rsid w:val="005B027B"/>
    <w:rsid w:val="005B04F9"/>
    <w:rsid w:val="005B05D1"/>
    <w:rsid w:val="005B0721"/>
    <w:rsid w:val="005B074E"/>
    <w:rsid w:val="005B0B92"/>
    <w:rsid w:val="005B0B9F"/>
    <w:rsid w:val="005B0C7E"/>
    <w:rsid w:val="005B0ED1"/>
    <w:rsid w:val="005B0F35"/>
    <w:rsid w:val="005B1054"/>
    <w:rsid w:val="005B1393"/>
    <w:rsid w:val="005B13E0"/>
    <w:rsid w:val="005B1AB4"/>
    <w:rsid w:val="005B1C07"/>
    <w:rsid w:val="005B1CF2"/>
    <w:rsid w:val="005B20D2"/>
    <w:rsid w:val="005B2244"/>
    <w:rsid w:val="005B22BE"/>
    <w:rsid w:val="005B253F"/>
    <w:rsid w:val="005B2807"/>
    <w:rsid w:val="005B2D45"/>
    <w:rsid w:val="005B31AC"/>
    <w:rsid w:val="005B337F"/>
    <w:rsid w:val="005B3432"/>
    <w:rsid w:val="005B378E"/>
    <w:rsid w:val="005B3BD6"/>
    <w:rsid w:val="005B3F81"/>
    <w:rsid w:val="005B45F4"/>
    <w:rsid w:val="005B4842"/>
    <w:rsid w:val="005B4B07"/>
    <w:rsid w:val="005B4BF4"/>
    <w:rsid w:val="005B4C16"/>
    <w:rsid w:val="005B4F17"/>
    <w:rsid w:val="005B510A"/>
    <w:rsid w:val="005B54E7"/>
    <w:rsid w:val="005B55B3"/>
    <w:rsid w:val="005B5749"/>
    <w:rsid w:val="005B5954"/>
    <w:rsid w:val="005B59EA"/>
    <w:rsid w:val="005B5ACA"/>
    <w:rsid w:val="005B5AD0"/>
    <w:rsid w:val="005B5AEC"/>
    <w:rsid w:val="005B5B58"/>
    <w:rsid w:val="005B5D18"/>
    <w:rsid w:val="005B5F40"/>
    <w:rsid w:val="005B6000"/>
    <w:rsid w:val="005B6091"/>
    <w:rsid w:val="005B6105"/>
    <w:rsid w:val="005B6165"/>
    <w:rsid w:val="005B6224"/>
    <w:rsid w:val="005B6407"/>
    <w:rsid w:val="005B664C"/>
    <w:rsid w:val="005B6742"/>
    <w:rsid w:val="005B684B"/>
    <w:rsid w:val="005B6877"/>
    <w:rsid w:val="005B6BD1"/>
    <w:rsid w:val="005B6BE8"/>
    <w:rsid w:val="005B7058"/>
    <w:rsid w:val="005B7117"/>
    <w:rsid w:val="005B71F1"/>
    <w:rsid w:val="005B7257"/>
    <w:rsid w:val="005B7558"/>
    <w:rsid w:val="005B7A52"/>
    <w:rsid w:val="005B7B06"/>
    <w:rsid w:val="005B7D6C"/>
    <w:rsid w:val="005B7E5B"/>
    <w:rsid w:val="005B7E72"/>
    <w:rsid w:val="005C0827"/>
    <w:rsid w:val="005C0982"/>
    <w:rsid w:val="005C0C96"/>
    <w:rsid w:val="005C14BD"/>
    <w:rsid w:val="005C14E7"/>
    <w:rsid w:val="005C1698"/>
    <w:rsid w:val="005C16A3"/>
    <w:rsid w:val="005C17AE"/>
    <w:rsid w:val="005C17E7"/>
    <w:rsid w:val="005C18CB"/>
    <w:rsid w:val="005C204F"/>
    <w:rsid w:val="005C21CE"/>
    <w:rsid w:val="005C21F0"/>
    <w:rsid w:val="005C22DD"/>
    <w:rsid w:val="005C2373"/>
    <w:rsid w:val="005C2465"/>
    <w:rsid w:val="005C250C"/>
    <w:rsid w:val="005C2640"/>
    <w:rsid w:val="005C2776"/>
    <w:rsid w:val="005C27EA"/>
    <w:rsid w:val="005C2864"/>
    <w:rsid w:val="005C291A"/>
    <w:rsid w:val="005C2FD0"/>
    <w:rsid w:val="005C30D6"/>
    <w:rsid w:val="005C30FF"/>
    <w:rsid w:val="005C3192"/>
    <w:rsid w:val="005C32FE"/>
    <w:rsid w:val="005C33E7"/>
    <w:rsid w:val="005C33EE"/>
    <w:rsid w:val="005C347C"/>
    <w:rsid w:val="005C3501"/>
    <w:rsid w:val="005C36E5"/>
    <w:rsid w:val="005C3785"/>
    <w:rsid w:val="005C37B8"/>
    <w:rsid w:val="005C37D4"/>
    <w:rsid w:val="005C390B"/>
    <w:rsid w:val="005C3B37"/>
    <w:rsid w:val="005C3BEB"/>
    <w:rsid w:val="005C4A07"/>
    <w:rsid w:val="005C4C7E"/>
    <w:rsid w:val="005C4E7B"/>
    <w:rsid w:val="005C54F4"/>
    <w:rsid w:val="005C5593"/>
    <w:rsid w:val="005C55B1"/>
    <w:rsid w:val="005C5645"/>
    <w:rsid w:val="005C568F"/>
    <w:rsid w:val="005C5A07"/>
    <w:rsid w:val="005C5DF9"/>
    <w:rsid w:val="005C5EF7"/>
    <w:rsid w:val="005C62D1"/>
    <w:rsid w:val="005C6513"/>
    <w:rsid w:val="005C65DA"/>
    <w:rsid w:val="005C668A"/>
    <w:rsid w:val="005C6751"/>
    <w:rsid w:val="005C68BC"/>
    <w:rsid w:val="005C6C59"/>
    <w:rsid w:val="005C6CBC"/>
    <w:rsid w:val="005C6CF6"/>
    <w:rsid w:val="005C71A9"/>
    <w:rsid w:val="005C7215"/>
    <w:rsid w:val="005C734D"/>
    <w:rsid w:val="005C73A3"/>
    <w:rsid w:val="005C73C4"/>
    <w:rsid w:val="005C7470"/>
    <w:rsid w:val="005C761A"/>
    <w:rsid w:val="005C76E4"/>
    <w:rsid w:val="005C798F"/>
    <w:rsid w:val="005C7AEB"/>
    <w:rsid w:val="005C7EE8"/>
    <w:rsid w:val="005C7FCD"/>
    <w:rsid w:val="005D00EA"/>
    <w:rsid w:val="005D0184"/>
    <w:rsid w:val="005D023B"/>
    <w:rsid w:val="005D02C4"/>
    <w:rsid w:val="005D0364"/>
    <w:rsid w:val="005D060E"/>
    <w:rsid w:val="005D0905"/>
    <w:rsid w:val="005D0A84"/>
    <w:rsid w:val="005D0DF6"/>
    <w:rsid w:val="005D0ED3"/>
    <w:rsid w:val="005D0F29"/>
    <w:rsid w:val="005D0F2F"/>
    <w:rsid w:val="005D0FFC"/>
    <w:rsid w:val="005D10D1"/>
    <w:rsid w:val="005D132F"/>
    <w:rsid w:val="005D1490"/>
    <w:rsid w:val="005D150F"/>
    <w:rsid w:val="005D15E4"/>
    <w:rsid w:val="005D1978"/>
    <w:rsid w:val="005D19C2"/>
    <w:rsid w:val="005D1C7D"/>
    <w:rsid w:val="005D22EE"/>
    <w:rsid w:val="005D2304"/>
    <w:rsid w:val="005D24CC"/>
    <w:rsid w:val="005D24EA"/>
    <w:rsid w:val="005D25D6"/>
    <w:rsid w:val="005D27B8"/>
    <w:rsid w:val="005D2AAE"/>
    <w:rsid w:val="005D2FBC"/>
    <w:rsid w:val="005D3233"/>
    <w:rsid w:val="005D32BD"/>
    <w:rsid w:val="005D3358"/>
    <w:rsid w:val="005D33BA"/>
    <w:rsid w:val="005D342F"/>
    <w:rsid w:val="005D37EF"/>
    <w:rsid w:val="005D3A04"/>
    <w:rsid w:val="005D3AC1"/>
    <w:rsid w:val="005D3DD9"/>
    <w:rsid w:val="005D3DF0"/>
    <w:rsid w:val="005D40DD"/>
    <w:rsid w:val="005D43E3"/>
    <w:rsid w:val="005D48E8"/>
    <w:rsid w:val="005D48FE"/>
    <w:rsid w:val="005D4CFB"/>
    <w:rsid w:val="005D4D45"/>
    <w:rsid w:val="005D4DD9"/>
    <w:rsid w:val="005D4EED"/>
    <w:rsid w:val="005D515D"/>
    <w:rsid w:val="005D53C3"/>
    <w:rsid w:val="005D5DF9"/>
    <w:rsid w:val="005D6029"/>
    <w:rsid w:val="005D6914"/>
    <w:rsid w:val="005D6C5B"/>
    <w:rsid w:val="005D6CB3"/>
    <w:rsid w:val="005D6E7B"/>
    <w:rsid w:val="005D6F7E"/>
    <w:rsid w:val="005D6F97"/>
    <w:rsid w:val="005D711B"/>
    <w:rsid w:val="005D717C"/>
    <w:rsid w:val="005D7471"/>
    <w:rsid w:val="005D749D"/>
    <w:rsid w:val="005D76CD"/>
    <w:rsid w:val="005E006B"/>
    <w:rsid w:val="005E00EE"/>
    <w:rsid w:val="005E01EA"/>
    <w:rsid w:val="005E02AF"/>
    <w:rsid w:val="005E0302"/>
    <w:rsid w:val="005E090C"/>
    <w:rsid w:val="005E0921"/>
    <w:rsid w:val="005E09D9"/>
    <w:rsid w:val="005E09E4"/>
    <w:rsid w:val="005E0AC0"/>
    <w:rsid w:val="005E10EF"/>
    <w:rsid w:val="005E1184"/>
    <w:rsid w:val="005E12A4"/>
    <w:rsid w:val="005E12EB"/>
    <w:rsid w:val="005E16E5"/>
    <w:rsid w:val="005E1711"/>
    <w:rsid w:val="005E173A"/>
    <w:rsid w:val="005E1BAF"/>
    <w:rsid w:val="005E1F04"/>
    <w:rsid w:val="005E2117"/>
    <w:rsid w:val="005E227F"/>
    <w:rsid w:val="005E2314"/>
    <w:rsid w:val="005E2702"/>
    <w:rsid w:val="005E2AF7"/>
    <w:rsid w:val="005E2B23"/>
    <w:rsid w:val="005E2C0E"/>
    <w:rsid w:val="005E31DC"/>
    <w:rsid w:val="005E3209"/>
    <w:rsid w:val="005E3567"/>
    <w:rsid w:val="005E35FA"/>
    <w:rsid w:val="005E37F6"/>
    <w:rsid w:val="005E3F78"/>
    <w:rsid w:val="005E40BA"/>
    <w:rsid w:val="005E40D6"/>
    <w:rsid w:val="005E4186"/>
    <w:rsid w:val="005E433F"/>
    <w:rsid w:val="005E48DD"/>
    <w:rsid w:val="005E494B"/>
    <w:rsid w:val="005E4FE7"/>
    <w:rsid w:val="005E50F0"/>
    <w:rsid w:val="005E5253"/>
    <w:rsid w:val="005E5434"/>
    <w:rsid w:val="005E5470"/>
    <w:rsid w:val="005E54F7"/>
    <w:rsid w:val="005E5854"/>
    <w:rsid w:val="005E5874"/>
    <w:rsid w:val="005E5EA7"/>
    <w:rsid w:val="005E6374"/>
    <w:rsid w:val="005E640A"/>
    <w:rsid w:val="005E6D30"/>
    <w:rsid w:val="005E7378"/>
    <w:rsid w:val="005E7417"/>
    <w:rsid w:val="005E7442"/>
    <w:rsid w:val="005E75D5"/>
    <w:rsid w:val="005E78D6"/>
    <w:rsid w:val="005E78E3"/>
    <w:rsid w:val="005E7ACE"/>
    <w:rsid w:val="005E7BB5"/>
    <w:rsid w:val="005E7C37"/>
    <w:rsid w:val="005F06D3"/>
    <w:rsid w:val="005F07A2"/>
    <w:rsid w:val="005F0897"/>
    <w:rsid w:val="005F091F"/>
    <w:rsid w:val="005F0AAD"/>
    <w:rsid w:val="005F0B5F"/>
    <w:rsid w:val="005F0BCA"/>
    <w:rsid w:val="005F0DF7"/>
    <w:rsid w:val="005F150B"/>
    <w:rsid w:val="005F1555"/>
    <w:rsid w:val="005F1696"/>
    <w:rsid w:val="005F19DF"/>
    <w:rsid w:val="005F1A6B"/>
    <w:rsid w:val="005F1E69"/>
    <w:rsid w:val="005F1E9F"/>
    <w:rsid w:val="005F256F"/>
    <w:rsid w:val="005F25CA"/>
    <w:rsid w:val="005F2663"/>
    <w:rsid w:val="005F26AF"/>
    <w:rsid w:val="005F281A"/>
    <w:rsid w:val="005F2978"/>
    <w:rsid w:val="005F2A40"/>
    <w:rsid w:val="005F2C40"/>
    <w:rsid w:val="005F2CC6"/>
    <w:rsid w:val="005F2D90"/>
    <w:rsid w:val="005F2DEF"/>
    <w:rsid w:val="005F3127"/>
    <w:rsid w:val="005F3402"/>
    <w:rsid w:val="005F36F1"/>
    <w:rsid w:val="005F372E"/>
    <w:rsid w:val="005F3CA9"/>
    <w:rsid w:val="005F3F45"/>
    <w:rsid w:val="005F404B"/>
    <w:rsid w:val="005F4474"/>
    <w:rsid w:val="005F45D1"/>
    <w:rsid w:val="005F4721"/>
    <w:rsid w:val="005F47D2"/>
    <w:rsid w:val="005F4802"/>
    <w:rsid w:val="005F4B18"/>
    <w:rsid w:val="005F4BC7"/>
    <w:rsid w:val="005F5013"/>
    <w:rsid w:val="005F5032"/>
    <w:rsid w:val="005F552F"/>
    <w:rsid w:val="005F5B5A"/>
    <w:rsid w:val="005F5BFF"/>
    <w:rsid w:val="005F6050"/>
    <w:rsid w:val="005F6684"/>
    <w:rsid w:val="005F672A"/>
    <w:rsid w:val="005F6857"/>
    <w:rsid w:val="005F6948"/>
    <w:rsid w:val="005F6E16"/>
    <w:rsid w:val="005F6E36"/>
    <w:rsid w:val="005F6EB3"/>
    <w:rsid w:val="005F6F7A"/>
    <w:rsid w:val="005F6FD4"/>
    <w:rsid w:val="005F720A"/>
    <w:rsid w:val="005F73AC"/>
    <w:rsid w:val="005F7409"/>
    <w:rsid w:val="005F7608"/>
    <w:rsid w:val="005F791E"/>
    <w:rsid w:val="005F7944"/>
    <w:rsid w:val="005F79DF"/>
    <w:rsid w:val="00600212"/>
    <w:rsid w:val="00600594"/>
    <w:rsid w:val="00600BAC"/>
    <w:rsid w:val="00600F57"/>
    <w:rsid w:val="00601153"/>
    <w:rsid w:val="006012CA"/>
    <w:rsid w:val="00601363"/>
    <w:rsid w:val="006013A8"/>
    <w:rsid w:val="006013B3"/>
    <w:rsid w:val="00601443"/>
    <w:rsid w:val="006016CB"/>
    <w:rsid w:val="00601786"/>
    <w:rsid w:val="0060199F"/>
    <w:rsid w:val="006019C7"/>
    <w:rsid w:val="00601A4F"/>
    <w:rsid w:val="00601A97"/>
    <w:rsid w:val="006023A8"/>
    <w:rsid w:val="0060269F"/>
    <w:rsid w:val="0060277A"/>
    <w:rsid w:val="00602B13"/>
    <w:rsid w:val="00602DAC"/>
    <w:rsid w:val="00602E26"/>
    <w:rsid w:val="00602F43"/>
    <w:rsid w:val="00603300"/>
    <w:rsid w:val="006034FC"/>
    <w:rsid w:val="00603500"/>
    <w:rsid w:val="00603AB8"/>
    <w:rsid w:val="00603B08"/>
    <w:rsid w:val="00603D9E"/>
    <w:rsid w:val="006040B1"/>
    <w:rsid w:val="006042A7"/>
    <w:rsid w:val="006047B7"/>
    <w:rsid w:val="00604984"/>
    <w:rsid w:val="00604C51"/>
    <w:rsid w:val="00604E46"/>
    <w:rsid w:val="006050CC"/>
    <w:rsid w:val="00605251"/>
    <w:rsid w:val="00605776"/>
    <w:rsid w:val="006057C8"/>
    <w:rsid w:val="00605959"/>
    <w:rsid w:val="00605A18"/>
    <w:rsid w:val="00605C83"/>
    <w:rsid w:val="00605CC3"/>
    <w:rsid w:val="00605D5F"/>
    <w:rsid w:val="00605F91"/>
    <w:rsid w:val="00606258"/>
    <w:rsid w:val="00606A28"/>
    <w:rsid w:val="00606D4D"/>
    <w:rsid w:val="00606F4F"/>
    <w:rsid w:val="00606FAC"/>
    <w:rsid w:val="00607182"/>
    <w:rsid w:val="0060722D"/>
    <w:rsid w:val="0060753D"/>
    <w:rsid w:val="006077C4"/>
    <w:rsid w:val="006079C3"/>
    <w:rsid w:val="00607A21"/>
    <w:rsid w:val="00607A72"/>
    <w:rsid w:val="00607C6E"/>
    <w:rsid w:val="00607C92"/>
    <w:rsid w:val="00607E23"/>
    <w:rsid w:val="00607F34"/>
    <w:rsid w:val="00607F81"/>
    <w:rsid w:val="0061015E"/>
    <w:rsid w:val="00610162"/>
    <w:rsid w:val="0061052B"/>
    <w:rsid w:val="0061060F"/>
    <w:rsid w:val="006108F4"/>
    <w:rsid w:val="00610ABA"/>
    <w:rsid w:val="006112F1"/>
    <w:rsid w:val="00611B4C"/>
    <w:rsid w:val="00611CEE"/>
    <w:rsid w:val="00611D51"/>
    <w:rsid w:val="00611F02"/>
    <w:rsid w:val="006120D0"/>
    <w:rsid w:val="0061223B"/>
    <w:rsid w:val="0061224D"/>
    <w:rsid w:val="006123FF"/>
    <w:rsid w:val="00612A0C"/>
    <w:rsid w:val="00612BEA"/>
    <w:rsid w:val="00612BF7"/>
    <w:rsid w:val="00612BFB"/>
    <w:rsid w:val="00612F82"/>
    <w:rsid w:val="00613037"/>
    <w:rsid w:val="006130BD"/>
    <w:rsid w:val="0061351D"/>
    <w:rsid w:val="006135AB"/>
    <w:rsid w:val="006136C1"/>
    <w:rsid w:val="006136F9"/>
    <w:rsid w:val="006138E4"/>
    <w:rsid w:val="006139EE"/>
    <w:rsid w:val="00613A93"/>
    <w:rsid w:val="00613E60"/>
    <w:rsid w:val="00613F5F"/>
    <w:rsid w:val="00614176"/>
    <w:rsid w:val="00614232"/>
    <w:rsid w:val="006144F6"/>
    <w:rsid w:val="0061497D"/>
    <w:rsid w:val="00614B40"/>
    <w:rsid w:val="00614EE3"/>
    <w:rsid w:val="00615020"/>
    <w:rsid w:val="00615480"/>
    <w:rsid w:val="00615808"/>
    <w:rsid w:val="00615CBC"/>
    <w:rsid w:val="00615CCE"/>
    <w:rsid w:val="00615D3C"/>
    <w:rsid w:val="00615D49"/>
    <w:rsid w:val="00615FEF"/>
    <w:rsid w:val="0061611A"/>
    <w:rsid w:val="00616407"/>
    <w:rsid w:val="0061642F"/>
    <w:rsid w:val="006166AA"/>
    <w:rsid w:val="006166BA"/>
    <w:rsid w:val="00616970"/>
    <w:rsid w:val="00616A46"/>
    <w:rsid w:val="00616A94"/>
    <w:rsid w:val="0061706D"/>
    <w:rsid w:val="00617236"/>
    <w:rsid w:val="006172AB"/>
    <w:rsid w:val="00617436"/>
    <w:rsid w:val="00617457"/>
    <w:rsid w:val="00617AAB"/>
    <w:rsid w:val="00617DE7"/>
    <w:rsid w:val="00617E1E"/>
    <w:rsid w:val="00617E4D"/>
    <w:rsid w:val="00620038"/>
    <w:rsid w:val="006201F1"/>
    <w:rsid w:val="006206DB"/>
    <w:rsid w:val="00620E5A"/>
    <w:rsid w:val="00620E87"/>
    <w:rsid w:val="00621381"/>
    <w:rsid w:val="00621967"/>
    <w:rsid w:val="00621A65"/>
    <w:rsid w:val="00621CB3"/>
    <w:rsid w:val="00621E7D"/>
    <w:rsid w:val="00622A0B"/>
    <w:rsid w:val="00622A7B"/>
    <w:rsid w:val="00622AB6"/>
    <w:rsid w:val="00622B4E"/>
    <w:rsid w:val="00622B71"/>
    <w:rsid w:val="00622E54"/>
    <w:rsid w:val="00622FD7"/>
    <w:rsid w:val="006231BE"/>
    <w:rsid w:val="00623218"/>
    <w:rsid w:val="00623380"/>
    <w:rsid w:val="006234B0"/>
    <w:rsid w:val="006234BD"/>
    <w:rsid w:val="0062351C"/>
    <w:rsid w:val="00623760"/>
    <w:rsid w:val="0062378C"/>
    <w:rsid w:val="00623AE0"/>
    <w:rsid w:val="00623E6B"/>
    <w:rsid w:val="00624004"/>
    <w:rsid w:val="00624274"/>
    <w:rsid w:val="006243DA"/>
    <w:rsid w:val="00624401"/>
    <w:rsid w:val="0062448A"/>
    <w:rsid w:val="0062462F"/>
    <w:rsid w:val="00624BA3"/>
    <w:rsid w:val="00624C07"/>
    <w:rsid w:val="00624C6E"/>
    <w:rsid w:val="00624CB4"/>
    <w:rsid w:val="00624DD1"/>
    <w:rsid w:val="00624F5C"/>
    <w:rsid w:val="00624FD2"/>
    <w:rsid w:val="0062501E"/>
    <w:rsid w:val="006250E9"/>
    <w:rsid w:val="00625118"/>
    <w:rsid w:val="0062542B"/>
    <w:rsid w:val="00625692"/>
    <w:rsid w:val="0062575D"/>
    <w:rsid w:val="00625F03"/>
    <w:rsid w:val="00625FB6"/>
    <w:rsid w:val="00626065"/>
    <w:rsid w:val="0062630C"/>
    <w:rsid w:val="006263C1"/>
    <w:rsid w:val="006263C8"/>
    <w:rsid w:val="00626470"/>
    <w:rsid w:val="0062687D"/>
    <w:rsid w:val="0062694D"/>
    <w:rsid w:val="006269B3"/>
    <w:rsid w:val="00626E9C"/>
    <w:rsid w:val="006273BB"/>
    <w:rsid w:val="006273CE"/>
    <w:rsid w:val="00627ABB"/>
    <w:rsid w:val="00627F5A"/>
    <w:rsid w:val="006305A7"/>
    <w:rsid w:val="006308D3"/>
    <w:rsid w:val="00630B13"/>
    <w:rsid w:val="00630C0B"/>
    <w:rsid w:val="00630C78"/>
    <w:rsid w:val="00630DD4"/>
    <w:rsid w:val="00630E19"/>
    <w:rsid w:val="00631183"/>
    <w:rsid w:val="006312F4"/>
    <w:rsid w:val="006316F8"/>
    <w:rsid w:val="006317FE"/>
    <w:rsid w:val="006318A1"/>
    <w:rsid w:val="00631A44"/>
    <w:rsid w:val="00631A93"/>
    <w:rsid w:val="00631BB4"/>
    <w:rsid w:val="00631C2E"/>
    <w:rsid w:val="00631E29"/>
    <w:rsid w:val="00632008"/>
    <w:rsid w:val="00632220"/>
    <w:rsid w:val="00632352"/>
    <w:rsid w:val="0063238B"/>
    <w:rsid w:val="006326F6"/>
    <w:rsid w:val="0063289F"/>
    <w:rsid w:val="00632A53"/>
    <w:rsid w:val="00632AFC"/>
    <w:rsid w:val="00633116"/>
    <w:rsid w:val="006332A4"/>
    <w:rsid w:val="0063345F"/>
    <w:rsid w:val="00633B2F"/>
    <w:rsid w:val="00633C0D"/>
    <w:rsid w:val="00633C27"/>
    <w:rsid w:val="00633DDF"/>
    <w:rsid w:val="00633EDD"/>
    <w:rsid w:val="00633F2D"/>
    <w:rsid w:val="00633F2E"/>
    <w:rsid w:val="00634018"/>
    <w:rsid w:val="006342A1"/>
    <w:rsid w:val="0063440E"/>
    <w:rsid w:val="00634619"/>
    <w:rsid w:val="006346FC"/>
    <w:rsid w:val="00634C5D"/>
    <w:rsid w:val="00634D63"/>
    <w:rsid w:val="006352D0"/>
    <w:rsid w:val="006352D2"/>
    <w:rsid w:val="006358C6"/>
    <w:rsid w:val="00635B70"/>
    <w:rsid w:val="00635BD6"/>
    <w:rsid w:val="00635CCC"/>
    <w:rsid w:val="00635D3D"/>
    <w:rsid w:val="00635EED"/>
    <w:rsid w:val="0063640A"/>
    <w:rsid w:val="006365DC"/>
    <w:rsid w:val="00636709"/>
    <w:rsid w:val="006368B9"/>
    <w:rsid w:val="00636989"/>
    <w:rsid w:val="0063699D"/>
    <w:rsid w:val="00636C73"/>
    <w:rsid w:val="00636D5A"/>
    <w:rsid w:val="00636D82"/>
    <w:rsid w:val="00636EA0"/>
    <w:rsid w:val="006371D1"/>
    <w:rsid w:val="00637238"/>
    <w:rsid w:val="006372A3"/>
    <w:rsid w:val="006376AB"/>
    <w:rsid w:val="006376F0"/>
    <w:rsid w:val="00637A2B"/>
    <w:rsid w:val="00637A6C"/>
    <w:rsid w:val="00640134"/>
    <w:rsid w:val="006402EE"/>
    <w:rsid w:val="00640333"/>
    <w:rsid w:val="00640388"/>
    <w:rsid w:val="006403FE"/>
    <w:rsid w:val="00640486"/>
    <w:rsid w:val="00640629"/>
    <w:rsid w:val="0064064B"/>
    <w:rsid w:val="00640C31"/>
    <w:rsid w:val="00640ED9"/>
    <w:rsid w:val="006411DD"/>
    <w:rsid w:val="00641325"/>
    <w:rsid w:val="00641699"/>
    <w:rsid w:val="006416B8"/>
    <w:rsid w:val="00641739"/>
    <w:rsid w:val="006418C5"/>
    <w:rsid w:val="0064198D"/>
    <w:rsid w:val="00641A96"/>
    <w:rsid w:val="006420EB"/>
    <w:rsid w:val="006421E8"/>
    <w:rsid w:val="00642263"/>
    <w:rsid w:val="006423E8"/>
    <w:rsid w:val="006426CB"/>
    <w:rsid w:val="006427FC"/>
    <w:rsid w:val="0064297D"/>
    <w:rsid w:val="00642B6D"/>
    <w:rsid w:val="00642BA2"/>
    <w:rsid w:val="00642E44"/>
    <w:rsid w:val="00643050"/>
    <w:rsid w:val="00643226"/>
    <w:rsid w:val="006434B0"/>
    <w:rsid w:val="0064353F"/>
    <w:rsid w:val="00643547"/>
    <w:rsid w:val="006436B2"/>
    <w:rsid w:val="006436D3"/>
    <w:rsid w:val="0064372B"/>
    <w:rsid w:val="00643828"/>
    <w:rsid w:val="00643943"/>
    <w:rsid w:val="00643A46"/>
    <w:rsid w:val="00643E06"/>
    <w:rsid w:val="00644085"/>
    <w:rsid w:val="0064447A"/>
    <w:rsid w:val="006444E7"/>
    <w:rsid w:val="006446E0"/>
    <w:rsid w:val="0064476C"/>
    <w:rsid w:val="006447C3"/>
    <w:rsid w:val="006447EE"/>
    <w:rsid w:val="00644834"/>
    <w:rsid w:val="00644C44"/>
    <w:rsid w:val="00644D9A"/>
    <w:rsid w:val="00644E81"/>
    <w:rsid w:val="00645391"/>
    <w:rsid w:val="0064543F"/>
    <w:rsid w:val="006459EF"/>
    <w:rsid w:val="00645A28"/>
    <w:rsid w:val="00645DB3"/>
    <w:rsid w:val="00645EEB"/>
    <w:rsid w:val="00645F54"/>
    <w:rsid w:val="00646120"/>
    <w:rsid w:val="00646245"/>
    <w:rsid w:val="006465F3"/>
    <w:rsid w:val="006467A5"/>
    <w:rsid w:val="006467EA"/>
    <w:rsid w:val="00646B0F"/>
    <w:rsid w:val="00646B85"/>
    <w:rsid w:val="00646D3C"/>
    <w:rsid w:val="00646D7A"/>
    <w:rsid w:val="00646EB5"/>
    <w:rsid w:val="006470AA"/>
    <w:rsid w:val="006471B8"/>
    <w:rsid w:val="006472AB"/>
    <w:rsid w:val="006472F8"/>
    <w:rsid w:val="00647355"/>
    <w:rsid w:val="006475AB"/>
    <w:rsid w:val="006479AE"/>
    <w:rsid w:val="00647B63"/>
    <w:rsid w:val="00647C3C"/>
    <w:rsid w:val="00647E93"/>
    <w:rsid w:val="00647FC6"/>
    <w:rsid w:val="0065012E"/>
    <w:rsid w:val="00650472"/>
    <w:rsid w:val="006507A4"/>
    <w:rsid w:val="0065086D"/>
    <w:rsid w:val="006508EF"/>
    <w:rsid w:val="00650B21"/>
    <w:rsid w:val="00650C5D"/>
    <w:rsid w:val="00650F9E"/>
    <w:rsid w:val="00650FF8"/>
    <w:rsid w:val="0065106C"/>
    <w:rsid w:val="0065106E"/>
    <w:rsid w:val="006512A9"/>
    <w:rsid w:val="00651312"/>
    <w:rsid w:val="00651605"/>
    <w:rsid w:val="00651662"/>
    <w:rsid w:val="006516E8"/>
    <w:rsid w:val="00651785"/>
    <w:rsid w:val="00651C72"/>
    <w:rsid w:val="00651D97"/>
    <w:rsid w:val="00652068"/>
    <w:rsid w:val="006520E0"/>
    <w:rsid w:val="00652100"/>
    <w:rsid w:val="00652541"/>
    <w:rsid w:val="0065273D"/>
    <w:rsid w:val="006527CE"/>
    <w:rsid w:val="00652936"/>
    <w:rsid w:val="00652A6F"/>
    <w:rsid w:val="00652D62"/>
    <w:rsid w:val="0065302A"/>
    <w:rsid w:val="00653477"/>
    <w:rsid w:val="006534BF"/>
    <w:rsid w:val="0065366F"/>
    <w:rsid w:val="006537D7"/>
    <w:rsid w:val="00653A44"/>
    <w:rsid w:val="00654087"/>
    <w:rsid w:val="00654110"/>
    <w:rsid w:val="0065444A"/>
    <w:rsid w:val="00654528"/>
    <w:rsid w:val="00654690"/>
    <w:rsid w:val="006549DD"/>
    <w:rsid w:val="00654C57"/>
    <w:rsid w:val="00654E7D"/>
    <w:rsid w:val="00654EDF"/>
    <w:rsid w:val="00654F68"/>
    <w:rsid w:val="00654FCF"/>
    <w:rsid w:val="006554B9"/>
    <w:rsid w:val="00655555"/>
    <w:rsid w:val="006555A6"/>
    <w:rsid w:val="00655645"/>
    <w:rsid w:val="006556B2"/>
    <w:rsid w:val="006558C1"/>
    <w:rsid w:val="00655CF9"/>
    <w:rsid w:val="00655D45"/>
    <w:rsid w:val="00655DFC"/>
    <w:rsid w:val="00656245"/>
    <w:rsid w:val="006563AB"/>
    <w:rsid w:val="006564DB"/>
    <w:rsid w:val="0065655B"/>
    <w:rsid w:val="0065655D"/>
    <w:rsid w:val="00656680"/>
    <w:rsid w:val="00656763"/>
    <w:rsid w:val="006567E6"/>
    <w:rsid w:val="006569BF"/>
    <w:rsid w:val="006569E8"/>
    <w:rsid w:val="00656B45"/>
    <w:rsid w:val="00656C00"/>
    <w:rsid w:val="00656F76"/>
    <w:rsid w:val="0065714C"/>
    <w:rsid w:val="00657167"/>
    <w:rsid w:val="006571C0"/>
    <w:rsid w:val="006572B0"/>
    <w:rsid w:val="00657749"/>
    <w:rsid w:val="00657A25"/>
    <w:rsid w:val="00657A46"/>
    <w:rsid w:val="00657C0B"/>
    <w:rsid w:val="00657C4F"/>
    <w:rsid w:val="006602C9"/>
    <w:rsid w:val="00660308"/>
    <w:rsid w:val="0066094C"/>
    <w:rsid w:val="00660A74"/>
    <w:rsid w:val="00660CAE"/>
    <w:rsid w:val="00660D15"/>
    <w:rsid w:val="00660D1A"/>
    <w:rsid w:val="00660E67"/>
    <w:rsid w:val="00660EEB"/>
    <w:rsid w:val="00661463"/>
    <w:rsid w:val="0066147A"/>
    <w:rsid w:val="00661678"/>
    <w:rsid w:val="00661868"/>
    <w:rsid w:val="006619D1"/>
    <w:rsid w:val="00661DE5"/>
    <w:rsid w:val="00661F48"/>
    <w:rsid w:val="00661FD9"/>
    <w:rsid w:val="006621EB"/>
    <w:rsid w:val="00662434"/>
    <w:rsid w:val="00662504"/>
    <w:rsid w:val="006626C1"/>
    <w:rsid w:val="00662742"/>
    <w:rsid w:val="00662804"/>
    <w:rsid w:val="00662860"/>
    <w:rsid w:val="00662A9A"/>
    <w:rsid w:val="00662B5F"/>
    <w:rsid w:val="00662DBA"/>
    <w:rsid w:val="00662E36"/>
    <w:rsid w:val="00662E5F"/>
    <w:rsid w:val="00662F1F"/>
    <w:rsid w:val="00662FD2"/>
    <w:rsid w:val="00662FDF"/>
    <w:rsid w:val="00663237"/>
    <w:rsid w:val="0066375A"/>
    <w:rsid w:val="006639CA"/>
    <w:rsid w:val="00663E9A"/>
    <w:rsid w:val="00663F8C"/>
    <w:rsid w:val="00664026"/>
    <w:rsid w:val="00664059"/>
    <w:rsid w:val="00664327"/>
    <w:rsid w:val="0066432F"/>
    <w:rsid w:val="0066441C"/>
    <w:rsid w:val="00664434"/>
    <w:rsid w:val="00664485"/>
    <w:rsid w:val="006646E3"/>
    <w:rsid w:val="00664818"/>
    <w:rsid w:val="00664C1B"/>
    <w:rsid w:val="00664D98"/>
    <w:rsid w:val="00664DAD"/>
    <w:rsid w:val="00664E96"/>
    <w:rsid w:val="00664EEC"/>
    <w:rsid w:val="00664F58"/>
    <w:rsid w:val="00664F63"/>
    <w:rsid w:val="006650C0"/>
    <w:rsid w:val="00665214"/>
    <w:rsid w:val="00665414"/>
    <w:rsid w:val="00665485"/>
    <w:rsid w:val="0066548A"/>
    <w:rsid w:val="0066554B"/>
    <w:rsid w:val="0066561F"/>
    <w:rsid w:val="00665635"/>
    <w:rsid w:val="006656E3"/>
    <w:rsid w:val="00665B00"/>
    <w:rsid w:val="00665D5F"/>
    <w:rsid w:val="00665DCF"/>
    <w:rsid w:val="00666005"/>
    <w:rsid w:val="00666110"/>
    <w:rsid w:val="006664B0"/>
    <w:rsid w:val="00666504"/>
    <w:rsid w:val="00666721"/>
    <w:rsid w:val="006669F6"/>
    <w:rsid w:val="00666A58"/>
    <w:rsid w:val="00666B73"/>
    <w:rsid w:val="00666C7A"/>
    <w:rsid w:val="00666E3B"/>
    <w:rsid w:val="00667170"/>
    <w:rsid w:val="00667600"/>
    <w:rsid w:val="0066766F"/>
    <w:rsid w:val="0066778B"/>
    <w:rsid w:val="00667C01"/>
    <w:rsid w:val="00667E80"/>
    <w:rsid w:val="0067013A"/>
    <w:rsid w:val="0067020E"/>
    <w:rsid w:val="00670237"/>
    <w:rsid w:val="0067023F"/>
    <w:rsid w:val="0067034F"/>
    <w:rsid w:val="006703BC"/>
    <w:rsid w:val="00670599"/>
    <w:rsid w:val="00670650"/>
    <w:rsid w:val="006706DE"/>
    <w:rsid w:val="0067088A"/>
    <w:rsid w:val="00670B5E"/>
    <w:rsid w:val="00670E38"/>
    <w:rsid w:val="006712C0"/>
    <w:rsid w:val="006713DA"/>
    <w:rsid w:val="00671691"/>
    <w:rsid w:val="006718A0"/>
    <w:rsid w:val="00671BEF"/>
    <w:rsid w:val="00671C62"/>
    <w:rsid w:val="00671E8D"/>
    <w:rsid w:val="00671F0D"/>
    <w:rsid w:val="0067213F"/>
    <w:rsid w:val="006721E9"/>
    <w:rsid w:val="006722C4"/>
    <w:rsid w:val="0067231B"/>
    <w:rsid w:val="00672596"/>
    <w:rsid w:val="00672884"/>
    <w:rsid w:val="006729C4"/>
    <w:rsid w:val="006729F8"/>
    <w:rsid w:val="00672BC7"/>
    <w:rsid w:val="00672D7B"/>
    <w:rsid w:val="00672EE6"/>
    <w:rsid w:val="006731FC"/>
    <w:rsid w:val="00673201"/>
    <w:rsid w:val="00673296"/>
    <w:rsid w:val="006733AA"/>
    <w:rsid w:val="0067373D"/>
    <w:rsid w:val="0067381C"/>
    <w:rsid w:val="006738B8"/>
    <w:rsid w:val="00673B1D"/>
    <w:rsid w:val="00673D52"/>
    <w:rsid w:val="00674022"/>
    <w:rsid w:val="00674138"/>
    <w:rsid w:val="006744AC"/>
    <w:rsid w:val="00674555"/>
    <w:rsid w:val="00674581"/>
    <w:rsid w:val="006749B3"/>
    <w:rsid w:val="00674AC6"/>
    <w:rsid w:val="00674B0A"/>
    <w:rsid w:val="00674C7D"/>
    <w:rsid w:val="0067505D"/>
    <w:rsid w:val="006752EF"/>
    <w:rsid w:val="00675AA1"/>
    <w:rsid w:val="00675B4E"/>
    <w:rsid w:val="00675BA3"/>
    <w:rsid w:val="00675D5C"/>
    <w:rsid w:val="00675E4F"/>
    <w:rsid w:val="00675E7B"/>
    <w:rsid w:val="006760E8"/>
    <w:rsid w:val="006761B5"/>
    <w:rsid w:val="006765AB"/>
    <w:rsid w:val="00676847"/>
    <w:rsid w:val="00676855"/>
    <w:rsid w:val="00676B27"/>
    <w:rsid w:val="00676F18"/>
    <w:rsid w:val="00677093"/>
    <w:rsid w:val="00677229"/>
    <w:rsid w:val="006774D9"/>
    <w:rsid w:val="006778F1"/>
    <w:rsid w:val="00677E07"/>
    <w:rsid w:val="00680198"/>
    <w:rsid w:val="0068026A"/>
    <w:rsid w:val="006802AD"/>
    <w:rsid w:val="006804B7"/>
    <w:rsid w:val="006804E5"/>
    <w:rsid w:val="0068065F"/>
    <w:rsid w:val="00680790"/>
    <w:rsid w:val="0068093F"/>
    <w:rsid w:val="00680AD8"/>
    <w:rsid w:val="00680B40"/>
    <w:rsid w:val="00680E29"/>
    <w:rsid w:val="00680F26"/>
    <w:rsid w:val="00680FAF"/>
    <w:rsid w:val="00680FF7"/>
    <w:rsid w:val="0068110E"/>
    <w:rsid w:val="00681159"/>
    <w:rsid w:val="00681190"/>
    <w:rsid w:val="00681209"/>
    <w:rsid w:val="0068128B"/>
    <w:rsid w:val="00681501"/>
    <w:rsid w:val="0068173B"/>
    <w:rsid w:val="006818D8"/>
    <w:rsid w:val="006819E6"/>
    <w:rsid w:val="006819E8"/>
    <w:rsid w:val="00681D83"/>
    <w:rsid w:val="00681EC9"/>
    <w:rsid w:val="00681FE9"/>
    <w:rsid w:val="006820E6"/>
    <w:rsid w:val="0068218E"/>
    <w:rsid w:val="006821D1"/>
    <w:rsid w:val="006821FD"/>
    <w:rsid w:val="006822FA"/>
    <w:rsid w:val="00682583"/>
    <w:rsid w:val="0068288C"/>
    <w:rsid w:val="00682A37"/>
    <w:rsid w:val="00682B86"/>
    <w:rsid w:val="00682CF3"/>
    <w:rsid w:val="00682EF6"/>
    <w:rsid w:val="0068309E"/>
    <w:rsid w:val="00683181"/>
    <w:rsid w:val="0068383C"/>
    <w:rsid w:val="00683892"/>
    <w:rsid w:val="006838A9"/>
    <w:rsid w:val="00683943"/>
    <w:rsid w:val="00683D3C"/>
    <w:rsid w:val="00683E16"/>
    <w:rsid w:val="00683EC1"/>
    <w:rsid w:val="00683F36"/>
    <w:rsid w:val="006842A6"/>
    <w:rsid w:val="0068497F"/>
    <w:rsid w:val="00684B05"/>
    <w:rsid w:val="00685589"/>
    <w:rsid w:val="00685894"/>
    <w:rsid w:val="00685A2B"/>
    <w:rsid w:val="00685F8B"/>
    <w:rsid w:val="006861BF"/>
    <w:rsid w:val="00686208"/>
    <w:rsid w:val="00686311"/>
    <w:rsid w:val="0068634D"/>
    <w:rsid w:val="006864C4"/>
    <w:rsid w:val="006865C2"/>
    <w:rsid w:val="006865C4"/>
    <w:rsid w:val="006865FB"/>
    <w:rsid w:val="0068682C"/>
    <w:rsid w:val="00686951"/>
    <w:rsid w:val="00686B6D"/>
    <w:rsid w:val="00686FAA"/>
    <w:rsid w:val="00686FE5"/>
    <w:rsid w:val="006872C0"/>
    <w:rsid w:val="006878A2"/>
    <w:rsid w:val="0068792E"/>
    <w:rsid w:val="00687A7D"/>
    <w:rsid w:val="00687B6C"/>
    <w:rsid w:val="00687DC4"/>
    <w:rsid w:val="0069057B"/>
    <w:rsid w:val="006908D5"/>
    <w:rsid w:val="00690973"/>
    <w:rsid w:val="006909C7"/>
    <w:rsid w:val="00690BD6"/>
    <w:rsid w:val="00690C91"/>
    <w:rsid w:val="00690F93"/>
    <w:rsid w:val="00690FBF"/>
    <w:rsid w:val="006910AB"/>
    <w:rsid w:val="0069143C"/>
    <w:rsid w:val="006914EA"/>
    <w:rsid w:val="00691681"/>
    <w:rsid w:val="006916EF"/>
    <w:rsid w:val="00691754"/>
    <w:rsid w:val="00691762"/>
    <w:rsid w:val="006917F7"/>
    <w:rsid w:val="00691B58"/>
    <w:rsid w:val="00691BD2"/>
    <w:rsid w:val="00691EF1"/>
    <w:rsid w:val="00692091"/>
    <w:rsid w:val="006920AA"/>
    <w:rsid w:val="0069222D"/>
    <w:rsid w:val="006924CD"/>
    <w:rsid w:val="006928C8"/>
    <w:rsid w:val="006929C0"/>
    <w:rsid w:val="00692AC1"/>
    <w:rsid w:val="00692D54"/>
    <w:rsid w:val="00692D8B"/>
    <w:rsid w:val="00692EF8"/>
    <w:rsid w:val="00692F99"/>
    <w:rsid w:val="00692FC0"/>
    <w:rsid w:val="00693300"/>
    <w:rsid w:val="00693472"/>
    <w:rsid w:val="006934D1"/>
    <w:rsid w:val="006938AA"/>
    <w:rsid w:val="0069396F"/>
    <w:rsid w:val="00693B0E"/>
    <w:rsid w:val="00693BF8"/>
    <w:rsid w:val="00693CFD"/>
    <w:rsid w:val="00693D05"/>
    <w:rsid w:val="0069437F"/>
    <w:rsid w:val="00694532"/>
    <w:rsid w:val="00694728"/>
    <w:rsid w:val="0069474B"/>
    <w:rsid w:val="0069475D"/>
    <w:rsid w:val="00694A0D"/>
    <w:rsid w:val="00694A98"/>
    <w:rsid w:val="00694D88"/>
    <w:rsid w:val="00695203"/>
    <w:rsid w:val="00695251"/>
    <w:rsid w:val="0069577F"/>
    <w:rsid w:val="00695860"/>
    <w:rsid w:val="00695F5F"/>
    <w:rsid w:val="006963D6"/>
    <w:rsid w:val="0069652B"/>
    <w:rsid w:val="0069654C"/>
    <w:rsid w:val="00696847"/>
    <w:rsid w:val="00696CD2"/>
    <w:rsid w:val="00696DB0"/>
    <w:rsid w:val="00697029"/>
    <w:rsid w:val="006973A6"/>
    <w:rsid w:val="006973C1"/>
    <w:rsid w:val="006973C7"/>
    <w:rsid w:val="006977C2"/>
    <w:rsid w:val="00697966"/>
    <w:rsid w:val="00697D9D"/>
    <w:rsid w:val="00697DBD"/>
    <w:rsid w:val="006A0134"/>
    <w:rsid w:val="006A013C"/>
    <w:rsid w:val="006A02A8"/>
    <w:rsid w:val="006A033A"/>
    <w:rsid w:val="006A0676"/>
    <w:rsid w:val="006A0820"/>
    <w:rsid w:val="006A1534"/>
    <w:rsid w:val="006A1695"/>
    <w:rsid w:val="006A173A"/>
    <w:rsid w:val="006A1D2E"/>
    <w:rsid w:val="006A1EA1"/>
    <w:rsid w:val="006A1F45"/>
    <w:rsid w:val="006A1F58"/>
    <w:rsid w:val="006A2162"/>
    <w:rsid w:val="006A26EC"/>
    <w:rsid w:val="006A286B"/>
    <w:rsid w:val="006A2884"/>
    <w:rsid w:val="006A2A6A"/>
    <w:rsid w:val="006A2BC6"/>
    <w:rsid w:val="006A2D77"/>
    <w:rsid w:val="006A2E43"/>
    <w:rsid w:val="006A3176"/>
    <w:rsid w:val="006A3223"/>
    <w:rsid w:val="006A366E"/>
    <w:rsid w:val="006A3784"/>
    <w:rsid w:val="006A37CD"/>
    <w:rsid w:val="006A399B"/>
    <w:rsid w:val="006A39AA"/>
    <w:rsid w:val="006A3A2B"/>
    <w:rsid w:val="006A3B5E"/>
    <w:rsid w:val="006A3BA5"/>
    <w:rsid w:val="006A3C92"/>
    <w:rsid w:val="006A41FD"/>
    <w:rsid w:val="006A4707"/>
    <w:rsid w:val="006A47C5"/>
    <w:rsid w:val="006A4B9F"/>
    <w:rsid w:val="006A4C90"/>
    <w:rsid w:val="006A4DBD"/>
    <w:rsid w:val="006A4EB0"/>
    <w:rsid w:val="006A4FAA"/>
    <w:rsid w:val="006A5985"/>
    <w:rsid w:val="006A59D3"/>
    <w:rsid w:val="006A5C18"/>
    <w:rsid w:val="006A5E2E"/>
    <w:rsid w:val="006A5EC7"/>
    <w:rsid w:val="006A5EEA"/>
    <w:rsid w:val="006A5FE2"/>
    <w:rsid w:val="006A6230"/>
    <w:rsid w:val="006A6299"/>
    <w:rsid w:val="006A686E"/>
    <w:rsid w:val="006A6995"/>
    <w:rsid w:val="006A6B64"/>
    <w:rsid w:val="006A6B9B"/>
    <w:rsid w:val="006A6BD7"/>
    <w:rsid w:val="006A6BF1"/>
    <w:rsid w:val="006A6E07"/>
    <w:rsid w:val="006A707B"/>
    <w:rsid w:val="006A782B"/>
    <w:rsid w:val="006A7976"/>
    <w:rsid w:val="006A7A25"/>
    <w:rsid w:val="006A7B10"/>
    <w:rsid w:val="006A7C29"/>
    <w:rsid w:val="006A7E5F"/>
    <w:rsid w:val="006A7F55"/>
    <w:rsid w:val="006B02ED"/>
    <w:rsid w:val="006B04D4"/>
    <w:rsid w:val="006B067D"/>
    <w:rsid w:val="006B06B2"/>
    <w:rsid w:val="006B07D5"/>
    <w:rsid w:val="006B07E1"/>
    <w:rsid w:val="006B08A2"/>
    <w:rsid w:val="006B0931"/>
    <w:rsid w:val="006B0AB4"/>
    <w:rsid w:val="006B0BDA"/>
    <w:rsid w:val="006B0BFE"/>
    <w:rsid w:val="006B0D55"/>
    <w:rsid w:val="006B0D64"/>
    <w:rsid w:val="006B0E39"/>
    <w:rsid w:val="006B0FB8"/>
    <w:rsid w:val="006B1199"/>
    <w:rsid w:val="006B13A1"/>
    <w:rsid w:val="006B1742"/>
    <w:rsid w:val="006B1952"/>
    <w:rsid w:val="006B197E"/>
    <w:rsid w:val="006B1B3E"/>
    <w:rsid w:val="006B1CF8"/>
    <w:rsid w:val="006B1E8E"/>
    <w:rsid w:val="006B21B8"/>
    <w:rsid w:val="006B2B16"/>
    <w:rsid w:val="006B2D7A"/>
    <w:rsid w:val="006B3032"/>
    <w:rsid w:val="006B30B3"/>
    <w:rsid w:val="006B3307"/>
    <w:rsid w:val="006B335B"/>
    <w:rsid w:val="006B33D3"/>
    <w:rsid w:val="006B3407"/>
    <w:rsid w:val="006B3436"/>
    <w:rsid w:val="006B385E"/>
    <w:rsid w:val="006B3BF1"/>
    <w:rsid w:val="006B3DA2"/>
    <w:rsid w:val="006B3E99"/>
    <w:rsid w:val="006B41D9"/>
    <w:rsid w:val="006B4266"/>
    <w:rsid w:val="006B4396"/>
    <w:rsid w:val="006B44CA"/>
    <w:rsid w:val="006B499A"/>
    <w:rsid w:val="006B4A6B"/>
    <w:rsid w:val="006B4B31"/>
    <w:rsid w:val="006B4B4A"/>
    <w:rsid w:val="006B5023"/>
    <w:rsid w:val="006B520D"/>
    <w:rsid w:val="006B526A"/>
    <w:rsid w:val="006B53FF"/>
    <w:rsid w:val="006B5465"/>
    <w:rsid w:val="006B55E3"/>
    <w:rsid w:val="006B5634"/>
    <w:rsid w:val="006B57E1"/>
    <w:rsid w:val="006B57EC"/>
    <w:rsid w:val="006B5957"/>
    <w:rsid w:val="006B5C83"/>
    <w:rsid w:val="006B5EB0"/>
    <w:rsid w:val="006B64AD"/>
    <w:rsid w:val="006B67A6"/>
    <w:rsid w:val="006B6BA3"/>
    <w:rsid w:val="006B6BB3"/>
    <w:rsid w:val="006B6C60"/>
    <w:rsid w:val="006B6F6A"/>
    <w:rsid w:val="006B7251"/>
    <w:rsid w:val="006B72B5"/>
    <w:rsid w:val="006B72FD"/>
    <w:rsid w:val="006B738F"/>
    <w:rsid w:val="006B7394"/>
    <w:rsid w:val="006B7447"/>
    <w:rsid w:val="006B75C6"/>
    <w:rsid w:val="006B77B4"/>
    <w:rsid w:val="006B7A32"/>
    <w:rsid w:val="006B7A47"/>
    <w:rsid w:val="006B7CC7"/>
    <w:rsid w:val="006B7E82"/>
    <w:rsid w:val="006C038D"/>
    <w:rsid w:val="006C0E05"/>
    <w:rsid w:val="006C0EAC"/>
    <w:rsid w:val="006C138A"/>
    <w:rsid w:val="006C1851"/>
    <w:rsid w:val="006C19B1"/>
    <w:rsid w:val="006C1C00"/>
    <w:rsid w:val="006C1E6A"/>
    <w:rsid w:val="006C1F5D"/>
    <w:rsid w:val="006C25C7"/>
    <w:rsid w:val="006C282B"/>
    <w:rsid w:val="006C2A81"/>
    <w:rsid w:val="006C2DAB"/>
    <w:rsid w:val="006C2DE5"/>
    <w:rsid w:val="006C305E"/>
    <w:rsid w:val="006C3135"/>
    <w:rsid w:val="006C324D"/>
    <w:rsid w:val="006C33D8"/>
    <w:rsid w:val="006C354C"/>
    <w:rsid w:val="006C3B76"/>
    <w:rsid w:val="006C3BD6"/>
    <w:rsid w:val="006C3E97"/>
    <w:rsid w:val="006C3F5E"/>
    <w:rsid w:val="006C41D2"/>
    <w:rsid w:val="006C427A"/>
    <w:rsid w:val="006C42B8"/>
    <w:rsid w:val="006C42D6"/>
    <w:rsid w:val="006C43A9"/>
    <w:rsid w:val="006C4572"/>
    <w:rsid w:val="006C4846"/>
    <w:rsid w:val="006C4853"/>
    <w:rsid w:val="006C48BB"/>
    <w:rsid w:val="006C4913"/>
    <w:rsid w:val="006C4AC5"/>
    <w:rsid w:val="006C4D2E"/>
    <w:rsid w:val="006C5085"/>
    <w:rsid w:val="006C5223"/>
    <w:rsid w:val="006C527F"/>
    <w:rsid w:val="006C53CD"/>
    <w:rsid w:val="006C5EA3"/>
    <w:rsid w:val="006C62D1"/>
    <w:rsid w:val="006C636D"/>
    <w:rsid w:val="006C65DF"/>
    <w:rsid w:val="006C66EB"/>
    <w:rsid w:val="006C67C7"/>
    <w:rsid w:val="006C693E"/>
    <w:rsid w:val="006C69AF"/>
    <w:rsid w:val="006C6D7E"/>
    <w:rsid w:val="006C6EC4"/>
    <w:rsid w:val="006C6EDD"/>
    <w:rsid w:val="006C6F34"/>
    <w:rsid w:val="006C708A"/>
    <w:rsid w:val="006C7130"/>
    <w:rsid w:val="006C7217"/>
    <w:rsid w:val="006C7379"/>
    <w:rsid w:val="006C7A36"/>
    <w:rsid w:val="006C7A51"/>
    <w:rsid w:val="006C7B03"/>
    <w:rsid w:val="006C7D29"/>
    <w:rsid w:val="006C7E78"/>
    <w:rsid w:val="006C7F4E"/>
    <w:rsid w:val="006D01E4"/>
    <w:rsid w:val="006D0367"/>
    <w:rsid w:val="006D041C"/>
    <w:rsid w:val="006D06BC"/>
    <w:rsid w:val="006D0AFF"/>
    <w:rsid w:val="006D0D2E"/>
    <w:rsid w:val="006D0DDC"/>
    <w:rsid w:val="006D0E9E"/>
    <w:rsid w:val="006D0EC2"/>
    <w:rsid w:val="006D12BB"/>
    <w:rsid w:val="006D1570"/>
    <w:rsid w:val="006D15C6"/>
    <w:rsid w:val="006D1672"/>
    <w:rsid w:val="006D1809"/>
    <w:rsid w:val="006D1885"/>
    <w:rsid w:val="006D1BAC"/>
    <w:rsid w:val="006D1F8A"/>
    <w:rsid w:val="006D2148"/>
    <w:rsid w:val="006D22B6"/>
    <w:rsid w:val="006D245D"/>
    <w:rsid w:val="006D25EB"/>
    <w:rsid w:val="006D28D9"/>
    <w:rsid w:val="006D2BD4"/>
    <w:rsid w:val="006D309E"/>
    <w:rsid w:val="006D3AA1"/>
    <w:rsid w:val="006D3B20"/>
    <w:rsid w:val="006D3C7E"/>
    <w:rsid w:val="006D3DAC"/>
    <w:rsid w:val="006D4147"/>
    <w:rsid w:val="006D4184"/>
    <w:rsid w:val="006D418F"/>
    <w:rsid w:val="006D430B"/>
    <w:rsid w:val="006D4373"/>
    <w:rsid w:val="006D495A"/>
    <w:rsid w:val="006D495F"/>
    <w:rsid w:val="006D49DB"/>
    <w:rsid w:val="006D4B6D"/>
    <w:rsid w:val="006D4C72"/>
    <w:rsid w:val="006D4E02"/>
    <w:rsid w:val="006D4E4C"/>
    <w:rsid w:val="006D4E4E"/>
    <w:rsid w:val="006D51B6"/>
    <w:rsid w:val="006D5585"/>
    <w:rsid w:val="006D599B"/>
    <w:rsid w:val="006D5EBF"/>
    <w:rsid w:val="006D5F76"/>
    <w:rsid w:val="006D60F3"/>
    <w:rsid w:val="006D631F"/>
    <w:rsid w:val="006D655F"/>
    <w:rsid w:val="006D659D"/>
    <w:rsid w:val="006D68C2"/>
    <w:rsid w:val="006D6AF3"/>
    <w:rsid w:val="006D6BA9"/>
    <w:rsid w:val="006D6D96"/>
    <w:rsid w:val="006D6F43"/>
    <w:rsid w:val="006D6F8B"/>
    <w:rsid w:val="006D715D"/>
    <w:rsid w:val="006D7211"/>
    <w:rsid w:val="006D75C8"/>
    <w:rsid w:val="006D764B"/>
    <w:rsid w:val="006D769D"/>
    <w:rsid w:val="006D76B1"/>
    <w:rsid w:val="006D76ED"/>
    <w:rsid w:val="006D7740"/>
    <w:rsid w:val="006D79F9"/>
    <w:rsid w:val="006D7AEC"/>
    <w:rsid w:val="006D7CF9"/>
    <w:rsid w:val="006D7D55"/>
    <w:rsid w:val="006D7EDD"/>
    <w:rsid w:val="006D7F29"/>
    <w:rsid w:val="006D7FCA"/>
    <w:rsid w:val="006E002C"/>
    <w:rsid w:val="006E009D"/>
    <w:rsid w:val="006E0154"/>
    <w:rsid w:val="006E06D5"/>
    <w:rsid w:val="006E0B80"/>
    <w:rsid w:val="006E0B86"/>
    <w:rsid w:val="006E0C56"/>
    <w:rsid w:val="006E0D02"/>
    <w:rsid w:val="006E0FDA"/>
    <w:rsid w:val="006E10DD"/>
    <w:rsid w:val="006E112D"/>
    <w:rsid w:val="006E1221"/>
    <w:rsid w:val="006E13B5"/>
    <w:rsid w:val="006E1400"/>
    <w:rsid w:val="006E143A"/>
    <w:rsid w:val="006E1602"/>
    <w:rsid w:val="006E1E5B"/>
    <w:rsid w:val="006E1F8B"/>
    <w:rsid w:val="006E1FDD"/>
    <w:rsid w:val="006E20E5"/>
    <w:rsid w:val="006E23FF"/>
    <w:rsid w:val="006E2538"/>
    <w:rsid w:val="006E25E6"/>
    <w:rsid w:val="006E2780"/>
    <w:rsid w:val="006E28D2"/>
    <w:rsid w:val="006E294D"/>
    <w:rsid w:val="006E2ABB"/>
    <w:rsid w:val="006E2C08"/>
    <w:rsid w:val="006E2CFB"/>
    <w:rsid w:val="006E2E9D"/>
    <w:rsid w:val="006E2EAA"/>
    <w:rsid w:val="006E33ED"/>
    <w:rsid w:val="006E3405"/>
    <w:rsid w:val="006E3522"/>
    <w:rsid w:val="006E3903"/>
    <w:rsid w:val="006E39F7"/>
    <w:rsid w:val="006E3BBD"/>
    <w:rsid w:val="006E3D83"/>
    <w:rsid w:val="006E3F04"/>
    <w:rsid w:val="006E432E"/>
    <w:rsid w:val="006E481E"/>
    <w:rsid w:val="006E495A"/>
    <w:rsid w:val="006E495F"/>
    <w:rsid w:val="006E4A9D"/>
    <w:rsid w:val="006E5034"/>
    <w:rsid w:val="006E51EB"/>
    <w:rsid w:val="006E53E5"/>
    <w:rsid w:val="006E5797"/>
    <w:rsid w:val="006E5801"/>
    <w:rsid w:val="006E584F"/>
    <w:rsid w:val="006E5AB4"/>
    <w:rsid w:val="006E5D2B"/>
    <w:rsid w:val="006E5DDA"/>
    <w:rsid w:val="006E5DF7"/>
    <w:rsid w:val="006E5FDA"/>
    <w:rsid w:val="006E607B"/>
    <w:rsid w:val="006E62F3"/>
    <w:rsid w:val="006E6342"/>
    <w:rsid w:val="006E65D3"/>
    <w:rsid w:val="006E664F"/>
    <w:rsid w:val="006E6F02"/>
    <w:rsid w:val="006E6F2A"/>
    <w:rsid w:val="006E728B"/>
    <w:rsid w:val="006E734F"/>
    <w:rsid w:val="006E744E"/>
    <w:rsid w:val="006E74DD"/>
    <w:rsid w:val="006E7535"/>
    <w:rsid w:val="006E794F"/>
    <w:rsid w:val="006E79BF"/>
    <w:rsid w:val="006E7BB6"/>
    <w:rsid w:val="006E7C8B"/>
    <w:rsid w:val="006E7E43"/>
    <w:rsid w:val="006E7EB5"/>
    <w:rsid w:val="006F0134"/>
    <w:rsid w:val="006F0135"/>
    <w:rsid w:val="006F019E"/>
    <w:rsid w:val="006F020E"/>
    <w:rsid w:val="006F03CA"/>
    <w:rsid w:val="006F0866"/>
    <w:rsid w:val="006F08A3"/>
    <w:rsid w:val="006F0902"/>
    <w:rsid w:val="006F0B17"/>
    <w:rsid w:val="006F0D46"/>
    <w:rsid w:val="006F11FD"/>
    <w:rsid w:val="006F1357"/>
    <w:rsid w:val="006F17DC"/>
    <w:rsid w:val="006F1849"/>
    <w:rsid w:val="006F1973"/>
    <w:rsid w:val="006F1A06"/>
    <w:rsid w:val="006F1A58"/>
    <w:rsid w:val="006F1B02"/>
    <w:rsid w:val="006F1D02"/>
    <w:rsid w:val="006F1F08"/>
    <w:rsid w:val="006F23CF"/>
    <w:rsid w:val="006F23DD"/>
    <w:rsid w:val="006F247C"/>
    <w:rsid w:val="006F24BA"/>
    <w:rsid w:val="006F25C0"/>
    <w:rsid w:val="006F27FD"/>
    <w:rsid w:val="006F2923"/>
    <w:rsid w:val="006F2A5F"/>
    <w:rsid w:val="006F2B4A"/>
    <w:rsid w:val="006F2E99"/>
    <w:rsid w:val="006F3344"/>
    <w:rsid w:val="006F357A"/>
    <w:rsid w:val="006F371B"/>
    <w:rsid w:val="006F38EF"/>
    <w:rsid w:val="006F3B4E"/>
    <w:rsid w:val="006F3C3B"/>
    <w:rsid w:val="006F3DF3"/>
    <w:rsid w:val="006F3FF3"/>
    <w:rsid w:val="006F423F"/>
    <w:rsid w:val="006F42D2"/>
    <w:rsid w:val="006F4301"/>
    <w:rsid w:val="006F43CF"/>
    <w:rsid w:val="006F46B0"/>
    <w:rsid w:val="006F487A"/>
    <w:rsid w:val="006F4E8C"/>
    <w:rsid w:val="006F4F2E"/>
    <w:rsid w:val="006F4FE9"/>
    <w:rsid w:val="006F5158"/>
    <w:rsid w:val="006F55D0"/>
    <w:rsid w:val="006F5724"/>
    <w:rsid w:val="006F5989"/>
    <w:rsid w:val="006F5A90"/>
    <w:rsid w:val="006F5A9C"/>
    <w:rsid w:val="006F5ACA"/>
    <w:rsid w:val="006F5C02"/>
    <w:rsid w:val="006F5F41"/>
    <w:rsid w:val="006F6203"/>
    <w:rsid w:val="006F66F1"/>
    <w:rsid w:val="006F6725"/>
    <w:rsid w:val="006F6808"/>
    <w:rsid w:val="006F6845"/>
    <w:rsid w:val="006F6A05"/>
    <w:rsid w:val="006F6AA6"/>
    <w:rsid w:val="006F6B4B"/>
    <w:rsid w:val="006F744F"/>
    <w:rsid w:val="006F7B55"/>
    <w:rsid w:val="006F7DB9"/>
    <w:rsid w:val="00700039"/>
    <w:rsid w:val="007001AF"/>
    <w:rsid w:val="00700510"/>
    <w:rsid w:val="00700684"/>
    <w:rsid w:val="00700950"/>
    <w:rsid w:val="00700962"/>
    <w:rsid w:val="00700AC8"/>
    <w:rsid w:val="00700D6F"/>
    <w:rsid w:val="00701107"/>
    <w:rsid w:val="00701136"/>
    <w:rsid w:val="00701243"/>
    <w:rsid w:val="007016F2"/>
    <w:rsid w:val="0070190F"/>
    <w:rsid w:val="00701A2F"/>
    <w:rsid w:val="00701A69"/>
    <w:rsid w:val="00701AC4"/>
    <w:rsid w:val="00701B61"/>
    <w:rsid w:val="00702522"/>
    <w:rsid w:val="007028FE"/>
    <w:rsid w:val="0070299D"/>
    <w:rsid w:val="00702D9D"/>
    <w:rsid w:val="00702DAF"/>
    <w:rsid w:val="0070319A"/>
    <w:rsid w:val="007031C0"/>
    <w:rsid w:val="007038B5"/>
    <w:rsid w:val="00703908"/>
    <w:rsid w:val="00703A66"/>
    <w:rsid w:val="00703CB4"/>
    <w:rsid w:val="007042E6"/>
    <w:rsid w:val="00704447"/>
    <w:rsid w:val="007047E7"/>
    <w:rsid w:val="00704849"/>
    <w:rsid w:val="007048B7"/>
    <w:rsid w:val="007048CB"/>
    <w:rsid w:val="0070491C"/>
    <w:rsid w:val="00704A05"/>
    <w:rsid w:val="00704ADB"/>
    <w:rsid w:val="00704B8B"/>
    <w:rsid w:val="00704D60"/>
    <w:rsid w:val="00705051"/>
    <w:rsid w:val="00705139"/>
    <w:rsid w:val="007052CF"/>
    <w:rsid w:val="00705361"/>
    <w:rsid w:val="007053A1"/>
    <w:rsid w:val="007053D1"/>
    <w:rsid w:val="007056B2"/>
    <w:rsid w:val="007059B8"/>
    <w:rsid w:val="00705CC1"/>
    <w:rsid w:val="00705F82"/>
    <w:rsid w:val="00705FAC"/>
    <w:rsid w:val="00706113"/>
    <w:rsid w:val="0070620D"/>
    <w:rsid w:val="00706385"/>
    <w:rsid w:val="0070662E"/>
    <w:rsid w:val="007066A5"/>
    <w:rsid w:val="00706A35"/>
    <w:rsid w:val="00706CAF"/>
    <w:rsid w:val="00706CB5"/>
    <w:rsid w:val="0070705B"/>
    <w:rsid w:val="0070706F"/>
    <w:rsid w:val="00707153"/>
    <w:rsid w:val="00707329"/>
    <w:rsid w:val="00707625"/>
    <w:rsid w:val="00707670"/>
    <w:rsid w:val="00707826"/>
    <w:rsid w:val="00707869"/>
    <w:rsid w:val="00707A75"/>
    <w:rsid w:val="00707B66"/>
    <w:rsid w:val="00707BF0"/>
    <w:rsid w:val="00707C18"/>
    <w:rsid w:val="00707D51"/>
    <w:rsid w:val="00707E34"/>
    <w:rsid w:val="00707ED6"/>
    <w:rsid w:val="00707F5D"/>
    <w:rsid w:val="00707F65"/>
    <w:rsid w:val="007101EE"/>
    <w:rsid w:val="007103A9"/>
    <w:rsid w:val="00710C30"/>
    <w:rsid w:val="00710FAC"/>
    <w:rsid w:val="0071131C"/>
    <w:rsid w:val="0071132F"/>
    <w:rsid w:val="00711448"/>
    <w:rsid w:val="00711762"/>
    <w:rsid w:val="007117B8"/>
    <w:rsid w:val="0071195D"/>
    <w:rsid w:val="007121D7"/>
    <w:rsid w:val="007121F1"/>
    <w:rsid w:val="007125CF"/>
    <w:rsid w:val="00712747"/>
    <w:rsid w:val="007127EC"/>
    <w:rsid w:val="007129ED"/>
    <w:rsid w:val="00712FCD"/>
    <w:rsid w:val="0071366F"/>
    <w:rsid w:val="00713C6C"/>
    <w:rsid w:val="00713F82"/>
    <w:rsid w:val="007141F3"/>
    <w:rsid w:val="0071446F"/>
    <w:rsid w:val="00714BFE"/>
    <w:rsid w:val="00714D94"/>
    <w:rsid w:val="007157B7"/>
    <w:rsid w:val="0071587F"/>
    <w:rsid w:val="00715934"/>
    <w:rsid w:val="007159B9"/>
    <w:rsid w:val="00715B07"/>
    <w:rsid w:val="00715B46"/>
    <w:rsid w:val="00715C4C"/>
    <w:rsid w:val="00716602"/>
    <w:rsid w:val="0071668E"/>
    <w:rsid w:val="00716827"/>
    <w:rsid w:val="0071689C"/>
    <w:rsid w:val="007169A1"/>
    <w:rsid w:val="00716AD2"/>
    <w:rsid w:val="00716CEE"/>
    <w:rsid w:val="00717183"/>
    <w:rsid w:val="007173B9"/>
    <w:rsid w:val="00717490"/>
    <w:rsid w:val="007174EC"/>
    <w:rsid w:val="0071773B"/>
    <w:rsid w:val="00717A62"/>
    <w:rsid w:val="00717D7D"/>
    <w:rsid w:val="00717DC9"/>
    <w:rsid w:val="00720021"/>
    <w:rsid w:val="007201E7"/>
    <w:rsid w:val="0072028A"/>
    <w:rsid w:val="007202D9"/>
    <w:rsid w:val="007203CA"/>
    <w:rsid w:val="007203F1"/>
    <w:rsid w:val="00720493"/>
    <w:rsid w:val="00720593"/>
    <w:rsid w:val="0072067B"/>
    <w:rsid w:val="00720722"/>
    <w:rsid w:val="007207EE"/>
    <w:rsid w:val="00720B18"/>
    <w:rsid w:val="007211E3"/>
    <w:rsid w:val="007214B1"/>
    <w:rsid w:val="007215A8"/>
    <w:rsid w:val="00721880"/>
    <w:rsid w:val="00721A4B"/>
    <w:rsid w:val="00721A86"/>
    <w:rsid w:val="00721E2C"/>
    <w:rsid w:val="00721FBC"/>
    <w:rsid w:val="00722175"/>
    <w:rsid w:val="007223E6"/>
    <w:rsid w:val="007226F5"/>
    <w:rsid w:val="0072281E"/>
    <w:rsid w:val="00722934"/>
    <w:rsid w:val="00722B69"/>
    <w:rsid w:val="00722D38"/>
    <w:rsid w:val="00723096"/>
    <w:rsid w:val="007231B1"/>
    <w:rsid w:val="00723761"/>
    <w:rsid w:val="00723B2C"/>
    <w:rsid w:val="00723DE0"/>
    <w:rsid w:val="0072403D"/>
    <w:rsid w:val="007241A7"/>
    <w:rsid w:val="00724533"/>
    <w:rsid w:val="00724816"/>
    <w:rsid w:val="007248A7"/>
    <w:rsid w:val="007249B5"/>
    <w:rsid w:val="00724ABF"/>
    <w:rsid w:val="00724BBA"/>
    <w:rsid w:val="00724C45"/>
    <w:rsid w:val="00724D91"/>
    <w:rsid w:val="00724ED0"/>
    <w:rsid w:val="00724F92"/>
    <w:rsid w:val="0072518C"/>
    <w:rsid w:val="0072524C"/>
    <w:rsid w:val="00725266"/>
    <w:rsid w:val="007253B9"/>
    <w:rsid w:val="007253C7"/>
    <w:rsid w:val="007253D6"/>
    <w:rsid w:val="007254FB"/>
    <w:rsid w:val="00725500"/>
    <w:rsid w:val="0072578A"/>
    <w:rsid w:val="007258AE"/>
    <w:rsid w:val="0072597A"/>
    <w:rsid w:val="00725B04"/>
    <w:rsid w:val="00725B1B"/>
    <w:rsid w:val="00726183"/>
    <w:rsid w:val="0072638D"/>
    <w:rsid w:val="00726BD4"/>
    <w:rsid w:val="00726D0A"/>
    <w:rsid w:val="00727095"/>
    <w:rsid w:val="007272EF"/>
    <w:rsid w:val="007273DA"/>
    <w:rsid w:val="0072755B"/>
    <w:rsid w:val="007278D5"/>
    <w:rsid w:val="00727C9F"/>
    <w:rsid w:val="00727CCA"/>
    <w:rsid w:val="00727D11"/>
    <w:rsid w:val="00727F13"/>
    <w:rsid w:val="00727F18"/>
    <w:rsid w:val="00727F4C"/>
    <w:rsid w:val="007301B0"/>
    <w:rsid w:val="007302FB"/>
    <w:rsid w:val="007304B7"/>
    <w:rsid w:val="0073059E"/>
    <w:rsid w:val="00730830"/>
    <w:rsid w:val="007309E5"/>
    <w:rsid w:val="00730BEC"/>
    <w:rsid w:val="0073113C"/>
    <w:rsid w:val="007312E0"/>
    <w:rsid w:val="007313F9"/>
    <w:rsid w:val="00731591"/>
    <w:rsid w:val="007318E5"/>
    <w:rsid w:val="00732145"/>
    <w:rsid w:val="0073237B"/>
    <w:rsid w:val="00732410"/>
    <w:rsid w:val="007324E1"/>
    <w:rsid w:val="00732545"/>
    <w:rsid w:val="00732609"/>
    <w:rsid w:val="00732665"/>
    <w:rsid w:val="0073274C"/>
    <w:rsid w:val="007327F2"/>
    <w:rsid w:val="00732F85"/>
    <w:rsid w:val="00733540"/>
    <w:rsid w:val="007336E9"/>
    <w:rsid w:val="00733789"/>
    <w:rsid w:val="007337F3"/>
    <w:rsid w:val="00733812"/>
    <w:rsid w:val="00733A0C"/>
    <w:rsid w:val="007341ED"/>
    <w:rsid w:val="007345AE"/>
    <w:rsid w:val="007349B3"/>
    <w:rsid w:val="00734E05"/>
    <w:rsid w:val="0073520D"/>
    <w:rsid w:val="007352B4"/>
    <w:rsid w:val="0073536C"/>
    <w:rsid w:val="00735373"/>
    <w:rsid w:val="00735377"/>
    <w:rsid w:val="007355A5"/>
    <w:rsid w:val="007357F1"/>
    <w:rsid w:val="007359FD"/>
    <w:rsid w:val="00735B1C"/>
    <w:rsid w:val="00735F5F"/>
    <w:rsid w:val="00736003"/>
    <w:rsid w:val="007360A1"/>
    <w:rsid w:val="0073653D"/>
    <w:rsid w:val="0073661C"/>
    <w:rsid w:val="00736632"/>
    <w:rsid w:val="007367DC"/>
    <w:rsid w:val="0073686B"/>
    <w:rsid w:val="00736D41"/>
    <w:rsid w:val="00736EF9"/>
    <w:rsid w:val="00737066"/>
    <w:rsid w:val="00737428"/>
    <w:rsid w:val="00737558"/>
    <w:rsid w:val="00737603"/>
    <w:rsid w:val="0073792C"/>
    <w:rsid w:val="00737A28"/>
    <w:rsid w:val="00737C41"/>
    <w:rsid w:val="00740006"/>
    <w:rsid w:val="007400D7"/>
    <w:rsid w:val="007400E9"/>
    <w:rsid w:val="00740B67"/>
    <w:rsid w:val="00740C8C"/>
    <w:rsid w:val="00740D99"/>
    <w:rsid w:val="00740ECE"/>
    <w:rsid w:val="00740EEE"/>
    <w:rsid w:val="007410A9"/>
    <w:rsid w:val="00741864"/>
    <w:rsid w:val="007418BF"/>
    <w:rsid w:val="007420C9"/>
    <w:rsid w:val="00742288"/>
    <w:rsid w:val="0074257A"/>
    <w:rsid w:val="00742842"/>
    <w:rsid w:val="00742CAB"/>
    <w:rsid w:val="00742CF5"/>
    <w:rsid w:val="0074314D"/>
    <w:rsid w:val="00743693"/>
    <w:rsid w:val="00743BBA"/>
    <w:rsid w:val="00743F60"/>
    <w:rsid w:val="007443C2"/>
    <w:rsid w:val="00744530"/>
    <w:rsid w:val="007447C5"/>
    <w:rsid w:val="0074484B"/>
    <w:rsid w:val="007449A3"/>
    <w:rsid w:val="007449E1"/>
    <w:rsid w:val="00744E68"/>
    <w:rsid w:val="007452E1"/>
    <w:rsid w:val="007457AF"/>
    <w:rsid w:val="007458CB"/>
    <w:rsid w:val="00745913"/>
    <w:rsid w:val="00745F41"/>
    <w:rsid w:val="007460E6"/>
    <w:rsid w:val="00746757"/>
    <w:rsid w:val="00746C78"/>
    <w:rsid w:val="00747250"/>
    <w:rsid w:val="00747434"/>
    <w:rsid w:val="0074756C"/>
    <w:rsid w:val="00747755"/>
    <w:rsid w:val="0074788B"/>
    <w:rsid w:val="0074797D"/>
    <w:rsid w:val="007479F4"/>
    <w:rsid w:val="00747B1D"/>
    <w:rsid w:val="00747C23"/>
    <w:rsid w:val="00747DC2"/>
    <w:rsid w:val="00750008"/>
    <w:rsid w:val="00750158"/>
    <w:rsid w:val="007509E6"/>
    <w:rsid w:val="00750BC5"/>
    <w:rsid w:val="00750BD2"/>
    <w:rsid w:val="00750C74"/>
    <w:rsid w:val="00751186"/>
    <w:rsid w:val="0075125A"/>
    <w:rsid w:val="00751275"/>
    <w:rsid w:val="0075137C"/>
    <w:rsid w:val="0075159F"/>
    <w:rsid w:val="00751734"/>
    <w:rsid w:val="00751767"/>
    <w:rsid w:val="00751B02"/>
    <w:rsid w:val="00751C48"/>
    <w:rsid w:val="00751D14"/>
    <w:rsid w:val="007522B4"/>
    <w:rsid w:val="00752875"/>
    <w:rsid w:val="00752AF8"/>
    <w:rsid w:val="00752D42"/>
    <w:rsid w:val="00753B0B"/>
    <w:rsid w:val="00753CD6"/>
    <w:rsid w:val="00754184"/>
    <w:rsid w:val="0075418A"/>
    <w:rsid w:val="00754214"/>
    <w:rsid w:val="007545F6"/>
    <w:rsid w:val="00754666"/>
    <w:rsid w:val="00754760"/>
    <w:rsid w:val="007547A5"/>
    <w:rsid w:val="007548E3"/>
    <w:rsid w:val="00754A19"/>
    <w:rsid w:val="00754AFF"/>
    <w:rsid w:val="00754BA1"/>
    <w:rsid w:val="00755250"/>
    <w:rsid w:val="007553DA"/>
    <w:rsid w:val="00755D3E"/>
    <w:rsid w:val="00756096"/>
    <w:rsid w:val="00756552"/>
    <w:rsid w:val="00756A43"/>
    <w:rsid w:val="00756EF0"/>
    <w:rsid w:val="00757388"/>
    <w:rsid w:val="0075761D"/>
    <w:rsid w:val="0075765D"/>
    <w:rsid w:val="00757782"/>
    <w:rsid w:val="00757865"/>
    <w:rsid w:val="00757BB6"/>
    <w:rsid w:val="00757E89"/>
    <w:rsid w:val="00757EBE"/>
    <w:rsid w:val="0076011F"/>
    <w:rsid w:val="007602CB"/>
    <w:rsid w:val="00760566"/>
    <w:rsid w:val="00760765"/>
    <w:rsid w:val="00760B15"/>
    <w:rsid w:val="00760B60"/>
    <w:rsid w:val="00760BA2"/>
    <w:rsid w:val="00760C32"/>
    <w:rsid w:val="00760CE5"/>
    <w:rsid w:val="00760E59"/>
    <w:rsid w:val="00760EAB"/>
    <w:rsid w:val="00761164"/>
    <w:rsid w:val="00761444"/>
    <w:rsid w:val="00761886"/>
    <w:rsid w:val="00761A38"/>
    <w:rsid w:val="00761A5B"/>
    <w:rsid w:val="00761B0F"/>
    <w:rsid w:val="00761C68"/>
    <w:rsid w:val="00761D80"/>
    <w:rsid w:val="0076208C"/>
    <w:rsid w:val="007621C0"/>
    <w:rsid w:val="0076260D"/>
    <w:rsid w:val="00762829"/>
    <w:rsid w:val="007628B5"/>
    <w:rsid w:val="007629D4"/>
    <w:rsid w:val="00762A91"/>
    <w:rsid w:val="00762E11"/>
    <w:rsid w:val="00762F1B"/>
    <w:rsid w:val="007630D3"/>
    <w:rsid w:val="007633E7"/>
    <w:rsid w:val="007636E4"/>
    <w:rsid w:val="00763B77"/>
    <w:rsid w:val="00763C23"/>
    <w:rsid w:val="00763C69"/>
    <w:rsid w:val="00763F7A"/>
    <w:rsid w:val="007641CE"/>
    <w:rsid w:val="007642CF"/>
    <w:rsid w:val="007643F1"/>
    <w:rsid w:val="0076443F"/>
    <w:rsid w:val="00764588"/>
    <w:rsid w:val="0076468E"/>
    <w:rsid w:val="007646A6"/>
    <w:rsid w:val="00764A2F"/>
    <w:rsid w:val="00765031"/>
    <w:rsid w:val="00765264"/>
    <w:rsid w:val="00765A22"/>
    <w:rsid w:val="00765A47"/>
    <w:rsid w:val="00765AB1"/>
    <w:rsid w:val="00765B1A"/>
    <w:rsid w:val="00765BF5"/>
    <w:rsid w:val="00765F18"/>
    <w:rsid w:val="00765F33"/>
    <w:rsid w:val="0076622C"/>
    <w:rsid w:val="00766270"/>
    <w:rsid w:val="0076639F"/>
    <w:rsid w:val="007665D9"/>
    <w:rsid w:val="007666F5"/>
    <w:rsid w:val="007667D6"/>
    <w:rsid w:val="00766823"/>
    <w:rsid w:val="00766867"/>
    <w:rsid w:val="00766A5D"/>
    <w:rsid w:val="0076702C"/>
    <w:rsid w:val="007674DA"/>
    <w:rsid w:val="0076758B"/>
    <w:rsid w:val="00767A4E"/>
    <w:rsid w:val="00767B62"/>
    <w:rsid w:val="00767EF0"/>
    <w:rsid w:val="00767F6C"/>
    <w:rsid w:val="00767FC2"/>
    <w:rsid w:val="0077020A"/>
    <w:rsid w:val="00770404"/>
    <w:rsid w:val="00770978"/>
    <w:rsid w:val="00770D2C"/>
    <w:rsid w:val="00770EA2"/>
    <w:rsid w:val="00770EF3"/>
    <w:rsid w:val="0077111B"/>
    <w:rsid w:val="00771284"/>
    <w:rsid w:val="007714FE"/>
    <w:rsid w:val="007717F5"/>
    <w:rsid w:val="00772061"/>
    <w:rsid w:val="00772751"/>
    <w:rsid w:val="00772829"/>
    <w:rsid w:val="00772872"/>
    <w:rsid w:val="007732BF"/>
    <w:rsid w:val="007733A0"/>
    <w:rsid w:val="007733C2"/>
    <w:rsid w:val="00773E0B"/>
    <w:rsid w:val="007740EA"/>
    <w:rsid w:val="00774152"/>
    <w:rsid w:val="0077430B"/>
    <w:rsid w:val="007744B2"/>
    <w:rsid w:val="0077460C"/>
    <w:rsid w:val="0077491C"/>
    <w:rsid w:val="00774A78"/>
    <w:rsid w:val="00774ADF"/>
    <w:rsid w:val="00774C47"/>
    <w:rsid w:val="00774D76"/>
    <w:rsid w:val="00774E51"/>
    <w:rsid w:val="0077504E"/>
    <w:rsid w:val="00775321"/>
    <w:rsid w:val="0077562A"/>
    <w:rsid w:val="00775898"/>
    <w:rsid w:val="00775986"/>
    <w:rsid w:val="00775A74"/>
    <w:rsid w:val="00775A9B"/>
    <w:rsid w:val="00775DC5"/>
    <w:rsid w:val="0077605D"/>
    <w:rsid w:val="00776342"/>
    <w:rsid w:val="00776579"/>
    <w:rsid w:val="0077679B"/>
    <w:rsid w:val="00776B99"/>
    <w:rsid w:val="00776D45"/>
    <w:rsid w:val="00776F70"/>
    <w:rsid w:val="00777162"/>
    <w:rsid w:val="007772E2"/>
    <w:rsid w:val="007774EE"/>
    <w:rsid w:val="007775A1"/>
    <w:rsid w:val="00777848"/>
    <w:rsid w:val="00777893"/>
    <w:rsid w:val="007778E5"/>
    <w:rsid w:val="007779E3"/>
    <w:rsid w:val="00777E69"/>
    <w:rsid w:val="0078008B"/>
    <w:rsid w:val="007801CD"/>
    <w:rsid w:val="0078043E"/>
    <w:rsid w:val="00780938"/>
    <w:rsid w:val="00781160"/>
    <w:rsid w:val="00781163"/>
    <w:rsid w:val="007811E4"/>
    <w:rsid w:val="007811EF"/>
    <w:rsid w:val="007812C1"/>
    <w:rsid w:val="0078132B"/>
    <w:rsid w:val="007815C5"/>
    <w:rsid w:val="007816E2"/>
    <w:rsid w:val="00781901"/>
    <w:rsid w:val="00781A5B"/>
    <w:rsid w:val="00781B4C"/>
    <w:rsid w:val="00781C89"/>
    <w:rsid w:val="00781D9F"/>
    <w:rsid w:val="00782305"/>
    <w:rsid w:val="00782496"/>
    <w:rsid w:val="00782609"/>
    <w:rsid w:val="007826B0"/>
    <w:rsid w:val="00782847"/>
    <w:rsid w:val="00782AA7"/>
    <w:rsid w:val="00782D44"/>
    <w:rsid w:val="00782E0F"/>
    <w:rsid w:val="00782E48"/>
    <w:rsid w:val="0078320E"/>
    <w:rsid w:val="00783D68"/>
    <w:rsid w:val="00783DCD"/>
    <w:rsid w:val="00783E37"/>
    <w:rsid w:val="00783E85"/>
    <w:rsid w:val="00784341"/>
    <w:rsid w:val="007844F5"/>
    <w:rsid w:val="0078455A"/>
    <w:rsid w:val="00784572"/>
    <w:rsid w:val="007847DD"/>
    <w:rsid w:val="007848D4"/>
    <w:rsid w:val="007849AA"/>
    <w:rsid w:val="00784B75"/>
    <w:rsid w:val="00784BC1"/>
    <w:rsid w:val="00784CBB"/>
    <w:rsid w:val="00784E15"/>
    <w:rsid w:val="00784FBD"/>
    <w:rsid w:val="0078502A"/>
    <w:rsid w:val="00785067"/>
    <w:rsid w:val="007850C3"/>
    <w:rsid w:val="00785136"/>
    <w:rsid w:val="00785192"/>
    <w:rsid w:val="007851BE"/>
    <w:rsid w:val="0078525F"/>
    <w:rsid w:val="007852E9"/>
    <w:rsid w:val="00785722"/>
    <w:rsid w:val="00785AB9"/>
    <w:rsid w:val="00785BF0"/>
    <w:rsid w:val="00785C7F"/>
    <w:rsid w:val="00785DFC"/>
    <w:rsid w:val="00785E54"/>
    <w:rsid w:val="00786135"/>
    <w:rsid w:val="00786230"/>
    <w:rsid w:val="00786623"/>
    <w:rsid w:val="007866E0"/>
    <w:rsid w:val="00786B35"/>
    <w:rsid w:val="00786C92"/>
    <w:rsid w:val="00786DD5"/>
    <w:rsid w:val="007871F2"/>
    <w:rsid w:val="00787789"/>
    <w:rsid w:val="007879AC"/>
    <w:rsid w:val="00787C10"/>
    <w:rsid w:val="00787D0E"/>
    <w:rsid w:val="00787D42"/>
    <w:rsid w:val="00787E12"/>
    <w:rsid w:val="00787F40"/>
    <w:rsid w:val="00787FA2"/>
    <w:rsid w:val="0079006C"/>
    <w:rsid w:val="0079038B"/>
    <w:rsid w:val="00790421"/>
    <w:rsid w:val="00790460"/>
    <w:rsid w:val="007904C9"/>
    <w:rsid w:val="00790B15"/>
    <w:rsid w:val="00790EDE"/>
    <w:rsid w:val="00790F49"/>
    <w:rsid w:val="007911AF"/>
    <w:rsid w:val="00791290"/>
    <w:rsid w:val="0079138D"/>
    <w:rsid w:val="00791435"/>
    <w:rsid w:val="007917A2"/>
    <w:rsid w:val="00791851"/>
    <w:rsid w:val="00791A57"/>
    <w:rsid w:val="0079216B"/>
    <w:rsid w:val="007926D0"/>
    <w:rsid w:val="00792ACE"/>
    <w:rsid w:val="00792B5B"/>
    <w:rsid w:val="00792BAD"/>
    <w:rsid w:val="00792C6C"/>
    <w:rsid w:val="00792EE3"/>
    <w:rsid w:val="00792F53"/>
    <w:rsid w:val="00793018"/>
    <w:rsid w:val="00793040"/>
    <w:rsid w:val="007931CB"/>
    <w:rsid w:val="007932F5"/>
    <w:rsid w:val="0079344A"/>
    <w:rsid w:val="007934C6"/>
    <w:rsid w:val="00793837"/>
    <w:rsid w:val="007938B4"/>
    <w:rsid w:val="00793A89"/>
    <w:rsid w:val="00793AAC"/>
    <w:rsid w:val="00793AC8"/>
    <w:rsid w:val="00793FF2"/>
    <w:rsid w:val="0079419E"/>
    <w:rsid w:val="007941B0"/>
    <w:rsid w:val="00794589"/>
    <w:rsid w:val="00794A25"/>
    <w:rsid w:val="00794B80"/>
    <w:rsid w:val="00794D27"/>
    <w:rsid w:val="00794E37"/>
    <w:rsid w:val="00794F9E"/>
    <w:rsid w:val="007951D4"/>
    <w:rsid w:val="007952D9"/>
    <w:rsid w:val="00795498"/>
    <w:rsid w:val="007957BD"/>
    <w:rsid w:val="00795933"/>
    <w:rsid w:val="00795C4F"/>
    <w:rsid w:val="00795D12"/>
    <w:rsid w:val="0079610B"/>
    <w:rsid w:val="00796433"/>
    <w:rsid w:val="00796924"/>
    <w:rsid w:val="00796D1D"/>
    <w:rsid w:val="00796E4D"/>
    <w:rsid w:val="00796E8A"/>
    <w:rsid w:val="007971F0"/>
    <w:rsid w:val="00797277"/>
    <w:rsid w:val="00797287"/>
    <w:rsid w:val="007979C7"/>
    <w:rsid w:val="00797C46"/>
    <w:rsid w:val="007A06E2"/>
    <w:rsid w:val="007A07B1"/>
    <w:rsid w:val="007A08CE"/>
    <w:rsid w:val="007A0A8D"/>
    <w:rsid w:val="007A0C81"/>
    <w:rsid w:val="007A102C"/>
    <w:rsid w:val="007A1191"/>
    <w:rsid w:val="007A11CB"/>
    <w:rsid w:val="007A1354"/>
    <w:rsid w:val="007A145E"/>
    <w:rsid w:val="007A1499"/>
    <w:rsid w:val="007A1590"/>
    <w:rsid w:val="007A18C0"/>
    <w:rsid w:val="007A1913"/>
    <w:rsid w:val="007A19F6"/>
    <w:rsid w:val="007A1AF3"/>
    <w:rsid w:val="007A1B6C"/>
    <w:rsid w:val="007A1D49"/>
    <w:rsid w:val="007A1FBA"/>
    <w:rsid w:val="007A2019"/>
    <w:rsid w:val="007A20F2"/>
    <w:rsid w:val="007A2156"/>
    <w:rsid w:val="007A2B65"/>
    <w:rsid w:val="007A2EF3"/>
    <w:rsid w:val="007A31E0"/>
    <w:rsid w:val="007A3202"/>
    <w:rsid w:val="007A33A4"/>
    <w:rsid w:val="007A3534"/>
    <w:rsid w:val="007A371F"/>
    <w:rsid w:val="007A38C9"/>
    <w:rsid w:val="007A39BF"/>
    <w:rsid w:val="007A3A60"/>
    <w:rsid w:val="007A3CE7"/>
    <w:rsid w:val="007A4204"/>
    <w:rsid w:val="007A420E"/>
    <w:rsid w:val="007A4564"/>
    <w:rsid w:val="007A4CB2"/>
    <w:rsid w:val="007A4D44"/>
    <w:rsid w:val="007A4E2E"/>
    <w:rsid w:val="007A4EDA"/>
    <w:rsid w:val="007A525D"/>
    <w:rsid w:val="007A5407"/>
    <w:rsid w:val="007A5617"/>
    <w:rsid w:val="007A5A31"/>
    <w:rsid w:val="007A5A8A"/>
    <w:rsid w:val="007A5FA4"/>
    <w:rsid w:val="007A5FC1"/>
    <w:rsid w:val="007A6159"/>
    <w:rsid w:val="007A641C"/>
    <w:rsid w:val="007A648B"/>
    <w:rsid w:val="007A653C"/>
    <w:rsid w:val="007A66E7"/>
    <w:rsid w:val="007A6738"/>
    <w:rsid w:val="007A68C9"/>
    <w:rsid w:val="007A69C8"/>
    <w:rsid w:val="007A6A6E"/>
    <w:rsid w:val="007A6AA1"/>
    <w:rsid w:val="007A6AF4"/>
    <w:rsid w:val="007A6B07"/>
    <w:rsid w:val="007A71C8"/>
    <w:rsid w:val="007A7653"/>
    <w:rsid w:val="007A78E4"/>
    <w:rsid w:val="007A7B88"/>
    <w:rsid w:val="007A7D4C"/>
    <w:rsid w:val="007A7DE0"/>
    <w:rsid w:val="007AF5F4"/>
    <w:rsid w:val="007B00C5"/>
    <w:rsid w:val="007B0245"/>
    <w:rsid w:val="007B0273"/>
    <w:rsid w:val="007B03B0"/>
    <w:rsid w:val="007B05BB"/>
    <w:rsid w:val="007B06A2"/>
    <w:rsid w:val="007B083F"/>
    <w:rsid w:val="007B0880"/>
    <w:rsid w:val="007B0AE5"/>
    <w:rsid w:val="007B0B28"/>
    <w:rsid w:val="007B0BB8"/>
    <w:rsid w:val="007B0D01"/>
    <w:rsid w:val="007B0DFA"/>
    <w:rsid w:val="007B0F67"/>
    <w:rsid w:val="007B1297"/>
    <w:rsid w:val="007B144F"/>
    <w:rsid w:val="007B18D1"/>
    <w:rsid w:val="007B1992"/>
    <w:rsid w:val="007B19FF"/>
    <w:rsid w:val="007B1BAC"/>
    <w:rsid w:val="007B1BC2"/>
    <w:rsid w:val="007B1C0D"/>
    <w:rsid w:val="007B1CE2"/>
    <w:rsid w:val="007B2085"/>
    <w:rsid w:val="007B2130"/>
    <w:rsid w:val="007B218C"/>
    <w:rsid w:val="007B2411"/>
    <w:rsid w:val="007B247F"/>
    <w:rsid w:val="007B252E"/>
    <w:rsid w:val="007B2868"/>
    <w:rsid w:val="007B2B4F"/>
    <w:rsid w:val="007B2FDC"/>
    <w:rsid w:val="007B3196"/>
    <w:rsid w:val="007B328F"/>
    <w:rsid w:val="007B32E3"/>
    <w:rsid w:val="007B3370"/>
    <w:rsid w:val="007B3493"/>
    <w:rsid w:val="007B3514"/>
    <w:rsid w:val="007B35A1"/>
    <w:rsid w:val="007B3660"/>
    <w:rsid w:val="007B36C9"/>
    <w:rsid w:val="007B38A0"/>
    <w:rsid w:val="007B38B7"/>
    <w:rsid w:val="007B3953"/>
    <w:rsid w:val="007B416B"/>
    <w:rsid w:val="007B4235"/>
    <w:rsid w:val="007B44C4"/>
    <w:rsid w:val="007B4525"/>
    <w:rsid w:val="007B4610"/>
    <w:rsid w:val="007B4789"/>
    <w:rsid w:val="007B48E5"/>
    <w:rsid w:val="007B490C"/>
    <w:rsid w:val="007B4F7B"/>
    <w:rsid w:val="007B507C"/>
    <w:rsid w:val="007B5686"/>
    <w:rsid w:val="007B5693"/>
    <w:rsid w:val="007B583D"/>
    <w:rsid w:val="007B585F"/>
    <w:rsid w:val="007B58E8"/>
    <w:rsid w:val="007B592F"/>
    <w:rsid w:val="007B5A1C"/>
    <w:rsid w:val="007B5CE8"/>
    <w:rsid w:val="007B5F1C"/>
    <w:rsid w:val="007B5F5C"/>
    <w:rsid w:val="007B6396"/>
    <w:rsid w:val="007B6684"/>
    <w:rsid w:val="007B6B21"/>
    <w:rsid w:val="007B7024"/>
    <w:rsid w:val="007B734B"/>
    <w:rsid w:val="007B747B"/>
    <w:rsid w:val="007B7527"/>
    <w:rsid w:val="007B76F7"/>
    <w:rsid w:val="007B7777"/>
    <w:rsid w:val="007B7AC1"/>
    <w:rsid w:val="007B7C40"/>
    <w:rsid w:val="007B7DE1"/>
    <w:rsid w:val="007B7EA3"/>
    <w:rsid w:val="007C0064"/>
    <w:rsid w:val="007C01D9"/>
    <w:rsid w:val="007C020D"/>
    <w:rsid w:val="007C029B"/>
    <w:rsid w:val="007C02F9"/>
    <w:rsid w:val="007C0390"/>
    <w:rsid w:val="007C0624"/>
    <w:rsid w:val="007C06C3"/>
    <w:rsid w:val="007C0A10"/>
    <w:rsid w:val="007C0AAA"/>
    <w:rsid w:val="007C11A1"/>
    <w:rsid w:val="007C12B9"/>
    <w:rsid w:val="007C14A2"/>
    <w:rsid w:val="007C19AD"/>
    <w:rsid w:val="007C1D08"/>
    <w:rsid w:val="007C1DF7"/>
    <w:rsid w:val="007C1E0D"/>
    <w:rsid w:val="007C1E2A"/>
    <w:rsid w:val="007C1F04"/>
    <w:rsid w:val="007C1FF8"/>
    <w:rsid w:val="007C2093"/>
    <w:rsid w:val="007C22A1"/>
    <w:rsid w:val="007C258F"/>
    <w:rsid w:val="007C26F5"/>
    <w:rsid w:val="007C2A97"/>
    <w:rsid w:val="007C2AE7"/>
    <w:rsid w:val="007C2BE2"/>
    <w:rsid w:val="007C2D36"/>
    <w:rsid w:val="007C2E32"/>
    <w:rsid w:val="007C2F51"/>
    <w:rsid w:val="007C2F59"/>
    <w:rsid w:val="007C300E"/>
    <w:rsid w:val="007C3103"/>
    <w:rsid w:val="007C328D"/>
    <w:rsid w:val="007C336F"/>
    <w:rsid w:val="007C33AA"/>
    <w:rsid w:val="007C346D"/>
    <w:rsid w:val="007C39E9"/>
    <w:rsid w:val="007C3FC2"/>
    <w:rsid w:val="007C41B1"/>
    <w:rsid w:val="007C4212"/>
    <w:rsid w:val="007C4294"/>
    <w:rsid w:val="007C49B0"/>
    <w:rsid w:val="007C4B60"/>
    <w:rsid w:val="007C52CB"/>
    <w:rsid w:val="007C5A09"/>
    <w:rsid w:val="007C5A92"/>
    <w:rsid w:val="007C5D19"/>
    <w:rsid w:val="007C5FF9"/>
    <w:rsid w:val="007C609D"/>
    <w:rsid w:val="007C6238"/>
    <w:rsid w:val="007C6540"/>
    <w:rsid w:val="007C65AB"/>
    <w:rsid w:val="007C66B1"/>
    <w:rsid w:val="007C66F8"/>
    <w:rsid w:val="007C6715"/>
    <w:rsid w:val="007C6BC7"/>
    <w:rsid w:val="007C6F31"/>
    <w:rsid w:val="007C7131"/>
    <w:rsid w:val="007C71BF"/>
    <w:rsid w:val="007C71FA"/>
    <w:rsid w:val="007C72DF"/>
    <w:rsid w:val="007C7467"/>
    <w:rsid w:val="007C77F2"/>
    <w:rsid w:val="007C7C92"/>
    <w:rsid w:val="007C7D17"/>
    <w:rsid w:val="007C7D26"/>
    <w:rsid w:val="007D007E"/>
    <w:rsid w:val="007D0130"/>
    <w:rsid w:val="007D05D2"/>
    <w:rsid w:val="007D07BB"/>
    <w:rsid w:val="007D0BC2"/>
    <w:rsid w:val="007D0D96"/>
    <w:rsid w:val="007D0F98"/>
    <w:rsid w:val="007D1271"/>
    <w:rsid w:val="007D1413"/>
    <w:rsid w:val="007D1AF3"/>
    <w:rsid w:val="007D1B35"/>
    <w:rsid w:val="007D1C39"/>
    <w:rsid w:val="007D208C"/>
    <w:rsid w:val="007D2143"/>
    <w:rsid w:val="007D279E"/>
    <w:rsid w:val="007D2BC5"/>
    <w:rsid w:val="007D2C5D"/>
    <w:rsid w:val="007D2E98"/>
    <w:rsid w:val="007D30B7"/>
    <w:rsid w:val="007D30CF"/>
    <w:rsid w:val="007D39DB"/>
    <w:rsid w:val="007D39DD"/>
    <w:rsid w:val="007D3FC1"/>
    <w:rsid w:val="007D43B4"/>
    <w:rsid w:val="007D444E"/>
    <w:rsid w:val="007D4575"/>
    <w:rsid w:val="007D4710"/>
    <w:rsid w:val="007D48BB"/>
    <w:rsid w:val="007D50A1"/>
    <w:rsid w:val="007D5395"/>
    <w:rsid w:val="007D5529"/>
    <w:rsid w:val="007D5805"/>
    <w:rsid w:val="007D5C51"/>
    <w:rsid w:val="007D5E0D"/>
    <w:rsid w:val="007D5FD1"/>
    <w:rsid w:val="007D609A"/>
    <w:rsid w:val="007D62C3"/>
    <w:rsid w:val="007D64E2"/>
    <w:rsid w:val="007D64E9"/>
    <w:rsid w:val="007D6582"/>
    <w:rsid w:val="007D685E"/>
    <w:rsid w:val="007D6862"/>
    <w:rsid w:val="007D6B22"/>
    <w:rsid w:val="007D6FC8"/>
    <w:rsid w:val="007D70FB"/>
    <w:rsid w:val="007D7486"/>
    <w:rsid w:val="007D76F8"/>
    <w:rsid w:val="007D79A7"/>
    <w:rsid w:val="007D7B65"/>
    <w:rsid w:val="007D7DFE"/>
    <w:rsid w:val="007D7F2D"/>
    <w:rsid w:val="007D7F54"/>
    <w:rsid w:val="007E02E4"/>
    <w:rsid w:val="007E0348"/>
    <w:rsid w:val="007E08A5"/>
    <w:rsid w:val="007E0A58"/>
    <w:rsid w:val="007E0C93"/>
    <w:rsid w:val="007E0D40"/>
    <w:rsid w:val="007E0D44"/>
    <w:rsid w:val="007E0E4A"/>
    <w:rsid w:val="007E0E59"/>
    <w:rsid w:val="007E10C7"/>
    <w:rsid w:val="007E10E1"/>
    <w:rsid w:val="007E11C0"/>
    <w:rsid w:val="007E12F0"/>
    <w:rsid w:val="007E15AD"/>
    <w:rsid w:val="007E161C"/>
    <w:rsid w:val="007E1A9B"/>
    <w:rsid w:val="007E1ABF"/>
    <w:rsid w:val="007E1D08"/>
    <w:rsid w:val="007E1F51"/>
    <w:rsid w:val="007E2256"/>
    <w:rsid w:val="007E25ED"/>
    <w:rsid w:val="007E2814"/>
    <w:rsid w:val="007E298B"/>
    <w:rsid w:val="007E2BC0"/>
    <w:rsid w:val="007E2CBB"/>
    <w:rsid w:val="007E2D24"/>
    <w:rsid w:val="007E3020"/>
    <w:rsid w:val="007E3138"/>
    <w:rsid w:val="007E31FA"/>
    <w:rsid w:val="007E377E"/>
    <w:rsid w:val="007E3B20"/>
    <w:rsid w:val="007E3B86"/>
    <w:rsid w:val="007E3B8D"/>
    <w:rsid w:val="007E3DB6"/>
    <w:rsid w:val="007E3DF7"/>
    <w:rsid w:val="007E3F83"/>
    <w:rsid w:val="007E402C"/>
    <w:rsid w:val="007E4119"/>
    <w:rsid w:val="007E4653"/>
    <w:rsid w:val="007E47F6"/>
    <w:rsid w:val="007E492A"/>
    <w:rsid w:val="007E4FD1"/>
    <w:rsid w:val="007E52D7"/>
    <w:rsid w:val="007E5441"/>
    <w:rsid w:val="007E555D"/>
    <w:rsid w:val="007E571A"/>
    <w:rsid w:val="007E580B"/>
    <w:rsid w:val="007E5AE2"/>
    <w:rsid w:val="007E5B42"/>
    <w:rsid w:val="007E5B4F"/>
    <w:rsid w:val="007E5BE4"/>
    <w:rsid w:val="007E5BE5"/>
    <w:rsid w:val="007E5BFB"/>
    <w:rsid w:val="007E5E2D"/>
    <w:rsid w:val="007E63E7"/>
    <w:rsid w:val="007E66D5"/>
    <w:rsid w:val="007E689A"/>
    <w:rsid w:val="007E6A22"/>
    <w:rsid w:val="007E6C44"/>
    <w:rsid w:val="007E6C69"/>
    <w:rsid w:val="007E6C80"/>
    <w:rsid w:val="007E6EE4"/>
    <w:rsid w:val="007E6FC8"/>
    <w:rsid w:val="007E7394"/>
    <w:rsid w:val="007E7478"/>
    <w:rsid w:val="007E7687"/>
    <w:rsid w:val="007E7986"/>
    <w:rsid w:val="007E7A4E"/>
    <w:rsid w:val="007E7BC6"/>
    <w:rsid w:val="007E7BD3"/>
    <w:rsid w:val="007E7D2F"/>
    <w:rsid w:val="007F03D4"/>
    <w:rsid w:val="007F0699"/>
    <w:rsid w:val="007F07A4"/>
    <w:rsid w:val="007F0882"/>
    <w:rsid w:val="007F09DC"/>
    <w:rsid w:val="007F0B95"/>
    <w:rsid w:val="007F0B96"/>
    <w:rsid w:val="007F0C5C"/>
    <w:rsid w:val="007F0F94"/>
    <w:rsid w:val="007F0FC0"/>
    <w:rsid w:val="007F171D"/>
    <w:rsid w:val="007F18C7"/>
    <w:rsid w:val="007F1B65"/>
    <w:rsid w:val="007F1F9E"/>
    <w:rsid w:val="007F20BB"/>
    <w:rsid w:val="007F24F8"/>
    <w:rsid w:val="007F25CD"/>
    <w:rsid w:val="007F2738"/>
    <w:rsid w:val="007F27BD"/>
    <w:rsid w:val="007F29E7"/>
    <w:rsid w:val="007F319A"/>
    <w:rsid w:val="007F331F"/>
    <w:rsid w:val="007F3401"/>
    <w:rsid w:val="007F36B4"/>
    <w:rsid w:val="007F3A34"/>
    <w:rsid w:val="007F3B4D"/>
    <w:rsid w:val="007F3C01"/>
    <w:rsid w:val="007F40D6"/>
    <w:rsid w:val="007F40E8"/>
    <w:rsid w:val="007F428E"/>
    <w:rsid w:val="007F4516"/>
    <w:rsid w:val="007F45F8"/>
    <w:rsid w:val="007F486E"/>
    <w:rsid w:val="007F48A4"/>
    <w:rsid w:val="007F4E4A"/>
    <w:rsid w:val="007F518D"/>
    <w:rsid w:val="007F58D5"/>
    <w:rsid w:val="007F608A"/>
    <w:rsid w:val="007F609E"/>
    <w:rsid w:val="007F6251"/>
    <w:rsid w:val="007F63B9"/>
    <w:rsid w:val="007F662B"/>
    <w:rsid w:val="007F67E9"/>
    <w:rsid w:val="007F6A14"/>
    <w:rsid w:val="007F6A95"/>
    <w:rsid w:val="007F6B39"/>
    <w:rsid w:val="007F6C66"/>
    <w:rsid w:val="007F7098"/>
    <w:rsid w:val="007F70E9"/>
    <w:rsid w:val="007F7536"/>
    <w:rsid w:val="007F77A3"/>
    <w:rsid w:val="007F77E6"/>
    <w:rsid w:val="007F78F0"/>
    <w:rsid w:val="007F7C7B"/>
    <w:rsid w:val="007F7FE1"/>
    <w:rsid w:val="00800118"/>
    <w:rsid w:val="00800441"/>
    <w:rsid w:val="00800505"/>
    <w:rsid w:val="0080053C"/>
    <w:rsid w:val="00800562"/>
    <w:rsid w:val="008005F7"/>
    <w:rsid w:val="00800A46"/>
    <w:rsid w:val="00800B3B"/>
    <w:rsid w:val="0080143C"/>
    <w:rsid w:val="008014AE"/>
    <w:rsid w:val="00801A35"/>
    <w:rsid w:val="00801AAE"/>
    <w:rsid w:val="00801AEE"/>
    <w:rsid w:val="00801BE0"/>
    <w:rsid w:val="00801D4C"/>
    <w:rsid w:val="00801D62"/>
    <w:rsid w:val="00801D92"/>
    <w:rsid w:val="00801E67"/>
    <w:rsid w:val="008020EE"/>
    <w:rsid w:val="00802145"/>
    <w:rsid w:val="0080221A"/>
    <w:rsid w:val="008022ED"/>
    <w:rsid w:val="00802B40"/>
    <w:rsid w:val="00802EAB"/>
    <w:rsid w:val="00802EAF"/>
    <w:rsid w:val="00802FBC"/>
    <w:rsid w:val="008033F5"/>
    <w:rsid w:val="00803404"/>
    <w:rsid w:val="0080354C"/>
    <w:rsid w:val="0080359F"/>
    <w:rsid w:val="008036A6"/>
    <w:rsid w:val="00803807"/>
    <w:rsid w:val="00803EF7"/>
    <w:rsid w:val="008040A2"/>
    <w:rsid w:val="008040DD"/>
    <w:rsid w:val="00804420"/>
    <w:rsid w:val="00804542"/>
    <w:rsid w:val="008045F1"/>
    <w:rsid w:val="00804632"/>
    <w:rsid w:val="008046E5"/>
    <w:rsid w:val="00804790"/>
    <w:rsid w:val="00804800"/>
    <w:rsid w:val="008048DC"/>
    <w:rsid w:val="00804950"/>
    <w:rsid w:val="00804A19"/>
    <w:rsid w:val="00804B56"/>
    <w:rsid w:val="008051A8"/>
    <w:rsid w:val="008051BA"/>
    <w:rsid w:val="0080541F"/>
    <w:rsid w:val="008054D9"/>
    <w:rsid w:val="00805859"/>
    <w:rsid w:val="008058EE"/>
    <w:rsid w:val="008059F8"/>
    <w:rsid w:val="00805CDD"/>
    <w:rsid w:val="00805D93"/>
    <w:rsid w:val="0080610E"/>
    <w:rsid w:val="00806688"/>
    <w:rsid w:val="008066CE"/>
    <w:rsid w:val="008067E9"/>
    <w:rsid w:val="008068B9"/>
    <w:rsid w:val="0080694C"/>
    <w:rsid w:val="00806B8D"/>
    <w:rsid w:val="00806E62"/>
    <w:rsid w:val="00807124"/>
    <w:rsid w:val="0080722D"/>
    <w:rsid w:val="008073E1"/>
    <w:rsid w:val="00807442"/>
    <w:rsid w:val="0080762C"/>
    <w:rsid w:val="008076FF"/>
    <w:rsid w:val="00807A3E"/>
    <w:rsid w:val="00807A75"/>
    <w:rsid w:val="00807DE7"/>
    <w:rsid w:val="00807F3E"/>
    <w:rsid w:val="00810108"/>
    <w:rsid w:val="00810338"/>
    <w:rsid w:val="00810414"/>
    <w:rsid w:val="008105DC"/>
    <w:rsid w:val="008106EC"/>
    <w:rsid w:val="008109BD"/>
    <w:rsid w:val="008109CC"/>
    <w:rsid w:val="00810A56"/>
    <w:rsid w:val="00810A57"/>
    <w:rsid w:val="00810B96"/>
    <w:rsid w:val="00810ED3"/>
    <w:rsid w:val="00810FBA"/>
    <w:rsid w:val="008113FF"/>
    <w:rsid w:val="008114A8"/>
    <w:rsid w:val="008115EE"/>
    <w:rsid w:val="0081167A"/>
    <w:rsid w:val="00811B80"/>
    <w:rsid w:val="00811F04"/>
    <w:rsid w:val="008120E4"/>
    <w:rsid w:val="00812282"/>
    <w:rsid w:val="0081232F"/>
    <w:rsid w:val="0081248D"/>
    <w:rsid w:val="008124DA"/>
    <w:rsid w:val="00812575"/>
    <w:rsid w:val="0081257B"/>
    <w:rsid w:val="00812C3B"/>
    <w:rsid w:val="00813135"/>
    <w:rsid w:val="008138D2"/>
    <w:rsid w:val="008138DA"/>
    <w:rsid w:val="00813AE1"/>
    <w:rsid w:val="00813AFF"/>
    <w:rsid w:val="00813C4C"/>
    <w:rsid w:val="00813D7E"/>
    <w:rsid w:val="00813F1A"/>
    <w:rsid w:val="00814116"/>
    <w:rsid w:val="008141E2"/>
    <w:rsid w:val="008143C9"/>
    <w:rsid w:val="00814404"/>
    <w:rsid w:val="0081455E"/>
    <w:rsid w:val="008148E4"/>
    <w:rsid w:val="00814985"/>
    <w:rsid w:val="00814A29"/>
    <w:rsid w:val="00814DBA"/>
    <w:rsid w:val="00814F03"/>
    <w:rsid w:val="008151A1"/>
    <w:rsid w:val="008157F1"/>
    <w:rsid w:val="00815921"/>
    <w:rsid w:val="00815D1E"/>
    <w:rsid w:val="00816318"/>
    <w:rsid w:val="00816337"/>
    <w:rsid w:val="0081642F"/>
    <w:rsid w:val="00816B6D"/>
    <w:rsid w:val="00816C9A"/>
    <w:rsid w:val="00816E72"/>
    <w:rsid w:val="00816EC2"/>
    <w:rsid w:val="00816F6D"/>
    <w:rsid w:val="00817602"/>
    <w:rsid w:val="00817870"/>
    <w:rsid w:val="008200FD"/>
    <w:rsid w:val="00820227"/>
    <w:rsid w:val="00820672"/>
    <w:rsid w:val="008206A3"/>
    <w:rsid w:val="00820738"/>
    <w:rsid w:val="00820897"/>
    <w:rsid w:val="00820B84"/>
    <w:rsid w:val="00820CBE"/>
    <w:rsid w:val="00820F81"/>
    <w:rsid w:val="00820FBD"/>
    <w:rsid w:val="00821644"/>
    <w:rsid w:val="0082180C"/>
    <w:rsid w:val="00821851"/>
    <w:rsid w:val="00821EDD"/>
    <w:rsid w:val="0082209B"/>
    <w:rsid w:val="00822243"/>
    <w:rsid w:val="00822755"/>
    <w:rsid w:val="0082277A"/>
    <w:rsid w:val="008227ED"/>
    <w:rsid w:val="00822A49"/>
    <w:rsid w:val="008230DC"/>
    <w:rsid w:val="0082315C"/>
    <w:rsid w:val="008231EA"/>
    <w:rsid w:val="008232D9"/>
    <w:rsid w:val="0082335A"/>
    <w:rsid w:val="0082351E"/>
    <w:rsid w:val="0082369E"/>
    <w:rsid w:val="008236E1"/>
    <w:rsid w:val="008237BD"/>
    <w:rsid w:val="00823863"/>
    <w:rsid w:val="00823B74"/>
    <w:rsid w:val="00823C01"/>
    <w:rsid w:val="00823CE3"/>
    <w:rsid w:val="008240CD"/>
    <w:rsid w:val="00824332"/>
    <w:rsid w:val="00824403"/>
    <w:rsid w:val="00824458"/>
    <w:rsid w:val="0082449E"/>
    <w:rsid w:val="0082477C"/>
    <w:rsid w:val="008249F7"/>
    <w:rsid w:val="00824AC5"/>
    <w:rsid w:val="00824B74"/>
    <w:rsid w:val="00824B9C"/>
    <w:rsid w:val="00824BEB"/>
    <w:rsid w:val="00824C5D"/>
    <w:rsid w:val="00824EB5"/>
    <w:rsid w:val="00824F86"/>
    <w:rsid w:val="0082537A"/>
    <w:rsid w:val="0082542B"/>
    <w:rsid w:val="0082570B"/>
    <w:rsid w:val="0082579F"/>
    <w:rsid w:val="00825BA3"/>
    <w:rsid w:val="00825CBB"/>
    <w:rsid w:val="00825E57"/>
    <w:rsid w:val="0082609E"/>
    <w:rsid w:val="00826199"/>
    <w:rsid w:val="008261C7"/>
    <w:rsid w:val="00826588"/>
    <w:rsid w:val="008267CD"/>
    <w:rsid w:val="0082696C"/>
    <w:rsid w:val="00826AA9"/>
    <w:rsid w:val="00827027"/>
    <w:rsid w:val="008270C0"/>
    <w:rsid w:val="008270D8"/>
    <w:rsid w:val="00827243"/>
    <w:rsid w:val="0082759D"/>
    <w:rsid w:val="00827635"/>
    <w:rsid w:val="00827B56"/>
    <w:rsid w:val="00827B85"/>
    <w:rsid w:val="00827CBC"/>
    <w:rsid w:val="00827FE1"/>
    <w:rsid w:val="0083013A"/>
    <w:rsid w:val="008302BA"/>
    <w:rsid w:val="008303DA"/>
    <w:rsid w:val="0083059A"/>
    <w:rsid w:val="008305F9"/>
    <w:rsid w:val="00830630"/>
    <w:rsid w:val="008306B6"/>
    <w:rsid w:val="00830AA2"/>
    <w:rsid w:val="00830C0C"/>
    <w:rsid w:val="00830CC8"/>
    <w:rsid w:val="00830DC8"/>
    <w:rsid w:val="00831139"/>
    <w:rsid w:val="008313A3"/>
    <w:rsid w:val="00831520"/>
    <w:rsid w:val="00831592"/>
    <w:rsid w:val="008315D8"/>
    <w:rsid w:val="00831687"/>
    <w:rsid w:val="00831795"/>
    <w:rsid w:val="00831A2C"/>
    <w:rsid w:val="00831D7B"/>
    <w:rsid w:val="00831E49"/>
    <w:rsid w:val="00831FAC"/>
    <w:rsid w:val="00832938"/>
    <w:rsid w:val="00832BE5"/>
    <w:rsid w:val="00832D17"/>
    <w:rsid w:val="00832E7C"/>
    <w:rsid w:val="00833002"/>
    <w:rsid w:val="00833067"/>
    <w:rsid w:val="00833178"/>
    <w:rsid w:val="008331E5"/>
    <w:rsid w:val="008337F3"/>
    <w:rsid w:val="00833825"/>
    <w:rsid w:val="00833928"/>
    <w:rsid w:val="00833A59"/>
    <w:rsid w:val="00833C45"/>
    <w:rsid w:val="00833E79"/>
    <w:rsid w:val="00834206"/>
    <w:rsid w:val="00834746"/>
    <w:rsid w:val="00834757"/>
    <w:rsid w:val="00834A50"/>
    <w:rsid w:val="00834C34"/>
    <w:rsid w:val="00834D57"/>
    <w:rsid w:val="00834E81"/>
    <w:rsid w:val="00834F4D"/>
    <w:rsid w:val="00834FBD"/>
    <w:rsid w:val="008350BC"/>
    <w:rsid w:val="008351BE"/>
    <w:rsid w:val="00835273"/>
    <w:rsid w:val="00835327"/>
    <w:rsid w:val="008353EB"/>
    <w:rsid w:val="008354D0"/>
    <w:rsid w:val="00835529"/>
    <w:rsid w:val="0083559F"/>
    <w:rsid w:val="008357FA"/>
    <w:rsid w:val="00835BC9"/>
    <w:rsid w:val="00835C11"/>
    <w:rsid w:val="00835EC9"/>
    <w:rsid w:val="0083610A"/>
    <w:rsid w:val="0083634C"/>
    <w:rsid w:val="00836535"/>
    <w:rsid w:val="00836834"/>
    <w:rsid w:val="00836846"/>
    <w:rsid w:val="008369AE"/>
    <w:rsid w:val="00836BD8"/>
    <w:rsid w:val="00836CB0"/>
    <w:rsid w:val="00836E50"/>
    <w:rsid w:val="00836F22"/>
    <w:rsid w:val="00836F31"/>
    <w:rsid w:val="00836FD5"/>
    <w:rsid w:val="008373CA"/>
    <w:rsid w:val="00837649"/>
    <w:rsid w:val="00837789"/>
    <w:rsid w:val="00837CE1"/>
    <w:rsid w:val="00837D8E"/>
    <w:rsid w:val="00837EB7"/>
    <w:rsid w:val="00837F05"/>
    <w:rsid w:val="00840192"/>
    <w:rsid w:val="0084019F"/>
    <w:rsid w:val="008401B1"/>
    <w:rsid w:val="00840341"/>
    <w:rsid w:val="00840C10"/>
    <w:rsid w:val="00840E1A"/>
    <w:rsid w:val="00840E88"/>
    <w:rsid w:val="00840F76"/>
    <w:rsid w:val="008410B7"/>
    <w:rsid w:val="00841143"/>
    <w:rsid w:val="00841368"/>
    <w:rsid w:val="00841388"/>
    <w:rsid w:val="008417FE"/>
    <w:rsid w:val="00841EFB"/>
    <w:rsid w:val="00841F44"/>
    <w:rsid w:val="00842084"/>
    <w:rsid w:val="00842316"/>
    <w:rsid w:val="00842706"/>
    <w:rsid w:val="00842C82"/>
    <w:rsid w:val="00842E28"/>
    <w:rsid w:val="00842E2F"/>
    <w:rsid w:val="0084303A"/>
    <w:rsid w:val="0084308B"/>
    <w:rsid w:val="00843300"/>
    <w:rsid w:val="008434B9"/>
    <w:rsid w:val="00843522"/>
    <w:rsid w:val="008436D7"/>
    <w:rsid w:val="008437EB"/>
    <w:rsid w:val="00843B20"/>
    <w:rsid w:val="00843BA3"/>
    <w:rsid w:val="008440FE"/>
    <w:rsid w:val="008444ED"/>
    <w:rsid w:val="00844558"/>
    <w:rsid w:val="00844830"/>
    <w:rsid w:val="008448BF"/>
    <w:rsid w:val="008448CB"/>
    <w:rsid w:val="008449DF"/>
    <w:rsid w:val="008452C5"/>
    <w:rsid w:val="008455C2"/>
    <w:rsid w:val="0084592A"/>
    <w:rsid w:val="008459DF"/>
    <w:rsid w:val="00845C6F"/>
    <w:rsid w:val="00845D2F"/>
    <w:rsid w:val="00845F27"/>
    <w:rsid w:val="0084604E"/>
    <w:rsid w:val="00846119"/>
    <w:rsid w:val="008466E7"/>
    <w:rsid w:val="00846BE3"/>
    <w:rsid w:val="00846BF4"/>
    <w:rsid w:val="00846F80"/>
    <w:rsid w:val="00847023"/>
    <w:rsid w:val="00847491"/>
    <w:rsid w:val="008474E3"/>
    <w:rsid w:val="008474E4"/>
    <w:rsid w:val="008478C2"/>
    <w:rsid w:val="0085066D"/>
    <w:rsid w:val="008506A9"/>
    <w:rsid w:val="00850BEC"/>
    <w:rsid w:val="00850C6C"/>
    <w:rsid w:val="00850CFF"/>
    <w:rsid w:val="00850FE6"/>
    <w:rsid w:val="0085117B"/>
    <w:rsid w:val="00851214"/>
    <w:rsid w:val="00851807"/>
    <w:rsid w:val="00851866"/>
    <w:rsid w:val="008519FE"/>
    <w:rsid w:val="00851AA8"/>
    <w:rsid w:val="00851C5C"/>
    <w:rsid w:val="00851D12"/>
    <w:rsid w:val="00851D29"/>
    <w:rsid w:val="008520F9"/>
    <w:rsid w:val="00852355"/>
    <w:rsid w:val="008523B3"/>
    <w:rsid w:val="00852549"/>
    <w:rsid w:val="00852667"/>
    <w:rsid w:val="008527ED"/>
    <w:rsid w:val="0085292F"/>
    <w:rsid w:val="008529A7"/>
    <w:rsid w:val="00852C8D"/>
    <w:rsid w:val="00852F6C"/>
    <w:rsid w:val="008537F7"/>
    <w:rsid w:val="008538F7"/>
    <w:rsid w:val="00853BAD"/>
    <w:rsid w:val="008546BE"/>
    <w:rsid w:val="00854CBE"/>
    <w:rsid w:val="00854FA8"/>
    <w:rsid w:val="00855039"/>
    <w:rsid w:val="008551E9"/>
    <w:rsid w:val="00855435"/>
    <w:rsid w:val="008556AD"/>
    <w:rsid w:val="008556C9"/>
    <w:rsid w:val="0085575E"/>
    <w:rsid w:val="0085585D"/>
    <w:rsid w:val="008558BD"/>
    <w:rsid w:val="00855966"/>
    <w:rsid w:val="00855C24"/>
    <w:rsid w:val="00855C32"/>
    <w:rsid w:val="00855D4A"/>
    <w:rsid w:val="00855E4C"/>
    <w:rsid w:val="00855EEF"/>
    <w:rsid w:val="00855F6D"/>
    <w:rsid w:val="00855F87"/>
    <w:rsid w:val="00856074"/>
    <w:rsid w:val="008561E0"/>
    <w:rsid w:val="00856302"/>
    <w:rsid w:val="00856354"/>
    <w:rsid w:val="00856383"/>
    <w:rsid w:val="008567E8"/>
    <w:rsid w:val="00856861"/>
    <w:rsid w:val="00856C36"/>
    <w:rsid w:val="00856C46"/>
    <w:rsid w:val="00856DB0"/>
    <w:rsid w:val="00856ED4"/>
    <w:rsid w:val="00856F5F"/>
    <w:rsid w:val="008572DB"/>
    <w:rsid w:val="00857300"/>
    <w:rsid w:val="00857949"/>
    <w:rsid w:val="00857A32"/>
    <w:rsid w:val="00857FBA"/>
    <w:rsid w:val="008601C2"/>
    <w:rsid w:val="00860213"/>
    <w:rsid w:val="0086021F"/>
    <w:rsid w:val="00860430"/>
    <w:rsid w:val="0086061A"/>
    <w:rsid w:val="0086082D"/>
    <w:rsid w:val="00860ADC"/>
    <w:rsid w:val="00860AF7"/>
    <w:rsid w:val="00860B19"/>
    <w:rsid w:val="00861081"/>
    <w:rsid w:val="008610EB"/>
    <w:rsid w:val="008613E0"/>
    <w:rsid w:val="00861472"/>
    <w:rsid w:val="00861A18"/>
    <w:rsid w:val="00861BD2"/>
    <w:rsid w:val="00861C68"/>
    <w:rsid w:val="00861DB1"/>
    <w:rsid w:val="00861F07"/>
    <w:rsid w:val="00862112"/>
    <w:rsid w:val="00862263"/>
    <w:rsid w:val="00862460"/>
    <w:rsid w:val="00862D34"/>
    <w:rsid w:val="00863065"/>
    <w:rsid w:val="00863638"/>
    <w:rsid w:val="0086374A"/>
    <w:rsid w:val="00863F70"/>
    <w:rsid w:val="008641FB"/>
    <w:rsid w:val="0086454D"/>
    <w:rsid w:val="008645E3"/>
    <w:rsid w:val="008647BD"/>
    <w:rsid w:val="00864982"/>
    <w:rsid w:val="00864B31"/>
    <w:rsid w:val="00864B4C"/>
    <w:rsid w:val="00864CEA"/>
    <w:rsid w:val="00864DB3"/>
    <w:rsid w:val="00864DCA"/>
    <w:rsid w:val="00864F09"/>
    <w:rsid w:val="00865009"/>
    <w:rsid w:val="00865095"/>
    <w:rsid w:val="008651F8"/>
    <w:rsid w:val="00865326"/>
    <w:rsid w:val="008656AD"/>
    <w:rsid w:val="00865714"/>
    <w:rsid w:val="0086592E"/>
    <w:rsid w:val="008659CD"/>
    <w:rsid w:val="00865C8A"/>
    <w:rsid w:val="00865D03"/>
    <w:rsid w:val="0086606B"/>
    <w:rsid w:val="0086619F"/>
    <w:rsid w:val="00866935"/>
    <w:rsid w:val="008669D0"/>
    <w:rsid w:val="00866A9F"/>
    <w:rsid w:val="00866CCF"/>
    <w:rsid w:val="00866DAC"/>
    <w:rsid w:val="00866FD0"/>
    <w:rsid w:val="0086728F"/>
    <w:rsid w:val="008677D7"/>
    <w:rsid w:val="008678F9"/>
    <w:rsid w:val="008701F6"/>
    <w:rsid w:val="0087025F"/>
    <w:rsid w:val="00870324"/>
    <w:rsid w:val="00870917"/>
    <w:rsid w:val="00870C81"/>
    <w:rsid w:val="00870D99"/>
    <w:rsid w:val="008712C5"/>
    <w:rsid w:val="00871763"/>
    <w:rsid w:val="008717A0"/>
    <w:rsid w:val="0087193B"/>
    <w:rsid w:val="00871966"/>
    <w:rsid w:val="008719C2"/>
    <w:rsid w:val="00871A9A"/>
    <w:rsid w:val="00871BE6"/>
    <w:rsid w:val="00871D4A"/>
    <w:rsid w:val="00871E2C"/>
    <w:rsid w:val="00871E3E"/>
    <w:rsid w:val="00871F9A"/>
    <w:rsid w:val="008722D6"/>
    <w:rsid w:val="00872540"/>
    <w:rsid w:val="0087258F"/>
    <w:rsid w:val="00872764"/>
    <w:rsid w:val="0087277A"/>
    <w:rsid w:val="00872823"/>
    <w:rsid w:val="00872A47"/>
    <w:rsid w:val="00872C2A"/>
    <w:rsid w:val="00872EFA"/>
    <w:rsid w:val="00872F70"/>
    <w:rsid w:val="00872FC6"/>
    <w:rsid w:val="0087306B"/>
    <w:rsid w:val="00873092"/>
    <w:rsid w:val="008732FA"/>
    <w:rsid w:val="008736E2"/>
    <w:rsid w:val="008736F0"/>
    <w:rsid w:val="008736FF"/>
    <w:rsid w:val="00873FA4"/>
    <w:rsid w:val="00874329"/>
    <w:rsid w:val="0087454A"/>
    <w:rsid w:val="00874565"/>
    <w:rsid w:val="00874866"/>
    <w:rsid w:val="00874ABF"/>
    <w:rsid w:val="00874DCA"/>
    <w:rsid w:val="00874EA9"/>
    <w:rsid w:val="00875274"/>
    <w:rsid w:val="008753E1"/>
    <w:rsid w:val="00875567"/>
    <w:rsid w:val="00875EA8"/>
    <w:rsid w:val="00875F28"/>
    <w:rsid w:val="00876277"/>
    <w:rsid w:val="00876287"/>
    <w:rsid w:val="00876383"/>
    <w:rsid w:val="00876417"/>
    <w:rsid w:val="00877148"/>
    <w:rsid w:val="0087716E"/>
    <w:rsid w:val="008771AB"/>
    <w:rsid w:val="00877247"/>
    <w:rsid w:val="0087731A"/>
    <w:rsid w:val="0087799A"/>
    <w:rsid w:val="00877A9E"/>
    <w:rsid w:val="00877B86"/>
    <w:rsid w:val="008800F6"/>
    <w:rsid w:val="008801AE"/>
    <w:rsid w:val="008809B5"/>
    <w:rsid w:val="00880AA3"/>
    <w:rsid w:val="00880B0A"/>
    <w:rsid w:val="00880B3E"/>
    <w:rsid w:val="0088104B"/>
    <w:rsid w:val="0088130A"/>
    <w:rsid w:val="00881329"/>
    <w:rsid w:val="008814FD"/>
    <w:rsid w:val="008816A8"/>
    <w:rsid w:val="00881EEE"/>
    <w:rsid w:val="00882169"/>
    <w:rsid w:val="00882271"/>
    <w:rsid w:val="00882276"/>
    <w:rsid w:val="008824A7"/>
    <w:rsid w:val="008824D9"/>
    <w:rsid w:val="00882578"/>
    <w:rsid w:val="00882614"/>
    <w:rsid w:val="008828FD"/>
    <w:rsid w:val="008829BC"/>
    <w:rsid w:val="00882F69"/>
    <w:rsid w:val="008831DD"/>
    <w:rsid w:val="00883365"/>
    <w:rsid w:val="0088378B"/>
    <w:rsid w:val="00884008"/>
    <w:rsid w:val="008840E3"/>
    <w:rsid w:val="0088421C"/>
    <w:rsid w:val="0088440D"/>
    <w:rsid w:val="0088445B"/>
    <w:rsid w:val="00884590"/>
    <w:rsid w:val="00884773"/>
    <w:rsid w:val="00884A3F"/>
    <w:rsid w:val="00884B5C"/>
    <w:rsid w:val="008850E6"/>
    <w:rsid w:val="0088517F"/>
    <w:rsid w:val="00885447"/>
    <w:rsid w:val="008855AB"/>
    <w:rsid w:val="00885775"/>
    <w:rsid w:val="008857CC"/>
    <w:rsid w:val="008857E1"/>
    <w:rsid w:val="0088599E"/>
    <w:rsid w:val="008859E6"/>
    <w:rsid w:val="00885A69"/>
    <w:rsid w:val="00885B10"/>
    <w:rsid w:val="00886064"/>
    <w:rsid w:val="0088639D"/>
    <w:rsid w:val="008864D8"/>
    <w:rsid w:val="008865CD"/>
    <w:rsid w:val="00886850"/>
    <w:rsid w:val="0088695D"/>
    <w:rsid w:val="00886A9C"/>
    <w:rsid w:val="00886BC6"/>
    <w:rsid w:val="00886CFA"/>
    <w:rsid w:val="00886F9B"/>
    <w:rsid w:val="00887025"/>
    <w:rsid w:val="0088726F"/>
    <w:rsid w:val="00887715"/>
    <w:rsid w:val="0088778C"/>
    <w:rsid w:val="008877EC"/>
    <w:rsid w:val="00887939"/>
    <w:rsid w:val="008879BB"/>
    <w:rsid w:val="00887E64"/>
    <w:rsid w:val="00887E6C"/>
    <w:rsid w:val="0089006B"/>
    <w:rsid w:val="008900DF"/>
    <w:rsid w:val="0089013B"/>
    <w:rsid w:val="008901B8"/>
    <w:rsid w:val="008901DB"/>
    <w:rsid w:val="0089022D"/>
    <w:rsid w:val="008904A2"/>
    <w:rsid w:val="00890589"/>
    <w:rsid w:val="008906A0"/>
    <w:rsid w:val="00890706"/>
    <w:rsid w:val="008907E9"/>
    <w:rsid w:val="008909D5"/>
    <w:rsid w:val="00890AA4"/>
    <w:rsid w:val="00890AAC"/>
    <w:rsid w:val="00890B94"/>
    <w:rsid w:val="00890D9A"/>
    <w:rsid w:val="00890E82"/>
    <w:rsid w:val="00890F99"/>
    <w:rsid w:val="008910CB"/>
    <w:rsid w:val="00891242"/>
    <w:rsid w:val="00891397"/>
    <w:rsid w:val="008914C4"/>
    <w:rsid w:val="008914D6"/>
    <w:rsid w:val="00891596"/>
    <w:rsid w:val="008915DA"/>
    <w:rsid w:val="008919A4"/>
    <w:rsid w:val="00891AF6"/>
    <w:rsid w:val="00891BC3"/>
    <w:rsid w:val="0089202A"/>
    <w:rsid w:val="008921E9"/>
    <w:rsid w:val="008922FB"/>
    <w:rsid w:val="00892752"/>
    <w:rsid w:val="0089294D"/>
    <w:rsid w:val="00892B69"/>
    <w:rsid w:val="00892BAD"/>
    <w:rsid w:val="00892BBB"/>
    <w:rsid w:val="008937C8"/>
    <w:rsid w:val="00893C13"/>
    <w:rsid w:val="00893C55"/>
    <w:rsid w:val="00893E1B"/>
    <w:rsid w:val="00893E23"/>
    <w:rsid w:val="00893F18"/>
    <w:rsid w:val="0089427A"/>
    <w:rsid w:val="008942B2"/>
    <w:rsid w:val="00894704"/>
    <w:rsid w:val="00894709"/>
    <w:rsid w:val="0089475B"/>
    <w:rsid w:val="0089486D"/>
    <w:rsid w:val="008951C2"/>
    <w:rsid w:val="00895531"/>
    <w:rsid w:val="008955BB"/>
    <w:rsid w:val="0089570F"/>
    <w:rsid w:val="0089597A"/>
    <w:rsid w:val="00895AA4"/>
    <w:rsid w:val="00895DEC"/>
    <w:rsid w:val="00895F53"/>
    <w:rsid w:val="008961C4"/>
    <w:rsid w:val="00896486"/>
    <w:rsid w:val="008966C3"/>
    <w:rsid w:val="008967C4"/>
    <w:rsid w:val="00896886"/>
    <w:rsid w:val="008969A5"/>
    <w:rsid w:val="008969C9"/>
    <w:rsid w:val="00896A08"/>
    <w:rsid w:val="00896A4F"/>
    <w:rsid w:val="00896C70"/>
    <w:rsid w:val="00896D1F"/>
    <w:rsid w:val="00896F06"/>
    <w:rsid w:val="00897160"/>
    <w:rsid w:val="00897566"/>
    <w:rsid w:val="00897688"/>
    <w:rsid w:val="00897723"/>
    <w:rsid w:val="00897846"/>
    <w:rsid w:val="00897A41"/>
    <w:rsid w:val="00897DAB"/>
    <w:rsid w:val="00897FB7"/>
    <w:rsid w:val="008A0255"/>
    <w:rsid w:val="008A02AB"/>
    <w:rsid w:val="008A09E6"/>
    <w:rsid w:val="008A0B55"/>
    <w:rsid w:val="008A0BB4"/>
    <w:rsid w:val="008A0C3C"/>
    <w:rsid w:val="008A0D2A"/>
    <w:rsid w:val="008A0D3C"/>
    <w:rsid w:val="008A0D4C"/>
    <w:rsid w:val="008A10F7"/>
    <w:rsid w:val="008A116D"/>
    <w:rsid w:val="008A1220"/>
    <w:rsid w:val="008A1592"/>
    <w:rsid w:val="008A1693"/>
    <w:rsid w:val="008A18AB"/>
    <w:rsid w:val="008A1F9A"/>
    <w:rsid w:val="008A1FB4"/>
    <w:rsid w:val="008A20DA"/>
    <w:rsid w:val="008A20F3"/>
    <w:rsid w:val="008A22D2"/>
    <w:rsid w:val="008A254F"/>
    <w:rsid w:val="008A2630"/>
    <w:rsid w:val="008A26E3"/>
    <w:rsid w:val="008A2702"/>
    <w:rsid w:val="008A29D0"/>
    <w:rsid w:val="008A2BBE"/>
    <w:rsid w:val="008A2CCA"/>
    <w:rsid w:val="008A2E07"/>
    <w:rsid w:val="008A2ED6"/>
    <w:rsid w:val="008A3049"/>
    <w:rsid w:val="008A3837"/>
    <w:rsid w:val="008A3B8B"/>
    <w:rsid w:val="008A3C3A"/>
    <w:rsid w:val="008A3EF8"/>
    <w:rsid w:val="008A3F5A"/>
    <w:rsid w:val="008A4059"/>
    <w:rsid w:val="008A4449"/>
    <w:rsid w:val="008A455C"/>
    <w:rsid w:val="008A4853"/>
    <w:rsid w:val="008A501D"/>
    <w:rsid w:val="008A5059"/>
    <w:rsid w:val="008A5175"/>
    <w:rsid w:val="008A5224"/>
    <w:rsid w:val="008A54A8"/>
    <w:rsid w:val="008A57CB"/>
    <w:rsid w:val="008A5833"/>
    <w:rsid w:val="008A5933"/>
    <w:rsid w:val="008A5A7B"/>
    <w:rsid w:val="008A5D38"/>
    <w:rsid w:val="008A5F67"/>
    <w:rsid w:val="008A5F89"/>
    <w:rsid w:val="008A6179"/>
    <w:rsid w:val="008A658E"/>
    <w:rsid w:val="008A65E1"/>
    <w:rsid w:val="008A665E"/>
    <w:rsid w:val="008A686B"/>
    <w:rsid w:val="008A6A49"/>
    <w:rsid w:val="008A6B8A"/>
    <w:rsid w:val="008A7295"/>
    <w:rsid w:val="008A72E1"/>
    <w:rsid w:val="008A750B"/>
    <w:rsid w:val="008A7844"/>
    <w:rsid w:val="008A79DD"/>
    <w:rsid w:val="008A7C1E"/>
    <w:rsid w:val="008A7FA6"/>
    <w:rsid w:val="008A7FE0"/>
    <w:rsid w:val="008B000C"/>
    <w:rsid w:val="008B001A"/>
    <w:rsid w:val="008B00BD"/>
    <w:rsid w:val="008B01CB"/>
    <w:rsid w:val="008B0394"/>
    <w:rsid w:val="008B03BB"/>
    <w:rsid w:val="008B040C"/>
    <w:rsid w:val="008B057B"/>
    <w:rsid w:val="008B071C"/>
    <w:rsid w:val="008B0785"/>
    <w:rsid w:val="008B09C0"/>
    <w:rsid w:val="008B09CF"/>
    <w:rsid w:val="008B0A35"/>
    <w:rsid w:val="008B0D4D"/>
    <w:rsid w:val="008B0FF6"/>
    <w:rsid w:val="008B104D"/>
    <w:rsid w:val="008B1592"/>
    <w:rsid w:val="008B198E"/>
    <w:rsid w:val="008B19F0"/>
    <w:rsid w:val="008B1BF2"/>
    <w:rsid w:val="008B1D15"/>
    <w:rsid w:val="008B1D78"/>
    <w:rsid w:val="008B1ECB"/>
    <w:rsid w:val="008B2038"/>
    <w:rsid w:val="008B233A"/>
    <w:rsid w:val="008B2430"/>
    <w:rsid w:val="008B25AA"/>
    <w:rsid w:val="008B2613"/>
    <w:rsid w:val="008B26C1"/>
    <w:rsid w:val="008B2725"/>
    <w:rsid w:val="008B286C"/>
    <w:rsid w:val="008B28E6"/>
    <w:rsid w:val="008B2A70"/>
    <w:rsid w:val="008B2C0D"/>
    <w:rsid w:val="008B2CC6"/>
    <w:rsid w:val="008B2DA6"/>
    <w:rsid w:val="008B2E41"/>
    <w:rsid w:val="008B317C"/>
    <w:rsid w:val="008B34E4"/>
    <w:rsid w:val="008B350E"/>
    <w:rsid w:val="008B3589"/>
    <w:rsid w:val="008B3669"/>
    <w:rsid w:val="008B36A6"/>
    <w:rsid w:val="008B375F"/>
    <w:rsid w:val="008B3A88"/>
    <w:rsid w:val="008B3B19"/>
    <w:rsid w:val="008B3CE7"/>
    <w:rsid w:val="008B4010"/>
    <w:rsid w:val="008B438F"/>
    <w:rsid w:val="008B4695"/>
    <w:rsid w:val="008B46A8"/>
    <w:rsid w:val="008B46EC"/>
    <w:rsid w:val="008B4BFC"/>
    <w:rsid w:val="008B4DF9"/>
    <w:rsid w:val="008B4F7D"/>
    <w:rsid w:val="008B5048"/>
    <w:rsid w:val="008B50BF"/>
    <w:rsid w:val="008B517D"/>
    <w:rsid w:val="008B51A5"/>
    <w:rsid w:val="008B51B4"/>
    <w:rsid w:val="008B5543"/>
    <w:rsid w:val="008B59CB"/>
    <w:rsid w:val="008B5A1C"/>
    <w:rsid w:val="008B5B67"/>
    <w:rsid w:val="008B5CD1"/>
    <w:rsid w:val="008B5D7A"/>
    <w:rsid w:val="008B6002"/>
    <w:rsid w:val="008B63C3"/>
    <w:rsid w:val="008B66E3"/>
    <w:rsid w:val="008B6881"/>
    <w:rsid w:val="008B69D2"/>
    <w:rsid w:val="008B6D40"/>
    <w:rsid w:val="008B6E94"/>
    <w:rsid w:val="008B6FD7"/>
    <w:rsid w:val="008B6FEB"/>
    <w:rsid w:val="008B735A"/>
    <w:rsid w:val="008B73CB"/>
    <w:rsid w:val="008B7495"/>
    <w:rsid w:val="008B7653"/>
    <w:rsid w:val="008B7768"/>
    <w:rsid w:val="008B7848"/>
    <w:rsid w:val="008B7D69"/>
    <w:rsid w:val="008C013D"/>
    <w:rsid w:val="008C0165"/>
    <w:rsid w:val="008C021B"/>
    <w:rsid w:val="008C0388"/>
    <w:rsid w:val="008C0493"/>
    <w:rsid w:val="008C04E0"/>
    <w:rsid w:val="008C0655"/>
    <w:rsid w:val="008C090C"/>
    <w:rsid w:val="008C0CF3"/>
    <w:rsid w:val="008C0D8B"/>
    <w:rsid w:val="008C10C7"/>
    <w:rsid w:val="008C125F"/>
    <w:rsid w:val="008C142B"/>
    <w:rsid w:val="008C1630"/>
    <w:rsid w:val="008C189D"/>
    <w:rsid w:val="008C1E05"/>
    <w:rsid w:val="008C1E0D"/>
    <w:rsid w:val="008C1E6E"/>
    <w:rsid w:val="008C2103"/>
    <w:rsid w:val="008C23B8"/>
    <w:rsid w:val="008C25FB"/>
    <w:rsid w:val="008C26D8"/>
    <w:rsid w:val="008C280C"/>
    <w:rsid w:val="008C2838"/>
    <w:rsid w:val="008C2DDB"/>
    <w:rsid w:val="008C32BE"/>
    <w:rsid w:val="008C33F7"/>
    <w:rsid w:val="008C34BB"/>
    <w:rsid w:val="008C35E0"/>
    <w:rsid w:val="008C365A"/>
    <w:rsid w:val="008C3736"/>
    <w:rsid w:val="008C37B8"/>
    <w:rsid w:val="008C3E9D"/>
    <w:rsid w:val="008C3F0F"/>
    <w:rsid w:val="008C41E7"/>
    <w:rsid w:val="008C43DE"/>
    <w:rsid w:val="008C43E0"/>
    <w:rsid w:val="008C45E2"/>
    <w:rsid w:val="008C46CD"/>
    <w:rsid w:val="008C47C3"/>
    <w:rsid w:val="008C4B4A"/>
    <w:rsid w:val="008C4BBE"/>
    <w:rsid w:val="008C4D45"/>
    <w:rsid w:val="008C4DFB"/>
    <w:rsid w:val="008C4FFA"/>
    <w:rsid w:val="008C5134"/>
    <w:rsid w:val="008C559B"/>
    <w:rsid w:val="008C5B3B"/>
    <w:rsid w:val="008C5DDE"/>
    <w:rsid w:val="008C6022"/>
    <w:rsid w:val="008C62B6"/>
    <w:rsid w:val="008C64CB"/>
    <w:rsid w:val="008C672B"/>
    <w:rsid w:val="008C67F9"/>
    <w:rsid w:val="008C686E"/>
    <w:rsid w:val="008C6B2F"/>
    <w:rsid w:val="008C6D1E"/>
    <w:rsid w:val="008C6E04"/>
    <w:rsid w:val="008C7076"/>
    <w:rsid w:val="008C7397"/>
    <w:rsid w:val="008C743E"/>
    <w:rsid w:val="008C75C6"/>
    <w:rsid w:val="008C76DB"/>
    <w:rsid w:val="008C7877"/>
    <w:rsid w:val="008C7AFC"/>
    <w:rsid w:val="008D02F0"/>
    <w:rsid w:val="008D036B"/>
    <w:rsid w:val="008D0692"/>
    <w:rsid w:val="008D080E"/>
    <w:rsid w:val="008D08F2"/>
    <w:rsid w:val="008D0964"/>
    <w:rsid w:val="008D0A6E"/>
    <w:rsid w:val="008D0BC0"/>
    <w:rsid w:val="008D0E14"/>
    <w:rsid w:val="008D0EDF"/>
    <w:rsid w:val="008D119C"/>
    <w:rsid w:val="008D1360"/>
    <w:rsid w:val="008D1B16"/>
    <w:rsid w:val="008D1B59"/>
    <w:rsid w:val="008D1BF0"/>
    <w:rsid w:val="008D1CC4"/>
    <w:rsid w:val="008D1D83"/>
    <w:rsid w:val="008D2093"/>
    <w:rsid w:val="008D2136"/>
    <w:rsid w:val="008D2162"/>
    <w:rsid w:val="008D219F"/>
    <w:rsid w:val="008D2301"/>
    <w:rsid w:val="008D235B"/>
    <w:rsid w:val="008D2493"/>
    <w:rsid w:val="008D258E"/>
    <w:rsid w:val="008D273E"/>
    <w:rsid w:val="008D2DDA"/>
    <w:rsid w:val="008D2F99"/>
    <w:rsid w:val="008D3400"/>
    <w:rsid w:val="008D36A8"/>
    <w:rsid w:val="008D3726"/>
    <w:rsid w:val="008D39EA"/>
    <w:rsid w:val="008D3D9C"/>
    <w:rsid w:val="008D442C"/>
    <w:rsid w:val="008D4BE7"/>
    <w:rsid w:val="008D4C19"/>
    <w:rsid w:val="008D4C83"/>
    <w:rsid w:val="008D4CB0"/>
    <w:rsid w:val="008D53C5"/>
    <w:rsid w:val="008D540C"/>
    <w:rsid w:val="008D5464"/>
    <w:rsid w:val="008D6058"/>
    <w:rsid w:val="008D60D4"/>
    <w:rsid w:val="008D6292"/>
    <w:rsid w:val="008D6397"/>
    <w:rsid w:val="008D64B1"/>
    <w:rsid w:val="008D6599"/>
    <w:rsid w:val="008D6712"/>
    <w:rsid w:val="008D678A"/>
    <w:rsid w:val="008D6848"/>
    <w:rsid w:val="008D6863"/>
    <w:rsid w:val="008D68A6"/>
    <w:rsid w:val="008D6C40"/>
    <w:rsid w:val="008D6F62"/>
    <w:rsid w:val="008D718E"/>
    <w:rsid w:val="008D72B2"/>
    <w:rsid w:val="008D73C9"/>
    <w:rsid w:val="008D7574"/>
    <w:rsid w:val="008D7626"/>
    <w:rsid w:val="008D7734"/>
    <w:rsid w:val="008D7849"/>
    <w:rsid w:val="008D7900"/>
    <w:rsid w:val="008D7B9B"/>
    <w:rsid w:val="008D7D4C"/>
    <w:rsid w:val="008D7FE3"/>
    <w:rsid w:val="008E00BD"/>
    <w:rsid w:val="008E0188"/>
    <w:rsid w:val="008E085C"/>
    <w:rsid w:val="008E08AB"/>
    <w:rsid w:val="008E0914"/>
    <w:rsid w:val="008E0DCD"/>
    <w:rsid w:val="008E1071"/>
    <w:rsid w:val="008E1133"/>
    <w:rsid w:val="008E13C3"/>
    <w:rsid w:val="008E16BF"/>
    <w:rsid w:val="008E17C1"/>
    <w:rsid w:val="008E1971"/>
    <w:rsid w:val="008E1DB6"/>
    <w:rsid w:val="008E1E6E"/>
    <w:rsid w:val="008E1F1C"/>
    <w:rsid w:val="008E2017"/>
    <w:rsid w:val="008E2199"/>
    <w:rsid w:val="008E2334"/>
    <w:rsid w:val="008E2553"/>
    <w:rsid w:val="008E25DE"/>
    <w:rsid w:val="008E26A6"/>
    <w:rsid w:val="008E2AAB"/>
    <w:rsid w:val="008E2B26"/>
    <w:rsid w:val="008E2B93"/>
    <w:rsid w:val="008E2E1E"/>
    <w:rsid w:val="008E2FB1"/>
    <w:rsid w:val="008E3049"/>
    <w:rsid w:val="008E352A"/>
    <w:rsid w:val="008E35A3"/>
    <w:rsid w:val="008E366B"/>
    <w:rsid w:val="008E37C8"/>
    <w:rsid w:val="008E3A9D"/>
    <w:rsid w:val="008E3C45"/>
    <w:rsid w:val="008E3E9F"/>
    <w:rsid w:val="008E3EC1"/>
    <w:rsid w:val="008E3F02"/>
    <w:rsid w:val="008E4288"/>
    <w:rsid w:val="008E4540"/>
    <w:rsid w:val="008E45F1"/>
    <w:rsid w:val="008E4637"/>
    <w:rsid w:val="008E47B0"/>
    <w:rsid w:val="008E4A20"/>
    <w:rsid w:val="008E4AFD"/>
    <w:rsid w:val="008E4C7B"/>
    <w:rsid w:val="008E4C7E"/>
    <w:rsid w:val="008E4D15"/>
    <w:rsid w:val="008E4D60"/>
    <w:rsid w:val="008E4F1C"/>
    <w:rsid w:val="008E5320"/>
    <w:rsid w:val="008E53D3"/>
    <w:rsid w:val="008E54D2"/>
    <w:rsid w:val="008E583B"/>
    <w:rsid w:val="008E5907"/>
    <w:rsid w:val="008E5AB9"/>
    <w:rsid w:val="008E5B52"/>
    <w:rsid w:val="008E5EFF"/>
    <w:rsid w:val="008E5FB3"/>
    <w:rsid w:val="008E5FCE"/>
    <w:rsid w:val="008E6076"/>
    <w:rsid w:val="008E60A7"/>
    <w:rsid w:val="008E6EA0"/>
    <w:rsid w:val="008E70A5"/>
    <w:rsid w:val="008E7274"/>
    <w:rsid w:val="008E738A"/>
    <w:rsid w:val="008E73AD"/>
    <w:rsid w:val="008E74F8"/>
    <w:rsid w:val="008E775E"/>
    <w:rsid w:val="008E7775"/>
    <w:rsid w:val="008E7896"/>
    <w:rsid w:val="008E7963"/>
    <w:rsid w:val="008E7A71"/>
    <w:rsid w:val="008E7DDD"/>
    <w:rsid w:val="008E7EB6"/>
    <w:rsid w:val="008E7F0A"/>
    <w:rsid w:val="008F01C7"/>
    <w:rsid w:val="008F0207"/>
    <w:rsid w:val="008F0223"/>
    <w:rsid w:val="008F0562"/>
    <w:rsid w:val="008F0716"/>
    <w:rsid w:val="008F0845"/>
    <w:rsid w:val="008F0862"/>
    <w:rsid w:val="008F09B5"/>
    <w:rsid w:val="008F09D4"/>
    <w:rsid w:val="008F0C24"/>
    <w:rsid w:val="008F11CF"/>
    <w:rsid w:val="008F1377"/>
    <w:rsid w:val="008F17AA"/>
    <w:rsid w:val="008F18FC"/>
    <w:rsid w:val="008F1B36"/>
    <w:rsid w:val="008F1BA3"/>
    <w:rsid w:val="008F1D29"/>
    <w:rsid w:val="008F1D6B"/>
    <w:rsid w:val="008F1FC3"/>
    <w:rsid w:val="008F21DB"/>
    <w:rsid w:val="008F260B"/>
    <w:rsid w:val="008F2BA1"/>
    <w:rsid w:val="008F32A2"/>
    <w:rsid w:val="008F33E8"/>
    <w:rsid w:val="008F37A3"/>
    <w:rsid w:val="008F3A80"/>
    <w:rsid w:val="008F3B5A"/>
    <w:rsid w:val="008F3F74"/>
    <w:rsid w:val="008F4135"/>
    <w:rsid w:val="008F4229"/>
    <w:rsid w:val="008F4726"/>
    <w:rsid w:val="008F4896"/>
    <w:rsid w:val="008F4988"/>
    <w:rsid w:val="008F4A4E"/>
    <w:rsid w:val="008F4F75"/>
    <w:rsid w:val="008F4FE8"/>
    <w:rsid w:val="008F5015"/>
    <w:rsid w:val="008F51F3"/>
    <w:rsid w:val="008F56B6"/>
    <w:rsid w:val="008F578D"/>
    <w:rsid w:val="008F5909"/>
    <w:rsid w:val="008F59B6"/>
    <w:rsid w:val="008F5C9A"/>
    <w:rsid w:val="008F5DD0"/>
    <w:rsid w:val="008F5FED"/>
    <w:rsid w:val="008F6185"/>
    <w:rsid w:val="008F6D49"/>
    <w:rsid w:val="008F7446"/>
    <w:rsid w:val="008F7D0C"/>
    <w:rsid w:val="008F7FA1"/>
    <w:rsid w:val="00900295"/>
    <w:rsid w:val="009002B4"/>
    <w:rsid w:val="0090030B"/>
    <w:rsid w:val="009003A6"/>
    <w:rsid w:val="00900C7F"/>
    <w:rsid w:val="00900EFA"/>
    <w:rsid w:val="00900F2D"/>
    <w:rsid w:val="0090118C"/>
    <w:rsid w:val="009011F8"/>
    <w:rsid w:val="009012F0"/>
    <w:rsid w:val="00901595"/>
    <w:rsid w:val="00901BC6"/>
    <w:rsid w:val="00901D0B"/>
    <w:rsid w:val="00901DE8"/>
    <w:rsid w:val="00901E36"/>
    <w:rsid w:val="00901F51"/>
    <w:rsid w:val="009021CC"/>
    <w:rsid w:val="0090249E"/>
    <w:rsid w:val="009028CF"/>
    <w:rsid w:val="009029A0"/>
    <w:rsid w:val="00902ACC"/>
    <w:rsid w:val="00902B8B"/>
    <w:rsid w:val="00903007"/>
    <w:rsid w:val="00903040"/>
    <w:rsid w:val="0090308A"/>
    <w:rsid w:val="009031DF"/>
    <w:rsid w:val="009034A2"/>
    <w:rsid w:val="0090370C"/>
    <w:rsid w:val="009038E6"/>
    <w:rsid w:val="00903B21"/>
    <w:rsid w:val="00903BE4"/>
    <w:rsid w:val="00903C90"/>
    <w:rsid w:val="00904580"/>
    <w:rsid w:val="00904768"/>
    <w:rsid w:val="009047E1"/>
    <w:rsid w:val="00904AC6"/>
    <w:rsid w:val="00904BB9"/>
    <w:rsid w:val="00904FD9"/>
    <w:rsid w:val="0090501D"/>
    <w:rsid w:val="0090520B"/>
    <w:rsid w:val="009059CF"/>
    <w:rsid w:val="00905D1B"/>
    <w:rsid w:val="009061B4"/>
    <w:rsid w:val="009061C8"/>
    <w:rsid w:val="00906297"/>
    <w:rsid w:val="009062E6"/>
    <w:rsid w:val="00906391"/>
    <w:rsid w:val="0090657A"/>
    <w:rsid w:val="00906821"/>
    <w:rsid w:val="00906A3D"/>
    <w:rsid w:val="00906E65"/>
    <w:rsid w:val="00906E97"/>
    <w:rsid w:val="00906EBA"/>
    <w:rsid w:val="00906F96"/>
    <w:rsid w:val="00906FBE"/>
    <w:rsid w:val="00907340"/>
    <w:rsid w:val="00907481"/>
    <w:rsid w:val="00907632"/>
    <w:rsid w:val="00907663"/>
    <w:rsid w:val="0090776C"/>
    <w:rsid w:val="00907C81"/>
    <w:rsid w:val="0091006A"/>
    <w:rsid w:val="009102F2"/>
    <w:rsid w:val="00910313"/>
    <w:rsid w:val="009103A5"/>
    <w:rsid w:val="0091050B"/>
    <w:rsid w:val="0091062B"/>
    <w:rsid w:val="0091065B"/>
    <w:rsid w:val="009107BA"/>
    <w:rsid w:val="00910A69"/>
    <w:rsid w:val="00910AF2"/>
    <w:rsid w:val="00910B7F"/>
    <w:rsid w:val="00910B8A"/>
    <w:rsid w:val="00910E97"/>
    <w:rsid w:val="00910FFF"/>
    <w:rsid w:val="009113D3"/>
    <w:rsid w:val="009115B5"/>
    <w:rsid w:val="00911C99"/>
    <w:rsid w:val="00911CA7"/>
    <w:rsid w:val="00911D77"/>
    <w:rsid w:val="00911F90"/>
    <w:rsid w:val="009124D8"/>
    <w:rsid w:val="0091256F"/>
    <w:rsid w:val="009125FF"/>
    <w:rsid w:val="00912711"/>
    <w:rsid w:val="00912957"/>
    <w:rsid w:val="009129FA"/>
    <w:rsid w:val="00912BCA"/>
    <w:rsid w:val="00912D03"/>
    <w:rsid w:val="00912EC4"/>
    <w:rsid w:val="00912EE7"/>
    <w:rsid w:val="00913230"/>
    <w:rsid w:val="00913BEE"/>
    <w:rsid w:val="00913CB2"/>
    <w:rsid w:val="00913E6F"/>
    <w:rsid w:val="00913EAC"/>
    <w:rsid w:val="00913EE2"/>
    <w:rsid w:val="00914077"/>
    <w:rsid w:val="009144D5"/>
    <w:rsid w:val="009148AF"/>
    <w:rsid w:val="00914CE8"/>
    <w:rsid w:val="00915268"/>
    <w:rsid w:val="009152D1"/>
    <w:rsid w:val="00915317"/>
    <w:rsid w:val="00915498"/>
    <w:rsid w:val="009155B1"/>
    <w:rsid w:val="009156BD"/>
    <w:rsid w:val="00915C29"/>
    <w:rsid w:val="00915F98"/>
    <w:rsid w:val="00915FA3"/>
    <w:rsid w:val="00916188"/>
    <w:rsid w:val="009163A9"/>
    <w:rsid w:val="0091666C"/>
    <w:rsid w:val="00916CD0"/>
    <w:rsid w:val="00916EFF"/>
    <w:rsid w:val="00916F30"/>
    <w:rsid w:val="00916F69"/>
    <w:rsid w:val="00916FB9"/>
    <w:rsid w:val="009170B7"/>
    <w:rsid w:val="009171CA"/>
    <w:rsid w:val="009173B1"/>
    <w:rsid w:val="00917941"/>
    <w:rsid w:val="00917B2B"/>
    <w:rsid w:val="00917C1D"/>
    <w:rsid w:val="00917C3B"/>
    <w:rsid w:val="00917D4C"/>
    <w:rsid w:val="00917D51"/>
    <w:rsid w:val="00917F55"/>
    <w:rsid w:val="00917F6C"/>
    <w:rsid w:val="009200EE"/>
    <w:rsid w:val="00920146"/>
    <w:rsid w:val="009207A0"/>
    <w:rsid w:val="00920801"/>
    <w:rsid w:val="009209E7"/>
    <w:rsid w:val="00920C09"/>
    <w:rsid w:val="00920D5B"/>
    <w:rsid w:val="00920E69"/>
    <w:rsid w:val="00920F6F"/>
    <w:rsid w:val="009216AF"/>
    <w:rsid w:val="009217F8"/>
    <w:rsid w:val="009218B9"/>
    <w:rsid w:val="00921994"/>
    <w:rsid w:val="00921DD4"/>
    <w:rsid w:val="00921E11"/>
    <w:rsid w:val="009220EA"/>
    <w:rsid w:val="009226B0"/>
    <w:rsid w:val="00922728"/>
    <w:rsid w:val="009227E9"/>
    <w:rsid w:val="0092289E"/>
    <w:rsid w:val="009228BA"/>
    <w:rsid w:val="009228C7"/>
    <w:rsid w:val="00922A25"/>
    <w:rsid w:val="00922ABD"/>
    <w:rsid w:val="00922CBA"/>
    <w:rsid w:val="00922D53"/>
    <w:rsid w:val="00922E50"/>
    <w:rsid w:val="00922E7D"/>
    <w:rsid w:val="00923146"/>
    <w:rsid w:val="009231A2"/>
    <w:rsid w:val="009233D6"/>
    <w:rsid w:val="0092341F"/>
    <w:rsid w:val="009235CA"/>
    <w:rsid w:val="00923647"/>
    <w:rsid w:val="009239E7"/>
    <w:rsid w:val="00923B6A"/>
    <w:rsid w:val="00923E0C"/>
    <w:rsid w:val="00923F0D"/>
    <w:rsid w:val="009242F7"/>
    <w:rsid w:val="0092470E"/>
    <w:rsid w:val="00924746"/>
    <w:rsid w:val="00924784"/>
    <w:rsid w:val="00924A7A"/>
    <w:rsid w:val="00924C3C"/>
    <w:rsid w:val="00924CB0"/>
    <w:rsid w:val="00924F4D"/>
    <w:rsid w:val="00924F51"/>
    <w:rsid w:val="009250FB"/>
    <w:rsid w:val="00925187"/>
    <w:rsid w:val="0092523F"/>
    <w:rsid w:val="00925388"/>
    <w:rsid w:val="009254AE"/>
    <w:rsid w:val="00925627"/>
    <w:rsid w:val="00925684"/>
    <w:rsid w:val="00925709"/>
    <w:rsid w:val="00925B32"/>
    <w:rsid w:val="00925D97"/>
    <w:rsid w:val="00925E38"/>
    <w:rsid w:val="00926409"/>
    <w:rsid w:val="00926538"/>
    <w:rsid w:val="009265C8"/>
    <w:rsid w:val="0092664B"/>
    <w:rsid w:val="009267C8"/>
    <w:rsid w:val="009268F4"/>
    <w:rsid w:val="00926CD8"/>
    <w:rsid w:val="00926CE9"/>
    <w:rsid w:val="0092709C"/>
    <w:rsid w:val="00927101"/>
    <w:rsid w:val="0092717F"/>
    <w:rsid w:val="009271BA"/>
    <w:rsid w:val="0092756A"/>
    <w:rsid w:val="009275FE"/>
    <w:rsid w:val="00927624"/>
    <w:rsid w:val="009276C8"/>
    <w:rsid w:val="00927744"/>
    <w:rsid w:val="00927B05"/>
    <w:rsid w:val="00927B31"/>
    <w:rsid w:val="00927E83"/>
    <w:rsid w:val="00927F77"/>
    <w:rsid w:val="00927FF3"/>
    <w:rsid w:val="00930115"/>
    <w:rsid w:val="00930313"/>
    <w:rsid w:val="009304C9"/>
    <w:rsid w:val="009304F4"/>
    <w:rsid w:val="009304FE"/>
    <w:rsid w:val="009305D4"/>
    <w:rsid w:val="00930A5E"/>
    <w:rsid w:val="00930AC9"/>
    <w:rsid w:val="00930B23"/>
    <w:rsid w:val="00930CEC"/>
    <w:rsid w:val="00930D2D"/>
    <w:rsid w:val="00930DB1"/>
    <w:rsid w:val="00930F40"/>
    <w:rsid w:val="00930F4E"/>
    <w:rsid w:val="00930F61"/>
    <w:rsid w:val="00931304"/>
    <w:rsid w:val="009313A7"/>
    <w:rsid w:val="0093162A"/>
    <w:rsid w:val="009317EA"/>
    <w:rsid w:val="0093198E"/>
    <w:rsid w:val="00931C24"/>
    <w:rsid w:val="00931C62"/>
    <w:rsid w:val="00931ECE"/>
    <w:rsid w:val="00931EDD"/>
    <w:rsid w:val="009320CC"/>
    <w:rsid w:val="00932270"/>
    <w:rsid w:val="00932272"/>
    <w:rsid w:val="009323E4"/>
    <w:rsid w:val="009324B1"/>
    <w:rsid w:val="009326C6"/>
    <w:rsid w:val="00932729"/>
    <w:rsid w:val="009327FC"/>
    <w:rsid w:val="0093296A"/>
    <w:rsid w:val="00932C94"/>
    <w:rsid w:val="00932E2C"/>
    <w:rsid w:val="00932F1C"/>
    <w:rsid w:val="00932F25"/>
    <w:rsid w:val="00933017"/>
    <w:rsid w:val="009332BA"/>
    <w:rsid w:val="00933316"/>
    <w:rsid w:val="009337D9"/>
    <w:rsid w:val="00933857"/>
    <w:rsid w:val="009339C8"/>
    <w:rsid w:val="00933B92"/>
    <w:rsid w:val="00933F72"/>
    <w:rsid w:val="009341F4"/>
    <w:rsid w:val="00934537"/>
    <w:rsid w:val="00934930"/>
    <w:rsid w:val="00934B25"/>
    <w:rsid w:val="00934E87"/>
    <w:rsid w:val="00934EA6"/>
    <w:rsid w:val="00934F02"/>
    <w:rsid w:val="00935230"/>
    <w:rsid w:val="009352AD"/>
    <w:rsid w:val="00935366"/>
    <w:rsid w:val="0093536B"/>
    <w:rsid w:val="009353BD"/>
    <w:rsid w:val="009358E8"/>
    <w:rsid w:val="00935BE9"/>
    <w:rsid w:val="00936062"/>
    <w:rsid w:val="00936629"/>
    <w:rsid w:val="00936789"/>
    <w:rsid w:val="00936E76"/>
    <w:rsid w:val="00937460"/>
    <w:rsid w:val="00937581"/>
    <w:rsid w:val="009377EA"/>
    <w:rsid w:val="00937CBE"/>
    <w:rsid w:val="00937EBA"/>
    <w:rsid w:val="009400F9"/>
    <w:rsid w:val="00940920"/>
    <w:rsid w:val="00940E32"/>
    <w:rsid w:val="00940F39"/>
    <w:rsid w:val="0094129B"/>
    <w:rsid w:val="009412EF"/>
    <w:rsid w:val="00941B60"/>
    <w:rsid w:val="00941DCA"/>
    <w:rsid w:val="009420FF"/>
    <w:rsid w:val="0094212E"/>
    <w:rsid w:val="00942211"/>
    <w:rsid w:val="0094270E"/>
    <w:rsid w:val="00942AC4"/>
    <w:rsid w:val="00942C4C"/>
    <w:rsid w:val="009432DC"/>
    <w:rsid w:val="0094341E"/>
    <w:rsid w:val="009437B3"/>
    <w:rsid w:val="0094385A"/>
    <w:rsid w:val="00943AE8"/>
    <w:rsid w:val="00943C14"/>
    <w:rsid w:val="00943C7D"/>
    <w:rsid w:val="00943CBA"/>
    <w:rsid w:val="00943CE7"/>
    <w:rsid w:val="00943DDE"/>
    <w:rsid w:val="00943E06"/>
    <w:rsid w:val="00944087"/>
    <w:rsid w:val="009440A7"/>
    <w:rsid w:val="0094415C"/>
    <w:rsid w:val="0094416E"/>
    <w:rsid w:val="009442D9"/>
    <w:rsid w:val="009444A5"/>
    <w:rsid w:val="00944739"/>
    <w:rsid w:val="009447B7"/>
    <w:rsid w:val="00944A74"/>
    <w:rsid w:val="00944E72"/>
    <w:rsid w:val="00944E74"/>
    <w:rsid w:val="00944EEA"/>
    <w:rsid w:val="00945296"/>
    <w:rsid w:val="00945340"/>
    <w:rsid w:val="009453BF"/>
    <w:rsid w:val="009455EA"/>
    <w:rsid w:val="00945B67"/>
    <w:rsid w:val="00945C48"/>
    <w:rsid w:val="009468BF"/>
    <w:rsid w:val="009469D1"/>
    <w:rsid w:val="009476C1"/>
    <w:rsid w:val="009477B0"/>
    <w:rsid w:val="009477DD"/>
    <w:rsid w:val="00947837"/>
    <w:rsid w:val="0094794A"/>
    <w:rsid w:val="00947A7C"/>
    <w:rsid w:val="00947A97"/>
    <w:rsid w:val="00947E5F"/>
    <w:rsid w:val="00947F16"/>
    <w:rsid w:val="00947FAD"/>
    <w:rsid w:val="0095012E"/>
    <w:rsid w:val="0095037C"/>
    <w:rsid w:val="00950569"/>
    <w:rsid w:val="009505DD"/>
    <w:rsid w:val="00950626"/>
    <w:rsid w:val="009506ED"/>
    <w:rsid w:val="009508AF"/>
    <w:rsid w:val="009509A4"/>
    <w:rsid w:val="00950B89"/>
    <w:rsid w:val="00950BF5"/>
    <w:rsid w:val="00950CBC"/>
    <w:rsid w:val="00950D6D"/>
    <w:rsid w:val="00950DDA"/>
    <w:rsid w:val="00951208"/>
    <w:rsid w:val="009512C3"/>
    <w:rsid w:val="009512CC"/>
    <w:rsid w:val="00951408"/>
    <w:rsid w:val="00951433"/>
    <w:rsid w:val="009514E3"/>
    <w:rsid w:val="009518BF"/>
    <w:rsid w:val="00951934"/>
    <w:rsid w:val="00951A44"/>
    <w:rsid w:val="00951EDD"/>
    <w:rsid w:val="00951F1C"/>
    <w:rsid w:val="0095207B"/>
    <w:rsid w:val="009521E3"/>
    <w:rsid w:val="009523F2"/>
    <w:rsid w:val="00952AAE"/>
    <w:rsid w:val="00952CF6"/>
    <w:rsid w:val="00952F7A"/>
    <w:rsid w:val="009532D1"/>
    <w:rsid w:val="009532D8"/>
    <w:rsid w:val="0095346D"/>
    <w:rsid w:val="009534E0"/>
    <w:rsid w:val="009535BA"/>
    <w:rsid w:val="009536FB"/>
    <w:rsid w:val="00953900"/>
    <w:rsid w:val="00953BDD"/>
    <w:rsid w:val="00953D1B"/>
    <w:rsid w:val="00953DD0"/>
    <w:rsid w:val="00953F15"/>
    <w:rsid w:val="009543DD"/>
    <w:rsid w:val="00954415"/>
    <w:rsid w:val="00954462"/>
    <w:rsid w:val="009545A4"/>
    <w:rsid w:val="009546E3"/>
    <w:rsid w:val="0095492D"/>
    <w:rsid w:val="009549CB"/>
    <w:rsid w:val="00954C7D"/>
    <w:rsid w:val="00954C8C"/>
    <w:rsid w:val="00954CC4"/>
    <w:rsid w:val="00954ECA"/>
    <w:rsid w:val="00954F8E"/>
    <w:rsid w:val="009550BC"/>
    <w:rsid w:val="00955332"/>
    <w:rsid w:val="009553B4"/>
    <w:rsid w:val="009553F3"/>
    <w:rsid w:val="0095540E"/>
    <w:rsid w:val="009555AD"/>
    <w:rsid w:val="009557E1"/>
    <w:rsid w:val="00955989"/>
    <w:rsid w:val="009559DD"/>
    <w:rsid w:val="00955A1B"/>
    <w:rsid w:val="00955A65"/>
    <w:rsid w:val="00955EA3"/>
    <w:rsid w:val="00956ACE"/>
    <w:rsid w:val="00956D1B"/>
    <w:rsid w:val="009571F2"/>
    <w:rsid w:val="009572A0"/>
    <w:rsid w:val="00957303"/>
    <w:rsid w:val="009574EE"/>
    <w:rsid w:val="0095750E"/>
    <w:rsid w:val="00957821"/>
    <w:rsid w:val="00957C1A"/>
    <w:rsid w:val="00957D24"/>
    <w:rsid w:val="00957F4F"/>
    <w:rsid w:val="00960069"/>
    <w:rsid w:val="009602F6"/>
    <w:rsid w:val="00960808"/>
    <w:rsid w:val="0096096D"/>
    <w:rsid w:val="009609B0"/>
    <w:rsid w:val="00960BD0"/>
    <w:rsid w:val="00960D46"/>
    <w:rsid w:val="00960DCF"/>
    <w:rsid w:val="00960F0B"/>
    <w:rsid w:val="00961031"/>
    <w:rsid w:val="009613D7"/>
    <w:rsid w:val="009619E1"/>
    <w:rsid w:val="00961B53"/>
    <w:rsid w:val="00961E41"/>
    <w:rsid w:val="0096235F"/>
    <w:rsid w:val="0096245B"/>
    <w:rsid w:val="00962623"/>
    <w:rsid w:val="00962C37"/>
    <w:rsid w:val="00963264"/>
    <w:rsid w:val="009634E7"/>
    <w:rsid w:val="009636BA"/>
    <w:rsid w:val="00963732"/>
    <w:rsid w:val="0096389D"/>
    <w:rsid w:val="00963E0D"/>
    <w:rsid w:val="00963E1F"/>
    <w:rsid w:val="00963F27"/>
    <w:rsid w:val="00963FAE"/>
    <w:rsid w:val="00963FCA"/>
    <w:rsid w:val="0096448F"/>
    <w:rsid w:val="009645B8"/>
    <w:rsid w:val="009649FF"/>
    <w:rsid w:val="00964CB4"/>
    <w:rsid w:val="00965180"/>
    <w:rsid w:val="009651D1"/>
    <w:rsid w:val="00965513"/>
    <w:rsid w:val="009655FA"/>
    <w:rsid w:val="00965DAB"/>
    <w:rsid w:val="00966436"/>
    <w:rsid w:val="00966534"/>
    <w:rsid w:val="009667FE"/>
    <w:rsid w:val="009668D7"/>
    <w:rsid w:val="00966A76"/>
    <w:rsid w:val="00966B99"/>
    <w:rsid w:val="00966BF5"/>
    <w:rsid w:val="00966C4F"/>
    <w:rsid w:val="00966E00"/>
    <w:rsid w:val="00966F33"/>
    <w:rsid w:val="009672DC"/>
    <w:rsid w:val="009674B7"/>
    <w:rsid w:val="009676C0"/>
    <w:rsid w:val="0096793B"/>
    <w:rsid w:val="00967AAA"/>
    <w:rsid w:val="00967ADF"/>
    <w:rsid w:val="00967AF2"/>
    <w:rsid w:val="00967CC9"/>
    <w:rsid w:val="00967D55"/>
    <w:rsid w:val="00970252"/>
    <w:rsid w:val="0097028D"/>
    <w:rsid w:val="009702CB"/>
    <w:rsid w:val="00970527"/>
    <w:rsid w:val="009706DA"/>
    <w:rsid w:val="00970AE1"/>
    <w:rsid w:val="00970C06"/>
    <w:rsid w:val="00970CDD"/>
    <w:rsid w:val="00970DDC"/>
    <w:rsid w:val="0097144B"/>
    <w:rsid w:val="0097149B"/>
    <w:rsid w:val="009715B1"/>
    <w:rsid w:val="009715CB"/>
    <w:rsid w:val="00971DD8"/>
    <w:rsid w:val="00971F6C"/>
    <w:rsid w:val="00972076"/>
    <w:rsid w:val="0097209F"/>
    <w:rsid w:val="00972275"/>
    <w:rsid w:val="0097240A"/>
    <w:rsid w:val="009729E1"/>
    <w:rsid w:val="00972E0C"/>
    <w:rsid w:val="00972E6A"/>
    <w:rsid w:val="009730A2"/>
    <w:rsid w:val="00973105"/>
    <w:rsid w:val="0097343C"/>
    <w:rsid w:val="00973817"/>
    <w:rsid w:val="00973A4D"/>
    <w:rsid w:val="00973CC8"/>
    <w:rsid w:val="00973EF8"/>
    <w:rsid w:val="00973F94"/>
    <w:rsid w:val="009743BF"/>
    <w:rsid w:val="009744DF"/>
    <w:rsid w:val="00974578"/>
    <w:rsid w:val="009745DB"/>
    <w:rsid w:val="0097462F"/>
    <w:rsid w:val="00974920"/>
    <w:rsid w:val="009749FC"/>
    <w:rsid w:val="00974AF9"/>
    <w:rsid w:val="00974B09"/>
    <w:rsid w:val="00974B53"/>
    <w:rsid w:val="00974F8C"/>
    <w:rsid w:val="00975724"/>
    <w:rsid w:val="009758BF"/>
    <w:rsid w:val="00975AF1"/>
    <w:rsid w:val="00975BD0"/>
    <w:rsid w:val="00975C82"/>
    <w:rsid w:val="00975D1C"/>
    <w:rsid w:val="009762BE"/>
    <w:rsid w:val="009763B8"/>
    <w:rsid w:val="0097684A"/>
    <w:rsid w:val="009768E3"/>
    <w:rsid w:val="00976917"/>
    <w:rsid w:val="009769F3"/>
    <w:rsid w:val="00976C01"/>
    <w:rsid w:val="00976CF2"/>
    <w:rsid w:val="00976DA8"/>
    <w:rsid w:val="00976E81"/>
    <w:rsid w:val="00977197"/>
    <w:rsid w:val="00977535"/>
    <w:rsid w:val="00977912"/>
    <w:rsid w:val="00977B96"/>
    <w:rsid w:val="00977BEE"/>
    <w:rsid w:val="00977F48"/>
    <w:rsid w:val="00977F4A"/>
    <w:rsid w:val="00977FCF"/>
    <w:rsid w:val="009800BD"/>
    <w:rsid w:val="009803A9"/>
    <w:rsid w:val="009803CB"/>
    <w:rsid w:val="009803D4"/>
    <w:rsid w:val="00980743"/>
    <w:rsid w:val="009807A2"/>
    <w:rsid w:val="00980861"/>
    <w:rsid w:val="00980A5D"/>
    <w:rsid w:val="00980D71"/>
    <w:rsid w:val="00981050"/>
    <w:rsid w:val="009810F6"/>
    <w:rsid w:val="0098123D"/>
    <w:rsid w:val="00981267"/>
    <w:rsid w:val="009812B6"/>
    <w:rsid w:val="009813BB"/>
    <w:rsid w:val="0098151F"/>
    <w:rsid w:val="009816CB"/>
    <w:rsid w:val="00981714"/>
    <w:rsid w:val="0098181D"/>
    <w:rsid w:val="009818B0"/>
    <w:rsid w:val="0098199C"/>
    <w:rsid w:val="00981DE3"/>
    <w:rsid w:val="00981EC2"/>
    <w:rsid w:val="00982006"/>
    <w:rsid w:val="00982990"/>
    <w:rsid w:val="00982BFA"/>
    <w:rsid w:val="00982CC5"/>
    <w:rsid w:val="00982CC6"/>
    <w:rsid w:val="0098309F"/>
    <w:rsid w:val="009830FD"/>
    <w:rsid w:val="009833B6"/>
    <w:rsid w:val="00983401"/>
    <w:rsid w:val="00983BAF"/>
    <w:rsid w:val="00983EA7"/>
    <w:rsid w:val="00984148"/>
    <w:rsid w:val="0098445D"/>
    <w:rsid w:val="00984569"/>
    <w:rsid w:val="00984598"/>
    <w:rsid w:val="00984770"/>
    <w:rsid w:val="00984D7C"/>
    <w:rsid w:val="00984DBA"/>
    <w:rsid w:val="00984FD2"/>
    <w:rsid w:val="0098517F"/>
    <w:rsid w:val="00985470"/>
    <w:rsid w:val="0098557E"/>
    <w:rsid w:val="009857B6"/>
    <w:rsid w:val="00985A77"/>
    <w:rsid w:val="00985ADB"/>
    <w:rsid w:val="00985F64"/>
    <w:rsid w:val="0098601C"/>
    <w:rsid w:val="00986331"/>
    <w:rsid w:val="00986730"/>
    <w:rsid w:val="00986AD7"/>
    <w:rsid w:val="0098702A"/>
    <w:rsid w:val="0098734A"/>
    <w:rsid w:val="00987362"/>
    <w:rsid w:val="009873F3"/>
    <w:rsid w:val="0098753B"/>
    <w:rsid w:val="00987AD0"/>
    <w:rsid w:val="00987DE0"/>
    <w:rsid w:val="00987E3C"/>
    <w:rsid w:val="00987ED1"/>
    <w:rsid w:val="0099008C"/>
    <w:rsid w:val="00990102"/>
    <w:rsid w:val="0099011C"/>
    <w:rsid w:val="0099017B"/>
    <w:rsid w:val="0099023B"/>
    <w:rsid w:val="0099024D"/>
    <w:rsid w:val="009906D1"/>
    <w:rsid w:val="0099088A"/>
    <w:rsid w:val="00990C7B"/>
    <w:rsid w:val="00990E6B"/>
    <w:rsid w:val="00991077"/>
    <w:rsid w:val="0099110A"/>
    <w:rsid w:val="00991183"/>
    <w:rsid w:val="00991325"/>
    <w:rsid w:val="009914C2"/>
    <w:rsid w:val="00991832"/>
    <w:rsid w:val="009919D3"/>
    <w:rsid w:val="00991A63"/>
    <w:rsid w:val="00991D66"/>
    <w:rsid w:val="00992243"/>
    <w:rsid w:val="00992319"/>
    <w:rsid w:val="0099272F"/>
    <w:rsid w:val="00992A63"/>
    <w:rsid w:val="00992C92"/>
    <w:rsid w:val="00992DFF"/>
    <w:rsid w:val="00992E19"/>
    <w:rsid w:val="00992FC1"/>
    <w:rsid w:val="00992FD5"/>
    <w:rsid w:val="0099343F"/>
    <w:rsid w:val="0099364D"/>
    <w:rsid w:val="00993C60"/>
    <w:rsid w:val="00993D74"/>
    <w:rsid w:val="00993E13"/>
    <w:rsid w:val="009940BC"/>
    <w:rsid w:val="009944FF"/>
    <w:rsid w:val="00994519"/>
    <w:rsid w:val="0099470F"/>
    <w:rsid w:val="00994765"/>
    <w:rsid w:val="00994C7B"/>
    <w:rsid w:val="00994CCB"/>
    <w:rsid w:val="009950A2"/>
    <w:rsid w:val="009955C1"/>
    <w:rsid w:val="00995686"/>
    <w:rsid w:val="0099582C"/>
    <w:rsid w:val="0099598A"/>
    <w:rsid w:val="00995A45"/>
    <w:rsid w:val="00995C80"/>
    <w:rsid w:val="00995CFC"/>
    <w:rsid w:val="00995E98"/>
    <w:rsid w:val="0099601B"/>
    <w:rsid w:val="00996033"/>
    <w:rsid w:val="009961D9"/>
    <w:rsid w:val="009964F7"/>
    <w:rsid w:val="00996576"/>
    <w:rsid w:val="00996A86"/>
    <w:rsid w:val="00996C71"/>
    <w:rsid w:val="00996E3A"/>
    <w:rsid w:val="00996F15"/>
    <w:rsid w:val="00996F93"/>
    <w:rsid w:val="009973AC"/>
    <w:rsid w:val="00997788"/>
    <w:rsid w:val="00997A20"/>
    <w:rsid w:val="00997B78"/>
    <w:rsid w:val="00997BA8"/>
    <w:rsid w:val="00997C12"/>
    <w:rsid w:val="00997C91"/>
    <w:rsid w:val="00997DFB"/>
    <w:rsid w:val="00997E25"/>
    <w:rsid w:val="009A00EF"/>
    <w:rsid w:val="009A0157"/>
    <w:rsid w:val="009A01C0"/>
    <w:rsid w:val="009A01C5"/>
    <w:rsid w:val="009A02CE"/>
    <w:rsid w:val="009A02F0"/>
    <w:rsid w:val="009A03AF"/>
    <w:rsid w:val="009A03D2"/>
    <w:rsid w:val="009A067B"/>
    <w:rsid w:val="009A06C9"/>
    <w:rsid w:val="009A06F4"/>
    <w:rsid w:val="009A0856"/>
    <w:rsid w:val="009A090C"/>
    <w:rsid w:val="009A0AF7"/>
    <w:rsid w:val="009A0C6F"/>
    <w:rsid w:val="009A0D9D"/>
    <w:rsid w:val="009A0DD3"/>
    <w:rsid w:val="009A0E0B"/>
    <w:rsid w:val="009A0E2C"/>
    <w:rsid w:val="009A1032"/>
    <w:rsid w:val="009A1485"/>
    <w:rsid w:val="009A1576"/>
    <w:rsid w:val="009A1796"/>
    <w:rsid w:val="009A18F9"/>
    <w:rsid w:val="009A1B69"/>
    <w:rsid w:val="009A1BBA"/>
    <w:rsid w:val="009A1C86"/>
    <w:rsid w:val="009A1ED9"/>
    <w:rsid w:val="009A23C6"/>
    <w:rsid w:val="009A2402"/>
    <w:rsid w:val="009A2651"/>
    <w:rsid w:val="009A29B5"/>
    <w:rsid w:val="009A2DE5"/>
    <w:rsid w:val="009A2E05"/>
    <w:rsid w:val="009A3457"/>
    <w:rsid w:val="009A347E"/>
    <w:rsid w:val="009A367A"/>
    <w:rsid w:val="009A3707"/>
    <w:rsid w:val="009A371E"/>
    <w:rsid w:val="009A3778"/>
    <w:rsid w:val="009A37B4"/>
    <w:rsid w:val="009A37C4"/>
    <w:rsid w:val="009A37D6"/>
    <w:rsid w:val="009A3849"/>
    <w:rsid w:val="009A38AA"/>
    <w:rsid w:val="009A38D2"/>
    <w:rsid w:val="009A398A"/>
    <w:rsid w:val="009A39AB"/>
    <w:rsid w:val="009A3B6F"/>
    <w:rsid w:val="009A3B75"/>
    <w:rsid w:val="009A3DCD"/>
    <w:rsid w:val="009A3E2E"/>
    <w:rsid w:val="009A4026"/>
    <w:rsid w:val="009A4034"/>
    <w:rsid w:val="009A427D"/>
    <w:rsid w:val="009A43DA"/>
    <w:rsid w:val="009A4651"/>
    <w:rsid w:val="009A46F1"/>
    <w:rsid w:val="009A4ACD"/>
    <w:rsid w:val="009A4B9A"/>
    <w:rsid w:val="009A4BFA"/>
    <w:rsid w:val="009A4CD3"/>
    <w:rsid w:val="009A4EEF"/>
    <w:rsid w:val="009A54D9"/>
    <w:rsid w:val="009A55AD"/>
    <w:rsid w:val="009A56F2"/>
    <w:rsid w:val="009A578B"/>
    <w:rsid w:val="009A5930"/>
    <w:rsid w:val="009A5DED"/>
    <w:rsid w:val="009A60DD"/>
    <w:rsid w:val="009A61DB"/>
    <w:rsid w:val="009A622E"/>
    <w:rsid w:val="009A6505"/>
    <w:rsid w:val="009A6624"/>
    <w:rsid w:val="009A6773"/>
    <w:rsid w:val="009A6797"/>
    <w:rsid w:val="009A6C22"/>
    <w:rsid w:val="009A7091"/>
    <w:rsid w:val="009A72F0"/>
    <w:rsid w:val="009A7573"/>
    <w:rsid w:val="009A7587"/>
    <w:rsid w:val="009A7609"/>
    <w:rsid w:val="009A7884"/>
    <w:rsid w:val="009A78EE"/>
    <w:rsid w:val="009A7AD1"/>
    <w:rsid w:val="009A7D51"/>
    <w:rsid w:val="009A7D77"/>
    <w:rsid w:val="009A7E56"/>
    <w:rsid w:val="009A7F34"/>
    <w:rsid w:val="009A7FCE"/>
    <w:rsid w:val="009A7FF1"/>
    <w:rsid w:val="009B0109"/>
    <w:rsid w:val="009B042F"/>
    <w:rsid w:val="009B046E"/>
    <w:rsid w:val="009B05EB"/>
    <w:rsid w:val="009B0784"/>
    <w:rsid w:val="009B084F"/>
    <w:rsid w:val="009B0C00"/>
    <w:rsid w:val="009B0F96"/>
    <w:rsid w:val="009B1484"/>
    <w:rsid w:val="009B150D"/>
    <w:rsid w:val="009B18C2"/>
    <w:rsid w:val="009B19E8"/>
    <w:rsid w:val="009B1A5C"/>
    <w:rsid w:val="009B1BEE"/>
    <w:rsid w:val="009B1C44"/>
    <w:rsid w:val="009B1D38"/>
    <w:rsid w:val="009B1E89"/>
    <w:rsid w:val="009B21AF"/>
    <w:rsid w:val="009B2245"/>
    <w:rsid w:val="009B22E7"/>
    <w:rsid w:val="009B2300"/>
    <w:rsid w:val="009B2471"/>
    <w:rsid w:val="009B258E"/>
    <w:rsid w:val="009B2AF4"/>
    <w:rsid w:val="009B2BAE"/>
    <w:rsid w:val="009B2C45"/>
    <w:rsid w:val="009B2F3C"/>
    <w:rsid w:val="009B2FAC"/>
    <w:rsid w:val="009B2FB4"/>
    <w:rsid w:val="009B30E8"/>
    <w:rsid w:val="009B3190"/>
    <w:rsid w:val="009B3388"/>
    <w:rsid w:val="009B3463"/>
    <w:rsid w:val="009B3468"/>
    <w:rsid w:val="009B356C"/>
    <w:rsid w:val="009B3918"/>
    <w:rsid w:val="009B3A23"/>
    <w:rsid w:val="009B4063"/>
    <w:rsid w:val="009B40A5"/>
    <w:rsid w:val="009B4177"/>
    <w:rsid w:val="009B458A"/>
    <w:rsid w:val="009B49AD"/>
    <w:rsid w:val="009B49D7"/>
    <w:rsid w:val="009B4ACA"/>
    <w:rsid w:val="009B4B53"/>
    <w:rsid w:val="009B503C"/>
    <w:rsid w:val="009B50B0"/>
    <w:rsid w:val="009B5801"/>
    <w:rsid w:val="009B58FA"/>
    <w:rsid w:val="009B596D"/>
    <w:rsid w:val="009B5997"/>
    <w:rsid w:val="009B5ABE"/>
    <w:rsid w:val="009B5AF7"/>
    <w:rsid w:val="009B5B21"/>
    <w:rsid w:val="009B5B33"/>
    <w:rsid w:val="009B62E0"/>
    <w:rsid w:val="009B6366"/>
    <w:rsid w:val="009B6402"/>
    <w:rsid w:val="009B6519"/>
    <w:rsid w:val="009B6862"/>
    <w:rsid w:val="009B68DE"/>
    <w:rsid w:val="009B6A18"/>
    <w:rsid w:val="009B6AC2"/>
    <w:rsid w:val="009B6AEB"/>
    <w:rsid w:val="009B6B23"/>
    <w:rsid w:val="009B6B79"/>
    <w:rsid w:val="009B6C82"/>
    <w:rsid w:val="009B6D6E"/>
    <w:rsid w:val="009B6D9B"/>
    <w:rsid w:val="009B6EA1"/>
    <w:rsid w:val="009B6F73"/>
    <w:rsid w:val="009B7121"/>
    <w:rsid w:val="009B713F"/>
    <w:rsid w:val="009B7151"/>
    <w:rsid w:val="009B72B0"/>
    <w:rsid w:val="009B73BD"/>
    <w:rsid w:val="009B758A"/>
    <w:rsid w:val="009B7665"/>
    <w:rsid w:val="009B79FA"/>
    <w:rsid w:val="009B7ABD"/>
    <w:rsid w:val="009C0081"/>
    <w:rsid w:val="009C01D2"/>
    <w:rsid w:val="009C02A6"/>
    <w:rsid w:val="009C02B4"/>
    <w:rsid w:val="009C04EA"/>
    <w:rsid w:val="009C06D2"/>
    <w:rsid w:val="009C06E6"/>
    <w:rsid w:val="009C0CC8"/>
    <w:rsid w:val="009C0FB7"/>
    <w:rsid w:val="009C0FF8"/>
    <w:rsid w:val="009C12AC"/>
    <w:rsid w:val="009C1507"/>
    <w:rsid w:val="009C1983"/>
    <w:rsid w:val="009C19A4"/>
    <w:rsid w:val="009C19BE"/>
    <w:rsid w:val="009C1A25"/>
    <w:rsid w:val="009C1CAB"/>
    <w:rsid w:val="009C1D27"/>
    <w:rsid w:val="009C2337"/>
    <w:rsid w:val="009C24C6"/>
    <w:rsid w:val="009C2583"/>
    <w:rsid w:val="009C2AD4"/>
    <w:rsid w:val="009C2E31"/>
    <w:rsid w:val="009C3116"/>
    <w:rsid w:val="009C3189"/>
    <w:rsid w:val="009C32DF"/>
    <w:rsid w:val="009C34BA"/>
    <w:rsid w:val="009C3BAC"/>
    <w:rsid w:val="009C3BD9"/>
    <w:rsid w:val="009C3CAE"/>
    <w:rsid w:val="009C3E28"/>
    <w:rsid w:val="009C431C"/>
    <w:rsid w:val="009C45C4"/>
    <w:rsid w:val="009C4900"/>
    <w:rsid w:val="009C4939"/>
    <w:rsid w:val="009C49FC"/>
    <w:rsid w:val="009C4BB1"/>
    <w:rsid w:val="009C4E0B"/>
    <w:rsid w:val="009C50FF"/>
    <w:rsid w:val="009C526C"/>
    <w:rsid w:val="009C5B82"/>
    <w:rsid w:val="009C5D9B"/>
    <w:rsid w:val="009C5E95"/>
    <w:rsid w:val="009C623F"/>
    <w:rsid w:val="009C635A"/>
    <w:rsid w:val="009C6744"/>
    <w:rsid w:val="009C6D45"/>
    <w:rsid w:val="009C6D71"/>
    <w:rsid w:val="009C7037"/>
    <w:rsid w:val="009C7053"/>
    <w:rsid w:val="009C7224"/>
    <w:rsid w:val="009C72E5"/>
    <w:rsid w:val="009C750F"/>
    <w:rsid w:val="009C756E"/>
    <w:rsid w:val="009C7613"/>
    <w:rsid w:val="009C7D1E"/>
    <w:rsid w:val="009D04C8"/>
    <w:rsid w:val="009D0686"/>
    <w:rsid w:val="009D06E5"/>
    <w:rsid w:val="009D0784"/>
    <w:rsid w:val="009D0F9E"/>
    <w:rsid w:val="009D1190"/>
    <w:rsid w:val="009D11B6"/>
    <w:rsid w:val="009D1228"/>
    <w:rsid w:val="009D133F"/>
    <w:rsid w:val="009D1822"/>
    <w:rsid w:val="009D19B5"/>
    <w:rsid w:val="009D1A93"/>
    <w:rsid w:val="009D1D0B"/>
    <w:rsid w:val="009D1DBC"/>
    <w:rsid w:val="009D1E93"/>
    <w:rsid w:val="009D20C6"/>
    <w:rsid w:val="009D213E"/>
    <w:rsid w:val="009D21BE"/>
    <w:rsid w:val="009D22DD"/>
    <w:rsid w:val="009D2644"/>
    <w:rsid w:val="009D2813"/>
    <w:rsid w:val="009D2AAA"/>
    <w:rsid w:val="009D2C9B"/>
    <w:rsid w:val="009D2CB8"/>
    <w:rsid w:val="009D30F2"/>
    <w:rsid w:val="009D315C"/>
    <w:rsid w:val="009D3238"/>
    <w:rsid w:val="009D33C2"/>
    <w:rsid w:val="009D34AD"/>
    <w:rsid w:val="009D35F3"/>
    <w:rsid w:val="009D3A1B"/>
    <w:rsid w:val="009D3B06"/>
    <w:rsid w:val="009D3B62"/>
    <w:rsid w:val="009D3B96"/>
    <w:rsid w:val="009D3C3D"/>
    <w:rsid w:val="009D3C81"/>
    <w:rsid w:val="009D3D59"/>
    <w:rsid w:val="009D3EFF"/>
    <w:rsid w:val="009D410D"/>
    <w:rsid w:val="009D44F9"/>
    <w:rsid w:val="009D4611"/>
    <w:rsid w:val="009D475A"/>
    <w:rsid w:val="009D4D4E"/>
    <w:rsid w:val="009D507C"/>
    <w:rsid w:val="009D51A0"/>
    <w:rsid w:val="009D524E"/>
    <w:rsid w:val="009D5288"/>
    <w:rsid w:val="009D5452"/>
    <w:rsid w:val="009D5619"/>
    <w:rsid w:val="009D5677"/>
    <w:rsid w:val="009D59E5"/>
    <w:rsid w:val="009D5B46"/>
    <w:rsid w:val="009D5D2D"/>
    <w:rsid w:val="009D5F47"/>
    <w:rsid w:val="009D623F"/>
    <w:rsid w:val="009D62A7"/>
    <w:rsid w:val="009D6448"/>
    <w:rsid w:val="009D6A67"/>
    <w:rsid w:val="009D6C23"/>
    <w:rsid w:val="009D6FD7"/>
    <w:rsid w:val="009D726C"/>
    <w:rsid w:val="009D726D"/>
    <w:rsid w:val="009D7541"/>
    <w:rsid w:val="009D75B8"/>
    <w:rsid w:val="009D7AE8"/>
    <w:rsid w:val="009D7E2B"/>
    <w:rsid w:val="009D7EF4"/>
    <w:rsid w:val="009E01E3"/>
    <w:rsid w:val="009E05A9"/>
    <w:rsid w:val="009E06F8"/>
    <w:rsid w:val="009E079D"/>
    <w:rsid w:val="009E11A7"/>
    <w:rsid w:val="009E11E5"/>
    <w:rsid w:val="009E14E0"/>
    <w:rsid w:val="009E15EA"/>
    <w:rsid w:val="009E1696"/>
    <w:rsid w:val="009E1745"/>
    <w:rsid w:val="009E1918"/>
    <w:rsid w:val="009E1AD0"/>
    <w:rsid w:val="009E1B52"/>
    <w:rsid w:val="009E1D17"/>
    <w:rsid w:val="009E1D7C"/>
    <w:rsid w:val="009E1F15"/>
    <w:rsid w:val="009E1F42"/>
    <w:rsid w:val="009E21B1"/>
    <w:rsid w:val="009E21F4"/>
    <w:rsid w:val="009E2761"/>
    <w:rsid w:val="009E2886"/>
    <w:rsid w:val="009E2AD3"/>
    <w:rsid w:val="009E2B18"/>
    <w:rsid w:val="009E2B30"/>
    <w:rsid w:val="009E30F2"/>
    <w:rsid w:val="009E3159"/>
    <w:rsid w:val="009E321A"/>
    <w:rsid w:val="009E34C5"/>
    <w:rsid w:val="009E367B"/>
    <w:rsid w:val="009E36DA"/>
    <w:rsid w:val="009E3741"/>
    <w:rsid w:val="009E3778"/>
    <w:rsid w:val="009E3892"/>
    <w:rsid w:val="009E3DA6"/>
    <w:rsid w:val="009E3EF9"/>
    <w:rsid w:val="009E3FA3"/>
    <w:rsid w:val="009E422D"/>
    <w:rsid w:val="009E424E"/>
    <w:rsid w:val="009E438D"/>
    <w:rsid w:val="009E4742"/>
    <w:rsid w:val="009E47E5"/>
    <w:rsid w:val="009E488F"/>
    <w:rsid w:val="009E4B3A"/>
    <w:rsid w:val="009E4D64"/>
    <w:rsid w:val="009E4EAC"/>
    <w:rsid w:val="009E54A3"/>
    <w:rsid w:val="009E5645"/>
    <w:rsid w:val="009E5CE1"/>
    <w:rsid w:val="009E5D0F"/>
    <w:rsid w:val="009E5D29"/>
    <w:rsid w:val="009E5E3C"/>
    <w:rsid w:val="009E5F51"/>
    <w:rsid w:val="009E61A0"/>
    <w:rsid w:val="009E62B0"/>
    <w:rsid w:val="009E6306"/>
    <w:rsid w:val="009E6469"/>
    <w:rsid w:val="009E64C5"/>
    <w:rsid w:val="009E65AE"/>
    <w:rsid w:val="009E65F1"/>
    <w:rsid w:val="009E6765"/>
    <w:rsid w:val="009E68B1"/>
    <w:rsid w:val="009E6A5D"/>
    <w:rsid w:val="009E6E8E"/>
    <w:rsid w:val="009E704A"/>
    <w:rsid w:val="009E7305"/>
    <w:rsid w:val="009E7382"/>
    <w:rsid w:val="009E740A"/>
    <w:rsid w:val="009E768B"/>
    <w:rsid w:val="009E77D4"/>
    <w:rsid w:val="009E7AA7"/>
    <w:rsid w:val="009E7C4D"/>
    <w:rsid w:val="009E7EA7"/>
    <w:rsid w:val="009E7F52"/>
    <w:rsid w:val="009E7F62"/>
    <w:rsid w:val="009E7F74"/>
    <w:rsid w:val="009F00DA"/>
    <w:rsid w:val="009F0146"/>
    <w:rsid w:val="009F0152"/>
    <w:rsid w:val="009F04A1"/>
    <w:rsid w:val="009F0772"/>
    <w:rsid w:val="009F07AB"/>
    <w:rsid w:val="009F08A3"/>
    <w:rsid w:val="009F101A"/>
    <w:rsid w:val="009F1236"/>
    <w:rsid w:val="009F12AB"/>
    <w:rsid w:val="009F146F"/>
    <w:rsid w:val="009F173C"/>
    <w:rsid w:val="009F177C"/>
    <w:rsid w:val="009F1BB9"/>
    <w:rsid w:val="009F1BFB"/>
    <w:rsid w:val="009F1C54"/>
    <w:rsid w:val="009F26F3"/>
    <w:rsid w:val="009F27BA"/>
    <w:rsid w:val="009F2BEE"/>
    <w:rsid w:val="009F2CA8"/>
    <w:rsid w:val="009F2D37"/>
    <w:rsid w:val="009F2EBB"/>
    <w:rsid w:val="009F2EBE"/>
    <w:rsid w:val="009F2EFB"/>
    <w:rsid w:val="009F2F63"/>
    <w:rsid w:val="009F30D1"/>
    <w:rsid w:val="009F33A8"/>
    <w:rsid w:val="009F34C4"/>
    <w:rsid w:val="009F35BA"/>
    <w:rsid w:val="009F38AB"/>
    <w:rsid w:val="009F3B2A"/>
    <w:rsid w:val="009F3B2E"/>
    <w:rsid w:val="009F3C07"/>
    <w:rsid w:val="009F3C75"/>
    <w:rsid w:val="009F40F6"/>
    <w:rsid w:val="009F41A9"/>
    <w:rsid w:val="009F436A"/>
    <w:rsid w:val="009F4656"/>
    <w:rsid w:val="009F4695"/>
    <w:rsid w:val="009F48A8"/>
    <w:rsid w:val="009F48AC"/>
    <w:rsid w:val="009F4A58"/>
    <w:rsid w:val="009F4A9C"/>
    <w:rsid w:val="009F4B11"/>
    <w:rsid w:val="009F4E09"/>
    <w:rsid w:val="009F4FC9"/>
    <w:rsid w:val="009F5528"/>
    <w:rsid w:val="009F558C"/>
    <w:rsid w:val="009F58CF"/>
    <w:rsid w:val="009F5DF8"/>
    <w:rsid w:val="009F5EAA"/>
    <w:rsid w:val="009F625D"/>
    <w:rsid w:val="009F670D"/>
    <w:rsid w:val="009F67B7"/>
    <w:rsid w:val="009F6A25"/>
    <w:rsid w:val="009F7070"/>
    <w:rsid w:val="009F747C"/>
    <w:rsid w:val="009F77FB"/>
    <w:rsid w:val="009F7941"/>
    <w:rsid w:val="009F79CD"/>
    <w:rsid w:val="009F7C4B"/>
    <w:rsid w:val="009F7CE3"/>
    <w:rsid w:val="009F7DC5"/>
    <w:rsid w:val="009F7F5F"/>
    <w:rsid w:val="00A0015B"/>
    <w:rsid w:val="00A002B0"/>
    <w:rsid w:val="00A002C0"/>
    <w:rsid w:val="00A00367"/>
    <w:rsid w:val="00A0037E"/>
    <w:rsid w:val="00A003E8"/>
    <w:rsid w:val="00A0058E"/>
    <w:rsid w:val="00A008F9"/>
    <w:rsid w:val="00A00A9B"/>
    <w:rsid w:val="00A00C55"/>
    <w:rsid w:val="00A00DED"/>
    <w:rsid w:val="00A01303"/>
    <w:rsid w:val="00A013BE"/>
    <w:rsid w:val="00A01702"/>
    <w:rsid w:val="00A017AF"/>
    <w:rsid w:val="00A018B3"/>
    <w:rsid w:val="00A01B58"/>
    <w:rsid w:val="00A01CB8"/>
    <w:rsid w:val="00A01D7B"/>
    <w:rsid w:val="00A021F6"/>
    <w:rsid w:val="00A022A1"/>
    <w:rsid w:val="00A02370"/>
    <w:rsid w:val="00A023E9"/>
    <w:rsid w:val="00A02438"/>
    <w:rsid w:val="00A02552"/>
    <w:rsid w:val="00A02883"/>
    <w:rsid w:val="00A02C4F"/>
    <w:rsid w:val="00A02C5C"/>
    <w:rsid w:val="00A02DF6"/>
    <w:rsid w:val="00A032D6"/>
    <w:rsid w:val="00A03878"/>
    <w:rsid w:val="00A03B49"/>
    <w:rsid w:val="00A03B88"/>
    <w:rsid w:val="00A03C81"/>
    <w:rsid w:val="00A03C8C"/>
    <w:rsid w:val="00A03CA0"/>
    <w:rsid w:val="00A042A6"/>
    <w:rsid w:val="00A043DB"/>
    <w:rsid w:val="00A04652"/>
    <w:rsid w:val="00A0465B"/>
    <w:rsid w:val="00A04852"/>
    <w:rsid w:val="00A04A09"/>
    <w:rsid w:val="00A04C9E"/>
    <w:rsid w:val="00A04E97"/>
    <w:rsid w:val="00A0507F"/>
    <w:rsid w:val="00A05121"/>
    <w:rsid w:val="00A0518E"/>
    <w:rsid w:val="00A052B5"/>
    <w:rsid w:val="00A052F1"/>
    <w:rsid w:val="00A05821"/>
    <w:rsid w:val="00A05840"/>
    <w:rsid w:val="00A05B6F"/>
    <w:rsid w:val="00A05BE0"/>
    <w:rsid w:val="00A05CDE"/>
    <w:rsid w:val="00A05D1D"/>
    <w:rsid w:val="00A05EA2"/>
    <w:rsid w:val="00A0601D"/>
    <w:rsid w:val="00A060C7"/>
    <w:rsid w:val="00A0655A"/>
    <w:rsid w:val="00A0672E"/>
    <w:rsid w:val="00A06835"/>
    <w:rsid w:val="00A06879"/>
    <w:rsid w:val="00A06914"/>
    <w:rsid w:val="00A07223"/>
    <w:rsid w:val="00A07236"/>
    <w:rsid w:val="00A072CE"/>
    <w:rsid w:val="00A076CC"/>
    <w:rsid w:val="00A07B06"/>
    <w:rsid w:val="00A07BE1"/>
    <w:rsid w:val="00A07DC9"/>
    <w:rsid w:val="00A07DFB"/>
    <w:rsid w:val="00A07F8B"/>
    <w:rsid w:val="00A1010F"/>
    <w:rsid w:val="00A1034A"/>
    <w:rsid w:val="00A10860"/>
    <w:rsid w:val="00A109EC"/>
    <w:rsid w:val="00A109FE"/>
    <w:rsid w:val="00A10C13"/>
    <w:rsid w:val="00A10F79"/>
    <w:rsid w:val="00A11349"/>
    <w:rsid w:val="00A1156A"/>
    <w:rsid w:val="00A1161E"/>
    <w:rsid w:val="00A1165C"/>
    <w:rsid w:val="00A116F8"/>
    <w:rsid w:val="00A118EE"/>
    <w:rsid w:val="00A11953"/>
    <w:rsid w:val="00A11C7D"/>
    <w:rsid w:val="00A11C81"/>
    <w:rsid w:val="00A11C95"/>
    <w:rsid w:val="00A11EF2"/>
    <w:rsid w:val="00A120E5"/>
    <w:rsid w:val="00A1216E"/>
    <w:rsid w:val="00A125D6"/>
    <w:rsid w:val="00A127AA"/>
    <w:rsid w:val="00A129BE"/>
    <w:rsid w:val="00A12B02"/>
    <w:rsid w:val="00A12B1F"/>
    <w:rsid w:val="00A12BA3"/>
    <w:rsid w:val="00A12C1C"/>
    <w:rsid w:val="00A12C56"/>
    <w:rsid w:val="00A13048"/>
    <w:rsid w:val="00A1352C"/>
    <w:rsid w:val="00A136F8"/>
    <w:rsid w:val="00A136F9"/>
    <w:rsid w:val="00A1370A"/>
    <w:rsid w:val="00A138CF"/>
    <w:rsid w:val="00A13C58"/>
    <w:rsid w:val="00A13E05"/>
    <w:rsid w:val="00A13F00"/>
    <w:rsid w:val="00A142D2"/>
    <w:rsid w:val="00A14374"/>
    <w:rsid w:val="00A143C1"/>
    <w:rsid w:val="00A1443B"/>
    <w:rsid w:val="00A146F2"/>
    <w:rsid w:val="00A148B4"/>
    <w:rsid w:val="00A14A76"/>
    <w:rsid w:val="00A14B61"/>
    <w:rsid w:val="00A14B8C"/>
    <w:rsid w:val="00A14E53"/>
    <w:rsid w:val="00A14F9D"/>
    <w:rsid w:val="00A14FDF"/>
    <w:rsid w:val="00A15003"/>
    <w:rsid w:val="00A150C9"/>
    <w:rsid w:val="00A15384"/>
    <w:rsid w:val="00A154B3"/>
    <w:rsid w:val="00A15580"/>
    <w:rsid w:val="00A15709"/>
    <w:rsid w:val="00A158FF"/>
    <w:rsid w:val="00A15B1C"/>
    <w:rsid w:val="00A15BC7"/>
    <w:rsid w:val="00A15C88"/>
    <w:rsid w:val="00A15F70"/>
    <w:rsid w:val="00A1640D"/>
    <w:rsid w:val="00A16449"/>
    <w:rsid w:val="00A1675C"/>
    <w:rsid w:val="00A169E0"/>
    <w:rsid w:val="00A169F2"/>
    <w:rsid w:val="00A16AA9"/>
    <w:rsid w:val="00A16F28"/>
    <w:rsid w:val="00A1739D"/>
    <w:rsid w:val="00A1752C"/>
    <w:rsid w:val="00A17600"/>
    <w:rsid w:val="00A1784A"/>
    <w:rsid w:val="00A17AC7"/>
    <w:rsid w:val="00A17E46"/>
    <w:rsid w:val="00A17F15"/>
    <w:rsid w:val="00A202D3"/>
    <w:rsid w:val="00A2049F"/>
    <w:rsid w:val="00A20540"/>
    <w:rsid w:val="00A207EC"/>
    <w:rsid w:val="00A20879"/>
    <w:rsid w:val="00A2092C"/>
    <w:rsid w:val="00A20B24"/>
    <w:rsid w:val="00A20F2B"/>
    <w:rsid w:val="00A210DF"/>
    <w:rsid w:val="00A211AB"/>
    <w:rsid w:val="00A21401"/>
    <w:rsid w:val="00A21454"/>
    <w:rsid w:val="00A21582"/>
    <w:rsid w:val="00A217D6"/>
    <w:rsid w:val="00A21A4D"/>
    <w:rsid w:val="00A21C84"/>
    <w:rsid w:val="00A21CC2"/>
    <w:rsid w:val="00A22117"/>
    <w:rsid w:val="00A222D3"/>
    <w:rsid w:val="00A22361"/>
    <w:rsid w:val="00A2262F"/>
    <w:rsid w:val="00A22915"/>
    <w:rsid w:val="00A22B61"/>
    <w:rsid w:val="00A22C65"/>
    <w:rsid w:val="00A22D5B"/>
    <w:rsid w:val="00A22EFC"/>
    <w:rsid w:val="00A22FA3"/>
    <w:rsid w:val="00A23291"/>
    <w:rsid w:val="00A232B8"/>
    <w:rsid w:val="00A2342B"/>
    <w:rsid w:val="00A236CD"/>
    <w:rsid w:val="00A237D0"/>
    <w:rsid w:val="00A237EB"/>
    <w:rsid w:val="00A23993"/>
    <w:rsid w:val="00A23AE6"/>
    <w:rsid w:val="00A23BCD"/>
    <w:rsid w:val="00A23C34"/>
    <w:rsid w:val="00A24007"/>
    <w:rsid w:val="00A24365"/>
    <w:rsid w:val="00A2498A"/>
    <w:rsid w:val="00A24B31"/>
    <w:rsid w:val="00A24E33"/>
    <w:rsid w:val="00A24ECA"/>
    <w:rsid w:val="00A24F5D"/>
    <w:rsid w:val="00A25352"/>
    <w:rsid w:val="00A2539C"/>
    <w:rsid w:val="00A25938"/>
    <w:rsid w:val="00A259AE"/>
    <w:rsid w:val="00A25F08"/>
    <w:rsid w:val="00A26010"/>
    <w:rsid w:val="00A26389"/>
    <w:rsid w:val="00A26539"/>
    <w:rsid w:val="00A26969"/>
    <w:rsid w:val="00A26BC2"/>
    <w:rsid w:val="00A26E8F"/>
    <w:rsid w:val="00A27476"/>
    <w:rsid w:val="00A27694"/>
    <w:rsid w:val="00A27696"/>
    <w:rsid w:val="00A277DE"/>
    <w:rsid w:val="00A279FE"/>
    <w:rsid w:val="00A27C20"/>
    <w:rsid w:val="00A27CC5"/>
    <w:rsid w:val="00A27ED7"/>
    <w:rsid w:val="00A30052"/>
    <w:rsid w:val="00A300C8"/>
    <w:rsid w:val="00A30279"/>
    <w:rsid w:val="00A30307"/>
    <w:rsid w:val="00A303B8"/>
    <w:rsid w:val="00A30881"/>
    <w:rsid w:val="00A30916"/>
    <w:rsid w:val="00A309D9"/>
    <w:rsid w:val="00A30AF8"/>
    <w:rsid w:val="00A30B21"/>
    <w:rsid w:val="00A30C6C"/>
    <w:rsid w:val="00A30D8B"/>
    <w:rsid w:val="00A311A1"/>
    <w:rsid w:val="00A31945"/>
    <w:rsid w:val="00A31A7C"/>
    <w:rsid w:val="00A31C22"/>
    <w:rsid w:val="00A31FAD"/>
    <w:rsid w:val="00A32039"/>
    <w:rsid w:val="00A32063"/>
    <w:rsid w:val="00A320E0"/>
    <w:rsid w:val="00A32262"/>
    <w:rsid w:val="00A32294"/>
    <w:rsid w:val="00A32757"/>
    <w:rsid w:val="00A32860"/>
    <w:rsid w:val="00A32C26"/>
    <w:rsid w:val="00A32CE5"/>
    <w:rsid w:val="00A32E17"/>
    <w:rsid w:val="00A32E3D"/>
    <w:rsid w:val="00A32FDD"/>
    <w:rsid w:val="00A331BD"/>
    <w:rsid w:val="00A33315"/>
    <w:rsid w:val="00A33504"/>
    <w:rsid w:val="00A3350B"/>
    <w:rsid w:val="00A3351C"/>
    <w:rsid w:val="00A33830"/>
    <w:rsid w:val="00A33A0E"/>
    <w:rsid w:val="00A33E45"/>
    <w:rsid w:val="00A3402E"/>
    <w:rsid w:val="00A34034"/>
    <w:rsid w:val="00A34299"/>
    <w:rsid w:val="00A343C2"/>
    <w:rsid w:val="00A34567"/>
    <w:rsid w:val="00A346BB"/>
    <w:rsid w:val="00A34735"/>
    <w:rsid w:val="00A34917"/>
    <w:rsid w:val="00A34E72"/>
    <w:rsid w:val="00A35395"/>
    <w:rsid w:val="00A35511"/>
    <w:rsid w:val="00A35549"/>
    <w:rsid w:val="00A35623"/>
    <w:rsid w:val="00A3574A"/>
    <w:rsid w:val="00A35DCE"/>
    <w:rsid w:val="00A36099"/>
    <w:rsid w:val="00A361C3"/>
    <w:rsid w:val="00A363E7"/>
    <w:rsid w:val="00A36545"/>
    <w:rsid w:val="00A36644"/>
    <w:rsid w:val="00A368E5"/>
    <w:rsid w:val="00A36917"/>
    <w:rsid w:val="00A37003"/>
    <w:rsid w:val="00A3703A"/>
    <w:rsid w:val="00A37153"/>
    <w:rsid w:val="00A37228"/>
    <w:rsid w:val="00A372DF"/>
    <w:rsid w:val="00A375B5"/>
    <w:rsid w:val="00A37610"/>
    <w:rsid w:val="00A37641"/>
    <w:rsid w:val="00A37E4A"/>
    <w:rsid w:val="00A4000A"/>
    <w:rsid w:val="00A400DF"/>
    <w:rsid w:val="00A40781"/>
    <w:rsid w:val="00A40856"/>
    <w:rsid w:val="00A40932"/>
    <w:rsid w:val="00A40A5E"/>
    <w:rsid w:val="00A40AE3"/>
    <w:rsid w:val="00A40C66"/>
    <w:rsid w:val="00A40C89"/>
    <w:rsid w:val="00A40CB6"/>
    <w:rsid w:val="00A40D0C"/>
    <w:rsid w:val="00A411FA"/>
    <w:rsid w:val="00A412B8"/>
    <w:rsid w:val="00A41303"/>
    <w:rsid w:val="00A41621"/>
    <w:rsid w:val="00A4185E"/>
    <w:rsid w:val="00A41B74"/>
    <w:rsid w:val="00A41F58"/>
    <w:rsid w:val="00A41FB5"/>
    <w:rsid w:val="00A4228E"/>
    <w:rsid w:val="00A4229C"/>
    <w:rsid w:val="00A4258D"/>
    <w:rsid w:val="00A4275A"/>
    <w:rsid w:val="00A427FA"/>
    <w:rsid w:val="00A42844"/>
    <w:rsid w:val="00A428B0"/>
    <w:rsid w:val="00A428DA"/>
    <w:rsid w:val="00A42ACA"/>
    <w:rsid w:val="00A42B3E"/>
    <w:rsid w:val="00A42E1F"/>
    <w:rsid w:val="00A42FAC"/>
    <w:rsid w:val="00A42FB5"/>
    <w:rsid w:val="00A4343B"/>
    <w:rsid w:val="00A435FF"/>
    <w:rsid w:val="00A43755"/>
    <w:rsid w:val="00A4391C"/>
    <w:rsid w:val="00A43D16"/>
    <w:rsid w:val="00A43F6A"/>
    <w:rsid w:val="00A4438A"/>
    <w:rsid w:val="00A4443B"/>
    <w:rsid w:val="00A44A26"/>
    <w:rsid w:val="00A44B48"/>
    <w:rsid w:val="00A44EC1"/>
    <w:rsid w:val="00A44FFE"/>
    <w:rsid w:val="00A45275"/>
    <w:rsid w:val="00A453CC"/>
    <w:rsid w:val="00A454B3"/>
    <w:rsid w:val="00A454B9"/>
    <w:rsid w:val="00A45519"/>
    <w:rsid w:val="00A4582C"/>
    <w:rsid w:val="00A4588B"/>
    <w:rsid w:val="00A4596A"/>
    <w:rsid w:val="00A45A16"/>
    <w:rsid w:val="00A45E52"/>
    <w:rsid w:val="00A462C3"/>
    <w:rsid w:val="00A46652"/>
    <w:rsid w:val="00A46D0A"/>
    <w:rsid w:val="00A46D15"/>
    <w:rsid w:val="00A46E0D"/>
    <w:rsid w:val="00A46EC9"/>
    <w:rsid w:val="00A4713D"/>
    <w:rsid w:val="00A47173"/>
    <w:rsid w:val="00A47324"/>
    <w:rsid w:val="00A47652"/>
    <w:rsid w:val="00A47768"/>
    <w:rsid w:val="00A4794C"/>
    <w:rsid w:val="00A47A16"/>
    <w:rsid w:val="00A47B44"/>
    <w:rsid w:val="00A47B9A"/>
    <w:rsid w:val="00A47E7B"/>
    <w:rsid w:val="00A50514"/>
    <w:rsid w:val="00A5063C"/>
    <w:rsid w:val="00A5066C"/>
    <w:rsid w:val="00A50916"/>
    <w:rsid w:val="00A50A4C"/>
    <w:rsid w:val="00A50A60"/>
    <w:rsid w:val="00A50A78"/>
    <w:rsid w:val="00A50C0B"/>
    <w:rsid w:val="00A50C65"/>
    <w:rsid w:val="00A50E7C"/>
    <w:rsid w:val="00A50EE8"/>
    <w:rsid w:val="00A51322"/>
    <w:rsid w:val="00A513EA"/>
    <w:rsid w:val="00A514C5"/>
    <w:rsid w:val="00A52009"/>
    <w:rsid w:val="00A5240C"/>
    <w:rsid w:val="00A52671"/>
    <w:rsid w:val="00A52700"/>
    <w:rsid w:val="00A52A46"/>
    <w:rsid w:val="00A52D27"/>
    <w:rsid w:val="00A53233"/>
    <w:rsid w:val="00A5323B"/>
    <w:rsid w:val="00A53CD0"/>
    <w:rsid w:val="00A53F40"/>
    <w:rsid w:val="00A5401A"/>
    <w:rsid w:val="00A540BE"/>
    <w:rsid w:val="00A542CD"/>
    <w:rsid w:val="00A5450F"/>
    <w:rsid w:val="00A5484B"/>
    <w:rsid w:val="00A5494F"/>
    <w:rsid w:val="00A54D52"/>
    <w:rsid w:val="00A54E2B"/>
    <w:rsid w:val="00A54EF5"/>
    <w:rsid w:val="00A54FB4"/>
    <w:rsid w:val="00A55048"/>
    <w:rsid w:val="00A551C2"/>
    <w:rsid w:val="00A55257"/>
    <w:rsid w:val="00A55467"/>
    <w:rsid w:val="00A55499"/>
    <w:rsid w:val="00A55626"/>
    <w:rsid w:val="00A55708"/>
    <w:rsid w:val="00A557C6"/>
    <w:rsid w:val="00A55CAF"/>
    <w:rsid w:val="00A55D78"/>
    <w:rsid w:val="00A55F44"/>
    <w:rsid w:val="00A56006"/>
    <w:rsid w:val="00A56031"/>
    <w:rsid w:val="00A561B2"/>
    <w:rsid w:val="00A56276"/>
    <w:rsid w:val="00A566CC"/>
    <w:rsid w:val="00A567EF"/>
    <w:rsid w:val="00A56A00"/>
    <w:rsid w:val="00A56CFE"/>
    <w:rsid w:val="00A56DD5"/>
    <w:rsid w:val="00A56DE0"/>
    <w:rsid w:val="00A57027"/>
    <w:rsid w:val="00A571BC"/>
    <w:rsid w:val="00A5728E"/>
    <w:rsid w:val="00A57454"/>
    <w:rsid w:val="00A57C32"/>
    <w:rsid w:val="00A57D9C"/>
    <w:rsid w:val="00A5CCC2"/>
    <w:rsid w:val="00A600C5"/>
    <w:rsid w:val="00A604DF"/>
    <w:rsid w:val="00A605AD"/>
    <w:rsid w:val="00A607CB"/>
    <w:rsid w:val="00A608C2"/>
    <w:rsid w:val="00A6095A"/>
    <w:rsid w:val="00A60A31"/>
    <w:rsid w:val="00A60B1C"/>
    <w:rsid w:val="00A60FA3"/>
    <w:rsid w:val="00A610FF"/>
    <w:rsid w:val="00A612B5"/>
    <w:rsid w:val="00A614F4"/>
    <w:rsid w:val="00A6162E"/>
    <w:rsid w:val="00A61727"/>
    <w:rsid w:val="00A61753"/>
    <w:rsid w:val="00A61E4E"/>
    <w:rsid w:val="00A6243A"/>
    <w:rsid w:val="00A6246F"/>
    <w:rsid w:val="00A6250B"/>
    <w:rsid w:val="00A62511"/>
    <w:rsid w:val="00A6254D"/>
    <w:rsid w:val="00A628E0"/>
    <w:rsid w:val="00A629A6"/>
    <w:rsid w:val="00A62E35"/>
    <w:rsid w:val="00A62FA0"/>
    <w:rsid w:val="00A62FDA"/>
    <w:rsid w:val="00A631DD"/>
    <w:rsid w:val="00A633D7"/>
    <w:rsid w:val="00A637EC"/>
    <w:rsid w:val="00A63ACC"/>
    <w:rsid w:val="00A63BFB"/>
    <w:rsid w:val="00A63C18"/>
    <w:rsid w:val="00A63EC4"/>
    <w:rsid w:val="00A64147"/>
    <w:rsid w:val="00A6437A"/>
    <w:rsid w:val="00A64392"/>
    <w:rsid w:val="00A643FD"/>
    <w:rsid w:val="00A6441D"/>
    <w:rsid w:val="00A6445B"/>
    <w:rsid w:val="00A64492"/>
    <w:rsid w:val="00A645EC"/>
    <w:rsid w:val="00A646BB"/>
    <w:rsid w:val="00A64A8F"/>
    <w:rsid w:val="00A64B5B"/>
    <w:rsid w:val="00A64C39"/>
    <w:rsid w:val="00A64F5F"/>
    <w:rsid w:val="00A64F74"/>
    <w:rsid w:val="00A6518D"/>
    <w:rsid w:val="00A6527C"/>
    <w:rsid w:val="00A65498"/>
    <w:rsid w:val="00A65967"/>
    <w:rsid w:val="00A662DC"/>
    <w:rsid w:val="00A66438"/>
    <w:rsid w:val="00A6655E"/>
    <w:rsid w:val="00A665CB"/>
    <w:rsid w:val="00A66802"/>
    <w:rsid w:val="00A66812"/>
    <w:rsid w:val="00A66817"/>
    <w:rsid w:val="00A668A5"/>
    <w:rsid w:val="00A66EF1"/>
    <w:rsid w:val="00A67000"/>
    <w:rsid w:val="00A67326"/>
    <w:rsid w:val="00A6741B"/>
    <w:rsid w:val="00A67694"/>
    <w:rsid w:val="00A676E1"/>
    <w:rsid w:val="00A678C4"/>
    <w:rsid w:val="00A67907"/>
    <w:rsid w:val="00A6795D"/>
    <w:rsid w:val="00A67A97"/>
    <w:rsid w:val="00A67BDE"/>
    <w:rsid w:val="00A67C5A"/>
    <w:rsid w:val="00A67EF7"/>
    <w:rsid w:val="00A67F0E"/>
    <w:rsid w:val="00A7009E"/>
    <w:rsid w:val="00A701CF"/>
    <w:rsid w:val="00A70296"/>
    <w:rsid w:val="00A7030E"/>
    <w:rsid w:val="00A70401"/>
    <w:rsid w:val="00A7045F"/>
    <w:rsid w:val="00A70675"/>
    <w:rsid w:val="00A7068E"/>
    <w:rsid w:val="00A70A75"/>
    <w:rsid w:val="00A70D3A"/>
    <w:rsid w:val="00A70D7A"/>
    <w:rsid w:val="00A712ED"/>
    <w:rsid w:val="00A71320"/>
    <w:rsid w:val="00A728E9"/>
    <w:rsid w:val="00A72956"/>
    <w:rsid w:val="00A72A16"/>
    <w:rsid w:val="00A72A18"/>
    <w:rsid w:val="00A72A71"/>
    <w:rsid w:val="00A72CE7"/>
    <w:rsid w:val="00A732A1"/>
    <w:rsid w:val="00A732D7"/>
    <w:rsid w:val="00A73387"/>
    <w:rsid w:val="00A73614"/>
    <w:rsid w:val="00A7391E"/>
    <w:rsid w:val="00A739BC"/>
    <w:rsid w:val="00A73AB0"/>
    <w:rsid w:val="00A73EBF"/>
    <w:rsid w:val="00A73FA1"/>
    <w:rsid w:val="00A73FDE"/>
    <w:rsid w:val="00A74063"/>
    <w:rsid w:val="00A741BD"/>
    <w:rsid w:val="00A74226"/>
    <w:rsid w:val="00A743B7"/>
    <w:rsid w:val="00A74544"/>
    <w:rsid w:val="00A756B6"/>
    <w:rsid w:val="00A75793"/>
    <w:rsid w:val="00A757B0"/>
    <w:rsid w:val="00A75993"/>
    <w:rsid w:val="00A75A38"/>
    <w:rsid w:val="00A75DEA"/>
    <w:rsid w:val="00A75F69"/>
    <w:rsid w:val="00A75F6D"/>
    <w:rsid w:val="00A76197"/>
    <w:rsid w:val="00A7630E"/>
    <w:rsid w:val="00A764E9"/>
    <w:rsid w:val="00A766F9"/>
    <w:rsid w:val="00A76BA1"/>
    <w:rsid w:val="00A776A4"/>
    <w:rsid w:val="00A776DB"/>
    <w:rsid w:val="00A77CBD"/>
    <w:rsid w:val="00A8002A"/>
    <w:rsid w:val="00A800FC"/>
    <w:rsid w:val="00A802D9"/>
    <w:rsid w:val="00A8049D"/>
    <w:rsid w:val="00A804A7"/>
    <w:rsid w:val="00A805A3"/>
    <w:rsid w:val="00A80998"/>
    <w:rsid w:val="00A80AA9"/>
    <w:rsid w:val="00A80AB3"/>
    <w:rsid w:val="00A8115E"/>
    <w:rsid w:val="00A81193"/>
    <w:rsid w:val="00A8173B"/>
    <w:rsid w:val="00A81905"/>
    <w:rsid w:val="00A819F3"/>
    <w:rsid w:val="00A81A23"/>
    <w:rsid w:val="00A81B74"/>
    <w:rsid w:val="00A81C04"/>
    <w:rsid w:val="00A81EA2"/>
    <w:rsid w:val="00A81FD6"/>
    <w:rsid w:val="00A8200E"/>
    <w:rsid w:val="00A822C2"/>
    <w:rsid w:val="00A82304"/>
    <w:rsid w:val="00A8235B"/>
    <w:rsid w:val="00A82467"/>
    <w:rsid w:val="00A825AA"/>
    <w:rsid w:val="00A82601"/>
    <w:rsid w:val="00A82605"/>
    <w:rsid w:val="00A82666"/>
    <w:rsid w:val="00A827A4"/>
    <w:rsid w:val="00A82990"/>
    <w:rsid w:val="00A82B06"/>
    <w:rsid w:val="00A83222"/>
    <w:rsid w:val="00A832D1"/>
    <w:rsid w:val="00A83520"/>
    <w:rsid w:val="00A835A5"/>
    <w:rsid w:val="00A839E2"/>
    <w:rsid w:val="00A83B7B"/>
    <w:rsid w:val="00A83E7E"/>
    <w:rsid w:val="00A84007"/>
    <w:rsid w:val="00A84168"/>
    <w:rsid w:val="00A8419E"/>
    <w:rsid w:val="00A84211"/>
    <w:rsid w:val="00A846A4"/>
    <w:rsid w:val="00A846B7"/>
    <w:rsid w:val="00A848B3"/>
    <w:rsid w:val="00A84C83"/>
    <w:rsid w:val="00A84E7F"/>
    <w:rsid w:val="00A85815"/>
    <w:rsid w:val="00A85A4E"/>
    <w:rsid w:val="00A85A8D"/>
    <w:rsid w:val="00A85F9D"/>
    <w:rsid w:val="00A863F0"/>
    <w:rsid w:val="00A86577"/>
    <w:rsid w:val="00A865C4"/>
    <w:rsid w:val="00A86730"/>
    <w:rsid w:val="00A86817"/>
    <w:rsid w:val="00A86818"/>
    <w:rsid w:val="00A86B63"/>
    <w:rsid w:val="00A86D09"/>
    <w:rsid w:val="00A86E0A"/>
    <w:rsid w:val="00A86E8B"/>
    <w:rsid w:val="00A86F8B"/>
    <w:rsid w:val="00A87141"/>
    <w:rsid w:val="00A8734E"/>
    <w:rsid w:val="00A873D8"/>
    <w:rsid w:val="00A87411"/>
    <w:rsid w:val="00A8757F"/>
    <w:rsid w:val="00A87850"/>
    <w:rsid w:val="00A87C9B"/>
    <w:rsid w:val="00A87DB2"/>
    <w:rsid w:val="00A87E2A"/>
    <w:rsid w:val="00A87F71"/>
    <w:rsid w:val="00A903B7"/>
    <w:rsid w:val="00A90401"/>
    <w:rsid w:val="00A90418"/>
    <w:rsid w:val="00A9042D"/>
    <w:rsid w:val="00A904C5"/>
    <w:rsid w:val="00A90537"/>
    <w:rsid w:val="00A90A13"/>
    <w:rsid w:val="00A90D2E"/>
    <w:rsid w:val="00A91019"/>
    <w:rsid w:val="00A9119E"/>
    <w:rsid w:val="00A912C2"/>
    <w:rsid w:val="00A9164A"/>
    <w:rsid w:val="00A9165C"/>
    <w:rsid w:val="00A9193D"/>
    <w:rsid w:val="00A91967"/>
    <w:rsid w:val="00A91980"/>
    <w:rsid w:val="00A91A4B"/>
    <w:rsid w:val="00A921E3"/>
    <w:rsid w:val="00A92538"/>
    <w:rsid w:val="00A92692"/>
    <w:rsid w:val="00A9281D"/>
    <w:rsid w:val="00A928C6"/>
    <w:rsid w:val="00A929F8"/>
    <w:rsid w:val="00A92D76"/>
    <w:rsid w:val="00A930EC"/>
    <w:rsid w:val="00A93170"/>
    <w:rsid w:val="00A93632"/>
    <w:rsid w:val="00A93C3E"/>
    <w:rsid w:val="00A94125"/>
    <w:rsid w:val="00A9412F"/>
    <w:rsid w:val="00A944D9"/>
    <w:rsid w:val="00A945F7"/>
    <w:rsid w:val="00A948F3"/>
    <w:rsid w:val="00A94AE4"/>
    <w:rsid w:val="00A94B16"/>
    <w:rsid w:val="00A94D20"/>
    <w:rsid w:val="00A94F73"/>
    <w:rsid w:val="00A950BA"/>
    <w:rsid w:val="00A952C9"/>
    <w:rsid w:val="00A957B8"/>
    <w:rsid w:val="00A95B6B"/>
    <w:rsid w:val="00A95CB5"/>
    <w:rsid w:val="00A95E87"/>
    <w:rsid w:val="00A95EC1"/>
    <w:rsid w:val="00A9638F"/>
    <w:rsid w:val="00A96542"/>
    <w:rsid w:val="00A96639"/>
    <w:rsid w:val="00A966C4"/>
    <w:rsid w:val="00A9676E"/>
    <w:rsid w:val="00A9684E"/>
    <w:rsid w:val="00A96E27"/>
    <w:rsid w:val="00A96EB5"/>
    <w:rsid w:val="00A96F49"/>
    <w:rsid w:val="00A971BD"/>
    <w:rsid w:val="00A9752B"/>
    <w:rsid w:val="00A97774"/>
    <w:rsid w:val="00AA03F9"/>
    <w:rsid w:val="00AA0D1A"/>
    <w:rsid w:val="00AA0E8C"/>
    <w:rsid w:val="00AA0F84"/>
    <w:rsid w:val="00AA11F6"/>
    <w:rsid w:val="00AA1416"/>
    <w:rsid w:val="00AA1535"/>
    <w:rsid w:val="00AA15A0"/>
    <w:rsid w:val="00AA15EE"/>
    <w:rsid w:val="00AA1AC4"/>
    <w:rsid w:val="00AA1C34"/>
    <w:rsid w:val="00AA1F6F"/>
    <w:rsid w:val="00AA2461"/>
    <w:rsid w:val="00AA2574"/>
    <w:rsid w:val="00AA27BC"/>
    <w:rsid w:val="00AA2865"/>
    <w:rsid w:val="00AA28D6"/>
    <w:rsid w:val="00AA2910"/>
    <w:rsid w:val="00AA2978"/>
    <w:rsid w:val="00AA299C"/>
    <w:rsid w:val="00AA2A39"/>
    <w:rsid w:val="00AA2A6E"/>
    <w:rsid w:val="00AA2AE9"/>
    <w:rsid w:val="00AA2DC5"/>
    <w:rsid w:val="00AA2EBD"/>
    <w:rsid w:val="00AA31B1"/>
    <w:rsid w:val="00AA3241"/>
    <w:rsid w:val="00AA331F"/>
    <w:rsid w:val="00AA3599"/>
    <w:rsid w:val="00AA3715"/>
    <w:rsid w:val="00AA3A4F"/>
    <w:rsid w:val="00AA3A8A"/>
    <w:rsid w:val="00AA3A9B"/>
    <w:rsid w:val="00AA3B2A"/>
    <w:rsid w:val="00AA3BF1"/>
    <w:rsid w:val="00AA3C60"/>
    <w:rsid w:val="00AA3E04"/>
    <w:rsid w:val="00AA4141"/>
    <w:rsid w:val="00AA43CE"/>
    <w:rsid w:val="00AA455B"/>
    <w:rsid w:val="00AA46F0"/>
    <w:rsid w:val="00AA4745"/>
    <w:rsid w:val="00AA49F6"/>
    <w:rsid w:val="00AA5335"/>
    <w:rsid w:val="00AA5410"/>
    <w:rsid w:val="00AA57F9"/>
    <w:rsid w:val="00AA58FD"/>
    <w:rsid w:val="00AA5A1B"/>
    <w:rsid w:val="00AA5D71"/>
    <w:rsid w:val="00AA6312"/>
    <w:rsid w:val="00AA634D"/>
    <w:rsid w:val="00AA659F"/>
    <w:rsid w:val="00AA6627"/>
    <w:rsid w:val="00AA6EAA"/>
    <w:rsid w:val="00AA6F1D"/>
    <w:rsid w:val="00AA7174"/>
    <w:rsid w:val="00AA73A2"/>
    <w:rsid w:val="00AB0056"/>
    <w:rsid w:val="00AB02D5"/>
    <w:rsid w:val="00AB050F"/>
    <w:rsid w:val="00AB0946"/>
    <w:rsid w:val="00AB0A65"/>
    <w:rsid w:val="00AB0E77"/>
    <w:rsid w:val="00AB1397"/>
    <w:rsid w:val="00AB143E"/>
    <w:rsid w:val="00AB18C6"/>
    <w:rsid w:val="00AB18F7"/>
    <w:rsid w:val="00AB1A18"/>
    <w:rsid w:val="00AB1AD1"/>
    <w:rsid w:val="00AB1B27"/>
    <w:rsid w:val="00AB1BE0"/>
    <w:rsid w:val="00AB1F10"/>
    <w:rsid w:val="00AB20C9"/>
    <w:rsid w:val="00AB21C6"/>
    <w:rsid w:val="00AB231D"/>
    <w:rsid w:val="00AB2468"/>
    <w:rsid w:val="00AB2512"/>
    <w:rsid w:val="00AB25BC"/>
    <w:rsid w:val="00AB2841"/>
    <w:rsid w:val="00AB2A2A"/>
    <w:rsid w:val="00AB2AD0"/>
    <w:rsid w:val="00AB2C32"/>
    <w:rsid w:val="00AB327F"/>
    <w:rsid w:val="00AB33F7"/>
    <w:rsid w:val="00AB361E"/>
    <w:rsid w:val="00AB36C8"/>
    <w:rsid w:val="00AB3795"/>
    <w:rsid w:val="00AB39F9"/>
    <w:rsid w:val="00AB3A52"/>
    <w:rsid w:val="00AB3A5A"/>
    <w:rsid w:val="00AB417E"/>
    <w:rsid w:val="00AB45E8"/>
    <w:rsid w:val="00AB462A"/>
    <w:rsid w:val="00AB48D1"/>
    <w:rsid w:val="00AB490C"/>
    <w:rsid w:val="00AB4BA6"/>
    <w:rsid w:val="00AB4C1C"/>
    <w:rsid w:val="00AB4E03"/>
    <w:rsid w:val="00AB4FB2"/>
    <w:rsid w:val="00AB5131"/>
    <w:rsid w:val="00AB519F"/>
    <w:rsid w:val="00AB51F9"/>
    <w:rsid w:val="00AB5250"/>
    <w:rsid w:val="00AB53AC"/>
    <w:rsid w:val="00AB5731"/>
    <w:rsid w:val="00AB5783"/>
    <w:rsid w:val="00AB5797"/>
    <w:rsid w:val="00AB579A"/>
    <w:rsid w:val="00AB57AD"/>
    <w:rsid w:val="00AB58B3"/>
    <w:rsid w:val="00AB5955"/>
    <w:rsid w:val="00AB657E"/>
    <w:rsid w:val="00AB669B"/>
    <w:rsid w:val="00AB66CF"/>
    <w:rsid w:val="00AB69FB"/>
    <w:rsid w:val="00AB6C92"/>
    <w:rsid w:val="00AB7008"/>
    <w:rsid w:val="00AB7055"/>
    <w:rsid w:val="00AB7A9B"/>
    <w:rsid w:val="00AB7AFB"/>
    <w:rsid w:val="00AB7B9C"/>
    <w:rsid w:val="00AB7E5A"/>
    <w:rsid w:val="00AB99FB"/>
    <w:rsid w:val="00AC0319"/>
    <w:rsid w:val="00AC066E"/>
    <w:rsid w:val="00AC06D3"/>
    <w:rsid w:val="00AC094B"/>
    <w:rsid w:val="00AC0A15"/>
    <w:rsid w:val="00AC0F58"/>
    <w:rsid w:val="00AC1047"/>
    <w:rsid w:val="00AC10CE"/>
    <w:rsid w:val="00AC10F7"/>
    <w:rsid w:val="00AC1116"/>
    <w:rsid w:val="00AC1424"/>
    <w:rsid w:val="00AC15BF"/>
    <w:rsid w:val="00AC18D1"/>
    <w:rsid w:val="00AC1AF9"/>
    <w:rsid w:val="00AC21B4"/>
    <w:rsid w:val="00AC22E7"/>
    <w:rsid w:val="00AC24A7"/>
    <w:rsid w:val="00AC2714"/>
    <w:rsid w:val="00AC2727"/>
    <w:rsid w:val="00AC2829"/>
    <w:rsid w:val="00AC2D57"/>
    <w:rsid w:val="00AC2F18"/>
    <w:rsid w:val="00AC30C5"/>
    <w:rsid w:val="00AC3289"/>
    <w:rsid w:val="00AC3356"/>
    <w:rsid w:val="00AC3393"/>
    <w:rsid w:val="00AC33BA"/>
    <w:rsid w:val="00AC3759"/>
    <w:rsid w:val="00AC3947"/>
    <w:rsid w:val="00AC3A57"/>
    <w:rsid w:val="00AC3A93"/>
    <w:rsid w:val="00AC4450"/>
    <w:rsid w:val="00AC47BC"/>
    <w:rsid w:val="00AC51F0"/>
    <w:rsid w:val="00AC554B"/>
    <w:rsid w:val="00AC5560"/>
    <w:rsid w:val="00AC58DE"/>
    <w:rsid w:val="00AC5CFD"/>
    <w:rsid w:val="00AC6029"/>
    <w:rsid w:val="00AC6095"/>
    <w:rsid w:val="00AC634E"/>
    <w:rsid w:val="00AC6565"/>
    <w:rsid w:val="00AC66D8"/>
    <w:rsid w:val="00AC675C"/>
    <w:rsid w:val="00AC6777"/>
    <w:rsid w:val="00AC6AC7"/>
    <w:rsid w:val="00AC6E28"/>
    <w:rsid w:val="00AC6E93"/>
    <w:rsid w:val="00AC6F24"/>
    <w:rsid w:val="00AC6F7D"/>
    <w:rsid w:val="00AC6FE0"/>
    <w:rsid w:val="00AC71D8"/>
    <w:rsid w:val="00AC720A"/>
    <w:rsid w:val="00AC740E"/>
    <w:rsid w:val="00AC76A3"/>
    <w:rsid w:val="00AC7823"/>
    <w:rsid w:val="00AC79B9"/>
    <w:rsid w:val="00AC7A93"/>
    <w:rsid w:val="00AC7AEE"/>
    <w:rsid w:val="00AC7BC5"/>
    <w:rsid w:val="00AC7CDF"/>
    <w:rsid w:val="00AC7E02"/>
    <w:rsid w:val="00AC7F07"/>
    <w:rsid w:val="00AD00FD"/>
    <w:rsid w:val="00AD028E"/>
    <w:rsid w:val="00AD0540"/>
    <w:rsid w:val="00AD05DB"/>
    <w:rsid w:val="00AD0635"/>
    <w:rsid w:val="00AD090A"/>
    <w:rsid w:val="00AD0930"/>
    <w:rsid w:val="00AD0934"/>
    <w:rsid w:val="00AD0935"/>
    <w:rsid w:val="00AD0A99"/>
    <w:rsid w:val="00AD0AE6"/>
    <w:rsid w:val="00AD0FC0"/>
    <w:rsid w:val="00AD111C"/>
    <w:rsid w:val="00AD115E"/>
    <w:rsid w:val="00AD12C6"/>
    <w:rsid w:val="00AD1351"/>
    <w:rsid w:val="00AD14FA"/>
    <w:rsid w:val="00AD1709"/>
    <w:rsid w:val="00AD1735"/>
    <w:rsid w:val="00AD18DE"/>
    <w:rsid w:val="00AD1B41"/>
    <w:rsid w:val="00AD2551"/>
    <w:rsid w:val="00AD26B4"/>
    <w:rsid w:val="00AD2B82"/>
    <w:rsid w:val="00AD325A"/>
    <w:rsid w:val="00AD32AA"/>
    <w:rsid w:val="00AD3557"/>
    <w:rsid w:val="00AD3694"/>
    <w:rsid w:val="00AD3838"/>
    <w:rsid w:val="00AD3B10"/>
    <w:rsid w:val="00AD3B2F"/>
    <w:rsid w:val="00AD3BC8"/>
    <w:rsid w:val="00AD3D02"/>
    <w:rsid w:val="00AD40D8"/>
    <w:rsid w:val="00AD453E"/>
    <w:rsid w:val="00AD4748"/>
    <w:rsid w:val="00AD474C"/>
    <w:rsid w:val="00AD47E2"/>
    <w:rsid w:val="00AD4AD5"/>
    <w:rsid w:val="00AD4B2E"/>
    <w:rsid w:val="00AD4BA9"/>
    <w:rsid w:val="00AD4F95"/>
    <w:rsid w:val="00AD5087"/>
    <w:rsid w:val="00AD509E"/>
    <w:rsid w:val="00AD50E3"/>
    <w:rsid w:val="00AD5193"/>
    <w:rsid w:val="00AD55AE"/>
    <w:rsid w:val="00AD58F5"/>
    <w:rsid w:val="00AD5F8E"/>
    <w:rsid w:val="00AD5FD0"/>
    <w:rsid w:val="00AD60EA"/>
    <w:rsid w:val="00AD6138"/>
    <w:rsid w:val="00AD6690"/>
    <w:rsid w:val="00AD67D4"/>
    <w:rsid w:val="00AD6921"/>
    <w:rsid w:val="00AD6BF5"/>
    <w:rsid w:val="00AD6E02"/>
    <w:rsid w:val="00AD6EC0"/>
    <w:rsid w:val="00AD6F11"/>
    <w:rsid w:val="00AD711A"/>
    <w:rsid w:val="00AD7264"/>
    <w:rsid w:val="00AD7336"/>
    <w:rsid w:val="00AD7356"/>
    <w:rsid w:val="00AD764D"/>
    <w:rsid w:val="00AD775C"/>
    <w:rsid w:val="00AD7B43"/>
    <w:rsid w:val="00AD7B85"/>
    <w:rsid w:val="00AD7CFC"/>
    <w:rsid w:val="00AD7D90"/>
    <w:rsid w:val="00AE012F"/>
    <w:rsid w:val="00AE0151"/>
    <w:rsid w:val="00AE03EF"/>
    <w:rsid w:val="00AE04C0"/>
    <w:rsid w:val="00AE0611"/>
    <w:rsid w:val="00AE06DF"/>
    <w:rsid w:val="00AE079B"/>
    <w:rsid w:val="00AE0822"/>
    <w:rsid w:val="00AE08F8"/>
    <w:rsid w:val="00AE0BCD"/>
    <w:rsid w:val="00AE0DCE"/>
    <w:rsid w:val="00AE0E48"/>
    <w:rsid w:val="00AE0FDD"/>
    <w:rsid w:val="00AE1074"/>
    <w:rsid w:val="00AE107C"/>
    <w:rsid w:val="00AE10C7"/>
    <w:rsid w:val="00AE139E"/>
    <w:rsid w:val="00AE13AB"/>
    <w:rsid w:val="00AE1457"/>
    <w:rsid w:val="00AE1722"/>
    <w:rsid w:val="00AE187D"/>
    <w:rsid w:val="00AE1972"/>
    <w:rsid w:val="00AE1D92"/>
    <w:rsid w:val="00AE1E4F"/>
    <w:rsid w:val="00AE211D"/>
    <w:rsid w:val="00AE21A4"/>
    <w:rsid w:val="00AE21C1"/>
    <w:rsid w:val="00AE21F4"/>
    <w:rsid w:val="00AE26D0"/>
    <w:rsid w:val="00AE2717"/>
    <w:rsid w:val="00AE277F"/>
    <w:rsid w:val="00AE2BCD"/>
    <w:rsid w:val="00AE2E21"/>
    <w:rsid w:val="00AE2FB8"/>
    <w:rsid w:val="00AE317A"/>
    <w:rsid w:val="00AE32B6"/>
    <w:rsid w:val="00AE332C"/>
    <w:rsid w:val="00AE33C6"/>
    <w:rsid w:val="00AE3A26"/>
    <w:rsid w:val="00AE3D08"/>
    <w:rsid w:val="00AE3D66"/>
    <w:rsid w:val="00AE3F09"/>
    <w:rsid w:val="00AE412A"/>
    <w:rsid w:val="00AE4331"/>
    <w:rsid w:val="00AE44AE"/>
    <w:rsid w:val="00AE4552"/>
    <w:rsid w:val="00AE4614"/>
    <w:rsid w:val="00AE4675"/>
    <w:rsid w:val="00AE4687"/>
    <w:rsid w:val="00AE46E6"/>
    <w:rsid w:val="00AE47AB"/>
    <w:rsid w:val="00AE48E4"/>
    <w:rsid w:val="00AE490A"/>
    <w:rsid w:val="00AE5787"/>
    <w:rsid w:val="00AE5E3A"/>
    <w:rsid w:val="00AE5F71"/>
    <w:rsid w:val="00AE60F0"/>
    <w:rsid w:val="00AE614D"/>
    <w:rsid w:val="00AE63D9"/>
    <w:rsid w:val="00AE6957"/>
    <w:rsid w:val="00AE69C3"/>
    <w:rsid w:val="00AE69C6"/>
    <w:rsid w:val="00AE76AB"/>
    <w:rsid w:val="00AE76F7"/>
    <w:rsid w:val="00AE7849"/>
    <w:rsid w:val="00AE78DB"/>
    <w:rsid w:val="00AE7977"/>
    <w:rsid w:val="00AE7989"/>
    <w:rsid w:val="00AE79F7"/>
    <w:rsid w:val="00AE7A13"/>
    <w:rsid w:val="00AE7A28"/>
    <w:rsid w:val="00AE7E68"/>
    <w:rsid w:val="00AF00DF"/>
    <w:rsid w:val="00AF02B2"/>
    <w:rsid w:val="00AF0340"/>
    <w:rsid w:val="00AF040D"/>
    <w:rsid w:val="00AF0457"/>
    <w:rsid w:val="00AF055E"/>
    <w:rsid w:val="00AF0A95"/>
    <w:rsid w:val="00AF0C20"/>
    <w:rsid w:val="00AF0DD4"/>
    <w:rsid w:val="00AF0E59"/>
    <w:rsid w:val="00AF137D"/>
    <w:rsid w:val="00AF1458"/>
    <w:rsid w:val="00AF14D5"/>
    <w:rsid w:val="00AF1624"/>
    <w:rsid w:val="00AF169F"/>
    <w:rsid w:val="00AF1AEA"/>
    <w:rsid w:val="00AF1BB0"/>
    <w:rsid w:val="00AF1C4C"/>
    <w:rsid w:val="00AF1D59"/>
    <w:rsid w:val="00AF1DE6"/>
    <w:rsid w:val="00AF1F10"/>
    <w:rsid w:val="00AF2066"/>
    <w:rsid w:val="00AF22C9"/>
    <w:rsid w:val="00AF2448"/>
    <w:rsid w:val="00AF24CB"/>
    <w:rsid w:val="00AF2AAA"/>
    <w:rsid w:val="00AF2B4D"/>
    <w:rsid w:val="00AF2EB4"/>
    <w:rsid w:val="00AF302B"/>
    <w:rsid w:val="00AF3153"/>
    <w:rsid w:val="00AF3276"/>
    <w:rsid w:val="00AF327A"/>
    <w:rsid w:val="00AF3294"/>
    <w:rsid w:val="00AF32E1"/>
    <w:rsid w:val="00AF3306"/>
    <w:rsid w:val="00AF3359"/>
    <w:rsid w:val="00AF3589"/>
    <w:rsid w:val="00AF3950"/>
    <w:rsid w:val="00AF39D3"/>
    <w:rsid w:val="00AF3B6B"/>
    <w:rsid w:val="00AF3BBB"/>
    <w:rsid w:val="00AF3BFA"/>
    <w:rsid w:val="00AF3D39"/>
    <w:rsid w:val="00AF497B"/>
    <w:rsid w:val="00AF4A0B"/>
    <w:rsid w:val="00AF4B72"/>
    <w:rsid w:val="00AF4D72"/>
    <w:rsid w:val="00AF50DE"/>
    <w:rsid w:val="00AF52BF"/>
    <w:rsid w:val="00AF561E"/>
    <w:rsid w:val="00AF564D"/>
    <w:rsid w:val="00AF56C6"/>
    <w:rsid w:val="00AF59FE"/>
    <w:rsid w:val="00AF5A10"/>
    <w:rsid w:val="00AF5BA7"/>
    <w:rsid w:val="00AF5D30"/>
    <w:rsid w:val="00AF6267"/>
    <w:rsid w:val="00AF62FF"/>
    <w:rsid w:val="00AF6423"/>
    <w:rsid w:val="00AF6436"/>
    <w:rsid w:val="00AF64D9"/>
    <w:rsid w:val="00AF653E"/>
    <w:rsid w:val="00AF65D6"/>
    <w:rsid w:val="00AF6A4C"/>
    <w:rsid w:val="00AF6AF0"/>
    <w:rsid w:val="00AF6B41"/>
    <w:rsid w:val="00AF6C1F"/>
    <w:rsid w:val="00AF6ED9"/>
    <w:rsid w:val="00AF6EDC"/>
    <w:rsid w:val="00AF6FBF"/>
    <w:rsid w:val="00AF7148"/>
    <w:rsid w:val="00AF731B"/>
    <w:rsid w:val="00AF73B7"/>
    <w:rsid w:val="00AF7421"/>
    <w:rsid w:val="00AF7DEF"/>
    <w:rsid w:val="00B00101"/>
    <w:rsid w:val="00B0016A"/>
    <w:rsid w:val="00B0033B"/>
    <w:rsid w:val="00B0038D"/>
    <w:rsid w:val="00B006F2"/>
    <w:rsid w:val="00B00873"/>
    <w:rsid w:val="00B009BE"/>
    <w:rsid w:val="00B00D82"/>
    <w:rsid w:val="00B00F3A"/>
    <w:rsid w:val="00B01104"/>
    <w:rsid w:val="00B0131A"/>
    <w:rsid w:val="00B01888"/>
    <w:rsid w:val="00B01895"/>
    <w:rsid w:val="00B018F7"/>
    <w:rsid w:val="00B01978"/>
    <w:rsid w:val="00B019C5"/>
    <w:rsid w:val="00B01B81"/>
    <w:rsid w:val="00B01CD4"/>
    <w:rsid w:val="00B01D7E"/>
    <w:rsid w:val="00B02183"/>
    <w:rsid w:val="00B02799"/>
    <w:rsid w:val="00B02964"/>
    <w:rsid w:val="00B029BC"/>
    <w:rsid w:val="00B029E4"/>
    <w:rsid w:val="00B02BEB"/>
    <w:rsid w:val="00B02CBF"/>
    <w:rsid w:val="00B03082"/>
    <w:rsid w:val="00B031EB"/>
    <w:rsid w:val="00B03823"/>
    <w:rsid w:val="00B03CFB"/>
    <w:rsid w:val="00B040DF"/>
    <w:rsid w:val="00B041DF"/>
    <w:rsid w:val="00B04351"/>
    <w:rsid w:val="00B04476"/>
    <w:rsid w:val="00B0451B"/>
    <w:rsid w:val="00B04653"/>
    <w:rsid w:val="00B047C2"/>
    <w:rsid w:val="00B04C66"/>
    <w:rsid w:val="00B04CB1"/>
    <w:rsid w:val="00B04D09"/>
    <w:rsid w:val="00B04E85"/>
    <w:rsid w:val="00B04F99"/>
    <w:rsid w:val="00B05038"/>
    <w:rsid w:val="00B05092"/>
    <w:rsid w:val="00B05320"/>
    <w:rsid w:val="00B05391"/>
    <w:rsid w:val="00B054C7"/>
    <w:rsid w:val="00B05616"/>
    <w:rsid w:val="00B05635"/>
    <w:rsid w:val="00B0565C"/>
    <w:rsid w:val="00B056FA"/>
    <w:rsid w:val="00B0585B"/>
    <w:rsid w:val="00B05959"/>
    <w:rsid w:val="00B059C8"/>
    <w:rsid w:val="00B05A59"/>
    <w:rsid w:val="00B05CF3"/>
    <w:rsid w:val="00B05DEE"/>
    <w:rsid w:val="00B05DF3"/>
    <w:rsid w:val="00B06186"/>
    <w:rsid w:val="00B062EE"/>
    <w:rsid w:val="00B06712"/>
    <w:rsid w:val="00B06751"/>
    <w:rsid w:val="00B068C5"/>
    <w:rsid w:val="00B068EA"/>
    <w:rsid w:val="00B06FA7"/>
    <w:rsid w:val="00B06FD5"/>
    <w:rsid w:val="00B07031"/>
    <w:rsid w:val="00B07112"/>
    <w:rsid w:val="00B07588"/>
    <w:rsid w:val="00B07620"/>
    <w:rsid w:val="00B07CDE"/>
    <w:rsid w:val="00B10004"/>
    <w:rsid w:val="00B106A1"/>
    <w:rsid w:val="00B106CD"/>
    <w:rsid w:val="00B10CA9"/>
    <w:rsid w:val="00B10F51"/>
    <w:rsid w:val="00B1110E"/>
    <w:rsid w:val="00B11443"/>
    <w:rsid w:val="00B1168D"/>
    <w:rsid w:val="00B117EB"/>
    <w:rsid w:val="00B1190B"/>
    <w:rsid w:val="00B119BE"/>
    <w:rsid w:val="00B11A71"/>
    <w:rsid w:val="00B11E0F"/>
    <w:rsid w:val="00B12516"/>
    <w:rsid w:val="00B1263A"/>
    <w:rsid w:val="00B128B5"/>
    <w:rsid w:val="00B1298C"/>
    <w:rsid w:val="00B12A91"/>
    <w:rsid w:val="00B12A9F"/>
    <w:rsid w:val="00B12CE5"/>
    <w:rsid w:val="00B12F1C"/>
    <w:rsid w:val="00B1314F"/>
    <w:rsid w:val="00B131C1"/>
    <w:rsid w:val="00B131F7"/>
    <w:rsid w:val="00B1360B"/>
    <w:rsid w:val="00B1380B"/>
    <w:rsid w:val="00B138B9"/>
    <w:rsid w:val="00B13AEE"/>
    <w:rsid w:val="00B13C6E"/>
    <w:rsid w:val="00B13D4E"/>
    <w:rsid w:val="00B14013"/>
    <w:rsid w:val="00B1405D"/>
    <w:rsid w:val="00B141B7"/>
    <w:rsid w:val="00B14469"/>
    <w:rsid w:val="00B146CE"/>
    <w:rsid w:val="00B147A8"/>
    <w:rsid w:val="00B149C0"/>
    <w:rsid w:val="00B14C1B"/>
    <w:rsid w:val="00B14DC8"/>
    <w:rsid w:val="00B14F7C"/>
    <w:rsid w:val="00B1513A"/>
    <w:rsid w:val="00B151CF"/>
    <w:rsid w:val="00B15303"/>
    <w:rsid w:val="00B153DF"/>
    <w:rsid w:val="00B15592"/>
    <w:rsid w:val="00B15760"/>
    <w:rsid w:val="00B15887"/>
    <w:rsid w:val="00B159B2"/>
    <w:rsid w:val="00B15C78"/>
    <w:rsid w:val="00B15D60"/>
    <w:rsid w:val="00B162B4"/>
    <w:rsid w:val="00B162C6"/>
    <w:rsid w:val="00B16631"/>
    <w:rsid w:val="00B16728"/>
    <w:rsid w:val="00B1673D"/>
    <w:rsid w:val="00B16753"/>
    <w:rsid w:val="00B1679B"/>
    <w:rsid w:val="00B16899"/>
    <w:rsid w:val="00B168A0"/>
    <w:rsid w:val="00B168B6"/>
    <w:rsid w:val="00B16C86"/>
    <w:rsid w:val="00B16DEA"/>
    <w:rsid w:val="00B1705A"/>
    <w:rsid w:val="00B17473"/>
    <w:rsid w:val="00B174C4"/>
    <w:rsid w:val="00B175A2"/>
    <w:rsid w:val="00B175FB"/>
    <w:rsid w:val="00B1770B"/>
    <w:rsid w:val="00B1777B"/>
    <w:rsid w:val="00B179B5"/>
    <w:rsid w:val="00B17ADE"/>
    <w:rsid w:val="00B17B10"/>
    <w:rsid w:val="00B17E15"/>
    <w:rsid w:val="00B200AC"/>
    <w:rsid w:val="00B203B8"/>
    <w:rsid w:val="00B20445"/>
    <w:rsid w:val="00B2069B"/>
    <w:rsid w:val="00B20726"/>
    <w:rsid w:val="00B2089D"/>
    <w:rsid w:val="00B20981"/>
    <w:rsid w:val="00B20B17"/>
    <w:rsid w:val="00B20C84"/>
    <w:rsid w:val="00B20CD3"/>
    <w:rsid w:val="00B21191"/>
    <w:rsid w:val="00B21317"/>
    <w:rsid w:val="00B21364"/>
    <w:rsid w:val="00B2173B"/>
    <w:rsid w:val="00B2178E"/>
    <w:rsid w:val="00B21881"/>
    <w:rsid w:val="00B218EB"/>
    <w:rsid w:val="00B21B0D"/>
    <w:rsid w:val="00B21C04"/>
    <w:rsid w:val="00B21F58"/>
    <w:rsid w:val="00B221F3"/>
    <w:rsid w:val="00B22247"/>
    <w:rsid w:val="00B2230B"/>
    <w:rsid w:val="00B224FB"/>
    <w:rsid w:val="00B226F0"/>
    <w:rsid w:val="00B226FA"/>
    <w:rsid w:val="00B22722"/>
    <w:rsid w:val="00B22847"/>
    <w:rsid w:val="00B22A3F"/>
    <w:rsid w:val="00B22B47"/>
    <w:rsid w:val="00B23015"/>
    <w:rsid w:val="00B233BD"/>
    <w:rsid w:val="00B23562"/>
    <w:rsid w:val="00B23623"/>
    <w:rsid w:val="00B23815"/>
    <w:rsid w:val="00B23B0C"/>
    <w:rsid w:val="00B23F23"/>
    <w:rsid w:val="00B2412E"/>
    <w:rsid w:val="00B241B1"/>
    <w:rsid w:val="00B2421C"/>
    <w:rsid w:val="00B2428C"/>
    <w:rsid w:val="00B243F2"/>
    <w:rsid w:val="00B2448D"/>
    <w:rsid w:val="00B246B9"/>
    <w:rsid w:val="00B247AD"/>
    <w:rsid w:val="00B24B33"/>
    <w:rsid w:val="00B24C57"/>
    <w:rsid w:val="00B24DDE"/>
    <w:rsid w:val="00B24ED3"/>
    <w:rsid w:val="00B25196"/>
    <w:rsid w:val="00B2529C"/>
    <w:rsid w:val="00B2570D"/>
    <w:rsid w:val="00B25ABD"/>
    <w:rsid w:val="00B25BAF"/>
    <w:rsid w:val="00B25C49"/>
    <w:rsid w:val="00B25C9E"/>
    <w:rsid w:val="00B25D05"/>
    <w:rsid w:val="00B25E4F"/>
    <w:rsid w:val="00B26093"/>
    <w:rsid w:val="00B260AC"/>
    <w:rsid w:val="00B26320"/>
    <w:rsid w:val="00B264B3"/>
    <w:rsid w:val="00B2650D"/>
    <w:rsid w:val="00B26622"/>
    <w:rsid w:val="00B26669"/>
    <w:rsid w:val="00B26723"/>
    <w:rsid w:val="00B26970"/>
    <w:rsid w:val="00B26CFB"/>
    <w:rsid w:val="00B26D20"/>
    <w:rsid w:val="00B26D44"/>
    <w:rsid w:val="00B26E37"/>
    <w:rsid w:val="00B26F01"/>
    <w:rsid w:val="00B26F31"/>
    <w:rsid w:val="00B26FCE"/>
    <w:rsid w:val="00B270D8"/>
    <w:rsid w:val="00B273F5"/>
    <w:rsid w:val="00B276B4"/>
    <w:rsid w:val="00B27795"/>
    <w:rsid w:val="00B27C1E"/>
    <w:rsid w:val="00B27FCD"/>
    <w:rsid w:val="00B303F6"/>
    <w:rsid w:val="00B307AD"/>
    <w:rsid w:val="00B307B7"/>
    <w:rsid w:val="00B3097A"/>
    <w:rsid w:val="00B30C07"/>
    <w:rsid w:val="00B30D3C"/>
    <w:rsid w:val="00B30F4E"/>
    <w:rsid w:val="00B32140"/>
    <w:rsid w:val="00B3239D"/>
    <w:rsid w:val="00B323A8"/>
    <w:rsid w:val="00B324B0"/>
    <w:rsid w:val="00B3258A"/>
    <w:rsid w:val="00B3269E"/>
    <w:rsid w:val="00B3272D"/>
    <w:rsid w:val="00B32730"/>
    <w:rsid w:val="00B327AC"/>
    <w:rsid w:val="00B32983"/>
    <w:rsid w:val="00B32A2A"/>
    <w:rsid w:val="00B32A91"/>
    <w:rsid w:val="00B32AC4"/>
    <w:rsid w:val="00B32B45"/>
    <w:rsid w:val="00B330A7"/>
    <w:rsid w:val="00B334B0"/>
    <w:rsid w:val="00B33591"/>
    <w:rsid w:val="00B3391A"/>
    <w:rsid w:val="00B33DDE"/>
    <w:rsid w:val="00B33EC1"/>
    <w:rsid w:val="00B33FB1"/>
    <w:rsid w:val="00B34185"/>
    <w:rsid w:val="00B341F2"/>
    <w:rsid w:val="00B34649"/>
    <w:rsid w:val="00B34912"/>
    <w:rsid w:val="00B34FD7"/>
    <w:rsid w:val="00B35199"/>
    <w:rsid w:val="00B35297"/>
    <w:rsid w:val="00B3532B"/>
    <w:rsid w:val="00B353A4"/>
    <w:rsid w:val="00B353B2"/>
    <w:rsid w:val="00B35853"/>
    <w:rsid w:val="00B3591A"/>
    <w:rsid w:val="00B35A45"/>
    <w:rsid w:val="00B35C37"/>
    <w:rsid w:val="00B35F0D"/>
    <w:rsid w:val="00B36028"/>
    <w:rsid w:val="00B3630D"/>
    <w:rsid w:val="00B36546"/>
    <w:rsid w:val="00B365DF"/>
    <w:rsid w:val="00B3660F"/>
    <w:rsid w:val="00B3676D"/>
    <w:rsid w:val="00B368E4"/>
    <w:rsid w:val="00B36904"/>
    <w:rsid w:val="00B36977"/>
    <w:rsid w:val="00B36B93"/>
    <w:rsid w:val="00B36BCB"/>
    <w:rsid w:val="00B36BCD"/>
    <w:rsid w:val="00B36C99"/>
    <w:rsid w:val="00B370C3"/>
    <w:rsid w:val="00B3728A"/>
    <w:rsid w:val="00B37359"/>
    <w:rsid w:val="00B3765F"/>
    <w:rsid w:val="00B37669"/>
    <w:rsid w:val="00B37AAB"/>
    <w:rsid w:val="00B37D9E"/>
    <w:rsid w:val="00B37E7D"/>
    <w:rsid w:val="00B37EFA"/>
    <w:rsid w:val="00B40064"/>
    <w:rsid w:val="00B4021A"/>
    <w:rsid w:val="00B4030A"/>
    <w:rsid w:val="00B40488"/>
    <w:rsid w:val="00B404F9"/>
    <w:rsid w:val="00B4092E"/>
    <w:rsid w:val="00B40A2C"/>
    <w:rsid w:val="00B40AD3"/>
    <w:rsid w:val="00B40B6D"/>
    <w:rsid w:val="00B40D5C"/>
    <w:rsid w:val="00B40FE6"/>
    <w:rsid w:val="00B411A9"/>
    <w:rsid w:val="00B41586"/>
    <w:rsid w:val="00B4158A"/>
    <w:rsid w:val="00B41A65"/>
    <w:rsid w:val="00B41B92"/>
    <w:rsid w:val="00B41C7E"/>
    <w:rsid w:val="00B41C9D"/>
    <w:rsid w:val="00B41E6F"/>
    <w:rsid w:val="00B41EBD"/>
    <w:rsid w:val="00B42108"/>
    <w:rsid w:val="00B425C1"/>
    <w:rsid w:val="00B42671"/>
    <w:rsid w:val="00B42AC3"/>
    <w:rsid w:val="00B42DC1"/>
    <w:rsid w:val="00B433A2"/>
    <w:rsid w:val="00B43436"/>
    <w:rsid w:val="00B435F2"/>
    <w:rsid w:val="00B43693"/>
    <w:rsid w:val="00B436BD"/>
    <w:rsid w:val="00B43B1F"/>
    <w:rsid w:val="00B43CA5"/>
    <w:rsid w:val="00B43E84"/>
    <w:rsid w:val="00B44321"/>
    <w:rsid w:val="00B445B5"/>
    <w:rsid w:val="00B44600"/>
    <w:rsid w:val="00B447A5"/>
    <w:rsid w:val="00B44BDC"/>
    <w:rsid w:val="00B4502F"/>
    <w:rsid w:val="00B451E2"/>
    <w:rsid w:val="00B4551E"/>
    <w:rsid w:val="00B4558C"/>
    <w:rsid w:val="00B45891"/>
    <w:rsid w:val="00B45930"/>
    <w:rsid w:val="00B45AB9"/>
    <w:rsid w:val="00B45B9D"/>
    <w:rsid w:val="00B460B6"/>
    <w:rsid w:val="00B46296"/>
    <w:rsid w:val="00B462D8"/>
    <w:rsid w:val="00B4669C"/>
    <w:rsid w:val="00B4683A"/>
    <w:rsid w:val="00B46B1D"/>
    <w:rsid w:val="00B46CC6"/>
    <w:rsid w:val="00B46F62"/>
    <w:rsid w:val="00B46FA4"/>
    <w:rsid w:val="00B472B3"/>
    <w:rsid w:val="00B47339"/>
    <w:rsid w:val="00B473E4"/>
    <w:rsid w:val="00B47584"/>
    <w:rsid w:val="00B478C3"/>
    <w:rsid w:val="00B47AF7"/>
    <w:rsid w:val="00B47C29"/>
    <w:rsid w:val="00B47CA8"/>
    <w:rsid w:val="00B47D91"/>
    <w:rsid w:val="00B47F03"/>
    <w:rsid w:val="00B50084"/>
    <w:rsid w:val="00B501E3"/>
    <w:rsid w:val="00B50402"/>
    <w:rsid w:val="00B5041D"/>
    <w:rsid w:val="00B50A44"/>
    <w:rsid w:val="00B50AD5"/>
    <w:rsid w:val="00B50B28"/>
    <w:rsid w:val="00B50B5C"/>
    <w:rsid w:val="00B50E28"/>
    <w:rsid w:val="00B50E62"/>
    <w:rsid w:val="00B5109F"/>
    <w:rsid w:val="00B51109"/>
    <w:rsid w:val="00B51145"/>
    <w:rsid w:val="00B514CF"/>
    <w:rsid w:val="00B51539"/>
    <w:rsid w:val="00B5157A"/>
    <w:rsid w:val="00B518D0"/>
    <w:rsid w:val="00B519AE"/>
    <w:rsid w:val="00B51C51"/>
    <w:rsid w:val="00B51E97"/>
    <w:rsid w:val="00B520D8"/>
    <w:rsid w:val="00B5221D"/>
    <w:rsid w:val="00B52351"/>
    <w:rsid w:val="00B523F0"/>
    <w:rsid w:val="00B52524"/>
    <w:rsid w:val="00B528CD"/>
    <w:rsid w:val="00B52E23"/>
    <w:rsid w:val="00B52F2A"/>
    <w:rsid w:val="00B530D5"/>
    <w:rsid w:val="00B53309"/>
    <w:rsid w:val="00B533FC"/>
    <w:rsid w:val="00B53708"/>
    <w:rsid w:val="00B53B74"/>
    <w:rsid w:val="00B53E15"/>
    <w:rsid w:val="00B53E39"/>
    <w:rsid w:val="00B540F0"/>
    <w:rsid w:val="00B54764"/>
    <w:rsid w:val="00B5477A"/>
    <w:rsid w:val="00B547FD"/>
    <w:rsid w:val="00B54C6C"/>
    <w:rsid w:val="00B55102"/>
    <w:rsid w:val="00B55524"/>
    <w:rsid w:val="00B55822"/>
    <w:rsid w:val="00B55F4A"/>
    <w:rsid w:val="00B55F90"/>
    <w:rsid w:val="00B562C8"/>
    <w:rsid w:val="00B564EB"/>
    <w:rsid w:val="00B5653B"/>
    <w:rsid w:val="00B57024"/>
    <w:rsid w:val="00B570BC"/>
    <w:rsid w:val="00B57231"/>
    <w:rsid w:val="00B5732C"/>
    <w:rsid w:val="00B57488"/>
    <w:rsid w:val="00B575BF"/>
    <w:rsid w:val="00B5779E"/>
    <w:rsid w:val="00B577FA"/>
    <w:rsid w:val="00B57B4F"/>
    <w:rsid w:val="00B57F89"/>
    <w:rsid w:val="00B602C1"/>
    <w:rsid w:val="00B605F5"/>
    <w:rsid w:val="00B607A3"/>
    <w:rsid w:val="00B6096B"/>
    <w:rsid w:val="00B609BD"/>
    <w:rsid w:val="00B60DE5"/>
    <w:rsid w:val="00B60E84"/>
    <w:rsid w:val="00B60E87"/>
    <w:rsid w:val="00B60F09"/>
    <w:rsid w:val="00B60F6E"/>
    <w:rsid w:val="00B611D9"/>
    <w:rsid w:val="00B61234"/>
    <w:rsid w:val="00B612EA"/>
    <w:rsid w:val="00B61B2A"/>
    <w:rsid w:val="00B61C66"/>
    <w:rsid w:val="00B61D19"/>
    <w:rsid w:val="00B625FF"/>
    <w:rsid w:val="00B62604"/>
    <w:rsid w:val="00B626E9"/>
    <w:rsid w:val="00B62DF2"/>
    <w:rsid w:val="00B62E22"/>
    <w:rsid w:val="00B63048"/>
    <w:rsid w:val="00B63146"/>
    <w:rsid w:val="00B63171"/>
    <w:rsid w:val="00B63439"/>
    <w:rsid w:val="00B6359A"/>
    <w:rsid w:val="00B6365D"/>
    <w:rsid w:val="00B63749"/>
    <w:rsid w:val="00B637FF"/>
    <w:rsid w:val="00B63AF6"/>
    <w:rsid w:val="00B63B6C"/>
    <w:rsid w:val="00B63DEC"/>
    <w:rsid w:val="00B63E1B"/>
    <w:rsid w:val="00B64105"/>
    <w:rsid w:val="00B64112"/>
    <w:rsid w:val="00B64142"/>
    <w:rsid w:val="00B6426A"/>
    <w:rsid w:val="00B647EC"/>
    <w:rsid w:val="00B6486C"/>
    <w:rsid w:val="00B64CB1"/>
    <w:rsid w:val="00B64D83"/>
    <w:rsid w:val="00B65570"/>
    <w:rsid w:val="00B655E1"/>
    <w:rsid w:val="00B6565B"/>
    <w:rsid w:val="00B6586C"/>
    <w:rsid w:val="00B65BA5"/>
    <w:rsid w:val="00B65BB1"/>
    <w:rsid w:val="00B65C0B"/>
    <w:rsid w:val="00B65C64"/>
    <w:rsid w:val="00B65CB3"/>
    <w:rsid w:val="00B65D04"/>
    <w:rsid w:val="00B65D98"/>
    <w:rsid w:val="00B65F88"/>
    <w:rsid w:val="00B66055"/>
    <w:rsid w:val="00B660B4"/>
    <w:rsid w:val="00B6620B"/>
    <w:rsid w:val="00B66312"/>
    <w:rsid w:val="00B66401"/>
    <w:rsid w:val="00B66665"/>
    <w:rsid w:val="00B666D1"/>
    <w:rsid w:val="00B668D6"/>
    <w:rsid w:val="00B66A87"/>
    <w:rsid w:val="00B66C97"/>
    <w:rsid w:val="00B66D48"/>
    <w:rsid w:val="00B66FA7"/>
    <w:rsid w:val="00B66FE6"/>
    <w:rsid w:val="00B672F1"/>
    <w:rsid w:val="00B67482"/>
    <w:rsid w:val="00B67516"/>
    <w:rsid w:val="00B678B4"/>
    <w:rsid w:val="00B67C84"/>
    <w:rsid w:val="00B67E92"/>
    <w:rsid w:val="00B67EA1"/>
    <w:rsid w:val="00B70803"/>
    <w:rsid w:val="00B70C81"/>
    <w:rsid w:val="00B712D0"/>
    <w:rsid w:val="00B71378"/>
    <w:rsid w:val="00B71387"/>
    <w:rsid w:val="00B71782"/>
    <w:rsid w:val="00B719B4"/>
    <w:rsid w:val="00B71CA1"/>
    <w:rsid w:val="00B71EA9"/>
    <w:rsid w:val="00B721E9"/>
    <w:rsid w:val="00B722FC"/>
    <w:rsid w:val="00B723E3"/>
    <w:rsid w:val="00B72C6E"/>
    <w:rsid w:val="00B72D66"/>
    <w:rsid w:val="00B72E69"/>
    <w:rsid w:val="00B72E9F"/>
    <w:rsid w:val="00B72F04"/>
    <w:rsid w:val="00B72F64"/>
    <w:rsid w:val="00B73045"/>
    <w:rsid w:val="00B7326F"/>
    <w:rsid w:val="00B73374"/>
    <w:rsid w:val="00B736BF"/>
    <w:rsid w:val="00B73828"/>
    <w:rsid w:val="00B73AD3"/>
    <w:rsid w:val="00B73C87"/>
    <w:rsid w:val="00B73E44"/>
    <w:rsid w:val="00B744ED"/>
    <w:rsid w:val="00B746DD"/>
    <w:rsid w:val="00B747DA"/>
    <w:rsid w:val="00B74CEC"/>
    <w:rsid w:val="00B74E62"/>
    <w:rsid w:val="00B75061"/>
    <w:rsid w:val="00B750C2"/>
    <w:rsid w:val="00B75217"/>
    <w:rsid w:val="00B75624"/>
    <w:rsid w:val="00B757E5"/>
    <w:rsid w:val="00B757EB"/>
    <w:rsid w:val="00B758A5"/>
    <w:rsid w:val="00B75917"/>
    <w:rsid w:val="00B75995"/>
    <w:rsid w:val="00B75BE9"/>
    <w:rsid w:val="00B75C13"/>
    <w:rsid w:val="00B75D62"/>
    <w:rsid w:val="00B760E6"/>
    <w:rsid w:val="00B76162"/>
    <w:rsid w:val="00B76551"/>
    <w:rsid w:val="00B76579"/>
    <w:rsid w:val="00B766A8"/>
    <w:rsid w:val="00B76A57"/>
    <w:rsid w:val="00B76D12"/>
    <w:rsid w:val="00B770B5"/>
    <w:rsid w:val="00B7742C"/>
    <w:rsid w:val="00B77855"/>
    <w:rsid w:val="00B77953"/>
    <w:rsid w:val="00B77AD3"/>
    <w:rsid w:val="00B77C86"/>
    <w:rsid w:val="00B77E8C"/>
    <w:rsid w:val="00B8001F"/>
    <w:rsid w:val="00B80772"/>
    <w:rsid w:val="00B80795"/>
    <w:rsid w:val="00B808FD"/>
    <w:rsid w:val="00B80B74"/>
    <w:rsid w:val="00B80D01"/>
    <w:rsid w:val="00B80D54"/>
    <w:rsid w:val="00B80FC2"/>
    <w:rsid w:val="00B81363"/>
    <w:rsid w:val="00B81437"/>
    <w:rsid w:val="00B8159A"/>
    <w:rsid w:val="00B81624"/>
    <w:rsid w:val="00B81ACB"/>
    <w:rsid w:val="00B81E45"/>
    <w:rsid w:val="00B81F38"/>
    <w:rsid w:val="00B81FB4"/>
    <w:rsid w:val="00B82206"/>
    <w:rsid w:val="00B82819"/>
    <w:rsid w:val="00B82901"/>
    <w:rsid w:val="00B82997"/>
    <w:rsid w:val="00B8299C"/>
    <w:rsid w:val="00B82A51"/>
    <w:rsid w:val="00B82CC6"/>
    <w:rsid w:val="00B82D59"/>
    <w:rsid w:val="00B82EE4"/>
    <w:rsid w:val="00B8301F"/>
    <w:rsid w:val="00B83099"/>
    <w:rsid w:val="00B83181"/>
    <w:rsid w:val="00B83324"/>
    <w:rsid w:val="00B833DA"/>
    <w:rsid w:val="00B83497"/>
    <w:rsid w:val="00B83686"/>
    <w:rsid w:val="00B83B62"/>
    <w:rsid w:val="00B83D0D"/>
    <w:rsid w:val="00B83D9B"/>
    <w:rsid w:val="00B84371"/>
    <w:rsid w:val="00B84376"/>
    <w:rsid w:val="00B843D3"/>
    <w:rsid w:val="00B847CA"/>
    <w:rsid w:val="00B84A95"/>
    <w:rsid w:val="00B84BE2"/>
    <w:rsid w:val="00B84D1B"/>
    <w:rsid w:val="00B84F3F"/>
    <w:rsid w:val="00B85060"/>
    <w:rsid w:val="00B8535F"/>
    <w:rsid w:val="00B8546E"/>
    <w:rsid w:val="00B854B5"/>
    <w:rsid w:val="00B85505"/>
    <w:rsid w:val="00B85882"/>
    <w:rsid w:val="00B85AC7"/>
    <w:rsid w:val="00B8647F"/>
    <w:rsid w:val="00B864A5"/>
    <w:rsid w:val="00B86543"/>
    <w:rsid w:val="00B865F3"/>
    <w:rsid w:val="00B8665B"/>
    <w:rsid w:val="00B86808"/>
    <w:rsid w:val="00B86982"/>
    <w:rsid w:val="00B8698C"/>
    <w:rsid w:val="00B86BE6"/>
    <w:rsid w:val="00B86C7F"/>
    <w:rsid w:val="00B86F01"/>
    <w:rsid w:val="00B8743A"/>
    <w:rsid w:val="00B87719"/>
    <w:rsid w:val="00B87782"/>
    <w:rsid w:val="00B878CD"/>
    <w:rsid w:val="00B87C6C"/>
    <w:rsid w:val="00B903F4"/>
    <w:rsid w:val="00B90401"/>
    <w:rsid w:val="00B909DD"/>
    <w:rsid w:val="00B911D1"/>
    <w:rsid w:val="00B912D6"/>
    <w:rsid w:val="00B91386"/>
    <w:rsid w:val="00B9167A"/>
    <w:rsid w:val="00B917B4"/>
    <w:rsid w:val="00B91A9A"/>
    <w:rsid w:val="00B91C6C"/>
    <w:rsid w:val="00B91CB1"/>
    <w:rsid w:val="00B91D36"/>
    <w:rsid w:val="00B91DD6"/>
    <w:rsid w:val="00B92150"/>
    <w:rsid w:val="00B9217D"/>
    <w:rsid w:val="00B9221D"/>
    <w:rsid w:val="00B92302"/>
    <w:rsid w:val="00B9249B"/>
    <w:rsid w:val="00B9270E"/>
    <w:rsid w:val="00B92820"/>
    <w:rsid w:val="00B9305E"/>
    <w:rsid w:val="00B930AA"/>
    <w:rsid w:val="00B934D5"/>
    <w:rsid w:val="00B93526"/>
    <w:rsid w:val="00B93A47"/>
    <w:rsid w:val="00B93D8D"/>
    <w:rsid w:val="00B93DFB"/>
    <w:rsid w:val="00B93E3A"/>
    <w:rsid w:val="00B940D4"/>
    <w:rsid w:val="00B94167"/>
    <w:rsid w:val="00B9432F"/>
    <w:rsid w:val="00B94609"/>
    <w:rsid w:val="00B9466B"/>
    <w:rsid w:val="00B94704"/>
    <w:rsid w:val="00B94A42"/>
    <w:rsid w:val="00B94B8F"/>
    <w:rsid w:val="00B94BDE"/>
    <w:rsid w:val="00B94EF1"/>
    <w:rsid w:val="00B94F91"/>
    <w:rsid w:val="00B9536C"/>
    <w:rsid w:val="00B9545E"/>
    <w:rsid w:val="00B954E7"/>
    <w:rsid w:val="00B955C3"/>
    <w:rsid w:val="00B958BD"/>
    <w:rsid w:val="00B95A18"/>
    <w:rsid w:val="00B95C66"/>
    <w:rsid w:val="00B95CB3"/>
    <w:rsid w:val="00B95CFB"/>
    <w:rsid w:val="00B95D77"/>
    <w:rsid w:val="00B96299"/>
    <w:rsid w:val="00B96797"/>
    <w:rsid w:val="00B969AB"/>
    <w:rsid w:val="00B96BEB"/>
    <w:rsid w:val="00B96D12"/>
    <w:rsid w:val="00B97049"/>
    <w:rsid w:val="00B9725B"/>
    <w:rsid w:val="00B9734A"/>
    <w:rsid w:val="00B973C4"/>
    <w:rsid w:val="00B97839"/>
    <w:rsid w:val="00B97B2C"/>
    <w:rsid w:val="00B97D12"/>
    <w:rsid w:val="00B97D75"/>
    <w:rsid w:val="00B97F15"/>
    <w:rsid w:val="00BA00E6"/>
    <w:rsid w:val="00BA01B3"/>
    <w:rsid w:val="00BA0245"/>
    <w:rsid w:val="00BA0399"/>
    <w:rsid w:val="00BA0B50"/>
    <w:rsid w:val="00BA0DBF"/>
    <w:rsid w:val="00BA0DCD"/>
    <w:rsid w:val="00BA15D0"/>
    <w:rsid w:val="00BA16AD"/>
    <w:rsid w:val="00BA19C4"/>
    <w:rsid w:val="00BA19F4"/>
    <w:rsid w:val="00BA1AC8"/>
    <w:rsid w:val="00BA1CB2"/>
    <w:rsid w:val="00BA1F77"/>
    <w:rsid w:val="00BA1FFB"/>
    <w:rsid w:val="00BA22D1"/>
    <w:rsid w:val="00BA2391"/>
    <w:rsid w:val="00BA2ADF"/>
    <w:rsid w:val="00BA2AE0"/>
    <w:rsid w:val="00BA2B3F"/>
    <w:rsid w:val="00BA2C45"/>
    <w:rsid w:val="00BA2EA4"/>
    <w:rsid w:val="00BA3138"/>
    <w:rsid w:val="00BA3246"/>
    <w:rsid w:val="00BA3379"/>
    <w:rsid w:val="00BA34A2"/>
    <w:rsid w:val="00BA34DF"/>
    <w:rsid w:val="00BA370D"/>
    <w:rsid w:val="00BA3968"/>
    <w:rsid w:val="00BA39DD"/>
    <w:rsid w:val="00BA3A6D"/>
    <w:rsid w:val="00BA3A9C"/>
    <w:rsid w:val="00BA3C0C"/>
    <w:rsid w:val="00BA4176"/>
    <w:rsid w:val="00BA4922"/>
    <w:rsid w:val="00BA4A39"/>
    <w:rsid w:val="00BA4DB6"/>
    <w:rsid w:val="00BA4E3E"/>
    <w:rsid w:val="00BA4E45"/>
    <w:rsid w:val="00BA4E55"/>
    <w:rsid w:val="00BA4F87"/>
    <w:rsid w:val="00BA5504"/>
    <w:rsid w:val="00BA5508"/>
    <w:rsid w:val="00BA579A"/>
    <w:rsid w:val="00BA59FB"/>
    <w:rsid w:val="00BA5A90"/>
    <w:rsid w:val="00BA5B89"/>
    <w:rsid w:val="00BA5E9D"/>
    <w:rsid w:val="00BA616F"/>
    <w:rsid w:val="00BA61B0"/>
    <w:rsid w:val="00BA6528"/>
    <w:rsid w:val="00BA6926"/>
    <w:rsid w:val="00BA6B8A"/>
    <w:rsid w:val="00BA6ED6"/>
    <w:rsid w:val="00BA74B1"/>
    <w:rsid w:val="00BA7546"/>
    <w:rsid w:val="00BA7659"/>
    <w:rsid w:val="00BA7AEC"/>
    <w:rsid w:val="00BA7AF6"/>
    <w:rsid w:val="00BA7B7C"/>
    <w:rsid w:val="00BB0258"/>
    <w:rsid w:val="00BB0298"/>
    <w:rsid w:val="00BB0372"/>
    <w:rsid w:val="00BB0545"/>
    <w:rsid w:val="00BB07E3"/>
    <w:rsid w:val="00BB0AA2"/>
    <w:rsid w:val="00BB1056"/>
    <w:rsid w:val="00BB140A"/>
    <w:rsid w:val="00BB14A3"/>
    <w:rsid w:val="00BB14EF"/>
    <w:rsid w:val="00BB15D7"/>
    <w:rsid w:val="00BB179C"/>
    <w:rsid w:val="00BB19BC"/>
    <w:rsid w:val="00BB19DC"/>
    <w:rsid w:val="00BB1B85"/>
    <w:rsid w:val="00BB1C85"/>
    <w:rsid w:val="00BB1CD0"/>
    <w:rsid w:val="00BB2041"/>
    <w:rsid w:val="00BB2355"/>
    <w:rsid w:val="00BB25CE"/>
    <w:rsid w:val="00BB2FC2"/>
    <w:rsid w:val="00BB3100"/>
    <w:rsid w:val="00BB3111"/>
    <w:rsid w:val="00BB320F"/>
    <w:rsid w:val="00BB3365"/>
    <w:rsid w:val="00BB34CB"/>
    <w:rsid w:val="00BB35AA"/>
    <w:rsid w:val="00BB35FF"/>
    <w:rsid w:val="00BB36D3"/>
    <w:rsid w:val="00BB384F"/>
    <w:rsid w:val="00BB3BCC"/>
    <w:rsid w:val="00BB3BE6"/>
    <w:rsid w:val="00BB3D48"/>
    <w:rsid w:val="00BB3F9B"/>
    <w:rsid w:val="00BB4B8A"/>
    <w:rsid w:val="00BB4CD7"/>
    <w:rsid w:val="00BB4F97"/>
    <w:rsid w:val="00BB5158"/>
    <w:rsid w:val="00BB5208"/>
    <w:rsid w:val="00BB54C7"/>
    <w:rsid w:val="00BB5606"/>
    <w:rsid w:val="00BB578D"/>
    <w:rsid w:val="00BB5911"/>
    <w:rsid w:val="00BB5B25"/>
    <w:rsid w:val="00BB5C23"/>
    <w:rsid w:val="00BB5C9C"/>
    <w:rsid w:val="00BB5F98"/>
    <w:rsid w:val="00BB6024"/>
    <w:rsid w:val="00BB6835"/>
    <w:rsid w:val="00BB6E67"/>
    <w:rsid w:val="00BB7248"/>
    <w:rsid w:val="00BB76C9"/>
    <w:rsid w:val="00BB7705"/>
    <w:rsid w:val="00BB79A3"/>
    <w:rsid w:val="00BB7C33"/>
    <w:rsid w:val="00BB7C58"/>
    <w:rsid w:val="00BB7CB4"/>
    <w:rsid w:val="00BB7CF8"/>
    <w:rsid w:val="00BC004C"/>
    <w:rsid w:val="00BC00FE"/>
    <w:rsid w:val="00BC0162"/>
    <w:rsid w:val="00BC0782"/>
    <w:rsid w:val="00BC09AF"/>
    <w:rsid w:val="00BC0B49"/>
    <w:rsid w:val="00BC0BC4"/>
    <w:rsid w:val="00BC0C4E"/>
    <w:rsid w:val="00BC0F6F"/>
    <w:rsid w:val="00BC11B5"/>
    <w:rsid w:val="00BC15DE"/>
    <w:rsid w:val="00BC17C8"/>
    <w:rsid w:val="00BC18AF"/>
    <w:rsid w:val="00BC18E8"/>
    <w:rsid w:val="00BC1C41"/>
    <w:rsid w:val="00BC1F02"/>
    <w:rsid w:val="00BC2050"/>
    <w:rsid w:val="00BC2619"/>
    <w:rsid w:val="00BC269D"/>
    <w:rsid w:val="00BC2B55"/>
    <w:rsid w:val="00BC2DC8"/>
    <w:rsid w:val="00BC34E1"/>
    <w:rsid w:val="00BC369C"/>
    <w:rsid w:val="00BC375B"/>
    <w:rsid w:val="00BC3990"/>
    <w:rsid w:val="00BC3D4C"/>
    <w:rsid w:val="00BC4512"/>
    <w:rsid w:val="00BC4682"/>
    <w:rsid w:val="00BC4972"/>
    <w:rsid w:val="00BC4CB0"/>
    <w:rsid w:val="00BC4DDE"/>
    <w:rsid w:val="00BC50BC"/>
    <w:rsid w:val="00BC50EF"/>
    <w:rsid w:val="00BC510C"/>
    <w:rsid w:val="00BC51A0"/>
    <w:rsid w:val="00BC5379"/>
    <w:rsid w:val="00BC53AF"/>
    <w:rsid w:val="00BC5488"/>
    <w:rsid w:val="00BC5AE8"/>
    <w:rsid w:val="00BC5BC9"/>
    <w:rsid w:val="00BC5DBC"/>
    <w:rsid w:val="00BC5EFD"/>
    <w:rsid w:val="00BC5F36"/>
    <w:rsid w:val="00BC61E0"/>
    <w:rsid w:val="00BC627E"/>
    <w:rsid w:val="00BC6332"/>
    <w:rsid w:val="00BC6485"/>
    <w:rsid w:val="00BC64E1"/>
    <w:rsid w:val="00BC6534"/>
    <w:rsid w:val="00BC6761"/>
    <w:rsid w:val="00BC6897"/>
    <w:rsid w:val="00BC68F5"/>
    <w:rsid w:val="00BC6AA5"/>
    <w:rsid w:val="00BC6B79"/>
    <w:rsid w:val="00BC6BAD"/>
    <w:rsid w:val="00BC6C53"/>
    <w:rsid w:val="00BC73BC"/>
    <w:rsid w:val="00BC79EE"/>
    <w:rsid w:val="00BC7A7E"/>
    <w:rsid w:val="00BC7B70"/>
    <w:rsid w:val="00BC7B77"/>
    <w:rsid w:val="00BC7BE9"/>
    <w:rsid w:val="00BC7CDB"/>
    <w:rsid w:val="00BC7E4E"/>
    <w:rsid w:val="00BC7EB0"/>
    <w:rsid w:val="00BD0045"/>
    <w:rsid w:val="00BD00BF"/>
    <w:rsid w:val="00BD029E"/>
    <w:rsid w:val="00BD099A"/>
    <w:rsid w:val="00BD0A8A"/>
    <w:rsid w:val="00BD0C42"/>
    <w:rsid w:val="00BD0C69"/>
    <w:rsid w:val="00BD0C98"/>
    <w:rsid w:val="00BD0FF2"/>
    <w:rsid w:val="00BD1272"/>
    <w:rsid w:val="00BD1550"/>
    <w:rsid w:val="00BD18ED"/>
    <w:rsid w:val="00BD1B8D"/>
    <w:rsid w:val="00BD1DEF"/>
    <w:rsid w:val="00BD245A"/>
    <w:rsid w:val="00BD283F"/>
    <w:rsid w:val="00BD2877"/>
    <w:rsid w:val="00BD2BC2"/>
    <w:rsid w:val="00BD2D83"/>
    <w:rsid w:val="00BD33D4"/>
    <w:rsid w:val="00BD3614"/>
    <w:rsid w:val="00BD3A11"/>
    <w:rsid w:val="00BD3CCB"/>
    <w:rsid w:val="00BD40B1"/>
    <w:rsid w:val="00BD40EF"/>
    <w:rsid w:val="00BD418F"/>
    <w:rsid w:val="00BD4314"/>
    <w:rsid w:val="00BD4610"/>
    <w:rsid w:val="00BD4DD4"/>
    <w:rsid w:val="00BD4F82"/>
    <w:rsid w:val="00BD5013"/>
    <w:rsid w:val="00BD510F"/>
    <w:rsid w:val="00BD5424"/>
    <w:rsid w:val="00BD5604"/>
    <w:rsid w:val="00BD597E"/>
    <w:rsid w:val="00BD5B57"/>
    <w:rsid w:val="00BD5C87"/>
    <w:rsid w:val="00BD5CB3"/>
    <w:rsid w:val="00BD5DCF"/>
    <w:rsid w:val="00BD5EE0"/>
    <w:rsid w:val="00BD5F38"/>
    <w:rsid w:val="00BD610B"/>
    <w:rsid w:val="00BD6474"/>
    <w:rsid w:val="00BD6492"/>
    <w:rsid w:val="00BD657B"/>
    <w:rsid w:val="00BD6A5D"/>
    <w:rsid w:val="00BD70C3"/>
    <w:rsid w:val="00BD723E"/>
    <w:rsid w:val="00BD771E"/>
    <w:rsid w:val="00BD779C"/>
    <w:rsid w:val="00BD781E"/>
    <w:rsid w:val="00BD7869"/>
    <w:rsid w:val="00BD7CDC"/>
    <w:rsid w:val="00BD7D11"/>
    <w:rsid w:val="00BE002B"/>
    <w:rsid w:val="00BE003F"/>
    <w:rsid w:val="00BE09BD"/>
    <w:rsid w:val="00BE0B95"/>
    <w:rsid w:val="00BE0BA1"/>
    <w:rsid w:val="00BE0BB5"/>
    <w:rsid w:val="00BE123B"/>
    <w:rsid w:val="00BE1346"/>
    <w:rsid w:val="00BE162A"/>
    <w:rsid w:val="00BE16E6"/>
    <w:rsid w:val="00BE1ADD"/>
    <w:rsid w:val="00BE1D55"/>
    <w:rsid w:val="00BE1DCD"/>
    <w:rsid w:val="00BE1ED5"/>
    <w:rsid w:val="00BE2117"/>
    <w:rsid w:val="00BE23D6"/>
    <w:rsid w:val="00BE2471"/>
    <w:rsid w:val="00BE25DD"/>
    <w:rsid w:val="00BE26BB"/>
    <w:rsid w:val="00BE28D9"/>
    <w:rsid w:val="00BE2A3E"/>
    <w:rsid w:val="00BE2AFA"/>
    <w:rsid w:val="00BE2C9E"/>
    <w:rsid w:val="00BE2CA2"/>
    <w:rsid w:val="00BE3570"/>
    <w:rsid w:val="00BE3642"/>
    <w:rsid w:val="00BE36F8"/>
    <w:rsid w:val="00BE392A"/>
    <w:rsid w:val="00BE3C66"/>
    <w:rsid w:val="00BE4153"/>
    <w:rsid w:val="00BE4236"/>
    <w:rsid w:val="00BE4460"/>
    <w:rsid w:val="00BE45BB"/>
    <w:rsid w:val="00BE472D"/>
    <w:rsid w:val="00BE47B1"/>
    <w:rsid w:val="00BE47BF"/>
    <w:rsid w:val="00BE4927"/>
    <w:rsid w:val="00BE4A7B"/>
    <w:rsid w:val="00BE4C50"/>
    <w:rsid w:val="00BE4DCB"/>
    <w:rsid w:val="00BE4E1E"/>
    <w:rsid w:val="00BE4F80"/>
    <w:rsid w:val="00BE4FB0"/>
    <w:rsid w:val="00BE5374"/>
    <w:rsid w:val="00BE5E33"/>
    <w:rsid w:val="00BE5FEA"/>
    <w:rsid w:val="00BE60EF"/>
    <w:rsid w:val="00BE627A"/>
    <w:rsid w:val="00BE62CA"/>
    <w:rsid w:val="00BE633A"/>
    <w:rsid w:val="00BE659D"/>
    <w:rsid w:val="00BE6792"/>
    <w:rsid w:val="00BE681D"/>
    <w:rsid w:val="00BE6960"/>
    <w:rsid w:val="00BE69BC"/>
    <w:rsid w:val="00BE6A55"/>
    <w:rsid w:val="00BE6A73"/>
    <w:rsid w:val="00BE6BD8"/>
    <w:rsid w:val="00BE6CE8"/>
    <w:rsid w:val="00BE72E9"/>
    <w:rsid w:val="00BE7375"/>
    <w:rsid w:val="00BE7448"/>
    <w:rsid w:val="00BE74C1"/>
    <w:rsid w:val="00BE76A4"/>
    <w:rsid w:val="00BE77A0"/>
    <w:rsid w:val="00BE780D"/>
    <w:rsid w:val="00BE7A50"/>
    <w:rsid w:val="00BE7A8F"/>
    <w:rsid w:val="00BE7D3F"/>
    <w:rsid w:val="00BE7FE2"/>
    <w:rsid w:val="00BF0390"/>
    <w:rsid w:val="00BF03F9"/>
    <w:rsid w:val="00BF05A8"/>
    <w:rsid w:val="00BF06C4"/>
    <w:rsid w:val="00BF0AB1"/>
    <w:rsid w:val="00BF0B39"/>
    <w:rsid w:val="00BF0E87"/>
    <w:rsid w:val="00BF0EC0"/>
    <w:rsid w:val="00BF104E"/>
    <w:rsid w:val="00BF109A"/>
    <w:rsid w:val="00BF1134"/>
    <w:rsid w:val="00BF11D4"/>
    <w:rsid w:val="00BF1293"/>
    <w:rsid w:val="00BF14DF"/>
    <w:rsid w:val="00BF16FE"/>
    <w:rsid w:val="00BF18A6"/>
    <w:rsid w:val="00BF19DB"/>
    <w:rsid w:val="00BF1A0D"/>
    <w:rsid w:val="00BF1AD4"/>
    <w:rsid w:val="00BF1AFB"/>
    <w:rsid w:val="00BF1BB5"/>
    <w:rsid w:val="00BF1E12"/>
    <w:rsid w:val="00BF1E4F"/>
    <w:rsid w:val="00BF203B"/>
    <w:rsid w:val="00BF20A8"/>
    <w:rsid w:val="00BF23CE"/>
    <w:rsid w:val="00BF27B3"/>
    <w:rsid w:val="00BF3029"/>
    <w:rsid w:val="00BF3185"/>
    <w:rsid w:val="00BF33BE"/>
    <w:rsid w:val="00BF3774"/>
    <w:rsid w:val="00BF3FE1"/>
    <w:rsid w:val="00BF41BA"/>
    <w:rsid w:val="00BF4413"/>
    <w:rsid w:val="00BF446B"/>
    <w:rsid w:val="00BF4B8F"/>
    <w:rsid w:val="00BF50D0"/>
    <w:rsid w:val="00BF50DF"/>
    <w:rsid w:val="00BF5149"/>
    <w:rsid w:val="00BF5286"/>
    <w:rsid w:val="00BF52DB"/>
    <w:rsid w:val="00BF53CD"/>
    <w:rsid w:val="00BF547B"/>
    <w:rsid w:val="00BF5B31"/>
    <w:rsid w:val="00BF5B5E"/>
    <w:rsid w:val="00BF5D0E"/>
    <w:rsid w:val="00BF5ED8"/>
    <w:rsid w:val="00BF5FD1"/>
    <w:rsid w:val="00BF664B"/>
    <w:rsid w:val="00BF6D97"/>
    <w:rsid w:val="00BF6DD9"/>
    <w:rsid w:val="00BF7067"/>
    <w:rsid w:val="00BF70CE"/>
    <w:rsid w:val="00BF75C9"/>
    <w:rsid w:val="00BF77FF"/>
    <w:rsid w:val="00BF7826"/>
    <w:rsid w:val="00BF7842"/>
    <w:rsid w:val="00BF784F"/>
    <w:rsid w:val="00BF7B9F"/>
    <w:rsid w:val="00BF7C51"/>
    <w:rsid w:val="00BF7C54"/>
    <w:rsid w:val="00C00078"/>
    <w:rsid w:val="00C00401"/>
    <w:rsid w:val="00C00436"/>
    <w:rsid w:val="00C0057F"/>
    <w:rsid w:val="00C00AB5"/>
    <w:rsid w:val="00C00C15"/>
    <w:rsid w:val="00C00CF9"/>
    <w:rsid w:val="00C0122A"/>
    <w:rsid w:val="00C01253"/>
    <w:rsid w:val="00C014E1"/>
    <w:rsid w:val="00C0176F"/>
    <w:rsid w:val="00C01951"/>
    <w:rsid w:val="00C019DF"/>
    <w:rsid w:val="00C01A09"/>
    <w:rsid w:val="00C01A8E"/>
    <w:rsid w:val="00C01BB8"/>
    <w:rsid w:val="00C01CF1"/>
    <w:rsid w:val="00C01D5F"/>
    <w:rsid w:val="00C01DFD"/>
    <w:rsid w:val="00C01E01"/>
    <w:rsid w:val="00C01E49"/>
    <w:rsid w:val="00C01EC5"/>
    <w:rsid w:val="00C01F5A"/>
    <w:rsid w:val="00C02016"/>
    <w:rsid w:val="00C023DF"/>
    <w:rsid w:val="00C02DF0"/>
    <w:rsid w:val="00C031C3"/>
    <w:rsid w:val="00C0345A"/>
    <w:rsid w:val="00C03511"/>
    <w:rsid w:val="00C03691"/>
    <w:rsid w:val="00C036BD"/>
    <w:rsid w:val="00C038A9"/>
    <w:rsid w:val="00C03A3B"/>
    <w:rsid w:val="00C03AE9"/>
    <w:rsid w:val="00C03D33"/>
    <w:rsid w:val="00C03E1F"/>
    <w:rsid w:val="00C040D1"/>
    <w:rsid w:val="00C0421F"/>
    <w:rsid w:val="00C04349"/>
    <w:rsid w:val="00C04642"/>
    <w:rsid w:val="00C04673"/>
    <w:rsid w:val="00C046C9"/>
    <w:rsid w:val="00C0497B"/>
    <w:rsid w:val="00C04C3A"/>
    <w:rsid w:val="00C04ED1"/>
    <w:rsid w:val="00C04F29"/>
    <w:rsid w:val="00C050D0"/>
    <w:rsid w:val="00C05202"/>
    <w:rsid w:val="00C053E7"/>
    <w:rsid w:val="00C0545D"/>
    <w:rsid w:val="00C05700"/>
    <w:rsid w:val="00C05710"/>
    <w:rsid w:val="00C05751"/>
    <w:rsid w:val="00C05970"/>
    <w:rsid w:val="00C05A03"/>
    <w:rsid w:val="00C05A11"/>
    <w:rsid w:val="00C05F22"/>
    <w:rsid w:val="00C06131"/>
    <w:rsid w:val="00C0629B"/>
    <w:rsid w:val="00C062EC"/>
    <w:rsid w:val="00C0657A"/>
    <w:rsid w:val="00C0671E"/>
    <w:rsid w:val="00C0690D"/>
    <w:rsid w:val="00C06AC7"/>
    <w:rsid w:val="00C06C29"/>
    <w:rsid w:val="00C07012"/>
    <w:rsid w:val="00C070BC"/>
    <w:rsid w:val="00C072B8"/>
    <w:rsid w:val="00C07474"/>
    <w:rsid w:val="00C074CD"/>
    <w:rsid w:val="00C0760A"/>
    <w:rsid w:val="00C0784C"/>
    <w:rsid w:val="00C07AD9"/>
    <w:rsid w:val="00C07CBB"/>
    <w:rsid w:val="00C07D4B"/>
    <w:rsid w:val="00C07D82"/>
    <w:rsid w:val="00C10014"/>
    <w:rsid w:val="00C10072"/>
    <w:rsid w:val="00C1020C"/>
    <w:rsid w:val="00C103C6"/>
    <w:rsid w:val="00C10625"/>
    <w:rsid w:val="00C1068E"/>
    <w:rsid w:val="00C106A3"/>
    <w:rsid w:val="00C106BB"/>
    <w:rsid w:val="00C107C3"/>
    <w:rsid w:val="00C1090F"/>
    <w:rsid w:val="00C109E4"/>
    <w:rsid w:val="00C10D13"/>
    <w:rsid w:val="00C10F4B"/>
    <w:rsid w:val="00C11244"/>
    <w:rsid w:val="00C11341"/>
    <w:rsid w:val="00C115F7"/>
    <w:rsid w:val="00C11C1F"/>
    <w:rsid w:val="00C11CE8"/>
    <w:rsid w:val="00C12073"/>
    <w:rsid w:val="00C12129"/>
    <w:rsid w:val="00C12503"/>
    <w:rsid w:val="00C12EEE"/>
    <w:rsid w:val="00C13321"/>
    <w:rsid w:val="00C13520"/>
    <w:rsid w:val="00C1360A"/>
    <w:rsid w:val="00C1386E"/>
    <w:rsid w:val="00C13A26"/>
    <w:rsid w:val="00C13AAC"/>
    <w:rsid w:val="00C13F46"/>
    <w:rsid w:val="00C13F86"/>
    <w:rsid w:val="00C14622"/>
    <w:rsid w:val="00C146FF"/>
    <w:rsid w:val="00C1474A"/>
    <w:rsid w:val="00C14808"/>
    <w:rsid w:val="00C1498B"/>
    <w:rsid w:val="00C14CAA"/>
    <w:rsid w:val="00C14F9B"/>
    <w:rsid w:val="00C14FAB"/>
    <w:rsid w:val="00C150A4"/>
    <w:rsid w:val="00C150CE"/>
    <w:rsid w:val="00C1522D"/>
    <w:rsid w:val="00C1524F"/>
    <w:rsid w:val="00C15279"/>
    <w:rsid w:val="00C153A5"/>
    <w:rsid w:val="00C15555"/>
    <w:rsid w:val="00C156EE"/>
    <w:rsid w:val="00C15DA5"/>
    <w:rsid w:val="00C15F42"/>
    <w:rsid w:val="00C15F7A"/>
    <w:rsid w:val="00C1610B"/>
    <w:rsid w:val="00C1611D"/>
    <w:rsid w:val="00C16963"/>
    <w:rsid w:val="00C16987"/>
    <w:rsid w:val="00C16A59"/>
    <w:rsid w:val="00C16A80"/>
    <w:rsid w:val="00C16B7E"/>
    <w:rsid w:val="00C16C96"/>
    <w:rsid w:val="00C16C9A"/>
    <w:rsid w:val="00C173BE"/>
    <w:rsid w:val="00C174CE"/>
    <w:rsid w:val="00C175E4"/>
    <w:rsid w:val="00C17CC1"/>
    <w:rsid w:val="00C17D78"/>
    <w:rsid w:val="00C17EFF"/>
    <w:rsid w:val="00C20318"/>
    <w:rsid w:val="00C203B6"/>
    <w:rsid w:val="00C20881"/>
    <w:rsid w:val="00C20999"/>
    <w:rsid w:val="00C20BA5"/>
    <w:rsid w:val="00C20C1B"/>
    <w:rsid w:val="00C20C5A"/>
    <w:rsid w:val="00C20DA5"/>
    <w:rsid w:val="00C20FEE"/>
    <w:rsid w:val="00C21013"/>
    <w:rsid w:val="00C21104"/>
    <w:rsid w:val="00C2111D"/>
    <w:rsid w:val="00C217C4"/>
    <w:rsid w:val="00C21D0A"/>
    <w:rsid w:val="00C22258"/>
    <w:rsid w:val="00C222C8"/>
    <w:rsid w:val="00C22349"/>
    <w:rsid w:val="00C22460"/>
    <w:rsid w:val="00C22570"/>
    <w:rsid w:val="00C226B3"/>
    <w:rsid w:val="00C22771"/>
    <w:rsid w:val="00C2294E"/>
    <w:rsid w:val="00C2298F"/>
    <w:rsid w:val="00C22B2E"/>
    <w:rsid w:val="00C231DB"/>
    <w:rsid w:val="00C23294"/>
    <w:rsid w:val="00C232E0"/>
    <w:rsid w:val="00C23870"/>
    <w:rsid w:val="00C23A97"/>
    <w:rsid w:val="00C23E40"/>
    <w:rsid w:val="00C23E86"/>
    <w:rsid w:val="00C23F3A"/>
    <w:rsid w:val="00C2433D"/>
    <w:rsid w:val="00C24366"/>
    <w:rsid w:val="00C244B0"/>
    <w:rsid w:val="00C2459D"/>
    <w:rsid w:val="00C24AB9"/>
    <w:rsid w:val="00C24B5E"/>
    <w:rsid w:val="00C24C7C"/>
    <w:rsid w:val="00C24E53"/>
    <w:rsid w:val="00C250AE"/>
    <w:rsid w:val="00C2534F"/>
    <w:rsid w:val="00C25542"/>
    <w:rsid w:val="00C25573"/>
    <w:rsid w:val="00C25574"/>
    <w:rsid w:val="00C25A26"/>
    <w:rsid w:val="00C25C58"/>
    <w:rsid w:val="00C26104"/>
    <w:rsid w:val="00C263E2"/>
    <w:rsid w:val="00C26499"/>
    <w:rsid w:val="00C2660B"/>
    <w:rsid w:val="00C266F7"/>
    <w:rsid w:val="00C26B5B"/>
    <w:rsid w:val="00C26C3E"/>
    <w:rsid w:val="00C26CEB"/>
    <w:rsid w:val="00C27507"/>
    <w:rsid w:val="00C277B7"/>
    <w:rsid w:val="00C278D6"/>
    <w:rsid w:val="00C27C07"/>
    <w:rsid w:val="00C27C3C"/>
    <w:rsid w:val="00C27C5C"/>
    <w:rsid w:val="00C27CD6"/>
    <w:rsid w:val="00C27D6E"/>
    <w:rsid w:val="00C27DAD"/>
    <w:rsid w:val="00C27EC0"/>
    <w:rsid w:val="00C27EDA"/>
    <w:rsid w:val="00C27F23"/>
    <w:rsid w:val="00C30058"/>
    <w:rsid w:val="00C30316"/>
    <w:rsid w:val="00C304BF"/>
    <w:rsid w:val="00C30537"/>
    <w:rsid w:val="00C305DE"/>
    <w:rsid w:val="00C30670"/>
    <w:rsid w:val="00C30978"/>
    <w:rsid w:val="00C30B21"/>
    <w:rsid w:val="00C30B80"/>
    <w:rsid w:val="00C30EE1"/>
    <w:rsid w:val="00C30F89"/>
    <w:rsid w:val="00C31623"/>
    <w:rsid w:val="00C317A2"/>
    <w:rsid w:val="00C3182F"/>
    <w:rsid w:val="00C31FB3"/>
    <w:rsid w:val="00C3237F"/>
    <w:rsid w:val="00C324D2"/>
    <w:rsid w:val="00C3253E"/>
    <w:rsid w:val="00C3272D"/>
    <w:rsid w:val="00C327D5"/>
    <w:rsid w:val="00C3284C"/>
    <w:rsid w:val="00C329B0"/>
    <w:rsid w:val="00C3344D"/>
    <w:rsid w:val="00C33879"/>
    <w:rsid w:val="00C343FC"/>
    <w:rsid w:val="00C3486F"/>
    <w:rsid w:val="00C348C7"/>
    <w:rsid w:val="00C349DE"/>
    <w:rsid w:val="00C349F4"/>
    <w:rsid w:val="00C34C49"/>
    <w:rsid w:val="00C358B6"/>
    <w:rsid w:val="00C35937"/>
    <w:rsid w:val="00C3593F"/>
    <w:rsid w:val="00C35941"/>
    <w:rsid w:val="00C35E9B"/>
    <w:rsid w:val="00C362F7"/>
    <w:rsid w:val="00C3651F"/>
    <w:rsid w:val="00C36607"/>
    <w:rsid w:val="00C36633"/>
    <w:rsid w:val="00C366FF"/>
    <w:rsid w:val="00C3673A"/>
    <w:rsid w:val="00C36795"/>
    <w:rsid w:val="00C36893"/>
    <w:rsid w:val="00C369A6"/>
    <w:rsid w:val="00C36C50"/>
    <w:rsid w:val="00C36CD9"/>
    <w:rsid w:val="00C36E9D"/>
    <w:rsid w:val="00C36F5E"/>
    <w:rsid w:val="00C37021"/>
    <w:rsid w:val="00C37333"/>
    <w:rsid w:val="00C37522"/>
    <w:rsid w:val="00C3754F"/>
    <w:rsid w:val="00C37852"/>
    <w:rsid w:val="00C37B2F"/>
    <w:rsid w:val="00C37BF3"/>
    <w:rsid w:val="00C37C2B"/>
    <w:rsid w:val="00C37C6B"/>
    <w:rsid w:val="00C37C86"/>
    <w:rsid w:val="00C37E6E"/>
    <w:rsid w:val="00C37EE9"/>
    <w:rsid w:val="00C40455"/>
    <w:rsid w:val="00C40C75"/>
    <w:rsid w:val="00C40D36"/>
    <w:rsid w:val="00C40F1A"/>
    <w:rsid w:val="00C40FB6"/>
    <w:rsid w:val="00C4111A"/>
    <w:rsid w:val="00C411FA"/>
    <w:rsid w:val="00C41289"/>
    <w:rsid w:val="00C412B1"/>
    <w:rsid w:val="00C415BA"/>
    <w:rsid w:val="00C415EF"/>
    <w:rsid w:val="00C4163E"/>
    <w:rsid w:val="00C4183D"/>
    <w:rsid w:val="00C41C92"/>
    <w:rsid w:val="00C41D05"/>
    <w:rsid w:val="00C420E2"/>
    <w:rsid w:val="00C4228D"/>
    <w:rsid w:val="00C4253B"/>
    <w:rsid w:val="00C42651"/>
    <w:rsid w:val="00C42C75"/>
    <w:rsid w:val="00C42CD5"/>
    <w:rsid w:val="00C42F8D"/>
    <w:rsid w:val="00C43004"/>
    <w:rsid w:val="00C430EF"/>
    <w:rsid w:val="00C433F5"/>
    <w:rsid w:val="00C43491"/>
    <w:rsid w:val="00C4367D"/>
    <w:rsid w:val="00C43891"/>
    <w:rsid w:val="00C43C47"/>
    <w:rsid w:val="00C43FC8"/>
    <w:rsid w:val="00C43FDA"/>
    <w:rsid w:val="00C4436C"/>
    <w:rsid w:val="00C44600"/>
    <w:rsid w:val="00C4471D"/>
    <w:rsid w:val="00C448AD"/>
    <w:rsid w:val="00C44BAE"/>
    <w:rsid w:val="00C45890"/>
    <w:rsid w:val="00C45A54"/>
    <w:rsid w:val="00C46069"/>
    <w:rsid w:val="00C4617C"/>
    <w:rsid w:val="00C461B2"/>
    <w:rsid w:val="00C46862"/>
    <w:rsid w:val="00C4686E"/>
    <w:rsid w:val="00C468E2"/>
    <w:rsid w:val="00C46930"/>
    <w:rsid w:val="00C46F7B"/>
    <w:rsid w:val="00C4734E"/>
    <w:rsid w:val="00C47926"/>
    <w:rsid w:val="00C479A5"/>
    <w:rsid w:val="00C479BC"/>
    <w:rsid w:val="00C479E9"/>
    <w:rsid w:val="00C47C8E"/>
    <w:rsid w:val="00C5005E"/>
    <w:rsid w:val="00C50357"/>
    <w:rsid w:val="00C50D04"/>
    <w:rsid w:val="00C5101D"/>
    <w:rsid w:val="00C510F7"/>
    <w:rsid w:val="00C512CB"/>
    <w:rsid w:val="00C5130D"/>
    <w:rsid w:val="00C51324"/>
    <w:rsid w:val="00C51532"/>
    <w:rsid w:val="00C515FA"/>
    <w:rsid w:val="00C51834"/>
    <w:rsid w:val="00C518C4"/>
    <w:rsid w:val="00C519ED"/>
    <w:rsid w:val="00C51A44"/>
    <w:rsid w:val="00C51A57"/>
    <w:rsid w:val="00C51C3C"/>
    <w:rsid w:val="00C51C83"/>
    <w:rsid w:val="00C51DBF"/>
    <w:rsid w:val="00C51F18"/>
    <w:rsid w:val="00C5204E"/>
    <w:rsid w:val="00C52294"/>
    <w:rsid w:val="00C522A4"/>
    <w:rsid w:val="00C523B6"/>
    <w:rsid w:val="00C52800"/>
    <w:rsid w:val="00C5282C"/>
    <w:rsid w:val="00C52974"/>
    <w:rsid w:val="00C52D8B"/>
    <w:rsid w:val="00C52DB7"/>
    <w:rsid w:val="00C52EED"/>
    <w:rsid w:val="00C52FD1"/>
    <w:rsid w:val="00C534F2"/>
    <w:rsid w:val="00C5359B"/>
    <w:rsid w:val="00C53AF7"/>
    <w:rsid w:val="00C53C93"/>
    <w:rsid w:val="00C540B8"/>
    <w:rsid w:val="00C541B0"/>
    <w:rsid w:val="00C54540"/>
    <w:rsid w:val="00C54B5E"/>
    <w:rsid w:val="00C54C07"/>
    <w:rsid w:val="00C54FF2"/>
    <w:rsid w:val="00C5524A"/>
    <w:rsid w:val="00C553C7"/>
    <w:rsid w:val="00C554B5"/>
    <w:rsid w:val="00C55646"/>
    <w:rsid w:val="00C558F0"/>
    <w:rsid w:val="00C55AE6"/>
    <w:rsid w:val="00C55BC6"/>
    <w:rsid w:val="00C55C0C"/>
    <w:rsid w:val="00C55C64"/>
    <w:rsid w:val="00C55F8A"/>
    <w:rsid w:val="00C56099"/>
    <w:rsid w:val="00C5625C"/>
    <w:rsid w:val="00C56461"/>
    <w:rsid w:val="00C5649E"/>
    <w:rsid w:val="00C567E5"/>
    <w:rsid w:val="00C56945"/>
    <w:rsid w:val="00C56EF2"/>
    <w:rsid w:val="00C5704E"/>
    <w:rsid w:val="00C57053"/>
    <w:rsid w:val="00C570A6"/>
    <w:rsid w:val="00C5712C"/>
    <w:rsid w:val="00C5728D"/>
    <w:rsid w:val="00C57416"/>
    <w:rsid w:val="00C579F3"/>
    <w:rsid w:val="00C57AC5"/>
    <w:rsid w:val="00C57ACA"/>
    <w:rsid w:val="00C57C66"/>
    <w:rsid w:val="00C57D57"/>
    <w:rsid w:val="00C57DD0"/>
    <w:rsid w:val="00C57EB0"/>
    <w:rsid w:val="00C600B3"/>
    <w:rsid w:val="00C6019E"/>
    <w:rsid w:val="00C604EC"/>
    <w:rsid w:val="00C604EF"/>
    <w:rsid w:val="00C60660"/>
    <w:rsid w:val="00C60C33"/>
    <w:rsid w:val="00C60D70"/>
    <w:rsid w:val="00C60D77"/>
    <w:rsid w:val="00C60D7B"/>
    <w:rsid w:val="00C60DE1"/>
    <w:rsid w:val="00C60E64"/>
    <w:rsid w:val="00C612C8"/>
    <w:rsid w:val="00C61464"/>
    <w:rsid w:val="00C615D6"/>
    <w:rsid w:val="00C616AC"/>
    <w:rsid w:val="00C619AE"/>
    <w:rsid w:val="00C61D2A"/>
    <w:rsid w:val="00C62225"/>
    <w:rsid w:val="00C624EC"/>
    <w:rsid w:val="00C62547"/>
    <w:rsid w:val="00C629E4"/>
    <w:rsid w:val="00C62B49"/>
    <w:rsid w:val="00C635FC"/>
    <w:rsid w:val="00C638AD"/>
    <w:rsid w:val="00C63959"/>
    <w:rsid w:val="00C639A4"/>
    <w:rsid w:val="00C63B28"/>
    <w:rsid w:val="00C63CB3"/>
    <w:rsid w:val="00C63E1A"/>
    <w:rsid w:val="00C64286"/>
    <w:rsid w:val="00C6454F"/>
    <w:rsid w:val="00C645D4"/>
    <w:rsid w:val="00C64619"/>
    <w:rsid w:val="00C647B9"/>
    <w:rsid w:val="00C64977"/>
    <w:rsid w:val="00C649FA"/>
    <w:rsid w:val="00C64E00"/>
    <w:rsid w:val="00C64E85"/>
    <w:rsid w:val="00C64EF0"/>
    <w:rsid w:val="00C64FCF"/>
    <w:rsid w:val="00C65580"/>
    <w:rsid w:val="00C655AA"/>
    <w:rsid w:val="00C65737"/>
    <w:rsid w:val="00C657D2"/>
    <w:rsid w:val="00C65934"/>
    <w:rsid w:val="00C66059"/>
    <w:rsid w:val="00C660B4"/>
    <w:rsid w:val="00C66318"/>
    <w:rsid w:val="00C663E9"/>
    <w:rsid w:val="00C66851"/>
    <w:rsid w:val="00C6692E"/>
    <w:rsid w:val="00C66AF9"/>
    <w:rsid w:val="00C66BE1"/>
    <w:rsid w:val="00C6721A"/>
    <w:rsid w:val="00C6722A"/>
    <w:rsid w:val="00C679D8"/>
    <w:rsid w:val="00C67E8E"/>
    <w:rsid w:val="00C67F0A"/>
    <w:rsid w:val="00C7004A"/>
    <w:rsid w:val="00C705E2"/>
    <w:rsid w:val="00C705E6"/>
    <w:rsid w:val="00C707A5"/>
    <w:rsid w:val="00C70AAE"/>
    <w:rsid w:val="00C70AB1"/>
    <w:rsid w:val="00C70C4C"/>
    <w:rsid w:val="00C70E9A"/>
    <w:rsid w:val="00C710F8"/>
    <w:rsid w:val="00C711B5"/>
    <w:rsid w:val="00C713DD"/>
    <w:rsid w:val="00C714BE"/>
    <w:rsid w:val="00C71518"/>
    <w:rsid w:val="00C7152E"/>
    <w:rsid w:val="00C716B5"/>
    <w:rsid w:val="00C7170A"/>
    <w:rsid w:val="00C71978"/>
    <w:rsid w:val="00C719F6"/>
    <w:rsid w:val="00C71A69"/>
    <w:rsid w:val="00C71B0E"/>
    <w:rsid w:val="00C71BFD"/>
    <w:rsid w:val="00C71CBB"/>
    <w:rsid w:val="00C71D2F"/>
    <w:rsid w:val="00C71F1F"/>
    <w:rsid w:val="00C72177"/>
    <w:rsid w:val="00C7234A"/>
    <w:rsid w:val="00C7239C"/>
    <w:rsid w:val="00C72641"/>
    <w:rsid w:val="00C727B3"/>
    <w:rsid w:val="00C72965"/>
    <w:rsid w:val="00C729C1"/>
    <w:rsid w:val="00C72BE2"/>
    <w:rsid w:val="00C72C26"/>
    <w:rsid w:val="00C72EBC"/>
    <w:rsid w:val="00C72FB8"/>
    <w:rsid w:val="00C7337B"/>
    <w:rsid w:val="00C733B1"/>
    <w:rsid w:val="00C73489"/>
    <w:rsid w:val="00C738D7"/>
    <w:rsid w:val="00C738F2"/>
    <w:rsid w:val="00C739F7"/>
    <w:rsid w:val="00C73C77"/>
    <w:rsid w:val="00C73DA1"/>
    <w:rsid w:val="00C73E5D"/>
    <w:rsid w:val="00C740D8"/>
    <w:rsid w:val="00C7411D"/>
    <w:rsid w:val="00C742BF"/>
    <w:rsid w:val="00C7439D"/>
    <w:rsid w:val="00C744F2"/>
    <w:rsid w:val="00C74559"/>
    <w:rsid w:val="00C7496C"/>
    <w:rsid w:val="00C74B8C"/>
    <w:rsid w:val="00C74C4B"/>
    <w:rsid w:val="00C74D68"/>
    <w:rsid w:val="00C74E0C"/>
    <w:rsid w:val="00C74FF2"/>
    <w:rsid w:val="00C750C2"/>
    <w:rsid w:val="00C750DC"/>
    <w:rsid w:val="00C750FB"/>
    <w:rsid w:val="00C7517C"/>
    <w:rsid w:val="00C751D1"/>
    <w:rsid w:val="00C752CF"/>
    <w:rsid w:val="00C754B2"/>
    <w:rsid w:val="00C75541"/>
    <w:rsid w:val="00C755C2"/>
    <w:rsid w:val="00C75773"/>
    <w:rsid w:val="00C75955"/>
    <w:rsid w:val="00C759C7"/>
    <w:rsid w:val="00C75A10"/>
    <w:rsid w:val="00C75AB0"/>
    <w:rsid w:val="00C75CE3"/>
    <w:rsid w:val="00C76109"/>
    <w:rsid w:val="00C7676B"/>
    <w:rsid w:val="00C76844"/>
    <w:rsid w:val="00C76A6F"/>
    <w:rsid w:val="00C76D6E"/>
    <w:rsid w:val="00C76E61"/>
    <w:rsid w:val="00C76EA0"/>
    <w:rsid w:val="00C7736B"/>
    <w:rsid w:val="00C77590"/>
    <w:rsid w:val="00C77893"/>
    <w:rsid w:val="00C77B7E"/>
    <w:rsid w:val="00C77DDE"/>
    <w:rsid w:val="00C77E10"/>
    <w:rsid w:val="00C77E96"/>
    <w:rsid w:val="00C77EBE"/>
    <w:rsid w:val="00C801DA"/>
    <w:rsid w:val="00C80407"/>
    <w:rsid w:val="00C81134"/>
    <w:rsid w:val="00C81392"/>
    <w:rsid w:val="00C813D3"/>
    <w:rsid w:val="00C81457"/>
    <w:rsid w:val="00C8185E"/>
    <w:rsid w:val="00C81910"/>
    <w:rsid w:val="00C81974"/>
    <w:rsid w:val="00C81D9D"/>
    <w:rsid w:val="00C823E2"/>
    <w:rsid w:val="00C823EB"/>
    <w:rsid w:val="00C8268F"/>
    <w:rsid w:val="00C82A86"/>
    <w:rsid w:val="00C82C9D"/>
    <w:rsid w:val="00C83306"/>
    <w:rsid w:val="00C83535"/>
    <w:rsid w:val="00C836BD"/>
    <w:rsid w:val="00C83C5F"/>
    <w:rsid w:val="00C83CD4"/>
    <w:rsid w:val="00C83D84"/>
    <w:rsid w:val="00C83D9A"/>
    <w:rsid w:val="00C83DCA"/>
    <w:rsid w:val="00C83FAB"/>
    <w:rsid w:val="00C849BF"/>
    <w:rsid w:val="00C84D87"/>
    <w:rsid w:val="00C85390"/>
    <w:rsid w:val="00C85BFA"/>
    <w:rsid w:val="00C86006"/>
    <w:rsid w:val="00C8604A"/>
    <w:rsid w:val="00C861CB"/>
    <w:rsid w:val="00C861DC"/>
    <w:rsid w:val="00C86522"/>
    <w:rsid w:val="00C86938"/>
    <w:rsid w:val="00C86FEC"/>
    <w:rsid w:val="00C8706C"/>
    <w:rsid w:val="00C87436"/>
    <w:rsid w:val="00C87678"/>
    <w:rsid w:val="00C876E3"/>
    <w:rsid w:val="00C8786A"/>
    <w:rsid w:val="00C87872"/>
    <w:rsid w:val="00C87887"/>
    <w:rsid w:val="00C87F6E"/>
    <w:rsid w:val="00C87F92"/>
    <w:rsid w:val="00C9013D"/>
    <w:rsid w:val="00C90184"/>
    <w:rsid w:val="00C9023D"/>
    <w:rsid w:val="00C9033D"/>
    <w:rsid w:val="00C9036B"/>
    <w:rsid w:val="00C90379"/>
    <w:rsid w:val="00C9073E"/>
    <w:rsid w:val="00C908F2"/>
    <w:rsid w:val="00C90C2F"/>
    <w:rsid w:val="00C90D81"/>
    <w:rsid w:val="00C90DE2"/>
    <w:rsid w:val="00C91062"/>
    <w:rsid w:val="00C911BE"/>
    <w:rsid w:val="00C91271"/>
    <w:rsid w:val="00C913C5"/>
    <w:rsid w:val="00C9164C"/>
    <w:rsid w:val="00C91651"/>
    <w:rsid w:val="00C917A4"/>
    <w:rsid w:val="00C91828"/>
    <w:rsid w:val="00C91A4D"/>
    <w:rsid w:val="00C91A94"/>
    <w:rsid w:val="00C91CBF"/>
    <w:rsid w:val="00C91DDA"/>
    <w:rsid w:val="00C922A2"/>
    <w:rsid w:val="00C922AD"/>
    <w:rsid w:val="00C923FB"/>
    <w:rsid w:val="00C925CA"/>
    <w:rsid w:val="00C9263D"/>
    <w:rsid w:val="00C92A66"/>
    <w:rsid w:val="00C92B65"/>
    <w:rsid w:val="00C932B8"/>
    <w:rsid w:val="00C935CD"/>
    <w:rsid w:val="00C9362F"/>
    <w:rsid w:val="00C938C0"/>
    <w:rsid w:val="00C93A5A"/>
    <w:rsid w:val="00C93A70"/>
    <w:rsid w:val="00C9497D"/>
    <w:rsid w:val="00C94A78"/>
    <w:rsid w:val="00C94D14"/>
    <w:rsid w:val="00C94E02"/>
    <w:rsid w:val="00C94F2A"/>
    <w:rsid w:val="00C950E0"/>
    <w:rsid w:val="00C950E4"/>
    <w:rsid w:val="00C9522D"/>
    <w:rsid w:val="00C95309"/>
    <w:rsid w:val="00C9534E"/>
    <w:rsid w:val="00C954C4"/>
    <w:rsid w:val="00C955E0"/>
    <w:rsid w:val="00C9592B"/>
    <w:rsid w:val="00C95AE6"/>
    <w:rsid w:val="00C9607F"/>
    <w:rsid w:val="00C96120"/>
    <w:rsid w:val="00C9645F"/>
    <w:rsid w:val="00C965E3"/>
    <w:rsid w:val="00C96895"/>
    <w:rsid w:val="00C96B58"/>
    <w:rsid w:val="00C96CAE"/>
    <w:rsid w:val="00C96D06"/>
    <w:rsid w:val="00C96D57"/>
    <w:rsid w:val="00C96E28"/>
    <w:rsid w:val="00C96E60"/>
    <w:rsid w:val="00C96F1D"/>
    <w:rsid w:val="00C9703F"/>
    <w:rsid w:val="00C975E5"/>
    <w:rsid w:val="00C97813"/>
    <w:rsid w:val="00C9781D"/>
    <w:rsid w:val="00C97CEE"/>
    <w:rsid w:val="00C97D10"/>
    <w:rsid w:val="00C97D5B"/>
    <w:rsid w:val="00CA014A"/>
    <w:rsid w:val="00CA015F"/>
    <w:rsid w:val="00CA01E3"/>
    <w:rsid w:val="00CA0346"/>
    <w:rsid w:val="00CA0549"/>
    <w:rsid w:val="00CA0C45"/>
    <w:rsid w:val="00CA0F0D"/>
    <w:rsid w:val="00CA10B6"/>
    <w:rsid w:val="00CA1647"/>
    <w:rsid w:val="00CA1AF2"/>
    <w:rsid w:val="00CA1B55"/>
    <w:rsid w:val="00CA20DC"/>
    <w:rsid w:val="00CA215E"/>
    <w:rsid w:val="00CA24D1"/>
    <w:rsid w:val="00CA257F"/>
    <w:rsid w:val="00CA25BE"/>
    <w:rsid w:val="00CA26B6"/>
    <w:rsid w:val="00CA26EA"/>
    <w:rsid w:val="00CA26EF"/>
    <w:rsid w:val="00CA28B2"/>
    <w:rsid w:val="00CA28F0"/>
    <w:rsid w:val="00CA2B5D"/>
    <w:rsid w:val="00CA2F3D"/>
    <w:rsid w:val="00CA2FB2"/>
    <w:rsid w:val="00CA2FBD"/>
    <w:rsid w:val="00CA300D"/>
    <w:rsid w:val="00CA301C"/>
    <w:rsid w:val="00CA3051"/>
    <w:rsid w:val="00CA34B7"/>
    <w:rsid w:val="00CA34C8"/>
    <w:rsid w:val="00CA397F"/>
    <w:rsid w:val="00CA399E"/>
    <w:rsid w:val="00CA3AF6"/>
    <w:rsid w:val="00CA3D3A"/>
    <w:rsid w:val="00CA41D0"/>
    <w:rsid w:val="00CA42D6"/>
    <w:rsid w:val="00CA462E"/>
    <w:rsid w:val="00CA4A64"/>
    <w:rsid w:val="00CA4AB9"/>
    <w:rsid w:val="00CA4C65"/>
    <w:rsid w:val="00CA4E34"/>
    <w:rsid w:val="00CA4E88"/>
    <w:rsid w:val="00CA4EC8"/>
    <w:rsid w:val="00CA4F19"/>
    <w:rsid w:val="00CA4F68"/>
    <w:rsid w:val="00CA4FA9"/>
    <w:rsid w:val="00CA4FE3"/>
    <w:rsid w:val="00CA5118"/>
    <w:rsid w:val="00CA528A"/>
    <w:rsid w:val="00CA536A"/>
    <w:rsid w:val="00CA570C"/>
    <w:rsid w:val="00CA595E"/>
    <w:rsid w:val="00CA5E23"/>
    <w:rsid w:val="00CA6457"/>
    <w:rsid w:val="00CA647B"/>
    <w:rsid w:val="00CA64E9"/>
    <w:rsid w:val="00CA650A"/>
    <w:rsid w:val="00CA6539"/>
    <w:rsid w:val="00CA65BC"/>
    <w:rsid w:val="00CA6611"/>
    <w:rsid w:val="00CA6728"/>
    <w:rsid w:val="00CA681E"/>
    <w:rsid w:val="00CA6A2C"/>
    <w:rsid w:val="00CA6C65"/>
    <w:rsid w:val="00CA6C8B"/>
    <w:rsid w:val="00CA6EEE"/>
    <w:rsid w:val="00CA6F31"/>
    <w:rsid w:val="00CA7075"/>
    <w:rsid w:val="00CA70A9"/>
    <w:rsid w:val="00CA71D6"/>
    <w:rsid w:val="00CA72BC"/>
    <w:rsid w:val="00CA789D"/>
    <w:rsid w:val="00CA79DB"/>
    <w:rsid w:val="00CA7BB7"/>
    <w:rsid w:val="00CB0089"/>
    <w:rsid w:val="00CB0176"/>
    <w:rsid w:val="00CB0E89"/>
    <w:rsid w:val="00CB0FEF"/>
    <w:rsid w:val="00CB134D"/>
    <w:rsid w:val="00CB14D2"/>
    <w:rsid w:val="00CB1528"/>
    <w:rsid w:val="00CB15E9"/>
    <w:rsid w:val="00CB16E1"/>
    <w:rsid w:val="00CB1740"/>
    <w:rsid w:val="00CB1947"/>
    <w:rsid w:val="00CB1A8E"/>
    <w:rsid w:val="00CB1CA9"/>
    <w:rsid w:val="00CB1CBE"/>
    <w:rsid w:val="00CB1FBA"/>
    <w:rsid w:val="00CB2002"/>
    <w:rsid w:val="00CB2035"/>
    <w:rsid w:val="00CB210A"/>
    <w:rsid w:val="00CB24C7"/>
    <w:rsid w:val="00CB24E3"/>
    <w:rsid w:val="00CB2642"/>
    <w:rsid w:val="00CB272F"/>
    <w:rsid w:val="00CB27A3"/>
    <w:rsid w:val="00CB280C"/>
    <w:rsid w:val="00CB2BD5"/>
    <w:rsid w:val="00CB2DBE"/>
    <w:rsid w:val="00CB2DEA"/>
    <w:rsid w:val="00CB2EE7"/>
    <w:rsid w:val="00CB2F74"/>
    <w:rsid w:val="00CB2F78"/>
    <w:rsid w:val="00CB30BA"/>
    <w:rsid w:val="00CB34AC"/>
    <w:rsid w:val="00CB35E5"/>
    <w:rsid w:val="00CB37C5"/>
    <w:rsid w:val="00CB37FF"/>
    <w:rsid w:val="00CB3CB1"/>
    <w:rsid w:val="00CB3EE4"/>
    <w:rsid w:val="00CB442E"/>
    <w:rsid w:val="00CB44DB"/>
    <w:rsid w:val="00CB44E0"/>
    <w:rsid w:val="00CB4757"/>
    <w:rsid w:val="00CB491C"/>
    <w:rsid w:val="00CB49FE"/>
    <w:rsid w:val="00CB4A1A"/>
    <w:rsid w:val="00CB4EE9"/>
    <w:rsid w:val="00CB4F96"/>
    <w:rsid w:val="00CB4FC0"/>
    <w:rsid w:val="00CB5004"/>
    <w:rsid w:val="00CB5149"/>
    <w:rsid w:val="00CB53E3"/>
    <w:rsid w:val="00CB54DA"/>
    <w:rsid w:val="00CB5C55"/>
    <w:rsid w:val="00CB5CB2"/>
    <w:rsid w:val="00CB60C5"/>
    <w:rsid w:val="00CB61D6"/>
    <w:rsid w:val="00CB623B"/>
    <w:rsid w:val="00CB67E8"/>
    <w:rsid w:val="00CB68A6"/>
    <w:rsid w:val="00CB6AA5"/>
    <w:rsid w:val="00CB6AAA"/>
    <w:rsid w:val="00CB6D08"/>
    <w:rsid w:val="00CB6E0B"/>
    <w:rsid w:val="00CB71A9"/>
    <w:rsid w:val="00CB7361"/>
    <w:rsid w:val="00CB7692"/>
    <w:rsid w:val="00CB79A9"/>
    <w:rsid w:val="00CB79AF"/>
    <w:rsid w:val="00CB79B3"/>
    <w:rsid w:val="00CB7B0E"/>
    <w:rsid w:val="00CB7BE5"/>
    <w:rsid w:val="00CB7DAA"/>
    <w:rsid w:val="00CB7E76"/>
    <w:rsid w:val="00CC00A7"/>
    <w:rsid w:val="00CC01D1"/>
    <w:rsid w:val="00CC03DB"/>
    <w:rsid w:val="00CC0722"/>
    <w:rsid w:val="00CC0979"/>
    <w:rsid w:val="00CC0D3F"/>
    <w:rsid w:val="00CC0D52"/>
    <w:rsid w:val="00CC0DD0"/>
    <w:rsid w:val="00CC0E4E"/>
    <w:rsid w:val="00CC0E5A"/>
    <w:rsid w:val="00CC0EF9"/>
    <w:rsid w:val="00CC1035"/>
    <w:rsid w:val="00CC10DD"/>
    <w:rsid w:val="00CC1200"/>
    <w:rsid w:val="00CC1454"/>
    <w:rsid w:val="00CC1D1A"/>
    <w:rsid w:val="00CC2247"/>
    <w:rsid w:val="00CC267C"/>
    <w:rsid w:val="00CC2E24"/>
    <w:rsid w:val="00CC2E46"/>
    <w:rsid w:val="00CC30F8"/>
    <w:rsid w:val="00CC3344"/>
    <w:rsid w:val="00CC37DB"/>
    <w:rsid w:val="00CC383F"/>
    <w:rsid w:val="00CC41ED"/>
    <w:rsid w:val="00CC4213"/>
    <w:rsid w:val="00CC4A50"/>
    <w:rsid w:val="00CC4B17"/>
    <w:rsid w:val="00CC4E19"/>
    <w:rsid w:val="00CC4F1B"/>
    <w:rsid w:val="00CC5093"/>
    <w:rsid w:val="00CC541A"/>
    <w:rsid w:val="00CC5721"/>
    <w:rsid w:val="00CC5750"/>
    <w:rsid w:val="00CC5956"/>
    <w:rsid w:val="00CC5A3A"/>
    <w:rsid w:val="00CC5CF4"/>
    <w:rsid w:val="00CC5F40"/>
    <w:rsid w:val="00CC6193"/>
    <w:rsid w:val="00CC620B"/>
    <w:rsid w:val="00CC6260"/>
    <w:rsid w:val="00CC64B2"/>
    <w:rsid w:val="00CC661A"/>
    <w:rsid w:val="00CC6649"/>
    <w:rsid w:val="00CC6689"/>
    <w:rsid w:val="00CC67E3"/>
    <w:rsid w:val="00CC6B77"/>
    <w:rsid w:val="00CC6D50"/>
    <w:rsid w:val="00CC6F45"/>
    <w:rsid w:val="00CC719F"/>
    <w:rsid w:val="00CC722E"/>
    <w:rsid w:val="00CC74ED"/>
    <w:rsid w:val="00CC7620"/>
    <w:rsid w:val="00CC7777"/>
    <w:rsid w:val="00CC7884"/>
    <w:rsid w:val="00CC7932"/>
    <w:rsid w:val="00CC7A54"/>
    <w:rsid w:val="00CC7C94"/>
    <w:rsid w:val="00CC7EA0"/>
    <w:rsid w:val="00CD0057"/>
    <w:rsid w:val="00CD06DD"/>
    <w:rsid w:val="00CD0B37"/>
    <w:rsid w:val="00CD125C"/>
    <w:rsid w:val="00CD1404"/>
    <w:rsid w:val="00CD1424"/>
    <w:rsid w:val="00CD1621"/>
    <w:rsid w:val="00CD16FE"/>
    <w:rsid w:val="00CD173D"/>
    <w:rsid w:val="00CD17BC"/>
    <w:rsid w:val="00CD18C2"/>
    <w:rsid w:val="00CD18FC"/>
    <w:rsid w:val="00CD1962"/>
    <w:rsid w:val="00CD1B38"/>
    <w:rsid w:val="00CD1BEF"/>
    <w:rsid w:val="00CD1CAE"/>
    <w:rsid w:val="00CD1D12"/>
    <w:rsid w:val="00CD1D29"/>
    <w:rsid w:val="00CD26F5"/>
    <w:rsid w:val="00CD2878"/>
    <w:rsid w:val="00CD28D5"/>
    <w:rsid w:val="00CD2922"/>
    <w:rsid w:val="00CD2940"/>
    <w:rsid w:val="00CD2ADF"/>
    <w:rsid w:val="00CD2E6F"/>
    <w:rsid w:val="00CD3375"/>
    <w:rsid w:val="00CD35D3"/>
    <w:rsid w:val="00CD3608"/>
    <w:rsid w:val="00CD3865"/>
    <w:rsid w:val="00CD3B21"/>
    <w:rsid w:val="00CD3E8A"/>
    <w:rsid w:val="00CD3F27"/>
    <w:rsid w:val="00CD3F88"/>
    <w:rsid w:val="00CD407A"/>
    <w:rsid w:val="00CD419B"/>
    <w:rsid w:val="00CD41C7"/>
    <w:rsid w:val="00CD41D1"/>
    <w:rsid w:val="00CD4386"/>
    <w:rsid w:val="00CD44DC"/>
    <w:rsid w:val="00CD458D"/>
    <w:rsid w:val="00CD46C7"/>
    <w:rsid w:val="00CD4C15"/>
    <w:rsid w:val="00CD4F42"/>
    <w:rsid w:val="00CD4FD5"/>
    <w:rsid w:val="00CD4FD7"/>
    <w:rsid w:val="00CD5286"/>
    <w:rsid w:val="00CD5294"/>
    <w:rsid w:val="00CD5337"/>
    <w:rsid w:val="00CD533E"/>
    <w:rsid w:val="00CD5A8F"/>
    <w:rsid w:val="00CD5EFF"/>
    <w:rsid w:val="00CD6013"/>
    <w:rsid w:val="00CD6849"/>
    <w:rsid w:val="00CD69AD"/>
    <w:rsid w:val="00CD6DDA"/>
    <w:rsid w:val="00CD749E"/>
    <w:rsid w:val="00CD74DE"/>
    <w:rsid w:val="00CD7A6F"/>
    <w:rsid w:val="00CD7C99"/>
    <w:rsid w:val="00CD7D8B"/>
    <w:rsid w:val="00CD7EDC"/>
    <w:rsid w:val="00CE0A2C"/>
    <w:rsid w:val="00CE0F33"/>
    <w:rsid w:val="00CE1145"/>
    <w:rsid w:val="00CE114D"/>
    <w:rsid w:val="00CE123F"/>
    <w:rsid w:val="00CE14D0"/>
    <w:rsid w:val="00CE18B0"/>
    <w:rsid w:val="00CE1AA6"/>
    <w:rsid w:val="00CE1ACD"/>
    <w:rsid w:val="00CE1B54"/>
    <w:rsid w:val="00CE1CCB"/>
    <w:rsid w:val="00CE1DFD"/>
    <w:rsid w:val="00CE2033"/>
    <w:rsid w:val="00CE2223"/>
    <w:rsid w:val="00CE24BA"/>
    <w:rsid w:val="00CE253D"/>
    <w:rsid w:val="00CE2807"/>
    <w:rsid w:val="00CE2887"/>
    <w:rsid w:val="00CE28E3"/>
    <w:rsid w:val="00CE2999"/>
    <w:rsid w:val="00CE29A6"/>
    <w:rsid w:val="00CE29FC"/>
    <w:rsid w:val="00CE29FF"/>
    <w:rsid w:val="00CE2BA6"/>
    <w:rsid w:val="00CE3207"/>
    <w:rsid w:val="00CE3220"/>
    <w:rsid w:val="00CE32E7"/>
    <w:rsid w:val="00CE36F9"/>
    <w:rsid w:val="00CE3746"/>
    <w:rsid w:val="00CE376D"/>
    <w:rsid w:val="00CE386C"/>
    <w:rsid w:val="00CE3AB8"/>
    <w:rsid w:val="00CE3CEB"/>
    <w:rsid w:val="00CE3DF8"/>
    <w:rsid w:val="00CE3F4B"/>
    <w:rsid w:val="00CE4260"/>
    <w:rsid w:val="00CE4303"/>
    <w:rsid w:val="00CE4927"/>
    <w:rsid w:val="00CE49B1"/>
    <w:rsid w:val="00CE4D12"/>
    <w:rsid w:val="00CE4D23"/>
    <w:rsid w:val="00CE4D95"/>
    <w:rsid w:val="00CE4E26"/>
    <w:rsid w:val="00CE53CC"/>
    <w:rsid w:val="00CE53D5"/>
    <w:rsid w:val="00CE54B1"/>
    <w:rsid w:val="00CE5723"/>
    <w:rsid w:val="00CE57D4"/>
    <w:rsid w:val="00CE58D1"/>
    <w:rsid w:val="00CE58F5"/>
    <w:rsid w:val="00CE5937"/>
    <w:rsid w:val="00CE5DC6"/>
    <w:rsid w:val="00CE632A"/>
    <w:rsid w:val="00CE6777"/>
    <w:rsid w:val="00CE6792"/>
    <w:rsid w:val="00CE67B8"/>
    <w:rsid w:val="00CE6AA2"/>
    <w:rsid w:val="00CE6AF0"/>
    <w:rsid w:val="00CE6BAE"/>
    <w:rsid w:val="00CE6F3B"/>
    <w:rsid w:val="00CE7236"/>
    <w:rsid w:val="00CE745E"/>
    <w:rsid w:val="00CE747C"/>
    <w:rsid w:val="00CE748A"/>
    <w:rsid w:val="00CE7682"/>
    <w:rsid w:val="00CE77E9"/>
    <w:rsid w:val="00CE781B"/>
    <w:rsid w:val="00CE7838"/>
    <w:rsid w:val="00CE7F0C"/>
    <w:rsid w:val="00CF00A9"/>
    <w:rsid w:val="00CF0269"/>
    <w:rsid w:val="00CF0638"/>
    <w:rsid w:val="00CF0702"/>
    <w:rsid w:val="00CF0789"/>
    <w:rsid w:val="00CF07D8"/>
    <w:rsid w:val="00CF0935"/>
    <w:rsid w:val="00CF0D16"/>
    <w:rsid w:val="00CF0E86"/>
    <w:rsid w:val="00CF0EBE"/>
    <w:rsid w:val="00CF0F96"/>
    <w:rsid w:val="00CF0FD4"/>
    <w:rsid w:val="00CF1267"/>
    <w:rsid w:val="00CF131A"/>
    <w:rsid w:val="00CF15B8"/>
    <w:rsid w:val="00CF15F2"/>
    <w:rsid w:val="00CF16B3"/>
    <w:rsid w:val="00CF1750"/>
    <w:rsid w:val="00CF1838"/>
    <w:rsid w:val="00CF1961"/>
    <w:rsid w:val="00CF1A2D"/>
    <w:rsid w:val="00CF1B2B"/>
    <w:rsid w:val="00CF1EC6"/>
    <w:rsid w:val="00CF204E"/>
    <w:rsid w:val="00CF20FE"/>
    <w:rsid w:val="00CF233D"/>
    <w:rsid w:val="00CF243D"/>
    <w:rsid w:val="00CF253E"/>
    <w:rsid w:val="00CF25E3"/>
    <w:rsid w:val="00CF26FE"/>
    <w:rsid w:val="00CF276E"/>
    <w:rsid w:val="00CF2913"/>
    <w:rsid w:val="00CF2921"/>
    <w:rsid w:val="00CF317B"/>
    <w:rsid w:val="00CF3428"/>
    <w:rsid w:val="00CF3581"/>
    <w:rsid w:val="00CF3582"/>
    <w:rsid w:val="00CF35C0"/>
    <w:rsid w:val="00CF37ED"/>
    <w:rsid w:val="00CF3A71"/>
    <w:rsid w:val="00CF3C79"/>
    <w:rsid w:val="00CF3D13"/>
    <w:rsid w:val="00CF3FF8"/>
    <w:rsid w:val="00CF405F"/>
    <w:rsid w:val="00CF421E"/>
    <w:rsid w:val="00CF4369"/>
    <w:rsid w:val="00CF439F"/>
    <w:rsid w:val="00CF466C"/>
    <w:rsid w:val="00CF4B13"/>
    <w:rsid w:val="00CF4C61"/>
    <w:rsid w:val="00CF4D24"/>
    <w:rsid w:val="00CF4F95"/>
    <w:rsid w:val="00CF5257"/>
    <w:rsid w:val="00CF545C"/>
    <w:rsid w:val="00CF5493"/>
    <w:rsid w:val="00CF54FD"/>
    <w:rsid w:val="00CF5581"/>
    <w:rsid w:val="00CF562A"/>
    <w:rsid w:val="00CF5894"/>
    <w:rsid w:val="00CF59C3"/>
    <w:rsid w:val="00CF5AC1"/>
    <w:rsid w:val="00CF5AE8"/>
    <w:rsid w:val="00CF5B1F"/>
    <w:rsid w:val="00CF5E09"/>
    <w:rsid w:val="00CF5E80"/>
    <w:rsid w:val="00CF5FCB"/>
    <w:rsid w:val="00CF612E"/>
    <w:rsid w:val="00CF63A6"/>
    <w:rsid w:val="00CF63BC"/>
    <w:rsid w:val="00CF66E9"/>
    <w:rsid w:val="00CF6B70"/>
    <w:rsid w:val="00CF6CF5"/>
    <w:rsid w:val="00CF6E61"/>
    <w:rsid w:val="00CF6EF0"/>
    <w:rsid w:val="00CF6F21"/>
    <w:rsid w:val="00CF70FB"/>
    <w:rsid w:val="00CF7120"/>
    <w:rsid w:val="00CF724C"/>
    <w:rsid w:val="00CF7E51"/>
    <w:rsid w:val="00CF7E58"/>
    <w:rsid w:val="00CF7E94"/>
    <w:rsid w:val="00CF7EC4"/>
    <w:rsid w:val="00D00084"/>
    <w:rsid w:val="00D0009F"/>
    <w:rsid w:val="00D00167"/>
    <w:rsid w:val="00D00194"/>
    <w:rsid w:val="00D001B4"/>
    <w:rsid w:val="00D003B7"/>
    <w:rsid w:val="00D0086C"/>
    <w:rsid w:val="00D008E9"/>
    <w:rsid w:val="00D00993"/>
    <w:rsid w:val="00D00A0D"/>
    <w:rsid w:val="00D00B1A"/>
    <w:rsid w:val="00D00C6D"/>
    <w:rsid w:val="00D00E36"/>
    <w:rsid w:val="00D00E72"/>
    <w:rsid w:val="00D00F94"/>
    <w:rsid w:val="00D012BB"/>
    <w:rsid w:val="00D01696"/>
    <w:rsid w:val="00D01AF0"/>
    <w:rsid w:val="00D01F0D"/>
    <w:rsid w:val="00D02B1E"/>
    <w:rsid w:val="00D02BD7"/>
    <w:rsid w:val="00D02F4F"/>
    <w:rsid w:val="00D030D4"/>
    <w:rsid w:val="00D033E9"/>
    <w:rsid w:val="00D03434"/>
    <w:rsid w:val="00D035A2"/>
    <w:rsid w:val="00D038D7"/>
    <w:rsid w:val="00D039B6"/>
    <w:rsid w:val="00D03BD6"/>
    <w:rsid w:val="00D03D04"/>
    <w:rsid w:val="00D03E42"/>
    <w:rsid w:val="00D03F39"/>
    <w:rsid w:val="00D03FBC"/>
    <w:rsid w:val="00D04015"/>
    <w:rsid w:val="00D041D2"/>
    <w:rsid w:val="00D04401"/>
    <w:rsid w:val="00D04C0D"/>
    <w:rsid w:val="00D04C30"/>
    <w:rsid w:val="00D04CB3"/>
    <w:rsid w:val="00D04E02"/>
    <w:rsid w:val="00D04ED7"/>
    <w:rsid w:val="00D051FC"/>
    <w:rsid w:val="00D05273"/>
    <w:rsid w:val="00D05367"/>
    <w:rsid w:val="00D053A9"/>
    <w:rsid w:val="00D0554D"/>
    <w:rsid w:val="00D05A09"/>
    <w:rsid w:val="00D05AAF"/>
    <w:rsid w:val="00D05B27"/>
    <w:rsid w:val="00D05F09"/>
    <w:rsid w:val="00D05F0B"/>
    <w:rsid w:val="00D06576"/>
    <w:rsid w:val="00D0661F"/>
    <w:rsid w:val="00D0670C"/>
    <w:rsid w:val="00D06763"/>
    <w:rsid w:val="00D067DA"/>
    <w:rsid w:val="00D06C6D"/>
    <w:rsid w:val="00D06CAA"/>
    <w:rsid w:val="00D06E7E"/>
    <w:rsid w:val="00D07096"/>
    <w:rsid w:val="00D07176"/>
    <w:rsid w:val="00D071A7"/>
    <w:rsid w:val="00D07376"/>
    <w:rsid w:val="00D0740D"/>
    <w:rsid w:val="00D07452"/>
    <w:rsid w:val="00D07578"/>
    <w:rsid w:val="00D075AE"/>
    <w:rsid w:val="00D0768B"/>
    <w:rsid w:val="00D07729"/>
    <w:rsid w:val="00D0779A"/>
    <w:rsid w:val="00D0780E"/>
    <w:rsid w:val="00D07D80"/>
    <w:rsid w:val="00D10003"/>
    <w:rsid w:val="00D10098"/>
    <w:rsid w:val="00D101CC"/>
    <w:rsid w:val="00D101F4"/>
    <w:rsid w:val="00D1021A"/>
    <w:rsid w:val="00D103CD"/>
    <w:rsid w:val="00D104DE"/>
    <w:rsid w:val="00D1063E"/>
    <w:rsid w:val="00D10AC5"/>
    <w:rsid w:val="00D10D51"/>
    <w:rsid w:val="00D11639"/>
    <w:rsid w:val="00D11677"/>
    <w:rsid w:val="00D119FC"/>
    <w:rsid w:val="00D11A73"/>
    <w:rsid w:val="00D11D67"/>
    <w:rsid w:val="00D11DEF"/>
    <w:rsid w:val="00D12086"/>
    <w:rsid w:val="00D120C1"/>
    <w:rsid w:val="00D124DB"/>
    <w:rsid w:val="00D12727"/>
    <w:rsid w:val="00D128B0"/>
    <w:rsid w:val="00D12916"/>
    <w:rsid w:val="00D12948"/>
    <w:rsid w:val="00D12C1D"/>
    <w:rsid w:val="00D12D03"/>
    <w:rsid w:val="00D12E07"/>
    <w:rsid w:val="00D12F08"/>
    <w:rsid w:val="00D13000"/>
    <w:rsid w:val="00D138E8"/>
    <w:rsid w:val="00D1394C"/>
    <w:rsid w:val="00D13AC9"/>
    <w:rsid w:val="00D13B97"/>
    <w:rsid w:val="00D13BF2"/>
    <w:rsid w:val="00D13CA3"/>
    <w:rsid w:val="00D13CD5"/>
    <w:rsid w:val="00D13CE5"/>
    <w:rsid w:val="00D13EE2"/>
    <w:rsid w:val="00D1408E"/>
    <w:rsid w:val="00D1410E"/>
    <w:rsid w:val="00D145F1"/>
    <w:rsid w:val="00D149E9"/>
    <w:rsid w:val="00D14B1C"/>
    <w:rsid w:val="00D14E59"/>
    <w:rsid w:val="00D14EC4"/>
    <w:rsid w:val="00D14FC3"/>
    <w:rsid w:val="00D1508A"/>
    <w:rsid w:val="00D15282"/>
    <w:rsid w:val="00D153CA"/>
    <w:rsid w:val="00D1544F"/>
    <w:rsid w:val="00D155C7"/>
    <w:rsid w:val="00D157FB"/>
    <w:rsid w:val="00D1581C"/>
    <w:rsid w:val="00D1582B"/>
    <w:rsid w:val="00D1586B"/>
    <w:rsid w:val="00D15893"/>
    <w:rsid w:val="00D15B16"/>
    <w:rsid w:val="00D15E75"/>
    <w:rsid w:val="00D15FA1"/>
    <w:rsid w:val="00D16035"/>
    <w:rsid w:val="00D166E3"/>
    <w:rsid w:val="00D16C61"/>
    <w:rsid w:val="00D16D3F"/>
    <w:rsid w:val="00D16DA1"/>
    <w:rsid w:val="00D16DCE"/>
    <w:rsid w:val="00D16F3C"/>
    <w:rsid w:val="00D1701A"/>
    <w:rsid w:val="00D1720F"/>
    <w:rsid w:val="00D17247"/>
    <w:rsid w:val="00D172BF"/>
    <w:rsid w:val="00D172C7"/>
    <w:rsid w:val="00D17597"/>
    <w:rsid w:val="00D176DF"/>
    <w:rsid w:val="00D178ED"/>
    <w:rsid w:val="00D17958"/>
    <w:rsid w:val="00D17A57"/>
    <w:rsid w:val="00D17B3A"/>
    <w:rsid w:val="00D17C48"/>
    <w:rsid w:val="00D17F77"/>
    <w:rsid w:val="00D20031"/>
    <w:rsid w:val="00D200C9"/>
    <w:rsid w:val="00D206F0"/>
    <w:rsid w:val="00D207FE"/>
    <w:rsid w:val="00D20DA5"/>
    <w:rsid w:val="00D20FF4"/>
    <w:rsid w:val="00D21005"/>
    <w:rsid w:val="00D210AA"/>
    <w:rsid w:val="00D2154D"/>
    <w:rsid w:val="00D217B8"/>
    <w:rsid w:val="00D21978"/>
    <w:rsid w:val="00D219E1"/>
    <w:rsid w:val="00D21AB2"/>
    <w:rsid w:val="00D21AFA"/>
    <w:rsid w:val="00D21F2A"/>
    <w:rsid w:val="00D21F76"/>
    <w:rsid w:val="00D220F0"/>
    <w:rsid w:val="00D2214C"/>
    <w:rsid w:val="00D2221D"/>
    <w:rsid w:val="00D2226A"/>
    <w:rsid w:val="00D2230B"/>
    <w:rsid w:val="00D22739"/>
    <w:rsid w:val="00D22872"/>
    <w:rsid w:val="00D228A9"/>
    <w:rsid w:val="00D22922"/>
    <w:rsid w:val="00D22971"/>
    <w:rsid w:val="00D22B0C"/>
    <w:rsid w:val="00D22D6D"/>
    <w:rsid w:val="00D231A4"/>
    <w:rsid w:val="00D231A6"/>
    <w:rsid w:val="00D23434"/>
    <w:rsid w:val="00D2347F"/>
    <w:rsid w:val="00D23512"/>
    <w:rsid w:val="00D2375F"/>
    <w:rsid w:val="00D2377E"/>
    <w:rsid w:val="00D23B31"/>
    <w:rsid w:val="00D24150"/>
    <w:rsid w:val="00D24230"/>
    <w:rsid w:val="00D24335"/>
    <w:rsid w:val="00D243CB"/>
    <w:rsid w:val="00D243F5"/>
    <w:rsid w:val="00D247E1"/>
    <w:rsid w:val="00D247F4"/>
    <w:rsid w:val="00D24A4D"/>
    <w:rsid w:val="00D24E6B"/>
    <w:rsid w:val="00D24FFB"/>
    <w:rsid w:val="00D252AC"/>
    <w:rsid w:val="00D25897"/>
    <w:rsid w:val="00D2589A"/>
    <w:rsid w:val="00D259F7"/>
    <w:rsid w:val="00D25B01"/>
    <w:rsid w:val="00D25DB3"/>
    <w:rsid w:val="00D26022"/>
    <w:rsid w:val="00D26124"/>
    <w:rsid w:val="00D26755"/>
    <w:rsid w:val="00D26761"/>
    <w:rsid w:val="00D269A6"/>
    <w:rsid w:val="00D26D01"/>
    <w:rsid w:val="00D26D10"/>
    <w:rsid w:val="00D27294"/>
    <w:rsid w:val="00D273F8"/>
    <w:rsid w:val="00D27468"/>
    <w:rsid w:val="00D27493"/>
    <w:rsid w:val="00D275DF"/>
    <w:rsid w:val="00D275EA"/>
    <w:rsid w:val="00D2760A"/>
    <w:rsid w:val="00D27B5E"/>
    <w:rsid w:val="00D27F68"/>
    <w:rsid w:val="00D303B9"/>
    <w:rsid w:val="00D3047A"/>
    <w:rsid w:val="00D30E09"/>
    <w:rsid w:val="00D310FB"/>
    <w:rsid w:val="00D31247"/>
    <w:rsid w:val="00D313B3"/>
    <w:rsid w:val="00D316ED"/>
    <w:rsid w:val="00D31B73"/>
    <w:rsid w:val="00D31BE2"/>
    <w:rsid w:val="00D31C38"/>
    <w:rsid w:val="00D31DC9"/>
    <w:rsid w:val="00D3292B"/>
    <w:rsid w:val="00D3294C"/>
    <w:rsid w:val="00D3297F"/>
    <w:rsid w:val="00D32A17"/>
    <w:rsid w:val="00D32AED"/>
    <w:rsid w:val="00D32C3E"/>
    <w:rsid w:val="00D32D83"/>
    <w:rsid w:val="00D32E10"/>
    <w:rsid w:val="00D331EE"/>
    <w:rsid w:val="00D3343D"/>
    <w:rsid w:val="00D3349F"/>
    <w:rsid w:val="00D334E2"/>
    <w:rsid w:val="00D33C10"/>
    <w:rsid w:val="00D33C62"/>
    <w:rsid w:val="00D33DB5"/>
    <w:rsid w:val="00D33F02"/>
    <w:rsid w:val="00D33FBA"/>
    <w:rsid w:val="00D340E0"/>
    <w:rsid w:val="00D34210"/>
    <w:rsid w:val="00D34AB5"/>
    <w:rsid w:val="00D34E96"/>
    <w:rsid w:val="00D34F51"/>
    <w:rsid w:val="00D35064"/>
    <w:rsid w:val="00D35241"/>
    <w:rsid w:val="00D35247"/>
    <w:rsid w:val="00D35252"/>
    <w:rsid w:val="00D35268"/>
    <w:rsid w:val="00D3559C"/>
    <w:rsid w:val="00D35627"/>
    <w:rsid w:val="00D3564C"/>
    <w:rsid w:val="00D357BB"/>
    <w:rsid w:val="00D35827"/>
    <w:rsid w:val="00D358BC"/>
    <w:rsid w:val="00D358F7"/>
    <w:rsid w:val="00D35BBA"/>
    <w:rsid w:val="00D35FAF"/>
    <w:rsid w:val="00D36022"/>
    <w:rsid w:val="00D36376"/>
    <w:rsid w:val="00D363C5"/>
    <w:rsid w:val="00D36423"/>
    <w:rsid w:val="00D368F0"/>
    <w:rsid w:val="00D36946"/>
    <w:rsid w:val="00D36A09"/>
    <w:rsid w:val="00D36E67"/>
    <w:rsid w:val="00D373D9"/>
    <w:rsid w:val="00D375DC"/>
    <w:rsid w:val="00D37EF5"/>
    <w:rsid w:val="00D40263"/>
    <w:rsid w:val="00D4042E"/>
    <w:rsid w:val="00D404DE"/>
    <w:rsid w:val="00D40556"/>
    <w:rsid w:val="00D405AD"/>
    <w:rsid w:val="00D406EB"/>
    <w:rsid w:val="00D40928"/>
    <w:rsid w:val="00D40B03"/>
    <w:rsid w:val="00D40C90"/>
    <w:rsid w:val="00D40CE3"/>
    <w:rsid w:val="00D40D34"/>
    <w:rsid w:val="00D40DD9"/>
    <w:rsid w:val="00D40E0E"/>
    <w:rsid w:val="00D4101C"/>
    <w:rsid w:val="00D411CF"/>
    <w:rsid w:val="00D41771"/>
    <w:rsid w:val="00D41911"/>
    <w:rsid w:val="00D419C9"/>
    <w:rsid w:val="00D41A30"/>
    <w:rsid w:val="00D41B10"/>
    <w:rsid w:val="00D41B2B"/>
    <w:rsid w:val="00D41B2E"/>
    <w:rsid w:val="00D41B80"/>
    <w:rsid w:val="00D41BA4"/>
    <w:rsid w:val="00D41D27"/>
    <w:rsid w:val="00D41DA9"/>
    <w:rsid w:val="00D41F5A"/>
    <w:rsid w:val="00D421EE"/>
    <w:rsid w:val="00D422A4"/>
    <w:rsid w:val="00D42354"/>
    <w:rsid w:val="00D42606"/>
    <w:rsid w:val="00D42882"/>
    <w:rsid w:val="00D428B9"/>
    <w:rsid w:val="00D4294C"/>
    <w:rsid w:val="00D42C06"/>
    <w:rsid w:val="00D42D69"/>
    <w:rsid w:val="00D42DE0"/>
    <w:rsid w:val="00D43246"/>
    <w:rsid w:val="00D4334D"/>
    <w:rsid w:val="00D43442"/>
    <w:rsid w:val="00D43687"/>
    <w:rsid w:val="00D436B0"/>
    <w:rsid w:val="00D436BE"/>
    <w:rsid w:val="00D43817"/>
    <w:rsid w:val="00D43841"/>
    <w:rsid w:val="00D43A2A"/>
    <w:rsid w:val="00D43ACC"/>
    <w:rsid w:val="00D43B2F"/>
    <w:rsid w:val="00D43B8B"/>
    <w:rsid w:val="00D43BE5"/>
    <w:rsid w:val="00D43D92"/>
    <w:rsid w:val="00D43E79"/>
    <w:rsid w:val="00D43F57"/>
    <w:rsid w:val="00D44640"/>
    <w:rsid w:val="00D44693"/>
    <w:rsid w:val="00D4490A"/>
    <w:rsid w:val="00D44AB2"/>
    <w:rsid w:val="00D44BC5"/>
    <w:rsid w:val="00D450E2"/>
    <w:rsid w:val="00D45219"/>
    <w:rsid w:val="00D455E2"/>
    <w:rsid w:val="00D455E8"/>
    <w:rsid w:val="00D45750"/>
    <w:rsid w:val="00D457EA"/>
    <w:rsid w:val="00D4597A"/>
    <w:rsid w:val="00D45AC5"/>
    <w:rsid w:val="00D45C42"/>
    <w:rsid w:val="00D45CEA"/>
    <w:rsid w:val="00D45DA7"/>
    <w:rsid w:val="00D45F6D"/>
    <w:rsid w:val="00D45FD2"/>
    <w:rsid w:val="00D46010"/>
    <w:rsid w:val="00D461BA"/>
    <w:rsid w:val="00D462F9"/>
    <w:rsid w:val="00D46B14"/>
    <w:rsid w:val="00D46CE0"/>
    <w:rsid w:val="00D46D52"/>
    <w:rsid w:val="00D46FEA"/>
    <w:rsid w:val="00D47042"/>
    <w:rsid w:val="00D472F0"/>
    <w:rsid w:val="00D477A9"/>
    <w:rsid w:val="00D477C4"/>
    <w:rsid w:val="00D47A16"/>
    <w:rsid w:val="00D47B06"/>
    <w:rsid w:val="00D47CDC"/>
    <w:rsid w:val="00D501D8"/>
    <w:rsid w:val="00D502E2"/>
    <w:rsid w:val="00D5036A"/>
    <w:rsid w:val="00D5045C"/>
    <w:rsid w:val="00D5069D"/>
    <w:rsid w:val="00D5075A"/>
    <w:rsid w:val="00D50B96"/>
    <w:rsid w:val="00D50D42"/>
    <w:rsid w:val="00D50E2E"/>
    <w:rsid w:val="00D50F7C"/>
    <w:rsid w:val="00D51097"/>
    <w:rsid w:val="00D5116C"/>
    <w:rsid w:val="00D51476"/>
    <w:rsid w:val="00D5156D"/>
    <w:rsid w:val="00D51618"/>
    <w:rsid w:val="00D51732"/>
    <w:rsid w:val="00D51C49"/>
    <w:rsid w:val="00D51D81"/>
    <w:rsid w:val="00D51EE1"/>
    <w:rsid w:val="00D51EF6"/>
    <w:rsid w:val="00D51EFF"/>
    <w:rsid w:val="00D51F58"/>
    <w:rsid w:val="00D524B8"/>
    <w:rsid w:val="00D52607"/>
    <w:rsid w:val="00D526AE"/>
    <w:rsid w:val="00D52A66"/>
    <w:rsid w:val="00D52E54"/>
    <w:rsid w:val="00D52FF5"/>
    <w:rsid w:val="00D53066"/>
    <w:rsid w:val="00D53067"/>
    <w:rsid w:val="00D530DE"/>
    <w:rsid w:val="00D53185"/>
    <w:rsid w:val="00D537FF"/>
    <w:rsid w:val="00D53B7A"/>
    <w:rsid w:val="00D53E03"/>
    <w:rsid w:val="00D541FD"/>
    <w:rsid w:val="00D54315"/>
    <w:rsid w:val="00D54384"/>
    <w:rsid w:val="00D549B9"/>
    <w:rsid w:val="00D54BA5"/>
    <w:rsid w:val="00D54BD7"/>
    <w:rsid w:val="00D54C8A"/>
    <w:rsid w:val="00D54D9C"/>
    <w:rsid w:val="00D550E9"/>
    <w:rsid w:val="00D552DB"/>
    <w:rsid w:val="00D554D7"/>
    <w:rsid w:val="00D5595D"/>
    <w:rsid w:val="00D559AB"/>
    <w:rsid w:val="00D55C70"/>
    <w:rsid w:val="00D55E23"/>
    <w:rsid w:val="00D55EF5"/>
    <w:rsid w:val="00D55F38"/>
    <w:rsid w:val="00D5606F"/>
    <w:rsid w:val="00D56118"/>
    <w:rsid w:val="00D5611F"/>
    <w:rsid w:val="00D56641"/>
    <w:rsid w:val="00D56766"/>
    <w:rsid w:val="00D56B6C"/>
    <w:rsid w:val="00D56BA5"/>
    <w:rsid w:val="00D56C02"/>
    <w:rsid w:val="00D56DFA"/>
    <w:rsid w:val="00D56F30"/>
    <w:rsid w:val="00D570E5"/>
    <w:rsid w:val="00D57256"/>
    <w:rsid w:val="00D57759"/>
    <w:rsid w:val="00D577AF"/>
    <w:rsid w:val="00D57AE7"/>
    <w:rsid w:val="00D57DA4"/>
    <w:rsid w:val="00D600F2"/>
    <w:rsid w:val="00D60152"/>
    <w:rsid w:val="00D60AE3"/>
    <w:rsid w:val="00D60B56"/>
    <w:rsid w:val="00D60B75"/>
    <w:rsid w:val="00D60B85"/>
    <w:rsid w:val="00D60BAB"/>
    <w:rsid w:val="00D60BE1"/>
    <w:rsid w:val="00D60C46"/>
    <w:rsid w:val="00D60DA2"/>
    <w:rsid w:val="00D60E05"/>
    <w:rsid w:val="00D60E22"/>
    <w:rsid w:val="00D60ED9"/>
    <w:rsid w:val="00D60F40"/>
    <w:rsid w:val="00D612D5"/>
    <w:rsid w:val="00D61302"/>
    <w:rsid w:val="00D6132F"/>
    <w:rsid w:val="00D6138D"/>
    <w:rsid w:val="00D61484"/>
    <w:rsid w:val="00D6151B"/>
    <w:rsid w:val="00D61943"/>
    <w:rsid w:val="00D61B3F"/>
    <w:rsid w:val="00D620D5"/>
    <w:rsid w:val="00D6268E"/>
    <w:rsid w:val="00D62725"/>
    <w:rsid w:val="00D62A8E"/>
    <w:rsid w:val="00D62BD5"/>
    <w:rsid w:val="00D62CF0"/>
    <w:rsid w:val="00D62D98"/>
    <w:rsid w:val="00D62DC7"/>
    <w:rsid w:val="00D62DF4"/>
    <w:rsid w:val="00D62F4D"/>
    <w:rsid w:val="00D639F0"/>
    <w:rsid w:val="00D63B69"/>
    <w:rsid w:val="00D63DAF"/>
    <w:rsid w:val="00D63EE8"/>
    <w:rsid w:val="00D6430E"/>
    <w:rsid w:val="00D6459A"/>
    <w:rsid w:val="00D6472D"/>
    <w:rsid w:val="00D648C1"/>
    <w:rsid w:val="00D64906"/>
    <w:rsid w:val="00D649AB"/>
    <w:rsid w:val="00D64A18"/>
    <w:rsid w:val="00D64BEC"/>
    <w:rsid w:val="00D64FED"/>
    <w:rsid w:val="00D65022"/>
    <w:rsid w:val="00D65109"/>
    <w:rsid w:val="00D65133"/>
    <w:rsid w:val="00D651CF"/>
    <w:rsid w:val="00D652D9"/>
    <w:rsid w:val="00D652E1"/>
    <w:rsid w:val="00D6537E"/>
    <w:rsid w:val="00D657A6"/>
    <w:rsid w:val="00D6587E"/>
    <w:rsid w:val="00D658D6"/>
    <w:rsid w:val="00D659C6"/>
    <w:rsid w:val="00D65A9E"/>
    <w:rsid w:val="00D65BF0"/>
    <w:rsid w:val="00D65C2A"/>
    <w:rsid w:val="00D65D40"/>
    <w:rsid w:val="00D66042"/>
    <w:rsid w:val="00D661C2"/>
    <w:rsid w:val="00D66350"/>
    <w:rsid w:val="00D66612"/>
    <w:rsid w:val="00D668A1"/>
    <w:rsid w:val="00D66B89"/>
    <w:rsid w:val="00D66D03"/>
    <w:rsid w:val="00D66E76"/>
    <w:rsid w:val="00D67069"/>
    <w:rsid w:val="00D670D7"/>
    <w:rsid w:val="00D67266"/>
    <w:rsid w:val="00D673FC"/>
    <w:rsid w:val="00D67489"/>
    <w:rsid w:val="00D679B2"/>
    <w:rsid w:val="00D7038F"/>
    <w:rsid w:val="00D70401"/>
    <w:rsid w:val="00D70578"/>
    <w:rsid w:val="00D70648"/>
    <w:rsid w:val="00D706ED"/>
    <w:rsid w:val="00D70D03"/>
    <w:rsid w:val="00D70D07"/>
    <w:rsid w:val="00D70DAB"/>
    <w:rsid w:val="00D70DDA"/>
    <w:rsid w:val="00D71009"/>
    <w:rsid w:val="00D71138"/>
    <w:rsid w:val="00D71153"/>
    <w:rsid w:val="00D711EA"/>
    <w:rsid w:val="00D712D3"/>
    <w:rsid w:val="00D712E9"/>
    <w:rsid w:val="00D7131C"/>
    <w:rsid w:val="00D713B6"/>
    <w:rsid w:val="00D7143B"/>
    <w:rsid w:val="00D71962"/>
    <w:rsid w:val="00D71D56"/>
    <w:rsid w:val="00D71DAA"/>
    <w:rsid w:val="00D7203D"/>
    <w:rsid w:val="00D720D0"/>
    <w:rsid w:val="00D72184"/>
    <w:rsid w:val="00D723BE"/>
    <w:rsid w:val="00D72561"/>
    <w:rsid w:val="00D7264F"/>
    <w:rsid w:val="00D72669"/>
    <w:rsid w:val="00D72776"/>
    <w:rsid w:val="00D72826"/>
    <w:rsid w:val="00D72B71"/>
    <w:rsid w:val="00D73004"/>
    <w:rsid w:val="00D73125"/>
    <w:rsid w:val="00D739DB"/>
    <w:rsid w:val="00D73AD9"/>
    <w:rsid w:val="00D73C01"/>
    <w:rsid w:val="00D73C39"/>
    <w:rsid w:val="00D73FB1"/>
    <w:rsid w:val="00D74103"/>
    <w:rsid w:val="00D74246"/>
    <w:rsid w:val="00D74452"/>
    <w:rsid w:val="00D7471A"/>
    <w:rsid w:val="00D74895"/>
    <w:rsid w:val="00D749ED"/>
    <w:rsid w:val="00D74A2B"/>
    <w:rsid w:val="00D74A2D"/>
    <w:rsid w:val="00D74AAA"/>
    <w:rsid w:val="00D74BFF"/>
    <w:rsid w:val="00D74CBE"/>
    <w:rsid w:val="00D74CD8"/>
    <w:rsid w:val="00D74E76"/>
    <w:rsid w:val="00D75028"/>
    <w:rsid w:val="00D75175"/>
    <w:rsid w:val="00D75673"/>
    <w:rsid w:val="00D757DA"/>
    <w:rsid w:val="00D75B6A"/>
    <w:rsid w:val="00D75D46"/>
    <w:rsid w:val="00D7631D"/>
    <w:rsid w:val="00D76346"/>
    <w:rsid w:val="00D765E5"/>
    <w:rsid w:val="00D765F3"/>
    <w:rsid w:val="00D7666D"/>
    <w:rsid w:val="00D7683C"/>
    <w:rsid w:val="00D76B97"/>
    <w:rsid w:val="00D76BB6"/>
    <w:rsid w:val="00D76BD6"/>
    <w:rsid w:val="00D77188"/>
    <w:rsid w:val="00D77240"/>
    <w:rsid w:val="00D77299"/>
    <w:rsid w:val="00D775BC"/>
    <w:rsid w:val="00D7764E"/>
    <w:rsid w:val="00D778CF"/>
    <w:rsid w:val="00D77B20"/>
    <w:rsid w:val="00D77D1D"/>
    <w:rsid w:val="00D77D4E"/>
    <w:rsid w:val="00D77D67"/>
    <w:rsid w:val="00D77EA7"/>
    <w:rsid w:val="00D77F2F"/>
    <w:rsid w:val="00D77FFA"/>
    <w:rsid w:val="00D8018D"/>
    <w:rsid w:val="00D801AE"/>
    <w:rsid w:val="00D80321"/>
    <w:rsid w:val="00D80379"/>
    <w:rsid w:val="00D806AB"/>
    <w:rsid w:val="00D80943"/>
    <w:rsid w:val="00D80C29"/>
    <w:rsid w:val="00D80C4B"/>
    <w:rsid w:val="00D80FAF"/>
    <w:rsid w:val="00D8124B"/>
    <w:rsid w:val="00D8154B"/>
    <w:rsid w:val="00D81845"/>
    <w:rsid w:val="00D818AE"/>
    <w:rsid w:val="00D826B6"/>
    <w:rsid w:val="00D8283B"/>
    <w:rsid w:val="00D829F7"/>
    <w:rsid w:val="00D82B73"/>
    <w:rsid w:val="00D82BC2"/>
    <w:rsid w:val="00D82EDB"/>
    <w:rsid w:val="00D830B0"/>
    <w:rsid w:val="00D8316D"/>
    <w:rsid w:val="00D8327D"/>
    <w:rsid w:val="00D83518"/>
    <w:rsid w:val="00D8359E"/>
    <w:rsid w:val="00D836B1"/>
    <w:rsid w:val="00D838A9"/>
    <w:rsid w:val="00D83B51"/>
    <w:rsid w:val="00D83C42"/>
    <w:rsid w:val="00D84304"/>
    <w:rsid w:val="00D848E5"/>
    <w:rsid w:val="00D849C0"/>
    <w:rsid w:val="00D84A20"/>
    <w:rsid w:val="00D84A55"/>
    <w:rsid w:val="00D84ECA"/>
    <w:rsid w:val="00D8525E"/>
    <w:rsid w:val="00D85567"/>
    <w:rsid w:val="00D856D9"/>
    <w:rsid w:val="00D85811"/>
    <w:rsid w:val="00D85A52"/>
    <w:rsid w:val="00D85F7F"/>
    <w:rsid w:val="00D8614E"/>
    <w:rsid w:val="00D861B8"/>
    <w:rsid w:val="00D8641A"/>
    <w:rsid w:val="00D867F8"/>
    <w:rsid w:val="00D86828"/>
    <w:rsid w:val="00D86F7F"/>
    <w:rsid w:val="00D86F89"/>
    <w:rsid w:val="00D87016"/>
    <w:rsid w:val="00D873DC"/>
    <w:rsid w:val="00D876D5"/>
    <w:rsid w:val="00D876E8"/>
    <w:rsid w:val="00D8793B"/>
    <w:rsid w:val="00D87AFC"/>
    <w:rsid w:val="00D87BE2"/>
    <w:rsid w:val="00D87C09"/>
    <w:rsid w:val="00D87C5D"/>
    <w:rsid w:val="00D87D9B"/>
    <w:rsid w:val="00D87E5B"/>
    <w:rsid w:val="00D900AA"/>
    <w:rsid w:val="00D9041B"/>
    <w:rsid w:val="00D9047E"/>
    <w:rsid w:val="00D90524"/>
    <w:rsid w:val="00D9054C"/>
    <w:rsid w:val="00D905BF"/>
    <w:rsid w:val="00D909D1"/>
    <w:rsid w:val="00D90B34"/>
    <w:rsid w:val="00D90D3D"/>
    <w:rsid w:val="00D90DBB"/>
    <w:rsid w:val="00D90DF0"/>
    <w:rsid w:val="00D90FEC"/>
    <w:rsid w:val="00D9102E"/>
    <w:rsid w:val="00D910D6"/>
    <w:rsid w:val="00D9141D"/>
    <w:rsid w:val="00D91427"/>
    <w:rsid w:val="00D91806"/>
    <w:rsid w:val="00D91BF4"/>
    <w:rsid w:val="00D91F0E"/>
    <w:rsid w:val="00D91FD7"/>
    <w:rsid w:val="00D9255B"/>
    <w:rsid w:val="00D925F0"/>
    <w:rsid w:val="00D928B3"/>
    <w:rsid w:val="00D92DA9"/>
    <w:rsid w:val="00D92ED2"/>
    <w:rsid w:val="00D92FDB"/>
    <w:rsid w:val="00D93273"/>
    <w:rsid w:val="00D93432"/>
    <w:rsid w:val="00D93446"/>
    <w:rsid w:val="00D934B0"/>
    <w:rsid w:val="00D9355C"/>
    <w:rsid w:val="00D935FB"/>
    <w:rsid w:val="00D93632"/>
    <w:rsid w:val="00D9381A"/>
    <w:rsid w:val="00D93C64"/>
    <w:rsid w:val="00D93E94"/>
    <w:rsid w:val="00D946C9"/>
    <w:rsid w:val="00D948FE"/>
    <w:rsid w:val="00D94A1A"/>
    <w:rsid w:val="00D94A30"/>
    <w:rsid w:val="00D94B11"/>
    <w:rsid w:val="00D94CB5"/>
    <w:rsid w:val="00D94CF3"/>
    <w:rsid w:val="00D9500E"/>
    <w:rsid w:val="00D95109"/>
    <w:rsid w:val="00D95120"/>
    <w:rsid w:val="00D95315"/>
    <w:rsid w:val="00D9545B"/>
    <w:rsid w:val="00D954EB"/>
    <w:rsid w:val="00D95B8A"/>
    <w:rsid w:val="00D95FB5"/>
    <w:rsid w:val="00D96343"/>
    <w:rsid w:val="00D9637F"/>
    <w:rsid w:val="00D9648A"/>
    <w:rsid w:val="00D96560"/>
    <w:rsid w:val="00D966C2"/>
    <w:rsid w:val="00D967A8"/>
    <w:rsid w:val="00D9696C"/>
    <w:rsid w:val="00D96973"/>
    <w:rsid w:val="00D96D69"/>
    <w:rsid w:val="00D96E50"/>
    <w:rsid w:val="00D96E79"/>
    <w:rsid w:val="00D96EEF"/>
    <w:rsid w:val="00D96F3B"/>
    <w:rsid w:val="00D96F7F"/>
    <w:rsid w:val="00D9710F"/>
    <w:rsid w:val="00D97FE4"/>
    <w:rsid w:val="00DA010B"/>
    <w:rsid w:val="00DA0208"/>
    <w:rsid w:val="00DA02F6"/>
    <w:rsid w:val="00DA03E9"/>
    <w:rsid w:val="00DA058E"/>
    <w:rsid w:val="00DA07B0"/>
    <w:rsid w:val="00DA0E2A"/>
    <w:rsid w:val="00DA10BA"/>
    <w:rsid w:val="00DA17E6"/>
    <w:rsid w:val="00DA18B6"/>
    <w:rsid w:val="00DA1E8D"/>
    <w:rsid w:val="00DA1EEF"/>
    <w:rsid w:val="00DA2036"/>
    <w:rsid w:val="00DA2094"/>
    <w:rsid w:val="00DA20B6"/>
    <w:rsid w:val="00DA21AC"/>
    <w:rsid w:val="00DA21BD"/>
    <w:rsid w:val="00DA2608"/>
    <w:rsid w:val="00DA2A4A"/>
    <w:rsid w:val="00DA2AAF"/>
    <w:rsid w:val="00DA2E70"/>
    <w:rsid w:val="00DA2F8E"/>
    <w:rsid w:val="00DA3027"/>
    <w:rsid w:val="00DA303C"/>
    <w:rsid w:val="00DA3082"/>
    <w:rsid w:val="00DA3151"/>
    <w:rsid w:val="00DA3333"/>
    <w:rsid w:val="00DA33F5"/>
    <w:rsid w:val="00DA3484"/>
    <w:rsid w:val="00DA37B1"/>
    <w:rsid w:val="00DA3834"/>
    <w:rsid w:val="00DA40C0"/>
    <w:rsid w:val="00DA425F"/>
    <w:rsid w:val="00DA4426"/>
    <w:rsid w:val="00DA449B"/>
    <w:rsid w:val="00DA47E6"/>
    <w:rsid w:val="00DA4AE6"/>
    <w:rsid w:val="00DA4CA0"/>
    <w:rsid w:val="00DA4D1B"/>
    <w:rsid w:val="00DA4EEC"/>
    <w:rsid w:val="00DA500E"/>
    <w:rsid w:val="00DA512C"/>
    <w:rsid w:val="00DA5224"/>
    <w:rsid w:val="00DA525E"/>
    <w:rsid w:val="00DA5D80"/>
    <w:rsid w:val="00DA5D8B"/>
    <w:rsid w:val="00DA5E04"/>
    <w:rsid w:val="00DA5FD4"/>
    <w:rsid w:val="00DA612F"/>
    <w:rsid w:val="00DA622A"/>
    <w:rsid w:val="00DA6255"/>
    <w:rsid w:val="00DA64C8"/>
    <w:rsid w:val="00DA64D6"/>
    <w:rsid w:val="00DA6765"/>
    <w:rsid w:val="00DA6B12"/>
    <w:rsid w:val="00DA6CB5"/>
    <w:rsid w:val="00DA6F2C"/>
    <w:rsid w:val="00DA7156"/>
    <w:rsid w:val="00DA76E9"/>
    <w:rsid w:val="00DA79E0"/>
    <w:rsid w:val="00DA7B05"/>
    <w:rsid w:val="00DA7FF9"/>
    <w:rsid w:val="00DB003C"/>
    <w:rsid w:val="00DB012F"/>
    <w:rsid w:val="00DB05E7"/>
    <w:rsid w:val="00DB0A19"/>
    <w:rsid w:val="00DB0CA5"/>
    <w:rsid w:val="00DB0EDD"/>
    <w:rsid w:val="00DB12E8"/>
    <w:rsid w:val="00DB1450"/>
    <w:rsid w:val="00DB1564"/>
    <w:rsid w:val="00DB157B"/>
    <w:rsid w:val="00DB17B6"/>
    <w:rsid w:val="00DB1911"/>
    <w:rsid w:val="00DB1A29"/>
    <w:rsid w:val="00DB1AC4"/>
    <w:rsid w:val="00DB1B6F"/>
    <w:rsid w:val="00DB1BAC"/>
    <w:rsid w:val="00DB1BC6"/>
    <w:rsid w:val="00DB1BDF"/>
    <w:rsid w:val="00DB1C29"/>
    <w:rsid w:val="00DB1C3B"/>
    <w:rsid w:val="00DB1DFB"/>
    <w:rsid w:val="00DB1E91"/>
    <w:rsid w:val="00DB1F69"/>
    <w:rsid w:val="00DB24A6"/>
    <w:rsid w:val="00DB2573"/>
    <w:rsid w:val="00DB275A"/>
    <w:rsid w:val="00DB2AF4"/>
    <w:rsid w:val="00DB2CF6"/>
    <w:rsid w:val="00DB2E75"/>
    <w:rsid w:val="00DB333A"/>
    <w:rsid w:val="00DB3915"/>
    <w:rsid w:val="00DB3EFF"/>
    <w:rsid w:val="00DB41BE"/>
    <w:rsid w:val="00DB4290"/>
    <w:rsid w:val="00DB4410"/>
    <w:rsid w:val="00DB44A5"/>
    <w:rsid w:val="00DB44D1"/>
    <w:rsid w:val="00DB4500"/>
    <w:rsid w:val="00DB4574"/>
    <w:rsid w:val="00DB4AA1"/>
    <w:rsid w:val="00DB4BDC"/>
    <w:rsid w:val="00DB4DF0"/>
    <w:rsid w:val="00DB4F91"/>
    <w:rsid w:val="00DB5117"/>
    <w:rsid w:val="00DB5498"/>
    <w:rsid w:val="00DB587A"/>
    <w:rsid w:val="00DB5885"/>
    <w:rsid w:val="00DB5B2E"/>
    <w:rsid w:val="00DB5DBD"/>
    <w:rsid w:val="00DB5DDB"/>
    <w:rsid w:val="00DB5EA8"/>
    <w:rsid w:val="00DB6031"/>
    <w:rsid w:val="00DB6069"/>
    <w:rsid w:val="00DB619C"/>
    <w:rsid w:val="00DB64EF"/>
    <w:rsid w:val="00DB664A"/>
    <w:rsid w:val="00DB6A8A"/>
    <w:rsid w:val="00DB6AF9"/>
    <w:rsid w:val="00DB6E24"/>
    <w:rsid w:val="00DB6EA0"/>
    <w:rsid w:val="00DB6F70"/>
    <w:rsid w:val="00DB71BE"/>
    <w:rsid w:val="00DB7309"/>
    <w:rsid w:val="00DB733A"/>
    <w:rsid w:val="00DB7463"/>
    <w:rsid w:val="00DB7715"/>
    <w:rsid w:val="00DB79B6"/>
    <w:rsid w:val="00DB79E2"/>
    <w:rsid w:val="00DB7C07"/>
    <w:rsid w:val="00DB7DD7"/>
    <w:rsid w:val="00DB7E0B"/>
    <w:rsid w:val="00DB7EFE"/>
    <w:rsid w:val="00DC0156"/>
    <w:rsid w:val="00DC03A5"/>
    <w:rsid w:val="00DC04E4"/>
    <w:rsid w:val="00DC06B9"/>
    <w:rsid w:val="00DC06C6"/>
    <w:rsid w:val="00DC09C7"/>
    <w:rsid w:val="00DC0A7E"/>
    <w:rsid w:val="00DC0F76"/>
    <w:rsid w:val="00DC1175"/>
    <w:rsid w:val="00DC1258"/>
    <w:rsid w:val="00DC1333"/>
    <w:rsid w:val="00DC13D0"/>
    <w:rsid w:val="00DC14AF"/>
    <w:rsid w:val="00DC1720"/>
    <w:rsid w:val="00DC1892"/>
    <w:rsid w:val="00DC1E8F"/>
    <w:rsid w:val="00DC2006"/>
    <w:rsid w:val="00DC2451"/>
    <w:rsid w:val="00DC2B02"/>
    <w:rsid w:val="00DC2B06"/>
    <w:rsid w:val="00DC3113"/>
    <w:rsid w:val="00DC329C"/>
    <w:rsid w:val="00DC32E8"/>
    <w:rsid w:val="00DC3405"/>
    <w:rsid w:val="00DC3482"/>
    <w:rsid w:val="00DC361D"/>
    <w:rsid w:val="00DC3633"/>
    <w:rsid w:val="00DC36C9"/>
    <w:rsid w:val="00DC38DC"/>
    <w:rsid w:val="00DC3A08"/>
    <w:rsid w:val="00DC4108"/>
    <w:rsid w:val="00DC493E"/>
    <w:rsid w:val="00DC4C7C"/>
    <w:rsid w:val="00DC4EA4"/>
    <w:rsid w:val="00DC4EC7"/>
    <w:rsid w:val="00DC4F64"/>
    <w:rsid w:val="00DC50C5"/>
    <w:rsid w:val="00DC55AF"/>
    <w:rsid w:val="00DC5740"/>
    <w:rsid w:val="00DC5848"/>
    <w:rsid w:val="00DC5965"/>
    <w:rsid w:val="00DC59D5"/>
    <w:rsid w:val="00DC5BDC"/>
    <w:rsid w:val="00DC6135"/>
    <w:rsid w:val="00DC6141"/>
    <w:rsid w:val="00DC64A7"/>
    <w:rsid w:val="00DC67C5"/>
    <w:rsid w:val="00DC67FA"/>
    <w:rsid w:val="00DC6800"/>
    <w:rsid w:val="00DC68F8"/>
    <w:rsid w:val="00DC6908"/>
    <w:rsid w:val="00DC6ABF"/>
    <w:rsid w:val="00DC6AD9"/>
    <w:rsid w:val="00DC6FBF"/>
    <w:rsid w:val="00DC72DE"/>
    <w:rsid w:val="00DC7404"/>
    <w:rsid w:val="00DC7562"/>
    <w:rsid w:val="00DC778A"/>
    <w:rsid w:val="00DC7982"/>
    <w:rsid w:val="00DC79B1"/>
    <w:rsid w:val="00DC7A25"/>
    <w:rsid w:val="00DC7ACE"/>
    <w:rsid w:val="00DC7D52"/>
    <w:rsid w:val="00DC7F9F"/>
    <w:rsid w:val="00DD03A2"/>
    <w:rsid w:val="00DD042E"/>
    <w:rsid w:val="00DD0953"/>
    <w:rsid w:val="00DD0B8D"/>
    <w:rsid w:val="00DD0D52"/>
    <w:rsid w:val="00DD0F67"/>
    <w:rsid w:val="00DD1113"/>
    <w:rsid w:val="00DD134C"/>
    <w:rsid w:val="00DD15B8"/>
    <w:rsid w:val="00DD1A95"/>
    <w:rsid w:val="00DD1EE4"/>
    <w:rsid w:val="00DD223A"/>
    <w:rsid w:val="00DD2856"/>
    <w:rsid w:val="00DD2888"/>
    <w:rsid w:val="00DD28D8"/>
    <w:rsid w:val="00DD2AC8"/>
    <w:rsid w:val="00DD2B52"/>
    <w:rsid w:val="00DD2BD9"/>
    <w:rsid w:val="00DD2BF9"/>
    <w:rsid w:val="00DD2C81"/>
    <w:rsid w:val="00DD2ECB"/>
    <w:rsid w:val="00DD31A7"/>
    <w:rsid w:val="00DD38AC"/>
    <w:rsid w:val="00DD3942"/>
    <w:rsid w:val="00DD3A30"/>
    <w:rsid w:val="00DD3A49"/>
    <w:rsid w:val="00DD3BEF"/>
    <w:rsid w:val="00DD3E6C"/>
    <w:rsid w:val="00DD3F59"/>
    <w:rsid w:val="00DD519F"/>
    <w:rsid w:val="00DD5263"/>
    <w:rsid w:val="00DD533C"/>
    <w:rsid w:val="00DD56B4"/>
    <w:rsid w:val="00DD56E7"/>
    <w:rsid w:val="00DD5B7C"/>
    <w:rsid w:val="00DD5E80"/>
    <w:rsid w:val="00DD62D8"/>
    <w:rsid w:val="00DD6587"/>
    <w:rsid w:val="00DD6627"/>
    <w:rsid w:val="00DD6686"/>
    <w:rsid w:val="00DD6879"/>
    <w:rsid w:val="00DD69DB"/>
    <w:rsid w:val="00DD6A18"/>
    <w:rsid w:val="00DD6EA9"/>
    <w:rsid w:val="00DD6F50"/>
    <w:rsid w:val="00DD711C"/>
    <w:rsid w:val="00DD7277"/>
    <w:rsid w:val="00DD7324"/>
    <w:rsid w:val="00DD740B"/>
    <w:rsid w:val="00DD74EC"/>
    <w:rsid w:val="00DD7BDA"/>
    <w:rsid w:val="00DD7C97"/>
    <w:rsid w:val="00DD7D7E"/>
    <w:rsid w:val="00DD7E38"/>
    <w:rsid w:val="00DD7FF2"/>
    <w:rsid w:val="00DE00F7"/>
    <w:rsid w:val="00DE02B1"/>
    <w:rsid w:val="00DE06DD"/>
    <w:rsid w:val="00DE0C97"/>
    <w:rsid w:val="00DE0F7D"/>
    <w:rsid w:val="00DE0FF6"/>
    <w:rsid w:val="00DE102D"/>
    <w:rsid w:val="00DE12BD"/>
    <w:rsid w:val="00DE1477"/>
    <w:rsid w:val="00DE188B"/>
    <w:rsid w:val="00DE1A68"/>
    <w:rsid w:val="00DE1C93"/>
    <w:rsid w:val="00DE2496"/>
    <w:rsid w:val="00DE2513"/>
    <w:rsid w:val="00DE2952"/>
    <w:rsid w:val="00DE2A8F"/>
    <w:rsid w:val="00DE2B4B"/>
    <w:rsid w:val="00DE2E20"/>
    <w:rsid w:val="00DE2F64"/>
    <w:rsid w:val="00DE3210"/>
    <w:rsid w:val="00DE3434"/>
    <w:rsid w:val="00DE3649"/>
    <w:rsid w:val="00DE37AB"/>
    <w:rsid w:val="00DE3900"/>
    <w:rsid w:val="00DE395E"/>
    <w:rsid w:val="00DE3AB0"/>
    <w:rsid w:val="00DE41C5"/>
    <w:rsid w:val="00DE41C6"/>
    <w:rsid w:val="00DE4393"/>
    <w:rsid w:val="00DE45D1"/>
    <w:rsid w:val="00DE471D"/>
    <w:rsid w:val="00DE475D"/>
    <w:rsid w:val="00DE4767"/>
    <w:rsid w:val="00DE48E7"/>
    <w:rsid w:val="00DE499A"/>
    <w:rsid w:val="00DE4A0A"/>
    <w:rsid w:val="00DE4E22"/>
    <w:rsid w:val="00DE4E46"/>
    <w:rsid w:val="00DE5044"/>
    <w:rsid w:val="00DE50E0"/>
    <w:rsid w:val="00DE518E"/>
    <w:rsid w:val="00DE5726"/>
    <w:rsid w:val="00DE5875"/>
    <w:rsid w:val="00DE589B"/>
    <w:rsid w:val="00DE5922"/>
    <w:rsid w:val="00DE5B65"/>
    <w:rsid w:val="00DE5B8F"/>
    <w:rsid w:val="00DE5C53"/>
    <w:rsid w:val="00DE5F84"/>
    <w:rsid w:val="00DE61B6"/>
    <w:rsid w:val="00DE6354"/>
    <w:rsid w:val="00DE65A8"/>
    <w:rsid w:val="00DE6A68"/>
    <w:rsid w:val="00DE6AEA"/>
    <w:rsid w:val="00DE6CDC"/>
    <w:rsid w:val="00DE6D43"/>
    <w:rsid w:val="00DE6DC7"/>
    <w:rsid w:val="00DE7099"/>
    <w:rsid w:val="00DE710D"/>
    <w:rsid w:val="00DE72AE"/>
    <w:rsid w:val="00DE763A"/>
    <w:rsid w:val="00DE7B31"/>
    <w:rsid w:val="00DE7B8C"/>
    <w:rsid w:val="00DE7C14"/>
    <w:rsid w:val="00DE7EB9"/>
    <w:rsid w:val="00DF01D3"/>
    <w:rsid w:val="00DF03A4"/>
    <w:rsid w:val="00DF0CC3"/>
    <w:rsid w:val="00DF0FAA"/>
    <w:rsid w:val="00DF10A4"/>
    <w:rsid w:val="00DF14BB"/>
    <w:rsid w:val="00DF16A3"/>
    <w:rsid w:val="00DF1854"/>
    <w:rsid w:val="00DF1B2F"/>
    <w:rsid w:val="00DF1BCB"/>
    <w:rsid w:val="00DF1D8F"/>
    <w:rsid w:val="00DF2156"/>
    <w:rsid w:val="00DF216C"/>
    <w:rsid w:val="00DF2194"/>
    <w:rsid w:val="00DF2413"/>
    <w:rsid w:val="00DF2778"/>
    <w:rsid w:val="00DF2820"/>
    <w:rsid w:val="00DF28D5"/>
    <w:rsid w:val="00DF29BD"/>
    <w:rsid w:val="00DF2CCE"/>
    <w:rsid w:val="00DF2EBF"/>
    <w:rsid w:val="00DF32CD"/>
    <w:rsid w:val="00DF341B"/>
    <w:rsid w:val="00DF360F"/>
    <w:rsid w:val="00DF3672"/>
    <w:rsid w:val="00DF3804"/>
    <w:rsid w:val="00DF39E9"/>
    <w:rsid w:val="00DF3C54"/>
    <w:rsid w:val="00DF3DC6"/>
    <w:rsid w:val="00DF3F07"/>
    <w:rsid w:val="00DF4208"/>
    <w:rsid w:val="00DF427F"/>
    <w:rsid w:val="00DF42EC"/>
    <w:rsid w:val="00DF431B"/>
    <w:rsid w:val="00DF445E"/>
    <w:rsid w:val="00DF45EC"/>
    <w:rsid w:val="00DF4936"/>
    <w:rsid w:val="00DF499F"/>
    <w:rsid w:val="00DF4A46"/>
    <w:rsid w:val="00DF4A65"/>
    <w:rsid w:val="00DF4A8D"/>
    <w:rsid w:val="00DF4B4B"/>
    <w:rsid w:val="00DF4B81"/>
    <w:rsid w:val="00DF4EB7"/>
    <w:rsid w:val="00DF5269"/>
    <w:rsid w:val="00DF54C1"/>
    <w:rsid w:val="00DF564F"/>
    <w:rsid w:val="00DF5BD8"/>
    <w:rsid w:val="00DF5BF1"/>
    <w:rsid w:val="00DF613E"/>
    <w:rsid w:val="00DF6593"/>
    <w:rsid w:val="00DF67E6"/>
    <w:rsid w:val="00DF683B"/>
    <w:rsid w:val="00DF6A04"/>
    <w:rsid w:val="00DF6ADE"/>
    <w:rsid w:val="00DF6BB6"/>
    <w:rsid w:val="00DF6E3E"/>
    <w:rsid w:val="00DF7122"/>
    <w:rsid w:val="00DF74D9"/>
    <w:rsid w:val="00DF77B1"/>
    <w:rsid w:val="00DF7805"/>
    <w:rsid w:val="00E00716"/>
    <w:rsid w:val="00E00C77"/>
    <w:rsid w:val="00E00DA3"/>
    <w:rsid w:val="00E00DCD"/>
    <w:rsid w:val="00E00F03"/>
    <w:rsid w:val="00E01300"/>
    <w:rsid w:val="00E01321"/>
    <w:rsid w:val="00E0151B"/>
    <w:rsid w:val="00E015C0"/>
    <w:rsid w:val="00E01813"/>
    <w:rsid w:val="00E01994"/>
    <w:rsid w:val="00E01B87"/>
    <w:rsid w:val="00E01C3B"/>
    <w:rsid w:val="00E01EC3"/>
    <w:rsid w:val="00E01ECF"/>
    <w:rsid w:val="00E021D1"/>
    <w:rsid w:val="00E02450"/>
    <w:rsid w:val="00E02763"/>
    <w:rsid w:val="00E0285C"/>
    <w:rsid w:val="00E0291B"/>
    <w:rsid w:val="00E02998"/>
    <w:rsid w:val="00E029A3"/>
    <w:rsid w:val="00E02F8C"/>
    <w:rsid w:val="00E03230"/>
    <w:rsid w:val="00E03586"/>
    <w:rsid w:val="00E0360B"/>
    <w:rsid w:val="00E0396E"/>
    <w:rsid w:val="00E03A96"/>
    <w:rsid w:val="00E03B0B"/>
    <w:rsid w:val="00E03D82"/>
    <w:rsid w:val="00E03E15"/>
    <w:rsid w:val="00E03F67"/>
    <w:rsid w:val="00E04490"/>
    <w:rsid w:val="00E046E2"/>
    <w:rsid w:val="00E048ED"/>
    <w:rsid w:val="00E05788"/>
    <w:rsid w:val="00E05BEF"/>
    <w:rsid w:val="00E05D56"/>
    <w:rsid w:val="00E05F0F"/>
    <w:rsid w:val="00E062D0"/>
    <w:rsid w:val="00E06309"/>
    <w:rsid w:val="00E063B4"/>
    <w:rsid w:val="00E063DB"/>
    <w:rsid w:val="00E06613"/>
    <w:rsid w:val="00E0662D"/>
    <w:rsid w:val="00E068E1"/>
    <w:rsid w:val="00E06905"/>
    <w:rsid w:val="00E06BE1"/>
    <w:rsid w:val="00E06D1E"/>
    <w:rsid w:val="00E06EB5"/>
    <w:rsid w:val="00E06F64"/>
    <w:rsid w:val="00E07042"/>
    <w:rsid w:val="00E072CC"/>
    <w:rsid w:val="00E07467"/>
    <w:rsid w:val="00E078C9"/>
    <w:rsid w:val="00E079B8"/>
    <w:rsid w:val="00E07A98"/>
    <w:rsid w:val="00E10293"/>
    <w:rsid w:val="00E1053C"/>
    <w:rsid w:val="00E105A9"/>
    <w:rsid w:val="00E108A4"/>
    <w:rsid w:val="00E10962"/>
    <w:rsid w:val="00E10964"/>
    <w:rsid w:val="00E10C42"/>
    <w:rsid w:val="00E10DB2"/>
    <w:rsid w:val="00E10EB7"/>
    <w:rsid w:val="00E118EC"/>
    <w:rsid w:val="00E11C24"/>
    <w:rsid w:val="00E11C59"/>
    <w:rsid w:val="00E11D55"/>
    <w:rsid w:val="00E12457"/>
    <w:rsid w:val="00E12738"/>
    <w:rsid w:val="00E12871"/>
    <w:rsid w:val="00E12CF2"/>
    <w:rsid w:val="00E12D46"/>
    <w:rsid w:val="00E12D87"/>
    <w:rsid w:val="00E12DB3"/>
    <w:rsid w:val="00E12E44"/>
    <w:rsid w:val="00E12E63"/>
    <w:rsid w:val="00E12FD9"/>
    <w:rsid w:val="00E13106"/>
    <w:rsid w:val="00E132E8"/>
    <w:rsid w:val="00E13362"/>
    <w:rsid w:val="00E133DF"/>
    <w:rsid w:val="00E13450"/>
    <w:rsid w:val="00E13E48"/>
    <w:rsid w:val="00E140AC"/>
    <w:rsid w:val="00E142C2"/>
    <w:rsid w:val="00E14900"/>
    <w:rsid w:val="00E1498C"/>
    <w:rsid w:val="00E14A98"/>
    <w:rsid w:val="00E14D19"/>
    <w:rsid w:val="00E14D94"/>
    <w:rsid w:val="00E15056"/>
    <w:rsid w:val="00E15061"/>
    <w:rsid w:val="00E1514D"/>
    <w:rsid w:val="00E15976"/>
    <w:rsid w:val="00E15A49"/>
    <w:rsid w:val="00E15A4F"/>
    <w:rsid w:val="00E15AD5"/>
    <w:rsid w:val="00E15DB1"/>
    <w:rsid w:val="00E15E29"/>
    <w:rsid w:val="00E15EB1"/>
    <w:rsid w:val="00E16197"/>
    <w:rsid w:val="00E1653F"/>
    <w:rsid w:val="00E166C4"/>
    <w:rsid w:val="00E16ABA"/>
    <w:rsid w:val="00E16E42"/>
    <w:rsid w:val="00E16E73"/>
    <w:rsid w:val="00E170BE"/>
    <w:rsid w:val="00E17191"/>
    <w:rsid w:val="00E174E0"/>
    <w:rsid w:val="00E17552"/>
    <w:rsid w:val="00E17615"/>
    <w:rsid w:val="00E17777"/>
    <w:rsid w:val="00E17D0F"/>
    <w:rsid w:val="00E17D83"/>
    <w:rsid w:val="00E17FA2"/>
    <w:rsid w:val="00E17FBD"/>
    <w:rsid w:val="00E1F7D4"/>
    <w:rsid w:val="00E20229"/>
    <w:rsid w:val="00E2049C"/>
    <w:rsid w:val="00E20861"/>
    <w:rsid w:val="00E21149"/>
    <w:rsid w:val="00E211E1"/>
    <w:rsid w:val="00E213FD"/>
    <w:rsid w:val="00E21457"/>
    <w:rsid w:val="00E214C3"/>
    <w:rsid w:val="00E21830"/>
    <w:rsid w:val="00E2185A"/>
    <w:rsid w:val="00E21B03"/>
    <w:rsid w:val="00E21F78"/>
    <w:rsid w:val="00E22103"/>
    <w:rsid w:val="00E22272"/>
    <w:rsid w:val="00E222A0"/>
    <w:rsid w:val="00E222C3"/>
    <w:rsid w:val="00E22445"/>
    <w:rsid w:val="00E224A9"/>
    <w:rsid w:val="00E2265B"/>
    <w:rsid w:val="00E22A45"/>
    <w:rsid w:val="00E22B4E"/>
    <w:rsid w:val="00E22DC5"/>
    <w:rsid w:val="00E2362A"/>
    <w:rsid w:val="00E2382B"/>
    <w:rsid w:val="00E238F6"/>
    <w:rsid w:val="00E23968"/>
    <w:rsid w:val="00E24039"/>
    <w:rsid w:val="00E2447C"/>
    <w:rsid w:val="00E2460D"/>
    <w:rsid w:val="00E24A5B"/>
    <w:rsid w:val="00E24AC7"/>
    <w:rsid w:val="00E24D14"/>
    <w:rsid w:val="00E24D62"/>
    <w:rsid w:val="00E25154"/>
    <w:rsid w:val="00E251E1"/>
    <w:rsid w:val="00E251EB"/>
    <w:rsid w:val="00E252DF"/>
    <w:rsid w:val="00E254D6"/>
    <w:rsid w:val="00E25511"/>
    <w:rsid w:val="00E255F4"/>
    <w:rsid w:val="00E25964"/>
    <w:rsid w:val="00E259A5"/>
    <w:rsid w:val="00E25A35"/>
    <w:rsid w:val="00E25A5B"/>
    <w:rsid w:val="00E260A3"/>
    <w:rsid w:val="00E260D3"/>
    <w:rsid w:val="00E26116"/>
    <w:rsid w:val="00E26755"/>
    <w:rsid w:val="00E26981"/>
    <w:rsid w:val="00E269CD"/>
    <w:rsid w:val="00E26A2B"/>
    <w:rsid w:val="00E26C3E"/>
    <w:rsid w:val="00E26D15"/>
    <w:rsid w:val="00E26E04"/>
    <w:rsid w:val="00E26EFF"/>
    <w:rsid w:val="00E27095"/>
    <w:rsid w:val="00E27238"/>
    <w:rsid w:val="00E27471"/>
    <w:rsid w:val="00E275D9"/>
    <w:rsid w:val="00E27710"/>
    <w:rsid w:val="00E27724"/>
    <w:rsid w:val="00E2773E"/>
    <w:rsid w:val="00E27D42"/>
    <w:rsid w:val="00E27DDB"/>
    <w:rsid w:val="00E301D5"/>
    <w:rsid w:val="00E301F3"/>
    <w:rsid w:val="00E3026E"/>
    <w:rsid w:val="00E303AA"/>
    <w:rsid w:val="00E305E7"/>
    <w:rsid w:val="00E3064A"/>
    <w:rsid w:val="00E30748"/>
    <w:rsid w:val="00E30851"/>
    <w:rsid w:val="00E3087D"/>
    <w:rsid w:val="00E30BA1"/>
    <w:rsid w:val="00E30C00"/>
    <w:rsid w:val="00E30D12"/>
    <w:rsid w:val="00E30E65"/>
    <w:rsid w:val="00E31147"/>
    <w:rsid w:val="00E311FF"/>
    <w:rsid w:val="00E31232"/>
    <w:rsid w:val="00E31316"/>
    <w:rsid w:val="00E31695"/>
    <w:rsid w:val="00E31702"/>
    <w:rsid w:val="00E31B0F"/>
    <w:rsid w:val="00E31B15"/>
    <w:rsid w:val="00E31B75"/>
    <w:rsid w:val="00E31C3C"/>
    <w:rsid w:val="00E31D35"/>
    <w:rsid w:val="00E31E24"/>
    <w:rsid w:val="00E31F37"/>
    <w:rsid w:val="00E320C1"/>
    <w:rsid w:val="00E323C1"/>
    <w:rsid w:val="00E323DB"/>
    <w:rsid w:val="00E3242E"/>
    <w:rsid w:val="00E32972"/>
    <w:rsid w:val="00E32CBF"/>
    <w:rsid w:val="00E32CCF"/>
    <w:rsid w:val="00E32D1F"/>
    <w:rsid w:val="00E330C9"/>
    <w:rsid w:val="00E3330E"/>
    <w:rsid w:val="00E3351F"/>
    <w:rsid w:val="00E336F1"/>
    <w:rsid w:val="00E336FE"/>
    <w:rsid w:val="00E3375C"/>
    <w:rsid w:val="00E33951"/>
    <w:rsid w:val="00E33992"/>
    <w:rsid w:val="00E33B3F"/>
    <w:rsid w:val="00E3415A"/>
    <w:rsid w:val="00E34307"/>
    <w:rsid w:val="00E343AD"/>
    <w:rsid w:val="00E346C0"/>
    <w:rsid w:val="00E34C2E"/>
    <w:rsid w:val="00E34E1E"/>
    <w:rsid w:val="00E35066"/>
    <w:rsid w:val="00E35218"/>
    <w:rsid w:val="00E354CD"/>
    <w:rsid w:val="00E355A9"/>
    <w:rsid w:val="00E357E0"/>
    <w:rsid w:val="00E358DC"/>
    <w:rsid w:val="00E35937"/>
    <w:rsid w:val="00E35A0E"/>
    <w:rsid w:val="00E35F05"/>
    <w:rsid w:val="00E35FEE"/>
    <w:rsid w:val="00E36171"/>
    <w:rsid w:val="00E3622D"/>
    <w:rsid w:val="00E364BB"/>
    <w:rsid w:val="00E3670E"/>
    <w:rsid w:val="00E3691E"/>
    <w:rsid w:val="00E36B5B"/>
    <w:rsid w:val="00E37735"/>
    <w:rsid w:val="00E377A2"/>
    <w:rsid w:val="00E378B0"/>
    <w:rsid w:val="00E37967"/>
    <w:rsid w:val="00E37A38"/>
    <w:rsid w:val="00E37AD8"/>
    <w:rsid w:val="00E37F9D"/>
    <w:rsid w:val="00E40120"/>
    <w:rsid w:val="00E40176"/>
    <w:rsid w:val="00E402F1"/>
    <w:rsid w:val="00E4042A"/>
    <w:rsid w:val="00E4056E"/>
    <w:rsid w:val="00E405AB"/>
    <w:rsid w:val="00E40768"/>
    <w:rsid w:val="00E40DAE"/>
    <w:rsid w:val="00E40F62"/>
    <w:rsid w:val="00E40F88"/>
    <w:rsid w:val="00E4137B"/>
    <w:rsid w:val="00E41421"/>
    <w:rsid w:val="00E415FF"/>
    <w:rsid w:val="00E41781"/>
    <w:rsid w:val="00E4196A"/>
    <w:rsid w:val="00E419C5"/>
    <w:rsid w:val="00E41AAA"/>
    <w:rsid w:val="00E41C44"/>
    <w:rsid w:val="00E41EAF"/>
    <w:rsid w:val="00E4287C"/>
    <w:rsid w:val="00E429C6"/>
    <w:rsid w:val="00E42BA2"/>
    <w:rsid w:val="00E42BC9"/>
    <w:rsid w:val="00E42CBC"/>
    <w:rsid w:val="00E42EFC"/>
    <w:rsid w:val="00E4300A"/>
    <w:rsid w:val="00E430E1"/>
    <w:rsid w:val="00E4313C"/>
    <w:rsid w:val="00E43249"/>
    <w:rsid w:val="00E432F4"/>
    <w:rsid w:val="00E436A2"/>
    <w:rsid w:val="00E437E4"/>
    <w:rsid w:val="00E4381D"/>
    <w:rsid w:val="00E43F68"/>
    <w:rsid w:val="00E4425A"/>
    <w:rsid w:val="00E442F3"/>
    <w:rsid w:val="00E443EF"/>
    <w:rsid w:val="00E44412"/>
    <w:rsid w:val="00E4475F"/>
    <w:rsid w:val="00E44770"/>
    <w:rsid w:val="00E44AB6"/>
    <w:rsid w:val="00E44BE8"/>
    <w:rsid w:val="00E44C6F"/>
    <w:rsid w:val="00E44F4F"/>
    <w:rsid w:val="00E44FBA"/>
    <w:rsid w:val="00E450B0"/>
    <w:rsid w:val="00E453E9"/>
    <w:rsid w:val="00E458BC"/>
    <w:rsid w:val="00E458D8"/>
    <w:rsid w:val="00E46AE4"/>
    <w:rsid w:val="00E46BFD"/>
    <w:rsid w:val="00E46CA3"/>
    <w:rsid w:val="00E46CEB"/>
    <w:rsid w:val="00E47463"/>
    <w:rsid w:val="00E4794B"/>
    <w:rsid w:val="00E47D1F"/>
    <w:rsid w:val="00E50069"/>
    <w:rsid w:val="00E50153"/>
    <w:rsid w:val="00E50657"/>
    <w:rsid w:val="00E5075F"/>
    <w:rsid w:val="00E50A98"/>
    <w:rsid w:val="00E50E52"/>
    <w:rsid w:val="00E511D0"/>
    <w:rsid w:val="00E512C7"/>
    <w:rsid w:val="00E51391"/>
    <w:rsid w:val="00E51421"/>
    <w:rsid w:val="00E51507"/>
    <w:rsid w:val="00E5154F"/>
    <w:rsid w:val="00E51832"/>
    <w:rsid w:val="00E518A7"/>
    <w:rsid w:val="00E51BD1"/>
    <w:rsid w:val="00E51D24"/>
    <w:rsid w:val="00E5233E"/>
    <w:rsid w:val="00E528EC"/>
    <w:rsid w:val="00E529F5"/>
    <w:rsid w:val="00E52C44"/>
    <w:rsid w:val="00E53251"/>
    <w:rsid w:val="00E5349C"/>
    <w:rsid w:val="00E534E3"/>
    <w:rsid w:val="00E5351A"/>
    <w:rsid w:val="00E5356B"/>
    <w:rsid w:val="00E53717"/>
    <w:rsid w:val="00E538D5"/>
    <w:rsid w:val="00E53B19"/>
    <w:rsid w:val="00E53B9F"/>
    <w:rsid w:val="00E53DBF"/>
    <w:rsid w:val="00E53E00"/>
    <w:rsid w:val="00E54013"/>
    <w:rsid w:val="00E540C8"/>
    <w:rsid w:val="00E54221"/>
    <w:rsid w:val="00E545E6"/>
    <w:rsid w:val="00E54845"/>
    <w:rsid w:val="00E54CC7"/>
    <w:rsid w:val="00E55235"/>
    <w:rsid w:val="00E55341"/>
    <w:rsid w:val="00E55490"/>
    <w:rsid w:val="00E554CF"/>
    <w:rsid w:val="00E55620"/>
    <w:rsid w:val="00E558DB"/>
    <w:rsid w:val="00E55BC7"/>
    <w:rsid w:val="00E55C19"/>
    <w:rsid w:val="00E55E03"/>
    <w:rsid w:val="00E55EC9"/>
    <w:rsid w:val="00E5650A"/>
    <w:rsid w:val="00E5657B"/>
    <w:rsid w:val="00E56787"/>
    <w:rsid w:val="00E567FB"/>
    <w:rsid w:val="00E56860"/>
    <w:rsid w:val="00E5695F"/>
    <w:rsid w:val="00E56D78"/>
    <w:rsid w:val="00E56D97"/>
    <w:rsid w:val="00E56E05"/>
    <w:rsid w:val="00E570AC"/>
    <w:rsid w:val="00E5729B"/>
    <w:rsid w:val="00E574EC"/>
    <w:rsid w:val="00E57996"/>
    <w:rsid w:val="00E57F55"/>
    <w:rsid w:val="00E57F9C"/>
    <w:rsid w:val="00E57FCD"/>
    <w:rsid w:val="00E57FEB"/>
    <w:rsid w:val="00E60065"/>
    <w:rsid w:val="00E604F4"/>
    <w:rsid w:val="00E606CC"/>
    <w:rsid w:val="00E60B46"/>
    <w:rsid w:val="00E60B85"/>
    <w:rsid w:val="00E60B86"/>
    <w:rsid w:val="00E60B9C"/>
    <w:rsid w:val="00E60D54"/>
    <w:rsid w:val="00E60FA2"/>
    <w:rsid w:val="00E6106F"/>
    <w:rsid w:val="00E6107B"/>
    <w:rsid w:val="00E61455"/>
    <w:rsid w:val="00E61588"/>
    <w:rsid w:val="00E615F9"/>
    <w:rsid w:val="00E61891"/>
    <w:rsid w:val="00E6193C"/>
    <w:rsid w:val="00E619D7"/>
    <w:rsid w:val="00E61E6E"/>
    <w:rsid w:val="00E61FD7"/>
    <w:rsid w:val="00E622A2"/>
    <w:rsid w:val="00E6232F"/>
    <w:rsid w:val="00E623BB"/>
    <w:rsid w:val="00E6254A"/>
    <w:rsid w:val="00E6270A"/>
    <w:rsid w:val="00E627E9"/>
    <w:rsid w:val="00E627F0"/>
    <w:rsid w:val="00E629E6"/>
    <w:rsid w:val="00E62BC2"/>
    <w:rsid w:val="00E62C09"/>
    <w:rsid w:val="00E62DCF"/>
    <w:rsid w:val="00E62EE4"/>
    <w:rsid w:val="00E62FF6"/>
    <w:rsid w:val="00E6333F"/>
    <w:rsid w:val="00E63622"/>
    <w:rsid w:val="00E63A2B"/>
    <w:rsid w:val="00E63A8F"/>
    <w:rsid w:val="00E63D1A"/>
    <w:rsid w:val="00E63DAA"/>
    <w:rsid w:val="00E640C8"/>
    <w:rsid w:val="00E643DE"/>
    <w:rsid w:val="00E64781"/>
    <w:rsid w:val="00E6484B"/>
    <w:rsid w:val="00E648D4"/>
    <w:rsid w:val="00E64D75"/>
    <w:rsid w:val="00E65262"/>
    <w:rsid w:val="00E657B2"/>
    <w:rsid w:val="00E65850"/>
    <w:rsid w:val="00E65A22"/>
    <w:rsid w:val="00E65DBF"/>
    <w:rsid w:val="00E65FE1"/>
    <w:rsid w:val="00E6605F"/>
    <w:rsid w:val="00E6607C"/>
    <w:rsid w:val="00E661C1"/>
    <w:rsid w:val="00E66326"/>
    <w:rsid w:val="00E6684D"/>
    <w:rsid w:val="00E66B90"/>
    <w:rsid w:val="00E66EF1"/>
    <w:rsid w:val="00E66F1A"/>
    <w:rsid w:val="00E670AE"/>
    <w:rsid w:val="00E67134"/>
    <w:rsid w:val="00E671CC"/>
    <w:rsid w:val="00E67A11"/>
    <w:rsid w:val="00E67AB4"/>
    <w:rsid w:val="00E67BB2"/>
    <w:rsid w:val="00E70260"/>
    <w:rsid w:val="00E704BA"/>
    <w:rsid w:val="00E70571"/>
    <w:rsid w:val="00E706D1"/>
    <w:rsid w:val="00E70AF2"/>
    <w:rsid w:val="00E70F31"/>
    <w:rsid w:val="00E71011"/>
    <w:rsid w:val="00E71106"/>
    <w:rsid w:val="00E71127"/>
    <w:rsid w:val="00E71189"/>
    <w:rsid w:val="00E714BB"/>
    <w:rsid w:val="00E71518"/>
    <w:rsid w:val="00E71650"/>
    <w:rsid w:val="00E71AB8"/>
    <w:rsid w:val="00E71ACD"/>
    <w:rsid w:val="00E71BC6"/>
    <w:rsid w:val="00E71F14"/>
    <w:rsid w:val="00E7213B"/>
    <w:rsid w:val="00E7221D"/>
    <w:rsid w:val="00E72719"/>
    <w:rsid w:val="00E72E37"/>
    <w:rsid w:val="00E7311C"/>
    <w:rsid w:val="00E73430"/>
    <w:rsid w:val="00E73467"/>
    <w:rsid w:val="00E736C2"/>
    <w:rsid w:val="00E73776"/>
    <w:rsid w:val="00E7383A"/>
    <w:rsid w:val="00E73A59"/>
    <w:rsid w:val="00E73AED"/>
    <w:rsid w:val="00E73C2B"/>
    <w:rsid w:val="00E73DA1"/>
    <w:rsid w:val="00E74210"/>
    <w:rsid w:val="00E74308"/>
    <w:rsid w:val="00E7448C"/>
    <w:rsid w:val="00E7470D"/>
    <w:rsid w:val="00E7486E"/>
    <w:rsid w:val="00E749EE"/>
    <w:rsid w:val="00E74C16"/>
    <w:rsid w:val="00E74F03"/>
    <w:rsid w:val="00E75169"/>
    <w:rsid w:val="00E752D6"/>
    <w:rsid w:val="00E7557F"/>
    <w:rsid w:val="00E758DE"/>
    <w:rsid w:val="00E759A7"/>
    <w:rsid w:val="00E75C9E"/>
    <w:rsid w:val="00E75DF9"/>
    <w:rsid w:val="00E75FF0"/>
    <w:rsid w:val="00E7615F"/>
    <w:rsid w:val="00E76860"/>
    <w:rsid w:val="00E7699F"/>
    <w:rsid w:val="00E76AAD"/>
    <w:rsid w:val="00E76AB0"/>
    <w:rsid w:val="00E76AE0"/>
    <w:rsid w:val="00E76BB2"/>
    <w:rsid w:val="00E76E1A"/>
    <w:rsid w:val="00E76E82"/>
    <w:rsid w:val="00E76FB3"/>
    <w:rsid w:val="00E77020"/>
    <w:rsid w:val="00E77154"/>
    <w:rsid w:val="00E771CE"/>
    <w:rsid w:val="00E7724D"/>
    <w:rsid w:val="00E772A2"/>
    <w:rsid w:val="00E77384"/>
    <w:rsid w:val="00E775A4"/>
    <w:rsid w:val="00E7762A"/>
    <w:rsid w:val="00E7765A"/>
    <w:rsid w:val="00E77A08"/>
    <w:rsid w:val="00E77AEF"/>
    <w:rsid w:val="00E800FA"/>
    <w:rsid w:val="00E80110"/>
    <w:rsid w:val="00E80196"/>
    <w:rsid w:val="00E807A1"/>
    <w:rsid w:val="00E8086D"/>
    <w:rsid w:val="00E8091F"/>
    <w:rsid w:val="00E8099B"/>
    <w:rsid w:val="00E80B62"/>
    <w:rsid w:val="00E80FB1"/>
    <w:rsid w:val="00E812B0"/>
    <w:rsid w:val="00E813F0"/>
    <w:rsid w:val="00E814D0"/>
    <w:rsid w:val="00E817FB"/>
    <w:rsid w:val="00E8183E"/>
    <w:rsid w:val="00E81A87"/>
    <w:rsid w:val="00E81DD4"/>
    <w:rsid w:val="00E8236C"/>
    <w:rsid w:val="00E82674"/>
    <w:rsid w:val="00E82B53"/>
    <w:rsid w:val="00E82C1F"/>
    <w:rsid w:val="00E82C96"/>
    <w:rsid w:val="00E82D19"/>
    <w:rsid w:val="00E830F2"/>
    <w:rsid w:val="00E8314E"/>
    <w:rsid w:val="00E832ED"/>
    <w:rsid w:val="00E8365C"/>
    <w:rsid w:val="00E83716"/>
    <w:rsid w:val="00E837CF"/>
    <w:rsid w:val="00E83948"/>
    <w:rsid w:val="00E83949"/>
    <w:rsid w:val="00E83A93"/>
    <w:rsid w:val="00E83C05"/>
    <w:rsid w:val="00E83CF9"/>
    <w:rsid w:val="00E83DEF"/>
    <w:rsid w:val="00E83EE7"/>
    <w:rsid w:val="00E83F99"/>
    <w:rsid w:val="00E8411B"/>
    <w:rsid w:val="00E8431B"/>
    <w:rsid w:val="00E84874"/>
    <w:rsid w:val="00E849EC"/>
    <w:rsid w:val="00E84B68"/>
    <w:rsid w:val="00E84DD5"/>
    <w:rsid w:val="00E84FCD"/>
    <w:rsid w:val="00E85150"/>
    <w:rsid w:val="00E854BE"/>
    <w:rsid w:val="00E85526"/>
    <w:rsid w:val="00E855E7"/>
    <w:rsid w:val="00E85A14"/>
    <w:rsid w:val="00E85D20"/>
    <w:rsid w:val="00E85D5A"/>
    <w:rsid w:val="00E85DB3"/>
    <w:rsid w:val="00E8605B"/>
    <w:rsid w:val="00E860A3"/>
    <w:rsid w:val="00E86484"/>
    <w:rsid w:val="00E8650F"/>
    <w:rsid w:val="00E86C84"/>
    <w:rsid w:val="00E86D08"/>
    <w:rsid w:val="00E86E9E"/>
    <w:rsid w:val="00E871CA"/>
    <w:rsid w:val="00E871DD"/>
    <w:rsid w:val="00E873AD"/>
    <w:rsid w:val="00E875C2"/>
    <w:rsid w:val="00E87929"/>
    <w:rsid w:val="00E87A24"/>
    <w:rsid w:val="00E901D5"/>
    <w:rsid w:val="00E9020F"/>
    <w:rsid w:val="00E90290"/>
    <w:rsid w:val="00E903EF"/>
    <w:rsid w:val="00E90A45"/>
    <w:rsid w:val="00E90A52"/>
    <w:rsid w:val="00E90A70"/>
    <w:rsid w:val="00E90B83"/>
    <w:rsid w:val="00E910B5"/>
    <w:rsid w:val="00E91369"/>
    <w:rsid w:val="00E91453"/>
    <w:rsid w:val="00E91A8A"/>
    <w:rsid w:val="00E91B0F"/>
    <w:rsid w:val="00E91C53"/>
    <w:rsid w:val="00E9283E"/>
    <w:rsid w:val="00E92974"/>
    <w:rsid w:val="00E92983"/>
    <w:rsid w:val="00E92DE6"/>
    <w:rsid w:val="00E92F98"/>
    <w:rsid w:val="00E9308C"/>
    <w:rsid w:val="00E93119"/>
    <w:rsid w:val="00E9331D"/>
    <w:rsid w:val="00E934BD"/>
    <w:rsid w:val="00E9352A"/>
    <w:rsid w:val="00E935DC"/>
    <w:rsid w:val="00E939C8"/>
    <w:rsid w:val="00E93BE8"/>
    <w:rsid w:val="00E93DEB"/>
    <w:rsid w:val="00E94086"/>
    <w:rsid w:val="00E9440E"/>
    <w:rsid w:val="00E94477"/>
    <w:rsid w:val="00E9488C"/>
    <w:rsid w:val="00E948A8"/>
    <w:rsid w:val="00E94A4A"/>
    <w:rsid w:val="00E95322"/>
    <w:rsid w:val="00E95329"/>
    <w:rsid w:val="00E95490"/>
    <w:rsid w:val="00E954E4"/>
    <w:rsid w:val="00E955DB"/>
    <w:rsid w:val="00E95AB0"/>
    <w:rsid w:val="00E95C4B"/>
    <w:rsid w:val="00E95D9A"/>
    <w:rsid w:val="00E96182"/>
    <w:rsid w:val="00E961B8"/>
    <w:rsid w:val="00E96335"/>
    <w:rsid w:val="00E966A9"/>
    <w:rsid w:val="00E968C1"/>
    <w:rsid w:val="00E96BEF"/>
    <w:rsid w:val="00E96E76"/>
    <w:rsid w:val="00E970E6"/>
    <w:rsid w:val="00E9717F"/>
    <w:rsid w:val="00E971F6"/>
    <w:rsid w:val="00E974CB"/>
    <w:rsid w:val="00E97514"/>
    <w:rsid w:val="00E97604"/>
    <w:rsid w:val="00E9769F"/>
    <w:rsid w:val="00E977AA"/>
    <w:rsid w:val="00E977D9"/>
    <w:rsid w:val="00E97834"/>
    <w:rsid w:val="00E97A66"/>
    <w:rsid w:val="00E97BFA"/>
    <w:rsid w:val="00E97C89"/>
    <w:rsid w:val="00E97CD7"/>
    <w:rsid w:val="00E97EB1"/>
    <w:rsid w:val="00E97FD0"/>
    <w:rsid w:val="00EA04AF"/>
    <w:rsid w:val="00EA0633"/>
    <w:rsid w:val="00EA063B"/>
    <w:rsid w:val="00EA07F1"/>
    <w:rsid w:val="00EA0816"/>
    <w:rsid w:val="00EA086E"/>
    <w:rsid w:val="00EA0A3C"/>
    <w:rsid w:val="00EA0CF4"/>
    <w:rsid w:val="00EA0E54"/>
    <w:rsid w:val="00EA0E9E"/>
    <w:rsid w:val="00EA1462"/>
    <w:rsid w:val="00EA16C0"/>
    <w:rsid w:val="00EA1710"/>
    <w:rsid w:val="00EA1769"/>
    <w:rsid w:val="00EA1A07"/>
    <w:rsid w:val="00EA1AB9"/>
    <w:rsid w:val="00EA1D40"/>
    <w:rsid w:val="00EA1F1C"/>
    <w:rsid w:val="00EA1FFC"/>
    <w:rsid w:val="00EA2383"/>
    <w:rsid w:val="00EA2765"/>
    <w:rsid w:val="00EA276E"/>
    <w:rsid w:val="00EA2801"/>
    <w:rsid w:val="00EA2929"/>
    <w:rsid w:val="00EA2B3E"/>
    <w:rsid w:val="00EA2D5D"/>
    <w:rsid w:val="00EA2FC9"/>
    <w:rsid w:val="00EA32DE"/>
    <w:rsid w:val="00EA3379"/>
    <w:rsid w:val="00EA33BB"/>
    <w:rsid w:val="00EA3531"/>
    <w:rsid w:val="00EA35C4"/>
    <w:rsid w:val="00EA3671"/>
    <w:rsid w:val="00EA3BFB"/>
    <w:rsid w:val="00EA3E11"/>
    <w:rsid w:val="00EA4386"/>
    <w:rsid w:val="00EA43AF"/>
    <w:rsid w:val="00EA4533"/>
    <w:rsid w:val="00EA472D"/>
    <w:rsid w:val="00EA4B80"/>
    <w:rsid w:val="00EA4BB0"/>
    <w:rsid w:val="00EA4CA8"/>
    <w:rsid w:val="00EA4D86"/>
    <w:rsid w:val="00EA4FE8"/>
    <w:rsid w:val="00EA5394"/>
    <w:rsid w:val="00EA54F7"/>
    <w:rsid w:val="00EA61D0"/>
    <w:rsid w:val="00EA6324"/>
    <w:rsid w:val="00EA650B"/>
    <w:rsid w:val="00EA6525"/>
    <w:rsid w:val="00EA6534"/>
    <w:rsid w:val="00EA6550"/>
    <w:rsid w:val="00EA6823"/>
    <w:rsid w:val="00EA6B2D"/>
    <w:rsid w:val="00EA6DD1"/>
    <w:rsid w:val="00EA731A"/>
    <w:rsid w:val="00EA770A"/>
    <w:rsid w:val="00EA7790"/>
    <w:rsid w:val="00EA78E8"/>
    <w:rsid w:val="00EA7A39"/>
    <w:rsid w:val="00EB002D"/>
    <w:rsid w:val="00EB05B7"/>
    <w:rsid w:val="00EB0A59"/>
    <w:rsid w:val="00EB0B82"/>
    <w:rsid w:val="00EB0BD3"/>
    <w:rsid w:val="00EB0DEA"/>
    <w:rsid w:val="00EB1028"/>
    <w:rsid w:val="00EB109C"/>
    <w:rsid w:val="00EB10A8"/>
    <w:rsid w:val="00EB11B0"/>
    <w:rsid w:val="00EB12DA"/>
    <w:rsid w:val="00EB16BB"/>
    <w:rsid w:val="00EB18BE"/>
    <w:rsid w:val="00EB1B2A"/>
    <w:rsid w:val="00EB1DCD"/>
    <w:rsid w:val="00EB1E55"/>
    <w:rsid w:val="00EB1F63"/>
    <w:rsid w:val="00EB2122"/>
    <w:rsid w:val="00EB22C3"/>
    <w:rsid w:val="00EB23C2"/>
    <w:rsid w:val="00EB27BC"/>
    <w:rsid w:val="00EB28CA"/>
    <w:rsid w:val="00EB2B77"/>
    <w:rsid w:val="00EB2C64"/>
    <w:rsid w:val="00EB2CA7"/>
    <w:rsid w:val="00EB2D5D"/>
    <w:rsid w:val="00EB2DBF"/>
    <w:rsid w:val="00EB2EC9"/>
    <w:rsid w:val="00EB2FCA"/>
    <w:rsid w:val="00EB308C"/>
    <w:rsid w:val="00EB31E8"/>
    <w:rsid w:val="00EB320D"/>
    <w:rsid w:val="00EB335B"/>
    <w:rsid w:val="00EB33B8"/>
    <w:rsid w:val="00EB33F8"/>
    <w:rsid w:val="00EB33FC"/>
    <w:rsid w:val="00EB3546"/>
    <w:rsid w:val="00EB3568"/>
    <w:rsid w:val="00EB357D"/>
    <w:rsid w:val="00EB37AB"/>
    <w:rsid w:val="00EB3858"/>
    <w:rsid w:val="00EB3879"/>
    <w:rsid w:val="00EB388D"/>
    <w:rsid w:val="00EB3967"/>
    <w:rsid w:val="00EB3991"/>
    <w:rsid w:val="00EB3A7D"/>
    <w:rsid w:val="00EB3C3C"/>
    <w:rsid w:val="00EB3ECC"/>
    <w:rsid w:val="00EB3F6E"/>
    <w:rsid w:val="00EB4181"/>
    <w:rsid w:val="00EB444C"/>
    <w:rsid w:val="00EB4508"/>
    <w:rsid w:val="00EB4578"/>
    <w:rsid w:val="00EB45A2"/>
    <w:rsid w:val="00EB45A9"/>
    <w:rsid w:val="00EB46B3"/>
    <w:rsid w:val="00EB49FB"/>
    <w:rsid w:val="00EB4A46"/>
    <w:rsid w:val="00EB515B"/>
    <w:rsid w:val="00EB51AC"/>
    <w:rsid w:val="00EB542A"/>
    <w:rsid w:val="00EB5776"/>
    <w:rsid w:val="00EB57C4"/>
    <w:rsid w:val="00EB58D8"/>
    <w:rsid w:val="00EB5A5D"/>
    <w:rsid w:val="00EB5B73"/>
    <w:rsid w:val="00EB5C92"/>
    <w:rsid w:val="00EB5DF3"/>
    <w:rsid w:val="00EB611D"/>
    <w:rsid w:val="00EB638A"/>
    <w:rsid w:val="00EB63E7"/>
    <w:rsid w:val="00EB6532"/>
    <w:rsid w:val="00EB664A"/>
    <w:rsid w:val="00EB6781"/>
    <w:rsid w:val="00EB6A32"/>
    <w:rsid w:val="00EB6ABE"/>
    <w:rsid w:val="00EB7053"/>
    <w:rsid w:val="00EB7409"/>
    <w:rsid w:val="00EB749B"/>
    <w:rsid w:val="00EB75F6"/>
    <w:rsid w:val="00EB7A5D"/>
    <w:rsid w:val="00EB7CB9"/>
    <w:rsid w:val="00EB7D6E"/>
    <w:rsid w:val="00EC01E3"/>
    <w:rsid w:val="00EC0292"/>
    <w:rsid w:val="00EC04FC"/>
    <w:rsid w:val="00EC07AF"/>
    <w:rsid w:val="00EC0C91"/>
    <w:rsid w:val="00EC0CF4"/>
    <w:rsid w:val="00EC0ECF"/>
    <w:rsid w:val="00EC1352"/>
    <w:rsid w:val="00EC152B"/>
    <w:rsid w:val="00EC1665"/>
    <w:rsid w:val="00EC1A63"/>
    <w:rsid w:val="00EC1B6D"/>
    <w:rsid w:val="00EC1EDE"/>
    <w:rsid w:val="00EC20B3"/>
    <w:rsid w:val="00EC246E"/>
    <w:rsid w:val="00EC25A1"/>
    <w:rsid w:val="00EC25E8"/>
    <w:rsid w:val="00EC29F7"/>
    <w:rsid w:val="00EC2DBA"/>
    <w:rsid w:val="00EC309A"/>
    <w:rsid w:val="00EC31A7"/>
    <w:rsid w:val="00EC33A0"/>
    <w:rsid w:val="00EC33D0"/>
    <w:rsid w:val="00EC3542"/>
    <w:rsid w:val="00EC355E"/>
    <w:rsid w:val="00EC382F"/>
    <w:rsid w:val="00EC3B25"/>
    <w:rsid w:val="00EC3D80"/>
    <w:rsid w:val="00EC3DA2"/>
    <w:rsid w:val="00EC3E5F"/>
    <w:rsid w:val="00EC3ED8"/>
    <w:rsid w:val="00EC3F33"/>
    <w:rsid w:val="00EC4705"/>
    <w:rsid w:val="00EC473B"/>
    <w:rsid w:val="00EC4836"/>
    <w:rsid w:val="00EC4890"/>
    <w:rsid w:val="00EC4B34"/>
    <w:rsid w:val="00EC4BF1"/>
    <w:rsid w:val="00EC5088"/>
    <w:rsid w:val="00EC5235"/>
    <w:rsid w:val="00EC5237"/>
    <w:rsid w:val="00EC550D"/>
    <w:rsid w:val="00EC5610"/>
    <w:rsid w:val="00EC58A4"/>
    <w:rsid w:val="00EC593D"/>
    <w:rsid w:val="00EC5B43"/>
    <w:rsid w:val="00EC5BCA"/>
    <w:rsid w:val="00EC5BE2"/>
    <w:rsid w:val="00EC5D5C"/>
    <w:rsid w:val="00EC5E26"/>
    <w:rsid w:val="00EC5EAC"/>
    <w:rsid w:val="00EC5F63"/>
    <w:rsid w:val="00EC6493"/>
    <w:rsid w:val="00EC64CC"/>
    <w:rsid w:val="00EC6504"/>
    <w:rsid w:val="00EC6616"/>
    <w:rsid w:val="00EC6882"/>
    <w:rsid w:val="00EC6B32"/>
    <w:rsid w:val="00EC6B3D"/>
    <w:rsid w:val="00EC6BDF"/>
    <w:rsid w:val="00EC6CFA"/>
    <w:rsid w:val="00EC6EA5"/>
    <w:rsid w:val="00EC6F3A"/>
    <w:rsid w:val="00EC719C"/>
    <w:rsid w:val="00EC71CF"/>
    <w:rsid w:val="00EC777A"/>
    <w:rsid w:val="00EC7950"/>
    <w:rsid w:val="00EC7A1D"/>
    <w:rsid w:val="00EC7B65"/>
    <w:rsid w:val="00EC7C65"/>
    <w:rsid w:val="00EC7E96"/>
    <w:rsid w:val="00EC7FA4"/>
    <w:rsid w:val="00ED0246"/>
    <w:rsid w:val="00ED0315"/>
    <w:rsid w:val="00ED03A7"/>
    <w:rsid w:val="00ED04B4"/>
    <w:rsid w:val="00ED06B8"/>
    <w:rsid w:val="00ED08DC"/>
    <w:rsid w:val="00ED093E"/>
    <w:rsid w:val="00ED0C6F"/>
    <w:rsid w:val="00ED0C97"/>
    <w:rsid w:val="00ED0FA8"/>
    <w:rsid w:val="00ED0FC8"/>
    <w:rsid w:val="00ED1184"/>
    <w:rsid w:val="00ED1309"/>
    <w:rsid w:val="00ED1336"/>
    <w:rsid w:val="00ED1872"/>
    <w:rsid w:val="00ED191A"/>
    <w:rsid w:val="00ED1A62"/>
    <w:rsid w:val="00ED2276"/>
    <w:rsid w:val="00ED2599"/>
    <w:rsid w:val="00ED2704"/>
    <w:rsid w:val="00ED27BA"/>
    <w:rsid w:val="00ED29EE"/>
    <w:rsid w:val="00ED2D63"/>
    <w:rsid w:val="00ED3041"/>
    <w:rsid w:val="00ED328E"/>
    <w:rsid w:val="00ED3457"/>
    <w:rsid w:val="00ED361F"/>
    <w:rsid w:val="00ED3878"/>
    <w:rsid w:val="00ED39F5"/>
    <w:rsid w:val="00ED3BA3"/>
    <w:rsid w:val="00ED3BAA"/>
    <w:rsid w:val="00ED457C"/>
    <w:rsid w:val="00ED45DF"/>
    <w:rsid w:val="00ED4869"/>
    <w:rsid w:val="00ED4B28"/>
    <w:rsid w:val="00ED4D6A"/>
    <w:rsid w:val="00ED4FE0"/>
    <w:rsid w:val="00ED4FE3"/>
    <w:rsid w:val="00ED5246"/>
    <w:rsid w:val="00ED5359"/>
    <w:rsid w:val="00ED56EE"/>
    <w:rsid w:val="00ED5E38"/>
    <w:rsid w:val="00ED631B"/>
    <w:rsid w:val="00ED632E"/>
    <w:rsid w:val="00ED6554"/>
    <w:rsid w:val="00ED665E"/>
    <w:rsid w:val="00ED6ABB"/>
    <w:rsid w:val="00ED6CB4"/>
    <w:rsid w:val="00ED6CE9"/>
    <w:rsid w:val="00ED70E4"/>
    <w:rsid w:val="00ED7176"/>
    <w:rsid w:val="00ED71CB"/>
    <w:rsid w:val="00ED7222"/>
    <w:rsid w:val="00ED7565"/>
    <w:rsid w:val="00ED7746"/>
    <w:rsid w:val="00ED78CA"/>
    <w:rsid w:val="00ED7BFC"/>
    <w:rsid w:val="00EE0311"/>
    <w:rsid w:val="00EE03FA"/>
    <w:rsid w:val="00EE0779"/>
    <w:rsid w:val="00EE0902"/>
    <w:rsid w:val="00EE0915"/>
    <w:rsid w:val="00EE0A26"/>
    <w:rsid w:val="00EE0C78"/>
    <w:rsid w:val="00EE0E4C"/>
    <w:rsid w:val="00EE0E5A"/>
    <w:rsid w:val="00EE1019"/>
    <w:rsid w:val="00EE10FE"/>
    <w:rsid w:val="00EE11FA"/>
    <w:rsid w:val="00EE12C3"/>
    <w:rsid w:val="00EE1680"/>
    <w:rsid w:val="00EE1730"/>
    <w:rsid w:val="00EE18C0"/>
    <w:rsid w:val="00EE198F"/>
    <w:rsid w:val="00EE1B29"/>
    <w:rsid w:val="00EE1F1B"/>
    <w:rsid w:val="00EE1FBB"/>
    <w:rsid w:val="00EE2049"/>
    <w:rsid w:val="00EE206D"/>
    <w:rsid w:val="00EE22AD"/>
    <w:rsid w:val="00EE22BF"/>
    <w:rsid w:val="00EE2ABF"/>
    <w:rsid w:val="00EE2B34"/>
    <w:rsid w:val="00EE2DC3"/>
    <w:rsid w:val="00EE2E91"/>
    <w:rsid w:val="00EE3324"/>
    <w:rsid w:val="00EE362A"/>
    <w:rsid w:val="00EE3640"/>
    <w:rsid w:val="00EE3645"/>
    <w:rsid w:val="00EE3B1B"/>
    <w:rsid w:val="00EE3B43"/>
    <w:rsid w:val="00EE3C5E"/>
    <w:rsid w:val="00EE3EA4"/>
    <w:rsid w:val="00EE434D"/>
    <w:rsid w:val="00EE4383"/>
    <w:rsid w:val="00EE43E2"/>
    <w:rsid w:val="00EE4490"/>
    <w:rsid w:val="00EE45F6"/>
    <w:rsid w:val="00EE4729"/>
    <w:rsid w:val="00EE486C"/>
    <w:rsid w:val="00EE48A7"/>
    <w:rsid w:val="00EE4B59"/>
    <w:rsid w:val="00EE4BAC"/>
    <w:rsid w:val="00EE4BFC"/>
    <w:rsid w:val="00EE4EEF"/>
    <w:rsid w:val="00EE5073"/>
    <w:rsid w:val="00EE5363"/>
    <w:rsid w:val="00EE54C7"/>
    <w:rsid w:val="00EE5540"/>
    <w:rsid w:val="00EE554A"/>
    <w:rsid w:val="00EE5574"/>
    <w:rsid w:val="00EE5596"/>
    <w:rsid w:val="00EE5910"/>
    <w:rsid w:val="00EE5945"/>
    <w:rsid w:val="00EE5B48"/>
    <w:rsid w:val="00EE5C50"/>
    <w:rsid w:val="00EE5C6A"/>
    <w:rsid w:val="00EE5D99"/>
    <w:rsid w:val="00EE5E54"/>
    <w:rsid w:val="00EE62AE"/>
    <w:rsid w:val="00EE638C"/>
    <w:rsid w:val="00EE640D"/>
    <w:rsid w:val="00EE6648"/>
    <w:rsid w:val="00EE66FD"/>
    <w:rsid w:val="00EE67E9"/>
    <w:rsid w:val="00EE6832"/>
    <w:rsid w:val="00EE6943"/>
    <w:rsid w:val="00EE6CA1"/>
    <w:rsid w:val="00EE6F95"/>
    <w:rsid w:val="00EE7393"/>
    <w:rsid w:val="00EE77FD"/>
    <w:rsid w:val="00EE7AF7"/>
    <w:rsid w:val="00EE7DB0"/>
    <w:rsid w:val="00EE7F8C"/>
    <w:rsid w:val="00EF006E"/>
    <w:rsid w:val="00EF0075"/>
    <w:rsid w:val="00EF0470"/>
    <w:rsid w:val="00EF07E6"/>
    <w:rsid w:val="00EF089E"/>
    <w:rsid w:val="00EF08E8"/>
    <w:rsid w:val="00EF098D"/>
    <w:rsid w:val="00EF0E6F"/>
    <w:rsid w:val="00EF11DB"/>
    <w:rsid w:val="00EF1312"/>
    <w:rsid w:val="00EF150F"/>
    <w:rsid w:val="00EF1755"/>
    <w:rsid w:val="00EF19AB"/>
    <w:rsid w:val="00EF1C8E"/>
    <w:rsid w:val="00EF1FD3"/>
    <w:rsid w:val="00EF2458"/>
    <w:rsid w:val="00EF2908"/>
    <w:rsid w:val="00EF2C33"/>
    <w:rsid w:val="00EF2DC3"/>
    <w:rsid w:val="00EF2E62"/>
    <w:rsid w:val="00EF329E"/>
    <w:rsid w:val="00EF32EB"/>
    <w:rsid w:val="00EF397C"/>
    <w:rsid w:val="00EF3C9A"/>
    <w:rsid w:val="00EF3D58"/>
    <w:rsid w:val="00EF3FDF"/>
    <w:rsid w:val="00EF413D"/>
    <w:rsid w:val="00EF4152"/>
    <w:rsid w:val="00EF448F"/>
    <w:rsid w:val="00EF44B8"/>
    <w:rsid w:val="00EF45E6"/>
    <w:rsid w:val="00EF4698"/>
    <w:rsid w:val="00EF4D80"/>
    <w:rsid w:val="00EF4E26"/>
    <w:rsid w:val="00EF505B"/>
    <w:rsid w:val="00EF5252"/>
    <w:rsid w:val="00EF5571"/>
    <w:rsid w:val="00EF55E1"/>
    <w:rsid w:val="00EF58D6"/>
    <w:rsid w:val="00EF5930"/>
    <w:rsid w:val="00EF5A27"/>
    <w:rsid w:val="00EF5B86"/>
    <w:rsid w:val="00EF5CD9"/>
    <w:rsid w:val="00EF5CE0"/>
    <w:rsid w:val="00EF62BB"/>
    <w:rsid w:val="00EF6930"/>
    <w:rsid w:val="00EF6B9D"/>
    <w:rsid w:val="00EF6D50"/>
    <w:rsid w:val="00EF6E53"/>
    <w:rsid w:val="00EF6EF9"/>
    <w:rsid w:val="00EF6FA0"/>
    <w:rsid w:val="00EF7063"/>
    <w:rsid w:val="00EF7084"/>
    <w:rsid w:val="00EF7339"/>
    <w:rsid w:val="00EF7467"/>
    <w:rsid w:val="00EF7587"/>
    <w:rsid w:val="00EF7A34"/>
    <w:rsid w:val="00EF7A38"/>
    <w:rsid w:val="00EF7AAC"/>
    <w:rsid w:val="00EF7BB2"/>
    <w:rsid w:val="00EF7C81"/>
    <w:rsid w:val="00EF7F06"/>
    <w:rsid w:val="00EF7F7B"/>
    <w:rsid w:val="00EF7FD5"/>
    <w:rsid w:val="00F001F9"/>
    <w:rsid w:val="00F00203"/>
    <w:rsid w:val="00F002D5"/>
    <w:rsid w:val="00F0081D"/>
    <w:rsid w:val="00F00D59"/>
    <w:rsid w:val="00F00D82"/>
    <w:rsid w:val="00F00DF7"/>
    <w:rsid w:val="00F00FF9"/>
    <w:rsid w:val="00F010BC"/>
    <w:rsid w:val="00F010C2"/>
    <w:rsid w:val="00F01193"/>
    <w:rsid w:val="00F01213"/>
    <w:rsid w:val="00F0140C"/>
    <w:rsid w:val="00F014F9"/>
    <w:rsid w:val="00F01631"/>
    <w:rsid w:val="00F017ED"/>
    <w:rsid w:val="00F020E2"/>
    <w:rsid w:val="00F021DB"/>
    <w:rsid w:val="00F022F7"/>
    <w:rsid w:val="00F02342"/>
    <w:rsid w:val="00F02550"/>
    <w:rsid w:val="00F028A2"/>
    <w:rsid w:val="00F02928"/>
    <w:rsid w:val="00F02A47"/>
    <w:rsid w:val="00F02BA6"/>
    <w:rsid w:val="00F02C2E"/>
    <w:rsid w:val="00F02E0E"/>
    <w:rsid w:val="00F02E7E"/>
    <w:rsid w:val="00F02EED"/>
    <w:rsid w:val="00F02FF8"/>
    <w:rsid w:val="00F03099"/>
    <w:rsid w:val="00F0324D"/>
    <w:rsid w:val="00F0329B"/>
    <w:rsid w:val="00F03397"/>
    <w:rsid w:val="00F038A3"/>
    <w:rsid w:val="00F03A62"/>
    <w:rsid w:val="00F03AAE"/>
    <w:rsid w:val="00F03B39"/>
    <w:rsid w:val="00F03EF4"/>
    <w:rsid w:val="00F04052"/>
    <w:rsid w:val="00F04237"/>
    <w:rsid w:val="00F0439B"/>
    <w:rsid w:val="00F043EA"/>
    <w:rsid w:val="00F044BF"/>
    <w:rsid w:val="00F044DB"/>
    <w:rsid w:val="00F047AD"/>
    <w:rsid w:val="00F0480F"/>
    <w:rsid w:val="00F04856"/>
    <w:rsid w:val="00F04FED"/>
    <w:rsid w:val="00F0501D"/>
    <w:rsid w:val="00F0519A"/>
    <w:rsid w:val="00F0520C"/>
    <w:rsid w:val="00F05314"/>
    <w:rsid w:val="00F053EA"/>
    <w:rsid w:val="00F057DB"/>
    <w:rsid w:val="00F057EF"/>
    <w:rsid w:val="00F0580A"/>
    <w:rsid w:val="00F0587E"/>
    <w:rsid w:val="00F05D7E"/>
    <w:rsid w:val="00F06032"/>
    <w:rsid w:val="00F0632C"/>
    <w:rsid w:val="00F06588"/>
    <w:rsid w:val="00F06673"/>
    <w:rsid w:val="00F066B3"/>
    <w:rsid w:val="00F06854"/>
    <w:rsid w:val="00F06961"/>
    <w:rsid w:val="00F06E34"/>
    <w:rsid w:val="00F06FE7"/>
    <w:rsid w:val="00F0733A"/>
    <w:rsid w:val="00F07905"/>
    <w:rsid w:val="00F07950"/>
    <w:rsid w:val="00F079DB"/>
    <w:rsid w:val="00F07ED1"/>
    <w:rsid w:val="00F07F63"/>
    <w:rsid w:val="00F1009E"/>
    <w:rsid w:val="00F10410"/>
    <w:rsid w:val="00F10543"/>
    <w:rsid w:val="00F10639"/>
    <w:rsid w:val="00F1066F"/>
    <w:rsid w:val="00F10BE0"/>
    <w:rsid w:val="00F10CE4"/>
    <w:rsid w:val="00F10D2D"/>
    <w:rsid w:val="00F10ECA"/>
    <w:rsid w:val="00F10EF0"/>
    <w:rsid w:val="00F1113E"/>
    <w:rsid w:val="00F1122D"/>
    <w:rsid w:val="00F11332"/>
    <w:rsid w:val="00F1168C"/>
    <w:rsid w:val="00F11783"/>
    <w:rsid w:val="00F11AB0"/>
    <w:rsid w:val="00F11D94"/>
    <w:rsid w:val="00F11F35"/>
    <w:rsid w:val="00F12241"/>
    <w:rsid w:val="00F12253"/>
    <w:rsid w:val="00F12550"/>
    <w:rsid w:val="00F12A94"/>
    <w:rsid w:val="00F12B56"/>
    <w:rsid w:val="00F12C00"/>
    <w:rsid w:val="00F12D4B"/>
    <w:rsid w:val="00F12D51"/>
    <w:rsid w:val="00F12E88"/>
    <w:rsid w:val="00F12F3E"/>
    <w:rsid w:val="00F136AA"/>
    <w:rsid w:val="00F13D43"/>
    <w:rsid w:val="00F13E0A"/>
    <w:rsid w:val="00F13EE0"/>
    <w:rsid w:val="00F13F69"/>
    <w:rsid w:val="00F13F86"/>
    <w:rsid w:val="00F13FDB"/>
    <w:rsid w:val="00F1415F"/>
    <w:rsid w:val="00F14201"/>
    <w:rsid w:val="00F1424E"/>
    <w:rsid w:val="00F143B7"/>
    <w:rsid w:val="00F14569"/>
    <w:rsid w:val="00F146A5"/>
    <w:rsid w:val="00F146FB"/>
    <w:rsid w:val="00F148F9"/>
    <w:rsid w:val="00F14DDC"/>
    <w:rsid w:val="00F14F08"/>
    <w:rsid w:val="00F14F83"/>
    <w:rsid w:val="00F14F99"/>
    <w:rsid w:val="00F1508C"/>
    <w:rsid w:val="00F150DF"/>
    <w:rsid w:val="00F150F4"/>
    <w:rsid w:val="00F15144"/>
    <w:rsid w:val="00F151D3"/>
    <w:rsid w:val="00F1525C"/>
    <w:rsid w:val="00F15586"/>
    <w:rsid w:val="00F15639"/>
    <w:rsid w:val="00F1578E"/>
    <w:rsid w:val="00F15875"/>
    <w:rsid w:val="00F15913"/>
    <w:rsid w:val="00F15AB7"/>
    <w:rsid w:val="00F15AC3"/>
    <w:rsid w:val="00F15DE3"/>
    <w:rsid w:val="00F15F80"/>
    <w:rsid w:val="00F1659B"/>
    <w:rsid w:val="00F1687E"/>
    <w:rsid w:val="00F16BCD"/>
    <w:rsid w:val="00F16C2C"/>
    <w:rsid w:val="00F16F1E"/>
    <w:rsid w:val="00F17119"/>
    <w:rsid w:val="00F17328"/>
    <w:rsid w:val="00F174FC"/>
    <w:rsid w:val="00F176A3"/>
    <w:rsid w:val="00F178A4"/>
    <w:rsid w:val="00F17C59"/>
    <w:rsid w:val="00F17C79"/>
    <w:rsid w:val="00F17D63"/>
    <w:rsid w:val="00F17DD9"/>
    <w:rsid w:val="00F17E5D"/>
    <w:rsid w:val="00F200AD"/>
    <w:rsid w:val="00F20164"/>
    <w:rsid w:val="00F20293"/>
    <w:rsid w:val="00F20411"/>
    <w:rsid w:val="00F205C9"/>
    <w:rsid w:val="00F2063E"/>
    <w:rsid w:val="00F206C0"/>
    <w:rsid w:val="00F2073B"/>
    <w:rsid w:val="00F20763"/>
    <w:rsid w:val="00F20A5D"/>
    <w:rsid w:val="00F20A75"/>
    <w:rsid w:val="00F20AE8"/>
    <w:rsid w:val="00F20BD2"/>
    <w:rsid w:val="00F20C10"/>
    <w:rsid w:val="00F215A4"/>
    <w:rsid w:val="00F21888"/>
    <w:rsid w:val="00F2189C"/>
    <w:rsid w:val="00F21BBB"/>
    <w:rsid w:val="00F21C24"/>
    <w:rsid w:val="00F21C40"/>
    <w:rsid w:val="00F21EA6"/>
    <w:rsid w:val="00F221D3"/>
    <w:rsid w:val="00F222D2"/>
    <w:rsid w:val="00F223F6"/>
    <w:rsid w:val="00F22417"/>
    <w:rsid w:val="00F2261A"/>
    <w:rsid w:val="00F22654"/>
    <w:rsid w:val="00F22693"/>
    <w:rsid w:val="00F227C8"/>
    <w:rsid w:val="00F227FE"/>
    <w:rsid w:val="00F22967"/>
    <w:rsid w:val="00F22E56"/>
    <w:rsid w:val="00F2303D"/>
    <w:rsid w:val="00F2365D"/>
    <w:rsid w:val="00F23878"/>
    <w:rsid w:val="00F23C49"/>
    <w:rsid w:val="00F23CB7"/>
    <w:rsid w:val="00F241C2"/>
    <w:rsid w:val="00F2430B"/>
    <w:rsid w:val="00F2447F"/>
    <w:rsid w:val="00F248DE"/>
    <w:rsid w:val="00F24945"/>
    <w:rsid w:val="00F2496D"/>
    <w:rsid w:val="00F24A5C"/>
    <w:rsid w:val="00F24C4D"/>
    <w:rsid w:val="00F24D2B"/>
    <w:rsid w:val="00F24DD1"/>
    <w:rsid w:val="00F24E78"/>
    <w:rsid w:val="00F24F27"/>
    <w:rsid w:val="00F25241"/>
    <w:rsid w:val="00F25618"/>
    <w:rsid w:val="00F256EA"/>
    <w:rsid w:val="00F257B5"/>
    <w:rsid w:val="00F25826"/>
    <w:rsid w:val="00F2594B"/>
    <w:rsid w:val="00F25A73"/>
    <w:rsid w:val="00F25B2F"/>
    <w:rsid w:val="00F25BCF"/>
    <w:rsid w:val="00F264BD"/>
    <w:rsid w:val="00F26BEB"/>
    <w:rsid w:val="00F26C1D"/>
    <w:rsid w:val="00F26FA4"/>
    <w:rsid w:val="00F27142"/>
    <w:rsid w:val="00F2720E"/>
    <w:rsid w:val="00F27397"/>
    <w:rsid w:val="00F273B9"/>
    <w:rsid w:val="00F27461"/>
    <w:rsid w:val="00F27482"/>
    <w:rsid w:val="00F27510"/>
    <w:rsid w:val="00F2776D"/>
    <w:rsid w:val="00F27889"/>
    <w:rsid w:val="00F27BA4"/>
    <w:rsid w:val="00F27DBC"/>
    <w:rsid w:val="00F30186"/>
    <w:rsid w:val="00F30261"/>
    <w:rsid w:val="00F30291"/>
    <w:rsid w:val="00F302FD"/>
    <w:rsid w:val="00F3069C"/>
    <w:rsid w:val="00F307FF"/>
    <w:rsid w:val="00F30863"/>
    <w:rsid w:val="00F3099B"/>
    <w:rsid w:val="00F30B36"/>
    <w:rsid w:val="00F30E7E"/>
    <w:rsid w:val="00F30FAD"/>
    <w:rsid w:val="00F31312"/>
    <w:rsid w:val="00F3147C"/>
    <w:rsid w:val="00F317ED"/>
    <w:rsid w:val="00F318FE"/>
    <w:rsid w:val="00F31B8F"/>
    <w:rsid w:val="00F31F4B"/>
    <w:rsid w:val="00F31FFB"/>
    <w:rsid w:val="00F325BC"/>
    <w:rsid w:val="00F325E9"/>
    <w:rsid w:val="00F32675"/>
    <w:rsid w:val="00F3269D"/>
    <w:rsid w:val="00F328DC"/>
    <w:rsid w:val="00F329EB"/>
    <w:rsid w:val="00F32B70"/>
    <w:rsid w:val="00F32CC7"/>
    <w:rsid w:val="00F336F8"/>
    <w:rsid w:val="00F3371D"/>
    <w:rsid w:val="00F33937"/>
    <w:rsid w:val="00F33F3B"/>
    <w:rsid w:val="00F3422A"/>
    <w:rsid w:val="00F342B6"/>
    <w:rsid w:val="00F344A3"/>
    <w:rsid w:val="00F346E6"/>
    <w:rsid w:val="00F34887"/>
    <w:rsid w:val="00F3490A"/>
    <w:rsid w:val="00F34D51"/>
    <w:rsid w:val="00F34F63"/>
    <w:rsid w:val="00F34FA4"/>
    <w:rsid w:val="00F35046"/>
    <w:rsid w:val="00F3526A"/>
    <w:rsid w:val="00F35385"/>
    <w:rsid w:val="00F35600"/>
    <w:rsid w:val="00F3566C"/>
    <w:rsid w:val="00F356B7"/>
    <w:rsid w:val="00F35B14"/>
    <w:rsid w:val="00F35C23"/>
    <w:rsid w:val="00F36025"/>
    <w:rsid w:val="00F3626D"/>
    <w:rsid w:val="00F36610"/>
    <w:rsid w:val="00F366A3"/>
    <w:rsid w:val="00F36724"/>
    <w:rsid w:val="00F368A9"/>
    <w:rsid w:val="00F36F8A"/>
    <w:rsid w:val="00F37009"/>
    <w:rsid w:val="00F374B0"/>
    <w:rsid w:val="00F374C0"/>
    <w:rsid w:val="00F3775D"/>
    <w:rsid w:val="00F377D9"/>
    <w:rsid w:val="00F37914"/>
    <w:rsid w:val="00F379E8"/>
    <w:rsid w:val="00F37ACC"/>
    <w:rsid w:val="00F37B07"/>
    <w:rsid w:val="00F37D42"/>
    <w:rsid w:val="00F37FE7"/>
    <w:rsid w:val="00F4035F"/>
    <w:rsid w:val="00F40622"/>
    <w:rsid w:val="00F407B8"/>
    <w:rsid w:val="00F407BB"/>
    <w:rsid w:val="00F407E9"/>
    <w:rsid w:val="00F40864"/>
    <w:rsid w:val="00F40B0F"/>
    <w:rsid w:val="00F40EA1"/>
    <w:rsid w:val="00F41266"/>
    <w:rsid w:val="00F41592"/>
    <w:rsid w:val="00F415B2"/>
    <w:rsid w:val="00F4174A"/>
    <w:rsid w:val="00F417F1"/>
    <w:rsid w:val="00F4181E"/>
    <w:rsid w:val="00F41832"/>
    <w:rsid w:val="00F42174"/>
    <w:rsid w:val="00F42442"/>
    <w:rsid w:val="00F42696"/>
    <w:rsid w:val="00F42720"/>
    <w:rsid w:val="00F427DA"/>
    <w:rsid w:val="00F42831"/>
    <w:rsid w:val="00F4287E"/>
    <w:rsid w:val="00F42EE9"/>
    <w:rsid w:val="00F430FB"/>
    <w:rsid w:val="00F431E5"/>
    <w:rsid w:val="00F433BB"/>
    <w:rsid w:val="00F43436"/>
    <w:rsid w:val="00F436BA"/>
    <w:rsid w:val="00F4370E"/>
    <w:rsid w:val="00F4371C"/>
    <w:rsid w:val="00F438F7"/>
    <w:rsid w:val="00F4413B"/>
    <w:rsid w:val="00F4440B"/>
    <w:rsid w:val="00F44581"/>
    <w:rsid w:val="00F4459D"/>
    <w:rsid w:val="00F44633"/>
    <w:rsid w:val="00F4467C"/>
    <w:rsid w:val="00F44895"/>
    <w:rsid w:val="00F448A0"/>
    <w:rsid w:val="00F4495F"/>
    <w:rsid w:val="00F44B40"/>
    <w:rsid w:val="00F44FCA"/>
    <w:rsid w:val="00F45324"/>
    <w:rsid w:val="00F453BC"/>
    <w:rsid w:val="00F454E5"/>
    <w:rsid w:val="00F4567D"/>
    <w:rsid w:val="00F456A2"/>
    <w:rsid w:val="00F45A98"/>
    <w:rsid w:val="00F45BCD"/>
    <w:rsid w:val="00F45D3B"/>
    <w:rsid w:val="00F46403"/>
    <w:rsid w:val="00F4670B"/>
    <w:rsid w:val="00F4676C"/>
    <w:rsid w:val="00F4693C"/>
    <w:rsid w:val="00F469C7"/>
    <w:rsid w:val="00F4708E"/>
    <w:rsid w:val="00F4737F"/>
    <w:rsid w:val="00F4754D"/>
    <w:rsid w:val="00F475E6"/>
    <w:rsid w:val="00F47724"/>
    <w:rsid w:val="00F477A3"/>
    <w:rsid w:val="00F4791F"/>
    <w:rsid w:val="00F4793E"/>
    <w:rsid w:val="00F47F35"/>
    <w:rsid w:val="00F50063"/>
    <w:rsid w:val="00F503E9"/>
    <w:rsid w:val="00F503F6"/>
    <w:rsid w:val="00F50585"/>
    <w:rsid w:val="00F50620"/>
    <w:rsid w:val="00F50744"/>
    <w:rsid w:val="00F50CDB"/>
    <w:rsid w:val="00F5110E"/>
    <w:rsid w:val="00F5116E"/>
    <w:rsid w:val="00F51273"/>
    <w:rsid w:val="00F512E6"/>
    <w:rsid w:val="00F513DC"/>
    <w:rsid w:val="00F514ED"/>
    <w:rsid w:val="00F516E3"/>
    <w:rsid w:val="00F517FC"/>
    <w:rsid w:val="00F51D31"/>
    <w:rsid w:val="00F51E33"/>
    <w:rsid w:val="00F52722"/>
    <w:rsid w:val="00F52917"/>
    <w:rsid w:val="00F52B73"/>
    <w:rsid w:val="00F52F09"/>
    <w:rsid w:val="00F52FBA"/>
    <w:rsid w:val="00F5327E"/>
    <w:rsid w:val="00F5334B"/>
    <w:rsid w:val="00F536D3"/>
    <w:rsid w:val="00F5392C"/>
    <w:rsid w:val="00F53C10"/>
    <w:rsid w:val="00F53C2E"/>
    <w:rsid w:val="00F53CF4"/>
    <w:rsid w:val="00F54287"/>
    <w:rsid w:val="00F546E4"/>
    <w:rsid w:val="00F54832"/>
    <w:rsid w:val="00F54F3A"/>
    <w:rsid w:val="00F54FC1"/>
    <w:rsid w:val="00F5542E"/>
    <w:rsid w:val="00F558FB"/>
    <w:rsid w:val="00F559FB"/>
    <w:rsid w:val="00F55A9C"/>
    <w:rsid w:val="00F55D51"/>
    <w:rsid w:val="00F55EEB"/>
    <w:rsid w:val="00F55FB1"/>
    <w:rsid w:val="00F56229"/>
    <w:rsid w:val="00F5645F"/>
    <w:rsid w:val="00F566CB"/>
    <w:rsid w:val="00F56A64"/>
    <w:rsid w:val="00F57152"/>
    <w:rsid w:val="00F572C3"/>
    <w:rsid w:val="00F574EC"/>
    <w:rsid w:val="00F575B1"/>
    <w:rsid w:val="00F575B8"/>
    <w:rsid w:val="00F57885"/>
    <w:rsid w:val="00F57B6D"/>
    <w:rsid w:val="00F57BC6"/>
    <w:rsid w:val="00F57BDC"/>
    <w:rsid w:val="00F57E47"/>
    <w:rsid w:val="00F602E7"/>
    <w:rsid w:val="00F6036A"/>
    <w:rsid w:val="00F603FD"/>
    <w:rsid w:val="00F6051F"/>
    <w:rsid w:val="00F6068A"/>
    <w:rsid w:val="00F60783"/>
    <w:rsid w:val="00F60853"/>
    <w:rsid w:val="00F6086F"/>
    <w:rsid w:val="00F609A5"/>
    <w:rsid w:val="00F60DC1"/>
    <w:rsid w:val="00F60E82"/>
    <w:rsid w:val="00F611D1"/>
    <w:rsid w:val="00F61481"/>
    <w:rsid w:val="00F6153C"/>
    <w:rsid w:val="00F6158F"/>
    <w:rsid w:val="00F61CDB"/>
    <w:rsid w:val="00F61E4B"/>
    <w:rsid w:val="00F61E91"/>
    <w:rsid w:val="00F61F48"/>
    <w:rsid w:val="00F61FC1"/>
    <w:rsid w:val="00F62557"/>
    <w:rsid w:val="00F62997"/>
    <w:rsid w:val="00F6305B"/>
    <w:rsid w:val="00F63298"/>
    <w:rsid w:val="00F6333D"/>
    <w:rsid w:val="00F634A0"/>
    <w:rsid w:val="00F635E6"/>
    <w:rsid w:val="00F63705"/>
    <w:rsid w:val="00F63994"/>
    <w:rsid w:val="00F63A9B"/>
    <w:rsid w:val="00F63CCB"/>
    <w:rsid w:val="00F63EF0"/>
    <w:rsid w:val="00F64160"/>
    <w:rsid w:val="00F64233"/>
    <w:rsid w:val="00F647C6"/>
    <w:rsid w:val="00F647CC"/>
    <w:rsid w:val="00F64814"/>
    <w:rsid w:val="00F64A5B"/>
    <w:rsid w:val="00F65284"/>
    <w:rsid w:val="00F65418"/>
    <w:rsid w:val="00F656CA"/>
    <w:rsid w:val="00F65AB1"/>
    <w:rsid w:val="00F65C13"/>
    <w:rsid w:val="00F6600E"/>
    <w:rsid w:val="00F66144"/>
    <w:rsid w:val="00F66345"/>
    <w:rsid w:val="00F663E1"/>
    <w:rsid w:val="00F666A3"/>
    <w:rsid w:val="00F66817"/>
    <w:rsid w:val="00F66A01"/>
    <w:rsid w:val="00F66B4F"/>
    <w:rsid w:val="00F66BFE"/>
    <w:rsid w:val="00F66D69"/>
    <w:rsid w:val="00F66F9F"/>
    <w:rsid w:val="00F670A9"/>
    <w:rsid w:val="00F6713F"/>
    <w:rsid w:val="00F67230"/>
    <w:rsid w:val="00F67512"/>
    <w:rsid w:val="00F678BC"/>
    <w:rsid w:val="00F67997"/>
    <w:rsid w:val="00F679E7"/>
    <w:rsid w:val="00F67B3C"/>
    <w:rsid w:val="00F67C8A"/>
    <w:rsid w:val="00F70082"/>
    <w:rsid w:val="00F701AE"/>
    <w:rsid w:val="00F702DA"/>
    <w:rsid w:val="00F70606"/>
    <w:rsid w:val="00F70704"/>
    <w:rsid w:val="00F7074C"/>
    <w:rsid w:val="00F70C07"/>
    <w:rsid w:val="00F70CA2"/>
    <w:rsid w:val="00F7108E"/>
    <w:rsid w:val="00F7132E"/>
    <w:rsid w:val="00F7148A"/>
    <w:rsid w:val="00F7152B"/>
    <w:rsid w:val="00F7166E"/>
    <w:rsid w:val="00F718FB"/>
    <w:rsid w:val="00F719C6"/>
    <w:rsid w:val="00F719D6"/>
    <w:rsid w:val="00F71A06"/>
    <w:rsid w:val="00F71ACB"/>
    <w:rsid w:val="00F71B3D"/>
    <w:rsid w:val="00F71BA3"/>
    <w:rsid w:val="00F71BD1"/>
    <w:rsid w:val="00F71C8D"/>
    <w:rsid w:val="00F71EA9"/>
    <w:rsid w:val="00F722F3"/>
    <w:rsid w:val="00F7235E"/>
    <w:rsid w:val="00F724C1"/>
    <w:rsid w:val="00F724CF"/>
    <w:rsid w:val="00F72613"/>
    <w:rsid w:val="00F728A4"/>
    <w:rsid w:val="00F72929"/>
    <w:rsid w:val="00F72E1E"/>
    <w:rsid w:val="00F734E7"/>
    <w:rsid w:val="00F7398A"/>
    <w:rsid w:val="00F73F0C"/>
    <w:rsid w:val="00F7412F"/>
    <w:rsid w:val="00F74206"/>
    <w:rsid w:val="00F7479A"/>
    <w:rsid w:val="00F748FC"/>
    <w:rsid w:val="00F74B51"/>
    <w:rsid w:val="00F74E24"/>
    <w:rsid w:val="00F74F63"/>
    <w:rsid w:val="00F75088"/>
    <w:rsid w:val="00F75423"/>
    <w:rsid w:val="00F7542E"/>
    <w:rsid w:val="00F7557B"/>
    <w:rsid w:val="00F7564F"/>
    <w:rsid w:val="00F7591E"/>
    <w:rsid w:val="00F75B26"/>
    <w:rsid w:val="00F75B64"/>
    <w:rsid w:val="00F76B8B"/>
    <w:rsid w:val="00F76F6F"/>
    <w:rsid w:val="00F774BE"/>
    <w:rsid w:val="00F774E0"/>
    <w:rsid w:val="00F77581"/>
    <w:rsid w:val="00F77662"/>
    <w:rsid w:val="00F7778D"/>
    <w:rsid w:val="00F77829"/>
    <w:rsid w:val="00F77BEB"/>
    <w:rsid w:val="00F77C06"/>
    <w:rsid w:val="00F805EB"/>
    <w:rsid w:val="00F80614"/>
    <w:rsid w:val="00F809B8"/>
    <w:rsid w:val="00F80A9E"/>
    <w:rsid w:val="00F80E47"/>
    <w:rsid w:val="00F81362"/>
    <w:rsid w:val="00F8184F"/>
    <w:rsid w:val="00F81AA5"/>
    <w:rsid w:val="00F81B16"/>
    <w:rsid w:val="00F81C40"/>
    <w:rsid w:val="00F81F06"/>
    <w:rsid w:val="00F82041"/>
    <w:rsid w:val="00F821F2"/>
    <w:rsid w:val="00F82484"/>
    <w:rsid w:val="00F825B1"/>
    <w:rsid w:val="00F827E9"/>
    <w:rsid w:val="00F829F2"/>
    <w:rsid w:val="00F82AAC"/>
    <w:rsid w:val="00F82D68"/>
    <w:rsid w:val="00F82E6D"/>
    <w:rsid w:val="00F8329A"/>
    <w:rsid w:val="00F83456"/>
    <w:rsid w:val="00F83682"/>
    <w:rsid w:val="00F8380C"/>
    <w:rsid w:val="00F83BAB"/>
    <w:rsid w:val="00F83CB4"/>
    <w:rsid w:val="00F83E19"/>
    <w:rsid w:val="00F8410B"/>
    <w:rsid w:val="00F84239"/>
    <w:rsid w:val="00F84281"/>
    <w:rsid w:val="00F847E0"/>
    <w:rsid w:val="00F84907"/>
    <w:rsid w:val="00F84CF7"/>
    <w:rsid w:val="00F84FC7"/>
    <w:rsid w:val="00F854EE"/>
    <w:rsid w:val="00F85941"/>
    <w:rsid w:val="00F85994"/>
    <w:rsid w:val="00F85C4F"/>
    <w:rsid w:val="00F86006"/>
    <w:rsid w:val="00F86170"/>
    <w:rsid w:val="00F864B0"/>
    <w:rsid w:val="00F8675E"/>
    <w:rsid w:val="00F8681D"/>
    <w:rsid w:val="00F868CD"/>
    <w:rsid w:val="00F869FD"/>
    <w:rsid w:val="00F871B8"/>
    <w:rsid w:val="00F87825"/>
    <w:rsid w:val="00F8788A"/>
    <w:rsid w:val="00F87B52"/>
    <w:rsid w:val="00F87E90"/>
    <w:rsid w:val="00F90069"/>
    <w:rsid w:val="00F901C9"/>
    <w:rsid w:val="00F90376"/>
    <w:rsid w:val="00F909F0"/>
    <w:rsid w:val="00F90B33"/>
    <w:rsid w:val="00F90B4B"/>
    <w:rsid w:val="00F90C73"/>
    <w:rsid w:val="00F90E7E"/>
    <w:rsid w:val="00F9112E"/>
    <w:rsid w:val="00F91353"/>
    <w:rsid w:val="00F9139C"/>
    <w:rsid w:val="00F9150C"/>
    <w:rsid w:val="00F91A68"/>
    <w:rsid w:val="00F91BD9"/>
    <w:rsid w:val="00F91DAB"/>
    <w:rsid w:val="00F91E06"/>
    <w:rsid w:val="00F91E78"/>
    <w:rsid w:val="00F92128"/>
    <w:rsid w:val="00F923EA"/>
    <w:rsid w:val="00F92BD9"/>
    <w:rsid w:val="00F92E34"/>
    <w:rsid w:val="00F92E9E"/>
    <w:rsid w:val="00F92FBF"/>
    <w:rsid w:val="00F93131"/>
    <w:rsid w:val="00F9325E"/>
    <w:rsid w:val="00F933B0"/>
    <w:rsid w:val="00F936C7"/>
    <w:rsid w:val="00F93B92"/>
    <w:rsid w:val="00F93D69"/>
    <w:rsid w:val="00F93DC5"/>
    <w:rsid w:val="00F94043"/>
    <w:rsid w:val="00F94097"/>
    <w:rsid w:val="00F94199"/>
    <w:rsid w:val="00F944A3"/>
    <w:rsid w:val="00F94673"/>
    <w:rsid w:val="00F94754"/>
    <w:rsid w:val="00F94953"/>
    <w:rsid w:val="00F94B9B"/>
    <w:rsid w:val="00F94C4D"/>
    <w:rsid w:val="00F94D12"/>
    <w:rsid w:val="00F94E09"/>
    <w:rsid w:val="00F94E52"/>
    <w:rsid w:val="00F9511A"/>
    <w:rsid w:val="00F9548F"/>
    <w:rsid w:val="00F95565"/>
    <w:rsid w:val="00F95624"/>
    <w:rsid w:val="00F9567A"/>
    <w:rsid w:val="00F958F8"/>
    <w:rsid w:val="00F95AED"/>
    <w:rsid w:val="00F95C64"/>
    <w:rsid w:val="00F95DEB"/>
    <w:rsid w:val="00F95E2C"/>
    <w:rsid w:val="00F95EC7"/>
    <w:rsid w:val="00F95FFD"/>
    <w:rsid w:val="00F96208"/>
    <w:rsid w:val="00F9629A"/>
    <w:rsid w:val="00F963C8"/>
    <w:rsid w:val="00F966FF"/>
    <w:rsid w:val="00F96753"/>
    <w:rsid w:val="00F9682A"/>
    <w:rsid w:val="00F9684A"/>
    <w:rsid w:val="00F96AED"/>
    <w:rsid w:val="00F96D77"/>
    <w:rsid w:val="00F96D99"/>
    <w:rsid w:val="00F96DB3"/>
    <w:rsid w:val="00F96FCD"/>
    <w:rsid w:val="00F96FFC"/>
    <w:rsid w:val="00F97139"/>
    <w:rsid w:val="00F974F3"/>
    <w:rsid w:val="00F97649"/>
    <w:rsid w:val="00F9783E"/>
    <w:rsid w:val="00F97892"/>
    <w:rsid w:val="00F97C61"/>
    <w:rsid w:val="00F97CA8"/>
    <w:rsid w:val="00F97E48"/>
    <w:rsid w:val="00FA0198"/>
    <w:rsid w:val="00FA041B"/>
    <w:rsid w:val="00FA054E"/>
    <w:rsid w:val="00FA0568"/>
    <w:rsid w:val="00FA0634"/>
    <w:rsid w:val="00FA0825"/>
    <w:rsid w:val="00FA08AD"/>
    <w:rsid w:val="00FA09D2"/>
    <w:rsid w:val="00FA0D71"/>
    <w:rsid w:val="00FA0D74"/>
    <w:rsid w:val="00FA0D94"/>
    <w:rsid w:val="00FA0FFB"/>
    <w:rsid w:val="00FA11CF"/>
    <w:rsid w:val="00FA1559"/>
    <w:rsid w:val="00FA17C0"/>
    <w:rsid w:val="00FA18BC"/>
    <w:rsid w:val="00FA1CB8"/>
    <w:rsid w:val="00FA2193"/>
    <w:rsid w:val="00FA21E3"/>
    <w:rsid w:val="00FA225F"/>
    <w:rsid w:val="00FA238B"/>
    <w:rsid w:val="00FA243C"/>
    <w:rsid w:val="00FA2602"/>
    <w:rsid w:val="00FA2797"/>
    <w:rsid w:val="00FA2B07"/>
    <w:rsid w:val="00FA2DA4"/>
    <w:rsid w:val="00FA2F27"/>
    <w:rsid w:val="00FA2FD0"/>
    <w:rsid w:val="00FA3046"/>
    <w:rsid w:val="00FA35E5"/>
    <w:rsid w:val="00FA3A5F"/>
    <w:rsid w:val="00FA3ACB"/>
    <w:rsid w:val="00FA3BA1"/>
    <w:rsid w:val="00FA3E0B"/>
    <w:rsid w:val="00FA4150"/>
    <w:rsid w:val="00FA45E7"/>
    <w:rsid w:val="00FA4645"/>
    <w:rsid w:val="00FA49DC"/>
    <w:rsid w:val="00FA4AC8"/>
    <w:rsid w:val="00FA51BB"/>
    <w:rsid w:val="00FA5766"/>
    <w:rsid w:val="00FA5D09"/>
    <w:rsid w:val="00FA5E69"/>
    <w:rsid w:val="00FA600F"/>
    <w:rsid w:val="00FA6019"/>
    <w:rsid w:val="00FA6179"/>
    <w:rsid w:val="00FA63BA"/>
    <w:rsid w:val="00FA643C"/>
    <w:rsid w:val="00FA679B"/>
    <w:rsid w:val="00FA719C"/>
    <w:rsid w:val="00FA7205"/>
    <w:rsid w:val="00FA78FD"/>
    <w:rsid w:val="00FA7B36"/>
    <w:rsid w:val="00FA7D42"/>
    <w:rsid w:val="00FA7D7D"/>
    <w:rsid w:val="00FB000C"/>
    <w:rsid w:val="00FB01E3"/>
    <w:rsid w:val="00FB072A"/>
    <w:rsid w:val="00FB0738"/>
    <w:rsid w:val="00FB0A90"/>
    <w:rsid w:val="00FB0B9D"/>
    <w:rsid w:val="00FB0C59"/>
    <w:rsid w:val="00FB0CC1"/>
    <w:rsid w:val="00FB0E73"/>
    <w:rsid w:val="00FB1212"/>
    <w:rsid w:val="00FB1368"/>
    <w:rsid w:val="00FB144E"/>
    <w:rsid w:val="00FB19DB"/>
    <w:rsid w:val="00FB1ED8"/>
    <w:rsid w:val="00FB2169"/>
    <w:rsid w:val="00FB25D0"/>
    <w:rsid w:val="00FB286D"/>
    <w:rsid w:val="00FB28A1"/>
    <w:rsid w:val="00FB28C7"/>
    <w:rsid w:val="00FB2ACC"/>
    <w:rsid w:val="00FB2B28"/>
    <w:rsid w:val="00FB2D30"/>
    <w:rsid w:val="00FB2DBD"/>
    <w:rsid w:val="00FB2F1C"/>
    <w:rsid w:val="00FB33AA"/>
    <w:rsid w:val="00FB3689"/>
    <w:rsid w:val="00FB3769"/>
    <w:rsid w:val="00FB37B9"/>
    <w:rsid w:val="00FB37D1"/>
    <w:rsid w:val="00FB38DD"/>
    <w:rsid w:val="00FB391F"/>
    <w:rsid w:val="00FB3CC3"/>
    <w:rsid w:val="00FB3D98"/>
    <w:rsid w:val="00FB3DCA"/>
    <w:rsid w:val="00FB3E14"/>
    <w:rsid w:val="00FB49AD"/>
    <w:rsid w:val="00FB4B5B"/>
    <w:rsid w:val="00FB4CBC"/>
    <w:rsid w:val="00FB4FCF"/>
    <w:rsid w:val="00FB51A1"/>
    <w:rsid w:val="00FB5298"/>
    <w:rsid w:val="00FB5412"/>
    <w:rsid w:val="00FB54CE"/>
    <w:rsid w:val="00FB5510"/>
    <w:rsid w:val="00FB586A"/>
    <w:rsid w:val="00FB59F5"/>
    <w:rsid w:val="00FB5CBD"/>
    <w:rsid w:val="00FB5DC5"/>
    <w:rsid w:val="00FB5EA1"/>
    <w:rsid w:val="00FB5EAE"/>
    <w:rsid w:val="00FB5EEC"/>
    <w:rsid w:val="00FB620D"/>
    <w:rsid w:val="00FB632F"/>
    <w:rsid w:val="00FB6378"/>
    <w:rsid w:val="00FB645B"/>
    <w:rsid w:val="00FB65E2"/>
    <w:rsid w:val="00FB6829"/>
    <w:rsid w:val="00FB6894"/>
    <w:rsid w:val="00FB6AF3"/>
    <w:rsid w:val="00FB6C45"/>
    <w:rsid w:val="00FB6F67"/>
    <w:rsid w:val="00FB72AB"/>
    <w:rsid w:val="00FB746B"/>
    <w:rsid w:val="00FB751E"/>
    <w:rsid w:val="00FB7A18"/>
    <w:rsid w:val="00FB7DC8"/>
    <w:rsid w:val="00FC00C1"/>
    <w:rsid w:val="00FC00C6"/>
    <w:rsid w:val="00FC01E0"/>
    <w:rsid w:val="00FC01E7"/>
    <w:rsid w:val="00FC02A4"/>
    <w:rsid w:val="00FC059A"/>
    <w:rsid w:val="00FC07A2"/>
    <w:rsid w:val="00FC07EF"/>
    <w:rsid w:val="00FC0A4B"/>
    <w:rsid w:val="00FC0AD7"/>
    <w:rsid w:val="00FC0D69"/>
    <w:rsid w:val="00FC0DC4"/>
    <w:rsid w:val="00FC0E93"/>
    <w:rsid w:val="00FC10DE"/>
    <w:rsid w:val="00FC14D8"/>
    <w:rsid w:val="00FC16BA"/>
    <w:rsid w:val="00FC1886"/>
    <w:rsid w:val="00FC1984"/>
    <w:rsid w:val="00FC1A8D"/>
    <w:rsid w:val="00FC1ABC"/>
    <w:rsid w:val="00FC2052"/>
    <w:rsid w:val="00FC21B0"/>
    <w:rsid w:val="00FC2271"/>
    <w:rsid w:val="00FC22C9"/>
    <w:rsid w:val="00FC23C3"/>
    <w:rsid w:val="00FC2425"/>
    <w:rsid w:val="00FC2681"/>
    <w:rsid w:val="00FC2D5F"/>
    <w:rsid w:val="00FC2E96"/>
    <w:rsid w:val="00FC31AE"/>
    <w:rsid w:val="00FC34C7"/>
    <w:rsid w:val="00FC34F3"/>
    <w:rsid w:val="00FC3862"/>
    <w:rsid w:val="00FC3969"/>
    <w:rsid w:val="00FC3AA2"/>
    <w:rsid w:val="00FC3C80"/>
    <w:rsid w:val="00FC3DEF"/>
    <w:rsid w:val="00FC3E75"/>
    <w:rsid w:val="00FC3F73"/>
    <w:rsid w:val="00FC4002"/>
    <w:rsid w:val="00FC406B"/>
    <w:rsid w:val="00FC41BC"/>
    <w:rsid w:val="00FC4255"/>
    <w:rsid w:val="00FC42BB"/>
    <w:rsid w:val="00FC4673"/>
    <w:rsid w:val="00FC473A"/>
    <w:rsid w:val="00FC4AA8"/>
    <w:rsid w:val="00FC4EA4"/>
    <w:rsid w:val="00FC50DC"/>
    <w:rsid w:val="00FC5142"/>
    <w:rsid w:val="00FC53D4"/>
    <w:rsid w:val="00FC5578"/>
    <w:rsid w:val="00FC5603"/>
    <w:rsid w:val="00FC5957"/>
    <w:rsid w:val="00FC5C61"/>
    <w:rsid w:val="00FC5D74"/>
    <w:rsid w:val="00FC5FB4"/>
    <w:rsid w:val="00FC601C"/>
    <w:rsid w:val="00FC605A"/>
    <w:rsid w:val="00FC61F2"/>
    <w:rsid w:val="00FC6657"/>
    <w:rsid w:val="00FC6883"/>
    <w:rsid w:val="00FC6A21"/>
    <w:rsid w:val="00FC6A5E"/>
    <w:rsid w:val="00FC6B68"/>
    <w:rsid w:val="00FC6CCC"/>
    <w:rsid w:val="00FC6D65"/>
    <w:rsid w:val="00FC6F03"/>
    <w:rsid w:val="00FC7143"/>
    <w:rsid w:val="00FC764B"/>
    <w:rsid w:val="00FC783B"/>
    <w:rsid w:val="00FC7B75"/>
    <w:rsid w:val="00FC7CFE"/>
    <w:rsid w:val="00FC7FEE"/>
    <w:rsid w:val="00FD0034"/>
    <w:rsid w:val="00FD007A"/>
    <w:rsid w:val="00FD052F"/>
    <w:rsid w:val="00FD0B28"/>
    <w:rsid w:val="00FD0C52"/>
    <w:rsid w:val="00FD10F8"/>
    <w:rsid w:val="00FD155F"/>
    <w:rsid w:val="00FD1594"/>
    <w:rsid w:val="00FD16CF"/>
    <w:rsid w:val="00FD17BA"/>
    <w:rsid w:val="00FD1DC9"/>
    <w:rsid w:val="00FD20E6"/>
    <w:rsid w:val="00FD2170"/>
    <w:rsid w:val="00FD2520"/>
    <w:rsid w:val="00FD2860"/>
    <w:rsid w:val="00FD2B9A"/>
    <w:rsid w:val="00FD2C63"/>
    <w:rsid w:val="00FD2C9D"/>
    <w:rsid w:val="00FD2D44"/>
    <w:rsid w:val="00FD2F74"/>
    <w:rsid w:val="00FD2FA4"/>
    <w:rsid w:val="00FD2FFF"/>
    <w:rsid w:val="00FD3006"/>
    <w:rsid w:val="00FD323C"/>
    <w:rsid w:val="00FD35EB"/>
    <w:rsid w:val="00FD39D6"/>
    <w:rsid w:val="00FD3A6F"/>
    <w:rsid w:val="00FD3B16"/>
    <w:rsid w:val="00FD3B94"/>
    <w:rsid w:val="00FD3C37"/>
    <w:rsid w:val="00FD3C47"/>
    <w:rsid w:val="00FD4006"/>
    <w:rsid w:val="00FD40DD"/>
    <w:rsid w:val="00FD427E"/>
    <w:rsid w:val="00FD42BE"/>
    <w:rsid w:val="00FD4378"/>
    <w:rsid w:val="00FD43B3"/>
    <w:rsid w:val="00FD4428"/>
    <w:rsid w:val="00FD4496"/>
    <w:rsid w:val="00FD45DE"/>
    <w:rsid w:val="00FD461D"/>
    <w:rsid w:val="00FD47D1"/>
    <w:rsid w:val="00FD4A5C"/>
    <w:rsid w:val="00FD4D53"/>
    <w:rsid w:val="00FD4DB6"/>
    <w:rsid w:val="00FD4DD1"/>
    <w:rsid w:val="00FD4E98"/>
    <w:rsid w:val="00FD4EFA"/>
    <w:rsid w:val="00FD5177"/>
    <w:rsid w:val="00FD5252"/>
    <w:rsid w:val="00FD5382"/>
    <w:rsid w:val="00FD5503"/>
    <w:rsid w:val="00FD5805"/>
    <w:rsid w:val="00FD5C3B"/>
    <w:rsid w:val="00FD60FF"/>
    <w:rsid w:val="00FD61DA"/>
    <w:rsid w:val="00FD6281"/>
    <w:rsid w:val="00FD6295"/>
    <w:rsid w:val="00FD6384"/>
    <w:rsid w:val="00FD64A6"/>
    <w:rsid w:val="00FD67D5"/>
    <w:rsid w:val="00FD68DB"/>
    <w:rsid w:val="00FD6C1F"/>
    <w:rsid w:val="00FD6C42"/>
    <w:rsid w:val="00FD6DDE"/>
    <w:rsid w:val="00FD717A"/>
    <w:rsid w:val="00FD757B"/>
    <w:rsid w:val="00FD7625"/>
    <w:rsid w:val="00FD766B"/>
    <w:rsid w:val="00FD7A7B"/>
    <w:rsid w:val="00FD7D43"/>
    <w:rsid w:val="00FD7FAE"/>
    <w:rsid w:val="00FE0209"/>
    <w:rsid w:val="00FE0230"/>
    <w:rsid w:val="00FE04F5"/>
    <w:rsid w:val="00FE054B"/>
    <w:rsid w:val="00FE06DA"/>
    <w:rsid w:val="00FE0819"/>
    <w:rsid w:val="00FE0915"/>
    <w:rsid w:val="00FE096C"/>
    <w:rsid w:val="00FE096E"/>
    <w:rsid w:val="00FE0A07"/>
    <w:rsid w:val="00FE0AB7"/>
    <w:rsid w:val="00FE0C22"/>
    <w:rsid w:val="00FE0F94"/>
    <w:rsid w:val="00FE102F"/>
    <w:rsid w:val="00FE103D"/>
    <w:rsid w:val="00FE10C5"/>
    <w:rsid w:val="00FE1118"/>
    <w:rsid w:val="00FE163A"/>
    <w:rsid w:val="00FE1689"/>
    <w:rsid w:val="00FE177E"/>
    <w:rsid w:val="00FE18F3"/>
    <w:rsid w:val="00FE22FB"/>
    <w:rsid w:val="00FE2443"/>
    <w:rsid w:val="00FE246B"/>
    <w:rsid w:val="00FE2522"/>
    <w:rsid w:val="00FE2681"/>
    <w:rsid w:val="00FE26C9"/>
    <w:rsid w:val="00FE26D1"/>
    <w:rsid w:val="00FE2A29"/>
    <w:rsid w:val="00FE2E23"/>
    <w:rsid w:val="00FE2ED9"/>
    <w:rsid w:val="00FE2EF6"/>
    <w:rsid w:val="00FE3076"/>
    <w:rsid w:val="00FE33CF"/>
    <w:rsid w:val="00FE3427"/>
    <w:rsid w:val="00FE3456"/>
    <w:rsid w:val="00FE3553"/>
    <w:rsid w:val="00FE367E"/>
    <w:rsid w:val="00FE36E6"/>
    <w:rsid w:val="00FE371A"/>
    <w:rsid w:val="00FE37E0"/>
    <w:rsid w:val="00FE3906"/>
    <w:rsid w:val="00FE3924"/>
    <w:rsid w:val="00FE398D"/>
    <w:rsid w:val="00FE3B79"/>
    <w:rsid w:val="00FE3BA5"/>
    <w:rsid w:val="00FE3C9A"/>
    <w:rsid w:val="00FE3CDC"/>
    <w:rsid w:val="00FE3FDC"/>
    <w:rsid w:val="00FE40E5"/>
    <w:rsid w:val="00FE427F"/>
    <w:rsid w:val="00FE4380"/>
    <w:rsid w:val="00FE45F0"/>
    <w:rsid w:val="00FE4739"/>
    <w:rsid w:val="00FE4BB7"/>
    <w:rsid w:val="00FE4DB2"/>
    <w:rsid w:val="00FE51BD"/>
    <w:rsid w:val="00FE55E6"/>
    <w:rsid w:val="00FE5B46"/>
    <w:rsid w:val="00FE5C1D"/>
    <w:rsid w:val="00FE5C65"/>
    <w:rsid w:val="00FE606B"/>
    <w:rsid w:val="00FE64F4"/>
    <w:rsid w:val="00FE6545"/>
    <w:rsid w:val="00FE6566"/>
    <w:rsid w:val="00FE66AF"/>
    <w:rsid w:val="00FE680D"/>
    <w:rsid w:val="00FE681D"/>
    <w:rsid w:val="00FE694E"/>
    <w:rsid w:val="00FE69DF"/>
    <w:rsid w:val="00FE6C4C"/>
    <w:rsid w:val="00FE6E9F"/>
    <w:rsid w:val="00FE74DF"/>
    <w:rsid w:val="00FE752B"/>
    <w:rsid w:val="00FE75E0"/>
    <w:rsid w:val="00FE75F0"/>
    <w:rsid w:val="00FE7702"/>
    <w:rsid w:val="00FE7EA1"/>
    <w:rsid w:val="00FF05BA"/>
    <w:rsid w:val="00FF0741"/>
    <w:rsid w:val="00FF0A53"/>
    <w:rsid w:val="00FF0BC5"/>
    <w:rsid w:val="00FF0C65"/>
    <w:rsid w:val="00FF0DBD"/>
    <w:rsid w:val="00FF0DEA"/>
    <w:rsid w:val="00FF12A3"/>
    <w:rsid w:val="00FF1379"/>
    <w:rsid w:val="00FF17CA"/>
    <w:rsid w:val="00FF1972"/>
    <w:rsid w:val="00FF1C19"/>
    <w:rsid w:val="00FF2100"/>
    <w:rsid w:val="00FF21FD"/>
    <w:rsid w:val="00FF2276"/>
    <w:rsid w:val="00FF25F2"/>
    <w:rsid w:val="00FF2861"/>
    <w:rsid w:val="00FF2AB1"/>
    <w:rsid w:val="00FF31CB"/>
    <w:rsid w:val="00FF32A2"/>
    <w:rsid w:val="00FF35A8"/>
    <w:rsid w:val="00FF3A07"/>
    <w:rsid w:val="00FF3A69"/>
    <w:rsid w:val="00FF3C93"/>
    <w:rsid w:val="00FF3FEA"/>
    <w:rsid w:val="00FF40B8"/>
    <w:rsid w:val="00FF417B"/>
    <w:rsid w:val="00FF41DD"/>
    <w:rsid w:val="00FF43EF"/>
    <w:rsid w:val="00FF4426"/>
    <w:rsid w:val="00FF47BD"/>
    <w:rsid w:val="00FF47F1"/>
    <w:rsid w:val="00FF4882"/>
    <w:rsid w:val="00FF4932"/>
    <w:rsid w:val="00FF4AC5"/>
    <w:rsid w:val="00FF4AFF"/>
    <w:rsid w:val="00FF4C68"/>
    <w:rsid w:val="00FF4E7A"/>
    <w:rsid w:val="00FF5367"/>
    <w:rsid w:val="00FF543A"/>
    <w:rsid w:val="00FF5575"/>
    <w:rsid w:val="00FF561B"/>
    <w:rsid w:val="00FF5702"/>
    <w:rsid w:val="00FF593A"/>
    <w:rsid w:val="00FF62F1"/>
    <w:rsid w:val="00FF637D"/>
    <w:rsid w:val="00FF649A"/>
    <w:rsid w:val="00FF652C"/>
    <w:rsid w:val="00FF6572"/>
    <w:rsid w:val="00FF6642"/>
    <w:rsid w:val="00FF6659"/>
    <w:rsid w:val="00FF6987"/>
    <w:rsid w:val="00FF6E31"/>
    <w:rsid w:val="00FF6F53"/>
    <w:rsid w:val="00FF6FAB"/>
    <w:rsid w:val="00FF7121"/>
    <w:rsid w:val="00FF7135"/>
    <w:rsid w:val="00FF7368"/>
    <w:rsid w:val="00FF740B"/>
    <w:rsid w:val="00FF75F2"/>
    <w:rsid w:val="00FF77BE"/>
    <w:rsid w:val="00FF780F"/>
    <w:rsid w:val="00FF7A6F"/>
    <w:rsid w:val="00FF7BD0"/>
    <w:rsid w:val="00FF7C78"/>
    <w:rsid w:val="00FF7FB5"/>
    <w:rsid w:val="010916E8"/>
    <w:rsid w:val="011ACD9B"/>
    <w:rsid w:val="012ACB84"/>
    <w:rsid w:val="012F1A41"/>
    <w:rsid w:val="0176C1AE"/>
    <w:rsid w:val="0188FA94"/>
    <w:rsid w:val="01BAAA66"/>
    <w:rsid w:val="01BE7412"/>
    <w:rsid w:val="01C337C3"/>
    <w:rsid w:val="01C5B95C"/>
    <w:rsid w:val="01D3390A"/>
    <w:rsid w:val="01E915A6"/>
    <w:rsid w:val="01FFB5F2"/>
    <w:rsid w:val="020591B7"/>
    <w:rsid w:val="020FE548"/>
    <w:rsid w:val="0230CFD1"/>
    <w:rsid w:val="02827531"/>
    <w:rsid w:val="0282B4D5"/>
    <w:rsid w:val="02E0802E"/>
    <w:rsid w:val="02E8977F"/>
    <w:rsid w:val="0329D686"/>
    <w:rsid w:val="0331FC7F"/>
    <w:rsid w:val="036272CF"/>
    <w:rsid w:val="0392C291"/>
    <w:rsid w:val="03A4E06B"/>
    <w:rsid w:val="03D13F44"/>
    <w:rsid w:val="03D4F735"/>
    <w:rsid w:val="03DAF2F7"/>
    <w:rsid w:val="03EDB33F"/>
    <w:rsid w:val="03F5EED3"/>
    <w:rsid w:val="043A8054"/>
    <w:rsid w:val="0451CA9F"/>
    <w:rsid w:val="04CD3D48"/>
    <w:rsid w:val="05250E26"/>
    <w:rsid w:val="0531A4E9"/>
    <w:rsid w:val="054315D0"/>
    <w:rsid w:val="0543E978"/>
    <w:rsid w:val="05710002"/>
    <w:rsid w:val="05B8BBCD"/>
    <w:rsid w:val="05CACB2B"/>
    <w:rsid w:val="05DF1820"/>
    <w:rsid w:val="05E5BF70"/>
    <w:rsid w:val="060D02F2"/>
    <w:rsid w:val="061F556E"/>
    <w:rsid w:val="064E590A"/>
    <w:rsid w:val="06756140"/>
    <w:rsid w:val="06894AA0"/>
    <w:rsid w:val="0694D956"/>
    <w:rsid w:val="06B7D430"/>
    <w:rsid w:val="06F3F661"/>
    <w:rsid w:val="06FF918C"/>
    <w:rsid w:val="06FFD2B3"/>
    <w:rsid w:val="070C04E4"/>
    <w:rsid w:val="07270EA1"/>
    <w:rsid w:val="07456E48"/>
    <w:rsid w:val="07593EEE"/>
    <w:rsid w:val="077D7734"/>
    <w:rsid w:val="077D8537"/>
    <w:rsid w:val="078D42EB"/>
    <w:rsid w:val="07B9DAD8"/>
    <w:rsid w:val="07C8A37F"/>
    <w:rsid w:val="08393AA8"/>
    <w:rsid w:val="087D4324"/>
    <w:rsid w:val="08B09C08"/>
    <w:rsid w:val="08CE09B0"/>
    <w:rsid w:val="08EDF78A"/>
    <w:rsid w:val="08EE06FE"/>
    <w:rsid w:val="08F66935"/>
    <w:rsid w:val="08F96B2F"/>
    <w:rsid w:val="091FB3E7"/>
    <w:rsid w:val="09215E30"/>
    <w:rsid w:val="0977CF86"/>
    <w:rsid w:val="09830B9F"/>
    <w:rsid w:val="099293F9"/>
    <w:rsid w:val="09AC86A4"/>
    <w:rsid w:val="09B6CBC0"/>
    <w:rsid w:val="09C5A894"/>
    <w:rsid w:val="09CBD74E"/>
    <w:rsid w:val="09FD8504"/>
    <w:rsid w:val="0A26FBED"/>
    <w:rsid w:val="0A4CDA4D"/>
    <w:rsid w:val="0A5519DA"/>
    <w:rsid w:val="0A5980A6"/>
    <w:rsid w:val="0A5A650F"/>
    <w:rsid w:val="0A6AFF08"/>
    <w:rsid w:val="0AB6AB8B"/>
    <w:rsid w:val="0AC00C80"/>
    <w:rsid w:val="0ACC0C76"/>
    <w:rsid w:val="0AFFC491"/>
    <w:rsid w:val="0B22633C"/>
    <w:rsid w:val="0B249FA0"/>
    <w:rsid w:val="0B30B21B"/>
    <w:rsid w:val="0B92A2E8"/>
    <w:rsid w:val="0BC83320"/>
    <w:rsid w:val="0BCE29CE"/>
    <w:rsid w:val="0C7D0FBE"/>
    <w:rsid w:val="0C90ED7D"/>
    <w:rsid w:val="0CD282A2"/>
    <w:rsid w:val="0CD91EF9"/>
    <w:rsid w:val="0CD9C771"/>
    <w:rsid w:val="0CE415E3"/>
    <w:rsid w:val="0CF538D0"/>
    <w:rsid w:val="0CFD0554"/>
    <w:rsid w:val="0D088840"/>
    <w:rsid w:val="0D293ED1"/>
    <w:rsid w:val="0D2D1D8C"/>
    <w:rsid w:val="0D330510"/>
    <w:rsid w:val="0D454934"/>
    <w:rsid w:val="0D488C9B"/>
    <w:rsid w:val="0D4A1504"/>
    <w:rsid w:val="0D889F3C"/>
    <w:rsid w:val="0DB0392A"/>
    <w:rsid w:val="0DC7D435"/>
    <w:rsid w:val="0DC90604"/>
    <w:rsid w:val="0DD04A56"/>
    <w:rsid w:val="0E144618"/>
    <w:rsid w:val="0EB4D715"/>
    <w:rsid w:val="0EBFD3B6"/>
    <w:rsid w:val="0EC44AAD"/>
    <w:rsid w:val="0ED43AB2"/>
    <w:rsid w:val="0EE2B96B"/>
    <w:rsid w:val="0F3898A2"/>
    <w:rsid w:val="0F540AB8"/>
    <w:rsid w:val="0F561787"/>
    <w:rsid w:val="0F7CC25D"/>
    <w:rsid w:val="0F9486E3"/>
    <w:rsid w:val="0FADB368"/>
    <w:rsid w:val="0FBD85D6"/>
    <w:rsid w:val="0FC68600"/>
    <w:rsid w:val="0FCFBE16"/>
    <w:rsid w:val="0FE9C0CB"/>
    <w:rsid w:val="0FE9C60C"/>
    <w:rsid w:val="10033949"/>
    <w:rsid w:val="102B1E7F"/>
    <w:rsid w:val="102EB393"/>
    <w:rsid w:val="106D0B56"/>
    <w:rsid w:val="107E61E1"/>
    <w:rsid w:val="1087682A"/>
    <w:rsid w:val="108FEFE0"/>
    <w:rsid w:val="10ECB03D"/>
    <w:rsid w:val="111035F0"/>
    <w:rsid w:val="11405B7A"/>
    <w:rsid w:val="115A508A"/>
    <w:rsid w:val="115FC708"/>
    <w:rsid w:val="11873736"/>
    <w:rsid w:val="119C9921"/>
    <w:rsid w:val="11A95F6C"/>
    <w:rsid w:val="11BD5E30"/>
    <w:rsid w:val="11E5826F"/>
    <w:rsid w:val="11EE2F96"/>
    <w:rsid w:val="12284A47"/>
    <w:rsid w:val="124A581A"/>
    <w:rsid w:val="12516379"/>
    <w:rsid w:val="1281F671"/>
    <w:rsid w:val="128772BF"/>
    <w:rsid w:val="1294115A"/>
    <w:rsid w:val="12B12BDC"/>
    <w:rsid w:val="12B163EE"/>
    <w:rsid w:val="12B39B13"/>
    <w:rsid w:val="12EFB7A9"/>
    <w:rsid w:val="12FB9AF5"/>
    <w:rsid w:val="1300023C"/>
    <w:rsid w:val="130CC2B9"/>
    <w:rsid w:val="13115F03"/>
    <w:rsid w:val="137F46D9"/>
    <w:rsid w:val="13AF06A6"/>
    <w:rsid w:val="13F5D601"/>
    <w:rsid w:val="14130E91"/>
    <w:rsid w:val="1488AF98"/>
    <w:rsid w:val="14CD22D6"/>
    <w:rsid w:val="14F218A6"/>
    <w:rsid w:val="1578CA3C"/>
    <w:rsid w:val="157B4E16"/>
    <w:rsid w:val="1582AD80"/>
    <w:rsid w:val="15A618F0"/>
    <w:rsid w:val="15CACFBC"/>
    <w:rsid w:val="15E94B1F"/>
    <w:rsid w:val="15ECC425"/>
    <w:rsid w:val="15F995F5"/>
    <w:rsid w:val="1637E2CD"/>
    <w:rsid w:val="163B867C"/>
    <w:rsid w:val="164867E2"/>
    <w:rsid w:val="166F7882"/>
    <w:rsid w:val="167D5564"/>
    <w:rsid w:val="1699E38D"/>
    <w:rsid w:val="16A5AAFD"/>
    <w:rsid w:val="16AD420D"/>
    <w:rsid w:val="16B72248"/>
    <w:rsid w:val="16C08A0A"/>
    <w:rsid w:val="16D2C8AD"/>
    <w:rsid w:val="1712B662"/>
    <w:rsid w:val="171A2133"/>
    <w:rsid w:val="173E9801"/>
    <w:rsid w:val="1759962D"/>
    <w:rsid w:val="1771B23E"/>
    <w:rsid w:val="1785E6FE"/>
    <w:rsid w:val="17ADB940"/>
    <w:rsid w:val="17C7BE7E"/>
    <w:rsid w:val="17EC6CCC"/>
    <w:rsid w:val="181A9CA1"/>
    <w:rsid w:val="182D76C8"/>
    <w:rsid w:val="1839F831"/>
    <w:rsid w:val="18470608"/>
    <w:rsid w:val="184A6F4D"/>
    <w:rsid w:val="1873FAB9"/>
    <w:rsid w:val="18D33D27"/>
    <w:rsid w:val="18DAABDE"/>
    <w:rsid w:val="18E4B7CE"/>
    <w:rsid w:val="18EB51DF"/>
    <w:rsid w:val="190397A5"/>
    <w:rsid w:val="19390BDF"/>
    <w:rsid w:val="1986645F"/>
    <w:rsid w:val="199F7374"/>
    <w:rsid w:val="19AA11A4"/>
    <w:rsid w:val="19D93D94"/>
    <w:rsid w:val="19E257F8"/>
    <w:rsid w:val="1A1E03D7"/>
    <w:rsid w:val="1A2012E8"/>
    <w:rsid w:val="1A39CA16"/>
    <w:rsid w:val="1A6BE7B0"/>
    <w:rsid w:val="1A70C224"/>
    <w:rsid w:val="1A7831B5"/>
    <w:rsid w:val="1A9016A4"/>
    <w:rsid w:val="1AC37E35"/>
    <w:rsid w:val="1AF3950D"/>
    <w:rsid w:val="1B068024"/>
    <w:rsid w:val="1B1C0A2F"/>
    <w:rsid w:val="1B4DB00F"/>
    <w:rsid w:val="1BB4C6CB"/>
    <w:rsid w:val="1BB939D0"/>
    <w:rsid w:val="1BB9B1F1"/>
    <w:rsid w:val="1BD70FA0"/>
    <w:rsid w:val="1BFA8358"/>
    <w:rsid w:val="1C1C5B6A"/>
    <w:rsid w:val="1C249A9D"/>
    <w:rsid w:val="1C341678"/>
    <w:rsid w:val="1C619AB3"/>
    <w:rsid w:val="1C639CE4"/>
    <w:rsid w:val="1C8D6514"/>
    <w:rsid w:val="1CA67863"/>
    <w:rsid w:val="1CCFF9D3"/>
    <w:rsid w:val="1CDB3A52"/>
    <w:rsid w:val="1D48699A"/>
    <w:rsid w:val="1D5806EF"/>
    <w:rsid w:val="1D912853"/>
    <w:rsid w:val="1D958AEB"/>
    <w:rsid w:val="1D98DD16"/>
    <w:rsid w:val="1D9BA4E1"/>
    <w:rsid w:val="1DB9AEF7"/>
    <w:rsid w:val="1DC924C5"/>
    <w:rsid w:val="1DCF26E4"/>
    <w:rsid w:val="1E064534"/>
    <w:rsid w:val="1E0E13B2"/>
    <w:rsid w:val="1E1BF914"/>
    <w:rsid w:val="1E2A7354"/>
    <w:rsid w:val="1E3A1444"/>
    <w:rsid w:val="1E4EE52D"/>
    <w:rsid w:val="1E5B2395"/>
    <w:rsid w:val="1E727B71"/>
    <w:rsid w:val="1E78C5D3"/>
    <w:rsid w:val="1EA66FD0"/>
    <w:rsid w:val="1EB45715"/>
    <w:rsid w:val="1F123E78"/>
    <w:rsid w:val="1F421C67"/>
    <w:rsid w:val="1F5C3D90"/>
    <w:rsid w:val="1F8114C7"/>
    <w:rsid w:val="1F84E319"/>
    <w:rsid w:val="1FA7C13F"/>
    <w:rsid w:val="1FF0CF2E"/>
    <w:rsid w:val="20146D4B"/>
    <w:rsid w:val="20390AFD"/>
    <w:rsid w:val="207D01ED"/>
    <w:rsid w:val="20B23113"/>
    <w:rsid w:val="20C76726"/>
    <w:rsid w:val="2107AB08"/>
    <w:rsid w:val="210B822B"/>
    <w:rsid w:val="214A7AC1"/>
    <w:rsid w:val="214AD6FB"/>
    <w:rsid w:val="216D020A"/>
    <w:rsid w:val="217C672E"/>
    <w:rsid w:val="2183CC4C"/>
    <w:rsid w:val="21A7D216"/>
    <w:rsid w:val="21BB0721"/>
    <w:rsid w:val="220A8A9F"/>
    <w:rsid w:val="22261A29"/>
    <w:rsid w:val="2259DF68"/>
    <w:rsid w:val="226FAF41"/>
    <w:rsid w:val="2298514F"/>
    <w:rsid w:val="22A1D160"/>
    <w:rsid w:val="22AE27DE"/>
    <w:rsid w:val="22D38160"/>
    <w:rsid w:val="22E43F97"/>
    <w:rsid w:val="22FCDD97"/>
    <w:rsid w:val="232E3DC6"/>
    <w:rsid w:val="2338525E"/>
    <w:rsid w:val="23422FF0"/>
    <w:rsid w:val="2343EB15"/>
    <w:rsid w:val="236CB101"/>
    <w:rsid w:val="23BE65F1"/>
    <w:rsid w:val="23EABFDF"/>
    <w:rsid w:val="24004B40"/>
    <w:rsid w:val="24646CB2"/>
    <w:rsid w:val="2476E006"/>
    <w:rsid w:val="24787451"/>
    <w:rsid w:val="2478EF8A"/>
    <w:rsid w:val="249092E3"/>
    <w:rsid w:val="24AB68B3"/>
    <w:rsid w:val="24ABAE11"/>
    <w:rsid w:val="24B6423E"/>
    <w:rsid w:val="24CD15F2"/>
    <w:rsid w:val="250E7F4A"/>
    <w:rsid w:val="252039AE"/>
    <w:rsid w:val="252D31C6"/>
    <w:rsid w:val="258B178D"/>
    <w:rsid w:val="2597E02F"/>
    <w:rsid w:val="25A53514"/>
    <w:rsid w:val="25A6D0E6"/>
    <w:rsid w:val="25BDB6D7"/>
    <w:rsid w:val="2621F03E"/>
    <w:rsid w:val="262ACAF6"/>
    <w:rsid w:val="264EF146"/>
    <w:rsid w:val="2651F5EC"/>
    <w:rsid w:val="2661765F"/>
    <w:rsid w:val="26759AA4"/>
    <w:rsid w:val="268796CE"/>
    <w:rsid w:val="26D6260B"/>
    <w:rsid w:val="2707530B"/>
    <w:rsid w:val="2713BC21"/>
    <w:rsid w:val="2762D9F4"/>
    <w:rsid w:val="27B2E6CF"/>
    <w:rsid w:val="28137A8B"/>
    <w:rsid w:val="28183F80"/>
    <w:rsid w:val="2833669D"/>
    <w:rsid w:val="2839E0FD"/>
    <w:rsid w:val="2897CD7A"/>
    <w:rsid w:val="28A8BBB9"/>
    <w:rsid w:val="28D8FD9A"/>
    <w:rsid w:val="28F9A134"/>
    <w:rsid w:val="291109E9"/>
    <w:rsid w:val="29797C74"/>
    <w:rsid w:val="29AF6B24"/>
    <w:rsid w:val="29D91130"/>
    <w:rsid w:val="2A309733"/>
    <w:rsid w:val="2AAEFD68"/>
    <w:rsid w:val="2B213BEF"/>
    <w:rsid w:val="2B4A4EC7"/>
    <w:rsid w:val="2B61D5C4"/>
    <w:rsid w:val="2BD6A492"/>
    <w:rsid w:val="2BFC6991"/>
    <w:rsid w:val="2C0694D0"/>
    <w:rsid w:val="2C2038D1"/>
    <w:rsid w:val="2C36422F"/>
    <w:rsid w:val="2C3E5748"/>
    <w:rsid w:val="2C45C9E0"/>
    <w:rsid w:val="2C502E3B"/>
    <w:rsid w:val="2C665F87"/>
    <w:rsid w:val="2C776DB7"/>
    <w:rsid w:val="2C9C9F0C"/>
    <w:rsid w:val="2CCA5906"/>
    <w:rsid w:val="2CD55570"/>
    <w:rsid w:val="2D09DCE1"/>
    <w:rsid w:val="2D28CBB1"/>
    <w:rsid w:val="2D3F789F"/>
    <w:rsid w:val="2D5E6C1D"/>
    <w:rsid w:val="2D7FC997"/>
    <w:rsid w:val="2DB2E47C"/>
    <w:rsid w:val="2DD436F5"/>
    <w:rsid w:val="2DE11DE9"/>
    <w:rsid w:val="2DE90C4F"/>
    <w:rsid w:val="2DF72336"/>
    <w:rsid w:val="2E3ED8E1"/>
    <w:rsid w:val="2E60E49D"/>
    <w:rsid w:val="2E759563"/>
    <w:rsid w:val="2EC5BEBA"/>
    <w:rsid w:val="2ED1DBF5"/>
    <w:rsid w:val="2ED3A95D"/>
    <w:rsid w:val="2EE2150A"/>
    <w:rsid w:val="2F1409F9"/>
    <w:rsid w:val="2F32ADFB"/>
    <w:rsid w:val="2F846873"/>
    <w:rsid w:val="2F93A7C3"/>
    <w:rsid w:val="2FABFC05"/>
    <w:rsid w:val="2FB70A81"/>
    <w:rsid w:val="301B5870"/>
    <w:rsid w:val="30311B20"/>
    <w:rsid w:val="304FA2BF"/>
    <w:rsid w:val="30663A86"/>
    <w:rsid w:val="308576A1"/>
    <w:rsid w:val="30901B6F"/>
    <w:rsid w:val="309F3690"/>
    <w:rsid w:val="30DBE3F0"/>
    <w:rsid w:val="30F2D8FB"/>
    <w:rsid w:val="31186B61"/>
    <w:rsid w:val="3150A279"/>
    <w:rsid w:val="3179D474"/>
    <w:rsid w:val="31823388"/>
    <w:rsid w:val="3185EB16"/>
    <w:rsid w:val="319CA3C1"/>
    <w:rsid w:val="31F1A2B7"/>
    <w:rsid w:val="31FCB53C"/>
    <w:rsid w:val="32034A12"/>
    <w:rsid w:val="32167BED"/>
    <w:rsid w:val="322CCDDE"/>
    <w:rsid w:val="322FB34B"/>
    <w:rsid w:val="324D5636"/>
    <w:rsid w:val="32509D55"/>
    <w:rsid w:val="328B78ED"/>
    <w:rsid w:val="328C310D"/>
    <w:rsid w:val="32A47E21"/>
    <w:rsid w:val="32AABC33"/>
    <w:rsid w:val="32B1ADB3"/>
    <w:rsid w:val="32B67C70"/>
    <w:rsid w:val="32E0B3D6"/>
    <w:rsid w:val="33320F32"/>
    <w:rsid w:val="3351BDAD"/>
    <w:rsid w:val="3356A36F"/>
    <w:rsid w:val="335CA6B3"/>
    <w:rsid w:val="33717AF6"/>
    <w:rsid w:val="33B4CDAA"/>
    <w:rsid w:val="33E85C45"/>
    <w:rsid w:val="33E99C95"/>
    <w:rsid w:val="33EAF987"/>
    <w:rsid w:val="340743F2"/>
    <w:rsid w:val="341DABEE"/>
    <w:rsid w:val="344343DD"/>
    <w:rsid w:val="344B0D9E"/>
    <w:rsid w:val="34501338"/>
    <w:rsid w:val="34772A99"/>
    <w:rsid w:val="3481D065"/>
    <w:rsid w:val="348B7B83"/>
    <w:rsid w:val="34C7F7B5"/>
    <w:rsid w:val="3527DFDC"/>
    <w:rsid w:val="35849203"/>
    <w:rsid w:val="35B71ACC"/>
    <w:rsid w:val="35BD7AC6"/>
    <w:rsid w:val="35E033D0"/>
    <w:rsid w:val="3635244A"/>
    <w:rsid w:val="363B3FAE"/>
    <w:rsid w:val="3644D314"/>
    <w:rsid w:val="364DD324"/>
    <w:rsid w:val="366F866A"/>
    <w:rsid w:val="367C7B96"/>
    <w:rsid w:val="368D1701"/>
    <w:rsid w:val="36A4E58D"/>
    <w:rsid w:val="36B2C72A"/>
    <w:rsid w:val="36EA7B04"/>
    <w:rsid w:val="3709EBCB"/>
    <w:rsid w:val="3725900C"/>
    <w:rsid w:val="372F800E"/>
    <w:rsid w:val="375192C7"/>
    <w:rsid w:val="37A12ADC"/>
    <w:rsid w:val="37A8BEE7"/>
    <w:rsid w:val="37E4A6C8"/>
    <w:rsid w:val="37F65B57"/>
    <w:rsid w:val="38051C15"/>
    <w:rsid w:val="383D0DD1"/>
    <w:rsid w:val="38816B46"/>
    <w:rsid w:val="388AE950"/>
    <w:rsid w:val="38B78DA3"/>
    <w:rsid w:val="38BCEE65"/>
    <w:rsid w:val="38BF0653"/>
    <w:rsid w:val="38C4B8F0"/>
    <w:rsid w:val="38D3ED24"/>
    <w:rsid w:val="38FC7A81"/>
    <w:rsid w:val="38FDD513"/>
    <w:rsid w:val="39278DE4"/>
    <w:rsid w:val="392E2B50"/>
    <w:rsid w:val="3953F60B"/>
    <w:rsid w:val="39872C47"/>
    <w:rsid w:val="3987C53A"/>
    <w:rsid w:val="399923DF"/>
    <w:rsid w:val="399EC499"/>
    <w:rsid w:val="39A752E3"/>
    <w:rsid w:val="39AD1494"/>
    <w:rsid w:val="39BAB040"/>
    <w:rsid w:val="39E6AE2C"/>
    <w:rsid w:val="39F0D0D2"/>
    <w:rsid w:val="39F4F9F2"/>
    <w:rsid w:val="39FE5488"/>
    <w:rsid w:val="3A185810"/>
    <w:rsid w:val="3A20E45E"/>
    <w:rsid w:val="3A3A5092"/>
    <w:rsid w:val="3A666978"/>
    <w:rsid w:val="3A842A8F"/>
    <w:rsid w:val="3A8DA592"/>
    <w:rsid w:val="3AAAFACA"/>
    <w:rsid w:val="3B01E87F"/>
    <w:rsid w:val="3B29D3F5"/>
    <w:rsid w:val="3B2E09EB"/>
    <w:rsid w:val="3B5F7BF6"/>
    <w:rsid w:val="3B6BBBC6"/>
    <w:rsid w:val="3B7D69C5"/>
    <w:rsid w:val="3BA32E47"/>
    <w:rsid w:val="3BB34128"/>
    <w:rsid w:val="3BCD01FC"/>
    <w:rsid w:val="3BE33A3A"/>
    <w:rsid w:val="3BECEA9D"/>
    <w:rsid w:val="3BF43994"/>
    <w:rsid w:val="3C052684"/>
    <w:rsid w:val="3C0F0995"/>
    <w:rsid w:val="3C261794"/>
    <w:rsid w:val="3C568D60"/>
    <w:rsid w:val="3CB20402"/>
    <w:rsid w:val="3CC5A812"/>
    <w:rsid w:val="3CE08B59"/>
    <w:rsid w:val="3CE8ED6F"/>
    <w:rsid w:val="3D127055"/>
    <w:rsid w:val="3D316734"/>
    <w:rsid w:val="3D593E05"/>
    <w:rsid w:val="3D923297"/>
    <w:rsid w:val="3DC66A1D"/>
    <w:rsid w:val="3DF5EAFC"/>
    <w:rsid w:val="3E1FC6A5"/>
    <w:rsid w:val="3E3451EC"/>
    <w:rsid w:val="3E47D89E"/>
    <w:rsid w:val="3E4F6970"/>
    <w:rsid w:val="3E58A274"/>
    <w:rsid w:val="3E795225"/>
    <w:rsid w:val="3EB8491E"/>
    <w:rsid w:val="3ED8DEE6"/>
    <w:rsid w:val="3EDBD1CA"/>
    <w:rsid w:val="3EDE2352"/>
    <w:rsid w:val="3EE226B4"/>
    <w:rsid w:val="3EE37E19"/>
    <w:rsid w:val="3F248129"/>
    <w:rsid w:val="3F572CC1"/>
    <w:rsid w:val="3F6199B1"/>
    <w:rsid w:val="3F6841B0"/>
    <w:rsid w:val="3F72DF8C"/>
    <w:rsid w:val="3FA92526"/>
    <w:rsid w:val="3FBD4B0D"/>
    <w:rsid w:val="3FD0A9BE"/>
    <w:rsid w:val="3FD0B4B1"/>
    <w:rsid w:val="3FE30F24"/>
    <w:rsid w:val="4027E036"/>
    <w:rsid w:val="405D91B6"/>
    <w:rsid w:val="406E48AA"/>
    <w:rsid w:val="407973F7"/>
    <w:rsid w:val="409CF474"/>
    <w:rsid w:val="40D520CB"/>
    <w:rsid w:val="41916E89"/>
    <w:rsid w:val="41AD22AD"/>
    <w:rsid w:val="41ED8074"/>
    <w:rsid w:val="41F0C5CA"/>
    <w:rsid w:val="41F55974"/>
    <w:rsid w:val="4209F495"/>
    <w:rsid w:val="421F4B70"/>
    <w:rsid w:val="422F28C9"/>
    <w:rsid w:val="426C1EB3"/>
    <w:rsid w:val="4284AE5F"/>
    <w:rsid w:val="428FFBCB"/>
    <w:rsid w:val="42ACA81D"/>
    <w:rsid w:val="42B49014"/>
    <w:rsid w:val="42CF67AB"/>
    <w:rsid w:val="42D59066"/>
    <w:rsid w:val="4312FD3F"/>
    <w:rsid w:val="43334CBD"/>
    <w:rsid w:val="434EC03D"/>
    <w:rsid w:val="436E13AE"/>
    <w:rsid w:val="43DA7B67"/>
    <w:rsid w:val="44010547"/>
    <w:rsid w:val="440C7CD8"/>
    <w:rsid w:val="443139B1"/>
    <w:rsid w:val="4434E8B1"/>
    <w:rsid w:val="445DEBD5"/>
    <w:rsid w:val="4485AEF8"/>
    <w:rsid w:val="44912583"/>
    <w:rsid w:val="449205DC"/>
    <w:rsid w:val="44AB0ED2"/>
    <w:rsid w:val="44B9A20D"/>
    <w:rsid w:val="44C82C1D"/>
    <w:rsid w:val="45014737"/>
    <w:rsid w:val="451EE812"/>
    <w:rsid w:val="4532CE0E"/>
    <w:rsid w:val="4548B8CE"/>
    <w:rsid w:val="4565A703"/>
    <w:rsid w:val="457F168A"/>
    <w:rsid w:val="4587E6CC"/>
    <w:rsid w:val="458CF619"/>
    <w:rsid w:val="4595778C"/>
    <w:rsid w:val="45962D02"/>
    <w:rsid w:val="45AFB8AC"/>
    <w:rsid w:val="45C37B6B"/>
    <w:rsid w:val="45CAD076"/>
    <w:rsid w:val="45CDBEA8"/>
    <w:rsid w:val="460B7251"/>
    <w:rsid w:val="46238861"/>
    <w:rsid w:val="4627042D"/>
    <w:rsid w:val="4631789F"/>
    <w:rsid w:val="4638D046"/>
    <w:rsid w:val="4659E6F7"/>
    <w:rsid w:val="4766CC42"/>
    <w:rsid w:val="47A87E94"/>
    <w:rsid w:val="47AE3C48"/>
    <w:rsid w:val="47BD1B9C"/>
    <w:rsid w:val="47C558CF"/>
    <w:rsid w:val="47C5BA52"/>
    <w:rsid w:val="47E09581"/>
    <w:rsid w:val="47F2C64E"/>
    <w:rsid w:val="48411FD2"/>
    <w:rsid w:val="484A8412"/>
    <w:rsid w:val="48648E02"/>
    <w:rsid w:val="48894625"/>
    <w:rsid w:val="48D3AD2A"/>
    <w:rsid w:val="48FC276B"/>
    <w:rsid w:val="48FE56E9"/>
    <w:rsid w:val="48FFA790"/>
    <w:rsid w:val="4939E88B"/>
    <w:rsid w:val="493EF264"/>
    <w:rsid w:val="494093E9"/>
    <w:rsid w:val="496C604D"/>
    <w:rsid w:val="49724980"/>
    <w:rsid w:val="49802DFF"/>
    <w:rsid w:val="49930CE8"/>
    <w:rsid w:val="49E11AAC"/>
    <w:rsid w:val="49F888AD"/>
    <w:rsid w:val="4A21F71D"/>
    <w:rsid w:val="4A26F026"/>
    <w:rsid w:val="4A317070"/>
    <w:rsid w:val="4A331C95"/>
    <w:rsid w:val="4A7206E9"/>
    <w:rsid w:val="4A7997CF"/>
    <w:rsid w:val="4A9BEC41"/>
    <w:rsid w:val="4ACC4038"/>
    <w:rsid w:val="4ACD5879"/>
    <w:rsid w:val="4AF1C546"/>
    <w:rsid w:val="4B787AF6"/>
    <w:rsid w:val="4B886752"/>
    <w:rsid w:val="4BB6A433"/>
    <w:rsid w:val="4BC4606E"/>
    <w:rsid w:val="4BCC96D8"/>
    <w:rsid w:val="4C0CCDB6"/>
    <w:rsid w:val="4C31E5BE"/>
    <w:rsid w:val="4C4EB501"/>
    <w:rsid w:val="4C50DA41"/>
    <w:rsid w:val="4C913891"/>
    <w:rsid w:val="4CAAFC69"/>
    <w:rsid w:val="4CAD0EFB"/>
    <w:rsid w:val="4CAD9CC0"/>
    <w:rsid w:val="4CB5ED6A"/>
    <w:rsid w:val="4CD020B6"/>
    <w:rsid w:val="4CE9D6F6"/>
    <w:rsid w:val="4CEBFB12"/>
    <w:rsid w:val="4CF8B9B7"/>
    <w:rsid w:val="4D194613"/>
    <w:rsid w:val="4D1D6A21"/>
    <w:rsid w:val="4D32D632"/>
    <w:rsid w:val="4D7B2793"/>
    <w:rsid w:val="4D8151A3"/>
    <w:rsid w:val="4D875071"/>
    <w:rsid w:val="4DA1C85F"/>
    <w:rsid w:val="4DAC5DE1"/>
    <w:rsid w:val="4E200DD0"/>
    <w:rsid w:val="4E470863"/>
    <w:rsid w:val="4E648DC5"/>
    <w:rsid w:val="4E914626"/>
    <w:rsid w:val="4EB7659F"/>
    <w:rsid w:val="4EF327F8"/>
    <w:rsid w:val="4F167A4D"/>
    <w:rsid w:val="4F177469"/>
    <w:rsid w:val="4F3D9280"/>
    <w:rsid w:val="4F42283B"/>
    <w:rsid w:val="4F42CBF6"/>
    <w:rsid w:val="4F898348"/>
    <w:rsid w:val="4F8C3E93"/>
    <w:rsid w:val="4FA721E7"/>
    <w:rsid w:val="4FBAC3A4"/>
    <w:rsid w:val="4FBCC2E9"/>
    <w:rsid w:val="4FE7B316"/>
    <w:rsid w:val="500C28CE"/>
    <w:rsid w:val="5021649E"/>
    <w:rsid w:val="50360271"/>
    <w:rsid w:val="504A614D"/>
    <w:rsid w:val="504B9C27"/>
    <w:rsid w:val="509235D3"/>
    <w:rsid w:val="5097E2B6"/>
    <w:rsid w:val="50FFBD24"/>
    <w:rsid w:val="515D9DD9"/>
    <w:rsid w:val="51676CD0"/>
    <w:rsid w:val="51742143"/>
    <w:rsid w:val="51AE2820"/>
    <w:rsid w:val="51B791AE"/>
    <w:rsid w:val="51B7D43D"/>
    <w:rsid w:val="51B90345"/>
    <w:rsid w:val="51E01C28"/>
    <w:rsid w:val="52A6E84F"/>
    <w:rsid w:val="52BE0D8F"/>
    <w:rsid w:val="52C09F6B"/>
    <w:rsid w:val="52E6E39D"/>
    <w:rsid w:val="52F8313D"/>
    <w:rsid w:val="5309014F"/>
    <w:rsid w:val="530A40A1"/>
    <w:rsid w:val="531C0DFA"/>
    <w:rsid w:val="531C264E"/>
    <w:rsid w:val="53312760"/>
    <w:rsid w:val="5333DA4E"/>
    <w:rsid w:val="53376F49"/>
    <w:rsid w:val="533BFA18"/>
    <w:rsid w:val="5355A9DD"/>
    <w:rsid w:val="538400BA"/>
    <w:rsid w:val="53908788"/>
    <w:rsid w:val="53AD297F"/>
    <w:rsid w:val="53C7DF99"/>
    <w:rsid w:val="53E0696B"/>
    <w:rsid w:val="53E0D82C"/>
    <w:rsid w:val="53E99F7A"/>
    <w:rsid w:val="540FDFBD"/>
    <w:rsid w:val="5416A18D"/>
    <w:rsid w:val="5424A8F2"/>
    <w:rsid w:val="543C57F2"/>
    <w:rsid w:val="54534232"/>
    <w:rsid w:val="54B3AE86"/>
    <w:rsid w:val="54B75429"/>
    <w:rsid w:val="54CF8F17"/>
    <w:rsid w:val="54E7DB84"/>
    <w:rsid w:val="552EE237"/>
    <w:rsid w:val="552FF6DF"/>
    <w:rsid w:val="5547739D"/>
    <w:rsid w:val="5573A820"/>
    <w:rsid w:val="55782785"/>
    <w:rsid w:val="567E24D8"/>
    <w:rsid w:val="568380E9"/>
    <w:rsid w:val="5722FFA0"/>
    <w:rsid w:val="572C08E0"/>
    <w:rsid w:val="57304B63"/>
    <w:rsid w:val="5738748A"/>
    <w:rsid w:val="57691136"/>
    <w:rsid w:val="5785EF15"/>
    <w:rsid w:val="57C34B62"/>
    <w:rsid w:val="57CD503E"/>
    <w:rsid w:val="5820C8F1"/>
    <w:rsid w:val="5839D67F"/>
    <w:rsid w:val="5840074C"/>
    <w:rsid w:val="5849F0EF"/>
    <w:rsid w:val="586488F4"/>
    <w:rsid w:val="58852F04"/>
    <w:rsid w:val="58985A15"/>
    <w:rsid w:val="58CFA411"/>
    <w:rsid w:val="58E2F769"/>
    <w:rsid w:val="58EB3507"/>
    <w:rsid w:val="592AC278"/>
    <w:rsid w:val="5962B914"/>
    <w:rsid w:val="59857102"/>
    <w:rsid w:val="59CCB7C8"/>
    <w:rsid w:val="5A145B12"/>
    <w:rsid w:val="5A20B505"/>
    <w:rsid w:val="5A857F97"/>
    <w:rsid w:val="5A8AE676"/>
    <w:rsid w:val="5A8C2888"/>
    <w:rsid w:val="5AD57882"/>
    <w:rsid w:val="5B1E0E91"/>
    <w:rsid w:val="5B1F0F2B"/>
    <w:rsid w:val="5B7A3EAC"/>
    <w:rsid w:val="5B81AE7E"/>
    <w:rsid w:val="5C048CCC"/>
    <w:rsid w:val="5C063B30"/>
    <w:rsid w:val="5C3455BC"/>
    <w:rsid w:val="5C7D46F3"/>
    <w:rsid w:val="5C815AD5"/>
    <w:rsid w:val="5CCD1246"/>
    <w:rsid w:val="5CF7FA98"/>
    <w:rsid w:val="5D01728B"/>
    <w:rsid w:val="5D0B3E18"/>
    <w:rsid w:val="5D629D2E"/>
    <w:rsid w:val="5D8F9144"/>
    <w:rsid w:val="5DE2B03A"/>
    <w:rsid w:val="5E243049"/>
    <w:rsid w:val="5E3B1CFB"/>
    <w:rsid w:val="5E542DBB"/>
    <w:rsid w:val="5E55DC47"/>
    <w:rsid w:val="5E5F4F7A"/>
    <w:rsid w:val="5E9BCC2E"/>
    <w:rsid w:val="5EC873C2"/>
    <w:rsid w:val="5F28A575"/>
    <w:rsid w:val="5F28D541"/>
    <w:rsid w:val="5F2BBC7B"/>
    <w:rsid w:val="5F50B80D"/>
    <w:rsid w:val="5F92572D"/>
    <w:rsid w:val="5FAAC408"/>
    <w:rsid w:val="603620E2"/>
    <w:rsid w:val="60447686"/>
    <w:rsid w:val="604DBF4A"/>
    <w:rsid w:val="60505262"/>
    <w:rsid w:val="605A8972"/>
    <w:rsid w:val="60715AD9"/>
    <w:rsid w:val="60736646"/>
    <w:rsid w:val="60835C44"/>
    <w:rsid w:val="60F03E92"/>
    <w:rsid w:val="611D2E75"/>
    <w:rsid w:val="614AB655"/>
    <w:rsid w:val="6169FECF"/>
    <w:rsid w:val="618CBF2A"/>
    <w:rsid w:val="61A92457"/>
    <w:rsid w:val="61B05840"/>
    <w:rsid w:val="61C2AF1F"/>
    <w:rsid w:val="620CD544"/>
    <w:rsid w:val="6244D290"/>
    <w:rsid w:val="624F6982"/>
    <w:rsid w:val="62B3857C"/>
    <w:rsid w:val="62B5FCA9"/>
    <w:rsid w:val="62B81D28"/>
    <w:rsid w:val="62CAE7E7"/>
    <w:rsid w:val="62DDCB90"/>
    <w:rsid w:val="630D6012"/>
    <w:rsid w:val="63165CB2"/>
    <w:rsid w:val="632834ED"/>
    <w:rsid w:val="63E3E2D8"/>
    <w:rsid w:val="63FA4210"/>
    <w:rsid w:val="642531C6"/>
    <w:rsid w:val="643E1DFE"/>
    <w:rsid w:val="6442C378"/>
    <w:rsid w:val="64435F6D"/>
    <w:rsid w:val="6457CBB5"/>
    <w:rsid w:val="6461CEF9"/>
    <w:rsid w:val="646D99D3"/>
    <w:rsid w:val="64798B58"/>
    <w:rsid w:val="6487BC98"/>
    <w:rsid w:val="649B72BB"/>
    <w:rsid w:val="64C484ED"/>
    <w:rsid w:val="64CB171B"/>
    <w:rsid w:val="64CCC40F"/>
    <w:rsid w:val="64D5104B"/>
    <w:rsid w:val="64EFD0AB"/>
    <w:rsid w:val="6515ED43"/>
    <w:rsid w:val="652E4747"/>
    <w:rsid w:val="655CBF35"/>
    <w:rsid w:val="65602DF8"/>
    <w:rsid w:val="656AB339"/>
    <w:rsid w:val="657E1847"/>
    <w:rsid w:val="6583F97A"/>
    <w:rsid w:val="65A141A2"/>
    <w:rsid w:val="65AC92F7"/>
    <w:rsid w:val="660B8E46"/>
    <w:rsid w:val="665BF281"/>
    <w:rsid w:val="665FC5B6"/>
    <w:rsid w:val="667E5704"/>
    <w:rsid w:val="667F2106"/>
    <w:rsid w:val="66E22D2D"/>
    <w:rsid w:val="66EE947B"/>
    <w:rsid w:val="670B0AE1"/>
    <w:rsid w:val="673BE45C"/>
    <w:rsid w:val="6783CF63"/>
    <w:rsid w:val="679E2839"/>
    <w:rsid w:val="67C1FA4E"/>
    <w:rsid w:val="67C41C78"/>
    <w:rsid w:val="67E0D1BE"/>
    <w:rsid w:val="67E1B935"/>
    <w:rsid w:val="67EA8261"/>
    <w:rsid w:val="67FF8421"/>
    <w:rsid w:val="68179F57"/>
    <w:rsid w:val="681AC0F7"/>
    <w:rsid w:val="681D561A"/>
    <w:rsid w:val="682D3904"/>
    <w:rsid w:val="68448AAE"/>
    <w:rsid w:val="685E2926"/>
    <w:rsid w:val="686C9B23"/>
    <w:rsid w:val="687B271D"/>
    <w:rsid w:val="68AD7F40"/>
    <w:rsid w:val="68B48BB8"/>
    <w:rsid w:val="68B5863A"/>
    <w:rsid w:val="68D63A31"/>
    <w:rsid w:val="68FFCEBC"/>
    <w:rsid w:val="6920C47C"/>
    <w:rsid w:val="69843B4C"/>
    <w:rsid w:val="698637F5"/>
    <w:rsid w:val="69A219F5"/>
    <w:rsid w:val="69C1211E"/>
    <w:rsid w:val="6A54778B"/>
    <w:rsid w:val="6A8529DD"/>
    <w:rsid w:val="6A9D375C"/>
    <w:rsid w:val="6AA901F7"/>
    <w:rsid w:val="6AFE481B"/>
    <w:rsid w:val="6B264DB3"/>
    <w:rsid w:val="6B3A1AE6"/>
    <w:rsid w:val="6B465D7D"/>
    <w:rsid w:val="6B480988"/>
    <w:rsid w:val="6B7C5036"/>
    <w:rsid w:val="6B9822C5"/>
    <w:rsid w:val="6BA8A5F6"/>
    <w:rsid w:val="6BB64DB2"/>
    <w:rsid w:val="6BCC7670"/>
    <w:rsid w:val="6BCF69D7"/>
    <w:rsid w:val="6C08916C"/>
    <w:rsid w:val="6C29E002"/>
    <w:rsid w:val="6C2D56EC"/>
    <w:rsid w:val="6C436A12"/>
    <w:rsid w:val="6C580FC5"/>
    <w:rsid w:val="6C5A4EB4"/>
    <w:rsid w:val="6C76D1CA"/>
    <w:rsid w:val="6CF2052B"/>
    <w:rsid w:val="6D00C6C0"/>
    <w:rsid w:val="6D1B487E"/>
    <w:rsid w:val="6D1B81F0"/>
    <w:rsid w:val="6D65343E"/>
    <w:rsid w:val="6DB629FA"/>
    <w:rsid w:val="6DE13BDD"/>
    <w:rsid w:val="6DED3910"/>
    <w:rsid w:val="6DFA362D"/>
    <w:rsid w:val="6E083075"/>
    <w:rsid w:val="6E0FFCDB"/>
    <w:rsid w:val="6E29BF5D"/>
    <w:rsid w:val="6E3193E3"/>
    <w:rsid w:val="6E5DA8F4"/>
    <w:rsid w:val="6E9F7198"/>
    <w:rsid w:val="6EA60335"/>
    <w:rsid w:val="6EDC5C1F"/>
    <w:rsid w:val="6EEFBFD0"/>
    <w:rsid w:val="6F11E5DF"/>
    <w:rsid w:val="6F15BAAB"/>
    <w:rsid w:val="6F1E90E9"/>
    <w:rsid w:val="6F25C030"/>
    <w:rsid w:val="6F34B5E2"/>
    <w:rsid w:val="6F4D046E"/>
    <w:rsid w:val="6FCA1FA9"/>
    <w:rsid w:val="7001ABDD"/>
    <w:rsid w:val="702D4EE2"/>
    <w:rsid w:val="70668A91"/>
    <w:rsid w:val="707B9C3A"/>
    <w:rsid w:val="7087D319"/>
    <w:rsid w:val="70A20715"/>
    <w:rsid w:val="70E9E434"/>
    <w:rsid w:val="70EEB682"/>
    <w:rsid w:val="70FA294D"/>
    <w:rsid w:val="70FE6627"/>
    <w:rsid w:val="711E16CD"/>
    <w:rsid w:val="71446C80"/>
    <w:rsid w:val="714D4B3A"/>
    <w:rsid w:val="7176374B"/>
    <w:rsid w:val="7189EB62"/>
    <w:rsid w:val="71A72DE1"/>
    <w:rsid w:val="71B37D1A"/>
    <w:rsid w:val="72027963"/>
    <w:rsid w:val="7218169C"/>
    <w:rsid w:val="722AFE1F"/>
    <w:rsid w:val="72367751"/>
    <w:rsid w:val="7256099D"/>
    <w:rsid w:val="72823AAE"/>
    <w:rsid w:val="73372588"/>
    <w:rsid w:val="73539296"/>
    <w:rsid w:val="7359FCE5"/>
    <w:rsid w:val="73D4A849"/>
    <w:rsid w:val="74005323"/>
    <w:rsid w:val="74323FE1"/>
    <w:rsid w:val="74350AE1"/>
    <w:rsid w:val="744CF955"/>
    <w:rsid w:val="74553996"/>
    <w:rsid w:val="746A7F19"/>
    <w:rsid w:val="7471F223"/>
    <w:rsid w:val="754269EB"/>
    <w:rsid w:val="756130D9"/>
    <w:rsid w:val="75B9BC41"/>
    <w:rsid w:val="75C28703"/>
    <w:rsid w:val="75D7BB38"/>
    <w:rsid w:val="75FCB1D2"/>
    <w:rsid w:val="76374625"/>
    <w:rsid w:val="76515870"/>
    <w:rsid w:val="76518AB6"/>
    <w:rsid w:val="7667840D"/>
    <w:rsid w:val="7669A052"/>
    <w:rsid w:val="768B0875"/>
    <w:rsid w:val="76A4C017"/>
    <w:rsid w:val="76BC948C"/>
    <w:rsid w:val="76C41815"/>
    <w:rsid w:val="76D04C0A"/>
    <w:rsid w:val="76E6532B"/>
    <w:rsid w:val="76EBEC5D"/>
    <w:rsid w:val="76F59413"/>
    <w:rsid w:val="76F63506"/>
    <w:rsid w:val="76F7B2D9"/>
    <w:rsid w:val="76FA652E"/>
    <w:rsid w:val="76FC98E5"/>
    <w:rsid w:val="770258E1"/>
    <w:rsid w:val="7705C87F"/>
    <w:rsid w:val="77840710"/>
    <w:rsid w:val="7793495A"/>
    <w:rsid w:val="77BC6DC6"/>
    <w:rsid w:val="77C27AB9"/>
    <w:rsid w:val="77E78CAE"/>
    <w:rsid w:val="77F3D4C0"/>
    <w:rsid w:val="7846D574"/>
    <w:rsid w:val="7849C836"/>
    <w:rsid w:val="784F0B84"/>
    <w:rsid w:val="78817945"/>
    <w:rsid w:val="788C051D"/>
    <w:rsid w:val="789C373D"/>
    <w:rsid w:val="78A4008E"/>
    <w:rsid w:val="78FAB28E"/>
    <w:rsid w:val="79157455"/>
    <w:rsid w:val="79448890"/>
    <w:rsid w:val="7967CFE1"/>
    <w:rsid w:val="798FE452"/>
    <w:rsid w:val="7992A4DB"/>
    <w:rsid w:val="7A19435A"/>
    <w:rsid w:val="7A1DC638"/>
    <w:rsid w:val="7A213A62"/>
    <w:rsid w:val="7A3DB267"/>
    <w:rsid w:val="7A53C98A"/>
    <w:rsid w:val="7A613746"/>
    <w:rsid w:val="7A6A8CB7"/>
    <w:rsid w:val="7A9871D8"/>
    <w:rsid w:val="7AECCB58"/>
    <w:rsid w:val="7B0A4151"/>
    <w:rsid w:val="7B345E3F"/>
    <w:rsid w:val="7B7797B0"/>
    <w:rsid w:val="7B905A13"/>
    <w:rsid w:val="7BC5C357"/>
    <w:rsid w:val="7BCBB018"/>
    <w:rsid w:val="7BEA735A"/>
    <w:rsid w:val="7C0447D4"/>
    <w:rsid w:val="7C6C2E59"/>
    <w:rsid w:val="7C858A39"/>
    <w:rsid w:val="7C8A4B69"/>
    <w:rsid w:val="7CBD1D8B"/>
    <w:rsid w:val="7D138CBE"/>
    <w:rsid w:val="7D31BFDA"/>
    <w:rsid w:val="7D678035"/>
    <w:rsid w:val="7D806E66"/>
    <w:rsid w:val="7D8E0A45"/>
    <w:rsid w:val="7D925775"/>
    <w:rsid w:val="7D98B22F"/>
    <w:rsid w:val="7DA2935D"/>
    <w:rsid w:val="7DBCA30A"/>
    <w:rsid w:val="7DBD3EA1"/>
    <w:rsid w:val="7DE45CC0"/>
    <w:rsid w:val="7E741473"/>
    <w:rsid w:val="7E76D424"/>
    <w:rsid w:val="7E87AFA4"/>
    <w:rsid w:val="7EB105AD"/>
    <w:rsid w:val="7EB30CFB"/>
    <w:rsid w:val="7F83D766"/>
    <w:rsid w:val="7F88D575"/>
    <w:rsid w:val="7F9ABA17"/>
    <w:rsid w:val="7F9CD874"/>
    <w:rsid w:val="7FAC7518"/>
    <w:rsid w:val="7FDCC445"/>
    <w:rsid w:val="7FDFA1BC"/>
    <w:rsid w:val="7FE9481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3C"/>
    <w:pPr>
      <w:spacing w:before="120"/>
    </w:pPr>
    <w:rPr>
      <w:rFonts w:ascii="Franklin Gothic Book" w:hAnsi="Franklin Gothic Book"/>
    </w:rPr>
  </w:style>
  <w:style w:type="paragraph" w:styleId="Heading1">
    <w:name w:val="heading 1"/>
    <w:aliases w:val="NICE Heading 1"/>
    <w:basedOn w:val="Normal"/>
    <w:next w:val="Normal"/>
    <w:link w:val="Heading1Char"/>
    <w:uiPriority w:val="9"/>
    <w:qFormat/>
    <w:rsid w:val="001531D6"/>
    <w:pPr>
      <w:keepNext/>
      <w:keepLines/>
      <w:numPr>
        <w:numId w:val="1"/>
      </w:numPr>
      <w:pBdr>
        <w:bottom w:val="single" w:sz="4" w:space="1" w:color="auto"/>
      </w:pBdr>
      <w:spacing w:before="600" w:after="480" w:line="240" w:lineRule="auto"/>
      <w:outlineLvl w:val="0"/>
    </w:pPr>
    <w:rPr>
      <w:rFonts w:ascii="Franklin Gothic Medium" w:eastAsiaTheme="majorEastAsia" w:hAnsi="Franklin Gothic Medium" w:cstheme="majorBidi"/>
      <w:sz w:val="44"/>
      <w:szCs w:val="32"/>
    </w:rPr>
  </w:style>
  <w:style w:type="paragraph" w:styleId="Heading2">
    <w:name w:val="heading 2"/>
    <w:aliases w:val="- H34,1.1 Report heading"/>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aliases w:val="NICE 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aliases w:val="NICE 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aliases w:val="- H34 Char,1.1 Report heading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aliases w:val="NICE 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StylePr w:type="firstRow">
      <w:rPr>
        <w:rFonts w:ascii="Bodoni MT Condensed" w:hAnsi="Bodoni MT Condensed"/>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PBAC table,HTAtableplain,Lash Style Table"/>
    <w:basedOn w:val="TableNormal"/>
    <w:uiPriority w:val="39"/>
    <w:rsid w:val="00CA528A"/>
    <w:pPr>
      <w:spacing w:after="0" w:line="240" w:lineRule="auto"/>
    </w:pPr>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s Points"/>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cPr>
      <w:shd w:val="clear" w:color="auto" w:fill="F2F2F2" w:themeFill="background1" w:themeFillShade="F2"/>
    </w:tc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Bodoni MT Condensed" w:hAnsi="Bodoni MT Condensed"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Bodoni MT Condensed" w:hAnsi="Bodoni MT Condensed"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Bodoni MT Condensed" w:hAnsi="Bodoni MT Condensed" w:hint="default"/>
        <w:i/>
        <w:iCs/>
        <w:sz w:val="20"/>
        <w:szCs w:val="20"/>
      </w:rPr>
    </w:tblStylePr>
  </w:style>
  <w:style w:type="table" w:styleId="TableGrid10">
    <w:name w:val="Table Grid 1"/>
    <w:basedOn w:val="TableNormal"/>
    <w:uiPriority w:val="99"/>
    <w:semiHidden/>
    <w:unhideWhenUsed/>
    <w:rsid w:val="007B0880"/>
    <w:tblPr/>
    <w:tcPr>
      <w:shd w:val="clear" w:color="auto" w:fill="auto"/>
    </w:tcPr>
    <w:tblStylePr w:type="lastRow">
      <w:rPr>
        <w:i/>
        <w:iCs/>
      </w:rPr>
    </w:tblStylePr>
    <w:tblStylePr w:type="lastCol">
      <w:rPr>
        <w:i/>
        <w:iCs/>
      </w:r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table" w:customStyle="1" w:styleId="TableGridLight2">
    <w:name w:val="Table Grid Light2"/>
    <w:basedOn w:val="TableNormal"/>
    <w:next w:val="TableGridLight"/>
    <w:uiPriority w:val="40"/>
    <w:rsid w:val="00B3239D"/>
    <w:pPr>
      <w:spacing w:after="0" w:line="240" w:lineRule="auto"/>
    </w:pPr>
    <w:rPr>
      <w:rFonts w:ascii="Montserrat" w:eastAsia="Calibri" w:hAnsi="Montserrat"/>
      <w:sz w:val="18"/>
      <w:lang w:val="de-DE"/>
    </w:rPr>
    <w:tblPr/>
    <w:tblStylePr w:type="firstRow">
      <w:rPr>
        <w:b/>
      </w:rPr>
    </w:tblStylePr>
    <w:tblStylePr w:type="lastRow">
      <w:rPr>
        <w:b/>
      </w:rPr>
    </w:tblStylePr>
    <w:tblStylePr w:type="lastCol">
      <w:rPr>
        <w:b/>
      </w:rPr>
    </w:tblStylePr>
  </w:style>
  <w:style w:type="table" w:styleId="TableGridLight">
    <w:name w:val="Grid Table Light"/>
    <w:basedOn w:val="TableNormal"/>
    <w:uiPriority w:val="40"/>
    <w:rsid w:val="00B3239D"/>
    <w:pPr>
      <w:spacing w:after="0" w:line="240" w:lineRule="auto"/>
    </w:pPr>
    <w:tblPr/>
  </w:style>
  <w:style w:type="paragraph" w:styleId="BodyText">
    <w:name w:val="Body Text"/>
    <w:link w:val="BodyTextChar"/>
    <w:qFormat/>
    <w:rsid w:val="005B20D2"/>
    <w:pPr>
      <w:keepLines/>
      <w:spacing w:after="120" w:line="269" w:lineRule="auto"/>
    </w:pPr>
    <w:rPr>
      <w:rFonts w:ascii="Montserrat" w:eastAsia="Calibri" w:hAnsi="Montserrat" w:cs="Calibri"/>
      <w:sz w:val="18"/>
      <w:szCs w:val="20"/>
    </w:rPr>
  </w:style>
  <w:style w:type="character" w:customStyle="1" w:styleId="BodyTextChar">
    <w:name w:val="Body Text Char"/>
    <w:basedOn w:val="DefaultParagraphFont"/>
    <w:link w:val="BodyText"/>
    <w:rsid w:val="005B20D2"/>
    <w:rPr>
      <w:rFonts w:ascii="Montserrat" w:eastAsia="Calibri" w:hAnsi="Montserrat" w:cs="Calibri"/>
      <w:sz w:val="18"/>
      <w:szCs w:val="20"/>
    </w:rPr>
  </w:style>
  <w:style w:type="table" w:customStyle="1" w:styleId="TableGridLight3">
    <w:name w:val="Table Grid Light3"/>
    <w:basedOn w:val="TableNormal"/>
    <w:next w:val="TableGridLight"/>
    <w:uiPriority w:val="40"/>
    <w:rsid w:val="00AE079B"/>
    <w:pPr>
      <w:spacing w:after="0" w:line="240" w:lineRule="auto"/>
    </w:pPr>
    <w:rPr>
      <w:rFonts w:ascii="Montserrat" w:eastAsia="Calibri" w:hAnsi="Montserrat"/>
      <w:sz w:val="18"/>
      <w:lang w:val="de-DE"/>
    </w:rPr>
    <w:tblPr/>
    <w:tblStylePr w:type="firstRow">
      <w:rPr>
        <w:b/>
      </w:rPr>
    </w:tblStylePr>
    <w:tblStylePr w:type="lastRow">
      <w:rPr>
        <w:b/>
      </w:rPr>
    </w:tblStylePr>
    <w:tblStylePr w:type="lastCol">
      <w:rPr>
        <w:b/>
      </w:rPr>
    </w:tblStylePr>
  </w:style>
  <w:style w:type="character" w:styleId="IntenseEmphasis">
    <w:name w:val="Intense Emphasis"/>
    <w:uiPriority w:val="21"/>
    <w:rsid w:val="007E0D44"/>
    <w:rPr>
      <w:i w:val="0"/>
      <w:iCs/>
      <w:color w:val="258221"/>
    </w:rPr>
  </w:style>
  <w:style w:type="table" w:customStyle="1" w:styleId="TableGridLight4">
    <w:name w:val="Table Grid Light4"/>
    <w:basedOn w:val="TableNormal"/>
    <w:next w:val="TableGridLight"/>
    <w:uiPriority w:val="40"/>
    <w:rsid w:val="007E0D44"/>
    <w:pPr>
      <w:spacing w:after="0" w:line="240" w:lineRule="auto"/>
    </w:pPr>
    <w:rPr>
      <w:rFonts w:ascii="Montserrat" w:eastAsia="Calibri" w:hAnsi="Montserrat"/>
      <w:sz w:val="18"/>
      <w:lang w:val="de-DE"/>
    </w:rPr>
    <w:tblPr/>
    <w:tblStylePr w:type="firstRow">
      <w:rPr>
        <w:b/>
      </w:rPr>
    </w:tblStylePr>
    <w:tblStylePr w:type="lastRow">
      <w:rPr>
        <w:b/>
      </w:rPr>
    </w:tblStylePr>
    <w:tblStylePr w:type="lastCol">
      <w:rPr>
        <w:b/>
      </w:rPr>
    </w:tblStylePr>
  </w:style>
  <w:style w:type="table" w:customStyle="1" w:styleId="TableGridLight5">
    <w:name w:val="Table Grid Light5"/>
    <w:basedOn w:val="TableNormal"/>
    <w:next w:val="TableGridLight"/>
    <w:uiPriority w:val="40"/>
    <w:rsid w:val="007E0D44"/>
    <w:pPr>
      <w:spacing w:after="0" w:line="240" w:lineRule="auto"/>
    </w:pPr>
    <w:rPr>
      <w:rFonts w:ascii="Montserrat" w:eastAsia="Calibri" w:hAnsi="Montserrat"/>
      <w:sz w:val="18"/>
      <w:lang w:val="de-DE"/>
    </w:rPr>
    <w:tblPr/>
    <w:tblStylePr w:type="firstRow">
      <w:rPr>
        <w:b/>
      </w:rPr>
    </w:tblStylePr>
    <w:tblStylePr w:type="lastRow">
      <w:rPr>
        <w:b/>
      </w:rPr>
    </w:tblStylePr>
    <w:tblStylePr w:type="lastCol">
      <w:rPr>
        <w:b/>
      </w:rPr>
    </w:tblStylePr>
  </w:style>
  <w:style w:type="paragraph" w:customStyle="1" w:styleId="Tabletext8pt">
    <w:name w:val="Table text 8pt"/>
    <w:basedOn w:val="Normal"/>
    <w:qFormat/>
    <w:rsid w:val="000527F1"/>
    <w:pPr>
      <w:keepNext/>
      <w:keepLines/>
      <w:spacing w:before="20" w:after="20" w:line="240" w:lineRule="auto"/>
    </w:pPr>
    <w:rPr>
      <w:rFonts w:ascii="Montserrat" w:eastAsia="Calibri" w:hAnsi="Montserrat" w:cs="Calibri"/>
      <w:sz w:val="16"/>
      <w:szCs w:val="16"/>
    </w:rPr>
  </w:style>
  <w:style w:type="paragraph" w:customStyle="1" w:styleId="TableH1">
    <w:name w:val="Table H1"/>
    <w:basedOn w:val="BodyText"/>
    <w:uiPriority w:val="4"/>
    <w:qFormat/>
    <w:rsid w:val="003A6C56"/>
    <w:pPr>
      <w:keepNext/>
      <w:spacing w:before="20" w:after="20" w:line="240" w:lineRule="auto"/>
    </w:pPr>
    <w:rPr>
      <w:b/>
      <w:szCs w:val="16"/>
      <w:lang w:val="en-US"/>
    </w:rPr>
  </w:style>
  <w:style w:type="paragraph" w:styleId="IntenseQuote">
    <w:name w:val="Intense Quote"/>
    <w:basedOn w:val="Normal"/>
    <w:next w:val="Normal"/>
    <w:link w:val="IntenseQuoteChar"/>
    <w:uiPriority w:val="30"/>
    <w:qFormat/>
    <w:rsid w:val="00E44F4F"/>
    <w:pPr>
      <w:pBdr>
        <w:top w:val="single" w:sz="4" w:space="10" w:color="5B9BD5" w:themeColor="accent1"/>
        <w:bottom w:val="single" w:sz="4" w:space="10" w:color="5B9BD5" w:themeColor="accent1"/>
      </w:pBdr>
      <w:spacing w:before="360" w:after="360" w:line="269" w:lineRule="auto"/>
      <w:ind w:left="864" w:right="864"/>
      <w:jc w:val="center"/>
    </w:pPr>
    <w:rPr>
      <w:rFonts w:ascii="Montserrat" w:hAnsi="Montserrat"/>
      <w:i/>
      <w:iCs/>
      <w:color w:val="5B9BD5" w:themeColor="accent1"/>
      <w:sz w:val="20"/>
    </w:rPr>
  </w:style>
  <w:style w:type="character" w:customStyle="1" w:styleId="IntenseQuoteChar">
    <w:name w:val="Intense Quote Char"/>
    <w:basedOn w:val="DefaultParagraphFont"/>
    <w:link w:val="IntenseQuote"/>
    <w:uiPriority w:val="30"/>
    <w:rsid w:val="00E44F4F"/>
    <w:rPr>
      <w:rFonts w:ascii="Montserrat" w:hAnsi="Montserrat"/>
      <w:i/>
      <w:iCs/>
      <w:color w:val="5B9BD5" w:themeColor="accent1"/>
      <w:sz w:val="20"/>
    </w:rPr>
  </w:style>
  <w:style w:type="character" w:styleId="Mention">
    <w:name w:val="Mention"/>
    <w:basedOn w:val="DefaultParagraphFont"/>
    <w:uiPriority w:val="99"/>
    <w:unhideWhenUsed/>
    <w:rsid w:val="00C479BC"/>
    <w:rPr>
      <w:color w:val="2B579A"/>
      <w:shd w:val="clear" w:color="auto" w:fill="E1DFDD"/>
    </w:rPr>
  </w:style>
  <w:style w:type="character" w:styleId="UnresolvedMention">
    <w:name w:val="Unresolved Mention"/>
    <w:basedOn w:val="DefaultParagraphFont"/>
    <w:uiPriority w:val="99"/>
    <w:semiHidden/>
    <w:unhideWhenUsed/>
    <w:rsid w:val="00382544"/>
    <w:rPr>
      <w:color w:val="605E5C"/>
      <w:shd w:val="clear" w:color="auto" w:fill="E1DFDD"/>
    </w:rPr>
  </w:style>
  <w:style w:type="paragraph" w:styleId="EndnoteText">
    <w:name w:val="endnote text"/>
    <w:basedOn w:val="Normal"/>
    <w:link w:val="EndnoteTextChar"/>
    <w:uiPriority w:val="99"/>
    <w:semiHidden/>
    <w:unhideWhenUsed/>
    <w:rsid w:val="00402D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02DFA"/>
    <w:rPr>
      <w:rFonts w:ascii="Franklin Gothic Book" w:hAnsi="Franklin Gothic Book"/>
      <w:sz w:val="20"/>
      <w:szCs w:val="20"/>
    </w:rPr>
  </w:style>
  <w:style w:type="character" w:styleId="EndnoteReference">
    <w:name w:val="endnote reference"/>
    <w:basedOn w:val="DefaultParagraphFont"/>
    <w:uiPriority w:val="99"/>
    <w:semiHidden/>
    <w:unhideWhenUsed/>
    <w:rsid w:val="00402DFA"/>
    <w:rPr>
      <w:vertAlign w:val="superscript"/>
    </w:rPr>
  </w:style>
  <w:style w:type="table" w:customStyle="1" w:styleId="Section3-footnot1">
    <w:name w:val="Section 3- footnot1"/>
    <w:basedOn w:val="TableNormal"/>
    <w:next w:val="TableGrid"/>
    <w:uiPriority w:val="59"/>
    <w:rsid w:val="0018750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78062679">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35554783">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290786052">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769349796">
      <w:bodyDiv w:val="1"/>
      <w:marLeft w:val="0"/>
      <w:marRight w:val="0"/>
      <w:marTop w:val="0"/>
      <w:marBottom w:val="0"/>
      <w:divBdr>
        <w:top w:val="none" w:sz="0" w:space="0" w:color="auto"/>
        <w:left w:val="none" w:sz="0" w:space="0" w:color="auto"/>
        <w:bottom w:val="none" w:sz="0" w:space="0" w:color="auto"/>
        <w:right w:val="none" w:sz="0" w:space="0" w:color="auto"/>
      </w:divBdr>
    </w:div>
    <w:div w:id="774204592">
      <w:bodyDiv w:val="1"/>
      <w:marLeft w:val="0"/>
      <w:marRight w:val="0"/>
      <w:marTop w:val="0"/>
      <w:marBottom w:val="0"/>
      <w:divBdr>
        <w:top w:val="none" w:sz="0" w:space="0" w:color="auto"/>
        <w:left w:val="none" w:sz="0" w:space="0" w:color="auto"/>
        <w:bottom w:val="none" w:sz="0" w:space="0" w:color="auto"/>
        <w:right w:val="none" w:sz="0" w:space="0" w:color="auto"/>
      </w:divBdr>
      <w:divsChild>
        <w:div w:id="884024584">
          <w:marLeft w:val="0"/>
          <w:marRight w:val="0"/>
          <w:marTop w:val="0"/>
          <w:marBottom w:val="0"/>
          <w:divBdr>
            <w:top w:val="none" w:sz="0" w:space="0" w:color="auto"/>
            <w:left w:val="none" w:sz="0" w:space="0" w:color="auto"/>
            <w:bottom w:val="none" w:sz="0" w:space="0" w:color="auto"/>
            <w:right w:val="none" w:sz="0" w:space="0" w:color="auto"/>
          </w:divBdr>
          <w:divsChild>
            <w:div w:id="1928343270">
              <w:marLeft w:val="0"/>
              <w:marRight w:val="0"/>
              <w:marTop w:val="0"/>
              <w:marBottom w:val="0"/>
              <w:divBdr>
                <w:top w:val="none" w:sz="0" w:space="0" w:color="auto"/>
                <w:left w:val="none" w:sz="0" w:space="0" w:color="auto"/>
                <w:bottom w:val="none" w:sz="0" w:space="0" w:color="auto"/>
                <w:right w:val="none" w:sz="0" w:space="0" w:color="auto"/>
              </w:divBdr>
              <w:divsChild>
                <w:div w:id="803354057">
                  <w:marLeft w:val="0"/>
                  <w:marRight w:val="0"/>
                  <w:marTop w:val="0"/>
                  <w:marBottom w:val="0"/>
                  <w:divBdr>
                    <w:top w:val="none" w:sz="0" w:space="0" w:color="auto"/>
                    <w:left w:val="none" w:sz="0" w:space="0" w:color="auto"/>
                    <w:bottom w:val="none" w:sz="0" w:space="0" w:color="auto"/>
                    <w:right w:val="none" w:sz="0" w:space="0" w:color="auto"/>
                  </w:divBdr>
                  <w:divsChild>
                    <w:div w:id="726606294">
                      <w:marLeft w:val="0"/>
                      <w:marRight w:val="0"/>
                      <w:marTop w:val="0"/>
                      <w:marBottom w:val="0"/>
                      <w:divBdr>
                        <w:top w:val="none" w:sz="0" w:space="0" w:color="auto"/>
                        <w:left w:val="none" w:sz="0" w:space="0" w:color="auto"/>
                        <w:bottom w:val="none" w:sz="0" w:space="0" w:color="auto"/>
                        <w:right w:val="none" w:sz="0" w:space="0" w:color="auto"/>
                      </w:divBdr>
                      <w:divsChild>
                        <w:div w:id="259459924">
                          <w:marLeft w:val="0"/>
                          <w:marRight w:val="0"/>
                          <w:marTop w:val="0"/>
                          <w:marBottom w:val="0"/>
                          <w:divBdr>
                            <w:top w:val="none" w:sz="0" w:space="0" w:color="auto"/>
                            <w:left w:val="none" w:sz="0" w:space="0" w:color="auto"/>
                            <w:bottom w:val="none" w:sz="0" w:space="0" w:color="auto"/>
                            <w:right w:val="none" w:sz="0" w:space="0" w:color="auto"/>
                          </w:divBdr>
                        </w:div>
                      </w:divsChild>
                    </w:div>
                    <w:div w:id="2091416692">
                      <w:marLeft w:val="0"/>
                      <w:marRight w:val="0"/>
                      <w:marTop w:val="0"/>
                      <w:marBottom w:val="0"/>
                      <w:divBdr>
                        <w:top w:val="none" w:sz="0" w:space="0" w:color="auto"/>
                        <w:left w:val="none" w:sz="0" w:space="0" w:color="auto"/>
                        <w:bottom w:val="none" w:sz="0" w:space="0" w:color="auto"/>
                        <w:right w:val="none" w:sz="0" w:space="0" w:color="auto"/>
                      </w:divBdr>
                      <w:divsChild>
                        <w:div w:id="1772119831">
                          <w:marLeft w:val="0"/>
                          <w:marRight w:val="0"/>
                          <w:marTop w:val="0"/>
                          <w:marBottom w:val="0"/>
                          <w:divBdr>
                            <w:top w:val="none" w:sz="0" w:space="0" w:color="auto"/>
                            <w:left w:val="none" w:sz="0" w:space="0" w:color="auto"/>
                            <w:bottom w:val="none" w:sz="0" w:space="0" w:color="auto"/>
                            <w:right w:val="none" w:sz="0" w:space="0" w:color="auto"/>
                          </w:divBdr>
                          <w:divsChild>
                            <w:div w:id="185877191">
                              <w:marLeft w:val="0"/>
                              <w:marRight w:val="0"/>
                              <w:marTop w:val="0"/>
                              <w:marBottom w:val="0"/>
                              <w:divBdr>
                                <w:top w:val="none" w:sz="0" w:space="0" w:color="auto"/>
                                <w:left w:val="none" w:sz="0" w:space="0" w:color="auto"/>
                                <w:bottom w:val="none" w:sz="0" w:space="0" w:color="auto"/>
                                <w:right w:val="none" w:sz="0" w:space="0" w:color="auto"/>
                              </w:divBdr>
                              <w:divsChild>
                                <w:div w:id="1652638875">
                                  <w:marLeft w:val="0"/>
                                  <w:marRight w:val="0"/>
                                  <w:marTop w:val="0"/>
                                  <w:marBottom w:val="0"/>
                                  <w:divBdr>
                                    <w:top w:val="none" w:sz="0" w:space="0" w:color="auto"/>
                                    <w:left w:val="none" w:sz="0" w:space="0" w:color="auto"/>
                                    <w:bottom w:val="none" w:sz="0" w:space="0" w:color="auto"/>
                                    <w:right w:val="none" w:sz="0" w:space="0" w:color="auto"/>
                                  </w:divBdr>
                                  <w:divsChild>
                                    <w:div w:id="20963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977567569">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0756545">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480077509">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53896651">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05387146">
      <w:bodyDiv w:val="1"/>
      <w:marLeft w:val="0"/>
      <w:marRight w:val="0"/>
      <w:marTop w:val="0"/>
      <w:marBottom w:val="0"/>
      <w:divBdr>
        <w:top w:val="none" w:sz="0" w:space="0" w:color="auto"/>
        <w:left w:val="none" w:sz="0" w:space="0" w:color="auto"/>
        <w:bottom w:val="none" w:sz="0" w:space="0" w:color="auto"/>
        <w:right w:val="none" w:sz="0" w:space="0" w:color="auto"/>
      </w:divBdr>
      <w:divsChild>
        <w:div w:id="993677747">
          <w:marLeft w:val="0"/>
          <w:marRight w:val="0"/>
          <w:marTop w:val="0"/>
          <w:marBottom w:val="0"/>
          <w:divBdr>
            <w:top w:val="none" w:sz="0" w:space="0" w:color="auto"/>
            <w:left w:val="none" w:sz="0" w:space="0" w:color="auto"/>
            <w:bottom w:val="none" w:sz="0" w:space="0" w:color="auto"/>
            <w:right w:val="none" w:sz="0" w:space="0" w:color="auto"/>
          </w:divBdr>
          <w:divsChild>
            <w:div w:id="345209299">
              <w:marLeft w:val="0"/>
              <w:marRight w:val="0"/>
              <w:marTop w:val="0"/>
              <w:marBottom w:val="0"/>
              <w:divBdr>
                <w:top w:val="none" w:sz="0" w:space="0" w:color="auto"/>
                <w:left w:val="none" w:sz="0" w:space="0" w:color="auto"/>
                <w:bottom w:val="none" w:sz="0" w:space="0" w:color="auto"/>
                <w:right w:val="none" w:sz="0" w:space="0" w:color="auto"/>
              </w:divBdr>
              <w:divsChild>
                <w:div w:id="430592493">
                  <w:marLeft w:val="0"/>
                  <w:marRight w:val="0"/>
                  <w:marTop w:val="0"/>
                  <w:marBottom w:val="0"/>
                  <w:divBdr>
                    <w:top w:val="none" w:sz="0" w:space="0" w:color="auto"/>
                    <w:left w:val="none" w:sz="0" w:space="0" w:color="auto"/>
                    <w:bottom w:val="none" w:sz="0" w:space="0" w:color="auto"/>
                    <w:right w:val="none" w:sz="0" w:space="0" w:color="auto"/>
                  </w:divBdr>
                  <w:divsChild>
                    <w:div w:id="981229312">
                      <w:marLeft w:val="0"/>
                      <w:marRight w:val="0"/>
                      <w:marTop w:val="0"/>
                      <w:marBottom w:val="0"/>
                      <w:divBdr>
                        <w:top w:val="none" w:sz="0" w:space="0" w:color="auto"/>
                        <w:left w:val="none" w:sz="0" w:space="0" w:color="auto"/>
                        <w:bottom w:val="none" w:sz="0" w:space="0" w:color="auto"/>
                        <w:right w:val="none" w:sz="0" w:space="0" w:color="auto"/>
                      </w:divBdr>
                      <w:divsChild>
                        <w:div w:id="1820413922">
                          <w:marLeft w:val="0"/>
                          <w:marRight w:val="0"/>
                          <w:marTop w:val="0"/>
                          <w:marBottom w:val="0"/>
                          <w:divBdr>
                            <w:top w:val="none" w:sz="0" w:space="0" w:color="auto"/>
                            <w:left w:val="none" w:sz="0" w:space="0" w:color="auto"/>
                            <w:bottom w:val="none" w:sz="0" w:space="0" w:color="auto"/>
                            <w:right w:val="none" w:sz="0" w:space="0" w:color="auto"/>
                          </w:divBdr>
                          <w:divsChild>
                            <w:div w:id="16595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61413">
                  <w:marLeft w:val="0"/>
                  <w:marRight w:val="0"/>
                  <w:marTop w:val="0"/>
                  <w:marBottom w:val="0"/>
                  <w:divBdr>
                    <w:top w:val="none" w:sz="0" w:space="0" w:color="auto"/>
                    <w:left w:val="none" w:sz="0" w:space="0" w:color="auto"/>
                    <w:bottom w:val="none" w:sz="0" w:space="0" w:color="auto"/>
                    <w:right w:val="none" w:sz="0" w:space="0" w:color="auto"/>
                  </w:divBdr>
                  <w:divsChild>
                    <w:div w:id="2685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 w:id="21392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applications/1446" TargetMode="External"/><Relationship Id="rId18" Type="http://schemas.openxmlformats.org/officeDocument/2006/relationships/hyperlink" Target="http://msac.gov.au/internet/msac/publishing.nsf/Content/Home-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sac.gov.au/applications/1366" TargetMode="External"/><Relationship Id="rId17" Type="http://schemas.openxmlformats.org/officeDocument/2006/relationships/hyperlink" Target="https://www.msac.gov.au/applications/144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sac.gov.au/applications/13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7945de09b0bd2dfd0464c416d7bf3e95">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3ac271c091bacc93df53fa8bd429fd00"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6133-573A-460E-94DA-746F04936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2CB7D-61E1-4B2D-A048-DF522E378FD1}">
  <ds:schemaRefs>
    <ds:schemaRef ds:uri="http://schemas.microsoft.com/office/2006/metadata/properties"/>
    <ds:schemaRef ds:uri="http://schemas.microsoft.com/office/infopath/2007/PartnerControls"/>
    <ds:schemaRef ds:uri="e7d54a9e-4aca-451b-99db-b94fe438e987"/>
    <ds:schemaRef ds:uri="7513b557-581c-46d3-8cc7-77c65017dc6f"/>
  </ds:schemaRefs>
</ds:datastoreItem>
</file>

<file path=customXml/itemProps3.xml><?xml version="1.0" encoding="utf-8"?>
<ds:datastoreItem xmlns:ds="http://schemas.openxmlformats.org/officeDocument/2006/customXml" ds:itemID="{62A18693-1159-4F3A-BBB3-EA95A29944D4}">
  <ds:schemaRefs>
    <ds:schemaRef ds:uri="http://schemas.microsoft.com/sharepoint/v3/contenttype/forms"/>
  </ds:schemaRefs>
</ds:datastoreItem>
</file>

<file path=customXml/itemProps4.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25193</Words>
  <Characters>139571</Characters>
  <Application>Microsoft Office Word</Application>
  <DocSecurity>0</DocSecurity>
  <Lines>2633</Lines>
  <Paragraphs>1091</Paragraphs>
  <ScaleCrop>false</ScaleCrop>
  <Manager/>
  <Company/>
  <LinksUpToDate>false</LinksUpToDate>
  <CharactersWithSpaces>163673</CharactersWithSpaces>
  <SharedDoc>false</SharedDoc>
  <HyperlinkBase/>
  <HLinks>
    <vt:vector size="36" baseType="variant">
      <vt:variant>
        <vt:i4>6684716</vt:i4>
      </vt:variant>
      <vt:variant>
        <vt:i4>132</vt:i4>
      </vt:variant>
      <vt:variant>
        <vt:i4>0</vt:i4>
      </vt:variant>
      <vt:variant>
        <vt:i4>5</vt:i4>
      </vt:variant>
      <vt:variant>
        <vt:lpwstr>http://msac.gov.au/internet/msac/publishing.nsf/Content/Home-1</vt:lpwstr>
      </vt:variant>
      <vt:variant>
        <vt:lpwstr/>
      </vt:variant>
      <vt:variant>
        <vt:i4>1376339</vt:i4>
      </vt:variant>
      <vt:variant>
        <vt:i4>129</vt:i4>
      </vt:variant>
      <vt:variant>
        <vt:i4>0</vt:i4>
      </vt:variant>
      <vt:variant>
        <vt:i4>5</vt:i4>
      </vt:variant>
      <vt:variant>
        <vt:lpwstr>https://www.msac.gov.au/applications/1446</vt:lpwstr>
      </vt:variant>
      <vt:variant>
        <vt:lpwstr/>
      </vt:variant>
      <vt:variant>
        <vt:i4>1507412</vt:i4>
      </vt:variant>
      <vt:variant>
        <vt:i4>126</vt:i4>
      </vt:variant>
      <vt:variant>
        <vt:i4>0</vt:i4>
      </vt:variant>
      <vt:variant>
        <vt:i4>5</vt:i4>
      </vt:variant>
      <vt:variant>
        <vt:lpwstr>https://www.msac.gov.au/applications/1366</vt:lpwstr>
      </vt:variant>
      <vt:variant>
        <vt:lpwstr/>
      </vt:variant>
      <vt:variant>
        <vt:i4>1376339</vt:i4>
      </vt:variant>
      <vt:variant>
        <vt:i4>6</vt:i4>
      </vt:variant>
      <vt:variant>
        <vt:i4>0</vt:i4>
      </vt:variant>
      <vt:variant>
        <vt:i4>5</vt:i4>
      </vt:variant>
      <vt:variant>
        <vt:lpwstr>https://www.msac.gov.au/applications/1446</vt:lpwstr>
      </vt:variant>
      <vt:variant>
        <vt:lpwstr/>
      </vt:variant>
      <vt:variant>
        <vt:i4>1507412</vt:i4>
      </vt:variant>
      <vt:variant>
        <vt:i4>3</vt:i4>
      </vt:variant>
      <vt:variant>
        <vt:i4>0</vt:i4>
      </vt:variant>
      <vt:variant>
        <vt:i4>5</vt:i4>
      </vt:variant>
      <vt:variant>
        <vt:lpwstr>https://www.msac.gov.au/applications/1366</vt:lpwstr>
      </vt:variant>
      <vt:variant>
        <vt:lpwstr/>
      </vt:variant>
      <vt:variant>
        <vt:i4>3997744</vt:i4>
      </vt:variant>
      <vt:variant>
        <vt:i4>0</vt:i4>
      </vt:variant>
      <vt:variant>
        <vt:i4>0</vt:i4>
      </vt:variant>
      <vt:variant>
        <vt:i4>5</vt:i4>
      </vt:variant>
      <vt:variant>
        <vt:lpwstr>http://www.msac.gov.au/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2026-02-18T03:10:00Z</dcterms:created>
  <dcterms:modified xsi:type="dcterms:W3CDTF">2026-02-18T03:12:00Z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68e4baeb,bdbe637,1c6b4849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7df1ed06,485480eb,1a040ae5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2026-02-18T03:10:50Z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76e837f4-19cd-4184-8a75-4f52a27259ff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8151400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0x0101005E4A37BE997BE34FBB7D5057D341D123</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