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19BB0" w14:textId="3A403241" w:rsidR="0030034A" w:rsidRPr="00BD6335" w:rsidRDefault="0030034A" w:rsidP="004B0592">
      <w:pPr>
        <w:pStyle w:val="Heading1"/>
        <w:spacing w:before="0" w:after="160"/>
        <w:rPr>
          <w:caps/>
        </w:rPr>
      </w:pPr>
      <w:r w:rsidRPr="00BD6335">
        <w:rPr>
          <w:caps/>
        </w:rPr>
        <w:t xml:space="preserve">MSAC </w:t>
      </w:r>
      <w:r w:rsidR="00CB02A3">
        <w:rPr>
          <w:caps/>
        </w:rPr>
        <w:t>Re</w:t>
      </w:r>
      <w:r w:rsidR="00396C12">
        <w:rPr>
          <w:caps/>
        </w:rPr>
        <w:t>application</w:t>
      </w:r>
      <w:r w:rsidR="00DC2AFF" w:rsidRPr="00BD6335">
        <w:rPr>
          <w:caps/>
        </w:rPr>
        <w:t xml:space="preserve"> Template </w:t>
      </w:r>
      <w:r w:rsidRPr="00BD6335">
        <w:rPr>
          <w:cap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797"/>
      </w:tblGrid>
      <w:tr w:rsidR="007A69A5" w14:paraId="7E17B875" w14:textId="77777777" w:rsidTr="007A69A5">
        <w:tc>
          <w:tcPr>
            <w:tcW w:w="3397" w:type="dxa"/>
          </w:tcPr>
          <w:p w14:paraId="16371A8C" w14:textId="3D6FE0E8" w:rsidR="007A69A5" w:rsidRDefault="00CB02A3" w:rsidP="007A69A5">
            <w:pPr>
              <w:rPr>
                <w:b/>
                <w:bCs/>
                <w:color w:val="002060"/>
                <w:sz w:val="36"/>
                <w:szCs w:val="36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Re</w:t>
            </w:r>
            <w:r w:rsidR="00C76A19">
              <w:rPr>
                <w:b/>
                <w:bCs/>
                <w:color w:val="002060"/>
                <w:sz w:val="24"/>
                <w:szCs w:val="24"/>
              </w:rPr>
              <w:t>a</w:t>
            </w:r>
            <w:r w:rsidR="007A69A5" w:rsidRPr="000A11E0">
              <w:rPr>
                <w:b/>
                <w:bCs/>
                <w:color w:val="002060"/>
                <w:sz w:val="24"/>
                <w:szCs w:val="24"/>
              </w:rPr>
              <w:t>pplication Name:</w:t>
            </w:r>
          </w:p>
        </w:tc>
        <w:tc>
          <w:tcPr>
            <w:tcW w:w="6797" w:type="dxa"/>
          </w:tcPr>
          <w:p w14:paraId="5B0230D1" w14:textId="3EEF79DE" w:rsidR="00F16BEE" w:rsidRPr="006B25A4" w:rsidRDefault="007C0457" w:rsidP="00F16BEE">
            <w:pPr>
              <w:rPr>
                <w:color w:val="002060"/>
              </w:rPr>
            </w:pPr>
            <w:r w:rsidRPr="00D677FF">
              <w:rPr>
                <w:b/>
                <w:bCs/>
              </w:rPr>
              <w:t xml:space="preserve">Catheter-based </w:t>
            </w:r>
            <w:r w:rsidR="00DB6C7C" w:rsidRPr="00D677FF">
              <w:rPr>
                <w:b/>
                <w:bCs/>
              </w:rPr>
              <w:t xml:space="preserve">radiofrequency </w:t>
            </w:r>
            <w:r w:rsidRPr="00D677FF">
              <w:rPr>
                <w:b/>
                <w:bCs/>
              </w:rPr>
              <w:t>renal denervation</w:t>
            </w:r>
            <w:r w:rsidRPr="006B25A4">
              <w:t xml:space="preserve"> </w:t>
            </w:r>
            <w:r w:rsidRPr="006B25A4">
              <w:rPr>
                <w:b/>
                <w:bCs/>
              </w:rPr>
              <w:t xml:space="preserve">for </w:t>
            </w:r>
            <w:r w:rsidR="00336458" w:rsidRPr="006B25A4">
              <w:rPr>
                <w:b/>
                <w:bCs/>
              </w:rPr>
              <w:t>severe treatment</w:t>
            </w:r>
            <w:r w:rsidR="002271A3" w:rsidRPr="006B25A4">
              <w:rPr>
                <w:b/>
                <w:bCs/>
              </w:rPr>
              <w:t>-resistant hypertension</w:t>
            </w:r>
          </w:p>
        </w:tc>
      </w:tr>
      <w:tr w:rsidR="00B57F93" w14:paraId="1C46C2FF" w14:textId="77777777" w:rsidTr="007A69A5">
        <w:tc>
          <w:tcPr>
            <w:tcW w:w="3397" w:type="dxa"/>
          </w:tcPr>
          <w:p w14:paraId="37A3918C" w14:textId="09A0A49E" w:rsidR="00B57F93" w:rsidRPr="000A11E0" w:rsidRDefault="00B57F93" w:rsidP="007A69A5">
            <w:pPr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 xml:space="preserve">Previous application number </w:t>
            </w:r>
          </w:p>
        </w:tc>
        <w:tc>
          <w:tcPr>
            <w:tcW w:w="6797" w:type="dxa"/>
          </w:tcPr>
          <w:p w14:paraId="191380F4" w14:textId="530C874C" w:rsidR="00B57F93" w:rsidRPr="00600C63" w:rsidRDefault="00EF6487" w:rsidP="00837AEF">
            <w:r w:rsidRPr="00600C63">
              <w:t>1659</w:t>
            </w:r>
          </w:p>
        </w:tc>
      </w:tr>
      <w:tr w:rsidR="00B57F93" w14:paraId="0A0472BD" w14:textId="77777777" w:rsidTr="007A69A5">
        <w:tc>
          <w:tcPr>
            <w:tcW w:w="3397" w:type="dxa"/>
          </w:tcPr>
          <w:p w14:paraId="5C9A33CC" w14:textId="709211E9" w:rsidR="00B57F93" w:rsidRDefault="00B57F93" w:rsidP="007A69A5">
            <w:pPr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Name of previous application</w:t>
            </w:r>
          </w:p>
        </w:tc>
        <w:tc>
          <w:tcPr>
            <w:tcW w:w="6797" w:type="dxa"/>
          </w:tcPr>
          <w:p w14:paraId="22C2109F" w14:textId="1A94176D" w:rsidR="00B57F93" w:rsidRPr="00600C63" w:rsidRDefault="00EF6487" w:rsidP="00837AEF">
            <w:r w:rsidRPr="00600C63">
              <w:t>Catheter-based renal denervation for uncontrolled elevated systolic blood pressure</w:t>
            </w:r>
          </w:p>
        </w:tc>
      </w:tr>
    </w:tbl>
    <w:p w14:paraId="7330E848" w14:textId="43212425" w:rsidR="00B57F93" w:rsidRPr="00BD6335" w:rsidRDefault="00B57F93" w:rsidP="009B7ABD">
      <w:pPr>
        <w:pStyle w:val="Heading2"/>
        <w:numPr>
          <w:ilvl w:val="0"/>
          <w:numId w:val="41"/>
        </w:numPr>
        <w:ind w:left="426" w:hanging="426"/>
      </w:pPr>
      <w:r w:rsidRPr="00BD6335">
        <w:t xml:space="preserve">Funding Source </w:t>
      </w:r>
    </w:p>
    <w:p w14:paraId="3BD8E676" w14:textId="77777777" w:rsidR="004A7A00" w:rsidRPr="009D19C9" w:rsidRDefault="001E016B" w:rsidP="003732AB">
      <w:pPr>
        <w:pStyle w:val="ListParagraph"/>
        <w:numPr>
          <w:ilvl w:val="0"/>
          <w:numId w:val="21"/>
        </w:numPr>
        <w:ind w:left="426"/>
        <w:rPr>
          <w:b/>
          <w:bCs/>
        </w:rPr>
      </w:pPr>
      <w:r w:rsidRPr="009D19C9">
        <w:rPr>
          <w:b/>
          <w:bCs/>
        </w:rPr>
        <w:t xml:space="preserve">Please </w:t>
      </w:r>
      <w:r w:rsidR="00836B80" w:rsidRPr="009D19C9">
        <w:rPr>
          <w:b/>
          <w:bCs/>
        </w:rPr>
        <w:t xml:space="preserve">check the </w:t>
      </w:r>
      <w:r w:rsidR="00875D6B" w:rsidRPr="009D19C9">
        <w:rPr>
          <w:b/>
          <w:bCs/>
        </w:rPr>
        <w:t xml:space="preserve">box </w:t>
      </w:r>
      <w:r w:rsidR="00F865F7" w:rsidRPr="009D19C9">
        <w:rPr>
          <w:b/>
          <w:bCs/>
        </w:rPr>
        <w:t>th</w:t>
      </w:r>
      <w:r w:rsidR="00836B80" w:rsidRPr="009D19C9">
        <w:rPr>
          <w:b/>
          <w:bCs/>
        </w:rPr>
        <w:t>at correspond</w:t>
      </w:r>
      <w:r w:rsidR="004A7A00" w:rsidRPr="009D19C9">
        <w:rPr>
          <w:b/>
          <w:bCs/>
        </w:rPr>
        <w:t xml:space="preserve">s with the </w:t>
      </w:r>
      <w:r w:rsidRPr="009D19C9">
        <w:rPr>
          <w:b/>
          <w:bCs/>
        </w:rPr>
        <w:t xml:space="preserve">program through which the health technology would be funded: </w:t>
      </w:r>
    </w:p>
    <w:p w14:paraId="581280EC" w14:textId="5CC84132" w:rsidR="00894D76" w:rsidRDefault="00C37C2D" w:rsidP="00556527">
      <w:pPr>
        <w:ind w:left="850" w:hanging="425"/>
      </w:pPr>
      <w:sdt>
        <w:sdtPr>
          <w:id w:val="49847205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271A3">
            <w:rPr>
              <w:rFonts w:ascii="MS Gothic" w:eastAsia="MS Gothic" w:hAnsi="MS Gothic" w:hint="eastAsia"/>
            </w:rPr>
            <w:t>☒</w:t>
          </w:r>
        </w:sdtContent>
      </w:sdt>
      <w:r w:rsidR="007C6810">
        <w:t xml:space="preserve"> </w:t>
      </w:r>
      <w:r w:rsidR="00267B34">
        <w:t xml:space="preserve"> </w:t>
      </w:r>
      <w:r w:rsidR="007C6810">
        <w:t xml:space="preserve"> </w:t>
      </w:r>
      <w:r w:rsidR="0028354D">
        <w:t xml:space="preserve"> </w:t>
      </w:r>
      <w:r w:rsidR="007C6810">
        <w:t>Medicare Benefits Schedule (MBS)</w:t>
      </w:r>
      <w:r w:rsidR="00E47B4B">
        <w:t>. Please</w:t>
      </w:r>
      <w:r w:rsidR="00CA161F">
        <w:t>:</w:t>
      </w:r>
      <w:r w:rsidR="00556527">
        <w:t xml:space="preserve"> </w:t>
      </w:r>
    </w:p>
    <w:p w14:paraId="6B4445D9" w14:textId="6499EA5F" w:rsidR="00E72555" w:rsidRPr="00BC6954" w:rsidRDefault="00894D76" w:rsidP="2C47B30A">
      <w:pPr>
        <w:pStyle w:val="ListParagraph"/>
        <w:numPr>
          <w:ilvl w:val="0"/>
          <w:numId w:val="39"/>
        </w:numPr>
        <w:ind w:left="1276" w:hanging="425"/>
      </w:pPr>
      <w:r w:rsidRPr="00BC6954">
        <w:t>U</w:t>
      </w:r>
      <w:r w:rsidR="000136AB" w:rsidRPr="00BC6954">
        <w:t>pload a</w:t>
      </w:r>
      <w:r w:rsidR="00A015D7" w:rsidRPr="00BC6954">
        <w:t xml:space="preserve">n </w:t>
      </w:r>
      <w:proofErr w:type="gramStart"/>
      <w:r w:rsidR="00A015D7" w:rsidRPr="00BC6954">
        <w:t>in principle</w:t>
      </w:r>
      <w:proofErr w:type="gramEnd"/>
      <w:r w:rsidR="00A015D7" w:rsidRPr="00BC6954">
        <w:t xml:space="preserve"> </w:t>
      </w:r>
      <w:r w:rsidR="00157F3C" w:rsidRPr="00BC6954">
        <w:t>S</w:t>
      </w:r>
      <w:r w:rsidR="000136AB" w:rsidRPr="00BC6954">
        <w:t xml:space="preserve">tatement of </w:t>
      </w:r>
      <w:r w:rsidR="00157F3C" w:rsidRPr="00BC6954">
        <w:t>C</w:t>
      </w:r>
      <w:r w:rsidR="000136AB" w:rsidRPr="00BC6954">
        <w:t xml:space="preserve">linical </w:t>
      </w:r>
      <w:r w:rsidR="00157F3C" w:rsidRPr="00BC6954">
        <w:t>R</w:t>
      </w:r>
      <w:r w:rsidR="000136AB" w:rsidRPr="00BC6954">
        <w:t>elevance</w:t>
      </w:r>
      <w:r w:rsidR="003474A6" w:rsidRPr="00BC6954">
        <w:rPr>
          <w:rStyle w:val="FootnoteReference"/>
        </w:rPr>
        <w:footnoteReference w:id="2"/>
      </w:r>
      <w:r w:rsidRPr="00BC6954">
        <w:t xml:space="preserve"> when uploading this template. </w:t>
      </w:r>
    </w:p>
    <w:p w14:paraId="475A420C" w14:textId="1BA23826" w:rsidR="007C6810" w:rsidRPr="00556527" w:rsidRDefault="00E72555" w:rsidP="00080ED7">
      <w:pPr>
        <w:pStyle w:val="ListParagraph"/>
        <w:numPr>
          <w:ilvl w:val="0"/>
          <w:numId w:val="39"/>
        </w:numPr>
        <w:ind w:left="1276" w:hanging="426"/>
        <w:contextualSpacing w:val="0"/>
      </w:pPr>
      <w:r>
        <w:t>N</w:t>
      </w:r>
      <w:r w:rsidR="00E8194F" w:rsidRPr="00556527">
        <w:t xml:space="preserve">ote </w:t>
      </w:r>
      <w:r w:rsidR="00A106DA" w:rsidRPr="00556527">
        <w:t xml:space="preserve">in </w:t>
      </w:r>
      <w:hyperlink w:anchor="_Table_2:_Summary" w:history="1">
        <w:r w:rsidR="00777112" w:rsidRPr="00E72555">
          <w:rPr>
            <w:rStyle w:val="Hyperlink"/>
            <w:color w:val="auto"/>
          </w:rPr>
          <w:t>Table 2</w:t>
        </w:r>
      </w:hyperlink>
      <w:r w:rsidR="0028354D" w:rsidRPr="00556527">
        <w:t xml:space="preserve"> below</w:t>
      </w:r>
      <w:r w:rsidR="00CA161F">
        <w:t>,</w:t>
      </w:r>
      <w:r w:rsidR="0028354D" w:rsidRPr="00556527">
        <w:t xml:space="preserve"> </w:t>
      </w:r>
      <w:r w:rsidR="00E8194F" w:rsidRPr="00556527">
        <w:t>any changes to the proposed</w:t>
      </w:r>
      <w:r w:rsidR="009D19C9" w:rsidRPr="00556527">
        <w:t xml:space="preserve"> </w:t>
      </w:r>
      <w:r w:rsidR="00E8194F" w:rsidRPr="00556527">
        <w:t>MBS item(s) compared to the previous ADAR</w:t>
      </w:r>
      <w:r w:rsidR="0018183E" w:rsidRPr="00556527">
        <w:t>.</w:t>
      </w:r>
    </w:p>
    <w:p w14:paraId="22DC6D0A" w14:textId="7880AA32" w:rsidR="007C6810" w:rsidRDefault="00C37C2D" w:rsidP="003732AB">
      <w:pPr>
        <w:ind w:left="426"/>
      </w:pPr>
      <w:sdt>
        <w:sdtPr>
          <w:id w:val="-1326818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32AB">
            <w:rPr>
              <w:rFonts w:ascii="MS Gothic" w:eastAsia="MS Gothic" w:hAnsi="MS Gothic" w:hint="eastAsia"/>
            </w:rPr>
            <w:t>☐</w:t>
          </w:r>
        </w:sdtContent>
      </w:sdt>
      <w:r w:rsidR="00267B34">
        <w:t xml:space="preserve">   </w:t>
      </w:r>
      <w:r w:rsidR="0028354D">
        <w:t xml:space="preserve"> </w:t>
      </w:r>
      <w:r w:rsidR="007C6810" w:rsidRPr="007C6810">
        <w:t>National Blood Agreement</w:t>
      </w:r>
      <w:r w:rsidR="0018183E">
        <w:t>.</w:t>
      </w:r>
    </w:p>
    <w:p w14:paraId="7BBF25F3" w14:textId="35F9BE39" w:rsidR="007C6810" w:rsidRPr="007C6810" w:rsidRDefault="00C37C2D" w:rsidP="00E43CF4">
      <w:pPr>
        <w:ind w:left="425"/>
      </w:pPr>
      <w:sdt>
        <w:sdtPr>
          <w:id w:val="-821971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12B0">
            <w:rPr>
              <w:rFonts w:ascii="MS Gothic" w:eastAsia="MS Gothic" w:hAnsi="MS Gothic" w:hint="eastAsia"/>
            </w:rPr>
            <w:t>☐</w:t>
          </w:r>
        </w:sdtContent>
      </w:sdt>
      <w:r w:rsidR="006512B0">
        <w:t xml:space="preserve">   </w:t>
      </w:r>
      <w:r w:rsidR="0028354D">
        <w:t xml:space="preserve"> </w:t>
      </w:r>
      <w:r w:rsidR="007C6810" w:rsidRPr="007C6810">
        <w:t>National Health Reform Agreement Addendum (</w:t>
      </w:r>
      <w:r w:rsidR="00EC31D9">
        <w:t xml:space="preserve">high-cost, </w:t>
      </w:r>
      <w:r w:rsidR="00E47286">
        <w:t>h</w:t>
      </w:r>
      <w:r w:rsidR="007C6810" w:rsidRPr="007C6810">
        <w:t>ighly specialised therapies)</w:t>
      </w:r>
      <w:r w:rsidR="0018183E">
        <w:t>.</w:t>
      </w:r>
    </w:p>
    <w:p w14:paraId="0177E327" w14:textId="1061B8F1" w:rsidR="007C6810" w:rsidRPr="007C6810" w:rsidRDefault="00C37C2D" w:rsidP="003732AB">
      <w:pPr>
        <w:ind w:left="426"/>
      </w:pPr>
      <w:sdt>
        <w:sdtPr>
          <w:id w:val="32305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12B0">
            <w:rPr>
              <w:rFonts w:ascii="MS Gothic" w:eastAsia="MS Gothic" w:hAnsi="MS Gothic" w:hint="eastAsia"/>
            </w:rPr>
            <w:t>☐</w:t>
          </w:r>
        </w:sdtContent>
      </w:sdt>
      <w:r w:rsidR="006512B0">
        <w:t xml:space="preserve">   </w:t>
      </w:r>
      <w:r w:rsidR="0028354D">
        <w:t xml:space="preserve"> </w:t>
      </w:r>
      <w:r w:rsidR="007C6810" w:rsidRPr="007C6810">
        <w:t>National Diabetes Services Scheme</w:t>
      </w:r>
      <w:r w:rsidR="0018183E">
        <w:t>.</w:t>
      </w:r>
    </w:p>
    <w:p w14:paraId="424CF295" w14:textId="79A25757" w:rsidR="007C6810" w:rsidRPr="007C6810" w:rsidRDefault="00C37C2D" w:rsidP="00AF2ADD">
      <w:pPr>
        <w:ind w:left="425"/>
      </w:pPr>
      <w:sdt>
        <w:sdtPr>
          <w:id w:val="2031907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6C36">
            <w:rPr>
              <w:rFonts w:ascii="MS Gothic" w:eastAsia="MS Gothic" w:hAnsi="MS Gothic" w:hint="eastAsia"/>
            </w:rPr>
            <w:t>☐</w:t>
          </w:r>
        </w:sdtContent>
      </w:sdt>
      <w:r w:rsidR="00296C36">
        <w:t xml:space="preserve">  </w:t>
      </w:r>
      <w:r w:rsidR="0028354D">
        <w:t xml:space="preserve"> </w:t>
      </w:r>
      <w:r w:rsidR="007C6810" w:rsidRPr="007C6810">
        <w:t>Other</w:t>
      </w:r>
      <w:r w:rsidR="0018183E">
        <w:t xml:space="preserve">. Please </w:t>
      </w:r>
      <w:r w:rsidR="00162B33">
        <w:t>specify the funding program</w:t>
      </w:r>
      <w:r w:rsidR="00F17F85">
        <w:t xml:space="preserve">:  </w:t>
      </w:r>
      <w:r w:rsidR="00D85576">
        <w:t xml:space="preserve"> 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9773"/>
      </w:tblGrid>
      <w:tr w:rsidR="00F17F85" w14:paraId="57E63978" w14:textId="77777777" w:rsidTr="00816682">
        <w:tc>
          <w:tcPr>
            <w:tcW w:w="9773" w:type="dxa"/>
          </w:tcPr>
          <w:p w14:paraId="6B9A2316" w14:textId="77777777" w:rsidR="00F17F85" w:rsidRPr="001B4144" w:rsidRDefault="00F17F85" w:rsidP="007C6810"/>
          <w:p w14:paraId="6BDB5203" w14:textId="77777777" w:rsidR="00816682" w:rsidRPr="001B4144" w:rsidRDefault="00816682" w:rsidP="007C6810"/>
        </w:tc>
      </w:tr>
    </w:tbl>
    <w:p w14:paraId="171695C3" w14:textId="77777777" w:rsidR="000E124B" w:rsidRDefault="002B2E25" w:rsidP="00AF2ADD">
      <w:pPr>
        <w:pStyle w:val="ListParagraph"/>
        <w:numPr>
          <w:ilvl w:val="0"/>
          <w:numId w:val="21"/>
        </w:numPr>
        <w:spacing w:before="360"/>
        <w:ind w:left="425" w:hanging="357"/>
        <w:contextualSpacing w:val="0"/>
        <w:rPr>
          <w:b/>
          <w:bCs/>
        </w:rPr>
      </w:pPr>
      <w:r w:rsidRPr="00816682">
        <w:rPr>
          <w:b/>
          <w:bCs/>
        </w:rPr>
        <w:t xml:space="preserve">Has the </w:t>
      </w:r>
      <w:r w:rsidR="00BA60C1" w:rsidRPr="00816682">
        <w:rPr>
          <w:b/>
          <w:bCs/>
        </w:rPr>
        <w:t>funding source changed compared to your previous application</w:t>
      </w:r>
      <w:r w:rsidR="00A61507" w:rsidRPr="00816682">
        <w:rPr>
          <w:b/>
          <w:bCs/>
        </w:rPr>
        <w:t xml:space="preserve">? </w:t>
      </w:r>
    </w:p>
    <w:p w14:paraId="3F54DCE8" w14:textId="1872C11C" w:rsidR="003E42D9" w:rsidRDefault="00C37C2D" w:rsidP="00646FA9">
      <w:pPr>
        <w:spacing w:before="160"/>
        <w:ind w:left="425"/>
      </w:pPr>
      <w:sdt>
        <w:sdtPr>
          <w:rPr>
            <w:b/>
            <w:bCs/>
          </w:rPr>
          <w:id w:val="195043528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A5C31">
            <w:rPr>
              <w:rFonts w:ascii="MS Gothic" w:eastAsia="MS Gothic" w:hAnsi="MS Gothic" w:hint="eastAsia"/>
              <w:b/>
              <w:bCs/>
            </w:rPr>
            <w:t>☒</w:t>
          </w:r>
        </w:sdtContent>
      </w:sdt>
      <w:r w:rsidR="003E42D9">
        <w:rPr>
          <w:b/>
          <w:bCs/>
        </w:rPr>
        <w:t xml:space="preserve">   </w:t>
      </w:r>
      <w:r w:rsidR="003E42D9" w:rsidRPr="003E42D9">
        <w:t>No</w:t>
      </w:r>
    </w:p>
    <w:p w14:paraId="7CB339BF" w14:textId="17D0A6D7" w:rsidR="0081313C" w:rsidRDefault="0081313C" w:rsidP="009B7ABD">
      <w:pPr>
        <w:pStyle w:val="Heading2"/>
        <w:numPr>
          <w:ilvl w:val="0"/>
          <w:numId w:val="41"/>
        </w:numPr>
        <w:spacing w:before="480"/>
        <w:ind w:left="426" w:hanging="426"/>
      </w:pPr>
      <w:r>
        <w:t>Regulatory Information</w:t>
      </w:r>
    </w:p>
    <w:p w14:paraId="2BF8672C" w14:textId="769A177A" w:rsidR="00A40169" w:rsidRDefault="00A40169" w:rsidP="00A40169">
      <w:pPr>
        <w:pStyle w:val="ListParagraph"/>
        <w:numPr>
          <w:ilvl w:val="0"/>
          <w:numId w:val="35"/>
        </w:numPr>
      </w:pPr>
      <w:r>
        <w:t>Does you</w:t>
      </w:r>
      <w:r w:rsidR="007873F9">
        <w:t>r proposed service or technology involve</w:t>
      </w:r>
      <w:r w:rsidR="0042687C">
        <w:t xml:space="preserve"> (check as many as applicable)</w:t>
      </w:r>
      <w:r w:rsidR="007873F9">
        <w:t xml:space="preserve">: </w:t>
      </w:r>
    </w:p>
    <w:p w14:paraId="6F6CCD21" w14:textId="5AEED6B6" w:rsidR="007873F9" w:rsidRPr="000A37F9" w:rsidRDefault="00C37C2D" w:rsidP="00C15423">
      <w:pPr>
        <w:ind w:left="851" w:hanging="425"/>
        <w:rPr>
          <w:color w:val="000000" w:themeColor="text1"/>
        </w:rPr>
      </w:pPr>
      <w:sdt>
        <w:sdtPr>
          <w:id w:val="-118228522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A5C31">
            <w:rPr>
              <w:rFonts w:ascii="MS Gothic" w:eastAsia="MS Gothic" w:hAnsi="MS Gothic" w:hint="eastAsia"/>
            </w:rPr>
            <w:t>☒</w:t>
          </w:r>
        </w:sdtContent>
      </w:sdt>
      <w:r w:rsidR="007873F9">
        <w:t xml:space="preserve">    </w:t>
      </w:r>
      <w:r w:rsidR="00ED1289">
        <w:t xml:space="preserve">the </w:t>
      </w:r>
      <w:r w:rsidR="005B4D42" w:rsidRPr="005B4D42">
        <w:t xml:space="preserve">use of a medical device, </w:t>
      </w:r>
      <w:r w:rsidR="005B4D42" w:rsidRPr="009A75DC">
        <w:rPr>
          <w:i/>
          <w:iCs/>
        </w:rPr>
        <w:t>in-vitro</w:t>
      </w:r>
      <w:r w:rsidR="005B4D42" w:rsidRPr="005B4D42">
        <w:t xml:space="preserve"> diagnostic test, radioactive </w:t>
      </w:r>
      <w:r w:rsidR="005B4D42" w:rsidRPr="00211F7D">
        <w:t>tracer, or any other type of therapeutic</w:t>
      </w:r>
      <w:r w:rsidR="005B4D42" w:rsidRPr="005B4D42">
        <w:t xml:space="preserve"> good</w:t>
      </w:r>
      <w:r w:rsidR="00ED1289">
        <w:t>?</w:t>
      </w:r>
      <w:r w:rsidR="00ED46F1">
        <w:t xml:space="preserve"> </w:t>
      </w:r>
      <w:r w:rsidR="00ED46F1" w:rsidRPr="00BF16C8">
        <w:t>P</w:t>
      </w:r>
      <w:r w:rsidR="000632FE" w:rsidRPr="00BF16C8">
        <w:t>lease complete the section titled</w:t>
      </w:r>
      <w:r w:rsidR="00C15ED1" w:rsidRPr="00BF16C8">
        <w:t xml:space="preserve"> </w:t>
      </w:r>
      <w:hyperlink w:anchor="_ARTG_Listing" w:history="1">
        <w:r w:rsidR="00C15ED1" w:rsidRPr="00C15ED1">
          <w:rPr>
            <w:rStyle w:val="Hyperlink"/>
          </w:rPr>
          <w:t>B1: ARTG Listing</w:t>
        </w:r>
      </w:hyperlink>
      <w:r w:rsidR="00FB67D4" w:rsidRPr="000A37F9">
        <w:rPr>
          <w:color w:val="000000" w:themeColor="text1"/>
        </w:rPr>
        <w:t>.</w:t>
      </w:r>
    </w:p>
    <w:p w14:paraId="67C9C9B3" w14:textId="2686159D" w:rsidR="00883C56" w:rsidRPr="000A37F9" w:rsidRDefault="00C37C2D" w:rsidP="000632FE">
      <w:pPr>
        <w:ind w:left="851" w:hanging="425"/>
        <w:rPr>
          <w:color w:val="000000" w:themeColor="text1"/>
        </w:rPr>
      </w:pPr>
      <w:sdt>
        <w:sdtPr>
          <w:id w:val="812445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32FE">
            <w:rPr>
              <w:rFonts w:ascii="MS Gothic" w:eastAsia="MS Gothic" w:hAnsi="MS Gothic" w:hint="eastAsia"/>
            </w:rPr>
            <w:t>☐</w:t>
          </w:r>
        </w:sdtContent>
      </w:sdt>
      <w:r w:rsidR="00B8618A" w:rsidRPr="00B8618A">
        <w:t xml:space="preserve"> </w:t>
      </w:r>
      <w:r w:rsidR="00B8618A">
        <w:t xml:space="preserve">   </w:t>
      </w:r>
      <w:r w:rsidR="00E26DB7">
        <w:t xml:space="preserve">a service or laboratory requiring accreditation by the National </w:t>
      </w:r>
      <w:r w:rsidR="00B251C6">
        <w:t>Association of Testing Authorities</w:t>
      </w:r>
      <w:proofErr w:type="gramStart"/>
      <w:r w:rsidR="00B251C6">
        <w:t xml:space="preserve"> </w:t>
      </w:r>
      <w:r w:rsidR="007C6650">
        <w:t xml:space="preserve">  </w:t>
      </w:r>
      <w:r w:rsidR="00B251C6">
        <w:t>(</w:t>
      </w:r>
      <w:proofErr w:type="gramEnd"/>
      <w:r w:rsidR="00B251C6">
        <w:t xml:space="preserve">NATA)? </w:t>
      </w:r>
      <w:r w:rsidR="000632FE" w:rsidRPr="00BF16C8">
        <w:t>Please complete the section titled</w:t>
      </w:r>
      <w:r w:rsidR="00C15ED1" w:rsidRPr="00BF16C8">
        <w:t xml:space="preserve"> </w:t>
      </w:r>
      <w:hyperlink w:anchor="_B2:_NATA_Accreditation" w:history="1">
        <w:r w:rsidR="00C15ED1" w:rsidRPr="00C15ED1">
          <w:rPr>
            <w:rStyle w:val="Hyperlink"/>
          </w:rPr>
          <w:t>B2: NATA Accreditation</w:t>
        </w:r>
      </w:hyperlink>
      <w:r w:rsidR="00B43D28" w:rsidRPr="000A37F9">
        <w:rPr>
          <w:color w:val="000000" w:themeColor="text1"/>
        </w:rPr>
        <w:t>.</w:t>
      </w:r>
    </w:p>
    <w:p w14:paraId="723445D5" w14:textId="127DA850" w:rsidR="00ED1289" w:rsidRPr="000A37F9" w:rsidRDefault="00C37C2D" w:rsidP="005B5AA2">
      <w:pPr>
        <w:ind w:left="851" w:hanging="425"/>
        <w:rPr>
          <w:color w:val="000000" w:themeColor="text1"/>
        </w:rPr>
      </w:pPr>
      <w:sdt>
        <w:sdtPr>
          <w:id w:val="-1631700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3C56">
            <w:rPr>
              <w:rFonts w:ascii="MS Gothic" w:eastAsia="MS Gothic" w:hAnsi="MS Gothic" w:hint="eastAsia"/>
            </w:rPr>
            <w:t>☐</w:t>
          </w:r>
        </w:sdtContent>
      </w:sdt>
      <w:r w:rsidR="00883C56">
        <w:t xml:space="preserve">    </w:t>
      </w:r>
      <w:r w:rsidR="00B8618A">
        <w:t xml:space="preserve">an </w:t>
      </w:r>
      <w:r w:rsidR="00B8618A" w:rsidRPr="00B8618A">
        <w:t xml:space="preserve">MBS item descriptor </w:t>
      </w:r>
      <w:r w:rsidR="00B8618A">
        <w:t xml:space="preserve">that </w:t>
      </w:r>
      <w:r w:rsidR="00B8618A" w:rsidRPr="00B8618A">
        <w:t xml:space="preserve">refers to a specific radiopharmaceutical or a set of </w:t>
      </w:r>
      <w:proofErr w:type="gramStart"/>
      <w:r w:rsidR="00B8618A" w:rsidRPr="00B8618A">
        <w:t>radiopharmaceuticals</w:t>
      </w:r>
      <w:r w:rsidR="00883C56">
        <w:t>?</w:t>
      </w:r>
      <w:proofErr w:type="gramEnd"/>
      <w:r w:rsidR="005B5AA2">
        <w:t xml:space="preserve"> </w:t>
      </w:r>
      <w:r w:rsidR="005B5AA2" w:rsidRPr="00BF16C8">
        <w:t>Please complete the section titled</w:t>
      </w:r>
      <w:r w:rsidR="00C15ED1" w:rsidRPr="00BF16C8">
        <w:t xml:space="preserve"> </w:t>
      </w:r>
      <w:hyperlink w:anchor="_Radiopharmaceuticals" w:history="1">
        <w:r w:rsidR="00C15ED1" w:rsidRPr="00C15ED1">
          <w:rPr>
            <w:rStyle w:val="Hyperlink"/>
          </w:rPr>
          <w:t>B3: Radiopharmaceuticals</w:t>
        </w:r>
      </w:hyperlink>
      <w:r w:rsidR="00B43D28" w:rsidRPr="000A37F9">
        <w:rPr>
          <w:color w:val="000000" w:themeColor="text1"/>
        </w:rPr>
        <w:t>.</w:t>
      </w:r>
    </w:p>
    <w:p w14:paraId="68A9D217" w14:textId="3F4FD2B3" w:rsidR="00016006" w:rsidRDefault="00C37C2D" w:rsidP="005B5AA2">
      <w:pPr>
        <w:ind w:left="851" w:hanging="425"/>
        <w:rPr>
          <w:rFonts w:ascii="MS Gothic" w:eastAsia="MS Gothic" w:hAnsi="MS Gothic"/>
        </w:rPr>
      </w:pPr>
      <w:sdt>
        <w:sdtPr>
          <w:rPr>
            <w:rFonts w:ascii="MS Gothic" w:eastAsia="MS Gothic" w:hAnsi="MS Gothic"/>
          </w:rPr>
          <w:id w:val="2136213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6006">
            <w:rPr>
              <w:rFonts w:ascii="MS Gothic" w:eastAsia="MS Gothic" w:hAnsi="MS Gothic" w:hint="eastAsia"/>
            </w:rPr>
            <w:t>☐</w:t>
          </w:r>
        </w:sdtContent>
      </w:sdt>
      <w:r w:rsidR="00016006">
        <w:rPr>
          <w:rFonts w:ascii="MS Gothic" w:eastAsia="MS Gothic" w:hAnsi="MS Gothic"/>
        </w:rPr>
        <w:t xml:space="preserve">  </w:t>
      </w:r>
      <w:r w:rsidR="00016006" w:rsidRPr="00016006">
        <w:t>None of the above</w:t>
      </w:r>
      <w:r w:rsidR="00BA0EDB">
        <w:t xml:space="preserve">. </w:t>
      </w:r>
      <w:r w:rsidR="00BA0EDB" w:rsidRPr="00BF16C8">
        <w:t xml:space="preserve">Proceed to the </w:t>
      </w:r>
      <w:hyperlink w:anchor="_Other_Information" w:history="1">
        <w:r w:rsidR="00BA0EDB" w:rsidRPr="00BA0EDB">
          <w:rPr>
            <w:rStyle w:val="Hyperlink"/>
          </w:rPr>
          <w:t>Other information</w:t>
        </w:r>
      </w:hyperlink>
      <w:r w:rsidR="00BA0EDB">
        <w:rPr>
          <w:color w:val="FF0000"/>
        </w:rPr>
        <w:t xml:space="preserve"> </w:t>
      </w:r>
      <w:r w:rsidR="00BA0EDB" w:rsidRPr="00BF16C8">
        <w:t>section.</w:t>
      </w:r>
      <w:r w:rsidR="00016006">
        <w:rPr>
          <w:rFonts w:ascii="MS Gothic" w:eastAsia="MS Gothic" w:hAnsi="MS Gothic"/>
        </w:rPr>
        <w:t xml:space="preserve"> </w:t>
      </w:r>
    </w:p>
    <w:p w14:paraId="0BA8BCD0" w14:textId="08DE0605" w:rsidR="00ED1289" w:rsidRPr="00A40169" w:rsidRDefault="009B7ABD" w:rsidP="00D373FA">
      <w:pPr>
        <w:pStyle w:val="Heading3"/>
        <w:spacing w:before="360"/>
      </w:pPr>
      <w:bookmarkStart w:id="0" w:name="_ARTG_Listing"/>
      <w:bookmarkStart w:id="1" w:name="_B1:__ARTG"/>
      <w:bookmarkEnd w:id="0"/>
      <w:bookmarkEnd w:id="1"/>
      <w:r>
        <w:lastRenderedPageBreak/>
        <w:t>B1</w:t>
      </w:r>
      <w:r w:rsidR="001374D0">
        <w:t xml:space="preserve">:  </w:t>
      </w:r>
      <w:r w:rsidR="00B43D28">
        <w:t>ARTG Listing</w:t>
      </w:r>
    </w:p>
    <w:p w14:paraId="23C6BA2F" w14:textId="78E3B1BA" w:rsidR="002D3798" w:rsidRPr="00AC19B8" w:rsidRDefault="002D3798" w:rsidP="005D2517">
      <w:pPr>
        <w:pStyle w:val="ListParagraph"/>
        <w:numPr>
          <w:ilvl w:val="0"/>
          <w:numId w:val="35"/>
        </w:numPr>
        <w:spacing w:before="360"/>
        <w:contextualSpacing w:val="0"/>
        <w:rPr>
          <w:b/>
          <w:bCs/>
          <w:sz w:val="24"/>
          <w:szCs w:val="24"/>
        </w:rPr>
      </w:pPr>
      <w:r w:rsidRPr="00AC19B8">
        <w:rPr>
          <w:b/>
          <w:bCs/>
          <w:sz w:val="24"/>
          <w:szCs w:val="24"/>
        </w:rPr>
        <w:t xml:space="preserve">Has </w:t>
      </w:r>
      <w:r w:rsidR="00134235">
        <w:rPr>
          <w:b/>
          <w:bCs/>
          <w:sz w:val="24"/>
          <w:szCs w:val="24"/>
        </w:rPr>
        <w:t xml:space="preserve">the proposed health technology </w:t>
      </w:r>
      <w:r w:rsidRPr="00AC19B8">
        <w:rPr>
          <w:b/>
          <w:bCs/>
          <w:sz w:val="24"/>
          <w:szCs w:val="24"/>
        </w:rPr>
        <w:t>been listed or registered or included in the Australian Register of Therapeutic Goods (ARTG) by the Therapeutic Goods Administration (TGA)?</w:t>
      </w:r>
    </w:p>
    <w:p w14:paraId="1F03310F" w14:textId="664EC5B0" w:rsidR="00366FDA" w:rsidRPr="00336868" w:rsidRDefault="00C37C2D" w:rsidP="00336868">
      <w:pPr>
        <w:ind w:left="426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881517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0F8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66FDA" w:rsidRPr="00336868">
        <w:rPr>
          <w:sz w:val="24"/>
          <w:szCs w:val="24"/>
        </w:rPr>
        <w:t xml:space="preserve">  No </w:t>
      </w:r>
      <w:r w:rsidR="003A622E">
        <w:rPr>
          <w:sz w:val="24"/>
          <w:szCs w:val="24"/>
        </w:rPr>
        <w:t xml:space="preserve">(Go to question </w:t>
      </w:r>
      <w:r w:rsidR="00B14F42">
        <w:rPr>
          <w:sz w:val="24"/>
          <w:szCs w:val="24"/>
        </w:rPr>
        <w:t>4</w:t>
      </w:r>
      <w:r w:rsidR="003A622E">
        <w:rPr>
          <w:sz w:val="24"/>
          <w:szCs w:val="24"/>
        </w:rPr>
        <w:t>)</w:t>
      </w:r>
    </w:p>
    <w:p w14:paraId="291C1460" w14:textId="21920383" w:rsidR="000318DE" w:rsidRDefault="00C37C2D" w:rsidP="00336868">
      <w:pPr>
        <w:ind w:left="426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42831668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01569">
            <w:rPr>
              <w:rFonts w:ascii="MS Gothic" w:eastAsia="MS Gothic" w:hAnsi="MS Gothic" w:hint="eastAsia"/>
              <w:sz w:val="24"/>
              <w:szCs w:val="24"/>
            </w:rPr>
            <w:t>☒</w:t>
          </w:r>
        </w:sdtContent>
      </w:sdt>
      <w:r w:rsidR="00366FDA" w:rsidRPr="00336868">
        <w:rPr>
          <w:sz w:val="24"/>
          <w:szCs w:val="24"/>
        </w:rPr>
        <w:t xml:space="preserve">  Yes</w:t>
      </w:r>
      <w:r w:rsidR="00A61507">
        <w:rPr>
          <w:sz w:val="24"/>
          <w:szCs w:val="24"/>
        </w:rPr>
        <w:t xml:space="preserve">. </w:t>
      </w:r>
      <w:r w:rsidR="0008735F">
        <w:rPr>
          <w:sz w:val="24"/>
          <w:szCs w:val="24"/>
        </w:rPr>
        <w:t xml:space="preserve">Please </w:t>
      </w:r>
      <w:r w:rsidR="006B0060">
        <w:rPr>
          <w:sz w:val="24"/>
          <w:szCs w:val="24"/>
        </w:rPr>
        <w:t xml:space="preserve">state the ARTG ID, TGA approved indication(s) and TGA approved purpose: 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3118"/>
        <w:gridCol w:w="6650"/>
      </w:tblGrid>
      <w:tr w:rsidR="00F17209" w14:paraId="17EEF52D" w14:textId="3E7DDE40" w:rsidTr="00600C63"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219EEE7" w14:textId="42BE40B1" w:rsidR="00F17209" w:rsidRPr="005D5045" w:rsidRDefault="00F17209" w:rsidP="00002E95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5D5045">
              <w:rPr>
                <w:b/>
                <w:bCs/>
                <w:sz w:val="24"/>
                <w:szCs w:val="24"/>
              </w:rPr>
              <w:t>ARTG ID</w:t>
            </w:r>
            <w:r w:rsidR="00002E95" w:rsidRPr="005D5045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6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DC40434" w14:textId="282B417D" w:rsidR="00F17209" w:rsidRDefault="003B5E5A" w:rsidP="00002E9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63760B">
              <w:rPr>
                <w:sz w:val="24"/>
                <w:szCs w:val="24"/>
              </w:rPr>
              <w:t>3930</w:t>
            </w:r>
          </w:p>
        </w:tc>
      </w:tr>
      <w:tr w:rsidR="00F17209" w14:paraId="0EFE5752" w14:textId="77777777" w:rsidTr="00600C63">
        <w:tc>
          <w:tcPr>
            <w:tcW w:w="3118" w:type="dxa"/>
            <w:tcBorders>
              <w:left w:val="nil"/>
            </w:tcBorders>
          </w:tcPr>
          <w:p w14:paraId="2FDD771A" w14:textId="029E19D3" w:rsidR="00002E95" w:rsidRPr="005D5045" w:rsidRDefault="00002E95" w:rsidP="00C74E77">
            <w:pPr>
              <w:spacing w:before="120"/>
              <w:rPr>
                <w:b/>
                <w:bCs/>
                <w:sz w:val="24"/>
                <w:szCs w:val="24"/>
              </w:rPr>
            </w:pPr>
            <w:r w:rsidRPr="005D5045">
              <w:rPr>
                <w:b/>
                <w:bCs/>
                <w:sz w:val="24"/>
                <w:szCs w:val="24"/>
              </w:rPr>
              <w:t>TGA approved indication</w:t>
            </w:r>
            <w:r w:rsidR="00504FE0">
              <w:rPr>
                <w:b/>
                <w:bCs/>
                <w:sz w:val="24"/>
                <w:szCs w:val="24"/>
              </w:rPr>
              <w:t>(</w:t>
            </w:r>
            <w:r w:rsidRPr="005D5045">
              <w:rPr>
                <w:b/>
                <w:bCs/>
                <w:sz w:val="24"/>
                <w:szCs w:val="24"/>
              </w:rPr>
              <w:t>s</w:t>
            </w:r>
            <w:r w:rsidR="00504FE0">
              <w:rPr>
                <w:b/>
                <w:bCs/>
                <w:sz w:val="24"/>
                <w:szCs w:val="24"/>
              </w:rPr>
              <w:t>)</w:t>
            </w:r>
            <w:r w:rsidRPr="005D5045">
              <w:rPr>
                <w:b/>
                <w:bCs/>
                <w:sz w:val="24"/>
                <w:szCs w:val="24"/>
              </w:rPr>
              <w:t>:</w:t>
            </w:r>
          </w:p>
          <w:p w14:paraId="18D9F2BE" w14:textId="59CFE925" w:rsidR="00002E95" w:rsidRPr="005D5045" w:rsidRDefault="00002E95" w:rsidP="0033686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50" w:type="dxa"/>
            <w:tcBorders>
              <w:right w:val="nil"/>
            </w:tcBorders>
          </w:tcPr>
          <w:p w14:paraId="7C421A78" w14:textId="7E4F2272" w:rsidR="00F17209" w:rsidRDefault="00DA75F2" w:rsidP="00DA75F2">
            <w:pPr>
              <w:spacing w:before="120"/>
              <w:rPr>
                <w:sz w:val="24"/>
                <w:szCs w:val="24"/>
              </w:rPr>
            </w:pPr>
            <w:r w:rsidRPr="00DA75F2">
              <w:rPr>
                <w:sz w:val="24"/>
                <w:szCs w:val="24"/>
              </w:rPr>
              <w:t xml:space="preserve">The </w:t>
            </w:r>
            <w:proofErr w:type="spellStart"/>
            <w:r w:rsidRPr="00DA75F2">
              <w:rPr>
                <w:sz w:val="24"/>
                <w:szCs w:val="24"/>
              </w:rPr>
              <w:t>Symplicity</w:t>
            </w:r>
            <w:proofErr w:type="spellEnd"/>
            <w:r w:rsidRPr="00DA75F2">
              <w:rPr>
                <w:sz w:val="24"/>
                <w:szCs w:val="24"/>
              </w:rPr>
              <w:t xml:space="preserve"> </w:t>
            </w:r>
            <w:proofErr w:type="spellStart"/>
            <w:r w:rsidRPr="00DA75F2">
              <w:rPr>
                <w:sz w:val="24"/>
                <w:szCs w:val="24"/>
              </w:rPr>
              <w:t>Spyral</w:t>
            </w:r>
            <w:proofErr w:type="spellEnd"/>
            <w:r w:rsidRPr="00DA75F2">
              <w:rPr>
                <w:sz w:val="24"/>
                <w:szCs w:val="24"/>
              </w:rPr>
              <w:t xml:space="preserve"> multi-electrode</w:t>
            </w:r>
            <w:r>
              <w:rPr>
                <w:sz w:val="24"/>
                <w:szCs w:val="24"/>
              </w:rPr>
              <w:t xml:space="preserve"> </w:t>
            </w:r>
            <w:r w:rsidRPr="00DA75F2">
              <w:rPr>
                <w:sz w:val="24"/>
                <w:szCs w:val="24"/>
              </w:rPr>
              <w:t>renal denervation catheter is indicated</w:t>
            </w:r>
            <w:r>
              <w:rPr>
                <w:sz w:val="24"/>
                <w:szCs w:val="24"/>
              </w:rPr>
              <w:t xml:space="preserve"> </w:t>
            </w:r>
            <w:r w:rsidRPr="00DA75F2">
              <w:rPr>
                <w:sz w:val="24"/>
                <w:szCs w:val="24"/>
              </w:rPr>
              <w:t>for the treatment of uncontrolled</w:t>
            </w:r>
            <w:r>
              <w:rPr>
                <w:sz w:val="24"/>
                <w:szCs w:val="24"/>
              </w:rPr>
              <w:t xml:space="preserve"> </w:t>
            </w:r>
            <w:r w:rsidRPr="00DA75F2">
              <w:rPr>
                <w:sz w:val="24"/>
                <w:szCs w:val="24"/>
              </w:rPr>
              <w:t xml:space="preserve">hypertension. </w:t>
            </w:r>
          </w:p>
        </w:tc>
      </w:tr>
      <w:tr w:rsidR="00F17209" w14:paraId="21186F77" w14:textId="77777777" w:rsidTr="00600C63">
        <w:tc>
          <w:tcPr>
            <w:tcW w:w="3118" w:type="dxa"/>
            <w:tcBorders>
              <w:left w:val="nil"/>
            </w:tcBorders>
          </w:tcPr>
          <w:p w14:paraId="171D2B63" w14:textId="30ADBC1B" w:rsidR="00002E95" w:rsidRPr="005D5045" w:rsidRDefault="00002E95" w:rsidP="00C74E77">
            <w:pPr>
              <w:spacing w:before="120"/>
              <w:rPr>
                <w:b/>
                <w:bCs/>
                <w:sz w:val="24"/>
                <w:szCs w:val="24"/>
              </w:rPr>
            </w:pPr>
            <w:r w:rsidRPr="005D5045">
              <w:rPr>
                <w:b/>
                <w:bCs/>
                <w:sz w:val="24"/>
                <w:szCs w:val="24"/>
              </w:rPr>
              <w:t xml:space="preserve">TGA approved purpose: </w:t>
            </w:r>
          </w:p>
          <w:p w14:paraId="2F673E5D" w14:textId="5EC19000" w:rsidR="00002E95" w:rsidRPr="005D5045" w:rsidRDefault="00002E95" w:rsidP="0033686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50" w:type="dxa"/>
            <w:tcBorders>
              <w:right w:val="nil"/>
            </w:tcBorders>
          </w:tcPr>
          <w:p w14:paraId="26D0534D" w14:textId="0181F1B8" w:rsidR="00F17209" w:rsidRDefault="00E11AA6" w:rsidP="00126FC8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126FC8" w:rsidRPr="00126FC8">
              <w:rPr>
                <w:sz w:val="24"/>
                <w:szCs w:val="24"/>
              </w:rPr>
              <w:t>o deliver radiofrequency (RF) energy through the wall of the renal artery to denervate the human kidney</w:t>
            </w:r>
          </w:p>
        </w:tc>
      </w:tr>
    </w:tbl>
    <w:p w14:paraId="2DFC125E" w14:textId="095E62E4" w:rsidR="0085267B" w:rsidRPr="00134235" w:rsidRDefault="0085267B" w:rsidP="005D2517">
      <w:pPr>
        <w:pStyle w:val="ListParagraph"/>
        <w:numPr>
          <w:ilvl w:val="0"/>
          <w:numId w:val="35"/>
        </w:numPr>
        <w:spacing w:before="320"/>
        <w:contextualSpacing w:val="0"/>
        <w:rPr>
          <w:b/>
          <w:bCs/>
          <w:sz w:val="24"/>
          <w:szCs w:val="24"/>
        </w:rPr>
      </w:pPr>
      <w:bookmarkStart w:id="2" w:name="_Hlk187650427"/>
      <w:r w:rsidRPr="00134235">
        <w:rPr>
          <w:b/>
          <w:bCs/>
          <w:sz w:val="24"/>
          <w:szCs w:val="24"/>
        </w:rPr>
        <w:t xml:space="preserve">Is the intended purpose in this </w:t>
      </w:r>
      <w:r w:rsidR="00CB02A3">
        <w:rPr>
          <w:b/>
          <w:bCs/>
          <w:sz w:val="24"/>
          <w:szCs w:val="24"/>
        </w:rPr>
        <w:t>re</w:t>
      </w:r>
      <w:r w:rsidRPr="00134235">
        <w:rPr>
          <w:b/>
          <w:bCs/>
          <w:sz w:val="24"/>
          <w:szCs w:val="24"/>
        </w:rPr>
        <w:t xml:space="preserve">application the same as the intended purpose of the ARTG listing? </w:t>
      </w:r>
    </w:p>
    <w:p w14:paraId="3621AEBA" w14:textId="59F53395" w:rsidR="0085267B" w:rsidRDefault="00C37C2D" w:rsidP="00E17C42">
      <w:pPr>
        <w:pStyle w:val="ListParagraph"/>
        <w:ind w:left="851" w:hanging="425"/>
        <w:contextualSpacing w:val="0"/>
        <w:rPr>
          <w:sz w:val="24"/>
          <w:szCs w:val="24"/>
        </w:rPr>
      </w:pPr>
      <w:sdt>
        <w:sdtPr>
          <w:rPr>
            <w:sz w:val="24"/>
            <w:szCs w:val="24"/>
          </w:rPr>
          <w:id w:val="177891612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A75F2">
            <w:rPr>
              <w:rFonts w:ascii="MS Gothic" w:eastAsia="MS Gothic" w:hAnsi="MS Gothic" w:hint="eastAsia"/>
              <w:sz w:val="24"/>
              <w:szCs w:val="24"/>
            </w:rPr>
            <w:t>☒</w:t>
          </w:r>
        </w:sdtContent>
      </w:sdt>
      <w:r w:rsidR="002B2759">
        <w:rPr>
          <w:sz w:val="24"/>
          <w:szCs w:val="24"/>
        </w:rPr>
        <w:t xml:space="preserve"> </w:t>
      </w:r>
      <w:r w:rsidR="00D468EE">
        <w:rPr>
          <w:sz w:val="24"/>
          <w:szCs w:val="24"/>
        </w:rPr>
        <w:t xml:space="preserve">  </w:t>
      </w:r>
      <w:r w:rsidR="002B2759">
        <w:rPr>
          <w:sz w:val="24"/>
          <w:szCs w:val="24"/>
        </w:rPr>
        <w:t>Yes</w:t>
      </w:r>
      <w:r w:rsidR="00D553AA">
        <w:rPr>
          <w:sz w:val="24"/>
          <w:szCs w:val="24"/>
        </w:rPr>
        <w:t>.</w:t>
      </w:r>
      <w:r w:rsidR="00D468EE">
        <w:rPr>
          <w:sz w:val="24"/>
          <w:szCs w:val="24"/>
        </w:rPr>
        <w:t xml:space="preserve"> </w:t>
      </w:r>
      <w:r w:rsidR="00C72F6E" w:rsidRPr="004A2395">
        <w:rPr>
          <w:sz w:val="24"/>
          <w:szCs w:val="24"/>
        </w:rPr>
        <w:t>Go to the next applicable section (</w:t>
      </w:r>
      <w:hyperlink w:anchor="_B2:_NATA_Accreditation" w:history="1">
        <w:r w:rsidR="00C72F6E" w:rsidRPr="004A2395">
          <w:rPr>
            <w:rStyle w:val="Hyperlink"/>
            <w:sz w:val="24"/>
            <w:szCs w:val="24"/>
          </w:rPr>
          <w:t>B2: NATA Accreditation</w:t>
        </w:r>
      </w:hyperlink>
      <w:r w:rsidR="00C72F6E" w:rsidRPr="004A2395">
        <w:rPr>
          <w:sz w:val="24"/>
          <w:szCs w:val="24"/>
        </w:rPr>
        <w:t xml:space="preserve">; </w:t>
      </w:r>
      <w:hyperlink w:anchor="_Radiopharmaceuticals" w:history="1">
        <w:r w:rsidR="00C72F6E" w:rsidRPr="004A2395">
          <w:rPr>
            <w:rStyle w:val="Hyperlink"/>
            <w:sz w:val="24"/>
            <w:szCs w:val="24"/>
          </w:rPr>
          <w:t>B3:  Radiopharmaceuticals</w:t>
        </w:r>
      </w:hyperlink>
      <w:r w:rsidR="00F65E24" w:rsidRPr="004A2395">
        <w:rPr>
          <w:rStyle w:val="Hyperlink"/>
          <w:sz w:val="24"/>
          <w:szCs w:val="24"/>
        </w:rPr>
        <w:t>;</w:t>
      </w:r>
      <w:r w:rsidR="00810F89" w:rsidRPr="004A2395">
        <w:rPr>
          <w:sz w:val="24"/>
          <w:szCs w:val="24"/>
        </w:rPr>
        <w:t xml:space="preserve"> or </w:t>
      </w:r>
      <w:hyperlink w:anchor="_Other_Information_2" w:history="1">
        <w:r w:rsidR="00810F89" w:rsidRPr="004A2395">
          <w:rPr>
            <w:rStyle w:val="Hyperlink"/>
            <w:sz w:val="24"/>
            <w:szCs w:val="24"/>
          </w:rPr>
          <w:t>Other Information</w:t>
        </w:r>
      </w:hyperlink>
      <w:r w:rsidR="006A536B" w:rsidRPr="004A2395">
        <w:rPr>
          <w:sz w:val="24"/>
          <w:szCs w:val="24"/>
        </w:rPr>
        <w:t>).</w:t>
      </w:r>
    </w:p>
    <w:p w14:paraId="49EAE873" w14:textId="0543E0DE" w:rsidR="00E2229F" w:rsidRDefault="00C37C2D" w:rsidP="00E2229F">
      <w:pPr>
        <w:pStyle w:val="ListParagraph"/>
        <w:ind w:left="851" w:hanging="425"/>
        <w:contextualSpacing w:val="0"/>
        <w:rPr>
          <w:sz w:val="24"/>
          <w:szCs w:val="24"/>
        </w:rPr>
      </w:pPr>
      <w:sdt>
        <w:sdtPr>
          <w:rPr>
            <w:sz w:val="24"/>
            <w:szCs w:val="24"/>
          </w:rPr>
          <w:id w:val="-1574511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75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B2759">
        <w:rPr>
          <w:sz w:val="24"/>
          <w:szCs w:val="24"/>
        </w:rPr>
        <w:t xml:space="preserve">   </w:t>
      </w:r>
      <w:r w:rsidR="00A61507">
        <w:rPr>
          <w:sz w:val="24"/>
          <w:szCs w:val="24"/>
        </w:rPr>
        <w:t xml:space="preserve">No. </w:t>
      </w:r>
      <w:r w:rsidR="002B2759">
        <w:rPr>
          <w:sz w:val="24"/>
          <w:szCs w:val="24"/>
        </w:rPr>
        <w:t>Please explain the differences</w:t>
      </w:r>
      <w:r w:rsidR="00BB49C7">
        <w:rPr>
          <w:sz w:val="24"/>
          <w:szCs w:val="24"/>
        </w:rPr>
        <w:t xml:space="preserve"> below, then proceed to the next applicable section</w:t>
      </w:r>
      <w:r w:rsidR="00E2229F">
        <w:rPr>
          <w:sz w:val="24"/>
          <w:szCs w:val="24"/>
        </w:rPr>
        <w:t xml:space="preserve"> </w:t>
      </w:r>
      <w:r w:rsidR="00062982">
        <w:rPr>
          <w:sz w:val="24"/>
          <w:szCs w:val="24"/>
        </w:rPr>
        <w:br/>
      </w:r>
      <w:r w:rsidR="00E2229F" w:rsidRPr="004A2395">
        <w:rPr>
          <w:sz w:val="24"/>
          <w:szCs w:val="24"/>
        </w:rPr>
        <w:t>(</w:t>
      </w:r>
      <w:hyperlink w:anchor="_B2:_NATA_Accreditation" w:history="1">
        <w:r w:rsidR="00E2229F" w:rsidRPr="004A2395">
          <w:rPr>
            <w:rStyle w:val="Hyperlink"/>
            <w:sz w:val="24"/>
            <w:szCs w:val="24"/>
          </w:rPr>
          <w:t>B2: NATA Accreditation</w:t>
        </w:r>
      </w:hyperlink>
      <w:r w:rsidR="00E2229F" w:rsidRPr="004A2395">
        <w:rPr>
          <w:sz w:val="24"/>
          <w:szCs w:val="24"/>
        </w:rPr>
        <w:t xml:space="preserve">; </w:t>
      </w:r>
      <w:hyperlink w:anchor="_Radiopharmaceuticals" w:history="1">
        <w:r w:rsidR="00E2229F" w:rsidRPr="004A2395">
          <w:rPr>
            <w:rStyle w:val="Hyperlink"/>
            <w:sz w:val="24"/>
            <w:szCs w:val="24"/>
          </w:rPr>
          <w:t>B3:  Radiopharmaceuticals</w:t>
        </w:r>
      </w:hyperlink>
      <w:r w:rsidR="00032A13" w:rsidRPr="004A2395">
        <w:rPr>
          <w:rStyle w:val="Hyperlink"/>
          <w:sz w:val="24"/>
          <w:szCs w:val="24"/>
        </w:rPr>
        <w:t>;</w:t>
      </w:r>
      <w:r w:rsidR="00E2229F" w:rsidRPr="004A2395">
        <w:rPr>
          <w:sz w:val="24"/>
          <w:szCs w:val="24"/>
        </w:rPr>
        <w:t xml:space="preserve"> or </w:t>
      </w:r>
      <w:hyperlink w:anchor="_Other_Information_2" w:history="1">
        <w:r w:rsidR="00E2229F" w:rsidRPr="004A2395">
          <w:rPr>
            <w:rStyle w:val="Hyperlink"/>
            <w:sz w:val="24"/>
            <w:szCs w:val="24"/>
          </w:rPr>
          <w:t>Other Information</w:t>
        </w:r>
      </w:hyperlink>
      <w:r w:rsidR="00E2229F" w:rsidRPr="004A2395">
        <w:rPr>
          <w:sz w:val="24"/>
          <w:szCs w:val="24"/>
        </w:rPr>
        <w:t>)</w:t>
      </w:r>
    </w:p>
    <w:p w14:paraId="142654AA" w14:textId="5AEF11C5" w:rsidR="002B2759" w:rsidRDefault="00E2229F" w:rsidP="00810F89">
      <w:pPr>
        <w:pStyle w:val="ListParagraph"/>
        <w:ind w:left="426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834"/>
      </w:tblGrid>
      <w:tr w:rsidR="002B2759" w14:paraId="0A89384E" w14:textId="77777777" w:rsidTr="002B2759">
        <w:tc>
          <w:tcPr>
            <w:tcW w:w="9834" w:type="dxa"/>
          </w:tcPr>
          <w:p w14:paraId="6AD9E139" w14:textId="1F587AD2" w:rsidR="002B6BD3" w:rsidRDefault="00DF4820" w:rsidP="0085267B">
            <w:pPr>
              <w:pStyle w:val="ListParagraph"/>
              <w:ind w:left="0"/>
              <w:rPr>
                <w:sz w:val="24"/>
                <w:szCs w:val="24"/>
              </w:rPr>
            </w:pPr>
            <w:r w:rsidRPr="00DF4820">
              <w:rPr>
                <w:sz w:val="24"/>
                <w:szCs w:val="24"/>
              </w:rPr>
              <w:t xml:space="preserve">The intended purpose in the application </w:t>
            </w:r>
            <w:r>
              <w:rPr>
                <w:sz w:val="24"/>
                <w:szCs w:val="24"/>
              </w:rPr>
              <w:t>(severe</w:t>
            </w:r>
            <w:r w:rsidR="00A2419B">
              <w:rPr>
                <w:sz w:val="24"/>
                <w:szCs w:val="24"/>
              </w:rPr>
              <w:t xml:space="preserve"> treatment-resistant hypertension) </w:t>
            </w:r>
            <w:r w:rsidRPr="00DF4820">
              <w:rPr>
                <w:sz w:val="24"/>
                <w:szCs w:val="24"/>
              </w:rPr>
              <w:t>is a narrower population than included in the ARTG</w:t>
            </w:r>
            <w:r w:rsidR="00A2419B">
              <w:rPr>
                <w:sz w:val="24"/>
                <w:szCs w:val="24"/>
              </w:rPr>
              <w:t xml:space="preserve"> (all uncontrolled hypertension)</w:t>
            </w:r>
            <w:r w:rsidRPr="00DF4820">
              <w:rPr>
                <w:sz w:val="24"/>
                <w:szCs w:val="24"/>
              </w:rPr>
              <w:t>.</w:t>
            </w:r>
          </w:p>
          <w:p w14:paraId="66D4BDFB" w14:textId="77777777" w:rsidR="007F73EB" w:rsidRDefault="007F73EB" w:rsidP="0085267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bookmarkEnd w:id="2"/>
    <w:p w14:paraId="7F83BAA5" w14:textId="02C72C53" w:rsidR="002D3798" w:rsidRPr="00134235" w:rsidRDefault="002D3798" w:rsidP="005D2517">
      <w:pPr>
        <w:pStyle w:val="ListParagraph"/>
        <w:numPr>
          <w:ilvl w:val="0"/>
          <w:numId w:val="35"/>
        </w:numPr>
        <w:spacing w:before="320"/>
        <w:contextualSpacing w:val="0"/>
        <w:rPr>
          <w:b/>
          <w:bCs/>
          <w:sz w:val="24"/>
          <w:szCs w:val="24"/>
        </w:rPr>
      </w:pPr>
      <w:r w:rsidRPr="00134235">
        <w:rPr>
          <w:b/>
          <w:bCs/>
          <w:sz w:val="24"/>
          <w:szCs w:val="24"/>
        </w:rPr>
        <w:t>Is the therapeutic good classified by the TGA as either a Class III or Active Implantable Medical Device (AIMD) against the TGA regulatory scheme for devices?</w:t>
      </w:r>
    </w:p>
    <w:p w14:paraId="0B92ED78" w14:textId="55A91E9D" w:rsidR="00DE7720" w:rsidRDefault="00C37C2D" w:rsidP="007C0411">
      <w:pPr>
        <w:ind w:left="425"/>
        <w:rPr>
          <w:sz w:val="24"/>
          <w:szCs w:val="24"/>
        </w:rPr>
      </w:pPr>
      <w:sdt>
        <w:sdtPr>
          <w:rPr>
            <w:sz w:val="24"/>
            <w:szCs w:val="24"/>
          </w:rPr>
          <w:id w:val="-196371191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81463">
            <w:rPr>
              <w:rFonts w:ascii="MS Gothic" w:eastAsia="MS Gothic" w:hAnsi="MS Gothic" w:hint="eastAsia"/>
              <w:sz w:val="24"/>
              <w:szCs w:val="24"/>
            </w:rPr>
            <w:t>☒</w:t>
          </w:r>
        </w:sdtContent>
      </w:sdt>
      <w:r w:rsidR="00DE7720">
        <w:rPr>
          <w:sz w:val="24"/>
          <w:szCs w:val="24"/>
        </w:rPr>
        <w:t xml:space="preserve">   </w:t>
      </w:r>
      <w:r w:rsidR="00A61507" w:rsidRPr="00DE7720">
        <w:rPr>
          <w:sz w:val="24"/>
          <w:szCs w:val="24"/>
        </w:rPr>
        <w:t>No</w:t>
      </w:r>
      <w:r w:rsidR="00A61507">
        <w:rPr>
          <w:sz w:val="24"/>
          <w:szCs w:val="24"/>
        </w:rPr>
        <w:t xml:space="preserve"> </w:t>
      </w:r>
    </w:p>
    <w:p w14:paraId="1EACD1BD" w14:textId="0B8859E1" w:rsidR="00DE7720" w:rsidRDefault="00C37C2D" w:rsidP="00DE7720">
      <w:pPr>
        <w:ind w:left="426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302036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7720" w:rsidRPr="00DE772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E7720" w:rsidRPr="00DE7720">
        <w:rPr>
          <w:sz w:val="24"/>
          <w:szCs w:val="24"/>
        </w:rPr>
        <w:t xml:space="preserve">   </w:t>
      </w:r>
      <w:r w:rsidR="0008388B">
        <w:rPr>
          <w:sz w:val="24"/>
          <w:szCs w:val="24"/>
        </w:rPr>
        <w:t>AIMD</w:t>
      </w:r>
    </w:p>
    <w:p w14:paraId="0D769DFD" w14:textId="37648798" w:rsidR="0008388B" w:rsidRPr="00DE7720" w:rsidRDefault="00C37C2D" w:rsidP="00DE7720">
      <w:pPr>
        <w:ind w:left="426"/>
        <w:rPr>
          <w:sz w:val="24"/>
          <w:szCs w:val="24"/>
        </w:rPr>
      </w:pPr>
      <w:sdt>
        <w:sdtPr>
          <w:rPr>
            <w:sz w:val="24"/>
            <w:szCs w:val="24"/>
          </w:rPr>
          <w:id w:val="989905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88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8388B">
        <w:rPr>
          <w:sz w:val="24"/>
          <w:szCs w:val="24"/>
        </w:rPr>
        <w:t xml:space="preserve">   </w:t>
      </w:r>
      <w:r w:rsidR="00CE1FE4">
        <w:rPr>
          <w:sz w:val="24"/>
          <w:szCs w:val="24"/>
        </w:rPr>
        <w:t>Class III</w:t>
      </w:r>
    </w:p>
    <w:p w14:paraId="26BD3A09" w14:textId="10701E35" w:rsidR="002D3798" w:rsidRPr="002B6BD3" w:rsidRDefault="002D3798" w:rsidP="005D2517">
      <w:pPr>
        <w:pStyle w:val="ListParagraph"/>
        <w:numPr>
          <w:ilvl w:val="0"/>
          <w:numId w:val="35"/>
        </w:numPr>
        <w:spacing w:before="320"/>
        <w:contextualSpacing w:val="0"/>
        <w:rPr>
          <w:b/>
          <w:bCs/>
          <w:sz w:val="24"/>
          <w:szCs w:val="24"/>
        </w:rPr>
      </w:pPr>
      <w:r w:rsidRPr="002B6BD3">
        <w:rPr>
          <w:b/>
          <w:bCs/>
          <w:sz w:val="24"/>
          <w:szCs w:val="24"/>
        </w:rPr>
        <w:t xml:space="preserve">Is the therapeutic good to be used in the service exempt from the regulatory requirements of the </w:t>
      </w:r>
      <w:r w:rsidRPr="00642820">
        <w:rPr>
          <w:b/>
          <w:bCs/>
          <w:i/>
          <w:iCs/>
          <w:sz w:val="24"/>
          <w:szCs w:val="24"/>
        </w:rPr>
        <w:t>Therapeutic Goods Act 1989</w:t>
      </w:r>
      <w:r w:rsidRPr="002B6BD3">
        <w:rPr>
          <w:b/>
          <w:bCs/>
          <w:sz w:val="24"/>
          <w:szCs w:val="24"/>
        </w:rPr>
        <w:t>?</w:t>
      </w:r>
    </w:p>
    <w:p w14:paraId="2C9F8B6C" w14:textId="60DDDFA5" w:rsidR="002B2759" w:rsidRPr="00DE7720" w:rsidRDefault="00C37C2D" w:rsidP="007C0411">
      <w:pPr>
        <w:ind w:left="425"/>
        <w:rPr>
          <w:sz w:val="24"/>
          <w:szCs w:val="24"/>
        </w:rPr>
      </w:pPr>
      <w:sdt>
        <w:sdtPr>
          <w:rPr>
            <w:sz w:val="24"/>
            <w:szCs w:val="24"/>
          </w:rPr>
          <w:id w:val="-206039880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81463">
            <w:rPr>
              <w:rFonts w:ascii="MS Gothic" w:eastAsia="MS Gothic" w:hAnsi="MS Gothic" w:hint="eastAsia"/>
              <w:sz w:val="24"/>
              <w:szCs w:val="24"/>
            </w:rPr>
            <w:t>☒</w:t>
          </w:r>
        </w:sdtContent>
      </w:sdt>
      <w:r w:rsidR="002B2759">
        <w:rPr>
          <w:sz w:val="24"/>
          <w:szCs w:val="24"/>
        </w:rPr>
        <w:t xml:space="preserve">   </w:t>
      </w:r>
      <w:r w:rsidR="002B2759" w:rsidRPr="00DE7720">
        <w:rPr>
          <w:sz w:val="24"/>
          <w:szCs w:val="24"/>
        </w:rPr>
        <w:t xml:space="preserve">No </w:t>
      </w:r>
    </w:p>
    <w:p w14:paraId="7FB47304" w14:textId="66D19D5F" w:rsidR="002B2759" w:rsidRDefault="00C37C2D" w:rsidP="00AF747E">
      <w:pPr>
        <w:ind w:left="1276" w:hanging="850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995287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759" w:rsidRPr="00DE772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B2759" w:rsidRPr="00DE7720">
        <w:rPr>
          <w:sz w:val="24"/>
          <w:szCs w:val="24"/>
        </w:rPr>
        <w:t xml:space="preserve">   Yes. </w:t>
      </w:r>
      <w:r w:rsidR="002B2759" w:rsidRPr="00BF16C8">
        <w:rPr>
          <w:sz w:val="24"/>
          <w:szCs w:val="24"/>
        </w:rPr>
        <w:t>Please attach supporting document</w:t>
      </w:r>
      <w:r w:rsidR="00F07879" w:rsidRPr="00BF16C8">
        <w:rPr>
          <w:sz w:val="24"/>
          <w:szCs w:val="24"/>
        </w:rPr>
        <w:t>ation regarding the nature of the exemption</w:t>
      </w:r>
      <w:r w:rsidR="00BF16C8">
        <w:rPr>
          <w:sz w:val="24"/>
          <w:szCs w:val="24"/>
        </w:rPr>
        <w:t>, then</w:t>
      </w:r>
      <w:r w:rsidR="002A3923" w:rsidRPr="00BF16C8">
        <w:rPr>
          <w:sz w:val="24"/>
          <w:szCs w:val="24"/>
        </w:rPr>
        <w:t xml:space="preserve"> </w:t>
      </w:r>
      <w:r w:rsidR="00AF747E" w:rsidRPr="00BF16C8">
        <w:rPr>
          <w:sz w:val="24"/>
          <w:szCs w:val="24"/>
        </w:rPr>
        <w:t xml:space="preserve">proceed to the </w:t>
      </w:r>
      <w:r w:rsidR="006F57A9" w:rsidRPr="00BF16C8">
        <w:rPr>
          <w:sz w:val="24"/>
          <w:szCs w:val="24"/>
        </w:rPr>
        <w:t xml:space="preserve">next applicable </w:t>
      </w:r>
      <w:r w:rsidR="00AF747E" w:rsidRPr="00247F91">
        <w:rPr>
          <w:sz w:val="24"/>
          <w:szCs w:val="24"/>
        </w:rPr>
        <w:t>section</w:t>
      </w:r>
      <w:r w:rsidR="009216EC" w:rsidRPr="00247F91">
        <w:rPr>
          <w:sz w:val="24"/>
          <w:szCs w:val="24"/>
        </w:rPr>
        <w:t xml:space="preserve"> (</w:t>
      </w:r>
      <w:hyperlink w:anchor="_B2:_NATA_Accreditation" w:history="1">
        <w:r w:rsidR="009216EC" w:rsidRPr="00247F91">
          <w:rPr>
            <w:rStyle w:val="Hyperlink"/>
            <w:sz w:val="24"/>
            <w:szCs w:val="24"/>
          </w:rPr>
          <w:t>B2: NATA Accreditation</w:t>
        </w:r>
      </w:hyperlink>
      <w:r w:rsidR="009216EC" w:rsidRPr="00247F91">
        <w:rPr>
          <w:sz w:val="24"/>
          <w:szCs w:val="24"/>
        </w:rPr>
        <w:t xml:space="preserve">; </w:t>
      </w:r>
      <w:hyperlink w:anchor="_Radiopharmaceuticals" w:history="1">
        <w:r w:rsidR="009216EC" w:rsidRPr="00247F91">
          <w:rPr>
            <w:rStyle w:val="Hyperlink"/>
            <w:sz w:val="24"/>
            <w:szCs w:val="24"/>
          </w:rPr>
          <w:t>B3:  Radiopharmaceuticals</w:t>
        </w:r>
      </w:hyperlink>
      <w:r w:rsidR="00F65E24" w:rsidRPr="00247F91">
        <w:rPr>
          <w:rStyle w:val="Hyperlink"/>
          <w:sz w:val="24"/>
          <w:szCs w:val="24"/>
        </w:rPr>
        <w:t>;</w:t>
      </w:r>
      <w:r w:rsidR="009216EC" w:rsidRPr="00247F91">
        <w:rPr>
          <w:sz w:val="24"/>
          <w:szCs w:val="24"/>
        </w:rPr>
        <w:t xml:space="preserve"> or </w:t>
      </w:r>
      <w:hyperlink w:anchor="_Other_Information_2" w:history="1">
        <w:r w:rsidR="009216EC" w:rsidRPr="00247F91">
          <w:rPr>
            <w:rStyle w:val="Hyperlink"/>
            <w:sz w:val="24"/>
            <w:szCs w:val="24"/>
          </w:rPr>
          <w:t>Other Information</w:t>
        </w:r>
      </w:hyperlink>
      <w:r w:rsidR="009216EC" w:rsidRPr="00247F91">
        <w:rPr>
          <w:sz w:val="24"/>
          <w:szCs w:val="24"/>
        </w:rPr>
        <w:t>)</w:t>
      </w:r>
      <w:r w:rsidR="00F07879" w:rsidRPr="00247F91">
        <w:rPr>
          <w:sz w:val="24"/>
          <w:szCs w:val="24"/>
        </w:rPr>
        <w:t>.</w:t>
      </w:r>
      <w:r w:rsidR="00F07879">
        <w:rPr>
          <w:sz w:val="24"/>
          <w:szCs w:val="24"/>
        </w:rPr>
        <w:t xml:space="preserve"> </w:t>
      </w:r>
    </w:p>
    <w:p w14:paraId="6B05A4D2" w14:textId="36930208" w:rsidR="002D3798" w:rsidRPr="002B3D39" w:rsidRDefault="002D3798" w:rsidP="003D7AD9">
      <w:pPr>
        <w:pStyle w:val="ListParagraph"/>
        <w:keepNext/>
        <w:keepLines/>
        <w:numPr>
          <w:ilvl w:val="0"/>
          <w:numId w:val="35"/>
        </w:numPr>
        <w:spacing w:before="160"/>
        <w:ind w:left="357" w:hanging="357"/>
        <w:contextualSpacing w:val="0"/>
        <w:rPr>
          <w:b/>
          <w:bCs/>
          <w:sz w:val="24"/>
          <w:szCs w:val="24"/>
        </w:rPr>
      </w:pPr>
      <w:r w:rsidRPr="002B3D39">
        <w:rPr>
          <w:b/>
          <w:bCs/>
          <w:sz w:val="24"/>
          <w:szCs w:val="24"/>
        </w:rPr>
        <w:lastRenderedPageBreak/>
        <w:t>Is the therapeutic good classified by the TGA as for Research Use Only (RUO)?</w:t>
      </w:r>
    </w:p>
    <w:p w14:paraId="6E611CF7" w14:textId="48354B6F" w:rsidR="00F07879" w:rsidRDefault="00C37C2D" w:rsidP="003D7AD9">
      <w:pPr>
        <w:pStyle w:val="ListParagraph"/>
        <w:keepNext/>
        <w:keepLines/>
        <w:spacing w:before="120"/>
        <w:ind w:left="426"/>
        <w:contextualSpacing w:val="0"/>
        <w:rPr>
          <w:sz w:val="24"/>
          <w:szCs w:val="24"/>
        </w:rPr>
      </w:pPr>
      <w:sdt>
        <w:sdtPr>
          <w:rPr>
            <w:sz w:val="24"/>
            <w:szCs w:val="24"/>
          </w:rPr>
          <w:id w:val="79164070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81463">
            <w:rPr>
              <w:rFonts w:ascii="MS Gothic" w:eastAsia="MS Gothic" w:hAnsi="MS Gothic" w:hint="eastAsia"/>
              <w:sz w:val="24"/>
              <w:szCs w:val="24"/>
            </w:rPr>
            <w:t>☒</w:t>
          </w:r>
        </w:sdtContent>
      </w:sdt>
      <w:r w:rsidR="006450D0">
        <w:rPr>
          <w:sz w:val="24"/>
          <w:szCs w:val="24"/>
        </w:rPr>
        <w:t xml:space="preserve">  </w:t>
      </w:r>
      <w:r w:rsidR="00327979">
        <w:rPr>
          <w:sz w:val="24"/>
          <w:szCs w:val="24"/>
        </w:rPr>
        <w:t xml:space="preserve"> </w:t>
      </w:r>
      <w:r w:rsidR="00F07879">
        <w:rPr>
          <w:sz w:val="24"/>
          <w:szCs w:val="24"/>
        </w:rPr>
        <w:t>No</w:t>
      </w:r>
    </w:p>
    <w:p w14:paraId="143B0145" w14:textId="4E01CF1D" w:rsidR="00D82FB8" w:rsidRPr="00D82FB8" w:rsidRDefault="00C37C2D" w:rsidP="003D7AD9">
      <w:pPr>
        <w:keepNext/>
        <w:keepLines/>
        <w:ind w:left="1276" w:hanging="850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073320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2F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82FB8" w:rsidRPr="00D82FB8">
        <w:rPr>
          <w:sz w:val="24"/>
          <w:szCs w:val="24"/>
        </w:rPr>
        <w:t xml:space="preserve">   Yes</w:t>
      </w:r>
      <w:r w:rsidR="00A71E2C" w:rsidRPr="00D82FB8">
        <w:rPr>
          <w:sz w:val="24"/>
          <w:szCs w:val="24"/>
        </w:rPr>
        <w:t xml:space="preserve">. </w:t>
      </w:r>
    </w:p>
    <w:p w14:paraId="5291066C" w14:textId="77777777" w:rsidR="002D3798" w:rsidRPr="002B6BD3" w:rsidRDefault="002D3798" w:rsidP="005D2517">
      <w:pPr>
        <w:pStyle w:val="ListParagraph"/>
        <w:numPr>
          <w:ilvl w:val="0"/>
          <w:numId w:val="35"/>
        </w:numPr>
        <w:spacing w:before="320"/>
        <w:contextualSpacing w:val="0"/>
        <w:rPr>
          <w:b/>
          <w:bCs/>
          <w:sz w:val="24"/>
          <w:szCs w:val="24"/>
        </w:rPr>
      </w:pPr>
      <w:r w:rsidRPr="002B6BD3">
        <w:rPr>
          <w:b/>
          <w:bCs/>
          <w:sz w:val="24"/>
          <w:szCs w:val="24"/>
        </w:rPr>
        <w:t>Is the therapeutic good in the process of being considered for inclusion by the TGA?</w:t>
      </w:r>
    </w:p>
    <w:p w14:paraId="319F7BC6" w14:textId="6E27AD58" w:rsidR="006450D0" w:rsidRPr="00BF16C8" w:rsidRDefault="00C37C2D" w:rsidP="007647FF">
      <w:pPr>
        <w:spacing w:before="120"/>
        <w:ind w:left="1276" w:hanging="850"/>
        <w:rPr>
          <w:sz w:val="24"/>
          <w:szCs w:val="24"/>
          <w:u w:val="single"/>
        </w:rPr>
      </w:pPr>
      <w:sdt>
        <w:sdtPr>
          <w:rPr>
            <w:sz w:val="24"/>
            <w:szCs w:val="24"/>
          </w:rPr>
          <w:id w:val="138999188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81463">
            <w:rPr>
              <w:rFonts w:ascii="MS Gothic" w:eastAsia="MS Gothic" w:hAnsi="MS Gothic" w:hint="eastAsia"/>
              <w:sz w:val="24"/>
              <w:szCs w:val="24"/>
            </w:rPr>
            <w:t>☒</w:t>
          </w:r>
        </w:sdtContent>
      </w:sdt>
      <w:r w:rsidR="006450D0">
        <w:rPr>
          <w:sz w:val="24"/>
          <w:szCs w:val="24"/>
        </w:rPr>
        <w:t xml:space="preserve"> </w:t>
      </w:r>
      <w:r w:rsidR="00327979">
        <w:rPr>
          <w:sz w:val="24"/>
          <w:szCs w:val="24"/>
        </w:rPr>
        <w:t xml:space="preserve"> </w:t>
      </w:r>
      <w:r w:rsidR="006450D0">
        <w:rPr>
          <w:sz w:val="24"/>
          <w:szCs w:val="24"/>
        </w:rPr>
        <w:t xml:space="preserve"> </w:t>
      </w:r>
      <w:r w:rsidR="00A61507">
        <w:rPr>
          <w:sz w:val="24"/>
          <w:szCs w:val="24"/>
        </w:rPr>
        <w:t xml:space="preserve">No. </w:t>
      </w:r>
    </w:p>
    <w:p w14:paraId="2914013D" w14:textId="4231BDC3" w:rsidR="00F97880" w:rsidRDefault="00C37C2D" w:rsidP="007647FF">
      <w:pPr>
        <w:spacing w:before="120"/>
        <w:ind w:left="426"/>
        <w:rPr>
          <w:sz w:val="24"/>
          <w:szCs w:val="24"/>
        </w:rPr>
      </w:pPr>
      <w:sdt>
        <w:sdtPr>
          <w:rPr>
            <w:sz w:val="24"/>
            <w:szCs w:val="24"/>
          </w:rPr>
          <w:id w:val="1500083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88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97880">
        <w:rPr>
          <w:sz w:val="24"/>
          <w:szCs w:val="24"/>
        </w:rPr>
        <w:t xml:space="preserve"> </w:t>
      </w:r>
      <w:r w:rsidR="00327979">
        <w:rPr>
          <w:sz w:val="24"/>
          <w:szCs w:val="24"/>
        </w:rPr>
        <w:t xml:space="preserve"> </w:t>
      </w:r>
      <w:r w:rsidR="00F97880">
        <w:rPr>
          <w:sz w:val="24"/>
          <w:szCs w:val="24"/>
        </w:rPr>
        <w:t xml:space="preserve"> Yes</w:t>
      </w:r>
      <w:r w:rsidR="00965F37">
        <w:rPr>
          <w:sz w:val="24"/>
          <w:szCs w:val="24"/>
        </w:rPr>
        <w:t xml:space="preserve">. </w:t>
      </w:r>
      <w:r w:rsidR="00F97880">
        <w:rPr>
          <w:sz w:val="24"/>
          <w:szCs w:val="24"/>
        </w:rPr>
        <w:t xml:space="preserve">Please provide the TGA Application ID and submission date: </w:t>
      </w:r>
    </w:p>
    <w:tbl>
      <w:tblPr>
        <w:tblStyle w:val="TableGrid"/>
        <w:tblW w:w="0" w:type="auto"/>
        <w:tblInd w:w="357" w:type="dxa"/>
        <w:tblLook w:val="04A0" w:firstRow="1" w:lastRow="0" w:firstColumn="1" w:lastColumn="0" w:noHBand="0" w:noVBand="1"/>
      </w:tblPr>
      <w:tblGrid>
        <w:gridCol w:w="2048"/>
        <w:gridCol w:w="7789"/>
      </w:tblGrid>
      <w:tr w:rsidR="00F97880" w14:paraId="7AA88AF9" w14:textId="77777777" w:rsidTr="00803F57">
        <w:tc>
          <w:tcPr>
            <w:tcW w:w="2048" w:type="dxa"/>
            <w:tcBorders>
              <w:left w:val="nil"/>
            </w:tcBorders>
          </w:tcPr>
          <w:p w14:paraId="5A6CA77E" w14:textId="287E5903" w:rsidR="00F97880" w:rsidRPr="002B6BD3" w:rsidRDefault="00F97880" w:rsidP="00803F57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2B6BD3">
              <w:rPr>
                <w:b/>
                <w:bCs/>
                <w:sz w:val="24"/>
                <w:szCs w:val="24"/>
              </w:rPr>
              <w:t xml:space="preserve">Application ID: </w:t>
            </w:r>
          </w:p>
        </w:tc>
        <w:tc>
          <w:tcPr>
            <w:tcW w:w="7789" w:type="dxa"/>
            <w:tcBorders>
              <w:right w:val="nil"/>
            </w:tcBorders>
          </w:tcPr>
          <w:p w14:paraId="15626425" w14:textId="77777777" w:rsidR="00F97880" w:rsidRDefault="00F97880" w:rsidP="00803F57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F97880" w14:paraId="2C577CB3" w14:textId="77777777" w:rsidTr="00803F57">
        <w:tc>
          <w:tcPr>
            <w:tcW w:w="2048" w:type="dxa"/>
            <w:tcBorders>
              <w:left w:val="nil"/>
            </w:tcBorders>
          </w:tcPr>
          <w:p w14:paraId="2EE860C1" w14:textId="1DC6D03F" w:rsidR="00F97880" w:rsidRPr="002B6BD3" w:rsidRDefault="00F97880" w:rsidP="00803F57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2B6BD3">
              <w:rPr>
                <w:b/>
                <w:bCs/>
                <w:sz w:val="24"/>
                <w:szCs w:val="24"/>
              </w:rPr>
              <w:t xml:space="preserve">Submission Date: </w:t>
            </w:r>
          </w:p>
        </w:tc>
        <w:tc>
          <w:tcPr>
            <w:tcW w:w="7789" w:type="dxa"/>
            <w:tcBorders>
              <w:right w:val="nil"/>
            </w:tcBorders>
          </w:tcPr>
          <w:p w14:paraId="23D48DFA" w14:textId="77777777" w:rsidR="00F97880" w:rsidRDefault="00F97880" w:rsidP="00803F57">
            <w:pPr>
              <w:spacing w:before="120" w:after="120"/>
              <w:rPr>
                <w:sz w:val="24"/>
                <w:szCs w:val="24"/>
              </w:rPr>
            </w:pPr>
          </w:p>
        </w:tc>
      </w:tr>
    </w:tbl>
    <w:p w14:paraId="6403A34B" w14:textId="1A58299D" w:rsidR="00251F2D" w:rsidRPr="00134235" w:rsidRDefault="00251F2D" w:rsidP="005D2517">
      <w:pPr>
        <w:pStyle w:val="ListParagraph"/>
        <w:numPr>
          <w:ilvl w:val="0"/>
          <w:numId w:val="35"/>
        </w:numPr>
        <w:spacing w:before="320"/>
        <w:contextualSpacing w:val="0"/>
        <w:rPr>
          <w:b/>
          <w:bCs/>
          <w:sz w:val="24"/>
          <w:szCs w:val="24"/>
        </w:rPr>
      </w:pPr>
      <w:r w:rsidRPr="00134235">
        <w:rPr>
          <w:b/>
          <w:bCs/>
          <w:sz w:val="24"/>
          <w:szCs w:val="24"/>
        </w:rPr>
        <w:t xml:space="preserve">Is the intended purpose in this </w:t>
      </w:r>
      <w:r w:rsidR="00CB02A3">
        <w:rPr>
          <w:b/>
          <w:bCs/>
          <w:sz w:val="24"/>
          <w:szCs w:val="24"/>
        </w:rPr>
        <w:t>re</w:t>
      </w:r>
      <w:r w:rsidRPr="00134235">
        <w:rPr>
          <w:b/>
          <w:bCs/>
          <w:sz w:val="24"/>
          <w:szCs w:val="24"/>
        </w:rPr>
        <w:t xml:space="preserve">application the same as the intended purpose </w:t>
      </w:r>
      <w:r w:rsidR="00FB75A1">
        <w:rPr>
          <w:b/>
          <w:bCs/>
          <w:sz w:val="24"/>
          <w:szCs w:val="24"/>
        </w:rPr>
        <w:t>in the application for</w:t>
      </w:r>
      <w:r w:rsidRPr="00134235">
        <w:rPr>
          <w:b/>
          <w:bCs/>
          <w:sz w:val="24"/>
          <w:szCs w:val="24"/>
        </w:rPr>
        <w:t xml:space="preserve"> </w:t>
      </w:r>
      <w:r w:rsidR="00D97FB6">
        <w:rPr>
          <w:b/>
          <w:bCs/>
          <w:sz w:val="24"/>
          <w:szCs w:val="24"/>
        </w:rPr>
        <w:t xml:space="preserve">inclusion in the </w:t>
      </w:r>
      <w:r w:rsidRPr="00134235">
        <w:rPr>
          <w:b/>
          <w:bCs/>
          <w:sz w:val="24"/>
          <w:szCs w:val="24"/>
        </w:rPr>
        <w:t xml:space="preserve">ARTG? </w:t>
      </w:r>
    </w:p>
    <w:p w14:paraId="7A9C5161" w14:textId="1DE12669" w:rsidR="00251F2D" w:rsidRDefault="00C37C2D" w:rsidP="00251F2D">
      <w:pPr>
        <w:pStyle w:val="ListParagraph"/>
        <w:ind w:left="357"/>
        <w:contextualSpacing w:val="0"/>
        <w:rPr>
          <w:sz w:val="24"/>
          <w:szCs w:val="24"/>
        </w:rPr>
      </w:pPr>
      <w:sdt>
        <w:sdtPr>
          <w:rPr>
            <w:sz w:val="24"/>
            <w:szCs w:val="24"/>
          </w:rPr>
          <w:id w:val="129378605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81463">
            <w:rPr>
              <w:rFonts w:ascii="MS Gothic" w:eastAsia="MS Gothic" w:hAnsi="MS Gothic" w:hint="eastAsia"/>
              <w:sz w:val="24"/>
              <w:szCs w:val="24"/>
            </w:rPr>
            <w:t>☒</w:t>
          </w:r>
        </w:sdtContent>
      </w:sdt>
      <w:r w:rsidR="00251F2D">
        <w:rPr>
          <w:sz w:val="24"/>
          <w:szCs w:val="24"/>
        </w:rPr>
        <w:t xml:space="preserve">    Yes</w:t>
      </w:r>
    </w:p>
    <w:p w14:paraId="59EAEDF9" w14:textId="6EF0BA04" w:rsidR="00251F2D" w:rsidRDefault="00C37C2D" w:rsidP="00251F2D">
      <w:pPr>
        <w:pStyle w:val="ListParagraph"/>
        <w:ind w:left="357"/>
        <w:contextualSpacing w:val="0"/>
        <w:rPr>
          <w:sz w:val="24"/>
          <w:szCs w:val="24"/>
        </w:rPr>
      </w:pPr>
      <w:sdt>
        <w:sdtPr>
          <w:rPr>
            <w:sz w:val="24"/>
            <w:szCs w:val="24"/>
          </w:rPr>
          <w:id w:val="-611133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F2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51F2D">
        <w:rPr>
          <w:sz w:val="24"/>
          <w:szCs w:val="24"/>
        </w:rPr>
        <w:t xml:space="preserve">    </w:t>
      </w:r>
      <w:r w:rsidR="00965F37">
        <w:rPr>
          <w:sz w:val="24"/>
          <w:szCs w:val="24"/>
        </w:rPr>
        <w:t xml:space="preserve">No. </w:t>
      </w:r>
      <w:r w:rsidR="00251F2D">
        <w:rPr>
          <w:sz w:val="24"/>
          <w:szCs w:val="24"/>
        </w:rPr>
        <w:t xml:space="preserve">Please explain the differences: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834"/>
      </w:tblGrid>
      <w:tr w:rsidR="00251F2D" w14:paraId="7B4CC0AC" w14:textId="77777777" w:rsidTr="00080ED7">
        <w:tc>
          <w:tcPr>
            <w:tcW w:w="9834" w:type="dxa"/>
          </w:tcPr>
          <w:p w14:paraId="4D817AB1" w14:textId="183CD155" w:rsidR="00251F2D" w:rsidRDefault="00A2419B" w:rsidP="00080ED7">
            <w:pPr>
              <w:pStyle w:val="ListParagraph"/>
              <w:ind w:left="0"/>
              <w:rPr>
                <w:sz w:val="24"/>
                <w:szCs w:val="24"/>
              </w:rPr>
            </w:pPr>
            <w:r w:rsidRPr="00A2419B">
              <w:rPr>
                <w:sz w:val="24"/>
                <w:szCs w:val="24"/>
              </w:rPr>
              <w:t>The intended purpose in the application (severe treatment-resistant hypertension) is a narrower population than included in the ARTG (all uncontrolled hypertension).</w:t>
            </w:r>
          </w:p>
        </w:tc>
      </w:tr>
    </w:tbl>
    <w:p w14:paraId="388DE4F1" w14:textId="29FC0C07" w:rsidR="00E10E80" w:rsidRDefault="005A3D97" w:rsidP="00DD3684">
      <w:pPr>
        <w:pStyle w:val="Heading2"/>
        <w:spacing w:before="480"/>
      </w:pPr>
      <w:bookmarkStart w:id="3" w:name="_NATA_Accreditation"/>
      <w:bookmarkStart w:id="4" w:name="_B2:_NATA_Accreditation"/>
      <w:bookmarkStart w:id="5" w:name="_Other_Information"/>
      <w:bookmarkStart w:id="6" w:name="_Radiopharmaceuticals"/>
      <w:bookmarkStart w:id="7" w:name="_B3:__Radiopharmaceuticals"/>
      <w:bookmarkStart w:id="8" w:name="_Other_Information_1"/>
      <w:bookmarkStart w:id="9" w:name="_Other_Information_2"/>
      <w:bookmarkEnd w:id="3"/>
      <w:bookmarkEnd w:id="4"/>
      <w:bookmarkEnd w:id="5"/>
      <w:bookmarkEnd w:id="6"/>
      <w:bookmarkEnd w:id="7"/>
      <w:bookmarkEnd w:id="8"/>
      <w:bookmarkEnd w:id="9"/>
      <w:r w:rsidRPr="005A3D97">
        <w:t>O</w:t>
      </w:r>
      <w:r w:rsidR="00340CA4">
        <w:t>ther Information</w:t>
      </w:r>
      <w:r w:rsidRPr="005A3D97">
        <w:t xml:space="preserve"> </w:t>
      </w:r>
    </w:p>
    <w:p w14:paraId="65713E12" w14:textId="3DEB1225" w:rsidR="00E10E80" w:rsidRDefault="00D24537" w:rsidP="007C0411">
      <w:pPr>
        <w:rPr>
          <w:sz w:val="24"/>
          <w:szCs w:val="24"/>
        </w:rPr>
      </w:pPr>
      <w:r>
        <w:rPr>
          <w:sz w:val="24"/>
          <w:szCs w:val="24"/>
        </w:rPr>
        <w:t xml:space="preserve">Please </w:t>
      </w:r>
      <w:r w:rsidR="001A50AB">
        <w:rPr>
          <w:sz w:val="24"/>
          <w:szCs w:val="24"/>
        </w:rPr>
        <w:t>advise us if there is</w:t>
      </w:r>
      <w:r w:rsidR="00594F47">
        <w:rPr>
          <w:sz w:val="24"/>
          <w:szCs w:val="24"/>
        </w:rPr>
        <w:t xml:space="preserve"> anything relevant to MSAC</w:t>
      </w:r>
      <w:r w:rsidR="002C07FE">
        <w:rPr>
          <w:sz w:val="24"/>
          <w:szCs w:val="24"/>
        </w:rPr>
        <w:t>’s</w:t>
      </w:r>
      <w:r w:rsidR="00594F47">
        <w:rPr>
          <w:sz w:val="24"/>
          <w:szCs w:val="24"/>
        </w:rPr>
        <w:t xml:space="preserve"> consideration of th</w:t>
      </w:r>
      <w:r w:rsidR="002C07FE">
        <w:rPr>
          <w:sz w:val="24"/>
          <w:szCs w:val="24"/>
        </w:rPr>
        <w:t xml:space="preserve">e </w:t>
      </w:r>
      <w:r w:rsidR="00CB02A3">
        <w:rPr>
          <w:sz w:val="24"/>
          <w:szCs w:val="24"/>
        </w:rPr>
        <w:t>re</w:t>
      </w:r>
      <w:r w:rsidR="002C07FE">
        <w:rPr>
          <w:sz w:val="24"/>
          <w:szCs w:val="24"/>
        </w:rPr>
        <w:t>application that is not addressed else</w:t>
      </w:r>
      <w:r w:rsidR="00EE3873">
        <w:rPr>
          <w:sz w:val="24"/>
          <w:szCs w:val="24"/>
        </w:rPr>
        <w:t>where in this template</w:t>
      </w:r>
      <w:r w:rsidR="00965F37">
        <w:rPr>
          <w:sz w:val="24"/>
          <w:szCs w:val="24"/>
        </w:rPr>
        <w:t xml:space="preserve">. </w:t>
      </w:r>
      <w:r w:rsidR="00EE3873">
        <w:rPr>
          <w:sz w:val="24"/>
          <w:szCs w:val="24"/>
        </w:rPr>
        <w:t xml:space="preserve">For example, </w:t>
      </w:r>
      <w:r w:rsidR="007F3F76">
        <w:rPr>
          <w:sz w:val="24"/>
          <w:szCs w:val="24"/>
        </w:rPr>
        <w:t>proposed major changes to the ADAR unrelated to matters of concern raised by MSAC</w:t>
      </w:r>
      <w:r w:rsidR="005D384F">
        <w:rPr>
          <w:sz w:val="24"/>
          <w:szCs w:val="24"/>
        </w:rPr>
        <w:t>;</w:t>
      </w:r>
      <w:r w:rsidR="00F92BDD">
        <w:rPr>
          <w:sz w:val="24"/>
          <w:szCs w:val="24"/>
        </w:rPr>
        <w:t xml:space="preserve"> o</w:t>
      </w:r>
      <w:r w:rsidR="004F5B4F">
        <w:rPr>
          <w:sz w:val="24"/>
          <w:szCs w:val="24"/>
        </w:rPr>
        <w:t xml:space="preserve">r </w:t>
      </w:r>
      <w:r w:rsidR="007F3F76">
        <w:rPr>
          <w:sz w:val="24"/>
          <w:szCs w:val="24"/>
        </w:rPr>
        <w:t>the health technology is subject to a recall or other regulatory action</w:t>
      </w:r>
      <w:r w:rsidR="00965F37">
        <w:rPr>
          <w:sz w:val="24"/>
          <w:szCs w:val="24"/>
        </w:rPr>
        <w:t xml:space="preserve">. </w:t>
      </w:r>
      <w:r w:rsidR="00F92BDD">
        <w:rPr>
          <w:sz w:val="24"/>
          <w:szCs w:val="24"/>
        </w:rPr>
        <w:t xml:space="preserve">You can also list </w:t>
      </w:r>
      <w:r w:rsidR="0064102A">
        <w:rPr>
          <w:sz w:val="24"/>
          <w:szCs w:val="24"/>
        </w:rPr>
        <w:t xml:space="preserve">here any </w:t>
      </w:r>
      <w:r w:rsidR="00F92BDD">
        <w:rPr>
          <w:sz w:val="24"/>
          <w:szCs w:val="24"/>
        </w:rPr>
        <w:t xml:space="preserve">additional organisations, </w:t>
      </w:r>
      <w:r w:rsidR="00A71E2C">
        <w:rPr>
          <w:sz w:val="24"/>
          <w:szCs w:val="24"/>
        </w:rPr>
        <w:t>experts,</w:t>
      </w:r>
      <w:r w:rsidR="00F92BDD">
        <w:rPr>
          <w:sz w:val="24"/>
          <w:szCs w:val="24"/>
        </w:rPr>
        <w:t xml:space="preserve"> or </w:t>
      </w:r>
      <w:r w:rsidR="00B92AA6">
        <w:rPr>
          <w:sz w:val="24"/>
          <w:szCs w:val="24"/>
        </w:rPr>
        <w:t xml:space="preserve">other stakeholders for consultation.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199"/>
      </w:tblGrid>
      <w:tr w:rsidR="00A90936" w14:paraId="08E4A0C6" w14:textId="77777777" w:rsidTr="00DD3684">
        <w:tc>
          <w:tcPr>
            <w:tcW w:w="10199" w:type="dxa"/>
          </w:tcPr>
          <w:p w14:paraId="304602C2" w14:textId="37DA0BAD" w:rsidR="00176F1D" w:rsidRDefault="00694658" w:rsidP="003D7A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proposed change is in line with that suggested by MSAC as per the PSD. </w:t>
            </w:r>
            <w:r w:rsidR="00E17E94">
              <w:rPr>
                <w:sz w:val="24"/>
                <w:szCs w:val="24"/>
              </w:rPr>
              <w:t xml:space="preserve">In the </w:t>
            </w:r>
            <w:r w:rsidR="00E17E94" w:rsidRPr="00E17E94">
              <w:rPr>
                <w:sz w:val="24"/>
                <w:szCs w:val="24"/>
              </w:rPr>
              <w:t>PSD</w:t>
            </w:r>
            <w:r w:rsidR="00A60D1F">
              <w:rPr>
                <w:sz w:val="24"/>
                <w:szCs w:val="24"/>
              </w:rPr>
              <w:t>,</w:t>
            </w:r>
            <w:r w:rsidR="00E17E94" w:rsidRPr="00E17E94">
              <w:rPr>
                <w:sz w:val="24"/>
                <w:szCs w:val="24"/>
              </w:rPr>
              <w:t xml:space="preserve"> MSAC suggested there may be a clinical need for this treatment in a severe-resistant hypertensive patient population (i.e. a narrower definition than the original submission). </w:t>
            </w:r>
            <w:r w:rsidR="00C46DAB" w:rsidRPr="00E17E94">
              <w:rPr>
                <w:sz w:val="24"/>
                <w:szCs w:val="24"/>
              </w:rPr>
              <w:t>Therefore,</w:t>
            </w:r>
            <w:r w:rsidR="00E17E94" w:rsidRPr="00E17E94">
              <w:rPr>
                <w:sz w:val="24"/>
                <w:szCs w:val="24"/>
              </w:rPr>
              <w:t xml:space="preserve"> we are planning a re-submission in this narrower patient population, with all other aspects of the ratified PICO remaining the same.</w:t>
            </w:r>
          </w:p>
        </w:tc>
      </w:tr>
    </w:tbl>
    <w:p w14:paraId="4F973835" w14:textId="77777777" w:rsidR="00E10E80" w:rsidRDefault="00E10E80" w:rsidP="002D3798">
      <w:pPr>
        <w:rPr>
          <w:sz w:val="24"/>
          <w:szCs w:val="24"/>
        </w:rPr>
      </w:pPr>
    </w:p>
    <w:p w14:paraId="7DC4EE95" w14:textId="210497B9" w:rsidR="004419EB" w:rsidRDefault="004419EB" w:rsidP="004440C9">
      <w:pPr>
        <w:sectPr w:rsidR="004419EB" w:rsidSect="008E676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021" w:right="851" w:bottom="1021" w:left="851" w:header="709" w:footer="283" w:gutter="0"/>
          <w:pgNumType w:start="1"/>
          <w:cols w:space="708"/>
          <w:docGrid w:linePitch="360"/>
        </w:sectPr>
      </w:pPr>
    </w:p>
    <w:p w14:paraId="622B11A6" w14:textId="38E3B41D" w:rsidR="005F6283" w:rsidRPr="009F4B28" w:rsidRDefault="00FE58E0" w:rsidP="00777112">
      <w:pPr>
        <w:pStyle w:val="Heading1"/>
        <w:spacing w:before="0" w:after="120"/>
        <w:jc w:val="left"/>
        <w:rPr>
          <w:i/>
          <w:iCs/>
        </w:rPr>
      </w:pPr>
      <w:r w:rsidRPr="00777112">
        <w:rPr>
          <w:color w:val="002060"/>
        </w:rPr>
        <w:lastRenderedPageBreak/>
        <w:t xml:space="preserve">Table 1: </w:t>
      </w:r>
      <w:r w:rsidR="00A4249B" w:rsidRPr="00777112">
        <w:rPr>
          <w:color w:val="002060"/>
        </w:rPr>
        <w:t xml:space="preserve">Summary of </w:t>
      </w:r>
      <w:r w:rsidR="0074107B" w:rsidRPr="00777112">
        <w:rPr>
          <w:color w:val="002060"/>
        </w:rPr>
        <w:t xml:space="preserve">key matters of concern 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4145"/>
        <w:gridCol w:w="5109"/>
        <w:gridCol w:w="5111"/>
      </w:tblGrid>
      <w:tr w:rsidR="00BF2707" w14:paraId="5CC69C27" w14:textId="77777777" w:rsidTr="00D70521">
        <w:tc>
          <w:tcPr>
            <w:tcW w:w="4252" w:type="dxa"/>
            <w:shd w:val="clear" w:color="auto" w:fill="D9E2F3" w:themeFill="accent1" w:themeFillTint="33"/>
          </w:tcPr>
          <w:p w14:paraId="0460DB14" w14:textId="24862BCC" w:rsidR="00BF2707" w:rsidRPr="00BF0F2A" w:rsidRDefault="00BF2707" w:rsidP="00BF2707">
            <w:pPr>
              <w:spacing w:before="60" w:after="60"/>
              <w:jc w:val="center"/>
            </w:pPr>
            <w:r w:rsidRPr="008A06F9">
              <w:rPr>
                <w:b/>
                <w:bCs/>
                <w:caps/>
              </w:rPr>
              <w:t xml:space="preserve">Component </w:t>
            </w:r>
          </w:p>
        </w:tc>
        <w:tc>
          <w:tcPr>
            <w:tcW w:w="5245" w:type="dxa"/>
            <w:shd w:val="clear" w:color="auto" w:fill="D9E2F3" w:themeFill="accent1" w:themeFillTint="33"/>
          </w:tcPr>
          <w:p w14:paraId="12C13349" w14:textId="4A4AF2E5" w:rsidR="00BF2707" w:rsidRPr="00BF0F2A" w:rsidRDefault="00BF2707" w:rsidP="00BF2707">
            <w:pPr>
              <w:spacing w:before="60" w:after="60"/>
              <w:jc w:val="center"/>
            </w:pPr>
            <w:r w:rsidRPr="008A06F9">
              <w:rPr>
                <w:b/>
                <w:bCs/>
                <w:caps/>
              </w:rPr>
              <w:t>Matter of Concern</w:t>
            </w:r>
          </w:p>
        </w:tc>
        <w:tc>
          <w:tcPr>
            <w:tcW w:w="5245" w:type="dxa"/>
            <w:shd w:val="clear" w:color="auto" w:fill="D9E2F3" w:themeFill="accent1" w:themeFillTint="33"/>
          </w:tcPr>
          <w:p w14:paraId="18D920A8" w14:textId="38552777" w:rsidR="00BF2707" w:rsidRPr="00BF0F2A" w:rsidRDefault="00BF2707" w:rsidP="00BF2707">
            <w:pPr>
              <w:spacing w:before="60" w:after="60"/>
              <w:jc w:val="center"/>
            </w:pPr>
            <w:r w:rsidRPr="008A06F9">
              <w:rPr>
                <w:b/>
                <w:bCs/>
                <w:caps/>
              </w:rPr>
              <w:t>How matter will be addressed in ADAR</w:t>
            </w:r>
          </w:p>
        </w:tc>
      </w:tr>
      <w:tr w:rsidR="00BF0F2A" w14:paraId="7C3949B3" w14:textId="77777777" w:rsidTr="00D70521">
        <w:trPr>
          <w:cantSplit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8001" w14:textId="77777777" w:rsidR="00BF0F2A" w:rsidRDefault="00BF0F2A" w:rsidP="00C92FA5"/>
          <w:p w14:paraId="09EA4DF7" w14:textId="25162409" w:rsidR="006C2576" w:rsidRDefault="00DD2D53" w:rsidP="00C92FA5">
            <w:r>
              <w:t>Population</w:t>
            </w:r>
          </w:p>
          <w:p w14:paraId="467CBADC" w14:textId="77777777" w:rsidR="006C2576" w:rsidRDefault="006C2576" w:rsidP="00C92FA5"/>
          <w:p w14:paraId="7968B4C7" w14:textId="77777777" w:rsidR="006C2576" w:rsidRDefault="006C2576" w:rsidP="00C92FA5"/>
          <w:p w14:paraId="052B3251" w14:textId="77777777" w:rsidR="006C2576" w:rsidRDefault="006C2576" w:rsidP="00C92FA5"/>
          <w:p w14:paraId="3639C203" w14:textId="77777777" w:rsidR="00BF0F2A" w:rsidRDefault="00BF0F2A" w:rsidP="00C92FA5"/>
          <w:p w14:paraId="7A739513" w14:textId="3B11D589" w:rsidR="00473F0B" w:rsidRPr="00BF0F2A" w:rsidRDefault="00473F0B" w:rsidP="00C92FA5"/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3F1E" w14:textId="77777777" w:rsidR="00004F8F" w:rsidRDefault="00DD2D53" w:rsidP="000723A1">
            <w:r w:rsidRPr="00DD2D53">
              <w:t xml:space="preserve">MSAC considered that there may be a high clinical need for RDN in a specific subset of patients who have </w:t>
            </w:r>
            <w:r w:rsidR="00226A50" w:rsidRPr="00226A50">
              <w:t xml:space="preserve">treatment resistant hypertension </w:t>
            </w:r>
            <w:r w:rsidR="00067F9C">
              <w:t>(</w:t>
            </w:r>
            <w:r w:rsidRPr="00DD2D53">
              <w:t>TRHTN</w:t>
            </w:r>
            <w:r w:rsidR="00067F9C">
              <w:t>)</w:t>
            </w:r>
            <w:r w:rsidRPr="00DD2D53">
              <w:t xml:space="preserve"> (e.g., patients who are in ‘hypertensive crisis’ with &gt;180 mmHg SBP/120 mmHg DBP) who are on </w:t>
            </w:r>
            <w:r w:rsidR="008A5D32">
              <w:t>optimal medical management (</w:t>
            </w:r>
            <w:r w:rsidRPr="00DD2D53">
              <w:t>OMM</w:t>
            </w:r>
            <w:r w:rsidR="008A5D32">
              <w:t>)</w:t>
            </w:r>
            <w:r w:rsidRPr="00DD2D53">
              <w:t xml:space="preserve"> with no other treatment alternatives as determined by a multidisciplinary team.</w:t>
            </w:r>
          </w:p>
          <w:p w14:paraId="72F2A747" w14:textId="77777777" w:rsidR="00004F8F" w:rsidRDefault="00004F8F" w:rsidP="000723A1"/>
          <w:p w14:paraId="3F2AE101" w14:textId="3FCE9338" w:rsidR="00DD2D53" w:rsidRPr="00BF0F2A" w:rsidRDefault="00DD2D53" w:rsidP="000723A1">
            <w:r w:rsidRPr="00DD2D53">
              <w:t>However, MSAC considered that if this subpopulation was pursued, then a reapplication supported by evidence for the clinical effectiveness of RDN in this specific subpopulation would be required.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9362" w14:textId="05E1E76A" w:rsidR="00C92FA5" w:rsidRDefault="00C92FA5" w:rsidP="000723A1">
            <w:r>
              <w:t>Addressed.</w:t>
            </w:r>
          </w:p>
          <w:p w14:paraId="33827054" w14:textId="77777777" w:rsidR="000E5AD1" w:rsidRDefault="000E5AD1" w:rsidP="000723A1"/>
          <w:p w14:paraId="6B06BACD" w14:textId="7893E9FD" w:rsidR="006C4ABA" w:rsidRPr="00BF0F2A" w:rsidRDefault="006C4ABA" w:rsidP="000723A1">
            <w:r>
              <w:t xml:space="preserve">The </w:t>
            </w:r>
            <w:r w:rsidR="00B660E7">
              <w:t xml:space="preserve">re-application will be supported by evidence of clinical effectiveness of RDN in this specific </w:t>
            </w:r>
            <w:r w:rsidR="008A5D32">
              <w:t xml:space="preserve">subpopulation of patients with </w:t>
            </w:r>
            <w:r w:rsidR="008A5D32" w:rsidRPr="00DD2D53">
              <w:t>&gt;180 mmHg SBP/120 mmHg DBP</w:t>
            </w:r>
            <w:r w:rsidR="008A5D32">
              <w:t xml:space="preserve"> who are on OMM. OMM was defined </w:t>
            </w:r>
            <w:r w:rsidR="00735142">
              <w:t>during the PICO process for MSAC application 16</w:t>
            </w:r>
            <w:r w:rsidR="00C92FA5">
              <w:t>59</w:t>
            </w:r>
            <w:r w:rsidR="00735142">
              <w:t xml:space="preserve"> </w:t>
            </w:r>
            <w:r w:rsidR="008A5D32">
              <w:t xml:space="preserve">as </w:t>
            </w:r>
            <w:r w:rsidR="004D0001">
              <w:t xml:space="preserve">patients on </w:t>
            </w:r>
            <w:r w:rsidR="00214A22" w:rsidRPr="00214A22">
              <w:t>three or more antihypertensive drugs, including a diuretic, at optimal tolerated doses</w:t>
            </w:r>
            <w:r w:rsidR="00C92FA5">
              <w:t>.</w:t>
            </w:r>
          </w:p>
        </w:tc>
      </w:tr>
    </w:tbl>
    <w:p w14:paraId="72E211FC" w14:textId="77777777" w:rsidR="003D0C0C" w:rsidRDefault="003D0C0C">
      <w:pPr>
        <w:rPr>
          <w:b/>
          <w:bCs/>
          <w:color w:val="002060"/>
          <w:sz w:val="36"/>
          <w:szCs w:val="36"/>
        </w:rPr>
      </w:pPr>
      <w:r>
        <w:rPr>
          <w:b/>
          <w:bCs/>
          <w:color w:val="002060"/>
          <w:sz w:val="36"/>
          <w:szCs w:val="36"/>
        </w:rPr>
        <w:br w:type="page"/>
      </w:r>
    </w:p>
    <w:p w14:paraId="288B6841" w14:textId="56DC89EA" w:rsidR="00BF0F2A" w:rsidRPr="00777112" w:rsidRDefault="009B0057" w:rsidP="005A48B8">
      <w:pPr>
        <w:pStyle w:val="Heading1"/>
        <w:spacing w:before="0" w:after="360"/>
        <w:jc w:val="left"/>
        <w:rPr>
          <w:color w:val="002060"/>
        </w:rPr>
      </w:pPr>
      <w:bookmarkStart w:id="10" w:name="_Table_2:_Summary"/>
      <w:bookmarkEnd w:id="10"/>
      <w:r w:rsidRPr="00777112">
        <w:rPr>
          <w:color w:val="002060"/>
        </w:rPr>
        <w:lastRenderedPageBreak/>
        <w:t>Table 2</w:t>
      </w:r>
      <w:r w:rsidR="003D42BB" w:rsidRPr="00777112">
        <w:rPr>
          <w:color w:val="002060"/>
        </w:rPr>
        <w:t xml:space="preserve">: Summary of </w:t>
      </w:r>
      <w:r w:rsidR="00CF7D46" w:rsidRPr="00777112">
        <w:rPr>
          <w:color w:val="002060"/>
        </w:rPr>
        <w:t xml:space="preserve">changes to </w:t>
      </w:r>
      <w:r w:rsidR="003D42BB" w:rsidRPr="00777112">
        <w:rPr>
          <w:color w:val="002060"/>
        </w:rPr>
        <w:t xml:space="preserve">PICO </w:t>
      </w:r>
      <w:r w:rsidR="005551FB" w:rsidRPr="00777112">
        <w:rPr>
          <w:color w:val="002060"/>
        </w:rPr>
        <w:t>c</w:t>
      </w:r>
      <w:r w:rsidR="00CF7D46" w:rsidRPr="00777112">
        <w:rPr>
          <w:color w:val="002060"/>
        </w:rPr>
        <w:t>riteria</w:t>
      </w:r>
      <w:r w:rsidR="003D42BB" w:rsidRPr="00777112">
        <w:rPr>
          <w:color w:val="002060"/>
        </w:rPr>
        <w:t xml:space="preserve"> </w:t>
      </w:r>
      <w:r w:rsidR="005551FB" w:rsidRPr="00777112">
        <w:rPr>
          <w:color w:val="002060"/>
        </w:rPr>
        <w:t xml:space="preserve">since </w:t>
      </w:r>
      <w:r w:rsidR="006824E3" w:rsidRPr="00777112">
        <w:rPr>
          <w:color w:val="002060"/>
        </w:rPr>
        <w:t xml:space="preserve">previous </w:t>
      </w:r>
      <w:r w:rsidR="005551FB" w:rsidRPr="00777112">
        <w:rPr>
          <w:color w:val="002060"/>
        </w:rPr>
        <w:t>consideration by MSAC</w:t>
      </w:r>
    </w:p>
    <w:p w14:paraId="14AAC1A5" w14:textId="654946B6" w:rsidR="00B76D92" w:rsidRPr="008A4C41" w:rsidRDefault="00B76D92" w:rsidP="005A48B8">
      <w:pPr>
        <w:spacing w:after="360"/>
        <w:rPr>
          <w:sz w:val="28"/>
          <w:szCs w:val="28"/>
        </w:rPr>
      </w:pPr>
      <w:r w:rsidRPr="00E73A57">
        <w:rPr>
          <w:sz w:val="28"/>
          <w:szCs w:val="28"/>
        </w:rPr>
        <w:t xml:space="preserve">  </w:t>
      </w:r>
      <w:sdt>
        <w:sdtPr>
          <w:rPr>
            <w:sz w:val="28"/>
            <w:szCs w:val="28"/>
          </w:rPr>
          <w:id w:val="-520933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3A5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8A4C41">
        <w:rPr>
          <w:sz w:val="28"/>
          <w:szCs w:val="28"/>
        </w:rPr>
        <w:t xml:space="preserve">     The proposed ADAR </w:t>
      </w:r>
      <w:r w:rsidRPr="00B65FF3">
        <w:rPr>
          <w:b/>
          <w:bCs/>
          <w:sz w:val="28"/>
          <w:szCs w:val="28"/>
          <w:u w:val="single"/>
        </w:rPr>
        <w:t xml:space="preserve">will </w:t>
      </w:r>
      <w:r w:rsidR="001C7C89" w:rsidRPr="00B65FF3">
        <w:rPr>
          <w:b/>
          <w:bCs/>
          <w:sz w:val="28"/>
          <w:szCs w:val="28"/>
          <w:u w:val="single"/>
        </w:rPr>
        <w:t>not</w:t>
      </w:r>
      <w:r w:rsidR="001C7C89" w:rsidRPr="008A4C41">
        <w:rPr>
          <w:sz w:val="28"/>
          <w:szCs w:val="28"/>
        </w:rPr>
        <w:t xml:space="preserve"> </w:t>
      </w:r>
      <w:r w:rsidR="009F4B28" w:rsidRPr="008A4C41">
        <w:rPr>
          <w:sz w:val="28"/>
          <w:szCs w:val="28"/>
        </w:rPr>
        <w:t>contain any changes to the PICO previously considered by MSAC</w:t>
      </w:r>
      <w:r w:rsidR="00965F37">
        <w:rPr>
          <w:sz w:val="28"/>
          <w:szCs w:val="28"/>
        </w:rPr>
        <w:t>.</w:t>
      </w:r>
      <w:r w:rsidR="00965F37" w:rsidRPr="008A4C41">
        <w:rPr>
          <w:sz w:val="28"/>
          <w:szCs w:val="28"/>
        </w:rPr>
        <w:t xml:space="preserve"> </w:t>
      </w:r>
    </w:p>
    <w:p w14:paraId="5DE76AE5" w14:textId="2FD19E15" w:rsidR="00EF1518" w:rsidRDefault="007F5015" w:rsidP="00835FBC">
      <w:pPr>
        <w:spacing w:after="480"/>
        <w:rPr>
          <w:sz w:val="28"/>
          <w:szCs w:val="28"/>
        </w:rPr>
      </w:pPr>
      <w:r w:rsidRPr="008A4C41">
        <w:rPr>
          <w:sz w:val="28"/>
          <w:szCs w:val="28"/>
        </w:rPr>
        <w:t xml:space="preserve">  </w:t>
      </w:r>
      <w:sdt>
        <w:sdtPr>
          <w:rPr>
            <w:sz w:val="28"/>
            <w:szCs w:val="28"/>
          </w:rPr>
          <w:id w:val="-82158634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14A22">
            <w:rPr>
              <w:rFonts w:ascii="MS Gothic" w:eastAsia="MS Gothic" w:hAnsi="MS Gothic" w:hint="eastAsia"/>
              <w:sz w:val="28"/>
              <w:szCs w:val="28"/>
            </w:rPr>
            <w:t>☒</w:t>
          </w:r>
        </w:sdtContent>
      </w:sdt>
      <w:r w:rsidRPr="008A4C41">
        <w:rPr>
          <w:sz w:val="28"/>
          <w:szCs w:val="28"/>
        </w:rPr>
        <w:t xml:space="preserve">     </w:t>
      </w:r>
      <w:r w:rsidR="00B76D92" w:rsidRPr="008A4C41">
        <w:rPr>
          <w:sz w:val="28"/>
          <w:szCs w:val="28"/>
        </w:rPr>
        <w:t>The proposed ADAR will reflect changes to the PICO as detailed below</w:t>
      </w:r>
      <w:r w:rsidR="008F1842">
        <w:rPr>
          <w:sz w:val="28"/>
          <w:szCs w:val="28"/>
        </w:rPr>
        <w:t>.</w:t>
      </w:r>
      <w:r w:rsidR="00B76D92" w:rsidRPr="008A4C41"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4147"/>
        <w:gridCol w:w="2499"/>
        <w:gridCol w:w="2613"/>
        <w:gridCol w:w="5106"/>
      </w:tblGrid>
      <w:tr w:rsidR="00F27E0C" w:rsidRPr="00FB758B" w14:paraId="733C6A32" w14:textId="77777777" w:rsidTr="00A3679A">
        <w:tc>
          <w:tcPr>
            <w:tcW w:w="4252" w:type="dxa"/>
            <w:shd w:val="clear" w:color="auto" w:fill="D9E2F3" w:themeFill="accent1" w:themeFillTint="33"/>
          </w:tcPr>
          <w:p w14:paraId="1D2C084D" w14:textId="75D57EF1" w:rsidR="00F27E0C" w:rsidRDefault="00F27E0C" w:rsidP="00F27E0C">
            <w:pPr>
              <w:spacing w:before="60" w:after="120"/>
              <w:rPr>
                <w:color w:val="538135" w:themeColor="accent6" w:themeShade="BF"/>
              </w:rPr>
            </w:pPr>
            <w:r w:rsidRPr="00A45B2B">
              <w:rPr>
                <w:b/>
                <w:bCs/>
                <w:caps/>
              </w:rPr>
              <w:t>PICO component</w:t>
            </w:r>
          </w:p>
        </w:tc>
        <w:tc>
          <w:tcPr>
            <w:tcW w:w="5245" w:type="dxa"/>
            <w:gridSpan w:val="2"/>
            <w:shd w:val="clear" w:color="auto" w:fill="D9E2F3" w:themeFill="accent1" w:themeFillTint="33"/>
          </w:tcPr>
          <w:p w14:paraId="3D4742E5" w14:textId="1A73DD03" w:rsidR="00F27E0C" w:rsidRPr="0037412F" w:rsidRDefault="00F27E0C" w:rsidP="00F27E0C">
            <w:pPr>
              <w:spacing w:before="60" w:after="120"/>
              <w:rPr>
                <w:color w:val="538135" w:themeColor="accent6" w:themeShade="BF"/>
              </w:rPr>
            </w:pPr>
            <w:r w:rsidRPr="00A45B2B">
              <w:rPr>
                <w:b/>
                <w:bCs/>
                <w:caps/>
              </w:rPr>
              <w:t>Component description as considered by MSAC</w:t>
            </w:r>
          </w:p>
        </w:tc>
        <w:tc>
          <w:tcPr>
            <w:tcW w:w="5245" w:type="dxa"/>
            <w:shd w:val="clear" w:color="auto" w:fill="D9E2F3" w:themeFill="accent1" w:themeFillTint="33"/>
          </w:tcPr>
          <w:p w14:paraId="71DE2B9F" w14:textId="69F2807F" w:rsidR="00F27E0C" w:rsidRPr="0037412F" w:rsidRDefault="00F27E0C" w:rsidP="00F27E0C">
            <w:pPr>
              <w:spacing w:before="60" w:after="120"/>
              <w:rPr>
                <w:color w:val="538135" w:themeColor="accent6" w:themeShade="BF"/>
              </w:rPr>
            </w:pPr>
            <w:r w:rsidRPr="00A45B2B">
              <w:rPr>
                <w:b/>
                <w:bCs/>
                <w:caps/>
              </w:rPr>
              <w:t>Revised component description and rationale</w:t>
            </w:r>
          </w:p>
        </w:tc>
      </w:tr>
      <w:tr w:rsidR="0032778D" w:rsidRPr="00FB758B" w14:paraId="02056823" w14:textId="77777777" w:rsidTr="00A3679A">
        <w:tc>
          <w:tcPr>
            <w:tcW w:w="4252" w:type="dxa"/>
            <w:tcBorders>
              <w:bottom w:val="single" w:sz="4" w:space="0" w:color="auto"/>
            </w:tcBorders>
          </w:tcPr>
          <w:p w14:paraId="784CBE6F" w14:textId="7440927C" w:rsidR="0032778D" w:rsidRPr="00817BDB" w:rsidRDefault="00E025F0" w:rsidP="008A06F9">
            <w:pPr>
              <w:spacing w:before="60" w:after="60"/>
              <w:rPr>
                <w:b/>
                <w:bCs/>
                <w:caps/>
              </w:rPr>
            </w:pPr>
            <w:r w:rsidRPr="00817BDB">
              <w:rPr>
                <w:b/>
                <w:bCs/>
                <w:caps/>
              </w:rPr>
              <w:t xml:space="preserve">Population 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</w:tcPr>
          <w:p w14:paraId="58C6BF5D" w14:textId="77777777" w:rsidR="00B94A3F" w:rsidRDefault="00D01E71" w:rsidP="008A06F9">
            <w:pPr>
              <w:spacing w:before="60" w:after="60"/>
            </w:pPr>
            <w:r w:rsidRPr="00D01E71">
              <w:t>Adults ≥18 years of age with treatment-resistant hypertension confirmed by a specialist, with elevated systolic blood pressure ≥ 150 mm Hg and/or elevated diastolic blood pressure ≥110 mm Hg despite optimal medical management (using three or more antihypertensive drugs, including a diuretic, at optimal tolerated doses) and one or more of the following:</w:t>
            </w:r>
          </w:p>
          <w:p w14:paraId="597A339C" w14:textId="77777777" w:rsidR="00B94A3F" w:rsidRDefault="00D01E71" w:rsidP="008A06F9">
            <w:pPr>
              <w:spacing w:before="60" w:after="60"/>
            </w:pPr>
            <w:r w:rsidRPr="00D01E71">
              <w:t xml:space="preserve"> </w:t>
            </w:r>
            <w:r w:rsidRPr="00D01E71">
              <w:sym w:font="Symbol" w:char="F0B7"/>
            </w:r>
            <w:r w:rsidRPr="00D01E71">
              <w:t xml:space="preserve"> systolic blood pressure &gt; 180 mm Hg </w:t>
            </w:r>
          </w:p>
          <w:p w14:paraId="6788DF95" w14:textId="77777777" w:rsidR="00B94A3F" w:rsidRDefault="00D01E71" w:rsidP="008A06F9">
            <w:pPr>
              <w:spacing w:before="60" w:after="60"/>
            </w:pPr>
            <w:r w:rsidRPr="00D01E71">
              <w:sym w:font="Symbol" w:char="F0B7"/>
            </w:r>
            <w:r w:rsidRPr="00D01E71">
              <w:t xml:space="preserve"> previous myocardial infarction </w:t>
            </w:r>
          </w:p>
          <w:p w14:paraId="73D8663C" w14:textId="77777777" w:rsidR="00B94A3F" w:rsidRDefault="00D01E71" w:rsidP="008A06F9">
            <w:pPr>
              <w:spacing w:before="60" w:after="60"/>
            </w:pPr>
            <w:r w:rsidRPr="00D01E71">
              <w:sym w:font="Symbol" w:char="F0B7"/>
            </w:r>
            <w:r w:rsidRPr="00D01E71">
              <w:t xml:space="preserve"> previous stroke or transient ischaemic attack (TIA) </w:t>
            </w:r>
          </w:p>
          <w:p w14:paraId="40484132" w14:textId="77777777" w:rsidR="00B94A3F" w:rsidRDefault="00D01E71" w:rsidP="008A06F9">
            <w:pPr>
              <w:spacing w:before="60" w:after="60"/>
            </w:pPr>
            <w:r w:rsidRPr="00D01E71">
              <w:sym w:font="Symbol" w:char="F0B7"/>
            </w:r>
            <w:r w:rsidRPr="00D01E71">
              <w:t xml:space="preserve"> diabetes mellitus </w:t>
            </w:r>
          </w:p>
          <w:p w14:paraId="3CE0AAC7" w14:textId="77777777" w:rsidR="00B94A3F" w:rsidRDefault="00D01E71" w:rsidP="008A06F9">
            <w:pPr>
              <w:spacing w:before="60" w:after="60"/>
            </w:pPr>
            <w:r w:rsidRPr="00D01E71">
              <w:sym w:font="Symbol" w:char="F0B7"/>
            </w:r>
            <w:r w:rsidRPr="00D01E71">
              <w:t xml:space="preserve"> chronic kidney disease </w:t>
            </w:r>
          </w:p>
          <w:p w14:paraId="2CA7842B" w14:textId="77777777" w:rsidR="00B94A3F" w:rsidRDefault="00D01E71" w:rsidP="008A06F9">
            <w:pPr>
              <w:spacing w:before="60" w:after="60"/>
            </w:pPr>
            <w:r w:rsidRPr="00D01E71">
              <w:sym w:font="Symbol" w:char="F0B7"/>
            </w:r>
            <w:r w:rsidRPr="00D01E71">
              <w:t xml:space="preserve"> atrial fibrillation </w:t>
            </w:r>
          </w:p>
          <w:p w14:paraId="1CA4008D" w14:textId="77777777" w:rsidR="00B94A3F" w:rsidRDefault="00D01E71" w:rsidP="008A06F9">
            <w:pPr>
              <w:spacing w:before="60" w:after="60"/>
            </w:pPr>
            <w:r w:rsidRPr="00D01E71">
              <w:sym w:font="Symbol" w:char="F0B7"/>
            </w:r>
            <w:r w:rsidRPr="00D01E71">
              <w:t xml:space="preserve"> heart failure </w:t>
            </w:r>
          </w:p>
          <w:p w14:paraId="4D815AC3" w14:textId="77777777" w:rsidR="00B94A3F" w:rsidRDefault="00D01E71" w:rsidP="008A06F9">
            <w:pPr>
              <w:spacing w:before="60" w:after="60"/>
            </w:pPr>
            <w:r w:rsidRPr="00D01E71">
              <w:sym w:font="Symbol" w:char="F0B7"/>
            </w:r>
            <w:r w:rsidRPr="00D01E71">
              <w:t xml:space="preserve"> peripheral arterial disease. </w:t>
            </w:r>
          </w:p>
          <w:p w14:paraId="3332A59B" w14:textId="3E3728D0" w:rsidR="0070497E" w:rsidRPr="00142F7C" w:rsidRDefault="00D01E71" w:rsidP="00D01E71">
            <w:pPr>
              <w:spacing w:before="60" w:after="60"/>
            </w:pPr>
            <w:r w:rsidRPr="00D01E71">
              <w:t>Prior specialist consultation is required to confirm optimal medical management and verify treatment-resistant hypertension.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4C9CB729" w14:textId="04034ACC" w:rsidR="0032778D" w:rsidRDefault="0049198A" w:rsidP="008A06F9">
            <w:pPr>
              <w:spacing w:before="60" w:after="60"/>
            </w:pPr>
            <w:r w:rsidRPr="00D01E71">
              <w:t xml:space="preserve">Adults ≥18 years of age with treatment-resistant hypertension confirmed by a specialist, with elevated systolic blood pressure </w:t>
            </w:r>
            <w:r w:rsidRPr="0049198A">
              <w:rPr>
                <w:b/>
                <w:bCs/>
              </w:rPr>
              <w:t>≥ 180 mm Hg</w:t>
            </w:r>
            <w:r w:rsidRPr="00D01E71">
              <w:t xml:space="preserve"> and/or elevated diastolic blood pressure </w:t>
            </w:r>
            <w:r w:rsidRPr="0049198A">
              <w:rPr>
                <w:b/>
                <w:bCs/>
              </w:rPr>
              <w:t>≥120 mm Hg</w:t>
            </w:r>
            <w:r w:rsidRPr="00D01E71">
              <w:t xml:space="preserve"> despite optimal medical management (using three or more antihypertensive drugs, including a diuretic, at optimal tolerated doses)</w:t>
            </w:r>
            <w:r w:rsidR="004F4829">
              <w:t>.</w:t>
            </w:r>
          </w:p>
          <w:p w14:paraId="2503FD51" w14:textId="77777777" w:rsidR="00A45B2B" w:rsidRDefault="00A45B2B" w:rsidP="008A06F9">
            <w:pPr>
              <w:spacing w:before="60" w:after="60"/>
            </w:pPr>
          </w:p>
          <w:p w14:paraId="6B3C6C0C" w14:textId="16FC4549" w:rsidR="00A45B2B" w:rsidRDefault="004F4829" w:rsidP="008A06F9">
            <w:pPr>
              <w:spacing w:before="60" w:after="60"/>
            </w:pPr>
            <w:r w:rsidRPr="004F4829">
              <w:t>Prior specialist consultation is required to confirm optimal medical management and verify treatment-resistant hypertension.</w:t>
            </w:r>
          </w:p>
          <w:p w14:paraId="7105A618" w14:textId="77777777" w:rsidR="004F4829" w:rsidRDefault="004F4829" w:rsidP="008A06F9">
            <w:pPr>
              <w:spacing w:before="60" w:after="60"/>
            </w:pPr>
          </w:p>
          <w:p w14:paraId="3907F9C2" w14:textId="54398885" w:rsidR="00A45B2B" w:rsidRPr="00142F7C" w:rsidRDefault="004F4829" w:rsidP="008A06F9">
            <w:pPr>
              <w:spacing w:before="60" w:after="60"/>
            </w:pPr>
            <w:r>
              <w:t xml:space="preserve">NB. The </w:t>
            </w:r>
            <w:r w:rsidR="00D437D8">
              <w:t xml:space="preserve">list of </w:t>
            </w:r>
            <w:r>
              <w:t xml:space="preserve">additional criteria of one or more of the </w:t>
            </w:r>
            <w:r w:rsidR="00D437D8">
              <w:t>cardiovascular risk factors has been removed as one of the options in the original list was “</w:t>
            </w:r>
            <w:r w:rsidR="00D437D8" w:rsidRPr="00D437D8">
              <w:t>systolic blood pressure &gt; 180 mm Hg</w:t>
            </w:r>
            <w:r w:rsidR="00D437D8">
              <w:t>” which makes this list redundant as the restricted population in the re-submission will automatically be at high cardiovascular risk due to having severe hypertension.</w:t>
            </w:r>
          </w:p>
        </w:tc>
      </w:tr>
      <w:tr w:rsidR="004E7E79" w:rsidRPr="00FB758B" w14:paraId="0973EFE0" w14:textId="77777777" w:rsidTr="003D7AD9">
        <w:trPr>
          <w:trHeight w:val="158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47118C6B" w14:textId="1C2013C7" w:rsidR="00BF1943" w:rsidRPr="00817BDB" w:rsidRDefault="00142F7C" w:rsidP="008A06F9">
            <w:pPr>
              <w:spacing w:before="60" w:after="60"/>
              <w:rPr>
                <w:b/>
                <w:bCs/>
                <w:caps/>
              </w:rPr>
            </w:pPr>
            <w:r w:rsidRPr="00817BDB">
              <w:rPr>
                <w:b/>
                <w:bCs/>
                <w:caps/>
              </w:rPr>
              <w:t>&lt;Prior Test&gt; (</w:t>
            </w:r>
            <w:r w:rsidR="00817BDB">
              <w:rPr>
                <w:b/>
                <w:bCs/>
                <w:caps/>
              </w:rPr>
              <w:t>If</w:t>
            </w:r>
            <w:r w:rsidRPr="00817BDB">
              <w:rPr>
                <w:b/>
                <w:bCs/>
                <w:caps/>
              </w:rPr>
              <w:t xml:space="preserve"> applicable)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44CC5A" w14:textId="15A38C51" w:rsidR="00B27D33" w:rsidRPr="00142F7C" w:rsidRDefault="00344997" w:rsidP="008A06F9">
            <w:pPr>
              <w:spacing w:before="60" w:after="60"/>
            </w:pPr>
            <w:r>
              <w:t>N/A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75604640" w14:textId="3E4ABCCB" w:rsidR="00D112D4" w:rsidRPr="00142F7C" w:rsidRDefault="00344997" w:rsidP="008A06F9">
            <w:pPr>
              <w:spacing w:before="60" w:after="60"/>
            </w:pPr>
            <w:r>
              <w:t>N/A</w:t>
            </w:r>
          </w:p>
        </w:tc>
      </w:tr>
      <w:tr w:rsidR="00BB4E6D" w:rsidRPr="00FB758B" w14:paraId="085D5E5B" w14:textId="77777777" w:rsidTr="00A3679A">
        <w:tc>
          <w:tcPr>
            <w:tcW w:w="4252" w:type="dxa"/>
            <w:tcBorders>
              <w:top w:val="single" w:sz="4" w:space="0" w:color="auto"/>
            </w:tcBorders>
          </w:tcPr>
          <w:p w14:paraId="195EAFDF" w14:textId="2F515FBA" w:rsidR="00BB4E6D" w:rsidRPr="00817BDB" w:rsidRDefault="00142F7C" w:rsidP="008A06F9">
            <w:pPr>
              <w:spacing w:before="60" w:after="60"/>
              <w:rPr>
                <w:b/>
                <w:bCs/>
                <w:caps/>
              </w:rPr>
            </w:pPr>
            <w:r w:rsidRPr="00817BDB">
              <w:rPr>
                <w:b/>
                <w:bCs/>
                <w:caps/>
              </w:rPr>
              <w:lastRenderedPageBreak/>
              <w:t xml:space="preserve">Intervention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</w:tcBorders>
          </w:tcPr>
          <w:p w14:paraId="608DBFA6" w14:textId="4EEDC9FA" w:rsidR="00BB4E6D" w:rsidRPr="00142F7C" w:rsidRDefault="00D408C2" w:rsidP="008A06F9">
            <w:pPr>
              <w:spacing w:before="60" w:after="60"/>
            </w:pPr>
            <w:r w:rsidRPr="00D408C2">
              <w:t>Renal denervation with radiofrequency ablation catheter (single electrode or multielectrode catheters) plus optimal medical management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38FE21A4" w14:textId="65258CE0" w:rsidR="00D112D4" w:rsidRPr="00142F7C" w:rsidRDefault="00D408C2" w:rsidP="008A06F9">
            <w:pPr>
              <w:spacing w:before="60" w:after="60"/>
            </w:pPr>
            <w:r>
              <w:t>No change</w:t>
            </w:r>
          </w:p>
        </w:tc>
      </w:tr>
      <w:tr w:rsidR="00BB4E6D" w:rsidRPr="00FB758B" w14:paraId="7CE4D751" w14:textId="77777777" w:rsidTr="00A3679A">
        <w:tc>
          <w:tcPr>
            <w:tcW w:w="4252" w:type="dxa"/>
          </w:tcPr>
          <w:p w14:paraId="6A21D624" w14:textId="6C9A5AFE" w:rsidR="005A48B8" w:rsidRPr="00817BDB" w:rsidRDefault="00290BF5" w:rsidP="008A06F9">
            <w:pPr>
              <w:spacing w:before="60" w:after="60"/>
              <w:rPr>
                <w:b/>
                <w:bCs/>
                <w:caps/>
              </w:rPr>
            </w:pPr>
            <w:r w:rsidRPr="00817BDB">
              <w:rPr>
                <w:b/>
                <w:bCs/>
                <w:caps/>
              </w:rPr>
              <w:t>Comparator</w:t>
            </w:r>
          </w:p>
        </w:tc>
        <w:tc>
          <w:tcPr>
            <w:tcW w:w="5245" w:type="dxa"/>
            <w:gridSpan w:val="2"/>
          </w:tcPr>
          <w:p w14:paraId="2F211F46" w14:textId="78A1B882" w:rsidR="008A06F9" w:rsidRPr="00142F7C" w:rsidRDefault="00DC2E2C" w:rsidP="008A06F9">
            <w:pPr>
              <w:spacing w:before="60" w:after="60"/>
            </w:pPr>
            <w:r w:rsidRPr="00DC2E2C">
              <w:t>Optimal medical management, with or without sham renal denervation.</w:t>
            </w:r>
          </w:p>
        </w:tc>
        <w:tc>
          <w:tcPr>
            <w:tcW w:w="5245" w:type="dxa"/>
          </w:tcPr>
          <w:p w14:paraId="24B989B6" w14:textId="78139A18" w:rsidR="00BB4E6D" w:rsidRPr="00142F7C" w:rsidRDefault="00DC2E2C" w:rsidP="008A06F9">
            <w:pPr>
              <w:spacing w:before="60" w:after="60"/>
            </w:pPr>
            <w:r>
              <w:t>No change</w:t>
            </w:r>
          </w:p>
        </w:tc>
      </w:tr>
      <w:tr w:rsidR="00D26047" w:rsidRPr="00FB758B" w14:paraId="3D2D16D3" w14:textId="77777777" w:rsidTr="00A3679A">
        <w:tc>
          <w:tcPr>
            <w:tcW w:w="4252" w:type="dxa"/>
          </w:tcPr>
          <w:p w14:paraId="7DD98CEC" w14:textId="77777777" w:rsidR="00D26047" w:rsidRDefault="00D26047" w:rsidP="008A06F9">
            <w:pPr>
              <w:spacing w:before="60" w:after="60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OUTCOMES</w:t>
            </w:r>
          </w:p>
          <w:p w14:paraId="4CDEF942" w14:textId="77777777" w:rsidR="001052DC" w:rsidRDefault="001052DC" w:rsidP="00966FFD">
            <w:pPr>
              <w:spacing w:before="60" w:after="60"/>
              <w:jc w:val="right"/>
            </w:pPr>
            <w:r w:rsidRPr="00AA100D">
              <w:rPr>
                <w:b/>
                <w:bCs/>
                <w:u w:val="single"/>
              </w:rPr>
              <w:t>Safety</w:t>
            </w:r>
            <w:r>
              <w:t xml:space="preserve">: </w:t>
            </w:r>
          </w:p>
          <w:p w14:paraId="210D3C69" w14:textId="77777777" w:rsidR="001052DC" w:rsidRDefault="001052DC" w:rsidP="001052DC">
            <w:pPr>
              <w:spacing w:before="60" w:after="60"/>
            </w:pPr>
          </w:p>
          <w:p w14:paraId="13D33D0C" w14:textId="77777777" w:rsidR="001052DC" w:rsidRDefault="001052DC" w:rsidP="001052DC">
            <w:pPr>
              <w:spacing w:before="60" w:after="60"/>
            </w:pPr>
          </w:p>
          <w:p w14:paraId="7F098CD3" w14:textId="77777777" w:rsidR="00103DC6" w:rsidRDefault="00103DC6" w:rsidP="00966FFD">
            <w:pPr>
              <w:spacing w:before="60" w:after="60"/>
              <w:jc w:val="right"/>
              <w:rPr>
                <w:b/>
                <w:bCs/>
                <w:u w:val="single"/>
              </w:rPr>
            </w:pPr>
          </w:p>
          <w:p w14:paraId="573C461E" w14:textId="77777777" w:rsidR="00103DC6" w:rsidRDefault="00103DC6" w:rsidP="00966FFD">
            <w:pPr>
              <w:spacing w:before="60" w:after="60"/>
              <w:jc w:val="right"/>
              <w:rPr>
                <w:b/>
                <w:bCs/>
                <w:u w:val="single"/>
              </w:rPr>
            </w:pPr>
          </w:p>
          <w:p w14:paraId="3C4D6969" w14:textId="77777777" w:rsidR="00103DC6" w:rsidRDefault="00103DC6" w:rsidP="00966FFD">
            <w:pPr>
              <w:spacing w:before="60" w:after="60"/>
              <w:jc w:val="right"/>
              <w:rPr>
                <w:b/>
                <w:bCs/>
                <w:u w:val="single"/>
              </w:rPr>
            </w:pPr>
          </w:p>
          <w:p w14:paraId="068F6349" w14:textId="77777777" w:rsidR="00103DC6" w:rsidRDefault="00103DC6" w:rsidP="00966FFD">
            <w:pPr>
              <w:spacing w:before="60" w:after="60"/>
              <w:jc w:val="right"/>
              <w:rPr>
                <w:b/>
                <w:bCs/>
                <w:u w:val="single"/>
              </w:rPr>
            </w:pPr>
          </w:p>
          <w:p w14:paraId="565ED204" w14:textId="77777777" w:rsidR="00103DC6" w:rsidRDefault="00103DC6" w:rsidP="00966FFD">
            <w:pPr>
              <w:spacing w:before="60" w:after="60"/>
              <w:jc w:val="right"/>
              <w:rPr>
                <w:b/>
                <w:bCs/>
                <w:u w:val="single"/>
              </w:rPr>
            </w:pPr>
          </w:p>
          <w:p w14:paraId="71C56729" w14:textId="77777777" w:rsidR="00103DC6" w:rsidRDefault="00103DC6" w:rsidP="00966FFD">
            <w:pPr>
              <w:spacing w:before="60" w:after="60"/>
              <w:jc w:val="right"/>
              <w:rPr>
                <w:b/>
                <w:bCs/>
                <w:u w:val="single"/>
              </w:rPr>
            </w:pPr>
          </w:p>
          <w:p w14:paraId="2F9DA2A9" w14:textId="77777777" w:rsidR="00103DC6" w:rsidRDefault="00103DC6" w:rsidP="00966FFD">
            <w:pPr>
              <w:spacing w:before="60" w:after="60"/>
              <w:jc w:val="right"/>
              <w:rPr>
                <w:b/>
                <w:bCs/>
                <w:u w:val="single"/>
              </w:rPr>
            </w:pPr>
          </w:p>
          <w:p w14:paraId="407CA2F3" w14:textId="77777777" w:rsidR="00103DC6" w:rsidRDefault="00103DC6" w:rsidP="00966FFD">
            <w:pPr>
              <w:spacing w:before="60" w:after="60"/>
              <w:jc w:val="right"/>
              <w:rPr>
                <w:b/>
                <w:bCs/>
                <w:u w:val="single"/>
              </w:rPr>
            </w:pPr>
          </w:p>
          <w:p w14:paraId="29D9B1FA" w14:textId="4D75EFC8" w:rsidR="001052DC" w:rsidRDefault="005C3CCF" w:rsidP="00966FFD">
            <w:pPr>
              <w:spacing w:before="60" w:after="60"/>
              <w:jc w:val="right"/>
            </w:pPr>
            <w:r>
              <w:rPr>
                <w:b/>
                <w:bCs/>
                <w:u w:val="single"/>
              </w:rPr>
              <w:t>E</w:t>
            </w:r>
            <w:r w:rsidR="001052DC" w:rsidRPr="00AA100D">
              <w:rPr>
                <w:b/>
                <w:bCs/>
                <w:u w:val="single"/>
              </w:rPr>
              <w:t>ffectiveness</w:t>
            </w:r>
            <w:r w:rsidR="001052DC">
              <w:t xml:space="preserve">: </w:t>
            </w:r>
          </w:p>
          <w:p w14:paraId="1F8D9BA3" w14:textId="77777777" w:rsidR="001052DC" w:rsidRDefault="001052DC" w:rsidP="001052DC">
            <w:pPr>
              <w:spacing w:before="60" w:after="60"/>
            </w:pPr>
          </w:p>
          <w:p w14:paraId="16989190" w14:textId="77777777" w:rsidR="001052DC" w:rsidRDefault="001052DC" w:rsidP="001052DC">
            <w:pPr>
              <w:spacing w:before="60" w:after="60"/>
            </w:pPr>
          </w:p>
          <w:p w14:paraId="4D48304E" w14:textId="77777777" w:rsidR="00103DC6" w:rsidRDefault="00103DC6" w:rsidP="00966FFD">
            <w:pPr>
              <w:spacing w:before="60" w:after="60"/>
              <w:jc w:val="right"/>
              <w:rPr>
                <w:b/>
                <w:bCs/>
                <w:u w:val="single"/>
              </w:rPr>
            </w:pPr>
          </w:p>
          <w:p w14:paraId="62B0E9D5" w14:textId="77777777" w:rsidR="00103DC6" w:rsidRDefault="00103DC6" w:rsidP="00966FFD">
            <w:pPr>
              <w:spacing w:before="60" w:after="60"/>
              <w:jc w:val="right"/>
              <w:rPr>
                <w:b/>
                <w:bCs/>
                <w:u w:val="single"/>
              </w:rPr>
            </w:pPr>
          </w:p>
          <w:p w14:paraId="14AFDC66" w14:textId="77777777" w:rsidR="00103DC6" w:rsidRDefault="00103DC6" w:rsidP="00966FFD">
            <w:pPr>
              <w:spacing w:before="60" w:after="60"/>
              <w:jc w:val="right"/>
              <w:rPr>
                <w:b/>
                <w:bCs/>
                <w:u w:val="single"/>
              </w:rPr>
            </w:pPr>
          </w:p>
          <w:p w14:paraId="55E27C2B" w14:textId="77777777" w:rsidR="00103DC6" w:rsidRDefault="00103DC6" w:rsidP="00966FFD">
            <w:pPr>
              <w:spacing w:before="60" w:after="60"/>
              <w:jc w:val="right"/>
              <w:rPr>
                <w:b/>
                <w:bCs/>
                <w:u w:val="single"/>
              </w:rPr>
            </w:pPr>
          </w:p>
          <w:p w14:paraId="7870E6B7" w14:textId="77777777" w:rsidR="00103DC6" w:rsidRDefault="00103DC6" w:rsidP="00966FFD">
            <w:pPr>
              <w:spacing w:before="60" w:after="60"/>
              <w:jc w:val="right"/>
              <w:rPr>
                <w:b/>
                <w:bCs/>
                <w:u w:val="single"/>
              </w:rPr>
            </w:pPr>
          </w:p>
          <w:p w14:paraId="7B90717E" w14:textId="77777777" w:rsidR="00103DC6" w:rsidRDefault="00103DC6" w:rsidP="00966FFD">
            <w:pPr>
              <w:spacing w:before="60" w:after="60"/>
              <w:jc w:val="right"/>
              <w:rPr>
                <w:b/>
                <w:bCs/>
                <w:u w:val="single"/>
              </w:rPr>
            </w:pPr>
          </w:p>
          <w:p w14:paraId="2798636E" w14:textId="77777777" w:rsidR="00103DC6" w:rsidRDefault="00103DC6" w:rsidP="00966FFD">
            <w:pPr>
              <w:spacing w:before="60" w:after="60"/>
              <w:jc w:val="right"/>
              <w:rPr>
                <w:b/>
                <w:bCs/>
                <w:u w:val="single"/>
              </w:rPr>
            </w:pPr>
          </w:p>
          <w:p w14:paraId="405152A2" w14:textId="77777777" w:rsidR="00103DC6" w:rsidRDefault="00103DC6" w:rsidP="00966FFD">
            <w:pPr>
              <w:spacing w:before="60" w:after="60"/>
              <w:jc w:val="right"/>
              <w:rPr>
                <w:b/>
                <w:bCs/>
                <w:u w:val="single"/>
              </w:rPr>
            </w:pPr>
          </w:p>
          <w:p w14:paraId="31711DDB" w14:textId="77777777" w:rsidR="00103DC6" w:rsidRDefault="00103DC6" w:rsidP="00966FFD">
            <w:pPr>
              <w:spacing w:before="60" w:after="60"/>
              <w:jc w:val="right"/>
              <w:rPr>
                <w:b/>
                <w:bCs/>
                <w:u w:val="single"/>
              </w:rPr>
            </w:pPr>
          </w:p>
          <w:p w14:paraId="34C4B2FA" w14:textId="77777777" w:rsidR="00103DC6" w:rsidRDefault="00103DC6" w:rsidP="00966FFD">
            <w:pPr>
              <w:spacing w:before="60" w:after="60"/>
              <w:jc w:val="right"/>
              <w:rPr>
                <w:b/>
                <w:bCs/>
                <w:u w:val="single"/>
              </w:rPr>
            </w:pPr>
          </w:p>
          <w:p w14:paraId="64A05FAC" w14:textId="77777777" w:rsidR="00103DC6" w:rsidRDefault="00103DC6" w:rsidP="00966FFD">
            <w:pPr>
              <w:spacing w:before="60" w:after="60"/>
              <w:jc w:val="right"/>
              <w:rPr>
                <w:b/>
                <w:bCs/>
                <w:u w:val="single"/>
              </w:rPr>
            </w:pPr>
          </w:p>
          <w:p w14:paraId="0110C93D" w14:textId="77777777" w:rsidR="00103DC6" w:rsidRDefault="00103DC6" w:rsidP="00966FFD">
            <w:pPr>
              <w:spacing w:before="60" w:after="60"/>
              <w:jc w:val="right"/>
              <w:rPr>
                <w:b/>
                <w:bCs/>
                <w:u w:val="single"/>
              </w:rPr>
            </w:pPr>
          </w:p>
          <w:p w14:paraId="7614F084" w14:textId="77833EE5" w:rsidR="001052DC" w:rsidRDefault="001052DC" w:rsidP="00966FFD">
            <w:pPr>
              <w:spacing w:before="60" w:after="60"/>
              <w:jc w:val="right"/>
            </w:pPr>
            <w:r w:rsidRPr="00AA100D">
              <w:rPr>
                <w:b/>
                <w:bCs/>
                <w:u w:val="single"/>
              </w:rPr>
              <w:t>Health care system outcomes</w:t>
            </w:r>
            <w:r>
              <w:t xml:space="preserve">: </w:t>
            </w:r>
          </w:p>
          <w:p w14:paraId="4E0E7E78" w14:textId="48EFAFFA" w:rsidR="001052DC" w:rsidRPr="00817BDB" w:rsidRDefault="001052DC" w:rsidP="008A06F9">
            <w:pPr>
              <w:spacing w:before="60" w:after="60"/>
              <w:rPr>
                <w:b/>
                <w:bCs/>
                <w:caps/>
              </w:rPr>
            </w:pPr>
          </w:p>
        </w:tc>
        <w:tc>
          <w:tcPr>
            <w:tcW w:w="5245" w:type="dxa"/>
            <w:gridSpan w:val="2"/>
          </w:tcPr>
          <w:p w14:paraId="54672697" w14:textId="77777777" w:rsidR="00275B96" w:rsidRDefault="009B5DB1" w:rsidP="008A06F9">
            <w:pPr>
              <w:spacing w:before="60" w:after="60"/>
              <w:rPr>
                <w:b/>
                <w:bCs/>
                <w:u w:val="single"/>
              </w:rPr>
            </w:pPr>
            <w:r w:rsidRPr="009B5DB1">
              <w:rPr>
                <w:b/>
                <w:bCs/>
                <w:u w:val="single"/>
              </w:rPr>
              <w:lastRenderedPageBreak/>
              <w:t>Safety outcomes</w:t>
            </w:r>
            <w:r w:rsidR="00275B96">
              <w:rPr>
                <w:b/>
                <w:bCs/>
                <w:u w:val="single"/>
              </w:rPr>
              <w:t>:</w:t>
            </w:r>
          </w:p>
          <w:p w14:paraId="34DD1EE8" w14:textId="77777777" w:rsidR="00275B96" w:rsidRPr="00103DC6" w:rsidRDefault="009B5DB1" w:rsidP="008A06F9">
            <w:pPr>
              <w:spacing w:before="60" w:after="60"/>
            </w:pPr>
            <w:r w:rsidRPr="009B5DB1">
              <w:rPr>
                <w:b/>
                <w:bCs/>
                <w:u w:val="single"/>
              </w:rPr>
              <w:t xml:space="preserve"> </w:t>
            </w:r>
            <w:r w:rsidRPr="00103DC6">
              <w:sym w:font="Symbol" w:char="F0B7"/>
            </w:r>
            <w:r w:rsidRPr="00103DC6">
              <w:t xml:space="preserve"> Incidence of major adverse events</w:t>
            </w:r>
          </w:p>
          <w:p w14:paraId="2CA06CF3" w14:textId="77777777" w:rsidR="00275B96" w:rsidRPr="00103DC6" w:rsidRDefault="009B5DB1" w:rsidP="008A06F9">
            <w:pPr>
              <w:spacing w:before="60" w:after="60"/>
            </w:pPr>
            <w:r w:rsidRPr="00103DC6">
              <w:t xml:space="preserve"> </w:t>
            </w:r>
            <w:r w:rsidRPr="00103DC6">
              <w:sym w:font="Symbol" w:char="F0B7"/>
            </w:r>
            <w:r w:rsidRPr="00103DC6">
              <w:t xml:space="preserve"> Renal artery re-intervention (e.g. </w:t>
            </w:r>
            <w:proofErr w:type="gramStart"/>
            <w:r w:rsidRPr="00103DC6">
              <w:t>as a result of</w:t>
            </w:r>
            <w:proofErr w:type="gramEnd"/>
            <w:r w:rsidRPr="00103DC6">
              <w:t xml:space="preserve"> perforation or dissection) </w:t>
            </w:r>
          </w:p>
          <w:p w14:paraId="5561A2E1" w14:textId="77777777" w:rsidR="00275B96" w:rsidRPr="00103DC6" w:rsidRDefault="009B5DB1" w:rsidP="008A06F9">
            <w:pPr>
              <w:spacing w:before="60" w:after="60"/>
            </w:pPr>
            <w:r w:rsidRPr="00103DC6">
              <w:sym w:font="Symbol" w:char="F0B7"/>
            </w:r>
            <w:r w:rsidRPr="00103DC6">
              <w:t xml:space="preserve"> Vascular complications </w:t>
            </w:r>
          </w:p>
          <w:p w14:paraId="5F8B4D4F" w14:textId="77777777" w:rsidR="00275B96" w:rsidRPr="00103DC6" w:rsidRDefault="009B5DB1" w:rsidP="008A06F9">
            <w:pPr>
              <w:spacing w:before="60" w:after="60"/>
            </w:pPr>
            <w:r w:rsidRPr="00103DC6">
              <w:sym w:font="Symbol" w:char="F0B7"/>
            </w:r>
            <w:r w:rsidRPr="00103DC6">
              <w:t xml:space="preserve"> New stroke </w:t>
            </w:r>
          </w:p>
          <w:p w14:paraId="6E68EE2C" w14:textId="77777777" w:rsidR="00275B96" w:rsidRPr="00103DC6" w:rsidRDefault="009B5DB1" w:rsidP="008A06F9">
            <w:pPr>
              <w:spacing w:before="60" w:after="60"/>
            </w:pPr>
            <w:r w:rsidRPr="00103DC6">
              <w:sym w:font="Symbol" w:char="F0B7"/>
            </w:r>
            <w:r w:rsidRPr="00103DC6">
              <w:t xml:space="preserve"> Embolic event resulting in end-organ damage </w:t>
            </w:r>
          </w:p>
          <w:p w14:paraId="0F350EBA" w14:textId="77777777" w:rsidR="00275B96" w:rsidRPr="00103DC6" w:rsidRDefault="009B5DB1" w:rsidP="008A06F9">
            <w:pPr>
              <w:spacing w:before="60" w:after="60"/>
            </w:pPr>
            <w:r w:rsidRPr="00103DC6">
              <w:sym w:font="Symbol" w:char="F0B7"/>
            </w:r>
            <w:r w:rsidRPr="00103DC6">
              <w:t xml:space="preserve"> New-onset of end-stage renal disease </w:t>
            </w:r>
          </w:p>
          <w:p w14:paraId="104DB87C" w14:textId="77777777" w:rsidR="00275B96" w:rsidRPr="00103DC6" w:rsidRDefault="009B5DB1" w:rsidP="008A06F9">
            <w:pPr>
              <w:spacing w:before="60" w:after="60"/>
            </w:pPr>
            <w:r w:rsidRPr="00103DC6">
              <w:sym w:font="Symbol" w:char="F0B7"/>
            </w:r>
            <w:r w:rsidRPr="00103DC6">
              <w:t xml:space="preserve"> Renal artery stenosis (&gt;70%) </w:t>
            </w:r>
          </w:p>
          <w:p w14:paraId="2BE1B9E3" w14:textId="0182C1B4" w:rsidR="00D26047" w:rsidRPr="00103DC6" w:rsidRDefault="009B5DB1" w:rsidP="008A06F9">
            <w:pPr>
              <w:spacing w:before="60" w:after="60"/>
            </w:pPr>
            <w:r w:rsidRPr="00103DC6">
              <w:sym w:font="Symbol" w:char="F0B7"/>
            </w:r>
            <w:r w:rsidRPr="00103DC6">
              <w:t xml:space="preserve"> All-cause mortality (short-term only – long term mortality outcomes are captured as efficacy outcomes).</w:t>
            </w:r>
          </w:p>
          <w:p w14:paraId="0D225435" w14:textId="77777777" w:rsidR="009B5DB1" w:rsidRDefault="009B5DB1" w:rsidP="008A06F9">
            <w:pPr>
              <w:spacing w:before="60" w:after="60"/>
              <w:rPr>
                <w:b/>
                <w:bCs/>
                <w:u w:val="single"/>
              </w:rPr>
            </w:pPr>
          </w:p>
          <w:p w14:paraId="3BF22A0B" w14:textId="77777777" w:rsidR="00275B96" w:rsidRDefault="00EB39FB" w:rsidP="008A06F9">
            <w:pPr>
              <w:spacing w:before="60" w:after="60"/>
              <w:rPr>
                <w:b/>
                <w:bCs/>
                <w:u w:val="single"/>
              </w:rPr>
            </w:pPr>
            <w:r w:rsidRPr="00EB39FB">
              <w:rPr>
                <w:b/>
                <w:bCs/>
                <w:u w:val="single"/>
              </w:rPr>
              <w:t>Efficacy outcomes</w:t>
            </w:r>
            <w:r w:rsidR="00275B96">
              <w:rPr>
                <w:b/>
                <w:bCs/>
                <w:u w:val="single"/>
              </w:rPr>
              <w:t>:</w:t>
            </w:r>
          </w:p>
          <w:p w14:paraId="23736814" w14:textId="5E77CE95" w:rsidR="00103DC6" w:rsidRPr="00103DC6" w:rsidRDefault="00EB39FB" w:rsidP="008A06F9">
            <w:pPr>
              <w:spacing w:before="60" w:after="60"/>
            </w:pPr>
            <w:r w:rsidRPr="00103DC6">
              <w:t xml:space="preserve"> </w:t>
            </w:r>
            <w:r w:rsidRPr="00103DC6">
              <w:sym w:font="Symbol" w:char="F0B7"/>
            </w:r>
            <w:r w:rsidRPr="00103DC6">
              <w:t xml:space="preserve"> </w:t>
            </w:r>
            <w:r w:rsidR="00103DC6">
              <w:t>I</w:t>
            </w:r>
            <w:r w:rsidRPr="00103DC6">
              <w:t xml:space="preserve">ncidence of cardiovascular disease – composite outcome </w:t>
            </w:r>
            <w:proofErr w:type="gramStart"/>
            <w:r w:rsidRPr="00103DC6">
              <w:t>and also</w:t>
            </w:r>
            <w:proofErr w:type="gramEnd"/>
            <w:r w:rsidRPr="00103DC6">
              <w:t xml:space="preserve"> reported separately for: </w:t>
            </w:r>
          </w:p>
          <w:p w14:paraId="67BBA507" w14:textId="007216E9" w:rsidR="00103DC6" w:rsidRPr="00103DC6" w:rsidRDefault="00EB39FB" w:rsidP="008A06F9">
            <w:pPr>
              <w:spacing w:before="60" w:after="60"/>
            </w:pPr>
            <w:r w:rsidRPr="00103DC6">
              <w:t xml:space="preserve">o </w:t>
            </w:r>
            <w:proofErr w:type="gramStart"/>
            <w:r w:rsidR="00103DC6">
              <w:t>N</w:t>
            </w:r>
            <w:r w:rsidRPr="00103DC6">
              <w:t>ew</w:t>
            </w:r>
            <w:proofErr w:type="gramEnd"/>
            <w:r w:rsidRPr="00103DC6">
              <w:t xml:space="preserve"> onset of end-stage renal disease </w:t>
            </w:r>
          </w:p>
          <w:p w14:paraId="2D465C5D" w14:textId="77777777" w:rsidR="00B8277D" w:rsidRDefault="00EB39FB" w:rsidP="008A06F9">
            <w:pPr>
              <w:spacing w:before="60" w:after="60"/>
            </w:pPr>
            <w:r w:rsidRPr="00103DC6">
              <w:t xml:space="preserve">o </w:t>
            </w:r>
            <w:r w:rsidR="00103DC6">
              <w:t>N</w:t>
            </w:r>
            <w:r w:rsidRPr="00103DC6">
              <w:t xml:space="preserve">ew myocardial infarction </w:t>
            </w:r>
          </w:p>
          <w:p w14:paraId="1757666C" w14:textId="4C24B71A" w:rsidR="00103DC6" w:rsidRPr="00103DC6" w:rsidRDefault="00EB39FB" w:rsidP="008A06F9">
            <w:pPr>
              <w:spacing w:before="60" w:after="60"/>
            </w:pPr>
            <w:r w:rsidRPr="00103DC6">
              <w:t xml:space="preserve">o </w:t>
            </w:r>
            <w:proofErr w:type="gramStart"/>
            <w:r w:rsidR="00B8277D">
              <w:t>N</w:t>
            </w:r>
            <w:r w:rsidRPr="00103DC6">
              <w:t>ew</w:t>
            </w:r>
            <w:proofErr w:type="gramEnd"/>
            <w:r w:rsidRPr="00103DC6">
              <w:t xml:space="preserve"> stroke or </w:t>
            </w:r>
            <w:r w:rsidR="004032B7" w:rsidRPr="004032B7">
              <w:t xml:space="preserve">transient ischaemic attack </w:t>
            </w:r>
            <w:r w:rsidR="004032B7">
              <w:t>(</w:t>
            </w:r>
            <w:r w:rsidRPr="00103DC6">
              <w:t>TIA</w:t>
            </w:r>
            <w:r w:rsidR="004032B7">
              <w:t>)</w:t>
            </w:r>
            <w:r w:rsidRPr="00103DC6">
              <w:t xml:space="preserve"> </w:t>
            </w:r>
          </w:p>
          <w:p w14:paraId="312AF2C8" w14:textId="1543A0BE" w:rsidR="00103DC6" w:rsidRPr="00103DC6" w:rsidRDefault="00EB39FB" w:rsidP="008A06F9">
            <w:pPr>
              <w:spacing w:before="60" w:after="60"/>
            </w:pPr>
            <w:r w:rsidRPr="00103DC6">
              <w:t xml:space="preserve">o </w:t>
            </w:r>
            <w:proofErr w:type="gramStart"/>
            <w:r w:rsidR="00103DC6">
              <w:t>N</w:t>
            </w:r>
            <w:r w:rsidRPr="00103DC6">
              <w:t>ew</w:t>
            </w:r>
            <w:proofErr w:type="gramEnd"/>
            <w:r w:rsidRPr="00103DC6">
              <w:t xml:space="preserve"> onset atrial fibrillation </w:t>
            </w:r>
          </w:p>
          <w:p w14:paraId="796DE6C0" w14:textId="18778256" w:rsidR="00EB39FB" w:rsidRPr="00103DC6" w:rsidRDefault="00EB39FB" w:rsidP="008A06F9">
            <w:pPr>
              <w:spacing w:before="60" w:after="60"/>
            </w:pPr>
            <w:r w:rsidRPr="00103DC6">
              <w:t xml:space="preserve">o </w:t>
            </w:r>
            <w:proofErr w:type="gramStart"/>
            <w:r w:rsidR="00103DC6">
              <w:t>N</w:t>
            </w:r>
            <w:r w:rsidRPr="00103DC6">
              <w:t>ew</w:t>
            </w:r>
            <w:proofErr w:type="gramEnd"/>
            <w:r w:rsidRPr="00103DC6">
              <w:t xml:space="preserve"> onset heart failure o new myocardial infarction</w:t>
            </w:r>
          </w:p>
          <w:p w14:paraId="32EB7DEC" w14:textId="32C2A3C3" w:rsidR="00103DC6" w:rsidRPr="00103DC6" w:rsidRDefault="00EB39FB" w:rsidP="008A06F9">
            <w:pPr>
              <w:spacing w:before="60" w:after="60"/>
            </w:pPr>
            <w:r w:rsidRPr="00103DC6">
              <w:sym w:font="Symbol" w:char="F0B7"/>
            </w:r>
            <w:r w:rsidRPr="00103DC6">
              <w:t xml:space="preserve"> </w:t>
            </w:r>
            <w:r w:rsidR="00103DC6">
              <w:t>C</w:t>
            </w:r>
            <w:r w:rsidRPr="00103DC6">
              <w:t xml:space="preserve">hange in SBP (24-h ABPM and OBPM) </w:t>
            </w:r>
          </w:p>
          <w:p w14:paraId="39C03E73" w14:textId="5F562BA3" w:rsidR="00103DC6" w:rsidRPr="00103DC6" w:rsidRDefault="00EB39FB" w:rsidP="008A06F9">
            <w:pPr>
              <w:spacing w:before="60" w:after="60"/>
            </w:pPr>
            <w:r w:rsidRPr="00103DC6">
              <w:sym w:font="Symbol" w:char="F0B7"/>
            </w:r>
            <w:r w:rsidRPr="00103DC6">
              <w:t xml:space="preserve"> </w:t>
            </w:r>
            <w:r w:rsidR="00103DC6">
              <w:t>C</w:t>
            </w:r>
            <w:r w:rsidRPr="00103DC6">
              <w:t xml:space="preserve">hange in DBP (24-h ABPM and OBPM) </w:t>
            </w:r>
          </w:p>
          <w:p w14:paraId="7417ABDE" w14:textId="0DB2B6F3" w:rsidR="00103DC6" w:rsidRPr="00103DC6" w:rsidRDefault="00EB39FB" w:rsidP="008A06F9">
            <w:pPr>
              <w:spacing w:before="60" w:after="60"/>
            </w:pPr>
            <w:r w:rsidRPr="00103DC6">
              <w:lastRenderedPageBreak/>
              <w:sym w:font="Symbol" w:char="F0B7"/>
            </w:r>
            <w:r w:rsidRPr="00103DC6">
              <w:t xml:space="preserve"> </w:t>
            </w:r>
            <w:r w:rsidR="00103DC6">
              <w:t>I</w:t>
            </w:r>
            <w:r w:rsidRPr="00103DC6">
              <w:t xml:space="preserve">ncidence of achieving target SBP or DBP (140 mm Hg) </w:t>
            </w:r>
          </w:p>
          <w:p w14:paraId="0ED70949" w14:textId="44C70CB6" w:rsidR="00103DC6" w:rsidRPr="00103DC6" w:rsidRDefault="00EB39FB" w:rsidP="008A06F9">
            <w:pPr>
              <w:spacing w:before="60" w:after="60"/>
            </w:pPr>
            <w:r w:rsidRPr="00103DC6">
              <w:sym w:font="Symbol" w:char="F0B7"/>
            </w:r>
            <w:r w:rsidRPr="00103DC6">
              <w:t xml:space="preserve"> </w:t>
            </w:r>
            <w:r w:rsidR="00103DC6">
              <w:t>I</w:t>
            </w:r>
            <w:r w:rsidRPr="00103DC6">
              <w:t xml:space="preserve">ncidence of achieving target DBP (90 mm Hg) </w:t>
            </w:r>
          </w:p>
          <w:p w14:paraId="16F75379" w14:textId="5782E0A8" w:rsidR="00103DC6" w:rsidRPr="00103DC6" w:rsidRDefault="00EB39FB" w:rsidP="008A06F9">
            <w:pPr>
              <w:spacing w:before="60" w:after="60"/>
            </w:pPr>
            <w:r w:rsidRPr="00103DC6">
              <w:sym w:font="Symbol" w:char="F0B7"/>
            </w:r>
            <w:r w:rsidRPr="00103DC6">
              <w:t xml:space="preserve"> </w:t>
            </w:r>
            <w:r w:rsidR="00103DC6">
              <w:t>Q</w:t>
            </w:r>
            <w:r w:rsidRPr="00103DC6">
              <w:t xml:space="preserve">uality of life </w:t>
            </w:r>
          </w:p>
          <w:p w14:paraId="1696DDCD" w14:textId="1140D37B" w:rsidR="00103DC6" w:rsidRPr="00103DC6" w:rsidRDefault="00EB39FB" w:rsidP="008A06F9">
            <w:pPr>
              <w:spacing w:before="60" w:after="60"/>
            </w:pPr>
            <w:r w:rsidRPr="00103DC6">
              <w:sym w:font="Symbol" w:char="F0B7"/>
            </w:r>
            <w:r w:rsidRPr="00103DC6">
              <w:t xml:space="preserve"> </w:t>
            </w:r>
            <w:r w:rsidR="00103DC6">
              <w:t>C</w:t>
            </w:r>
            <w:r w:rsidRPr="00103DC6">
              <w:t xml:space="preserve">ardiovascular mortality </w:t>
            </w:r>
          </w:p>
          <w:p w14:paraId="0F7125FF" w14:textId="07876F17" w:rsidR="00EB39FB" w:rsidRPr="00103DC6" w:rsidRDefault="00EB39FB" w:rsidP="008A06F9">
            <w:pPr>
              <w:spacing w:before="60" w:after="60"/>
            </w:pPr>
            <w:r w:rsidRPr="00103DC6">
              <w:sym w:font="Symbol" w:char="F0B7"/>
            </w:r>
            <w:r w:rsidRPr="00103DC6">
              <w:t xml:space="preserve"> </w:t>
            </w:r>
            <w:r w:rsidR="00ED3A9D">
              <w:t>A</w:t>
            </w:r>
            <w:r w:rsidR="00ED3A9D" w:rsidRPr="00103DC6">
              <w:t>ll-cause</w:t>
            </w:r>
            <w:r w:rsidRPr="00103DC6">
              <w:t xml:space="preserve"> mortality.</w:t>
            </w:r>
          </w:p>
          <w:p w14:paraId="50700251" w14:textId="77777777" w:rsidR="005C7528" w:rsidRDefault="005C7528" w:rsidP="008A06F9">
            <w:pPr>
              <w:spacing w:before="60" w:after="60"/>
              <w:rPr>
                <w:b/>
                <w:bCs/>
                <w:u w:val="single"/>
              </w:rPr>
            </w:pPr>
          </w:p>
          <w:p w14:paraId="385A5B98" w14:textId="77777777" w:rsidR="00103DC6" w:rsidRDefault="005C7528" w:rsidP="008A06F9">
            <w:pPr>
              <w:spacing w:before="60" w:after="60"/>
              <w:rPr>
                <w:b/>
                <w:bCs/>
                <w:u w:val="single"/>
              </w:rPr>
            </w:pPr>
            <w:r w:rsidRPr="005C7528">
              <w:rPr>
                <w:b/>
                <w:bCs/>
                <w:u w:val="single"/>
              </w:rPr>
              <w:t>Healthcare resources</w:t>
            </w:r>
            <w:r w:rsidR="00103DC6">
              <w:rPr>
                <w:b/>
                <w:bCs/>
                <w:u w:val="single"/>
              </w:rPr>
              <w:t>:</w:t>
            </w:r>
            <w:r w:rsidRPr="005C7528">
              <w:rPr>
                <w:b/>
                <w:bCs/>
                <w:u w:val="single"/>
              </w:rPr>
              <w:t xml:space="preserve"> </w:t>
            </w:r>
          </w:p>
          <w:p w14:paraId="1732A1B7" w14:textId="77777777" w:rsidR="00103DC6" w:rsidRPr="00103DC6" w:rsidRDefault="005C7528" w:rsidP="008A06F9">
            <w:pPr>
              <w:spacing w:before="60" w:after="60"/>
            </w:pPr>
            <w:r w:rsidRPr="00103DC6">
              <w:sym w:font="Symbol" w:char="F0B7"/>
            </w:r>
            <w:r w:rsidRPr="00103DC6">
              <w:t xml:space="preserve"> Cost of catheter (the applicant intends to apply for listing on Part C of Prostheses List)</w:t>
            </w:r>
          </w:p>
          <w:p w14:paraId="3280202C" w14:textId="77777777" w:rsidR="00CB5431" w:rsidRDefault="005C7528" w:rsidP="008A06F9">
            <w:pPr>
              <w:spacing w:before="60" w:after="60"/>
            </w:pPr>
            <w:r w:rsidRPr="00103DC6">
              <w:sym w:font="Symbol" w:char="F0B7"/>
            </w:r>
            <w:r w:rsidRPr="00103DC6">
              <w:t xml:space="preserve"> Cost of procedure (i.e. proposed service fee; anaesthetist services; theatre/admission costs, including consumables; amortised cost of generator) </w:t>
            </w:r>
          </w:p>
          <w:p w14:paraId="1D169C42" w14:textId="7EF5B079" w:rsidR="005C7528" w:rsidRPr="00AA100D" w:rsidRDefault="005C7528" w:rsidP="008A06F9">
            <w:pPr>
              <w:spacing w:before="60" w:after="60"/>
              <w:rPr>
                <w:b/>
                <w:bCs/>
                <w:u w:val="single"/>
              </w:rPr>
            </w:pPr>
            <w:r w:rsidRPr="00103DC6">
              <w:sym w:font="Symbol" w:char="F0B7"/>
            </w:r>
            <w:r w:rsidRPr="00103DC6">
              <w:t xml:space="preserve"> Cost associated with changes in clinical management (e.g. radiographic imaging for renal stenosis; PBS-listed hypertension medications).</w:t>
            </w:r>
          </w:p>
        </w:tc>
        <w:tc>
          <w:tcPr>
            <w:tcW w:w="5245" w:type="dxa"/>
          </w:tcPr>
          <w:p w14:paraId="07756194" w14:textId="25F8F68D" w:rsidR="00D26047" w:rsidRPr="00142F7C" w:rsidRDefault="005C7528" w:rsidP="008A06F9">
            <w:pPr>
              <w:spacing w:before="60" w:after="60"/>
            </w:pPr>
            <w:r>
              <w:lastRenderedPageBreak/>
              <w:t>No change – all outcomes to be presented as the clinical evidence allows.</w:t>
            </w:r>
          </w:p>
        </w:tc>
      </w:tr>
      <w:tr w:rsidR="00A7301C" w:rsidRPr="00FB758B" w14:paraId="0B5F3ECC" w14:textId="77777777" w:rsidTr="00A3679A">
        <w:tc>
          <w:tcPr>
            <w:tcW w:w="6806" w:type="dxa"/>
            <w:gridSpan w:val="2"/>
          </w:tcPr>
          <w:p w14:paraId="170AC163" w14:textId="621E97FB" w:rsidR="00A7301C" w:rsidRPr="001F4BDF" w:rsidRDefault="00A00817" w:rsidP="007D5AD9">
            <w:pPr>
              <w:spacing w:before="60" w:after="120"/>
              <w:rPr>
                <w:b/>
                <w:bCs/>
                <w:caps/>
              </w:rPr>
            </w:pPr>
            <w:r w:rsidRPr="001F4BDF">
              <w:rPr>
                <w:b/>
                <w:bCs/>
                <w:caps/>
              </w:rPr>
              <w:t xml:space="preserve">Systematic Review Questions – Original </w:t>
            </w:r>
            <w:r w:rsidR="00EB57F4" w:rsidRPr="001F4BDF">
              <w:rPr>
                <w:b/>
                <w:bCs/>
                <w:caps/>
              </w:rPr>
              <w:t xml:space="preserve">as </w:t>
            </w:r>
            <w:r w:rsidR="00E36736" w:rsidRPr="001F4BDF">
              <w:rPr>
                <w:b/>
                <w:bCs/>
                <w:caps/>
              </w:rPr>
              <w:t>considered by MSAC</w:t>
            </w:r>
          </w:p>
          <w:p w14:paraId="5C4C2B5C" w14:textId="37470DB1" w:rsidR="008A06F9" w:rsidRPr="001F4BDF" w:rsidRDefault="007001D7" w:rsidP="0074107B">
            <w:r w:rsidRPr="001F4BDF">
              <w:t>What is t</w:t>
            </w:r>
            <w:r w:rsidR="008150AC" w:rsidRPr="001F4BDF">
              <w:t>he safety, effectiveness</w:t>
            </w:r>
            <w:r w:rsidR="00E36736" w:rsidRPr="001F4BDF">
              <w:t>,</w:t>
            </w:r>
            <w:r w:rsidR="008150AC" w:rsidRPr="001F4BDF">
              <w:t xml:space="preserve"> and cost effectiveness of </w:t>
            </w:r>
            <w:r w:rsidR="00157E62" w:rsidRPr="001F4BDF">
              <w:t xml:space="preserve">Renal denervation with radiofrequency ablation catheter (single electrode or multielectrode catheters) plus optimal medical management </w:t>
            </w:r>
            <w:r w:rsidR="008150AC" w:rsidRPr="001F4BDF">
              <w:t xml:space="preserve"> compared to </w:t>
            </w:r>
            <w:r w:rsidR="00B071B3" w:rsidRPr="001F4BDF">
              <w:t>o</w:t>
            </w:r>
            <w:r w:rsidR="00FF361E" w:rsidRPr="001F4BDF">
              <w:t>ptimal medical management</w:t>
            </w:r>
            <w:r w:rsidR="001B7492" w:rsidRPr="001F4BDF">
              <w:t xml:space="preserve"> in </w:t>
            </w:r>
            <w:r w:rsidR="00B071B3" w:rsidRPr="001F4BDF">
              <w:t>a</w:t>
            </w:r>
            <w:r w:rsidR="006218F8" w:rsidRPr="001F4BDF">
              <w:t xml:space="preserve">dults ≥18 years of age with treatment-resistant hypertension confirmed by a specialist, </w:t>
            </w:r>
            <w:r w:rsidR="006218F8" w:rsidRPr="001F4BDF">
              <w:rPr>
                <w:b/>
                <w:bCs/>
              </w:rPr>
              <w:t xml:space="preserve">with elevated systolic blood pressure ≥ 150 mm Hg and/or elevated diastolic blood pressure ≥110 mm Hg </w:t>
            </w:r>
            <w:r w:rsidR="006218F8" w:rsidRPr="001F4BDF">
              <w:t xml:space="preserve">despite optimal medical management (using three or more antihypertensive drugs, including a diuretic, at optimal tolerated doses) and </w:t>
            </w:r>
            <w:r w:rsidR="000827BB" w:rsidRPr="001F4BDF">
              <w:t xml:space="preserve">high risk of CVD. </w:t>
            </w:r>
          </w:p>
          <w:p w14:paraId="42529420" w14:textId="3C6DD333" w:rsidR="008A06F9" w:rsidRPr="001F4BDF" w:rsidRDefault="008A06F9" w:rsidP="0074107B"/>
        </w:tc>
        <w:tc>
          <w:tcPr>
            <w:tcW w:w="7936" w:type="dxa"/>
            <w:gridSpan w:val="2"/>
          </w:tcPr>
          <w:p w14:paraId="6C9BDED9" w14:textId="69058D0E" w:rsidR="00A7301C" w:rsidRPr="001F4BDF" w:rsidRDefault="00A00817" w:rsidP="007D5AD9">
            <w:pPr>
              <w:spacing w:before="60" w:after="120"/>
              <w:rPr>
                <w:b/>
                <w:bCs/>
                <w:caps/>
              </w:rPr>
            </w:pPr>
            <w:r w:rsidRPr="001F4BDF">
              <w:rPr>
                <w:b/>
                <w:bCs/>
                <w:caps/>
              </w:rPr>
              <w:t xml:space="preserve">Systematic Review Questions – </w:t>
            </w:r>
            <w:r w:rsidR="00F27E0C" w:rsidRPr="001F4BDF">
              <w:rPr>
                <w:b/>
                <w:bCs/>
                <w:caps/>
              </w:rPr>
              <w:t xml:space="preserve">ChANGES </w:t>
            </w:r>
          </w:p>
          <w:p w14:paraId="7BF18798" w14:textId="7D384362" w:rsidR="000827BB" w:rsidRPr="001F4BDF" w:rsidRDefault="000827BB" w:rsidP="000827BB">
            <w:r w:rsidRPr="001F4BDF">
              <w:t xml:space="preserve">What is the safety, effectiveness, and cost effectiveness of Renal denervation with radiofrequency ablation catheter (single electrode or multielectrode catheters) plus optimal medical management  compared to </w:t>
            </w:r>
            <w:r w:rsidR="00B071B3" w:rsidRPr="001F4BDF">
              <w:t>o</w:t>
            </w:r>
            <w:r w:rsidRPr="001F4BDF">
              <w:t xml:space="preserve">ptimal medical management in </w:t>
            </w:r>
            <w:r w:rsidR="00B071B3" w:rsidRPr="001F4BDF">
              <w:t>a</w:t>
            </w:r>
            <w:r w:rsidRPr="001F4BDF">
              <w:t xml:space="preserve">dults ≥18 years of age with treatment-resistant hypertension confirmed by a specialist, </w:t>
            </w:r>
            <w:r w:rsidRPr="001F4BDF">
              <w:rPr>
                <w:b/>
                <w:bCs/>
              </w:rPr>
              <w:t>with elevated systolic blood pressure ≥ 180 mm Hg and/or elevated diastolic blood pressure ≥120 mm Hg</w:t>
            </w:r>
            <w:r w:rsidRPr="001F4BDF">
              <w:t xml:space="preserve"> despite optimal medical management (using three or more antihypertensive drugs, including a diuretic, at optimal tolerated doses) and high risk of CVD. </w:t>
            </w:r>
          </w:p>
          <w:p w14:paraId="3780D161" w14:textId="77777777" w:rsidR="00AA1879" w:rsidRPr="001F4BDF" w:rsidRDefault="00AA1879" w:rsidP="000827BB"/>
          <w:p w14:paraId="12A97E4E" w14:textId="6F304557" w:rsidR="004D6C7F" w:rsidRPr="003D7AD9" w:rsidRDefault="001F4BDF" w:rsidP="0074107B">
            <w:r w:rsidRPr="001F4BDF">
              <w:t>NB: T</w:t>
            </w:r>
            <w:r w:rsidR="00AA1879" w:rsidRPr="001F4BDF">
              <w:t xml:space="preserve">he change </w:t>
            </w:r>
            <w:r w:rsidRPr="001F4BDF">
              <w:t>from the original submission has been highlighted in bold.</w:t>
            </w:r>
          </w:p>
        </w:tc>
      </w:tr>
    </w:tbl>
    <w:p w14:paraId="58CF703D" w14:textId="77777777" w:rsidR="006E294C" w:rsidRDefault="006E294C" w:rsidP="003D7AD9">
      <w:pPr>
        <w:rPr>
          <w:rFonts w:cstheme="minorHAnsi"/>
          <w:b/>
          <w:bCs/>
        </w:rPr>
      </w:pPr>
    </w:p>
    <w:sectPr w:rsidR="006E294C" w:rsidSect="00336BB1">
      <w:pgSz w:w="16838" w:h="11906" w:orient="landscape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D2D68" w14:textId="77777777" w:rsidR="008D4F47" w:rsidRDefault="008D4F47" w:rsidP="00D508C3">
      <w:pPr>
        <w:spacing w:after="0" w:line="240" w:lineRule="auto"/>
      </w:pPr>
      <w:r>
        <w:separator/>
      </w:r>
    </w:p>
  </w:endnote>
  <w:endnote w:type="continuationSeparator" w:id="0">
    <w:p w14:paraId="3937FA8D" w14:textId="77777777" w:rsidR="008D4F47" w:rsidRDefault="008D4F47" w:rsidP="00D508C3">
      <w:pPr>
        <w:spacing w:after="0" w:line="240" w:lineRule="auto"/>
      </w:pPr>
      <w:r>
        <w:continuationSeparator/>
      </w:r>
    </w:p>
  </w:endnote>
  <w:endnote w:type="continuationNotice" w:id="1">
    <w:p w14:paraId="49EF1C4F" w14:textId="77777777" w:rsidR="008D4F47" w:rsidRDefault="008D4F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A007D" w14:textId="3310C18F" w:rsidR="002E5771" w:rsidRDefault="002E577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24DE4CAA" wp14:editId="015BEA4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692512708" name="Text Box 1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FFA0AE" w14:textId="31C42255" w:rsidR="002E5771" w:rsidRPr="002E5771" w:rsidRDefault="002E5771" w:rsidP="002E577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E577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DE4CAA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alt="OFFICIAL" style="position:absolute;margin-left:0;margin-top:0;width:49pt;height:30.8pt;z-index:2516705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8FFA0AE" w14:textId="31C42255" w:rsidR="002E5771" w:rsidRPr="002E5771" w:rsidRDefault="002E5771" w:rsidP="002E577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E5771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2BC43" w14:textId="4C3A3063" w:rsidR="008E676A" w:rsidRDefault="002E5771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6F5F25DF" wp14:editId="446E4B6F">
              <wp:simplePos x="541020" y="101727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1666217311" name="Text Box 1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F91CD6" w14:textId="3DD40AEB" w:rsidR="002E5771" w:rsidRPr="002E5771" w:rsidRDefault="002E5771" w:rsidP="002E577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E577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5F25DF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alt="OFFICIAL" style="position:absolute;left:0;text-align:left;margin-left:0;margin-top:0;width:49pt;height:30.8pt;z-index:2516715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26F91CD6" w14:textId="3DD40AEB" w:rsidR="002E5771" w:rsidRPr="002E5771" w:rsidRDefault="002E5771" w:rsidP="002E577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E5771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91854378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E676A">
          <w:fldChar w:fldCharType="begin"/>
        </w:r>
        <w:r w:rsidR="008E676A">
          <w:instrText xml:space="preserve"> PAGE   \* MERGEFORMAT </w:instrText>
        </w:r>
        <w:r w:rsidR="008E676A">
          <w:fldChar w:fldCharType="separate"/>
        </w:r>
        <w:r w:rsidR="008E676A">
          <w:rPr>
            <w:noProof/>
          </w:rPr>
          <w:t>2</w:t>
        </w:r>
        <w:r w:rsidR="008E676A">
          <w:rPr>
            <w:noProof/>
          </w:rPr>
          <w:fldChar w:fldCharType="end"/>
        </w:r>
      </w:sdtContent>
    </w:sdt>
  </w:p>
  <w:p w14:paraId="0CCC1918" w14:textId="77777777" w:rsidR="008B3EDB" w:rsidRDefault="008B3E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5FFF4" w14:textId="1C4F477C" w:rsidR="002E5771" w:rsidRDefault="002E577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2876182C" wp14:editId="0BDAF29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2095728262" name="Text Box 1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FB744F" w14:textId="0BA9B9CB" w:rsidR="002E5771" w:rsidRPr="002E5771" w:rsidRDefault="002E5771" w:rsidP="002E577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E577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76182C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1" type="#_x0000_t202" alt="OFFICIAL" style="position:absolute;margin-left:0;margin-top:0;width:49pt;height:30.8pt;z-index:25166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AFB744F" w14:textId="0BA9B9CB" w:rsidR="002E5771" w:rsidRPr="002E5771" w:rsidRDefault="002E5771" w:rsidP="002E577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E5771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4CAB2" w14:textId="77777777" w:rsidR="008D4F47" w:rsidRDefault="008D4F47" w:rsidP="00D508C3">
      <w:pPr>
        <w:spacing w:after="0" w:line="240" w:lineRule="auto"/>
      </w:pPr>
      <w:r>
        <w:separator/>
      </w:r>
    </w:p>
  </w:footnote>
  <w:footnote w:type="continuationSeparator" w:id="0">
    <w:p w14:paraId="6D3008F9" w14:textId="77777777" w:rsidR="008D4F47" w:rsidRDefault="008D4F47" w:rsidP="00D508C3">
      <w:pPr>
        <w:spacing w:after="0" w:line="240" w:lineRule="auto"/>
      </w:pPr>
      <w:r>
        <w:continuationSeparator/>
      </w:r>
    </w:p>
  </w:footnote>
  <w:footnote w:type="continuationNotice" w:id="1">
    <w:p w14:paraId="194B06D7" w14:textId="77777777" w:rsidR="008D4F47" w:rsidRDefault="008D4F47">
      <w:pPr>
        <w:spacing w:after="0" w:line="240" w:lineRule="auto"/>
      </w:pPr>
    </w:p>
  </w:footnote>
  <w:footnote w:id="2">
    <w:p w14:paraId="7FC12A54" w14:textId="0A9A9B49" w:rsidR="003474A6" w:rsidRDefault="003474A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EB2B7B">
        <w:t xml:space="preserve">The </w:t>
      </w:r>
      <w:proofErr w:type="gramStart"/>
      <w:r w:rsidR="00EB2B7B">
        <w:t>in principle</w:t>
      </w:r>
      <w:proofErr w:type="gramEnd"/>
      <w:r w:rsidR="00EB2B7B">
        <w:t xml:space="preserve"> Statement of Clinical Relevance demonstrates ‘in principle’ support for the proposed service. This must be from the most relevant professional medical/health group (i.e.</w:t>
      </w:r>
      <w:r w:rsidR="00AF2ADD">
        <w:t xml:space="preserve">, an official college or society) that represents practitioners who would </w:t>
      </w:r>
      <w:r w:rsidR="00AF2ADD" w:rsidRPr="00AF2ADD">
        <w:rPr>
          <w:b/>
          <w:bCs/>
        </w:rPr>
        <w:t>perform</w:t>
      </w:r>
      <w:r w:rsidR="00AF2ADD">
        <w:t xml:space="preserve"> the proposed services, and (in the case of investigative technologies only) practitioners who would </w:t>
      </w:r>
      <w:r w:rsidR="00AF2ADD" w:rsidRPr="00AF2ADD">
        <w:rPr>
          <w:b/>
          <w:bCs/>
        </w:rPr>
        <w:t>request</w:t>
      </w:r>
      <w:r w:rsidR="00AF2ADD">
        <w:t xml:space="preserve"> the proposed service.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90C83" w14:textId="45D6F208" w:rsidR="002E5771" w:rsidRDefault="002E577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62100162" wp14:editId="1ECBA38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849308144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180851" w14:textId="6103C21F" w:rsidR="002E5771" w:rsidRPr="002E5771" w:rsidRDefault="002E5771" w:rsidP="002E577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E577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100162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alt="OFFICIAL" style="position:absolute;margin-left:0;margin-top:0;width:49pt;height:30.8pt;z-index:2516674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" filled="f" stroked="f">
              <v:fill o:detectmouseclick="t"/>
              <v:textbox style="mso-fit-shape-to-text:t" inset="0,15pt,0,0">
                <w:txbxContent>
                  <w:p w14:paraId="1C180851" w14:textId="6103C21F" w:rsidR="002E5771" w:rsidRPr="002E5771" w:rsidRDefault="002E5771" w:rsidP="002E577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E5771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B2EBC" w14:textId="77AB9EC4" w:rsidR="008B3EDB" w:rsidRDefault="002E577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0DF6C602" wp14:editId="6D85C20E">
              <wp:simplePos x="541020" y="449580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442016968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218287" w14:textId="03994226" w:rsidR="002E5771" w:rsidRPr="002E5771" w:rsidRDefault="002E5771" w:rsidP="002E577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E577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F6C60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alt="OFFICIAL" style="position:absolute;margin-left:0;margin-top:0;width:49pt;height:30.8pt;z-index:2516684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" filled="f" stroked="f">
              <v:fill o:detectmouseclick="t"/>
              <v:textbox style="mso-fit-shape-to-text:t" inset="0,15pt,0,0">
                <w:txbxContent>
                  <w:p w14:paraId="3F218287" w14:textId="03994226" w:rsidR="002E5771" w:rsidRPr="002E5771" w:rsidRDefault="002E5771" w:rsidP="002E577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E5771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39FE4" w14:textId="7D6FFEFD" w:rsidR="002E5771" w:rsidRDefault="002E577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4C961909" wp14:editId="4FF1CE1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2051297189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343631" w14:textId="250FBF9B" w:rsidR="002E5771" w:rsidRPr="002E5771" w:rsidRDefault="002E5771" w:rsidP="002E577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E577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961909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alt="OFFICIAL" style="position:absolute;margin-left:0;margin-top:0;width:49pt;height:30.8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" filled="f" stroked="f">
              <v:fill o:detectmouseclick="t"/>
              <v:textbox style="mso-fit-shape-to-text:t" inset="0,15pt,0,0">
                <w:txbxContent>
                  <w:p w14:paraId="23343631" w14:textId="250FBF9B" w:rsidR="002E5771" w:rsidRPr="002E5771" w:rsidRDefault="002E5771" w:rsidP="002E577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E5771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53AD"/>
    <w:multiLevelType w:val="hybridMultilevel"/>
    <w:tmpl w:val="A8EC1574"/>
    <w:lvl w:ilvl="0" w:tplc="0C09000B">
      <w:start w:val="1"/>
      <w:numFmt w:val="bullet"/>
      <w:lvlText w:val=""/>
      <w:lvlJc w:val="left"/>
      <w:pPr>
        <w:ind w:left="6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" w15:restartNumberingAfterBreak="0">
    <w:nsid w:val="032D77D6"/>
    <w:multiLevelType w:val="hybridMultilevel"/>
    <w:tmpl w:val="36BE6016"/>
    <w:lvl w:ilvl="0" w:tplc="481A712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90" w:hanging="360"/>
      </w:pPr>
    </w:lvl>
    <w:lvl w:ilvl="2" w:tplc="0C09001B" w:tentative="1">
      <w:start w:val="1"/>
      <w:numFmt w:val="lowerRoman"/>
      <w:lvlText w:val="%3."/>
      <w:lvlJc w:val="right"/>
      <w:pPr>
        <w:ind w:left="1810" w:hanging="180"/>
      </w:pPr>
    </w:lvl>
    <w:lvl w:ilvl="3" w:tplc="0C09000F" w:tentative="1">
      <w:start w:val="1"/>
      <w:numFmt w:val="decimal"/>
      <w:lvlText w:val="%4."/>
      <w:lvlJc w:val="left"/>
      <w:pPr>
        <w:ind w:left="2530" w:hanging="360"/>
      </w:pPr>
    </w:lvl>
    <w:lvl w:ilvl="4" w:tplc="0C090019" w:tentative="1">
      <w:start w:val="1"/>
      <w:numFmt w:val="lowerLetter"/>
      <w:lvlText w:val="%5."/>
      <w:lvlJc w:val="left"/>
      <w:pPr>
        <w:ind w:left="3250" w:hanging="360"/>
      </w:pPr>
    </w:lvl>
    <w:lvl w:ilvl="5" w:tplc="0C09001B" w:tentative="1">
      <w:start w:val="1"/>
      <w:numFmt w:val="lowerRoman"/>
      <w:lvlText w:val="%6."/>
      <w:lvlJc w:val="right"/>
      <w:pPr>
        <w:ind w:left="3970" w:hanging="180"/>
      </w:pPr>
    </w:lvl>
    <w:lvl w:ilvl="6" w:tplc="0C09000F" w:tentative="1">
      <w:start w:val="1"/>
      <w:numFmt w:val="decimal"/>
      <w:lvlText w:val="%7."/>
      <w:lvlJc w:val="left"/>
      <w:pPr>
        <w:ind w:left="4690" w:hanging="360"/>
      </w:pPr>
    </w:lvl>
    <w:lvl w:ilvl="7" w:tplc="0C090019" w:tentative="1">
      <w:start w:val="1"/>
      <w:numFmt w:val="lowerLetter"/>
      <w:lvlText w:val="%8."/>
      <w:lvlJc w:val="left"/>
      <w:pPr>
        <w:ind w:left="5410" w:hanging="360"/>
      </w:pPr>
    </w:lvl>
    <w:lvl w:ilvl="8" w:tplc="0C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" w15:restartNumberingAfterBreak="0">
    <w:nsid w:val="04C813DA"/>
    <w:multiLevelType w:val="hybridMultilevel"/>
    <w:tmpl w:val="8794E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F23CC"/>
    <w:multiLevelType w:val="hybridMultilevel"/>
    <w:tmpl w:val="FCE0E33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1F7026"/>
    <w:multiLevelType w:val="multilevel"/>
    <w:tmpl w:val="31422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3167D3"/>
    <w:multiLevelType w:val="multilevel"/>
    <w:tmpl w:val="05D284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4213E9"/>
    <w:multiLevelType w:val="hybridMultilevel"/>
    <w:tmpl w:val="1AC65C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9E42B7"/>
    <w:multiLevelType w:val="hybridMultilevel"/>
    <w:tmpl w:val="3A1A6F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101D60"/>
    <w:multiLevelType w:val="hybridMultilevel"/>
    <w:tmpl w:val="0CA46ED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E6274FD"/>
    <w:multiLevelType w:val="hybridMultilevel"/>
    <w:tmpl w:val="BFDE3C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6F4D45"/>
    <w:multiLevelType w:val="hybridMultilevel"/>
    <w:tmpl w:val="E946A444"/>
    <w:lvl w:ilvl="0" w:tplc="748EFDD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DB2C79"/>
    <w:multiLevelType w:val="hybridMultilevel"/>
    <w:tmpl w:val="B15CAA6C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B327C3E"/>
    <w:multiLevelType w:val="hybridMultilevel"/>
    <w:tmpl w:val="63F406FE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DD110CD"/>
    <w:multiLevelType w:val="hybridMultilevel"/>
    <w:tmpl w:val="7FF20724"/>
    <w:lvl w:ilvl="0" w:tplc="0C090015">
      <w:start w:val="1"/>
      <w:numFmt w:val="upperLetter"/>
      <w:lvlText w:val="%1."/>
      <w:lvlJc w:val="left"/>
      <w:pPr>
        <w:ind w:left="862" w:hanging="360"/>
      </w:pPr>
    </w:lvl>
    <w:lvl w:ilvl="1" w:tplc="0C090019" w:tentative="1">
      <w:start w:val="1"/>
      <w:numFmt w:val="lowerLetter"/>
      <w:lvlText w:val="%2."/>
      <w:lvlJc w:val="left"/>
      <w:pPr>
        <w:ind w:left="1582" w:hanging="360"/>
      </w:pPr>
    </w:lvl>
    <w:lvl w:ilvl="2" w:tplc="0C09001B" w:tentative="1">
      <w:start w:val="1"/>
      <w:numFmt w:val="lowerRoman"/>
      <w:lvlText w:val="%3."/>
      <w:lvlJc w:val="right"/>
      <w:pPr>
        <w:ind w:left="2302" w:hanging="180"/>
      </w:pPr>
    </w:lvl>
    <w:lvl w:ilvl="3" w:tplc="0C09000F" w:tentative="1">
      <w:start w:val="1"/>
      <w:numFmt w:val="decimal"/>
      <w:lvlText w:val="%4."/>
      <w:lvlJc w:val="left"/>
      <w:pPr>
        <w:ind w:left="3022" w:hanging="360"/>
      </w:pPr>
    </w:lvl>
    <w:lvl w:ilvl="4" w:tplc="0C090019" w:tentative="1">
      <w:start w:val="1"/>
      <w:numFmt w:val="lowerLetter"/>
      <w:lvlText w:val="%5."/>
      <w:lvlJc w:val="left"/>
      <w:pPr>
        <w:ind w:left="3742" w:hanging="360"/>
      </w:pPr>
    </w:lvl>
    <w:lvl w:ilvl="5" w:tplc="0C09001B" w:tentative="1">
      <w:start w:val="1"/>
      <w:numFmt w:val="lowerRoman"/>
      <w:lvlText w:val="%6."/>
      <w:lvlJc w:val="right"/>
      <w:pPr>
        <w:ind w:left="4462" w:hanging="180"/>
      </w:pPr>
    </w:lvl>
    <w:lvl w:ilvl="6" w:tplc="0C09000F" w:tentative="1">
      <w:start w:val="1"/>
      <w:numFmt w:val="decimal"/>
      <w:lvlText w:val="%7."/>
      <w:lvlJc w:val="left"/>
      <w:pPr>
        <w:ind w:left="5182" w:hanging="360"/>
      </w:pPr>
    </w:lvl>
    <w:lvl w:ilvl="7" w:tplc="0C090019" w:tentative="1">
      <w:start w:val="1"/>
      <w:numFmt w:val="lowerLetter"/>
      <w:lvlText w:val="%8."/>
      <w:lvlJc w:val="left"/>
      <w:pPr>
        <w:ind w:left="5902" w:hanging="360"/>
      </w:pPr>
    </w:lvl>
    <w:lvl w:ilvl="8" w:tplc="0C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20BA49BF"/>
    <w:multiLevelType w:val="hybridMultilevel"/>
    <w:tmpl w:val="085CEFF4"/>
    <w:lvl w:ilvl="0" w:tplc="C4D81D66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9001B">
      <w:start w:val="1"/>
      <w:numFmt w:val="lowerRoman"/>
      <w:lvlText w:val="%2."/>
      <w:lvlJc w:val="right"/>
      <w:pPr>
        <w:ind w:left="773" w:hanging="360"/>
      </w:pPr>
    </w:lvl>
    <w:lvl w:ilvl="2" w:tplc="0C0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3691D28"/>
    <w:multiLevelType w:val="hybridMultilevel"/>
    <w:tmpl w:val="E536035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8432C7"/>
    <w:multiLevelType w:val="hybridMultilevel"/>
    <w:tmpl w:val="6E706172"/>
    <w:lvl w:ilvl="0" w:tplc="0C09000F">
      <w:start w:val="1"/>
      <w:numFmt w:val="decimal"/>
      <w:lvlText w:val="%1."/>
      <w:lvlJc w:val="left"/>
      <w:pPr>
        <w:ind w:left="765" w:hanging="360"/>
      </w:pPr>
    </w:lvl>
    <w:lvl w:ilvl="1" w:tplc="0C090019" w:tentative="1">
      <w:start w:val="1"/>
      <w:numFmt w:val="lowerLetter"/>
      <w:lvlText w:val="%2."/>
      <w:lvlJc w:val="left"/>
      <w:pPr>
        <w:ind w:left="1485" w:hanging="360"/>
      </w:pPr>
    </w:lvl>
    <w:lvl w:ilvl="2" w:tplc="0C09001B" w:tentative="1">
      <w:start w:val="1"/>
      <w:numFmt w:val="lowerRoman"/>
      <w:lvlText w:val="%3."/>
      <w:lvlJc w:val="right"/>
      <w:pPr>
        <w:ind w:left="2205" w:hanging="180"/>
      </w:pPr>
    </w:lvl>
    <w:lvl w:ilvl="3" w:tplc="0C09000F" w:tentative="1">
      <w:start w:val="1"/>
      <w:numFmt w:val="decimal"/>
      <w:lvlText w:val="%4."/>
      <w:lvlJc w:val="left"/>
      <w:pPr>
        <w:ind w:left="2925" w:hanging="360"/>
      </w:pPr>
    </w:lvl>
    <w:lvl w:ilvl="4" w:tplc="0C090019" w:tentative="1">
      <w:start w:val="1"/>
      <w:numFmt w:val="lowerLetter"/>
      <w:lvlText w:val="%5."/>
      <w:lvlJc w:val="left"/>
      <w:pPr>
        <w:ind w:left="3645" w:hanging="360"/>
      </w:pPr>
    </w:lvl>
    <w:lvl w:ilvl="5" w:tplc="0C09001B" w:tentative="1">
      <w:start w:val="1"/>
      <w:numFmt w:val="lowerRoman"/>
      <w:lvlText w:val="%6."/>
      <w:lvlJc w:val="right"/>
      <w:pPr>
        <w:ind w:left="4365" w:hanging="180"/>
      </w:pPr>
    </w:lvl>
    <w:lvl w:ilvl="6" w:tplc="0C09000F" w:tentative="1">
      <w:start w:val="1"/>
      <w:numFmt w:val="decimal"/>
      <w:lvlText w:val="%7."/>
      <w:lvlJc w:val="left"/>
      <w:pPr>
        <w:ind w:left="5085" w:hanging="360"/>
      </w:pPr>
    </w:lvl>
    <w:lvl w:ilvl="7" w:tplc="0C090019" w:tentative="1">
      <w:start w:val="1"/>
      <w:numFmt w:val="lowerLetter"/>
      <w:lvlText w:val="%8."/>
      <w:lvlJc w:val="left"/>
      <w:pPr>
        <w:ind w:left="5805" w:hanging="360"/>
      </w:pPr>
    </w:lvl>
    <w:lvl w:ilvl="8" w:tplc="0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24434ADD"/>
    <w:multiLevelType w:val="hybridMultilevel"/>
    <w:tmpl w:val="65561BBE"/>
    <w:lvl w:ilvl="0" w:tplc="9DB4A2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9832470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F94880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3561F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638EB11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0606B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250335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000C1BF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89DC32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8" w15:restartNumberingAfterBreak="0">
    <w:nsid w:val="28BD174B"/>
    <w:multiLevelType w:val="hybridMultilevel"/>
    <w:tmpl w:val="11EE1D7E"/>
    <w:lvl w:ilvl="0" w:tplc="FAA8A3C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B8B1C57"/>
    <w:multiLevelType w:val="multilevel"/>
    <w:tmpl w:val="BCAA4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B7467E"/>
    <w:multiLevelType w:val="hybridMultilevel"/>
    <w:tmpl w:val="93E2DC4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1386445"/>
    <w:multiLevelType w:val="hybridMultilevel"/>
    <w:tmpl w:val="DCB0F6D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16F338D"/>
    <w:multiLevelType w:val="hybridMultilevel"/>
    <w:tmpl w:val="AFFAB616"/>
    <w:lvl w:ilvl="0" w:tplc="FAA8A3C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9D07B7"/>
    <w:multiLevelType w:val="hybridMultilevel"/>
    <w:tmpl w:val="50D8E94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22D12A4"/>
    <w:multiLevelType w:val="hybridMultilevel"/>
    <w:tmpl w:val="8F4617FC"/>
    <w:lvl w:ilvl="0" w:tplc="0C09001B">
      <w:start w:val="1"/>
      <w:numFmt w:val="lowerRoman"/>
      <w:lvlText w:val="%1."/>
      <w:lvlJc w:val="right"/>
      <w:pPr>
        <w:ind w:left="773" w:hanging="360"/>
      </w:pPr>
    </w:lvl>
    <w:lvl w:ilvl="1" w:tplc="0C090019" w:tentative="1">
      <w:start w:val="1"/>
      <w:numFmt w:val="lowerLetter"/>
      <w:lvlText w:val="%2."/>
      <w:lvlJc w:val="left"/>
      <w:pPr>
        <w:ind w:left="1493" w:hanging="360"/>
      </w:pPr>
    </w:lvl>
    <w:lvl w:ilvl="2" w:tplc="0C09001B" w:tentative="1">
      <w:start w:val="1"/>
      <w:numFmt w:val="lowerRoman"/>
      <w:lvlText w:val="%3."/>
      <w:lvlJc w:val="right"/>
      <w:pPr>
        <w:ind w:left="2213" w:hanging="180"/>
      </w:pPr>
    </w:lvl>
    <w:lvl w:ilvl="3" w:tplc="0C09000F" w:tentative="1">
      <w:start w:val="1"/>
      <w:numFmt w:val="decimal"/>
      <w:lvlText w:val="%4."/>
      <w:lvlJc w:val="left"/>
      <w:pPr>
        <w:ind w:left="2933" w:hanging="360"/>
      </w:pPr>
    </w:lvl>
    <w:lvl w:ilvl="4" w:tplc="0C090019" w:tentative="1">
      <w:start w:val="1"/>
      <w:numFmt w:val="lowerLetter"/>
      <w:lvlText w:val="%5."/>
      <w:lvlJc w:val="left"/>
      <w:pPr>
        <w:ind w:left="3653" w:hanging="360"/>
      </w:pPr>
    </w:lvl>
    <w:lvl w:ilvl="5" w:tplc="0C09001B" w:tentative="1">
      <w:start w:val="1"/>
      <w:numFmt w:val="lowerRoman"/>
      <w:lvlText w:val="%6."/>
      <w:lvlJc w:val="right"/>
      <w:pPr>
        <w:ind w:left="4373" w:hanging="180"/>
      </w:pPr>
    </w:lvl>
    <w:lvl w:ilvl="6" w:tplc="0C09000F" w:tentative="1">
      <w:start w:val="1"/>
      <w:numFmt w:val="decimal"/>
      <w:lvlText w:val="%7."/>
      <w:lvlJc w:val="left"/>
      <w:pPr>
        <w:ind w:left="5093" w:hanging="360"/>
      </w:pPr>
    </w:lvl>
    <w:lvl w:ilvl="7" w:tplc="0C090019" w:tentative="1">
      <w:start w:val="1"/>
      <w:numFmt w:val="lowerLetter"/>
      <w:lvlText w:val="%8."/>
      <w:lvlJc w:val="left"/>
      <w:pPr>
        <w:ind w:left="5813" w:hanging="360"/>
      </w:pPr>
    </w:lvl>
    <w:lvl w:ilvl="8" w:tplc="0C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5" w15:restartNumberingAfterBreak="0">
    <w:nsid w:val="34A428B8"/>
    <w:multiLevelType w:val="hybridMultilevel"/>
    <w:tmpl w:val="8FDC8E2C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BEB5F6B"/>
    <w:multiLevelType w:val="hybridMultilevel"/>
    <w:tmpl w:val="D576BAE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452239"/>
    <w:multiLevelType w:val="hybridMultilevel"/>
    <w:tmpl w:val="63F406FE"/>
    <w:lvl w:ilvl="0" w:tplc="FAA8A3C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3F66E34"/>
    <w:multiLevelType w:val="hybridMultilevel"/>
    <w:tmpl w:val="3B92CF80"/>
    <w:lvl w:ilvl="0" w:tplc="63506D0E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210047"/>
    <w:multiLevelType w:val="hybridMultilevel"/>
    <w:tmpl w:val="46800B1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0AC45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551300"/>
    <w:multiLevelType w:val="hybridMultilevel"/>
    <w:tmpl w:val="0FC65C46"/>
    <w:lvl w:ilvl="0" w:tplc="FFFFFFFF">
      <w:start w:val="1"/>
      <w:numFmt w:val="lowerLetter"/>
      <w:lvlText w:val="%1)"/>
      <w:lvlJc w:val="left"/>
      <w:pPr>
        <w:ind w:left="3621" w:hanging="360"/>
      </w:pPr>
    </w:lvl>
    <w:lvl w:ilvl="1" w:tplc="FFFFFFFF">
      <w:start w:val="1"/>
      <w:numFmt w:val="lowerLetter"/>
      <w:lvlText w:val="%2."/>
      <w:lvlJc w:val="left"/>
      <w:pPr>
        <w:ind w:left="4341" w:hanging="360"/>
      </w:pPr>
    </w:lvl>
    <w:lvl w:ilvl="2" w:tplc="FFFFFFFF" w:tentative="1">
      <w:start w:val="1"/>
      <w:numFmt w:val="lowerRoman"/>
      <w:lvlText w:val="%3."/>
      <w:lvlJc w:val="right"/>
      <w:pPr>
        <w:ind w:left="5061" w:hanging="180"/>
      </w:pPr>
    </w:lvl>
    <w:lvl w:ilvl="3" w:tplc="FFFFFFFF" w:tentative="1">
      <w:start w:val="1"/>
      <w:numFmt w:val="decimal"/>
      <w:lvlText w:val="%4."/>
      <w:lvlJc w:val="left"/>
      <w:pPr>
        <w:ind w:left="5781" w:hanging="360"/>
      </w:pPr>
    </w:lvl>
    <w:lvl w:ilvl="4" w:tplc="FFFFFFFF" w:tentative="1">
      <w:start w:val="1"/>
      <w:numFmt w:val="lowerLetter"/>
      <w:lvlText w:val="%5."/>
      <w:lvlJc w:val="left"/>
      <w:pPr>
        <w:ind w:left="6501" w:hanging="360"/>
      </w:pPr>
    </w:lvl>
    <w:lvl w:ilvl="5" w:tplc="FFFFFFFF" w:tentative="1">
      <w:start w:val="1"/>
      <w:numFmt w:val="lowerRoman"/>
      <w:lvlText w:val="%6."/>
      <w:lvlJc w:val="right"/>
      <w:pPr>
        <w:ind w:left="7221" w:hanging="180"/>
      </w:pPr>
    </w:lvl>
    <w:lvl w:ilvl="6" w:tplc="FFFFFFFF" w:tentative="1">
      <w:start w:val="1"/>
      <w:numFmt w:val="decimal"/>
      <w:lvlText w:val="%7."/>
      <w:lvlJc w:val="left"/>
      <w:pPr>
        <w:ind w:left="7941" w:hanging="360"/>
      </w:pPr>
    </w:lvl>
    <w:lvl w:ilvl="7" w:tplc="FFFFFFFF" w:tentative="1">
      <w:start w:val="1"/>
      <w:numFmt w:val="lowerLetter"/>
      <w:lvlText w:val="%8."/>
      <w:lvlJc w:val="left"/>
      <w:pPr>
        <w:ind w:left="8661" w:hanging="360"/>
      </w:pPr>
    </w:lvl>
    <w:lvl w:ilvl="8" w:tplc="FFFFFFFF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31" w15:restartNumberingAfterBreak="0">
    <w:nsid w:val="57FD5C92"/>
    <w:multiLevelType w:val="hybridMultilevel"/>
    <w:tmpl w:val="3B488EA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DBC509D"/>
    <w:multiLevelType w:val="hybridMultilevel"/>
    <w:tmpl w:val="CACEF1FC"/>
    <w:lvl w:ilvl="0" w:tplc="5B9612BE">
      <w:start w:val="1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7B66A4"/>
    <w:multiLevelType w:val="hybridMultilevel"/>
    <w:tmpl w:val="4C62D56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F00410D"/>
    <w:multiLevelType w:val="hybridMultilevel"/>
    <w:tmpl w:val="8990D46E"/>
    <w:lvl w:ilvl="0" w:tplc="72220E4E">
      <w:start w:val="16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DA19B7"/>
    <w:multiLevelType w:val="hybridMultilevel"/>
    <w:tmpl w:val="6A4A14FA"/>
    <w:lvl w:ilvl="0" w:tplc="B98CCE42">
      <w:start w:val="1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591BC3"/>
    <w:multiLevelType w:val="hybridMultilevel"/>
    <w:tmpl w:val="3A2C0648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B712B6"/>
    <w:multiLevelType w:val="hybridMultilevel"/>
    <w:tmpl w:val="FA9279F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4EA38E5"/>
    <w:multiLevelType w:val="hybridMultilevel"/>
    <w:tmpl w:val="2112FA4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1E3C62B4">
      <w:start w:val="1"/>
      <w:numFmt w:val="lowerLetter"/>
      <w:lvlText w:val="%3."/>
      <w:lvlJc w:val="left"/>
      <w:pPr>
        <w:ind w:left="1800" w:hanging="360"/>
      </w:pPr>
      <w:rPr>
        <w:rFonts w:hint="default"/>
        <w:color w:val="auto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F7F2050"/>
    <w:multiLevelType w:val="hybridMultilevel"/>
    <w:tmpl w:val="02E2F822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AF1D2B"/>
    <w:multiLevelType w:val="hybridMultilevel"/>
    <w:tmpl w:val="F0A6B71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C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8E82A92"/>
    <w:multiLevelType w:val="hybridMultilevel"/>
    <w:tmpl w:val="C2C6B3D4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AD932A6"/>
    <w:multiLevelType w:val="hybridMultilevel"/>
    <w:tmpl w:val="89561432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BA6623"/>
    <w:multiLevelType w:val="hybridMultilevel"/>
    <w:tmpl w:val="0DB08FE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E1546A1"/>
    <w:multiLevelType w:val="hybridMultilevel"/>
    <w:tmpl w:val="BB30B6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7370783">
    <w:abstractNumId w:val="38"/>
  </w:num>
  <w:num w:numId="2" w16cid:durableId="346832883">
    <w:abstractNumId w:val="31"/>
  </w:num>
  <w:num w:numId="3" w16cid:durableId="908148140">
    <w:abstractNumId w:val="23"/>
  </w:num>
  <w:num w:numId="4" w16cid:durableId="561788898">
    <w:abstractNumId w:val="7"/>
  </w:num>
  <w:num w:numId="5" w16cid:durableId="833840725">
    <w:abstractNumId w:val="16"/>
  </w:num>
  <w:num w:numId="6" w16cid:durableId="1511872350">
    <w:abstractNumId w:val="21"/>
  </w:num>
  <w:num w:numId="7" w16cid:durableId="276254897">
    <w:abstractNumId w:val="40"/>
  </w:num>
  <w:num w:numId="8" w16cid:durableId="1656178518">
    <w:abstractNumId w:val="6"/>
  </w:num>
  <w:num w:numId="9" w16cid:durableId="39016051">
    <w:abstractNumId w:val="33"/>
  </w:num>
  <w:num w:numId="10" w16cid:durableId="1172067430">
    <w:abstractNumId w:val="0"/>
  </w:num>
  <w:num w:numId="11" w16cid:durableId="294608786">
    <w:abstractNumId w:val="8"/>
  </w:num>
  <w:num w:numId="12" w16cid:durableId="261190536">
    <w:abstractNumId w:val="20"/>
  </w:num>
  <w:num w:numId="13" w16cid:durableId="1170369913">
    <w:abstractNumId w:val="1"/>
  </w:num>
  <w:num w:numId="14" w16cid:durableId="1817066546">
    <w:abstractNumId w:val="9"/>
  </w:num>
  <w:num w:numId="15" w16cid:durableId="1711954093">
    <w:abstractNumId w:val="24"/>
  </w:num>
  <w:num w:numId="16" w16cid:durableId="638653645">
    <w:abstractNumId w:val="14"/>
  </w:num>
  <w:num w:numId="17" w16cid:durableId="1743673693">
    <w:abstractNumId w:val="42"/>
  </w:num>
  <w:num w:numId="18" w16cid:durableId="1812208746">
    <w:abstractNumId w:val="25"/>
  </w:num>
  <w:num w:numId="19" w16cid:durableId="443504653">
    <w:abstractNumId w:val="18"/>
  </w:num>
  <w:num w:numId="20" w16cid:durableId="745883545">
    <w:abstractNumId w:val="15"/>
  </w:num>
  <w:num w:numId="21" w16cid:durableId="806046622">
    <w:abstractNumId w:val="26"/>
  </w:num>
  <w:num w:numId="22" w16cid:durableId="1945991525">
    <w:abstractNumId w:val="37"/>
  </w:num>
  <w:num w:numId="23" w16cid:durableId="1438480238">
    <w:abstractNumId w:val="3"/>
  </w:num>
  <w:num w:numId="24" w16cid:durableId="621768853">
    <w:abstractNumId w:val="27"/>
  </w:num>
  <w:num w:numId="25" w16cid:durableId="794368188">
    <w:abstractNumId w:val="12"/>
  </w:num>
  <w:num w:numId="26" w16cid:durableId="1643078572">
    <w:abstractNumId w:val="19"/>
  </w:num>
  <w:num w:numId="27" w16cid:durableId="467863041">
    <w:abstractNumId w:val="4"/>
  </w:num>
  <w:num w:numId="28" w16cid:durableId="1715495915">
    <w:abstractNumId w:val="5"/>
  </w:num>
  <w:num w:numId="29" w16cid:durableId="680200219">
    <w:abstractNumId w:val="30"/>
  </w:num>
  <w:num w:numId="30" w16cid:durableId="373578779">
    <w:abstractNumId w:val="28"/>
  </w:num>
  <w:num w:numId="31" w16cid:durableId="611471991">
    <w:abstractNumId w:val="32"/>
  </w:num>
  <w:num w:numId="32" w16cid:durableId="471870872">
    <w:abstractNumId w:val="35"/>
  </w:num>
  <w:num w:numId="33" w16cid:durableId="319428674">
    <w:abstractNumId w:val="34"/>
  </w:num>
  <w:num w:numId="34" w16cid:durableId="1337807797">
    <w:abstractNumId w:val="43"/>
  </w:num>
  <w:num w:numId="35" w16cid:durableId="1267734873">
    <w:abstractNumId w:val="22"/>
  </w:num>
  <w:num w:numId="36" w16cid:durableId="1064639509">
    <w:abstractNumId w:val="36"/>
  </w:num>
  <w:num w:numId="37" w16cid:durableId="1480459109">
    <w:abstractNumId w:val="11"/>
  </w:num>
  <w:num w:numId="38" w16cid:durableId="678191690">
    <w:abstractNumId w:val="10"/>
  </w:num>
  <w:num w:numId="39" w16cid:durableId="146558667">
    <w:abstractNumId w:val="41"/>
  </w:num>
  <w:num w:numId="40" w16cid:durableId="887909590">
    <w:abstractNumId w:val="17"/>
  </w:num>
  <w:num w:numId="41" w16cid:durableId="736249165">
    <w:abstractNumId w:val="39"/>
  </w:num>
  <w:num w:numId="42" w16cid:durableId="532379552">
    <w:abstractNumId w:val="2"/>
  </w:num>
  <w:num w:numId="43" w16cid:durableId="139810457">
    <w:abstractNumId w:val="44"/>
  </w:num>
  <w:num w:numId="44" w16cid:durableId="1306623728">
    <w:abstractNumId w:val="29"/>
  </w:num>
  <w:num w:numId="45" w16cid:durableId="8734949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F2A"/>
    <w:rsid w:val="00000A57"/>
    <w:rsid w:val="00002E63"/>
    <w:rsid w:val="00002E95"/>
    <w:rsid w:val="00004F8F"/>
    <w:rsid w:val="00005104"/>
    <w:rsid w:val="0000566A"/>
    <w:rsid w:val="00005A91"/>
    <w:rsid w:val="00011060"/>
    <w:rsid w:val="00012345"/>
    <w:rsid w:val="0001360E"/>
    <w:rsid w:val="000136AB"/>
    <w:rsid w:val="00013C54"/>
    <w:rsid w:val="00014352"/>
    <w:rsid w:val="00014A3B"/>
    <w:rsid w:val="00015EA4"/>
    <w:rsid w:val="00016006"/>
    <w:rsid w:val="0001792C"/>
    <w:rsid w:val="00017B0D"/>
    <w:rsid w:val="00020044"/>
    <w:rsid w:val="00020B67"/>
    <w:rsid w:val="0002137F"/>
    <w:rsid w:val="000214D3"/>
    <w:rsid w:val="00022CAE"/>
    <w:rsid w:val="000318DE"/>
    <w:rsid w:val="00031956"/>
    <w:rsid w:val="00032A13"/>
    <w:rsid w:val="00032FB8"/>
    <w:rsid w:val="000336C8"/>
    <w:rsid w:val="0003378D"/>
    <w:rsid w:val="00037A01"/>
    <w:rsid w:val="000407E3"/>
    <w:rsid w:val="00051499"/>
    <w:rsid w:val="000546DF"/>
    <w:rsid w:val="00055C6B"/>
    <w:rsid w:val="00057E73"/>
    <w:rsid w:val="00060348"/>
    <w:rsid w:val="0006064B"/>
    <w:rsid w:val="000610DB"/>
    <w:rsid w:val="00061A26"/>
    <w:rsid w:val="00062587"/>
    <w:rsid w:val="00062982"/>
    <w:rsid w:val="00062C1F"/>
    <w:rsid w:val="000630A0"/>
    <w:rsid w:val="000632FE"/>
    <w:rsid w:val="00067007"/>
    <w:rsid w:val="00067440"/>
    <w:rsid w:val="00067B0F"/>
    <w:rsid w:val="00067F9C"/>
    <w:rsid w:val="000723A1"/>
    <w:rsid w:val="00074D49"/>
    <w:rsid w:val="00075DB1"/>
    <w:rsid w:val="000761AC"/>
    <w:rsid w:val="000800D7"/>
    <w:rsid w:val="00080ED7"/>
    <w:rsid w:val="00081C95"/>
    <w:rsid w:val="000827BB"/>
    <w:rsid w:val="0008388B"/>
    <w:rsid w:val="0008735F"/>
    <w:rsid w:val="00087CD8"/>
    <w:rsid w:val="00094973"/>
    <w:rsid w:val="0009784D"/>
    <w:rsid w:val="000A0733"/>
    <w:rsid w:val="000A11E0"/>
    <w:rsid w:val="000A166A"/>
    <w:rsid w:val="000A296A"/>
    <w:rsid w:val="000A35B7"/>
    <w:rsid w:val="000A37F9"/>
    <w:rsid w:val="000A4B56"/>
    <w:rsid w:val="000A6EA4"/>
    <w:rsid w:val="000A7045"/>
    <w:rsid w:val="000A749D"/>
    <w:rsid w:val="000A7F4F"/>
    <w:rsid w:val="000B0915"/>
    <w:rsid w:val="000B2B29"/>
    <w:rsid w:val="000B3FF6"/>
    <w:rsid w:val="000B6701"/>
    <w:rsid w:val="000B78C0"/>
    <w:rsid w:val="000C151A"/>
    <w:rsid w:val="000C3E00"/>
    <w:rsid w:val="000C4325"/>
    <w:rsid w:val="000C60C0"/>
    <w:rsid w:val="000C7727"/>
    <w:rsid w:val="000D163D"/>
    <w:rsid w:val="000D2B30"/>
    <w:rsid w:val="000D4056"/>
    <w:rsid w:val="000D5808"/>
    <w:rsid w:val="000D59F7"/>
    <w:rsid w:val="000D5C0C"/>
    <w:rsid w:val="000D5C45"/>
    <w:rsid w:val="000D639D"/>
    <w:rsid w:val="000E124B"/>
    <w:rsid w:val="000E4171"/>
    <w:rsid w:val="000E5AD1"/>
    <w:rsid w:val="000F2F05"/>
    <w:rsid w:val="000F4AC6"/>
    <w:rsid w:val="00103DC6"/>
    <w:rsid w:val="00104DEA"/>
    <w:rsid w:val="0010526C"/>
    <w:rsid w:val="001052DC"/>
    <w:rsid w:val="00105C67"/>
    <w:rsid w:val="001065D4"/>
    <w:rsid w:val="00107232"/>
    <w:rsid w:val="00112088"/>
    <w:rsid w:val="001123E2"/>
    <w:rsid w:val="00113DFE"/>
    <w:rsid w:val="001145A1"/>
    <w:rsid w:val="0011587D"/>
    <w:rsid w:val="001173E5"/>
    <w:rsid w:val="00121A2A"/>
    <w:rsid w:val="00123632"/>
    <w:rsid w:val="0012639C"/>
    <w:rsid w:val="00126E3B"/>
    <w:rsid w:val="00126FC8"/>
    <w:rsid w:val="0013053A"/>
    <w:rsid w:val="00130B80"/>
    <w:rsid w:val="00132C19"/>
    <w:rsid w:val="00134235"/>
    <w:rsid w:val="00134ABF"/>
    <w:rsid w:val="00136C21"/>
    <w:rsid w:val="001374D0"/>
    <w:rsid w:val="00140B6A"/>
    <w:rsid w:val="00142E2D"/>
    <w:rsid w:val="00142F7C"/>
    <w:rsid w:val="00143392"/>
    <w:rsid w:val="00146674"/>
    <w:rsid w:val="00147FDC"/>
    <w:rsid w:val="00150F41"/>
    <w:rsid w:val="00152C6A"/>
    <w:rsid w:val="00153EDE"/>
    <w:rsid w:val="00154607"/>
    <w:rsid w:val="001554FF"/>
    <w:rsid w:val="00157D4D"/>
    <w:rsid w:val="00157E62"/>
    <w:rsid w:val="00157F3C"/>
    <w:rsid w:val="0016225D"/>
    <w:rsid w:val="00162B33"/>
    <w:rsid w:val="00166A02"/>
    <w:rsid w:val="00166B0A"/>
    <w:rsid w:val="00167B2A"/>
    <w:rsid w:val="00171009"/>
    <w:rsid w:val="001715AA"/>
    <w:rsid w:val="001717C0"/>
    <w:rsid w:val="00173164"/>
    <w:rsid w:val="001735F7"/>
    <w:rsid w:val="00176F1D"/>
    <w:rsid w:val="00177200"/>
    <w:rsid w:val="001808E3"/>
    <w:rsid w:val="001811FE"/>
    <w:rsid w:val="0018183E"/>
    <w:rsid w:val="00181870"/>
    <w:rsid w:val="00182AB8"/>
    <w:rsid w:val="001858F2"/>
    <w:rsid w:val="00187C0A"/>
    <w:rsid w:val="00187C19"/>
    <w:rsid w:val="0019036B"/>
    <w:rsid w:val="001930E6"/>
    <w:rsid w:val="0019573B"/>
    <w:rsid w:val="00196E74"/>
    <w:rsid w:val="001A274F"/>
    <w:rsid w:val="001A2C6E"/>
    <w:rsid w:val="001A3BF5"/>
    <w:rsid w:val="001A50AB"/>
    <w:rsid w:val="001A7198"/>
    <w:rsid w:val="001B0050"/>
    <w:rsid w:val="001B2D6E"/>
    <w:rsid w:val="001B3918"/>
    <w:rsid w:val="001B4144"/>
    <w:rsid w:val="001B4160"/>
    <w:rsid w:val="001B4BAF"/>
    <w:rsid w:val="001B6115"/>
    <w:rsid w:val="001B7492"/>
    <w:rsid w:val="001B7DE9"/>
    <w:rsid w:val="001C18ED"/>
    <w:rsid w:val="001C2F80"/>
    <w:rsid w:val="001C4532"/>
    <w:rsid w:val="001C5ABF"/>
    <w:rsid w:val="001C5D10"/>
    <w:rsid w:val="001C68E0"/>
    <w:rsid w:val="001C7644"/>
    <w:rsid w:val="001C7C89"/>
    <w:rsid w:val="001D0492"/>
    <w:rsid w:val="001D08CC"/>
    <w:rsid w:val="001D1044"/>
    <w:rsid w:val="001D56FA"/>
    <w:rsid w:val="001D7728"/>
    <w:rsid w:val="001E016B"/>
    <w:rsid w:val="001E1316"/>
    <w:rsid w:val="001E1571"/>
    <w:rsid w:val="001E5353"/>
    <w:rsid w:val="001E5815"/>
    <w:rsid w:val="001E58A3"/>
    <w:rsid w:val="001F103B"/>
    <w:rsid w:val="001F1A89"/>
    <w:rsid w:val="001F1CDA"/>
    <w:rsid w:val="001F4BDF"/>
    <w:rsid w:val="001F71E6"/>
    <w:rsid w:val="001F7AB0"/>
    <w:rsid w:val="00200922"/>
    <w:rsid w:val="00202AF9"/>
    <w:rsid w:val="00205978"/>
    <w:rsid w:val="00206EDA"/>
    <w:rsid w:val="00207CC9"/>
    <w:rsid w:val="00210545"/>
    <w:rsid w:val="00211C19"/>
    <w:rsid w:val="00211F08"/>
    <w:rsid w:val="00211F7D"/>
    <w:rsid w:val="00212992"/>
    <w:rsid w:val="00213E77"/>
    <w:rsid w:val="002141C2"/>
    <w:rsid w:val="00214299"/>
    <w:rsid w:val="00214A22"/>
    <w:rsid w:val="00216E5E"/>
    <w:rsid w:val="002207D2"/>
    <w:rsid w:val="002226E3"/>
    <w:rsid w:val="00222935"/>
    <w:rsid w:val="002232E8"/>
    <w:rsid w:val="00223523"/>
    <w:rsid w:val="00223CB4"/>
    <w:rsid w:val="00225593"/>
    <w:rsid w:val="00226A50"/>
    <w:rsid w:val="00226A69"/>
    <w:rsid w:val="00226CEC"/>
    <w:rsid w:val="002271A3"/>
    <w:rsid w:val="00232D3A"/>
    <w:rsid w:val="002340BB"/>
    <w:rsid w:val="00234E78"/>
    <w:rsid w:val="002351A2"/>
    <w:rsid w:val="00240490"/>
    <w:rsid w:val="00241556"/>
    <w:rsid w:val="00243489"/>
    <w:rsid w:val="002440AF"/>
    <w:rsid w:val="002448E1"/>
    <w:rsid w:val="0024598A"/>
    <w:rsid w:val="00246241"/>
    <w:rsid w:val="00247F91"/>
    <w:rsid w:val="00251F2D"/>
    <w:rsid w:val="00252094"/>
    <w:rsid w:val="00252935"/>
    <w:rsid w:val="00254BEB"/>
    <w:rsid w:val="002604A6"/>
    <w:rsid w:val="00261884"/>
    <w:rsid w:val="002618E8"/>
    <w:rsid w:val="00261EC7"/>
    <w:rsid w:val="002625FF"/>
    <w:rsid w:val="002641D3"/>
    <w:rsid w:val="0026473D"/>
    <w:rsid w:val="00265243"/>
    <w:rsid w:val="002657E8"/>
    <w:rsid w:val="00267B34"/>
    <w:rsid w:val="00271200"/>
    <w:rsid w:val="002714FF"/>
    <w:rsid w:val="00271D2D"/>
    <w:rsid w:val="00272268"/>
    <w:rsid w:val="00273F26"/>
    <w:rsid w:val="002757DD"/>
    <w:rsid w:val="00275B62"/>
    <w:rsid w:val="00275B96"/>
    <w:rsid w:val="00275D24"/>
    <w:rsid w:val="00276C67"/>
    <w:rsid w:val="002775F8"/>
    <w:rsid w:val="002827CE"/>
    <w:rsid w:val="0028354D"/>
    <w:rsid w:val="00284CB0"/>
    <w:rsid w:val="0028655E"/>
    <w:rsid w:val="00290BF5"/>
    <w:rsid w:val="0029573A"/>
    <w:rsid w:val="00296C36"/>
    <w:rsid w:val="002A3923"/>
    <w:rsid w:val="002A3D5C"/>
    <w:rsid w:val="002A42D6"/>
    <w:rsid w:val="002A552C"/>
    <w:rsid w:val="002A6D95"/>
    <w:rsid w:val="002B0476"/>
    <w:rsid w:val="002B0576"/>
    <w:rsid w:val="002B2759"/>
    <w:rsid w:val="002B2E25"/>
    <w:rsid w:val="002B2F11"/>
    <w:rsid w:val="002B3AC4"/>
    <w:rsid w:val="002B3D39"/>
    <w:rsid w:val="002B3F8D"/>
    <w:rsid w:val="002B44B6"/>
    <w:rsid w:val="002B6280"/>
    <w:rsid w:val="002B66ED"/>
    <w:rsid w:val="002B696D"/>
    <w:rsid w:val="002B6BD3"/>
    <w:rsid w:val="002B6D65"/>
    <w:rsid w:val="002B74C9"/>
    <w:rsid w:val="002C015E"/>
    <w:rsid w:val="002C07FE"/>
    <w:rsid w:val="002C12AE"/>
    <w:rsid w:val="002C176B"/>
    <w:rsid w:val="002C2298"/>
    <w:rsid w:val="002C527C"/>
    <w:rsid w:val="002C588C"/>
    <w:rsid w:val="002C5E90"/>
    <w:rsid w:val="002C703C"/>
    <w:rsid w:val="002D0862"/>
    <w:rsid w:val="002D3798"/>
    <w:rsid w:val="002D40BB"/>
    <w:rsid w:val="002D4B09"/>
    <w:rsid w:val="002D612D"/>
    <w:rsid w:val="002D770A"/>
    <w:rsid w:val="002E0323"/>
    <w:rsid w:val="002E07DB"/>
    <w:rsid w:val="002E26A1"/>
    <w:rsid w:val="002E5771"/>
    <w:rsid w:val="002E67ED"/>
    <w:rsid w:val="002E697C"/>
    <w:rsid w:val="002F0C57"/>
    <w:rsid w:val="002F1BE3"/>
    <w:rsid w:val="002F6AB0"/>
    <w:rsid w:val="0030034A"/>
    <w:rsid w:val="00301B4D"/>
    <w:rsid w:val="00305905"/>
    <w:rsid w:val="003070DA"/>
    <w:rsid w:val="00312AAE"/>
    <w:rsid w:val="00312ACB"/>
    <w:rsid w:val="003131A9"/>
    <w:rsid w:val="00321AEF"/>
    <w:rsid w:val="003259AF"/>
    <w:rsid w:val="0032778D"/>
    <w:rsid w:val="003278B8"/>
    <w:rsid w:val="00327979"/>
    <w:rsid w:val="00334FD4"/>
    <w:rsid w:val="00336337"/>
    <w:rsid w:val="00336458"/>
    <w:rsid w:val="00336868"/>
    <w:rsid w:val="003368E0"/>
    <w:rsid w:val="00336BAE"/>
    <w:rsid w:val="00336BB1"/>
    <w:rsid w:val="0033770E"/>
    <w:rsid w:val="00340788"/>
    <w:rsid w:val="00340CA4"/>
    <w:rsid w:val="00340E0D"/>
    <w:rsid w:val="00341238"/>
    <w:rsid w:val="00344997"/>
    <w:rsid w:val="0034627F"/>
    <w:rsid w:val="003474A6"/>
    <w:rsid w:val="00350C92"/>
    <w:rsid w:val="003528CD"/>
    <w:rsid w:val="0035295C"/>
    <w:rsid w:val="003541AE"/>
    <w:rsid w:val="00354B27"/>
    <w:rsid w:val="003600F6"/>
    <w:rsid w:val="00360626"/>
    <w:rsid w:val="00363F21"/>
    <w:rsid w:val="003646CA"/>
    <w:rsid w:val="00364D39"/>
    <w:rsid w:val="003660C7"/>
    <w:rsid w:val="003666F9"/>
    <w:rsid w:val="00366A21"/>
    <w:rsid w:val="00366FDA"/>
    <w:rsid w:val="003670C4"/>
    <w:rsid w:val="0036772B"/>
    <w:rsid w:val="003678BC"/>
    <w:rsid w:val="00371EE8"/>
    <w:rsid w:val="00372C2E"/>
    <w:rsid w:val="003732AB"/>
    <w:rsid w:val="003737F4"/>
    <w:rsid w:val="0037412F"/>
    <w:rsid w:val="00380BA4"/>
    <w:rsid w:val="00382E75"/>
    <w:rsid w:val="00383732"/>
    <w:rsid w:val="00383CF6"/>
    <w:rsid w:val="003858E2"/>
    <w:rsid w:val="0038590D"/>
    <w:rsid w:val="003922BC"/>
    <w:rsid w:val="00392FE0"/>
    <w:rsid w:val="0039305E"/>
    <w:rsid w:val="0039377A"/>
    <w:rsid w:val="00396B45"/>
    <w:rsid w:val="00396C12"/>
    <w:rsid w:val="003A5431"/>
    <w:rsid w:val="003A622E"/>
    <w:rsid w:val="003A65C3"/>
    <w:rsid w:val="003A6880"/>
    <w:rsid w:val="003B20F3"/>
    <w:rsid w:val="003B44AF"/>
    <w:rsid w:val="003B5E5A"/>
    <w:rsid w:val="003B62A8"/>
    <w:rsid w:val="003B6A5E"/>
    <w:rsid w:val="003C07BE"/>
    <w:rsid w:val="003C2B7C"/>
    <w:rsid w:val="003C509B"/>
    <w:rsid w:val="003C6B63"/>
    <w:rsid w:val="003D0C0C"/>
    <w:rsid w:val="003D354A"/>
    <w:rsid w:val="003D3FDC"/>
    <w:rsid w:val="003D42BB"/>
    <w:rsid w:val="003D5721"/>
    <w:rsid w:val="003D7894"/>
    <w:rsid w:val="003D7AD9"/>
    <w:rsid w:val="003E16C2"/>
    <w:rsid w:val="003E16F1"/>
    <w:rsid w:val="003E31F2"/>
    <w:rsid w:val="003E3335"/>
    <w:rsid w:val="003E42D9"/>
    <w:rsid w:val="003E5F1D"/>
    <w:rsid w:val="003E6387"/>
    <w:rsid w:val="003E7555"/>
    <w:rsid w:val="003F37B2"/>
    <w:rsid w:val="003F54B2"/>
    <w:rsid w:val="003F7F52"/>
    <w:rsid w:val="00401616"/>
    <w:rsid w:val="00402BFC"/>
    <w:rsid w:val="004032B7"/>
    <w:rsid w:val="0040368E"/>
    <w:rsid w:val="0040375E"/>
    <w:rsid w:val="004052A1"/>
    <w:rsid w:val="00407912"/>
    <w:rsid w:val="00407FF9"/>
    <w:rsid w:val="00411AA6"/>
    <w:rsid w:val="00411BEF"/>
    <w:rsid w:val="004145FD"/>
    <w:rsid w:val="00416479"/>
    <w:rsid w:val="004201A7"/>
    <w:rsid w:val="00423ADF"/>
    <w:rsid w:val="00423AFB"/>
    <w:rsid w:val="00424171"/>
    <w:rsid w:val="00424260"/>
    <w:rsid w:val="00425038"/>
    <w:rsid w:val="0042575D"/>
    <w:rsid w:val="00425E40"/>
    <w:rsid w:val="0042687C"/>
    <w:rsid w:val="00430A86"/>
    <w:rsid w:val="00430D95"/>
    <w:rsid w:val="00433477"/>
    <w:rsid w:val="0043538E"/>
    <w:rsid w:val="004358F8"/>
    <w:rsid w:val="004408E6"/>
    <w:rsid w:val="00440F64"/>
    <w:rsid w:val="004419E2"/>
    <w:rsid w:val="004419EB"/>
    <w:rsid w:val="00441A24"/>
    <w:rsid w:val="00441B16"/>
    <w:rsid w:val="00441E5E"/>
    <w:rsid w:val="004440C9"/>
    <w:rsid w:val="004465AD"/>
    <w:rsid w:val="00446CCF"/>
    <w:rsid w:val="00447DB2"/>
    <w:rsid w:val="0045210A"/>
    <w:rsid w:val="0045241A"/>
    <w:rsid w:val="0045242A"/>
    <w:rsid w:val="00452A36"/>
    <w:rsid w:val="00452E03"/>
    <w:rsid w:val="00455B7E"/>
    <w:rsid w:val="004568C6"/>
    <w:rsid w:val="0045759B"/>
    <w:rsid w:val="0046064F"/>
    <w:rsid w:val="004623FD"/>
    <w:rsid w:val="0046513F"/>
    <w:rsid w:val="00465467"/>
    <w:rsid w:val="00465B34"/>
    <w:rsid w:val="004661F5"/>
    <w:rsid w:val="00466869"/>
    <w:rsid w:val="00466CFD"/>
    <w:rsid w:val="0046745C"/>
    <w:rsid w:val="004706D4"/>
    <w:rsid w:val="00473F0B"/>
    <w:rsid w:val="004777C7"/>
    <w:rsid w:val="00480861"/>
    <w:rsid w:val="00480963"/>
    <w:rsid w:val="00482A14"/>
    <w:rsid w:val="00483389"/>
    <w:rsid w:val="00483F63"/>
    <w:rsid w:val="004865F5"/>
    <w:rsid w:val="0049077B"/>
    <w:rsid w:val="0049113A"/>
    <w:rsid w:val="00491977"/>
    <w:rsid w:val="0049198A"/>
    <w:rsid w:val="00491E7D"/>
    <w:rsid w:val="00494361"/>
    <w:rsid w:val="0049563B"/>
    <w:rsid w:val="00495C32"/>
    <w:rsid w:val="004967D5"/>
    <w:rsid w:val="004A2395"/>
    <w:rsid w:val="004A475D"/>
    <w:rsid w:val="004A5F53"/>
    <w:rsid w:val="004A7A00"/>
    <w:rsid w:val="004B0592"/>
    <w:rsid w:val="004B08F6"/>
    <w:rsid w:val="004B0DB3"/>
    <w:rsid w:val="004B199D"/>
    <w:rsid w:val="004B1A45"/>
    <w:rsid w:val="004B5FEC"/>
    <w:rsid w:val="004B6EFB"/>
    <w:rsid w:val="004B7D6E"/>
    <w:rsid w:val="004C014B"/>
    <w:rsid w:val="004C1E40"/>
    <w:rsid w:val="004C2DCA"/>
    <w:rsid w:val="004C491D"/>
    <w:rsid w:val="004C6209"/>
    <w:rsid w:val="004C69C6"/>
    <w:rsid w:val="004D0001"/>
    <w:rsid w:val="004D015E"/>
    <w:rsid w:val="004D0696"/>
    <w:rsid w:val="004D142A"/>
    <w:rsid w:val="004D279A"/>
    <w:rsid w:val="004D3AF5"/>
    <w:rsid w:val="004D48C8"/>
    <w:rsid w:val="004D6C7F"/>
    <w:rsid w:val="004D734E"/>
    <w:rsid w:val="004D7757"/>
    <w:rsid w:val="004E0B5C"/>
    <w:rsid w:val="004E134D"/>
    <w:rsid w:val="004E7E79"/>
    <w:rsid w:val="004F03F4"/>
    <w:rsid w:val="004F3E43"/>
    <w:rsid w:val="004F46B0"/>
    <w:rsid w:val="004F4829"/>
    <w:rsid w:val="004F571E"/>
    <w:rsid w:val="004F5B4F"/>
    <w:rsid w:val="004F6632"/>
    <w:rsid w:val="00500D3D"/>
    <w:rsid w:val="005028C6"/>
    <w:rsid w:val="005036E9"/>
    <w:rsid w:val="00504FE0"/>
    <w:rsid w:val="00506688"/>
    <w:rsid w:val="005116CE"/>
    <w:rsid w:val="00513F31"/>
    <w:rsid w:val="005140B9"/>
    <w:rsid w:val="00517706"/>
    <w:rsid w:val="00523299"/>
    <w:rsid w:val="00523BC3"/>
    <w:rsid w:val="00524DBB"/>
    <w:rsid w:val="00524F6C"/>
    <w:rsid w:val="00525204"/>
    <w:rsid w:val="00525963"/>
    <w:rsid w:val="00526C86"/>
    <w:rsid w:val="00527CD3"/>
    <w:rsid w:val="00530384"/>
    <w:rsid w:val="00535A00"/>
    <w:rsid w:val="00536299"/>
    <w:rsid w:val="005367C0"/>
    <w:rsid w:val="00537205"/>
    <w:rsid w:val="0053762C"/>
    <w:rsid w:val="005400B4"/>
    <w:rsid w:val="0054119A"/>
    <w:rsid w:val="00542083"/>
    <w:rsid w:val="00542187"/>
    <w:rsid w:val="00542470"/>
    <w:rsid w:val="0054276D"/>
    <w:rsid w:val="005455EB"/>
    <w:rsid w:val="0055171C"/>
    <w:rsid w:val="00553260"/>
    <w:rsid w:val="00553664"/>
    <w:rsid w:val="00554D77"/>
    <w:rsid w:val="005551FB"/>
    <w:rsid w:val="00555214"/>
    <w:rsid w:val="00556527"/>
    <w:rsid w:val="00560240"/>
    <w:rsid w:val="00561826"/>
    <w:rsid w:val="00563BC6"/>
    <w:rsid w:val="00563E07"/>
    <w:rsid w:val="00564A2F"/>
    <w:rsid w:val="00565096"/>
    <w:rsid w:val="00566754"/>
    <w:rsid w:val="005669DA"/>
    <w:rsid w:val="005679CC"/>
    <w:rsid w:val="00567A6E"/>
    <w:rsid w:val="00571035"/>
    <w:rsid w:val="00573E88"/>
    <w:rsid w:val="00574690"/>
    <w:rsid w:val="0057618F"/>
    <w:rsid w:val="00577509"/>
    <w:rsid w:val="005775D6"/>
    <w:rsid w:val="00577CB1"/>
    <w:rsid w:val="00582275"/>
    <w:rsid w:val="005822A8"/>
    <w:rsid w:val="005835D0"/>
    <w:rsid w:val="00584F57"/>
    <w:rsid w:val="00585F12"/>
    <w:rsid w:val="005879AD"/>
    <w:rsid w:val="00590CC0"/>
    <w:rsid w:val="005916F6"/>
    <w:rsid w:val="00591FB3"/>
    <w:rsid w:val="0059434D"/>
    <w:rsid w:val="00594DCE"/>
    <w:rsid w:val="00594F47"/>
    <w:rsid w:val="005967F4"/>
    <w:rsid w:val="005973DF"/>
    <w:rsid w:val="005A1AE7"/>
    <w:rsid w:val="005A1C53"/>
    <w:rsid w:val="005A260C"/>
    <w:rsid w:val="005A3D97"/>
    <w:rsid w:val="005A48B8"/>
    <w:rsid w:val="005A55F0"/>
    <w:rsid w:val="005A6CE7"/>
    <w:rsid w:val="005A7A26"/>
    <w:rsid w:val="005A7DBB"/>
    <w:rsid w:val="005B16E6"/>
    <w:rsid w:val="005B34B2"/>
    <w:rsid w:val="005B3A61"/>
    <w:rsid w:val="005B4D42"/>
    <w:rsid w:val="005B5AA2"/>
    <w:rsid w:val="005B7223"/>
    <w:rsid w:val="005B77AB"/>
    <w:rsid w:val="005C1BF3"/>
    <w:rsid w:val="005C31D3"/>
    <w:rsid w:val="005C3CCF"/>
    <w:rsid w:val="005C4172"/>
    <w:rsid w:val="005C4999"/>
    <w:rsid w:val="005C6AF6"/>
    <w:rsid w:val="005C7528"/>
    <w:rsid w:val="005D2517"/>
    <w:rsid w:val="005D384F"/>
    <w:rsid w:val="005D5045"/>
    <w:rsid w:val="005D5362"/>
    <w:rsid w:val="005D5A69"/>
    <w:rsid w:val="005E2ACE"/>
    <w:rsid w:val="005E2D60"/>
    <w:rsid w:val="005E7EFD"/>
    <w:rsid w:val="005F2459"/>
    <w:rsid w:val="005F2932"/>
    <w:rsid w:val="005F40ED"/>
    <w:rsid w:val="005F6283"/>
    <w:rsid w:val="005F758C"/>
    <w:rsid w:val="00600C63"/>
    <w:rsid w:val="006010F8"/>
    <w:rsid w:val="00601B07"/>
    <w:rsid w:val="00601B8B"/>
    <w:rsid w:val="00605E99"/>
    <w:rsid w:val="00606C4F"/>
    <w:rsid w:val="00607BAD"/>
    <w:rsid w:val="006107AA"/>
    <w:rsid w:val="00610D5E"/>
    <w:rsid w:val="00612877"/>
    <w:rsid w:val="006128E8"/>
    <w:rsid w:val="0061449C"/>
    <w:rsid w:val="00620C4B"/>
    <w:rsid w:val="006218EA"/>
    <w:rsid w:val="006218F8"/>
    <w:rsid w:val="00621B43"/>
    <w:rsid w:val="00623359"/>
    <w:rsid w:val="00624FF8"/>
    <w:rsid w:val="006270E9"/>
    <w:rsid w:val="00631154"/>
    <w:rsid w:val="0063172F"/>
    <w:rsid w:val="006335E3"/>
    <w:rsid w:val="00634C45"/>
    <w:rsid w:val="0063760B"/>
    <w:rsid w:val="006405C7"/>
    <w:rsid w:val="0064102A"/>
    <w:rsid w:val="00642820"/>
    <w:rsid w:val="00642B48"/>
    <w:rsid w:val="00642FCE"/>
    <w:rsid w:val="0064504D"/>
    <w:rsid w:val="006450D0"/>
    <w:rsid w:val="00645D0B"/>
    <w:rsid w:val="00646FA9"/>
    <w:rsid w:val="00647CC0"/>
    <w:rsid w:val="00650CEF"/>
    <w:rsid w:val="006512B0"/>
    <w:rsid w:val="00652464"/>
    <w:rsid w:val="00652DD5"/>
    <w:rsid w:val="00653CDC"/>
    <w:rsid w:val="006551C9"/>
    <w:rsid w:val="00656713"/>
    <w:rsid w:val="006619CA"/>
    <w:rsid w:val="00663680"/>
    <w:rsid w:val="0066435E"/>
    <w:rsid w:val="0066607B"/>
    <w:rsid w:val="00667580"/>
    <w:rsid w:val="006706DD"/>
    <w:rsid w:val="00673F13"/>
    <w:rsid w:val="006741C7"/>
    <w:rsid w:val="00681BD5"/>
    <w:rsid w:val="006824E3"/>
    <w:rsid w:val="00684036"/>
    <w:rsid w:val="00686106"/>
    <w:rsid w:val="00686251"/>
    <w:rsid w:val="006872A4"/>
    <w:rsid w:val="00687D6D"/>
    <w:rsid w:val="006910C4"/>
    <w:rsid w:val="00692AF0"/>
    <w:rsid w:val="00694658"/>
    <w:rsid w:val="006958FA"/>
    <w:rsid w:val="006959AB"/>
    <w:rsid w:val="00695BDB"/>
    <w:rsid w:val="00696EA3"/>
    <w:rsid w:val="006A0D96"/>
    <w:rsid w:val="006A0F69"/>
    <w:rsid w:val="006A3AC2"/>
    <w:rsid w:val="006A3D70"/>
    <w:rsid w:val="006A536B"/>
    <w:rsid w:val="006A6DA4"/>
    <w:rsid w:val="006A7831"/>
    <w:rsid w:val="006A7B80"/>
    <w:rsid w:val="006B0060"/>
    <w:rsid w:val="006B2384"/>
    <w:rsid w:val="006B25A4"/>
    <w:rsid w:val="006B3B0E"/>
    <w:rsid w:val="006B4735"/>
    <w:rsid w:val="006B6613"/>
    <w:rsid w:val="006C020F"/>
    <w:rsid w:val="006C2576"/>
    <w:rsid w:val="006C4ABA"/>
    <w:rsid w:val="006D212D"/>
    <w:rsid w:val="006D6904"/>
    <w:rsid w:val="006D7D40"/>
    <w:rsid w:val="006E1AA8"/>
    <w:rsid w:val="006E294C"/>
    <w:rsid w:val="006E2AEC"/>
    <w:rsid w:val="006E341B"/>
    <w:rsid w:val="006E4EE3"/>
    <w:rsid w:val="006E59DE"/>
    <w:rsid w:val="006E5C61"/>
    <w:rsid w:val="006E73D3"/>
    <w:rsid w:val="006E774E"/>
    <w:rsid w:val="006E79CB"/>
    <w:rsid w:val="006F01B1"/>
    <w:rsid w:val="006F383C"/>
    <w:rsid w:val="006F57A9"/>
    <w:rsid w:val="006F7AEA"/>
    <w:rsid w:val="006F7B57"/>
    <w:rsid w:val="007001D7"/>
    <w:rsid w:val="00701F5D"/>
    <w:rsid w:val="00702F33"/>
    <w:rsid w:val="007038E6"/>
    <w:rsid w:val="0070497E"/>
    <w:rsid w:val="0070591C"/>
    <w:rsid w:val="00707AA0"/>
    <w:rsid w:val="00707BA6"/>
    <w:rsid w:val="00710E71"/>
    <w:rsid w:val="00711471"/>
    <w:rsid w:val="00715973"/>
    <w:rsid w:val="00716AD1"/>
    <w:rsid w:val="00716E55"/>
    <w:rsid w:val="00722248"/>
    <w:rsid w:val="007255EE"/>
    <w:rsid w:val="007316FC"/>
    <w:rsid w:val="00735142"/>
    <w:rsid w:val="0073729D"/>
    <w:rsid w:val="00737D9B"/>
    <w:rsid w:val="00740614"/>
    <w:rsid w:val="0074107B"/>
    <w:rsid w:val="00741915"/>
    <w:rsid w:val="0074251A"/>
    <w:rsid w:val="00745964"/>
    <w:rsid w:val="007459B6"/>
    <w:rsid w:val="00753D0B"/>
    <w:rsid w:val="00754990"/>
    <w:rsid w:val="00755057"/>
    <w:rsid w:val="007571A2"/>
    <w:rsid w:val="00757351"/>
    <w:rsid w:val="00761E94"/>
    <w:rsid w:val="00763224"/>
    <w:rsid w:val="007647FF"/>
    <w:rsid w:val="00766AE6"/>
    <w:rsid w:val="00767D9A"/>
    <w:rsid w:val="0077081C"/>
    <w:rsid w:val="00771FD2"/>
    <w:rsid w:val="00772AA7"/>
    <w:rsid w:val="00777112"/>
    <w:rsid w:val="00777CD7"/>
    <w:rsid w:val="00781C4E"/>
    <w:rsid w:val="00781DC0"/>
    <w:rsid w:val="007828AB"/>
    <w:rsid w:val="00783574"/>
    <w:rsid w:val="007842BF"/>
    <w:rsid w:val="007847A5"/>
    <w:rsid w:val="00785197"/>
    <w:rsid w:val="007858C7"/>
    <w:rsid w:val="007873F9"/>
    <w:rsid w:val="00787493"/>
    <w:rsid w:val="00787573"/>
    <w:rsid w:val="00787AD1"/>
    <w:rsid w:val="00787BC0"/>
    <w:rsid w:val="007901D0"/>
    <w:rsid w:val="007903E9"/>
    <w:rsid w:val="007914A2"/>
    <w:rsid w:val="00794810"/>
    <w:rsid w:val="007949D6"/>
    <w:rsid w:val="007955E5"/>
    <w:rsid w:val="007A03A1"/>
    <w:rsid w:val="007A064D"/>
    <w:rsid w:val="007A1E6E"/>
    <w:rsid w:val="007A2B23"/>
    <w:rsid w:val="007A3DA7"/>
    <w:rsid w:val="007A5006"/>
    <w:rsid w:val="007A6885"/>
    <w:rsid w:val="007A69A5"/>
    <w:rsid w:val="007A7DED"/>
    <w:rsid w:val="007B2D2A"/>
    <w:rsid w:val="007B2D91"/>
    <w:rsid w:val="007B75B9"/>
    <w:rsid w:val="007C0330"/>
    <w:rsid w:val="007C0411"/>
    <w:rsid w:val="007C0457"/>
    <w:rsid w:val="007C04C0"/>
    <w:rsid w:val="007C6650"/>
    <w:rsid w:val="007C6810"/>
    <w:rsid w:val="007D2D29"/>
    <w:rsid w:val="007D419B"/>
    <w:rsid w:val="007D5AD9"/>
    <w:rsid w:val="007D5AFD"/>
    <w:rsid w:val="007D70E7"/>
    <w:rsid w:val="007D764A"/>
    <w:rsid w:val="007E464B"/>
    <w:rsid w:val="007E4F6D"/>
    <w:rsid w:val="007E5C21"/>
    <w:rsid w:val="007E631A"/>
    <w:rsid w:val="007E65A2"/>
    <w:rsid w:val="007E7456"/>
    <w:rsid w:val="007E7C44"/>
    <w:rsid w:val="007F22CE"/>
    <w:rsid w:val="007F258B"/>
    <w:rsid w:val="007F3F76"/>
    <w:rsid w:val="007F5015"/>
    <w:rsid w:val="007F5A7B"/>
    <w:rsid w:val="007F73EB"/>
    <w:rsid w:val="007F795A"/>
    <w:rsid w:val="007F7A2F"/>
    <w:rsid w:val="00801ECD"/>
    <w:rsid w:val="008021AA"/>
    <w:rsid w:val="00802E90"/>
    <w:rsid w:val="00803F57"/>
    <w:rsid w:val="00807D56"/>
    <w:rsid w:val="00810F89"/>
    <w:rsid w:val="00812E47"/>
    <w:rsid w:val="0081313C"/>
    <w:rsid w:val="00813444"/>
    <w:rsid w:val="00813664"/>
    <w:rsid w:val="008150AC"/>
    <w:rsid w:val="008164B5"/>
    <w:rsid w:val="00816682"/>
    <w:rsid w:val="00817BDB"/>
    <w:rsid w:val="0082078A"/>
    <w:rsid w:val="008211A6"/>
    <w:rsid w:val="00822809"/>
    <w:rsid w:val="00825B91"/>
    <w:rsid w:val="00826361"/>
    <w:rsid w:val="00827951"/>
    <w:rsid w:val="00830134"/>
    <w:rsid w:val="0083099E"/>
    <w:rsid w:val="00830ABD"/>
    <w:rsid w:val="00831DA1"/>
    <w:rsid w:val="00832BE3"/>
    <w:rsid w:val="00834468"/>
    <w:rsid w:val="00835FBC"/>
    <w:rsid w:val="008360C9"/>
    <w:rsid w:val="00836B80"/>
    <w:rsid w:val="00837AEF"/>
    <w:rsid w:val="00842D67"/>
    <w:rsid w:val="0084386E"/>
    <w:rsid w:val="00847B57"/>
    <w:rsid w:val="00850DF2"/>
    <w:rsid w:val="0085267B"/>
    <w:rsid w:val="008536FD"/>
    <w:rsid w:val="00853C7F"/>
    <w:rsid w:val="0085547D"/>
    <w:rsid w:val="00856F2D"/>
    <w:rsid w:val="008619CC"/>
    <w:rsid w:val="00861E12"/>
    <w:rsid w:val="00861EB5"/>
    <w:rsid w:val="00863336"/>
    <w:rsid w:val="008660EB"/>
    <w:rsid w:val="00866409"/>
    <w:rsid w:val="00866CBA"/>
    <w:rsid w:val="00867ACB"/>
    <w:rsid w:val="00873E2C"/>
    <w:rsid w:val="008740C8"/>
    <w:rsid w:val="008756C7"/>
    <w:rsid w:val="00875D6B"/>
    <w:rsid w:val="008773B4"/>
    <w:rsid w:val="008801C7"/>
    <w:rsid w:val="008818A2"/>
    <w:rsid w:val="008819D3"/>
    <w:rsid w:val="00881AC8"/>
    <w:rsid w:val="00881E98"/>
    <w:rsid w:val="00883C56"/>
    <w:rsid w:val="00884BC4"/>
    <w:rsid w:val="008851BD"/>
    <w:rsid w:val="00891A9D"/>
    <w:rsid w:val="00892891"/>
    <w:rsid w:val="0089377C"/>
    <w:rsid w:val="00894D76"/>
    <w:rsid w:val="008A06F9"/>
    <w:rsid w:val="008A45F0"/>
    <w:rsid w:val="008A4C41"/>
    <w:rsid w:val="008A5440"/>
    <w:rsid w:val="008A5D32"/>
    <w:rsid w:val="008A6826"/>
    <w:rsid w:val="008A73D2"/>
    <w:rsid w:val="008A7F59"/>
    <w:rsid w:val="008B0D59"/>
    <w:rsid w:val="008B18CD"/>
    <w:rsid w:val="008B263C"/>
    <w:rsid w:val="008B3EDB"/>
    <w:rsid w:val="008B4E99"/>
    <w:rsid w:val="008B6251"/>
    <w:rsid w:val="008B7E4D"/>
    <w:rsid w:val="008C000F"/>
    <w:rsid w:val="008C3EC7"/>
    <w:rsid w:val="008C6DC4"/>
    <w:rsid w:val="008C7651"/>
    <w:rsid w:val="008D0A02"/>
    <w:rsid w:val="008D17B9"/>
    <w:rsid w:val="008D4B16"/>
    <w:rsid w:val="008D4F47"/>
    <w:rsid w:val="008D583C"/>
    <w:rsid w:val="008D7AE6"/>
    <w:rsid w:val="008E1C1C"/>
    <w:rsid w:val="008E310A"/>
    <w:rsid w:val="008E32DF"/>
    <w:rsid w:val="008E4E06"/>
    <w:rsid w:val="008E676A"/>
    <w:rsid w:val="008F151A"/>
    <w:rsid w:val="008F1842"/>
    <w:rsid w:val="008F2474"/>
    <w:rsid w:val="008F24BB"/>
    <w:rsid w:val="008F4978"/>
    <w:rsid w:val="00900D1F"/>
    <w:rsid w:val="0090227C"/>
    <w:rsid w:val="00902D18"/>
    <w:rsid w:val="00904D2D"/>
    <w:rsid w:val="00904D97"/>
    <w:rsid w:val="00912443"/>
    <w:rsid w:val="00915147"/>
    <w:rsid w:val="00915557"/>
    <w:rsid w:val="009168F4"/>
    <w:rsid w:val="00916A7D"/>
    <w:rsid w:val="009175FE"/>
    <w:rsid w:val="00917F87"/>
    <w:rsid w:val="009200C5"/>
    <w:rsid w:val="00920B4D"/>
    <w:rsid w:val="009216EC"/>
    <w:rsid w:val="0092317B"/>
    <w:rsid w:val="009252B5"/>
    <w:rsid w:val="00925814"/>
    <w:rsid w:val="00927DC8"/>
    <w:rsid w:val="00927E65"/>
    <w:rsid w:val="00933624"/>
    <w:rsid w:val="00934B88"/>
    <w:rsid w:val="00934BF6"/>
    <w:rsid w:val="00937D4D"/>
    <w:rsid w:val="00944196"/>
    <w:rsid w:val="00944BD5"/>
    <w:rsid w:val="009454AE"/>
    <w:rsid w:val="0094607C"/>
    <w:rsid w:val="00946976"/>
    <w:rsid w:val="00946DBA"/>
    <w:rsid w:val="00946E0E"/>
    <w:rsid w:val="00951C7C"/>
    <w:rsid w:val="009532A4"/>
    <w:rsid w:val="00955826"/>
    <w:rsid w:val="00955A09"/>
    <w:rsid w:val="009615E0"/>
    <w:rsid w:val="00962D00"/>
    <w:rsid w:val="00963375"/>
    <w:rsid w:val="00964E8E"/>
    <w:rsid w:val="00964FAD"/>
    <w:rsid w:val="00965F37"/>
    <w:rsid w:val="00966FFD"/>
    <w:rsid w:val="00970BDB"/>
    <w:rsid w:val="00971D35"/>
    <w:rsid w:val="00972001"/>
    <w:rsid w:val="0097216E"/>
    <w:rsid w:val="00972901"/>
    <w:rsid w:val="009738DC"/>
    <w:rsid w:val="009739A3"/>
    <w:rsid w:val="0097753B"/>
    <w:rsid w:val="00981EB7"/>
    <w:rsid w:val="009846BE"/>
    <w:rsid w:val="00984C16"/>
    <w:rsid w:val="00986481"/>
    <w:rsid w:val="00987459"/>
    <w:rsid w:val="00987949"/>
    <w:rsid w:val="009938DC"/>
    <w:rsid w:val="00995F04"/>
    <w:rsid w:val="00996546"/>
    <w:rsid w:val="009969FF"/>
    <w:rsid w:val="00997C1C"/>
    <w:rsid w:val="009A2708"/>
    <w:rsid w:val="009A34B0"/>
    <w:rsid w:val="009A3781"/>
    <w:rsid w:val="009A49A5"/>
    <w:rsid w:val="009A4ACD"/>
    <w:rsid w:val="009A6349"/>
    <w:rsid w:val="009A6C75"/>
    <w:rsid w:val="009A75DC"/>
    <w:rsid w:val="009B0057"/>
    <w:rsid w:val="009B203E"/>
    <w:rsid w:val="009B3196"/>
    <w:rsid w:val="009B396B"/>
    <w:rsid w:val="009B5DB1"/>
    <w:rsid w:val="009B727C"/>
    <w:rsid w:val="009B7ABD"/>
    <w:rsid w:val="009B7CD9"/>
    <w:rsid w:val="009C0CF5"/>
    <w:rsid w:val="009C0E7F"/>
    <w:rsid w:val="009C1D00"/>
    <w:rsid w:val="009C2F5F"/>
    <w:rsid w:val="009C36CB"/>
    <w:rsid w:val="009C3FB3"/>
    <w:rsid w:val="009C460A"/>
    <w:rsid w:val="009C5038"/>
    <w:rsid w:val="009C55A5"/>
    <w:rsid w:val="009C60B6"/>
    <w:rsid w:val="009D19C9"/>
    <w:rsid w:val="009D2743"/>
    <w:rsid w:val="009D293D"/>
    <w:rsid w:val="009E11AF"/>
    <w:rsid w:val="009E1A80"/>
    <w:rsid w:val="009E2473"/>
    <w:rsid w:val="009E2734"/>
    <w:rsid w:val="009E4889"/>
    <w:rsid w:val="009E6D46"/>
    <w:rsid w:val="009E6DEE"/>
    <w:rsid w:val="009E6FCE"/>
    <w:rsid w:val="009E7132"/>
    <w:rsid w:val="009F15D0"/>
    <w:rsid w:val="009F15E2"/>
    <w:rsid w:val="009F3CA4"/>
    <w:rsid w:val="009F4B28"/>
    <w:rsid w:val="009F6AF4"/>
    <w:rsid w:val="00A00817"/>
    <w:rsid w:val="00A015D7"/>
    <w:rsid w:val="00A01ECF"/>
    <w:rsid w:val="00A023C5"/>
    <w:rsid w:val="00A05D39"/>
    <w:rsid w:val="00A065E1"/>
    <w:rsid w:val="00A106DA"/>
    <w:rsid w:val="00A109E0"/>
    <w:rsid w:val="00A12040"/>
    <w:rsid w:val="00A13187"/>
    <w:rsid w:val="00A15A1A"/>
    <w:rsid w:val="00A177B2"/>
    <w:rsid w:val="00A202E2"/>
    <w:rsid w:val="00A21BD9"/>
    <w:rsid w:val="00A2419B"/>
    <w:rsid w:val="00A24DAC"/>
    <w:rsid w:val="00A251C8"/>
    <w:rsid w:val="00A27173"/>
    <w:rsid w:val="00A310C5"/>
    <w:rsid w:val="00A318A4"/>
    <w:rsid w:val="00A35860"/>
    <w:rsid w:val="00A3679A"/>
    <w:rsid w:val="00A40169"/>
    <w:rsid w:val="00A4132F"/>
    <w:rsid w:val="00A41BE1"/>
    <w:rsid w:val="00A4249B"/>
    <w:rsid w:val="00A4478A"/>
    <w:rsid w:val="00A45B2B"/>
    <w:rsid w:val="00A45F24"/>
    <w:rsid w:val="00A47314"/>
    <w:rsid w:val="00A47651"/>
    <w:rsid w:val="00A5079E"/>
    <w:rsid w:val="00A508FC"/>
    <w:rsid w:val="00A527C4"/>
    <w:rsid w:val="00A55F95"/>
    <w:rsid w:val="00A56258"/>
    <w:rsid w:val="00A570ED"/>
    <w:rsid w:val="00A60537"/>
    <w:rsid w:val="00A605EA"/>
    <w:rsid w:val="00A60BB0"/>
    <w:rsid w:val="00A60D1F"/>
    <w:rsid w:val="00A61507"/>
    <w:rsid w:val="00A61EB6"/>
    <w:rsid w:val="00A61EE9"/>
    <w:rsid w:val="00A63ECA"/>
    <w:rsid w:val="00A64926"/>
    <w:rsid w:val="00A6519B"/>
    <w:rsid w:val="00A65E41"/>
    <w:rsid w:val="00A661E3"/>
    <w:rsid w:val="00A71B9E"/>
    <w:rsid w:val="00A71E2C"/>
    <w:rsid w:val="00A72DF6"/>
    <w:rsid w:val="00A7301C"/>
    <w:rsid w:val="00A7467D"/>
    <w:rsid w:val="00A75BEB"/>
    <w:rsid w:val="00A80A7A"/>
    <w:rsid w:val="00A826B3"/>
    <w:rsid w:val="00A83843"/>
    <w:rsid w:val="00A83F36"/>
    <w:rsid w:val="00A90936"/>
    <w:rsid w:val="00A921CA"/>
    <w:rsid w:val="00A94396"/>
    <w:rsid w:val="00A96D5A"/>
    <w:rsid w:val="00A979FD"/>
    <w:rsid w:val="00AA100D"/>
    <w:rsid w:val="00AA14C4"/>
    <w:rsid w:val="00AA1879"/>
    <w:rsid w:val="00AA1AAD"/>
    <w:rsid w:val="00AA3390"/>
    <w:rsid w:val="00AA4440"/>
    <w:rsid w:val="00AA6349"/>
    <w:rsid w:val="00AB03F4"/>
    <w:rsid w:val="00AB1B7F"/>
    <w:rsid w:val="00AB280D"/>
    <w:rsid w:val="00AB57B0"/>
    <w:rsid w:val="00AC19B8"/>
    <w:rsid w:val="00AC2D4C"/>
    <w:rsid w:val="00AC35B5"/>
    <w:rsid w:val="00AC3C47"/>
    <w:rsid w:val="00AC62D1"/>
    <w:rsid w:val="00AC7410"/>
    <w:rsid w:val="00AC7E5D"/>
    <w:rsid w:val="00AD0103"/>
    <w:rsid w:val="00AD14E8"/>
    <w:rsid w:val="00AD1D9A"/>
    <w:rsid w:val="00AD37B1"/>
    <w:rsid w:val="00AD67C2"/>
    <w:rsid w:val="00AD7CD7"/>
    <w:rsid w:val="00AE1F7A"/>
    <w:rsid w:val="00AE2B67"/>
    <w:rsid w:val="00AE38AF"/>
    <w:rsid w:val="00AE6483"/>
    <w:rsid w:val="00AF1EB6"/>
    <w:rsid w:val="00AF2ADD"/>
    <w:rsid w:val="00AF2C7E"/>
    <w:rsid w:val="00AF677D"/>
    <w:rsid w:val="00AF747E"/>
    <w:rsid w:val="00AF776F"/>
    <w:rsid w:val="00B018D5"/>
    <w:rsid w:val="00B02CCA"/>
    <w:rsid w:val="00B0462E"/>
    <w:rsid w:val="00B05FCE"/>
    <w:rsid w:val="00B071B3"/>
    <w:rsid w:val="00B11FFB"/>
    <w:rsid w:val="00B124B2"/>
    <w:rsid w:val="00B14A57"/>
    <w:rsid w:val="00B14F42"/>
    <w:rsid w:val="00B2003D"/>
    <w:rsid w:val="00B20DC7"/>
    <w:rsid w:val="00B21EF6"/>
    <w:rsid w:val="00B23CC5"/>
    <w:rsid w:val="00B24ED0"/>
    <w:rsid w:val="00B251C6"/>
    <w:rsid w:val="00B26B1C"/>
    <w:rsid w:val="00B26CC4"/>
    <w:rsid w:val="00B27D33"/>
    <w:rsid w:val="00B31139"/>
    <w:rsid w:val="00B34F61"/>
    <w:rsid w:val="00B37CB4"/>
    <w:rsid w:val="00B43665"/>
    <w:rsid w:val="00B43D28"/>
    <w:rsid w:val="00B44085"/>
    <w:rsid w:val="00B44F19"/>
    <w:rsid w:val="00B46249"/>
    <w:rsid w:val="00B47E9D"/>
    <w:rsid w:val="00B5150C"/>
    <w:rsid w:val="00B532E1"/>
    <w:rsid w:val="00B53EE3"/>
    <w:rsid w:val="00B562E3"/>
    <w:rsid w:val="00B57F93"/>
    <w:rsid w:val="00B60A1B"/>
    <w:rsid w:val="00B628E7"/>
    <w:rsid w:val="00B63951"/>
    <w:rsid w:val="00B64977"/>
    <w:rsid w:val="00B6516E"/>
    <w:rsid w:val="00B65FF3"/>
    <w:rsid w:val="00B660E7"/>
    <w:rsid w:val="00B663AC"/>
    <w:rsid w:val="00B70281"/>
    <w:rsid w:val="00B74698"/>
    <w:rsid w:val="00B74829"/>
    <w:rsid w:val="00B769D1"/>
    <w:rsid w:val="00B76D92"/>
    <w:rsid w:val="00B76E63"/>
    <w:rsid w:val="00B8277D"/>
    <w:rsid w:val="00B84006"/>
    <w:rsid w:val="00B8618A"/>
    <w:rsid w:val="00B876CA"/>
    <w:rsid w:val="00B9165C"/>
    <w:rsid w:val="00B924F6"/>
    <w:rsid w:val="00B92AA6"/>
    <w:rsid w:val="00B93BA6"/>
    <w:rsid w:val="00B94A3F"/>
    <w:rsid w:val="00B97949"/>
    <w:rsid w:val="00B97D03"/>
    <w:rsid w:val="00BA073D"/>
    <w:rsid w:val="00BA0EDB"/>
    <w:rsid w:val="00BA1283"/>
    <w:rsid w:val="00BA60C1"/>
    <w:rsid w:val="00BB0273"/>
    <w:rsid w:val="00BB0E11"/>
    <w:rsid w:val="00BB3D6E"/>
    <w:rsid w:val="00BB41E1"/>
    <w:rsid w:val="00BB49C7"/>
    <w:rsid w:val="00BB4E6D"/>
    <w:rsid w:val="00BB4E9E"/>
    <w:rsid w:val="00BB6DD0"/>
    <w:rsid w:val="00BB751F"/>
    <w:rsid w:val="00BC56ED"/>
    <w:rsid w:val="00BC6954"/>
    <w:rsid w:val="00BD09EA"/>
    <w:rsid w:val="00BD0F76"/>
    <w:rsid w:val="00BD11A8"/>
    <w:rsid w:val="00BD25A0"/>
    <w:rsid w:val="00BD3FB8"/>
    <w:rsid w:val="00BD554B"/>
    <w:rsid w:val="00BD6335"/>
    <w:rsid w:val="00BE0304"/>
    <w:rsid w:val="00BE1899"/>
    <w:rsid w:val="00BE3122"/>
    <w:rsid w:val="00BE3F23"/>
    <w:rsid w:val="00BF0F2A"/>
    <w:rsid w:val="00BF16C8"/>
    <w:rsid w:val="00BF1943"/>
    <w:rsid w:val="00BF2707"/>
    <w:rsid w:val="00BF459F"/>
    <w:rsid w:val="00BF7ED7"/>
    <w:rsid w:val="00C01569"/>
    <w:rsid w:val="00C01DF9"/>
    <w:rsid w:val="00C039B4"/>
    <w:rsid w:val="00C04797"/>
    <w:rsid w:val="00C04DC4"/>
    <w:rsid w:val="00C054D6"/>
    <w:rsid w:val="00C05E2A"/>
    <w:rsid w:val="00C06775"/>
    <w:rsid w:val="00C1094C"/>
    <w:rsid w:val="00C11676"/>
    <w:rsid w:val="00C11D5A"/>
    <w:rsid w:val="00C12BB4"/>
    <w:rsid w:val="00C13D02"/>
    <w:rsid w:val="00C140E5"/>
    <w:rsid w:val="00C147C7"/>
    <w:rsid w:val="00C14FA7"/>
    <w:rsid w:val="00C15140"/>
    <w:rsid w:val="00C15423"/>
    <w:rsid w:val="00C15ED1"/>
    <w:rsid w:val="00C216E1"/>
    <w:rsid w:val="00C219C4"/>
    <w:rsid w:val="00C21E8A"/>
    <w:rsid w:val="00C21E9C"/>
    <w:rsid w:val="00C2235F"/>
    <w:rsid w:val="00C229DB"/>
    <w:rsid w:val="00C22F26"/>
    <w:rsid w:val="00C24B3F"/>
    <w:rsid w:val="00C26097"/>
    <w:rsid w:val="00C2731C"/>
    <w:rsid w:val="00C27443"/>
    <w:rsid w:val="00C3326E"/>
    <w:rsid w:val="00C34682"/>
    <w:rsid w:val="00C36887"/>
    <w:rsid w:val="00C36DD9"/>
    <w:rsid w:val="00C37470"/>
    <w:rsid w:val="00C37811"/>
    <w:rsid w:val="00C37C2D"/>
    <w:rsid w:val="00C40E80"/>
    <w:rsid w:val="00C40FFA"/>
    <w:rsid w:val="00C418EC"/>
    <w:rsid w:val="00C41F60"/>
    <w:rsid w:val="00C427A9"/>
    <w:rsid w:val="00C4377A"/>
    <w:rsid w:val="00C45C92"/>
    <w:rsid w:val="00C46DAB"/>
    <w:rsid w:val="00C512F6"/>
    <w:rsid w:val="00C56B82"/>
    <w:rsid w:val="00C57BDB"/>
    <w:rsid w:val="00C57D9E"/>
    <w:rsid w:val="00C600C9"/>
    <w:rsid w:val="00C60B51"/>
    <w:rsid w:val="00C60E9C"/>
    <w:rsid w:val="00C61881"/>
    <w:rsid w:val="00C61C22"/>
    <w:rsid w:val="00C626C7"/>
    <w:rsid w:val="00C62C29"/>
    <w:rsid w:val="00C65E71"/>
    <w:rsid w:val="00C66208"/>
    <w:rsid w:val="00C66802"/>
    <w:rsid w:val="00C66CE0"/>
    <w:rsid w:val="00C66ED3"/>
    <w:rsid w:val="00C67CEA"/>
    <w:rsid w:val="00C7089E"/>
    <w:rsid w:val="00C7170A"/>
    <w:rsid w:val="00C72E82"/>
    <w:rsid w:val="00C72ECA"/>
    <w:rsid w:val="00C72F6E"/>
    <w:rsid w:val="00C74E77"/>
    <w:rsid w:val="00C762C2"/>
    <w:rsid w:val="00C76A19"/>
    <w:rsid w:val="00C77261"/>
    <w:rsid w:val="00C77716"/>
    <w:rsid w:val="00C819F2"/>
    <w:rsid w:val="00C81E67"/>
    <w:rsid w:val="00C8530C"/>
    <w:rsid w:val="00C8596A"/>
    <w:rsid w:val="00C85AA4"/>
    <w:rsid w:val="00C85B6A"/>
    <w:rsid w:val="00C9014E"/>
    <w:rsid w:val="00C90D63"/>
    <w:rsid w:val="00C9299B"/>
    <w:rsid w:val="00C92FA5"/>
    <w:rsid w:val="00C932D6"/>
    <w:rsid w:val="00C96B15"/>
    <w:rsid w:val="00C97949"/>
    <w:rsid w:val="00CA161F"/>
    <w:rsid w:val="00CA16FA"/>
    <w:rsid w:val="00CA18C7"/>
    <w:rsid w:val="00CA1947"/>
    <w:rsid w:val="00CB02A3"/>
    <w:rsid w:val="00CB4512"/>
    <w:rsid w:val="00CB5431"/>
    <w:rsid w:val="00CB6A38"/>
    <w:rsid w:val="00CB7945"/>
    <w:rsid w:val="00CC0C52"/>
    <w:rsid w:val="00CC4811"/>
    <w:rsid w:val="00CC694C"/>
    <w:rsid w:val="00CC6FF6"/>
    <w:rsid w:val="00CC7E08"/>
    <w:rsid w:val="00CD3660"/>
    <w:rsid w:val="00CE1083"/>
    <w:rsid w:val="00CE1FE4"/>
    <w:rsid w:val="00CE32C1"/>
    <w:rsid w:val="00CE3BB0"/>
    <w:rsid w:val="00CE4C7D"/>
    <w:rsid w:val="00CE4F73"/>
    <w:rsid w:val="00CE5545"/>
    <w:rsid w:val="00CE559A"/>
    <w:rsid w:val="00CE6B89"/>
    <w:rsid w:val="00CE6CEE"/>
    <w:rsid w:val="00CE6DC0"/>
    <w:rsid w:val="00CF094F"/>
    <w:rsid w:val="00CF1310"/>
    <w:rsid w:val="00CF7D46"/>
    <w:rsid w:val="00D01156"/>
    <w:rsid w:val="00D01E71"/>
    <w:rsid w:val="00D05DF7"/>
    <w:rsid w:val="00D05ED6"/>
    <w:rsid w:val="00D06A87"/>
    <w:rsid w:val="00D112D4"/>
    <w:rsid w:val="00D12E97"/>
    <w:rsid w:val="00D13714"/>
    <w:rsid w:val="00D14E96"/>
    <w:rsid w:val="00D15688"/>
    <w:rsid w:val="00D15FC9"/>
    <w:rsid w:val="00D224A0"/>
    <w:rsid w:val="00D225BF"/>
    <w:rsid w:val="00D23E80"/>
    <w:rsid w:val="00D243D1"/>
    <w:rsid w:val="00D24440"/>
    <w:rsid w:val="00D24537"/>
    <w:rsid w:val="00D26047"/>
    <w:rsid w:val="00D2678D"/>
    <w:rsid w:val="00D2724D"/>
    <w:rsid w:val="00D33EEC"/>
    <w:rsid w:val="00D35503"/>
    <w:rsid w:val="00D356CC"/>
    <w:rsid w:val="00D35A00"/>
    <w:rsid w:val="00D373FA"/>
    <w:rsid w:val="00D408C2"/>
    <w:rsid w:val="00D41003"/>
    <w:rsid w:val="00D41051"/>
    <w:rsid w:val="00D42164"/>
    <w:rsid w:val="00D42F30"/>
    <w:rsid w:val="00D437D8"/>
    <w:rsid w:val="00D45A2B"/>
    <w:rsid w:val="00D468EE"/>
    <w:rsid w:val="00D470BE"/>
    <w:rsid w:val="00D508C3"/>
    <w:rsid w:val="00D5217B"/>
    <w:rsid w:val="00D52310"/>
    <w:rsid w:val="00D535AB"/>
    <w:rsid w:val="00D53F8D"/>
    <w:rsid w:val="00D553AA"/>
    <w:rsid w:val="00D56019"/>
    <w:rsid w:val="00D56AB0"/>
    <w:rsid w:val="00D57378"/>
    <w:rsid w:val="00D57D46"/>
    <w:rsid w:val="00D601EA"/>
    <w:rsid w:val="00D618E1"/>
    <w:rsid w:val="00D659F1"/>
    <w:rsid w:val="00D677FF"/>
    <w:rsid w:val="00D70521"/>
    <w:rsid w:val="00D70945"/>
    <w:rsid w:val="00D721A4"/>
    <w:rsid w:val="00D72FDE"/>
    <w:rsid w:val="00D7462C"/>
    <w:rsid w:val="00D7545C"/>
    <w:rsid w:val="00D756F2"/>
    <w:rsid w:val="00D7674F"/>
    <w:rsid w:val="00D772BE"/>
    <w:rsid w:val="00D808E8"/>
    <w:rsid w:val="00D81463"/>
    <w:rsid w:val="00D82E88"/>
    <w:rsid w:val="00D82FB8"/>
    <w:rsid w:val="00D83395"/>
    <w:rsid w:val="00D84296"/>
    <w:rsid w:val="00D85576"/>
    <w:rsid w:val="00D85B55"/>
    <w:rsid w:val="00D875FB"/>
    <w:rsid w:val="00D90082"/>
    <w:rsid w:val="00D911E2"/>
    <w:rsid w:val="00D9290B"/>
    <w:rsid w:val="00D93B3F"/>
    <w:rsid w:val="00D94BA0"/>
    <w:rsid w:val="00D959CE"/>
    <w:rsid w:val="00D97FB6"/>
    <w:rsid w:val="00DA069A"/>
    <w:rsid w:val="00DA13B1"/>
    <w:rsid w:val="00DA1D9C"/>
    <w:rsid w:val="00DA3833"/>
    <w:rsid w:val="00DA3B54"/>
    <w:rsid w:val="00DA3C71"/>
    <w:rsid w:val="00DA6BCB"/>
    <w:rsid w:val="00DA75F2"/>
    <w:rsid w:val="00DB0160"/>
    <w:rsid w:val="00DB6C7C"/>
    <w:rsid w:val="00DB6D00"/>
    <w:rsid w:val="00DC0E53"/>
    <w:rsid w:val="00DC2ABA"/>
    <w:rsid w:val="00DC2AFF"/>
    <w:rsid w:val="00DC2E2C"/>
    <w:rsid w:val="00DC3CB4"/>
    <w:rsid w:val="00DC5D5D"/>
    <w:rsid w:val="00DC7815"/>
    <w:rsid w:val="00DD1041"/>
    <w:rsid w:val="00DD14A6"/>
    <w:rsid w:val="00DD1934"/>
    <w:rsid w:val="00DD26A3"/>
    <w:rsid w:val="00DD2849"/>
    <w:rsid w:val="00DD2D53"/>
    <w:rsid w:val="00DD3420"/>
    <w:rsid w:val="00DD348C"/>
    <w:rsid w:val="00DD3684"/>
    <w:rsid w:val="00DD569E"/>
    <w:rsid w:val="00DD6210"/>
    <w:rsid w:val="00DD6656"/>
    <w:rsid w:val="00DE221A"/>
    <w:rsid w:val="00DE2D2B"/>
    <w:rsid w:val="00DE2FDB"/>
    <w:rsid w:val="00DE4E96"/>
    <w:rsid w:val="00DE6ED4"/>
    <w:rsid w:val="00DE7720"/>
    <w:rsid w:val="00DF08F2"/>
    <w:rsid w:val="00DF0DC1"/>
    <w:rsid w:val="00DF211B"/>
    <w:rsid w:val="00DF2F48"/>
    <w:rsid w:val="00DF4820"/>
    <w:rsid w:val="00DF5CF9"/>
    <w:rsid w:val="00DF6AF6"/>
    <w:rsid w:val="00DF6F8B"/>
    <w:rsid w:val="00E00976"/>
    <w:rsid w:val="00E025F0"/>
    <w:rsid w:val="00E0285F"/>
    <w:rsid w:val="00E07913"/>
    <w:rsid w:val="00E10E80"/>
    <w:rsid w:val="00E11AA6"/>
    <w:rsid w:val="00E1213E"/>
    <w:rsid w:val="00E14C5E"/>
    <w:rsid w:val="00E17C42"/>
    <w:rsid w:val="00E17E94"/>
    <w:rsid w:val="00E2229F"/>
    <w:rsid w:val="00E232B0"/>
    <w:rsid w:val="00E24F69"/>
    <w:rsid w:val="00E26DB7"/>
    <w:rsid w:val="00E26ECD"/>
    <w:rsid w:val="00E275E7"/>
    <w:rsid w:val="00E276C4"/>
    <w:rsid w:val="00E30653"/>
    <w:rsid w:val="00E3149C"/>
    <w:rsid w:val="00E32245"/>
    <w:rsid w:val="00E33496"/>
    <w:rsid w:val="00E33888"/>
    <w:rsid w:val="00E338A2"/>
    <w:rsid w:val="00E34375"/>
    <w:rsid w:val="00E3505E"/>
    <w:rsid w:val="00E3518A"/>
    <w:rsid w:val="00E36736"/>
    <w:rsid w:val="00E42AB9"/>
    <w:rsid w:val="00E43A49"/>
    <w:rsid w:val="00E43CF4"/>
    <w:rsid w:val="00E4555F"/>
    <w:rsid w:val="00E47286"/>
    <w:rsid w:val="00E47B4B"/>
    <w:rsid w:val="00E50173"/>
    <w:rsid w:val="00E5093E"/>
    <w:rsid w:val="00E517BD"/>
    <w:rsid w:val="00E534FB"/>
    <w:rsid w:val="00E55C14"/>
    <w:rsid w:val="00E5618C"/>
    <w:rsid w:val="00E56424"/>
    <w:rsid w:val="00E56EA5"/>
    <w:rsid w:val="00E56EFC"/>
    <w:rsid w:val="00E57E75"/>
    <w:rsid w:val="00E611FB"/>
    <w:rsid w:val="00E621A7"/>
    <w:rsid w:val="00E6426B"/>
    <w:rsid w:val="00E64D5F"/>
    <w:rsid w:val="00E673DD"/>
    <w:rsid w:val="00E677CB"/>
    <w:rsid w:val="00E679C4"/>
    <w:rsid w:val="00E7069B"/>
    <w:rsid w:val="00E70DAE"/>
    <w:rsid w:val="00E718B7"/>
    <w:rsid w:val="00E72555"/>
    <w:rsid w:val="00E73A57"/>
    <w:rsid w:val="00E73B78"/>
    <w:rsid w:val="00E740A0"/>
    <w:rsid w:val="00E7433B"/>
    <w:rsid w:val="00E76079"/>
    <w:rsid w:val="00E77B43"/>
    <w:rsid w:val="00E8090D"/>
    <w:rsid w:val="00E8194F"/>
    <w:rsid w:val="00E832B9"/>
    <w:rsid w:val="00E83C9A"/>
    <w:rsid w:val="00E859EC"/>
    <w:rsid w:val="00E877E4"/>
    <w:rsid w:val="00E93674"/>
    <w:rsid w:val="00E94364"/>
    <w:rsid w:val="00E9632B"/>
    <w:rsid w:val="00E9773A"/>
    <w:rsid w:val="00EA0745"/>
    <w:rsid w:val="00EA128C"/>
    <w:rsid w:val="00EA19AB"/>
    <w:rsid w:val="00EA4032"/>
    <w:rsid w:val="00EA5C31"/>
    <w:rsid w:val="00EA769C"/>
    <w:rsid w:val="00EB02B4"/>
    <w:rsid w:val="00EB04C7"/>
    <w:rsid w:val="00EB23B7"/>
    <w:rsid w:val="00EB2B7B"/>
    <w:rsid w:val="00EB39FB"/>
    <w:rsid w:val="00EB57F4"/>
    <w:rsid w:val="00EB5B9B"/>
    <w:rsid w:val="00EB7F00"/>
    <w:rsid w:val="00EC1B19"/>
    <w:rsid w:val="00EC2662"/>
    <w:rsid w:val="00EC31D9"/>
    <w:rsid w:val="00EC5160"/>
    <w:rsid w:val="00EC52FE"/>
    <w:rsid w:val="00EC7A99"/>
    <w:rsid w:val="00ED1289"/>
    <w:rsid w:val="00ED2DE3"/>
    <w:rsid w:val="00ED3A9D"/>
    <w:rsid w:val="00ED46F1"/>
    <w:rsid w:val="00EE05BA"/>
    <w:rsid w:val="00EE3873"/>
    <w:rsid w:val="00EE6BEE"/>
    <w:rsid w:val="00EE7B38"/>
    <w:rsid w:val="00EF045C"/>
    <w:rsid w:val="00EF096F"/>
    <w:rsid w:val="00EF0F6C"/>
    <w:rsid w:val="00EF1518"/>
    <w:rsid w:val="00EF5B2E"/>
    <w:rsid w:val="00EF6487"/>
    <w:rsid w:val="00F00804"/>
    <w:rsid w:val="00F02393"/>
    <w:rsid w:val="00F0272F"/>
    <w:rsid w:val="00F030B1"/>
    <w:rsid w:val="00F07879"/>
    <w:rsid w:val="00F079E8"/>
    <w:rsid w:val="00F10C1A"/>
    <w:rsid w:val="00F1187C"/>
    <w:rsid w:val="00F120AA"/>
    <w:rsid w:val="00F133DC"/>
    <w:rsid w:val="00F14BB4"/>
    <w:rsid w:val="00F158D7"/>
    <w:rsid w:val="00F161CC"/>
    <w:rsid w:val="00F16795"/>
    <w:rsid w:val="00F16BEE"/>
    <w:rsid w:val="00F17209"/>
    <w:rsid w:val="00F17F85"/>
    <w:rsid w:val="00F2723C"/>
    <w:rsid w:val="00F27E0C"/>
    <w:rsid w:val="00F32DAF"/>
    <w:rsid w:val="00F36686"/>
    <w:rsid w:val="00F36700"/>
    <w:rsid w:val="00F40ADC"/>
    <w:rsid w:val="00F41131"/>
    <w:rsid w:val="00F41D27"/>
    <w:rsid w:val="00F423E0"/>
    <w:rsid w:val="00F42FEE"/>
    <w:rsid w:val="00F50957"/>
    <w:rsid w:val="00F50C63"/>
    <w:rsid w:val="00F5226D"/>
    <w:rsid w:val="00F54337"/>
    <w:rsid w:val="00F54F21"/>
    <w:rsid w:val="00F564A4"/>
    <w:rsid w:val="00F60AF5"/>
    <w:rsid w:val="00F61789"/>
    <w:rsid w:val="00F61A89"/>
    <w:rsid w:val="00F6419A"/>
    <w:rsid w:val="00F64535"/>
    <w:rsid w:val="00F65E24"/>
    <w:rsid w:val="00F67AEB"/>
    <w:rsid w:val="00F72373"/>
    <w:rsid w:val="00F72D6E"/>
    <w:rsid w:val="00F7361B"/>
    <w:rsid w:val="00F75DDC"/>
    <w:rsid w:val="00F75F91"/>
    <w:rsid w:val="00F76105"/>
    <w:rsid w:val="00F76824"/>
    <w:rsid w:val="00F7687C"/>
    <w:rsid w:val="00F80CE8"/>
    <w:rsid w:val="00F8117E"/>
    <w:rsid w:val="00F8192D"/>
    <w:rsid w:val="00F8272F"/>
    <w:rsid w:val="00F83468"/>
    <w:rsid w:val="00F852AB"/>
    <w:rsid w:val="00F865F7"/>
    <w:rsid w:val="00F879A1"/>
    <w:rsid w:val="00F90C32"/>
    <w:rsid w:val="00F9274E"/>
    <w:rsid w:val="00F9293F"/>
    <w:rsid w:val="00F92BDD"/>
    <w:rsid w:val="00F93B60"/>
    <w:rsid w:val="00F952F2"/>
    <w:rsid w:val="00F95C12"/>
    <w:rsid w:val="00F96E30"/>
    <w:rsid w:val="00F97880"/>
    <w:rsid w:val="00F978EB"/>
    <w:rsid w:val="00FA18AB"/>
    <w:rsid w:val="00FA53D6"/>
    <w:rsid w:val="00FA7C02"/>
    <w:rsid w:val="00FB0377"/>
    <w:rsid w:val="00FB3162"/>
    <w:rsid w:val="00FB635D"/>
    <w:rsid w:val="00FB67D4"/>
    <w:rsid w:val="00FB758B"/>
    <w:rsid w:val="00FB75A1"/>
    <w:rsid w:val="00FC2EBB"/>
    <w:rsid w:val="00FC3695"/>
    <w:rsid w:val="00FC3C2A"/>
    <w:rsid w:val="00FC4206"/>
    <w:rsid w:val="00FC4A86"/>
    <w:rsid w:val="00FC4DAD"/>
    <w:rsid w:val="00FC590E"/>
    <w:rsid w:val="00FC696D"/>
    <w:rsid w:val="00FD004B"/>
    <w:rsid w:val="00FD0987"/>
    <w:rsid w:val="00FD0EC3"/>
    <w:rsid w:val="00FD0F56"/>
    <w:rsid w:val="00FD3954"/>
    <w:rsid w:val="00FD627B"/>
    <w:rsid w:val="00FD6299"/>
    <w:rsid w:val="00FD6F40"/>
    <w:rsid w:val="00FE199F"/>
    <w:rsid w:val="00FE256F"/>
    <w:rsid w:val="00FE58E0"/>
    <w:rsid w:val="00FE5D95"/>
    <w:rsid w:val="00FE71DA"/>
    <w:rsid w:val="00FF0562"/>
    <w:rsid w:val="00FF0895"/>
    <w:rsid w:val="00FF361E"/>
    <w:rsid w:val="00FF3C8F"/>
    <w:rsid w:val="00FF7AF3"/>
    <w:rsid w:val="2C47B30A"/>
    <w:rsid w:val="3513D386"/>
    <w:rsid w:val="593CC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4BD5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B3F"/>
  </w:style>
  <w:style w:type="paragraph" w:styleId="Heading1">
    <w:name w:val="heading 1"/>
    <w:basedOn w:val="Normal"/>
    <w:next w:val="Normal"/>
    <w:link w:val="Heading1Char"/>
    <w:uiPriority w:val="9"/>
    <w:qFormat/>
    <w:rsid w:val="009E11AF"/>
    <w:pPr>
      <w:keepNext/>
      <w:keepLines/>
      <w:spacing w:before="240" w:after="0" w:line="240" w:lineRule="auto"/>
      <w:jc w:val="center"/>
      <w:outlineLvl w:val="0"/>
    </w:pPr>
    <w:rPr>
      <w:rFonts w:ascii="Calibri" w:eastAsiaTheme="majorEastAsia" w:hAnsi="Calibri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11AF"/>
    <w:pPr>
      <w:keepNext/>
      <w:keepLines/>
      <w:spacing w:before="240"/>
      <w:outlineLvl w:val="1"/>
    </w:pPr>
    <w:rPr>
      <w:rFonts w:ascii="Calibri" w:eastAsiaTheme="majorEastAsia" w:hAnsi="Calibri" w:cstheme="majorBidi"/>
      <w:b/>
      <w:color w:val="2F5496" w:themeColor="accent1" w:themeShade="BF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36FD"/>
    <w:pPr>
      <w:keepNext/>
      <w:keepLines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0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TextChar">
    <w:name w:val="Table Text Char"/>
    <w:basedOn w:val="DefaultParagraphFont"/>
    <w:link w:val="TableText"/>
    <w:locked/>
    <w:rsid w:val="00BF0F2A"/>
    <w:rPr>
      <w:rFonts w:ascii="Arial Narrow" w:hAnsi="Arial Narrow"/>
      <w:sz w:val="20"/>
    </w:rPr>
  </w:style>
  <w:style w:type="paragraph" w:customStyle="1" w:styleId="TableText">
    <w:name w:val="Table Text"/>
    <w:basedOn w:val="Normal"/>
    <w:link w:val="TableTextChar"/>
    <w:qFormat/>
    <w:rsid w:val="00BF0F2A"/>
    <w:pPr>
      <w:spacing w:before="40" w:after="40" w:line="240" w:lineRule="auto"/>
    </w:pPr>
    <w:rPr>
      <w:rFonts w:ascii="Arial Narrow" w:hAnsi="Arial Narrow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F0F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0F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0F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0F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0F2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F0F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0D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0D5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D4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D508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8C3"/>
  </w:style>
  <w:style w:type="paragraph" w:styleId="Footer">
    <w:name w:val="footer"/>
    <w:basedOn w:val="Normal"/>
    <w:link w:val="FooterChar"/>
    <w:uiPriority w:val="99"/>
    <w:unhideWhenUsed/>
    <w:rsid w:val="00D508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8C3"/>
  </w:style>
  <w:style w:type="paragraph" w:styleId="Revision">
    <w:name w:val="Revision"/>
    <w:hidden/>
    <w:uiPriority w:val="99"/>
    <w:semiHidden/>
    <w:rsid w:val="00C11676"/>
    <w:pPr>
      <w:spacing w:after="0" w:line="240" w:lineRule="auto"/>
    </w:pPr>
  </w:style>
  <w:style w:type="paragraph" w:customStyle="1" w:styleId="In-tableHeading">
    <w:name w:val="In-table Heading"/>
    <w:qFormat/>
    <w:rsid w:val="001B0050"/>
    <w:pPr>
      <w:keepNext/>
      <w:spacing w:after="0" w:line="240" w:lineRule="auto"/>
    </w:pPr>
    <w:rPr>
      <w:rFonts w:ascii="Arial Narrow" w:eastAsiaTheme="majorEastAsia" w:hAnsi="Arial Narrow" w:cs="Times New Roman"/>
      <w:b/>
      <w:sz w:val="20"/>
      <w:szCs w:val="24"/>
      <w:lang w:val="en-US"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39B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39B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39B4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9E11AF"/>
    <w:rPr>
      <w:rFonts w:ascii="Calibri" w:eastAsiaTheme="majorEastAsia" w:hAnsi="Calibri" w:cstheme="majorBidi"/>
      <w:b/>
      <w:color w:val="2F5496" w:themeColor="accent1" w:themeShade="BF"/>
      <w:sz w:val="3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E11AF"/>
    <w:rPr>
      <w:rFonts w:ascii="Calibri" w:eastAsiaTheme="majorEastAsia" w:hAnsi="Calibri" w:cstheme="majorBidi"/>
      <w:b/>
      <w:color w:val="2F5496" w:themeColor="accent1" w:themeShade="BF"/>
      <w:sz w:val="36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BA1283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536FD"/>
    <w:rPr>
      <w:rFonts w:asciiTheme="majorHAnsi" w:eastAsiaTheme="majorEastAsia" w:hAnsiTheme="majorHAnsi" w:cstheme="majorBidi"/>
      <w:color w:val="2F5496" w:themeColor="accent1" w:themeShade="BF"/>
      <w:sz w:val="28"/>
      <w:szCs w:val="24"/>
      <w:u w:val="single"/>
    </w:rPr>
  </w:style>
  <w:style w:type="character" w:styleId="Mention">
    <w:name w:val="Mention"/>
    <w:basedOn w:val="DefaultParagraphFont"/>
    <w:uiPriority w:val="99"/>
    <w:unhideWhenUsed/>
    <w:rsid w:val="003541A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148D4-095F-4529-98FA-D858007B9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1570</Words>
  <Characters>9132</Characters>
  <Application>Microsoft Office Word</Application>
  <DocSecurity>0</DocSecurity>
  <Lines>281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10748</CharactersWithSpaces>
  <SharedDoc>false</SharedDoc>
  <HLinks>
    <vt:vector size="174" baseType="variant">
      <vt:variant>
        <vt:i4>1769549</vt:i4>
      </vt:variant>
      <vt:variant>
        <vt:i4>75</vt:i4>
      </vt:variant>
      <vt:variant>
        <vt:i4>0</vt:i4>
      </vt:variant>
      <vt:variant>
        <vt:i4>5</vt:i4>
      </vt:variant>
      <vt:variant>
        <vt:lpwstr>https://hpp.health.gov.au/termsandcondition/?id=a20dfef2-0e27-46a6-85e2-51a568ddd3b9</vt:lpwstr>
      </vt:variant>
      <vt:variant>
        <vt:lpwstr/>
      </vt:variant>
      <vt:variant>
        <vt:i4>3276897</vt:i4>
      </vt:variant>
      <vt:variant>
        <vt:i4>72</vt:i4>
      </vt:variant>
      <vt:variant>
        <vt:i4>0</vt:i4>
      </vt:variant>
      <vt:variant>
        <vt:i4>5</vt:i4>
      </vt:variant>
      <vt:variant>
        <vt:lpwstr>https://www.msac.gov.au/resources/guidelines-preparing-assessments-msac</vt:lpwstr>
      </vt:variant>
      <vt:variant>
        <vt:lpwstr/>
      </vt:variant>
      <vt:variant>
        <vt:i4>6225977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_Other_Information_1</vt:lpwstr>
      </vt:variant>
      <vt:variant>
        <vt:i4>6225977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_Other_Information_1</vt:lpwstr>
      </vt:variant>
      <vt:variant>
        <vt:i4>4456477</vt:i4>
      </vt:variant>
      <vt:variant>
        <vt:i4>63</vt:i4>
      </vt:variant>
      <vt:variant>
        <vt:i4>0</vt:i4>
      </vt:variant>
      <vt:variant>
        <vt:i4>5</vt:i4>
      </vt:variant>
      <vt:variant>
        <vt:lpwstr>https://www.msac.gov.au/resources/framework-msac-assessment-radiopharmaceuticals</vt:lpwstr>
      </vt:variant>
      <vt:variant>
        <vt:lpwstr/>
      </vt:variant>
      <vt:variant>
        <vt:i4>5308480</vt:i4>
      </vt:variant>
      <vt:variant>
        <vt:i4>60</vt:i4>
      </vt:variant>
      <vt:variant>
        <vt:i4>0</vt:i4>
      </vt:variant>
      <vt:variant>
        <vt:i4>5</vt:i4>
      </vt:variant>
      <vt:variant>
        <vt:lpwstr>https://nata.com.au/</vt:lpwstr>
      </vt:variant>
      <vt:variant>
        <vt:lpwstr/>
      </vt:variant>
      <vt:variant>
        <vt:i4>6029369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_Other_Information_2</vt:lpwstr>
      </vt:variant>
      <vt:variant>
        <vt:i4>1835061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_Radiopharmaceuticals</vt:lpwstr>
      </vt:variant>
      <vt:variant>
        <vt:i4>458804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_B2:_NATA_Accreditation</vt:lpwstr>
      </vt:variant>
      <vt:variant>
        <vt:i4>6029369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_Other_Information_2</vt:lpwstr>
      </vt:variant>
      <vt:variant>
        <vt:i4>1835061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_Radiopharmaceuticals</vt:lpwstr>
      </vt:variant>
      <vt:variant>
        <vt:i4>458804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_B2:_NATA_Accreditation</vt:lpwstr>
      </vt:variant>
      <vt:variant>
        <vt:i4>6029369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_Other_Information_2</vt:lpwstr>
      </vt:variant>
      <vt:variant>
        <vt:i4>1835061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_Radiopharmaceuticals</vt:lpwstr>
      </vt:variant>
      <vt:variant>
        <vt:i4>458804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_B2:_NATA_Accreditation</vt:lpwstr>
      </vt:variant>
      <vt:variant>
        <vt:i4>5505032</vt:i4>
      </vt:variant>
      <vt:variant>
        <vt:i4>30</vt:i4>
      </vt:variant>
      <vt:variant>
        <vt:i4>0</vt:i4>
      </vt:variant>
      <vt:variant>
        <vt:i4>5</vt:i4>
      </vt:variant>
      <vt:variant>
        <vt:lpwstr>https://www.msac.gov.au/apply/before-you-apply/application-timelines</vt:lpwstr>
      </vt:variant>
      <vt:variant>
        <vt:lpwstr>regulatory-processes</vt:lpwstr>
      </vt:variant>
      <vt:variant>
        <vt:i4>7209062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_Other_Information</vt:lpwstr>
      </vt:variant>
      <vt:variant>
        <vt:i4>1835061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_Radiopharmaceuticals</vt:lpwstr>
      </vt:variant>
      <vt:variant>
        <vt:i4>458804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_B2:_NATA_Accreditation</vt:lpwstr>
      </vt:variant>
      <vt:variant>
        <vt:i4>3735612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_ARTG_Listing</vt:lpwstr>
      </vt:variant>
      <vt:variant>
        <vt:i4>6357057</vt:i4>
      </vt:variant>
      <vt:variant>
        <vt:i4>15</vt:i4>
      </vt:variant>
      <vt:variant>
        <vt:i4>0</vt:i4>
      </vt:variant>
      <vt:variant>
        <vt:i4>5</vt:i4>
      </vt:variant>
      <vt:variant>
        <vt:lpwstr>mailto:MSAC.secretariat@health.gov.au</vt:lpwstr>
      </vt:variant>
      <vt:variant>
        <vt:lpwstr/>
      </vt:variant>
      <vt:variant>
        <vt:i4>7602248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_Table_2:_Summary</vt:lpwstr>
      </vt:variant>
      <vt:variant>
        <vt:i4>917520</vt:i4>
      </vt:variant>
      <vt:variant>
        <vt:i4>9</vt:i4>
      </vt:variant>
      <vt:variant>
        <vt:i4>0</vt:i4>
      </vt:variant>
      <vt:variant>
        <vt:i4>5</vt:i4>
      </vt:variant>
      <vt:variant>
        <vt:lpwstr>https://www.msac.gov.au/apply/before-you-apply/assessment-reports</vt:lpwstr>
      </vt:variant>
      <vt:variant>
        <vt:lpwstr/>
      </vt:variant>
      <vt:variant>
        <vt:i4>1048669</vt:i4>
      </vt:variant>
      <vt:variant>
        <vt:i4>6</vt:i4>
      </vt:variant>
      <vt:variant>
        <vt:i4>0</vt:i4>
      </vt:variant>
      <vt:variant>
        <vt:i4>5</vt:i4>
      </vt:variant>
      <vt:variant>
        <vt:lpwstr>https://www.msac.gov.au/resources/applicant-developed-assessment-report-adar-template</vt:lpwstr>
      </vt:variant>
      <vt:variant>
        <vt:lpwstr/>
      </vt:variant>
      <vt:variant>
        <vt:i4>1048669</vt:i4>
      </vt:variant>
      <vt:variant>
        <vt:i4>3</vt:i4>
      </vt:variant>
      <vt:variant>
        <vt:i4>0</vt:i4>
      </vt:variant>
      <vt:variant>
        <vt:i4>5</vt:i4>
      </vt:variant>
      <vt:variant>
        <vt:lpwstr>https://www.msac.gov.au/resources/applicant-developed-assessment-report-adar-template</vt:lpwstr>
      </vt:variant>
      <vt:variant>
        <vt:lpwstr/>
      </vt:variant>
      <vt:variant>
        <vt:i4>6357057</vt:i4>
      </vt:variant>
      <vt:variant>
        <vt:i4>0</vt:i4>
      </vt:variant>
      <vt:variant>
        <vt:i4>0</vt:i4>
      </vt:variant>
      <vt:variant>
        <vt:i4>5</vt:i4>
      </vt:variant>
      <vt:variant>
        <vt:lpwstr>mailto:MSAC.secretariat@health.gov.au</vt:lpwstr>
      </vt:variant>
      <vt:variant>
        <vt:lpwstr/>
      </vt:variant>
      <vt:variant>
        <vt:i4>4391019</vt:i4>
      </vt:variant>
      <vt:variant>
        <vt:i4>6</vt:i4>
      </vt:variant>
      <vt:variant>
        <vt:i4>0</vt:i4>
      </vt:variant>
      <vt:variant>
        <vt:i4>5</vt:i4>
      </vt:variant>
      <vt:variant>
        <vt:lpwstr>mailto:hillm20@medtronic.com</vt:lpwstr>
      </vt:variant>
      <vt:variant>
        <vt:lpwstr/>
      </vt:variant>
      <vt:variant>
        <vt:i4>4325428</vt:i4>
      </vt:variant>
      <vt:variant>
        <vt:i4>3</vt:i4>
      </vt:variant>
      <vt:variant>
        <vt:i4>0</vt:i4>
      </vt:variant>
      <vt:variant>
        <vt:i4>5</vt:i4>
      </vt:variant>
      <vt:variant>
        <vt:lpwstr>mailto:vaikub2@medtronic.com</vt:lpwstr>
      </vt:variant>
      <vt:variant>
        <vt:lpwstr/>
      </vt:variant>
      <vt:variant>
        <vt:i4>4325428</vt:i4>
      </vt:variant>
      <vt:variant>
        <vt:i4>0</vt:i4>
      </vt:variant>
      <vt:variant>
        <vt:i4>0</vt:i4>
      </vt:variant>
      <vt:variant>
        <vt:i4>5</vt:i4>
      </vt:variant>
      <vt:variant>
        <vt:lpwstr>mailto:vaikub2@medtronic.com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2026-02-12T23:01:00Z</dcterms:created>
  <dcterms:modified xsi:type="dcterms:W3CDTF">2026-02-12T23:02:00Z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7a444fa5,329f69f0,1a58a4c8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7cea4686,2946e7c4,6350755f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2026-02-12T23:01:10Z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cb1e762a-a6f9-40ee-acca-9fa1995a205c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