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9BB0" w14:textId="3A403241" w:rsidR="0030034A" w:rsidRPr="00BD6335" w:rsidRDefault="0030034A" w:rsidP="004B0592">
      <w:pPr>
        <w:pStyle w:val="Heading1"/>
        <w:spacing w:before="0" w:after="160"/>
        <w:rPr>
          <w:caps/>
        </w:rPr>
      </w:pPr>
      <w:r w:rsidRPr="00BD6335">
        <w:rPr>
          <w:caps/>
        </w:rPr>
        <w:t xml:space="preserve">MSAC </w:t>
      </w:r>
      <w:r w:rsidR="00CB02A3">
        <w:rPr>
          <w:caps/>
        </w:rPr>
        <w:t>Re</w:t>
      </w:r>
      <w:r w:rsidR="00396C12">
        <w:rPr>
          <w:caps/>
        </w:rPr>
        <w:t>application</w:t>
      </w:r>
      <w:r w:rsidR="00DC2AFF" w:rsidRPr="00BD6335">
        <w:rPr>
          <w:caps/>
        </w:rPr>
        <w:t xml:space="preserve"> Template </w:t>
      </w:r>
      <w:r w:rsidRPr="00BD6335">
        <w:rPr>
          <w:caps/>
        </w:rPr>
        <w:t xml:space="preserve"> </w:t>
      </w:r>
    </w:p>
    <w:tbl>
      <w:tblPr>
        <w:tblStyle w:val="TableGrid"/>
        <w:tblW w:w="0" w:type="auto"/>
        <w:tblLook w:val="04A0" w:firstRow="1" w:lastRow="0" w:firstColumn="1" w:lastColumn="0" w:noHBand="0" w:noVBand="1"/>
      </w:tblPr>
      <w:tblGrid>
        <w:gridCol w:w="3397"/>
        <w:gridCol w:w="6797"/>
      </w:tblGrid>
      <w:tr w:rsidR="007A69A5" w14:paraId="7E17B875" w14:textId="77777777" w:rsidTr="007A69A5">
        <w:tc>
          <w:tcPr>
            <w:tcW w:w="3397" w:type="dxa"/>
          </w:tcPr>
          <w:p w14:paraId="16371A8C" w14:textId="3D6FE0E8" w:rsidR="007A69A5" w:rsidRDefault="00CB02A3" w:rsidP="007A69A5">
            <w:pPr>
              <w:rPr>
                <w:b/>
                <w:bCs/>
                <w:color w:val="002060"/>
                <w:sz w:val="36"/>
                <w:szCs w:val="36"/>
              </w:rPr>
            </w:pPr>
            <w:r>
              <w:rPr>
                <w:b/>
                <w:bCs/>
                <w:color w:val="002060"/>
                <w:sz w:val="24"/>
                <w:szCs w:val="24"/>
              </w:rPr>
              <w:t>Re</w:t>
            </w:r>
            <w:r w:rsidR="00C76A19">
              <w:rPr>
                <w:b/>
                <w:bCs/>
                <w:color w:val="002060"/>
                <w:sz w:val="24"/>
                <w:szCs w:val="24"/>
              </w:rPr>
              <w:t>a</w:t>
            </w:r>
            <w:r w:rsidR="007A69A5" w:rsidRPr="000A11E0">
              <w:rPr>
                <w:b/>
                <w:bCs/>
                <w:color w:val="002060"/>
                <w:sz w:val="24"/>
                <w:szCs w:val="24"/>
              </w:rPr>
              <w:t>pplication Name:</w:t>
            </w:r>
          </w:p>
        </w:tc>
        <w:tc>
          <w:tcPr>
            <w:tcW w:w="6797" w:type="dxa"/>
          </w:tcPr>
          <w:p w14:paraId="5B0230D1" w14:textId="5697DAA1" w:rsidR="00F16BEE" w:rsidRPr="00AF094E" w:rsidRDefault="00AF094E" w:rsidP="00AF094E">
            <w:pPr>
              <w:pStyle w:val="Default"/>
            </w:pPr>
            <w:r>
              <w:rPr>
                <w:b/>
                <w:bCs/>
                <w:color w:val="001E5E"/>
                <w:sz w:val="22"/>
                <w:szCs w:val="22"/>
              </w:rPr>
              <w:t xml:space="preserve">Genetic testing to detect estrogen receptor 1 (ESR1) variants in patients with estrogen receptor (ER)-positive, HER2-negative, locally advanced or metastatic breast cancer, to determine eligibility for treatment with PBS subsidised elacestrant </w:t>
            </w:r>
          </w:p>
        </w:tc>
      </w:tr>
      <w:tr w:rsidR="00B57F93" w14:paraId="1C46C2FF" w14:textId="77777777" w:rsidTr="007A69A5">
        <w:tc>
          <w:tcPr>
            <w:tcW w:w="3397" w:type="dxa"/>
          </w:tcPr>
          <w:p w14:paraId="37A3918C" w14:textId="09A0A49E" w:rsidR="00B57F93" w:rsidRPr="000A11E0" w:rsidRDefault="00B57F93" w:rsidP="007A69A5">
            <w:pPr>
              <w:rPr>
                <w:b/>
                <w:bCs/>
                <w:color w:val="002060"/>
                <w:sz w:val="24"/>
                <w:szCs w:val="24"/>
              </w:rPr>
            </w:pPr>
            <w:r>
              <w:rPr>
                <w:b/>
                <w:bCs/>
                <w:color w:val="002060"/>
                <w:sz w:val="24"/>
                <w:szCs w:val="24"/>
              </w:rPr>
              <w:t xml:space="preserve">Previous application number </w:t>
            </w:r>
          </w:p>
        </w:tc>
        <w:tc>
          <w:tcPr>
            <w:tcW w:w="6797" w:type="dxa"/>
          </w:tcPr>
          <w:p w14:paraId="191380F4" w14:textId="735F56FE" w:rsidR="00B57F93" w:rsidRPr="00600C63" w:rsidRDefault="00EF6487" w:rsidP="00AF094E">
            <w:pPr>
              <w:pStyle w:val="Default"/>
            </w:pPr>
            <w:r w:rsidRPr="00FC217E">
              <w:rPr>
                <w:color w:val="auto"/>
                <w:sz w:val="22"/>
                <w:szCs w:val="22"/>
              </w:rPr>
              <w:t>1</w:t>
            </w:r>
            <w:r w:rsidR="00AF094E" w:rsidRPr="00FC217E">
              <w:rPr>
                <w:color w:val="auto"/>
                <w:sz w:val="22"/>
                <w:szCs w:val="22"/>
              </w:rPr>
              <w:t>782</w:t>
            </w:r>
          </w:p>
        </w:tc>
      </w:tr>
      <w:tr w:rsidR="00B57F93" w14:paraId="0A0472BD" w14:textId="77777777" w:rsidTr="007A69A5">
        <w:tc>
          <w:tcPr>
            <w:tcW w:w="3397" w:type="dxa"/>
          </w:tcPr>
          <w:p w14:paraId="5C9A33CC" w14:textId="709211E9" w:rsidR="00B57F93" w:rsidRDefault="00B57F93" w:rsidP="007A69A5">
            <w:pPr>
              <w:rPr>
                <w:b/>
                <w:bCs/>
                <w:color w:val="002060"/>
                <w:sz w:val="24"/>
                <w:szCs w:val="24"/>
              </w:rPr>
            </w:pPr>
            <w:r>
              <w:rPr>
                <w:b/>
                <w:bCs/>
                <w:color w:val="002060"/>
                <w:sz w:val="24"/>
                <w:szCs w:val="24"/>
              </w:rPr>
              <w:t>Name of previous application</w:t>
            </w:r>
          </w:p>
        </w:tc>
        <w:tc>
          <w:tcPr>
            <w:tcW w:w="6797" w:type="dxa"/>
          </w:tcPr>
          <w:p w14:paraId="22C2109F" w14:textId="31636E62" w:rsidR="00B57F93" w:rsidRPr="00600C63" w:rsidRDefault="00AF094E" w:rsidP="00AF094E">
            <w:pPr>
              <w:pStyle w:val="Default"/>
            </w:pPr>
            <w:r w:rsidRPr="00FC217E">
              <w:rPr>
                <w:color w:val="auto"/>
                <w:sz w:val="22"/>
                <w:szCs w:val="22"/>
              </w:rPr>
              <w:t xml:space="preserve">Genetic testing to detect estrogen receptor 1 (ESR1) variants in patients with estrogen receptor (ER)-positive, HER2-negative, locally advanced or metastatic breast cancer, to determine eligibility for treatment with PBS subsidised elacestrant </w:t>
            </w:r>
          </w:p>
        </w:tc>
      </w:tr>
    </w:tbl>
    <w:p w14:paraId="7330E848" w14:textId="43212425" w:rsidR="00B57F93" w:rsidRPr="00BD6335" w:rsidRDefault="00B57F93" w:rsidP="009B7ABD">
      <w:pPr>
        <w:pStyle w:val="Heading2"/>
        <w:numPr>
          <w:ilvl w:val="0"/>
          <w:numId w:val="41"/>
        </w:numPr>
        <w:ind w:left="426" w:hanging="426"/>
      </w:pPr>
      <w:r w:rsidRPr="00BD6335">
        <w:t xml:space="preserve">Funding Source </w:t>
      </w:r>
    </w:p>
    <w:p w14:paraId="3BD8E676" w14:textId="77777777" w:rsidR="004A7A00" w:rsidRPr="009D19C9" w:rsidRDefault="001E016B" w:rsidP="003732AB">
      <w:pPr>
        <w:pStyle w:val="ListParagraph"/>
        <w:numPr>
          <w:ilvl w:val="0"/>
          <w:numId w:val="21"/>
        </w:numPr>
        <w:ind w:left="426"/>
        <w:rPr>
          <w:b/>
          <w:bCs/>
        </w:rPr>
      </w:pPr>
      <w:r w:rsidRPr="009D19C9">
        <w:rPr>
          <w:b/>
          <w:bCs/>
        </w:rPr>
        <w:t xml:space="preserve">Please </w:t>
      </w:r>
      <w:r w:rsidR="00836B80" w:rsidRPr="009D19C9">
        <w:rPr>
          <w:b/>
          <w:bCs/>
        </w:rPr>
        <w:t xml:space="preserve">check the </w:t>
      </w:r>
      <w:r w:rsidR="00875D6B" w:rsidRPr="009D19C9">
        <w:rPr>
          <w:b/>
          <w:bCs/>
        </w:rPr>
        <w:t xml:space="preserve">box </w:t>
      </w:r>
      <w:r w:rsidR="00F865F7" w:rsidRPr="009D19C9">
        <w:rPr>
          <w:b/>
          <w:bCs/>
        </w:rPr>
        <w:t>th</w:t>
      </w:r>
      <w:r w:rsidR="00836B80" w:rsidRPr="009D19C9">
        <w:rPr>
          <w:b/>
          <w:bCs/>
        </w:rPr>
        <w:t>at correspond</w:t>
      </w:r>
      <w:r w:rsidR="004A7A00" w:rsidRPr="009D19C9">
        <w:rPr>
          <w:b/>
          <w:bCs/>
        </w:rPr>
        <w:t xml:space="preserve">s with the </w:t>
      </w:r>
      <w:r w:rsidRPr="009D19C9">
        <w:rPr>
          <w:b/>
          <w:bCs/>
        </w:rPr>
        <w:t xml:space="preserve">program through which the health technology would be funded: </w:t>
      </w:r>
    </w:p>
    <w:p w14:paraId="581280EC" w14:textId="5CC84132" w:rsidR="00894D76" w:rsidRDefault="00000000" w:rsidP="00556527">
      <w:pPr>
        <w:ind w:left="850" w:hanging="425"/>
      </w:pPr>
      <w:sdt>
        <w:sdtPr>
          <w:id w:val="498472057"/>
          <w14:checkbox>
            <w14:checked w14:val="1"/>
            <w14:checkedState w14:val="2612" w14:font="MS Gothic"/>
            <w14:uncheckedState w14:val="2610" w14:font="MS Gothic"/>
          </w14:checkbox>
        </w:sdtPr>
        <w:sdtContent>
          <w:r w:rsidR="002271A3">
            <w:rPr>
              <w:rFonts w:ascii="MS Gothic" w:eastAsia="MS Gothic" w:hAnsi="MS Gothic" w:hint="eastAsia"/>
            </w:rPr>
            <w:t>☒</w:t>
          </w:r>
        </w:sdtContent>
      </w:sdt>
      <w:r w:rsidR="007C6810">
        <w:t xml:space="preserve"> </w:t>
      </w:r>
      <w:r w:rsidR="00267B34">
        <w:t xml:space="preserve"> </w:t>
      </w:r>
      <w:r w:rsidR="007C6810">
        <w:t xml:space="preserve"> </w:t>
      </w:r>
      <w:r w:rsidR="0028354D">
        <w:t xml:space="preserve"> </w:t>
      </w:r>
      <w:r w:rsidR="007C6810">
        <w:t>Medicare Benefits Schedule (MBS)</w:t>
      </w:r>
      <w:r w:rsidR="00E47B4B">
        <w:t>. Please</w:t>
      </w:r>
      <w:r w:rsidR="00CA161F">
        <w:t>:</w:t>
      </w:r>
      <w:r w:rsidR="00556527">
        <w:t xml:space="preserve"> </w:t>
      </w:r>
    </w:p>
    <w:p w14:paraId="6B4445D9" w14:textId="6499EA5F" w:rsidR="00E72555" w:rsidRPr="00BC6954" w:rsidRDefault="00894D76" w:rsidP="2C47B30A">
      <w:pPr>
        <w:pStyle w:val="ListParagraph"/>
        <w:numPr>
          <w:ilvl w:val="0"/>
          <w:numId w:val="39"/>
        </w:numPr>
        <w:ind w:left="1276" w:hanging="425"/>
      </w:pPr>
      <w:r w:rsidRPr="00BC6954">
        <w:t>U</w:t>
      </w:r>
      <w:r w:rsidR="000136AB" w:rsidRPr="00BC6954">
        <w:t>pload a</w:t>
      </w:r>
      <w:r w:rsidR="00A015D7" w:rsidRPr="00BC6954">
        <w:t xml:space="preserve">n in principle </w:t>
      </w:r>
      <w:r w:rsidR="00157F3C" w:rsidRPr="00BC6954">
        <w:t>S</w:t>
      </w:r>
      <w:r w:rsidR="000136AB" w:rsidRPr="00BC6954">
        <w:t xml:space="preserve">tatement of </w:t>
      </w:r>
      <w:r w:rsidR="00157F3C" w:rsidRPr="00BC6954">
        <w:t>C</w:t>
      </w:r>
      <w:r w:rsidR="000136AB" w:rsidRPr="00BC6954">
        <w:t xml:space="preserve">linical </w:t>
      </w:r>
      <w:r w:rsidR="00157F3C" w:rsidRPr="00BC6954">
        <w:t>R</w:t>
      </w:r>
      <w:r w:rsidR="000136AB" w:rsidRPr="00BC6954">
        <w:t>elevance</w:t>
      </w:r>
      <w:r w:rsidR="003474A6" w:rsidRPr="00BC6954">
        <w:rPr>
          <w:rStyle w:val="FootnoteReference"/>
        </w:rPr>
        <w:footnoteReference w:id="2"/>
      </w:r>
      <w:r w:rsidRPr="00BC6954">
        <w:t xml:space="preserve"> when uploading this template. </w:t>
      </w:r>
    </w:p>
    <w:p w14:paraId="475A420C" w14:textId="1BA23826" w:rsidR="007C6810" w:rsidRPr="00556527" w:rsidRDefault="00E72555" w:rsidP="00080ED7">
      <w:pPr>
        <w:pStyle w:val="ListParagraph"/>
        <w:numPr>
          <w:ilvl w:val="0"/>
          <w:numId w:val="39"/>
        </w:numPr>
        <w:ind w:left="1276" w:hanging="426"/>
        <w:contextualSpacing w:val="0"/>
      </w:pPr>
      <w:r>
        <w:t>N</w:t>
      </w:r>
      <w:r w:rsidR="00E8194F" w:rsidRPr="00556527">
        <w:t xml:space="preserve">ote </w:t>
      </w:r>
      <w:r w:rsidR="00A106DA" w:rsidRPr="00556527">
        <w:t xml:space="preserve">in </w:t>
      </w:r>
      <w:hyperlink w:anchor="_Table_2:_Summary" w:history="1">
        <w:r w:rsidR="00777112" w:rsidRPr="00E72555">
          <w:rPr>
            <w:rStyle w:val="Hyperlink"/>
            <w:color w:val="auto"/>
          </w:rPr>
          <w:t>Table 2</w:t>
        </w:r>
      </w:hyperlink>
      <w:r w:rsidR="0028354D" w:rsidRPr="00556527">
        <w:t xml:space="preserve"> below</w:t>
      </w:r>
      <w:r w:rsidR="00CA161F">
        <w:t>,</w:t>
      </w:r>
      <w:r w:rsidR="0028354D" w:rsidRPr="00556527">
        <w:t xml:space="preserve"> </w:t>
      </w:r>
      <w:r w:rsidR="00E8194F" w:rsidRPr="00556527">
        <w:t>any changes to the proposed</w:t>
      </w:r>
      <w:r w:rsidR="009D19C9" w:rsidRPr="00556527">
        <w:t xml:space="preserve"> </w:t>
      </w:r>
      <w:r w:rsidR="00E8194F" w:rsidRPr="00556527">
        <w:t>MBS item(s) compared to the previous ADAR</w:t>
      </w:r>
      <w:r w:rsidR="0018183E" w:rsidRPr="00556527">
        <w:t>.</w:t>
      </w:r>
    </w:p>
    <w:p w14:paraId="22DC6D0A" w14:textId="7880AA32" w:rsidR="007C6810" w:rsidRDefault="00000000" w:rsidP="003732AB">
      <w:pPr>
        <w:ind w:left="426"/>
      </w:pPr>
      <w:sdt>
        <w:sdtPr>
          <w:id w:val="-1326818913"/>
          <w14:checkbox>
            <w14:checked w14:val="0"/>
            <w14:checkedState w14:val="2612" w14:font="MS Gothic"/>
            <w14:uncheckedState w14:val="2610" w14:font="MS Gothic"/>
          </w14:checkbox>
        </w:sdtPr>
        <w:sdtContent>
          <w:r w:rsidR="003732AB">
            <w:rPr>
              <w:rFonts w:ascii="MS Gothic" w:eastAsia="MS Gothic" w:hAnsi="MS Gothic" w:hint="eastAsia"/>
            </w:rPr>
            <w:t>☐</w:t>
          </w:r>
        </w:sdtContent>
      </w:sdt>
      <w:r w:rsidR="00267B34">
        <w:t xml:space="preserve">   </w:t>
      </w:r>
      <w:r w:rsidR="0028354D">
        <w:t xml:space="preserve"> </w:t>
      </w:r>
      <w:r w:rsidR="007C6810" w:rsidRPr="007C6810">
        <w:t>National Blood Agreement</w:t>
      </w:r>
      <w:r w:rsidR="0018183E">
        <w:t>.</w:t>
      </w:r>
    </w:p>
    <w:p w14:paraId="7BBF25F3" w14:textId="35F9BE39" w:rsidR="007C6810" w:rsidRPr="007C6810" w:rsidRDefault="00000000" w:rsidP="00E43CF4">
      <w:pPr>
        <w:ind w:left="425"/>
      </w:pPr>
      <w:sdt>
        <w:sdtPr>
          <w:id w:val="-821971483"/>
          <w14:checkbox>
            <w14:checked w14:val="0"/>
            <w14:checkedState w14:val="2612" w14:font="MS Gothic"/>
            <w14:uncheckedState w14:val="2610" w14:font="MS Gothic"/>
          </w14:checkbox>
        </w:sdtPr>
        <w:sdtContent>
          <w:r w:rsidR="006512B0">
            <w:rPr>
              <w:rFonts w:ascii="MS Gothic" w:eastAsia="MS Gothic" w:hAnsi="MS Gothic" w:hint="eastAsia"/>
            </w:rPr>
            <w:t>☐</w:t>
          </w:r>
        </w:sdtContent>
      </w:sdt>
      <w:r w:rsidR="006512B0">
        <w:t xml:space="preserve">   </w:t>
      </w:r>
      <w:r w:rsidR="0028354D">
        <w:t xml:space="preserve"> </w:t>
      </w:r>
      <w:r w:rsidR="007C6810" w:rsidRPr="007C6810">
        <w:t>National Health Reform Agreement Addendum (</w:t>
      </w:r>
      <w:r w:rsidR="00EC31D9">
        <w:t xml:space="preserve">high-cost, </w:t>
      </w:r>
      <w:r w:rsidR="00E47286">
        <w:t>h</w:t>
      </w:r>
      <w:r w:rsidR="007C6810" w:rsidRPr="007C6810">
        <w:t>ighly specialised therapies)</w:t>
      </w:r>
      <w:r w:rsidR="0018183E">
        <w:t>.</w:t>
      </w:r>
    </w:p>
    <w:p w14:paraId="0177E327" w14:textId="1061B8F1" w:rsidR="007C6810" w:rsidRPr="007C6810" w:rsidRDefault="00000000" w:rsidP="003732AB">
      <w:pPr>
        <w:ind w:left="426"/>
      </w:pPr>
      <w:sdt>
        <w:sdtPr>
          <w:id w:val="32305996"/>
          <w14:checkbox>
            <w14:checked w14:val="0"/>
            <w14:checkedState w14:val="2612" w14:font="MS Gothic"/>
            <w14:uncheckedState w14:val="2610" w14:font="MS Gothic"/>
          </w14:checkbox>
        </w:sdtPr>
        <w:sdtContent>
          <w:r w:rsidR="006512B0">
            <w:rPr>
              <w:rFonts w:ascii="MS Gothic" w:eastAsia="MS Gothic" w:hAnsi="MS Gothic" w:hint="eastAsia"/>
            </w:rPr>
            <w:t>☐</w:t>
          </w:r>
        </w:sdtContent>
      </w:sdt>
      <w:r w:rsidR="006512B0">
        <w:t xml:space="preserve">   </w:t>
      </w:r>
      <w:r w:rsidR="0028354D">
        <w:t xml:space="preserve"> </w:t>
      </w:r>
      <w:r w:rsidR="007C6810" w:rsidRPr="007C6810">
        <w:t>National Diabetes Services Scheme</w:t>
      </w:r>
      <w:r w:rsidR="0018183E">
        <w:t>.</w:t>
      </w:r>
    </w:p>
    <w:p w14:paraId="424CF295" w14:textId="79A25757" w:rsidR="007C6810" w:rsidRPr="007C6810" w:rsidRDefault="00000000" w:rsidP="00AF2ADD">
      <w:pPr>
        <w:ind w:left="425"/>
      </w:pPr>
      <w:sdt>
        <w:sdtPr>
          <w:id w:val="2031907484"/>
          <w14:checkbox>
            <w14:checked w14:val="0"/>
            <w14:checkedState w14:val="2612" w14:font="MS Gothic"/>
            <w14:uncheckedState w14:val="2610" w14:font="MS Gothic"/>
          </w14:checkbox>
        </w:sdtPr>
        <w:sdtContent>
          <w:r w:rsidR="00296C36">
            <w:rPr>
              <w:rFonts w:ascii="MS Gothic" w:eastAsia="MS Gothic" w:hAnsi="MS Gothic" w:hint="eastAsia"/>
            </w:rPr>
            <w:t>☐</w:t>
          </w:r>
        </w:sdtContent>
      </w:sdt>
      <w:r w:rsidR="00296C36">
        <w:t xml:space="preserve">  </w:t>
      </w:r>
      <w:r w:rsidR="0028354D">
        <w:t xml:space="preserve"> </w:t>
      </w:r>
      <w:r w:rsidR="007C6810" w:rsidRPr="007C6810">
        <w:t>Other</w:t>
      </w:r>
      <w:r w:rsidR="0018183E">
        <w:t xml:space="preserve">. Please </w:t>
      </w:r>
      <w:r w:rsidR="00162B33">
        <w:t>specify the funding program</w:t>
      </w:r>
      <w:r w:rsidR="00F17F85">
        <w:t xml:space="preserve">:  </w:t>
      </w:r>
      <w:r w:rsidR="00D85576">
        <w:t xml:space="preserve"> </w:t>
      </w:r>
    </w:p>
    <w:tbl>
      <w:tblPr>
        <w:tblStyle w:val="TableGrid"/>
        <w:tblW w:w="0" w:type="auto"/>
        <w:tblInd w:w="421" w:type="dxa"/>
        <w:tblLook w:val="04A0" w:firstRow="1" w:lastRow="0" w:firstColumn="1" w:lastColumn="0" w:noHBand="0" w:noVBand="1"/>
      </w:tblPr>
      <w:tblGrid>
        <w:gridCol w:w="9773"/>
      </w:tblGrid>
      <w:tr w:rsidR="00F17F85" w14:paraId="57E63978" w14:textId="77777777" w:rsidTr="00816682">
        <w:tc>
          <w:tcPr>
            <w:tcW w:w="9773" w:type="dxa"/>
          </w:tcPr>
          <w:p w14:paraId="6BDB5203" w14:textId="77777777" w:rsidR="00816682" w:rsidRPr="001B4144" w:rsidRDefault="00816682" w:rsidP="007C6810"/>
        </w:tc>
      </w:tr>
    </w:tbl>
    <w:p w14:paraId="171695C3" w14:textId="77777777" w:rsidR="000E124B" w:rsidRDefault="002B2E25" w:rsidP="00AF2ADD">
      <w:pPr>
        <w:pStyle w:val="ListParagraph"/>
        <w:numPr>
          <w:ilvl w:val="0"/>
          <w:numId w:val="21"/>
        </w:numPr>
        <w:spacing w:before="360"/>
        <w:ind w:left="425" w:hanging="357"/>
        <w:contextualSpacing w:val="0"/>
        <w:rPr>
          <w:b/>
          <w:bCs/>
        </w:rPr>
      </w:pPr>
      <w:r w:rsidRPr="00816682">
        <w:rPr>
          <w:b/>
          <w:bCs/>
        </w:rPr>
        <w:t xml:space="preserve">Has the </w:t>
      </w:r>
      <w:r w:rsidR="00BA60C1" w:rsidRPr="00816682">
        <w:rPr>
          <w:b/>
          <w:bCs/>
        </w:rPr>
        <w:t>funding source changed compared to your previous application</w:t>
      </w:r>
      <w:r w:rsidR="00A61507" w:rsidRPr="00816682">
        <w:rPr>
          <w:b/>
          <w:bCs/>
        </w:rPr>
        <w:t xml:space="preserve">? </w:t>
      </w:r>
    </w:p>
    <w:p w14:paraId="3F54DCE8" w14:textId="1872C11C" w:rsidR="003E42D9" w:rsidRDefault="00000000" w:rsidP="00646FA9">
      <w:pPr>
        <w:spacing w:before="160"/>
        <w:ind w:left="425"/>
      </w:pPr>
      <w:sdt>
        <w:sdtPr>
          <w:rPr>
            <w:b/>
            <w:bCs/>
          </w:rPr>
          <w:id w:val="1950435286"/>
          <w14:checkbox>
            <w14:checked w14:val="1"/>
            <w14:checkedState w14:val="2612" w14:font="MS Gothic"/>
            <w14:uncheckedState w14:val="2610" w14:font="MS Gothic"/>
          </w14:checkbox>
        </w:sdtPr>
        <w:sdtContent>
          <w:r w:rsidR="00EA5C31">
            <w:rPr>
              <w:rFonts w:ascii="MS Gothic" w:eastAsia="MS Gothic" w:hAnsi="MS Gothic" w:hint="eastAsia"/>
              <w:b/>
              <w:bCs/>
            </w:rPr>
            <w:t>☒</w:t>
          </w:r>
        </w:sdtContent>
      </w:sdt>
      <w:r w:rsidR="003E42D9">
        <w:rPr>
          <w:b/>
          <w:bCs/>
        </w:rPr>
        <w:t xml:space="preserve">   </w:t>
      </w:r>
      <w:r w:rsidR="003E42D9" w:rsidRPr="003E42D9">
        <w:t>No</w:t>
      </w:r>
    </w:p>
    <w:p w14:paraId="7CB339BF" w14:textId="17D0A6D7" w:rsidR="0081313C" w:rsidRDefault="0081313C" w:rsidP="009B7ABD">
      <w:pPr>
        <w:pStyle w:val="Heading2"/>
        <w:numPr>
          <w:ilvl w:val="0"/>
          <w:numId w:val="41"/>
        </w:numPr>
        <w:spacing w:before="480"/>
        <w:ind w:left="426" w:hanging="426"/>
      </w:pPr>
      <w:r>
        <w:t>Regulatory Information</w:t>
      </w:r>
    </w:p>
    <w:p w14:paraId="2BF8672C" w14:textId="769A177A" w:rsidR="00A40169" w:rsidRDefault="00A40169" w:rsidP="00A40169">
      <w:pPr>
        <w:pStyle w:val="ListParagraph"/>
        <w:numPr>
          <w:ilvl w:val="0"/>
          <w:numId w:val="35"/>
        </w:numPr>
      </w:pPr>
      <w:r>
        <w:t>Does you</w:t>
      </w:r>
      <w:r w:rsidR="007873F9">
        <w:t>r proposed service or technology involve</w:t>
      </w:r>
      <w:r w:rsidR="0042687C">
        <w:t xml:space="preserve"> (check as many as applicable)</w:t>
      </w:r>
      <w:r w:rsidR="007873F9">
        <w:t xml:space="preserve">: </w:t>
      </w:r>
    </w:p>
    <w:p w14:paraId="6F6CCD21" w14:textId="2DD48CE7" w:rsidR="007873F9" w:rsidRPr="00FC217E" w:rsidRDefault="00000000" w:rsidP="00C15423">
      <w:pPr>
        <w:ind w:left="851" w:hanging="425"/>
        <w:rPr>
          <w:color w:val="ED0000"/>
        </w:rPr>
      </w:pPr>
      <w:sdt>
        <w:sdtPr>
          <w:id w:val="-1182285225"/>
          <w14:checkbox>
            <w14:checked w14:val="1"/>
            <w14:checkedState w14:val="2612" w14:font="MS Gothic"/>
            <w14:uncheckedState w14:val="2610" w14:font="MS Gothic"/>
          </w14:checkbox>
        </w:sdtPr>
        <w:sdtContent>
          <w:r w:rsidR="00EA5C31">
            <w:rPr>
              <w:rFonts w:ascii="MS Gothic" w:eastAsia="MS Gothic" w:hAnsi="MS Gothic" w:hint="eastAsia"/>
            </w:rPr>
            <w:t>☒</w:t>
          </w:r>
        </w:sdtContent>
      </w:sdt>
      <w:r w:rsidR="007873F9">
        <w:t xml:space="preserve">    </w:t>
      </w:r>
      <w:r w:rsidR="00ED1289">
        <w:t xml:space="preserve">the </w:t>
      </w:r>
      <w:r w:rsidR="005B4D42" w:rsidRPr="005B4D42">
        <w:t xml:space="preserve">use of a medical device, </w:t>
      </w:r>
      <w:r w:rsidR="005B4D42" w:rsidRPr="009A75DC">
        <w:rPr>
          <w:i/>
          <w:iCs/>
        </w:rPr>
        <w:t>in-vitro</w:t>
      </w:r>
      <w:r w:rsidR="005B4D42" w:rsidRPr="005B4D42">
        <w:t xml:space="preserve"> diagnostic test, radioactive </w:t>
      </w:r>
      <w:r w:rsidR="005B4D42" w:rsidRPr="00211F7D">
        <w:t>tracer, or any other type of therapeutic</w:t>
      </w:r>
      <w:r w:rsidR="005B4D42" w:rsidRPr="005B4D42">
        <w:t xml:space="preserve"> good</w:t>
      </w:r>
      <w:r w:rsidR="00ED1289">
        <w:t>?</w:t>
      </w:r>
      <w:r w:rsidR="00ED46F1">
        <w:t xml:space="preserve"> </w:t>
      </w:r>
      <w:r w:rsidR="00ED46F1" w:rsidRPr="00BF16C8">
        <w:t>P</w:t>
      </w:r>
      <w:r w:rsidR="000632FE" w:rsidRPr="00BF16C8">
        <w:t>lease complete the section titled</w:t>
      </w:r>
      <w:r w:rsidR="00C15ED1" w:rsidRPr="00BF16C8">
        <w:t xml:space="preserve"> </w:t>
      </w:r>
      <w:hyperlink w:anchor="_ARTG_Listing" w:history="1">
        <w:r w:rsidR="00C15ED1" w:rsidRPr="00C15ED1">
          <w:rPr>
            <w:rStyle w:val="Hyperlink"/>
          </w:rPr>
          <w:t>B1: ARTG Listing</w:t>
        </w:r>
      </w:hyperlink>
      <w:r w:rsidR="00FB67D4" w:rsidRPr="000A37F9">
        <w:rPr>
          <w:color w:val="000000" w:themeColor="text1"/>
        </w:rPr>
        <w:t>.</w:t>
      </w:r>
      <w:r w:rsidR="00AF094E">
        <w:rPr>
          <w:color w:val="000000" w:themeColor="text1"/>
        </w:rPr>
        <w:t xml:space="preserve"> </w:t>
      </w:r>
      <w:r w:rsidR="00AF094E" w:rsidRPr="00FC217E">
        <w:rPr>
          <w:color w:val="ED0000"/>
        </w:rPr>
        <w:t>This relates to the medicine (drug).</w:t>
      </w:r>
    </w:p>
    <w:p w14:paraId="67C9C9B3" w14:textId="217D0824" w:rsidR="00883C56" w:rsidRPr="00FC217E" w:rsidRDefault="00000000" w:rsidP="000632FE">
      <w:pPr>
        <w:ind w:left="851" w:hanging="425"/>
        <w:rPr>
          <w:color w:val="ED0000"/>
        </w:rPr>
      </w:pPr>
      <w:sdt>
        <w:sdtPr>
          <w:id w:val="812445669"/>
          <w14:checkbox>
            <w14:checked w14:val="1"/>
            <w14:checkedState w14:val="2612" w14:font="MS Gothic"/>
            <w14:uncheckedState w14:val="2610" w14:font="MS Gothic"/>
          </w14:checkbox>
        </w:sdtPr>
        <w:sdtContent>
          <w:r w:rsidR="00AF094E">
            <w:rPr>
              <w:rFonts w:ascii="MS Gothic" w:eastAsia="MS Gothic" w:hAnsi="MS Gothic" w:hint="eastAsia"/>
            </w:rPr>
            <w:t>☒</w:t>
          </w:r>
        </w:sdtContent>
      </w:sdt>
      <w:r w:rsidR="00B8618A" w:rsidRPr="00B8618A">
        <w:t xml:space="preserve"> </w:t>
      </w:r>
      <w:r w:rsidR="00B8618A">
        <w:t xml:space="preserve">   </w:t>
      </w:r>
      <w:r w:rsidR="00E26DB7">
        <w:t xml:space="preserve">a service or laboratory requiring accreditation by the National </w:t>
      </w:r>
      <w:r w:rsidR="00B251C6">
        <w:t xml:space="preserve">Association of Testing Authorities </w:t>
      </w:r>
      <w:r w:rsidR="007C6650">
        <w:t xml:space="preserve"> </w:t>
      </w:r>
      <w:r w:rsidR="00B251C6">
        <w:t xml:space="preserve">(NATA)? </w:t>
      </w:r>
      <w:r w:rsidR="000632FE" w:rsidRPr="00BF16C8">
        <w:t>Please complete the section titled</w:t>
      </w:r>
      <w:r w:rsidR="00C15ED1" w:rsidRPr="00BF16C8">
        <w:t xml:space="preserve"> </w:t>
      </w:r>
      <w:hyperlink w:anchor="_B2:_NATA_Accreditation" w:history="1">
        <w:r w:rsidR="00C15ED1" w:rsidRPr="00C15ED1">
          <w:rPr>
            <w:rStyle w:val="Hyperlink"/>
          </w:rPr>
          <w:t>B2: NATA Accreditation</w:t>
        </w:r>
      </w:hyperlink>
      <w:r w:rsidR="00B43D28" w:rsidRPr="000A37F9">
        <w:rPr>
          <w:color w:val="000000" w:themeColor="text1"/>
        </w:rPr>
        <w:t>.</w:t>
      </w:r>
      <w:r w:rsidR="00AF094E">
        <w:rPr>
          <w:color w:val="000000" w:themeColor="text1"/>
        </w:rPr>
        <w:t xml:space="preserve"> </w:t>
      </w:r>
      <w:r w:rsidR="00AF094E" w:rsidRPr="00FC217E">
        <w:rPr>
          <w:color w:val="ED0000"/>
        </w:rPr>
        <w:t>This relates to the test.</w:t>
      </w:r>
    </w:p>
    <w:p w14:paraId="723445D5" w14:textId="127DA850" w:rsidR="00ED1289" w:rsidRPr="000A37F9" w:rsidRDefault="00000000" w:rsidP="005B5AA2">
      <w:pPr>
        <w:ind w:left="851" w:hanging="425"/>
        <w:rPr>
          <w:color w:val="000000" w:themeColor="text1"/>
        </w:rPr>
      </w:pPr>
      <w:sdt>
        <w:sdtPr>
          <w:id w:val="-1631700816"/>
          <w14:checkbox>
            <w14:checked w14:val="0"/>
            <w14:checkedState w14:val="2612" w14:font="MS Gothic"/>
            <w14:uncheckedState w14:val="2610" w14:font="MS Gothic"/>
          </w14:checkbox>
        </w:sdtPr>
        <w:sdtContent>
          <w:r w:rsidR="00883C56">
            <w:rPr>
              <w:rFonts w:ascii="MS Gothic" w:eastAsia="MS Gothic" w:hAnsi="MS Gothic" w:hint="eastAsia"/>
            </w:rPr>
            <w:t>☐</w:t>
          </w:r>
        </w:sdtContent>
      </w:sdt>
      <w:r w:rsidR="00883C56">
        <w:t xml:space="preserve">    </w:t>
      </w:r>
      <w:r w:rsidR="00B8618A">
        <w:t xml:space="preserve">an </w:t>
      </w:r>
      <w:r w:rsidR="00B8618A" w:rsidRPr="00B8618A">
        <w:t xml:space="preserve">MBS item descriptor </w:t>
      </w:r>
      <w:r w:rsidR="00B8618A">
        <w:t xml:space="preserve">that </w:t>
      </w:r>
      <w:r w:rsidR="00B8618A" w:rsidRPr="00B8618A">
        <w:t>refers to a specific radiopharmaceutical or a set of radiopharmaceuticals</w:t>
      </w:r>
      <w:r w:rsidR="00883C56">
        <w:t>?</w:t>
      </w:r>
      <w:r w:rsidR="005B5AA2">
        <w:t xml:space="preserve"> </w:t>
      </w:r>
      <w:r w:rsidR="005B5AA2" w:rsidRPr="00BF16C8">
        <w:t>Please complete the section titled</w:t>
      </w:r>
      <w:r w:rsidR="00C15ED1" w:rsidRPr="00BF16C8">
        <w:t xml:space="preserve"> </w:t>
      </w:r>
      <w:hyperlink w:anchor="_Radiopharmaceuticals" w:history="1">
        <w:r w:rsidR="00C15ED1" w:rsidRPr="00C15ED1">
          <w:rPr>
            <w:rStyle w:val="Hyperlink"/>
          </w:rPr>
          <w:t>B3: Radiopharmaceuticals</w:t>
        </w:r>
      </w:hyperlink>
      <w:r w:rsidR="00B43D28" w:rsidRPr="000A37F9">
        <w:rPr>
          <w:color w:val="000000" w:themeColor="text1"/>
        </w:rPr>
        <w:t>.</w:t>
      </w:r>
    </w:p>
    <w:p w14:paraId="68A9D217" w14:textId="3F4FD2B3" w:rsidR="00016006" w:rsidRDefault="00000000" w:rsidP="005B5AA2">
      <w:pPr>
        <w:ind w:left="851" w:hanging="425"/>
        <w:rPr>
          <w:rFonts w:ascii="MS Gothic" w:eastAsia="MS Gothic" w:hAnsi="MS Gothic"/>
        </w:rPr>
      </w:pPr>
      <w:sdt>
        <w:sdtPr>
          <w:rPr>
            <w:rFonts w:ascii="MS Gothic" w:eastAsia="MS Gothic" w:hAnsi="MS Gothic"/>
          </w:rPr>
          <w:id w:val="2136213165"/>
          <w14:checkbox>
            <w14:checked w14:val="0"/>
            <w14:checkedState w14:val="2612" w14:font="MS Gothic"/>
            <w14:uncheckedState w14:val="2610" w14:font="MS Gothic"/>
          </w14:checkbox>
        </w:sdtPr>
        <w:sdtContent>
          <w:r w:rsidR="00016006">
            <w:rPr>
              <w:rFonts w:ascii="MS Gothic" w:eastAsia="MS Gothic" w:hAnsi="MS Gothic" w:hint="eastAsia"/>
            </w:rPr>
            <w:t>☐</w:t>
          </w:r>
        </w:sdtContent>
      </w:sdt>
      <w:r w:rsidR="00016006">
        <w:rPr>
          <w:rFonts w:ascii="MS Gothic" w:eastAsia="MS Gothic" w:hAnsi="MS Gothic"/>
        </w:rPr>
        <w:t xml:space="preserve">  </w:t>
      </w:r>
      <w:r w:rsidR="00016006" w:rsidRPr="00016006">
        <w:t>None of the above</w:t>
      </w:r>
      <w:r w:rsidR="00BA0EDB">
        <w:t xml:space="preserve">. </w:t>
      </w:r>
      <w:r w:rsidR="00BA0EDB" w:rsidRPr="00BF16C8">
        <w:t xml:space="preserve">Proceed to the </w:t>
      </w:r>
      <w:hyperlink w:anchor="_Other_Information" w:history="1">
        <w:r w:rsidR="00BA0EDB" w:rsidRPr="00BA0EDB">
          <w:rPr>
            <w:rStyle w:val="Hyperlink"/>
          </w:rPr>
          <w:t>Other information</w:t>
        </w:r>
      </w:hyperlink>
      <w:r w:rsidR="00BA0EDB">
        <w:rPr>
          <w:color w:val="FF0000"/>
        </w:rPr>
        <w:t xml:space="preserve"> </w:t>
      </w:r>
      <w:r w:rsidR="00BA0EDB" w:rsidRPr="00BF16C8">
        <w:t>section.</w:t>
      </w:r>
      <w:r w:rsidR="00016006">
        <w:rPr>
          <w:rFonts w:ascii="MS Gothic" w:eastAsia="MS Gothic" w:hAnsi="MS Gothic"/>
        </w:rPr>
        <w:t xml:space="preserve"> </w:t>
      </w:r>
    </w:p>
    <w:p w14:paraId="0BA8BCD0" w14:textId="08DE0605" w:rsidR="00ED1289" w:rsidRPr="00A40169" w:rsidRDefault="009B7ABD" w:rsidP="00D373FA">
      <w:pPr>
        <w:pStyle w:val="Heading3"/>
        <w:spacing w:before="360"/>
      </w:pPr>
      <w:bookmarkStart w:id="0" w:name="_ARTG_Listing"/>
      <w:bookmarkStart w:id="1" w:name="_B1:__ARTG"/>
      <w:bookmarkEnd w:id="0"/>
      <w:bookmarkEnd w:id="1"/>
      <w:r>
        <w:lastRenderedPageBreak/>
        <w:t>B1</w:t>
      </w:r>
      <w:r w:rsidR="001374D0">
        <w:t xml:space="preserve">:  </w:t>
      </w:r>
      <w:r w:rsidR="00B43D28">
        <w:t>ARTG Listing</w:t>
      </w:r>
    </w:p>
    <w:p w14:paraId="23C6BA2F" w14:textId="78E3B1BA" w:rsidR="002D3798" w:rsidRPr="00AC19B8" w:rsidRDefault="002D3798" w:rsidP="005D2517">
      <w:pPr>
        <w:pStyle w:val="ListParagraph"/>
        <w:numPr>
          <w:ilvl w:val="0"/>
          <w:numId w:val="35"/>
        </w:numPr>
        <w:spacing w:before="360"/>
        <w:contextualSpacing w:val="0"/>
        <w:rPr>
          <w:b/>
          <w:bCs/>
          <w:sz w:val="24"/>
          <w:szCs w:val="24"/>
        </w:rPr>
      </w:pPr>
      <w:r w:rsidRPr="00AC19B8">
        <w:rPr>
          <w:b/>
          <w:bCs/>
          <w:sz w:val="24"/>
          <w:szCs w:val="24"/>
        </w:rPr>
        <w:t xml:space="preserve">Has </w:t>
      </w:r>
      <w:r w:rsidR="00134235">
        <w:rPr>
          <w:b/>
          <w:bCs/>
          <w:sz w:val="24"/>
          <w:szCs w:val="24"/>
        </w:rPr>
        <w:t xml:space="preserve">the proposed health technology </w:t>
      </w:r>
      <w:r w:rsidRPr="00AC19B8">
        <w:rPr>
          <w:b/>
          <w:bCs/>
          <w:sz w:val="24"/>
          <w:szCs w:val="24"/>
        </w:rPr>
        <w:t>been listed or registered or included in the Australian Register of Therapeutic Goods (ARTG) by the Therapeutic Goods Administration (TGA)?</w:t>
      </w:r>
    </w:p>
    <w:p w14:paraId="1F03310F" w14:textId="34592BEE" w:rsidR="00366FDA" w:rsidRPr="00336868" w:rsidRDefault="00000000" w:rsidP="00336868">
      <w:pPr>
        <w:ind w:left="426"/>
        <w:rPr>
          <w:sz w:val="24"/>
          <w:szCs w:val="24"/>
        </w:rPr>
      </w:pPr>
      <w:sdt>
        <w:sdtPr>
          <w:rPr>
            <w:rFonts w:ascii="MS Gothic" w:eastAsia="MS Gothic" w:hAnsi="MS Gothic"/>
            <w:sz w:val="24"/>
            <w:szCs w:val="24"/>
          </w:rPr>
          <w:id w:val="881517415"/>
          <w14:checkbox>
            <w14:checked w14:val="1"/>
            <w14:checkedState w14:val="2612" w14:font="MS Gothic"/>
            <w14:uncheckedState w14:val="2610" w14:font="MS Gothic"/>
          </w14:checkbox>
        </w:sdtPr>
        <w:sdtContent>
          <w:r w:rsidR="00AF094E">
            <w:rPr>
              <w:rFonts w:ascii="MS Gothic" w:eastAsia="MS Gothic" w:hAnsi="MS Gothic" w:hint="eastAsia"/>
              <w:sz w:val="24"/>
              <w:szCs w:val="24"/>
            </w:rPr>
            <w:t>☒</w:t>
          </w:r>
        </w:sdtContent>
      </w:sdt>
      <w:r w:rsidR="00366FDA" w:rsidRPr="00336868">
        <w:rPr>
          <w:sz w:val="24"/>
          <w:szCs w:val="24"/>
        </w:rPr>
        <w:t xml:space="preserve">  No </w:t>
      </w:r>
      <w:r w:rsidR="003A622E">
        <w:rPr>
          <w:sz w:val="24"/>
          <w:szCs w:val="24"/>
        </w:rPr>
        <w:t xml:space="preserve">(Go to question </w:t>
      </w:r>
      <w:r w:rsidR="00B14F42">
        <w:rPr>
          <w:sz w:val="24"/>
          <w:szCs w:val="24"/>
        </w:rPr>
        <w:t>4</w:t>
      </w:r>
      <w:r w:rsidR="003A622E">
        <w:rPr>
          <w:sz w:val="24"/>
          <w:szCs w:val="24"/>
        </w:rPr>
        <w:t>)</w:t>
      </w:r>
    </w:p>
    <w:p w14:paraId="291C1460" w14:textId="2F889B62" w:rsidR="000318DE" w:rsidRDefault="00000000" w:rsidP="00336868">
      <w:pPr>
        <w:ind w:left="426"/>
        <w:rPr>
          <w:sz w:val="24"/>
          <w:szCs w:val="24"/>
        </w:rPr>
      </w:pPr>
      <w:sdt>
        <w:sdtPr>
          <w:rPr>
            <w:rFonts w:ascii="MS Gothic" w:eastAsia="MS Gothic" w:hAnsi="MS Gothic"/>
            <w:sz w:val="24"/>
            <w:szCs w:val="24"/>
          </w:rPr>
          <w:id w:val="1428316681"/>
          <w14:checkbox>
            <w14:checked w14:val="0"/>
            <w14:checkedState w14:val="2612" w14:font="MS Gothic"/>
            <w14:uncheckedState w14:val="2610" w14:font="MS Gothic"/>
          </w14:checkbox>
        </w:sdtPr>
        <w:sdtContent>
          <w:r w:rsidR="00AF094E">
            <w:rPr>
              <w:rFonts w:ascii="MS Gothic" w:eastAsia="MS Gothic" w:hAnsi="MS Gothic" w:hint="eastAsia"/>
              <w:sz w:val="24"/>
              <w:szCs w:val="24"/>
            </w:rPr>
            <w:t>☐</w:t>
          </w:r>
        </w:sdtContent>
      </w:sdt>
      <w:r w:rsidR="00366FDA" w:rsidRPr="00336868">
        <w:rPr>
          <w:sz w:val="24"/>
          <w:szCs w:val="24"/>
        </w:rPr>
        <w:t xml:space="preserve">  Yes</w:t>
      </w:r>
      <w:r w:rsidR="00A61507">
        <w:rPr>
          <w:sz w:val="24"/>
          <w:szCs w:val="24"/>
        </w:rPr>
        <w:t xml:space="preserve">. </w:t>
      </w:r>
      <w:r w:rsidR="0008735F">
        <w:rPr>
          <w:sz w:val="24"/>
          <w:szCs w:val="24"/>
        </w:rPr>
        <w:t xml:space="preserve">Please </w:t>
      </w:r>
      <w:r w:rsidR="006B0060">
        <w:rPr>
          <w:sz w:val="24"/>
          <w:szCs w:val="24"/>
        </w:rPr>
        <w:t xml:space="preserve">state the ARTG ID, TGA approved indication(s) and TGA approved purpose: </w:t>
      </w:r>
    </w:p>
    <w:tbl>
      <w:tblPr>
        <w:tblStyle w:val="TableGrid"/>
        <w:tblW w:w="0" w:type="auto"/>
        <w:tblInd w:w="426" w:type="dxa"/>
        <w:tblLook w:val="04A0" w:firstRow="1" w:lastRow="0" w:firstColumn="1" w:lastColumn="0" w:noHBand="0" w:noVBand="1"/>
      </w:tblPr>
      <w:tblGrid>
        <w:gridCol w:w="3118"/>
        <w:gridCol w:w="6650"/>
      </w:tblGrid>
      <w:tr w:rsidR="00F17209" w14:paraId="17EEF52D" w14:textId="3E7DDE40" w:rsidTr="00600C63">
        <w:tc>
          <w:tcPr>
            <w:tcW w:w="3118" w:type="dxa"/>
            <w:tcBorders>
              <w:top w:val="single" w:sz="4" w:space="0" w:color="auto"/>
              <w:left w:val="nil"/>
              <w:bottom w:val="single" w:sz="4" w:space="0" w:color="auto"/>
            </w:tcBorders>
          </w:tcPr>
          <w:p w14:paraId="6219EEE7" w14:textId="42BE40B1" w:rsidR="00F17209" w:rsidRPr="005D5045" w:rsidRDefault="00F17209" w:rsidP="00002E95">
            <w:pPr>
              <w:spacing w:before="120" w:after="120"/>
              <w:rPr>
                <w:b/>
                <w:bCs/>
                <w:sz w:val="24"/>
                <w:szCs w:val="24"/>
              </w:rPr>
            </w:pPr>
            <w:r w:rsidRPr="005D5045">
              <w:rPr>
                <w:b/>
                <w:bCs/>
                <w:sz w:val="24"/>
                <w:szCs w:val="24"/>
              </w:rPr>
              <w:t>ARTG ID</w:t>
            </w:r>
            <w:r w:rsidR="00002E95" w:rsidRPr="005D5045">
              <w:rPr>
                <w:b/>
                <w:bCs/>
                <w:sz w:val="24"/>
                <w:szCs w:val="24"/>
              </w:rPr>
              <w:t>:</w:t>
            </w:r>
          </w:p>
        </w:tc>
        <w:tc>
          <w:tcPr>
            <w:tcW w:w="6650" w:type="dxa"/>
            <w:tcBorders>
              <w:top w:val="single" w:sz="4" w:space="0" w:color="auto"/>
              <w:bottom w:val="single" w:sz="4" w:space="0" w:color="auto"/>
              <w:right w:val="nil"/>
            </w:tcBorders>
          </w:tcPr>
          <w:p w14:paraId="7DC40434" w14:textId="26BDD1C6" w:rsidR="00F17209" w:rsidRDefault="00F17209" w:rsidP="00002E95">
            <w:pPr>
              <w:spacing w:before="120" w:after="120"/>
              <w:rPr>
                <w:sz w:val="24"/>
                <w:szCs w:val="24"/>
              </w:rPr>
            </w:pPr>
          </w:p>
        </w:tc>
      </w:tr>
      <w:tr w:rsidR="00F17209" w14:paraId="0EFE5752" w14:textId="77777777" w:rsidTr="00600C63">
        <w:tc>
          <w:tcPr>
            <w:tcW w:w="3118" w:type="dxa"/>
            <w:tcBorders>
              <w:left w:val="nil"/>
            </w:tcBorders>
          </w:tcPr>
          <w:p w14:paraId="2FDD771A" w14:textId="029E19D3" w:rsidR="00002E95" w:rsidRPr="005D5045" w:rsidRDefault="00002E95" w:rsidP="00C74E77">
            <w:pPr>
              <w:spacing w:before="120"/>
              <w:rPr>
                <w:b/>
                <w:bCs/>
                <w:sz w:val="24"/>
                <w:szCs w:val="24"/>
              </w:rPr>
            </w:pPr>
            <w:r w:rsidRPr="005D5045">
              <w:rPr>
                <w:b/>
                <w:bCs/>
                <w:sz w:val="24"/>
                <w:szCs w:val="24"/>
              </w:rPr>
              <w:t>TGA approved indication</w:t>
            </w:r>
            <w:r w:rsidR="00504FE0">
              <w:rPr>
                <w:b/>
                <w:bCs/>
                <w:sz w:val="24"/>
                <w:szCs w:val="24"/>
              </w:rPr>
              <w:t>(</w:t>
            </w:r>
            <w:r w:rsidRPr="005D5045">
              <w:rPr>
                <w:b/>
                <w:bCs/>
                <w:sz w:val="24"/>
                <w:szCs w:val="24"/>
              </w:rPr>
              <w:t>s</w:t>
            </w:r>
            <w:r w:rsidR="00504FE0">
              <w:rPr>
                <w:b/>
                <w:bCs/>
                <w:sz w:val="24"/>
                <w:szCs w:val="24"/>
              </w:rPr>
              <w:t>)</w:t>
            </w:r>
            <w:r w:rsidRPr="005D5045">
              <w:rPr>
                <w:b/>
                <w:bCs/>
                <w:sz w:val="24"/>
                <w:szCs w:val="24"/>
              </w:rPr>
              <w:t>:</w:t>
            </w:r>
          </w:p>
          <w:p w14:paraId="18D9F2BE" w14:textId="59CFE925" w:rsidR="00002E95" w:rsidRPr="005D5045" w:rsidRDefault="00002E95" w:rsidP="00336868">
            <w:pPr>
              <w:rPr>
                <w:b/>
                <w:bCs/>
                <w:sz w:val="24"/>
                <w:szCs w:val="24"/>
              </w:rPr>
            </w:pPr>
          </w:p>
        </w:tc>
        <w:tc>
          <w:tcPr>
            <w:tcW w:w="6650" w:type="dxa"/>
            <w:tcBorders>
              <w:right w:val="nil"/>
            </w:tcBorders>
          </w:tcPr>
          <w:p w14:paraId="7C421A78" w14:textId="5B25643B" w:rsidR="00F17209" w:rsidRDefault="00F17209" w:rsidP="00DA75F2">
            <w:pPr>
              <w:spacing w:before="120"/>
              <w:rPr>
                <w:sz w:val="24"/>
                <w:szCs w:val="24"/>
              </w:rPr>
            </w:pPr>
          </w:p>
        </w:tc>
      </w:tr>
      <w:tr w:rsidR="00F17209" w14:paraId="21186F77" w14:textId="77777777" w:rsidTr="00600C63">
        <w:tc>
          <w:tcPr>
            <w:tcW w:w="3118" w:type="dxa"/>
            <w:tcBorders>
              <w:left w:val="nil"/>
            </w:tcBorders>
          </w:tcPr>
          <w:p w14:paraId="171D2B63" w14:textId="30ADBC1B" w:rsidR="00002E95" w:rsidRPr="005D5045" w:rsidRDefault="00002E95" w:rsidP="00C74E77">
            <w:pPr>
              <w:spacing w:before="120"/>
              <w:rPr>
                <w:b/>
                <w:bCs/>
                <w:sz w:val="24"/>
                <w:szCs w:val="24"/>
              </w:rPr>
            </w:pPr>
            <w:r w:rsidRPr="005D5045">
              <w:rPr>
                <w:b/>
                <w:bCs/>
                <w:sz w:val="24"/>
                <w:szCs w:val="24"/>
              </w:rPr>
              <w:t xml:space="preserve">TGA approved purpose: </w:t>
            </w:r>
          </w:p>
          <w:p w14:paraId="2F673E5D" w14:textId="5EC19000" w:rsidR="00002E95" w:rsidRPr="005D5045" w:rsidRDefault="00002E95" w:rsidP="00336868">
            <w:pPr>
              <w:rPr>
                <w:b/>
                <w:bCs/>
                <w:sz w:val="24"/>
                <w:szCs w:val="24"/>
              </w:rPr>
            </w:pPr>
          </w:p>
        </w:tc>
        <w:tc>
          <w:tcPr>
            <w:tcW w:w="6650" w:type="dxa"/>
            <w:tcBorders>
              <w:right w:val="nil"/>
            </w:tcBorders>
          </w:tcPr>
          <w:p w14:paraId="26D0534D" w14:textId="44831A54" w:rsidR="00F17209" w:rsidRDefault="00F17209" w:rsidP="00126FC8">
            <w:pPr>
              <w:spacing w:before="120"/>
              <w:rPr>
                <w:sz w:val="24"/>
                <w:szCs w:val="24"/>
              </w:rPr>
            </w:pPr>
          </w:p>
        </w:tc>
      </w:tr>
    </w:tbl>
    <w:p w14:paraId="2DFC125E" w14:textId="095E62E4" w:rsidR="0085267B" w:rsidRPr="00134235" w:rsidRDefault="0085267B" w:rsidP="005D2517">
      <w:pPr>
        <w:pStyle w:val="ListParagraph"/>
        <w:numPr>
          <w:ilvl w:val="0"/>
          <w:numId w:val="35"/>
        </w:numPr>
        <w:spacing w:before="320"/>
        <w:contextualSpacing w:val="0"/>
        <w:rPr>
          <w:b/>
          <w:bCs/>
          <w:sz w:val="24"/>
          <w:szCs w:val="24"/>
        </w:rPr>
      </w:pPr>
      <w:bookmarkStart w:id="2" w:name="_Hlk187650427"/>
      <w:r w:rsidRPr="00134235">
        <w:rPr>
          <w:b/>
          <w:bCs/>
          <w:sz w:val="24"/>
          <w:szCs w:val="24"/>
        </w:rPr>
        <w:t xml:space="preserve">Is the intended purpose in this </w:t>
      </w:r>
      <w:r w:rsidR="00CB02A3">
        <w:rPr>
          <w:b/>
          <w:bCs/>
          <w:sz w:val="24"/>
          <w:szCs w:val="24"/>
        </w:rPr>
        <w:t>re</w:t>
      </w:r>
      <w:r w:rsidRPr="00134235">
        <w:rPr>
          <w:b/>
          <w:bCs/>
          <w:sz w:val="24"/>
          <w:szCs w:val="24"/>
        </w:rPr>
        <w:t xml:space="preserve">application the same as the intended purpose of the ARTG listing? </w:t>
      </w:r>
    </w:p>
    <w:p w14:paraId="3621AEBA" w14:textId="62339666" w:rsidR="0085267B" w:rsidRDefault="00000000" w:rsidP="00E17C42">
      <w:pPr>
        <w:pStyle w:val="ListParagraph"/>
        <w:ind w:left="851" w:hanging="425"/>
        <w:contextualSpacing w:val="0"/>
        <w:rPr>
          <w:sz w:val="24"/>
          <w:szCs w:val="24"/>
        </w:rPr>
      </w:pPr>
      <w:sdt>
        <w:sdtPr>
          <w:rPr>
            <w:sz w:val="24"/>
            <w:szCs w:val="24"/>
          </w:rPr>
          <w:id w:val="1778916126"/>
          <w14:checkbox>
            <w14:checked w14:val="0"/>
            <w14:checkedState w14:val="2612" w14:font="MS Gothic"/>
            <w14:uncheckedState w14:val="2610" w14:font="MS Gothic"/>
          </w14:checkbox>
        </w:sdtPr>
        <w:sdtContent>
          <w:r w:rsidR="00AF094E">
            <w:rPr>
              <w:rFonts w:ascii="MS Gothic" w:eastAsia="MS Gothic" w:hAnsi="MS Gothic" w:hint="eastAsia"/>
              <w:sz w:val="24"/>
              <w:szCs w:val="24"/>
            </w:rPr>
            <w:t>☐</w:t>
          </w:r>
        </w:sdtContent>
      </w:sdt>
      <w:r w:rsidR="002B2759">
        <w:rPr>
          <w:sz w:val="24"/>
          <w:szCs w:val="24"/>
        </w:rPr>
        <w:t xml:space="preserve"> </w:t>
      </w:r>
      <w:r w:rsidR="00D468EE">
        <w:rPr>
          <w:sz w:val="24"/>
          <w:szCs w:val="24"/>
        </w:rPr>
        <w:t xml:space="preserve">  </w:t>
      </w:r>
      <w:r w:rsidR="002B2759">
        <w:rPr>
          <w:sz w:val="24"/>
          <w:szCs w:val="24"/>
        </w:rPr>
        <w:t>Yes</w:t>
      </w:r>
      <w:r w:rsidR="00D553AA">
        <w:rPr>
          <w:sz w:val="24"/>
          <w:szCs w:val="24"/>
        </w:rPr>
        <w:t>.</w:t>
      </w:r>
      <w:r w:rsidR="00D468EE">
        <w:rPr>
          <w:sz w:val="24"/>
          <w:szCs w:val="24"/>
        </w:rPr>
        <w:t xml:space="preserve"> </w:t>
      </w:r>
      <w:r w:rsidR="00C72F6E" w:rsidRPr="004A2395">
        <w:rPr>
          <w:sz w:val="24"/>
          <w:szCs w:val="24"/>
        </w:rPr>
        <w:t>Go to the next applicable section (</w:t>
      </w:r>
      <w:hyperlink w:anchor="_B2:_NATA_Accreditation" w:history="1">
        <w:r w:rsidR="00C72F6E" w:rsidRPr="004A2395">
          <w:rPr>
            <w:rStyle w:val="Hyperlink"/>
            <w:sz w:val="24"/>
            <w:szCs w:val="24"/>
          </w:rPr>
          <w:t>B2: NATA Accreditation</w:t>
        </w:r>
      </w:hyperlink>
      <w:r w:rsidR="00C72F6E" w:rsidRPr="004A2395">
        <w:rPr>
          <w:sz w:val="24"/>
          <w:szCs w:val="24"/>
        </w:rPr>
        <w:t xml:space="preserve">; </w:t>
      </w:r>
      <w:hyperlink w:anchor="_Radiopharmaceuticals" w:history="1">
        <w:r w:rsidR="00C72F6E" w:rsidRPr="004A2395">
          <w:rPr>
            <w:rStyle w:val="Hyperlink"/>
            <w:sz w:val="24"/>
            <w:szCs w:val="24"/>
          </w:rPr>
          <w:t>B3:  Radiopharmaceuticals</w:t>
        </w:r>
      </w:hyperlink>
      <w:r w:rsidR="00F65E24" w:rsidRPr="004A2395">
        <w:rPr>
          <w:rStyle w:val="Hyperlink"/>
          <w:sz w:val="24"/>
          <w:szCs w:val="24"/>
        </w:rPr>
        <w:t>;</w:t>
      </w:r>
      <w:r w:rsidR="00810F89" w:rsidRPr="004A2395">
        <w:rPr>
          <w:sz w:val="24"/>
          <w:szCs w:val="24"/>
        </w:rPr>
        <w:t xml:space="preserve"> or </w:t>
      </w:r>
      <w:hyperlink w:anchor="_Other_Information_2" w:history="1">
        <w:r w:rsidR="00810F89" w:rsidRPr="004A2395">
          <w:rPr>
            <w:rStyle w:val="Hyperlink"/>
            <w:sz w:val="24"/>
            <w:szCs w:val="24"/>
          </w:rPr>
          <w:t>Other Information</w:t>
        </w:r>
      </w:hyperlink>
      <w:r w:rsidR="006A536B" w:rsidRPr="004A2395">
        <w:rPr>
          <w:sz w:val="24"/>
          <w:szCs w:val="24"/>
        </w:rPr>
        <w:t>).</w:t>
      </w:r>
    </w:p>
    <w:p w14:paraId="49EAE873" w14:textId="0543E0DE" w:rsidR="00E2229F" w:rsidRDefault="00000000" w:rsidP="00E2229F">
      <w:pPr>
        <w:pStyle w:val="ListParagraph"/>
        <w:ind w:left="851" w:hanging="425"/>
        <w:contextualSpacing w:val="0"/>
        <w:rPr>
          <w:sz w:val="24"/>
          <w:szCs w:val="24"/>
        </w:rPr>
      </w:pPr>
      <w:sdt>
        <w:sdtPr>
          <w:rPr>
            <w:sz w:val="24"/>
            <w:szCs w:val="24"/>
          </w:rPr>
          <w:id w:val="-1574511024"/>
          <w14:checkbox>
            <w14:checked w14:val="0"/>
            <w14:checkedState w14:val="2612" w14:font="MS Gothic"/>
            <w14:uncheckedState w14:val="2610" w14:font="MS Gothic"/>
          </w14:checkbox>
        </w:sdtPr>
        <w:sdtContent>
          <w:r w:rsidR="002B2759">
            <w:rPr>
              <w:rFonts w:ascii="MS Gothic" w:eastAsia="MS Gothic" w:hAnsi="MS Gothic" w:hint="eastAsia"/>
              <w:sz w:val="24"/>
              <w:szCs w:val="24"/>
            </w:rPr>
            <w:t>☐</w:t>
          </w:r>
        </w:sdtContent>
      </w:sdt>
      <w:r w:rsidR="002B2759">
        <w:rPr>
          <w:sz w:val="24"/>
          <w:szCs w:val="24"/>
        </w:rPr>
        <w:t xml:space="preserve">   </w:t>
      </w:r>
      <w:r w:rsidR="00A61507">
        <w:rPr>
          <w:sz w:val="24"/>
          <w:szCs w:val="24"/>
        </w:rPr>
        <w:t xml:space="preserve">No. </w:t>
      </w:r>
      <w:r w:rsidR="002B2759">
        <w:rPr>
          <w:sz w:val="24"/>
          <w:szCs w:val="24"/>
        </w:rPr>
        <w:t>Please explain the differences</w:t>
      </w:r>
      <w:r w:rsidR="00BB49C7">
        <w:rPr>
          <w:sz w:val="24"/>
          <w:szCs w:val="24"/>
        </w:rPr>
        <w:t xml:space="preserve"> below, then proceed to the next applicable section</w:t>
      </w:r>
      <w:r w:rsidR="00E2229F">
        <w:rPr>
          <w:sz w:val="24"/>
          <w:szCs w:val="24"/>
        </w:rPr>
        <w:t xml:space="preserve"> </w:t>
      </w:r>
      <w:r w:rsidR="00062982">
        <w:rPr>
          <w:sz w:val="24"/>
          <w:szCs w:val="24"/>
        </w:rPr>
        <w:br/>
      </w:r>
      <w:r w:rsidR="00E2229F" w:rsidRPr="004A2395">
        <w:rPr>
          <w:sz w:val="24"/>
          <w:szCs w:val="24"/>
        </w:rPr>
        <w:t>(</w:t>
      </w:r>
      <w:hyperlink w:anchor="_B2:_NATA_Accreditation" w:history="1">
        <w:r w:rsidR="00E2229F" w:rsidRPr="004A2395">
          <w:rPr>
            <w:rStyle w:val="Hyperlink"/>
            <w:sz w:val="24"/>
            <w:szCs w:val="24"/>
          </w:rPr>
          <w:t>B2: NATA Accreditation</w:t>
        </w:r>
      </w:hyperlink>
      <w:r w:rsidR="00E2229F" w:rsidRPr="004A2395">
        <w:rPr>
          <w:sz w:val="24"/>
          <w:szCs w:val="24"/>
        </w:rPr>
        <w:t xml:space="preserve">; </w:t>
      </w:r>
      <w:hyperlink w:anchor="_Radiopharmaceuticals" w:history="1">
        <w:r w:rsidR="00E2229F" w:rsidRPr="004A2395">
          <w:rPr>
            <w:rStyle w:val="Hyperlink"/>
            <w:sz w:val="24"/>
            <w:szCs w:val="24"/>
          </w:rPr>
          <w:t>B3:  Radiopharmaceuticals</w:t>
        </w:r>
      </w:hyperlink>
      <w:r w:rsidR="00032A13" w:rsidRPr="004A2395">
        <w:rPr>
          <w:rStyle w:val="Hyperlink"/>
          <w:sz w:val="24"/>
          <w:szCs w:val="24"/>
        </w:rPr>
        <w:t>;</w:t>
      </w:r>
      <w:r w:rsidR="00E2229F" w:rsidRPr="004A2395">
        <w:rPr>
          <w:sz w:val="24"/>
          <w:szCs w:val="24"/>
        </w:rPr>
        <w:t xml:space="preserve"> or </w:t>
      </w:r>
      <w:hyperlink w:anchor="_Other_Information_2" w:history="1">
        <w:r w:rsidR="00E2229F" w:rsidRPr="004A2395">
          <w:rPr>
            <w:rStyle w:val="Hyperlink"/>
            <w:sz w:val="24"/>
            <w:szCs w:val="24"/>
          </w:rPr>
          <w:t>Other Information</w:t>
        </w:r>
      </w:hyperlink>
      <w:r w:rsidR="00E2229F" w:rsidRPr="004A2395">
        <w:rPr>
          <w:sz w:val="24"/>
          <w:szCs w:val="24"/>
        </w:rPr>
        <w:t>)</w:t>
      </w:r>
    </w:p>
    <w:tbl>
      <w:tblPr>
        <w:tblStyle w:val="TableGrid"/>
        <w:tblW w:w="0" w:type="auto"/>
        <w:tblInd w:w="360" w:type="dxa"/>
        <w:tblLook w:val="04A0" w:firstRow="1" w:lastRow="0" w:firstColumn="1" w:lastColumn="0" w:noHBand="0" w:noVBand="1"/>
      </w:tblPr>
      <w:tblGrid>
        <w:gridCol w:w="9834"/>
      </w:tblGrid>
      <w:tr w:rsidR="002B2759" w14:paraId="0A89384E" w14:textId="77777777" w:rsidTr="002B2759">
        <w:tc>
          <w:tcPr>
            <w:tcW w:w="9834" w:type="dxa"/>
          </w:tcPr>
          <w:p w14:paraId="66D4BDFB" w14:textId="701DA769" w:rsidR="007F73EB" w:rsidRDefault="00E2229F" w:rsidP="00AF094E">
            <w:pPr>
              <w:pStyle w:val="ListParagraph"/>
              <w:ind w:left="0"/>
              <w:rPr>
                <w:sz w:val="24"/>
                <w:szCs w:val="24"/>
              </w:rPr>
            </w:pPr>
            <w:r>
              <w:rPr>
                <w:sz w:val="24"/>
                <w:szCs w:val="24"/>
              </w:rPr>
              <w:t xml:space="preserve"> </w:t>
            </w:r>
          </w:p>
        </w:tc>
      </w:tr>
    </w:tbl>
    <w:bookmarkEnd w:id="2"/>
    <w:p w14:paraId="7F83BAA5" w14:textId="02C72C53" w:rsidR="002D3798" w:rsidRPr="00134235" w:rsidRDefault="002D3798" w:rsidP="005D2517">
      <w:pPr>
        <w:pStyle w:val="ListParagraph"/>
        <w:numPr>
          <w:ilvl w:val="0"/>
          <w:numId w:val="35"/>
        </w:numPr>
        <w:spacing w:before="320"/>
        <w:contextualSpacing w:val="0"/>
        <w:rPr>
          <w:b/>
          <w:bCs/>
          <w:sz w:val="24"/>
          <w:szCs w:val="24"/>
        </w:rPr>
      </w:pPr>
      <w:r w:rsidRPr="00134235">
        <w:rPr>
          <w:b/>
          <w:bCs/>
          <w:sz w:val="24"/>
          <w:szCs w:val="24"/>
        </w:rPr>
        <w:t>Is the therapeutic good classified by the TGA as either a Class III or Active Implantable Medical Device (AIMD) against the TGA regulatory scheme for devices?</w:t>
      </w:r>
    </w:p>
    <w:p w14:paraId="0B92ED78" w14:textId="55A91E9D" w:rsidR="00DE7720" w:rsidRDefault="00000000" w:rsidP="007C0411">
      <w:pPr>
        <w:ind w:left="425"/>
        <w:rPr>
          <w:sz w:val="24"/>
          <w:szCs w:val="24"/>
        </w:rPr>
      </w:pPr>
      <w:sdt>
        <w:sdtPr>
          <w:rPr>
            <w:sz w:val="24"/>
            <w:szCs w:val="24"/>
          </w:rPr>
          <w:id w:val="-1963711911"/>
          <w14:checkbox>
            <w14:checked w14:val="1"/>
            <w14:checkedState w14:val="2612" w14:font="MS Gothic"/>
            <w14:uncheckedState w14:val="2610" w14:font="MS Gothic"/>
          </w14:checkbox>
        </w:sdtPr>
        <w:sdtContent>
          <w:r w:rsidR="00D81463">
            <w:rPr>
              <w:rFonts w:ascii="MS Gothic" w:eastAsia="MS Gothic" w:hAnsi="MS Gothic" w:hint="eastAsia"/>
              <w:sz w:val="24"/>
              <w:szCs w:val="24"/>
            </w:rPr>
            <w:t>☒</w:t>
          </w:r>
        </w:sdtContent>
      </w:sdt>
      <w:r w:rsidR="00DE7720">
        <w:rPr>
          <w:sz w:val="24"/>
          <w:szCs w:val="24"/>
        </w:rPr>
        <w:t xml:space="preserve">   </w:t>
      </w:r>
      <w:r w:rsidR="00A61507" w:rsidRPr="00DE7720">
        <w:rPr>
          <w:sz w:val="24"/>
          <w:szCs w:val="24"/>
        </w:rPr>
        <w:t>No</w:t>
      </w:r>
      <w:r w:rsidR="00A61507">
        <w:rPr>
          <w:sz w:val="24"/>
          <w:szCs w:val="24"/>
        </w:rPr>
        <w:t xml:space="preserve"> </w:t>
      </w:r>
    </w:p>
    <w:p w14:paraId="1EACD1BD" w14:textId="0B8859E1" w:rsidR="00DE7720" w:rsidRDefault="00000000" w:rsidP="00DE7720">
      <w:pPr>
        <w:ind w:left="426"/>
        <w:rPr>
          <w:sz w:val="24"/>
          <w:szCs w:val="24"/>
        </w:rPr>
      </w:pPr>
      <w:sdt>
        <w:sdtPr>
          <w:rPr>
            <w:rFonts w:ascii="MS Gothic" w:eastAsia="MS Gothic" w:hAnsi="MS Gothic"/>
            <w:sz w:val="24"/>
            <w:szCs w:val="24"/>
          </w:rPr>
          <w:id w:val="1302036415"/>
          <w14:checkbox>
            <w14:checked w14:val="0"/>
            <w14:checkedState w14:val="2612" w14:font="MS Gothic"/>
            <w14:uncheckedState w14:val="2610" w14:font="MS Gothic"/>
          </w14:checkbox>
        </w:sdtPr>
        <w:sdtContent>
          <w:r w:rsidR="00DE7720" w:rsidRPr="00DE7720">
            <w:rPr>
              <w:rFonts w:ascii="MS Gothic" w:eastAsia="MS Gothic" w:hAnsi="MS Gothic" w:hint="eastAsia"/>
              <w:sz w:val="24"/>
              <w:szCs w:val="24"/>
            </w:rPr>
            <w:t>☐</w:t>
          </w:r>
        </w:sdtContent>
      </w:sdt>
      <w:r w:rsidR="00DE7720" w:rsidRPr="00DE7720">
        <w:rPr>
          <w:sz w:val="24"/>
          <w:szCs w:val="24"/>
        </w:rPr>
        <w:t xml:space="preserve">   </w:t>
      </w:r>
      <w:r w:rsidR="0008388B">
        <w:rPr>
          <w:sz w:val="24"/>
          <w:szCs w:val="24"/>
        </w:rPr>
        <w:t>AIMD</w:t>
      </w:r>
    </w:p>
    <w:p w14:paraId="0D769DFD" w14:textId="37648798" w:rsidR="0008388B" w:rsidRPr="00DE7720" w:rsidRDefault="00000000" w:rsidP="00DE7720">
      <w:pPr>
        <w:ind w:left="426"/>
        <w:rPr>
          <w:sz w:val="24"/>
          <w:szCs w:val="24"/>
        </w:rPr>
      </w:pPr>
      <w:sdt>
        <w:sdtPr>
          <w:rPr>
            <w:sz w:val="24"/>
            <w:szCs w:val="24"/>
          </w:rPr>
          <w:id w:val="989905954"/>
          <w14:checkbox>
            <w14:checked w14:val="0"/>
            <w14:checkedState w14:val="2612" w14:font="MS Gothic"/>
            <w14:uncheckedState w14:val="2610" w14:font="MS Gothic"/>
          </w14:checkbox>
        </w:sdtPr>
        <w:sdtContent>
          <w:r w:rsidR="0008388B">
            <w:rPr>
              <w:rFonts w:ascii="MS Gothic" w:eastAsia="MS Gothic" w:hAnsi="MS Gothic" w:hint="eastAsia"/>
              <w:sz w:val="24"/>
              <w:szCs w:val="24"/>
            </w:rPr>
            <w:t>☐</w:t>
          </w:r>
        </w:sdtContent>
      </w:sdt>
      <w:r w:rsidR="0008388B">
        <w:rPr>
          <w:sz w:val="24"/>
          <w:szCs w:val="24"/>
        </w:rPr>
        <w:t xml:space="preserve">   </w:t>
      </w:r>
      <w:r w:rsidR="00CE1FE4">
        <w:rPr>
          <w:sz w:val="24"/>
          <w:szCs w:val="24"/>
        </w:rPr>
        <w:t>Class III</w:t>
      </w:r>
    </w:p>
    <w:p w14:paraId="26BD3A09" w14:textId="10701E35" w:rsidR="002D3798" w:rsidRPr="002B6BD3" w:rsidRDefault="002D3798" w:rsidP="005D2517">
      <w:pPr>
        <w:pStyle w:val="ListParagraph"/>
        <w:numPr>
          <w:ilvl w:val="0"/>
          <w:numId w:val="35"/>
        </w:numPr>
        <w:spacing w:before="320"/>
        <w:contextualSpacing w:val="0"/>
        <w:rPr>
          <w:b/>
          <w:bCs/>
          <w:sz w:val="24"/>
          <w:szCs w:val="24"/>
        </w:rPr>
      </w:pPr>
      <w:r w:rsidRPr="002B6BD3">
        <w:rPr>
          <w:b/>
          <w:bCs/>
          <w:sz w:val="24"/>
          <w:szCs w:val="24"/>
        </w:rPr>
        <w:t xml:space="preserve">Is the therapeutic good to be used in the service exempt from the regulatory requirements of the </w:t>
      </w:r>
      <w:r w:rsidRPr="00642820">
        <w:rPr>
          <w:b/>
          <w:bCs/>
          <w:i/>
          <w:iCs/>
          <w:sz w:val="24"/>
          <w:szCs w:val="24"/>
        </w:rPr>
        <w:t>Therapeutic Goods Act 1989</w:t>
      </w:r>
      <w:r w:rsidRPr="002B6BD3">
        <w:rPr>
          <w:b/>
          <w:bCs/>
          <w:sz w:val="24"/>
          <w:szCs w:val="24"/>
        </w:rPr>
        <w:t>?</w:t>
      </w:r>
    </w:p>
    <w:p w14:paraId="2C9F8B6C" w14:textId="60DDDFA5" w:rsidR="002B2759" w:rsidRPr="00DE7720" w:rsidRDefault="00000000" w:rsidP="007C0411">
      <w:pPr>
        <w:ind w:left="425"/>
        <w:rPr>
          <w:sz w:val="24"/>
          <w:szCs w:val="24"/>
        </w:rPr>
      </w:pPr>
      <w:sdt>
        <w:sdtPr>
          <w:rPr>
            <w:sz w:val="24"/>
            <w:szCs w:val="24"/>
          </w:rPr>
          <w:id w:val="-2060398802"/>
          <w14:checkbox>
            <w14:checked w14:val="1"/>
            <w14:checkedState w14:val="2612" w14:font="MS Gothic"/>
            <w14:uncheckedState w14:val="2610" w14:font="MS Gothic"/>
          </w14:checkbox>
        </w:sdtPr>
        <w:sdtContent>
          <w:r w:rsidR="00D81463">
            <w:rPr>
              <w:rFonts w:ascii="MS Gothic" w:eastAsia="MS Gothic" w:hAnsi="MS Gothic" w:hint="eastAsia"/>
              <w:sz w:val="24"/>
              <w:szCs w:val="24"/>
            </w:rPr>
            <w:t>☒</w:t>
          </w:r>
        </w:sdtContent>
      </w:sdt>
      <w:r w:rsidR="002B2759">
        <w:rPr>
          <w:sz w:val="24"/>
          <w:szCs w:val="24"/>
        </w:rPr>
        <w:t xml:space="preserve">   </w:t>
      </w:r>
      <w:r w:rsidR="002B2759" w:rsidRPr="00DE7720">
        <w:rPr>
          <w:sz w:val="24"/>
          <w:szCs w:val="24"/>
        </w:rPr>
        <w:t xml:space="preserve">No </w:t>
      </w:r>
    </w:p>
    <w:p w14:paraId="7FB47304" w14:textId="66D19D5F" w:rsidR="002B2759" w:rsidRDefault="00000000" w:rsidP="00AF747E">
      <w:pPr>
        <w:ind w:left="1276" w:hanging="850"/>
        <w:rPr>
          <w:sz w:val="24"/>
          <w:szCs w:val="24"/>
        </w:rPr>
      </w:pPr>
      <w:sdt>
        <w:sdtPr>
          <w:rPr>
            <w:rFonts w:ascii="MS Gothic" w:eastAsia="MS Gothic" w:hAnsi="MS Gothic"/>
            <w:sz w:val="24"/>
            <w:szCs w:val="24"/>
          </w:rPr>
          <w:id w:val="1995287462"/>
          <w14:checkbox>
            <w14:checked w14:val="0"/>
            <w14:checkedState w14:val="2612" w14:font="MS Gothic"/>
            <w14:uncheckedState w14:val="2610" w14:font="MS Gothic"/>
          </w14:checkbox>
        </w:sdtPr>
        <w:sdtContent>
          <w:r w:rsidR="002B2759" w:rsidRPr="00DE7720">
            <w:rPr>
              <w:rFonts w:ascii="MS Gothic" w:eastAsia="MS Gothic" w:hAnsi="MS Gothic" w:hint="eastAsia"/>
              <w:sz w:val="24"/>
              <w:szCs w:val="24"/>
            </w:rPr>
            <w:t>☐</w:t>
          </w:r>
        </w:sdtContent>
      </w:sdt>
      <w:r w:rsidR="002B2759" w:rsidRPr="00DE7720">
        <w:rPr>
          <w:sz w:val="24"/>
          <w:szCs w:val="24"/>
        </w:rPr>
        <w:t xml:space="preserve">   Yes. </w:t>
      </w:r>
      <w:r w:rsidR="002B2759" w:rsidRPr="00BF16C8">
        <w:rPr>
          <w:sz w:val="24"/>
          <w:szCs w:val="24"/>
        </w:rPr>
        <w:t>Please attach supporting document</w:t>
      </w:r>
      <w:r w:rsidR="00F07879" w:rsidRPr="00BF16C8">
        <w:rPr>
          <w:sz w:val="24"/>
          <w:szCs w:val="24"/>
        </w:rPr>
        <w:t>ation regarding the nature of the exemption</w:t>
      </w:r>
      <w:r w:rsidR="00BF16C8">
        <w:rPr>
          <w:sz w:val="24"/>
          <w:szCs w:val="24"/>
        </w:rPr>
        <w:t>, then</w:t>
      </w:r>
      <w:r w:rsidR="002A3923" w:rsidRPr="00BF16C8">
        <w:rPr>
          <w:sz w:val="24"/>
          <w:szCs w:val="24"/>
        </w:rPr>
        <w:t xml:space="preserve"> </w:t>
      </w:r>
      <w:r w:rsidR="00AF747E" w:rsidRPr="00BF16C8">
        <w:rPr>
          <w:sz w:val="24"/>
          <w:szCs w:val="24"/>
        </w:rPr>
        <w:t xml:space="preserve">proceed to the </w:t>
      </w:r>
      <w:r w:rsidR="006F57A9" w:rsidRPr="00BF16C8">
        <w:rPr>
          <w:sz w:val="24"/>
          <w:szCs w:val="24"/>
        </w:rPr>
        <w:t xml:space="preserve">next applicable </w:t>
      </w:r>
      <w:r w:rsidR="00AF747E" w:rsidRPr="00247F91">
        <w:rPr>
          <w:sz w:val="24"/>
          <w:szCs w:val="24"/>
        </w:rPr>
        <w:t>section</w:t>
      </w:r>
      <w:r w:rsidR="009216EC" w:rsidRPr="00247F91">
        <w:rPr>
          <w:sz w:val="24"/>
          <w:szCs w:val="24"/>
        </w:rPr>
        <w:t xml:space="preserve"> (</w:t>
      </w:r>
      <w:hyperlink w:anchor="_B2:_NATA_Accreditation" w:history="1">
        <w:r w:rsidR="009216EC" w:rsidRPr="00247F91">
          <w:rPr>
            <w:rStyle w:val="Hyperlink"/>
            <w:sz w:val="24"/>
            <w:szCs w:val="24"/>
          </w:rPr>
          <w:t>B2: NATA Accreditation</w:t>
        </w:r>
      </w:hyperlink>
      <w:r w:rsidR="009216EC" w:rsidRPr="00247F91">
        <w:rPr>
          <w:sz w:val="24"/>
          <w:szCs w:val="24"/>
        </w:rPr>
        <w:t xml:space="preserve">; </w:t>
      </w:r>
      <w:hyperlink w:anchor="_Radiopharmaceuticals" w:history="1">
        <w:r w:rsidR="009216EC" w:rsidRPr="00247F91">
          <w:rPr>
            <w:rStyle w:val="Hyperlink"/>
            <w:sz w:val="24"/>
            <w:szCs w:val="24"/>
          </w:rPr>
          <w:t>B3:  Radiopharmaceuticals</w:t>
        </w:r>
      </w:hyperlink>
      <w:r w:rsidR="00F65E24" w:rsidRPr="00247F91">
        <w:rPr>
          <w:rStyle w:val="Hyperlink"/>
          <w:sz w:val="24"/>
          <w:szCs w:val="24"/>
        </w:rPr>
        <w:t>;</w:t>
      </w:r>
      <w:r w:rsidR="009216EC" w:rsidRPr="00247F91">
        <w:rPr>
          <w:sz w:val="24"/>
          <w:szCs w:val="24"/>
        </w:rPr>
        <w:t xml:space="preserve"> or </w:t>
      </w:r>
      <w:hyperlink w:anchor="_Other_Information_2" w:history="1">
        <w:r w:rsidR="009216EC" w:rsidRPr="00247F91">
          <w:rPr>
            <w:rStyle w:val="Hyperlink"/>
            <w:sz w:val="24"/>
            <w:szCs w:val="24"/>
          </w:rPr>
          <w:t>Other Information</w:t>
        </w:r>
      </w:hyperlink>
      <w:r w:rsidR="009216EC" w:rsidRPr="00247F91">
        <w:rPr>
          <w:sz w:val="24"/>
          <w:szCs w:val="24"/>
        </w:rPr>
        <w:t>)</w:t>
      </w:r>
      <w:r w:rsidR="00F07879" w:rsidRPr="00247F91">
        <w:rPr>
          <w:sz w:val="24"/>
          <w:szCs w:val="24"/>
        </w:rPr>
        <w:t>.</w:t>
      </w:r>
      <w:r w:rsidR="00F07879">
        <w:rPr>
          <w:sz w:val="24"/>
          <w:szCs w:val="24"/>
        </w:rPr>
        <w:t xml:space="preserve"> </w:t>
      </w:r>
    </w:p>
    <w:p w14:paraId="6B05A4D2" w14:textId="36930208" w:rsidR="002D3798" w:rsidRPr="002B3D39" w:rsidRDefault="002D3798" w:rsidP="004865F5">
      <w:pPr>
        <w:pStyle w:val="ListParagraph"/>
        <w:numPr>
          <w:ilvl w:val="0"/>
          <w:numId w:val="35"/>
        </w:numPr>
        <w:spacing w:before="160"/>
        <w:ind w:left="357" w:hanging="357"/>
        <w:contextualSpacing w:val="0"/>
        <w:rPr>
          <w:b/>
          <w:bCs/>
          <w:sz w:val="24"/>
          <w:szCs w:val="24"/>
        </w:rPr>
      </w:pPr>
      <w:r w:rsidRPr="002B3D39">
        <w:rPr>
          <w:b/>
          <w:bCs/>
          <w:sz w:val="24"/>
          <w:szCs w:val="24"/>
        </w:rPr>
        <w:t>Is the therapeutic good classified by the TGA as for Research Use Only (RUO)?</w:t>
      </w:r>
    </w:p>
    <w:p w14:paraId="6E611CF7" w14:textId="48354B6F" w:rsidR="00F07879" w:rsidRDefault="00000000" w:rsidP="00D82FB8">
      <w:pPr>
        <w:pStyle w:val="ListParagraph"/>
        <w:spacing w:before="120"/>
        <w:ind w:left="426"/>
        <w:contextualSpacing w:val="0"/>
        <w:rPr>
          <w:sz w:val="24"/>
          <w:szCs w:val="24"/>
        </w:rPr>
      </w:pPr>
      <w:sdt>
        <w:sdtPr>
          <w:rPr>
            <w:sz w:val="24"/>
            <w:szCs w:val="24"/>
          </w:rPr>
          <w:id w:val="791640704"/>
          <w14:checkbox>
            <w14:checked w14:val="1"/>
            <w14:checkedState w14:val="2612" w14:font="MS Gothic"/>
            <w14:uncheckedState w14:val="2610" w14:font="MS Gothic"/>
          </w14:checkbox>
        </w:sdtPr>
        <w:sdtContent>
          <w:r w:rsidR="00D81463">
            <w:rPr>
              <w:rFonts w:ascii="MS Gothic" w:eastAsia="MS Gothic" w:hAnsi="MS Gothic" w:hint="eastAsia"/>
              <w:sz w:val="24"/>
              <w:szCs w:val="24"/>
            </w:rPr>
            <w:t>☒</w:t>
          </w:r>
        </w:sdtContent>
      </w:sdt>
      <w:r w:rsidR="006450D0">
        <w:rPr>
          <w:sz w:val="24"/>
          <w:szCs w:val="24"/>
        </w:rPr>
        <w:t xml:space="preserve">  </w:t>
      </w:r>
      <w:r w:rsidR="00327979">
        <w:rPr>
          <w:sz w:val="24"/>
          <w:szCs w:val="24"/>
        </w:rPr>
        <w:t xml:space="preserve"> </w:t>
      </w:r>
      <w:r w:rsidR="00F07879">
        <w:rPr>
          <w:sz w:val="24"/>
          <w:szCs w:val="24"/>
        </w:rPr>
        <w:t>No</w:t>
      </w:r>
    </w:p>
    <w:p w14:paraId="143B0145" w14:textId="4E01CF1D" w:rsidR="00D82FB8" w:rsidRPr="00D82FB8" w:rsidRDefault="00000000" w:rsidP="00D82FB8">
      <w:pPr>
        <w:ind w:left="1276" w:hanging="850"/>
        <w:rPr>
          <w:sz w:val="24"/>
          <w:szCs w:val="24"/>
        </w:rPr>
      </w:pPr>
      <w:sdt>
        <w:sdtPr>
          <w:rPr>
            <w:rFonts w:ascii="MS Gothic" w:eastAsia="MS Gothic" w:hAnsi="MS Gothic"/>
            <w:sz w:val="24"/>
            <w:szCs w:val="24"/>
          </w:rPr>
          <w:id w:val="1073320560"/>
          <w14:checkbox>
            <w14:checked w14:val="0"/>
            <w14:checkedState w14:val="2612" w14:font="MS Gothic"/>
            <w14:uncheckedState w14:val="2610" w14:font="MS Gothic"/>
          </w14:checkbox>
        </w:sdtPr>
        <w:sdtContent>
          <w:r w:rsidR="00D82FB8">
            <w:rPr>
              <w:rFonts w:ascii="MS Gothic" w:eastAsia="MS Gothic" w:hAnsi="MS Gothic" w:hint="eastAsia"/>
              <w:sz w:val="24"/>
              <w:szCs w:val="24"/>
            </w:rPr>
            <w:t>☐</w:t>
          </w:r>
        </w:sdtContent>
      </w:sdt>
      <w:r w:rsidR="00D82FB8" w:rsidRPr="00D82FB8">
        <w:rPr>
          <w:sz w:val="24"/>
          <w:szCs w:val="24"/>
        </w:rPr>
        <w:t xml:space="preserve">   Yes</w:t>
      </w:r>
      <w:r w:rsidR="00A71E2C" w:rsidRPr="00D82FB8">
        <w:rPr>
          <w:sz w:val="24"/>
          <w:szCs w:val="24"/>
        </w:rPr>
        <w:t xml:space="preserve">. </w:t>
      </w:r>
    </w:p>
    <w:p w14:paraId="5291066C" w14:textId="77777777" w:rsidR="002D3798" w:rsidRPr="002B6BD3" w:rsidRDefault="002D3798" w:rsidP="00FB143E">
      <w:pPr>
        <w:pStyle w:val="ListParagraph"/>
        <w:keepNext/>
        <w:keepLines/>
        <w:numPr>
          <w:ilvl w:val="0"/>
          <w:numId w:val="35"/>
        </w:numPr>
        <w:spacing w:before="320"/>
        <w:contextualSpacing w:val="0"/>
        <w:rPr>
          <w:b/>
          <w:bCs/>
          <w:sz w:val="24"/>
          <w:szCs w:val="24"/>
        </w:rPr>
      </w:pPr>
      <w:r w:rsidRPr="002B6BD3">
        <w:rPr>
          <w:b/>
          <w:bCs/>
          <w:sz w:val="24"/>
          <w:szCs w:val="24"/>
        </w:rPr>
        <w:lastRenderedPageBreak/>
        <w:t>Is the therapeutic good in the process of being considered for inclusion by the TGA?</w:t>
      </w:r>
    </w:p>
    <w:p w14:paraId="319F7BC6" w14:textId="09A52213" w:rsidR="006450D0" w:rsidRPr="00BF16C8" w:rsidRDefault="00000000" w:rsidP="00FB143E">
      <w:pPr>
        <w:keepNext/>
        <w:keepLines/>
        <w:spacing w:before="120"/>
        <w:ind w:left="1276" w:hanging="850"/>
        <w:rPr>
          <w:sz w:val="24"/>
          <w:szCs w:val="24"/>
          <w:u w:val="single"/>
        </w:rPr>
      </w:pPr>
      <w:sdt>
        <w:sdtPr>
          <w:rPr>
            <w:sz w:val="24"/>
            <w:szCs w:val="24"/>
          </w:rPr>
          <w:id w:val="1389991880"/>
          <w14:checkbox>
            <w14:checked w14:val="0"/>
            <w14:checkedState w14:val="2612" w14:font="MS Gothic"/>
            <w14:uncheckedState w14:val="2610" w14:font="MS Gothic"/>
          </w14:checkbox>
        </w:sdtPr>
        <w:sdtContent>
          <w:r w:rsidR="00AF094E">
            <w:rPr>
              <w:rFonts w:ascii="MS Gothic" w:eastAsia="MS Gothic" w:hAnsi="MS Gothic" w:hint="eastAsia"/>
              <w:sz w:val="24"/>
              <w:szCs w:val="24"/>
            </w:rPr>
            <w:t>☐</w:t>
          </w:r>
        </w:sdtContent>
      </w:sdt>
      <w:r w:rsidR="006450D0">
        <w:rPr>
          <w:sz w:val="24"/>
          <w:szCs w:val="24"/>
        </w:rPr>
        <w:t xml:space="preserve"> </w:t>
      </w:r>
      <w:r w:rsidR="00327979">
        <w:rPr>
          <w:sz w:val="24"/>
          <w:szCs w:val="24"/>
        </w:rPr>
        <w:t xml:space="preserve"> </w:t>
      </w:r>
      <w:r w:rsidR="006450D0">
        <w:rPr>
          <w:sz w:val="24"/>
          <w:szCs w:val="24"/>
        </w:rPr>
        <w:t xml:space="preserve"> </w:t>
      </w:r>
      <w:r w:rsidR="00A61507">
        <w:rPr>
          <w:sz w:val="24"/>
          <w:szCs w:val="24"/>
        </w:rPr>
        <w:t xml:space="preserve">No. </w:t>
      </w:r>
    </w:p>
    <w:p w14:paraId="2914013D" w14:textId="4A5067A6" w:rsidR="00F97880" w:rsidRDefault="00000000" w:rsidP="00FB143E">
      <w:pPr>
        <w:keepNext/>
        <w:keepLines/>
        <w:spacing w:before="120"/>
        <w:ind w:left="426"/>
        <w:rPr>
          <w:sz w:val="24"/>
          <w:szCs w:val="24"/>
        </w:rPr>
      </w:pPr>
      <w:sdt>
        <w:sdtPr>
          <w:rPr>
            <w:sz w:val="24"/>
            <w:szCs w:val="24"/>
          </w:rPr>
          <w:id w:val="1500083033"/>
          <w14:checkbox>
            <w14:checked w14:val="1"/>
            <w14:checkedState w14:val="2612" w14:font="MS Gothic"/>
            <w14:uncheckedState w14:val="2610" w14:font="MS Gothic"/>
          </w14:checkbox>
        </w:sdtPr>
        <w:sdtContent>
          <w:r w:rsidR="00AF094E">
            <w:rPr>
              <w:rFonts w:ascii="MS Gothic" w:eastAsia="MS Gothic" w:hAnsi="MS Gothic" w:hint="eastAsia"/>
              <w:sz w:val="24"/>
              <w:szCs w:val="24"/>
            </w:rPr>
            <w:t>☒</w:t>
          </w:r>
        </w:sdtContent>
      </w:sdt>
      <w:r w:rsidR="00F97880">
        <w:rPr>
          <w:sz w:val="24"/>
          <w:szCs w:val="24"/>
        </w:rPr>
        <w:t xml:space="preserve"> </w:t>
      </w:r>
      <w:r w:rsidR="00327979">
        <w:rPr>
          <w:sz w:val="24"/>
          <w:szCs w:val="24"/>
        </w:rPr>
        <w:t xml:space="preserve"> </w:t>
      </w:r>
      <w:r w:rsidR="00F97880">
        <w:rPr>
          <w:sz w:val="24"/>
          <w:szCs w:val="24"/>
        </w:rPr>
        <w:t xml:space="preserve"> Yes</w:t>
      </w:r>
      <w:r w:rsidR="00965F37">
        <w:rPr>
          <w:sz w:val="24"/>
          <w:szCs w:val="24"/>
        </w:rPr>
        <w:t xml:space="preserve">. </w:t>
      </w:r>
      <w:r w:rsidR="00F97880">
        <w:rPr>
          <w:sz w:val="24"/>
          <w:szCs w:val="24"/>
        </w:rPr>
        <w:t xml:space="preserve">Please provide the TGA Application ID and submission date: </w:t>
      </w:r>
    </w:p>
    <w:tbl>
      <w:tblPr>
        <w:tblStyle w:val="TableGrid"/>
        <w:tblW w:w="0" w:type="auto"/>
        <w:tblInd w:w="357" w:type="dxa"/>
        <w:tblLook w:val="04A0" w:firstRow="1" w:lastRow="0" w:firstColumn="1" w:lastColumn="0" w:noHBand="0" w:noVBand="1"/>
      </w:tblPr>
      <w:tblGrid>
        <w:gridCol w:w="2048"/>
        <w:gridCol w:w="7789"/>
      </w:tblGrid>
      <w:tr w:rsidR="00F97880" w14:paraId="7AA88AF9" w14:textId="77777777" w:rsidTr="00803F57">
        <w:tc>
          <w:tcPr>
            <w:tcW w:w="2048" w:type="dxa"/>
            <w:tcBorders>
              <w:left w:val="nil"/>
            </w:tcBorders>
          </w:tcPr>
          <w:p w14:paraId="5A6CA77E" w14:textId="287E5903" w:rsidR="00F97880" w:rsidRPr="002B6BD3" w:rsidRDefault="00F97880" w:rsidP="00FB143E">
            <w:pPr>
              <w:keepNext/>
              <w:keepLines/>
              <w:spacing w:before="120" w:after="120"/>
              <w:rPr>
                <w:b/>
                <w:bCs/>
                <w:sz w:val="24"/>
                <w:szCs w:val="24"/>
              </w:rPr>
            </w:pPr>
            <w:r w:rsidRPr="002B6BD3">
              <w:rPr>
                <w:b/>
                <w:bCs/>
                <w:sz w:val="24"/>
                <w:szCs w:val="24"/>
              </w:rPr>
              <w:t xml:space="preserve">Application ID: </w:t>
            </w:r>
          </w:p>
        </w:tc>
        <w:tc>
          <w:tcPr>
            <w:tcW w:w="7789" w:type="dxa"/>
            <w:tcBorders>
              <w:right w:val="nil"/>
            </w:tcBorders>
          </w:tcPr>
          <w:p w14:paraId="15626425" w14:textId="18594A41" w:rsidR="00F97880" w:rsidRDefault="00F01D31" w:rsidP="00FB143E">
            <w:pPr>
              <w:keepNext/>
              <w:keepLines/>
              <w:spacing w:before="120" w:after="120"/>
              <w:rPr>
                <w:sz w:val="24"/>
                <w:szCs w:val="24"/>
              </w:rPr>
            </w:pPr>
            <w:r>
              <w:rPr>
                <w:sz w:val="24"/>
                <w:szCs w:val="24"/>
              </w:rPr>
              <w:t>Redacted</w:t>
            </w:r>
          </w:p>
        </w:tc>
      </w:tr>
      <w:tr w:rsidR="00F97880" w14:paraId="2C577CB3" w14:textId="77777777" w:rsidTr="00803F57">
        <w:tc>
          <w:tcPr>
            <w:tcW w:w="2048" w:type="dxa"/>
            <w:tcBorders>
              <w:left w:val="nil"/>
            </w:tcBorders>
          </w:tcPr>
          <w:p w14:paraId="2EE860C1" w14:textId="1DC6D03F" w:rsidR="00F97880" w:rsidRPr="002B6BD3" w:rsidRDefault="00F97880" w:rsidP="00803F57">
            <w:pPr>
              <w:spacing w:before="120" w:after="120"/>
              <w:rPr>
                <w:b/>
                <w:bCs/>
                <w:sz w:val="24"/>
                <w:szCs w:val="24"/>
              </w:rPr>
            </w:pPr>
            <w:r w:rsidRPr="002B6BD3">
              <w:rPr>
                <w:b/>
                <w:bCs/>
                <w:sz w:val="24"/>
                <w:szCs w:val="24"/>
              </w:rPr>
              <w:t xml:space="preserve">Submission Date: </w:t>
            </w:r>
          </w:p>
        </w:tc>
        <w:tc>
          <w:tcPr>
            <w:tcW w:w="7789" w:type="dxa"/>
            <w:tcBorders>
              <w:right w:val="nil"/>
            </w:tcBorders>
          </w:tcPr>
          <w:p w14:paraId="23D48DFA" w14:textId="47365FBB" w:rsidR="00F97880" w:rsidRDefault="00F01D31" w:rsidP="00803F57">
            <w:pPr>
              <w:spacing w:before="120" w:after="120"/>
              <w:rPr>
                <w:sz w:val="24"/>
                <w:szCs w:val="24"/>
              </w:rPr>
            </w:pPr>
            <w:r>
              <w:rPr>
                <w:sz w:val="24"/>
                <w:szCs w:val="24"/>
              </w:rPr>
              <w:t>Redacted</w:t>
            </w:r>
          </w:p>
        </w:tc>
      </w:tr>
    </w:tbl>
    <w:p w14:paraId="6403A34B" w14:textId="1A58299D" w:rsidR="00251F2D" w:rsidRPr="00134235" w:rsidRDefault="00251F2D" w:rsidP="005D2517">
      <w:pPr>
        <w:pStyle w:val="ListParagraph"/>
        <w:numPr>
          <w:ilvl w:val="0"/>
          <w:numId w:val="35"/>
        </w:numPr>
        <w:spacing w:before="320"/>
        <w:contextualSpacing w:val="0"/>
        <w:rPr>
          <w:b/>
          <w:bCs/>
          <w:sz w:val="24"/>
          <w:szCs w:val="24"/>
        </w:rPr>
      </w:pPr>
      <w:r w:rsidRPr="00134235">
        <w:rPr>
          <w:b/>
          <w:bCs/>
          <w:sz w:val="24"/>
          <w:szCs w:val="24"/>
        </w:rPr>
        <w:t xml:space="preserve">Is the intended purpose in this </w:t>
      </w:r>
      <w:r w:rsidR="00CB02A3">
        <w:rPr>
          <w:b/>
          <w:bCs/>
          <w:sz w:val="24"/>
          <w:szCs w:val="24"/>
        </w:rPr>
        <w:t>re</w:t>
      </w:r>
      <w:r w:rsidRPr="00134235">
        <w:rPr>
          <w:b/>
          <w:bCs/>
          <w:sz w:val="24"/>
          <w:szCs w:val="24"/>
        </w:rPr>
        <w:t xml:space="preserve">application the same as the intended purpose </w:t>
      </w:r>
      <w:r w:rsidR="00FB75A1">
        <w:rPr>
          <w:b/>
          <w:bCs/>
          <w:sz w:val="24"/>
          <w:szCs w:val="24"/>
        </w:rPr>
        <w:t>in the application for</w:t>
      </w:r>
      <w:r w:rsidRPr="00134235">
        <w:rPr>
          <w:b/>
          <w:bCs/>
          <w:sz w:val="24"/>
          <w:szCs w:val="24"/>
        </w:rPr>
        <w:t xml:space="preserve"> </w:t>
      </w:r>
      <w:r w:rsidR="00D97FB6">
        <w:rPr>
          <w:b/>
          <w:bCs/>
          <w:sz w:val="24"/>
          <w:szCs w:val="24"/>
        </w:rPr>
        <w:t xml:space="preserve">inclusion in the </w:t>
      </w:r>
      <w:r w:rsidRPr="00134235">
        <w:rPr>
          <w:b/>
          <w:bCs/>
          <w:sz w:val="24"/>
          <w:szCs w:val="24"/>
        </w:rPr>
        <w:t xml:space="preserve">ARTG? </w:t>
      </w:r>
    </w:p>
    <w:p w14:paraId="7A9C5161" w14:textId="1DE12669" w:rsidR="00251F2D" w:rsidRDefault="00000000" w:rsidP="00251F2D">
      <w:pPr>
        <w:pStyle w:val="ListParagraph"/>
        <w:ind w:left="357"/>
        <w:contextualSpacing w:val="0"/>
        <w:rPr>
          <w:sz w:val="24"/>
          <w:szCs w:val="24"/>
        </w:rPr>
      </w:pPr>
      <w:sdt>
        <w:sdtPr>
          <w:rPr>
            <w:sz w:val="24"/>
            <w:szCs w:val="24"/>
          </w:rPr>
          <w:id w:val="1293786057"/>
          <w14:checkbox>
            <w14:checked w14:val="1"/>
            <w14:checkedState w14:val="2612" w14:font="MS Gothic"/>
            <w14:uncheckedState w14:val="2610" w14:font="MS Gothic"/>
          </w14:checkbox>
        </w:sdtPr>
        <w:sdtContent>
          <w:r w:rsidR="00D81463">
            <w:rPr>
              <w:rFonts w:ascii="MS Gothic" w:eastAsia="MS Gothic" w:hAnsi="MS Gothic" w:hint="eastAsia"/>
              <w:sz w:val="24"/>
              <w:szCs w:val="24"/>
            </w:rPr>
            <w:t>☒</w:t>
          </w:r>
        </w:sdtContent>
      </w:sdt>
      <w:r w:rsidR="00251F2D">
        <w:rPr>
          <w:sz w:val="24"/>
          <w:szCs w:val="24"/>
        </w:rPr>
        <w:t xml:space="preserve">    Yes</w:t>
      </w:r>
    </w:p>
    <w:p w14:paraId="59EAEDF9" w14:textId="6EF0BA04" w:rsidR="00251F2D" w:rsidRDefault="00000000" w:rsidP="00251F2D">
      <w:pPr>
        <w:pStyle w:val="ListParagraph"/>
        <w:ind w:left="357"/>
        <w:contextualSpacing w:val="0"/>
        <w:rPr>
          <w:sz w:val="24"/>
          <w:szCs w:val="24"/>
        </w:rPr>
      </w:pPr>
      <w:sdt>
        <w:sdtPr>
          <w:rPr>
            <w:sz w:val="24"/>
            <w:szCs w:val="24"/>
          </w:rPr>
          <w:id w:val="-611133467"/>
          <w14:checkbox>
            <w14:checked w14:val="0"/>
            <w14:checkedState w14:val="2612" w14:font="MS Gothic"/>
            <w14:uncheckedState w14:val="2610" w14:font="MS Gothic"/>
          </w14:checkbox>
        </w:sdtPr>
        <w:sdtContent>
          <w:r w:rsidR="00251F2D">
            <w:rPr>
              <w:rFonts w:ascii="MS Gothic" w:eastAsia="MS Gothic" w:hAnsi="MS Gothic" w:hint="eastAsia"/>
              <w:sz w:val="24"/>
              <w:szCs w:val="24"/>
            </w:rPr>
            <w:t>☐</w:t>
          </w:r>
        </w:sdtContent>
      </w:sdt>
      <w:r w:rsidR="00251F2D">
        <w:rPr>
          <w:sz w:val="24"/>
          <w:szCs w:val="24"/>
        </w:rPr>
        <w:t xml:space="preserve">    </w:t>
      </w:r>
      <w:r w:rsidR="00965F37">
        <w:rPr>
          <w:sz w:val="24"/>
          <w:szCs w:val="24"/>
        </w:rPr>
        <w:t xml:space="preserve">No. </w:t>
      </w:r>
      <w:r w:rsidR="00251F2D">
        <w:rPr>
          <w:sz w:val="24"/>
          <w:szCs w:val="24"/>
        </w:rPr>
        <w:t xml:space="preserve">Please explain the differences: </w:t>
      </w:r>
    </w:p>
    <w:tbl>
      <w:tblPr>
        <w:tblStyle w:val="TableGrid"/>
        <w:tblW w:w="0" w:type="auto"/>
        <w:tblInd w:w="360" w:type="dxa"/>
        <w:tblLook w:val="04A0" w:firstRow="1" w:lastRow="0" w:firstColumn="1" w:lastColumn="0" w:noHBand="0" w:noVBand="1"/>
      </w:tblPr>
      <w:tblGrid>
        <w:gridCol w:w="9834"/>
      </w:tblGrid>
      <w:tr w:rsidR="00251F2D" w14:paraId="7B4CC0AC" w14:textId="77777777" w:rsidTr="00080ED7">
        <w:tc>
          <w:tcPr>
            <w:tcW w:w="9834" w:type="dxa"/>
          </w:tcPr>
          <w:p w14:paraId="4D817AB1" w14:textId="1417EC85" w:rsidR="00251F2D" w:rsidRDefault="00251F2D" w:rsidP="00080ED7">
            <w:pPr>
              <w:pStyle w:val="ListParagraph"/>
              <w:ind w:left="0"/>
              <w:rPr>
                <w:sz w:val="24"/>
                <w:szCs w:val="24"/>
              </w:rPr>
            </w:pPr>
          </w:p>
        </w:tc>
      </w:tr>
    </w:tbl>
    <w:p w14:paraId="06F8FD41" w14:textId="77777777" w:rsidR="00251F2D" w:rsidRDefault="00251F2D" w:rsidP="00251F2D">
      <w:bookmarkStart w:id="3" w:name="_NATA_Accreditation"/>
      <w:bookmarkStart w:id="4" w:name="_B2:_NATA_Accreditation"/>
      <w:bookmarkEnd w:id="3"/>
      <w:bookmarkEnd w:id="4"/>
    </w:p>
    <w:p w14:paraId="3561B4DB" w14:textId="77777777" w:rsidR="00715973" w:rsidRDefault="00715973">
      <w:pPr>
        <w:rPr>
          <w:rFonts w:asciiTheme="majorHAnsi" w:eastAsiaTheme="majorEastAsia" w:hAnsiTheme="majorHAnsi" w:cstheme="majorBidi"/>
          <w:color w:val="2F5496" w:themeColor="accent1" w:themeShade="BF"/>
          <w:sz w:val="28"/>
          <w:szCs w:val="24"/>
          <w:u w:val="single"/>
        </w:rPr>
      </w:pPr>
      <w:r>
        <w:br w:type="page"/>
      </w:r>
    </w:p>
    <w:p w14:paraId="6682A998" w14:textId="4E2C855D" w:rsidR="0043538E" w:rsidRPr="00915557" w:rsidRDefault="001374D0" w:rsidP="00B02CCA">
      <w:pPr>
        <w:pStyle w:val="Heading3"/>
        <w:spacing w:before="480"/>
      </w:pPr>
      <w:r>
        <w:lastRenderedPageBreak/>
        <w:t>B</w:t>
      </w:r>
      <w:r w:rsidR="00C15ED1">
        <w:t>2</w:t>
      </w:r>
      <w:r>
        <w:t xml:space="preserve">: </w:t>
      </w:r>
      <w:r w:rsidR="00321AEF" w:rsidRPr="00915557">
        <w:t xml:space="preserve">NATA Accreditation </w:t>
      </w:r>
    </w:p>
    <w:p w14:paraId="019EF189" w14:textId="77777777" w:rsidR="00915557" w:rsidRPr="00772AA7" w:rsidRDefault="00321AEF">
      <w:pPr>
        <w:rPr>
          <w:rFonts w:cstheme="minorHAnsi"/>
          <w:color w:val="333333"/>
          <w:sz w:val="24"/>
          <w:szCs w:val="24"/>
          <w:shd w:val="clear" w:color="auto" w:fill="FFFFFF"/>
        </w:rPr>
      </w:pPr>
      <w:r w:rsidRPr="00772AA7">
        <w:rPr>
          <w:rFonts w:cstheme="minorHAnsi"/>
          <w:color w:val="333333"/>
          <w:sz w:val="24"/>
          <w:szCs w:val="24"/>
          <w:shd w:val="clear" w:color="auto" w:fill="FFFFFF"/>
        </w:rPr>
        <w:t>Where applicable, laboratories and other investigative service providers must be accredited by </w:t>
      </w:r>
      <w:hyperlink r:id="rId11" w:history="1">
        <w:r w:rsidRPr="00772AA7">
          <w:rPr>
            <w:rFonts w:cstheme="minorHAnsi"/>
            <w:color w:val="213E60"/>
            <w:sz w:val="24"/>
            <w:szCs w:val="24"/>
            <w:u w:val="single"/>
            <w:shd w:val="clear" w:color="auto" w:fill="FFFFFF"/>
          </w:rPr>
          <w:t>NATA</w:t>
        </w:r>
      </w:hyperlink>
      <w:r w:rsidRPr="00772AA7">
        <w:rPr>
          <w:rFonts w:cstheme="minorHAnsi"/>
          <w:color w:val="333333"/>
          <w:sz w:val="24"/>
          <w:szCs w:val="24"/>
          <w:shd w:val="clear" w:color="auto" w:fill="FFFFFF"/>
        </w:rPr>
        <w:t>. The scope of NATA accreditation must capture the service for which reimbursement is being sought.</w:t>
      </w:r>
    </w:p>
    <w:p w14:paraId="5B717044" w14:textId="37B6FFEB" w:rsidR="003B62A8" w:rsidRPr="00772AA7" w:rsidRDefault="00D06A87" w:rsidP="002E07DB">
      <w:pPr>
        <w:spacing w:before="240"/>
        <w:rPr>
          <w:sz w:val="24"/>
          <w:szCs w:val="24"/>
        </w:rPr>
      </w:pPr>
      <w:bookmarkStart w:id="5" w:name="_Hlk187329885"/>
      <w:r w:rsidRPr="00772AA7">
        <w:rPr>
          <w:sz w:val="24"/>
          <w:szCs w:val="24"/>
        </w:rPr>
        <w:t>Please provide details of NATA accreditation</w:t>
      </w:r>
      <w:r w:rsidR="00984C16" w:rsidRPr="00772AA7">
        <w:rPr>
          <w:sz w:val="24"/>
          <w:szCs w:val="24"/>
        </w:rPr>
        <w:t xml:space="preserve">, clearly demonstrating that the </w:t>
      </w:r>
      <w:r w:rsidR="00E9632B" w:rsidRPr="00772AA7">
        <w:rPr>
          <w:sz w:val="24"/>
          <w:szCs w:val="24"/>
        </w:rPr>
        <w:t xml:space="preserve">services or technologies included in your MSAC </w:t>
      </w:r>
      <w:r w:rsidR="00CB02A3">
        <w:rPr>
          <w:sz w:val="24"/>
          <w:szCs w:val="24"/>
        </w:rPr>
        <w:t>re</w:t>
      </w:r>
      <w:r w:rsidR="00984C16" w:rsidRPr="00772AA7">
        <w:rPr>
          <w:sz w:val="24"/>
          <w:szCs w:val="24"/>
        </w:rPr>
        <w:t>application are in-scope</w:t>
      </w:r>
      <w:r w:rsidR="002E07DB" w:rsidRPr="00772AA7">
        <w:rPr>
          <w:sz w:val="24"/>
          <w:szCs w:val="24"/>
        </w:rPr>
        <w:t xml:space="preserve"> of the accreditation</w:t>
      </w:r>
      <w:r w:rsidR="00965F37" w:rsidRPr="00772AA7">
        <w:rPr>
          <w:sz w:val="24"/>
          <w:szCs w:val="24"/>
        </w:rPr>
        <w:t xml:space="preserve">. </w:t>
      </w:r>
      <w:r w:rsidR="00354B27" w:rsidRPr="00772AA7">
        <w:rPr>
          <w:sz w:val="24"/>
          <w:szCs w:val="24"/>
        </w:rPr>
        <w:t xml:space="preserve">Where accreditation is not yet in place, provide </w:t>
      </w:r>
      <w:r w:rsidR="001A7198" w:rsidRPr="00772AA7">
        <w:rPr>
          <w:sz w:val="24"/>
          <w:szCs w:val="24"/>
        </w:rPr>
        <w:t>documentation demonstrating that the accreditation process is underway</w:t>
      </w:r>
      <w:r w:rsidR="00D618E1" w:rsidRPr="00772AA7">
        <w:rPr>
          <w:sz w:val="24"/>
          <w:szCs w:val="24"/>
        </w:rPr>
        <w:t>. P</w:t>
      </w:r>
      <w:r w:rsidR="00E877E4" w:rsidRPr="00772AA7">
        <w:rPr>
          <w:sz w:val="24"/>
          <w:szCs w:val="24"/>
        </w:rPr>
        <w:t xml:space="preserve">rovide </w:t>
      </w:r>
      <w:r w:rsidR="00D618E1" w:rsidRPr="00772AA7">
        <w:rPr>
          <w:sz w:val="24"/>
          <w:szCs w:val="24"/>
        </w:rPr>
        <w:t xml:space="preserve">anticipated </w:t>
      </w:r>
      <w:r w:rsidR="00E877E4" w:rsidRPr="00772AA7">
        <w:rPr>
          <w:sz w:val="24"/>
          <w:szCs w:val="24"/>
        </w:rPr>
        <w:t xml:space="preserve">timeframes for the </w:t>
      </w:r>
      <w:r w:rsidR="00D618E1" w:rsidRPr="00772AA7">
        <w:rPr>
          <w:sz w:val="24"/>
          <w:szCs w:val="24"/>
        </w:rPr>
        <w:t xml:space="preserve">NATA </w:t>
      </w:r>
      <w:r w:rsidR="00E877E4" w:rsidRPr="00772AA7">
        <w:rPr>
          <w:sz w:val="24"/>
          <w:szCs w:val="24"/>
        </w:rPr>
        <w:t xml:space="preserve">accreditation decision. </w:t>
      </w:r>
    </w:p>
    <w:tbl>
      <w:tblPr>
        <w:tblStyle w:val="TableGrid"/>
        <w:tblW w:w="0" w:type="auto"/>
        <w:tblInd w:w="-5" w:type="dxa"/>
        <w:tblLook w:val="04A0" w:firstRow="1" w:lastRow="0" w:firstColumn="1" w:lastColumn="0" w:noHBand="0" w:noVBand="1"/>
      </w:tblPr>
      <w:tblGrid>
        <w:gridCol w:w="10199"/>
      </w:tblGrid>
      <w:tr w:rsidR="00D618E1" w14:paraId="3BCF926A" w14:textId="77777777" w:rsidTr="00F01D31">
        <w:trPr>
          <w:trHeight w:val="4382"/>
        </w:trPr>
        <w:tc>
          <w:tcPr>
            <w:tcW w:w="0" w:type="auto"/>
          </w:tcPr>
          <w:bookmarkEnd w:id="5"/>
          <w:p w14:paraId="545CA39F" w14:textId="77777777" w:rsidR="005418F1" w:rsidRPr="00FC7E06" w:rsidRDefault="005418F1" w:rsidP="005418F1">
            <w:pPr>
              <w:rPr>
                <w:sz w:val="24"/>
                <w:szCs w:val="24"/>
              </w:rPr>
            </w:pPr>
            <w:r w:rsidRPr="00FC7E06">
              <w:rPr>
                <w:sz w:val="24"/>
                <w:szCs w:val="24"/>
              </w:rPr>
              <w:t>As a company A. Menarini have been collaborating with various pathology groups to prepare for ESR1-mutation testing in Australia:</w:t>
            </w:r>
          </w:p>
          <w:p w14:paraId="00FDFEC1" w14:textId="77777777" w:rsidR="005418F1" w:rsidRPr="00FC7E06" w:rsidRDefault="005418F1" w:rsidP="005418F1">
            <w:pPr>
              <w:spacing w:before="240"/>
              <w:rPr>
                <w:sz w:val="24"/>
                <w:szCs w:val="24"/>
              </w:rPr>
            </w:pPr>
            <w:r w:rsidRPr="00FC7E06">
              <w:rPr>
                <w:sz w:val="24"/>
                <w:szCs w:val="24"/>
              </w:rPr>
              <w:t>According to the NATA website, the scope of accreditation for genomics liquid biopsy entails the following scope:</w:t>
            </w:r>
          </w:p>
          <w:p w14:paraId="2B22EC7C" w14:textId="77777777" w:rsidR="005418F1" w:rsidRPr="00FC7E06" w:rsidRDefault="005418F1" w:rsidP="00FC7E06">
            <w:pPr>
              <w:rPr>
                <w:sz w:val="24"/>
                <w:szCs w:val="24"/>
              </w:rPr>
            </w:pPr>
            <w:r w:rsidRPr="00FC7E06">
              <w:rPr>
                <w:b/>
                <w:bCs/>
                <w:sz w:val="24"/>
                <w:szCs w:val="24"/>
              </w:rPr>
              <w:t>Service:</w:t>
            </w:r>
            <w:r w:rsidRPr="00FC7E06">
              <w:rPr>
                <w:sz w:val="24"/>
                <w:szCs w:val="24"/>
              </w:rPr>
              <w:t xml:space="preserve"> Molecular genetics – detection and characterisation of cell free RNA (cfRNA)/cell free DNA (cfDNA)/cell free TNA (cfTNA) in cancer screening and/or cancer genetic testing.</w:t>
            </w:r>
          </w:p>
          <w:p w14:paraId="75D717A1" w14:textId="77777777" w:rsidR="005418F1" w:rsidRPr="00FC7E06" w:rsidRDefault="005418F1" w:rsidP="005418F1">
            <w:pPr>
              <w:spacing w:before="240"/>
              <w:rPr>
                <w:b/>
                <w:bCs/>
                <w:sz w:val="24"/>
                <w:szCs w:val="24"/>
              </w:rPr>
            </w:pPr>
            <w:r w:rsidRPr="00FC7E06">
              <w:rPr>
                <w:b/>
                <w:bCs/>
                <w:sz w:val="24"/>
                <w:szCs w:val="24"/>
              </w:rPr>
              <w:t>Product:</w:t>
            </w:r>
          </w:p>
          <w:p w14:paraId="57B264E0" w14:textId="77777777" w:rsidR="005418F1" w:rsidRPr="00FC7E06" w:rsidRDefault="005418F1" w:rsidP="005418F1">
            <w:pPr>
              <w:rPr>
                <w:sz w:val="24"/>
                <w:szCs w:val="24"/>
              </w:rPr>
            </w:pPr>
            <w:r w:rsidRPr="00FC7E06">
              <w:rPr>
                <w:sz w:val="24"/>
                <w:szCs w:val="24"/>
              </w:rPr>
              <w:t>o Peter MacCallum Cancer Centre (PMCC), Thermofisher Oncomine Precision GX utilises plasma and</w:t>
            </w:r>
          </w:p>
          <w:p w14:paraId="71D4BE76" w14:textId="77777777" w:rsidR="005418F1" w:rsidRPr="00FC7E06" w:rsidRDefault="005418F1" w:rsidP="005418F1">
            <w:pPr>
              <w:rPr>
                <w:sz w:val="24"/>
                <w:szCs w:val="24"/>
              </w:rPr>
            </w:pPr>
            <w:r w:rsidRPr="00FC7E06">
              <w:rPr>
                <w:sz w:val="24"/>
                <w:szCs w:val="24"/>
              </w:rPr>
              <w:t>o Genomics for Life, Thermofisher Oncomine Breast cfDNA utilises extracted DNA</w:t>
            </w:r>
          </w:p>
          <w:p w14:paraId="099BB3F3" w14:textId="77777777" w:rsidR="005418F1" w:rsidRPr="00FC7E06" w:rsidRDefault="005418F1" w:rsidP="005418F1">
            <w:pPr>
              <w:spacing w:before="240"/>
              <w:rPr>
                <w:sz w:val="24"/>
                <w:szCs w:val="24"/>
              </w:rPr>
            </w:pPr>
            <w:r w:rsidRPr="00FC7E06">
              <w:rPr>
                <w:b/>
                <w:bCs/>
                <w:sz w:val="24"/>
                <w:szCs w:val="24"/>
              </w:rPr>
              <w:t>Determinant:</w:t>
            </w:r>
            <w:r w:rsidRPr="00FC7E06">
              <w:rPr>
                <w:sz w:val="24"/>
                <w:szCs w:val="24"/>
              </w:rPr>
              <w:t xml:space="preserve"> Nucleic acid analysis for specific variants</w:t>
            </w:r>
          </w:p>
          <w:p w14:paraId="01A54187" w14:textId="19E22B11" w:rsidR="00FB143E" w:rsidRPr="00FB143E" w:rsidRDefault="005418F1" w:rsidP="00F01D31">
            <w:pPr>
              <w:spacing w:before="240"/>
              <w:rPr>
                <w:sz w:val="24"/>
                <w:szCs w:val="24"/>
              </w:rPr>
            </w:pPr>
            <w:r w:rsidRPr="00FC7E06">
              <w:rPr>
                <w:sz w:val="24"/>
                <w:szCs w:val="24"/>
              </w:rPr>
              <w:t xml:space="preserve">Both these tests include ESR1-mutation. </w:t>
            </w:r>
            <w:r w:rsidR="00F01D31">
              <w:rPr>
                <w:sz w:val="24"/>
                <w:szCs w:val="24"/>
              </w:rPr>
              <w:t>Redacted</w:t>
            </w:r>
          </w:p>
        </w:tc>
      </w:tr>
    </w:tbl>
    <w:p w14:paraId="2B69C0DE" w14:textId="210A6317" w:rsidR="00FB143E" w:rsidRPr="00FB143E" w:rsidRDefault="00FB143E" w:rsidP="00FB143E">
      <w:pPr>
        <w:pStyle w:val="Heading2"/>
        <w:spacing w:before="480"/>
      </w:pPr>
      <w:bookmarkStart w:id="6" w:name="_Other_Information"/>
      <w:bookmarkStart w:id="7" w:name="_Radiopharmaceuticals"/>
      <w:bookmarkStart w:id="8" w:name="_B3:__Radiopharmaceuticals"/>
      <w:bookmarkStart w:id="9" w:name="_Other_Information_2"/>
      <w:bookmarkEnd w:id="6"/>
      <w:bookmarkEnd w:id="7"/>
      <w:bookmarkEnd w:id="8"/>
      <w:bookmarkEnd w:id="9"/>
      <w:r w:rsidRPr="00FB143E">
        <w:t xml:space="preserve">Other Information </w:t>
      </w:r>
    </w:p>
    <w:p w14:paraId="50EAA306" w14:textId="77777777" w:rsidR="00FB143E" w:rsidRDefault="00FB143E" w:rsidP="00FB143E">
      <w:pPr>
        <w:rPr>
          <w:sz w:val="24"/>
          <w:szCs w:val="24"/>
        </w:rPr>
      </w:pPr>
      <w:r w:rsidRPr="00FB143E">
        <w:rPr>
          <w:sz w:val="24"/>
          <w:szCs w:val="24"/>
        </w:rPr>
        <w:t>Please advise us if there is anything relevant to MSAC’s consideration of the reapplication that is not addressed elsewhere in this template. For example, proposed major changes to the ADAR unrelated to matters of concern raised by MSAC; or the health technology is subject to a recall or other regulatory action. You can also list here any additional organisations, experts, or other stakeholders for consultation.</w:t>
      </w:r>
    </w:p>
    <w:tbl>
      <w:tblPr>
        <w:tblStyle w:val="TableGrid"/>
        <w:tblW w:w="0" w:type="auto"/>
        <w:tblInd w:w="-5" w:type="dxa"/>
        <w:tblLook w:val="04A0" w:firstRow="1" w:lastRow="0" w:firstColumn="1" w:lastColumn="0" w:noHBand="0" w:noVBand="1"/>
      </w:tblPr>
      <w:tblGrid>
        <w:gridCol w:w="10199"/>
      </w:tblGrid>
      <w:tr w:rsidR="00FB143E" w14:paraId="06D7173B" w14:textId="77777777" w:rsidTr="0033416B">
        <w:tc>
          <w:tcPr>
            <w:tcW w:w="10199" w:type="dxa"/>
          </w:tcPr>
          <w:p w14:paraId="4B048109" w14:textId="100FF125" w:rsidR="00FB143E" w:rsidRDefault="00FB143E" w:rsidP="0033416B">
            <w:pPr>
              <w:jc w:val="both"/>
              <w:rPr>
                <w:sz w:val="24"/>
                <w:szCs w:val="24"/>
              </w:rPr>
            </w:pPr>
            <w:r>
              <w:rPr>
                <w:sz w:val="24"/>
                <w:szCs w:val="24"/>
              </w:rPr>
              <w:t>N/A</w:t>
            </w:r>
          </w:p>
        </w:tc>
      </w:tr>
    </w:tbl>
    <w:p w14:paraId="7DC4EE95" w14:textId="1318D4FA" w:rsidR="00FB143E" w:rsidRPr="00FB143E" w:rsidRDefault="00FB143E" w:rsidP="00FB143E">
      <w:pPr>
        <w:rPr>
          <w:sz w:val="24"/>
          <w:szCs w:val="24"/>
        </w:rPr>
        <w:sectPr w:rsidR="00FB143E" w:rsidRPr="00FB143E" w:rsidSect="008E676A">
          <w:headerReference w:type="even" r:id="rId12"/>
          <w:headerReference w:type="default" r:id="rId13"/>
          <w:footerReference w:type="even" r:id="rId14"/>
          <w:footerReference w:type="default" r:id="rId15"/>
          <w:headerReference w:type="first" r:id="rId16"/>
          <w:footerReference w:type="first" r:id="rId17"/>
          <w:pgSz w:w="11906" w:h="16838"/>
          <w:pgMar w:top="1021" w:right="851" w:bottom="1021" w:left="851" w:header="709" w:footer="283" w:gutter="0"/>
          <w:pgNumType w:start="1"/>
          <w:cols w:space="708"/>
          <w:docGrid w:linePitch="360"/>
        </w:sectPr>
      </w:pPr>
    </w:p>
    <w:p w14:paraId="622B11A6" w14:textId="0C630E45" w:rsidR="005F6283" w:rsidRPr="009F4B28" w:rsidRDefault="00FE58E0" w:rsidP="00777112">
      <w:pPr>
        <w:pStyle w:val="Heading1"/>
        <w:spacing w:before="0" w:after="120"/>
        <w:jc w:val="left"/>
        <w:rPr>
          <w:i/>
          <w:iCs/>
        </w:rPr>
      </w:pPr>
      <w:r w:rsidRPr="00777112">
        <w:rPr>
          <w:color w:val="002060"/>
        </w:rPr>
        <w:lastRenderedPageBreak/>
        <w:t xml:space="preserve">Table 1: </w:t>
      </w:r>
      <w:r w:rsidR="00A4249B" w:rsidRPr="00777112">
        <w:rPr>
          <w:color w:val="002060"/>
        </w:rPr>
        <w:t xml:space="preserve">Summary of </w:t>
      </w:r>
      <w:r w:rsidR="0074107B" w:rsidRPr="00777112">
        <w:rPr>
          <w:color w:val="002060"/>
        </w:rPr>
        <w:t xml:space="preserve">key matters of concern </w:t>
      </w:r>
    </w:p>
    <w:tbl>
      <w:tblPr>
        <w:tblStyle w:val="TableGrid"/>
        <w:tblW w:w="0" w:type="auto"/>
        <w:tblInd w:w="421" w:type="dxa"/>
        <w:tblLook w:val="04A0" w:firstRow="1" w:lastRow="0" w:firstColumn="1" w:lastColumn="0" w:noHBand="0" w:noVBand="1"/>
      </w:tblPr>
      <w:tblGrid>
        <w:gridCol w:w="4148"/>
        <w:gridCol w:w="5112"/>
        <w:gridCol w:w="5105"/>
      </w:tblGrid>
      <w:tr w:rsidR="00BF2707" w14:paraId="5CC69C27" w14:textId="77777777" w:rsidTr="00D70521">
        <w:tc>
          <w:tcPr>
            <w:tcW w:w="4252" w:type="dxa"/>
            <w:shd w:val="clear" w:color="auto" w:fill="D9E2F3" w:themeFill="accent1" w:themeFillTint="33"/>
          </w:tcPr>
          <w:p w14:paraId="0460DB14" w14:textId="24862BCC" w:rsidR="00BF2707" w:rsidRPr="00BF0F2A" w:rsidRDefault="00BF2707" w:rsidP="00BF2707">
            <w:pPr>
              <w:spacing w:before="60" w:after="60"/>
              <w:jc w:val="center"/>
            </w:pPr>
            <w:r w:rsidRPr="008A06F9">
              <w:rPr>
                <w:b/>
                <w:bCs/>
                <w:caps/>
              </w:rPr>
              <w:t xml:space="preserve">Component </w:t>
            </w:r>
          </w:p>
        </w:tc>
        <w:tc>
          <w:tcPr>
            <w:tcW w:w="5245" w:type="dxa"/>
            <w:shd w:val="clear" w:color="auto" w:fill="D9E2F3" w:themeFill="accent1" w:themeFillTint="33"/>
          </w:tcPr>
          <w:p w14:paraId="12C13349" w14:textId="4A4AF2E5" w:rsidR="00BF2707" w:rsidRPr="00BF0F2A" w:rsidRDefault="00BF2707" w:rsidP="00BF2707">
            <w:pPr>
              <w:spacing w:before="60" w:after="60"/>
              <w:jc w:val="center"/>
            </w:pPr>
            <w:r w:rsidRPr="008A06F9">
              <w:rPr>
                <w:b/>
                <w:bCs/>
                <w:caps/>
              </w:rPr>
              <w:t>Matter of Concern</w:t>
            </w:r>
          </w:p>
        </w:tc>
        <w:tc>
          <w:tcPr>
            <w:tcW w:w="5245" w:type="dxa"/>
            <w:shd w:val="clear" w:color="auto" w:fill="D9E2F3" w:themeFill="accent1" w:themeFillTint="33"/>
          </w:tcPr>
          <w:p w14:paraId="18D920A8" w14:textId="38552777" w:rsidR="00BF2707" w:rsidRPr="00BF0F2A" w:rsidRDefault="00BF2707" w:rsidP="00BF2707">
            <w:pPr>
              <w:spacing w:before="60" w:after="60"/>
              <w:jc w:val="center"/>
            </w:pPr>
            <w:r w:rsidRPr="008A06F9">
              <w:rPr>
                <w:b/>
                <w:bCs/>
                <w:caps/>
              </w:rPr>
              <w:t>How matter will be addressed in ADAR</w:t>
            </w:r>
          </w:p>
        </w:tc>
      </w:tr>
      <w:tr w:rsidR="00BF0F2A" w14:paraId="7C3949B3" w14:textId="77777777" w:rsidTr="002B0526">
        <w:trPr>
          <w:cantSplit/>
        </w:trPr>
        <w:tc>
          <w:tcPr>
            <w:tcW w:w="4252" w:type="dxa"/>
            <w:tcBorders>
              <w:top w:val="single" w:sz="4" w:space="0" w:color="auto"/>
              <w:left w:val="single" w:sz="4" w:space="0" w:color="auto"/>
              <w:bottom w:val="single" w:sz="4" w:space="0" w:color="auto"/>
              <w:right w:val="single" w:sz="4" w:space="0" w:color="auto"/>
            </w:tcBorders>
          </w:tcPr>
          <w:p w14:paraId="7A739513" w14:textId="33143F3C" w:rsidR="00473F0B" w:rsidRPr="00BF0F2A" w:rsidRDefault="00FC7E06" w:rsidP="00FC7E06">
            <w:pPr>
              <w:pStyle w:val="Default"/>
            </w:pPr>
            <w:r>
              <w:rPr>
                <w:sz w:val="22"/>
                <w:szCs w:val="22"/>
              </w:rPr>
              <w:t xml:space="preserve">Choice of drug comparator </w:t>
            </w:r>
          </w:p>
        </w:tc>
        <w:tc>
          <w:tcPr>
            <w:tcW w:w="5245" w:type="dxa"/>
            <w:tcBorders>
              <w:top w:val="single" w:sz="4" w:space="0" w:color="auto"/>
              <w:left w:val="single" w:sz="4" w:space="0" w:color="auto"/>
              <w:bottom w:val="single" w:sz="4" w:space="0" w:color="auto"/>
              <w:right w:val="single" w:sz="4" w:space="0" w:color="auto"/>
            </w:tcBorders>
          </w:tcPr>
          <w:p w14:paraId="3F2AE101" w14:textId="6673CD5B" w:rsidR="00DD2D53" w:rsidRPr="00BF0F2A" w:rsidRDefault="00FC7E06" w:rsidP="00FC7E06">
            <w:pPr>
              <w:pStyle w:val="Default"/>
            </w:pPr>
            <w:r>
              <w:rPr>
                <w:sz w:val="22"/>
                <w:szCs w:val="22"/>
              </w:rPr>
              <w:t xml:space="preserve">MSAC considered that there is no basis to support ESR1 variant testing, as the PBAC did not recommend the proposed PBS listing of elacestrant. MSAC advised that a resubmission should address the magnitude of clinical benefit with an appropriate comparator and the implementation issues related to the provision of ESR1 testing. MSAC considered the resubmission would need to be an integrated codependent submission and be re-considered by the ESCs. (PSD, p.5, para 2). </w:t>
            </w:r>
          </w:p>
        </w:tc>
        <w:tc>
          <w:tcPr>
            <w:tcW w:w="5245" w:type="dxa"/>
            <w:tcBorders>
              <w:top w:val="single" w:sz="4" w:space="0" w:color="auto"/>
              <w:left w:val="single" w:sz="4" w:space="0" w:color="auto"/>
              <w:bottom w:val="single" w:sz="4" w:space="0" w:color="auto"/>
              <w:right w:val="single" w:sz="4" w:space="0" w:color="auto"/>
            </w:tcBorders>
          </w:tcPr>
          <w:p w14:paraId="0A8F1794" w14:textId="77777777" w:rsidR="00FC7E06" w:rsidRDefault="00FC7E06" w:rsidP="00FC7E06">
            <w:pPr>
              <w:pStyle w:val="Default"/>
              <w:rPr>
                <w:sz w:val="22"/>
                <w:szCs w:val="22"/>
              </w:rPr>
            </w:pPr>
            <w:r>
              <w:rPr>
                <w:b/>
                <w:bCs/>
                <w:sz w:val="22"/>
                <w:szCs w:val="22"/>
              </w:rPr>
              <w:t xml:space="preserve">Addressed </w:t>
            </w:r>
          </w:p>
          <w:p w14:paraId="6B06BACD" w14:textId="008492AB" w:rsidR="006C4ABA" w:rsidRPr="00BF0F2A" w:rsidRDefault="00FC7E06" w:rsidP="00FC7E06">
            <w:r>
              <w:t xml:space="preserve">A drug comparator of combination treatment with everolimus and exemestane (EVE+EXE) will be nominated in the resubmission. </w:t>
            </w:r>
          </w:p>
        </w:tc>
      </w:tr>
      <w:tr w:rsidR="00FC7E06" w14:paraId="60B67E44" w14:textId="77777777" w:rsidTr="002B0526">
        <w:trPr>
          <w:cantSplit/>
        </w:trPr>
        <w:tc>
          <w:tcPr>
            <w:tcW w:w="4252" w:type="dxa"/>
            <w:tcBorders>
              <w:top w:val="single" w:sz="4" w:space="0" w:color="auto"/>
              <w:left w:val="single" w:sz="4" w:space="0" w:color="auto"/>
              <w:bottom w:val="single" w:sz="4" w:space="0" w:color="auto"/>
              <w:right w:val="single" w:sz="4" w:space="0" w:color="auto"/>
            </w:tcBorders>
          </w:tcPr>
          <w:p w14:paraId="3221F4A8" w14:textId="226E4E4F" w:rsidR="00FC7E06" w:rsidRPr="00FC7E06" w:rsidRDefault="00FC7E06" w:rsidP="00FC7E06">
            <w:pPr>
              <w:pStyle w:val="Default"/>
            </w:pPr>
            <w:r>
              <w:rPr>
                <w:sz w:val="22"/>
                <w:szCs w:val="22"/>
              </w:rPr>
              <w:t xml:space="preserve">Delivery of the test </w:t>
            </w:r>
          </w:p>
        </w:tc>
        <w:tc>
          <w:tcPr>
            <w:tcW w:w="5245" w:type="dxa"/>
            <w:tcBorders>
              <w:top w:val="single" w:sz="4" w:space="0" w:color="auto"/>
              <w:left w:val="single" w:sz="4" w:space="0" w:color="auto"/>
              <w:bottom w:val="single" w:sz="4" w:space="0" w:color="auto"/>
              <w:right w:val="single" w:sz="4" w:space="0" w:color="auto"/>
            </w:tcBorders>
          </w:tcPr>
          <w:p w14:paraId="5BB396CA" w14:textId="7A5B87CC" w:rsidR="00FC7E06" w:rsidRPr="00BF0F2A" w:rsidRDefault="00FC7E06" w:rsidP="00FC7E06">
            <w:pPr>
              <w:pStyle w:val="Default"/>
            </w:pPr>
            <w:r>
              <w:rPr>
                <w:sz w:val="22"/>
                <w:szCs w:val="22"/>
              </w:rPr>
              <w:t xml:space="preserve">MSAC noted that the Guardant360 assay used in the pivotal trial is not available in Australia and that there are no ctDNA ESR1 tests listed on the Australian Register of Therapeutic Goods (ARTG). MSAC also noted the Pre-Committee Response reported that 2 Australian laboratories are in the process of obtaining accreditation with the National Association of Testing Authorities (NATA) to perform ESR1 testing using ctDNA, but no Australian laboratories are currently accredited for this testing. MSAC therefore queried if the current capacity to offer ESR1 testing is adequate in Australia. (PSD, p.4, para 1). </w:t>
            </w:r>
          </w:p>
        </w:tc>
        <w:tc>
          <w:tcPr>
            <w:tcW w:w="5245" w:type="dxa"/>
            <w:tcBorders>
              <w:top w:val="single" w:sz="4" w:space="0" w:color="auto"/>
              <w:left w:val="single" w:sz="4" w:space="0" w:color="auto"/>
              <w:bottom w:val="single" w:sz="4" w:space="0" w:color="auto"/>
              <w:right w:val="single" w:sz="4" w:space="0" w:color="auto"/>
            </w:tcBorders>
          </w:tcPr>
          <w:p w14:paraId="3587EB9F" w14:textId="77777777" w:rsidR="00FC7E06" w:rsidRDefault="00FC7E06" w:rsidP="00FC7E06">
            <w:pPr>
              <w:pStyle w:val="Default"/>
              <w:rPr>
                <w:sz w:val="22"/>
                <w:szCs w:val="22"/>
              </w:rPr>
            </w:pPr>
            <w:r>
              <w:rPr>
                <w:b/>
                <w:bCs/>
                <w:sz w:val="22"/>
                <w:szCs w:val="22"/>
              </w:rPr>
              <w:t xml:space="preserve">Addressed </w:t>
            </w:r>
          </w:p>
          <w:p w14:paraId="13ACA159" w14:textId="1ACEEA7D" w:rsidR="00FC7E06" w:rsidRPr="00BF0F2A" w:rsidRDefault="00FC7E06" w:rsidP="00FC7E06">
            <w:r>
              <w:t xml:space="preserve">An update of the status of laboratory accreditation will be provided (see Section B.2 of this form) in Section 1 to provide reassurance that there will be adequate capacity for testing. </w:t>
            </w:r>
          </w:p>
        </w:tc>
      </w:tr>
      <w:tr w:rsidR="00FC7E06" w14:paraId="4C853356" w14:textId="77777777" w:rsidTr="001F3708">
        <w:trPr>
          <w:cantSplit/>
        </w:trPr>
        <w:tc>
          <w:tcPr>
            <w:tcW w:w="4252" w:type="dxa"/>
            <w:tcBorders>
              <w:top w:val="single" w:sz="4" w:space="0" w:color="auto"/>
              <w:left w:val="single" w:sz="4" w:space="0" w:color="auto"/>
              <w:bottom w:val="single" w:sz="4" w:space="0" w:color="auto"/>
              <w:right w:val="single" w:sz="4" w:space="0" w:color="auto"/>
            </w:tcBorders>
          </w:tcPr>
          <w:p w14:paraId="283BE408" w14:textId="2C631ABA" w:rsidR="00FC7E06" w:rsidRPr="00FC7E06" w:rsidRDefault="00FC7E06" w:rsidP="00FC7E06">
            <w:pPr>
              <w:pStyle w:val="Default"/>
            </w:pPr>
            <w:r>
              <w:rPr>
                <w:sz w:val="22"/>
                <w:szCs w:val="22"/>
              </w:rPr>
              <w:lastRenderedPageBreak/>
              <w:t xml:space="preserve">MBS Item description </w:t>
            </w:r>
          </w:p>
        </w:tc>
        <w:tc>
          <w:tcPr>
            <w:tcW w:w="5245" w:type="dxa"/>
            <w:tcBorders>
              <w:top w:val="single" w:sz="4" w:space="0" w:color="auto"/>
              <w:left w:val="single" w:sz="4" w:space="0" w:color="auto"/>
              <w:bottom w:val="single" w:sz="4" w:space="0" w:color="auto"/>
              <w:right w:val="single" w:sz="4" w:space="0" w:color="auto"/>
            </w:tcBorders>
          </w:tcPr>
          <w:p w14:paraId="1CA7BD75" w14:textId="381A7368" w:rsidR="00FC7E06" w:rsidRPr="00FC7E06" w:rsidRDefault="00FC7E06" w:rsidP="00FC7E06">
            <w:pPr>
              <w:pStyle w:val="Default"/>
            </w:pPr>
            <w:r>
              <w:rPr>
                <w:sz w:val="22"/>
                <w:szCs w:val="22"/>
              </w:rPr>
              <w:t xml:space="preserve">MSAC noted that while the applicant proposed using NGS for ESR1 testing, digital droplet polymerase chain reaction (ddPCR) may be appropriate as an alternative test methodology. Other suitable methodologies may also become available in the future. MSAC noted that while ddPCR has greater sensitivity than NGS and is cheaper (in a high volume laboratory), multiple assays would be required to cover all known ESR1 variants. MSAC considered that, in practice, laboratories would unlikely develop a bespoke ddPCR assay for every variant but rather use an NGS approach. MSAC therefore considered that the MBS item descriptor for ESR1 testing should be method-agnostic. (PSD, p.3, para 5). </w:t>
            </w:r>
          </w:p>
        </w:tc>
        <w:tc>
          <w:tcPr>
            <w:tcW w:w="5245" w:type="dxa"/>
            <w:tcBorders>
              <w:top w:val="single" w:sz="4" w:space="0" w:color="auto"/>
              <w:left w:val="single" w:sz="4" w:space="0" w:color="auto"/>
              <w:bottom w:val="single" w:sz="4" w:space="0" w:color="auto"/>
              <w:right w:val="single" w:sz="4" w:space="0" w:color="auto"/>
            </w:tcBorders>
          </w:tcPr>
          <w:p w14:paraId="4384E799" w14:textId="77777777" w:rsidR="00FC7E06" w:rsidRDefault="00FC7E06" w:rsidP="00FC7E06">
            <w:pPr>
              <w:pStyle w:val="Default"/>
              <w:rPr>
                <w:sz w:val="22"/>
                <w:szCs w:val="22"/>
              </w:rPr>
            </w:pPr>
            <w:r>
              <w:rPr>
                <w:b/>
                <w:bCs/>
                <w:sz w:val="22"/>
                <w:szCs w:val="22"/>
              </w:rPr>
              <w:t xml:space="preserve">Addressed </w:t>
            </w:r>
          </w:p>
          <w:p w14:paraId="6A1BEDF8" w14:textId="42B59D75" w:rsidR="00FC7E06" w:rsidRDefault="00FC7E06" w:rsidP="00FC7E06">
            <w:pPr>
              <w:pStyle w:val="Default"/>
              <w:rPr>
                <w:b/>
                <w:bCs/>
                <w:sz w:val="22"/>
                <w:szCs w:val="22"/>
              </w:rPr>
            </w:pPr>
            <w:r>
              <w:rPr>
                <w:sz w:val="22"/>
                <w:szCs w:val="22"/>
              </w:rPr>
              <w:t xml:space="preserve">The proposed MBS item description will be method agnostic in Section 1. </w:t>
            </w:r>
          </w:p>
        </w:tc>
      </w:tr>
      <w:tr w:rsidR="00FC7E06" w14:paraId="5A3AAFF4" w14:textId="77777777" w:rsidTr="001F3708">
        <w:trPr>
          <w:cantSplit/>
        </w:trPr>
        <w:tc>
          <w:tcPr>
            <w:tcW w:w="4252" w:type="dxa"/>
            <w:tcBorders>
              <w:top w:val="single" w:sz="4" w:space="0" w:color="auto"/>
              <w:left w:val="single" w:sz="4" w:space="0" w:color="auto"/>
              <w:bottom w:val="single" w:sz="4" w:space="0" w:color="auto"/>
              <w:right w:val="single" w:sz="4" w:space="0" w:color="auto"/>
            </w:tcBorders>
          </w:tcPr>
          <w:p w14:paraId="6E2C89DE" w14:textId="7BA5E8CD" w:rsidR="00FC7E06" w:rsidRPr="00FC7E06" w:rsidRDefault="00FC7E06" w:rsidP="00FC7E06">
            <w:pPr>
              <w:pStyle w:val="Default"/>
            </w:pPr>
            <w:r>
              <w:rPr>
                <w:sz w:val="22"/>
                <w:szCs w:val="22"/>
              </w:rPr>
              <w:t xml:space="preserve">MBS Item restriction </w:t>
            </w:r>
          </w:p>
        </w:tc>
        <w:tc>
          <w:tcPr>
            <w:tcW w:w="5245" w:type="dxa"/>
            <w:tcBorders>
              <w:top w:val="single" w:sz="4" w:space="0" w:color="auto"/>
              <w:left w:val="single" w:sz="4" w:space="0" w:color="auto"/>
              <w:bottom w:val="single" w:sz="4" w:space="0" w:color="auto"/>
              <w:right w:val="single" w:sz="4" w:space="0" w:color="auto"/>
            </w:tcBorders>
          </w:tcPr>
          <w:p w14:paraId="3DB1EAFB" w14:textId="1C798425" w:rsidR="00FC7E06" w:rsidRPr="00FC7E06" w:rsidRDefault="00FC7E06" w:rsidP="00FC7E06">
            <w:pPr>
              <w:pStyle w:val="Default"/>
            </w:pPr>
            <w:r>
              <w:rPr>
                <w:sz w:val="22"/>
                <w:szCs w:val="22"/>
              </w:rPr>
              <w:t xml:space="preserve">MSAC noted the ESCs’ advice that testing should be restricted to once every 6 months in patients with a previous negative result. However, MSAC considered that testing every 3 months might be a more appropriate timepoint for retesting, noting that this would increase the financial estimates. MSAC advised that there should be no further ESR1 testing following a positive result. (PSD, p.5, para 1) </w:t>
            </w:r>
          </w:p>
        </w:tc>
        <w:tc>
          <w:tcPr>
            <w:tcW w:w="5245" w:type="dxa"/>
            <w:tcBorders>
              <w:top w:val="single" w:sz="4" w:space="0" w:color="auto"/>
              <w:left w:val="single" w:sz="4" w:space="0" w:color="auto"/>
              <w:bottom w:val="single" w:sz="4" w:space="0" w:color="auto"/>
              <w:right w:val="single" w:sz="4" w:space="0" w:color="auto"/>
            </w:tcBorders>
          </w:tcPr>
          <w:p w14:paraId="35528AB0" w14:textId="77777777" w:rsidR="00FC7E06" w:rsidRDefault="00FC7E06" w:rsidP="00FC7E06">
            <w:pPr>
              <w:pStyle w:val="Default"/>
              <w:rPr>
                <w:sz w:val="22"/>
                <w:szCs w:val="22"/>
              </w:rPr>
            </w:pPr>
            <w:r>
              <w:rPr>
                <w:b/>
                <w:bCs/>
                <w:sz w:val="22"/>
                <w:szCs w:val="22"/>
              </w:rPr>
              <w:t xml:space="preserve">Addressed </w:t>
            </w:r>
          </w:p>
          <w:p w14:paraId="6D907739" w14:textId="0BB3B3F2" w:rsidR="00FC7E06" w:rsidRDefault="00FC7E06" w:rsidP="00FC7E06">
            <w:pPr>
              <w:pStyle w:val="Default"/>
              <w:rPr>
                <w:b/>
                <w:bCs/>
                <w:sz w:val="22"/>
                <w:szCs w:val="22"/>
              </w:rPr>
            </w:pPr>
            <w:r>
              <w:rPr>
                <w:sz w:val="22"/>
                <w:szCs w:val="22"/>
              </w:rPr>
              <w:t xml:space="preserve">The proposed MBS item restriction will incorporate this feedback in Section 1. </w:t>
            </w:r>
          </w:p>
        </w:tc>
      </w:tr>
    </w:tbl>
    <w:p w14:paraId="72E211FC" w14:textId="77777777" w:rsidR="003D0C0C" w:rsidRDefault="003D0C0C">
      <w:pPr>
        <w:rPr>
          <w:b/>
          <w:bCs/>
          <w:color w:val="002060"/>
          <w:sz w:val="36"/>
          <w:szCs w:val="36"/>
        </w:rPr>
      </w:pPr>
      <w:r>
        <w:rPr>
          <w:b/>
          <w:bCs/>
          <w:color w:val="002060"/>
          <w:sz w:val="36"/>
          <w:szCs w:val="36"/>
        </w:rPr>
        <w:br w:type="page"/>
      </w:r>
    </w:p>
    <w:p w14:paraId="288B6841" w14:textId="56DC89EA" w:rsidR="00BF0F2A" w:rsidRPr="00777112" w:rsidRDefault="009B0057" w:rsidP="005A48B8">
      <w:pPr>
        <w:pStyle w:val="Heading1"/>
        <w:spacing w:before="0" w:after="360"/>
        <w:jc w:val="left"/>
        <w:rPr>
          <w:color w:val="002060"/>
        </w:rPr>
      </w:pPr>
      <w:bookmarkStart w:id="10" w:name="_Table_2:_Summary"/>
      <w:bookmarkEnd w:id="10"/>
      <w:r w:rsidRPr="00777112">
        <w:rPr>
          <w:color w:val="002060"/>
        </w:rPr>
        <w:lastRenderedPageBreak/>
        <w:t>Table 2</w:t>
      </w:r>
      <w:r w:rsidR="003D42BB" w:rsidRPr="00777112">
        <w:rPr>
          <w:color w:val="002060"/>
        </w:rPr>
        <w:t xml:space="preserve">: Summary of </w:t>
      </w:r>
      <w:r w:rsidR="00CF7D46" w:rsidRPr="00777112">
        <w:rPr>
          <w:color w:val="002060"/>
        </w:rPr>
        <w:t xml:space="preserve">changes to </w:t>
      </w:r>
      <w:r w:rsidR="003D42BB" w:rsidRPr="00777112">
        <w:rPr>
          <w:color w:val="002060"/>
        </w:rPr>
        <w:t xml:space="preserve">PICO </w:t>
      </w:r>
      <w:r w:rsidR="005551FB" w:rsidRPr="00777112">
        <w:rPr>
          <w:color w:val="002060"/>
        </w:rPr>
        <w:t>c</w:t>
      </w:r>
      <w:r w:rsidR="00CF7D46" w:rsidRPr="00777112">
        <w:rPr>
          <w:color w:val="002060"/>
        </w:rPr>
        <w:t>riteria</w:t>
      </w:r>
      <w:r w:rsidR="003D42BB" w:rsidRPr="00777112">
        <w:rPr>
          <w:color w:val="002060"/>
        </w:rPr>
        <w:t xml:space="preserve"> </w:t>
      </w:r>
      <w:r w:rsidR="005551FB" w:rsidRPr="00777112">
        <w:rPr>
          <w:color w:val="002060"/>
        </w:rPr>
        <w:t xml:space="preserve">since </w:t>
      </w:r>
      <w:r w:rsidR="006824E3" w:rsidRPr="00777112">
        <w:rPr>
          <w:color w:val="002060"/>
        </w:rPr>
        <w:t xml:space="preserve">previous </w:t>
      </w:r>
      <w:r w:rsidR="005551FB" w:rsidRPr="00777112">
        <w:rPr>
          <w:color w:val="002060"/>
        </w:rPr>
        <w:t>consideration by MSAC</w:t>
      </w:r>
    </w:p>
    <w:p w14:paraId="14AAC1A5" w14:textId="654946B6" w:rsidR="00B76D92" w:rsidRPr="008A4C41" w:rsidRDefault="00B76D92" w:rsidP="005A48B8">
      <w:pPr>
        <w:spacing w:after="360"/>
        <w:rPr>
          <w:sz w:val="28"/>
          <w:szCs w:val="28"/>
        </w:rPr>
      </w:pPr>
      <w:r w:rsidRPr="00E73A57">
        <w:rPr>
          <w:sz w:val="28"/>
          <w:szCs w:val="28"/>
        </w:rPr>
        <w:t xml:space="preserve">  </w:t>
      </w:r>
      <w:sdt>
        <w:sdtPr>
          <w:rPr>
            <w:sz w:val="28"/>
            <w:szCs w:val="28"/>
          </w:rPr>
          <w:id w:val="-520933286"/>
          <w14:checkbox>
            <w14:checked w14:val="0"/>
            <w14:checkedState w14:val="2612" w14:font="MS Gothic"/>
            <w14:uncheckedState w14:val="2610" w14:font="MS Gothic"/>
          </w14:checkbox>
        </w:sdtPr>
        <w:sdtContent>
          <w:r w:rsidR="00E73A57">
            <w:rPr>
              <w:rFonts w:ascii="MS Gothic" w:eastAsia="MS Gothic" w:hAnsi="MS Gothic" w:hint="eastAsia"/>
              <w:sz w:val="28"/>
              <w:szCs w:val="28"/>
            </w:rPr>
            <w:t>☐</w:t>
          </w:r>
        </w:sdtContent>
      </w:sdt>
      <w:r w:rsidRPr="008A4C41">
        <w:rPr>
          <w:sz w:val="28"/>
          <w:szCs w:val="28"/>
        </w:rPr>
        <w:t xml:space="preserve">     The proposed ADAR </w:t>
      </w:r>
      <w:r w:rsidRPr="00B65FF3">
        <w:rPr>
          <w:b/>
          <w:bCs/>
          <w:sz w:val="28"/>
          <w:szCs w:val="28"/>
          <w:u w:val="single"/>
        </w:rPr>
        <w:t xml:space="preserve">will </w:t>
      </w:r>
      <w:r w:rsidR="001C7C89" w:rsidRPr="00B65FF3">
        <w:rPr>
          <w:b/>
          <w:bCs/>
          <w:sz w:val="28"/>
          <w:szCs w:val="28"/>
          <w:u w:val="single"/>
        </w:rPr>
        <w:t>not</w:t>
      </w:r>
      <w:r w:rsidR="001C7C89" w:rsidRPr="008A4C41">
        <w:rPr>
          <w:sz w:val="28"/>
          <w:szCs w:val="28"/>
        </w:rPr>
        <w:t xml:space="preserve"> </w:t>
      </w:r>
      <w:r w:rsidR="009F4B28" w:rsidRPr="008A4C41">
        <w:rPr>
          <w:sz w:val="28"/>
          <w:szCs w:val="28"/>
        </w:rPr>
        <w:t>contain any changes to the PICO previously considered by MSAC</w:t>
      </w:r>
      <w:r w:rsidR="00965F37">
        <w:rPr>
          <w:sz w:val="28"/>
          <w:szCs w:val="28"/>
        </w:rPr>
        <w:t>.</w:t>
      </w:r>
      <w:r w:rsidR="00965F37" w:rsidRPr="008A4C41">
        <w:rPr>
          <w:sz w:val="28"/>
          <w:szCs w:val="28"/>
        </w:rPr>
        <w:t xml:space="preserve"> </w:t>
      </w:r>
    </w:p>
    <w:p w14:paraId="5DE76AE5" w14:textId="0CE3C8B3" w:rsidR="00EF1518" w:rsidRDefault="007F5015" w:rsidP="00835FBC">
      <w:pPr>
        <w:spacing w:after="480"/>
        <w:rPr>
          <w:sz w:val="28"/>
          <w:szCs w:val="28"/>
        </w:rPr>
      </w:pPr>
      <w:r w:rsidRPr="008A4C41">
        <w:rPr>
          <w:sz w:val="28"/>
          <w:szCs w:val="28"/>
        </w:rPr>
        <w:t xml:space="preserve">  </w:t>
      </w:r>
      <w:sdt>
        <w:sdtPr>
          <w:rPr>
            <w:sz w:val="28"/>
            <w:szCs w:val="28"/>
          </w:rPr>
          <w:id w:val="-821586348"/>
          <w14:checkbox>
            <w14:checked w14:val="0"/>
            <w14:checkedState w14:val="2612" w14:font="MS Gothic"/>
            <w14:uncheckedState w14:val="2610" w14:font="MS Gothic"/>
          </w14:checkbox>
        </w:sdtPr>
        <w:sdtContent>
          <w:r w:rsidR="00A663C2">
            <w:rPr>
              <w:rFonts w:ascii="MS Gothic" w:eastAsia="MS Gothic" w:hAnsi="MS Gothic" w:hint="eastAsia"/>
              <w:sz w:val="28"/>
              <w:szCs w:val="28"/>
            </w:rPr>
            <w:t>☐</w:t>
          </w:r>
        </w:sdtContent>
      </w:sdt>
      <w:r w:rsidRPr="008A4C41">
        <w:rPr>
          <w:sz w:val="28"/>
          <w:szCs w:val="28"/>
        </w:rPr>
        <w:t xml:space="preserve">     </w:t>
      </w:r>
      <w:r w:rsidR="00B76D92" w:rsidRPr="008A4C41">
        <w:rPr>
          <w:sz w:val="28"/>
          <w:szCs w:val="28"/>
        </w:rPr>
        <w:t>The proposed ADAR will reflect changes to the PICO as detailed below</w:t>
      </w:r>
      <w:r w:rsidR="008F1842">
        <w:rPr>
          <w:sz w:val="28"/>
          <w:szCs w:val="28"/>
        </w:rPr>
        <w:t>.</w:t>
      </w:r>
      <w:r w:rsidR="00B76D92" w:rsidRPr="008A4C41">
        <w:rPr>
          <w:sz w:val="28"/>
          <w:szCs w:val="28"/>
        </w:rPr>
        <w:t xml:space="preserve"> </w:t>
      </w:r>
    </w:p>
    <w:tbl>
      <w:tblPr>
        <w:tblStyle w:val="TableGrid"/>
        <w:tblW w:w="0" w:type="auto"/>
        <w:tblInd w:w="421" w:type="dxa"/>
        <w:tblLook w:val="04A0" w:firstRow="1" w:lastRow="0" w:firstColumn="1" w:lastColumn="0" w:noHBand="0" w:noVBand="1"/>
      </w:tblPr>
      <w:tblGrid>
        <w:gridCol w:w="4149"/>
        <w:gridCol w:w="5108"/>
        <w:gridCol w:w="5108"/>
      </w:tblGrid>
      <w:tr w:rsidR="00F27E0C" w:rsidRPr="00FB758B" w14:paraId="733C6A32" w14:textId="77777777" w:rsidTr="00A3679A">
        <w:tc>
          <w:tcPr>
            <w:tcW w:w="4252" w:type="dxa"/>
            <w:shd w:val="clear" w:color="auto" w:fill="D9E2F3" w:themeFill="accent1" w:themeFillTint="33"/>
          </w:tcPr>
          <w:p w14:paraId="1D2C084D" w14:textId="75D57EF1" w:rsidR="00F27E0C" w:rsidRDefault="00F27E0C" w:rsidP="00F27E0C">
            <w:pPr>
              <w:spacing w:before="60" w:after="120"/>
              <w:rPr>
                <w:color w:val="538135" w:themeColor="accent6" w:themeShade="BF"/>
              </w:rPr>
            </w:pPr>
            <w:r w:rsidRPr="00A45B2B">
              <w:rPr>
                <w:b/>
                <w:bCs/>
                <w:caps/>
              </w:rPr>
              <w:t>PICO component</w:t>
            </w:r>
          </w:p>
        </w:tc>
        <w:tc>
          <w:tcPr>
            <w:tcW w:w="5245" w:type="dxa"/>
            <w:shd w:val="clear" w:color="auto" w:fill="D9E2F3" w:themeFill="accent1" w:themeFillTint="33"/>
          </w:tcPr>
          <w:p w14:paraId="3D4742E5" w14:textId="1A73DD03" w:rsidR="00F27E0C" w:rsidRPr="0037412F" w:rsidRDefault="00F27E0C" w:rsidP="00F27E0C">
            <w:pPr>
              <w:spacing w:before="60" w:after="120"/>
              <w:rPr>
                <w:color w:val="538135" w:themeColor="accent6" w:themeShade="BF"/>
              </w:rPr>
            </w:pPr>
            <w:r w:rsidRPr="00A45B2B">
              <w:rPr>
                <w:b/>
                <w:bCs/>
                <w:caps/>
              </w:rPr>
              <w:t>Component description as considered by MSAC</w:t>
            </w:r>
          </w:p>
        </w:tc>
        <w:tc>
          <w:tcPr>
            <w:tcW w:w="5245" w:type="dxa"/>
            <w:shd w:val="clear" w:color="auto" w:fill="D9E2F3" w:themeFill="accent1" w:themeFillTint="33"/>
          </w:tcPr>
          <w:p w14:paraId="71DE2B9F" w14:textId="69F2807F" w:rsidR="00F27E0C" w:rsidRPr="0037412F" w:rsidRDefault="00F27E0C" w:rsidP="00F27E0C">
            <w:pPr>
              <w:spacing w:before="60" w:after="120"/>
              <w:rPr>
                <w:color w:val="538135" w:themeColor="accent6" w:themeShade="BF"/>
              </w:rPr>
            </w:pPr>
            <w:r w:rsidRPr="00A45B2B">
              <w:rPr>
                <w:b/>
                <w:bCs/>
                <w:caps/>
              </w:rPr>
              <w:t>Revised component description and rationale</w:t>
            </w:r>
          </w:p>
        </w:tc>
      </w:tr>
      <w:tr w:rsidR="0032778D" w:rsidRPr="00FB758B" w14:paraId="02056823" w14:textId="77777777" w:rsidTr="00A3679A">
        <w:tc>
          <w:tcPr>
            <w:tcW w:w="4252" w:type="dxa"/>
            <w:tcBorders>
              <w:bottom w:val="single" w:sz="4" w:space="0" w:color="auto"/>
            </w:tcBorders>
          </w:tcPr>
          <w:p w14:paraId="784CBE6F" w14:textId="53C684FB" w:rsidR="0032778D" w:rsidRPr="00FC7E06" w:rsidRDefault="00FC7E06" w:rsidP="00FC7E06">
            <w:pPr>
              <w:pStyle w:val="Default"/>
            </w:pPr>
            <w:r>
              <w:rPr>
                <w:b/>
                <w:bCs/>
                <w:sz w:val="22"/>
                <w:szCs w:val="22"/>
              </w:rPr>
              <w:t xml:space="preserve">POPULATION </w:t>
            </w:r>
          </w:p>
        </w:tc>
        <w:tc>
          <w:tcPr>
            <w:tcW w:w="5245" w:type="dxa"/>
            <w:tcBorders>
              <w:bottom w:val="single" w:sz="4" w:space="0" w:color="auto"/>
            </w:tcBorders>
          </w:tcPr>
          <w:p w14:paraId="5464C84F" w14:textId="77777777" w:rsidR="00FC7E06" w:rsidRDefault="00FC7E06" w:rsidP="00FC7E06">
            <w:pPr>
              <w:pStyle w:val="Default"/>
              <w:rPr>
                <w:sz w:val="22"/>
                <w:szCs w:val="22"/>
              </w:rPr>
            </w:pPr>
            <w:r>
              <w:rPr>
                <w:sz w:val="22"/>
                <w:szCs w:val="22"/>
              </w:rPr>
              <w:t xml:space="preserve">Test: Men and postmenopausal women with ER+/HER2- locally advanced or metastatic breast cancer, who have disease progression following at least one line of endocrine therapy, including a CDK4/6 inhibitor. </w:t>
            </w:r>
          </w:p>
          <w:p w14:paraId="5454F69A" w14:textId="77777777" w:rsidR="000A079A" w:rsidRDefault="000A079A" w:rsidP="00FC7E06">
            <w:pPr>
              <w:pStyle w:val="Default"/>
              <w:rPr>
                <w:sz w:val="22"/>
                <w:szCs w:val="22"/>
              </w:rPr>
            </w:pPr>
          </w:p>
          <w:p w14:paraId="3332A59B" w14:textId="7FD479DF" w:rsidR="0070497E" w:rsidRPr="00142F7C" w:rsidRDefault="00FC7E06" w:rsidP="00FC7E06">
            <w:pPr>
              <w:spacing w:before="60" w:after="60"/>
            </w:pPr>
            <w:r>
              <w:t xml:space="preserve">Drug: Men and postmenopausal women with ER+/HER2- locally advanced or metastatic breast cancer with an activating ESR1 mutation, who have disease progression following at least one line of endocrine therapy including a CDK 4/6 inhibitor. </w:t>
            </w:r>
          </w:p>
        </w:tc>
        <w:tc>
          <w:tcPr>
            <w:tcW w:w="5245" w:type="dxa"/>
            <w:tcBorders>
              <w:bottom w:val="single" w:sz="4" w:space="0" w:color="auto"/>
            </w:tcBorders>
          </w:tcPr>
          <w:p w14:paraId="24E681DB" w14:textId="77777777" w:rsidR="00FC7E06" w:rsidRDefault="00FC7E06" w:rsidP="000A079A">
            <w:pPr>
              <w:pStyle w:val="Default"/>
              <w:spacing w:after="240"/>
              <w:rPr>
                <w:sz w:val="22"/>
                <w:szCs w:val="22"/>
              </w:rPr>
            </w:pPr>
            <w:r>
              <w:rPr>
                <w:sz w:val="22"/>
                <w:szCs w:val="22"/>
              </w:rPr>
              <w:t xml:space="preserve">Test: Men and postmenopausal women with ER+/HER2- locally advanced or metastatic breast cancer, who have disease progression following at least one line of endocrine therapy, including a CDK4/6 inhibitor </w:t>
            </w:r>
            <w:r>
              <w:rPr>
                <w:i/>
                <w:iCs/>
                <w:sz w:val="22"/>
                <w:szCs w:val="22"/>
              </w:rPr>
              <w:t xml:space="preserve">for ≥12 months </w:t>
            </w:r>
          </w:p>
          <w:p w14:paraId="3A107C56" w14:textId="77777777" w:rsidR="00FC7E06" w:rsidRDefault="00FC7E06" w:rsidP="000A079A">
            <w:pPr>
              <w:pStyle w:val="Default"/>
              <w:spacing w:after="240"/>
              <w:rPr>
                <w:sz w:val="22"/>
                <w:szCs w:val="22"/>
              </w:rPr>
            </w:pPr>
            <w:r>
              <w:rPr>
                <w:sz w:val="22"/>
                <w:szCs w:val="22"/>
              </w:rPr>
              <w:t xml:space="preserve">Drug: Men and postmenopausal women with ER+/HER2- locally advanced or metastatic breast cancer with an activating ESR1 mutation, who have disease progression following at least one line of endocrine therapy including a CDK 4/6 inhibitor </w:t>
            </w:r>
            <w:r>
              <w:rPr>
                <w:i/>
                <w:iCs/>
                <w:sz w:val="22"/>
                <w:szCs w:val="22"/>
              </w:rPr>
              <w:t xml:space="preserve">for ≥12 months </w:t>
            </w:r>
          </w:p>
          <w:p w14:paraId="3907F9C2" w14:textId="09545A91" w:rsidR="00A45B2B" w:rsidRPr="00142F7C" w:rsidRDefault="00FC7E06" w:rsidP="00FC7E06">
            <w:pPr>
              <w:spacing w:before="60" w:after="60"/>
            </w:pPr>
            <w:r>
              <w:t xml:space="preserve">The revised population is within the confirmed PICO population. </w:t>
            </w:r>
          </w:p>
        </w:tc>
      </w:tr>
      <w:tr w:rsidR="00BB4E6D" w:rsidRPr="00FB758B" w14:paraId="7CE4D751" w14:textId="77777777" w:rsidTr="00A3679A">
        <w:tc>
          <w:tcPr>
            <w:tcW w:w="4252" w:type="dxa"/>
          </w:tcPr>
          <w:p w14:paraId="6A21D624" w14:textId="01E87B36" w:rsidR="005A48B8" w:rsidRPr="00817BDB" w:rsidRDefault="00290BF5" w:rsidP="008A06F9">
            <w:pPr>
              <w:spacing w:before="60" w:after="60"/>
              <w:rPr>
                <w:b/>
                <w:bCs/>
                <w:caps/>
              </w:rPr>
            </w:pPr>
            <w:r w:rsidRPr="00817BDB">
              <w:rPr>
                <w:b/>
                <w:bCs/>
                <w:caps/>
              </w:rPr>
              <w:t>Comparator</w:t>
            </w:r>
          </w:p>
        </w:tc>
        <w:tc>
          <w:tcPr>
            <w:tcW w:w="5245" w:type="dxa"/>
          </w:tcPr>
          <w:p w14:paraId="3FB241EB" w14:textId="77777777" w:rsidR="00FC7E06" w:rsidRDefault="00FC7E06" w:rsidP="00FC7E06">
            <w:pPr>
              <w:pStyle w:val="Default"/>
              <w:rPr>
                <w:sz w:val="22"/>
                <w:szCs w:val="22"/>
              </w:rPr>
            </w:pPr>
            <w:r>
              <w:rPr>
                <w:sz w:val="22"/>
                <w:szCs w:val="22"/>
              </w:rPr>
              <w:t xml:space="preserve">Test: No testing </w:t>
            </w:r>
          </w:p>
          <w:p w14:paraId="2F211F46" w14:textId="3AFA542B" w:rsidR="008A06F9" w:rsidRPr="00142F7C" w:rsidRDefault="00FC7E06" w:rsidP="00FC7E06">
            <w:pPr>
              <w:spacing w:before="60" w:after="60"/>
            </w:pPr>
            <w:r>
              <w:t xml:space="preserve">Drug: Standard of care, consisting of conventional ET (fulvestrant, anastrozole, letrozole, Exemestane). </w:t>
            </w:r>
          </w:p>
        </w:tc>
        <w:tc>
          <w:tcPr>
            <w:tcW w:w="5245" w:type="dxa"/>
          </w:tcPr>
          <w:p w14:paraId="665AA5FC" w14:textId="77777777" w:rsidR="00FC7E06" w:rsidRDefault="00FC7E06" w:rsidP="00FC7E06">
            <w:pPr>
              <w:pStyle w:val="Default"/>
              <w:rPr>
                <w:sz w:val="22"/>
                <w:szCs w:val="22"/>
              </w:rPr>
            </w:pPr>
            <w:r>
              <w:rPr>
                <w:sz w:val="22"/>
                <w:szCs w:val="22"/>
              </w:rPr>
              <w:t xml:space="preserve">Test: No change from initial submission </w:t>
            </w:r>
          </w:p>
          <w:p w14:paraId="24B989B6" w14:textId="742CDD36" w:rsidR="00BB4E6D" w:rsidRPr="00142F7C" w:rsidRDefault="00FC7E06" w:rsidP="00FC7E06">
            <w:pPr>
              <w:spacing w:before="60" w:after="60"/>
            </w:pPr>
            <w:r>
              <w:t xml:space="preserve">Drug: everolimus and exemestane (EVE+EXE) </w:t>
            </w:r>
          </w:p>
        </w:tc>
      </w:tr>
    </w:tbl>
    <w:p w14:paraId="58CF703D" w14:textId="77777777" w:rsidR="006E294C" w:rsidRDefault="006E294C" w:rsidP="00FC7E06">
      <w:pPr>
        <w:rPr>
          <w:rFonts w:cstheme="minorHAnsi"/>
          <w:b/>
          <w:bCs/>
        </w:rPr>
      </w:pPr>
    </w:p>
    <w:sectPr w:rsidR="006E294C" w:rsidSect="00FC7E06">
      <w:pgSz w:w="16838" w:h="11906" w:orient="landscape"/>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9673" w14:textId="77777777" w:rsidR="00BA6AA7" w:rsidRDefault="00BA6AA7" w:rsidP="00D508C3">
      <w:pPr>
        <w:spacing w:after="0" w:line="240" w:lineRule="auto"/>
      </w:pPr>
      <w:r>
        <w:separator/>
      </w:r>
    </w:p>
  </w:endnote>
  <w:endnote w:type="continuationSeparator" w:id="0">
    <w:p w14:paraId="589F0B34" w14:textId="77777777" w:rsidR="00BA6AA7" w:rsidRDefault="00BA6AA7" w:rsidP="00D508C3">
      <w:pPr>
        <w:spacing w:after="0" w:line="240" w:lineRule="auto"/>
      </w:pPr>
      <w:r>
        <w:continuationSeparator/>
      </w:r>
    </w:p>
  </w:endnote>
  <w:endnote w:type="continuationNotice" w:id="1">
    <w:p w14:paraId="38ACCB4F" w14:textId="77777777" w:rsidR="00BA6AA7" w:rsidRDefault="00BA6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886F" w14:textId="16FC6A6B" w:rsidR="00525BD1" w:rsidRDefault="00991446">
    <w:pPr>
      <w:pStyle w:val="Footer"/>
    </w:pPr>
    <w:r>
      <w:rPr>
        <w:noProof/>
      </w:rPr>
      <mc:AlternateContent>
        <mc:Choice Requires="wps">
          <w:drawing>
            <wp:anchor distT="0" distB="0" distL="0" distR="0" simplePos="0" relativeHeight="251676672" behindDoc="0" locked="0" layoutInCell="1" allowOverlap="1" wp14:anchorId="6C8B3BDF" wp14:editId="486DEF5E">
              <wp:simplePos x="635" y="635"/>
              <wp:positionH relativeFrom="page">
                <wp:align>center</wp:align>
              </wp:positionH>
              <wp:positionV relativeFrom="page">
                <wp:align>bottom</wp:align>
              </wp:positionV>
              <wp:extent cx="622300" cy="391160"/>
              <wp:effectExtent l="0" t="0" r="6350" b="0"/>
              <wp:wrapNone/>
              <wp:docPr id="19835077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6838F6F" w14:textId="60228484" w:rsidR="00991446" w:rsidRPr="00991446" w:rsidRDefault="00991446" w:rsidP="00991446">
                          <w:pPr>
                            <w:spacing w:after="0"/>
                            <w:rPr>
                              <w:rFonts w:ascii="Aptos" w:eastAsia="Aptos" w:hAnsi="Aptos" w:cs="Aptos"/>
                              <w:noProof/>
                              <w:color w:val="FF0000"/>
                              <w:sz w:val="24"/>
                              <w:szCs w:val="24"/>
                            </w:rPr>
                          </w:pPr>
                          <w:r w:rsidRPr="0099144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B3BDF"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66838F6F" w14:textId="60228484" w:rsidR="00991446" w:rsidRPr="00991446" w:rsidRDefault="00991446" w:rsidP="00991446">
                    <w:pPr>
                      <w:spacing w:after="0"/>
                      <w:rPr>
                        <w:rFonts w:ascii="Aptos" w:eastAsia="Aptos" w:hAnsi="Aptos" w:cs="Aptos"/>
                        <w:noProof/>
                        <w:color w:val="FF0000"/>
                        <w:sz w:val="24"/>
                        <w:szCs w:val="24"/>
                      </w:rPr>
                    </w:pPr>
                    <w:r w:rsidRPr="0099144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BC43" w14:textId="4C89B1F6" w:rsidR="008E676A" w:rsidRDefault="00991446">
    <w:pPr>
      <w:pStyle w:val="Footer"/>
      <w:jc w:val="right"/>
    </w:pPr>
    <w:r>
      <w:rPr>
        <w:noProof/>
      </w:rPr>
      <mc:AlternateContent>
        <mc:Choice Requires="wps">
          <w:drawing>
            <wp:anchor distT="0" distB="0" distL="0" distR="0" simplePos="0" relativeHeight="251677696" behindDoc="0" locked="0" layoutInCell="1" allowOverlap="1" wp14:anchorId="597D0375" wp14:editId="5A8C5619">
              <wp:simplePos x="542925" y="10172700"/>
              <wp:positionH relativeFrom="page">
                <wp:align>center</wp:align>
              </wp:positionH>
              <wp:positionV relativeFrom="page">
                <wp:align>bottom</wp:align>
              </wp:positionV>
              <wp:extent cx="622300" cy="391160"/>
              <wp:effectExtent l="0" t="0" r="6350" b="0"/>
              <wp:wrapNone/>
              <wp:docPr id="13908600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2E2D895" w14:textId="2C022158" w:rsidR="00991446" w:rsidRPr="00991446" w:rsidRDefault="00991446" w:rsidP="00991446">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D0375"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0.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2E2D895" w14:textId="2C022158" w:rsidR="00991446" w:rsidRPr="00991446" w:rsidRDefault="00991446" w:rsidP="00991446">
                    <w:pPr>
                      <w:spacing w:after="0"/>
                      <w:rPr>
                        <w:rFonts w:ascii="Aptos" w:eastAsia="Aptos" w:hAnsi="Aptos" w:cs="Aptos"/>
                        <w:noProof/>
                        <w:color w:val="FF0000"/>
                        <w:sz w:val="24"/>
                        <w:szCs w:val="24"/>
                      </w:rPr>
                    </w:pPr>
                  </w:p>
                </w:txbxContent>
              </v:textbox>
              <w10:wrap anchorx="page" anchory="page"/>
            </v:shape>
          </w:pict>
        </mc:Fallback>
      </mc:AlternateContent>
    </w:r>
    <w:sdt>
      <w:sdtPr>
        <w:id w:val="-1918543787"/>
        <w:docPartObj>
          <w:docPartGallery w:val="Page Numbers (Bottom of Page)"/>
          <w:docPartUnique/>
        </w:docPartObj>
      </w:sdtPr>
      <w:sdtEndPr>
        <w:rPr>
          <w:noProof/>
        </w:rPr>
      </w:sdtEndPr>
      <w:sdtContent>
        <w:r w:rsidR="008E676A">
          <w:fldChar w:fldCharType="begin"/>
        </w:r>
        <w:r w:rsidR="008E676A">
          <w:instrText xml:space="preserve"> PAGE   \* MERGEFORMAT </w:instrText>
        </w:r>
        <w:r w:rsidR="008E676A">
          <w:fldChar w:fldCharType="separate"/>
        </w:r>
        <w:r w:rsidR="008E676A">
          <w:rPr>
            <w:noProof/>
          </w:rPr>
          <w:t>2</w:t>
        </w:r>
        <w:r w:rsidR="008E676A">
          <w:rPr>
            <w:noProof/>
          </w:rPr>
          <w:fldChar w:fldCharType="end"/>
        </w:r>
      </w:sdtContent>
    </w:sdt>
  </w:p>
  <w:p w14:paraId="0CCC1918" w14:textId="77777777" w:rsidR="008B3EDB" w:rsidRDefault="008B3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F256" w14:textId="6FDFA519" w:rsidR="00525BD1" w:rsidRDefault="00991446">
    <w:pPr>
      <w:pStyle w:val="Footer"/>
    </w:pPr>
    <w:r>
      <w:rPr>
        <w:noProof/>
      </w:rPr>
      <mc:AlternateContent>
        <mc:Choice Requires="wps">
          <w:drawing>
            <wp:anchor distT="0" distB="0" distL="0" distR="0" simplePos="0" relativeHeight="251675648" behindDoc="0" locked="0" layoutInCell="1" allowOverlap="1" wp14:anchorId="71CDAC16" wp14:editId="71885892">
              <wp:simplePos x="635" y="635"/>
              <wp:positionH relativeFrom="page">
                <wp:align>center</wp:align>
              </wp:positionH>
              <wp:positionV relativeFrom="page">
                <wp:align>bottom</wp:align>
              </wp:positionV>
              <wp:extent cx="622300" cy="391160"/>
              <wp:effectExtent l="0" t="0" r="6350" b="0"/>
              <wp:wrapNone/>
              <wp:docPr id="2908162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F8C9142" w14:textId="2EAD7382" w:rsidR="00991446" w:rsidRPr="00991446" w:rsidRDefault="00991446" w:rsidP="00991446">
                          <w:pPr>
                            <w:spacing w:after="0"/>
                            <w:rPr>
                              <w:rFonts w:ascii="Aptos" w:eastAsia="Aptos" w:hAnsi="Aptos" w:cs="Aptos"/>
                              <w:noProof/>
                              <w:color w:val="FF0000"/>
                              <w:sz w:val="24"/>
                              <w:szCs w:val="24"/>
                            </w:rPr>
                          </w:pPr>
                          <w:r w:rsidRPr="0099144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DAC16"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5F8C9142" w14:textId="2EAD7382" w:rsidR="00991446" w:rsidRPr="00991446" w:rsidRDefault="00991446" w:rsidP="00991446">
                    <w:pPr>
                      <w:spacing w:after="0"/>
                      <w:rPr>
                        <w:rFonts w:ascii="Aptos" w:eastAsia="Aptos" w:hAnsi="Aptos" w:cs="Aptos"/>
                        <w:noProof/>
                        <w:color w:val="FF0000"/>
                        <w:sz w:val="24"/>
                        <w:szCs w:val="24"/>
                      </w:rPr>
                    </w:pPr>
                    <w:r w:rsidRPr="0099144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125F" w14:textId="77777777" w:rsidR="00BA6AA7" w:rsidRDefault="00BA6AA7" w:rsidP="00D508C3">
      <w:pPr>
        <w:spacing w:after="0" w:line="240" w:lineRule="auto"/>
      </w:pPr>
      <w:r>
        <w:separator/>
      </w:r>
    </w:p>
  </w:footnote>
  <w:footnote w:type="continuationSeparator" w:id="0">
    <w:p w14:paraId="51F302A7" w14:textId="77777777" w:rsidR="00BA6AA7" w:rsidRDefault="00BA6AA7" w:rsidP="00D508C3">
      <w:pPr>
        <w:spacing w:after="0" w:line="240" w:lineRule="auto"/>
      </w:pPr>
      <w:r>
        <w:continuationSeparator/>
      </w:r>
    </w:p>
  </w:footnote>
  <w:footnote w:type="continuationNotice" w:id="1">
    <w:p w14:paraId="595191E4" w14:textId="77777777" w:rsidR="00BA6AA7" w:rsidRDefault="00BA6AA7">
      <w:pPr>
        <w:spacing w:after="0" w:line="240" w:lineRule="auto"/>
      </w:pPr>
    </w:p>
  </w:footnote>
  <w:footnote w:id="2">
    <w:p w14:paraId="7FC12A54" w14:textId="0A9A9B49" w:rsidR="003474A6" w:rsidRDefault="003474A6">
      <w:pPr>
        <w:pStyle w:val="FootnoteText"/>
      </w:pPr>
      <w:r>
        <w:rPr>
          <w:rStyle w:val="FootnoteReference"/>
        </w:rPr>
        <w:footnoteRef/>
      </w:r>
      <w:r>
        <w:t xml:space="preserve"> </w:t>
      </w:r>
      <w:r w:rsidR="00EB2B7B">
        <w:t>The in principle Statement of Clinical Relevance demonstrates ‘in principle’ support for the proposed service. This must be from the most relevant professional medical/health group (i.e.</w:t>
      </w:r>
      <w:r w:rsidR="00AF2ADD">
        <w:t xml:space="preserve">, an official college or society) that represents practitioners who would </w:t>
      </w:r>
      <w:r w:rsidR="00AF2ADD" w:rsidRPr="00AF2ADD">
        <w:rPr>
          <w:b/>
          <w:bCs/>
        </w:rPr>
        <w:t>perform</w:t>
      </w:r>
      <w:r w:rsidR="00AF2ADD">
        <w:t xml:space="preserve"> the proposed services, and (in the case of investigative technologies only) practitioners who would </w:t>
      </w:r>
      <w:r w:rsidR="00AF2ADD" w:rsidRPr="00AF2ADD">
        <w:rPr>
          <w:b/>
          <w:bCs/>
        </w:rPr>
        <w:t>request</w:t>
      </w:r>
      <w:r w:rsidR="00AF2ADD">
        <w:t xml:space="preserve"> the proposed service.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9E2A" w14:textId="6029C9F4" w:rsidR="00525BD1" w:rsidRDefault="00991446">
    <w:pPr>
      <w:pStyle w:val="Header"/>
    </w:pPr>
    <w:r>
      <w:rPr>
        <w:noProof/>
      </w:rPr>
      <mc:AlternateContent>
        <mc:Choice Requires="wps">
          <w:drawing>
            <wp:anchor distT="0" distB="0" distL="0" distR="0" simplePos="0" relativeHeight="251673600" behindDoc="0" locked="0" layoutInCell="1" allowOverlap="1" wp14:anchorId="3E357A6B" wp14:editId="7390D308">
              <wp:simplePos x="635" y="635"/>
              <wp:positionH relativeFrom="page">
                <wp:align>center</wp:align>
              </wp:positionH>
              <wp:positionV relativeFrom="page">
                <wp:align>top</wp:align>
              </wp:positionV>
              <wp:extent cx="622300" cy="391160"/>
              <wp:effectExtent l="0" t="0" r="6350" b="8890"/>
              <wp:wrapNone/>
              <wp:docPr id="11557928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904477D" w14:textId="54373E9B" w:rsidR="00991446" w:rsidRPr="00991446" w:rsidRDefault="00991446" w:rsidP="00991446">
                          <w:pPr>
                            <w:spacing w:after="0"/>
                            <w:rPr>
                              <w:rFonts w:ascii="Aptos" w:eastAsia="Aptos" w:hAnsi="Aptos" w:cs="Aptos"/>
                              <w:noProof/>
                              <w:color w:val="FF0000"/>
                              <w:sz w:val="24"/>
                              <w:szCs w:val="24"/>
                            </w:rPr>
                          </w:pPr>
                          <w:r w:rsidRPr="0099144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57A6B"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904477D" w14:textId="54373E9B" w:rsidR="00991446" w:rsidRPr="00991446" w:rsidRDefault="00991446" w:rsidP="00991446">
                    <w:pPr>
                      <w:spacing w:after="0"/>
                      <w:rPr>
                        <w:rFonts w:ascii="Aptos" w:eastAsia="Aptos" w:hAnsi="Aptos" w:cs="Aptos"/>
                        <w:noProof/>
                        <w:color w:val="FF0000"/>
                        <w:sz w:val="24"/>
                        <w:szCs w:val="24"/>
                      </w:rPr>
                    </w:pPr>
                    <w:r w:rsidRPr="0099144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2EBC" w14:textId="200618D2" w:rsidR="008B3EDB" w:rsidRDefault="00991446">
    <w:pPr>
      <w:pStyle w:val="Header"/>
    </w:pPr>
    <w:r>
      <w:rPr>
        <w:noProof/>
      </w:rPr>
      <mc:AlternateContent>
        <mc:Choice Requires="wps">
          <w:drawing>
            <wp:anchor distT="0" distB="0" distL="0" distR="0" simplePos="0" relativeHeight="251674624" behindDoc="0" locked="0" layoutInCell="1" allowOverlap="1" wp14:anchorId="24F2F560" wp14:editId="1B249F1A">
              <wp:simplePos x="542925" y="447675"/>
              <wp:positionH relativeFrom="page">
                <wp:align>center</wp:align>
              </wp:positionH>
              <wp:positionV relativeFrom="page">
                <wp:align>top</wp:align>
              </wp:positionV>
              <wp:extent cx="622300" cy="391160"/>
              <wp:effectExtent l="0" t="0" r="6350" b="8890"/>
              <wp:wrapNone/>
              <wp:docPr id="14235610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8904A12" w14:textId="1152AEA1" w:rsidR="00991446" w:rsidRPr="00991446" w:rsidRDefault="00991446" w:rsidP="00991446">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2F560"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28904A12" w14:textId="1152AEA1" w:rsidR="00991446" w:rsidRPr="00991446" w:rsidRDefault="00991446" w:rsidP="00991446">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0DB6" w14:textId="5DFE7EEC" w:rsidR="00525BD1" w:rsidRDefault="00991446">
    <w:pPr>
      <w:pStyle w:val="Header"/>
    </w:pPr>
    <w:r>
      <w:rPr>
        <w:noProof/>
      </w:rPr>
      <mc:AlternateContent>
        <mc:Choice Requires="wps">
          <w:drawing>
            <wp:anchor distT="0" distB="0" distL="0" distR="0" simplePos="0" relativeHeight="251672576" behindDoc="0" locked="0" layoutInCell="1" allowOverlap="1" wp14:anchorId="0757FA5B" wp14:editId="4B4A1503">
              <wp:simplePos x="635" y="635"/>
              <wp:positionH relativeFrom="page">
                <wp:align>center</wp:align>
              </wp:positionH>
              <wp:positionV relativeFrom="page">
                <wp:align>top</wp:align>
              </wp:positionV>
              <wp:extent cx="622300" cy="391160"/>
              <wp:effectExtent l="0" t="0" r="6350" b="8890"/>
              <wp:wrapNone/>
              <wp:docPr id="4730834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9F962FF" w14:textId="0F578EC1" w:rsidR="00991446" w:rsidRPr="00991446" w:rsidRDefault="00991446" w:rsidP="00991446">
                          <w:pPr>
                            <w:spacing w:after="0"/>
                            <w:rPr>
                              <w:rFonts w:ascii="Aptos" w:eastAsia="Aptos" w:hAnsi="Aptos" w:cs="Aptos"/>
                              <w:noProof/>
                              <w:color w:val="FF0000"/>
                              <w:sz w:val="24"/>
                              <w:szCs w:val="24"/>
                            </w:rPr>
                          </w:pPr>
                          <w:r w:rsidRPr="0099144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7FA5B"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19F962FF" w14:textId="0F578EC1" w:rsidR="00991446" w:rsidRPr="00991446" w:rsidRDefault="00991446" w:rsidP="00991446">
                    <w:pPr>
                      <w:spacing w:after="0"/>
                      <w:rPr>
                        <w:rFonts w:ascii="Aptos" w:eastAsia="Aptos" w:hAnsi="Aptos" w:cs="Aptos"/>
                        <w:noProof/>
                        <w:color w:val="FF0000"/>
                        <w:sz w:val="24"/>
                        <w:szCs w:val="24"/>
                      </w:rPr>
                    </w:pPr>
                    <w:r w:rsidRPr="0099144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3AD"/>
    <w:multiLevelType w:val="hybridMultilevel"/>
    <w:tmpl w:val="A8EC1574"/>
    <w:lvl w:ilvl="0" w:tplc="0C09000B">
      <w:start w:val="1"/>
      <w:numFmt w:val="bullet"/>
      <w:lvlText w:val=""/>
      <w:lvlJc w:val="left"/>
      <w:pPr>
        <w:ind w:left="6" w:hanging="360"/>
      </w:pPr>
      <w:rPr>
        <w:rFonts w:ascii="Wingdings" w:hAnsi="Wingdings"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 w15:restartNumberingAfterBreak="0">
    <w:nsid w:val="032D77D6"/>
    <w:multiLevelType w:val="hybridMultilevel"/>
    <w:tmpl w:val="36BE6016"/>
    <w:lvl w:ilvl="0" w:tplc="481A7122">
      <w:start w:val="2"/>
      <w:numFmt w:val="decimal"/>
      <w:lvlText w:val="%1."/>
      <w:lvlJc w:val="left"/>
      <w:pPr>
        <w:ind w:left="720" w:hanging="360"/>
      </w:pPr>
      <w:rPr>
        <w:rFonts w:hint="default"/>
      </w:rPr>
    </w:lvl>
    <w:lvl w:ilvl="1" w:tplc="0C090019" w:tentative="1">
      <w:start w:val="1"/>
      <w:numFmt w:val="lowerLetter"/>
      <w:lvlText w:val="%2."/>
      <w:lvlJc w:val="left"/>
      <w:pPr>
        <w:ind w:left="1090" w:hanging="360"/>
      </w:pPr>
    </w:lvl>
    <w:lvl w:ilvl="2" w:tplc="0C09001B" w:tentative="1">
      <w:start w:val="1"/>
      <w:numFmt w:val="lowerRoman"/>
      <w:lvlText w:val="%3."/>
      <w:lvlJc w:val="right"/>
      <w:pPr>
        <w:ind w:left="1810" w:hanging="180"/>
      </w:pPr>
    </w:lvl>
    <w:lvl w:ilvl="3" w:tplc="0C09000F" w:tentative="1">
      <w:start w:val="1"/>
      <w:numFmt w:val="decimal"/>
      <w:lvlText w:val="%4."/>
      <w:lvlJc w:val="left"/>
      <w:pPr>
        <w:ind w:left="2530" w:hanging="360"/>
      </w:pPr>
    </w:lvl>
    <w:lvl w:ilvl="4" w:tplc="0C090019" w:tentative="1">
      <w:start w:val="1"/>
      <w:numFmt w:val="lowerLetter"/>
      <w:lvlText w:val="%5."/>
      <w:lvlJc w:val="left"/>
      <w:pPr>
        <w:ind w:left="3250" w:hanging="360"/>
      </w:pPr>
    </w:lvl>
    <w:lvl w:ilvl="5" w:tplc="0C09001B" w:tentative="1">
      <w:start w:val="1"/>
      <w:numFmt w:val="lowerRoman"/>
      <w:lvlText w:val="%6."/>
      <w:lvlJc w:val="right"/>
      <w:pPr>
        <w:ind w:left="3970" w:hanging="180"/>
      </w:pPr>
    </w:lvl>
    <w:lvl w:ilvl="6" w:tplc="0C09000F" w:tentative="1">
      <w:start w:val="1"/>
      <w:numFmt w:val="decimal"/>
      <w:lvlText w:val="%7."/>
      <w:lvlJc w:val="left"/>
      <w:pPr>
        <w:ind w:left="4690" w:hanging="360"/>
      </w:pPr>
    </w:lvl>
    <w:lvl w:ilvl="7" w:tplc="0C090019" w:tentative="1">
      <w:start w:val="1"/>
      <w:numFmt w:val="lowerLetter"/>
      <w:lvlText w:val="%8."/>
      <w:lvlJc w:val="left"/>
      <w:pPr>
        <w:ind w:left="5410" w:hanging="360"/>
      </w:pPr>
    </w:lvl>
    <w:lvl w:ilvl="8" w:tplc="0C09001B" w:tentative="1">
      <w:start w:val="1"/>
      <w:numFmt w:val="lowerRoman"/>
      <w:lvlText w:val="%9."/>
      <w:lvlJc w:val="right"/>
      <w:pPr>
        <w:ind w:left="6130" w:hanging="180"/>
      </w:pPr>
    </w:lvl>
  </w:abstractNum>
  <w:abstractNum w:abstractNumId="2" w15:restartNumberingAfterBreak="0">
    <w:nsid w:val="04C813DA"/>
    <w:multiLevelType w:val="hybridMultilevel"/>
    <w:tmpl w:val="8794E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F23CC"/>
    <w:multiLevelType w:val="hybridMultilevel"/>
    <w:tmpl w:val="FCE0E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1F7026"/>
    <w:multiLevelType w:val="multilevel"/>
    <w:tmpl w:val="31422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167D3"/>
    <w:multiLevelType w:val="multilevel"/>
    <w:tmpl w:val="05D28400"/>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4213E9"/>
    <w:multiLevelType w:val="hybridMultilevel"/>
    <w:tmpl w:val="1AC65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9E42B7"/>
    <w:multiLevelType w:val="hybridMultilevel"/>
    <w:tmpl w:val="3A1A6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101D60"/>
    <w:multiLevelType w:val="hybridMultilevel"/>
    <w:tmpl w:val="0CA46E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6274FD"/>
    <w:multiLevelType w:val="hybridMultilevel"/>
    <w:tmpl w:val="BFDE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6F4D45"/>
    <w:multiLevelType w:val="hybridMultilevel"/>
    <w:tmpl w:val="E946A444"/>
    <w:lvl w:ilvl="0" w:tplc="748EFDD0">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DB2C79"/>
    <w:multiLevelType w:val="hybridMultilevel"/>
    <w:tmpl w:val="B15CAA6C"/>
    <w:lvl w:ilvl="0" w:tplc="0C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B327C3E"/>
    <w:multiLevelType w:val="hybridMultilevel"/>
    <w:tmpl w:val="63F406F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D110CD"/>
    <w:multiLevelType w:val="hybridMultilevel"/>
    <w:tmpl w:val="7FF20724"/>
    <w:lvl w:ilvl="0" w:tplc="0C090015">
      <w:start w:val="1"/>
      <w:numFmt w:val="upp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15:restartNumberingAfterBreak="0">
    <w:nsid w:val="20BA49BF"/>
    <w:multiLevelType w:val="hybridMultilevel"/>
    <w:tmpl w:val="085CEFF4"/>
    <w:lvl w:ilvl="0" w:tplc="C4D81D66">
      <w:start w:val="2"/>
      <w:numFmt w:val="lowerLetter"/>
      <w:lvlText w:val="%1."/>
      <w:lvlJc w:val="left"/>
      <w:pPr>
        <w:ind w:left="360" w:hanging="360"/>
      </w:pPr>
      <w:rPr>
        <w:rFonts w:hint="default"/>
      </w:rPr>
    </w:lvl>
    <w:lvl w:ilvl="1" w:tplc="0C09001B">
      <w:start w:val="1"/>
      <w:numFmt w:val="lowerRoman"/>
      <w:lvlText w:val="%2."/>
      <w:lvlJc w:val="right"/>
      <w:pPr>
        <w:ind w:left="773" w:hanging="360"/>
      </w:pPr>
    </w:lvl>
    <w:lvl w:ilvl="2" w:tplc="0C090005">
      <w:start w:val="1"/>
      <w:numFmt w:val="bullet"/>
      <w:lvlText w:val=""/>
      <w:lvlJc w:val="left"/>
      <w:pPr>
        <w:ind w:left="1070" w:hanging="360"/>
      </w:pPr>
      <w:rPr>
        <w:rFonts w:ascii="Wingdings" w:hAnsi="Wingding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3691D28"/>
    <w:multiLevelType w:val="hybridMultilevel"/>
    <w:tmpl w:val="E5360358"/>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432C7"/>
    <w:multiLevelType w:val="hybridMultilevel"/>
    <w:tmpl w:val="6E706172"/>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7" w15:restartNumberingAfterBreak="0">
    <w:nsid w:val="24434ADD"/>
    <w:multiLevelType w:val="hybridMultilevel"/>
    <w:tmpl w:val="65561BBE"/>
    <w:lvl w:ilvl="0" w:tplc="9DB4A286">
      <w:start w:val="1"/>
      <w:numFmt w:val="bullet"/>
      <w:lvlText w:val=""/>
      <w:lvlJc w:val="left"/>
      <w:pPr>
        <w:ind w:left="1080" w:hanging="360"/>
      </w:pPr>
      <w:rPr>
        <w:rFonts w:ascii="Symbol" w:hAnsi="Symbol"/>
      </w:rPr>
    </w:lvl>
    <w:lvl w:ilvl="1" w:tplc="98324706">
      <w:start w:val="1"/>
      <w:numFmt w:val="bullet"/>
      <w:lvlText w:val=""/>
      <w:lvlJc w:val="left"/>
      <w:pPr>
        <w:ind w:left="1080" w:hanging="360"/>
      </w:pPr>
      <w:rPr>
        <w:rFonts w:ascii="Symbol" w:hAnsi="Symbol"/>
      </w:rPr>
    </w:lvl>
    <w:lvl w:ilvl="2" w:tplc="2F94880A">
      <w:start w:val="1"/>
      <w:numFmt w:val="bullet"/>
      <w:lvlText w:val=""/>
      <w:lvlJc w:val="left"/>
      <w:pPr>
        <w:ind w:left="1080" w:hanging="360"/>
      </w:pPr>
      <w:rPr>
        <w:rFonts w:ascii="Symbol" w:hAnsi="Symbol"/>
      </w:rPr>
    </w:lvl>
    <w:lvl w:ilvl="3" w:tplc="73561F98">
      <w:start w:val="1"/>
      <w:numFmt w:val="bullet"/>
      <w:lvlText w:val=""/>
      <w:lvlJc w:val="left"/>
      <w:pPr>
        <w:ind w:left="1080" w:hanging="360"/>
      </w:pPr>
      <w:rPr>
        <w:rFonts w:ascii="Symbol" w:hAnsi="Symbol"/>
      </w:rPr>
    </w:lvl>
    <w:lvl w:ilvl="4" w:tplc="638EB112">
      <w:start w:val="1"/>
      <w:numFmt w:val="bullet"/>
      <w:lvlText w:val=""/>
      <w:lvlJc w:val="left"/>
      <w:pPr>
        <w:ind w:left="1080" w:hanging="360"/>
      </w:pPr>
      <w:rPr>
        <w:rFonts w:ascii="Symbol" w:hAnsi="Symbol"/>
      </w:rPr>
    </w:lvl>
    <w:lvl w:ilvl="5" w:tplc="70606B66">
      <w:start w:val="1"/>
      <w:numFmt w:val="bullet"/>
      <w:lvlText w:val=""/>
      <w:lvlJc w:val="left"/>
      <w:pPr>
        <w:ind w:left="1080" w:hanging="360"/>
      </w:pPr>
      <w:rPr>
        <w:rFonts w:ascii="Symbol" w:hAnsi="Symbol"/>
      </w:rPr>
    </w:lvl>
    <w:lvl w:ilvl="6" w:tplc="C250335E">
      <w:start w:val="1"/>
      <w:numFmt w:val="bullet"/>
      <w:lvlText w:val=""/>
      <w:lvlJc w:val="left"/>
      <w:pPr>
        <w:ind w:left="1080" w:hanging="360"/>
      </w:pPr>
      <w:rPr>
        <w:rFonts w:ascii="Symbol" w:hAnsi="Symbol"/>
      </w:rPr>
    </w:lvl>
    <w:lvl w:ilvl="7" w:tplc="000C1BFA">
      <w:start w:val="1"/>
      <w:numFmt w:val="bullet"/>
      <w:lvlText w:val=""/>
      <w:lvlJc w:val="left"/>
      <w:pPr>
        <w:ind w:left="1080" w:hanging="360"/>
      </w:pPr>
      <w:rPr>
        <w:rFonts w:ascii="Symbol" w:hAnsi="Symbol"/>
      </w:rPr>
    </w:lvl>
    <w:lvl w:ilvl="8" w:tplc="89DC3234">
      <w:start w:val="1"/>
      <w:numFmt w:val="bullet"/>
      <w:lvlText w:val=""/>
      <w:lvlJc w:val="left"/>
      <w:pPr>
        <w:ind w:left="1080" w:hanging="360"/>
      </w:pPr>
      <w:rPr>
        <w:rFonts w:ascii="Symbol" w:hAnsi="Symbol"/>
      </w:rPr>
    </w:lvl>
  </w:abstractNum>
  <w:abstractNum w:abstractNumId="18" w15:restartNumberingAfterBreak="0">
    <w:nsid w:val="28BD174B"/>
    <w:multiLevelType w:val="hybridMultilevel"/>
    <w:tmpl w:val="11EE1D7E"/>
    <w:lvl w:ilvl="0" w:tplc="FAA8A3C6">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B8B1C57"/>
    <w:multiLevelType w:val="multilevel"/>
    <w:tmpl w:val="BCAA4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B7467E"/>
    <w:multiLevelType w:val="hybridMultilevel"/>
    <w:tmpl w:val="93E2DC40"/>
    <w:lvl w:ilvl="0" w:tplc="FFFFFFFF">
      <w:start w:val="1"/>
      <w:numFmt w:val="decimal"/>
      <w:lvlText w:val="%1."/>
      <w:lvlJc w:val="left"/>
      <w:pPr>
        <w:ind w:left="360" w:hanging="360"/>
      </w:pPr>
    </w:lvl>
    <w:lvl w:ilvl="1" w:tplc="FFFFFFFF">
      <w:start w:val="1"/>
      <w:numFmt w:val="bullet"/>
      <w:lvlText w:val=""/>
      <w:lvlJc w:val="left"/>
      <w:pPr>
        <w:ind w:left="107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1386445"/>
    <w:multiLevelType w:val="hybridMultilevel"/>
    <w:tmpl w:val="DCB0F6D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16F338D"/>
    <w:multiLevelType w:val="hybridMultilevel"/>
    <w:tmpl w:val="AFFAB616"/>
    <w:lvl w:ilvl="0" w:tplc="FAA8A3C6">
      <w:start w:val="1"/>
      <w:numFmt w:val="decimal"/>
      <w:lvlText w:val="%1."/>
      <w:lvlJc w:val="left"/>
      <w:pPr>
        <w:ind w:left="36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9D07B7"/>
    <w:multiLevelType w:val="hybridMultilevel"/>
    <w:tmpl w:val="50D8E944"/>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7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22D12A4"/>
    <w:multiLevelType w:val="hybridMultilevel"/>
    <w:tmpl w:val="8F4617FC"/>
    <w:lvl w:ilvl="0" w:tplc="0C09001B">
      <w:start w:val="1"/>
      <w:numFmt w:val="lowerRoman"/>
      <w:lvlText w:val="%1."/>
      <w:lvlJc w:val="righ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25" w15:restartNumberingAfterBreak="0">
    <w:nsid w:val="34A428B8"/>
    <w:multiLevelType w:val="hybridMultilevel"/>
    <w:tmpl w:val="8FDC8E2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BEB5F6B"/>
    <w:multiLevelType w:val="hybridMultilevel"/>
    <w:tmpl w:val="D576BA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452239"/>
    <w:multiLevelType w:val="hybridMultilevel"/>
    <w:tmpl w:val="63F406FE"/>
    <w:lvl w:ilvl="0" w:tplc="FAA8A3C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F66E34"/>
    <w:multiLevelType w:val="hybridMultilevel"/>
    <w:tmpl w:val="3B92CF80"/>
    <w:lvl w:ilvl="0" w:tplc="63506D0E">
      <w:start w:val="7"/>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210047"/>
    <w:multiLevelType w:val="hybridMultilevel"/>
    <w:tmpl w:val="46800B1A"/>
    <w:lvl w:ilvl="0" w:tplc="FFFFFFFF">
      <w:start w:val="1"/>
      <w:numFmt w:val="bullet"/>
      <w:lvlText w:val=""/>
      <w:lvlJc w:val="left"/>
      <w:pPr>
        <w:ind w:left="720" w:hanging="360"/>
      </w:pPr>
      <w:rPr>
        <w:rFonts w:ascii="Symbol" w:hAnsi="Symbol" w:hint="default"/>
      </w:rPr>
    </w:lvl>
    <w:lvl w:ilvl="1" w:tplc="890AC45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551300"/>
    <w:multiLevelType w:val="hybridMultilevel"/>
    <w:tmpl w:val="0FC65C46"/>
    <w:lvl w:ilvl="0" w:tplc="FFFFFFFF">
      <w:start w:val="1"/>
      <w:numFmt w:val="lowerLetter"/>
      <w:lvlText w:val="%1)"/>
      <w:lvlJc w:val="left"/>
      <w:pPr>
        <w:ind w:left="3621" w:hanging="360"/>
      </w:pPr>
    </w:lvl>
    <w:lvl w:ilvl="1" w:tplc="FFFFFFFF">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1" w15:restartNumberingAfterBreak="0">
    <w:nsid w:val="57FD5C92"/>
    <w:multiLevelType w:val="hybridMultilevel"/>
    <w:tmpl w:val="3B488EA0"/>
    <w:lvl w:ilvl="0" w:tplc="FFFFFFFF">
      <w:start w:val="1"/>
      <w:numFmt w:val="bullet"/>
      <w:lvlText w:val=""/>
      <w:lvlJc w:val="left"/>
      <w:pPr>
        <w:ind w:left="360" w:hanging="360"/>
      </w:pPr>
      <w:rPr>
        <w:rFonts w:ascii="Symbol" w:hAnsi="Symbol" w:hint="default"/>
      </w:rPr>
    </w:lvl>
    <w:lvl w:ilvl="1" w:tplc="0C09000B">
      <w:start w:val="1"/>
      <w:numFmt w:val="bullet"/>
      <w:lvlText w:val=""/>
      <w:lvlJc w:val="left"/>
      <w:pPr>
        <w:ind w:left="107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DBC509D"/>
    <w:multiLevelType w:val="hybridMultilevel"/>
    <w:tmpl w:val="CACEF1FC"/>
    <w:lvl w:ilvl="0" w:tplc="5B9612BE">
      <w:start w:val="1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7B66A4"/>
    <w:multiLevelType w:val="hybridMultilevel"/>
    <w:tmpl w:val="4C62D56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00410D"/>
    <w:multiLevelType w:val="hybridMultilevel"/>
    <w:tmpl w:val="8990D46E"/>
    <w:lvl w:ilvl="0" w:tplc="72220E4E">
      <w:start w:val="16"/>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DA19B7"/>
    <w:multiLevelType w:val="hybridMultilevel"/>
    <w:tmpl w:val="6A4A14FA"/>
    <w:lvl w:ilvl="0" w:tplc="B98CCE42">
      <w:start w:val="14"/>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591BC3"/>
    <w:multiLevelType w:val="hybridMultilevel"/>
    <w:tmpl w:val="3A2C0648"/>
    <w:lvl w:ilvl="0" w:tplc="FFFFFFFF">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B712B6"/>
    <w:multiLevelType w:val="hybridMultilevel"/>
    <w:tmpl w:val="FA927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EA38E5"/>
    <w:multiLevelType w:val="hybridMultilevel"/>
    <w:tmpl w:val="2112FA48"/>
    <w:lvl w:ilvl="0" w:tplc="0C09000F">
      <w:start w:val="1"/>
      <w:numFmt w:val="decimal"/>
      <w:lvlText w:val="%1."/>
      <w:lvlJc w:val="left"/>
      <w:pPr>
        <w:ind w:left="360" w:hanging="360"/>
      </w:pPr>
      <w:rPr>
        <w:rFonts w:hint="default"/>
      </w:rPr>
    </w:lvl>
    <w:lvl w:ilvl="1" w:tplc="0C090003">
      <w:start w:val="1"/>
      <w:numFmt w:val="bullet"/>
      <w:lvlText w:val="o"/>
      <w:lvlJc w:val="left"/>
      <w:pPr>
        <w:ind w:left="1070" w:hanging="360"/>
      </w:pPr>
      <w:rPr>
        <w:rFonts w:ascii="Courier New" w:hAnsi="Courier New" w:cs="Courier New" w:hint="default"/>
      </w:rPr>
    </w:lvl>
    <w:lvl w:ilvl="2" w:tplc="1E3C62B4">
      <w:start w:val="1"/>
      <w:numFmt w:val="lowerLetter"/>
      <w:lvlText w:val="%3."/>
      <w:lvlJc w:val="left"/>
      <w:pPr>
        <w:ind w:left="1800" w:hanging="360"/>
      </w:pPr>
      <w:rPr>
        <w:rFonts w:hint="default"/>
        <w:color w:val="auto"/>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7F2050"/>
    <w:multiLevelType w:val="hybridMultilevel"/>
    <w:tmpl w:val="02E2F8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AF1D2B"/>
    <w:multiLevelType w:val="hybridMultilevel"/>
    <w:tmpl w:val="F0A6B71A"/>
    <w:lvl w:ilvl="0" w:tplc="FFFFFFFF">
      <w:start w:val="1"/>
      <w:numFmt w:val="decimal"/>
      <w:lvlText w:val="%1."/>
      <w:lvlJc w:val="left"/>
      <w:pPr>
        <w:ind w:left="360" w:hanging="360"/>
      </w:pPr>
    </w:lvl>
    <w:lvl w:ilvl="1" w:tplc="0C090001">
      <w:start w:val="1"/>
      <w:numFmt w:val="bullet"/>
      <w:lvlText w:val=""/>
      <w:lvlJc w:val="left"/>
      <w:pPr>
        <w:ind w:left="107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8E82A92"/>
    <w:multiLevelType w:val="hybridMultilevel"/>
    <w:tmpl w:val="C2C6B3D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AD932A6"/>
    <w:multiLevelType w:val="hybridMultilevel"/>
    <w:tmpl w:val="895614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BA6623"/>
    <w:multiLevelType w:val="hybridMultilevel"/>
    <w:tmpl w:val="0DB08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1546A1"/>
    <w:multiLevelType w:val="hybridMultilevel"/>
    <w:tmpl w:val="BB30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370783">
    <w:abstractNumId w:val="38"/>
  </w:num>
  <w:num w:numId="2" w16cid:durableId="346832883">
    <w:abstractNumId w:val="31"/>
  </w:num>
  <w:num w:numId="3" w16cid:durableId="908148140">
    <w:abstractNumId w:val="23"/>
  </w:num>
  <w:num w:numId="4" w16cid:durableId="561788898">
    <w:abstractNumId w:val="7"/>
  </w:num>
  <w:num w:numId="5" w16cid:durableId="833840725">
    <w:abstractNumId w:val="16"/>
  </w:num>
  <w:num w:numId="6" w16cid:durableId="1511872350">
    <w:abstractNumId w:val="21"/>
  </w:num>
  <w:num w:numId="7" w16cid:durableId="276254897">
    <w:abstractNumId w:val="40"/>
  </w:num>
  <w:num w:numId="8" w16cid:durableId="1656178518">
    <w:abstractNumId w:val="6"/>
  </w:num>
  <w:num w:numId="9" w16cid:durableId="39016051">
    <w:abstractNumId w:val="33"/>
  </w:num>
  <w:num w:numId="10" w16cid:durableId="1172067430">
    <w:abstractNumId w:val="0"/>
  </w:num>
  <w:num w:numId="11" w16cid:durableId="294608786">
    <w:abstractNumId w:val="8"/>
  </w:num>
  <w:num w:numId="12" w16cid:durableId="261190536">
    <w:abstractNumId w:val="20"/>
  </w:num>
  <w:num w:numId="13" w16cid:durableId="1170369913">
    <w:abstractNumId w:val="1"/>
  </w:num>
  <w:num w:numId="14" w16cid:durableId="1817066546">
    <w:abstractNumId w:val="9"/>
  </w:num>
  <w:num w:numId="15" w16cid:durableId="1711954093">
    <w:abstractNumId w:val="24"/>
  </w:num>
  <w:num w:numId="16" w16cid:durableId="638653645">
    <w:abstractNumId w:val="14"/>
  </w:num>
  <w:num w:numId="17" w16cid:durableId="1743673693">
    <w:abstractNumId w:val="42"/>
  </w:num>
  <w:num w:numId="18" w16cid:durableId="1812208746">
    <w:abstractNumId w:val="25"/>
  </w:num>
  <w:num w:numId="19" w16cid:durableId="443504653">
    <w:abstractNumId w:val="18"/>
  </w:num>
  <w:num w:numId="20" w16cid:durableId="745883545">
    <w:abstractNumId w:val="15"/>
  </w:num>
  <w:num w:numId="21" w16cid:durableId="806046622">
    <w:abstractNumId w:val="26"/>
  </w:num>
  <w:num w:numId="22" w16cid:durableId="1945991525">
    <w:abstractNumId w:val="37"/>
  </w:num>
  <w:num w:numId="23" w16cid:durableId="1438480238">
    <w:abstractNumId w:val="3"/>
  </w:num>
  <w:num w:numId="24" w16cid:durableId="621768853">
    <w:abstractNumId w:val="27"/>
  </w:num>
  <w:num w:numId="25" w16cid:durableId="794368188">
    <w:abstractNumId w:val="12"/>
  </w:num>
  <w:num w:numId="26" w16cid:durableId="1643078572">
    <w:abstractNumId w:val="19"/>
  </w:num>
  <w:num w:numId="27" w16cid:durableId="467863041">
    <w:abstractNumId w:val="4"/>
  </w:num>
  <w:num w:numId="28" w16cid:durableId="1715495915">
    <w:abstractNumId w:val="5"/>
  </w:num>
  <w:num w:numId="29" w16cid:durableId="680200219">
    <w:abstractNumId w:val="30"/>
  </w:num>
  <w:num w:numId="30" w16cid:durableId="373578779">
    <w:abstractNumId w:val="28"/>
  </w:num>
  <w:num w:numId="31" w16cid:durableId="611471991">
    <w:abstractNumId w:val="32"/>
  </w:num>
  <w:num w:numId="32" w16cid:durableId="471870872">
    <w:abstractNumId w:val="35"/>
  </w:num>
  <w:num w:numId="33" w16cid:durableId="319428674">
    <w:abstractNumId w:val="34"/>
  </w:num>
  <w:num w:numId="34" w16cid:durableId="1337807797">
    <w:abstractNumId w:val="43"/>
  </w:num>
  <w:num w:numId="35" w16cid:durableId="1267734873">
    <w:abstractNumId w:val="22"/>
  </w:num>
  <w:num w:numId="36" w16cid:durableId="1064639509">
    <w:abstractNumId w:val="36"/>
  </w:num>
  <w:num w:numId="37" w16cid:durableId="1480459109">
    <w:abstractNumId w:val="11"/>
  </w:num>
  <w:num w:numId="38" w16cid:durableId="678191690">
    <w:abstractNumId w:val="10"/>
  </w:num>
  <w:num w:numId="39" w16cid:durableId="146558667">
    <w:abstractNumId w:val="41"/>
  </w:num>
  <w:num w:numId="40" w16cid:durableId="887909590">
    <w:abstractNumId w:val="17"/>
  </w:num>
  <w:num w:numId="41" w16cid:durableId="736249165">
    <w:abstractNumId w:val="39"/>
  </w:num>
  <w:num w:numId="42" w16cid:durableId="532379552">
    <w:abstractNumId w:val="2"/>
  </w:num>
  <w:num w:numId="43" w16cid:durableId="139810457">
    <w:abstractNumId w:val="44"/>
  </w:num>
  <w:num w:numId="44" w16cid:durableId="1306623728">
    <w:abstractNumId w:val="29"/>
  </w:num>
  <w:num w:numId="45" w16cid:durableId="873494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2A"/>
    <w:rsid w:val="00000A57"/>
    <w:rsid w:val="00002E63"/>
    <w:rsid w:val="00002E95"/>
    <w:rsid w:val="00004F8F"/>
    <w:rsid w:val="00005104"/>
    <w:rsid w:val="0000566A"/>
    <w:rsid w:val="00005A91"/>
    <w:rsid w:val="00011060"/>
    <w:rsid w:val="00012345"/>
    <w:rsid w:val="0001360E"/>
    <w:rsid w:val="000136AB"/>
    <w:rsid w:val="00013C54"/>
    <w:rsid w:val="00014352"/>
    <w:rsid w:val="00014A3B"/>
    <w:rsid w:val="00015EA4"/>
    <w:rsid w:val="00016006"/>
    <w:rsid w:val="0001792C"/>
    <w:rsid w:val="00017B0D"/>
    <w:rsid w:val="00020044"/>
    <w:rsid w:val="00020B67"/>
    <w:rsid w:val="0002137F"/>
    <w:rsid w:val="000214D3"/>
    <w:rsid w:val="00022CAE"/>
    <w:rsid w:val="000318DE"/>
    <w:rsid w:val="00031956"/>
    <w:rsid w:val="00032A13"/>
    <w:rsid w:val="00032FB8"/>
    <w:rsid w:val="000336C8"/>
    <w:rsid w:val="0003378D"/>
    <w:rsid w:val="00037A01"/>
    <w:rsid w:val="000407E3"/>
    <w:rsid w:val="00051248"/>
    <w:rsid w:val="00051499"/>
    <w:rsid w:val="000546DF"/>
    <w:rsid w:val="00055C6B"/>
    <w:rsid w:val="00057E73"/>
    <w:rsid w:val="00060348"/>
    <w:rsid w:val="0006064B"/>
    <w:rsid w:val="000610DB"/>
    <w:rsid w:val="00061A26"/>
    <w:rsid w:val="00062587"/>
    <w:rsid w:val="00062982"/>
    <w:rsid w:val="00062C1F"/>
    <w:rsid w:val="000630A0"/>
    <w:rsid w:val="000632FE"/>
    <w:rsid w:val="00067007"/>
    <w:rsid w:val="00067440"/>
    <w:rsid w:val="00067B0F"/>
    <w:rsid w:val="00067F9C"/>
    <w:rsid w:val="000723A1"/>
    <w:rsid w:val="00074D49"/>
    <w:rsid w:val="00075DB1"/>
    <w:rsid w:val="000761AC"/>
    <w:rsid w:val="000800D7"/>
    <w:rsid w:val="00080ED7"/>
    <w:rsid w:val="00081C95"/>
    <w:rsid w:val="000827BB"/>
    <w:rsid w:val="0008388B"/>
    <w:rsid w:val="0008735F"/>
    <w:rsid w:val="00087CD8"/>
    <w:rsid w:val="00094973"/>
    <w:rsid w:val="0009784D"/>
    <w:rsid w:val="000A0733"/>
    <w:rsid w:val="000A079A"/>
    <w:rsid w:val="000A11E0"/>
    <w:rsid w:val="000A166A"/>
    <w:rsid w:val="000A296A"/>
    <w:rsid w:val="000A35B7"/>
    <w:rsid w:val="000A37F9"/>
    <w:rsid w:val="000A4B56"/>
    <w:rsid w:val="000A6EA4"/>
    <w:rsid w:val="000A7045"/>
    <w:rsid w:val="000A749D"/>
    <w:rsid w:val="000A7F4F"/>
    <w:rsid w:val="000B0915"/>
    <w:rsid w:val="000B2B29"/>
    <w:rsid w:val="000B3FF6"/>
    <w:rsid w:val="000B6701"/>
    <w:rsid w:val="000B78C0"/>
    <w:rsid w:val="000C151A"/>
    <w:rsid w:val="000C3E00"/>
    <w:rsid w:val="000C4325"/>
    <w:rsid w:val="000C60C0"/>
    <w:rsid w:val="000C7727"/>
    <w:rsid w:val="000D163D"/>
    <w:rsid w:val="000D2B30"/>
    <w:rsid w:val="000D4056"/>
    <w:rsid w:val="000D5808"/>
    <w:rsid w:val="000D59F7"/>
    <w:rsid w:val="000D5C0C"/>
    <w:rsid w:val="000D5C45"/>
    <w:rsid w:val="000D639D"/>
    <w:rsid w:val="000E124B"/>
    <w:rsid w:val="000E4171"/>
    <w:rsid w:val="000E5AD1"/>
    <w:rsid w:val="000F2F05"/>
    <w:rsid w:val="000F4AC6"/>
    <w:rsid w:val="00103DC6"/>
    <w:rsid w:val="00104DEA"/>
    <w:rsid w:val="0010526C"/>
    <w:rsid w:val="001052DC"/>
    <w:rsid w:val="00105C67"/>
    <w:rsid w:val="001065D4"/>
    <w:rsid w:val="00107232"/>
    <w:rsid w:val="00112088"/>
    <w:rsid w:val="001123E2"/>
    <w:rsid w:val="00113DFE"/>
    <w:rsid w:val="001145A1"/>
    <w:rsid w:val="0011587D"/>
    <w:rsid w:val="001173E5"/>
    <w:rsid w:val="00121A2A"/>
    <w:rsid w:val="00123632"/>
    <w:rsid w:val="0012639C"/>
    <w:rsid w:val="00126E3B"/>
    <w:rsid w:val="00126FC8"/>
    <w:rsid w:val="0013053A"/>
    <w:rsid w:val="00130B80"/>
    <w:rsid w:val="00132C19"/>
    <w:rsid w:val="00134235"/>
    <w:rsid w:val="00134ABF"/>
    <w:rsid w:val="00136C21"/>
    <w:rsid w:val="001374D0"/>
    <w:rsid w:val="00140B6A"/>
    <w:rsid w:val="00142E2D"/>
    <w:rsid w:val="00142F7C"/>
    <w:rsid w:val="00143392"/>
    <w:rsid w:val="00146674"/>
    <w:rsid w:val="00147FDC"/>
    <w:rsid w:val="00150F41"/>
    <w:rsid w:val="00152C6A"/>
    <w:rsid w:val="00153EDE"/>
    <w:rsid w:val="00154607"/>
    <w:rsid w:val="001554FF"/>
    <w:rsid w:val="00157D4D"/>
    <w:rsid w:val="00157E62"/>
    <w:rsid w:val="00157F3C"/>
    <w:rsid w:val="0016225D"/>
    <w:rsid w:val="00162B33"/>
    <w:rsid w:val="00166A02"/>
    <w:rsid w:val="00166B0A"/>
    <w:rsid w:val="00167B2A"/>
    <w:rsid w:val="00171009"/>
    <w:rsid w:val="001715AA"/>
    <w:rsid w:val="001717C0"/>
    <w:rsid w:val="00173164"/>
    <w:rsid w:val="001735F7"/>
    <w:rsid w:val="00176F1D"/>
    <w:rsid w:val="00177200"/>
    <w:rsid w:val="001808E3"/>
    <w:rsid w:val="001811FE"/>
    <w:rsid w:val="0018183E"/>
    <w:rsid w:val="00181870"/>
    <w:rsid w:val="00182AB8"/>
    <w:rsid w:val="001858F2"/>
    <w:rsid w:val="00187C0A"/>
    <w:rsid w:val="00187C19"/>
    <w:rsid w:val="0019036B"/>
    <w:rsid w:val="001930E6"/>
    <w:rsid w:val="0019573B"/>
    <w:rsid w:val="00196E74"/>
    <w:rsid w:val="001A274F"/>
    <w:rsid w:val="001A2C6E"/>
    <w:rsid w:val="001A3BF5"/>
    <w:rsid w:val="001A50AB"/>
    <w:rsid w:val="001A7198"/>
    <w:rsid w:val="001B0050"/>
    <w:rsid w:val="001B2D6E"/>
    <w:rsid w:val="001B3918"/>
    <w:rsid w:val="001B4144"/>
    <w:rsid w:val="001B4160"/>
    <w:rsid w:val="001B4BAF"/>
    <w:rsid w:val="001B6115"/>
    <w:rsid w:val="001B7492"/>
    <w:rsid w:val="001B7DE9"/>
    <w:rsid w:val="001C18ED"/>
    <w:rsid w:val="001C2F80"/>
    <w:rsid w:val="001C4532"/>
    <w:rsid w:val="001C5ABF"/>
    <w:rsid w:val="001C5D10"/>
    <w:rsid w:val="001C68E0"/>
    <w:rsid w:val="001C7644"/>
    <w:rsid w:val="001C7C89"/>
    <w:rsid w:val="001D0492"/>
    <w:rsid w:val="001D08CC"/>
    <w:rsid w:val="001D1044"/>
    <w:rsid w:val="001D56FA"/>
    <w:rsid w:val="001D7728"/>
    <w:rsid w:val="001E016B"/>
    <w:rsid w:val="001E1316"/>
    <w:rsid w:val="001E1571"/>
    <w:rsid w:val="001E5353"/>
    <w:rsid w:val="001E5815"/>
    <w:rsid w:val="001E58A3"/>
    <w:rsid w:val="001F103B"/>
    <w:rsid w:val="001F1A89"/>
    <w:rsid w:val="001F1CDA"/>
    <w:rsid w:val="001F3708"/>
    <w:rsid w:val="001F4BDF"/>
    <w:rsid w:val="001F71E6"/>
    <w:rsid w:val="001F7AB0"/>
    <w:rsid w:val="00200922"/>
    <w:rsid w:val="00202AF9"/>
    <w:rsid w:val="00205978"/>
    <w:rsid w:val="00206EDA"/>
    <w:rsid w:val="00207CC9"/>
    <w:rsid w:val="00210545"/>
    <w:rsid w:val="00211C19"/>
    <w:rsid w:val="00211F08"/>
    <w:rsid w:val="00211F7D"/>
    <w:rsid w:val="00212992"/>
    <w:rsid w:val="00213E77"/>
    <w:rsid w:val="002141C2"/>
    <w:rsid w:val="00214299"/>
    <w:rsid w:val="00214A22"/>
    <w:rsid w:val="00216E5E"/>
    <w:rsid w:val="002207D2"/>
    <w:rsid w:val="002226E3"/>
    <w:rsid w:val="00222935"/>
    <w:rsid w:val="002232E8"/>
    <w:rsid w:val="00223523"/>
    <w:rsid w:val="00223CB4"/>
    <w:rsid w:val="00225593"/>
    <w:rsid w:val="00226A50"/>
    <w:rsid w:val="00226A69"/>
    <w:rsid w:val="00226CEC"/>
    <w:rsid w:val="002271A3"/>
    <w:rsid w:val="00232D3A"/>
    <w:rsid w:val="002340BB"/>
    <w:rsid w:val="00234E78"/>
    <w:rsid w:val="002351A2"/>
    <w:rsid w:val="00240490"/>
    <w:rsid w:val="00241556"/>
    <w:rsid w:val="00243489"/>
    <w:rsid w:val="002440AF"/>
    <w:rsid w:val="002448E1"/>
    <w:rsid w:val="0024598A"/>
    <w:rsid w:val="00246241"/>
    <w:rsid w:val="00247F91"/>
    <w:rsid w:val="00251F2D"/>
    <w:rsid w:val="00252094"/>
    <w:rsid w:val="00252935"/>
    <w:rsid w:val="00254BEB"/>
    <w:rsid w:val="002604A6"/>
    <w:rsid w:val="00261884"/>
    <w:rsid w:val="002618E8"/>
    <w:rsid w:val="00261EC7"/>
    <w:rsid w:val="002625FF"/>
    <w:rsid w:val="002641D3"/>
    <w:rsid w:val="0026473D"/>
    <w:rsid w:val="00265243"/>
    <w:rsid w:val="002657E8"/>
    <w:rsid w:val="00267B34"/>
    <w:rsid w:val="00271200"/>
    <w:rsid w:val="002714FF"/>
    <w:rsid w:val="00271D2D"/>
    <w:rsid w:val="00272268"/>
    <w:rsid w:val="00273F26"/>
    <w:rsid w:val="002757DD"/>
    <w:rsid w:val="00275B62"/>
    <w:rsid w:val="00275B96"/>
    <w:rsid w:val="00275D24"/>
    <w:rsid w:val="00276C67"/>
    <w:rsid w:val="002775F8"/>
    <w:rsid w:val="002827CE"/>
    <w:rsid w:val="0028354D"/>
    <w:rsid w:val="00284CB0"/>
    <w:rsid w:val="0028655E"/>
    <w:rsid w:val="00290BF5"/>
    <w:rsid w:val="0029573A"/>
    <w:rsid w:val="00296C36"/>
    <w:rsid w:val="002A3923"/>
    <w:rsid w:val="002A3D5C"/>
    <w:rsid w:val="002A42D6"/>
    <w:rsid w:val="002A552C"/>
    <w:rsid w:val="002A6D95"/>
    <w:rsid w:val="002B0476"/>
    <w:rsid w:val="002B0526"/>
    <w:rsid w:val="002B0576"/>
    <w:rsid w:val="002B2759"/>
    <w:rsid w:val="002B2E25"/>
    <w:rsid w:val="002B2F11"/>
    <w:rsid w:val="002B3AC4"/>
    <w:rsid w:val="002B3D39"/>
    <w:rsid w:val="002B3F8D"/>
    <w:rsid w:val="002B44B6"/>
    <w:rsid w:val="002B6280"/>
    <w:rsid w:val="002B66ED"/>
    <w:rsid w:val="002B696D"/>
    <w:rsid w:val="002B6BD3"/>
    <w:rsid w:val="002B6D65"/>
    <w:rsid w:val="002B74C9"/>
    <w:rsid w:val="002C015E"/>
    <w:rsid w:val="002C07FE"/>
    <w:rsid w:val="002C12AE"/>
    <w:rsid w:val="002C176B"/>
    <w:rsid w:val="002C2298"/>
    <w:rsid w:val="002C527C"/>
    <w:rsid w:val="002C588C"/>
    <w:rsid w:val="002C5E90"/>
    <w:rsid w:val="002C6B50"/>
    <w:rsid w:val="002C703C"/>
    <w:rsid w:val="002D0862"/>
    <w:rsid w:val="002D3798"/>
    <w:rsid w:val="002D40BB"/>
    <w:rsid w:val="002D4B09"/>
    <w:rsid w:val="002D612D"/>
    <w:rsid w:val="002D770A"/>
    <w:rsid w:val="002E0323"/>
    <w:rsid w:val="002E07DB"/>
    <w:rsid w:val="002E26A1"/>
    <w:rsid w:val="002E67ED"/>
    <w:rsid w:val="002E697C"/>
    <w:rsid w:val="002F0C57"/>
    <w:rsid w:val="002F1BE3"/>
    <w:rsid w:val="002F6AB0"/>
    <w:rsid w:val="0030034A"/>
    <w:rsid w:val="00301B4D"/>
    <w:rsid w:val="00305905"/>
    <w:rsid w:val="003070DA"/>
    <w:rsid w:val="00312AAE"/>
    <w:rsid w:val="00312ACB"/>
    <w:rsid w:val="003131A9"/>
    <w:rsid w:val="00321AEF"/>
    <w:rsid w:val="003259AF"/>
    <w:rsid w:val="0032778D"/>
    <w:rsid w:val="003278B8"/>
    <w:rsid w:val="00327979"/>
    <w:rsid w:val="00334FD4"/>
    <w:rsid w:val="00336337"/>
    <w:rsid w:val="00336458"/>
    <w:rsid w:val="00336868"/>
    <w:rsid w:val="003368E0"/>
    <w:rsid w:val="00336BAE"/>
    <w:rsid w:val="0033770E"/>
    <w:rsid w:val="00340788"/>
    <w:rsid w:val="00340CA4"/>
    <w:rsid w:val="00340E0D"/>
    <w:rsid w:val="00341238"/>
    <w:rsid w:val="00344997"/>
    <w:rsid w:val="0034627F"/>
    <w:rsid w:val="003474A6"/>
    <w:rsid w:val="00350C92"/>
    <w:rsid w:val="003528CD"/>
    <w:rsid w:val="0035295C"/>
    <w:rsid w:val="003541AE"/>
    <w:rsid w:val="00354B27"/>
    <w:rsid w:val="003600F6"/>
    <w:rsid w:val="00360626"/>
    <w:rsid w:val="00363F21"/>
    <w:rsid w:val="003646CA"/>
    <w:rsid w:val="00364D39"/>
    <w:rsid w:val="003660C7"/>
    <w:rsid w:val="003666F9"/>
    <w:rsid w:val="00366A21"/>
    <w:rsid w:val="00366FDA"/>
    <w:rsid w:val="003670C4"/>
    <w:rsid w:val="0036772B"/>
    <w:rsid w:val="003678BC"/>
    <w:rsid w:val="00371EE8"/>
    <w:rsid w:val="00372C2E"/>
    <w:rsid w:val="003732AB"/>
    <w:rsid w:val="003737F4"/>
    <w:rsid w:val="0037412F"/>
    <w:rsid w:val="00380BA4"/>
    <w:rsid w:val="00382E75"/>
    <w:rsid w:val="00383732"/>
    <w:rsid w:val="00383CF6"/>
    <w:rsid w:val="003858E2"/>
    <w:rsid w:val="0038590D"/>
    <w:rsid w:val="003922BC"/>
    <w:rsid w:val="00392FE0"/>
    <w:rsid w:val="0039305E"/>
    <w:rsid w:val="0039377A"/>
    <w:rsid w:val="00396B45"/>
    <w:rsid w:val="00396C12"/>
    <w:rsid w:val="003A5431"/>
    <w:rsid w:val="003A622E"/>
    <w:rsid w:val="003A65C3"/>
    <w:rsid w:val="003A6880"/>
    <w:rsid w:val="003B20F3"/>
    <w:rsid w:val="003B44AF"/>
    <w:rsid w:val="003B5E5A"/>
    <w:rsid w:val="003B62A8"/>
    <w:rsid w:val="003B6A5E"/>
    <w:rsid w:val="003C07BE"/>
    <w:rsid w:val="003C2B7C"/>
    <w:rsid w:val="003C509B"/>
    <w:rsid w:val="003C6B63"/>
    <w:rsid w:val="003D0C0C"/>
    <w:rsid w:val="003D1A1F"/>
    <w:rsid w:val="003D354A"/>
    <w:rsid w:val="003D3FDC"/>
    <w:rsid w:val="003D42BB"/>
    <w:rsid w:val="003D5721"/>
    <w:rsid w:val="003D7894"/>
    <w:rsid w:val="003E16C2"/>
    <w:rsid w:val="003E16F1"/>
    <w:rsid w:val="003E31F2"/>
    <w:rsid w:val="003E3335"/>
    <w:rsid w:val="003E42D9"/>
    <w:rsid w:val="003E5F1D"/>
    <w:rsid w:val="003E6387"/>
    <w:rsid w:val="003E7555"/>
    <w:rsid w:val="003F37B2"/>
    <w:rsid w:val="003F54B2"/>
    <w:rsid w:val="003F7F52"/>
    <w:rsid w:val="00401616"/>
    <w:rsid w:val="00402BFC"/>
    <w:rsid w:val="004032B7"/>
    <w:rsid w:val="0040368E"/>
    <w:rsid w:val="0040375E"/>
    <w:rsid w:val="004052A1"/>
    <w:rsid w:val="00407912"/>
    <w:rsid w:val="00407FF9"/>
    <w:rsid w:val="00411AA6"/>
    <w:rsid w:val="00411BEF"/>
    <w:rsid w:val="004145FD"/>
    <w:rsid w:val="00416479"/>
    <w:rsid w:val="004201A7"/>
    <w:rsid w:val="00423ADF"/>
    <w:rsid w:val="00423AFB"/>
    <w:rsid w:val="00424171"/>
    <w:rsid w:val="00424260"/>
    <w:rsid w:val="00425038"/>
    <w:rsid w:val="0042575D"/>
    <w:rsid w:val="00425E40"/>
    <w:rsid w:val="0042687C"/>
    <w:rsid w:val="00430A86"/>
    <w:rsid w:val="00430D95"/>
    <w:rsid w:val="00433477"/>
    <w:rsid w:val="0043538E"/>
    <w:rsid w:val="004358F8"/>
    <w:rsid w:val="004408E6"/>
    <w:rsid w:val="00440F64"/>
    <w:rsid w:val="004419E2"/>
    <w:rsid w:val="004419EB"/>
    <w:rsid w:val="00441A24"/>
    <w:rsid w:val="00441B16"/>
    <w:rsid w:val="00441E5E"/>
    <w:rsid w:val="004440C9"/>
    <w:rsid w:val="004465AD"/>
    <w:rsid w:val="00446CCF"/>
    <w:rsid w:val="00447DB2"/>
    <w:rsid w:val="0045210A"/>
    <w:rsid w:val="0045241A"/>
    <w:rsid w:val="0045242A"/>
    <w:rsid w:val="00452A36"/>
    <w:rsid w:val="00452E03"/>
    <w:rsid w:val="00455B7E"/>
    <w:rsid w:val="004568C6"/>
    <w:rsid w:val="0045759B"/>
    <w:rsid w:val="0046064F"/>
    <w:rsid w:val="004623FD"/>
    <w:rsid w:val="0046513F"/>
    <w:rsid w:val="00465467"/>
    <w:rsid w:val="00465B34"/>
    <w:rsid w:val="004661F5"/>
    <w:rsid w:val="00466869"/>
    <w:rsid w:val="00466CFD"/>
    <w:rsid w:val="0046745C"/>
    <w:rsid w:val="004706D4"/>
    <w:rsid w:val="00473F0B"/>
    <w:rsid w:val="004777C7"/>
    <w:rsid w:val="00480861"/>
    <w:rsid w:val="00480963"/>
    <w:rsid w:val="00482A14"/>
    <w:rsid w:val="00483389"/>
    <w:rsid w:val="00483F63"/>
    <w:rsid w:val="004865F5"/>
    <w:rsid w:val="0049077B"/>
    <w:rsid w:val="0049113A"/>
    <w:rsid w:val="00491977"/>
    <w:rsid w:val="0049198A"/>
    <w:rsid w:val="00491E7D"/>
    <w:rsid w:val="00494361"/>
    <w:rsid w:val="0049563B"/>
    <w:rsid w:val="00495C32"/>
    <w:rsid w:val="004967D5"/>
    <w:rsid w:val="004A2395"/>
    <w:rsid w:val="004A475D"/>
    <w:rsid w:val="004A5F53"/>
    <w:rsid w:val="004A7A00"/>
    <w:rsid w:val="004B0592"/>
    <w:rsid w:val="004B08F6"/>
    <w:rsid w:val="004B0DB3"/>
    <w:rsid w:val="004B199D"/>
    <w:rsid w:val="004B1A45"/>
    <w:rsid w:val="004B5FEC"/>
    <w:rsid w:val="004B6EFB"/>
    <w:rsid w:val="004C014B"/>
    <w:rsid w:val="004C1E40"/>
    <w:rsid w:val="004C2DCA"/>
    <w:rsid w:val="004C491D"/>
    <w:rsid w:val="004C6209"/>
    <w:rsid w:val="004C69C6"/>
    <w:rsid w:val="004D0001"/>
    <w:rsid w:val="004D015E"/>
    <w:rsid w:val="004D0696"/>
    <w:rsid w:val="004D142A"/>
    <w:rsid w:val="004D279A"/>
    <w:rsid w:val="004D3AF5"/>
    <w:rsid w:val="004D48C8"/>
    <w:rsid w:val="004D6C7F"/>
    <w:rsid w:val="004D734E"/>
    <w:rsid w:val="004D7757"/>
    <w:rsid w:val="004E0B5C"/>
    <w:rsid w:val="004E134D"/>
    <w:rsid w:val="004E7E79"/>
    <w:rsid w:val="004F03F4"/>
    <w:rsid w:val="004F3E43"/>
    <w:rsid w:val="004F46B0"/>
    <w:rsid w:val="004F4829"/>
    <w:rsid w:val="004F571E"/>
    <w:rsid w:val="004F5B4F"/>
    <w:rsid w:val="004F6632"/>
    <w:rsid w:val="00500D3D"/>
    <w:rsid w:val="005028C6"/>
    <w:rsid w:val="005036E9"/>
    <w:rsid w:val="00504FE0"/>
    <w:rsid w:val="00506688"/>
    <w:rsid w:val="005116CE"/>
    <w:rsid w:val="00513F31"/>
    <w:rsid w:val="005140B9"/>
    <w:rsid w:val="00517706"/>
    <w:rsid w:val="00523299"/>
    <w:rsid w:val="00523BC3"/>
    <w:rsid w:val="00524DBB"/>
    <w:rsid w:val="00524F6C"/>
    <w:rsid w:val="00525204"/>
    <w:rsid w:val="00525963"/>
    <w:rsid w:val="00525BD1"/>
    <w:rsid w:val="00526C86"/>
    <w:rsid w:val="00527CD3"/>
    <w:rsid w:val="00530384"/>
    <w:rsid w:val="00535A00"/>
    <w:rsid w:val="00536299"/>
    <w:rsid w:val="005367C0"/>
    <w:rsid w:val="00537205"/>
    <w:rsid w:val="0053762C"/>
    <w:rsid w:val="005400B4"/>
    <w:rsid w:val="0054119A"/>
    <w:rsid w:val="005418F1"/>
    <w:rsid w:val="00542083"/>
    <w:rsid w:val="00542187"/>
    <w:rsid w:val="00542470"/>
    <w:rsid w:val="0054276D"/>
    <w:rsid w:val="005455EB"/>
    <w:rsid w:val="0055171C"/>
    <w:rsid w:val="00553260"/>
    <w:rsid w:val="00553664"/>
    <w:rsid w:val="00554D77"/>
    <w:rsid w:val="005551FB"/>
    <w:rsid w:val="00555214"/>
    <w:rsid w:val="00556527"/>
    <w:rsid w:val="00560240"/>
    <w:rsid w:val="00561826"/>
    <w:rsid w:val="00563BC6"/>
    <w:rsid w:val="00563E07"/>
    <w:rsid w:val="00564A2F"/>
    <w:rsid w:val="00565096"/>
    <w:rsid w:val="00566754"/>
    <w:rsid w:val="005669DA"/>
    <w:rsid w:val="005679CC"/>
    <w:rsid w:val="00567A6E"/>
    <w:rsid w:val="00571035"/>
    <w:rsid w:val="00573E88"/>
    <w:rsid w:val="00574690"/>
    <w:rsid w:val="0057618F"/>
    <w:rsid w:val="00577509"/>
    <w:rsid w:val="005775D6"/>
    <w:rsid w:val="00577CB1"/>
    <w:rsid w:val="00582275"/>
    <w:rsid w:val="005822A8"/>
    <w:rsid w:val="005835D0"/>
    <w:rsid w:val="00584F57"/>
    <w:rsid w:val="00585F12"/>
    <w:rsid w:val="005879AD"/>
    <w:rsid w:val="00590CC0"/>
    <w:rsid w:val="005916F6"/>
    <w:rsid w:val="00591FB3"/>
    <w:rsid w:val="0059434D"/>
    <w:rsid w:val="00594DCE"/>
    <w:rsid w:val="00594F47"/>
    <w:rsid w:val="005967F4"/>
    <w:rsid w:val="005973DF"/>
    <w:rsid w:val="005A1AE7"/>
    <w:rsid w:val="005A1C53"/>
    <w:rsid w:val="005A260C"/>
    <w:rsid w:val="005A3D97"/>
    <w:rsid w:val="005A48B8"/>
    <w:rsid w:val="005A55F0"/>
    <w:rsid w:val="005A6CE7"/>
    <w:rsid w:val="005A7A26"/>
    <w:rsid w:val="005A7DBB"/>
    <w:rsid w:val="005B16E6"/>
    <w:rsid w:val="005B34B2"/>
    <w:rsid w:val="005B3A61"/>
    <w:rsid w:val="005B4D42"/>
    <w:rsid w:val="005B5AA2"/>
    <w:rsid w:val="005B7223"/>
    <w:rsid w:val="005B77AB"/>
    <w:rsid w:val="005C1BF3"/>
    <w:rsid w:val="005C31D3"/>
    <w:rsid w:val="005C3CCF"/>
    <w:rsid w:val="005C4172"/>
    <w:rsid w:val="005C4999"/>
    <w:rsid w:val="005C6AF6"/>
    <w:rsid w:val="005C7528"/>
    <w:rsid w:val="005D2517"/>
    <w:rsid w:val="005D384F"/>
    <w:rsid w:val="005D5045"/>
    <w:rsid w:val="005D5362"/>
    <w:rsid w:val="005D5A69"/>
    <w:rsid w:val="005E2ACE"/>
    <w:rsid w:val="005E2D60"/>
    <w:rsid w:val="005E7EFD"/>
    <w:rsid w:val="005F2459"/>
    <w:rsid w:val="005F2932"/>
    <w:rsid w:val="005F40ED"/>
    <w:rsid w:val="005F6283"/>
    <w:rsid w:val="005F758C"/>
    <w:rsid w:val="00600C63"/>
    <w:rsid w:val="006010F8"/>
    <w:rsid w:val="00601B07"/>
    <w:rsid w:val="00601B8B"/>
    <w:rsid w:val="00605E99"/>
    <w:rsid w:val="00606C4F"/>
    <w:rsid w:val="00607BAD"/>
    <w:rsid w:val="006107AA"/>
    <w:rsid w:val="00610D5E"/>
    <w:rsid w:val="00612877"/>
    <w:rsid w:val="006128E8"/>
    <w:rsid w:val="0061449C"/>
    <w:rsid w:val="00620C4B"/>
    <w:rsid w:val="006218EA"/>
    <w:rsid w:val="006218F8"/>
    <w:rsid w:val="00621B43"/>
    <w:rsid w:val="00623359"/>
    <w:rsid w:val="00624FF8"/>
    <w:rsid w:val="006270E9"/>
    <w:rsid w:val="00631154"/>
    <w:rsid w:val="0063172F"/>
    <w:rsid w:val="006335E3"/>
    <w:rsid w:val="00634C45"/>
    <w:rsid w:val="0063760B"/>
    <w:rsid w:val="006405C7"/>
    <w:rsid w:val="0064102A"/>
    <w:rsid w:val="00642820"/>
    <w:rsid w:val="00642B48"/>
    <w:rsid w:val="00642FCE"/>
    <w:rsid w:val="0064504D"/>
    <w:rsid w:val="006450D0"/>
    <w:rsid w:val="00645D0B"/>
    <w:rsid w:val="00646FA9"/>
    <w:rsid w:val="00647CC0"/>
    <w:rsid w:val="00650CEF"/>
    <w:rsid w:val="006512B0"/>
    <w:rsid w:val="00652464"/>
    <w:rsid w:val="00652DD5"/>
    <w:rsid w:val="00653CDC"/>
    <w:rsid w:val="006551C9"/>
    <w:rsid w:val="00656713"/>
    <w:rsid w:val="006619CA"/>
    <w:rsid w:val="00663680"/>
    <w:rsid w:val="0066435E"/>
    <w:rsid w:val="0066607B"/>
    <w:rsid w:val="00667580"/>
    <w:rsid w:val="006706DD"/>
    <w:rsid w:val="00673F13"/>
    <w:rsid w:val="006741C7"/>
    <w:rsid w:val="00681BD5"/>
    <w:rsid w:val="006824E3"/>
    <w:rsid w:val="00684036"/>
    <w:rsid w:val="00686106"/>
    <w:rsid w:val="00686251"/>
    <w:rsid w:val="006872A4"/>
    <w:rsid w:val="00687D6D"/>
    <w:rsid w:val="006910C4"/>
    <w:rsid w:val="00692AF0"/>
    <w:rsid w:val="00694658"/>
    <w:rsid w:val="006958FA"/>
    <w:rsid w:val="006959AB"/>
    <w:rsid w:val="00695BDB"/>
    <w:rsid w:val="00696EA3"/>
    <w:rsid w:val="006A0D96"/>
    <w:rsid w:val="006A0F69"/>
    <w:rsid w:val="006A3AC2"/>
    <w:rsid w:val="006A3D70"/>
    <w:rsid w:val="006A536B"/>
    <w:rsid w:val="006A6DA4"/>
    <w:rsid w:val="006A7831"/>
    <w:rsid w:val="006A7B80"/>
    <w:rsid w:val="006B0060"/>
    <w:rsid w:val="006B2384"/>
    <w:rsid w:val="006B25A4"/>
    <w:rsid w:val="006B3B0E"/>
    <w:rsid w:val="006B4735"/>
    <w:rsid w:val="006B6613"/>
    <w:rsid w:val="006C020F"/>
    <w:rsid w:val="006C2576"/>
    <w:rsid w:val="006C4ABA"/>
    <w:rsid w:val="006D212D"/>
    <w:rsid w:val="006D6904"/>
    <w:rsid w:val="006D7D40"/>
    <w:rsid w:val="006E1AA8"/>
    <w:rsid w:val="006E294C"/>
    <w:rsid w:val="006E2AEC"/>
    <w:rsid w:val="006E341B"/>
    <w:rsid w:val="006E4EE3"/>
    <w:rsid w:val="006E59DE"/>
    <w:rsid w:val="006E5C61"/>
    <w:rsid w:val="006E73D3"/>
    <w:rsid w:val="006E774E"/>
    <w:rsid w:val="006E79CB"/>
    <w:rsid w:val="006F01B1"/>
    <w:rsid w:val="006F383C"/>
    <w:rsid w:val="006F57A9"/>
    <w:rsid w:val="006F7AEA"/>
    <w:rsid w:val="006F7B57"/>
    <w:rsid w:val="007001D7"/>
    <w:rsid w:val="00701F5D"/>
    <w:rsid w:val="00702F33"/>
    <w:rsid w:val="007038E6"/>
    <w:rsid w:val="0070497E"/>
    <w:rsid w:val="00704FEB"/>
    <w:rsid w:val="0070591C"/>
    <w:rsid w:val="00707AA0"/>
    <w:rsid w:val="00707BA6"/>
    <w:rsid w:val="00710E71"/>
    <w:rsid w:val="00711471"/>
    <w:rsid w:val="00715973"/>
    <w:rsid w:val="00716AD1"/>
    <w:rsid w:val="00716E55"/>
    <w:rsid w:val="00722248"/>
    <w:rsid w:val="007255EE"/>
    <w:rsid w:val="007316FC"/>
    <w:rsid w:val="00735142"/>
    <w:rsid w:val="0073729D"/>
    <w:rsid w:val="00737D9B"/>
    <w:rsid w:val="00740614"/>
    <w:rsid w:val="0074107B"/>
    <w:rsid w:val="00741915"/>
    <w:rsid w:val="0074251A"/>
    <w:rsid w:val="00745964"/>
    <w:rsid w:val="007459B6"/>
    <w:rsid w:val="00750B96"/>
    <w:rsid w:val="00753D0B"/>
    <w:rsid w:val="00754990"/>
    <w:rsid w:val="00755057"/>
    <w:rsid w:val="007571A2"/>
    <w:rsid w:val="00757351"/>
    <w:rsid w:val="00761E94"/>
    <w:rsid w:val="00763224"/>
    <w:rsid w:val="007647FF"/>
    <w:rsid w:val="00766AE6"/>
    <w:rsid w:val="00767D9A"/>
    <w:rsid w:val="0077081C"/>
    <w:rsid w:val="00771FD2"/>
    <w:rsid w:val="00772AA7"/>
    <w:rsid w:val="00777112"/>
    <w:rsid w:val="00777CD7"/>
    <w:rsid w:val="00781C4E"/>
    <w:rsid w:val="00781DC0"/>
    <w:rsid w:val="007828AB"/>
    <w:rsid w:val="00783574"/>
    <w:rsid w:val="007842BF"/>
    <w:rsid w:val="007847A5"/>
    <w:rsid w:val="00785197"/>
    <w:rsid w:val="007858C7"/>
    <w:rsid w:val="007873F9"/>
    <w:rsid w:val="00787493"/>
    <w:rsid w:val="00787573"/>
    <w:rsid w:val="00787AD1"/>
    <w:rsid w:val="00787BC0"/>
    <w:rsid w:val="007901D0"/>
    <w:rsid w:val="007903E9"/>
    <w:rsid w:val="007914A2"/>
    <w:rsid w:val="00794810"/>
    <w:rsid w:val="007949D6"/>
    <w:rsid w:val="007955E5"/>
    <w:rsid w:val="007A03A1"/>
    <w:rsid w:val="007A064D"/>
    <w:rsid w:val="007A1E6E"/>
    <w:rsid w:val="007A2B23"/>
    <w:rsid w:val="007A3DA7"/>
    <w:rsid w:val="007A5006"/>
    <w:rsid w:val="007A6885"/>
    <w:rsid w:val="007A69A5"/>
    <w:rsid w:val="007A7DED"/>
    <w:rsid w:val="007B2D2A"/>
    <w:rsid w:val="007B2D91"/>
    <w:rsid w:val="007B75B9"/>
    <w:rsid w:val="007C0330"/>
    <w:rsid w:val="007C0411"/>
    <w:rsid w:val="007C0457"/>
    <w:rsid w:val="007C04C0"/>
    <w:rsid w:val="007C6650"/>
    <w:rsid w:val="007C6810"/>
    <w:rsid w:val="007D2D29"/>
    <w:rsid w:val="007D419B"/>
    <w:rsid w:val="007D5AD9"/>
    <w:rsid w:val="007D5AFD"/>
    <w:rsid w:val="007D70E7"/>
    <w:rsid w:val="007D764A"/>
    <w:rsid w:val="007E464B"/>
    <w:rsid w:val="007E4F6D"/>
    <w:rsid w:val="007E5C21"/>
    <w:rsid w:val="007E631A"/>
    <w:rsid w:val="007E65A2"/>
    <w:rsid w:val="007E7456"/>
    <w:rsid w:val="007E7C44"/>
    <w:rsid w:val="007F22CE"/>
    <w:rsid w:val="007F258B"/>
    <w:rsid w:val="007F3F76"/>
    <w:rsid w:val="007F5015"/>
    <w:rsid w:val="007F5A7B"/>
    <w:rsid w:val="007F73EB"/>
    <w:rsid w:val="007F795A"/>
    <w:rsid w:val="007F7A2F"/>
    <w:rsid w:val="00801ECD"/>
    <w:rsid w:val="008021AA"/>
    <w:rsid w:val="00802E90"/>
    <w:rsid w:val="00803F57"/>
    <w:rsid w:val="00807D56"/>
    <w:rsid w:val="00810F89"/>
    <w:rsid w:val="00812E47"/>
    <w:rsid w:val="0081313C"/>
    <w:rsid w:val="00813444"/>
    <w:rsid w:val="00813664"/>
    <w:rsid w:val="008150AC"/>
    <w:rsid w:val="008164B5"/>
    <w:rsid w:val="00816682"/>
    <w:rsid w:val="00817BDB"/>
    <w:rsid w:val="0082078A"/>
    <w:rsid w:val="008211A6"/>
    <w:rsid w:val="00822809"/>
    <w:rsid w:val="00825B91"/>
    <w:rsid w:val="00826361"/>
    <w:rsid w:val="00827951"/>
    <w:rsid w:val="00830134"/>
    <w:rsid w:val="0083099E"/>
    <w:rsid w:val="00830ABD"/>
    <w:rsid w:val="00831DA1"/>
    <w:rsid w:val="00832BE3"/>
    <w:rsid w:val="00834468"/>
    <w:rsid w:val="00835FBC"/>
    <w:rsid w:val="008360C9"/>
    <w:rsid w:val="00836B80"/>
    <w:rsid w:val="00837AEF"/>
    <w:rsid w:val="00842D67"/>
    <w:rsid w:val="0084386E"/>
    <w:rsid w:val="00847B57"/>
    <w:rsid w:val="00850DF2"/>
    <w:rsid w:val="0085267B"/>
    <w:rsid w:val="008536FD"/>
    <w:rsid w:val="00853C7F"/>
    <w:rsid w:val="0085547D"/>
    <w:rsid w:val="00856F2D"/>
    <w:rsid w:val="008619CC"/>
    <w:rsid w:val="00861E12"/>
    <w:rsid w:val="00861EB5"/>
    <w:rsid w:val="00863336"/>
    <w:rsid w:val="008660EB"/>
    <w:rsid w:val="00866409"/>
    <w:rsid w:val="00866CBA"/>
    <w:rsid w:val="00867ACB"/>
    <w:rsid w:val="00873E2C"/>
    <w:rsid w:val="008740C8"/>
    <w:rsid w:val="008756C7"/>
    <w:rsid w:val="00875D6B"/>
    <w:rsid w:val="008773B4"/>
    <w:rsid w:val="008801C7"/>
    <w:rsid w:val="008818A2"/>
    <w:rsid w:val="008819D3"/>
    <w:rsid w:val="00881AC8"/>
    <w:rsid w:val="00881E98"/>
    <w:rsid w:val="00883C56"/>
    <w:rsid w:val="00884BC4"/>
    <w:rsid w:val="008851BD"/>
    <w:rsid w:val="00891A9D"/>
    <w:rsid w:val="00892891"/>
    <w:rsid w:val="0089377C"/>
    <w:rsid w:val="00894D76"/>
    <w:rsid w:val="008A06F9"/>
    <w:rsid w:val="008A45F0"/>
    <w:rsid w:val="008A4C41"/>
    <w:rsid w:val="008A5440"/>
    <w:rsid w:val="008A5D32"/>
    <w:rsid w:val="008A6826"/>
    <w:rsid w:val="008A73D2"/>
    <w:rsid w:val="008A7F59"/>
    <w:rsid w:val="008B0D59"/>
    <w:rsid w:val="008B18CD"/>
    <w:rsid w:val="008B263C"/>
    <w:rsid w:val="008B3EDB"/>
    <w:rsid w:val="008B4E99"/>
    <w:rsid w:val="008B6251"/>
    <w:rsid w:val="008B7E4D"/>
    <w:rsid w:val="008C000F"/>
    <w:rsid w:val="008C3EC7"/>
    <w:rsid w:val="008C6DC4"/>
    <w:rsid w:val="008C7651"/>
    <w:rsid w:val="008D0A02"/>
    <w:rsid w:val="008D17B9"/>
    <w:rsid w:val="008D4B16"/>
    <w:rsid w:val="008D4F47"/>
    <w:rsid w:val="008D583C"/>
    <w:rsid w:val="008D7AE6"/>
    <w:rsid w:val="008E1C1C"/>
    <w:rsid w:val="008E310A"/>
    <w:rsid w:val="008E32DF"/>
    <w:rsid w:val="008E4E06"/>
    <w:rsid w:val="008E676A"/>
    <w:rsid w:val="008F151A"/>
    <w:rsid w:val="008F1842"/>
    <w:rsid w:val="008F2474"/>
    <w:rsid w:val="008F24BB"/>
    <w:rsid w:val="008F4978"/>
    <w:rsid w:val="00900D1F"/>
    <w:rsid w:val="0090227C"/>
    <w:rsid w:val="00902D18"/>
    <w:rsid w:val="00904D2D"/>
    <w:rsid w:val="00904D97"/>
    <w:rsid w:val="00912443"/>
    <w:rsid w:val="00915147"/>
    <w:rsid w:val="00915557"/>
    <w:rsid w:val="009168F4"/>
    <w:rsid w:val="00916A7D"/>
    <w:rsid w:val="009175FE"/>
    <w:rsid w:val="00917F87"/>
    <w:rsid w:val="009200C5"/>
    <w:rsid w:val="00920B4D"/>
    <w:rsid w:val="009216EC"/>
    <w:rsid w:val="0092317B"/>
    <w:rsid w:val="009252B5"/>
    <w:rsid w:val="00925814"/>
    <w:rsid w:val="00927DC8"/>
    <w:rsid w:val="00927E65"/>
    <w:rsid w:val="00933624"/>
    <w:rsid w:val="00934B88"/>
    <w:rsid w:val="00934BF6"/>
    <w:rsid w:val="00937D4D"/>
    <w:rsid w:val="00944196"/>
    <w:rsid w:val="00944BD5"/>
    <w:rsid w:val="009454AE"/>
    <w:rsid w:val="0094607C"/>
    <w:rsid w:val="00946976"/>
    <w:rsid w:val="00946DBA"/>
    <w:rsid w:val="00946E0E"/>
    <w:rsid w:val="00951C7C"/>
    <w:rsid w:val="009532A4"/>
    <w:rsid w:val="00955826"/>
    <w:rsid w:val="00955A09"/>
    <w:rsid w:val="009615E0"/>
    <w:rsid w:val="00962D00"/>
    <w:rsid w:val="00963375"/>
    <w:rsid w:val="00964E8E"/>
    <w:rsid w:val="00964FAD"/>
    <w:rsid w:val="00965F37"/>
    <w:rsid w:val="00966FFD"/>
    <w:rsid w:val="00970BDB"/>
    <w:rsid w:val="00971D35"/>
    <w:rsid w:val="00972001"/>
    <w:rsid w:val="0097216E"/>
    <w:rsid w:val="00972901"/>
    <w:rsid w:val="009738DC"/>
    <w:rsid w:val="009739A3"/>
    <w:rsid w:val="0097753B"/>
    <w:rsid w:val="00981EB7"/>
    <w:rsid w:val="009846BE"/>
    <w:rsid w:val="00984C16"/>
    <w:rsid w:val="00986481"/>
    <w:rsid w:val="00987459"/>
    <w:rsid w:val="00987949"/>
    <w:rsid w:val="00991446"/>
    <w:rsid w:val="009938DC"/>
    <w:rsid w:val="00995F04"/>
    <w:rsid w:val="00996546"/>
    <w:rsid w:val="009969FF"/>
    <w:rsid w:val="00997C1C"/>
    <w:rsid w:val="009A2708"/>
    <w:rsid w:val="009A34B0"/>
    <w:rsid w:val="009A3781"/>
    <w:rsid w:val="009A49A5"/>
    <w:rsid w:val="009A4ACD"/>
    <w:rsid w:val="009A6349"/>
    <w:rsid w:val="009A6C75"/>
    <w:rsid w:val="009A75DC"/>
    <w:rsid w:val="009B0057"/>
    <w:rsid w:val="009B203E"/>
    <w:rsid w:val="009B3196"/>
    <w:rsid w:val="009B396B"/>
    <w:rsid w:val="009B5DB1"/>
    <w:rsid w:val="009B727C"/>
    <w:rsid w:val="009B7ABD"/>
    <w:rsid w:val="009B7CD9"/>
    <w:rsid w:val="009C0CF5"/>
    <w:rsid w:val="009C0E7F"/>
    <w:rsid w:val="009C1D00"/>
    <w:rsid w:val="009C2F5F"/>
    <w:rsid w:val="009C36CB"/>
    <w:rsid w:val="009C3FB3"/>
    <w:rsid w:val="009C460A"/>
    <w:rsid w:val="009C5038"/>
    <w:rsid w:val="009C55A5"/>
    <w:rsid w:val="009C60B6"/>
    <w:rsid w:val="009D19C9"/>
    <w:rsid w:val="009D2743"/>
    <w:rsid w:val="009D293D"/>
    <w:rsid w:val="009E11AF"/>
    <w:rsid w:val="009E1A80"/>
    <w:rsid w:val="009E2473"/>
    <w:rsid w:val="009E2734"/>
    <w:rsid w:val="009E4889"/>
    <w:rsid w:val="009E6D46"/>
    <w:rsid w:val="009E6DEE"/>
    <w:rsid w:val="009E6FCE"/>
    <w:rsid w:val="009E7132"/>
    <w:rsid w:val="009F15D0"/>
    <w:rsid w:val="009F15E2"/>
    <w:rsid w:val="009F3CA4"/>
    <w:rsid w:val="009F4B28"/>
    <w:rsid w:val="009F6AF4"/>
    <w:rsid w:val="00A00817"/>
    <w:rsid w:val="00A015D7"/>
    <w:rsid w:val="00A01ECF"/>
    <w:rsid w:val="00A023C5"/>
    <w:rsid w:val="00A05D39"/>
    <w:rsid w:val="00A065E1"/>
    <w:rsid w:val="00A106DA"/>
    <w:rsid w:val="00A109E0"/>
    <w:rsid w:val="00A12040"/>
    <w:rsid w:val="00A13187"/>
    <w:rsid w:val="00A15A1A"/>
    <w:rsid w:val="00A177B2"/>
    <w:rsid w:val="00A202E2"/>
    <w:rsid w:val="00A21BD9"/>
    <w:rsid w:val="00A2419B"/>
    <w:rsid w:val="00A24DAC"/>
    <w:rsid w:val="00A251C8"/>
    <w:rsid w:val="00A27173"/>
    <w:rsid w:val="00A310C5"/>
    <w:rsid w:val="00A318A4"/>
    <w:rsid w:val="00A35860"/>
    <w:rsid w:val="00A3679A"/>
    <w:rsid w:val="00A40169"/>
    <w:rsid w:val="00A4132F"/>
    <w:rsid w:val="00A41BE1"/>
    <w:rsid w:val="00A4249B"/>
    <w:rsid w:val="00A4478A"/>
    <w:rsid w:val="00A45B2B"/>
    <w:rsid w:val="00A45F24"/>
    <w:rsid w:val="00A47314"/>
    <w:rsid w:val="00A47651"/>
    <w:rsid w:val="00A5079E"/>
    <w:rsid w:val="00A508FC"/>
    <w:rsid w:val="00A527C4"/>
    <w:rsid w:val="00A55F95"/>
    <w:rsid w:val="00A56258"/>
    <w:rsid w:val="00A570ED"/>
    <w:rsid w:val="00A60537"/>
    <w:rsid w:val="00A605EA"/>
    <w:rsid w:val="00A60BB0"/>
    <w:rsid w:val="00A60D1F"/>
    <w:rsid w:val="00A61507"/>
    <w:rsid w:val="00A61EB6"/>
    <w:rsid w:val="00A61EE9"/>
    <w:rsid w:val="00A63ECA"/>
    <w:rsid w:val="00A64926"/>
    <w:rsid w:val="00A6519B"/>
    <w:rsid w:val="00A65E41"/>
    <w:rsid w:val="00A661E3"/>
    <w:rsid w:val="00A663C2"/>
    <w:rsid w:val="00A71B9E"/>
    <w:rsid w:val="00A71E2C"/>
    <w:rsid w:val="00A72DF6"/>
    <w:rsid w:val="00A7301C"/>
    <w:rsid w:val="00A7467D"/>
    <w:rsid w:val="00A75BEB"/>
    <w:rsid w:val="00A80A7A"/>
    <w:rsid w:val="00A826B3"/>
    <w:rsid w:val="00A83843"/>
    <w:rsid w:val="00A83F36"/>
    <w:rsid w:val="00A90936"/>
    <w:rsid w:val="00A921CA"/>
    <w:rsid w:val="00A94396"/>
    <w:rsid w:val="00A96D5A"/>
    <w:rsid w:val="00A979FD"/>
    <w:rsid w:val="00AA100D"/>
    <w:rsid w:val="00AA14C4"/>
    <w:rsid w:val="00AA1879"/>
    <w:rsid w:val="00AA1AAD"/>
    <w:rsid w:val="00AA3390"/>
    <w:rsid w:val="00AA4440"/>
    <w:rsid w:val="00AA6349"/>
    <w:rsid w:val="00AB03F4"/>
    <w:rsid w:val="00AB1B7F"/>
    <w:rsid w:val="00AB280D"/>
    <w:rsid w:val="00AB57B0"/>
    <w:rsid w:val="00AC19B8"/>
    <w:rsid w:val="00AC2D4C"/>
    <w:rsid w:val="00AC35B5"/>
    <w:rsid w:val="00AC3C47"/>
    <w:rsid w:val="00AC62D1"/>
    <w:rsid w:val="00AC7410"/>
    <w:rsid w:val="00AC7E5D"/>
    <w:rsid w:val="00AD0103"/>
    <w:rsid w:val="00AD14E8"/>
    <w:rsid w:val="00AD1D9A"/>
    <w:rsid w:val="00AD37B1"/>
    <w:rsid w:val="00AD67C2"/>
    <w:rsid w:val="00AD7CD7"/>
    <w:rsid w:val="00AE1F7A"/>
    <w:rsid w:val="00AE2B67"/>
    <w:rsid w:val="00AE38AF"/>
    <w:rsid w:val="00AE6483"/>
    <w:rsid w:val="00AF094E"/>
    <w:rsid w:val="00AF1EB6"/>
    <w:rsid w:val="00AF2ADD"/>
    <w:rsid w:val="00AF2C7E"/>
    <w:rsid w:val="00AF677D"/>
    <w:rsid w:val="00AF747E"/>
    <w:rsid w:val="00AF776F"/>
    <w:rsid w:val="00B018D5"/>
    <w:rsid w:val="00B02CCA"/>
    <w:rsid w:val="00B0462E"/>
    <w:rsid w:val="00B05FCE"/>
    <w:rsid w:val="00B071B3"/>
    <w:rsid w:val="00B11FFB"/>
    <w:rsid w:val="00B124B2"/>
    <w:rsid w:val="00B14A57"/>
    <w:rsid w:val="00B14F42"/>
    <w:rsid w:val="00B2003D"/>
    <w:rsid w:val="00B20DC7"/>
    <w:rsid w:val="00B21EF6"/>
    <w:rsid w:val="00B23CC5"/>
    <w:rsid w:val="00B24ED0"/>
    <w:rsid w:val="00B251C6"/>
    <w:rsid w:val="00B26B1C"/>
    <w:rsid w:val="00B26CC4"/>
    <w:rsid w:val="00B27D33"/>
    <w:rsid w:val="00B31139"/>
    <w:rsid w:val="00B34F61"/>
    <w:rsid w:val="00B37CB4"/>
    <w:rsid w:val="00B43665"/>
    <w:rsid w:val="00B43D28"/>
    <w:rsid w:val="00B44085"/>
    <w:rsid w:val="00B44F19"/>
    <w:rsid w:val="00B46249"/>
    <w:rsid w:val="00B47E9D"/>
    <w:rsid w:val="00B5150C"/>
    <w:rsid w:val="00B532E1"/>
    <w:rsid w:val="00B53EE3"/>
    <w:rsid w:val="00B562E3"/>
    <w:rsid w:val="00B57F93"/>
    <w:rsid w:val="00B60A1B"/>
    <w:rsid w:val="00B628E7"/>
    <w:rsid w:val="00B63951"/>
    <w:rsid w:val="00B64977"/>
    <w:rsid w:val="00B6516E"/>
    <w:rsid w:val="00B65FF3"/>
    <w:rsid w:val="00B660E7"/>
    <w:rsid w:val="00B663AC"/>
    <w:rsid w:val="00B70281"/>
    <w:rsid w:val="00B74698"/>
    <w:rsid w:val="00B74829"/>
    <w:rsid w:val="00B769D1"/>
    <w:rsid w:val="00B76D92"/>
    <w:rsid w:val="00B76E63"/>
    <w:rsid w:val="00B8277D"/>
    <w:rsid w:val="00B84006"/>
    <w:rsid w:val="00B8618A"/>
    <w:rsid w:val="00B876CA"/>
    <w:rsid w:val="00B9165C"/>
    <w:rsid w:val="00B924F6"/>
    <w:rsid w:val="00B92AA6"/>
    <w:rsid w:val="00B93BA6"/>
    <w:rsid w:val="00B94A3F"/>
    <w:rsid w:val="00B97949"/>
    <w:rsid w:val="00B97D03"/>
    <w:rsid w:val="00BA073D"/>
    <w:rsid w:val="00BA0EDB"/>
    <w:rsid w:val="00BA1283"/>
    <w:rsid w:val="00BA60C1"/>
    <w:rsid w:val="00BA6AA7"/>
    <w:rsid w:val="00BB0273"/>
    <w:rsid w:val="00BB0E11"/>
    <w:rsid w:val="00BB3D6E"/>
    <w:rsid w:val="00BB41E1"/>
    <w:rsid w:val="00BB49C7"/>
    <w:rsid w:val="00BB4E6D"/>
    <w:rsid w:val="00BB4E9E"/>
    <w:rsid w:val="00BB6DD0"/>
    <w:rsid w:val="00BB751F"/>
    <w:rsid w:val="00BC56ED"/>
    <w:rsid w:val="00BC6954"/>
    <w:rsid w:val="00BD09EA"/>
    <w:rsid w:val="00BD0F76"/>
    <w:rsid w:val="00BD11A8"/>
    <w:rsid w:val="00BD25A0"/>
    <w:rsid w:val="00BD3FB8"/>
    <w:rsid w:val="00BD54D3"/>
    <w:rsid w:val="00BD554B"/>
    <w:rsid w:val="00BD6335"/>
    <w:rsid w:val="00BE0304"/>
    <w:rsid w:val="00BE1899"/>
    <w:rsid w:val="00BE3122"/>
    <w:rsid w:val="00BE3F23"/>
    <w:rsid w:val="00BF0F2A"/>
    <w:rsid w:val="00BF16C8"/>
    <w:rsid w:val="00BF1943"/>
    <w:rsid w:val="00BF2707"/>
    <w:rsid w:val="00BF459F"/>
    <w:rsid w:val="00BF7ED7"/>
    <w:rsid w:val="00C01569"/>
    <w:rsid w:val="00C01DF9"/>
    <w:rsid w:val="00C0223A"/>
    <w:rsid w:val="00C039B4"/>
    <w:rsid w:val="00C04797"/>
    <w:rsid w:val="00C04DC4"/>
    <w:rsid w:val="00C054D6"/>
    <w:rsid w:val="00C05E2A"/>
    <w:rsid w:val="00C06775"/>
    <w:rsid w:val="00C1094C"/>
    <w:rsid w:val="00C11676"/>
    <w:rsid w:val="00C11D5A"/>
    <w:rsid w:val="00C12BB4"/>
    <w:rsid w:val="00C13D02"/>
    <w:rsid w:val="00C140E5"/>
    <w:rsid w:val="00C147C7"/>
    <w:rsid w:val="00C14FA7"/>
    <w:rsid w:val="00C15140"/>
    <w:rsid w:val="00C15423"/>
    <w:rsid w:val="00C15ED1"/>
    <w:rsid w:val="00C216E1"/>
    <w:rsid w:val="00C219C4"/>
    <w:rsid w:val="00C21E8A"/>
    <w:rsid w:val="00C21E9C"/>
    <w:rsid w:val="00C2235F"/>
    <w:rsid w:val="00C229DB"/>
    <w:rsid w:val="00C22F26"/>
    <w:rsid w:val="00C24B3F"/>
    <w:rsid w:val="00C26097"/>
    <w:rsid w:val="00C2731C"/>
    <w:rsid w:val="00C27443"/>
    <w:rsid w:val="00C32259"/>
    <w:rsid w:val="00C3326E"/>
    <w:rsid w:val="00C34682"/>
    <w:rsid w:val="00C36887"/>
    <w:rsid w:val="00C36DD9"/>
    <w:rsid w:val="00C37470"/>
    <w:rsid w:val="00C40E80"/>
    <w:rsid w:val="00C40FFA"/>
    <w:rsid w:val="00C418EC"/>
    <w:rsid w:val="00C41F60"/>
    <w:rsid w:val="00C427A9"/>
    <w:rsid w:val="00C4377A"/>
    <w:rsid w:val="00C45C92"/>
    <w:rsid w:val="00C46DAB"/>
    <w:rsid w:val="00C512F6"/>
    <w:rsid w:val="00C56B82"/>
    <w:rsid w:val="00C57BDB"/>
    <w:rsid w:val="00C57D9E"/>
    <w:rsid w:val="00C600C9"/>
    <w:rsid w:val="00C60B51"/>
    <w:rsid w:val="00C60E9C"/>
    <w:rsid w:val="00C61881"/>
    <w:rsid w:val="00C61C22"/>
    <w:rsid w:val="00C626C7"/>
    <w:rsid w:val="00C62C29"/>
    <w:rsid w:val="00C65E71"/>
    <w:rsid w:val="00C66208"/>
    <w:rsid w:val="00C66802"/>
    <w:rsid w:val="00C66CE0"/>
    <w:rsid w:val="00C66ED3"/>
    <w:rsid w:val="00C67CEA"/>
    <w:rsid w:val="00C7089E"/>
    <w:rsid w:val="00C7170A"/>
    <w:rsid w:val="00C72E82"/>
    <w:rsid w:val="00C72ECA"/>
    <w:rsid w:val="00C72F6E"/>
    <w:rsid w:val="00C74E77"/>
    <w:rsid w:val="00C762C2"/>
    <w:rsid w:val="00C76A19"/>
    <w:rsid w:val="00C77261"/>
    <w:rsid w:val="00C77716"/>
    <w:rsid w:val="00C819F2"/>
    <w:rsid w:val="00C81E67"/>
    <w:rsid w:val="00C8530C"/>
    <w:rsid w:val="00C8596A"/>
    <w:rsid w:val="00C85AA4"/>
    <w:rsid w:val="00C85B6A"/>
    <w:rsid w:val="00C9014E"/>
    <w:rsid w:val="00C90D63"/>
    <w:rsid w:val="00C9299B"/>
    <w:rsid w:val="00C92FA5"/>
    <w:rsid w:val="00C932D6"/>
    <w:rsid w:val="00C96B15"/>
    <w:rsid w:val="00C97949"/>
    <w:rsid w:val="00CA161F"/>
    <w:rsid w:val="00CA16FA"/>
    <w:rsid w:val="00CA18C7"/>
    <w:rsid w:val="00CA1947"/>
    <w:rsid w:val="00CB02A3"/>
    <w:rsid w:val="00CB3BA7"/>
    <w:rsid w:val="00CB4512"/>
    <w:rsid w:val="00CB5431"/>
    <w:rsid w:val="00CB6A38"/>
    <w:rsid w:val="00CB7945"/>
    <w:rsid w:val="00CC0C52"/>
    <w:rsid w:val="00CC4811"/>
    <w:rsid w:val="00CC694C"/>
    <w:rsid w:val="00CC6FF6"/>
    <w:rsid w:val="00CC7E08"/>
    <w:rsid w:val="00CD3660"/>
    <w:rsid w:val="00CD414A"/>
    <w:rsid w:val="00CE1083"/>
    <w:rsid w:val="00CE1FE4"/>
    <w:rsid w:val="00CE32C1"/>
    <w:rsid w:val="00CE3BB0"/>
    <w:rsid w:val="00CE4C7D"/>
    <w:rsid w:val="00CE4F73"/>
    <w:rsid w:val="00CE5545"/>
    <w:rsid w:val="00CE559A"/>
    <w:rsid w:val="00CE6B89"/>
    <w:rsid w:val="00CE6CEE"/>
    <w:rsid w:val="00CE6DC0"/>
    <w:rsid w:val="00CF094F"/>
    <w:rsid w:val="00CF1310"/>
    <w:rsid w:val="00CF7D46"/>
    <w:rsid w:val="00D01156"/>
    <w:rsid w:val="00D01E71"/>
    <w:rsid w:val="00D05DF7"/>
    <w:rsid w:val="00D05ED6"/>
    <w:rsid w:val="00D06A87"/>
    <w:rsid w:val="00D112D4"/>
    <w:rsid w:val="00D12E97"/>
    <w:rsid w:val="00D13714"/>
    <w:rsid w:val="00D14E96"/>
    <w:rsid w:val="00D15688"/>
    <w:rsid w:val="00D15FC9"/>
    <w:rsid w:val="00D224A0"/>
    <w:rsid w:val="00D225BF"/>
    <w:rsid w:val="00D23E80"/>
    <w:rsid w:val="00D243D1"/>
    <w:rsid w:val="00D24440"/>
    <w:rsid w:val="00D24537"/>
    <w:rsid w:val="00D26047"/>
    <w:rsid w:val="00D2678D"/>
    <w:rsid w:val="00D2724D"/>
    <w:rsid w:val="00D33EEC"/>
    <w:rsid w:val="00D35503"/>
    <w:rsid w:val="00D356CC"/>
    <w:rsid w:val="00D35A00"/>
    <w:rsid w:val="00D373FA"/>
    <w:rsid w:val="00D408C2"/>
    <w:rsid w:val="00D41003"/>
    <w:rsid w:val="00D41051"/>
    <w:rsid w:val="00D42164"/>
    <w:rsid w:val="00D42F30"/>
    <w:rsid w:val="00D437D8"/>
    <w:rsid w:val="00D45A2B"/>
    <w:rsid w:val="00D468EE"/>
    <w:rsid w:val="00D470BE"/>
    <w:rsid w:val="00D508C3"/>
    <w:rsid w:val="00D5217B"/>
    <w:rsid w:val="00D52310"/>
    <w:rsid w:val="00D535AB"/>
    <w:rsid w:val="00D53F8D"/>
    <w:rsid w:val="00D54EE0"/>
    <w:rsid w:val="00D553AA"/>
    <w:rsid w:val="00D56019"/>
    <w:rsid w:val="00D56AB0"/>
    <w:rsid w:val="00D57378"/>
    <w:rsid w:val="00D57D46"/>
    <w:rsid w:val="00D601EA"/>
    <w:rsid w:val="00D618E1"/>
    <w:rsid w:val="00D659F1"/>
    <w:rsid w:val="00D677FF"/>
    <w:rsid w:val="00D70521"/>
    <w:rsid w:val="00D70945"/>
    <w:rsid w:val="00D721A4"/>
    <w:rsid w:val="00D72FDE"/>
    <w:rsid w:val="00D7462C"/>
    <w:rsid w:val="00D7545C"/>
    <w:rsid w:val="00D756F2"/>
    <w:rsid w:val="00D7674F"/>
    <w:rsid w:val="00D772BE"/>
    <w:rsid w:val="00D775F6"/>
    <w:rsid w:val="00D808E8"/>
    <w:rsid w:val="00D81463"/>
    <w:rsid w:val="00D82E88"/>
    <w:rsid w:val="00D82FB8"/>
    <w:rsid w:val="00D83395"/>
    <w:rsid w:val="00D84296"/>
    <w:rsid w:val="00D85576"/>
    <w:rsid w:val="00D85B55"/>
    <w:rsid w:val="00D875FB"/>
    <w:rsid w:val="00D90082"/>
    <w:rsid w:val="00D911E2"/>
    <w:rsid w:val="00D9290B"/>
    <w:rsid w:val="00D93B3F"/>
    <w:rsid w:val="00D94BA0"/>
    <w:rsid w:val="00D959CE"/>
    <w:rsid w:val="00D97FB6"/>
    <w:rsid w:val="00DA069A"/>
    <w:rsid w:val="00DA13B1"/>
    <w:rsid w:val="00DA1D9C"/>
    <w:rsid w:val="00DA3833"/>
    <w:rsid w:val="00DA3B54"/>
    <w:rsid w:val="00DA3C71"/>
    <w:rsid w:val="00DA6BCB"/>
    <w:rsid w:val="00DA75F2"/>
    <w:rsid w:val="00DB0160"/>
    <w:rsid w:val="00DB6C7C"/>
    <w:rsid w:val="00DB6D00"/>
    <w:rsid w:val="00DC0E53"/>
    <w:rsid w:val="00DC2ABA"/>
    <w:rsid w:val="00DC2AFF"/>
    <w:rsid w:val="00DC2E2C"/>
    <w:rsid w:val="00DC3CB4"/>
    <w:rsid w:val="00DC5D5D"/>
    <w:rsid w:val="00DC7815"/>
    <w:rsid w:val="00DD1041"/>
    <w:rsid w:val="00DD14A6"/>
    <w:rsid w:val="00DD1934"/>
    <w:rsid w:val="00DD26A3"/>
    <w:rsid w:val="00DD2849"/>
    <w:rsid w:val="00DD2D53"/>
    <w:rsid w:val="00DD3420"/>
    <w:rsid w:val="00DD348C"/>
    <w:rsid w:val="00DD3684"/>
    <w:rsid w:val="00DD569E"/>
    <w:rsid w:val="00DD6210"/>
    <w:rsid w:val="00DD6656"/>
    <w:rsid w:val="00DE221A"/>
    <w:rsid w:val="00DE2D2B"/>
    <w:rsid w:val="00DE2FDB"/>
    <w:rsid w:val="00DE4E96"/>
    <w:rsid w:val="00DE6ED4"/>
    <w:rsid w:val="00DE7720"/>
    <w:rsid w:val="00DF08F2"/>
    <w:rsid w:val="00DF0DC1"/>
    <w:rsid w:val="00DF211B"/>
    <w:rsid w:val="00DF2F48"/>
    <w:rsid w:val="00DF4820"/>
    <w:rsid w:val="00DF5CF9"/>
    <w:rsid w:val="00DF6AF6"/>
    <w:rsid w:val="00DF6F8B"/>
    <w:rsid w:val="00E00976"/>
    <w:rsid w:val="00E025F0"/>
    <w:rsid w:val="00E0285F"/>
    <w:rsid w:val="00E07913"/>
    <w:rsid w:val="00E10E80"/>
    <w:rsid w:val="00E11AA6"/>
    <w:rsid w:val="00E1213E"/>
    <w:rsid w:val="00E14C5E"/>
    <w:rsid w:val="00E17C42"/>
    <w:rsid w:val="00E17E94"/>
    <w:rsid w:val="00E2229F"/>
    <w:rsid w:val="00E232B0"/>
    <w:rsid w:val="00E24F69"/>
    <w:rsid w:val="00E26DB7"/>
    <w:rsid w:val="00E26ECD"/>
    <w:rsid w:val="00E275E7"/>
    <w:rsid w:val="00E276C4"/>
    <w:rsid w:val="00E30653"/>
    <w:rsid w:val="00E3149C"/>
    <w:rsid w:val="00E32245"/>
    <w:rsid w:val="00E33496"/>
    <w:rsid w:val="00E33888"/>
    <w:rsid w:val="00E338A2"/>
    <w:rsid w:val="00E34375"/>
    <w:rsid w:val="00E3505E"/>
    <w:rsid w:val="00E3518A"/>
    <w:rsid w:val="00E36736"/>
    <w:rsid w:val="00E42AB9"/>
    <w:rsid w:val="00E43A49"/>
    <w:rsid w:val="00E43CF4"/>
    <w:rsid w:val="00E4555F"/>
    <w:rsid w:val="00E47286"/>
    <w:rsid w:val="00E47B4B"/>
    <w:rsid w:val="00E50173"/>
    <w:rsid w:val="00E5093E"/>
    <w:rsid w:val="00E517BD"/>
    <w:rsid w:val="00E55C14"/>
    <w:rsid w:val="00E5618C"/>
    <w:rsid w:val="00E56424"/>
    <w:rsid w:val="00E56EA5"/>
    <w:rsid w:val="00E56EFC"/>
    <w:rsid w:val="00E57E75"/>
    <w:rsid w:val="00E611FB"/>
    <w:rsid w:val="00E621A7"/>
    <w:rsid w:val="00E6426B"/>
    <w:rsid w:val="00E64D5F"/>
    <w:rsid w:val="00E673DD"/>
    <w:rsid w:val="00E677CB"/>
    <w:rsid w:val="00E679C4"/>
    <w:rsid w:val="00E7069B"/>
    <w:rsid w:val="00E70DAE"/>
    <w:rsid w:val="00E718B7"/>
    <w:rsid w:val="00E72555"/>
    <w:rsid w:val="00E73A57"/>
    <w:rsid w:val="00E73B78"/>
    <w:rsid w:val="00E740A0"/>
    <w:rsid w:val="00E7433B"/>
    <w:rsid w:val="00E76079"/>
    <w:rsid w:val="00E77B43"/>
    <w:rsid w:val="00E8090D"/>
    <w:rsid w:val="00E8194F"/>
    <w:rsid w:val="00E832B9"/>
    <w:rsid w:val="00E83C9A"/>
    <w:rsid w:val="00E859EC"/>
    <w:rsid w:val="00E877E4"/>
    <w:rsid w:val="00E93674"/>
    <w:rsid w:val="00E94364"/>
    <w:rsid w:val="00E9632B"/>
    <w:rsid w:val="00E9773A"/>
    <w:rsid w:val="00EA0745"/>
    <w:rsid w:val="00EA128C"/>
    <w:rsid w:val="00EA19AB"/>
    <w:rsid w:val="00EA4032"/>
    <w:rsid w:val="00EA5C31"/>
    <w:rsid w:val="00EA769C"/>
    <w:rsid w:val="00EB02B4"/>
    <w:rsid w:val="00EB04C7"/>
    <w:rsid w:val="00EB23B7"/>
    <w:rsid w:val="00EB2B7B"/>
    <w:rsid w:val="00EB39FB"/>
    <w:rsid w:val="00EB57F4"/>
    <w:rsid w:val="00EB5B9B"/>
    <w:rsid w:val="00EB7F00"/>
    <w:rsid w:val="00EC1B19"/>
    <w:rsid w:val="00EC2662"/>
    <w:rsid w:val="00EC31D9"/>
    <w:rsid w:val="00EC5160"/>
    <w:rsid w:val="00EC52FE"/>
    <w:rsid w:val="00EC7A99"/>
    <w:rsid w:val="00ED1289"/>
    <w:rsid w:val="00ED2DE3"/>
    <w:rsid w:val="00ED3A9D"/>
    <w:rsid w:val="00ED46F1"/>
    <w:rsid w:val="00EE05BA"/>
    <w:rsid w:val="00EE3873"/>
    <w:rsid w:val="00EE6BEE"/>
    <w:rsid w:val="00EE7B38"/>
    <w:rsid w:val="00EF045C"/>
    <w:rsid w:val="00EF096F"/>
    <w:rsid w:val="00EF0F6C"/>
    <w:rsid w:val="00EF1518"/>
    <w:rsid w:val="00EF5B2E"/>
    <w:rsid w:val="00EF6487"/>
    <w:rsid w:val="00F00804"/>
    <w:rsid w:val="00F01D31"/>
    <w:rsid w:val="00F02393"/>
    <w:rsid w:val="00F0272F"/>
    <w:rsid w:val="00F030B1"/>
    <w:rsid w:val="00F07879"/>
    <w:rsid w:val="00F079E8"/>
    <w:rsid w:val="00F10C1A"/>
    <w:rsid w:val="00F1187C"/>
    <w:rsid w:val="00F120AA"/>
    <w:rsid w:val="00F133DC"/>
    <w:rsid w:val="00F14BB4"/>
    <w:rsid w:val="00F158D7"/>
    <w:rsid w:val="00F161CC"/>
    <w:rsid w:val="00F16795"/>
    <w:rsid w:val="00F16BEE"/>
    <w:rsid w:val="00F17209"/>
    <w:rsid w:val="00F17F85"/>
    <w:rsid w:val="00F2723C"/>
    <w:rsid w:val="00F27E0C"/>
    <w:rsid w:val="00F32DAF"/>
    <w:rsid w:val="00F36686"/>
    <w:rsid w:val="00F36700"/>
    <w:rsid w:val="00F36CFA"/>
    <w:rsid w:val="00F40ADC"/>
    <w:rsid w:val="00F41131"/>
    <w:rsid w:val="00F41D27"/>
    <w:rsid w:val="00F423E0"/>
    <w:rsid w:val="00F42FEE"/>
    <w:rsid w:val="00F50957"/>
    <w:rsid w:val="00F50C63"/>
    <w:rsid w:val="00F5226D"/>
    <w:rsid w:val="00F54337"/>
    <w:rsid w:val="00F54F21"/>
    <w:rsid w:val="00F564A4"/>
    <w:rsid w:val="00F60AF5"/>
    <w:rsid w:val="00F61789"/>
    <w:rsid w:val="00F61A89"/>
    <w:rsid w:val="00F6419A"/>
    <w:rsid w:val="00F64535"/>
    <w:rsid w:val="00F65E24"/>
    <w:rsid w:val="00F67AEB"/>
    <w:rsid w:val="00F72373"/>
    <w:rsid w:val="00F72D6E"/>
    <w:rsid w:val="00F7361B"/>
    <w:rsid w:val="00F75DDC"/>
    <w:rsid w:val="00F75F91"/>
    <w:rsid w:val="00F76105"/>
    <w:rsid w:val="00F76824"/>
    <w:rsid w:val="00F7687C"/>
    <w:rsid w:val="00F80CE8"/>
    <w:rsid w:val="00F8117E"/>
    <w:rsid w:val="00F8192D"/>
    <w:rsid w:val="00F8272F"/>
    <w:rsid w:val="00F83468"/>
    <w:rsid w:val="00F852AB"/>
    <w:rsid w:val="00F865F7"/>
    <w:rsid w:val="00F879A1"/>
    <w:rsid w:val="00F90C32"/>
    <w:rsid w:val="00F9274E"/>
    <w:rsid w:val="00F9293F"/>
    <w:rsid w:val="00F92BDD"/>
    <w:rsid w:val="00F93B60"/>
    <w:rsid w:val="00F952F2"/>
    <w:rsid w:val="00F95C12"/>
    <w:rsid w:val="00F96E30"/>
    <w:rsid w:val="00F97880"/>
    <w:rsid w:val="00F978EB"/>
    <w:rsid w:val="00FA18AB"/>
    <w:rsid w:val="00FA53D6"/>
    <w:rsid w:val="00FA7C02"/>
    <w:rsid w:val="00FB0377"/>
    <w:rsid w:val="00FB143E"/>
    <w:rsid w:val="00FB3162"/>
    <w:rsid w:val="00FB635D"/>
    <w:rsid w:val="00FB67D4"/>
    <w:rsid w:val="00FB758B"/>
    <w:rsid w:val="00FB75A1"/>
    <w:rsid w:val="00FC217E"/>
    <w:rsid w:val="00FC2EBB"/>
    <w:rsid w:val="00FC3695"/>
    <w:rsid w:val="00FC3C2A"/>
    <w:rsid w:val="00FC4206"/>
    <w:rsid w:val="00FC4A86"/>
    <w:rsid w:val="00FC4DAD"/>
    <w:rsid w:val="00FC590E"/>
    <w:rsid w:val="00FC696D"/>
    <w:rsid w:val="00FC7E06"/>
    <w:rsid w:val="00FD004B"/>
    <w:rsid w:val="00FD0987"/>
    <w:rsid w:val="00FD0B4E"/>
    <w:rsid w:val="00FD0EC3"/>
    <w:rsid w:val="00FD0F56"/>
    <w:rsid w:val="00FD3954"/>
    <w:rsid w:val="00FD627B"/>
    <w:rsid w:val="00FD6299"/>
    <w:rsid w:val="00FD6F40"/>
    <w:rsid w:val="00FE199F"/>
    <w:rsid w:val="00FE256F"/>
    <w:rsid w:val="00FE294F"/>
    <w:rsid w:val="00FE58E0"/>
    <w:rsid w:val="00FE5D95"/>
    <w:rsid w:val="00FE71DA"/>
    <w:rsid w:val="00FF0562"/>
    <w:rsid w:val="00FF0895"/>
    <w:rsid w:val="00FF361E"/>
    <w:rsid w:val="00FF3C8F"/>
    <w:rsid w:val="00FF7AF3"/>
    <w:rsid w:val="2C47B30A"/>
    <w:rsid w:val="3513D386"/>
    <w:rsid w:val="593CC8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D5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3F"/>
  </w:style>
  <w:style w:type="paragraph" w:styleId="Heading1">
    <w:name w:val="heading 1"/>
    <w:basedOn w:val="Normal"/>
    <w:next w:val="Normal"/>
    <w:link w:val="Heading1Char"/>
    <w:uiPriority w:val="9"/>
    <w:qFormat/>
    <w:rsid w:val="009E11AF"/>
    <w:pPr>
      <w:keepNext/>
      <w:keepLines/>
      <w:spacing w:before="240" w:after="0" w:line="240" w:lineRule="auto"/>
      <w:jc w:val="center"/>
      <w:outlineLvl w:val="0"/>
    </w:pPr>
    <w:rPr>
      <w:rFonts w:ascii="Calibri" w:eastAsiaTheme="majorEastAsia" w:hAnsi="Calibr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9E11AF"/>
    <w:pPr>
      <w:keepNext/>
      <w:keepLines/>
      <w:spacing w:before="240"/>
      <w:outlineLvl w:val="1"/>
    </w:pPr>
    <w:rPr>
      <w:rFonts w:ascii="Calibri" w:eastAsiaTheme="majorEastAsia" w:hAnsi="Calibri"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8536FD"/>
    <w:pPr>
      <w:keepNext/>
      <w:keepLines/>
      <w:outlineLvl w:val="2"/>
    </w:pPr>
    <w:rPr>
      <w:rFonts w:asciiTheme="majorHAnsi" w:eastAsiaTheme="majorEastAsia" w:hAnsiTheme="majorHAnsi" w:cstheme="majorBidi"/>
      <w:color w:val="2F5496" w:themeColor="accent1" w:themeShade="B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locked/>
    <w:rsid w:val="00BF0F2A"/>
    <w:rPr>
      <w:rFonts w:ascii="Arial Narrow" w:hAnsi="Arial Narrow"/>
      <w:sz w:val="20"/>
    </w:rPr>
  </w:style>
  <w:style w:type="paragraph" w:customStyle="1" w:styleId="TableText">
    <w:name w:val="Table Text"/>
    <w:basedOn w:val="Normal"/>
    <w:link w:val="TableTextChar"/>
    <w:qFormat/>
    <w:rsid w:val="00BF0F2A"/>
    <w:pPr>
      <w:spacing w:before="40" w:after="40" w:line="240" w:lineRule="auto"/>
    </w:pPr>
    <w:rPr>
      <w:rFonts w:ascii="Arial Narrow" w:hAnsi="Arial Narrow"/>
      <w:sz w:val="20"/>
    </w:rPr>
  </w:style>
  <w:style w:type="character" w:styleId="CommentReference">
    <w:name w:val="annotation reference"/>
    <w:basedOn w:val="DefaultParagraphFont"/>
    <w:uiPriority w:val="99"/>
    <w:semiHidden/>
    <w:unhideWhenUsed/>
    <w:rsid w:val="00BF0F2A"/>
    <w:rPr>
      <w:sz w:val="16"/>
      <w:szCs w:val="16"/>
    </w:rPr>
  </w:style>
  <w:style w:type="paragraph" w:styleId="CommentText">
    <w:name w:val="annotation text"/>
    <w:basedOn w:val="Normal"/>
    <w:link w:val="CommentTextChar"/>
    <w:uiPriority w:val="99"/>
    <w:unhideWhenUsed/>
    <w:rsid w:val="00BF0F2A"/>
    <w:pPr>
      <w:spacing w:line="240" w:lineRule="auto"/>
    </w:pPr>
    <w:rPr>
      <w:sz w:val="20"/>
      <w:szCs w:val="20"/>
    </w:rPr>
  </w:style>
  <w:style w:type="character" w:customStyle="1" w:styleId="CommentTextChar">
    <w:name w:val="Comment Text Char"/>
    <w:basedOn w:val="DefaultParagraphFont"/>
    <w:link w:val="CommentText"/>
    <w:uiPriority w:val="99"/>
    <w:rsid w:val="00BF0F2A"/>
    <w:rPr>
      <w:sz w:val="20"/>
      <w:szCs w:val="20"/>
    </w:rPr>
  </w:style>
  <w:style w:type="paragraph" w:styleId="CommentSubject">
    <w:name w:val="annotation subject"/>
    <w:basedOn w:val="CommentText"/>
    <w:next w:val="CommentText"/>
    <w:link w:val="CommentSubjectChar"/>
    <w:uiPriority w:val="99"/>
    <w:semiHidden/>
    <w:unhideWhenUsed/>
    <w:rsid w:val="00BF0F2A"/>
    <w:rPr>
      <w:b/>
      <w:bCs/>
    </w:rPr>
  </w:style>
  <w:style w:type="character" w:customStyle="1" w:styleId="CommentSubjectChar">
    <w:name w:val="Comment Subject Char"/>
    <w:basedOn w:val="CommentTextChar"/>
    <w:link w:val="CommentSubject"/>
    <w:uiPriority w:val="99"/>
    <w:semiHidden/>
    <w:rsid w:val="00BF0F2A"/>
    <w:rPr>
      <w:b/>
      <w:bCs/>
      <w:sz w:val="20"/>
      <w:szCs w:val="20"/>
    </w:rPr>
  </w:style>
  <w:style w:type="paragraph" w:styleId="ListParagraph">
    <w:name w:val="List Paragraph"/>
    <w:basedOn w:val="Normal"/>
    <w:uiPriority w:val="34"/>
    <w:qFormat/>
    <w:rsid w:val="00BF0F2A"/>
    <w:pPr>
      <w:ind w:left="720"/>
      <w:contextualSpacing/>
    </w:pPr>
  </w:style>
  <w:style w:type="character" w:styleId="Hyperlink">
    <w:name w:val="Hyperlink"/>
    <w:basedOn w:val="DefaultParagraphFont"/>
    <w:uiPriority w:val="99"/>
    <w:unhideWhenUsed/>
    <w:rsid w:val="008B0D59"/>
    <w:rPr>
      <w:color w:val="0563C1" w:themeColor="hyperlink"/>
      <w:u w:val="single"/>
    </w:rPr>
  </w:style>
  <w:style w:type="character" w:styleId="UnresolvedMention">
    <w:name w:val="Unresolved Mention"/>
    <w:basedOn w:val="DefaultParagraphFont"/>
    <w:uiPriority w:val="99"/>
    <w:semiHidden/>
    <w:unhideWhenUsed/>
    <w:rsid w:val="008B0D59"/>
    <w:rPr>
      <w:color w:val="605E5C"/>
      <w:shd w:val="clear" w:color="auto" w:fill="E1DFDD"/>
    </w:rPr>
  </w:style>
  <w:style w:type="paragraph" w:styleId="NormalWeb">
    <w:name w:val="Normal (Web)"/>
    <w:basedOn w:val="Normal"/>
    <w:uiPriority w:val="99"/>
    <w:semiHidden/>
    <w:unhideWhenUsed/>
    <w:rsid w:val="003D42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50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8C3"/>
  </w:style>
  <w:style w:type="paragraph" w:styleId="Footer">
    <w:name w:val="footer"/>
    <w:basedOn w:val="Normal"/>
    <w:link w:val="FooterChar"/>
    <w:uiPriority w:val="99"/>
    <w:unhideWhenUsed/>
    <w:rsid w:val="00D50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8C3"/>
  </w:style>
  <w:style w:type="paragraph" w:styleId="Revision">
    <w:name w:val="Revision"/>
    <w:hidden/>
    <w:uiPriority w:val="99"/>
    <w:semiHidden/>
    <w:rsid w:val="00C11676"/>
    <w:pPr>
      <w:spacing w:after="0" w:line="240" w:lineRule="auto"/>
    </w:pPr>
  </w:style>
  <w:style w:type="paragraph" w:customStyle="1" w:styleId="In-tableHeading">
    <w:name w:val="In-table Heading"/>
    <w:qFormat/>
    <w:rsid w:val="001B0050"/>
    <w:pPr>
      <w:keepNext/>
      <w:spacing w:after="0" w:line="240" w:lineRule="auto"/>
    </w:pPr>
    <w:rPr>
      <w:rFonts w:ascii="Arial Narrow" w:eastAsiaTheme="majorEastAsia" w:hAnsi="Arial Narrow" w:cs="Times New Roman"/>
      <w:b/>
      <w:sz w:val="20"/>
      <w:szCs w:val="24"/>
      <w:lang w:val="en-US" w:eastAsia="en-AU"/>
    </w:rPr>
  </w:style>
  <w:style w:type="paragraph" w:styleId="FootnoteText">
    <w:name w:val="footnote text"/>
    <w:basedOn w:val="Normal"/>
    <w:link w:val="FootnoteTextChar"/>
    <w:uiPriority w:val="99"/>
    <w:semiHidden/>
    <w:unhideWhenUsed/>
    <w:rsid w:val="00C03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9B4"/>
    <w:rPr>
      <w:sz w:val="20"/>
      <w:szCs w:val="20"/>
    </w:rPr>
  </w:style>
  <w:style w:type="character" w:styleId="FootnoteReference">
    <w:name w:val="footnote reference"/>
    <w:basedOn w:val="DefaultParagraphFont"/>
    <w:uiPriority w:val="99"/>
    <w:semiHidden/>
    <w:unhideWhenUsed/>
    <w:rsid w:val="00C039B4"/>
    <w:rPr>
      <w:vertAlign w:val="superscript"/>
    </w:rPr>
  </w:style>
  <w:style w:type="character" w:customStyle="1" w:styleId="Heading2Char">
    <w:name w:val="Heading 2 Char"/>
    <w:basedOn w:val="DefaultParagraphFont"/>
    <w:link w:val="Heading2"/>
    <w:uiPriority w:val="9"/>
    <w:rsid w:val="009E11AF"/>
    <w:rPr>
      <w:rFonts w:ascii="Calibri" w:eastAsiaTheme="majorEastAsia" w:hAnsi="Calibri" w:cstheme="majorBidi"/>
      <w:b/>
      <w:color w:val="2F5496" w:themeColor="accent1" w:themeShade="BF"/>
      <w:sz w:val="36"/>
      <w:szCs w:val="26"/>
    </w:rPr>
  </w:style>
  <w:style w:type="character" w:customStyle="1" w:styleId="Heading1Char">
    <w:name w:val="Heading 1 Char"/>
    <w:basedOn w:val="DefaultParagraphFont"/>
    <w:link w:val="Heading1"/>
    <w:uiPriority w:val="9"/>
    <w:rsid w:val="009E11AF"/>
    <w:rPr>
      <w:rFonts w:ascii="Calibri" w:eastAsiaTheme="majorEastAsia" w:hAnsi="Calibri" w:cstheme="majorBidi"/>
      <w:b/>
      <w:color w:val="2F5496" w:themeColor="accent1" w:themeShade="BF"/>
      <w:sz w:val="36"/>
      <w:szCs w:val="32"/>
    </w:rPr>
  </w:style>
  <w:style w:type="character" w:styleId="FollowedHyperlink">
    <w:name w:val="FollowedHyperlink"/>
    <w:basedOn w:val="DefaultParagraphFont"/>
    <w:uiPriority w:val="99"/>
    <w:semiHidden/>
    <w:unhideWhenUsed/>
    <w:rsid w:val="00BA1283"/>
    <w:rPr>
      <w:color w:val="954F72" w:themeColor="followedHyperlink"/>
      <w:u w:val="single"/>
    </w:rPr>
  </w:style>
  <w:style w:type="character" w:customStyle="1" w:styleId="Heading3Char">
    <w:name w:val="Heading 3 Char"/>
    <w:basedOn w:val="DefaultParagraphFont"/>
    <w:link w:val="Heading3"/>
    <w:uiPriority w:val="9"/>
    <w:rsid w:val="008536FD"/>
    <w:rPr>
      <w:rFonts w:asciiTheme="majorHAnsi" w:eastAsiaTheme="majorEastAsia" w:hAnsiTheme="majorHAnsi" w:cstheme="majorBidi"/>
      <w:color w:val="2F5496" w:themeColor="accent1" w:themeShade="BF"/>
      <w:sz w:val="28"/>
      <w:szCs w:val="24"/>
      <w:u w:val="single"/>
    </w:rPr>
  </w:style>
  <w:style w:type="character" w:styleId="Mention">
    <w:name w:val="Mention"/>
    <w:basedOn w:val="DefaultParagraphFont"/>
    <w:uiPriority w:val="99"/>
    <w:unhideWhenUsed/>
    <w:rsid w:val="003541AE"/>
    <w:rPr>
      <w:color w:val="2B579A"/>
      <w:shd w:val="clear" w:color="auto" w:fill="E1DFDD"/>
    </w:rPr>
  </w:style>
  <w:style w:type="paragraph" w:customStyle="1" w:styleId="Default">
    <w:name w:val="Default"/>
    <w:rsid w:val="00AF09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00068">
      <w:bodyDiv w:val="1"/>
      <w:marLeft w:val="0"/>
      <w:marRight w:val="0"/>
      <w:marTop w:val="0"/>
      <w:marBottom w:val="0"/>
      <w:divBdr>
        <w:top w:val="none" w:sz="0" w:space="0" w:color="auto"/>
        <w:left w:val="none" w:sz="0" w:space="0" w:color="auto"/>
        <w:bottom w:val="none" w:sz="0" w:space="0" w:color="auto"/>
        <w:right w:val="none" w:sz="0" w:space="0" w:color="auto"/>
      </w:divBdr>
    </w:div>
    <w:div w:id="226889579">
      <w:bodyDiv w:val="1"/>
      <w:marLeft w:val="0"/>
      <w:marRight w:val="0"/>
      <w:marTop w:val="0"/>
      <w:marBottom w:val="0"/>
      <w:divBdr>
        <w:top w:val="none" w:sz="0" w:space="0" w:color="auto"/>
        <w:left w:val="none" w:sz="0" w:space="0" w:color="auto"/>
        <w:bottom w:val="none" w:sz="0" w:space="0" w:color="auto"/>
        <w:right w:val="none" w:sz="0" w:space="0" w:color="auto"/>
      </w:divBdr>
    </w:div>
    <w:div w:id="296374834">
      <w:bodyDiv w:val="1"/>
      <w:marLeft w:val="0"/>
      <w:marRight w:val="0"/>
      <w:marTop w:val="0"/>
      <w:marBottom w:val="0"/>
      <w:divBdr>
        <w:top w:val="none" w:sz="0" w:space="0" w:color="auto"/>
        <w:left w:val="none" w:sz="0" w:space="0" w:color="auto"/>
        <w:bottom w:val="none" w:sz="0" w:space="0" w:color="auto"/>
        <w:right w:val="none" w:sz="0" w:space="0" w:color="auto"/>
      </w:divBdr>
    </w:div>
    <w:div w:id="943029521">
      <w:bodyDiv w:val="1"/>
      <w:marLeft w:val="0"/>
      <w:marRight w:val="0"/>
      <w:marTop w:val="0"/>
      <w:marBottom w:val="0"/>
      <w:divBdr>
        <w:top w:val="none" w:sz="0" w:space="0" w:color="auto"/>
        <w:left w:val="none" w:sz="0" w:space="0" w:color="auto"/>
        <w:bottom w:val="none" w:sz="0" w:space="0" w:color="auto"/>
        <w:right w:val="none" w:sz="0" w:space="0" w:color="auto"/>
      </w:divBdr>
    </w:div>
    <w:div w:id="1217014944">
      <w:bodyDiv w:val="1"/>
      <w:marLeft w:val="0"/>
      <w:marRight w:val="0"/>
      <w:marTop w:val="0"/>
      <w:marBottom w:val="0"/>
      <w:divBdr>
        <w:top w:val="none" w:sz="0" w:space="0" w:color="auto"/>
        <w:left w:val="none" w:sz="0" w:space="0" w:color="auto"/>
        <w:bottom w:val="none" w:sz="0" w:space="0" w:color="auto"/>
        <w:right w:val="none" w:sz="0" w:space="0" w:color="auto"/>
      </w:divBdr>
    </w:div>
    <w:div w:id="1635138303">
      <w:bodyDiv w:val="1"/>
      <w:marLeft w:val="0"/>
      <w:marRight w:val="0"/>
      <w:marTop w:val="0"/>
      <w:marBottom w:val="0"/>
      <w:divBdr>
        <w:top w:val="none" w:sz="0" w:space="0" w:color="auto"/>
        <w:left w:val="none" w:sz="0" w:space="0" w:color="auto"/>
        <w:bottom w:val="none" w:sz="0" w:space="0" w:color="auto"/>
        <w:right w:val="none" w:sz="0" w:space="0" w:color="auto"/>
      </w:divBdr>
    </w:div>
    <w:div w:id="1718623958">
      <w:bodyDiv w:val="1"/>
      <w:marLeft w:val="0"/>
      <w:marRight w:val="0"/>
      <w:marTop w:val="0"/>
      <w:marBottom w:val="0"/>
      <w:divBdr>
        <w:top w:val="none" w:sz="0" w:space="0" w:color="auto"/>
        <w:left w:val="none" w:sz="0" w:space="0" w:color="auto"/>
        <w:bottom w:val="none" w:sz="0" w:space="0" w:color="auto"/>
        <w:right w:val="none" w:sz="0" w:space="0" w:color="auto"/>
      </w:divBdr>
    </w:div>
    <w:div w:id="1874995634">
      <w:bodyDiv w:val="1"/>
      <w:marLeft w:val="0"/>
      <w:marRight w:val="0"/>
      <w:marTop w:val="0"/>
      <w:marBottom w:val="0"/>
      <w:divBdr>
        <w:top w:val="none" w:sz="0" w:space="0" w:color="auto"/>
        <w:left w:val="none" w:sz="0" w:space="0" w:color="auto"/>
        <w:bottom w:val="none" w:sz="0" w:space="0" w:color="auto"/>
        <w:right w:val="none" w:sz="0" w:space="0" w:color="auto"/>
      </w:divBdr>
    </w:div>
    <w:div w:id="18769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a.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BA0F854552C1439E0B5A69FC45307D" ma:contentTypeVersion="11" ma:contentTypeDescription="Create a new document." ma:contentTypeScope="" ma:versionID="517a48d86dfafba03a77952ce660589c">
  <xsd:schema xmlns:xsd="http://www.w3.org/2001/XMLSchema" xmlns:xs="http://www.w3.org/2001/XMLSchema" xmlns:p="http://schemas.microsoft.com/office/2006/metadata/properties" xmlns:ns3="826ad85a-3479-4e4f-9f4e-f321c89067be" targetNamespace="http://schemas.microsoft.com/office/2006/metadata/properties" ma:root="true" ma:fieldsID="5f4633845a0e61a6ffa3ce15d0c0788e" ns3:_="">
    <xsd:import namespace="826ad85a-3479-4e4f-9f4e-f321c89067b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ad85a-3479-4e4f-9f4e-f321c890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26ad85a-3479-4e4f-9f4e-f321c89067be" xsi:nil="true"/>
  </documentManagement>
</p:properties>
</file>

<file path=customXml/itemProps1.xml><?xml version="1.0" encoding="utf-8"?>
<ds:datastoreItem xmlns:ds="http://schemas.openxmlformats.org/officeDocument/2006/customXml" ds:itemID="{096148D4-095F-4529-98FA-D858007B9D7D}">
  <ds:schemaRefs>
    <ds:schemaRef ds:uri="http://schemas.openxmlformats.org/officeDocument/2006/bibliography"/>
  </ds:schemaRefs>
</ds:datastoreItem>
</file>

<file path=customXml/itemProps2.xml><?xml version="1.0" encoding="utf-8"?>
<ds:datastoreItem xmlns:ds="http://schemas.openxmlformats.org/officeDocument/2006/customXml" ds:itemID="{56627557-F3DD-4251-8F66-401158038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ad85a-3479-4e4f-9f4e-f321c8906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CC49C-E733-4379-AB54-F44A0DFDADA5}">
  <ds:schemaRefs>
    <ds:schemaRef ds:uri="http://schemas.microsoft.com/sharepoint/v3/contenttype/forms"/>
  </ds:schemaRefs>
</ds:datastoreItem>
</file>

<file path=customXml/itemProps4.xml><?xml version="1.0" encoding="utf-8"?>
<ds:datastoreItem xmlns:ds="http://schemas.openxmlformats.org/officeDocument/2006/customXml" ds:itemID="{2A3AB9AC-C79A-4B22-A40B-46F9930AA2A0}">
  <ds:schemaRefs>
    <ds:schemaRef ds:uri="http://schemas.microsoft.com/office/2006/metadata/properties"/>
    <ds:schemaRef ds:uri="http://schemas.microsoft.com/office/infopath/2007/PartnerControls"/>
    <ds:schemaRef ds:uri="826ad85a-3479-4e4f-9f4e-f321c89067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1596</Words>
  <Characters>9036</Characters>
  <Application>Microsoft Office Word</Application>
  <DocSecurity>0</DocSecurity>
  <Lines>237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Links>
    <vt:vector size="174" baseType="variant">
      <vt:variant>
        <vt:i4>1769549</vt:i4>
      </vt:variant>
      <vt:variant>
        <vt:i4>75</vt:i4>
      </vt:variant>
      <vt:variant>
        <vt:i4>0</vt:i4>
      </vt:variant>
      <vt:variant>
        <vt:i4>5</vt:i4>
      </vt:variant>
      <vt:variant>
        <vt:lpwstr>https://hpp.health.gov.au/termsandcondition/?id=a20dfef2-0e27-46a6-85e2-51a568ddd3b9</vt:lpwstr>
      </vt:variant>
      <vt:variant>
        <vt:lpwstr/>
      </vt:variant>
      <vt:variant>
        <vt:i4>3276897</vt:i4>
      </vt:variant>
      <vt:variant>
        <vt:i4>72</vt:i4>
      </vt:variant>
      <vt:variant>
        <vt:i4>0</vt:i4>
      </vt:variant>
      <vt:variant>
        <vt:i4>5</vt:i4>
      </vt:variant>
      <vt:variant>
        <vt:lpwstr>https://www.msac.gov.au/resources/guidelines-preparing-assessments-msac</vt:lpwstr>
      </vt:variant>
      <vt:variant>
        <vt:lpwstr/>
      </vt:variant>
      <vt:variant>
        <vt:i4>6225977</vt:i4>
      </vt:variant>
      <vt:variant>
        <vt:i4>69</vt:i4>
      </vt:variant>
      <vt:variant>
        <vt:i4>0</vt:i4>
      </vt:variant>
      <vt:variant>
        <vt:i4>5</vt:i4>
      </vt:variant>
      <vt:variant>
        <vt:lpwstr/>
      </vt:variant>
      <vt:variant>
        <vt:lpwstr>_Other_Information_1</vt:lpwstr>
      </vt:variant>
      <vt:variant>
        <vt:i4>6225977</vt:i4>
      </vt:variant>
      <vt:variant>
        <vt:i4>66</vt:i4>
      </vt:variant>
      <vt:variant>
        <vt:i4>0</vt:i4>
      </vt:variant>
      <vt:variant>
        <vt:i4>5</vt:i4>
      </vt:variant>
      <vt:variant>
        <vt:lpwstr/>
      </vt:variant>
      <vt:variant>
        <vt:lpwstr>_Other_Information_1</vt:lpwstr>
      </vt:variant>
      <vt:variant>
        <vt:i4>4456477</vt:i4>
      </vt:variant>
      <vt:variant>
        <vt:i4>63</vt:i4>
      </vt:variant>
      <vt:variant>
        <vt:i4>0</vt:i4>
      </vt:variant>
      <vt:variant>
        <vt:i4>5</vt:i4>
      </vt:variant>
      <vt:variant>
        <vt:lpwstr>https://www.msac.gov.au/resources/framework-msac-assessment-radiopharmaceuticals</vt:lpwstr>
      </vt:variant>
      <vt:variant>
        <vt:lpwstr/>
      </vt:variant>
      <vt:variant>
        <vt:i4>5308480</vt:i4>
      </vt:variant>
      <vt:variant>
        <vt:i4>60</vt:i4>
      </vt:variant>
      <vt:variant>
        <vt:i4>0</vt:i4>
      </vt:variant>
      <vt:variant>
        <vt:i4>5</vt:i4>
      </vt:variant>
      <vt:variant>
        <vt:lpwstr>https://nata.com.au/</vt:lpwstr>
      </vt:variant>
      <vt:variant>
        <vt:lpwstr/>
      </vt:variant>
      <vt:variant>
        <vt:i4>6029369</vt:i4>
      </vt:variant>
      <vt:variant>
        <vt:i4>57</vt:i4>
      </vt:variant>
      <vt:variant>
        <vt:i4>0</vt:i4>
      </vt:variant>
      <vt:variant>
        <vt:i4>5</vt:i4>
      </vt:variant>
      <vt:variant>
        <vt:lpwstr/>
      </vt:variant>
      <vt:variant>
        <vt:lpwstr>_Other_Information_2</vt:lpwstr>
      </vt:variant>
      <vt:variant>
        <vt:i4>1835061</vt:i4>
      </vt:variant>
      <vt:variant>
        <vt:i4>54</vt:i4>
      </vt:variant>
      <vt:variant>
        <vt:i4>0</vt:i4>
      </vt:variant>
      <vt:variant>
        <vt:i4>5</vt:i4>
      </vt:variant>
      <vt:variant>
        <vt:lpwstr/>
      </vt:variant>
      <vt:variant>
        <vt:lpwstr>_Radiopharmaceuticals</vt:lpwstr>
      </vt:variant>
      <vt:variant>
        <vt:i4>458804</vt:i4>
      </vt:variant>
      <vt:variant>
        <vt:i4>51</vt:i4>
      </vt:variant>
      <vt:variant>
        <vt:i4>0</vt:i4>
      </vt:variant>
      <vt:variant>
        <vt:i4>5</vt:i4>
      </vt:variant>
      <vt:variant>
        <vt:lpwstr/>
      </vt:variant>
      <vt:variant>
        <vt:lpwstr>_B2:_NATA_Accreditation</vt:lpwstr>
      </vt:variant>
      <vt:variant>
        <vt:i4>6029369</vt:i4>
      </vt:variant>
      <vt:variant>
        <vt:i4>48</vt:i4>
      </vt:variant>
      <vt:variant>
        <vt:i4>0</vt:i4>
      </vt:variant>
      <vt:variant>
        <vt:i4>5</vt:i4>
      </vt:variant>
      <vt:variant>
        <vt:lpwstr/>
      </vt:variant>
      <vt:variant>
        <vt:lpwstr>_Other_Information_2</vt:lpwstr>
      </vt:variant>
      <vt:variant>
        <vt:i4>1835061</vt:i4>
      </vt:variant>
      <vt:variant>
        <vt:i4>45</vt:i4>
      </vt:variant>
      <vt:variant>
        <vt:i4>0</vt:i4>
      </vt:variant>
      <vt:variant>
        <vt:i4>5</vt:i4>
      </vt:variant>
      <vt:variant>
        <vt:lpwstr/>
      </vt:variant>
      <vt:variant>
        <vt:lpwstr>_Radiopharmaceuticals</vt:lpwstr>
      </vt:variant>
      <vt:variant>
        <vt:i4>458804</vt:i4>
      </vt:variant>
      <vt:variant>
        <vt:i4>42</vt:i4>
      </vt:variant>
      <vt:variant>
        <vt:i4>0</vt:i4>
      </vt:variant>
      <vt:variant>
        <vt:i4>5</vt:i4>
      </vt:variant>
      <vt:variant>
        <vt:lpwstr/>
      </vt:variant>
      <vt:variant>
        <vt:lpwstr>_B2:_NATA_Accreditation</vt:lpwstr>
      </vt:variant>
      <vt:variant>
        <vt:i4>6029369</vt:i4>
      </vt:variant>
      <vt:variant>
        <vt:i4>39</vt:i4>
      </vt:variant>
      <vt:variant>
        <vt:i4>0</vt:i4>
      </vt:variant>
      <vt:variant>
        <vt:i4>5</vt:i4>
      </vt:variant>
      <vt:variant>
        <vt:lpwstr/>
      </vt:variant>
      <vt:variant>
        <vt:lpwstr>_Other_Information_2</vt:lpwstr>
      </vt:variant>
      <vt:variant>
        <vt:i4>1835061</vt:i4>
      </vt:variant>
      <vt:variant>
        <vt:i4>36</vt:i4>
      </vt:variant>
      <vt:variant>
        <vt:i4>0</vt:i4>
      </vt:variant>
      <vt:variant>
        <vt:i4>5</vt:i4>
      </vt:variant>
      <vt:variant>
        <vt:lpwstr/>
      </vt:variant>
      <vt:variant>
        <vt:lpwstr>_Radiopharmaceuticals</vt:lpwstr>
      </vt:variant>
      <vt:variant>
        <vt:i4>458804</vt:i4>
      </vt:variant>
      <vt:variant>
        <vt:i4>33</vt:i4>
      </vt:variant>
      <vt:variant>
        <vt:i4>0</vt:i4>
      </vt:variant>
      <vt:variant>
        <vt:i4>5</vt:i4>
      </vt:variant>
      <vt:variant>
        <vt:lpwstr/>
      </vt:variant>
      <vt:variant>
        <vt:lpwstr>_B2:_NATA_Accreditation</vt:lpwstr>
      </vt:variant>
      <vt:variant>
        <vt:i4>5505032</vt:i4>
      </vt:variant>
      <vt:variant>
        <vt:i4>30</vt:i4>
      </vt:variant>
      <vt:variant>
        <vt:i4>0</vt:i4>
      </vt:variant>
      <vt:variant>
        <vt:i4>5</vt:i4>
      </vt:variant>
      <vt:variant>
        <vt:lpwstr>https://www.msac.gov.au/apply/before-you-apply/application-timelines</vt:lpwstr>
      </vt:variant>
      <vt:variant>
        <vt:lpwstr>regulatory-processes</vt:lpwstr>
      </vt:variant>
      <vt:variant>
        <vt:i4>7209062</vt:i4>
      </vt:variant>
      <vt:variant>
        <vt:i4>27</vt:i4>
      </vt:variant>
      <vt:variant>
        <vt:i4>0</vt:i4>
      </vt:variant>
      <vt:variant>
        <vt:i4>5</vt:i4>
      </vt:variant>
      <vt:variant>
        <vt:lpwstr/>
      </vt:variant>
      <vt:variant>
        <vt:lpwstr>_Other_Information</vt:lpwstr>
      </vt:variant>
      <vt:variant>
        <vt:i4>1835061</vt:i4>
      </vt:variant>
      <vt:variant>
        <vt:i4>24</vt:i4>
      </vt:variant>
      <vt:variant>
        <vt:i4>0</vt:i4>
      </vt:variant>
      <vt:variant>
        <vt:i4>5</vt:i4>
      </vt:variant>
      <vt:variant>
        <vt:lpwstr/>
      </vt:variant>
      <vt:variant>
        <vt:lpwstr>_Radiopharmaceuticals</vt:lpwstr>
      </vt:variant>
      <vt:variant>
        <vt:i4>458804</vt:i4>
      </vt:variant>
      <vt:variant>
        <vt:i4>21</vt:i4>
      </vt:variant>
      <vt:variant>
        <vt:i4>0</vt:i4>
      </vt:variant>
      <vt:variant>
        <vt:i4>5</vt:i4>
      </vt:variant>
      <vt:variant>
        <vt:lpwstr/>
      </vt:variant>
      <vt:variant>
        <vt:lpwstr>_B2:_NATA_Accreditation</vt:lpwstr>
      </vt:variant>
      <vt:variant>
        <vt:i4>3735612</vt:i4>
      </vt:variant>
      <vt:variant>
        <vt:i4>18</vt:i4>
      </vt:variant>
      <vt:variant>
        <vt:i4>0</vt:i4>
      </vt:variant>
      <vt:variant>
        <vt:i4>5</vt:i4>
      </vt:variant>
      <vt:variant>
        <vt:lpwstr/>
      </vt:variant>
      <vt:variant>
        <vt:lpwstr>_ARTG_Listing</vt:lpwstr>
      </vt:variant>
      <vt:variant>
        <vt:i4>6357057</vt:i4>
      </vt:variant>
      <vt:variant>
        <vt:i4>15</vt:i4>
      </vt:variant>
      <vt:variant>
        <vt:i4>0</vt:i4>
      </vt:variant>
      <vt:variant>
        <vt:i4>5</vt:i4>
      </vt:variant>
      <vt:variant>
        <vt:lpwstr>mailto:MSAC.secretariat@health.gov.au</vt:lpwstr>
      </vt:variant>
      <vt:variant>
        <vt:lpwstr/>
      </vt:variant>
      <vt:variant>
        <vt:i4>7602248</vt:i4>
      </vt:variant>
      <vt:variant>
        <vt:i4>12</vt:i4>
      </vt:variant>
      <vt:variant>
        <vt:i4>0</vt:i4>
      </vt:variant>
      <vt:variant>
        <vt:i4>5</vt:i4>
      </vt:variant>
      <vt:variant>
        <vt:lpwstr/>
      </vt:variant>
      <vt:variant>
        <vt:lpwstr>_Table_2:_Summary</vt:lpwstr>
      </vt:variant>
      <vt:variant>
        <vt:i4>917520</vt:i4>
      </vt:variant>
      <vt:variant>
        <vt:i4>9</vt:i4>
      </vt:variant>
      <vt:variant>
        <vt:i4>0</vt:i4>
      </vt:variant>
      <vt:variant>
        <vt:i4>5</vt:i4>
      </vt:variant>
      <vt:variant>
        <vt:lpwstr>https://www.msac.gov.au/apply/before-you-apply/assessment-reports</vt:lpwstr>
      </vt:variant>
      <vt:variant>
        <vt:lpwstr/>
      </vt:variant>
      <vt:variant>
        <vt:i4>1048669</vt:i4>
      </vt:variant>
      <vt:variant>
        <vt:i4>6</vt:i4>
      </vt:variant>
      <vt:variant>
        <vt:i4>0</vt:i4>
      </vt:variant>
      <vt:variant>
        <vt:i4>5</vt:i4>
      </vt:variant>
      <vt:variant>
        <vt:lpwstr>https://www.msac.gov.au/resources/applicant-developed-assessment-report-adar-template</vt:lpwstr>
      </vt:variant>
      <vt:variant>
        <vt:lpwstr/>
      </vt:variant>
      <vt:variant>
        <vt:i4>1048669</vt:i4>
      </vt:variant>
      <vt:variant>
        <vt:i4>3</vt:i4>
      </vt:variant>
      <vt:variant>
        <vt:i4>0</vt:i4>
      </vt:variant>
      <vt:variant>
        <vt:i4>5</vt:i4>
      </vt:variant>
      <vt:variant>
        <vt:lpwstr>https://www.msac.gov.au/resources/applicant-developed-assessment-report-adar-template</vt:lpwstr>
      </vt:variant>
      <vt:variant>
        <vt:lpwstr/>
      </vt:variant>
      <vt:variant>
        <vt:i4>6357057</vt:i4>
      </vt:variant>
      <vt:variant>
        <vt:i4>0</vt:i4>
      </vt:variant>
      <vt:variant>
        <vt:i4>0</vt:i4>
      </vt:variant>
      <vt:variant>
        <vt:i4>5</vt:i4>
      </vt:variant>
      <vt:variant>
        <vt:lpwstr>mailto:MSAC.secretariat@health.gov.au</vt:lpwstr>
      </vt:variant>
      <vt:variant>
        <vt:lpwstr/>
      </vt:variant>
      <vt:variant>
        <vt:i4>4391019</vt:i4>
      </vt:variant>
      <vt:variant>
        <vt:i4>6</vt:i4>
      </vt:variant>
      <vt:variant>
        <vt:i4>0</vt:i4>
      </vt:variant>
      <vt:variant>
        <vt:i4>5</vt:i4>
      </vt:variant>
      <vt:variant>
        <vt:lpwstr>mailto:hillm20@medtronic.com</vt:lpwstr>
      </vt:variant>
      <vt:variant>
        <vt:lpwstr/>
      </vt:variant>
      <vt:variant>
        <vt:i4>4325428</vt:i4>
      </vt:variant>
      <vt:variant>
        <vt:i4>3</vt:i4>
      </vt:variant>
      <vt:variant>
        <vt:i4>0</vt:i4>
      </vt:variant>
      <vt:variant>
        <vt:i4>5</vt:i4>
      </vt:variant>
      <vt:variant>
        <vt:lpwstr>mailto:vaikub2@medtronic.com</vt:lpwstr>
      </vt:variant>
      <vt:variant>
        <vt:lpwstr/>
      </vt:variant>
      <vt:variant>
        <vt:i4>4325428</vt:i4>
      </vt:variant>
      <vt:variant>
        <vt:i4>0</vt:i4>
      </vt:variant>
      <vt:variant>
        <vt:i4>0</vt:i4>
      </vt:variant>
      <vt:variant>
        <vt:i4>5</vt:i4>
      </vt:variant>
      <vt:variant>
        <vt:lpwstr>mailto:vaikub2@medtronic.com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1782.1 MSAC REAPPLICATION TEMPLATE</dc:title>
  <dc:subject/>
  <dc:creator/>
  <cp:keywords>MSAC applicationa</cp:keywords>
  <dc:description/>
  <cp:lastModifiedBy/>
  <cp:revision>1</cp:revision>
  <dcterms:created xsi:type="dcterms:W3CDTF">2026-02-26T22:48:00Z</dcterms:created>
  <dcterms:modified xsi:type="dcterms:W3CDTF">2026-02-26T22:50:00Z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1c32ae0b,44e3ffad,54d9d142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115580f6,7639ed49,52e6d70c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2026-02-23T00:27:07Z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f07b2f9e-2171-4b68-b89a-69a5e102bd0d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0x010100C4BA0F854552C1439E0B5A69FC45307D</vt:lpwstr>
  </property>
</Properties>
</file>