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06733" w14:textId="77777777" w:rsidR="000523F7" w:rsidRPr="00DD31A7" w:rsidRDefault="000523F7" w:rsidP="000523F7">
      <w:pPr>
        <w:pStyle w:val="Heading1"/>
        <w:numPr>
          <w:ilvl w:val="0"/>
          <w:numId w:val="0"/>
        </w:numPr>
        <w:pBdr>
          <w:bottom w:val="none" w:sz="0" w:space="0" w:color="auto"/>
        </w:pBdr>
        <w:spacing w:before="0" w:after="0"/>
        <w:ind w:left="788"/>
        <w:jc w:val="center"/>
        <w:rPr>
          <w:rFonts w:ascii="Arial" w:hAnsi="Arial" w:cs="Arial"/>
          <w:b/>
          <w:bCs/>
          <w:color w:val="000080"/>
          <w:sz w:val="36"/>
          <w:szCs w:val="36"/>
        </w:rPr>
      </w:pPr>
      <w:r w:rsidRPr="00DD31A7">
        <w:rPr>
          <w:rFonts w:ascii="Arial" w:hAnsi="Arial" w:cs="Arial"/>
          <w:b/>
          <w:bCs/>
          <w:color w:val="000080"/>
          <w:sz w:val="36"/>
          <w:szCs w:val="36"/>
        </w:rPr>
        <w:t>Medical Services Advisory Committee (MSAC)</w:t>
      </w:r>
    </w:p>
    <w:p w14:paraId="2773DE21" w14:textId="77777777" w:rsidR="000523F7" w:rsidRPr="0018750D" w:rsidRDefault="000523F7" w:rsidP="000523F7">
      <w:pPr>
        <w:pStyle w:val="Heading1"/>
        <w:numPr>
          <w:ilvl w:val="0"/>
          <w:numId w:val="0"/>
        </w:numPr>
        <w:pBdr>
          <w:bottom w:val="none" w:sz="0" w:space="0" w:color="auto"/>
        </w:pBdr>
        <w:spacing w:before="0" w:after="360"/>
        <w:ind w:left="788"/>
        <w:jc w:val="center"/>
        <w:rPr>
          <w:rFonts w:ascii="Arial" w:hAnsi="Arial" w:cs="Arial"/>
          <w:b/>
          <w:bCs/>
          <w:color w:val="000080"/>
          <w:sz w:val="36"/>
          <w:szCs w:val="36"/>
        </w:rPr>
      </w:pPr>
      <w:bookmarkStart w:id="0" w:name="_Hlk213744477"/>
      <w:r w:rsidRPr="00F76D74">
        <w:rPr>
          <w:rFonts w:ascii="Arial" w:hAnsi="Arial" w:cs="Arial"/>
          <w:b/>
          <w:bCs/>
          <w:color w:val="000080"/>
          <w:sz w:val="36"/>
          <w:szCs w:val="36"/>
        </w:rPr>
        <w:t>Public Summary Document</w:t>
      </w:r>
      <w:r w:rsidRPr="0018750D">
        <w:rPr>
          <w:rFonts w:ascii="Arial" w:hAnsi="Arial" w:cs="Arial"/>
          <w:b/>
          <w:bCs/>
          <w:color w:val="000080"/>
          <w:sz w:val="36"/>
          <w:szCs w:val="36"/>
        </w:rPr>
        <w:t xml:space="preserve"> </w:t>
      </w:r>
    </w:p>
    <w:bookmarkEnd w:id="0"/>
    <w:p w14:paraId="16C2F329" w14:textId="7A377723" w:rsidR="003E00D6" w:rsidRDefault="003E00D6" w:rsidP="00772829">
      <w:pPr>
        <w:tabs>
          <w:tab w:val="left" w:pos="3686"/>
        </w:tabs>
        <w:spacing w:after="240"/>
        <w:rPr>
          <w:rFonts w:ascii="Arial" w:hAnsi="Arial" w:cs="Arial"/>
          <w:b/>
        </w:rPr>
      </w:pPr>
      <w:r w:rsidRPr="2914E55D">
        <w:rPr>
          <w:rFonts w:ascii="Arial" w:eastAsia="Times New Roman" w:hAnsi="Arial" w:cs="Arial"/>
          <w:b/>
          <w:bCs/>
          <w:i/>
          <w:iCs/>
          <w:color w:val="000080"/>
          <w:sz w:val="28"/>
          <w:szCs w:val="28"/>
          <w:lang w:eastAsia="en-AU"/>
        </w:rPr>
        <w:t>Application No. 1779</w:t>
      </w:r>
      <w:r w:rsidR="00F14857">
        <w:rPr>
          <w:rFonts w:ascii="Arial" w:eastAsia="Times New Roman" w:hAnsi="Arial" w:cs="Arial"/>
          <w:b/>
          <w:bCs/>
          <w:i/>
          <w:iCs/>
          <w:color w:val="000080"/>
          <w:sz w:val="28"/>
          <w:szCs w:val="28"/>
          <w:lang w:eastAsia="en-AU"/>
        </w:rPr>
        <w:t>.1</w:t>
      </w:r>
      <w:r w:rsidRPr="2914E55D">
        <w:rPr>
          <w:rFonts w:ascii="Arial" w:eastAsia="Times New Roman" w:hAnsi="Arial" w:cs="Arial"/>
          <w:b/>
          <w:bCs/>
          <w:i/>
          <w:iCs/>
          <w:color w:val="000080"/>
          <w:sz w:val="28"/>
          <w:szCs w:val="28"/>
          <w:lang w:eastAsia="en-AU"/>
        </w:rPr>
        <w:t xml:space="preserve"> – </w:t>
      </w:r>
      <w:bookmarkStart w:id="1" w:name="_Hlk211430129"/>
      <w:r w:rsidRPr="0094473E">
        <w:rPr>
          <w:rFonts w:ascii="Arial" w:eastAsia="Times New Roman" w:hAnsi="Arial" w:cs="Arial"/>
          <w:b/>
          <w:bCs/>
          <w:i/>
          <w:iCs/>
          <w:color w:val="000080"/>
          <w:sz w:val="28"/>
          <w:szCs w:val="28"/>
          <w:lang w:eastAsia="en-AU"/>
        </w:rPr>
        <w:t>Testing of tumour tissue to detect FGFR2 fusions or rearrangements in people with cholangiocarcinoma, to determine eligibility for treatment with PBS subsidised futibatinib</w:t>
      </w:r>
      <w:r w:rsidRPr="7AFBB73E">
        <w:rPr>
          <w:rFonts w:ascii="Arial" w:hAnsi="Arial" w:cs="Arial"/>
          <w:b/>
        </w:rPr>
        <w:t xml:space="preserve"> </w:t>
      </w:r>
      <w:bookmarkEnd w:id="1"/>
    </w:p>
    <w:p w14:paraId="35263561" w14:textId="11D98E53" w:rsidR="00772829" w:rsidRPr="00362C53" w:rsidRDefault="00772829" w:rsidP="00362C53">
      <w:pPr>
        <w:tabs>
          <w:tab w:val="left" w:pos="3544"/>
        </w:tabs>
        <w:rPr>
          <w:rFonts w:ascii="Arial" w:hAnsi="Arial" w:cs="Arial"/>
          <w:b/>
          <w:bCs/>
        </w:rPr>
      </w:pPr>
      <w:r w:rsidRPr="00CE28E3">
        <w:rPr>
          <w:rFonts w:ascii="Arial" w:hAnsi="Arial" w:cs="Arial"/>
          <w:b/>
          <w:szCs w:val="24"/>
        </w:rPr>
        <w:t>Applicant:</w:t>
      </w:r>
      <w:r w:rsidRPr="00CE28E3">
        <w:rPr>
          <w:rFonts w:ascii="Arial" w:hAnsi="Arial" w:cs="Arial"/>
          <w:b/>
          <w:szCs w:val="24"/>
        </w:rPr>
        <w:tab/>
      </w:r>
      <w:r w:rsidR="00362C53" w:rsidRPr="0094473E">
        <w:rPr>
          <w:rFonts w:ascii="Arial" w:hAnsi="Arial" w:cs="Arial"/>
          <w:b/>
          <w:bCs/>
        </w:rPr>
        <w:t>Taiho Pharma Oceania Pty Ltd.</w:t>
      </w:r>
    </w:p>
    <w:p w14:paraId="15DA9C4A" w14:textId="2387BCDD" w:rsidR="009A3778" w:rsidRDefault="00772829" w:rsidP="000523F7">
      <w:pPr>
        <w:tabs>
          <w:tab w:val="left" w:pos="3544"/>
        </w:tabs>
        <w:spacing w:after="360"/>
        <w:rPr>
          <w:rFonts w:ascii="Arial" w:hAnsi="Arial" w:cs="Arial"/>
          <w:b/>
          <w:szCs w:val="24"/>
        </w:rPr>
      </w:pPr>
      <w:r w:rsidRPr="00CE28E3">
        <w:rPr>
          <w:rFonts w:ascii="Arial" w:hAnsi="Arial" w:cs="Arial"/>
          <w:b/>
          <w:szCs w:val="24"/>
        </w:rPr>
        <w:t>Date of MSAC consideration:</w:t>
      </w:r>
      <w:r w:rsidR="000523F7">
        <w:rPr>
          <w:rFonts w:ascii="Arial" w:hAnsi="Arial" w:cs="Arial"/>
          <w:b/>
          <w:szCs w:val="24"/>
        </w:rPr>
        <w:tab/>
        <w:t xml:space="preserve">27 </w:t>
      </w:r>
      <w:r w:rsidR="008277EA">
        <w:rPr>
          <w:rFonts w:ascii="Arial" w:hAnsi="Arial" w:cs="Arial"/>
          <w:b/>
          <w:szCs w:val="24"/>
        </w:rPr>
        <w:t>November</w:t>
      </w:r>
      <w:r w:rsidR="00165DD7">
        <w:rPr>
          <w:rFonts w:ascii="Arial" w:hAnsi="Arial" w:cs="Arial"/>
          <w:b/>
          <w:szCs w:val="24"/>
        </w:rPr>
        <w:t xml:space="preserve"> 2025 </w:t>
      </w:r>
    </w:p>
    <w:p w14:paraId="221C0D08" w14:textId="645F1E7E" w:rsidR="000523F7" w:rsidRPr="000523F7" w:rsidRDefault="000523F7" w:rsidP="000523F7">
      <w:pPr>
        <w:spacing w:after="200"/>
        <w:rPr>
          <w:color w:val="0000FF"/>
          <w:u w:val="single"/>
        </w:rPr>
      </w:pPr>
      <w:bookmarkStart w:id="2" w:name="_Hlk194308493"/>
      <w:r w:rsidRPr="00333EDF">
        <w:t xml:space="preserve">Context for decision: MSAC makes its advice in accordance with its Terms of Reference, </w:t>
      </w:r>
      <w:hyperlink r:id="rId11" w:tooltip="Link to Medical Services Advisory Committee website" w:history="1">
        <w:r w:rsidRPr="000D2098">
          <w:rPr>
            <w:rStyle w:val="Hyperlink"/>
            <w:color w:val="007BB8"/>
          </w:rPr>
          <w:t>visit the MSAC website</w:t>
        </w:r>
      </w:hyperlink>
      <w:bookmarkEnd w:id="2"/>
    </w:p>
    <w:p w14:paraId="7EAA7262" w14:textId="3FAE56C6" w:rsidR="00772829" w:rsidRDefault="00772829" w:rsidP="001D50A7">
      <w:pPr>
        <w:pStyle w:val="Heading2"/>
        <w:numPr>
          <w:ilvl w:val="0"/>
          <w:numId w:val="10"/>
        </w:numPr>
      </w:pPr>
      <w:bookmarkStart w:id="3" w:name="_Toc69491415"/>
      <w:r w:rsidRPr="00CE28E3">
        <w:t xml:space="preserve">Purpose </w:t>
      </w:r>
      <w:r w:rsidRPr="00CE28E3">
        <w:rPr>
          <w:szCs w:val="32"/>
        </w:rPr>
        <w:t>of</w:t>
      </w:r>
      <w:r w:rsidRPr="00CE28E3">
        <w:t xml:space="preserve"> application</w:t>
      </w:r>
      <w:bookmarkEnd w:id="3"/>
    </w:p>
    <w:p w14:paraId="3C0AD554" w14:textId="048BF4E8" w:rsidR="00A13AE8" w:rsidRPr="00FE02BC" w:rsidRDefault="00A13AE8" w:rsidP="00D928F6">
      <w:pPr>
        <w:pStyle w:val="MSACESParagraph"/>
        <w:jc w:val="both"/>
        <w:rPr>
          <w:rFonts w:ascii="Franklin Gothic Book" w:hAnsi="Franklin Gothic Book"/>
          <w:sz w:val="22"/>
        </w:rPr>
      </w:pPr>
      <w:bookmarkStart w:id="4" w:name="_Toc69491416"/>
      <w:r w:rsidRPr="00FE02BC">
        <w:rPr>
          <w:rFonts w:ascii="Franklin Gothic Book" w:hAnsi="Franklin Gothic Book"/>
          <w:sz w:val="22"/>
        </w:rPr>
        <w:t>Th</w:t>
      </w:r>
      <w:r w:rsidR="00B120E7">
        <w:rPr>
          <w:rFonts w:ascii="Franklin Gothic Book" w:hAnsi="Franklin Gothic Book"/>
          <w:sz w:val="22"/>
        </w:rPr>
        <w:t xml:space="preserve">is </w:t>
      </w:r>
      <w:r w:rsidRPr="00FE02BC">
        <w:rPr>
          <w:rFonts w:ascii="Franklin Gothic Book" w:hAnsi="Franklin Gothic Book"/>
          <w:sz w:val="22"/>
        </w:rPr>
        <w:t>codependent application request</w:t>
      </w:r>
      <w:r w:rsidR="00B120E7">
        <w:rPr>
          <w:rFonts w:ascii="Franklin Gothic Book" w:hAnsi="Franklin Gothic Book"/>
          <w:sz w:val="22"/>
        </w:rPr>
        <w:t>s</w:t>
      </w:r>
      <w:r w:rsidRPr="00FE02BC">
        <w:rPr>
          <w:rFonts w:ascii="Franklin Gothic Book" w:hAnsi="Franklin Gothic Book"/>
          <w:sz w:val="22"/>
        </w:rPr>
        <w:t xml:space="preserve">: </w:t>
      </w:r>
    </w:p>
    <w:p w14:paraId="06A6C239" w14:textId="77777777" w:rsidR="00A13AE8" w:rsidRPr="00FE02BC" w:rsidRDefault="00A13AE8" w:rsidP="002173F2">
      <w:pPr>
        <w:pStyle w:val="MSACESParagraph"/>
        <w:numPr>
          <w:ilvl w:val="0"/>
          <w:numId w:val="12"/>
        </w:numPr>
        <w:spacing w:after="0"/>
        <w:jc w:val="both"/>
        <w:rPr>
          <w:rFonts w:ascii="Franklin Gothic Book" w:hAnsi="Franklin Gothic Book" w:cstheme="minorHAnsi"/>
          <w:sz w:val="22"/>
        </w:rPr>
      </w:pPr>
      <w:r w:rsidRPr="00FE02BC">
        <w:rPr>
          <w:rFonts w:ascii="Franklin Gothic Book" w:hAnsi="Franklin Gothic Book" w:cstheme="minorHAnsi"/>
          <w:sz w:val="22"/>
        </w:rPr>
        <w:t>Medicare Benefits Schedule (MBS) listing of testing of tumour tissue to detect fibroblast growth factor receptor 2 (</w:t>
      </w:r>
      <w:r w:rsidRPr="00FE02BC">
        <w:rPr>
          <w:rFonts w:ascii="Franklin Gothic Book" w:hAnsi="Franklin Gothic Book" w:cstheme="minorHAnsi"/>
          <w:i/>
          <w:iCs/>
          <w:sz w:val="22"/>
        </w:rPr>
        <w:t>FGFR2</w:t>
      </w:r>
      <w:r w:rsidRPr="00FE02BC">
        <w:rPr>
          <w:rFonts w:ascii="Franklin Gothic Book" w:hAnsi="Franklin Gothic Book" w:cstheme="minorHAnsi"/>
          <w:sz w:val="22"/>
        </w:rPr>
        <w:t>) fusions or rearrangements; and</w:t>
      </w:r>
    </w:p>
    <w:p w14:paraId="4675BBDB" w14:textId="77777777" w:rsidR="00A13AE8" w:rsidRPr="002173F2" w:rsidRDefault="00A13AE8" w:rsidP="0032263F">
      <w:pPr>
        <w:pStyle w:val="MSACESBulletPoint"/>
        <w:jc w:val="both"/>
        <w:rPr>
          <w:rFonts w:ascii="Franklin Gothic Book" w:hAnsi="Franklin Gothic Book"/>
          <w:i/>
          <w:iCs/>
          <w:sz w:val="22"/>
        </w:rPr>
      </w:pPr>
      <w:r w:rsidRPr="00FE02BC">
        <w:rPr>
          <w:rFonts w:ascii="Franklin Gothic Book" w:hAnsi="Franklin Gothic Book"/>
          <w:sz w:val="22"/>
        </w:rPr>
        <w:t xml:space="preserve">Pharmaceutical Benefits Scheme (PBS) Authority required (streamlined) listing of futibatinib for the treatment of locally advanced or metastatic cholangiocarcinoma (CCA) </w:t>
      </w:r>
      <w:r w:rsidRPr="009344C8">
        <w:rPr>
          <w:rFonts w:ascii="Franklin Gothic Book" w:hAnsi="Franklin Gothic Book"/>
          <w:sz w:val="22"/>
        </w:rPr>
        <w:t xml:space="preserve">in patients with </w:t>
      </w:r>
      <w:r w:rsidRPr="009344C8">
        <w:rPr>
          <w:rFonts w:ascii="Franklin Gothic Book" w:hAnsi="Franklin Gothic Book"/>
          <w:i/>
          <w:iCs/>
          <w:sz w:val="22"/>
        </w:rPr>
        <w:t>FGFR2</w:t>
      </w:r>
      <w:r w:rsidRPr="009344C8">
        <w:rPr>
          <w:rFonts w:ascii="Franklin Gothic Book" w:hAnsi="Franklin Gothic Book"/>
          <w:sz w:val="22"/>
        </w:rPr>
        <w:t xml:space="preserve"> fusion or rearrangement.</w:t>
      </w:r>
    </w:p>
    <w:p w14:paraId="112C0E87" w14:textId="55A6C6E4" w:rsidR="000F2B4A" w:rsidRPr="002173F2" w:rsidRDefault="000F2B4A" w:rsidP="002173F2">
      <w:pPr>
        <w:pStyle w:val="MSACESBulletPoint"/>
        <w:numPr>
          <w:ilvl w:val="0"/>
          <w:numId w:val="0"/>
        </w:numPr>
        <w:jc w:val="both"/>
        <w:rPr>
          <w:rFonts w:ascii="Franklin Gothic Book" w:hAnsi="Franklin Gothic Book"/>
          <w:sz w:val="22"/>
        </w:rPr>
      </w:pPr>
      <w:r w:rsidRPr="000F2B4A">
        <w:rPr>
          <w:rFonts w:ascii="Franklin Gothic Book" w:hAnsi="Franklin Gothic Book"/>
          <w:sz w:val="22"/>
        </w:rPr>
        <w:t>This streamlined re</w:t>
      </w:r>
      <w:r w:rsidR="00CB2771">
        <w:rPr>
          <w:rFonts w:ascii="Franklin Gothic Book" w:hAnsi="Franklin Gothic Book"/>
          <w:sz w:val="22"/>
        </w:rPr>
        <w:t>submission</w:t>
      </w:r>
      <w:r w:rsidRPr="000F2B4A">
        <w:rPr>
          <w:rFonts w:ascii="Franklin Gothic Book" w:hAnsi="Franklin Gothic Book"/>
          <w:sz w:val="22"/>
        </w:rPr>
        <w:t xml:space="preserve"> aimed to address the key issues identified by MSAC at its </w:t>
      </w:r>
      <w:r>
        <w:rPr>
          <w:rFonts w:ascii="Franklin Gothic Book" w:hAnsi="Franklin Gothic Book"/>
          <w:sz w:val="22"/>
        </w:rPr>
        <w:t>July</w:t>
      </w:r>
      <w:r w:rsidRPr="000F2B4A">
        <w:rPr>
          <w:rFonts w:ascii="Franklin Gothic Book" w:hAnsi="Franklin Gothic Book"/>
          <w:sz w:val="22"/>
        </w:rPr>
        <w:t xml:space="preserve"> 2025 meeting.</w:t>
      </w:r>
      <w:r w:rsidR="007138EB">
        <w:rPr>
          <w:rFonts w:ascii="Franklin Gothic Book" w:hAnsi="Franklin Gothic Book"/>
          <w:sz w:val="22"/>
        </w:rPr>
        <w:t xml:space="preserve"> A separate PBAC resubmission was considered by PBAC at its November 2025 meeting.</w:t>
      </w:r>
    </w:p>
    <w:p w14:paraId="4964ECC8" w14:textId="6C66D8AB" w:rsidR="000523F7" w:rsidRPr="00D155C0" w:rsidRDefault="00C36633" w:rsidP="000523F7">
      <w:pPr>
        <w:pStyle w:val="Heading2"/>
        <w:numPr>
          <w:ilvl w:val="0"/>
          <w:numId w:val="0"/>
        </w:numPr>
      </w:pPr>
      <w:r>
        <w:t>2.</w:t>
      </w:r>
      <w:r>
        <w:tab/>
      </w:r>
      <w:bookmarkStart w:id="5" w:name="_Hlk213743646"/>
      <w:bookmarkStart w:id="6" w:name="_Hlk213744689"/>
      <w:r w:rsidR="000523F7" w:rsidRPr="00D155C0">
        <w:t>MSAC’s advice to the Minister</w:t>
      </w:r>
      <w:bookmarkEnd w:id="5"/>
    </w:p>
    <w:p w14:paraId="6ED4A64C" w14:textId="14927E1A" w:rsidR="000C6DFD" w:rsidRPr="000C6DFD" w:rsidRDefault="000523F7" w:rsidP="000C6DFD">
      <w:bookmarkStart w:id="7" w:name="_Hlk213751700"/>
      <w:bookmarkStart w:id="8" w:name="_Hlk213743656"/>
      <w:r w:rsidRPr="0018750D">
        <w:t xml:space="preserve">After considering the strength of the available evidence in relation to comparative safety, clinical effectiveness, cost-effectiveness and total cost, </w:t>
      </w:r>
      <w:r w:rsidR="000C6DFD">
        <w:t xml:space="preserve">MSAC supported the creation of a </w:t>
      </w:r>
      <w:r w:rsidR="000C6DFD" w:rsidRPr="104C5D6D">
        <w:t>new Medicare Benefits Schedule (MBS) item</w:t>
      </w:r>
      <w:r w:rsidR="000C6DFD">
        <w:t xml:space="preserve"> for testing </w:t>
      </w:r>
      <w:r w:rsidR="000C6DFD" w:rsidRPr="00F1227C">
        <w:rPr>
          <w:rFonts w:cstheme="minorHAnsi"/>
        </w:rPr>
        <w:t xml:space="preserve">of tumour tissue to detect </w:t>
      </w:r>
      <w:r w:rsidR="000C6DFD" w:rsidRPr="00D67579">
        <w:rPr>
          <w:rFonts w:cstheme="minorHAnsi"/>
          <w:i/>
        </w:rPr>
        <w:t>FGFR2</w:t>
      </w:r>
      <w:r w:rsidR="000C6DFD" w:rsidRPr="00F1227C">
        <w:rPr>
          <w:rFonts w:cstheme="minorHAnsi"/>
        </w:rPr>
        <w:t xml:space="preserve"> fusions or rearrangements in people with cholangiocarcinoma</w:t>
      </w:r>
      <w:r w:rsidR="000C6DFD">
        <w:rPr>
          <w:rFonts w:cstheme="minorHAnsi"/>
        </w:rPr>
        <w:t xml:space="preserve"> (CCA)</w:t>
      </w:r>
      <w:r w:rsidR="000C6DFD" w:rsidRPr="00F1227C">
        <w:rPr>
          <w:rFonts w:cstheme="minorHAnsi"/>
        </w:rPr>
        <w:t xml:space="preserve">, to determine eligibility for treatment with </w:t>
      </w:r>
      <w:r w:rsidR="000C6DFD" w:rsidRPr="001C27E8">
        <w:rPr>
          <w:rFonts w:cstheme="minorHAnsi"/>
        </w:rPr>
        <w:t xml:space="preserve">Pharmaceutical Benefits Scheme </w:t>
      </w:r>
      <w:r w:rsidR="000C6DFD">
        <w:rPr>
          <w:rFonts w:cstheme="minorHAnsi"/>
        </w:rPr>
        <w:t>(</w:t>
      </w:r>
      <w:r w:rsidR="000C6DFD" w:rsidRPr="00F1227C">
        <w:rPr>
          <w:rFonts w:cstheme="minorHAnsi"/>
        </w:rPr>
        <w:t>PBS</w:t>
      </w:r>
      <w:r w:rsidR="000C6DFD">
        <w:rPr>
          <w:rFonts w:cstheme="minorHAnsi"/>
        </w:rPr>
        <w:t>)</w:t>
      </w:r>
      <w:r w:rsidR="000C6DFD" w:rsidRPr="00F1227C">
        <w:rPr>
          <w:rFonts w:cstheme="minorHAnsi"/>
        </w:rPr>
        <w:t xml:space="preserve"> subsidised futibatinib</w:t>
      </w:r>
      <w:r w:rsidR="000C6DFD">
        <w:rPr>
          <w:rFonts w:cstheme="minorHAnsi"/>
        </w:rPr>
        <w:t>. MSAC noted that at its November 2025 meeting the</w:t>
      </w:r>
      <w:r w:rsidR="000C6DFD">
        <w:t xml:space="preserve"> </w:t>
      </w:r>
      <w:r w:rsidR="000C6DFD" w:rsidRPr="00F1564A">
        <w:rPr>
          <w:rFonts w:cstheme="minorHAnsi"/>
        </w:rPr>
        <w:t>Pharmaceutical Benefits Advisory Committee</w:t>
      </w:r>
      <w:r w:rsidR="000C6DFD">
        <w:rPr>
          <w:rFonts w:cstheme="minorHAnsi"/>
        </w:rPr>
        <w:t xml:space="preserve"> was of a mind to recommend PBS listing of futibatinib, pending MSAC support for </w:t>
      </w:r>
      <w:r w:rsidR="000C6DFD" w:rsidRPr="00FB3301">
        <w:rPr>
          <w:rFonts w:cstheme="minorHAnsi"/>
        </w:rPr>
        <w:t xml:space="preserve">the </w:t>
      </w:r>
      <w:r w:rsidR="000C6DFD">
        <w:rPr>
          <w:rFonts w:cstheme="minorHAnsi"/>
        </w:rPr>
        <w:t xml:space="preserve">MBS listing of the associated test. MSAC considered that the MBS item should be a gene panel test and include at least the detection of alterations in both </w:t>
      </w:r>
      <w:r w:rsidR="000C6DFD" w:rsidRPr="0084676F">
        <w:rPr>
          <w:rFonts w:cstheme="minorHAnsi"/>
          <w:i/>
          <w:iCs/>
        </w:rPr>
        <w:t>FGFR2</w:t>
      </w:r>
      <w:r w:rsidR="000C6DFD">
        <w:rPr>
          <w:rFonts w:cstheme="minorHAnsi"/>
        </w:rPr>
        <w:t xml:space="preserve"> and </w:t>
      </w:r>
      <w:r w:rsidR="000C6DFD" w:rsidRPr="0084676F">
        <w:rPr>
          <w:rFonts w:cstheme="minorHAnsi"/>
          <w:i/>
          <w:iCs/>
        </w:rPr>
        <w:t>IDH1</w:t>
      </w:r>
      <w:r w:rsidR="000C6DFD">
        <w:rPr>
          <w:rFonts w:cstheme="minorHAnsi"/>
        </w:rPr>
        <w:t xml:space="preserve"> genes</w:t>
      </w:r>
      <w:r w:rsidR="000C6DFD" w:rsidRPr="006175F7">
        <w:rPr>
          <w:rFonts w:cstheme="minorHAnsi"/>
        </w:rPr>
        <w:t xml:space="preserve"> </w:t>
      </w:r>
      <w:r w:rsidR="000C6DFD">
        <w:rPr>
          <w:rFonts w:cstheme="minorHAnsi"/>
        </w:rPr>
        <w:t>(</w:t>
      </w:r>
      <w:r w:rsidR="000C6DFD" w:rsidRPr="00FE0FE9">
        <w:rPr>
          <w:rFonts w:cstheme="minorHAnsi"/>
        </w:rPr>
        <w:t xml:space="preserve">the </w:t>
      </w:r>
      <w:r w:rsidR="000C6DFD">
        <w:rPr>
          <w:rFonts w:cstheme="minorHAnsi"/>
        </w:rPr>
        <w:t>latter is already listed on the MBS; item 73319).</w:t>
      </w:r>
    </w:p>
    <w:p w14:paraId="6E72B1D3" w14:textId="77E8D148" w:rsidR="00E14071" w:rsidRDefault="000C6DFD" w:rsidP="00B03C65">
      <w:pPr>
        <w:jc w:val="both"/>
      </w:pPr>
      <w:r w:rsidRPr="0DD5C973">
        <w:t xml:space="preserve">MSAC acknowledged that there is a high clinical need for effective treatments in patients with CCA. MSAC considered a combined next generation sequencing (NGS) test on DNA and RNA as the most appropriate method to ensure that </w:t>
      </w:r>
      <w:r w:rsidRPr="0DD5C973">
        <w:rPr>
          <w:i/>
          <w:iCs/>
        </w:rPr>
        <w:t>FGFR2</w:t>
      </w:r>
      <w:r w:rsidRPr="0DD5C973">
        <w:t xml:space="preserve"> fusions and rearrangements are accurately detected. At its April 2025 meeting, MSAC considered that DNA and RNA NGS testing was safe and effective. Given the rapid and aggressive nature of the disease, MSAC considered that </w:t>
      </w:r>
      <w:r w:rsidRPr="0DD5C973">
        <w:rPr>
          <w:i/>
          <w:iCs/>
        </w:rPr>
        <w:t>FGFR2</w:t>
      </w:r>
      <w:r w:rsidRPr="0DD5C973">
        <w:t xml:space="preserve"> testing should occur at the time of CCA diagnosis to prevent any delays in treatment decisions. MSAC considered an MBS fee of $800 appropriate for th</w:t>
      </w:r>
      <w:r>
        <w:t>is</w:t>
      </w:r>
      <w:r w:rsidRPr="0DD5C973">
        <w:t xml:space="preserve"> DNA and RNA NGS gene panel test. MSAC considered that the cost to the MBS of testing at CCA diagnosis was acceptable. MSAC considered that there is a </w:t>
      </w:r>
      <w:r w:rsidRPr="0DD5C973">
        <w:lastRenderedPageBreak/>
        <w:t>risk that testing may occur outside of the intended CCA population and advised reviewing the utilisation of the new MBS item 2 years after its implementation.</w:t>
      </w:r>
      <w:bookmarkEnd w:id="7"/>
    </w:p>
    <w:p w14:paraId="44D57E5E" w14:textId="498E2D75" w:rsidR="00E14071" w:rsidRPr="006D0BD4" w:rsidRDefault="00E14071" w:rsidP="00E14071">
      <w:r w:rsidRPr="006D0BD4">
        <w:t>MSAC confirmed the following MBS item descriptor:</w:t>
      </w:r>
    </w:p>
    <w:tbl>
      <w:tblPr>
        <w:tblW w:w="9062" w:type="dxa"/>
        <w:tblCellMar>
          <w:left w:w="0" w:type="dxa"/>
          <w:right w:w="0" w:type="dxa"/>
        </w:tblCellMar>
        <w:tblLook w:val="04A0" w:firstRow="1" w:lastRow="0" w:firstColumn="1" w:lastColumn="0" w:noHBand="0" w:noVBand="1"/>
      </w:tblPr>
      <w:tblGrid>
        <w:gridCol w:w="9062"/>
      </w:tblGrid>
      <w:tr w:rsidR="00E14071" w:rsidRPr="00E14071" w14:paraId="20187134" w14:textId="77777777" w:rsidTr="45B29D90">
        <w:trPr>
          <w:trHeight w:val="281"/>
        </w:trPr>
        <w:tc>
          <w:tcPr>
            <w:tcW w:w="9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hideMark/>
          </w:tcPr>
          <w:p w14:paraId="4D5DBC95" w14:textId="77777777" w:rsidR="00E14071" w:rsidRPr="00E14071" w:rsidRDefault="00E14071" w:rsidP="00E14071">
            <w:pPr>
              <w:spacing w:before="0" w:after="0"/>
              <w:rPr>
                <w:rFonts w:ascii="Arial Narrow" w:hAnsi="Arial Narrow"/>
                <w:sz w:val="20"/>
                <w:szCs w:val="20"/>
              </w:rPr>
            </w:pPr>
            <w:r w:rsidRPr="00E14071">
              <w:rPr>
                <w:rFonts w:ascii="Arial Narrow" w:hAnsi="Arial Narrow"/>
                <w:sz w:val="20"/>
                <w:szCs w:val="20"/>
              </w:rPr>
              <w:t>Category 6 – Pathology Services</w:t>
            </w:r>
          </w:p>
        </w:tc>
      </w:tr>
      <w:tr w:rsidR="00E14071" w:rsidRPr="00E14071" w14:paraId="6F6BAEBE" w14:textId="77777777" w:rsidTr="45B29D90">
        <w:trPr>
          <w:trHeight w:val="2694"/>
        </w:trPr>
        <w:tc>
          <w:tcPr>
            <w:tcW w:w="9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hideMark/>
          </w:tcPr>
          <w:p w14:paraId="64BB9FE5" w14:textId="77777777" w:rsidR="00E14071" w:rsidRPr="00E14071" w:rsidRDefault="00E14071">
            <w:pPr>
              <w:rPr>
                <w:rFonts w:ascii="Arial Narrow" w:hAnsi="Arial Narrow"/>
                <w:sz w:val="20"/>
                <w:szCs w:val="20"/>
              </w:rPr>
            </w:pPr>
            <w:r w:rsidRPr="00E14071">
              <w:rPr>
                <w:rFonts w:ascii="Arial Narrow" w:hAnsi="Arial Narrow"/>
                <w:sz w:val="20"/>
                <w:szCs w:val="20"/>
              </w:rPr>
              <w:t>Proposed item descriptor XXXXX                                                                       Group P7 - Genetics</w:t>
            </w:r>
          </w:p>
          <w:p w14:paraId="0CF20363" w14:textId="2FD543B3" w:rsidR="00E14071" w:rsidRPr="00E14071" w:rsidRDefault="428BBCA4">
            <w:pPr>
              <w:rPr>
                <w:rFonts w:ascii="Arial Narrow" w:hAnsi="Arial Narrow"/>
                <w:sz w:val="20"/>
                <w:szCs w:val="20"/>
              </w:rPr>
            </w:pPr>
            <w:r w:rsidRPr="45B29D90">
              <w:rPr>
                <w:rFonts w:ascii="Arial Narrow" w:hAnsi="Arial Narrow"/>
                <w:sz w:val="20"/>
                <w:szCs w:val="20"/>
              </w:rPr>
              <w:t>A nucleic acid-based multi-gene panel test of tumour tissue from a patient with</w:t>
            </w:r>
            <w:r w:rsidR="6A055E92" w:rsidRPr="45B29D90">
              <w:rPr>
                <w:rFonts w:ascii="Arial Narrow" w:hAnsi="Arial Narrow"/>
                <w:sz w:val="20"/>
                <w:szCs w:val="20"/>
              </w:rPr>
              <w:t xml:space="preserve"> </w:t>
            </w:r>
            <w:r w:rsidRPr="45B29D90">
              <w:rPr>
                <w:rFonts w:ascii="Arial Narrow" w:hAnsi="Arial Narrow"/>
                <w:sz w:val="20"/>
                <w:szCs w:val="20"/>
              </w:rPr>
              <w:t>cholangiocarcinoma requested by, or on behalf of, a specialist or consultant physician, if the test is:</w:t>
            </w:r>
          </w:p>
          <w:p w14:paraId="3B78B5B9" w14:textId="77777777" w:rsidR="00E14071" w:rsidRPr="00E14071" w:rsidRDefault="00E14071" w:rsidP="00E14071">
            <w:pPr>
              <w:numPr>
                <w:ilvl w:val="0"/>
                <w:numId w:val="42"/>
              </w:numPr>
              <w:rPr>
                <w:rFonts w:ascii="Arial Narrow" w:hAnsi="Arial Narrow"/>
                <w:sz w:val="20"/>
                <w:szCs w:val="20"/>
              </w:rPr>
            </w:pPr>
            <w:r w:rsidRPr="00E14071">
              <w:rPr>
                <w:rFonts w:ascii="Arial Narrow" w:hAnsi="Arial Narrow"/>
                <w:sz w:val="20"/>
                <w:szCs w:val="20"/>
              </w:rPr>
              <w:t xml:space="preserve">To detect at least </w:t>
            </w:r>
            <w:r w:rsidRPr="00E14071">
              <w:rPr>
                <w:rFonts w:ascii="Arial Narrow" w:hAnsi="Arial Narrow"/>
                <w:i/>
                <w:iCs/>
                <w:sz w:val="20"/>
                <w:szCs w:val="20"/>
              </w:rPr>
              <w:t>IDH1</w:t>
            </w:r>
            <w:r w:rsidRPr="00E14071">
              <w:rPr>
                <w:rFonts w:ascii="Arial Narrow" w:hAnsi="Arial Narrow"/>
                <w:sz w:val="20"/>
                <w:szCs w:val="20"/>
              </w:rPr>
              <w:t xml:space="preserve"> variant status, and</w:t>
            </w:r>
          </w:p>
          <w:p w14:paraId="20E03BFF" w14:textId="2A8B1D41" w:rsidR="00E14071" w:rsidRPr="00E14071" w:rsidRDefault="00E14071" w:rsidP="00E14071">
            <w:pPr>
              <w:numPr>
                <w:ilvl w:val="0"/>
                <w:numId w:val="42"/>
              </w:numPr>
              <w:rPr>
                <w:rFonts w:ascii="Arial Narrow" w:hAnsi="Arial Narrow"/>
                <w:sz w:val="20"/>
                <w:szCs w:val="20"/>
              </w:rPr>
            </w:pPr>
            <w:r w:rsidRPr="00E14071">
              <w:rPr>
                <w:rFonts w:ascii="Arial Narrow" w:hAnsi="Arial Narrow"/>
                <w:sz w:val="20"/>
                <w:szCs w:val="20"/>
              </w:rPr>
              <w:t xml:space="preserve">To detect the fusion or rearrangement status of at least </w:t>
            </w:r>
            <w:r w:rsidRPr="00E14071">
              <w:rPr>
                <w:rFonts w:ascii="Arial Narrow" w:hAnsi="Arial Narrow"/>
                <w:i/>
                <w:iCs/>
                <w:sz w:val="20"/>
                <w:szCs w:val="20"/>
              </w:rPr>
              <w:t>FGFR2</w:t>
            </w:r>
            <w:r w:rsidR="00A033EF">
              <w:rPr>
                <w:rFonts w:ascii="Arial Narrow" w:hAnsi="Arial Narrow"/>
                <w:i/>
                <w:iCs/>
                <w:sz w:val="20"/>
                <w:szCs w:val="20"/>
              </w:rPr>
              <w:t xml:space="preserve">, </w:t>
            </w:r>
            <w:r w:rsidR="00A033EF">
              <w:rPr>
                <w:rFonts w:ascii="Arial Narrow" w:hAnsi="Arial Narrow"/>
                <w:sz w:val="20"/>
                <w:szCs w:val="20"/>
              </w:rPr>
              <w:t>and</w:t>
            </w:r>
          </w:p>
          <w:p w14:paraId="556A6B8B" w14:textId="6178D569" w:rsidR="00E14071" w:rsidRDefault="63957DF9" w:rsidP="00E14071">
            <w:pPr>
              <w:numPr>
                <w:ilvl w:val="0"/>
                <w:numId w:val="42"/>
              </w:numPr>
              <w:rPr>
                <w:rFonts w:ascii="Arial Narrow" w:hAnsi="Arial Narrow"/>
                <w:sz w:val="20"/>
                <w:szCs w:val="20"/>
              </w:rPr>
            </w:pPr>
            <w:r w:rsidRPr="44029669">
              <w:rPr>
                <w:rFonts w:ascii="Arial Narrow" w:hAnsi="Arial Narrow"/>
                <w:sz w:val="20"/>
                <w:szCs w:val="20"/>
              </w:rPr>
              <w:t xml:space="preserve">To determine </w:t>
            </w:r>
            <w:r w:rsidR="55B6390B" w:rsidRPr="44029669">
              <w:rPr>
                <w:rFonts w:ascii="Arial Narrow" w:hAnsi="Arial Narrow"/>
                <w:sz w:val="20"/>
                <w:szCs w:val="20"/>
              </w:rPr>
              <w:t>eligibility for</w:t>
            </w:r>
            <w:r w:rsidRPr="44029669">
              <w:rPr>
                <w:rFonts w:ascii="Arial Narrow" w:hAnsi="Arial Narrow"/>
                <w:sz w:val="20"/>
                <w:szCs w:val="20"/>
              </w:rPr>
              <w:t xml:space="preserve"> a relevant treatment under the Pharmaceutical Benefits Scheme (PBS)</w:t>
            </w:r>
            <w:r w:rsidR="00A033EF">
              <w:rPr>
                <w:rFonts w:ascii="Arial Narrow" w:hAnsi="Arial Narrow"/>
                <w:sz w:val="20"/>
                <w:szCs w:val="20"/>
              </w:rPr>
              <w:t>, and</w:t>
            </w:r>
          </w:p>
          <w:p w14:paraId="7A8E8150" w14:textId="6873E84B" w:rsidR="00D17893" w:rsidRPr="00E14071" w:rsidRDefault="0027363B" w:rsidP="0027363B">
            <w:pPr>
              <w:rPr>
                <w:rFonts w:ascii="Arial Narrow" w:hAnsi="Arial Narrow"/>
                <w:sz w:val="20"/>
                <w:szCs w:val="20"/>
              </w:rPr>
            </w:pPr>
            <w:r>
              <w:rPr>
                <w:rFonts w:ascii="Arial Narrow" w:hAnsi="Arial Narrow"/>
                <w:sz w:val="20"/>
                <w:szCs w:val="20"/>
              </w:rPr>
              <w:t>including (if performed) a service described in item 73319</w:t>
            </w:r>
          </w:p>
          <w:p w14:paraId="6EAC9F64" w14:textId="77777777" w:rsidR="00E14071" w:rsidRPr="00E14071" w:rsidRDefault="00E14071" w:rsidP="00E14071">
            <w:pPr>
              <w:spacing w:after="0"/>
              <w:rPr>
                <w:rFonts w:ascii="Arial Narrow" w:hAnsi="Arial Narrow"/>
                <w:sz w:val="20"/>
                <w:szCs w:val="20"/>
              </w:rPr>
            </w:pPr>
            <w:r w:rsidRPr="00E14071">
              <w:rPr>
                <w:rFonts w:ascii="Arial Narrow" w:hAnsi="Arial Narrow"/>
                <w:sz w:val="20"/>
                <w:szCs w:val="20"/>
              </w:rPr>
              <w:t>Applicable only once per lifetime.</w:t>
            </w:r>
          </w:p>
        </w:tc>
      </w:tr>
      <w:tr w:rsidR="00E14071" w:rsidRPr="00E14071" w14:paraId="6EB38F17" w14:textId="77777777" w:rsidTr="45B29D90">
        <w:trPr>
          <w:trHeight w:val="271"/>
        </w:trPr>
        <w:tc>
          <w:tcPr>
            <w:tcW w:w="9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hideMark/>
          </w:tcPr>
          <w:p w14:paraId="111BB320" w14:textId="693CC037" w:rsidR="00E14071" w:rsidRPr="00E14071" w:rsidRDefault="63957DF9" w:rsidP="44029669">
            <w:pPr>
              <w:spacing w:before="0" w:after="0"/>
              <w:rPr>
                <w:rFonts w:ascii="Arial Narrow" w:hAnsi="Arial Narrow"/>
                <w:sz w:val="20"/>
                <w:szCs w:val="20"/>
              </w:rPr>
            </w:pPr>
            <w:r w:rsidRPr="44029669">
              <w:rPr>
                <w:rFonts w:ascii="Arial Narrow" w:hAnsi="Arial Narrow"/>
                <w:sz w:val="20"/>
                <w:szCs w:val="20"/>
              </w:rPr>
              <w:t>Fee: $8</w:t>
            </w:r>
            <w:r w:rsidR="0463F64D" w:rsidRPr="44029669">
              <w:rPr>
                <w:rFonts w:ascii="Arial Narrow" w:hAnsi="Arial Narrow"/>
                <w:sz w:val="20"/>
                <w:szCs w:val="20"/>
              </w:rPr>
              <w:t>00</w:t>
            </w:r>
            <w:r w:rsidRPr="44029669">
              <w:rPr>
                <w:rFonts w:ascii="Arial Narrow" w:hAnsi="Arial Narrow"/>
                <w:sz w:val="20"/>
                <w:szCs w:val="20"/>
              </w:rPr>
              <w:t xml:space="preserve"> Benefit: 75% = $6</w:t>
            </w:r>
            <w:r w:rsidR="14ED1514" w:rsidRPr="44029669">
              <w:rPr>
                <w:rFonts w:ascii="Arial Narrow" w:hAnsi="Arial Narrow"/>
                <w:sz w:val="20"/>
                <w:szCs w:val="20"/>
              </w:rPr>
              <w:t>00</w:t>
            </w:r>
            <w:r w:rsidRPr="44029669">
              <w:rPr>
                <w:rFonts w:ascii="Arial Narrow" w:hAnsi="Arial Narrow"/>
                <w:sz w:val="20"/>
                <w:szCs w:val="20"/>
              </w:rPr>
              <w:t xml:space="preserve"> 85% = $</w:t>
            </w:r>
            <w:r w:rsidR="65328517" w:rsidRPr="44029669">
              <w:rPr>
                <w:rFonts w:ascii="Arial Narrow" w:eastAsia="Arial Narrow" w:hAnsi="Arial Narrow" w:cs="Arial Narrow"/>
                <w:sz w:val="20"/>
                <w:szCs w:val="20"/>
              </w:rPr>
              <w:t>695.50</w:t>
            </w:r>
          </w:p>
        </w:tc>
      </w:tr>
    </w:tbl>
    <w:p w14:paraId="0C648387" w14:textId="2DC8A208" w:rsidR="000523F7" w:rsidRPr="00E13271" w:rsidRDefault="00720722" w:rsidP="000523F7">
      <w:pPr>
        <w:rPr>
          <w:rFonts w:ascii="Arial Narrow" w:hAnsi="Arial Narrow"/>
          <w:sz w:val="18"/>
          <w:szCs w:val="18"/>
        </w:rPr>
      </w:pPr>
      <w:r w:rsidRPr="00E13271">
        <w:rPr>
          <w:rFonts w:ascii="Arial Narrow" w:hAnsi="Arial Narrow"/>
          <w:sz w:val="18"/>
          <w:szCs w:val="18"/>
        </w:rPr>
        <w:t>The 85% benefit reflects the 1 November 202</w:t>
      </w:r>
      <w:r>
        <w:rPr>
          <w:rFonts w:ascii="Arial Narrow" w:hAnsi="Arial Narrow"/>
          <w:sz w:val="18"/>
          <w:szCs w:val="18"/>
        </w:rPr>
        <w:t>5</w:t>
      </w:r>
      <w:r w:rsidRPr="00E13271">
        <w:rPr>
          <w:rFonts w:ascii="Arial Narrow" w:hAnsi="Arial Narrow"/>
          <w:sz w:val="18"/>
          <w:szCs w:val="18"/>
        </w:rPr>
        <w:t xml:space="preserve"> Greatest Permissible Gap (GPG) of $</w:t>
      </w:r>
      <w:r>
        <w:rPr>
          <w:rFonts w:ascii="Arial Narrow" w:hAnsi="Arial Narrow"/>
          <w:sz w:val="18"/>
          <w:szCs w:val="18"/>
        </w:rPr>
        <w:t>104.50</w:t>
      </w:r>
      <w:r w:rsidRPr="00E13271">
        <w:rPr>
          <w:rFonts w:ascii="Arial Narrow" w:hAnsi="Arial Narrow"/>
          <w:sz w:val="18"/>
          <w:szCs w:val="18"/>
        </w:rPr>
        <w:t>. All out-of-hospital Medicare services that have an MBS fee of $</w:t>
      </w:r>
      <w:r>
        <w:rPr>
          <w:rFonts w:ascii="Arial Narrow" w:hAnsi="Arial Narrow"/>
          <w:sz w:val="18"/>
          <w:szCs w:val="18"/>
        </w:rPr>
        <w:t>697.00</w:t>
      </w:r>
      <w:r w:rsidRPr="00E13271">
        <w:rPr>
          <w:rFonts w:ascii="Arial Narrow" w:hAnsi="Arial Narrow"/>
          <w:sz w:val="18"/>
          <w:szCs w:val="18"/>
        </w:rPr>
        <w:t xml:space="preserve"> or more will attract a benefit that is greater than 85% of the MBS fee – being the schedule fee less the GPG amount. The GPG amount is indexed annually on 1 November in line with the Consumer Price Index (CPI) (June quarter).</w:t>
      </w:r>
    </w:p>
    <w:tbl>
      <w:tblPr>
        <w:tblStyle w:val="Section3-footno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Consumer summary of MSAC consideration"/>
      </w:tblPr>
      <w:tblGrid>
        <w:gridCol w:w="9016"/>
      </w:tblGrid>
      <w:tr w:rsidR="000523F7" w:rsidRPr="00F91D6E" w14:paraId="04CDFF59" w14:textId="77777777" w:rsidTr="258A4151">
        <w:trPr>
          <w:tblHeader/>
        </w:trPr>
        <w:tc>
          <w:tcPr>
            <w:tcW w:w="9016" w:type="dxa"/>
          </w:tcPr>
          <w:p w14:paraId="07167D35" w14:textId="37459D85" w:rsidR="000523F7" w:rsidRPr="00F91D6E" w:rsidRDefault="000523F7">
            <w:pPr>
              <w:keepNext/>
              <w:keepLines/>
              <w:spacing w:before="40" w:after="40" w:line="259" w:lineRule="auto"/>
              <w:rPr>
                <w:rFonts w:eastAsia="Calibri"/>
                <w:b/>
                <w:bCs/>
              </w:rPr>
            </w:pPr>
            <w:bookmarkStart w:id="9" w:name="_Hlk213744995"/>
            <w:r w:rsidRPr="00F91D6E">
              <w:rPr>
                <w:b/>
                <w:bCs/>
              </w:rPr>
              <w:t>Consumer summary</w:t>
            </w:r>
          </w:p>
        </w:tc>
      </w:tr>
      <w:tr w:rsidR="000523F7" w:rsidRPr="00F91D6E" w14:paraId="13E51ADA" w14:textId="77777777" w:rsidTr="258A4151">
        <w:tc>
          <w:tcPr>
            <w:tcW w:w="9016" w:type="dxa"/>
          </w:tcPr>
          <w:p w14:paraId="59B05EA8" w14:textId="5EF1266D" w:rsidR="002D7070" w:rsidRDefault="002D7070" w:rsidP="002D7070">
            <w:r>
              <w:t xml:space="preserve">This </w:t>
            </w:r>
            <w:r w:rsidR="008618F7">
              <w:t xml:space="preserve">application </w:t>
            </w:r>
            <w:r>
              <w:t xml:space="preserve">from Taiho Pharma Oceania Pty Ltd </w:t>
            </w:r>
            <w:r w:rsidR="008A541C">
              <w:t xml:space="preserve">was submitted </w:t>
            </w:r>
            <w:r w:rsidR="00006EE0">
              <w:t>to both the</w:t>
            </w:r>
            <w:r w:rsidR="00D85B94">
              <w:t xml:space="preserve"> Pharmaceutical Benefits Advisory Committee (PBAC) and Medical Services </w:t>
            </w:r>
            <w:r w:rsidR="00DC5664">
              <w:t>A</w:t>
            </w:r>
            <w:r w:rsidR="00D85B94">
              <w:t>dvisory Committee (MSAC)</w:t>
            </w:r>
            <w:r w:rsidR="008A541C">
              <w:t>. It is the third time the application has been considered by both committees. The application is</w:t>
            </w:r>
            <w:r w:rsidR="00006EE0">
              <w:t xml:space="preserve"> </w:t>
            </w:r>
            <w:r>
              <w:t>requesting Medicare Benefits Schedule (MBS) listing of a tumour tissue test to detect fibroblast growth factor receptor 2 (</w:t>
            </w:r>
            <w:r w:rsidRPr="00120C08">
              <w:rPr>
                <w:i/>
                <w:iCs/>
              </w:rPr>
              <w:t>FGFR2</w:t>
            </w:r>
            <w:r>
              <w:t xml:space="preserve">) gene variants in patients with cholangiocarcinoma (CCA). </w:t>
            </w:r>
            <w:r w:rsidR="0085360F">
              <w:t>This application is a ‘codependent’ application which means</w:t>
            </w:r>
            <w:r w:rsidR="006811C4">
              <w:t xml:space="preserve"> </w:t>
            </w:r>
            <w:proofErr w:type="gramStart"/>
            <w:r w:rsidR="006811C4" w:rsidRPr="006811C4">
              <w:t>in order for</w:t>
            </w:r>
            <w:proofErr w:type="gramEnd"/>
            <w:r w:rsidR="006811C4" w:rsidRPr="006811C4">
              <w:t xml:space="preserve"> a recommendation of public funding, PBAC would need to recommend PBS listing of futibatinib and MSAC would have to recommend public funding for the test</w:t>
            </w:r>
            <w:r w:rsidR="28EE9E32">
              <w:t>.</w:t>
            </w:r>
            <w:r w:rsidR="006811C4">
              <w:t xml:space="preserve"> </w:t>
            </w:r>
            <w:r>
              <w:t xml:space="preserve">The </w:t>
            </w:r>
            <w:r w:rsidR="00D051D3">
              <w:t xml:space="preserve">resubmission </w:t>
            </w:r>
            <w:r>
              <w:t xml:space="preserve">proposed that people whose tumours have </w:t>
            </w:r>
            <w:r w:rsidRPr="00120C08">
              <w:rPr>
                <w:i/>
                <w:iCs/>
              </w:rPr>
              <w:t>FGFR2</w:t>
            </w:r>
            <w:r>
              <w:t xml:space="preserve"> </w:t>
            </w:r>
            <w:r w:rsidR="0050644D">
              <w:t xml:space="preserve">variants </w:t>
            </w:r>
            <w:r>
              <w:t>would be eligible to access a medicine called futibatinib.</w:t>
            </w:r>
            <w:r w:rsidR="006811C4">
              <w:t xml:space="preserve"> As a part of the co-dependent application,</w:t>
            </w:r>
            <w:r>
              <w:t xml:space="preserve"> </w:t>
            </w:r>
            <w:r w:rsidR="006811C4">
              <w:t>t</w:t>
            </w:r>
            <w:r>
              <w:t>he applicant has also requested listing of futibatinib on the Pharmaceutical Benefits Scheme (PBS). Applications for new medicines to be listed on the PBS are considered by the PBAC.</w:t>
            </w:r>
          </w:p>
          <w:p w14:paraId="6D2C6F7B" w14:textId="756A559B" w:rsidR="000B4AB8" w:rsidRDefault="0050644D" w:rsidP="002D7070">
            <w:r>
              <w:t xml:space="preserve">At its November 2025 meeting, the PBAC </w:t>
            </w:r>
            <w:r w:rsidR="00100883">
              <w:t>agreed</w:t>
            </w:r>
            <w:r>
              <w:t xml:space="preserve"> to recommend PBS listing of futibatinib, </w:t>
            </w:r>
            <w:r w:rsidR="00100883">
              <w:t xml:space="preserve">if </w:t>
            </w:r>
            <w:r>
              <w:t>MSAC support</w:t>
            </w:r>
            <w:r w:rsidR="00100883">
              <w:t>ed</w:t>
            </w:r>
            <w:r>
              <w:t xml:space="preserve"> the MBS listing of the test. </w:t>
            </w:r>
            <w:r w:rsidR="002D7070">
              <w:t xml:space="preserve">The MSAC had previously considered this </w:t>
            </w:r>
            <w:r>
              <w:t>application</w:t>
            </w:r>
            <w:r w:rsidR="00580599">
              <w:t xml:space="preserve"> </w:t>
            </w:r>
            <w:r w:rsidR="002D7070">
              <w:t xml:space="preserve">at </w:t>
            </w:r>
            <w:r>
              <w:t xml:space="preserve">its </w:t>
            </w:r>
            <w:r w:rsidR="002D7070">
              <w:t>April and July 2025</w:t>
            </w:r>
            <w:r>
              <w:t xml:space="preserve"> meetings</w:t>
            </w:r>
            <w:r w:rsidR="002D7070">
              <w:t xml:space="preserve">. </w:t>
            </w:r>
            <w:r w:rsidR="00391822" w:rsidRPr="00391822">
              <w:t xml:space="preserve">MSAC acknowledged </w:t>
            </w:r>
            <w:r w:rsidR="00F546F7">
              <w:t xml:space="preserve">that </w:t>
            </w:r>
            <w:r w:rsidR="00391822" w:rsidRPr="00D45182">
              <w:rPr>
                <w:i/>
                <w:iCs/>
              </w:rPr>
              <w:t>FGFR2</w:t>
            </w:r>
            <w:r w:rsidR="00391822" w:rsidRPr="00391822">
              <w:t xml:space="preserve"> testing </w:t>
            </w:r>
            <w:r w:rsidR="00F546F7">
              <w:t>is</w:t>
            </w:r>
            <w:r w:rsidR="00391822" w:rsidRPr="00391822">
              <w:t xml:space="preserve"> safe</w:t>
            </w:r>
            <w:r w:rsidR="00F546F7">
              <w:t xml:space="preserve">, </w:t>
            </w:r>
            <w:r w:rsidR="00391822" w:rsidRPr="00391822">
              <w:t>effective</w:t>
            </w:r>
            <w:r w:rsidR="00F546F7">
              <w:t xml:space="preserve"> and that the </w:t>
            </w:r>
            <w:r w:rsidR="0090793C">
              <w:t xml:space="preserve">link between </w:t>
            </w:r>
            <w:r w:rsidR="00F546F7" w:rsidRPr="00D45182">
              <w:rPr>
                <w:i/>
                <w:iCs/>
              </w:rPr>
              <w:t>FGFR2</w:t>
            </w:r>
            <w:r w:rsidR="00F546F7">
              <w:t xml:space="preserve"> testing and </w:t>
            </w:r>
            <w:r w:rsidR="007274DE">
              <w:t xml:space="preserve">effective treatment with </w:t>
            </w:r>
            <w:r w:rsidR="00F546F7">
              <w:t>futibatinib</w:t>
            </w:r>
            <w:r w:rsidR="007274DE">
              <w:t xml:space="preserve"> (codependency)</w:t>
            </w:r>
            <w:r w:rsidR="00F546F7">
              <w:t xml:space="preserve"> has been established. H</w:t>
            </w:r>
            <w:r w:rsidR="000826A2">
              <w:t>owever</w:t>
            </w:r>
            <w:r w:rsidR="00F546F7">
              <w:t>, MSAC</w:t>
            </w:r>
            <w:r w:rsidR="00391822" w:rsidRPr="00391822">
              <w:t xml:space="preserve"> did not support </w:t>
            </w:r>
            <w:r w:rsidR="000826A2">
              <w:t xml:space="preserve">the listing of </w:t>
            </w:r>
            <w:r w:rsidR="000826A2" w:rsidRPr="00D45182">
              <w:rPr>
                <w:i/>
                <w:iCs/>
              </w:rPr>
              <w:t>FGFR2</w:t>
            </w:r>
            <w:r w:rsidR="000826A2">
              <w:t xml:space="preserve"> </w:t>
            </w:r>
            <w:r w:rsidR="0077108A">
              <w:t>testing</w:t>
            </w:r>
            <w:r w:rsidR="00F546F7">
              <w:t xml:space="preserve"> at its previous consideration</w:t>
            </w:r>
            <w:r w:rsidR="0077108A">
              <w:t xml:space="preserve"> due to</w:t>
            </w:r>
            <w:r w:rsidR="006029B3">
              <w:t xml:space="preserve"> </w:t>
            </w:r>
            <w:r w:rsidR="00F546F7">
              <w:t>unresolved</w:t>
            </w:r>
            <w:r w:rsidR="00391822" w:rsidRPr="00391822">
              <w:t xml:space="preserve"> issues</w:t>
            </w:r>
            <w:r w:rsidR="007274DE">
              <w:t xml:space="preserve"> in the application</w:t>
            </w:r>
            <w:r w:rsidR="00391822" w:rsidRPr="00391822">
              <w:t xml:space="preserve"> </w:t>
            </w:r>
            <w:r w:rsidR="00F546F7">
              <w:t xml:space="preserve">regarding the testing population, </w:t>
            </w:r>
            <w:r w:rsidR="003C0EE0">
              <w:t>economic and financial analys</w:t>
            </w:r>
            <w:r>
              <w:t>e</w:t>
            </w:r>
            <w:r w:rsidR="003C0EE0">
              <w:t>s</w:t>
            </w:r>
            <w:r w:rsidR="00391822" w:rsidRPr="00391822">
              <w:t>.</w:t>
            </w:r>
            <w:r w:rsidR="00E67F7F">
              <w:t xml:space="preserve"> </w:t>
            </w:r>
          </w:p>
          <w:p w14:paraId="5FCDB82A" w14:textId="0FADE2DB" w:rsidR="002D7070" w:rsidRDefault="002D7070" w:rsidP="002D7070">
            <w:r>
              <w:t>CCA is also known as bile duct cancer. The bile ducts are a group of thin tubes starting inside the liver that carry bile from the liver and gallbladder into the small intestine. CCA is a rare and aggressive form of cancer, with not many treatment options available. Because of this, survival after diagnosis is usually relatively short, with only half of the people alive a year after diagnosis. Therefore, there is a need for people to have access to more effective treatments.</w:t>
            </w:r>
          </w:p>
          <w:p w14:paraId="5C8F3C28" w14:textId="08FAD5A1" w:rsidR="00477A3F" w:rsidRDefault="002D7070" w:rsidP="00D721CE">
            <w:r>
              <w:t xml:space="preserve">This genetic testing targets the </w:t>
            </w:r>
            <w:r w:rsidRPr="008F16A2">
              <w:rPr>
                <w:i/>
                <w:iCs/>
              </w:rPr>
              <w:t>FGFR2</w:t>
            </w:r>
            <w:r>
              <w:t xml:space="preserve"> gene. The </w:t>
            </w:r>
            <w:r w:rsidRPr="00D45182">
              <w:t>FGFR2 protein</w:t>
            </w:r>
            <w:r>
              <w:t xml:space="preserve"> is associated with cell growth and </w:t>
            </w:r>
            <w:proofErr w:type="gramStart"/>
            <w:r>
              <w:t>differentiation, and</w:t>
            </w:r>
            <w:proofErr w:type="gramEnd"/>
            <w:r>
              <w:t xml:space="preserve"> is implicated in cancer growth. </w:t>
            </w:r>
            <w:r w:rsidRPr="008F16A2">
              <w:rPr>
                <w:i/>
                <w:iCs/>
              </w:rPr>
              <w:t>FGFR2</w:t>
            </w:r>
            <w:r>
              <w:t xml:space="preserve"> </w:t>
            </w:r>
            <w:r w:rsidR="00776A81">
              <w:t xml:space="preserve">variants </w:t>
            </w:r>
            <w:r>
              <w:t>are mainly found in CCA and not in other cancers.</w:t>
            </w:r>
            <w:r w:rsidR="00477A3F">
              <w:t xml:space="preserve"> </w:t>
            </w:r>
            <w:r w:rsidR="00921C34">
              <w:t xml:space="preserve">Given </w:t>
            </w:r>
            <w:r w:rsidR="00BD3220">
              <w:t xml:space="preserve">the aggressiveness of CCA, MSAC considered that </w:t>
            </w:r>
            <w:r w:rsidR="00BD3220" w:rsidRPr="00D45182">
              <w:rPr>
                <w:i/>
                <w:iCs/>
              </w:rPr>
              <w:t>FGFR2</w:t>
            </w:r>
            <w:r w:rsidR="00BD3220">
              <w:t xml:space="preserve"> testing should be </w:t>
            </w:r>
            <w:r w:rsidR="006B3FE9">
              <w:t xml:space="preserve">done at the time of </w:t>
            </w:r>
            <w:r w:rsidR="00776A81">
              <w:t xml:space="preserve">CCA </w:t>
            </w:r>
            <w:r w:rsidR="006B3FE9">
              <w:t>diagnosis.</w:t>
            </w:r>
            <w:r w:rsidR="00E65BEF">
              <w:t xml:space="preserve"> CCA can get worse very quickly and testing at diagnosis </w:t>
            </w:r>
            <w:r w:rsidR="00FC0DDF">
              <w:t>would reduce treatment delays.</w:t>
            </w:r>
            <w:r w:rsidR="006B3FE9">
              <w:t xml:space="preserve"> </w:t>
            </w:r>
            <w:r w:rsidR="0087418A">
              <w:t xml:space="preserve">In the current resubmission, the applicant </w:t>
            </w:r>
            <w:r w:rsidR="0087418A">
              <w:lastRenderedPageBreak/>
              <w:t>had revised the economic and financial analyses to include the whole CCA population at diagnosis.</w:t>
            </w:r>
            <w:r w:rsidR="00FF61F4">
              <w:t xml:space="preserve"> MSAC considered this acceptable.</w:t>
            </w:r>
          </w:p>
          <w:p w14:paraId="7932A022" w14:textId="0F58C914" w:rsidR="00C142B1" w:rsidRDefault="00F606CB" w:rsidP="00D721CE">
            <w:r>
              <w:t xml:space="preserve">MSAC considered that the most appropriate way to accurately detect </w:t>
            </w:r>
            <w:r w:rsidRPr="5CC9010E">
              <w:rPr>
                <w:i/>
                <w:iCs/>
              </w:rPr>
              <w:t>FGFR2</w:t>
            </w:r>
            <w:r>
              <w:t xml:space="preserve"> variants is a test performed on both DNA and RNA, which is called a combined </w:t>
            </w:r>
            <w:r w:rsidR="00502464">
              <w:t xml:space="preserve">DNA and RNA </w:t>
            </w:r>
            <w:r>
              <w:t xml:space="preserve">next generation sequencing (NGS) test. </w:t>
            </w:r>
            <w:r w:rsidR="53A0444A">
              <w:t>MSAC noted that there are other gene</w:t>
            </w:r>
            <w:r w:rsidR="00B060DC">
              <w:t xml:space="preserve">s in CCA that </w:t>
            </w:r>
            <w:r w:rsidR="001062B4">
              <w:t>can</w:t>
            </w:r>
            <w:r w:rsidR="00B060DC">
              <w:t xml:space="preserve"> be tested at the same time</w:t>
            </w:r>
            <w:r w:rsidR="00FC1FB7">
              <w:t xml:space="preserve"> as </w:t>
            </w:r>
            <w:r w:rsidR="00FC1FB7" w:rsidRPr="00CB527F">
              <w:rPr>
                <w:i/>
                <w:iCs/>
              </w:rPr>
              <w:t>FGFR2</w:t>
            </w:r>
            <w:r w:rsidR="00FC1FB7">
              <w:t xml:space="preserve"> testing</w:t>
            </w:r>
            <w:r w:rsidR="00B060DC">
              <w:t>. This</w:t>
            </w:r>
            <w:r w:rsidR="53A0444A">
              <w:t xml:space="preserve"> </w:t>
            </w:r>
            <w:r w:rsidR="00B060DC">
              <w:t>includes the</w:t>
            </w:r>
            <w:r w:rsidR="53A0444A">
              <w:t xml:space="preserve"> </w:t>
            </w:r>
            <w:r w:rsidR="53A0444A" w:rsidRPr="5CC9010E">
              <w:rPr>
                <w:i/>
                <w:iCs/>
              </w:rPr>
              <w:t>IDH1</w:t>
            </w:r>
            <w:r w:rsidR="00913F6E">
              <w:rPr>
                <w:i/>
                <w:iCs/>
              </w:rPr>
              <w:t xml:space="preserve"> </w:t>
            </w:r>
            <w:r w:rsidR="00B060DC">
              <w:t xml:space="preserve">gene </w:t>
            </w:r>
            <w:r w:rsidR="00913F6E">
              <w:t>which already has an MBS item</w:t>
            </w:r>
            <w:r w:rsidR="53A0444A">
              <w:t xml:space="preserve">. </w:t>
            </w:r>
            <w:r w:rsidR="1535ACA3">
              <w:t xml:space="preserve">MSAC considered that </w:t>
            </w:r>
            <w:r w:rsidR="009B3B3F">
              <w:t xml:space="preserve">the </w:t>
            </w:r>
            <w:r>
              <w:t xml:space="preserve">methods used to test for </w:t>
            </w:r>
            <w:r w:rsidRPr="5CC9010E">
              <w:rPr>
                <w:i/>
                <w:iCs/>
              </w:rPr>
              <w:t>FGFR2</w:t>
            </w:r>
            <w:r>
              <w:rPr>
                <w:i/>
                <w:iCs/>
              </w:rPr>
              <w:t xml:space="preserve"> </w:t>
            </w:r>
            <w:r>
              <w:t xml:space="preserve">variants </w:t>
            </w:r>
            <w:r w:rsidR="00FC1FB7">
              <w:t>should</w:t>
            </w:r>
            <w:r>
              <w:t xml:space="preserve"> also test for other </w:t>
            </w:r>
            <w:r w:rsidR="00913F6E">
              <w:t xml:space="preserve">genes at </w:t>
            </w:r>
            <w:r>
              <w:t>the same</w:t>
            </w:r>
            <w:r w:rsidR="00913F6E">
              <w:t xml:space="preserve"> time</w:t>
            </w:r>
            <w:r w:rsidR="1535ACA3">
              <w:t xml:space="preserve">. </w:t>
            </w:r>
            <w:r w:rsidR="006A6E7E">
              <w:t>T</w:t>
            </w:r>
            <w:r w:rsidR="1535ACA3">
              <w:t>herefore</w:t>
            </w:r>
            <w:r w:rsidR="006A6E7E">
              <w:t>,</w:t>
            </w:r>
            <w:r w:rsidR="1535ACA3">
              <w:t xml:space="preserve"> </w:t>
            </w:r>
            <w:r w:rsidR="006A6E7E">
              <w:t xml:space="preserve">MSAC </w:t>
            </w:r>
            <w:r w:rsidR="1535ACA3">
              <w:t xml:space="preserve">considered that the MBS item should be </w:t>
            </w:r>
            <w:r w:rsidR="006A6E7E">
              <w:t>for a test for multiple</w:t>
            </w:r>
            <w:r w:rsidR="1535ACA3">
              <w:t xml:space="preserve"> gene</w:t>
            </w:r>
            <w:r w:rsidR="006A6E7E">
              <w:t>s, which is called a gene</w:t>
            </w:r>
            <w:r w:rsidR="1535ACA3">
              <w:t xml:space="preserve"> panel test.</w:t>
            </w:r>
            <w:r w:rsidR="46D7233E">
              <w:t xml:space="preserve"> </w:t>
            </w:r>
          </w:p>
          <w:p w14:paraId="5D0E5924" w14:textId="782F6B0C" w:rsidR="00477A3F" w:rsidRDefault="6EF6719C" w:rsidP="00D721CE">
            <w:r>
              <w:t xml:space="preserve">MSAC </w:t>
            </w:r>
            <w:r w:rsidR="240C582A">
              <w:t>advised</w:t>
            </w:r>
            <w:r>
              <w:t xml:space="preserve"> that the</w:t>
            </w:r>
            <w:r w:rsidR="240C582A">
              <w:t xml:space="preserve"> fee for this test </w:t>
            </w:r>
            <w:r w:rsidR="5C452F4D">
              <w:t xml:space="preserve">should </w:t>
            </w:r>
            <w:r w:rsidR="00C07368">
              <w:t>be the same as the fee for</w:t>
            </w:r>
            <w:r w:rsidR="17948AE5">
              <w:t xml:space="preserve"> </w:t>
            </w:r>
            <w:r w:rsidR="5C452F4D">
              <w:t xml:space="preserve">a </w:t>
            </w:r>
            <w:r w:rsidR="45009593">
              <w:t>gene panel test already listed on the</w:t>
            </w:r>
            <w:r w:rsidR="5C452F4D">
              <w:t xml:space="preserve"> MBS</w:t>
            </w:r>
            <w:r>
              <w:t xml:space="preserve"> </w:t>
            </w:r>
            <w:r w:rsidR="7FCF8580">
              <w:t>(item 73376)</w:t>
            </w:r>
            <w:r w:rsidR="15B32048">
              <w:t xml:space="preserve">. </w:t>
            </w:r>
            <w:r w:rsidR="17948AE5">
              <w:t xml:space="preserve">MSAC was concerned about </w:t>
            </w:r>
            <w:r w:rsidR="00F606CB">
              <w:t xml:space="preserve">potential </w:t>
            </w:r>
            <w:r w:rsidR="17948AE5">
              <w:t>out</w:t>
            </w:r>
            <w:r w:rsidR="412FB178">
              <w:t>-of-</w:t>
            </w:r>
            <w:r w:rsidR="17948AE5">
              <w:t>pocket costs</w:t>
            </w:r>
            <w:r w:rsidR="00F606CB">
              <w:t>. MSAC</w:t>
            </w:r>
            <w:r w:rsidR="17948AE5">
              <w:t xml:space="preserve"> </w:t>
            </w:r>
            <w:r w:rsidR="00F606CB">
              <w:t>advised the Department to monitor out-of-pocket costs to</w:t>
            </w:r>
            <w:r w:rsidR="17948AE5">
              <w:t xml:space="preserve"> patients due to this testing.</w:t>
            </w:r>
          </w:p>
          <w:p w14:paraId="6FD0DA51" w14:textId="3569C555" w:rsidR="0084663F" w:rsidRDefault="0084663F" w:rsidP="00D721CE">
            <w:r>
              <w:t xml:space="preserve">CCA can be hard to diagnose as it can look </w:t>
            </w:r>
            <w:proofErr w:type="gramStart"/>
            <w:r>
              <w:t>similar to</w:t>
            </w:r>
            <w:proofErr w:type="gramEnd"/>
            <w:r>
              <w:t xml:space="preserve"> other cancers when examined under the microscope. MSAC considered that there is possibility that other cancers which are located close to the bile ducts may be thought to be CCA when in fact they are not. Therefore, MSAC considered that this may increase the number of </w:t>
            </w:r>
            <w:r w:rsidRPr="258A4151">
              <w:rPr>
                <w:i/>
                <w:iCs/>
              </w:rPr>
              <w:t>FGFR2</w:t>
            </w:r>
            <w:r>
              <w:t xml:space="preserve"> testing </w:t>
            </w:r>
            <w:r w:rsidR="00AC5A99">
              <w:t xml:space="preserve">more </w:t>
            </w:r>
            <w:r>
              <w:t xml:space="preserve">than expected. </w:t>
            </w:r>
            <w:r w:rsidR="00C07368">
              <w:t xml:space="preserve">For this reason, </w:t>
            </w:r>
            <w:r w:rsidR="0027345B">
              <w:t xml:space="preserve">MSAC </w:t>
            </w:r>
            <w:r w:rsidR="002112C8">
              <w:t>requested</w:t>
            </w:r>
            <w:r w:rsidR="00E1624A">
              <w:t xml:space="preserve"> a review of the item</w:t>
            </w:r>
            <w:r w:rsidR="549ADB1A">
              <w:t>’s</w:t>
            </w:r>
            <w:r w:rsidR="00FE15BC">
              <w:t xml:space="preserve"> u</w:t>
            </w:r>
            <w:r w:rsidR="00D952CD">
              <w:t>sage</w:t>
            </w:r>
            <w:r w:rsidR="00E1624A">
              <w:t xml:space="preserve"> be conducted 2 years after its </w:t>
            </w:r>
            <w:r w:rsidR="00CB527F">
              <w:t>listing on the MBS</w:t>
            </w:r>
            <w:r w:rsidR="00FE15BC">
              <w:t>.</w:t>
            </w:r>
            <w:r w:rsidR="00E1624A">
              <w:t xml:space="preserve"> </w:t>
            </w:r>
          </w:p>
          <w:p w14:paraId="2D1694C5" w14:textId="5FF639FB" w:rsidR="002D7070" w:rsidRDefault="002D7070" w:rsidP="00D721CE">
            <w:r>
              <w:t xml:space="preserve">MSAC </w:t>
            </w:r>
            <w:r w:rsidR="0024629E">
              <w:t>considered its</w:t>
            </w:r>
            <w:r w:rsidR="0082132D">
              <w:t xml:space="preserve"> </w:t>
            </w:r>
            <w:r w:rsidR="00BD3A4C">
              <w:t xml:space="preserve">previous </w:t>
            </w:r>
            <w:r>
              <w:t xml:space="preserve">concerns </w:t>
            </w:r>
            <w:r w:rsidR="0087418A">
              <w:t xml:space="preserve">regarding the testing population, the </w:t>
            </w:r>
            <w:r>
              <w:t xml:space="preserve">economic and financial </w:t>
            </w:r>
            <w:r w:rsidR="0087418A">
              <w:t xml:space="preserve">analyses </w:t>
            </w:r>
            <w:r>
              <w:t xml:space="preserve">had been adequately addressed. MSAC considered that the test was </w:t>
            </w:r>
            <w:r w:rsidR="00776A81">
              <w:t xml:space="preserve">safe, </w:t>
            </w:r>
            <w:r>
              <w:t>effective and good value for money.</w:t>
            </w:r>
            <w:r w:rsidR="00574910">
              <w:t xml:space="preserve"> </w:t>
            </w:r>
          </w:p>
          <w:p w14:paraId="6C75F8B0" w14:textId="77777777" w:rsidR="000523F7" w:rsidRPr="00992343" w:rsidRDefault="000523F7">
            <w:pPr>
              <w:pStyle w:val="Heading3"/>
              <w:spacing w:before="240" w:after="120"/>
              <w:rPr>
                <w:sz w:val="22"/>
                <w:szCs w:val="22"/>
              </w:rPr>
            </w:pPr>
            <w:r w:rsidRPr="00992343">
              <w:rPr>
                <w:sz w:val="22"/>
                <w:szCs w:val="22"/>
              </w:rPr>
              <w:t xml:space="preserve">MSAC’s advice to the </w:t>
            </w:r>
            <w:proofErr w:type="gramStart"/>
            <w:r w:rsidRPr="00992343">
              <w:rPr>
                <w:sz w:val="22"/>
                <w:szCs w:val="22"/>
              </w:rPr>
              <w:t>Commonwealth Minister</w:t>
            </w:r>
            <w:proofErr w:type="gramEnd"/>
            <w:r w:rsidRPr="00992343">
              <w:rPr>
                <w:sz w:val="22"/>
                <w:szCs w:val="22"/>
              </w:rPr>
              <w:t xml:space="preserve"> for Health, Disability and Ageing</w:t>
            </w:r>
          </w:p>
          <w:p w14:paraId="18551A78" w14:textId="58ACC44C" w:rsidR="000523F7" w:rsidRPr="00F91D6E" w:rsidRDefault="004F0CFF" w:rsidP="004F0CFF">
            <w:r w:rsidRPr="00AF46D8">
              <w:t>MSAC supported</w:t>
            </w:r>
            <w:r>
              <w:t xml:space="preserve"> MBS listing of a tumour tissue test using a gene panel to detect </w:t>
            </w:r>
            <w:r w:rsidRPr="00120C08">
              <w:rPr>
                <w:i/>
                <w:iCs/>
              </w:rPr>
              <w:t>FGFR2</w:t>
            </w:r>
            <w:r>
              <w:t xml:space="preserve"> gene </w:t>
            </w:r>
            <w:r w:rsidR="00F546F7">
              <w:t xml:space="preserve">variants </w:t>
            </w:r>
            <w:r>
              <w:t xml:space="preserve">in patients with CCA. </w:t>
            </w:r>
            <w:r w:rsidRPr="003D1612">
              <w:t xml:space="preserve">MSAC acknowledged that </w:t>
            </w:r>
            <w:r w:rsidRPr="003D1612">
              <w:rPr>
                <w:i/>
                <w:iCs/>
              </w:rPr>
              <w:t>FGFR2</w:t>
            </w:r>
            <w:r w:rsidRPr="003D1612">
              <w:t xml:space="preserve"> testing is safe</w:t>
            </w:r>
            <w:r w:rsidR="002112C8">
              <w:t xml:space="preserve">, </w:t>
            </w:r>
            <w:r w:rsidRPr="003D1612">
              <w:t xml:space="preserve">effective and considered that </w:t>
            </w:r>
            <w:r w:rsidRPr="003D1612">
              <w:rPr>
                <w:i/>
              </w:rPr>
              <w:t>FGFR2</w:t>
            </w:r>
            <w:r w:rsidRPr="003D1612">
              <w:t xml:space="preserve"> testing </w:t>
            </w:r>
            <w:r w:rsidR="00C07368">
              <w:t xml:space="preserve">is needed so patients can be treated </w:t>
            </w:r>
            <w:r w:rsidR="00C74C1F">
              <w:t>with</w:t>
            </w:r>
            <w:r w:rsidR="00C07368" w:rsidRPr="003D1612">
              <w:t xml:space="preserve"> </w:t>
            </w:r>
            <w:r w:rsidRPr="003D1612">
              <w:t>futibatinib</w:t>
            </w:r>
            <w:r w:rsidR="00C07368">
              <w:t xml:space="preserve"> on the PBS. </w:t>
            </w:r>
            <w:r>
              <w:t>MSAC considered that the test was good value for money and had an acceptable financial impact on the MBS</w:t>
            </w:r>
            <w:r w:rsidR="0059604E">
              <w:t xml:space="preserve"> if testing is performed in the intended CCA population</w:t>
            </w:r>
            <w:r>
              <w:t>.</w:t>
            </w:r>
            <w:r w:rsidR="00FF61F4">
              <w:t xml:space="preserve"> MSAC </w:t>
            </w:r>
            <w:r w:rsidR="0059604E">
              <w:t xml:space="preserve">advised that a review of the usage of </w:t>
            </w:r>
            <w:r w:rsidR="0059604E" w:rsidRPr="00177200">
              <w:rPr>
                <w:i/>
                <w:iCs/>
              </w:rPr>
              <w:t>FGFR2</w:t>
            </w:r>
            <w:r w:rsidR="0059604E">
              <w:t xml:space="preserve"> testing should be performed 2 years after</w:t>
            </w:r>
            <w:r w:rsidR="00C07368">
              <w:t xml:space="preserve"> it is MBS listed. </w:t>
            </w:r>
          </w:p>
        </w:tc>
      </w:tr>
    </w:tbl>
    <w:bookmarkEnd w:id="6"/>
    <w:bookmarkEnd w:id="8"/>
    <w:bookmarkEnd w:id="9"/>
    <w:p w14:paraId="5743EBF2" w14:textId="77777777" w:rsidR="000523F7" w:rsidRPr="00D155C0" w:rsidRDefault="000523F7" w:rsidP="000523F7">
      <w:pPr>
        <w:pStyle w:val="Heading2"/>
        <w:numPr>
          <w:ilvl w:val="0"/>
          <w:numId w:val="0"/>
        </w:numPr>
      </w:pPr>
      <w:r>
        <w:lastRenderedPageBreak/>
        <w:t>3.</w:t>
      </w:r>
      <w:r>
        <w:tab/>
      </w:r>
      <w:bookmarkStart w:id="10" w:name="_Hlk213745013"/>
      <w:r w:rsidRPr="003A793E">
        <w:t>Summary of consideration and rationale for MSAC’s advice</w:t>
      </w:r>
      <w:bookmarkEnd w:id="10"/>
    </w:p>
    <w:p w14:paraId="7CFF91F0" w14:textId="26CC10AA" w:rsidR="00941D89" w:rsidRPr="00EA0CB0" w:rsidRDefault="00941D89" w:rsidP="002173F2">
      <w:r>
        <w:t xml:space="preserve">MSAC noted that this was a codependent </w:t>
      </w:r>
      <w:r w:rsidR="000F1D4E">
        <w:t xml:space="preserve">resubmission </w:t>
      </w:r>
      <w:r>
        <w:t xml:space="preserve">from Taiho Pharma Oceania Pty Ltd </w:t>
      </w:r>
      <w:r w:rsidR="00971647">
        <w:t xml:space="preserve">for </w:t>
      </w:r>
      <w:r w:rsidRPr="00EA0CB0">
        <w:t>Medicare Benefits Schedule (MBS) listing of testing of tumour tissue to detect fibroblast growth factor receptor 2 (</w:t>
      </w:r>
      <w:r w:rsidRPr="00F34468">
        <w:rPr>
          <w:i/>
          <w:iCs/>
        </w:rPr>
        <w:t>FGFR2</w:t>
      </w:r>
      <w:r w:rsidRPr="00EA0CB0">
        <w:t xml:space="preserve">) fusions or rearrangements in people with cholangiocarcinoma (CCA), to determine eligibility for treatment with </w:t>
      </w:r>
      <w:r w:rsidR="00230477">
        <w:t>Pharmaceutical Benefits Scheme (</w:t>
      </w:r>
      <w:r w:rsidRPr="00EA0CB0">
        <w:t>PBS</w:t>
      </w:r>
      <w:r w:rsidR="00230477">
        <w:t xml:space="preserve">) </w:t>
      </w:r>
      <w:r w:rsidRPr="00EA0CB0">
        <w:t>subsidised futibatinib</w:t>
      </w:r>
      <w:r w:rsidR="00230477">
        <w:t>.</w:t>
      </w:r>
    </w:p>
    <w:p w14:paraId="738E8EE2" w14:textId="7BFA0B13" w:rsidR="00941D89" w:rsidRDefault="00E33C7F" w:rsidP="00941D89">
      <w:r w:rsidRPr="00E33C7F">
        <w:rPr>
          <w:rFonts w:cstheme="minorHAnsi"/>
        </w:rPr>
        <w:t xml:space="preserve">MSAC acknowledged that patients with CCA typically have a poor prognosis, and that there is a high clinical need for new treatment options for this patient population. </w:t>
      </w:r>
      <w:r w:rsidR="00A72E40">
        <w:rPr>
          <w:rFonts w:cstheme="minorHAnsi"/>
        </w:rPr>
        <w:t>MSAC noted that at its November 2025 meeting the</w:t>
      </w:r>
      <w:r w:rsidR="00A72E40">
        <w:t xml:space="preserve"> </w:t>
      </w:r>
      <w:r w:rsidR="00A72E40" w:rsidRPr="00F1564A">
        <w:rPr>
          <w:rFonts w:cstheme="minorHAnsi"/>
        </w:rPr>
        <w:t>Pharmaceutical Benefits Advisory Committee</w:t>
      </w:r>
      <w:r w:rsidR="00A72E40">
        <w:rPr>
          <w:rFonts w:cstheme="minorHAnsi"/>
        </w:rPr>
        <w:t xml:space="preserve"> was of a mind to recommend PBS listing of futibatinib, pending MSAC support for </w:t>
      </w:r>
      <w:r w:rsidR="00A72E40" w:rsidRPr="00FB3301">
        <w:rPr>
          <w:rFonts w:cstheme="minorHAnsi"/>
        </w:rPr>
        <w:t xml:space="preserve">the </w:t>
      </w:r>
      <w:r w:rsidR="00A72E40">
        <w:rPr>
          <w:rFonts w:cstheme="minorHAnsi"/>
        </w:rPr>
        <w:t xml:space="preserve">MBS listing of the associated test. </w:t>
      </w:r>
      <w:r w:rsidR="00941D89">
        <w:t>MSAC</w:t>
      </w:r>
      <w:r w:rsidR="00230477">
        <w:t xml:space="preserve"> recalled it</w:t>
      </w:r>
      <w:r w:rsidR="00941D89">
        <w:t xml:space="preserve"> had previously considered this </w:t>
      </w:r>
      <w:r w:rsidR="000158A2">
        <w:t xml:space="preserve">submission </w:t>
      </w:r>
      <w:r w:rsidR="00941D89">
        <w:t xml:space="preserve">at its April 2025 meeting (where it deferred </w:t>
      </w:r>
      <w:r w:rsidR="002C3A4D">
        <w:t xml:space="preserve">providing </w:t>
      </w:r>
      <w:r w:rsidR="00941D89">
        <w:t>advice) and its July 2025 meeting (where it did not support listing of the test</w:t>
      </w:r>
      <w:r w:rsidR="00D02774">
        <w:t xml:space="preserve">). </w:t>
      </w:r>
      <w:r w:rsidR="00733F05">
        <w:t xml:space="preserve">At its </w:t>
      </w:r>
      <w:r w:rsidR="00A51F0A">
        <w:t>April 2025</w:t>
      </w:r>
      <w:r w:rsidR="00733F05">
        <w:t xml:space="preserve"> consideration, </w:t>
      </w:r>
      <w:r w:rsidR="00733F05" w:rsidRPr="00733F05">
        <w:t>MSAC considered</w:t>
      </w:r>
      <w:r w:rsidR="00733F05">
        <w:t xml:space="preserve"> that </w:t>
      </w:r>
      <w:r w:rsidR="00733F05" w:rsidRPr="002173F2">
        <w:rPr>
          <w:i/>
          <w:iCs/>
        </w:rPr>
        <w:t xml:space="preserve">FGFR2 </w:t>
      </w:r>
      <w:r w:rsidR="00733F05">
        <w:t>testing was safe, effective and that</w:t>
      </w:r>
      <w:r w:rsidR="00733F05" w:rsidRPr="00733F05">
        <w:t xml:space="preserve"> the claim of codependency of </w:t>
      </w:r>
      <w:r w:rsidR="00733F05" w:rsidRPr="002173F2">
        <w:rPr>
          <w:i/>
          <w:iCs/>
        </w:rPr>
        <w:t>FGFR2</w:t>
      </w:r>
      <w:r w:rsidR="00733F05" w:rsidRPr="00733F05">
        <w:t xml:space="preserve"> testing and futibatinib was</w:t>
      </w:r>
      <w:r w:rsidR="00733F05">
        <w:t xml:space="preserve"> </w:t>
      </w:r>
      <w:r w:rsidR="00733F05" w:rsidRPr="00733F05">
        <w:t>reasonable based on the available (albeit limited) information.</w:t>
      </w:r>
      <w:r w:rsidR="00D02774">
        <w:t xml:space="preserve"> At its July 2025 meeting</w:t>
      </w:r>
      <w:r w:rsidR="00877EE1">
        <w:t>,</w:t>
      </w:r>
      <w:r w:rsidR="00D02774">
        <w:t xml:space="preserve"> </w:t>
      </w:r>
      <w:r w:rsidR="00941D89">
        <w:t xml:space="preserve">MSAC’s key </w:t>
      </w:r>
      <w:r w:rsidR="00B82C2F">
        <w:t xml:space="preserve">matters </w:t>
      </w:r>
      <w:r w:rsidR="00941D89">
        <w:t xml:space="preserve">of </w:t>
      </w:r>
      <w:r w:rsidR="00941D89">
        <w:lastRenderedPageBreak/>
        <w:t xml:space="preserve">concern related to </w:t>
      </w:r>
      <w:r w:rsidR="007C6F71">
        <w:t>the appropriate</w:t>
      </w:r>
      <w:r w:rsidR="00941D89">
        <w:t xml:space="preserve"> testing population</w:t>
      </w:r>
      <w:r w:rsidR="00A72E40">
        <w:t>, test fee</w:t>
      </w:r>
      <w:r w:rsidR="00941D89">
        <w:t xml:space="preserve"> and the impact</w:t>
      </w:r>
      <w:r w:rsidR="000158A2">
        <w:t>s</w:t>
      </w:r>
      <w:r w:rsidR="00941D89">
        <w:t xml:space="preserve"> of testing</w:t>
      </w:r>
      <w:r w:rsidR="000158A2">
        <w:t xml:space="preserve"> on the economic and financial analyses</w:t>
      </w:r>
      <w:r w:rsidR="00941D89">
        <w:t xml:space="preserve">. </w:t>
      </w:r>
    </w:p>
    <w:p w14:paraId="0445873C" w14:textId="2D21CCFE" w:rsidR="00941D89" w:rsidRDefault="001C046A" w:rsidP="00941D89">
      <w:r>
        <w:t xml:space="preserve">MSAC reaffirmed its previous advice that </w:t>
      </w:r>
      <w:r w:rsidRPr="13BE1CD9">
        <w:rPr>
          <w:i/>
          <w:iCs/>
        </w:rPr>
        <w:t>FGFR2</w:t>
      </w:r>
      <w:r>
        <w:t xml:space="preserve"> testing should be performed at the time of CCA diagnosis, given the rapidly progressive nature of the disease. Testing at diagnosis helps avoid delays and ensures timely access to treatment if the disease </w:t>
      </w:r>
      <w:r w:rsidR="0099768B">
        <w:t>pr</w:t>
      </w:r>
      <w:r w:rsidR="009C0E82">
        <w:t>o</w:t>
      </w:r>
      <w:r w:rsidR="0099768B">
        <w:t>gresses</w:t>
      </w:r>
      <w:r>
        <w:t xml:space="preserve"> to an advanced or metastatic stage. MSAC noted that the current resubmission </w:t>
      </w:r>
      <w:r w:rsidR="00941D89">
        <w:t>had increased the test</w:t>
      </w:r>
      <w:r w:rsidR="0099768B">
        <w:t>ing</w:t>
      </w:r>
      <w:r w:rsidR="00941D89">
        <w:t xml:space="preserve"> population </w:t>
      </w:r>
      <w:r w:rsidR="0409755F">
        <w:t xml:space="preserve">three-fold </w:t>
      </w:r>
      <w:r w:rsidR="00941D89">
        <w:t xml:space="preserve">compared to the </w:t>
      </w:r>
      <w:r w:rsidR="0099768B">
        <w:t>initial</w:t>
      </w:r>
      <w:r w:rsidR="00250FCC">
        <w:t xml:space="preserve"> </w:t>
      </w:r>
      <w:r w:rsidR="00941D89">
        <w:t xml:space="preserve">submission to account for testing of the entire CCA population at diagnosis. MSAC </w:t>
      </w:r>
      <w:r w:rsidR="0087191B">
        <w:t xml:space="preserve">considered </w:t>
      </w:r>
      <w:r w:rsidR="00941D89">
        <w:t>that this was acceptable.</w:t>
      </w:r>
      <w:r w:rsidR="0087191B">
        <w:t xml:space="preserve"> </w:t>
      </w:r>
      <w:r w:rsidR="00941D89">
        <w:t xml:space="preserve">MSAC </w:t>
      </w:r>
      <w:r w:rsidR="0087191B">
        <w:t xml:space="preserve">recalled </w:t>
      </w:r>
      <w:r w:rsidR="00941D89">
        <w:t>its previous concern that testing may be expanded to populations outside of the intended CCA population</w:t>
      </w:r>
      <w:r w:rsidR="00585671">
        <w:t xml:space="preserve"> (e.g. patients with pancreatic cancer or cancer of unknown primary </w:t>
      </w:r>
      <w:r w:rsidR="00A51F0A">
        <w:t>[</w:t>
      </w:r>
      <w:r w:rsidR="00585671">
        <w:t>CUP</w:t>
      </w:r>
      <w:r w:rsidR="00A51F0A">
        <w:t>])</w:t>
      </w:r>
      <w:r w:rsidR="00585671">
        <w:t xml:space="preserve"> due to diagnostic uncertainty</w:t>
      </w:r>
      <w:r w:rsidR="00941D89">
        <w:t xml:space="preserve">. </w:t>
      </w:r>
      <w:r w:rsidR="0087191B">
        <w:t>MSAC noted that t</w:t>
      </w:r>
      <w:r w:rsidR="00941D89">
        <w:t xml:space="preserve">he resubmission had increased the size of the testing population by 1% to account for this. </w:t>
      </w:r>
      <w:r w:rsidR="00630B93">
        <w:t xml:space="preserve">While MSAC acknowledged that there is significant uncertainty in the proportion of patients outside of the intended CCA population who may access the testing in practice, MSAC considered that this population is likely to be higher than 1% as assumed in the resubmission. </w:t>
      </w:r>
    </w:p>
    <w:p w14:paraId="73A78AFC" w14:textId="1AE30920" w:rsidR="002A5616" w:rsidRDefault="6E096EDD" w:rsidP="00E53C4E">
      <w:r>
        <w:t xml:space="preserve">MSAC noted the proposed MBS item descriptors. </w:t>
      </w:r>
      <w:r w:rsidR="6454D76D">
        <w:t xml:space="preserve">MSAC recalled its previous advice that a combined next generation sequencing (NGS) test on DNA and RNA as the most appropriate method to ensure that </w:t>
      </w:r>
      <w:r w:rsidR="6454D76D" w:rsidRPr="5CC9010E">
        <w:rPr>
          <w:i/>
          <w:iCs/>
        </w:rPr>
        <w:t>FGFR2</w:t>
      </w:r>
      <w:r w:rsidR="6454D76D">
        <w:t xml:space="preserve"> fusions and rearrangements are accurately detected. </w:t>
      </w:r>
      <w:r w:rsidR="6C2572B5">
        <w:t xml:space="preserve">MSAC also recalled its advice that </w:t>
      </w:r>
      <w:r w:rsidR="6C2572B5" w:rsidRPr="00EA6D4D">
        <w:t>single gene testing of tumour tissue may no longer be efficient or cost-effective for pathology laboratories</w:t>
      </w:r>
      <w:r w:rsidR="6C2572B5">
        <w:t xml:space="preserve"> and that </w:t>
      </w:r>
      <w:r w:rsidR="6C2572B5" w:rsidRPr="00DA7D3A">
        <w:t xml:space="preserve">laboratories would likely include both </w:t>
      </w:r>
      <w:r w:rsidR="6C2572B5" w:rsidRPr="5CC9010E">
        <w:rPr>
          <w:i/>
          <w:iCs/>
        </w:rPr>
        <w:t>IDH1</w:t>
      </w:r>
      <w:r w:rsidR="6C2572B5">
        <w:t xml:space="preserve"> sequencing (currently listed on the MBS for testing in the CCA population: MBS item 73319)</w:t>
      </w:r>
      <w:r w:rsidR="6C2572B5" w:rsidRPr="00DA7D3A">
        <w:t xml:space="preserve"> and </w:t>
      </w:r>
      <w:r w:rsidR="6C2572B5" w:rsidRPr="5CC9010E">
        <w:rPr>
          <w:i/>
          <w:iCs/>
        </w:rPr>
        <w:t>FGFR2</w:t>
      </w:r>
      <w:r w:rsidR="6C2572B5" w:rsidRPr="00DA7D3A">
        <w:t xml:space="preserve"> testing on a gene panel.</w:t>
      </w:r>
      <w:r w:rsidR="237F461B">
        <w:t xml:space="preserve"> </w:t>
      </w:r>
      <w:r w:rsidR="6C2572B5" w:rsidRPr="00DA7D3A">
        <w:t xml:space="preserve">Therefore, MSAC considered it appropriate </w:t>
      </w:r>
      <w:r w:rsidR="6C2572B5">
        <w:t>for</w:t>
      </w:r>
      <w:r w:rsidR="6C2572B5" w:rsidRPr="00DA7D3A">
        <w:t xml:space="preserve"> </w:t>
      </w:r>
      <w:r w:rsidR="6C2572B5" w:rsidRPr="5CC9010E">
        <w:rPr>
          <w:i/>
          <w:iCs/>
        </w:rPr>
        <w:t>FGFR2</w:t>
      </w:r>
      <w:r w:rsidR="6C2572B5" w:rsidRPr="00DA7D3A">
        <w:t xml:space="preserve"> testing </w:t>
      </w:r>
      <w:r w:rsidR="6C2572B5">
        <w:t xml:space="preserve">to be </w:t>
      </w:r>
      <w:r w:rsidR="6C2572B5" w:rsidRPr="00DA7D3A">
        <w:t>on a gene panel</w:t>
      </w:r>
      <w:r w:rsidR="6C2572B5">
        <w:t xml:space="preserve"> (with </w:t>
      </w:r>
      <w:r w:rsidR="6C2572B5" w:rsidRPr="5CC9010E">
        <w:rPr>
          <w:i/>
          <w:iCs/>
        </w:rPr>
        <w:t>IDH1</w:t>
      </w:r>
      <w:r w:rsidR="6C2572B5">
        <w:t>)</w:t>
      </w:r>
      <w:r w:rsidR="6C2572B5" w:rsidRPr="00DA7D3A">
        <w:t xml:space="preserve">, rather than </w:t>
      </w:r>
      <w:r w:rsidR="6C2572B5">
        <w:t xml:space="preserve">as a </w:t>
      </w:r>
      <w:r w:rsidR="6C2572B5" w:rsidRPr="00DA7D3A">
        <w:t>single gene test</w:t>
      </w:r>
      <w:r w:rsidR="6C2572B5">
        <w:t>.</w:t>
      </w:r>
      <w:r w:rsidR="3E0D4224" w:rsidRPr="00DA7D3A">
        <w:t xml:space="preserve"> </w:t>
      </w:r>
      <w:r w:rsidR="0C4C1F0A">
        <w:t>Given the presence of other therapeutically relevant gene variants in CCA</w:t>
      </w:r>
      <w:r w:rsidR="00151C8D">
        <w:rPr>
          <w:rStyle w:val="FootnoteReference"/>
        </w:rPr>
        <w:footnoteReference w:id="1"/>
      </w:r>
      <w:r w:rsidR="0C4C1F0A">
        <w:t xml:space="preserve">, MSAC considered that an NGS gene panel test would </w:t>
      </w:r>
      <w:proofErr w:type="gramStart"/>
      <w:r w:rsidR="0C4C1F0A">
        <w:t>future-proof</w:t>
      </w:r>
      <w:proofErr w:type="gramEnd"/>
      <w:r w:rsidR="0C4C1F0A">
        <w:t xml:space="preserve"> the MBS item by enabling additional genes to be included as new evidence and targeted treatments emerge. </w:t>
      </w:r>
      <w:r w:rsidR="1CE78C6F">
        <w:t xml:space="preserve">MSAC advised that the testing </w:t>
      </w:r>
      <w:r w:rsidR="77B61B5B">
        <w:t xml:space="preserve">should </w:t>
      </w:r>
      <w:r w:rsidR="1CE78C6F">
        <w:t xml:space="preserve">be pathologist determinable, which is in alignment with the current </w:t>
      </w:r>
      <w:r w:rsidR="1CE78C6F" w:rsidRPr="5CC9010E">
        <w:rPr>
          <w:i/>
          <w:iCs/>
        </w:rPr>
        <w:t>IDH1</w:t>
      </w:r>
      <w:r w:rsidR="1CE78C6F">
        <w:t xml:space="preserve"> testing</w:t>
      </w:r>
      <w:r w:rsidR="77B61B5B">
        <w:t xml:space="preserve"> MBS item</w:t>
      </w:r>
      <w:r w:rsidR="1CE78C6F">
        <w:t xml:space="preserve"> (item 73319).</w:t>
      </w:r>
      <w:r w:rsidR="4A8C1F8E">
        <w:t xml:space="preserve"> </w:t>
      </w:r>
    </w:p>
    <w:p w14:paraId="1969D9D1" w14:textId="742D6FEA" w:rsidR="00E53C4E" w:rsidRDefault="047CB881" w:rsidP="00E53C4E">
      <w:r>
        <w:t xml:space="preserve">Regarding the test fee, MSAC recalled it had requested an appropriate fee for a gene panel test including </w:t>
      </w:r>
      <w:r w:rsidRPr="5CC9010E">
        <w:rPr>
          <w:i/>
          <w:iCs/>
        </w:rPr>
        <w:t xml:space="preserve">FGFR2 </w:t>
      </w:r>
      <w:r>
        <w:t>and</w:t>
      </w:r>
      <w:r w:rsidRPr="5CC9010E">
        <w:rPr>
          <w:i/>
          <w:iCs/>
        </w:rPr>
        <w:t xml:space="preserve"> IDH1</w:t>
      </w:r>
      <w:r>
        <w:t xml:space="preserve"> to be used for the economic and financial analyses. MSAC noted that the current resubmission proposed a fee of $885 and noted that this was the private cost of an NGS DNA and RNA panel test at Peter MacCallum Cancer Centre. However, MSAC considered that it was appropriate to align the fee with an already available MBS item for a gene panel test (item 73376) and therefore considered that a fee of $800 was appropriate.</w:t>
      </w:r>
      <w:r w:rsidR="45564D2A">
        <w:t xml:space="preserve"> MSAC was concerned about </w:t>
      </w:r>
      <w:r w:rsidR="00C81B90">
        <w:t>out-of-pocket</w:t>
      </w:r>
      <w:r w:rsidR="45564D2A">
        <w:t xml:space="preserve"> costs that may be faced by patients accessing this test and requested for this to be reviewed post implementation. </w:t>
      </w:r>
    </w:p>
    <w:p w14:paraId="451CBDED" w14:textId="6CB555CA" w:rsidR="00963591" w:rsidRDefault="00941D89" w:rsidP="00941D89">
      <w:r>
        <w:t xml:space="preserve">MSAC noted the economic </w:t>
      </w:r>
      <w:r w:rsidR="00C02239">
        <w:t xml:space="preserve">and financial </w:t>
      </w:r>
      <w:r>
        <w:t>analys</w:t>
      </w:r>
      <w:r w:rsidR="00C02239">
        <w:t>e</w:t>
      </w:r>
      <w:r>
        <w:t xml:space="preserve">s presented in the resubmission, and </w:t>
      </w:r>
      <w:r w:rsidR="00A15E2E">
        <w:t xml:space="preserve">the </w:t>
      </w:r>
      <w:r>
        <w:t xml:space="preserve">additional analyses conducted by the department. </w:t>
      </w:r>
      <w:r w:rsidR="00963591">
        <w:t xml:space="preserve">MSAC </w:t>
      </w:r>
      <w:r w:rsidR="00AA6531">
        <w:t>recalled</w:t>
      </w:r>
      <w:r w:rsidR="00963591">
        <w:t xml:space="preserve"> that the previous submissions </w:t>
      </w:r>
      <w:r w:rsidR="001360FD">
        <w:t xml:space="preserve">inappropriately </w:t>
      </w:r>
      <w:r w:rsidR="00963591">
        <w:t>assumed that 20-40% of testing would be performed at no cost</w:t>
      </w:r>
      <w:r w:rsidR="00C02239">
        <w:t xml:space="preserve">, as this is currently provided </w:t>
      </w:r>
      <w:r w:rsidR="00963591">
        <w:t xml:space="preserve">by </w:t>
      </w:r>
      <w:proofErr w:type="spellStart"/>
      <w:r w:rsidR="00963591">
        <w:t>Omico</w:t>
      </w:r>
      <w:proofErr w:type="spellEnd"/>
      <w:r w:rsidR="00963591">
        <w:t xml:space="preserve"> </w:t>
      </w:r>
      <w:r w:rsidR="00C02239">
        <w:t xml:space="preserve">in clinical practice. However, MSAC considered it unlikely that </w:t>
      </w:r>
      <w:proofErr w:type="spellStart"/>
      <w:r w:rsidR="00C02239">
        <w:t>Omico</w:t>
      </w:r>
      <w:proofErr w:type="spellEnd"/>
      <w:r w:rsidR="00C02239">
        <w:t xml:space="preserve"> would continue to perform this testing at no cost if the testing was listed on the MBS.</w:t>
      </w:r>
      <w:r w:rsidR="00963591">
        <w:t xml:space="preserve"> </w:t>
      </w:r>
      <w:r w:rsidR="00AA6531">
        <w:t xml:space="preserve">MSAC noted that the current resubmission has removed the assumption that any testing would </w:t>
      </w:r>
      <w:r w:rsidR="00C02239">
        <w:t>be performed at no cost, which MSAC considered to be appropriate.</w:t>
      </w:r>
      <w:r w:rsidR="00963591">
        <w:t xml:space="preserve"> </w:t>
      </w:r>
    </w:p>
    <w:p w14:paraId="372B0206" w14:textId="427C4B67" w:rsidR="00712700" w:rsidRDefault="008A7DE5" w:rsidP="00941D89">
      <w:r>
        <w:lastRenderedPageBreak/>
        <w:t xml:space="preserve">MSAC noted the </w:t>
      </w:r>
      <w:r w:rsidR="00712700">
        <w:t xml:space="preserve">resubmission provided an updated </w:t>
      </w:r>
      <w:r w:rsidR="00C02239">
        <w:t xml:space="preserve">economic </w:t>
      </w:r>
      <w:r w:rsidR="00712700">
        <w:t>model</w:t>
      </w:r>
      <w:r w:rsidR="006B0AD6">
        <w:t xml:space="preserve"> which included</w:t>
      </w:r>
      <w:r w:rsidR="00174ADB">
        <w:t xml:space="preserve"> a </w:t>
      </w:r>
      <w:r w:rsidR="00C02239">
        <w:t xml:space="preserve">gene panel </w:t>
      </w:r>
      <w:r w:rsidR="00174ADB">
        <w:t xml:space="preserve">test fee of </w:t>
      </w:r>
      <w:r w:rsidR="00CE0727">
        <w:t xml:space="preserve">$885 ($545 </w:t>
      </w:r>
      <w:r w:rsidR="00C02239">
        <w:t>applied in the model</w:t>
      </w:r>
      <w:r w:rsidR="00CE0727">
        <w:t xml:space="preserve"> after removing $340 for </w:t>
      </w:r>
      <w:r w:rsidR="00CE0727" w:rsidRPr="002173F2">
        <w:rPr>
          <w:i/>
          <w:iCs/>
        </w:rPr>
        <w:t>IDH1</w:t>
      </w:r>
      <w:r w:rsidR="00CE0727">
        <w:t xml:space="preserve"> testing)</w:t>
      </w:r>
      <w:bookmarkStart w:id="11" w:name="_Ref216275906"/>
      <w:r w:rsidR="00CA0E4F">
        <w:rPr>
          <w:rStyle w:val="FootnoteReference"/>
        </w:rPr>
        <w:footnoteReference w:id="2"/>
      </w:r>
      <w:bookmarkEnd w:id="11"/>
      <w:r w:rsidR="00CE0727">
        <w:t>,</w:t>
      </w:r>
      <w:r w:rsidR="006B0AD6">
        <w:t xml:space="preserve"> </w:t>
      </w:r>
      <w:r w:rsidR="00B21643">
        <w:t xml:space="preserve">removing the </w:t>
      </w:r>
      <w:r w:rsidR="005E0007">
        <w:t>assumption that any testing would occur at</w:t>
      </w:r>
      <w:r w:rsidR="00B21643">
        <w:t xml:space="preserve"> no cost, increasing </w:t>
      </w:r>
      <w:r w:rsidR="001F70AD">
        <w:t xml:space="preserve">the </w:t>
      </w:r>
      <w:r w:rsidR="00B21643">
        <w:t>test po</w:t>
      </w:r>
      <w:r w:rsidR="001F70AD">
        <w:t xml:space="preserve">pulation by </w:t>
      </w:r>
      <w:r w:rsidR="002529A6">
        <w:t>three fold</w:t>
      </w:r>
      <w:r w:rsidR="001F70AD">
        <w:t xml:space="preserve"> from the </w:t>
      </w:r>
      <w:r w:rsidR="00C02239">
        <w:t>initial</w:t>
      </w:r>
      <w:r w:rsidR="001F70AD">
        <w:t xml:space="preserve"> submission</w:t>
      </w:r>
      <w:r w:rsidR="0059375B">
        <w:t xml:space="preserve"> to account for testing at CCA diagnosis</w:t>
      </w:r>
      <w:r w:rsidR="001F70AD">
        <w:t xml:space="preserve">, and </w:t>
      </w:r>
      <w:r w:rsidR="005E0007">
        <w:t>increasing</w:t>
      </w:r>
      <w:r w:rsidR="001F70AD">
        <w:t xml:space="preserve"> the</w:t>
      </w:r>
      <w:r w:rsidR="00B91B91">
        <w:t xml:space="preserve"> </w:t>
      </w:r>
      <w:r w:rsidR="00C02239">
        <w:t>testing</w:t>
      </w:r>
      <w:r w:rsidR="00B91B91">
        <w:t xml:space="preserve"> population </w:t>
      </w:r>
      <w:r w:rsidR="005E0007">
        <w:t>by an additional 1%</w:t>
      </w:r>
      <w:r w:rsidR="00B91B91">
        <w:t xml:space="preserve"> to </w:t>
      </w:r>
      <w:r w:rsidR="005E0007">
        <w:t>account for</w:t>
      </w:r>
      <w:r w:rsidR="00B91B91">
        <w:t xml:space="preserve"> </w:t>
      </w:r>
      <w:r w:rsidR="00C02239">
        <w:t>testing in patients outside of the intended CCA population</w:t>
      </w:r>
      <w:r w:rsidR="0043393D">
        <w:t xml:space="preserve">. </w:t>
      </w:r>
      <w:r w:rsidR="00BD67D1">
        <w:t xml:space="preserve">MSAC noted that </w:t>
      </w:r>
      <w:r w:rsidR="00695EEF">
        <w:t xml:space="preserve">this led to </w:t>
      </w:r>
      <w:r w:rsidR="005E0007">
        <w:t>the resubmission’s</w:t>
      </w:r>
      <w:r w:rsidR="00695EEF">
        <w:t xml:space="preserve"> base case incremental cost-effectiveness ratio (ICER) of $</w:t>
      </w:r>
      <w:r w:rsidR="009B4241">
        <w:t>75,000 to &lt; $95,000</w:t>
      </w:r>
      <w:r w:rsidR="00BA15C6">
        <w:t xml:space="preserve">. </w:t>
      </w:r>
      <w:r w:rsidR="00665EBB">
        <w:t>MSAC noted that the department had conducted a</w:t>
      </w:r>
      <w:r w:rsidR="002E5E0B">
        <w:t>dditional an</w:t>
      </w:r>
      <w:r w:rsidR="00C01E48">
        <w:t xml:space="preserve">alysis which found that the </w:t>
      </w:r>
      <w:r w:rsidR="0059375B">
        <w:t>resubmission’s base case ICER</w:t>
      </w:r>
      <w:r w:rsidR="00F31C75" w:rsidRPr="00F31C75">
        <w:t xml:space="preserve"> may be an over-estimate</w:t>
      </w:r>
      <w:r w:rsidR="007E17DD">
        <w:t xml:space="preserve"> due to an </w:t>
      </w:r>
      <w:r w:rsidR="00F20A18">
        <w:t xml:space="preserve">underestimate of the </w:t>
      </w:r>
      <w:r w:rsidR="0059375B">
        <w:t>diagnostic</w:t>
      </w:r>
      <w:r w:rsidR="00582E22">
        <w:t xml:space="preserve"> yield </w:t>
      </w:r>
      <w:r w:rsidR="0059375B">
        <w:t>of the test used</w:t>
      </w:r>
      <w:r w:rsidR="00582E22">
        <w:t xml:space="preserve"> within the modelling</w:t>
      </w:r>
      <w:r w:rsidR="00F31C75">
        <w:t xml:space="preserve">. </w:t>
      </w:r>
      <w:r w:rsidR="0059375B">
        <w:t xml:space="preserve">MSAC agreed with the department that the base case ICER should only include testing within the intended CCA population and that a sensitivity analysis would more appropriately address testing outside this population. </w:t>
      </w:r>
      <w:r w:rsidR="00F31C75">
        <w:t xml:space="preserve">Revised </w:t>
      </w:r>
      <w:r w:rsidR="007E17DD">
        <w:t>a</w:t>
      </w:r>
      <w:r w:rsidR="00F31C75">
        <w:t>nalysis by the department</w:t>
      </w:r>
      <w:r w:rsidR="00657C04">
        <w:t>, which</w:t>
      </w:r>
      <w:r w:rsidR="0059375B">
        <w:t xml:space="preserve"> included testing only in patients with CCA, an</w:t>
      </w:r>
      <w:r w:rsidR="00657C04">
        <w:t xml:space="preserve"> adjust</w:t>
      </w:r>
      <w:r w:rsidR="00006741">
        <w:t xml:space="preserve">ed </w:t>
      </w:r>
      <w:r w:rsidR="0059375B">
        <w:t xml:space="preserve">diagnostic </w:t>
      </w:r>
      <w:r w:rsidR="00006741">
        <w:t>yield to 10.1%</w:t>
      </w:r>
      <w:r w:rsidR="007A2A00">
        <w:rPr>
          <w:rStyle w:val="FootnoteReference"/>
        </w:rPr>
        <w:footnoteReference w:id="3"/>
      </w:r>
      <w:r w:rsidR="0059375B">
        <w:t>, and a gene panel test fee of $800</w:t>
      </w:r>
      <w:r w:rsidR="00DD6EC4">
        <w:t xml:space="preserve"> ($460 applied in the model after removing $340 for </w:t>
      </w:r>
      <w:r w:rsidR="00DD6EC4" w:rsidRPr="007D47EB">
        <w:rPr>
          <w:i/>
          <w:iCs/>
        </w:rPr>
        <w:t>IDH1</w:t>
      </w:r>
      <w:r w:rsidR="00DD6EC4">
        <w:t xml:space="preserve"> testing)</w:t>
      </w:r>
      <w:r w:rsidR="00714340">
        <w:fldChar w:fldCharType="begin"/>
      </w:r>
      <w:r w:rsidR="00714340">
        <w:instrText xml:space="preserve"> NOTEREF _Ref216275906 \f </w:instrText>
      </w:r>
      <w:r w:rsidR="00714340">
        <w:fldChar w:fldCharType="separate"/>
      </w:r>
      <w:r w:rsidR="00714340" w:rsidRPr="002173F2">
        <w:rPr>
          <w:rStyle w:val="FootnoteReference"/>
        </w:rPr>
        <w:t>2</w:t>
      </w:r>
      <w:r w:rsidR="00714340">
        <w:rPr>
          <w:rStyle w:val="FootnoteReference"/>
        </w:rPr>
        <w:fldChar w:fldCharType="end"/>
      </w:r>
      <w:r w:rsidR="00F31C75">
        <w:t xml:space="preserve"> </w:t>
      </w:r>
      <w:r w:rsidR="007E17DD">
        <w:t>resulted</w:t>
      </w:r>
      <w:r w:rsidR="0066271F">
        <w:t xml:space="preserve"> in a revised ICER of $</w:t>
      </w:r>
      <w:r w:rsidR="009E3BED">
        <w:t>55,000 to &lt; $75,000</w:t>
      </w:r>
      <w:r w:rsidR="0066271F">
        <w:t xml:space="preserve">. MSAC considered </w:t>
      </w:r>
      <w:r w:rsidR="007A2A00">
        <w:t xml:space="preserve">this to be </w:t>
      </w:r>
      <w:r w:rsidR="009A6395">
        <w:t xml:space="preserve">a more </w:t>
      </w:r>
      <w:r w:rsidR="00687B67">
        <w:t>accurate</w:t>
      </w:r>
      <w:r w:rsidR="009A6395">
        <w:t xml:space="preserve"> estimat</w:t>
      </w:r>
      <w:r w:rsidR="00632F58">
        <w:t>e</w:t>
      </w:r>
      <w:r w:rsidR="007A2A00">
        <w:t xml:space="preserve"> of the base case ICER</w:t>
      </w:r>
      <w:r w:rsidR="00687B67">
        <w:t xml:space="preserve"> and considered the result to be acceptable</w:t>
      </w:r>
      <w:r w:rsidR="00E9410C">
        <w:t>.</w:t>
      </w:r>
      <w:r w:rsidR="00632F58">
        <w:t xml:space="preserve"> </w:t>
      </w:r>
    </w:p>
    <w:p w14:paraId="4445C462" w14:textId="2863B053" w:rsidR="00E112BE" w:rsidRDefault="0072290F" w:rsidP="00941D89">
      <w:r>
        <w:t xml:space="preserve">MSAC noted the </w:t>
      </w:r>
      <w:r w:rsidR="00941D89">
        <w:t xml:space="preserve">financial </w:t>
      </w:r>
      <w:r w:rsidR="007A0519">
        <w:t>analysis</w:t>
      </w:r>
      <w:r>
        <w:t xml:space="preserve"> presented in the resubmission. MSAC noted </w:t>
      </w:r>
      <w:r w:rsidR="00B65051">
        <w:t xml:space="preserve">that </w:t>
      </w:r>
      <w:r>
        <w:t xml:space="preserve">the department </w:t>
      </w:r>
      <w:r w:rsidR="000A2505">
        <w:t xml:space="preserve">revised </w:t>
      </w:r>
      <w:r w:rsidR="00B65051">
        <w:t>financial impact</w:t>
      </w:r>
      <w:r w:rsidR="00FA0DB8">
        <w:t>,</w:t>
      </w:r>
      <w:r w:rsidR="000A2505">
        <w:t xml:space="preserve"> </w:t>
      </w:r>
      <w:r w:rsidR="004E1747">
        <w:t xml:space="preserve">which </w:t>
      </w:r>
      <w:r w:rsidR="00397CF0">
        <w:t xml:space="preserve">included </w:t>
      </w:r>
      <w:r w:rsidR="00DD6EC4">
        <w:t>the</w:t>
      </w:r>
      <w:r w:rsidR="00397CF0">
        <w:t xml:space="preserve"> revised </w:t>
      </w:r>
      <w:r w:rsidR="00DD6EC4">
        <w:t xml:space="preserve">diagnostic </w:t>
      </w:r>
      <w:r w:rsidR="00397CF0">
        <w:t>yield</w:t>
      </w:r>
      <w:r w:rsidR="00DD6EC4">
        <w:t xml:space="preserve"> of 10.1% and a test fee of $800</w:t>
      </w:r>
      <w:r w:rsidR="00B65051">
        <w:t>, was estimated as</w:t>
      </w:r>
      <w:r w:rsidR="00FA0DB8">
        <w:t xml:space="preserve"> </w:t>
      </w:r>
      <w:r w:rsidR="00794D2D" w:rsidRPr="00CE6A19">
        <w:t>$0 to &lt; $10 million</w:t>
      </w:r>
      <w:r w:rsidR="00794D2D">
        <w:t xml:space="preserve"> </w:t>
      </w:r>
      <w:r w:rsidR="00FA0DB8">
        <w:t xml:space="preserve">in year 1 rising to </w:t>
      </w:r>
      <w:r w:rsidR="00794D2D" w:rsidRPr="00CE6A19">
        <w:t>$0 to &lt; $10 million</w:t>
      </w:r>
      <w:r w:rsidR="00FA0DB8">
        <w:t xml:space="preserve"> in year 6</w:t>
      </w:r>
      <w:r w:rsidR="00F50E90">
        <w:t xml:space="preserve">. MSAC considered that this was a reasonable estimate. MSAC also noted the departments </w:t>
      </w:r>
      <w:r>
        <w:t>sensitivity analysis</w:t>
      </w:r>
      <w:r w:rsidR="00F50E90">
        <w:t xml:space="preserve"> which</w:t>
      </w:r>
      <w:r w:rsidR="00941D89">
        <w:t xml:space="preserve"> </w:t>
      </w:r>
      <w:r w:rsidR="00012B6F">
        <w:t xml:space="preserve">indicated </w:t>
      </w:r>
      <w:r w:rsidR="00941D89">
        <w:t>that</w:t>
      </w:r>
      <w:r w:rsidR="00012B6F">
        <w:t xml:space="preserve"> if 25% of patients with pancreatic cancer or CUP were assumed to access the test in addition to the </w:t>
      </w:r>
      <w:r w:rsidR="00585671">
        <w:t xml:space="preserve">intended </w:t>
      </w:r>
      <w:r w:rsidR="00012B6F">
        <w:t xml:space="preserve">CCA population, </w:t>
      </w:r>
      <w:r w:rsidR="00941D89">
        <w:t>the financial impact to the MBS</w:t>
      </w:r>
      <w:r w:rsidR="00A91447">
        <w:t xml:space="preserve"> would increase</w:t>
      </w:r>
      <w:r w:rsidR="00941D89">
        <w:t xml:space="preserve"> to</w:t>
      </w:r>
      <w:r w:rsidR="00CE5CDB">
        <w:t xml:space="preserve"> </w:t>
      </w:r>
      <w:r w:rsidR="00012B6F">
        <w:t>approximately</w:t>
      </w:r>
      <w:r w:rsidR="00941D89">
        <w:t xml:space="preserve"> </w:t>
      </w:r>
      <w:r w:rsidR="00794D2D" w:rsidRPr="00CE6A19">
        <w:t>$0 to &lt; $10 million</w:t>
      </w:r>
      <w:r w:rsidR="00CE5CDB">
        <w:t xml:space="preserve"> in year 1</w:t>
      </w:r>
      <w:r w:rsidR="00A91447">
        <w:t xml:space="preserve"> and</w:t>
      </w:r>
      <w:r w:rsidR="00941D89">
        <w:t xml:space="preserve"> </w:t>
      </w:r>
      <w:r w:rsidR="00794D2D" w:rsidRPr="00CE6A19">
        <w:t>$0 to &lt; $10 million</w:t>
      </w:r>
      <w:r w:rsidR="00794D2D">
        <w:t xml:space="preserve"> </w:t>
      </w:r>
      <w:r w:rsidR="00CE5CDB">
        <w:t>in year 6</w:t>
      </w:r>
      <w:r w:rsidR="00941D89">
        <w:t>.</w:t>
      </w:r>
      <w:r w:rsidR="00C80454">
        <w:t xml:space="preserve"> MSAC considered that</w:t>
      </w:r>
      <w:r w:rsidR="002627E2">
        <w:t xml:space="preserve"> a</w:t>
      </w:r>
      <w:r w:rsidR="00462090">
        <w:t xml:space="preserve"> </w:t>
      </w:r>
      <w:r w:rsidR="00C80454">
        <w:t xml:space="preserve">test uptake </w:t>
      </w:r>
      <w:r w:rsidR="00462090">
        <w:t>of</w:t>
      </w:r>
      <w:r w:rsidR="00C80454">
        <w:t xml:space="preserve"> 25% </w:t>
      </w:r>
      <w:r w:rsidR="00E112BE">
        <w:t>by</w:t>
      </w:r>
      <w:r w:rsidR="00C80454">
        <w:t xml:space="preserve"> patients </w:t>
      </w:r>
      <w:r w:rsidR="002F24F2">
        <w:t xml:space="preserve">with </w:t>
      </w:r>
      <w:r w:rsidR="008A44DE">
        <w:t>pancreatic</w:t>
      </w:r>
      <w:r w:rsidR="00903B4E">
        <w:t xml:space="preserve"> cancer or CUP</w:t>
      </w:r>
      <w:r w:rsidR="00C80454">
        <w:t xml:space="preserve"> represent a scenario of significant test use outside the intended CCA population.</w:t>
      </w:r>
      <w:r w:rsidR="00E81AC4">
        <w:t xml:space="preserve"> Given the</w:t>
      </w:r>
      <w:r w:rsidR="00795CE7">
        <w:t xml:space="preserve"> significant uncertainty in the proportion of patients outside of the intended CCA population that might access the test</w:t>
      </w:r>
      <w:r w:rsidR="00E81AC4">
        <w:t>, MSAC</w:t>
      </w:r>
      <w:r w:rsidR="00795CE7">
        <w:t xml:space="preserve"> </w:t>
      </w:r>
      <w:r w:rsidR="00A91447">
        <w:t xml:space="preserve">advised </w:t>
      </w:r>
      <w:r w:rsidR="00BC5600">
        <w:t>for a post-implementation</w:t>
      </w:r>
      <w:r w:rsidR="00A91447">
        <w:t xml:space="preserve"> utilisation</w:t>
      </w:r>
      <w:r w:rsidR="00BC5600">
        <w:t xml:space="preserve"> review to be conducted at </w:t>
      </w:r>
      <w:r w:rsidR="0059604E">
        <w:t>2</w:t>
      </w:r>
      <w:r w:rsidR="00A91447">
        <w:t xml:space="preserve"> years.</w:t>
      </w:r>
      <w:r w:rsidR="001B01DB">
        <w:t xml:space="preserve"> </w:t>
      </w:r>
    </w:p>
    <w:p w14:paraId="11C2E3A4" w14:textId="0F673EF1" w:rsidR="00941D89" w:rsidRDefault="00E33C7F" w:rsidP="00941D89">
      <w:r>
        <w:t>Overall, considering the department revised economic and financial analyses, MSAC support</w:t>
      </w:r>
      <w:r w:rsidR="00F86EDA">
        <w:t xml:space="preserve">ed </w:t>
      </w:r>
      <w:r>
        <w:t>public funding of t</w:t>
      </w:r>
      <w:r w:rsidRPr="00E33C7F">
        <w:t xml:space="preserve">esting of tumour tissue to detect </w:t>
      </w:r>
      <w:r w:rsidRPr="002173F2">
        <w:rPr>
          <w:i/>
          <w:iCs/>
        </w:rPr>
        <w:t>FGFR2</w:t>
      </w:r>
      <w:r w:rsidRPr="00E33C7F">
        <w:t xml:space="preserve"> fusions or rearrangements in people with </w:t>
      </w:r>
      <w:r>
        <w:t>CCA</w:t>
      </w:r>
      <w:r w:rsidRPr="00E33C7F">
        <w:t>, to determine eligibility for treatment with PBS subsidised futibatinib</w:t>
      </w:r>
      <w:r w:rsidR="00585671">
        <w:t>.</w:t>
      </w:r>
      <w:r w:rsidRPr="00E33C7F">
        <w:t xml:space="preserve"> </w:t>
      </w:r>
    </w:p>
    <w:p w14:paraId="6710B69D" w14:textId="1CE0D112" w:rsidR="00772829" w:rsidRPr="00CE28E3" w:rsidRDefault="000523F7" w:rsidP="002A18BE">
      <w:pPr>
        <w:pStyle w:val="Heading2"/>
        <w:numPr>
          <w:ilvl w:val="0"/>
          <w:numId w:val="0"/>
        </w:numPr>
      </w:pPr>
      <w:r>
        <w:t>4.</w:t>
      </w:r>
      <w:r>
        <w:tab/>
      </w:r>
      <w:r w:rsidR="00772829" w:rsidRPr="00CE28E3">
        <w:t>Background</w:t>
      </w:r>
      <w:bookmarkEnd w:id="4"/>
    </w:p>
    <w:p w14:paraId="241122A5" w14:textId="05264278" w:rsidR="001A1486" w:rsidRDefault="002C3C74" w:rsidP="002E2615">
      <w:r>
        <w:t xml:space="preserve">On two prior occasions (April and July 2025) </w:t>
      </w:r>
      <w:r w:rsidR="001A1486">
        <w:t xml:space="preserve">MSAC considered </w:t>
      </w:r>
      <w:r w:rsidR="001A1486" w:rsidRPr="001A1486">
        <w:t xml:space="preserve">testing of tumour tissue to detect </w:t>
      </w:r>
      <w:r w:rsidR="001A1486" w:rsidRPr="000570F7">
        <w:rPr>
          <w:i/>
          <w:iCs/>
        </w:rPr>
        <w:t>FGFR2</w:t>
      </w:r>
      <w:r w:rsidR="001A1486" w:rsidRPr="001A1486">
        <w:t xml:space="preserve"> fusions or rearrangements in people with CCA, to determine eligibility for treatment with PBS subsidised futibatinib</w:t>
      </w:r>
      <w:r w:rsidR="001A1486">
        <w:t xml:space="preserve"> (MSAC 1779)</w:t>
      </w:r>
      <w:r w:rsidR="001A1486" w:rsidRPr="001A1486">
        <w:t>.</w:t>
      </w:r>
    </w:p>
    <w:p w14:paraId="73DBD67D" w14:textId="669D678F" w:rsidR="00DE1130" w:rsidRDefault="002C3C74" w:rsidP="002E2615">
      <w:r>
        <w:t xml:space="preserve">At its July 2025 consideration, MSAC did not support the proposed test. </w:t>
      </w:r>
      <w:r w:rsidRPr="00675268">
        <w:t>MSAC advised revising the economic and financial analyses by including an updated test fee, testing the whole CCA population at diagnosis</w:t>
      </w:r>
      <w:r w:rsidR="0012206A">
        <w:t xml:space="preserve">, removing the assumption that 20% of testing will be performed at no cost by </w:t>
      </w:r>
      <w:proofErr w:type="spellStart"/>
      <w:r w:rsidR="0012206A">
        <w:t>Omico</w:t>
      </w:r>
      <w:proofErr w:type="spellEnd"/>
      <w:r w:rsidRPr="00675268">
        <w:t xml:space="preserve"> and accounting for testing conducted outside of the intended CCA population. MSAC also considered that further advice from the Department of Health, Disability and Ageing (the </w:t>
      </w:r>
      <w:r w:rsidR="00AF6BA9">
        <w:t>d</w:t>
      </w:r>
      <w:r w:rsidRPr="00675268">
        <w:t xml:space="preserve">epartment) was required on the appropriate MBS fee for panel testing. MSAC reiterated </w:t>
      </w:r>
      <w:r w:rsidRPr="00675268">
        <w:lastRenderedPageBreak/>
        <w:t xml:space="preserve">that the claim of codependency of </w:t>
      </w:r>
      <w:r w:rsidRPr="000570F7">
        <w:rPr>
          <w:i/>
          <w:iCs/>
        </w:rPr>
        <w:t>FGFR2</w:t>
      </w:r>
      <w:r w:rsidRPr="00675268">
        <w:t xml:space="preserve"> testing and futibatinib was reasonable. MSAC considered that the outstanding issues relating to the testing component could be addressed as a streamlined application</w:t>
      </w:r>
      <w:r w:rsidR="00DE1130">
        <w:t xml:space="preserve">. </w:t>
      </w:r>
    </w:p>
    <w:p w14:paraId="3F8849E7" w14:textId="1F26E69F" w:rsidR="0018798F" w:rsidRPr="000E2DEC" w:rsidRDefault="0018798F" w:rsidP="002E2615">
      <w:bookmarkStart w:id="12" w:name="_Hlk69734494"/>
      <w:r>
        <w:t xml:space="preserve">A summary of key matters of MSAC concern </w:t>
      </w:r>
      <w:r w:rsidR="00EE42AC">
        <w:t xml:space="preserve">from the July 2025 consideration </w:t>
      </w:r>
      <w:r w:rsidR="00391999">
        <w:t xml:space="preserve">(page 5 from the </w:t>
      </w:r>
      <w:r w:rsidR="00C21C54">
        <w:t>MSAC 1779 July 2025 PSD</w:t>
      </w:r>
      <w:r w:rsidR="00391999">
        <w:t xml:space="preserve">) </w:t>
      </w:r>
      <w:r>
        <w:t>and how th</w:t>
      </w:r>
      <w:r w:rsidR="0012206A">
        <w:t xml:space="preserve">e </w:t>
      </w:r>
      <w:r w:rsidR="00EF542C">
        <w:t>MSAC 1779.1</w:t>
      </w:r>
      <w:r>
        <w:t xml:space="preserve"> resubmission </w:t>
      </w:r>
      <w:r w:rsidR="002C4DD6">
        <w:t>addresses</w:t>
      </w:r>
      <w:r>
        <w:t xml:space="preserve"> these concerns is provided in </w:t>
      </w:r>
      <w:r>
        <w:fldChar w:fldCharType="begin"/>
      </w:r>
      <w:r>
        <w:instrText xml:space="preserve"> REF _Ref69480768 \h </w:instrText>
      </w:r>
      <w:r w:rsidR="00D928F6">
        <w:instrText xml:space="preserve"> \* MERGEFORMAT </w:instrText>
      </w:r>
      <w:r>
        <w:fldChar w:fldCharType="separate"/>
      </w:r>
      <w:r w:rsidRPr="00CE28E3">
        <w:t>Table</w:t>
      </w:r>
      <w:r>
        <w:t> </w:t>
      </w:r>
      <w:r>
        <w:rPr>
          <w:noProof/>
        </w:rPr>
        <w:t>1</w:t>
      </w:r>
      <w:r>
        <w:fldChar w:fldCharType="end"/>
      </w:r>
      <w:r>
        <w:t>.</w:t>
      </w:r>
    </w:p>
    <w:p w14:paraId="6EC12EDF" w14:textId="0172E34F" w:rsidR="0068682C" w:rsidRPr="00CE28E3" w:rsidRDefault="0068682C" w:rsidP="0068682C">
      <w:pPr>
        <w:pStyle w:val="Caption"/>
      </w:pPr>
      <w:bookmarkStart w:id="13" w:name="_Ref69480768"/>
      <w:bookmarkStart w:id="14" w:name="_Hlk69734557"/>
      <w:bookmarkEnd w:id="12"/>
      <w:r w:rsidRPr="00CE28E3">
        <w:t>Table</w:t>
      </w:r>
      <w:r w:rsidR="004A4FDF">
        <w:t> </w:t>
      </w:r>
      <w:r>
        <w:fldChar w:fldCharType="begin"/>
      </w:r>
      <w:r>
        <w:instrText>SEQ Table \* ARABIC</w:instrText>
      </w:r>
      <w:r>
        <w:fldChar w:fldCharType="separate"/>
      </w:r>
      <w:r w:rsidR="0069533A">
        <w:rPr>
          <w:noProof/>
        </w:rPr>
        <w:t>1</w:t>
      </w:r>
      <w:r>
        <w:fldChar w:fldCharType="end"/>
      </w:r>
      <w:bookmarkEnd w:id="13"/>
      <w:r w:rsidR="00316210">
        <w:rPr>
          <w:noProof/>
        </w:rPr>
        <w:t>:</w:t>
      </w:r>
      <w:r w:rsidRPr="00CE28E3">
        <w:tab/>
        <w:t xml:space="preserve">Summary of key matters of </w:t>
      </w:r>
      <w:r w:rsidR="004423C0">
        <w:t xml:space="preserve">MSAC </w:t>
      </w:r>
      <w:r w:rsidRPr="00CE28E3">
        <w:t>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4252"/>
        <w:gridCol w:w="3210"/>
      </w:tblGrid>
      <w:tr w:rsidR="00F57885" w:rsidRPr="00CE28E3" w14:paraId="2BDCC27B" w14:textId="77777777" w:rsidTr="000570F7">
        <w:trPr>
          <w:cantSplit/>
          <w:tblHeader/>
        </w:trPr>
        <w:tc>
          <w:tcPr>
            <w:tcW w:w="862" w:type="pct"/>
          </w:tcPr>
          <w:p w14:paraId="58F6A808" w14:textId="77777777" w:rsidR="00F57885" w:rsidRPr="00CE28E3" w:rsidRDefault="00F57885" w:rsidP="00824458">
            <w:pPr>
              <w:pStyle w:val="In-tableHeading"/>
            </w:pPr>
            <w:bookmarkStart w:id="15" w:name="ColumnTitle_Table1"/>
            <w:bookmarkStart w:id="16" w:name="_Hlk68275590"/>
            <w:bookmarkEnd w:id="15"/>
            <w:r w:rsidRPr="00CE28E3">
              <w:t>Component</w:t>
            </w:r>
          </w:p>
        </w:tc>
        <w:tc>
          <w:tcPr>
            <w:tcW w:w="2358" w:type="pct"/>
          </w:tcPr>
          <w:p w14:paraId="09992FB9" w14:textId="77777777" w:rsidR="00F57885" w:rsidRPr="00CE28E3" w:rsidRDefault="00F57885" w:rsidP="00824458">
            <w:pPr>
              <w:pStyle w:val="In-tableHeading"/>
            </w:pPr>
            <w:r w:rsidRPr="00CE28E3">
              <w:t>Matter of concern</w:t>
            </w:r>
          </w:p>
        </w:tc>
        <w:tc>
          <w:tcPr>
            <w:tcW w:w="1780" w:type="pct"/>
          </w:tcPr>
          <w:p w14:paraId="54C88680" w14:textId="77777777" w:rsidR="00F57885" w:rsidRPr="00CE28E3" w:rsidRDefault="00F57885" w:rsidP="00824458">
            <w:pPr>
              <w:pStyle w:val="In-tableHeading"/>
            </w:pPr>
            <w:r w:rsidRPr="00CE28E3">
              <w:t>How the current assessment report addresses it</w:t>
            </w:r>
          </w:p>
        </w:tc>
      </w:tr>
      <w:tr w:rsidR="00DE1130" w:rsidRPr="00CE28E3" w14:paraId="4524B266" w14:textId="77777777" w:rsidTr="000570F7">
        <w:trPr>
          <w:cantSplit/>
        </w:trPr>
        <w:tc>
          <w:tcPr>
            <w:tcW w:w="862" w:type="pct"/>
          </w:tcPr>
          <w:p w14:paraId="7B3B185F" w14:textId="04A7A94F" w:rsidR="00DE1130" w:rsidRPr="0044697F" w:rsidRDefault="00DE1130" w:rsidP="00824458">
            <w:pPr>
              <w:pStyle w:val="TableText"/>
            </w:pPr>
            <w:r>
              <w:t>Test fee</w:t>
            </w:r>
          </w:p>
        </w:tc>
        <w:tc>
          <w:tcPr>
            <w:tcW w:w="2358" w:type="pct"/>
          </w:tcPr>
          <w:p w14:paraId="2522F82A" w14:textId="042C0D9D" w:rsidR="00DE1130" w:rsidRPr="0044697F" w:rsidRDefault="00731FD1" w:rsidP="00824458">
            <w:pPr>
              <w:pStyle w:val="TableText"/>
              <w:rPr>
                <w:rFonts w:eastAsia="Times New Roman" w:cs="Arial"/>
                <w:snapToGrid w:val="0"/>
                <w:szCs w:val="20"/>
              </w:rPr>
            </w:pPr>
            <w:r>
              <w:rPr>
                <w:rFonts w:eastAsia="Times New Roman" w:cs="Arial"/>
                <w:snapToGrid w:val="0"/>
                <w:szCs w:val="20"/>
              </w:rPr>
              <w:t xml:space="preserve">An appropriate fee for a gene panel test including </w:t>
            </w:r>
            <w:r w:rsidRPr="00C21C54">
              <w:rPr>
                <w:rFonts w:eastAsia="Times New Roman" w:cs="Arial"/>
                <w:i/>
                <w:iCs/>
                <w:snapToGrid w:val="0"/>
                <w:szCs w:val="20"/>
              </w:rPr>
              <w:t>FGFR2</w:t>
            </w:r>
            <w:r w:rsidR="00C21C54">
              <w:rPr>
                <w:rFonts w:eastAsia="Times New Roman" w:cs="Arial"/>
                <w:i/>
                <w:iCs/>
                <w:snapToGrid w:val="0"/>
                <w:szCs w:val="20"/>
              </w:rPr>
              <w:t xml:space="preserve"> </w:t>
            </w:r>
            <w:r w:rsidR="00C21C54" w:rsidRPr="00C21C54">
              <w:rPr>
                <w:rFonts w:eastAsia="Times New Roman" w:cs="Arial"/>
                <w:snapToGrid w:val="0"/>
                <w:szCs w:val="20"/>
              </w:rPr>
              <w:t>to be used for economic and financial analysis</w:t>
            </w:r>
            <w:r w:rsidR="008F09DC">
              <w:rPr>
                <w:rFonts w:eastAsia="Times New Roman" w:cs="Arial"/>
                <w:i/>
                <w:iCs/>
                <w:snapToGrid w:val="0"/>
                <w:szCs w:val="20"/>
              </w:rPr>
              <w:t xml:space="preserve">. </w:t>
            </w:r>
            <w:r w:rsidR="008F09DC">
              <w:t xml:space="preserve">MSAC requested further advice from the </w:t>
            </w:r>
            <w:r w:rsidR="00AF6BA9">
              <w:t>d</w:t>
            </w:r>
            <w:r w:rsidR="008F09DC">
              <w:t>epartment on this matter.</w:t>
            </w:r>
          </w:p>
        </w:tc>
        <w:tc>
          <w:tcPr>
            <w:tcW w:w="1780" w:type="pct"/>
          </w:tcPr>
          <w:p w14:paraId="49971C47" w14:textId="08EBDC8A" w:rsidR="00DE1130" w:rsidRDefault="00C21C54" w:rsidP="00824458">
            <w:pPr>
              <w:pStyle w:val="TableText"/>
            </w:pPr>
            <w:r>
              <w:t xml:space="preserve">The </w:t>
            </w:r>
            <w:r w:rsidR="00512E34">
              <w:t>MSAC 1779.1 resubmission</w:t>
            </w:r>
            <w:r>
              <w:t xml:space="preserve"> has proposed a fee of $885 noting that this is the private cost of an </w:t>
            </w:r>
            <w:r w:rsidRPr="00C21C54">
              <w:t>NGS DNA and RNA panel</w:t>
            </w:r>
            <w:r w:rsidR="00CF12E5">
              <w:t xml:space="preserve"> test</w:t>
            </w:r>
            <w:r w:rsidRPr="00C21C54">
              <w:t xml:space="preserve"> at Peter MacCallum Cancer Centre</w:t>
            </w:r>
            <w:r>
              <w:t>.</w:t>
            </w:r>
          </w:p>
        </w:tc>
      </w:tr>
      <w:tr w:rsidR="00F57885" w:rsidRPr="00CE28E3" w14:paraId="0D0A7682" w14:textId="77777777" w:rsidTr="000570F7">
        <w:trPr>
          <w:cantSplit/>
        </w:trPr>
        <w:tc>
          <w:tcPr>
            <w:tcW w:w="862" w:type="pct"/>
          </w:tcPr>
          <w:p w14:paraId="4F1DA453" w14:textId="2AC5EA64" w:rsidR="00F57885" w:rsidRPr="0044697F" w:rsidRDefault="008F254E" w:rsidP="00824458">
            <w:pPr>
              <w:pStyle w:val="TableText"/>
            </w:pPr>
            <w:r w:rsidRPr="0044697F">
              <w:t>Testing population</w:t>
            </w:r>
          </w:p>
        </w:tc>
        <w:tc>
          <w:tcPr>
            <w:tcW w:w="2358" w:type="pct"/>
          </w:tcPr>
          <w:p w14:paraId="3F35F478" w14:textId="6513C416" w:rsidR="00F57885" w:rsidRPr="0044697F" w:rsidRDefault="004423C0" w:rsidP="00824458">
            <w:pPr>
              <w:pStyle w:val="TableText"/>
              <w:rPr>
                <w:szCs w:val="20"/>
              </w:rPr>
            </w:pPr>
            <w:r w:rsidRPr="0044697F">
              <w:rPr>
                <w:rFonts w:eastAsia="Times New Roman" w:cs="Arial"/>
                <w:snapToGrid w:val="0"/>
                <w:szCs w:val="20"/>
              </w:rPr>
              <w:t xml:space="preserve">MSAC considered that </w:t>
            </w:r>
            <w:r w:rsidRPr="0044697F">
              <w:rPr>
                <w:rFonts w:eastAsia="Times New Roman" w:cs="Arial"/>
                <w:i/>
                <w:snapToGrid w:val="0"/>
                <w:szCs w:val="20"/>
              </w:rPr>
              <w:t>FGFR2</w:t>
            </w:r>
            <w:r w:rsidRPr="0044697F">
              <w:rPr>
                <w:rFonts w:eastAsia="Times New Roman" w:cs="Arial"/>
                <w:snapToGrid w:val="0"/>
                <w:szCs w:val="20"/>
              </w:rPr>
              <w:t xml:space="preserve"> testing should occur in the whole CCA population</w:t>
            </w:r>
            <w:r w:rsidRPr="0044697F" w:rsidDel="001A7E90">
              <w:rPr>
                <w:rFonts w:eastAsia="Times New Roman" w:cs="Arial"/>
                <w:snapToGrid w:val="0"/>
                <w:szCs w:val="20"/>
              </w:rPr>
              <w:t xml:space="preserve"> </w:t>
            </w:r>
            <w:r w:rsidRPr="0044697F">
              <w:rPr>
                <w:rFonts w:eastAsia="Times New Roman" w:cs="Arial"/>
                <w:snapToGrid w:val="0"/>
                <w:szCs w:val="20"/>
              </w:rPr>
              <w:t>at diagnosis to prevent any delays in treatment decisions as it is a rapidly progressing cancer and the tumour samples for testing are small.</w:t>
            </w:r>
          </w:p>
        </w:tc>
        <w:tc>
          <w:tcPr>
            <w:tcW w:w="1780" w:type="pct"/>
          </w:tcPr>
          <w:p w14:paraId="5550388E" w14:textId="57E4AE9A" w:rsidR="00897663" w:rsidRDefault="002F7B32" w:rsidP="00824458">
            <w:pPr>
              <w:pStyle w:val="TableText"/>
            </w:pPr>
            <w:r>
              <w:t xml:space="preserve">The MSAC 1779.1 resubmission has </w:t>
            </w:r>
            <w:r w:rsidR="0080681B">
              <w:t>increas</w:t>
            </w:r>
            <w:r w:rsidR="00E23F02">
              <w:t xml:space="preserve">ed </w:t>
            </w:r>
            <w:r>
              <w:t xml:space="preserve">the test population by </w:t>
            </w:r>
            <w:r w:rsidR="00E23F02">
              <w:t>357</w:t>
            </w:r>
            <w:r w:rsidR="00CF12E5">
              <w:t>%</w:t>
            </w:r>
            <w:r w:rsidR="00E23F02">
              <w:t xml:space="preserve"> </w:t>
            </w:r>
            <w:r>
              <w:t>compared to the initial submission</w:t>
            </w:r>
            <w:r w:rsidR="00CF12E5">
              <w:t xml:space="preserve"> </w:t>
            </w:r>
            <w:r>
              <w:t>to account for testing at CCA diagnosis</w:t>
            </w:r>
            <w:r w:rsidR="00F65F59">
              <w:t xml:space="preserve">. </w:t>
            </w:r>
          </w:p>
          <w:p w14:paraId="13F08427" w14:textId="7B0B328B" w:rsidR="00F57885" w:rsidRPr="00CE28E3" w:rsidRDefault="00F57885" w:rsidP="00824458">
            <w:pPr>
              <w:pStyle w:val="TableText"/>
            </w:pPr>
          </w:p>
        </w:tc>
      </w:tr>
      <w:tr w:rsidR="00AE6074" w:rsidRPr="00CE28E3" w14:paraId="4A4BEA3A" w14:textId="77777777" w:rsidTr="000570F7">
        <w:trPr>
          <w:cantSplit/>
        </w:trPr>
        <w:tc>
          <w:tcPr>
            <w:tcW w:w="862" w:type="pct"/>
          </w:tcPr>
          <w:p w14:paraId="02087C06" w14:textId="57D19E78" w:rsidR="00AE6074" w:rsidRPr="0044697F" w:rsidRDefault="00AE6074" w:rsidP="00824458">
            <w:pPr>
              <w:pStyle w:val="TableText"/>
            </w:pPr>
            <w:r w:rsidRPr="0044697F">
              <w:t>Testing population</w:t>
            </w:r>
          </w:p>
        </w:tc>
        <w:tc>
          <w:tcPr>
            <w:tcW w:w="2358" w:type="pct"/>
          </w:tcPr>
          <w:p w14:paraId="1A8A92DA" w14:textId="0AE388CF" w:rsidR="00AE6074" w:rsidRPr="0044697F" w:rsidRDefault="00AE6074" w:rsidP="00824458">
            <w:pPr>
              <w:pStyle w:val="TableText"/>
              <w:rPr>
                <w:rFonts w:eastAsia="Times New Roman" w:cs="Arial"/>
                <w:snapToGrid w:val="0"/>
                <w:szCs w:val="20"/>
              </w:rPr>
            </w:pPr>
            <w:r w:rsidRPr="00AE6074">
              <w:rPr>
                <w:rFonts w:eastAsia="Times New Roman" w:cs="Arial"/>
                <w:snapToGrid w:val="0"/>
                <w:szCs w:val="20"/>
              </w:rPr>
              <w:t>Address the issue of expansion of the testing to populations outside of the intended CCA population (e.g. pancreatic cancer and cancer of unknown primary</w:t>
            </w:r>
            <w:r w:rsidR="00766832">
              <w:rPr>
                <w:rFonts w:eastAsia="Times New Roman" w:cs="Arial"/>
                <w:snapToGrid w:val="0"/>
                <w:szCs w:val="20"/>
              </w:rPr>
              <w:t xml:space="preserve"> [CUP]</w:t>
            </w:r>
            <w:r w:rsidRPr="00AE6074">
              <w:rPr>
                <w:rFonts w:eastAsia="Times New Roman" w:cs="Arial"/>
                <w:snapToGrid w:val="0"/>
                <w:szCs w:val="20"/>
              </w:rPr>
              <w:t>).</w:t>
            </w:r>
          </w:p>
        </w:tc>
        <w:tc>
          <w:tcPr>
            <w:tcW w:w="1780" w:type="pct"/>
          </w:tcPr>
          <w:p w14:paraId="73F48C4B" w14:textId="65C18E6A" w:rsidR="00AE6074" w:rsidRDefault="00512E34" w:rsidP="00AE6074">
            <w:pPr>
              <w:pStyle w:val="TableText"/>
              <w:rPr>
                <w:rFonts w:eastAsia="Times New Roman" w:cs="Arial"/>
                <w:bCs/>
                <w:snapToGrid w:val="0"/>
                <w:szCs w:val="20"/>
              </w:rPr>
            </w:pPr>
            <w:r>
              <w:rPr>
                <w:rFonts w:eastAsia="Times New Roman" w:cs="Arial"/>
                <w:bCs/>
                <w:snapToGrid w:val="0"/>
                <w:szCs w:val="20"/>
              </w:rPr>
              <w:t>The 1779.1</w:t>
            </w:r>
            <w:r w:rsidR="006B2988">
              <w:rPr>
                <w:rFonts w:eastAsia="Times New Roman" w:cs="Arial"/>
                <w:bCs/>
                <w:snapToGrid w:val="0"/>
                <w:szCs w:val="20"/>
              </w:rPr>
              <w:t xml:space="preserve"> resubmission has increased the testing population </w:t>
            </w:r>
            <w:r w:rsidR="00517189">
              <w:rPr>
                <w:rFonts w:eastAsia="Times New Roman" w:cs="Arial"/>
                <w:bCs/>
                <w:snapToGrid w:val="0"/>
                <w:szCs w:val="20"/>
              </w:rPr>
              <w:t>by 1%</w:t>
            </w:r>
            <w:r w:rsidR="006B2988">
              <w:rPr>
                <w:rFonts w:eastAsia="Times New Roman" w:cs="Arial"/>
                <w:bCs/>
                <w:snapToGrid w:val="0"/>
                <w:szCs w:val="20"/>
              </w:rPr>
              <w:t xml:space="preserve"> to account for testing in populations outside of the intended CCA population.</w:t>
            </w:r>
          </w:p>
          <w:p w14:paraId="5130702A" w14:textId="4D816A40" w:rsidR="00AE6074" w:rsidRDefault="00AE6074" w:rsidP="00AE6074">
            <w:pPr>
              <w:pStyle w:val="TableText"/>
            </w:pPr>
          </w:p>
        </w:tc>
      </w:tr>
      <w:tr w:rsidR="00F57885" w:rsidRPr="00CE28E3" w14:paraId="3B9AD9C3" w14:textId="77777777" w:rsidTr="000570F7">
        <w:trPr>
          <w:cantSplit/>
        </w:trPr>
        <w:tc>
          <w:tcPr>
            <w:tcW w:w="862" w:type="pct"/>
          </w:tcPr>
          <w:p w14:paraId="23382853" w14:textId="2454FC26" w:rsidR="00F57885" w:rsidRPr="00CE28E3" w:rsidRDefault="00DC6AD2" w:rsidP="00824458">
            <w:pPr>
              <w:pStyle w:val="TableText"/>
            </w:pPr>
            <w:r>
              <w:t>Financial impact of testing</w:t>
            </w:r>
          </w:p>
        </w:tc>
        <w:tc>
          <w:tcPr>
            <w:tcW w:w="2358" w:type="pct"/>
          </w:tcPr>
          <w:p w14:paraId="3C6FBFDC" w14:textId="770027A3" w:rsidR="00556F1F" w:rsidRPr="00CE28E3" w:rsidRDefault="00680CCE" w:rsidP="00824458">
            <w:pPr>
              <w:pStyle w:val="TableText"/>
            </w:pPr>
            <w:r w:rsidRPr="00680CCE">
              <w:t>Revise the economic and financial analyses by removing the assumption that 20% of the testing will be performed at no cost</w:t>
            </w:r>
          </w:p>
        </w:tc>
        <w:tc>
          <w:tcPr>
            <w:tcW w:w="1780" w:type="pct"/>
          </w:tcPr>
          <w:p w14:paraId="79CC485B" w14:textId="2E49FDCD" w:rsidR="00F57885" w:rsidRDefault="00680CCE" w:rsidP="00824458">
            <w:pPr>
              <w:pStyle w:val="TableText"/>
              <w:rPr>
                <w:rFonts w:eastAsia="Times New Roman" w:cs="Arial"/>
                <w:bCs/>
                <w:snapToGrid w:val="0"/>
                <w:szCs w:val="20"/>
              </w:rPr>
            </w:pPr>
            <w:r>
              <w:rPr>
                <w:rFonts w:eastAsia="Times New Roman" w:cs="Arial"/>
                <w:bCs/>
                <w:snapToGrid w:val="0"/>
                <w:szCs w:val="20"/>
              </w:rPr>
              <w:t>Addressed</w:t>
            </w:r>
            <w:r w:rsidR="00517189">
              <w:rPr>
                <w:rFonts w:eastAsia="Times New Roman" w:cs="Arial"/>
                <w:bCs/>
                <w:snapToGrid w:val="0"/>
                <w:szCs w:val="20"/>
              </w:rPr>
              <w:t xml:space="preserve"> – </w:t>
            </w:r>
            <w:r w:rsidR="0012206A">
              <w:rPr>
                <w:rFonts w:eastAsia="Times New Roman" w:cs="Arial"/>
                <w:bCs/>
                <w:snapToGrid w:val="0"/>
                <w:szCs w:val="20"/>
              </w:rPr>
              <w:t>free</w:t>
            </w:r>
            <w:r w:rsidR="00CF12E5">
              <w:rPr>
                <w:rFonts w:eastAsia="Times New Roman" w:cs="Arial"/>
                <w:bCs/>
                <w:snapToGrid w:val="0"/>
                <w:szCs w:val="20"/>
              </w:rPr>
              <w:t xml:space="preserve"> of charge</w:t>
            </w:r>
            <w:r w:rsidR="0012206A">
              <w:rPr>
                <w:rFonts w:eastAsia="Times New Roman" w:cs="Arial"/>
                <w:bCs/>
                <w:snapToGrid w:val="0"/>
                <w:szCs w:val="20"/>
              </w:rPr>
              <w:t xml:space="preserve"> testing by </w:t>
            </w:r>
            <w:proofErr w:type="spellStart"/>
            <w:r w:rsidR="00517189">
              <w:rPr>
                <w:rFonts w:eastAsia="Times New Roman" w:cs="Arial"/>
                <w:bCs/>
                <w:snapToGrid w:val="0"/>
                <w:szCs w:val="20"/>
              </w:rPr>
              <w:t>Omico</w:t>
            </w:r>
            <w:proofErr w:type="spellEnd"/>
            <w:r w:rsidR="00517189">
              <w:rPr>
                <w:rFonts w:eastAsia="Times New Roman" w:cs="Arial"/>
                <w:bCs/>
                <w:snapToGrid w:val="0"/>
                <w:szCs w:val="20"/>
              </w:rPr>
              <w:t xml:space="preserve"> set to 0%</w:t>
            </w:r>
            <w:r>
              <w:rPr>
                <w:rFonts w:eastAsia="Times New Roman" w:cs="Arial"/>
                <w:bCs/>
                <w:snapToGrid w:val="0"/>
                <w:szCs w:val="20"/>
              </w:rPr>
              <w:t>.</w:t>
            </w:r>
          </w:p>
          <w:p w14:paraId="26202E3E" w14:textId="414EDCE0" w:rsidR="00680CCE" w:rsidRPr="00CE28E3" w:rsidRDefault="00680CCE" w:rsidP="00824458">
            <w:pPr>
              <w:pStyle w:val="TableText"/>
              <w:rPr>
                <w:rFonts w:eastAsia="Times New Roman" w:cs="Arial"/>
                <w:bCs/>
                <w:snapToGrid w:val="0"/>
                <w:szCs w:val="20"/>
              </w:rPr>
            </w:pPr>
          </w:p>
        </w:tc>
      </w:tr>
    </w:tbl>
    <w:p w14:paraId="5E50AE17" w14:textId="097C5006" w:rsidR="0018798F" w:rsidRDefault="00D04681" w:rsidP="00BF16DE">
      <w:pPr>
        <w:pStyle w:val="TableFigureFooter"/>
      </w:pPr>
      <w:bookmarkStart w:id="17" w:name="_Hlk68275617"/>
      <w:bookmarkEnd w:id="16"/>
      <w:r>
        <w:rPr>
          <w:szCs w:val="20"/>
        </w:rPr>
        <w:t xml:space="preserve">Abbreviations: CCA = cholangiocarcinoma; </w:t>
      </w:r>
      <w:r w:rsidR="00375556" w:rsidRPr="00375556">
        <w:rPr>
          <w:szCs w:val="20"/>
        </w:rPr>
        <w:t>DNA = deoxyribonucleic acid</w:t>
      </w:r>
      <w:r w:rsidR="00375556">
        <w:rPr>
          <w:szCs w:val="20"/>
        </w:rPr>
        <w:t xml:space="preserve">; </w:t>
      </w:r>
      <w:r w:rsidR="00FB4EF5" w:rsidRPr="000570F7">
        <w:rPr>
          <w:i/>
          <w:iCs/>
          <w:szCs w:val="20"/>
        </w:rPr>
        <w:t>FGFR2</w:t>
      </w:r>
      <w:r w:rsidR="00FB4EF5">
        <w:rPr>
          <w:szCs w:val="20"/>
        </w:rPr>
        <w:t xml:space="preserve"> = </w:t>
      </w:r>
      <w:r w:rsidR="00FB4EF5" w:rsidRPr="00FB4EF5">
        <w:rPr>
          <w:szCs w:val="20"/>
        </w:rPr>
        <w:t>fibroblast growth factor receptor 2</w:t>
      </w:r>
      <w:r w:rsidR="00F57885" w:rsidRPr="00CE28E3">
        <w:t>; MSAC = Medical Services Advisory Committee</w:t>
      </w:r>
      <w:r w:rsidR="00375556">
        <w:t xml:space="preserve">; NGS = next generation sequencing; </w:t>
      </w:r>
      <w:r w:rsidR="00375556" w:rsidRPr="00375556">
        <w:t>RNA = ribonucleic acid</w:t>
      </w:r>
    </w:p>
    <w:p w14:paraId="574A24BA" w14:textId="40E252D6" w:rsidR="000846E9" w:rsidRDefault="000846E9" w:rsidP="002E2615">
      <w:r>
        <w:t xml:space="preserve">The PBAC considered listing of futibatinib for the treatment of patients with locally advanced or metastatic CCA who have previously progressed on systemic therapy and have a </w:t>
      </w:r>
      <w:r w:rsidRPr="75124A81">
        <w:rPr>
          <w:i/>
          <w:iCs/>
        </w:rPr>
        <w:t>FGFR2</w:t>
      </w:r>
      <w:r>
        <w:t xml:space="preserve"> fusion or rearrangement at its March and July 2025 meetings. At its March 2025 meeting, the PBAC did not recommend PBS listing of futibatinib and advised that a resubmission should include a more realistic estimate of the clinical benefit in the economic model and revise utilisation estimates to more accurately reflect the prevalence of CCA and the number of patients with </w:t>
      </w:r>
      <w:r w:rsidRPr="75124A81">
        <w:rPr>
          <w:i/>
          <w:iCs/>
        </w:rPr>
        <w:t>FGFR2</w:t>
      </w:r>
      <w:r>
        <w:t xml:space="preserve"> fusions or rearrangements. PBAC considered the resubmission at its July 2025 meeting, where it again did not recommend PBS funding of futibatinib as the resubmission did not adequately address the outstanding issues requested as part of its March 2025 consideration.</w:t>
      </w:r>
      <w:r w:rsidR="00E7636A">
        <w:t xml:space="preserve"> A resubmission addressing the outstanding issues will be considered again by PBAC at its November 2025 meeting.</w:t>
      </w:r>
    </w:p>
    <w:p w14:paraId="7D74D972" w14:textId="70FC7B05" w:rsidR="006F2CF7" w:rsidRPr="000570F7" w:rsidRDefault="006F2CF7" w:rsidP="002E2615">
      <w:r w:rsidRPr="00DA1EE6">
        <w:t>MSAC application 1750</w:t>
      </w:r>
      <w:r w:rsidR="00E7636A">
        <w:t xml:space="preserve">: </w:t>
      </w:r>
      <w:r w:rsidRPr="00DA1EE6">
        <w:t>Testing of tumour tissue to detect isocitrate dehydrogenase 1 [</w:t>
      </w:r>
      <w:r w:rsidRPr="000570F7">
        <w:rPr>
          <w:i/>
          <w:iCs/>
        </w:rPr>
        <w:t>IDH1</w:t>
      </w:r>
      <w:r w:rsidRPr="00DA1EE6">
        <w:t xml:space="preserve">] mutations in patients with CCA to determine eligibility for ivosidenib on the PBS was </w:t>
      </w:r>
      <w:r w:rsidR="00E7636A">
        <w:t xml:space="preserve">supported by </w:t>
      </w:r>
      <w:r w:rsidRPr="00DA1EE6">
        <w:t xml:space="preserve">MSAC at </w:t>
      </w:r>
      <w:r w:rsidR="00E7636A">
        <w:t>its</w:t>
      </w:r>
      <w:r w:rsidR="00E7636A" w:rsidRPr="00DA1EE6">
        <w:t xml:space="preserve"> </w:t>
      </w:r>
      <w:r w:rsidRPr="00DA1EE6">
        <w:t>November 2024 meeting.</w:t>
      </w:r>
      <w:r w:rsidR="00EC653E">
        <w:t xml:space="preserve"> </w:t>
      </w:r>
      <w:r w:rsidR="00DF23DE">
        <w:t>PBAC recommended ivosidenib for treatment of locally advanced or metastatic</w:t>
      </w:r>
      <w:r w:rsidR="00917E58">
        <w:t xml:space="preserve"> CCA</w:t>
      </w:r>
      <w:r w:rsidR="00DF23DE">
        <w:t xml:space="preserve"> with an </w:t>
      </w:r>
      <w:r w:rsidR="00DF23DE" w:rsidRPr="000570F7">
        <w:rPr>
          <w:i/>
          <w:iCs/>
        </w:rPr>
        <w:t>IDH1</w:t>
      </w:r>
      <w:r w:rsidR="00DF23DE">
        <w:t xml:space="preserve"> mutation in patients who have previously</w:t>
      </w:r>
      <w:r w:rsidR="00917E58">
        <w:t xml:space="preserve"> p</w:t>
      </w:r>
      <w:r w:rsidR="00DF23DE">
        <w:t xml:space="preserve">rogressed </w:t>
      </w:r>
      <w:r w:rsidR="00DF23DE">
        <w:lastRenderedPageBreak/>
        <w:t>on chemotherapy at it November 2024 meeting. Ivosidenib was listed on the PBS</w:t>
      </w:r>
      <w:r w:rsidR="00917E58">
        <w:t xml:space="preserve"> and </w:t>
      </w:r>
      <w:r w:rsidR="00917E58" w:rsidRPr="00BC0290">
        <w:rPr>
          <w:i/>
          <w:iCs/>
        </w:rPr>
        <w:t>IDH1</w:t>
      </w:r>
      <w:r w:rsidR="00917E58">
        <w:t xml:space="preserve"> testing listed on the MBS (</w:t>
      </w:r>
      <w:r w:rsidR="00257C6D">
        <w:t>I</w:t>
      </w:r>
      <w:r w:rsidR="00917E58">
        <w:t>tem 73319) on 1 July 2025.</w:t>
      </w:r>
      <w:r w:rsidR="00B617EE">
        <w:rPr>
          <w:rStyle w:val="FootnoteReference"/>
        </w:rPr>
        <w:footnoteReference w:id="4"/>
      </w:r>
      <w:r w:rsidR="00917E58" w:rsidRPr="000570F7">
        <w:rPr>
          <w:vertAlign w:val="superscript"/>
        </w:rPr>
        <w:t>,</w:t>
      </w:r>
      <w:r w:rsidR="00917E58">
        <w:rPr>
          <w:rStyle w:val="FootnoteReference"/>
        </w:rPr>
        <w:footnoteReference w:id="5"/>
      </w:r>
    </w:p>
    <w:bookmarkEnd w:id="14"/>
    <w:bookmarkEnd w:id="17"/>
    <w:p w14:paraId="6F52500A" w14:textId="4E0238FB" w:rsidR="00772829" w:rsidRPr="00CE28E3" w:rsidRDefault="000523F7" w:rsidP="002A18BE">
      <w:pPr>
        <w:pStyle w:val="Heading2"/>
        <w:numPr>
          <w:ilvl w:val="0"/>
          <w:numId w:val="0"/>
        </w:numPr>
      </w:pPr>
      <w:r>
        <w:t>5</w:t>
      </w:r>
      <w:r w:rsidR="00C36633">
        <w:t>.</w:t>
      </w:r>
      <w:r w:rsidR="00C36633">
        <w:tab/>
      </w:r>
      <w:bookmarkStart w:id="18" w:name="_Toc69491417"/>
      <w:r w:rsidR="00772829" w:rsidRPr="00CE28E3">
        <w:t>Prerequisites to implementation of any funding advice</w:t>
      </w:r>
      <w:bookmarkEnd w:id="18"/>
    </w:p>
    <w:p w14:paraId="04264AF9" w14:textId="5B5D94E9" w:rsidR="00D05D60" w:rsidRPr="00D05D60" w:rsidRDefault="007113A2" w:rsidP="002E2615">
      <w:r w:rsidRPr="007113A2">
        <w:t>LYTGOBI (futibatinib)</w:t>
      </w:r>
      <w:r>
        <w:t xml:space="preserve"> has been granted </w:t>
      </w:r>
      <w:r w:rsidR="00F50D7B" w:rsidRPr="00D04E55">
        <w:t>provisional registration</w:t>
      </w:r>
      <w:r w:rsidR="00F50D7B">
        <w:t xml:space="preserve"> </w:t>
      </w:r>
      <w:r>
        <w:t>by the TGA</w:t>
      </w:r>
      <w:r w:rsidRPr="007113A2">
        <w:t xml:space="preserve"> in the Australian Register of Therapeutic Goods (ARTG</w:t>
      </w:r>
      <w:r w:rsidR="00D05D60">
        <w:t xml:space="preserve">). </w:t>
      </w:r>
      <w:r w:rsidR="00D05D60" w:rsidRPr="00D05D60">
        <w:t xml:space="preserve">The indication is: </w:t>
      </w:r>
    </w:p>
    <w:p w14:paraId="6B6796AE" w14:textId="24EA34D6" w:rsidR="00310C3F" w:rsidRPr="00153B79" w:rsidRDefault="00153B79" w:rsidP="002E2615">
      <w:r>
        <w:t>‘</w:t>
      </w:r>
      <w:r w:rsidR="00D05D60" w:rsidRPr="000570F7">
        <w:t xml:space="preserve">LYTGOBI monotherapy has provisional approval in Australia for the treatment of adult patients with locally advanced or metastatic intrahepatic cholangiocarcinoma with a fibroblast growth factor receptor 2 (FGFR2) fusion or rearrangement that have progressed after at least one prior line of systemic therapy. The decision to approve this indication has been made </w:t>
      </w:r>
      <w:proofErr w:type="gramStart"/>
      <w:r w:rsidR="00D05D60" w:rsidRPr="000570F7">
        <w:t>on the basis of</w:t>
      </w:r>
      <w:proofErr w:type="gramEnd"/>
      <w:r w:rsidR="00D05D60" w:rsidRPr="000570F7">
        <w:t xml:space="preserve"> the favourable objective response rate and duration of response in a single arm trial. Continued approval of this indication depends on verification and description of benefit in confirmatory trials.</w:t>
      </w:r>
      <w:r>
        <w:t>’</w:t>
      </w:r>
    </w:p>
    <w:p w14:paraId="55FCF942" w14:textId="78DDEABA" w:rsidR="007009D1" w:rsidRPr="005E57D0" w:rsidRDefault="00257C6D" w:rsidP="002E2615">
      <w:pPr>
        <w:pStyle w:val="Instructionaltext"/>
        <w:spacing w:line="240" w:lineRule="auto"/>
        <w:rPr>
          <w:color w:val="auto"/>
        </w:rPr>
      </w:pPr>
      <w:r>
        <w:rPr>
          <w:color w:val="auto"/>
        </w:rPr>
        <w:t>At its March 2025 meeting t</w:t>
      </w:r>
      <w:r w:rsidR="005922D1" w:rsidRPr="005922D1">
        <w:rPr>
          <w:color w:val="auto"/>
        </w:rPr>
        <w:t xml:space="preserve">he PBAC considered it would be appropriate for futibatinib to be listed for patients with locally advanced or metastatic CCA who have previously progressed on systemic therapy and who have evidence of an </w:t>
      </w:r>
      <w:r w:rsidR="005922D1" w:rsidRPr="005922D1">
        <w:rPr>
          <w:i/>
          <w:iCs/>
          <w:color w:val="auto"/>
        </w:rPr>
        <w:t>FGRF2</w:t>
      </w:r>
      <w:r w:rsidR="005922D1" w:rsidRPr="005922D1">
        <w:rPr>
          <w:color w:val="auto"/>
        </w:rPr>
        <w:t xml:space="preserve"> fusion or rearrangement. The PBAC agreed with the ESCs that it can be difficult to differentiate between intrahepatic and extrahepatic CCA and it was likely futibatinib would provide benefit in the small population of patients with non-i</w:t>
      </w:r>
      <w:r>
        <w:rPr>
          <w:color w:val="auto"/>
        </w:rPr>
        <w:t xml:space="preserve">ntrahepatic </w:t>
      </w:r>
      <w:r w:rsidR="005922D1" w:rsidRPr="005922D1">
        <w:rPr>
          <w:color w:val="auto"/>
        </w:rPr>
        <w:t xml:space="preserve">CCA who have an </w:t>
      </w:r>
      <w:r w:rsidR="005922D1" w:rsidRPr="005922D1">
        <w:rPr>
          <w:i/>
          <w:iCs/>
          <w:color w:val="auto"/>
        </w:rPr>
        <w:t>FGFR2</w:t>
      </w:r>
      <w:r w:rsidR="005922D1" w:rsidRPr="005922D1">
        <w:rPr>
          <w:color w:val="auto"/>
        </w:rPr>
        <w:t xml:space="preserve"> fusion or rearrangement.</w:t>
      </w:r>
    </w:p>
    <w:p w14:paraId="586F7783" w14:textId="4FBA3DBB" w:rsidR="000D06EC" w:rsidRPr="00330942" w:rsidRDefault="008D6379" w:rsidP="002E2615">
      <w:pPr>
        <w:pStyle w:val="Instructionaltext"/>
        <w:spacing w:line="240" w:lineRule="auto"/>
        <w:rPr>
          <w:color w:val="auto"/>
        </w:rPr>
      </w:pPr>
      <w:r w:rsidRPr="008D6379">
        <w:rPr>
          <w:color w:val="auto"/>
        </w:rPr>
        <w:t xml:space="preserve">The </w:t>
      </w:r>
      <w:r w:rsidR="00512E34">
        <w:rPr>
          <w:color w:val="auto"/>
        </w:rPr>
        <w:t>MSAC 1779.1 re</w:t>
      </w:r>
      <w:r w:rsidRPr="008D6379">
        <w:rPr>
          <w:color w:val="auto"/>
        </w:rPr>
        <w:t>submission considered that</w:t>
      </w:r>
      <w:r>
        <w:rPr>
          <w:i/>
          <w:iCs/>
          <w:color w:val="auto"/>
        </w:rPr>
        <w:t xml:space="preserve"> </w:t>
      </w:r>
      <w:r w:rsidR="000D06EC" w:rsidRPr="00330942">
        <w:rPr>
          <w:i/>
          <w:iCs/>
          <w:color w:val="auto"/>
        </w:rPr>
        <w:t>FGFR2</w:t>
      </w:r>
      <w:r w:rsidR="000D06EC" w:rsidRPr="00330942">
        <w:rPr>
          <w:color w:val="auto"/>
        </w:rPr>
        <w:t xml:space="preserve"> fusions or rearrangements testing is expected to be conducted in specialist laboratories who hold the appropriate accreditation and registration for this testing procedure to receive MBS funding. Laboratories will need to participate in the relevant Royal College of Pathologist of Australasia (RCPA) Quality Assurance Program. Testing must be conducted, and the results interpreted and reported by suitably qualified and trained molecular pathologists. </w:t>
      </w:r>
    </w:p>
    <w:p w14:paraId="52AC3D9A" w14:textId="45BCB920" w:rsidR="00310C3F" w:rsidRPr="00330A0A" w:rsidRDefault="008D6379" w:rsidP="002E2615">
      <w:pPr>
        <w:pStyle w:val="Instructionaltext"/>
      </w:pPr>
      <w:r w:rsidRPr="008D6379">
        <w:rPr>
          <w:color w:val="auto"/>
        </w:rPr>
        <w:t xml:space="preserve">Through correspondence with the </w:t>
      </w:r>
      <w:r w:rsidR="00AF6BA9">
        <w:rPr>
          <w:color w:val="auto"/>
        </w:rPr>
        <w:t>d</w:t>
      </w:r>
      <w:r w:rsidRPr="008D6379">
        <w:rPr>
          <w:color w:val="auto"/>
        </w:rPr>
        <w:t>epartment, the applicant confirmed that</w:t>
      </w:r>
      <w:r>
        <w:rPr>
          <w:color w:val="auto"/>
        </w:rPr>
        <w:t xml:space="preserve"> m</w:t>
      </w:r>
      <w:r w:rsidR="000D06EC" w:rsidRPr="00330942">
        <w:rPr>
          <w:color w:val="auto"/>
        </w:rPr>
        <w:t xml:space="preserve">any laboratories in Australia currently offer National Association of Testing Authorities (NATA) accredited testing for </w:t>
      </w:r>
      <w:r w:rsidR="000D06EC" w:rsidRPr="00330942">
        <w:rPr>
          <w:i/>
          <w:iCs/>
          <w:color w:val="auto"/>
        </w:rPr>
        <w:t>FGFR2</w:t>
      </w:r>
      <w:r w:rsidR="000D06EC" w:rsidRPr="00330942">
        <w:rPr>
          <w:color w:val="auto"/>
        </w:rPr>
        <w:t xml:space="preserve"> fusions, supported by </w:t>
      </w:r>
      <w:r w:rsidR="00FB03E0">
        <w:rPr>
          <w:color w:val="auto"/>
        </w:rPr>
        <w:t xml:space="preserve">an </w:t>
      </w:r>
      <w:r w:rsidR="000D06EC" w:rsidRPr="00330942">
        <w:rPr>
          <w:color w:val="auto"/>
        </w:rPr>
        <w:t>established external quality assessment program.</w:t>
      </w:r>
    </w:p>
    <w:p w14:paraId="44C3B242" w14:textId="23513FCE" w:rsidR="00772829" w:rsidRPr="00CE28E3" w:rsidRDefault="000523F7" w:rsidP="002A18BE">
      <w:pPr>
        <w:pStyle w:val="Heading2"/>
        <w:numPr>
          <w:ilvl w:val="0"/>
          <w:numId w:val="0"/>
        </w:numPr>
      </w:pPr>
      <w:bookmarkStart w:id="19" w:name="_Toc69491418"/>
      <w:r>
        <w:t>6</w:t>
      </w:r>
      <w:r w:rsidR="00C36633">
        <w:t>.</w:t>
      </w:r>
      <w:r w:rsidR="00C36633">
        <w:tab/>
      </w:r>
      <w:r w:rsidR="00772829" w:rsidRPr="00CE28E3">
        <w:t>Proposal for public funding</w:t>
      </w:r>
      <w:bookmarkEnd w:id="19"/>
    </w:p>
    <w:p w14:paraId="4DFB936A" w14:textId="0262C301" w:rsidR="000100EA" w:rsidRDefault="001645B3" w:rsidP="002E2615">
      <w:pPr>
        <w:spacing w:before="0" w:after="240" w:line="240" w:lineRule="auto"/>
        <w:rPr>
          <w:rFonts w:eastAsia="Times New Roman" w:cs="Arial"/>
          <w:snapToGrid w:val="0"/>
          <w:lang w:eastAsia="en-AU"/>
        </w:rPr>
      </w:pPr>
      <w:bookmarkStart w:id="20" w:name="_Ref69481033"/>
      <w:r>
        <w:rPr>
          <w:rFonts w:eastAsia="Times New Roman" w:cs="Arial"/>
          <w:snapToGrid w:val="0"/>
          <w:lang w:eastAsia="en-AU"/>
        </w:rPr>
        <w:t>A new MBS listing is being requested for t</w:t>
      </w:r>
      <w:r w:rsidRPr="001645B3">
        <w:rPr>
          <w:rFonts w:eastAsia="Times New Roman" w:cs="Arial"/>
          <w:snapToGrid w:val="0"/>
          <w:lang w:eastAsia="en-AU"/>
        </w:rPr>
        <w:t xml:space="preserve">esting of tumour tissue to detect </w:t>
      </w:r>
      <w:r w:rsidRPr="00BC72CE">
        <w:rPr>
          <w:rFonts w:eastAsia="Times New Roman" w:cs="Arial"/>
          <w:i/>
          <w:iCs/>
          <w:snapToGrid w:val="0"/>
          <w:lang w:eastAsia="en-AU"/>
        </w:rPr>
        <w:t>FGFR2</w:t>
      </w:r>
      <w:r w:rsidRPr="001645B3">
        <w:rPr>
          <w:rFonts w:eastAsia="Times New Roman" w:cs="Arial"/>
          <w:snapToGrid w:val="0"/>
          <w:lang w:eastAsia="en-AU"/>
        </w:rPr>
        <w:t xml:space="preserve"> fusions or rearrangements in people with </w:t>
      </w:r>
      <w:r>
        <w:rPr>
          <w:rFonts w:eastAsia="Times New Roman" w:cs="Arial"/>
          <w:snapToGrid w:val="0"/>
          <w:lang w:eastAsia="en-AU"/>
        </w:rPr>
        <w:t>CCA</w:t>
      </w:r>
      <w:r w:rsidRPr="001645B3">
        <w:rPr>
          <w:rFonts w:eastAsia="Times New Roman" w:cs="Arial"/>
          <w:snapToGrid w:val="0"/>
          <w:lang w:eastAsia="en-AU"/>
        </w:rPr>
        <w:t>, to determine eligibility for treatment with PBS subsidised futibatinib</w:t>
      </w:r>
      <w:r w:rsidR="000A55C7">
        <w:rPr>
          <w:rFonts w:eastAsia="Times New Roman" w:cs="Arial"/>
          <w:snapToGrid w:val="0"/>
          <w:lang w:eastAsia="en-AU"/>
        </w:rPr>
        <w:t>.</w:t>
      </w:r>
    </w:p>
    <w:p w14:paraId="538EDB47" w14:textId="5748EE23" w:rsidR="00EB0F16" w:rsidRDefault="00F82893" w:rsidP="00EB0F16">
      <w:pPr>
        <w:spacing w:before="0" w:after="240" w:line="240" w:lineRule="auto"/>
        <w:rPr>
          <w:rFonts w:eastAsia="Times New Roman" w:cs="Arial"/>
          <w:snapToGrid w:val="0"/>
          <w:lang w:eastAsia="en-AU"/>
        </w:rPr>
      </w:pPr>
      <w:r>
        <w:rPr>
          <w:rFonts w:eastAsia="Times New Roman" w:cs="Arial"/>
          <w:snapToGrid w:val="0"/>
          <w:lang w:eastAsia="en-AU"/>
        </w:rPr>
        <w:t>In the initial submission, t</w:t>
      </w:r>
      <w:r w:rsidR="00082E5F" w:rsidRPr="00A571E7">
        <w:rPr>
          <w:rFonts w:eastAsia="Times New Roman" w:cs="Arial"/>
          <w:snapToGrid w:val="0"/>
          <w:lang w:eastAsia="en-AU"/>
        </w:rPr>
        <w:t xml:space="preserve">he ESCs proposed the following MBS item descriptor if a </w:t>
      </w:r>
      <w:r w:rsidR="00082E5F" w:rsidRPr="000570F7">
        <w:rPr>
          <w:rFonts w:eastAsia="Times New Roman" w:cs="Arial"/>
          <w:snapToGrid w:val="0"/>
          <w:lang w:eastAsia="en-AU"/>
        </w:rPr>
        <w:t xml:space="preserve">single gene test for </w:t>
      </w:r>
      <w:r w:rsidR="00082E5F" w:rsidRPr="000570F7">
        <w:rPr>
          <w:rFonts w:eastAsia="Times New Roman" w:cs="Arial"/>
          <w:i/>
          <w:iCs/>
          <w:snapToGrid w:val="0"/>
          <w:lang w:eastAsia="en-AU"/>
        </w:rPr>
        <w:t>FGFR2</w:t>
      </w:r>
      <w:r w:rsidR="00082E5F" w:rsidRPr="00574090">
        <w:rPr>
          <w:rFonts w:eastAsia="Times New Roman" w:cs="Arial"/>
          <w:snapToGrid w:val="0"/>
          <w:lang w:eastAsia="en-AU"/>
        </w:rPr>
        <w:t xml:space="preserve"> is</w:t>
      </w:r>
      <w:r w:rsidR="00082E5F" w:rsidRPr="00A571E7">
        <w:rPr>
          <w:rFonts w:eastAsia="Times New Roman" w:cs="Arial"/>
          <w:snapToGrid w:val="0"/>
          <w:lang w:eastAsia="en-AU"/>
        </w:rPr>
        <w:t xml:space="preserve"> supported.</w:t>
      </w:r>
      <w:r w:rsidR="00EB0F16">
        <w:rPr>
          <w:rFonts w:eastAsia="Times New Roman" w:cs="Arial"/>
          <w:snapToGrid w:val="0"/>
          <w:lang w:eastAsia="en-AU"/>
        </w:rPr>
        <w:br w:type="page"/>
      </w:r>
    </w:p>
    <w:tbl>
      <w:tblPr>
        <w:tblStyle w:val="ASDTable1"/>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016"/>
      </w:tblGrid>
      <w:tr w:rsidR="00082E5F" w:rsidRPr="00A571E7" w14:paraId="656A3A99" w14:textId="77777777" w:rsidTr="00344D65">
        <w:trPr>
          <w:cantSplit/>
          <w:trHeight w:val="247"/>
        </w:trPr>
        <w:tc>
          <w:tcPr>
            <w:tcW w:w="9016" w:type="dxa"/>
            <w:tcBorders>
              <w:top w:val="single" w:sz="4" w:space="0" w:color="auto"/>
              <w:bottom w:val="single" w:sz="4" w:space="0" w:color="auto"/>
            </w:tcBorders>
          </w:tcPr>
          <w:p w14:paraId="7E74E460" w14:textId="77777777" w:rsidR="00082E5F" w:rsidRPr="00A571E7" w:rsidRDefault="00082E5F" w:rsidP="007E7842">
            <w:pPr>
              <w:spacing w:before="0" w:after="120"/>
              <w:jc w:val="both"/>
              <w:rPr>
                <w:rFonts w:ascii="Arial Narrow" w:hAnsi="Arial Narrow" w:cstheme="minorHAnsi"/>
                <w:snapToGrid w:val="0"/>
              </w:rPr>
            </w:pPr>
            <w:r w:rsidRPr="00A571E7">
              <w:rPr>
                <w:rFonts w:ascii="Arial Narrow" w:hAnsi="Arial Narrow" w:cstheme="minorHAnsi"/>
                <w:snapToGrid w:val="0"/>
              </w:rPr>
              <w:lastRenderedPageBreak/>
              <w:t>Category 6 – Pathology Services</w:t>
            </w:r>
          </w:p>
        </w:tc>
      </w:tr>
      <w:tr w:rsidR="00082E5F" w:rsidRPr="00A571E7" w14:paraId="32D47CC7" w14:textId="77777777" w:rsidTr="00344D65">
        <w:trPr>
          <w:cantSplit/>
          <w:trHeight w:val="550"/>
        </w:trPr>
        <w:tc>
          <w:tcPr>
            <w:tcW w:w="9016" w:type="dxa"/>
            <w:tcBorders>
              <w:top w:val="single" w:sz="4" w:space="0" w:color="auto"/>
              <w:bottom w:val="single" w:sz="4" w:space="0" w:color="auto"/>
            </w:tcBorders>
          </w:tcPr>
          <w:p w14:paraId="3756E603" w14:textId="77777777" w:rsidR="00082E5F" w:rsidRPr="00A571E7" w:rsidRDefault="00082E5F" w:rsidP="007E7842">
            <w:pPr>
              <w:tabs>
                <w:tab w:val="left" w:pos="7251"/>
              </w:tabs>
              <w:spacing w:before="0" w:after="120"/>
              <w:rPr>
                <w:rFonts w:ascii="Arial Narrow" w:hAnsi="Arial Narrow" w:cstheme="minorHAnsi"/>
                <w:snapToGrid w:val="0"/>
              </w:rPr>
            </w:pPr>
            <w:r w:rsidRPr="00A571E7">
              <w:rPr>
                <w:rFonts w:ascii="Arial Narrow" w:hAnsi="Arial Narrow" w:cstheme="minorHAnsi"/>
                <w:snapToGrid w:val="0"/>
              </w:rPr>
              <w:t>Proposed item descriptor XXXXX                                                                    Group P7 - Genetics</w:t>
            </w:r>
          </w:p>
          <w:p w14:paraId="1BC2C02F" w14:textId="018936C8" w:rsidR="00082E5F" w:rsidRPr="00A571E7" w:rsidRDefault="00082E5F" w:rsidP="007E7842">
            <w:pPr>
              <w:spacing w:before="0" w:after="120"/>
              <w:jc w:val="both"/>
              <w:rPr>
                <w:rFonts w:ascii="Arial Narrow" w:hAnsi="Arial Narrow"/>
                <w:snapToGrid w:val="0"/>
              </w:rPr>
            </w:pPr>
            <w:r w:rsidRPr="00A571E7">
              <w:rPr>
                <w:rFonts w:ascii="Arial Narrow" w:hAnsi="Arial Narrow"/>
                <w:snapToGrid w:val="0"/>
              </w:rPr>
              <w:t>A nucleic acid-based test of tumour tissue for FGFR2 fusions or rearrangements in a patient with cholangiocarcinoma requested by, or on behalf of, a specialist or consultant physician to determine access to a relevant treatment under the Pharmaceutical Benefits Scheme (PBS)</w:t>
            </w:r>
          </w:p>
          <w:p w14:paraId="19537C4E" w14:textId="77777777" w:rsidR="00082E5F" w:rsidRPr="00A571E7" w:rsidRDefault="00082E5F" w:rsidP="007E7842">
            <w:pPr>
              <w:spacing w:before="0" w:after="120"/>
              <w:jc w:val="both"/>
              <w:rPr>
                <w:rFonts w:ascii="Arial Narrow" w:hAnsi="Arial Narrow" w:cstheme="minorHAnsi"/>
                <w:snapToGrid w:val="0"/>
              </w:rPr>
            </w:pPr>
            <w:r w:rsidRPr="00A571E7">
              <w:rPr>
                <w:rFonts w:ascii="Arial Narrow" w:hAnsi="Arial Narrow" w:cstheme="minorHAnsi"/>
                <w:snapToGrid w:val="0"/>
              </w:rPr>
              <w:t>Applicable only once per lifetime.</w:t>
            </w:r>
          </w:p>
        </w:tc>
      </w:tr>
      <w:tr w:rsidR="00082E5F" w:rsidRPr="00A571E7" w14:paraId="16F27646" w14:textId="77777777" w:rsidTr="00344D65">
        <w:trPr>
          <w:cantSplit/>
          <w:trHeight w:val="309"/>
        </w:trPr>
        <w:tc>
          <w:tcPr>
            <w:tcW w:w="9016" w:type="dxa"/>
            <w:tcBorders>
              <w:top w:val="single" w:sz="4" w:space="0" w:color="auto"/>
            </w:tcBorders>
          </w:tcPr>
          <w:p w14:paraId="1CC399DD" w14:textId="77777777" w:rsidR="00082E5F" w:rsidRPr="00A571E7" w:rsidRDefault="00082E5F" w:rsidP="007E7842">
            <w:pPr>
              <w:spacing w:before="0"/>
              <w:jc w:val="both"/>
              <w:rPr>
                <w:rFonts w:ascii="Arial Narrow" w:hAnsi="Arial Narrow"/>
                <w:snapToGrid w:val="0"/>
              </w:rPr>
            </w:pPr>
            <w:r w:rsidRPr="00A571E7">
              <w:rPr>
                <w:rFonts w:ascii="Arial Narrow" w:hAnsi="Arial Narrow"/>
                <w:snapToGrid w:val="0"/>
              </w:rPr>
              <w:t>Fee: $682.35 Benefit: 75% = $511.80 85% = $580.00</w:t>
            </w:r>
          </w:p>
        </w:tc>
      </w:tr>
    </w:tbl>
    <w:p w14:paraId="7571D258" w14:textId="6D8EC44D" w:rsidR="00082E5F" w:rsidRPr="00A571E7" w:rsidRDefault="005672A2" w:rsidP="002E2615">
      <w:pPr>
        <w:spacing w:before="240" w:after="240" w:line="240" w:lineRule="auto"/>
        <w:rPr>
          <w:rFonts w:eastAsia="Times New Roman" w:cs="Arial"/>
          <w:snapToGrid w:val="0"/>
          <w:lang w:eastAsia="en-AU"/>
        </w:rPr>
      </w:pPr>
      <w:r>
        <w:rPr>
          <w:rFonts w:eastAsia="Franklin Gothic Book" w:cs="Franklin Gothic Book"/>
          <w:iCs/>
          <w:color w:val="000000" w:themeColor="text1"/>
        </w:rPr>
        <w:t xml:space="preserve">In the consideration of the initial submission, </w:t>
      </w:r>
      <w:r w:rsidR="00421EDD" w:rsidRPr="00421EDD">
        <w:rPr>
          <w:rFonts w:eastAsia="Franklin Gothic Book" w:cs="Franklin Gothic Book"/>
          <w:iCs/>
          <w:color w:val="000000" w:themeColor="text1"/>
        </w:rPr>
        <w:t xml:space="preserve">MSAC considered that a single MBS item for a DNA and RNA NGS panel test for </w:t>
      </w:r>
      <w:r w:rsidR="00421EDD" w:rsidRPr="00421EDD">
        <w:rPr>
          <w:rFonts w:eastAsia="Franklin Gothic Book" w:cs="Franklin Gothic Book"/>
          <w:i/>
          <w:color w:val="000000" w:themeColor="text1"/>
        </w:rPr>
        <w:t xml:space="preserve">FGFR2 </w:t>
      </w:r>
      <w:r w:rsidR="00421EDD" w:rsidRPr="00421EDD">
        <w:rPr>
          <w:rFonts w:eastAsia="Franklin Gothic Book" w:cs="Franklin Gothic Book"/>
          <w:iCs/>
          <w:color w:val="000000" w:themeColor="text1"/>
        </w:rPr>
        <w:t xml:space="preserve">fusions and rearrangements and </w:t>
      </w:r>
      <w:r w:rsidR="00421EDD" w:rsidRPr="000570F7">
        <w:rPr>
          <w:rFonts w:eastAsia="Franklin Gothic Book" w:cs="Franklin Gothic Book"/>
          <w:i/>
          <w:color w:val="000000" w:themeColor="text1"/>
        </w:rPr>
        <w:t>IDH1</w:t>
      </w:r>
      <w:r w:rsidR="00421EDD" w:rsidRPr="00421EDD">
        <w:rPr>
          <w:rFonts w:eastAsia="Franklin Gothic Book" w:cs="Franklin Gothic Book"/>
          <w:iCs/>
          <w:color w:val="000000" w:themeColor="text1"/>
        </w:rPr>
        <w:t xml:space="preserve"> sequencing (Application 1750 supported by MSAC in November 2024 for the whole CCA population) would be appropriate if both tests are funded.</w:t>
      </w:r>
      <w:r w:rsidR="00421EDD" w:rsidRPr="00E84EE4">
        <w:rPr>
          <w:rFonts w:eastAsia="Franklin Gothic Book" w:cs="Franklin Gothic Book"/>
          <w:i/>
          <w:color w:val="000000" w:themeColor="text1"/>
        </w:rPr>
        <w:t xml:space="preserve"> </w:t>
      </w:r>
      <w:r w:rsidR="00082E5F" w:rsidRPr="00A571E7">
        <w:rPr>
          <w:rFonts w:eastAsia="Times New Roman" w:cs="Arial"/>
          <w:snapToGrid w:val="0"/>
          <w:lang w:eastAsia="en-AU"/>
        </w:rPr>
        <w:t xml:space="preserve">The ESCs proposed the following MBS item descriptor if </w:t>
      </w:r>
      <w:r w:rsidR="00082E5F" w:rsidRPr="000570F7">
        <w:rPr>
          <w:rFonts w:eastAsia="Times New Roman" w:cs="Arial"/>
          <w:snapToGrid w:val="0"/>
          <w:lang w:eastAsia="en-AU"/>
        </w:rPr>
        <w:t>panel testing</w:t>
      </w:r>
      <w:r w:rsidR="00082E5F" w:rsidRPr="00A571E7">
        <w:rPr>
          <w:rFonts w:eastAsia="Times New Roman" w:cs="Arial"/>
          <w:snapToGrid w:val="0"/>
          <w:lang w:eastAsia="en-AU"/>
        </w:rPr>
        <w:t xml:space="preserve"> is supported.</w:t>
      </w:r>
      <w:r w:rsidR="00082E5F">
        <w:rPr>
          <w:rFonts w:eastAsia="Times New Roman" w:cs="Arial"/>
          <w:snapToGrid w:val="0"/>
          <w:lang w:eastAsia="en-AU"/>
        </w:rPr>
        <w:t xml:space="preserve"> </w:t>
      </w:r>
    </w:p>
    <w:tbl>
      <w:tblPr>
        <w:tblStyle w:val="ASDTable1"/>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016"/>
      </w:tblGrid>
      <w:tr w:rsidR="00082E5F" w:rsidRPr="00A571E7" w14:paraId="4180CE5B" w14:textId="77777777" w:rsidTr="7AFBB73E">
        <w:trPr>
          <w:trHeight w:val="247"/>
        </w:trPr>
        <w:tc>
          <w:tcPr>
            <w:tcW w:w="9016" w:type="dxa"/>
            <w:tcBorders>
              <w:top w:val="single" w:sz="4" w:space="0" w:color="auto"/>
              <w:bottom w:val="single" w:sz="4" w:space="0" w:color="auto"/>
            </w:tcBorders>
          </w:tcPr>
          <w:p w14:paraId="2A9F6F62" w14:textId="77777777" w:rsidR="00082E5F" w:rsidRPr="00A571E7" w:rsidRDefault="00082E5F" w:rsidP="007E7842">
            <w:pPr>
              <w:keepNext/>
              <w:keepLines/>
              <w:spacing w:before="0" w:after="120"/>
              <w:jc w:val="both"/>
              <w:rPr>
                <w:rFonts w:ascii="Arial Narrow" w:hAnsi="Arial Narrow" w:cstheme="minorHAnsi"/>
                <w:snapToGrid w:val="0"/>
              </w:rPr>
            </w:pPr>
            <w:r w:rsidRPr="00A571E7">
              <w:rPr>
                <w:rFonts w:ascii="Arial Narrow" w:hAnsi="Arial Narrow" w:cstheme="minorHAnsi"/>
                <w:snapToGrid w:val="0"/>
              </w:rPr>
              <w:t>Category 6 – Pathology Services</w:t>
            </w:r>
          </w:p>
        </w:tc>
      </w:tr>
      <w:tr w:rsidR="00082E5F" w:rsidRPr="00A571E7" w14:paraId="2F8BE3F3" w14:textId="77777777" w:rsidTr="7AFBB73E">
        <w:trPr>
          <w:trHeight w:val="274"/>
        </w:trPr>
        <w:tc>
          <w:tcPr>
            <w:tcW w:w="9016" w:type="dxa"/>
            <w:tcBorders>
              <w:top w:val="single" w:sz="4" w:space="0" w:color="auto"/>
              <w:bottom w:val="single" w:sz="4" w:space="0" w:color="auto"/>
            </w:tcBorders>
          </w:tcPr>
          <w:p w14:paraId="0579450A" w14:textId="77777777" w:rsidR="00082E5F" w:rsidRPr="00A571E7" w:rsidRDefault="00082E5F" w:rsidP="007E7842">
            <w:pPr>
              <w:keepNext/>
              <w:keepLines/>
              <w:spacing w:before="0" w:after="120"/>
              <w:jc w:val="both"/>
              <w:rPr>
                <w:rFonts w:ascii="Arial Narrow" w:hAnsi="Arial Narrow" w:cstheme="minorHAnsi"/>
                <w:snapToGrid w:val="0"/>
              </w:rPr>
            </w:pPr>
            <w:r w:rsidRPr="00A571E7">
              <w:rPr>
                <w:rFonts w:ascii="Arial Narrow" w:hAnsi="Arial Narrow" w:cstheme="minorHAnsi"/>
                <w:snapToGrid w:val="0"/>
              </w:rPr>
              <w:t>Proposed item descriptor XXXXX                                                                       Group P7 - Genetics</w:t>
            </w:r>
          </w:p>
          <w:p w14:paraId="185A4B28" w14:textId="77777777" w:rsidR="00082E5F" w:rsidRPr="00A571E7" w:rsidRDefault="00082E5F" w:rsidP="007E7842">
            <w:pPr>
              <w:keepNext/>
              <w:keepLines/>
              <w:spacing w:before="0" w:after="120"/>
              <w:jc w:val="both"/>
              <w:rPr>
                <w:rFonts w:ascii="Arial Narrow" w:hAnsi="Arial Narrow"/>
                <w:snapToGrid w:val="0"/>
              </w:rPr>
            </w:pPr>
            <w:r w:rsidRPr="00A571E7">
              <w:rPr>
                <w:rFonts w:ascii="Arial Narrow" w:hAnsi="Arial Narrow"/>
                <w:snapToGrid w:val="0"/>
              </w:rPr>
              <w:t>A nucleic acid-based multi-gene panel test of tumour tissue from a patient with cholangiocarcinoma requested by, or on behalf of, a specialist or consultant physician, if the test is:</w:t>
            </w:r>
          </w:p>
          <w:p w14:paraId="5B01EBB0" w14:textId="411F765B" w:rsidR="00082E5F" w:rsidRPr="00A571E7" w:rsidRDefault="00082E5F" w:rsidP="001D50A7">
            <w:pPr>
              <w:keepNext/>
              <w:keepLines/>
              <w:numPr>
                <w:ilvl w:val="0"/>
                <w:numId w:val="13"/>
              </w:numPr>
              <w:spacing w:before="0"/>
              <w:ind w:left="714" w:hanging="357"/>
              <w:jc w:val="both"/>
              <w:rPr>
                <w:rFonts w:ascii="Arial Narrow" w:hAnsi="Arial Narrow"/>
                <w:snapToGrid w:val="0"/>
              </w:rPr>
            </w:pPr>
            <w:r w:rsidRPr="00A571E7">
              <w:rPr>
                <w:rFonts w:ascii="Arial Narrow" w:hAnsi="Arial Narrow"/>
                <w:snapToGrid w:val="0"/>
              </w:rPr>
              <w:t>To detect at least IDH1 variant status, and</w:t>
            </w:r>
          </w:p>
          <w:p w14:paraId="73BB9494" w14:textId="77777777" w:rsidR="00082E5F" w:rsidRPr="00A571E7" w:rsidRDefault="00082E5F" w:rsidP="001D50A7">
            <w:pPr>
              <w:keepNext/>
              <w:keepLines/>
              <w:numPr>
                <w:ilvl w:val="0"/>
                <w:numId w:val="13"/>
              </w:numPr>
              <w:spacing w:before="0"/>
              <w:ind w:left="714" w:hanging="357"/>
              <w:jc w:val="both"/>
              <w:rPr>
                <w:rFonts w:ascii="Arial Narrow" w:hAnsi="Arial Narrow"/>
                <w:snapToGrid w:val="0"/>
              </w:rPr>
            </w:pPr>
            <w:r w:rsidRPr="00A571E7">
              <w:rPr>
                <w:rFonts w:ascii="Arial Narrow" w:hAnsi="Arial Narrow"/>
                <w:snapToGrid w:val="0"/>
              </w:rPr>
              <w:t>To detect the fusion or rearrangement status of at least FGFR2</w:t>
            </w:r>
          </w:p>
          <w:p w14:paraId="7E3FE334" w14:textId="5441308E" w:rsidR="00082E5F" w:rsidRPr="00A571E7" w:rsidRDefault="00082E5F" w:rsidP="001D50A7">
            <w:pPr>
              <w:keepNext/>
              <w:keepLines/>
              <w:numPr>
                <w:ilvl w:val="0"/>
                <w:numId w:val="13"/>
              </w:numPr>
              <w:spacing w:before="0"/>
              <w:ind w:left="714" w:hanging="357"/>
              <w:jc w:val="both"/>
              <w:rPr>
                <w:rFonts w:ascii="Arial Narrow" w:hAnsi="Arial Narrow"/>
                <w:snapToGrid w:val="0"/>
              </w:rPr>
            </w:pPr>
            <w:r w:rsidRPr="00A571E7">
              <w:rPr>
                <w:rFonts w:ascii="Arial Narrow" w:hAnsi="Arial Narrow"/>
                <w:snapToGrid w:val="0"/>
              </w:rPr>
              <w:t>To determine access to a relevant treatment under the Pharmaceutical Benefits Scheme (PBS)</w:t>
            </w:r>
          </w:p>
          <w:p w14:paraId="73FC4264" w14:textId="77777777" w:rsidR="00082E5F" w:rsidRPr="00A571E7" w:rsidRDefault="00082E5F" w:rsidP="007E7842">
            <w:pPr>
              <w:keepNext/>
              <w:keepLines/>
              <w:spacing w:before="0" w:after="120"/>
              <w:jc w:val="both"/>
              <w:rPr>
                <w:rFonts w:ascii="Arial Narrow" w:hAnsi="Arial Narrow" w:cstheme="minorHAnsi"/>
                <w:snapToGrid w:val="0"/>
              </w:rPr>
            </w:pPr>
            <w:r w:rsidRPr="00A571E7">
              <w:rPr>
                <w:rFonts w:ascii="Arial Narrow" w:hAnsi="Arial Narrow" w:cstheme="minorHAnsi"/>
                <w:snapToGrid w:val="0"/>
              </w:rPr>
              <w:t>Applicable only once per lifetime.</w:t>
            </w:r>
          </w:p>
        </w:tc>
      </w:tr>
      <w:tr w:rsidR="00082E5F" w:rsidRPr="00A571E7" w14:paraId="42FFD0A4" w14:textId="77777777" w:rsidTr="7AFBB73E">
        <w:trPr>
          <w:trHeight w:val="194"/>
        </w:trPr>
        <w:tc>
          <w:tcPr>
            <w:tcW w:w="9016" w:type="dxa"/>
            <w:tcBorders>
              <w:top w:val="single" w:sz="4" w:space="0" w:color="auto"/>
            </w:tcBorders>
          </w:tcPr>
          <w:p w14:paraId="24B4B13A" w14:textId="77777777" w:rsidR="00082E5F" w:rsidRPr="00A571E7" w:rsidRDefault="00082E5F" w:rsidP="007E7842">
            <w:pPr>
              <w:keepNext/>
              <w:keepLines/>
              <w:spacing w:before="0" w:after="120"/>
              <w:jc w:val="both"/>
              <w:rPr>
                <w:rFonts w:ascii="Arial Narrow" w:hAnsi="Arial Narrow"/>
                <w:snapToGrid w:val="0"/>
              </w:rPr>
            </w:pPr>
            <w:r w:rsidRPr="00A571E7">
              <w:rPr>
                <w:rFonts w:ascii="Arial Narrow" w:hAnsi="Arial Narrow"/>
                <w:snapToGrid w:val="0"/>
              </w:rPr>
              <w:t>Fee: $TBC Benefit: 75% = $TBC 85% = $TBC</w:t>
            </w:r>
          </w:p>
        </w:tc>
      </w:tr>
    </w:tbl>
    <w:p w14:paraId="00D805EC" w14:textId="1BA30703" w:rsidR="008C21B5" w:rsidRPr="000570F7" w:rsidRDefault="005672A2" w:rsidP="008C21B5">
      <w:pPr>
        <w:keepNext/>
        <w:keepLines/>
        <w:spacing w:before="0" w:after="120" w:line="240" w:lineRule="auto"/>
        <w:jc w:val="both"/>
        <w:rPr>
          <w:rFonts w:ascii="Arial Narrow" w:eastAsia="Times New Roman" w:hAnsi="Arial Narrow"/>
          <w:snapToGrid w:val="0"/>
          <w:sz w:val="18"/>
          <w:szCs w:val="18"/>
          <w:lang w:eastAsia="en-AU"/>
        </w:rPr>
      </w:pPr>
      <w:r w:rsidRPr="000570F7">
        <w:rPr>
          <w:rFonts w:ascii="Arial Narrow" w:eastAsia="Times New Roman" w:hAnsi="Arial Narrow"/>
          <w:snapToGrid w:val="0"/>
          <w:sz w:val="18"/>
          <w:szCs w:val="18"/>
          <w:lang w:eastAsia="en-AU"/>
        </w:rPr>
        <w:t>TBC: to be confirmed</w:t>
      </w:r>
    </w:p>
    <w:p w14:paraId="34E0B08F" w14:textId="181DE347" w:rsidR="00772829" w:rsidRDefault="000523F7" w:rsidP="002A18BE">
      <w:pPr>
        <w:pStyle w:val="Heading2"/>
        <w:numPr>
          <w:ilvl w:val="0"/>
          <w:numId w:val="0"/>
        </w:numPr>
      </w:pPr>
      <w:bookmarkStart w:id="21" w:name="_Toc69491419"/>
      <w:bookmarkEnd w:id="20"/>
      <w:r>
        <w:t>7</w:t>
      </w:r>
      <w:r w:rsidR="00C36633">
        <w:t>.</w:t>
      </w:r>
      <w:r w:rsidR="00C36633">
        <w:tab/>
      </w:r>
      <w:r w:rsidR="00772829" w:rsidRPr="00CE28E3">
        <w:t>Population</w:t>
      </w:r>
      <w:bookmarkEnd w:id="21"/>
      <w:r w:rsidR="00772829" w:rsidRPr="00CE28E3">
        <w:t xml:space="preserve"> </w:t>
      </w:r>
    </w:p>
    <w:p w14:paraId="3D7D407C" w14:textId="28219805" w:rsidR="00F84EC3" w:rsidRPr="000570F7" w:rsidRDefault="00F84EC3" w:rsidP="00B4524D">
      <w:pPr>
        <w:jc w:val="both"/>
        <w:rPr>
          <w:b/>
          <w:bCs/>
        </w:rPr>
      </w:pPr>
      <w:r w:rsidRPr="000570F7">
        <w:rPr>
          <w:b/>
          <w:bCs/>
        </w:rPr>
        <w:t xml:space="preserve">Testing in locally advanced </w:t>
      </w:r>
      <w:r w:rsidR="006C26F6" w:rsidRPr="000570F7">
        <w:rPr>
          <w:b/>
          <w:bCs/>
        </w:rPr>
        <w:t>or metastatic disease</w:t>
      </w:r>
    </w:p>
    <w:p w14:paraId="4739C98B" w14:textId="4FE42955" w:rsidR="0084108A" w:rsidRDefault="009C76A5" w:rsidP="002E2615">
      <w:r>
        <w:t>In</w:t>
      </w:r>
      <w:r w:rsidR="0084108A">
        <w:t xml:space="preserve"> it</w:t>
      </w:r>
      <w:r>
        <w:t>s</w:t>
      </w:r>
      <w:r w:rsidR="0084108A">
        <w:t xml:space="preserve"> previous considerations, MSAC recommended that all patients undergo </w:t>
      </w:r>
      <w:r w:rsidR="0084108A" w:rsidRPr="00F30F80">
        <w:rPr>
          <w:i/>
          <w:iCs/>
        </w:rPr>
        <w:t>FGFR2</w:t>
      </w:r>
      <w:r w:rsidR="0084108A">
        <w:t xml:space="preserve"> testing at the time of CCA diagnosis</w:t>
      </w:r>
      <w:r w:rsidR="00264ECC">
        <w:t>.</w:t>
      </w:r>
      <w:r w:rsidR="0084108A">
        <w:t xml:space="preserve"> </w:t>
      </w:r>
    </w:p>
    <w:p w14:paraId="5E087209" w14:textId="4F0DD0E1" w:rsidR="00B36A39" w:rsidRDefault="00B4524D" w:rsidP="002E2615">
      <w:r>
        <w:t>The</w:t>
      </w:r>
      <w:r w:rsidR="005B2211">
        <w:t xml:space="preserve"> </w:t>
      </w:r>
      <w:r w:rsidR="00512E34">
        <w:t>MSAC 1779.1 resubmission</w:t>
      </w:r>
      <w:r w:rsidR="005B2211">
        <w:t xml:space="preserve"> noted that the</w:t>
      </w:r>
      <w:r>
        <w:t xml:space="preserve"> test population </w:t>
      </w:r>
      <w:r w:rsidR="00664F2C">
        <w:t>was</w:t>
      </w:r>
      <w:r>
        <w:t xml:space="preserve"> </w:t>
      </w:r>
      <w:r w:rsidR="00604CE3">
        <w:t>increased by 200%</w:t>
      </w:r>
      <w:r>
        <w:t xml:space="preserve"> in the </w:t>
      </w:r>
      <w:r w:rsidR="002F63E6">
        <w:t xml:space="preserve">July 2025 </w:t>
      </w:r>
      <w:r>
        <w:t xml:space="preserve">PBAC </w:t>
      </w:r>
      <w:r w:rsidR="00DB3FF1">
        <w:t>re</w:t>
      </w:r>
      <w:r>
        <w:t xml:space="preserve">submission to account for testing earlier in the algorithm (i.e. all patients who receive first line treatment in the locally advanced or metastatic disease stages receive testing). </w:t>
      </w:r>
      <w:r w:rsidR="005B2211">
        <w:t xml:space="preserve">The </w:t>
      </w:r>
      <w:r w:rsidR="00512E34">
        <w:t>MSAC 1779.1 resubmission</w:t>
      </w:r>
      <w:r w:rsidR="005B2211">
        <w:t xml:space="preserve"> noted that i</w:t>
      </w:r>
      <w:r w:rsidR="00B36A39">
        <w:t xml:space="preserve">ncluding locally advanced or </w:t>
      </w:r>
      <w:r w:rsidR="00C436D0">
        <w:t>metastatic</w:t>
      </w:r>
      <w:r w:rsidR="00B36A39">
        <w:t xml:space="preserve"> patient</w:t>
      </w:r>
      <w:r w:rsidR="00C436D0">
        <w:t>s</w:t>
      </w:r>
      <w:r w:rsidR="00B36A39">
        <w:t xml:space="preserve"> who elect no first-</w:t>
      </w:r>
      <w:r w:rsidR="00BF3984">
        <w:t>line treatment</w:t>
      </w:r>
      <w:r w:rsidR="00B36A39">
        <w:t xml:space="preserve"> </w:t>
      </w:r>
      <w:r w:rsidR="00D22621">
        <w:t>result</w:t>
      </w:r>
      <w:r w:rsidR="00DB3FF1">
        <w:t>ed</w:t>
      </w:r>
      <w:r w:rsidR="00B36A39">
        <w:t xml:space="preserve"> in a</w:t>
      </w:r>
      <w:r w:rsidR="00E474B1">
        <w:t xml:space="preserve"> 286% increase in </w:t>
      </w:r>
      <w:r w:rsidR="00DF41A4">
        <w:t>testin</w:t>
      </w:r>
      <w:r w:rsidR="007B61E1">
        <w:t>g</w:t>
      </w:r>
      <w:r w:rsidR="005B2211">
        <w:t>, and</w:t>
      </w:r>
      <w:r w:rsidR="00E474B1">
        <w:t xml:space="preserve"> </w:t>
      </w:r>
      <w:r w:rsidR="005B2211">
        <w:t>i</w:t>
      </w:r>
      <w:r w:rsidR="00E474B1">
        <w:t xml:space="preserve">ncluding all patients at the first diagnosis of CCA </w:t>
      </w:r>
      <w:r w:rsidR="00B1002D">
        <w:t xml:space="preserve">as proposed by MSAC </w:t>
      </w:r>
      <w:r w:rsidR="00E474B1">
        <w:t>(</w:t>
      </w:r>
      <w:r w:rsidR="004C212E">
        <w:t>i.e.</w:t>
      </w:r>
      <w:r w:rsidR="00E474B1">
        <w:t xml:space="preserve"> either early stage or advanced disease) would result in a </w:t>
      </w:r>
      <w:r w:rsidR="00CD6326">
        <w:t xml:space="preserve">357% </w:t>
      </w:r>
      <w:r w:rsidR="000B2AB3">
        <w:t>increase in testing.</w:t>
      </w:r>
      <w:r w:rsidR="002A57A6">
        <w:t xml:space="preserve"> </w:t>
      </w:r>
      <w:r w:rsidR="00512E34">
        <w:t>The MSAC 1779.1</w:t>
      </w:r>
      <w:r w:rsidR="00410254">
        <w:t xml:space="preserve"> resubmission has updated the economic and financial analys</w:t>
      </w:r>
      <w:r w:rsidR="007571D6">
        <w:t>e</w:t>
      </w:r>
      <w:r w:rsidR="00410254">
        <w:t>s by increasing the test population by 357%</w:t>
      </w:r>
      <w:r w:rsidR="002F7B32">
        <w:t xml:space="preserve"> (compared to the initial submission)</w:t>
      </w:r>
      <w:r w:rsidR="00410254">
        <w:t xml:space="preserve"> to account for testing at CCA diagnosis.</w:t>
      </w:r>
      <w:r w:rsidR="007571D6">
        <w:t xml:space="preserve"> </w:t>
      </w:r>
    </w:p>
    <w:p w14:paraId="1F923622" w14:textId="4DA4DD41" w:rsidR="00B505DD" w:rsidRPr="000523F7" w:rsidRDefault="00410254" w:rsidP="002E2615">
      <w:pPr>
        <w:spacing w:before="0" w:after="240" w:line="240" w:lineRule="auto"/>
        <w:rPr>
          <w:rFonts w:eastAsia="Times New Roman" w:cs="Arial"/>
          <w:snapToGrid w:val="0"/>
          <w:lang w:eastAsia="en-AU"/>
        </w:rPr>
      </w:pPr>
      <w:r>
        <w:rPr>
          <w:rFonts w:eastAsia="Times New Roman" w:cs="Arial"/>
          <w:snapToGrid w:val="0"/>
          <w:lang w:eastAsia="en-AU"/>
        </w:rPr>
        <w:t xml:space="preserve">The </w:t>
      </w:r>
      <w:r w:rsidR="00512E34">
        <w:rPr>
          <w:rFonts w:eastAsia="Times New Roman" w:cs="Arial"/>
          <w:snapToGrid w:val="0"/>
          <w:lang w:eastAsia="en-AU"/>
        </w:rPr>
        <w:t>MSAC 1779.1 resubmission</w:t>
      </w:r>
      <w:r>
        <w:rPr>
          <w:rFonts w:eastAsia="Times New Roman" w:cs="Arial"/>
          <w:snapToGrid w:val="0"/>
          <w:lang w:eastAsia="en-AU"/>
        </w:rPr>
        <w:t xml:space="preserve"> considered that</w:t>
      </w:r>
      <w:r w:rsidR="00B505DD">
        <w:rPr>
          <w:rFonts w:eastAsia="Times New Roman" w:cs="Arial"/>
          <w:snapToGrid w:val="0"/>
          <w:lang w:eastAsia="en-AU"/>
        </w:rPr>
        <w:t xml:space="preserve"> testing at the point of CCA diagnosis will result in additional cost to the MBS, much of which will be attributable to testing in patients who will never be assessed for eligibility for treatment in the second line advanced setting (futibatinib and/or ivosidenib), including those who elect no treatment at all in the advanced disease setting. </w:t>
      </w:r>
    </w:p>
    <w:p w14:paraId="5B1E6FF4" w14:textId="77777777" w:rsidR="006C26F6" w:rsidRPr="000570F7" w:rsidRDefault="006C26F6" w:rsidP="002E2615">
      <w:pPr>
        <w:keepNext/>
        <w:keepLines/>
        <w:jc w:val="both"/>
        <w:rPr>
          <w:b/>
          <w:bCs/>
        </w:rPr>
      </w:pPr>
      <w:r w:rsidRPr="000570F7">
        <w:rPr>
          <w:b/>
          <w:bCs/>
        </w:rPr>
        <w:lastRenderedPageBreak/>
        <w:t>Testing of patients with pancreatic cancer and cancer of unknown origin</w:t>
      </w:r>
    </w:p>
    <w:p w14:paraId="3BAAA24C" w14:textId="6F8B1105" w:rsidR="009C76A5" w:rsidRDefault="009C76A5" w:rsidP="002E2615">
      <w:pPr>
        <w:keepNext/>
        <w:keepLines/>
        <w:jc w:val="both"/>
      </w:pPr>
      <w:r>
        <w:t xml:space="preserve">In its previous considerations, MSAC considered there is a risk that </w:t>
      </w:r>
      <w:r w:rsidRPr="000570F7">
        <w:rPr>
          <w:i/>
          <w:iCs/>
        </w:rPr>
        <w:t>FGFR2</w:t>
      </w:r>
      <w:r>
        <w:t xml:space="preserve"> testing may be used outside of the intended CCA population for other cancers as it can be difficult to differentiate CCA and other cancer in nearby organs (e.g. pancreatic cancers and </w:t>
      </w:r>
      <w:r w:rsidR="00264ECC">
        <w:t>CUP</w:t>
      </w:r>
      <w:r>
        <w:t>).</w:t>
      </w:r>
      <w:r w:rsidR="001F16B1">
        <w:t xml:space="preserve"> MSAC requested the applicant to present revised economic and financial analyses </w:t>
      </w:r>
      <w:proofErr w:type="gramStart"/>
      <w:r w:rsidR="001F16B1">
        <w:t>taking into account</w:t>
      </w:r>
      <w:proofErr w:type="gramEnd"/>
      <w:r w:rsidR="001F16B1">
        <w:t xml:space="preserve"> the testing that may be performed in (unintended) non-CCA populations in practice.</w:t>
      </w:r>
    </w:p>
    <w:p w14:paraId="543A8119" w14:textId="5DFB547F" w:rsidR="003C6FF9" w:rsidRDefault="00512E34" w:rsidP="00A5687B">
      <w:pPr>
        <w:jc w:val="both"/>
      </w:pPr>
      <w:r>
        <w:t>The MSAC 1779.1</w:t>
      </w:r>
      <w:r w:rsidR="001F16B1">
        <w:t xml:space="preserve"> resubmission </w:t>
      </w:r>
      <w:r w:rsidR="00A342C6">
        <w:t xml:space="preserve">updated </w:t>
      </w:r>
      <w:r w:rsidR="001F16B1">
        <w:t>the</w:t>
      </w:r>
      <w:r w:rsidR="00A342C6">
        <w:t xml:space="preserve"> </w:t>
      </w:r>
      <w:r w:rsidR="003C6FF9">
        <w:t>economic and financial analyses to account for potential misdiagnoses</w:t>
      </w:r>
      <w:r w:rsidR="00E62FAC">
        <w:t xml:space="preserve"> by </w:t>
      </w:r>
      <w:r w:rsidR="001F16B1">
        <w:t>increasing the testing population by</w:t>
      </w:r>
      <w:r w:rsidR="00E62FAC">
        <w:t xml:space="preserve"> 1%</w:t>
      </w:r>
      <w:r w:rsidR="001F16B1">
        <w:t>.</w:t>
      </w:r>
      <w:r w:rsidR="00E62FAC">
        <w:t xml:space="preserve"> </w:t>
      </w:r>
      <w:r w:rsidR="001F16B1">
        <w:t xml:space="preserve">The </w:t>
      </w:r>
      <w:r>
        <w:t>MSAC 1779.1</w:t>
      </w:r>
      <w:r w:rsidR="001F16B1">
        <w:t xml:space="preserve"> </w:t>
      </w:r>
      <w:r w:rsidR="00E62FAC">
        <w:t>not</w:t>
      </w:r>
      <w:r w:rsidR="001F16B1">
        <w:t>ed</w:t>
      </w:r>
      <w:r w:rsidR="00E62FAC">
        <w:t xml:space="preserve"> </w:t>
      </w:r>
      <w:r w:rsidR="001F16B1">
        <w:t>that</w:t>
      </w:r>
      <w:r w:rsidR="00E62FAC">
        <w:t xml:space="preserve"> no </w:t>
      </w:r>
      <w:r w:rsidR="00FB6B32">
        <w:t>evidence regarding the proportion of</w:t>
      </w:r>
      <w:r w:rsidR="00E62FAC">
        <w:t xml:space="preserve"> misdiagnoses</w:t>
      </w:r>
      <w:r w:rsidR="0039695B">
        <w:t xml:space="preserve"> in CCA</w:t>
      </w:r>
      <w:r w:rsidR="002B2B4E">
        <w:t xml:space="preserve"> was identified</w:t>
      </w:r>
      <w:r w:rsidR="004A534C">
        <w:t>.</w:t>
      </w:r>
    </w:p>
    <w:p w14:paraId="71C4FDB0" w14:textId="45703411" w:rsidR="007355D3" w:rsidRPr="000570F7" w:rsidRDefault="008C4BC0" w:rsidP="007355D3">
      <w:r w:rsidRPr="00B80AF7">
        <w:t xml:space="preserve">The </w:t>
      </w:r>
      <w:r w:rsidR="00AF6BA9">
        <w:t>d</w:t>
      </w:r>
      <w:r w:rsidRPr="00B80AF7">
        <w:t xml:space="preserve">epartment </w:t>
      </w:r>
      <w:r w:rsidR="001F16B1" w:rsidRPr="000570F7">
        <w:t>conducted</w:t>
      </w:r>
      <w:r w:rsidRPr="00B80AF7">
        <w:t xml:space="preserve"> consultation w</w:t>
      </w:r>
      <w:r w:rsidR="00326DE5" w:rsidRPr="00B80AF7">
        <w:t xml:space="preserve">ith </w:t>
      </w:r>
      <w:r w:rsidR="00326DE5" w:rsidRPr="000570F7">
        <w:t xml:space="preserve">The Royal College of Pathologists of Australasia (RCPA) and Public Pathology Australia (PPA) </w:t>
      </w:r>
      <w:r w:rsidR="00F3478F" w:rsidRPr="000570F7">
        <w:t>as a part of the previous submission</w:t>
      </w:r>
      <w:r w:rsidR="00870C89" w:rsidRPr="000570F7">
        <w:t xml:space="preserve">. </w:t>
      </w:r>
      <w:r w:rsidR="001F16B1" w:rsidRPr="000570F7">
        <w:t xml:space="preserve">As part of this consultation, </w:t>
      </w:r>
      <w:r w:rsidR="007355D3" w:rsidRPr="000570F7">
        <w:t xml:space="preserve">RCPA and PPA were asked to advise on an estimate of the proportion and number of patients with pancreatic cancers and </w:t>
      </w:r>
      <w:r w:rsidR="00766832">
        <w:t>CUP</w:t>
      </w:r>
      <w:r w:rsidR="007355D3" w:rsidRPr="000570F7">
        <w:t xml:space="preserve"> who may be suspected of having CCA and tested for </w:t>
      </w:r>
      <w:r w:rsidR="007355D3" w:rsidRPr="007355D3">
        <w:rPr>
          <w:i/>
          <w:iCs/>
        </w:rPr>
        <w:t>FGFR2</w:t>
      </w:r>
      <w:r w:rsidR="007355D3" w:rsidRPr="000570F7">
        <w:t xml:space="preserve"> fusions or rearrangements.</w:t>
      </w:r>
    </w:p>
    <w:p w14:paraId="2D452CE5" w14:textId="1DF9BF52" w:rsidR="007355D3" w:rsidRPr="000570F7" w:rsidRDefault="4AEEE312" w:rsidP="007355D3">
      <w:r>
        <w:t xml:space="preserve">The </w:t>
      </w:r>
      <w:r w:rsidR="007355D3" w:rsidRPr="000570F7">
        <w:t xml:space="preserve">RCPA stated that there is significant uncertainty, but the number is likely very small especially after multidisciplinary team (MDT) review. They suggested that requiring a final MDT diagnosis of CCA could help reduce uncertainty and recommended using World Health Organization terminology of “intrahepatic cholangiocarcinoma” and “carcinoma of the extrahepatic bile ducts” to clearly distinguish between intrahepatic and extrahepatic CCA. RCPA noted that the clinical trials that supported funding for </w:t>
      </w:r>
      <w:r w:rsidR="007355D3" w:rsidRPr="007355D3">
        <w:rPr>
          <w:i/>
          <w:iCs/>
        </w:rPr>
        <w:t>FGFR2</w:t>
      </w:r>
      <w:r w:rsidR="007355D3" w:rsidRPr="000570F7">
        <w:t xml:space="preserve"> testing likely included a small proportion of patients who may not have had true CCA, and this uncertainty may already be reflected in the clinical and cost-effectiveness estimates.</w:t>
      </w:r>
    </w:p>
    <w:p w14:paraId="44967F36" w14:textId="2E6CE2BB" w:rsidR="008C4BC0" w:rsidRPr="00B80AF7" w:rsidRDefault="007355D3" w:rsidP="000570F7">
      <w:r w:rsidRPr="000570F7">
        <w:t xml:space="preserve">PPA provided an estimate for South Australia, noting around 100 cases of CCA are diagnosed annually, with approximately 200 cases entering the differential diagnosis between CCA and pancreatic cancer. They noted that SA Pathology captures about 60% of these cases, therefore they estimate around 200 patients would be tested for </w:t>
      </w:r>
      <w:r w:rsidRPr="007355D3">
        <w:rPr>
          <w:i/>
          <w:iCs/>
        </w:rPr>
        <w:t>FGFR2</w:t>
      </w:r>
      <w:r w:rsidRPr="000570F7">
        <w:t xml:space="preserve"> fusions on the MBS each year.</w:t>
      </w:r>
    </w:p>
    <w:p w14:paraId="66BDFCC1" w14:textId="5E012C2E" w:rsidR="00772829" w:rsidRPr="00CE28E3" w:rsidRDefault="000523F7" w:rsidP="002A18BE">
      <w:pPr>
        <w:pStyle w:val="Heading2"/>
        <w:numPr>
          <w:ilvl w:val="0"/>
          <w:numId w:val="0"/>
        </w:numPr>
      </w:pPr>
      <w:bookmarkStart w:id="22" w:name="_Toc69491420"/>
      <w:r>
        <w:t>8</w:t>
      </w:r>
      <w:r w:rsidR="00C36633">
        <w:t>.</w:t>
      </w:r>
      <w:r w:rsidR="00C36633">
        <w:tab/>
      </w:r>
      <w:r w:rsidR="00772829" w:rsidRPr="00CE28E3">
        <w:t>Comparator</w:t>
      </w:r>
      <w:bookmarkEnd w:id="22"/>
    </w:p>
    <w:p w14:paraId="24938606" w14:textId="5622D552" w:rsidR="007E3E0C" w:rsidRPr="007E3E0C" w:rsidRDefault="007E3E0C" w:rsidP="007E3E0C">
      <w:r>
        <w:t>No change</w:t>
      </w:r>
      <w:r w:rsidR="00502B6B">
        <w:t xml:space="preserve"> to the drug or test comparator</w:t>
      </w:r>
      <w:r w:rsidR="00EC7A61">
        <w:t xml:space="preserve"> compared </w:t>
      </w:r>
      <w:r w:rsidR="007D1E6C">
        <w:t>with</w:t>
      </w:r>
      <w:r w:rsidR="00EC7A61">
        <w:t xml:space="preserve"> the </w:t>
      </w:r>
      <w:r w:rsidR="007D1E6C">
        <w:t>previous</w:t>
      </w:r>
      <w:r w:rsidR="00EC7A61">
        <w:t xml:space="preserve"> submission</w:t>
      </w:r>
      <w:r w:rsidR="00502B6B">
        <w:t>.</w:t>
      </w:r>
    </w:p>
    <w:p w14:paraId="76953BBE" w14:textId="7E8416D2" w:rsidR="000523F7" w:rsidRDefault="000523F7" w:rsidP="000523F7">
      <w:pPr>
        <w:pStyle w:val="Heading2"/>
        <w:numPr>
          <w:ilvl w:val="0"/>
          <w:numId w:val="36"/>
        </w:numPr>
        <w:ind w:left="786" w:hanging="720"/>
      </w:pPr>
      <w:bookmarkStart w:id="23" w:name="_Toc69491422"/>
      <w:r w:rsidRPr="00A5660B">
        <w:t>Summary of public consultation input</w:t>
      </w:r>
    </w:p>
    <w:p w14:paraId="0E33DC40" w14:textId="4DCFC966" w:rsidR="000523F7" w:rsidRDefault="000523F7" w:rsidP="000523F7">
      <w:r>
        <w:t>No further public consultation input was received.</w:t>
      </w:r>
    </w:p>
    <w:p w14:paraId="03C7A1F1" w14:textId="026D75A6" w:rsidR="00772829" w:rsidRPr="00CE28E3" w:rsidRDefault="00772829" w:rsidP="000523F7">
      <w:pPr>
        <w:pStyle w:val="Heading2"/>
        <w:numPr>
          <w:ilvl w:val="0"/>
          <w:numId w:val="36"/>
        </w:numPr>
        <w:ind w:hanging="720"/>
      </w:pPr>
      <w:r w:rsidRPr="00CE28E3">
        <w:t>Characteristics of the evidence base</w:t>
      </w:r>
      <w:bookmarkEnd w:id="23"/>
    </w:p>
    <w:p w14:paraId="254B1083" w14:textId="345730EE" w:rsidR="00EA5BE8" w:rsidRPr="00CE28E3" w:rsidRDefault="00EA5BE8" w:rsidP="00B406AF">
      <w:bookmarkStart w:id="24" w:name="_Hlk68276301"/>
      <w:r>
        <w:t>No change to the evidence base for the test component</w:t>
      </w:r>
      <w:r w:rsidR="00EC7A61">
        <w:t xml:space="preserve"> compared </w:t>
      </w:r>
      <w:r w:rsidR="007D1E6C">
        <w:t>with the previous</w:t>
      </w:r>
      <w:r w:rsidR="00EC7A61">
        <w:t xml:space="preserve"> submission</w:t>
      </w:r>
      <w:r>
        <w:t>.</w:t>
      </w:r>
    </w:p>
    <w:p w14:paraId="3B9FC2AD" w14:textId="754A0828" w:rsidR="00772829" w:rsidRPr="00CE28E3" w:rsidRDefault="000523F7" w:rsidP="002A18BE">
      <w:pPr>
        <w:pStyle w:val="Heading2"/>
        <w:numPr>
          <w:ilvl w:val="0"/>
          <w:numId w:val="0"/>
        </w:numPr>
      </w:pPr>
      <w:bookmarkStart w:id="25" w:name="_Toc69491423"/>
      <w:bookmarkEnd w:id="24"/>
      <w:r>
        <w:t>11</w:t>
      </w:r>
      <w:r w:rsidR="00C36633">
        <w:t>.</w:t>
      </w:r>
      <w:r w:rsidR="00C36633">
        <w:tab/>
      </w:r>
      <w:r w:rsidR="00772829" w:rsidRPr="00CE28E3">
        <w:t>Comparative safety</w:t>
      </w:r>
      <w:bookmarkEnd w:id="25"/>
    </w:p>
    <w:p w14:paraId="1C8AC392" w14:textId="74D7A704" w:rsidR="00FB3810" w:rsidRPr="00B06E41" w:rsidRDefault="00FB3810" w:rsidP="00FB3810">
      <w:r>
        <w:t xml:space="preserve">No change to </w:t>
      </w:r>
      <w:r w:rsidR="00822935">
        <w:t>claim of comparative safety</w:t>
      </w:r>
      <w:r>
        <w:t xml:space="preserve"> for the drug or test component</w:t>
      </w:r>
      <w:r w:rsidR="00EC7A61">
        <w:t xml:space="preserve"> compared with the </w:t>
      </w:r>
      <w:r w:rsidR="007D1E6C">
        <w:t>previous</w:t>
      </w:r>
      <w:r w:rsidR="00EC7A61">
        <w:t xml:space="preserve"> </w:t>
      </w:r>
      <w:r w:rsidR="00142A01">
        <w:t>submission</w:t>
      </w:r>
      <w:r>
        <w:t>.</w:t>
      </w:r>
    </w:p>
    <w:p w14:paraId="3717AA01" w14:textId="0745EE0A" w:rsidR="00772829" w:rsidRPr="00CE28E3" w:rsidRDefault="000523F7" w:rsidP="002A18BE">
      <w:pPr>
        <w:pStyle w:val="Heading2"/>
        <w:numPr>
          <w:ilvl w:val="0"/>
          <w:numId w:val="0"/>
        </w:numPr>
      </w:pPr>
      <w:bookmarkStart w:id="26" w:name="_Toc69491424"/>
      <w:r>
        <w:lastRenderedPageBreak/>
        <w:t>12</w:t>
      </w:r>
      <w:r w:rsidR="00C36633">
        <w:t>.</w:t>
      </w:r>
      <w:r w:rsidR="00C36633">
        <w:tab/>
      </w:r>
      <w:r w:rsidR="00772829" w:rsidRPr="00CE28E3">
        <w:t>Comparative effectiveness</w:t>
      </w:r>
      <w:bookmarkEnd w:id="26"/>
    </w:p>
    <w:p w14:paraId="77165AB5" w14:textId="6CD5B87F" w:rsidR="00D41F18" w:rsidRPr="00B06E41" w:rsidRDefault="00B06E41" w:rsidP="002E2615">
      <w:r>
        <w:t xml:space="preserve">The </w:t>
      </w:r>
      <w:r w:rsidR="005D12FB">
        <w:t>current re</w:t>
      </w:r>
      <w:r w:rsidR="00000638">
        <w:t xml:space="preserve">submission </w:t>
      </w:r>
      <w:r w:rsidR="00124935">
        <w:t xml:space="preserve">to PBAC altered the </w:t>
      </w:r>
      <w:r w:rsidR="006C70B6">
        <w:t xml:space="preserve">overall survival hazard ratio </w:t>
      </w:r>
      <w:r w:rsidR="00F22675">
        <w:t>(to 0.</w:t>
      </w:r>
      <w:r w:rsidR="00E44C34">
        <w:t>48</w:t>
      </w:r>
      <w:r w:rsidR="00F22675">
        <w:t xml:space="preserve"> from 0.24) based on the PBAC recommendation from the </w:t>
      </w:r>
      <w:r w:rsidR="00E44C34">
        <w:t xml:space="preserve">July 2025 </w:t>
      </w:r>
      <w:r w:rsidR="00F22675">
        <w:t xml:space="preserve">meeting. This increased </w:t>
      </w:r>
      <w:r w:rsidR="001042F2">
        <w:t xml:space="preserve">the </w:t>
      </w:r>
      <w:r w:rsidR="00D41F18">
        <w:t>overall</w:t>
      </w:r>
      <w:r w:rsidR="00F22675">
        <w:t xml:space="preserve"> </w:t>
      </w:r>
      <w:r w:rsidR="00D41F18">
        <w:t>survival</w:t>
      </w:r>
      <w:r w:rsidR="00F22675">
        <w:t xml:space="preserve"> </w:t>
      </w:r>
      <w:r w:rsidR="001042F2">
        <w:t>associated with</w:t>
      </w:r>
      <w:r w:rsidR="00F22675">
        <w:t xml:space="preserve"> FOLFOX</w:t>
      </w:r>
      <w:r w:rsidR="001042F2">
        <w:t xml:space="preserve"> treatment</w:t>
      </w:r>
      <w:r w:rsidR="00BA4F91">
        <w:t>, reduced incremental QALYs</w:t>
      </w:r>
      <w:r w:rsidR="00F22675">
        <w:t xml:space="preserve"> </w:t>
      </w:r>
      <w:r w:rsidR="00D41F18">
        <w:t>and increased the ICER.</w:t>
      </w:r>
      <w:r w:rsidR="001B0878">
        <w:t xml:space="preserve"> </w:t>
      </w:r>
      <w:r w:rsidR="00D41F18">
        <w:t xml:space="preserve">No change </w:t>
      </w:r>
      <w:r w:rsidR="001B0878">
        <w:t xml:space="preserve">occurred </w:t>
      </w:r>
      <w:r w:rsidR="00D41F18">
        <w:t xml:space="preserve">to </w:t>
      </w:r>
      <w:r w:rsidR="000936FA">
        <w:t xml:space="preserve">the futibatinib </w:t>
      </w:r>
      <w:r w:rsidR="001B0878">
        <w:t>PFS or OS curves.</w:t>
      </w:r>
    </w:p>
    <w:p w14:paraId="0D09C9E4" w14:textId="7277F3B4" w:rsidR="00772829" w:rsidRPr="00CE28E3" w:rsidRDefault="00B27795" w:rsidP="002A18BE">
      <w:pPr>
        <w:pStyle w:val="Heading2"/>
        <w:numPr>
          <w:ilvl w:val="0"/>
          <w:numId w:val="0"/>
        </w:numPr>
      </w:pPr>
      <w:bookmarkStart w:id="27" w:name="_Toc69491425"/>
      <w:r>
        <w:t>1</w:t>
      </w:r>
      <w:r w:rsidR="000523F7">
        <w:t>3</w:t>
      </w:r>
      <w:r w:rsidR="00C36633">
        <w:t>.</w:t>
      </w:r>
      <w:r w:rsidR="00C36633">
        <w:tab/>
      </w:r>
      <w:r w:rsidR="00772829" w:rsidRPr="00CE28E3">
        <w:t>Economic evaluation</w:t>
      </w:r>
      <w:bookmarkEnd w:id="27"/>
    </w:p>
    <w:p w14:paraId="20054C41" w14:textId="483B1295" w:rsidR="00C555A7" w:rsidRPr="00335AD5" w:rsidRDefault="00212A08" w:rsidP="002E2615">
      <w:pPr>
        <w:pStyle w:val="Instructionaltext"/>
        <w:rPr>
          <w:color w:val="auto"/>
        </w:rPr>
      </w:pPr>
      <w:r>
        <w:rPr>
          <w:color w:val="auto"/>
        </w:rPr>
        <w:t>The applicant had changed t</w:t>
      </w:r>
      <w:r w:rsidR="00591FFA">
        <w:rPr>
          <w:color w:val="auto"/>
        </w:rPr>
        <w:t>hree</w:t>
      </w:r>
      <w:r w:rsidR="005F77F4" w:rsidRPr="00335AD5">
        <w:rPr>
          <w:color w:val="auto"/>
        </w:rPr>
        <w:t xml:space="preserve"> key</w:t>
      </w:r>
      <w:r w:rsidR="00C555A7" w:rsidRPr="00335AD5">
        <w:rPr>
          <w:color w:val="auto"/>
        </w:rPr>
        <w:t xml:space="preserve"> inputs in the</w:t>
      </w:r>
      <w:r>
        <w:rPr>
          <w:color w:val="auto"/>
        </w:rPr>
        <w:t>ir</w:t>
      </w:r>
      <w:r w:rsidR="00C555A7" w:rsidRPr="00335AD5">
        <w:rPr>
          <w:color w:val="auto"/>
        </w:rPr>
        <w:t xml:space="preserve"> PBAC </w:t>
      </w:r>
      <w:r w:rsidR="00E86170">
        <w:rPr>
          <w:color w:val="auto"/>
        </w:rPr>
        <w:t>re</w:t>
      </w:r>
      <w:r w:rsidR="002B66E1" w:rsidRPr="00335AD5">
        <w:rPr>
          <w:color w:val="auto"/>
        </w:rPr>
        <w:t>submission</w:t>
      </w:r>
      <w:r w:rsidR="00E86170">
        <w:rPr>
          <w:color w:val="auto"/>
        </w:rPr>
        <w:t xml:space="preserve"> </w:t>
      </w:r>
      <w:r w:rsidR="00427285">
        <w:rPr>
          <w:color w:val="auto"/>
        </w:rPr>
        <w:t>to be considered at</w:t>
      </w:r>
      <w:r w:rsidR="00E86170">
        <w:rPr>
          <w:color w:val="auto"/>
        </w:rPr>
        <w:t xml:space="preserve"> the November 2025 </w:t>
      </w:r>
      <w:r w:rsidR="00F913BF">
        <w:rPr>
          <w:color w:val="auto"/>
        </w:rPr>
        <w:t xml:space="preserve">PBAC </w:t>
      </w:r>
      <w:r w:rsidR="00E86170">
        <w:rPr>
          <w:color w:val="auto"/>
        </w:rPr>
        <w:t>meeting</w:t>
      </w:r>
      <w:r w:rsidR="00AB5ADC">
        <w:rPr>
          <w:color w:val="auto"/>
        </w:rPr>
        <w:t>:</w:t>
      </w:r>
    </w:p>
    <w:p w14:paraId="3450A690" w14:textId="7C620849" w:rsidR="005F77F4" w:rsidRDefault="004922A0" w:rsidP="002E2615">
      <w:pPr>
        <w:pStyle w:val="Instructionaltext"/>
        <w:numPr>
          <w:ilvl w:val="0"/>
          <w:numId w:val="15"/>
        </w:numPr>
        <w:rPr>
          <w:color w:val="auto"/>
        </w:rPr>
      </w:pPr>
      <w:r w:rsidRPr="00335AD5">
        <w:rPr>
          <w:color w:val="auto"/>
        </w:rPr>
        <w:t>T</w:t>
      </w:r>
      <w:r w:rsidR="005F77F4" w:rsidRPr="00335AD5">
        <w:rPr>
          <w:color w:val="auto"/>
        </w:rPr>
        <w:t xml:space="preserve">he </w:t>
      </w:r>
      <w:r w:rsidRPr="00335AD5">
        <w:rPr>
          <w:color w:val="auto"/>
        </w:rPr>
        <w:t xml:space="preserve">change in the </w:t>
      </w:r>
      <w:r w:rsidR="001440BD">
        <w:rPr>
          <w:color w:val="auto"/>
        </w:rPr>
        <w:t>overall survival hazard ratio</w:t>
      </w:r>
      <w:r w:rsidRPr="00335AD5">
        <w:rPr>
          <w:color w:val="auto"/>
        </w:rPr>
        <w:t xml:space="preserve"> </w:t>
      </w:r>
      <w:r w:rsidR="001440BD">
        <w:rPr>
          <w:color w:val="auto"/>
        </w:rPr>
        <w:t>(</w:t>
      </w:r>
      <w:r w:rsidRPr="00335AD5">
        <w:rPr>
          <w:color w:val="auto"/>
        </w:rPr>
        <w:t>HR</w:t>
      </w:r>
      <w:r w:rsidR="001440BD">
        <w:rPr>
          <w:color w:val="auto"/>
        </w:rPr>
        <w:t>)</w:t>
      </w:r>
      <w:r w:rsidRPr="00335AD5">
        <w:rPr>
          <w:color w:val="auto"/>
        </w:rPr>
        <w:t xml:space="preserve"> to 0.</w:t>
      </w:r>
      <w:r w:rsidR="00E86170">
        <w:rPr>
          <w:color w:val="auto"/>
        </w:rPr>
        <w:t>48</w:t>
      </w:r>
      <w:r w:rsidRPr="00335AD5">
        <w:rPr>
          <w:color w:val="auto"/>
        </w:rPr>
        <w:t xml:space="preserve"> was accompanied by </w:t>
      </w:r>
      <w:r w:rsidR="00335AD5" w:rsidRPr="00335AD5">
        <w:rPr>
          <w:color w:val="auto"/>
        </w:rPr>
        <w:t>a structural change to permit use of HRs in the model.</w:t>
      </w:r>
    </w:p>
    <w:p w14:paraId="0180808D" w14:textId="398C2600" w:rsidR="00335AD5" w:rsidRDefault="00335AD5" w:rsidP="002E2615">
      <w:pPr>
        <w:pStyle w:val="Instructionaltext"/>
        <w:numPr>
          <w:ilvl w:val="0"/>
          <w:numId w:val="15"/>
        </w:numPr>
        <w:rPr>
          <w:color w:val="auto"/>
        </w:rPr>
      </w:pPr>
      <w:r>
        <w:rPr>
          <w:color w:val="auto"/>
        </w:rPr>
        <w:t xml:space="preserve">The time horizon was reduced from 10 to </w:t>
      </w:r>
      <w:r w:rsidR="00905DCC">
        <w:rPr>
          <w:color w:val="auto"/>
        </w:rPr>
        <w:t>5</w:t>
      </w:r>
      <w:r>
        <w:rPr>
          <w:color w:val="auto"/>
        </w:rPr>
        <w:t xml:space="preserve"> years.</w:t>
      </w:r>
    </w:p>
    <w:p w14:paraId="013E5628" w14:textId="5FFBD202" w:rsidR="003C587B" w:rsidRDefault="006F6675" w:rsidP="002E2615">
      <w:pPr>
        <w:pStyle w:val="Instructionaltext"/>
        <w:numPr>
          <w:ilvl w:val="0"/>
          <w:numId w:val="15"/>
        </w:numPr>
        <w:rPr>
          <w:color w:val="auto"/>
        </w:rPr>
      </w:pPr>
      <w:r>
        <w:rPr>
          <w:color w:val="auto"/>
        </w:rPr>
        <w:t>The</w:t>
      </w:r>
      <w:r w:rsidR="00EB6FEE">
        <w:rPr>
          <w:color w:val="auto"/>
        </w:rPr>
        <w:t xml:space="preserve"> effective</w:t>
      </w:r>
      <w:r>
        <w:rPr>
          <w:color w:val="auto"/>
        </w:rPr>
        <w:t xml:space="preserve"> </w:t>
      </w:r>
      <w:r w:rsidR="00212A08" w:rsidRPr="002F71D6">
        <w:rPr>
          <w:color w:val="auto"/>
        </w:rPr>
        <w:t>approved ex-manufacturer price</w:t>
      </w:r>
      <w:r>
        <w:rPr>
          <w:color w:val="auto"/>
        </w:rPr>
        <w:t xml:space="preserve"> </w:t>
      </w:r>
      <w:r w:rsidR="00212A08">
        <w:rPr>
          <w:color w:val="auto"/>
        </w:rPr>
        <w:t>(</w:t>
      </w:r>
      <w:r>
        <w:rPr>
          <w:color w:val="auto"/>
        </w:rPr>
        <w:t>AEMP</w:t>
      </w:r>
      <w:r w:rsidR="00212A08">
        <w:rPr>
          <w:color w:val="auto"/>
        </w:rPr>
        <w:t>)</w:t>
      </w:r>
      <w:r>
        <w:rPr>
          <w:color w:val="auto"/>
        </w:rPr>
        <w:t xml:space="preserve"> of futibatinib was reduced from $</w:t>
      </w:r>
      <w:r w:rsidR="00D42915" w:rsidRPr="0031094A">
        <w:rPr>
          <w:b/>
          <w:bCs/>
          <w:color w:val="auto"/>
        </w:rPr>
        <w:t>Redacted</w:t>
      </w:r>
      <w:r>
        <w:rPr>
          <w:color w:val="auto"/>
        </w:rPr>
        <w:t xml:space="preserve"> per </w:t>
      </w:r>
      <w:r w:rsidR="0013585D">
        <w:rPr>
          <w:color w:val="auto"/>
        </w:rPr>
        <w:t>pack</w:t>
      </w:r>
      <w:r>
        <w:rPr>
          <w:color w:val="auto"/>
        </w:rPr>
        <w:t xml:space="preserve"> to $</w:t>
      </w:r>
      <w:r w:rsidR="00D42915" w:rsidRPr="0031094A">
        <w:rPr>
          <w:b/>
          <w:bCs/>
          <w:color w:val="auto"/>
        </w:rPr>
        <w:t>Redacted</w:t>
      </w:r>
    </w:p>
    <w:p w14:paraId="64C88D0D" w14:textId="57F314FA" w:rsidR="00304C6E" w:rsidRPr="000570F7" w:rsidRDefault="003C587B" w:rsidP="002E2615">
      <w:pPr>
        <w:pStyle w:val="Instructionaltext"/>
        <w:rPr>
          <w:bCs/>
          <w:color w:val="auto"/>
        </w:rPr>
      </w:pPr>
      <w:r w:rsidRPr="000570F7">
        <w:rPr>
          <w:bCs/>
          <w:color w:val="auto"/>
        </w:rPr>
        <w:t xml:space="preserve">These input changes resulted in an </w:t>
      </w:r>
      <w:r w:rsidRPr="0031094A">
        <w:rPr>
          <w:bCs/>
          <w:color w:val="000000" w:themeColor="text1"/>
        </w:rPr>
        <w:t xml:space="preserve">ICER of </w:t>
      </w:r>
      <w:r w:rsidR="00D42915" w:rsidRPr="0031094A">
        <w:rPr>
          <w:color w:val="000000" w:themeColor="text1"/>
        </w:rPr>
        <w:t>$55,000 to &lt; $75,000</w:t>
      </w:r>
      <w:r w:rsidRPr="0031094A">
        <w:rPr>
          <w:bCs/>
          <w:color w:val="000000" w:themeColor="text1"/>
        </w:rPr>
        <w:t>/QALY</w:t>
      </w:r>
      <w:r w:rsidR="00ED6605" w:rsidRPr="0031094A">
        <w:rPr>
          <w:bCs/>
          <w:color w:val="000000" w:themeColor="text1"/>
        </w:rPr>
        <w:t xml:space="preserve"> </w:t>
      </w:r>
      <w:r w:rsidR="00ED6605" w:rsidRPr="000570F7">
        <w:rPr>
          <w:bCs/>
          <w:color w:val="auto"/>
        </w:rPr>
        <w:t xml:space="preserve">in the </w:t>
      </w:r>
      <w:r w:rsidR="007217F1" w:rsidRPr="000570F7">
        <w:rPr>
          <w:bCs/>
          <w:color w:val="auto"/>
        </w:rPr>
        <w:t>re</w:t>
      </w:r>
      <w:r w:rsidR="00ED6605" w:rsidRPr="000570F7">
        <w:rPr>
          <w:bCs/>
          <w:color w:val="auto"/>
        </w:rPr>
        <w:t>submission to PBAC</w:t>
      </w:r>
      <w:r w:rsidR="00FF72CC" w:rsidRPr="000570F7">
        <w:rPr>
          <w:bCs/>
          <w:color w:val="auto"/>
        </w:rPr>
        <w:t xml:space="preserve"> per </w:t>
      </w:r>
      <w:r w:rsidR="00147CC4" w:rsidRPr="000570F7">
        <w:rPr>
          <w:bCs/>
          <w:color w:val="auto"/>
        </w:rPr>
        <w:t>identified patient treated with futibatinib</w:t>
      </w:r>
      <w:r w:rsidR="007217F1" w:rsidRPr="000570F7">
        <w:rPr>
          <w:bCs/>
          <w:color w:val="auto"/>
        </w:rPr>
        <w:t xml:space="preserve">. </w:t>
      </w:r>
      <w:r w:rsidR="00AE62AB">
        <w:rPr>
          <w:bCs/>
          <w:color w:val="auto"/>
        </w:rPr>
        <w:t xml:space="preserve">The </w:t>
      </w:r>
      <w:r w:rsidR="00BC72CE">
        <w:rPr>
          <w:bCs/>
          <w:color w:val="auto"/>
        </w:rPr>
        <w:t>economic analysis</w:t>
      </w:r>
      <w:r w:rsidR="00503F4A">
        <w:rPr>
          <w:bCs/>
          <w:color w:val="auto"/>
        </w:rPr>
        <w:t xml:space="preserve"> in the </w:t>
      </w:r>
      <w:r w:rsidR="00B155CB">
        <w:rPr>
          <w:bCs/>
          <w:color w:val="auto"/>
        </w:rPr>
        <w:t>resubmission to</w:t>
      </w:r>
      <w:r w:rsidR="00AD387A">
        <w:rPr>
          <w:bCs/>
          <w:color w:val="auto"/>
        </w:rPr>
        <w:t xml:space="preserve"> be considered by</w:t>
      </w:r>
      <w:r w:rsidR="00B155CB">
        <w:rPr>
          <w:bCs/>
          <w:color w:val="auto"/>
        </w:rPr>
        <w:t xml:space="preserve"> PBAC</w:t>
      </w:r>
      <w:r w:rsidR="00AD387A">
        <w:rPr>
          <w:bCs/>
          <w:color w:val="auto"/>
        </w:rPr>
        <w:t xml:space="preserve"> in November 2025</w:t>
      </w:r>
      <w:r w:rsidR="00217560">
        <w:rPr>
          <w:bCs/>
          <w:color w:val="auto"/>
        </w:rPr>
        <w:t xml:space="preserve"> </w:t>
      </w:r>
      <w:r w:rsidR="00324799">
        <w:rPr>
          <w:bCs/>
          <w:color w:val="auto"/>
        </w:rPr>
        <w:t xml:space="preserve">assumed the following: a </w:t>
      </w:r>
      <w:r w:rsidR="00224317">
        <w:rPr>
          <w:bCs/>
          <w:color w:val="auto"/>
        </w:rPr>
        <w:t>fee</w:t>
      </w:r>
      <w:r w:rsidR="00324799">
        <w:rPr>
          <w:bCs/>
          <w:color w:val="auto"/>
        </w:rPr>
        <w:t xml:space="preserve"> of $350</w:t>
      </w:r>
      <w:r w:rsidR="00224317">
        <w:rPr>
          <w:bCs/>
          <w:color w:val="auto"/>
        </w:rPr>
        <w:t xml:space="preserve"> to test </w:t>
      </w:r>
      <w:r w:rsidR="00224317" w:rsidRPr="00BC72CE">
        <w:rPr>
          <w:bCs/>
          <w:i/>
          <w:iCs/>
          <w:color w:val="auto"/>
        </w:rPr>
        <w:t>FGFR2</w:t>
      </w:r>
      <w:r w:rsidR="00324799">
        <w:rPr>
          <w:bCs/>
          <w:color w:val="auto"/>
        </w:rPr>
        <w:t xml:space="preserve">, </w:t>
      </w:r>
      <w:r w:rsidR="00324799" w:rsidRPr="00EB34BE">
        <w:rPr>
          <w:bCs/>
          <w:color w:val="auto"/>
        </w:rPr>
        <w:t xml:space="preserve">40% of the testing conducted at no cost by </w:t>
      </w:r>
      <w:proofErr w:type="spellStart"/>
      <w:r w:rsidR="00324799" w:rsidRPr="00EB34BE">
        <w:rPr>
          <w:bCs/>
          <w:color w:val="auto"/>
        </w:rPr>
        <w:t>Omico</w:t>
      </w:r>
      <w:proofErr w:type="spellEnd"/>
      <w:r w:rsidR="00324799" w:rsidRPr="00EB34BE">
        <w:rPr>
          <w:bCs/>
          <w:color w:val="auto"/>
        </w:rPr>
        <w:t xml:space="preserve">, </w:t>
      </w:r>
      <w:r w:rsidR="00324799" w:rsidRPr="00EB34BE">
        <w:rPr>
          <w:bCs/>
          <w:i/>
          <w:iCs/>
          <w:color w:val="auto"/>
        </w:rPr>
        <w:t>FGFR2</w:t>
      </w:r>
      <w:r w:rsidR="00324799">
        <w:rPr>
          <w:bCs/>
          <w:color w:val="auto"/>
        </w:rPr>
        <w:t xml:space="preserve"> </w:t>
      </w:r>
      <w:r w:rsidR="00354487">
        <w:rPr>
          <w:bCs/>
          <w:color w:val="auto"/>
        </w:rPr>
        <w:t xml:space="preserve">variant </w:t>
      </w:r>
      <w:r w:rsidR="00324799">
        <w:rPr>
          <w:bCs/>
          <w:color w:val="auto"/>
        </w:rPr>
        <w:t>prevalence of 20% with no additional testing (compared to the previous submission) to capture testing at CCA diagnosis and testing in unintended populations</w:t>
      </w:r>
      <w:r w:rsidR="00AD387A">
        <w:rPr>
          <w:bCs/>
          <w:color w:val="auto"/>
        </w:rPr>
        <w:t xml:space="preserve"> (i.e. in patients with CUP or pancreatic cancer)</w:t>
      </w:r>
      <w:r w:rsidR="00324799">
        <w:rPr>
          <w:bCs/>
          <w:color w:val="auto"/>
        </w:rPr>
        <w:t xml:space="preserve">. </w:t>
      </w:r>
    </w:p>
    <w:p w14:paraId="3CB16BCB" w14:textId="65CEC1AA" w:rsidR="003C587B" w:rsidRPr="00335AD5" w:rsidRDefault="006D146F" w:rsidP="002E2615">
      <w:pPr>
        <w:pStyle w:val="Instructionaltext"/>
        <w:rPr>
          <w:color w:val="auto"/>
        </w:rPr>
      </w:pPr>
      <w:r>
        <w:rPr>
          <w:color w:val="auto"/>
        </w:rPr>
        <w:t>At the July 2025 meeting, t</w:t>
      </w:r>
      <w:r w:rsidR="003C587B">
        <w:rPr>
          <w:color w:val="auto"/>
        </w:rPr>
        <w:t>he MSAC proposed</w:t>
      </w:r>
      <w:r w:rsidR="00AE765D">
        <w:rPr>
          <w:color w:val="auto"/>
        </w:rPr>
        <w:t xml:space="preserve"> the following</w:t>
      </w:r>
      <w:r w:rsidR="003C587B">
        <w:rPr>
          <w:color w:val="auto"/>
        </w:rPr>
        <w:t xml:space="preserve"> </w:t>
      </w:r>
      <w:r>
        <w:rPr>
          <w:color w:val="auto"/>
        </w:rPr>
        <w:t>three</w:t>
      </w:r>
      <w:r w:rsidR="004B6C3B">
        <w:rPr>
          <w:color w:val="auto"/>
        </w:rPr>
        <w:t xml:space="preserve"> </w:t>
      </w:r>
      <w:r w:rsidR="00AE765D">
        <w:rPr>
          <w:color w:val="auto"/>
        </w:rPr>
        <w:t>changes to the test component</w:t>
      </w:r>
      <w:r w:rsidR="000D03E8">
        <w:rPr>
          <w:color w:val="auto"/>
        </w:rPr>
        <w:t xml:space="preserve"> (page 5 ratified minutes)</w:t>
      </w:r>
      <w:r w:rsidR="00C06105">
        <w:rPr>
          <w:color w:val="auto"/>
        </w:rPr>
        <w:t>:</w:t>
      </w:r>
    </w:p>
    <w:p w14:paraId="3CF8DD1F" w14:textId="77777777" w:rsidR="000D03E8" w:rsidRPr="005C6C4A" w:rsidRDefault="000D03E8" w:rsidP="002E2615">
      <w:pPr>
        <w:pStyle w:val="Bullet"/>
        <w:numPr>
          <w:ilvl w:val="0"/>
          <w:numId w:val="21"/>
        </w:numPr>
        <w:spacing w:before="0"/>
        <w:rPr>
          <w:rFonts w:ascii="Franklin Gothic Book" w:hAnsi="Franklin Gothic Book"/>
        </w:rPr>
      </w:pPr>
      <w:r w:rsidRPr="005C6C4A">
        <w:rPr>
          <w:rFonts w:ascii="Franklin Gothic Book" w:hAnsi="Franklin Gothic Book"/>
        </w:rPr>
        <w:t>Include</w:t>
      </w:r>
      <w:r>
        <w:rPr>
          <w:rFonts w:ascii="Franklin Gothic Book" w:hAnsi="Franklin Gothic Book"/>
        </w:rPr>
        <w:t xml:space="preserve"> </w:t>
      </w:r>
      <w:r w:rsidRPr="005C6C4A">
        <w:rPr>
          <w:rFonts w:ascii="Franklin Gothic Book" w:hAnsi="Franklin Gothic Book"/>
        </w:rPr>
        <w:t xml:space="preserve">testing </w:t>
      </w:r>
      <w:r>
        <w:rPr>
          <w:rFonts w:ascii="Franklin Gothic Book" w:hAnsi="Franklin Gothic Book"/>
        </w:rPr>
        <w:t xml:space="preserve">costs for all patients diagnosed with CCA at the point of </w:t>
      </w:r>
      <w:r w:rsidRPr="005C6C4A">
        <w:rPr>
          <w:rFonts w:ascii="Franklin Gothic Book" w:hAnsi="Franklin Gothic Book"/>
        </w:rPr>
        <w:t>diagnosis</w:t>
      </w:r>
      <w:r>
        <w:rPr>
          <w:rFonts w:ascii="Franklin Gothic Book" w:hAnsi="Franklin Gothic Book"/>
        </w:rPr>
        <w:t xml:space="preserve"> for</w:t>
      </w:r>
      <w:r w:rsidRPr="005C6C4A">
        <w:rPr>
          <w:rFonts w:ascii="Franklin Gothic Book" w:hAnsi="Franklin Gothic Book"/>
        </w:rPr>
        <w:t xml:space="preserve"> all economic modelling and </w:t>
      </w:r>
      <w:r>
        <w:rPr>
          <w:rFonts w:ascii="Franklin Gothic Book" w:hAnsi="Franklin Gothic Book"/>
        </w:rPr>
        <w:t>financial</w:t>
      </w:r>
      <w:r w:rsidRPr="005C6C4A">
        <w:rPr>
          <w:rFonts w:ascii="Franklin Gothic Book" w:hAnsi="Franklin Gothic Book"/>
        </w:rPr>
        <w:t xml:space="preserve"> impact </w:t>
      </w:r>
      <w:r>
        <w:rPr>
          <w:rFonts w:ascii="Franklin Gothic Book" w:hAnsi="Franklin Gothic Book"/>
        </w:rPr>
        <w:t>analysis.</w:t>
      </w:r>
    </w:p>
    <w:p w14:paraId="3247CDB9" w14:textId="47E892C4" w:rsidR="000D03E8" w:rsidRDefault="000D03E8" w:rsidP="002E2615">
      <w:pPr>
        <w:pStyle w:val="Bullet"/>
        <w:numPr>
          <w:ilvl w:val="0"/>
          <w:numId w:val="21"/>
        </w:numPr>
        <w:spacing w:before="0"/>
        <w:rPr>
          <w:rFonts w:ascii="Franklin Gothic Book" w:hAnsi="Franklin Gothic Book"/>
        </w:rPr>
      </w:pPr>
      <w:r>
        <w:rPr>
          <w:rFonts w:ascii="Franklin Gothic Book" w:hAnsi="Franklin Gothic Book"/>
        </w:rPr>
        <w:t>A</w:t>
      </w:r>
      <w:r w:rsidRPr="005C6C4A">
        <w:rPr>
          <w:rFonts w:ascii="Franklin Gothic Book" w:hAnsi="Franklin Gothic Book"/>
        </w:rPr>
        <w:t xml:space="preserve">ddress the issue of </w:t>
      </w:r>
      <w:r>
        <w:rPr>
          <w:rFonts w:ascii="Franklin Gothic Book" w:hAnsi="Franklin Gothic Book"/>
        </w:rPr>
        <w:t>expansion</w:t>
      </w:r>
      <w:r w:rsidRPr="005C6C4A">
        <w:rPr>
          <w:rFonts w:ascii="Franklin Gothic Book" w:hAnsi="Franklin Gothic Book"/>
        </w:rPr>
        <w:t xml:space="preserve"> </w:t>
      </w:r>
      <w:r>
        <w:rPr>
          <w:rFonts w:ascii="Franklin Gothic Book" w:hAnsi="Franklin Gothic Book"/>
        </w:rPr>
        <w:t xml:space="preserve">of the testing to populations outside of the intended CCA population (e.g. </w:t>
      </w:r>
      <w:r w:rsidRPr="005C6C4A">
        <w:rPr>
          <w:rFonts w:ascii="Franklin Gothic Book" w:hAnsi="Franklin Gothic Book"/>
        </w:rPr>
        <w:t xml:space="preserve">pancreatic cancer </w:t>
      </w:r>
      <w:r>
        <w:rPr>
          <w:rFonts w:ascii="Franklin Gothic Book" w:hAnsi="Franklin Gothic Book"/>
        </w:rPr>
        <w:t>and</w:t>
      </w:r>
      <w:r w:rsidRPr="005C6C4A">
        <w:rPr>
          <w:rFonts w:ascii="Franklin Gothic Book" w:hAnsi="Franklin Gothic Book"/>
        </w:rPr>
        <w:t xml:space="preserve"> </w:t>
      </w:r>
      <w:r w:rsidR="00766832">
        <w:rPr>
          <w:rFonts w:ascii="Franklin Gothic Book" w:hAnsi="Franklin Gothic Book"/>
        </w:rPr>
        <w:t>CUP</w:t>
      </w:r>
      <w:r>
        <w:rPr>
          <w:rFonts w:ascii="Franklin Gothic Book" w:hAnsi="Franklin Gothic Book"/>
        </w:rPr>
        <w:t>)</w:t>
      </w:r>
      <w:r w:rsidRPr="005C6C4A">
        <w:rPr>
          <w:rFonts w:ascii="Franklin Gothic Book" w:hAnsi="Franklin Gothic Book"/>
        </w:rPr>
        <w:t>.</w:t>
      </w:r>
    </w:p>
    <w:p w14:paraId="07ABF56C" w14:textId="17DAA31B" w:rsidR="000D03E8" w:rsidRDefault="000D03E8" w:rsidP="002E2615">
      <w:pPr>
        <w:pStyle w:val="Bullet"/>
        <w:numPr>
          <w:ilvl w:val="0"/>
          <w:numId w:val="21"/>
        </w:numPr>
        <w:spacing w:before="0"/>
        <w:rPr>
          <w:rFonts w:ascii="Franklin Gothic Book" w:hAnsi="Franklin Gothic Book"/>
        </w:rPr>
      </w:pPr>
      <w:r>
        <w:rPr>
          <w:rFonts w:ascii="Franklin Gothic Book" w:hAnsi="Franklin Gothic Book"/>
        </w:rPr>
        <w:t xml:space="preserve">Revise the economic and financial analyses by removing the assumption that </w:t>
      </w:r>
      <w:r w:rsidRPr="00EB34BE">
        <w:rPr>
          <w:rFonts w:ascii="Franklin Gothic Book" w:hAnsi="Franklin Gothic Book"/>
        </w:rPr>
        <w:t>20%</w:t>
      </w:r>
      <w:r>
        <w:rPr>
          <w:rFonts w:ascii="Franklin Gothic Book" w:hAnsi="Franklin Gothic Book"/>
        </w:rPr>
        <w:t xml:space="preserve"> of the testing will be performed at no cost</w:t>
      </w:r>
      <w:r w:rsidR="00DC017F">
        <w:rPr>
          <w:rFonts w:ascii="Franklin Gothic Book" w:hAnsi="Franklin Gothic Book"/>
        </w:rPr>
        <w:t>.</w:t>
      </w:r>
    </w:p>
    <w:p w14:paraId="53291BB6" w14:textId="53098825" w:rsidR="00A01B18" w:rsidRDefault="000D03E8" w:rsidP="002E2615">
      <w:pPr>
        <w:pStyle w:val="Instructionaltext"/>
        <w:rPr>
          <w:color w:val="auto"/>
        </w:rPr>
      </w:pPr>
      <w:r>
        <w:rPr>
          <w:color w:val="auto"/>
        </w:rPr>
        <w:t xml:space="preserve">This resubmission </w:t>
      </w:r>
      <w:r w:rsidR="00597E63">
        <w:rPr>
          <w:color w:val="auto"/>
        </w:rPr>
        <w:t xml:space="preserve">has made the following changes </w:t>
      </w:r>
      <w:r>
        <w:rPr>
          <w:color w:val="auto"/>
        </w:rPr>
        <w:t xml:space="preserve">to </w:t>
      </w:r>
      <w:r w:rsidR="00597E63">
        <w:rPr>
          <w:color w:val="auto"/>
        </w:rPr>
        <w:t>address</w:t>
      </w:r>
      <w:r>
        <w:rPr>
          <w:color w:val="auto"/>
        </w:rPr>
        <w:t xml:space="preserve"> MSAC</w:t>
      </w:r>
      <w:r w:rsidR="00597E63">
        <w:rPr>
          <w:color w:val="auto"/>
        </w:rPr>
        <w:t>’s concerns</w:t>
      </w:r>
      <w:r w:rsidR="00A01B18">
        <w:rPr>
          <w:color w:val="auto"/>
        </w:rPr>
        <w:t>:</w:t>
      </w:r>
    </w:p>
    <w:p w14:paraId="67C8E575" w14:textId="7595CA0F" w:rsidR="00851DFD" w:rsidRDefault="00851DFD" w:rsidP="002E2615">
      <w:pPr>
        <w:pStyle w:val="Instructionaltext"/>
        <w:numPr>
          <w:ilvl w:val="0"/>
          <w:numId w:val="16"/>
        </w:numPr>
        <w:rPr>
          <w:color w:val="auto"/>
        </w:rPr>
      </w:pPr>
      <w:r>
        <w:rPr>
          <w:color w:val="auto"/>
        </w:rPr>
        <w:t xml:space="preserve">Increase </w:t>
      </w:r>
      <w:r w:rsidR="00EA1D6D">
        <w:rPr>
          <w:color w:val="auto"/>
        </w:rPr>
        <w:t xml:space="preserve">in </w:t>
      </w:r>
      <w:r>
        <w:rPr>
          <w:color w:val="auto"/>
        </w:rPr>
        <w:t>testing</w:t>
      </w:r>
      <w:r w:rsidR="00D65D70">
        <w:rPr>
          <w:color w:val="auto"/>
        </w:rPr>
        <w:t xml:space="preserve"> population</w:t>
      </w:r>
      <w:r>
        <w:rPr>
          <w:color w:val="auto"/>
        </w:rPr>
        <w:t xml:space="preserve"> to </w:t>
      </w:r>
      <w:r w:rsidR="00D762E9">
        <w:rPr>
          <w:color w:val="auto"/>
        </w:rPr>
        <w:t xml:space="preserve">include testing at </w:t>
      </w:r>
      <w:r w:rsidR="002F7B32">
        <w:rPr>
          <w:color w:val="auto"/>
        </w:rPr>
        <w:t>CCA diagnosis</w:t>
      </w:r>
      <w:r w:rsidR="00D762E9">
        <w:rPr>
          <w:color w:val="auto"/>
        </w:rPr>
        <w:t xml:space="preserve"> (i.e. </w:t>
      </w:r>
      <w:r w:rsidR="00A66238">
        <w:rPr>
          <w:color w:val="auto"/>
        </w:rPr>
        <w:t>357</w:t>
      </w:r>
      <w:r w:rsidR="00D762E9">
        <w:rPr>
          <w:color w:val="auto"/>
        </w:rPr>
        <w:t xml:space="preserve">% additional </w:t>
      </w:r>
      <w:r w:rsidR="006C17AF">
        <w:rPr>
          <w:color w:val="auto"/>
        </w:rPr>
        <w:t>testing</w:t>
      </w:r>
      <w:r w:rsidR="00D762E9">
        <w:rPr>
          <w:color w:val="auto"/>
        </w:rPr>
        <w:t xml:space="preserve"> versus </w:t>
      </w:r>
      <w:r w:rsidR="00212A08">
        <w:rPr>
          <w:color w:val="auto"/>
        </w:rPr>
        <w:t>initial submission</w:t>
      </w:r>
      <w:r w:rsidR="00D762E9">
        <w:rPr>
          <w:color w:val="auto"/>
        </w:rPr>
        <w:t>)</w:t>
      </w:r>
      <w:r w:rsidR="00DC017F">
        <w:rPr>
          <w:color w:val="auto"/>
        </w:rPr>
        <w:t>.</w:t>
      </w:r>
      <w:r w:rsidR="00597E63">
        <w:rPr>
          <w:color w:val="auto"/>
        </w:rPr>
        <w:t xml:space="preserve"> </w:t>
      </w:r>
    </w:p>
    <w:p w14:paraId="0F687C86" w14:textId="6AAE2224" w:rsidR="00D762E9" w:rsidRDefault="0009576F" w:rsidP="002E2615">
      <w:pPr>
        <w:pStyle w:val="Instructionaltext"/>
        <w:numPr>
          <w:ilvl w:val="0"/>
          <w:numId w:val="16"/>
        </w:numPr>
        <w:rPr>
          <w:color w:val="auto"/>
        </w:rPr>
      </w:pPr>
      <w:r>
        <w:rPr>
          <w:color w:val="auto"/>
        </w:rPr>
        <w:t>I</w:t>
      </w:r>
      <w:r w:rsidR="00062B9C">
        <w:rPr>
          <w:color w:val="auto"/>
        </w:rPr>
        <w:t>ncrease</w:t>
      </w:r>
      <w:r w:rsidR="00222562">
        <w:rPr>
          <w:color w:val="auto"/>
        </w:rPr>
        <w:t>d</w:t>
      </w:r>
      <w:r w:rsidR="00062B9C">
        <w:rPr>
          <w:color w:val="auto"/>
        </w:rPr>
        <w:t xml:space="preserve"> </w:t>
      </w:r>
      <w:r w:rsidR="00222562">
        <w:rPr>
          <w:color w:val="auto"/>
        </w:rPr>
        <w:t>the</w:t>
      </w:r>
      <w:r w:rsidR="00062B9C">
        <w:rPr>
          <w:color w:val="auto"/>
        </w:rPr>
        <w:t xml:space="preserve"> testing population </w:t>
      </w:r>
      <w:r w:rsidR="00A63D6D">
        <w:rPr>
          <w:color w:val="auto"/>
        </w:rPr>
        <w:t>by 1%</w:t>
      </w:r>
      <w:r w:rsidR="00062B9C">
        <w:rPr>
          <w:color w:val="auto"/>
        </w:rPr>
        <w:t xml:space="preserve"> </w:t>
      </w:r>
      <w:r w:rsidR="00E2178C">
        <w:rPr>
          <w:color w:val="auto"/>
        </w:rPr>
        <w:t xml:space="preserve">to include </w:t>
      </w:r>
      <w:r w:rsidR="00A63D6D">
        <w:rPr>
          <w:color w:val="auto"/>
        </w:rPr>
        <w:t>testing in patients with</w:t>
      </w:r>
      <w:r w:rsidR="00E2178C">
        <w:rPr>
          <w:color w:val="auto"/>
        </w:rPr>
        <w:t xml:space="preserve"> pancreatic cancer and </w:t>
      </w:r>
      <w:r w:rsidR="00766832">
        <w:rPr>
          <w:color w:val="auto"/>
        </w:rPr>
        <w:t>CUP</w:t>
      </w:r>
      <w:r w:rsidR="00FB6B32">
        <w:rPr>
          <w:color w:val="auto"/>
        </w:rPr>
        <w:t>.</w:t>
      </w:r>
    </w:p>
    <w:p w14:paraId="227F0A9A" w14:textId="48651CE0" w:rsidR="00315D63" w:rsidRPr="000523F7" w:rsidRDefault="00222562" w:rsidP="002E2615">
      <w:pPr>
        <w:pStyle w:val="Instructionaltext"/>
        <w:numPr>
          <w:ilvl w:val="0"/>
          <w:numId w:val="16"/>
        </w:numPr>
        <w:rPr>
          <w:color w:val="auto"/>
        </w:rPr>
      </w:pPr>
      <w:r>
        <w:rPr>
          <w:color w:val="auto"/>
        </w:rPr>
        <w:t>R</w:t>
      </w:r>
      <w:r w:rsidRPr="00222562">
        <w:rPr>
          <w:color w:val="auto"/>
        </w:rPr>
        <w:t>emov</w:t>
      </w:r>
      <w:r>
        <w:rPr>
          <w:color w:val="auto"/>
        </w:rPr>
        <w:t>ed</w:t>
      </w:r>
      <w:r w:rsidRPr="00222562">
        <w:rPr>
          <w:color w:val="auto"/>
        </w:rPr>
        <w:t xml:space="preserve"> the assumption </w:t>
      </w:r>
      <w:r w:rsidRPr="00EB34BE">
        <w:rPr>
          <w:color w:val="auto"/>
        </w:rPr>
        <w:t>that 20% of</w:t>
      </w:r>
      <w:r w:rsidRPr="00222562">
        <w:rPr>
          <w:color w:val="auto"/>
        </w:rPr>
        <w:t xml:space="preserve"> the testing will be performed at no cost</w:t>
      </w:r>
      <w:r w:rsidR="009B0614">
        <w:rPr>
          <w:color w:val="auto"/>
        </w:rPr>
        <w:t xml:space="preserve"> by </w:t>
      </w:r>
      <w:proofErr w:type="spellStart"/>
      <w:r w:rsidR="009B0614">
        <w:rPr>
          <w:color w:val="auto"/>
        </w:rPr>
        <w:t>Omico</w:t>
      </w:r>
      <w:proofErr w:type="spellEnd"/>
      <w:r w:rsidR="009B0614">
        <w:rPr>
          <w:color w:val="auto"/>
        </w:rPr>
        <w:t>.</w:t>
      </w:r>
    </w:p>
    <w:p w14:paraId="18B5702A" w14:textId="45E77DF8" w:rsidR="00D4731B" w:rsidRDefault="00E46451" w:rsidP="002E2615">
      <w:r>
        <w:t xml:space="preserve">At the July 2025 meeting MSAC also requested further advice from the </w:t>
      </w:r>
      <w:r w:rsidR="00AF6BA9">
        <w:t>d</w:t>
      </w:r>
      <w:r>
        <w:t>epartment on the appropriate MBS fee for gene panel testing.</w:t>
      </w:r>
      <w:r w:rsidR="00A45985">
        <w:t xml:space="preserve"> </w:t>
      </w:r>
      <w:r w:rsidR="00512E34">
        <w:t>The MSAC 1779.1</w:t>
      </w:r>
      <w:r w:rsidR="00A45985">
        <w:t xml:space="preserve"> resubmission has </w:t>
      </w:r>
      <w:r w:rsidR="00D4731B">
        <w:t>assumed</w:t>
      </w:r>
      <w:r w:rsidR="00A45985">
        <w:t xml:space="preserve"> a test fee of $885. </w:t>
      </w:r>
      <w:r w:rsidR="005E419C" w:rsidRPr="005E419C">
        <w:t xml:space="preserve">This is the same fee used by the applicant in the previous submission, </w:t>
      </w:r>
      <w:r w:rsidR="00D4731B">
        <w:t xml:space="preserve">which </w:t>
      </w:r>
      <w:r w:rsidR="005E419C" w:rsidRPr="005E419C">
        <w:t xml:space="preserve">noted </w:t>
      </w:r>
      <w:r w:rsidR="005E419C" w:rsidRPr="005E419C">
        <w:lastRenderedPageBreak/>
        <w:t xml:space="preserve">that the private cost of an NGS DNA and RNA panel </w:t>
      </w:r>
      <w:r w:rsidR="00674409">
        <w:t xml:space="preserve">test </w:t>
      </w:r>
      <w:r w:rsidR="005E419C" w:rsidRPr="005E419C">
        <w:t>at Peter MacCallum Cancer Centre is $885.</w:t>
      </w:r>
      <w:r w:rsidR="002667EF">
        <w:rPr>
          <w:rStyle w:val="FootnoteReference"/>
        </w:rPr>
        <w:footnoteReference w:id="6"/>
      </w:r>
    </w:p>
    <w:p w14:paraId="3EF95C84" w14:textId="6F5BA72A" w:rsidR="00A22E62" w:rsidRPr="00940288" w:rsidRDefault="00D4731B" w:rsidP="002E2615">
      <w:pPr>
        <w:pStyle w:val="Instructionaltext"/>
        <w:rPr>
          <w:color w:val="auto"/>
        </w:rPr>
      </w:pPr>
      <w:r w:rsidRPr="00CA75AF">
        <w:rPr>
          <w:color w:val="auto"/>
        </w:rPr>
        <w:t xml:space="preserve">In the economic and financial analyses of the current resubmission, a test fee of $545 has been used as this is the incremental difference between the single gene </w:t>
      </w:r>
      <w:r w:rsidRPr="00CA75AF">
        <w:rPr>
          <w:i/>
          <w:iCs/>
          <w:color w:val="auto"/>
        </w:rPr>
        <w:t xml:space="preserve">IDH1 </w:t>
      </w:r>
      <w:r w:rsidRPr="00CA75AF">
        <w:rPr>
          <w:color w:val="auto"/>
        </w:rPr>
        <w:t>test fee ($340, MBS item 73319) and the applicant proposed gene panel fee ($885). This approach</w:t>
      </w:r>
      <w:r w:rsidR="00E12874" w:rsidRPr="00CA75AF">
        <w:rPr>
          <w:color w:val="auto"/>
        </w:rPr>
        <w:t xml:space="preserve"> (i.e. using the incremental fee difference)</w:t>
      </w:r>
      <w:r w:rsidRPr="00CA75AF">
        <w:rPr>
          <w:color w:val="auto"/>
        </w:rPr>
        <w:t xml:space="preserve"> </w:t>
      </w:r>
      <w:proofErr w:type="gramStart"/>
      <w:r w:rsidRPr="00CA75AF">
        <w:rPr>
          <w:color w:val="auto"/>
        </w:rPr>
        <w:t>was considered to be</w:t>
      </w:r>
      <w:proofErr w:type="gramEnd"/>
      <w:r w:rsidRPr="00CA75AF">
        <w:rPr>
          <w:color w:val="auto"/>
        </w:rPr>
        <w:t xml:space="preserve"> reasonable by MSAC at its July 2025 meeting. </w:t>
      </w:r>
    </w:p>
    <w:p w14:paraId="4C4AA2C4" w14:textId="335E801C" w:rsidR="008B148B" w:rsidRDefault="00E12874" w:rsidP="002E2615">
      <w:r>
        <w:t>The MSAC 1779.1 resubmission noted that a</w:t>
      </w:r>
      <w:r w:rsidR="00703EA6">
        <w:t>pplying</w:t>
      </w:r>
      <w:r w:rsidR="00703EA6" w:rsidRPr="000570F7">
        <w:t xml:space="preserve"> </w:t>
      </w:r>
      <w:r w:rsidR="00791DFF" w:rsidRPr="000570F7">
        <w:t>testing inputs</w:t>
      </w:r>
      <w:r w:rsidR="00791DFF">
        <w:t xml:space="preserve"> </w:t>
      </w:r>
      <w:r w:rsidR="00703EA6">
        <w:t>advised by MSAC</w:t>
      </w:r>
      <w:r w:rsidR="00791DFF" w:rsidRPr="000570F7">
        <w:t xml:space="preserve"> </w:t>
      </w:r>
      <w:r w:rsidR="004007B3" w:rsidRPr="000570F7">
        <w:t>result</w:t>
      </w:r>
      <w:r w:rsidR="00703EA6">
        <w:t>ed</w:t>
      </w:r>
      <w:r w:rsidR="004007B3" w:rsidRPr="000570F7">
        <w:t xml:space="preserve"> in a test cost of $</w:t>
      </w:r>
      <w:r w:rsidR="00B65802" w:rsidRPr="000570F7">
        <w:t>14,137.46</w:t>
      </w:r>
      <w:r w:rsidR="00950599" w:rsidRPr="000570F7">
        <w:t xml:space="preserve"> </w:t>
      </w:r>
      <w:r w:rsidR="00B440F1" w:rsidRPr="000570F7">
        <w:t>to identify one patient treated with futibatinib</w:t>
      </w:r>
      <w:r w:rsidR="009121D4" w:rsidRPr="000570F7">
        <w:t xml:space="preserve"> and c</w:t>
      </w:r>
      <w:r w:rsidR="00110140" w:rsidRPr="000570F7">
        <w:t xml:space="preserve">osting for the test </w:t>
      </w:r>
      <w:r w:rsidR="009121D4" w:rsidRPr="000570F7">
        <w:t>represent</w:t>
      </w:r>
      <w:r w:rsidR="00703EA6">
        <w:t>ed</w:t>
      </w:r>
      <w:r w:rsidR="00110140" w:rsidRPr="000570F7">
        <w:t xml:space="preserve"> </w:t>
      </w:r>
      <w:r w:rsidR="00FE5D11" w:rsidRPr="0031094A">
        <w:rPr>
          <w:b/>
          <w:bCs/>
        </w:rPr>
        <w:t>Redacted</w:t>
      </w:r>
      <w:r w:rsidR="00FE5D11">
        <w:t>%</w:t>
      </w:r>
      <w:r w:rsidR="00110140" w:rsidRPr="000570F7">
        <w:t xml:space="preserve"> of the </w:t>
      </w:r>
      <w:r w:rsidR="0012450E" w:rsidRPr="000570F7">
        <w:t xml:space="preserve">overall </w:t>
      </w:r>
      <w:r w:rsidR="00110140" w:rsidRPr="000570F7">
        <w:t>incremental cost.</w:t>
      </w:r>
      <w:r w:rsidR="00110140" w:rsidRPr="00110140">
        <w:t xml:space="preserve"> Th</w:t>
      </w:r>
      <w:r w:rsidR="009121D4">
        <w:t>e</w:t>
      </w:r>
      <w:r w:rsidR="00703EA6">
        <w:t xml:space="preserve"> </w:t>
      </w:r>
      <w:r>
        <w:t>MSAC 1779.1 resubmission</w:t>
      </w:r>
      <w:r w:rsidR="00703EA6">
        <w:t xml:space="preserve"> considered that the</w:t>
      </w:r>
      <w:r w:rsidR="009121D4">
        <w:t xml:space="preserve"> test</w:t>
      </w:r>
      <w:r w:rsidR="00110140" w:rsidRPr="00110140">
        <w:t xml:space="preserve"> component </w:t>
      </w:r>
      <w:r w:rsidR="003D7AF2">
        <w:t>may be</w:t>
      </w:r>
      <w:r w:rsidR="00110140" w:rsidRPr="00110140">
        <w:t xml:space="preserve"> disproportionate to the overall cost </w:t>
      </w:r>
      <w:r w:rsidR="0012450E">
        <w:t xml:space="preserve">of </w:t>
      </w:r>
      <w:r w:rsidR="00110140" w:rsidRPr="00110140">
        <w:t xml:space="preserve">this codependent technology and </w:t>
      </w:r>
      <w:r w:rsidR="00703EA6">
        <w:t xml:space="preserve">noted that this </w:t>
      </w:r>
      <w:r w:rsidR="00110140" w:rsidRPr="00110140">
        <w:t>should be considered in the context of the rare</w:t>
      </w:r>
      <w:r w:rsidR="009121D4">
        <w:t xml:space="preserve"> and </w:t>
      </w:r>
      <w:r w:rsidR="00182C9F">
        <w:t>aggressive</w:t>
      </w:r>
      <w:r w:rsidR="00110140" w:rsidRPr="00110140">
        <w:t xml:space="preserve"> nature of this cancer.</w:t>
      </w:r>
    </w:p>
    <w:p w14:paraId="3C25A65F" w14:textId="0E5AFF15" w:rsidR="00821F58" w:rsidRPr="0069533A" w:rsidRDefault="0069533A" w:rsidP="002E2615">
      <w:pPr>
        <w:pStyle w:val="Instructionaltext"/>
        <w:rPr>
          <w:color w:val="auto"/>
        </w:rPr>
      </w:pPr>
      <w:r w:rsidRPr="0069533A">
        <w:rPr>
          <w:color w:val="auto"/>
        </w:rPr>
        <w:fldChar w:fldCharType="begin"/>
      </w:r>
      <w:r w:rsidRPr="0069533A">
        <w:rPr>
          <w:color w:val="auto"/>
        </w:rPr>
        <w:instrText xml:space="preserve"> REF _Ref210901042 \h </w:instrText>
      </w:r>
      <w:r w:rsidR="002E2615">
        <w:rPr>
          <w:color w:val="auto"/>
        </w:rPr>
        <w:instrText xml:space="preserve"> \* MERGEFORMAT </w:instrText>
      </w:r>
      <w:r w:rsidRPr="0069533A">
        <w:rPr>
          <w:color w:val="auto"/>
        </w:rPr>
      </w:r>
      <w:r w:rsidRPr="0069533A">
        <w:rPr>
          <w:color w:val="auto"/>
        </w:rPr>
        <w:fldChar w:fldCharType="separate"/>
      </w:r>
      <w:r w:rsidRPr="0069533A">
        <w:rPr>
          <w:color w:val="auto"/>
        </w:rPr>
        <w:t xml:space="preserve">Table </w:t>
      </w:r>
      <w:r w:rsidRPr="0069533A">
        <w:rPr>
          <w:noProof/>
          <w:color w:val="auto"/>
        </w:rPr>
        <w:t>2</w:t>
      </w:r>
      <w:r w:rsidRPr="0069533A">
        <w:rPr>
          <w:color w:val="auto"/>
        </w:rPr>
        <w:fldChar w:fldCharType="end"/>
      </w:r>
      <w:r w:rsidRPr="0069533A">
        <w:rPr>
          <w:color w:val="auto"/>
        </w:rPr>
        <w:t xml:space="preserve"> </w:t>
      </w:r>
      <w:r w:rsidR="0076567E" w:rsidRPr="00A57EC3">
        <w:rPr>
          <w:color w:val="auto"/>
        </w:rPr>
        <w:t xml:space="preserve">presents the results of the economic evaluation </w:t>
      </w:r>
      <w:r w:rsidR="00674409">
        <w:rPr>
          <w:color w:val="auto"/>
        </w:rPr>
        <w:t>presented in the MSAC 1779.1 resubmission</w:t>
      </w:r>
      <w:r w:rsidR="0076567E" w:rsidRPr="00A57EC3">
        <w:rPr>
          <w:color w:val="auto"/>
        </w:rPr>
        <w:t xml:space="preserve"> using the </w:t>
      </w:r>
      <w:r w:rsidR="000C5638" w:rsidRPr="00A57EC3">
        <w:rPr>
          <w:color w:val="auto"/>
        </w:rPr>
        <w:t xml:space="preserve">values described </w:t>
      </w:r>
      <w:r w:rsidR="000C5638">
        <w:rPr>
          <w:color w:val="auto"/>
        </w:rPr>
        <w:t>above.</w:t>
      </w:r>
    </w:p>
    <w:p w14:paraId="7D568DF0" w14:textId="6F529A70" w:rsidR="0069533A" w:rsidRDefault="0069533A" w:rsidP="008C0288">
      <w:pPr>
        <w:pStyle w:val="Caption"/>
        <w:spacing w:before="0" w:after="0"/>
      </w:pPr>
      <w:bookmarkStart w:id="28" w:name="_Ref210901042"/>
      <w:r>
        <w:t xml:space="preserve">Table </w:t>
      </w:r>
      <w:r>
        <w:fldChar w:fldCharType="begin"/>
      </w:r>
      <w:r>
        <w:instrText>SEQ Table \* ARABIC</w:instrText>
      </w:r>
      <w:r>
        <w:fldChar w:fldCharType="separate"/>
      </w:r>
      <w:r>
        <w:rPr>
          <w:noProof/>
        </w:rPr>
        <w:t>2</w:t>
      </w:r>
      <w:r>
        <w:fldChar w:fldCharType="end"/>
      </w:r>
      <w:bookmarkEnd w:id="28"/>
      <w:r>
        <w:t xml:space="preserve">: </w:t>
      </w:r>
      <w:r w:rsidRPr="000741A8">
        <w:t xml:space="preserve">Cost results from the economic model </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134"/>
        <w:gridCol w:w="992"/>
        <w:gridCol w:w="992"/>
        <w:gridCol w:w="1134"/>
        <w:gridCol w:w="1134"/>
        <w:gridCol w:w="1134"/>
        <w:gridCol w:w="1134"/>
        <w:gridCol w:w="992"/>
      </w:tblGrid>
      <w:tr w:rsidR="00C17DD9" w:rsidRPr="00B2763B" w14:paraId="18342BE0" w14:textId="77777777" w:rsidTr="00695659">
        <w:trPr>
          <w:trHeight w:val="300"/>
          <w:tblHeader/>
        </w:trPr>
        <w:tc>
          <w:tcPr>
            <w:tcW w:w="1419" w:type="dxa"/>
            <w:noWrap/>
            <w:vAlign w:val="bottom"/>
          </w:tcPr>
          <w:p w14:paraId="1D81AD36" w14:textId="77777777" w:rsidR="000B0F99" w:rsidRPr="000570F7" w:rsidRDefault="000B0F99" w:rsidP="0097062E">
            <w:pPr>
              <w:spacing w:before="0" w:after="0" w:line="240" w:lineRule="auto"/>
              <w:rPr>
                <w:rFonts w:ascii="Arial Narrow" w:eastAsia="Times New Roman" w:hAnsi="Arial Narrow" w:cs="Times New Roman"/>
                <w:b/>
                <w:bCs/>
                <w:sz w:val="20"/>
                <w:szCs w:val="20"/>
                <w:lang w:eastAsia="en-AU"/>
              </w:rPr>
            </w:pPr>
          </w:p>
        </w:tc>
        <w:tc>
          <w:tcPr>
            <w:tcW w:w="1134" w:type="dxa"/>
            <w:noWrap/>
            <w:vAlign w:val="bottom"/>
          </w:tcPr>
          <w:p w14:paraId="12DEAF1C" w14:textId="77777777" w:rsidR="000B0F99" w:rsidRPr="000570F7" w:rsidRDefault="000B0F99" w:rsidP="00A57EC3">
            <w:pPr>
              <w:spacing w:before="0" w:after="0" w:line="240" w:lineRule="auto"/>
              <w:jc w:val="center"/>
              <w:rPr>
                <w:rFonts w:ascii="Arial Narrow" w:eastAsia="Times New Roman" w:hAnsi="Arial Narrow" w:cs="Calibri"/>
                <w:b/>
                <w:bCs/>
                <w:sz w:val="20"/>
                <w:szCs w:val="20"/>
                <w:lang w:eastAsia="en-AU"/>
              </w:rPr>
            </w:pPr>
          </w:p>
        </w:tc>
        <w:tc>
          <w:tcPr>
            <w:tcW w:w="7512" w:type="dxa"/>
            <w:gridSpan w:val="7"/>
            <w:noWrap/>
            <w:vAlign w:val="bottom"/>
          </w:tcPr>
          <w:p w14:paraId="18D75713" w14:textId="0DF86782" w:rsidR="000B0F99" w:rsidRPr="000570F7" w:rsidRDefault="00E4297D" w:rsidP="00A57EC3">
            <w:pPr>
              <w:spacing w:before="0" w:after="0" w:line="240" w:lineRule="auto"/>
              <w:jc w:val="center"/>
              <w:rPr>
                <w:rFonts w:ascii="Arial Narrow" w:eastAsia="Times New Roman" w:hAnsi="Arial Narrow" w:cs="Calibri"/>
                <w:b/>
                <w:bCs/>
                <w:sz w:val="20"/>
                <w:szCs w:val="20"/>
                <w:lang w:eastAsia="en-AU"/>
              </w:rPr>
            </w:pPr>
            <w:r w:rsidRPr="000570F7">
              <w:rPr>
                <w:rFonts w:ascii="Arial Narrow" w:eastAsia="Times New Roman" w:hAnsi="Arial Narrow" w:cs="Calibri"/>
                <w:b/>
                <w:bCs/>
                <w:sz w:val="20"/>
                <w:szCs w:val="20"/>
                <w:lang w:eastAsia="en-AU"/>
              </w:rPr>
              <w:t>Disaggregated costs</w:t>
            </w:r>
          </w:p>
        </w:tc>
      </w:tr>
      <w:tr w:rsidR="00322FB9" w:rsidRPr="00B2763B" w14:paraId="30D5EF7F" w14:textId="77777777" w:rsidTr="00695659">
        <w:trPr>
          <w:trHeight w:val="300"/>
          <w:tblHeader/>
        </w:trPr>
        <w:tc>
          <w:tcPr>
            <w:tcW w:w="1419" w:type="dxa"/>
            <w:noWrap/>
            <w:vAlign w:val="bottom"/>
            <w:hideMark/>
          </w:tcPr>
          <w:p w14:paraId="358C6326" w14:textId="77777777" w:rsidR="0097062E" w:rsidRPr="000570F7" w:rsidRDefault="0097062E" w:rsidP="0097062E">
            <w:pPr>
              <w:spacing w:before="0" w:after="0" w:line="240" w:lineRule="auto"/>
              <w:rPr>
                <w:rFonts w:ascii="Arial Narrow" w:eastAsia="Times New Roman" w:hAnsi="Arial Narrow" w:cs="Times New Roman"/>
                <w:b/>
                <w:bCs/>
                <w:sz w:val="20"/>
                <w:szCs w:val="20"/>
                <w:lang w:eastAsia="en-AU"/>
              </w:rPr>
            </w:pPr>
          </w:p>
        </w:tc>
        <w:tc>
          <w:tcPr>
            <w:tcW w:w="1134" w:type="dxa"/>
            <w:noWrap/>
            <w:vAlign w:val="bottom"/>
            <w:hideMark/>
          </w:tcPr>
          <w:p w14:paraId="65C4692B" w14:textId="406FBBB2" w:rsidR="0097062E" w:rsidRPr="000570F7" w:rsidRDefault="0097062E" w:rsidP="00A57EC3">
            <w:pPr>
              <w:spacing w:before="0" w:after="0" w:line="240" w:lineRule="auto"/>
              <w:jc w:val="center"/>
              <w:rPr>
                <w:rFonts w:ascii="Arial Narrow" w:eastAsia="Times New Roman" w:hAnsi="Arial Narrow" w:cs="Times New Roman"/>
                <w:b/>
                <w:bCs/>
                <w:sz w:val="20"/>
                <w:szCs w:val="20"/>
                <w:lang w:eastAsia="en-AU"/>
              </w:rPr>
            </w:pPr>
            <w:r w:rsidRPr="000570F7">
              <w:rPr>
                <w:rFonts w:ascii="Arial Narrow" w:eastAsia="Times New Roman" w:hAnsi="Arial Narrow" w:cs="Calibri"/>
                <w:b/>
                <w:bCs/>
                <w:sz w:val="20"/>
                <w:szCs w:val="20"/>
                <w:lang w:eastAsia="en-AU"/>
              </w:rPr>
              <w:t>Total costs ($)</w:t>
            </w:r>
          </w:p>
        </w:tc>
        <w:tc>
          <w:tcPr>
            <w:tcW w:w="992" w:type="dxa"/>
            <w:noWrap/>
            <w:vAlign w:val="bottom"/>
          </w:tcPr>
          <w:p w14:paraId="3B037196" w14:textId="198067B8" w:rsidR="0097062E" w:rsidRPr="000570F7" w:rsidRDefault="0097062E" w:rsidP="00A57EC3">
            <w:pPr>
              <w:spacing w:before="0" w:after="0" w:line="240" w:lineRule="auto"/>
              <w:jc w:val="center"/>
              <w:rPr>
                <w:rFonts w:ascii="Arial Narrow" w:eastAsia="Times New Roman" w:hAnsi="Arial Narrow" w:cs="Calibri"/>
                <w:b/>
                <w:bCs/>
                <w:sz w:val="20"/>
                <w:szCs w:val="20"/>
                <w:lang w:eastAsia="en-AU"/>
              </w:rPr>
            </w:pPr>
            <w:r w:rsidRPr="000570F7">
              <w:rPr>
                <w:rFonts w:ascii="Arial Narrow" w:eastAsia="Times New Roman" w:hAnsi="Arial Narrow" w:cs="Calibri"/>
                <w:b/>
                <w:bCs/>
                <w:sz w:val="20"/>
                <w:szCs w:val="20"/>
                <w:lang w:eastAsia="en-AU"/>
              </w:rPr>
              <w:t>PF</w:t>
            </w:r>
          </w:p>
        </w:tc>
        <w:tc>
          <w:tcPr>
            <w:tcW w:w="992" w:type="dxa"/>
            <w:noWrap/>
            <w:vAlign w:val="bottom"/>
          </w:tcPr>
          <w:p w14:paraId="0E294E9A" w14:textId="6E17BF54" w:rsidR="0097062E" w:rsidRPr="000570F7" w:rsidRDefault="0097062E" w:rsidP="00A57EC3">
            <w:pPr>
              <w:spacing w:before="0" w:after="0" w:line="240" w:lineRule="auto"/>
              <w:jc w:val="center"/>
              <w:rPr>
                <w:rFonts w:ascii="Arial Narrow" w:eastAsia="Times New Roman" w:hAnsi="Arial Narrow" w:cs="Calibri"/>
                <w:b/>
                <w:bCs/>
                <w:sz w:val="20"/>
                <w:szCs w:val="20"/>
                <w:lang w:eastAsia="en-AU"/>
              </w:rPr>
            </w:pPr>
            <w:r w:rsidRPr="000570F7">
              <w:rPr>
                <w:rFonts w:ascii="Arial Narrow" w:eastAsia="Times New Roman" w:hAnsi="Arial Narrow" w:cs="Calibri"/>
                <w:b/>
                <w:bCs/>
                <w:sz w:val="20"/>
                <w:szCs w:val="20"/>
                <w:lang w:eastAsia="en-AU"/>
              </w:rPr>
              <w:t>PD</w:t>
            </w:r>
          </w:p>
        </w:tc>
        <w:tc>
          <w:tcPr>
            <w:tcW w:w="1134" w:type="dxa"/>
            <w:noWrap/>
            <w:vAlign w:val="bottom"/>
          </w:tcPr>
          <w:p w14:paraId="61B92BE1" w14:textId="2013F047" w:rsidR="0097062E" w:rsidRPr="000570F7" w:rsidRDefault="0097062E" w:rsidP="00A57EC3">
            <w:pPr>
              <w:spacing w:before="0" w:after="0" w:line="240" w:lineRule="auto"/>
              <w:jc w:val="center"/>
              <w:rPr>
                <w:rFonts w:ascii="Arial Narrow" w:eastAsia="Times New Roman" w:hAnsi="Arial Narrow" w:cs="Calibri"/>
                <w:b/>
                <w:bCs/>
                <w:sz w:val="20"/>
                <w:szCs w:val="20"/>
                <w:lang w:eastAsia="en-AU"/>
              </w:rPr>
            </w:pPr>
            <w:r w:rsidRPr="000570F7">
              <w:rPr>
                <w:rFonts w:ascii="Arial Narrow" w:eastAsia="Times New Roman" w:hAnsi="Arial Narrow" w:cs="Calibri"/>
                <w:b/>
                <w:bCs/>
                <w:sz w:val="20"/>
                <w:szCs w:val="20"/>
                <w:lang w:eastAsia="en-AU"/>
              </w:rPr>
              <w:t>AE</w:t>
            </w:r>
          </w:p>
        </w:tc>
        <w:tc>
          <w:tcPr>
            <w:tcW w:w="1134" w:type="dxa"/>
            <w:noWrap/>
            <w:vAlign w:val="bottom"/>
          </w:tcPr>
          <w:p w14:paraId="17D550F3" w14:textId="37F5A9E3" w:rsidR="0097062E" w:rsidRPr="000570F7" w:rsidRDefault="0097062E" w:rsidP="00A57EC3">
            <w:pPr>
              <w:spacing w:before="0" w:after="0" w:line="240" w:lineRule="auto"/>
              <w:jc w:val="center"/>
              <w:rPr>
                <w:rFonts w:ascii="Arial Narrow" w:eastAsia="Times New Roman" w:hAnsi="Arial Narrow" w:cs="Calibri"/>
                <w:b/>
                <w:bCs/>
                <w:sz w:val="20"/>
                <w:szCs w:val="20"/>
                <w:lang w:eastAsia="en-AU"/>
              </w:rPr>
            </w:pPr>
            <w:r w:rsidRPr="000570F7">
              <w:rPr>
                <w:rFonts w:ascii="Arial Narrow" w:eastAsia="Times New Roman" w:hAnsi="Arial Narrow" w:cs="Calibri"/>
                <w:b/>
                <w:bCs/>
                <w:sz w:val="20"/>
                <w:szCs w:val="20"/>
                <w:lang w:eastAsia="en-AU"/>
              </w:rPr>
              <w:t>EOL</w:t>
            </w:r>
          </w:p>
        </w:tc>
        <w:tc>
          <w:tcPr>
            <w:tcW w:w="1134" w:type="dxa"/>
            <w:noWrap/>
            <w:vAlign w:val="bottom"/>
          </w:tcPr>
          <w:p w14:paraId="6D8F3791" w14:textId="668337FD" w:rsidR="0097062E" w:rsidRPr="000570F7" w:rsidRDefault="0097062E" w:rsidP="00A57EC3">
            <w:pPr>
              <w:spacing w:before="0" w:after="0" w:line="240" w:lineRule="auto"/>
              <w:jc w:val="center"/>
              <w:rPr>
                <w:rFonts w:ascii="Arial Narrow" w:eastAsia="Times New Roman" w:hAnsi="Arial Narrow" w:cs="Calibri"/>
                <w:b/>
                <w:bCs/>
                <w:sz w:val="20"/>
                <w:szCs w:val="20"/>
                <w:lang w:eastAsia="en-AU"/>
              </w:rPr>
            </w:pPr>
            <w:r w:rsidRPr="000570F7">
              <w:rPr>
                <w:rFonts w:ascii="Arial Narrow" w:eastAsia="Times New Roman" w:hAnsi="Arial Narrow" w:cs="Calibri"/>
                <w:b/>
                <w:bCs/>
                <w:sz w:val="20"/>
                <w:szCs w:val="20"/>
                <w:lang w:eastAsia="en-AU"/>
              </w:rPr>
              <w:t>Drug acquisition</w:t>
            </w:r>
          </w:p>
        </w:tc>
        <w:tc>
          <w:tcPr>
            <w:tcW w:w="1134" w:type="dxa"/>
            <w:noWrap/>
            <w:vAlign w:val="bottom"/>
          </w:tcPr>
          <w:p w14:paraId="2A53A5D8" w14:textId="5307CC89" w:rsidR="0097062E" w:rsidRPr="000570F7" w:rsidRDefault="0097062E" w:rsidP="00A57EC3">
            <w:pPr>
              <w:spacing w:before="0" w:after="0" w:line="240" w:lineRule="auto"/>
              <w:jc w:val="center"/>
              <w:rPr>
                <w:rFonts w:ascii="Arial Narrow" w:eastAsia="Times New Roman" w:hAnsi="Arial Narrow" w:cs="Calibri"/>
                <w:b/>
                <w:bCs/>
                <w:sz w:val="20"/>
                <w:szCs w:val="20"/>
                <w:lang w:eastAsia="en-AU"/>
              </w:rPr>
            </w:pPr>
            <w:r w:rsidRPr="000570F7">
              <w:rPr>
                <w:rFonts w:ascii="Arial Narrow" w:eastAsia="Times New Roman" w:hAnsi="Arial Narrow" w:cs="Calibri"/>
                <w:b/>
                <w:bCs/>
                <w:sz w:val="20"/>
                <w:szCs w:val="20"/>
                <w:lang w:eastAsia="en-AU"/>
              </w:rPr>
              <w:t>Drug admin.</w:t>
            </w:r>
          </w:p>
        </w:tc>
        <w:tc>
          <w:tcPr>
            <w:tcW w:w="992" w:type="dxa"/>
            <w:vAlign w:val="bottom"/>
          </w:tcPr>
          <w:p w14:paraId="3CAC18B7" w14:textId="5F0696FC" w:rsidR="0097062E" w:rsidRPr="000570F7" w:rsidRDefault="0097062E" w:rsidP="00A57EC3">
            <w:pPr>
              <w:spacing w:before="0" w:after="0" w:line="240" w:lineRule="auto"/>
              <w:jc w:val="center"/>
              <w:rPr>
                <w:rFonts w:ascii="Arial Narrow" w:eastAsia="Times New Roman" w:hAnsi="Arial Narrow" w:cs="Calibri"/>
                <w:b/>
                <w:bCs/>
                <w:sz w:val="20"/>
                <w:szCs w:val="20"/>
                <w:lang w:eastAsia="en-AU"/>
              </w:rPr>
            </w:pPr>
            <w:r w:rsidRPr="000570F7">
              <w:rPr>
                <w:rFonts w:ascii="Arial Narrow" w:eastAsia="Times New Roman" w:hAnsi="Arial Narrow" w:cs="Calibri"/>
                <w:b/>
                <w:bCs/>
                <w:sz w:val="20"/>
                <w:szCs w:val="20"/>
                <w:lang w:eastAsia="en-AU"/>
              </w:rPr>
              <w:t>Test costs</w:t>
            </w:r>
          </w:p>
        </w:tc>
      </w:tr>
      <w:tr w:rsidR="00322FB9" w:rsidRPr="00B2763B" w14:paraId="7BBABA91" w14:textId="77777777" w:rsidTr="00695659">
        <w:trPr>
          <w:trHeight w:val="300"/>
        </w:trPr>
        <w:tc>
          <w:tcPr>
            <w:tcW w:w="1419" w:type="dxa"/>
            <w:noWrap/>
            <w:vAlign w:val="bottom"/>
            <w:hideMark/>
          </w:tcPr>
          <w:p w14:paraId="1A5199A1" w14:textId="77777777" w:rsidR="0097062E" w:rsidRPr="000570F7" w:rsidRDefault="0097062E" w:rsidP="0097062E">
            <w:pPr>
              <w:spacing w:before="0" w:after="0" w:line="240" w:lineRule="auto"/>
              <w:rPr>
                <w:rFonts w:ascii="Arial Narrow" w:eastAsia="Times New Roman" w:hAnsi="Arial Narrow" w:cs="Calibri"/>
                <w:color w:val="000000"/>
                <w:sz w:val="20"/>
                <w:szCs w:val="20"/>
                <w:lang w:eastAsia="en-AU"/>
              </w:rPr>
            </w:pPr>
            <w:r w:rsidRPr="000570F7">
              <w:rPr>
                <w:rFonts w:ascii="Arial Narrow" w:eastAsia="Times New Roman" w:hAnsi="Arial Narrow" w:cs="Calibri"/>
                <w:color w:val="000000"/>
                <w:sz w:val="20"/>
                <w:szCs w:val="20"/>
                <w:lang w:eastAsia="en-AU"/>
              </w:rPr>
              <w:t>Futibatinib</w:t>
            </w:r>
          </w:p>
        </w:tc>
        <w:tc>
          <w:tcPr>
            <w:tcW w:w="1134" w:type="dxa"/>
            <w:vAlign w:val="bottom"/>
            <w:hideMark/>
          </w:tcPr>
          <w:p w14:paraId="477F7BB2" w14:textId="3177A8EB" w:rsidR="0097062E" w:rsidRPr="000570F7" w:rsidRDefault="0097062E" w:rsidP="0097062E">
            <w:pPr>
              <w:spacing w:before="0" w:after="0" w:line="240" w:lineRule="auto"/>
              <w:jc w:val="center"/>
              <w:rPr>
                <w:rFonts w:ascii="Arial Narrow" w:eastAsia="Times New Roman" w:hAnsi="Arial Narrow" w:cs="Calibri"/>
                <w:color w:val="000000"/>
                <w:sz w:val="20"/>
                <w:szCs w:val="20"/>
                <w:lang w:eastAsia="en-AU"/>
              </w:rPr>
            </w:pPr>
            <w:r w:rsidRPr="000570F7">
              <w:rPr>
                <w:rFonts w:ascii="Arial Narrow" w:eastAsia="Times New Roman" w:hAnsi="Arial Narrow" w:cs="Calibri"/>
                <w:color w:val="000000"/>
                <w:sz w:val="20"/>
                <w:szCs w:val="20"/>
                <w:lang w:eastAsia="en-AU"/>
              </w:rPr>
              <w:t>$</w:t>
            </w:r>
            <w:r w:rsidR="00445E7B">
              <w:rPr>
                <w:rFonts w:ascii="Arial Narrow" w:eastAsia="Times New Roman" w:hAnsi="Arial Narrow" w:cs="Calibri"/>
                <w:b/>
                <w:bCs/>
                <w:color w:val="000000"/>
                <w:sz w:val="20"/>
                <w:szCs w:val="20"/>
                <w:lang w:eastAsia="en-AU"/>
              </w:rPr>
              <w:t>Redacted</w:t>
            </w:r>
          </w:p>
        </w:tc>
        <w:tc>
          <w:tcPr>
            <w:tcW w:w="992" w:type="dxa"/>
            <w:vAlign w:val="bottom"/>
            <w:hideMark/>
          </w:tcPr>
          <w:p w14:paraId="00B93D13" w14:textId="2B383273" w:rsidR="0097062E" w:rsidRPr="000570F7" w:rsidRDefault="0097062E" w:rsidP="0097062E">
            <w:pPr>
              <w:spacing w:before="0" w:after="0" w:line="240" w:lineRule="auto"/>
              <w:jc w:val="center"/>
              <w:rPr>
                <w:rFonts w:ascii="Arial Narrow" w:eastAsia="Times New Roman" w:hAnsi="Arial Narrow" w:cs="Calibri"/>
                <w:color w:val="000000"/>
                <w:sz w:val="20"/>
                <w:szCs w:val="20"/>
                <w:lang w:eastAsia="en-AU"/>
              </w:rPr>
            </w:pPr>
            <w:r w:rsidRPr="000570F7">
              <w:rPr>
                <w:rFonts w:ascii="Arial Narrow" w:eastAsia="Times New Roman" w:hAnsi="Arial Narrow" w:cs="Calibri"/>
                <w:color w:val="000000"/>
                <w:sz w:val="20"/>
                <w:szCs w:val="20"/>
                <w:lang w:eastAsia="en-AU"/>
              </w:rPr>
              <w:t>$2,21</w:t>
            </w:r>
            <w:r w:rsidR="003B670B" w:rsidRPr="000570F7">
              <w:rPr>
                <w:rFonts w:ascii="Arial Narrow" w:eastAsia="Times New Roman" w:hAnsi="Arial Narrow" w:cs="Calibri"/>
                <w:color w:val="000000"/>
                <w:sz w:val="20"/>
                <w:szCs w:val="20"/>
                <w:lang w:eastAsia="en-AU"/>
              </w:rPr>
              <w:t>4</w:t>
            </w:r>
          </w:p>
        </w:tc>
        <w:tc>
          <w:tcPr>
            <w:tcW w:w="992" w:type="dxa"/>
            <w:vAlign w:val="bottom"/>
            <w:hideMark/>
          </w:tcPr>
          <w:p w14:paraId="5D68BA79" w14:textId="4695DCE7" w:rsidR="0097062E" w:rsidRPr="000570F7" w:rsidRDefault="0097062E" w:rsidP="0097062E">
            <w:pPr>
              <w:spacing w:before="0" w:after="0" w:line="240" w:lineRule="auto"/>
              <w:jc w:val="center"/>
              <w:rPr>
                <w:rFonts w:ascii="Arial Narrow" w:eastAsia="Times New Roman" w:hAnsi="Arial Narrow" w:cs="Calibri"/>
                <w:color w:val="000000"/>
                <w:sz w:val="20"/>
                <w:szCs w:val="20"/>
                <w:lang w:eastAsia="en-AU"/>
              </w:rPr>
            </w:pPr>
            <w:r w:rsidRPr="000570F7">
              <w:rPr>
                <w:rFonts w:ascii="Arial Narrow" w:eastAsia="Times New Roman" w:hAnsi="Arial Narrow" w:cs="Calibri"/>
                <w:color w:val="000000"/>
                <w:sz w:val="20"/>
                <w:szCs w:val="20"/>
                <w:lang w:eastAsia="en-AU"/>
              </w:rPr>
              <w:t>$</w:t>
            </w:r>
            <w:r w:rsidR="003B670B" w:rsidRPr="000570F7">
              <w:rPr>
                <w:rFonts w:ascii="Arial Narrow" w:eastAsia="Times New Roman" w:hAnsi="Arial Narrow" w:cs="Calibri"/>
                <w:color w:val="000000"/>
                <w:sz w:val="20"/>
                <w:szCs w:val="20"/>
                <w:lang w:eastAsia="en-AU"/>
              </w:rPr>
              <w:t>954</w:t>
            </w:r>
          </w:p>
        </w:tc>
        <w:tc>
          <w:tcPr>
            <w:tcW w:w="1134" w:type="dxa"/>
            <w:vAlign w:val="bottom"/>
            <w:hideMark/>
          </w:tcPr>
          <w:p w14:paraId="15C6931F" w14:textId="77777777" w:rsidR="0097062E" w:rsidRPr="000570F7" w:rsidRDefault="0097062E" w:rsidP="0097062E">
            <w:pPr>
              <w:spacing w:before="0" w:after="0" w:line="240" w:lineRule="auto"/>
              <w:jc w:val="center"/>
              <w:rPr>
                <w:rFonts w:ascii="Arial Narrow" w:eastAsia="Times New Roman" w:hAnsi="Arial Narrow" w:cs="Calibri"/>
                <w:color w:val="000000"/>
                <w:sz w:val="20"/>
                <w:szCs w:val="20"/>
                <w:lang w:eastAsia="en-AU"/>
              </w:rPr>
            </w:pPr>
            <w:r w:rsidRPr="000570F7">
              <w:rPr>
                <w:rFonts w:ascii="Arial Narrow" w:eastAsia="Times New Roman" w:hAnsi="Arial Narrow" w:cs="Calibri"/>
                <w:color w:val="000000"/>
                <w:sz w:val="20"/>
                <w:szCs w:val="20"/>
                <w:lang w:eastAsia="en-AU"/>
              </w:rPr>
              <w:t>$802</w:t>
            </w:r>
          </w:p>
        </w:tc>
        <w:tc>
          <w:tcPr>
            <w:tcW w:w="1134" w:type="dxa"/>
            <w:vAlign w:val="bottom"/>
            <w:hideMark/>
          </w:tcPr>
          <w:p w14:paraId="7E06BF0F" w14:textId="2214ACAB" w:rsidR="0097062E" w:rsidRPr="000570F7" w:rsidRDefault="0097062E" w:rsidP="0097062E">
            <w:pPr>
              <w:spacing w:before="0" w:after="0" w:line="240" w:lineRule="auto"/>
              <w:jc w:val="center"/>
              <w:rPr>
                <w:rFonts w:ascii="Arial Narrow" w:eastAsia="Times New Roman" w:hAnsi="Arial Narrow" w:cs="Calibri"/>
                <w:color w:val="000000"/>
                <w:sz w:val="20"/>
                <w:szCs w:val="20"/>
                <w:lang w:eastAsia="en-AU"/>
              </w:rPr>
            </w:pPr>
            <w:r w:rsidRPr="000570F7">
              <w:rPr>
                <w:rFonts w:ascii="Arial Narrow" w:eastAsia="Times New Roman" w:hAnsi="Arial Narrow" w:cs="Calibri"/>
                <w:color w:val="000000"/>
                <w:sz w:val="20"/>
                <w:szCs w:val="20"/>
                <w:lang w:eastAsia="en-AU"/>
              </w:rPr>
              <w:t>$</w:t>
            </w:r>
            <w:r w:rsidR="003B670B" w:rsidRPr="000570F7">
              <w:rPr>
                <w:rFonts w:ascii="Arial Narrow" w:eastAsia="Times New Roman" w:hAnsi="Arial Narrow" w:cs="Calibri"/>
                <w:color w:val="000000"/>
                <w:sz w:val="20"/>
                <w:szCs w:val="20"/>
                <w:lang w:eastAsia="en-AU"/>
              </w:rPr>
              <w:t>42,393</w:t>
            </w:r>
          </w:p>
        </w:tc>
        <w:tc>
          <w:tcPr>
            <w:tcW w:w="1134" w:type="dxa"/>
            <w:vAlign w:val="bottom"/>
            <w:hideMark/>
          </w:tcPr>
          <w:p w14:paraId="63DCA87E" w14:textId="22FAEA94" w:rsidR="0097062E" w:rsidRPr="000570F7" w:rsidRDefault="0097062E" w:rsidP="0097062E">
            <w:pPr>
              <w:spacing w:before="0" w:after="0" w:line="240" w:lineRule="auto"/>
              <w:jc w:val="center"/>
              <w:rPr>
                <w:rFonts w:ascii="Arial Narrow" w:eastAsia="Times New Roman" w:hAnsi="Arial Narrow" w:cs="Calibri"/>
                <w:color w:val="000000"/>
                <w:sz w:val="20"/>
                <w:szCs w:val="20"/>
                <w:lang w:eastAsia="en-AU"/>
              </w:rPr>
            </w:pPr>
            <w:r w:rsidRPr="000570F7">
              <w:rPr>
                <w:rFonts w:ascii="Arial Narrow" w:eastAsia="Times New Roman" w:hAnsi="Arial Narrow" w:cs="Calibri"/>
                <w:color w:val="000000"/>
                <w:sz w:val="20"/>
                <w:szCs w:val="20"/>
                <w:lang w:eastAsia="en-AU"/>
              </w:rPr>
              <w:t>$</w:t>
            </w:r>
            <w:r w:rsidR="00445E7B">
              <w:rPr>
                <w:rFonts w:ascii="Arial Narrow" w:eastAsia="Times New Roman" w:hAnsi="Arial Narrow" w:cs="Calibri"/>
                <w:b/>
                <w:bCs/>
                <w:color w:val="000000"/>
                <w:sz w:val="20"/>
                <w:szCs w:val="20"/>
                <w:lang w:eastAsia="en-AU"/>
              </w:rPr>
              <w:t>Redacted</w:t>
            </w:r>
            <w:r w:rsidR="00445E7B" w:rsidRPr="000570F7" w:rsidDel="00445E7B">
              <w:rPr>
                <w:rFonts w:ascii="Arial Narrow" w:eastAsia="Times New Roman" w:hAnsi="Arial Narrow" w:cs="Calibri"/>
                <w:color w:val="000000"/>
                <w:sz w:val="20"/>
                <w:szCs w:val="20"/>
                <w:lang w:eastAsia="en-AU"/>
              </w:rPr>
              <w:t xml:space="preserve"> </w:t>
            </w:r>
          </w:p>
        </w:tc>
        <w:tc>
          <w:tcPr>
            <w:tcW w:w="1134" w:type="dxa"/>
            <w:vAlign w:val="bottom"/>
            <w:hideMark/>
          </w:tcPr>
          <w:p w14:paraId="2338E854" w14:textId="77777777" w:rsidR="0097062E" w:rsidRPr="000570F7" w:rsidRDefault="0097062E" w:rsidP="0097062E">
            <w:pPr>
              <w:spacing w:before="0" w:after="0" w:line="240" w:lineRule="auto"/>
              <w:jc w:val="center"/>
              <w:rPr>
                <w:rFonts w:ascii="Arial Narrow" w:eastAsia="Times New Roman" w:hAnsi="Arial Narrow" w:cs="Calibri"/>
                <w:color w:val="000000"/>
                <w:sz w:val="20"/>
                <w:szCs w:val="20"/>
                <w:lang w:eastAsia="en-AU"/>
              </w:rPr>
            </w:pPr>
            <w:r w:rsidRPr="000570F7">
              <w:rPr>
                <w:rFonts w:ascii="Arial Narrow" w:eastAsia="Times New Roman" w:hAnsi="Arial Narrow" w:cs="Calibri"/>
                <w:color w:val="000000"/>
                <w:sz w:val="20"/>
                <w:szCs w:val="20"/>
                <w:lang w:eastAsia="en-AU"/>
              </w:rPr>
              <w:t>$0</w:t>
            </w:r>
          </w:p>
        </w:tc>
        <w:tc>
          <w:tcPr>
            <w:tcW w:w="992" w:type="dxa"/>
            <w:vAlign w:val="bottom"/>
          </w:tcPr>
          <w:p w14:paraId="5335C216" w14:textId="1DFC48AD" w:rsidR="0097062E" w:rsidRPr="000570F7" w:rsidRDefault="0097062E" w:rsidP="0097062E">
            <w:pPr>
              <w:spacing w:before="0" w:after="0" w:line="240" w:lineRule="auto"/>
              <w:jc w:val="center"/>
              <w:rPr>
                <w:rFonts w:ascii="Arial Narrow" w:eastAsia="Times New Roman" w:hAnsi="Arial Narrow" w:cs="Calibri"/>
                <w:color w:val="000000"/>
                <w:sz w:val="20"/>
                <w:szCs w:val="20"/>
                <w:lang w:eastAsia="en-AU"/>
              </w:rPr>
            </w:pPr>
            <w:r w:rsidRPr="000570F7">
              <w:rPr>
                <w:rFonts w:ascii="Arial Narrow" w:eastAsia="Times New Roman" w:hAnsi="Arial Narrow" w:cs="Calibri"/>
                <w:color w:val="000000"/>
                <w:sz w:val="20"/>
                <w:szCs w:val="20"/>
                <w:lang w:eastAsia="en-AU"/>
              </w:rPr>
              <w:t>$</w:t>
            </w:r>
            <w:r w:rsidR="00796153" w:rsidRPr="000570F7">
              <w:rPr>
                <w:rFonts w:ascii="Arial Narrow" w:eastAsia="Times New Roman" w:hAnsi="Arial Narrow" w:cs="Calibri"/>
                <w:color w:val="000000"/>
                <w:sz w:val="20"/>
                <w:szCs w:val="20"/>
                <w:lang w:eastAsia="en-AU"/>
              </w:rPr>
              <w:t>14,137</w:t>
            </w:r>
          </w:p>
        </w:tc>
      </w:tr>
      <w:tr w:rsidR="00322FB9" w:rsidRPr="00B2763B" w14:paraId="56CB9826" w14:textId="77777777" w:rsidTr="00695659">
        <w:trPr>
          <w:trHeight w:val="300"/>
        </w:trPr>
        <w:tc>
          <w:tcPr>
            <w:tcW w:w="1419" w:type="dxa"/>
            <w:noWrap/>
            <w:vAlign w:val="bottom"/>
            <w:hideMark/>
          </w:tcPr>
          <w:p w14:paraId="45943906" w14:textId="77777777" w:rsidR="0097062E" w:rsidRPr="000570F7" w:rsidRDefault="0097062E" w:rsidP="0097062E">
            <w:pPr>
              <w:spacing w:before="0" w:after="0" w:line="240" w:lineRule="auto"/>
              <w:rPr>
                <w:rFonts w:ascii="Arial Narrow" w:eastAsia="Times New Roman" w:hAnsi="Arial Narrow" w:cs="Calibri"/>
                <w:color w:val="000000"/>
                <w:sz w:val="20"/>
                <w:szCs w:val="20"/>
                <w:lang w:eastAsia="en-AU"/>
              </w:rPr>
            </w:pPr>
            <w:r w:rsidRPr="000570F7">
              <w:rPr>
                <w:rFonts w:ascii="Arial Narrow" w:eastAsia="Times New Roman" w:hAnsi="Arial Narrow" w:cs="Calibri"/>
                <w:color w:val="000000"/>
                <w:sz w:val="20"/>
                <w:szCs w:val="20"/>
                <w:lang w:eastAsia="en-AU"/>
              </w:rPr>
              <w:t>Chemotherapy</w:t>
            </w:r>
          </w:p>
        </w:tc>
        <w:tc>
          <w:tcPr>
            <w:tcW w:w="1134" w:type="dxa"/>
            <w:vAlign w:val="bottom"/>
            <w:hideMark/>
          </w:tcPr>
          <w:p w14:paraId="625C67D4" w14:textId="1A3F9753" w:rsidR="0097062E" w:rsidRPr="000570F7" w:rsidRDefault="0097062E" w:rsidP="0097062E">
            <w:pPr>
              <w:spacing w:before="0" w:after="0" w:line="240" w:lineRule="auto"/>
              <w:jc w:val="center"/>
              <w:rPr>
                <w:rFonts w:ascii="Arial Narrow" w:eastAsia="Times New Roman" w:hAnsi="Arial Narrow" w:cs="Calibri"/>
                <w:color w:val="000000"/>
                <w:sz w:val="20"/>
                <w:szCs w:val="20"/>
                <w:lang w:eastAsia="en-AU"/>
              </w:rPr>
            </w:pPr>
            <w:r w:rsidRPr="000570F7">
              <w:rPr>
                <w:rFonts w:ascii="Arial Narrow" w:eastAsia="Times New Roman" w:hAnsi="Arial Narrow" w:cs="Calibri"/>
                <w:color w:val="000000"/>
                <w:sz w:val="20"/>
                <w:szCs w:val="20"/>
                <w:lang w:eastAsia="en-AU"/>
              </w:rPr>
              <w:t>$59,</w:t>
            </w:r>
            <w:r w:rsidR="00E95476" w:rsidRPr="000570F7">
              <w:rPr>
                <w:rFonts w:ascii="Arial Narrow" w:eastAsia="Times New Roman" w:hAnsi="Arial Narrow" w:cs="Calibri"/>
                <w:color w:val="000000"/>
                <w:sz w:val="20"/>
                <w:szCs w:val="20"/>
                <w:lang w:eastAsia="en-AU"/>
              </w:rPr>
              <w:t>916</w:t>
            </w:r>
          </w:p>
        </w:tc>
        <w:tc>
          <w:tcPr>
            <w:tcW w:w="992" w:type="dxa"/>
            <w:vAlign w:val="bottom"/>
            <w:hideMark/>
          </w:tcPr>
          <w:p w14:paraId="0E082941" w14:textId="500992FE" w:rsidR="0097062E" w:rsidRPr="000570F7" w:rsidRDefault="0097062E" w:rsidP="0097062E">
            <w:pPr>
              <w:spacing w:before="0" w:after="0" w:line="240" w:lineRule="auto"/>
              <w:jc w:val="center"/>
              <w:rPr>
                <w:rFonts w:ascii="Arial Narrow" w:eastAsia="Times New Roman" w:hAnsi="Arial Narrow" w:cs="Calibri"/>
                <w:color w:val="000000"/>
                <w:sz w:val="20"/>
                <w:szCs w:val="20"/>
                <w:lang w:eastAsia="en-AU"/>
              </w:rPr>
            </w:pPr>
            <w:r w:rsidRPr="000570F7">
              <w:rPr>
                <w:rFonts w:ascii="Arial Narrow" w:eastAsia="Times New Roman" w:hAnsi="Arial Narrow" w:cs="Calibri"/>
                <w:color w:val="000000"/>
                <w:sz w:val="20"/>
                <w:szCs w:val="20"/>
                <w:lang w:eastAsia="en-AU"/>
              </w:rPr>
              <w:t>$1,</w:t>
            </w:r>
            <w:r w:rsidR="003B670B" w:rsidRPr="000570F7">
              <w:rPr>
                <w:rFonts w:ascii="Arial Narrow" w:eastAsia="Times New Roman" w:hAnsi="Arial Narrow" w:cs="Calibri"/>
                <w:color w:val="000000"/>
                <w:sz w:val="20"/>
                <w:szCs w:val="20"/>
                <w:lang w:eastAsia="en-AU"/>
              </w:rPr>
              <w:t>988</w:t>
            </w:r>
          </w:p>
        </w:tc>
        <w:tc>
          <w:tcPr>
            <w:tcW w:w="992" w:type="dxa"/>
            <w:vAlign w:val="bottom"/>
            <w:hideMark/>
          </w:tcPr>
          <w:p w14:paraId="6A23520A" w14:textId="132533AA" w:rsidR="0097062E" w:rsidRPr="000570F7" w:rsidRDefault="0097062E" w:rsidP="0097062E">
            <w:pPr>
              <w:spacing w:before="0" w:after="0" w:line="240" w:lineRule="auto"/>
              <w:jc w:val="center"/>
              <w:rPr>
                <w:rFonts w:ascii="Arial Narrow" w:eastAsia="Times New Roman" w:hAnsi="Arial Narrow" w:cs="Calibri"/>
                <w:color w:val="000000"/>
                <w:sz w:val="20"/>
                <w:szCs w:val="20"/>
                <w:lang w:eastAsia="en-AU"/>
              </w:rPr>
            </w:pPr>
            <w:r w:rsidRPr="000570F7">
              <w:rPr>
                <w:rFonts w:ascii="Arial Narrow" w:eastAsia="Times New Roman" w:hAnsi="Arial Narrow" w:cs="Calibri"/>
                <w:color w:val="000000"/>
                <w:sz w:val="20"/>
                <w:szCs w:val="20"/>
                <w:lang w:eastAsia="en-AU"/>
              </w:rPr>
              <w:t>$</w:t>
            </w:r>
            <w:r w:rsidR="003B670B" w:rsidRPr="000570F7">
              <w:rPr>
                <w:rFonts w:ascii="Arial Narrow" w:eastAsia="Times New Roman" w:hAnsi="Arial Narrow" w:cs="Calibri"/>
                <w:color w:val="000000"/>
                <w:sz w:val="20"/>
                <w:szCs w:val="20"/>
                <w:lang w:eastAsia="en-AU"/>
              </w:rPr>
              <w:t>600</w:t>
            </w:r>
          </w:p>
        </w:tc>
        <w:tc>
          <w:tcPr>
            <w:tcW w:w="1134" w:type="dxa"/>
            <w:vAlign w:val="bottom"/>
            <w:hideMark/>
          </w:tcPr>
          <w:p w14:paraId="680F4902" w14:textId="77777777" w:rsidR="0097062E" w:rsidRPr="000570F7" w:rsidRDefault="0097062E" w:rsidP="0097062E">
            <w:pPr>
              <w:spacing w:before="0" w:after="0" w:line="240" w:lineRule="auto"/>
              <w:jc w:val="center"/>
              <w:rPr>
                <w:rFonts w:ascii="Arial Narrow" w:eastAsia="Times New Roman" w:hAnsi="Arial Narrow" w:cs="Calibri"/>
                <w:color w:val="000000"/>
                <w:sz w:val="20"/>
                <w:szCs w:val="20"/>
                <w:lang w:eastAsia="en-AU"/>
              </w:rPr>
            </w:pPr>
            <w:r w:rsidRPr="000570F7">
              <w:rPr>
                <w:rFonts w:ascii="Arial Narrow" w:eastAsia="Times New Roman" w:hAnsi="Arial Narrow" w:cs="Calibri"/>
                <w:color w:val="000000"/>
                <w:sz w:val="20"/>
                <w:szCs w:val="20"/>
                <w:lang w:eastAsia="en-AU"/>
              </w:rPr>
              <w:t>$1,577</w:t>
            </w:r>
          </w:p>
        </w:tc>
        <w:tc>
          <w:tcPr>
            <w:tcW w:w="1134" w:type="dxa"/>
            <w:vAlign w:val="bottom"/>
            <w:hideMark/>
          </w:tcPr>
          <w:p w14:paraId="2D70C9D7" w14:textId="035F2647" w:rsidR="0097062E" w:rsidRPr="000570F7" w:rsidRDefault="0097062E" w:rsidP="0097062E">
            <w:pPr>
              <w:spacing w:before="0" w:after="0" w:line="240" w:lineRule="auto"/>
              <w:jc w:val="center"/>
              <w:rPr>
                <w:rFonts w:ascii="Arial Narrow" w:eastAsia="Times New Roman" w:hAnsi="Arial Narrow" w:cs="Calibri"/>
                <w:color w:val="000000"/>
                <w:sz w:val="20"/>
                <w:szCs w:val="20"/>
                <w:lang w:eastAsia="en-AU"/>
              </w:rPr>
            </w:pPr>
            <w:r w:rsidRPr="000570F7">
              <w:rPr>
                <w:rFonts w:ascii="Arial Narrow" w:eastAsia="Times New Roman" w:hAnsi="Arial Narrow" w:cs="Calibri"/>
                <w:color w:val="000000"/>
                <w:sz w:val="20"/>
                <w:szCs w:val="20"/>
                <w:lang w:eastAsia="en-AU"/>
              </w:rPr>
              <w:t>$</w:t>
            </w:r>
            <w:r w:rsidR="003B670B" w:rsidRPr="000570F7">
              <w:rPr>
                <w:rFonts w:ascii="Arial Narrow" w:eastAsia="Times New Roman" w:hAnsi="Arial Narrow" w:cs="Calibri"/>
                <w:color w:val="000000"/>
                <w:sz w:val="20"/>
                <w:szCs w:val="20"/>
                <w:lang w:eastAsia="en-AU"/>
              </w:rPr>
              <w:t>48,611</w:t>
            </w:r>
          </w:p>
        </w:tc>
        <w:tc>
          <w:tcPr>
            <w:tcW w:w="1134" w:type="dxa"/>
            <w:vAlign w:val="bottom"/>
            <w:hideMark/>
          </w:tcPr>
          <w:p w14:paraId="5AFBF719" w14:textId="5FC54984" w:rsidR="0097062E" w:rsidRPr="000570F7" w:rsidRDefault="00796153" w:rsidP="0097062E">
            <w:pPr>
              <w:spacing w:before="0" w:after="0" w:line="240" w:lineRule="auto"/>
              <w:jc w:val="center"/>
              <w:rPr>
                <w:rFonts w:ascii="Arial Narrow" w:eastAsia="Times New Roman" w:hAnsi="Arial Narrow" w:cs="Calibri"/>
                <w:color w:val="000000"/>
                <w:sz w:val="20"/>
                <w:szCs w:val="20"/>
                <w:lang w:eastAsia="en-AU"/>
              </w:rPr>
            </w:pPr>
            <w:r w:rsidRPr="000570F7">
              <w:rPr>
                <w:rFonts w:ascii="Arial Narrow" w:eastAsia="Times New Roman" w:hAnsi="Arial Narrow" w:cs="Calibri"/>
                <w:color w:val="000000"/>
                <w:sz w:val="20"/>
                <w:szCs w:val="20"/>
                <w:lang w:eastAsia="en-AU"/>
              </w:rPr>
              <w:t>$3,102</w:t>
            </w:r>
          </w:p>
        </w:tc>
        <w:tc>
          <w:tcPr>
            <w:tcW w:w="1134" w:type="dxa"/>
            <w:vAlign w:val="bottom"/>
            <w:hideMark/>
          </w:tcPr>
          <w:p w14:paraId="0F436A8D" w14:textId="55F2B68F" w:rsidR="0097062E" w:rsidRPr="000570F7" w:rsidRDefault="0097062E" w:rsidP="0097062E">
            <w:pPr>
              <w:spacing w:before="0" w:after="0" w:line="240" w:lineRule="auto"/>
              <w:jc w:val="center"/>
              <w:rPr>
                <w:rFonts w:ascii="Arial Narrow" w:eastAsia="Times New Roman" w:hAnsi="Arial Narrow" w:cs="Calibri"/>
                <w:color w:val="000000"/>
                <w:sz w:val="20"/>
                <w:szCs w:val="20"/>
                <w:lang w:eastAsia="en-AU"/>
              </w:rPr>
            </w:pPr>
            <w:r w:rsidRPr="000570F7">
              <w:rPr>
                <w:rFonts w:ascii="Arial Narrow" w:eastAsia="Times New Roman" w:hAnsi="Arial Narrow" w:cs="Calibri"/>
                <w:color w:val="000000"/>
                <w:sz w:val="20"/>
                <w:szCs w:val="20"/>
                <w:lang w:eastAsia="en-AU"/>
              </w:rPr>
              <w:t>$</w:t>
            </w:r>
            <w:r w:rsidR="00796153" w:rsidRPr="000570F7">
              <w:rPr>
                <w:rFonts w:ascii="Arial Narrow" w:eastAsia="Times New Roman" w:hAnsi="Arial Narrow" w:cs="Calibri"/>
                <w:color w:val="000000"/>
                <w:sz w:val="20"/>
                <w:szCs w:val="20"/>
                <w:lang w:eastAsia="en-AU"/>
              </w:rPr>
              <w:t>4,038</w:t>
            </w:r>
          </w:p>
        </w:tc>
        <w:tc>
          <w:tcPr>
            <w:tcW w:w="992" w:type="dxa"/>
            <w:vAlign w:val="bottom"/>
          </w:tcPr>
          <w:p w14:paraId="49E13F8E" w14:textId="63041325" w:rsidR="0097062E" w:rsidRPr="000570F7" w:rsidRDefault="0097062E" w:rsidP="0097062E">
            <w:pPr>
              <w:spacing w:before="0" w:after="0" w:line="240" w:lineRule="auto"/>
              <w:jc w:val="center"/>
              <w:rPr>
                <w:rFonts w:ascii="Arial Narrow" w:eastAsia="Times New Roman" w:hAnsi="Arial Narrow" w:cs="Calibri"/>
                <w:color w:val="000000"/>
                <w:sz w:val="20"/>
                <w:szCs w:val="20"/>
                <w:lang w:eastAsia="en-AU"/>
              </w:rPr>
            </w:pPr>
            <w:r w:rsidRPr="000570F7">
              <w:rPr>
                <w:rFonts w:ascii="Arial Narrow" w:eastAsia="Times New Roman" w:hAnsi="Arial Narrow" w:cs="Calibri"/>
                <w:color w:val="000000"/>
                <w:sz w:val="20"/>
                <w:szCs w:val="20"/>
                <w:lang w:eastAsia="en-AU"/>
              </w:rPr>
              <w:t>$0</w:t>
            </w:r>
          </w:p>
        </w:tc>
      </w:tr>
      <w:tr w:rsidR="00322FB9" w:rsidRPr="00B2763B" w14:paraId="59E84111" w14:textId="77777777" w:rsidTr="00695659">
        <w:trPr>
          <w:trHeight w:val="300"/>
        </w:trPr>
        <w:tc>
          <w:tcPr>
            <w:tcW w:w="1419" w:type="dxa"/>
            <w:noWrap/>
            <w:vAlign w:val="bottom"/>
            <w:hideMark/>
          </w:tcPr>
          <w:p w14:paraId="5B98DC72" w14:textId="54D95150" w:rsidR="0097062E" w:rsidRPr="000570F7" w:rsidRDefault="0097062E" w:rsidP="0097062E">
            <w:pPr>
              <w:spacing w:before="0" w:after="0" w:line="240" w:lineRule="auto"/>
              <w:rPr>
                <w:rFonts w:ascii="Arial Narrow" w:eastAsia="Times New Roman" w:hAnsi="Arial Narrow" w:cs="Calibri"/>
                <w:color w:val="000000"/>
                <w:sz w:val="20"/>
                <w:szCs w:val="20"/>
                <w:lang w:eastAsia="en-AU"/>
              </w:rPr>
            </w:pPr>
            <w:r w:rsidRPr="000570F7">
              <w:rPr>
                <w:rFonts w:ascii="Arial Narrow" w:eastAsia="Times New Roman" w:hAnsi="Arial Narrow" w:cs="Calibri"/>
                <w:color w:val="000000"/>
                <w:sz w:val="20"/>
                <w:szCs w:val="20"/>
                <w:lang w:eastAsia="en-AU"/>
              </w:rPr>
              <w:t>Incremental</w:t>
            </w:r>
            <w:r w:rsidR="00713EEB" w:rsidRPr="000570F7">
              <w:rPr>
                <w:rFonts w:ascii="Arial Narrow" w:eastAsia="Times New Roman" w:hAnsi="Arial Narrow" w:cs="Calibri"/>
                <w:color w:val="000000"/>
                <w:sz w:val="20"/>
                <w:szCs w:val="20"/>
                <w:lang w:eastAsia="en-AU"/>
              </w:rPr>
              <w:t xml:space="preserve"> cost</w:t>
            </w:r>
          </w:p>
        </w:tc>
        <w:tc>
          <w:tcPr>
            <w:tcW w:w="1134" w:type="dxa"/>
            <w:noWrap/>
            <w:vAlign w:val="bottom"/>
            <w:hideMark/>
          </w:tcPr>
          <w:p w14:paraId="124DD7CF" w14:textId="71082664" w:rsidR="0097062E" w:rsidRPr="000570F7" w:rsidRDefault="0097062E" w:rsidP="0097062E">
            <w:pPr>
              <w:spacing w:before="0" w:after="0" w:line="240" w:lineRule="auto"/>
              <w:jc w:val="center"/>
              <w:rPr>
                <w:rFonts w:ascii="Arial Narrow" w:eastAsia="Times New Roman" w:hAnsi="Arial Narrow" w:cs="Calibri"/>
                <w:color w:val="000000"/>
                <w:sz w:val="20"/>
                <w:szCs w:val="20"/>
                <w:lang w:eastAsia="en-AU"/>
              </w:rPr>
            </w:pPr>
            <w:r w:rsidRPr="000570F7">
              <w:rPr>
                <w:rFonts w:ascii="Arial Narrow" w:eastAsia="Times New Roman" w:hAnsi="Arial Narrow" w:cs="Calibri"/>
                <w:color w:val="000000"/>
                <w:sz w:val="20"/>
                <w:szCs w:val="20"/>
                <w:lang w:eastAsia="en-AU"/>
              </w:rPr>
              <w:t>$</w:t>
            </w:r>
            <w:r w:rsidR="00445E7B">
              <w:rPr>
                <w:rFonts w:ascii="Arial Narrow" w:eastAsia="Times New Roman" w:hAnsi="Arial Narrow" w:cs="Calibri"/>
                <w:b/>
                <w:bCs/>
                <w:color w:val="000000"/>
                <w:sz w:val="20"/>
                <w:szCs w:val="20"/>
                <w:lang w:eastAsia="en-AU"/>
              </w:rPr>
              <w:t>Redacted</w:t>
            </w:r>
            <w:r w:rsidR="00445E7B" w:rsidRPr="000570F7" w:rsidDel="00445E7B">
              <w:rPr>
                <w:rFonts w:ascii="Arial Narrow" w:eastAsia="Times New Roman" w:hAnsi="Arial Narrow" w:cs="Calibri"/>
                <w:color w:val="000000"/>
                <w:sz w:val="20"/>
                <w:szCs w:val="20"/>
                <w:lang w:eastAsia="en-AU"/>
              </w:rPr>
              <w:t xml:space="preserve"> </w:t>
            </w:r>
          </w:p>
        </w:tc>
        <w:tc>
          <w:tcPr>
            <w:tcW w:w="992" w:type="dxa"/>
            <w:noWrap/>
            <w:vAlign w:val="bottom"/>
            <w:hideMark/>
          </w:tcPr>
          <w:p w14:paraId="4F5CE43C" w14:textId="4EFBAF0D" w:rsidR="0097062E" w:rsidRPr="000570F7" w:rsidRDefault="0097062E" w:rsidP="0097062E">
            <w:pPr>
              <w:spacing w:before="0" w:after="0" w:line="240" w:lineRule="auto"/>
              <w:jc w:val="center"/>
              <w:rPr>
                <w:rFonts w:ascii="Arial Narrow" w:eastAsia="Times New Roman" w:hAnsi="Arial Narrow" w:cs="Calibri"/>
                <w:color w:val="000000"/>
                <w:sz w:val="20"/>
                <w:szCs w:val="20"/>
                <w:lang w:eastAsia="en-AU"/>
              </w:rPr>
            </w:pPr>
            <w:r w:rsidRPr="000570F7">
              <w:rPr>
                <w:rFonts w:ascii="Arial Narrow" w:eastAsia="Times New Roman" w:hAnsi="Arial Narrow" w:cs="Calibri"/>
                <w:color w:val="000000"/>
                <w:sz w:val="20"/>
                <w:szCs w:val="20"/>
                <w:lang w:eastAsia="en-AU"/>
              </w:rPr>
              <w:t>$</w:t>
            </w:r>
            <w:r w:rsidR="006C54B5">
              <w:rPr>
                <w:rFonts w:ascii="Arial Narrow" w:eastAsia="Times New Roman" w:hAnsi="Arial Narrow" w:cs="Calibri"/>
                <w:color w:val="000000"/>
                <w:sz w:val="20"/>
                <w:szCs w:val="20"/>
                <w:lang w:eastAsia="en-AU"/>
              </w:rPr>
              <w:t>226</w:t>
            </w:r>
          </w:p>
        </w:tc>
        <w:tc>
          <w:tcPr>
            <w:tcW w:w="992" w:type="dxa"/>
            <w:noWrap/>
            <w:vAlign w:val="bottom"/>
            <w:hideMark/>
          </w:tcPr>
          <w:p w14:paraId="39ACA8F0" w14:textId="78A013D4" w:rsidR="0097062E" w:rsidRPr="000570F7" w:rsidRDefault="0097062E" w:rsidP="0097062E">
            <w:pPr>
              <w:spacing w:before="0" w:after="0" w:line="240" w:lineRule="auto"/>
              <w:jc w:val="center"/>
              <w:rPr>
                <w:rFonts w:ascii="Arial Narrow" w:eastAsia="Times New Roman" w:hAnsi="Arial Narrow" w:cs="Calibri"/>
                <w:color w:val="000000"/>
                <w:sz w:val="20"/>
                <w:szCs w:val="20"/>
                <w:lang w:eastAsia="en-AU"/>
              </w:rPr>
            </w:pPr>
            <w:r w:rsidRPr="000570F7">
              <w:rPr>
                <w:rFonts w:ascii="Arial Narrow" w:eastAsia="Times New Roman" w:hAnsi="Arial Narrow" w:cs="Calibri"/>
                <w:color w:val="000000"/>
                <w:sz w:val="20"/>
                <w:szCs w:val="20"/>
                <w:lang w:eastAsia="en-AU"/>
              </w:rPr>
              <w:t>$</w:t>
            </w:r>
            <w:r w:rsidR="003B670B" w:rsidRPr="000570F7">
              <w:rPr>
                <w:rFonts w:ascii="Arial Narrow" w:eastAsia="Times New Roman" w:hAnsi="Arial Narrow" w:cs="Calibri"/>
                <w:color w:val="000000"/>
                <w:sz w:val="20"/>
                <w:szCs w:val="20"/>
                <w:lang w:eastAsia="en-AU"/>
              </w:rPr>
              <w:t>354</w:t>
            </w:r>
          </w:p>
        </w:tc>
        <w:tc>
          <w:tcPr>
            <w:tcW w:w="1134" w:type="dxa"/>
            <w:noWrap/>
            <w:vAlign w:val="bottom"/>
            <w:hideMark/>
          </w:tcPr>
          <w:p w14:paraId="2FD9E28B" w14:textId="77777777" w:rsidR="0097062E" w:rsidRPr="000570F7" w:rsidRDefault="0097062E" w:rsidP="0097062E">
            <w:pPr>
              <w:spacing w:before="0" w:after="0" w:line="240" w:lineRule="auto"/>
              <w:jc w:val="center"/>
              <w:rPr>
                <w:rFonts w:ascii="Arial Narrow" w:eastAsia="Times New Roman" w:hAnsi="Arial Narrow" w:cs="Calibri"/>
                <w:color w:val="000000"/>
                <w:sz w:val="20"/>
                <w:szCs w:val="20"/>
                <w:lang w:eastAsia="en-AU"/>
              </w:rPr>
            </w:pPr>
            <w:r w:rsidRPr="000570F7">
              <w:rPr>
                <w:rFonts w:ascii="Arial Narrow" w:eastAsia="Times New Roman" w:hAnsi="Arial Narrow" w:cs="Calibri"/>
                <w:color w:val="000000"/>
                <w:sz w:val="20"/>
                <w:szCs w:val="20"/>
                <w:lang w:eastAsia="en-AU"/>
              </w:rPr>
              <w:t>-$774</w:t>
            </w:r>
          </w:p>
        </w:tc>
        <w:tc>
          <w:tcPr>
            <w:tcW w:w="1134" w:type="dxa"/>
            <w:noWrap/>
            <w:vAlign w:val="bottom"/>
            <w:hideMark/>
          </w:tcPr>
          <w:p w14:paraId="54D4C2CA" w14:textId="078D04F1" w:rsidR="0097062E" w:rsidRPr="000570F7" w:rsidRDefault="0097062E" w:rsidP="0097062E">
            <w:pPr>
              <w:spacing w:before="0" w:after="0" w:line="240" w:lineRule="auto"/>
              <w:jc w:val="center"/>
              <w:rPr>
                <w:rFonts w:ascii="Arial Narrow" w:eastAsia="Times New Roman" w:hAnsi="Arial Narrow" w:cs="Calibri"/>
                <w:color w:val="000000"/>
                <w:sz w:val="20"/>
                <w:szCs w:val="20"/>
                <w:lang w:eastAsia="en-AU"/>
              </w:rPr>
            </w:pPr>
            <w:r w:rsidRPr="000570F7">
              <w:rPr>
                <w:rFonts w:ascii="Arial Narrow" w:eastAsia="Times New Roman" w:hAnsi="Arial Narrow" w:cs="Calibri"/>
                <w:color w:val="000000"/>
                <w:sz w:val="20"/>
                <w:szCs w:val="20"/>
                <w:lang w:eastAsia="en-AU"/>
              </w:rPr>
              <w:t>-$</w:t>
            </w:r>
            <w:r w:rsidR="003B670B" w:rsidRPr="000570F7">
              <w:rPr>
                <w:rFonts w:ascii="Arial Narrow" w:eastAsia="Times New Roman" w:hAnsi="Arial Narrow" w:cs="Calibri"/>
                <w:color w:val="000000"/>
                <w:sz w:val="20"/>
                <w:szCs w:val="20"/>
                <w:lang w:eastAsia="en-AU"/>
              </w:rPr>
              <w:t>6,218</w:t>
            </w:r>
          </w:p>
        </w:tc>
        <w:tc>
          <w:tcPr>
            <w:tcW w:w="1134" w:type="dxa"/>
            <w:noWrap/>
            <w:vAlign w:val="bottom"/>
            <w:hideMark/>
          </w:tcPr>
          <w:p w14:paraId="0141A67D" w14:textId="4A60BD24" w:rsidR="0097062E" w:rsidRPr="000570F7" w:rsidRDefault="0097062E" w:rsidP="0097062E">
            <w:pPr>
              <w:spacing w:before="0" w:after="0" w:line="240" w:lineRule="auto"/>
              <w:jc w:val="center"/>
              <w:rPr>
                <w:rFonts w:ascii="Arial Narrow" w:eastAsia="Times New Roman" w:hAnsi="Arial Narrow" w:cs="Calibri"/>
                <w:color w:val="000000"/>
                <w:sz w:val="20"/>
                <w:szCs w:val="20"/>
                <w:lang w:eastAsia="en-AU"/>
              </w:rPr>
            </w:pPr>
            <w:r w:rsidRPr="000570F7">
              <w:rPr>
                <w:rFonts w:ascii="Arial Narrow" w:eastAsia="Times New Roman" w:hAnsi="Arial Narrow" w:cs="Calibri"/>
                <w:color w:val="000000"/>
                <w:sz w:val="20"/>
                <w:szCs w:val="20"/>
                <w:lang w:eastAsia="en-AU"/>
              </w:rPr>
              <w:t>$</w:t>
            </w:r>
            <w:r w:rsidR="00BA0B53">
              <w:rPr>
                <w:rFonts w:ascii="Arial Narrow" w:eastAsia="Times New Roman" w:hAnsi="Arial Narrow" w:cs="Calibri"/>
                <w:b/>
                <w:bCs/>
                <w:color w:val="000000"/>
                <w:sz w:val="20"/>
                <w:szCs w:val="20"/>
                <w:lang w:eastAsia="en-AU"/>
              </w:rPr>
              <w:t>Redacted</w:t>
            </w:r>
            <w:r w:rsidR="00BA0B53" w:rsidRPr="000570F7" w:rsidDel="00BA0B53">
              <w:rPr>
                <w:rFonts w:ascii="Arial Narrow" w:eastAsia="Times New Roman" w:hAnsi="Arial Narrow" w:cs="Calibri"/>
                <w:color w:val="000000"/>
                <w:sz w:val="20"/>
                <w:szCs w:val="20"/>
                <w:lang w:eastAsia="en-AU"/>
              </w:rPr>
              <w:t xml:space="preserve"> </w:t>
            </w:r>
          </w:p>
        </w:tc>
        <w:tc>
          <w:tcPr>
            <w:tcW w:w="1134" w:type="dxa"/>
            <w:noWrap/>
            <w:vAlign w:val="bottom"/>
            <w:hideMark/>
          </w:tcPr>
          <w:p w14:paraId="4E9CBA7D" w14:textId="3B0F2BC6" w:rsidR="0097062E" w:rsidRPr="000570F7" w:rsidRDefault="0097062E" w:rsidP="0097062E">
            <w:pPr>
              <w:spacing w:before="0" w:after="0" w:line="240" w:lineRule="auto"/>
              <w:jc w:val="center"/>
              <w:rPr>
                <w:rFonts w:ascii="Arial Narrow" w:eastAsia="Times New Roman" w:hAnsi="Arial Narrow" w:cs="Calibri"/>
                <w:color w:val="000000"/>
                <w:sz w:val="20"/>
                <w:szCs w:val="20"/>
                <w:lang w:eastAsia="en-AU"/>
              </w:rPr>
            </w:pPr>
            <w:r w:rsidRPr="000570F7">
              <w:rPr>
                <w:rFonts w:ascii="Arial Narrow" w:eastAsia="Times New Roman" w:hAnsi="Arial Narrow" w:cs="Calibri"/>
                <w:color w:val="000000"/>
                <w:sz w:val="20"/>
                <w:szCs w:val="20"/>
                <w:lang w:eastAsia="en-AU"/>
              </w:rPr>
              <w:t>-$</w:t>
            </w:r>
            <w:r w:rsidR="00796153" w:rsidRPr="000570F7">
              <w:rPr>
                <w:rFonts w:ascii="Arial Narrow" w:eastAsia="Times New Roman" w:hAnsi="Arial Narrow" w:cs="Calibri"/>
                <w:color w:val="000000"/>
                <w:sz w:val="20"/>
                <w:szCs w:val="20"/>
                <w:lang w:eastAsia="en-AU"/>
              </w:rPr>
              <w:t>4,038</w:t>
            </w:r>
          </w:p>
        </w:tc>
        <w:tc>
          <w:tcPr>
            <w:tcW w:w="992" w:type="dxa"/>
            <w:vAlign w:val="bottom"/>
          </w:tcPr>
          <w:p w14:paraId="5AA0EFF5" w14:textId="0910973B" w:rsidR="0097062E" w:rsidRPr="000570F7" w:rsidRDefault="0097062E" w:rsidP="0097062E">
            <w:pPr>
              <w:spacing w:before="0" w:after="0" w:line="240" w:lineRule="auto"/>
              <w:jc w:val="center"/>
              <w:rPr>
                <w:rFonts w:ascii="Arial Narrow" w:eastAsia="Times New Roman" w:hAnsi="Arial Narrow" w:cs="Calibri"/>
                <w:color w:val="000000"/>
                <w:sz w:val="20"/>
                <w:szCs w:val="20"/>
                <w:lang w:eastAsia="en-AU"/>
              </w:rPr>
            </w:pPr>
            <w:r w:rsidRPr="000570F7">
              <w:rPr>
                <w:rFonts w:ascii="Arial Narrow" w:eastAsia="Times New Roman" w:hAnsi="Arial Narrow" w:cs="Calibri"/>
                <w:color w:val="000000"/>
                <w:sz w:val="20"/>
                <w:szCs w:val="20"/>
                <w:lang w:eastAsia="en-AU"/>
              </w:rPr>
              <w:t>$</w:t>
            </w:r>
            <w:r w:rsidR="00796153" w:rsidRPr="000570F7">
              <w:rPr>
                <w:rFonts w:ascii="Arial Narrow" w:eastAsia="Times New Roman" w:hAnsi="Arial Narrow" w:cs="Calibri"/>
                <w:color w:val="000000"/>
                <w:sz w:val="20"/>
                <w:szCs w:val="20"/>
                <w:lang w:eastAsia="en-AU"/>
              </w:rPr>
              <w:t>14,137</w:t>
            </w:r>
          </w:p>
        </w:tc>
      </w:tr>
      <w:tr w:rsidR="00322FB9" w:rsidRPr="00B2763B" w14:paraId="7D939F56" w14:textId="519CDF71" w:rsidTr="00695659">
        <w:trPr>
          <w:trHeight w:val="300"/>
        </w:trPr>
        <w:tc>
          <w:tcPr>
            <w:tcW w:w="1419" w:type="dxa"/>
            <w:noWrap/>
            <w:vAlign w:val="bottom"/>
            <w:hideMark/>
          </w:tcPr>
          <w:p w14:paraId="3E1509E9" w14:textId="163F59D1" w:rsidR="0097062E" w:rsidRPr="000570F7" w:rsidRDefault="0097062E" w:rsidP="0097062E">
            <w:pPr>
              <w:spacing w:before="0" w:after="0" w:line="240" w:lineRule="auto"/>
              <w:rPr>
                <w:rFonts w:ascii="Arial Narrow" w:eastAsia="Times New Roman" w:hAnsi="Arial Narrow" w:cs="Calibri"/>
                <w:color w:val="000000"/>
                <w:sz w:val="20"/>
                <w:szCs w:val="20"/>
                <w:lang w:eastAsia="en-AU"/>
              </w:rPr>
            </w:pPr>
            <w:r w:rsidRPr="000570F7">
              <w:rPr>
                <w:rFonts w:ascii="Arial Narrow" w:eastAsia="Times New Roman" w:hAnsi="Arial Narrow" w:cs="Calibri"/>
                <w:color w:val="000000"/>
                <w:sz w:val="20"/>
                <w:szCs w:val="20"/>
                <w:lang w:eastAsia="en-AU"/>
              </w:rPr>
              <w:t>% of incremental</w:t>
            </w:r>
            <w:r w:rsidR="00713EEB" w:rsidRPr="000570F7">
              <w:rPr>
                <w:rFonts w:ascii="Arial Narrow" w:eastAsia="Times New Roman" w:hAnsi="Arial Narrow" w:cs="Calibri"/>
                <w:color w:val="000000"/>
                <w:sz w:val="20"/>
                <w:szCs w:val="20"/>
                <w:lang w:eastAsia="en-AU"/>
              </w:rPr>
              <w:t xml:space="preserve"> cost</w:t>
            </w:r>
          </w:p>
        </w:tc>
        <w:tc>
          <w:tcPr>
            <w:tcW w:w="1134" w:type="dxa"/>
            <w:noWrap/>
            <w:vAlign w:val="bottom"/>
          </w:tcPr>
          <w:p w14:paraId="4829F63A" w14:textId="758237C0" w:rsidR="0097062E" w:rsidRPr="000570F7" w:rsidRDefault="0097062E" w:rsidP="0097062E">
            <w:pPr>
              <w:spacing w:before="0" w:after="0" w:line="240" w:lineRule="auto"/>
              <w:jc w:val="center"/>
              <w:rPr>
                <w:rFonts w:ascii="Arial Narrow" w:eastAsia="Times New Roman" w:hAnsi="Arial Narrow" w:cs="Calibri"/>
                <w:color w:val="000000"/>
                <w:sz w:val="20"/>
                <w:szCs w:val="20"/>
                <w:lang w:eastAsia="en-AU"/>
              </w:rPr>
            </w:pPr>
          </w:p>
        </w:tc>
        <w:tc>
          <w:tcPr>
            <w:tcW w:w="992" w:type="dxa"/>
            <w:noWrap/>
            <w:vAlign w:val="bottom"/>
          </w:tcPr>
          <w:p w14:paraId="0CD7ECF5" w14:textId="7A9BD2E0" w:rsidR="0097062E" w:rsidRPr="000570F7" w:rsidRDefault="001B6C41" w:rsidP="0097062E">
            <w:pPr>
              <w:spacing w:before="0" w:after="0" w:line="240" w:lineRule="auto"/>
              <w:jc w:val="center"/>
              <w:rPr>
                <w:rFonts w:ascii="Arial Narrow" w:eastAsia="Times New Roman" w:hAnsi="Arial Narrow" w:cs="Calibri"/>
                <w:color w:val="000000"/>
                <w:sz w:val="20"/>
                <w:szCs w:val="20"/>
                <w:lang w:eastAsia="en-AU"/>
              </w:rPr>
            </w:pPr>
            <w:r>
              <w:rPr>
                <w:rFonts w:ascii="Arial Narrow" w:eastAsia="Times New Roman" w:hAnsi="Arial Narrow" w:cs="Calibri"/>
                <w:b/>
                <w:bCs/>
                <w:color w:val="000000"/>
                <w:sz w:val="20"/>
                <w:szCs w:val="20"/>
                <w:lang w:eastAsia="en-AU"/>
              </w:rPr>
              <w:t>Redacted</w:t>
            </w:r>
            <w:r w:rsidRPr="000570F7" w:rsidDel="001B6C41">
              <w:rPr>
                <w:rFonts w:ascii="Arial Narrow" w:eastAsia="Times New Roman" w:hAnsi="Arial Narrow" w:cs="Calibri"/>
                <w:color w:val="000000"/>
                <w:sz w:val="20"/>
                <w:szCs w:val="20"/>
                <w:lang w:eastAsia="en-AU"/>
              </w:rPr>
              <w:t xml:space="preserve"> </w:t>
            </w:r>
            <w:r w:rsidR="0097062E" w:rsidRPr="000570F7">
              <w:rPr>
                <w:rFonts w:ascii="Arial Narrow" w:eastAsia="Times New Roman" w:hAnsi="Arial Narrow" w:cs="Calibri"/>
                <w:color w:val="000000"/>
                <w:sz w:val="20"/>
                <w:szCs w:val="20"/>
                <w:lang w:eastAsia="en-AU"/>
              </w:rPr>
              <w:t>%</w:t>
            </w:r>
          </w:p>
        </w:tc>
        <w:tc>
          <w:tcPr>
            <w:tcW w:w="992" w:type="dxa"/>
            <w:noWrap/>
            <w:vAlign w:val="bottom"/>
          </w:tcPr>
          <w:p w14:paraId="52AA3D55" w14:textId="46F5DC7A" w:rsidR="0097062E" w:rsidRPr="000570F7" w:rsidRDefault="001B6C41" w:rsidP="0097062E">
            <w:pPr>
              <w:spacing w:before="0" w:after="0" w:line="240" w:lineRule="auto"/>
              <w:jc w:val="center"/>
              <w:rPr>
                <w:rFonts w:ascii="Arial Narrow" w:eastAsia="Times New Roman" w:hAnsi="Arial Narrow" w:cs="Calibri"/>
                <w:color w:val="000000"/>
                <w:sz w:val="20"/>
                <w:szCs w:val="20"/>
                <w:lang w:eastAsia="en-AU"/>
              </w:rPr>
            </w:pPr>
            <w:r>
              <w:rPr>
                <w:rFonts w:ascii="Arial Narrow" w:eastAsia="Times New Roman" w:hAnsi="Arial Narrow" w:cs="Calibri"/>
                <w:b/>
                <w:bCs/>
                <w:color w:val="000000"/>
                <w:sz w:val="20"/>
                <w:szCs w:val="20"/>
                <w:lang w:eastAsia="en-AU"/>
              </w:rPr>
              <w:t>Redacted</w:t>
            </w:r>
            <w:r w:rsidRPr="000570F7" w:rsidDel="001B6C41">
              <w:rPr>
                <w:rFonts w:ascii="Arial Narrow" w:eastAsia="Times New Roman" w:hAnsi="Arial Narrow" w:cs="Calibri"/>
                <w:color w:val="000000"/>
                <w:sz w:val="20"/>
                <w:szCs w:val="20"/>
                <w:lang w:eastAsia="en-AU"/>
              </w:rPr>
              <w:t xml:space="preserve"> </w:t>
            </w:r>
            <w:r w:rsidR="0097062E" w:rsidRPr="000570F7">
              <w:rPr>
                <w:rFonts w:ascii="Arial Narrow" w:eastAsia="Times New Roman" w:hAnsi="Arial Narrow" w:cs="Calibri"/>
                <w:color w:val="000000"/>
                <w:sz w:val="20"/>
                <w:szCs w:val="20"/>
                <w:lang w:eastAsia="en-AU"/>
              </w:rPr>
              <w:t>%</w:t>
            </w:r>
          </w:p>
        </w:tc>
        <w:tc>
          <w:tcPr>
            <w:tcW w:w="1134" w:type="dxa"/>
            <w:noWrap/>
            <w:vAlign w:val="bottom"/>
          </w:tcPr>
          <w:p w14:paraId="67FFC6E9" w14:textId="72B60EA2" w:rsidR="0097062E" w:rsidRPr="000570F7" w:rsidRDefault="00F96ACE" w:rsidP="0097062E">
            <w:pPr>
              <w:spacing w:before="0" w:after="0" w:line="240" w:lineRule="auto"/>
              <w:jc w:val="center"/>
              <w:rPr>
                <w:rFonts w:ascii="Arial Narrow" w:eastAsia="Times New Roman" w:hAnsi="Arial Narrow" w:cs="Calibri"/>
                <w:color w:val="000000"/>
                <w:sz w:val="20"/>
                <w:szCs w:val="20"/>
                <w:lang w:eastAsia="en-AU"/>
              </w:rPr>
            </w:pPr>
            <w:r>
              <w:rPr>
                <w:rFonts w:ascii="Arial Narrow" w:eastAsia="Times New Roman" w:hAnsi="Arial Narrow" w:cs="Calibri"/>
                <w:b/>
                <w:bCs/>
                <w:color w:val="000000"/>
                <w:sz w:val="20"/>
                <w:szCs w:val="20"/>
                <w:lang w:eastAsia="en-AU"/>
              </w:rPr>
              <w:t>-</w:t>
            </w:r>
            <w:r w:rsidR="001B6C41">
              <w:rPr>
                <w:rFonts w:ascii="Arial Narrow" w:eastAsia="Times New Roman" w:hAnsi="Arial Narrow" w:cs="Calibri"/>
                <w:b/>
                <w:bCs/>
                <w:color w:val="000000"/>
                <w:sz w:val="20"/>
                <w:szCs w:val="20"/>
                <w:lang w:eastAsia="en-AU"/>
              </w:rPr>
              <w:t>Redacted</w:t>
            </w:r>
            <w:r w:rsidR="001B6C41" w:rsidRPr="000570F7" w:rsidDel="001B6C41">
              <w:rPr>
                <w:rFonts w:ascii="Arial Narrow" w:eastAsia="Times New Roman" w:hAnsi="Arial Narrow" w:cs="Calibri"/>
                <w:color w:val="000000"/>
                <w:sz w:val="20"/>
                <w:szCs w:val="20"/>
                <w:lang w:eastAsia="en-AU"/>
              </w:rPr>
              <w:t xml:space="preserve"> </w:t>
            </w:r>
            <w:r w:rsidR="0097062E" w:rsidRPr="000570F7">
              <w:rPr>
                <w:rFonts w:ascii="Arial Narrow" w:eastAsia="Times New Roman" w:hAnsi="Arial Narrow" w:cs="Calibri"/>
                <w:color w:val="000000"/>
                <w:sz w:val="20"/>
                <w:szCs w:val="20"/>
                <w:lang w:eastAsia="en-AU"/>
              </w:rPr>
              <w:t>%</w:t>
            </w:r>
          </w:p>
        </w:tc>
        <w:tc>
          <w:tcPr>
            <w:tcW w:w="1134" w:type="dxa"/>
            <w:noWrap/>
            <w:vAlign w:val="bottom"/>
          </w:tcPr>
          <w:p w14:paraId="5A7EBB19" w14:textId="69BB873B" w:rsidR="0097062E" w:rsidRPr="000570F7" w:rsidRDefault="00F96ACE" w:rsidP="0097062E">
            <w:pPr>
              <w:spacing w:before="0" w:after="0" w:line="240" w:lineRule="auto"/>
              <w:jc w:val="center"/>
              <w:rPr>
                <w:rFonts w:ascii="Arial Narrow" w:eastAsia="Times New Roman" w:hAnsi="Arial Narrow" w:cs="Calibri"/>
                <w:color w:val="000000"/>
                <w:sz w:val="20"/>
                <w:szCs w:val="20"/>
                <w:lang w:eastAsia="en-AU"/>
              </w:rPr>
            </w:pPr>
            <w:r>
              <w:rPr>
                <w:rFonts w:ascii="Arial Narrow" w:eastAsia="Times New Roman" w:hAnsi="Arial Narrow" w:cs="Calibri"/>
                <w:b/>
                <w:bCs/>
                <w:color w:val="000000"/>
                <w:sz w:val="20"/>
                <w:szCs w:val="20"/>
                <w:lang w:eastAsia="en-AU"/>
              </w:rPr>
              <w:t>-</w:t>
            </w:r>
            <w:r w:rsidR="001B6C41">
              <w:rPr>
                <w:rFonts w:ascii="Arial Narrow" w:eastAsia="Times New Roman" w:hAnsi="Arial Narrow" w:cs="Calibri"/>
                <w:b/>
                <w:bCs/>
                <w:color w:val="000000"/>
                <w:sz w:val="20"/>
                <w:szCs w:val="20"/>
                <w:lang w:eastAsia="en-AU"/>
              </w:rPr>
              <w:t>Redacted</w:t>
            </w:r>
            <w:r w:rsidR="001B6C41" w:rsidRPr="000570F7" w:rsidDel="001B6C41">
              <w:rPr>
                <w:rFonts w:ascii="Arial Narrow" w:eastAsia="Times New Roman" w:hAnsi="Arial Narrow" w:cs="Calibri"/>
                <w:color w:val="000000"/>
                <w:sz w:val="20"/>
                <w:szCs w:val="20"/>
                <w:lang w:eastAsia="en-AU"/>
              </w:rPr>
              <w:t xml:space="preserve"> </w:t>
            </w:r>
            <w:r w:rsidR="0097062E" w:rsidRPr="000570F7">
              <w:rPr>
                <w:rFonts w:ascii="Arial Narrow" w:eastAsia="Times New Roman" w:hAnsi="Arial Narrow" w:cs="Calibri"/>
                <w:color w:val="000000"/>
                <w:sz w:val="20"/>
                <w:szCs w:val="20"/>
                <w:lang w:eastAsia="en-AU"/>
              </w:rPr>
              <w:t>%</w:t>
            </w:r>
          </w:p>
        </w:tc>
        <w:tc>
          <w:tcPr>
            <w:tcW w:w="1134" w:type="dxa"/>
            <w:noWrap/>
            <w:vAlign w:val="bottom"/>
          </w:tcPr>
          <w:p w14:paraId="4ADCA1D9" w14:textId="5A3FC723" w:rsidR="0097062E" w:rsidRPr="000570F7" w:rsidRDefault="001B6C41" w:rsidP="0097062E">
            <w:pPr>
              <w:spacing w:before="0" w:after="0" w:line="240" w:lineRule="auto"/>
              <w:jc w:val="center"/>
              <w:rPr>
                <w:rFonts w:ascii="Arial Narrow" w:eastAsia="Times New Roman" w:hAnsi="Arial Narrow" w:cs="Calibri"/>
                <w:color w:val="000000"/>
                <w:sz w:val="20"/>
                <w:szCs w:val="20"/>
                <w:lang w:eastAsia="en-AU"/>
              </w:rPr>
            </w:pPr>
            <w:r>
              <w:rPr>
                <w:rFonts w:ascii="Arial Narrow" w:eastAsia="Times New Roman" w:hAnsi="Arial Narrow" w:cs="Calibri"/>
                <w:b/>
                <w:bCs/>
                <w:color w:val="000000"/>
                <w:sz w:val="20"/>
                <w:szCs w:val="20"/>
                <w:lang w:eastAsia="en-AU"/>
              </w:rPr>
              <w:t>Redacted</w:t>
            </w:r>
            <w:r w:rsidRPr="000570F7" w:rsidDel="001B6C41">
              <w:rPr>
                <w:rFonts w:ascii="Arial Narrow" w:eastAsia="Times New Roman" w:hAnsi="Arial Narrow" w:cs="Calibri"/>
                <w:color w:val="000000"/>
                <w:sz w:val="20"/>
                <w:szCs w:val="20"/>
                <w:lang w:eastAsia="en-AU"/>
              </w:rPr>
              <w:t xml:space="preserve"> </w:t>
            </w:r>
            <w:r w:rsidR="0097062E" w:rsidRPr="000570F7">
              <w:rPr>
                <w:rFonts w:ascii="Arial Narrow" w:eastAsia="Times New Roman" w:hAnsi="Arial Narrow" w:cs="Calibri"/>
                <w:color w:val="000000"/>
                <w:sz w:val="20"/>
                <w:szCs w:val="20"/>
                <w:lang w:eastAsia="en-AU"/>
              </w:rPr>
              <w:t>%</w:t>
            </w:r>
          </w:p>
        </w:tc>
        <w:tc>
          <w:tcPr>
            <w:tcW w:w="1134" w:type="dxa"/>
            <w:noWrap/>
            <w:vAlign w:val="bottom"/>
          </w:tcPr>
          <w:p w14:paraId="0D39CDAA" w14:textId="0BFB07FC" w:rsidR="0097062E" w:rsidRPr="000570F7" w:rsidRDefault="00F96ACE" w:rsidP="0097062E">
            <w:pPr>
              <w:spacing w:before="0" w:after="0" w:line="240" w:lineRule="auto"/>
              <w:jc w:val="center"/>
              <w:rPr>
                <w:rFonts w:ascii="Arial Narrow" w:eastAsia="Times New Roman" w:hAnsi="Arial Narrow" w:cs="Calibri"/>
                <w:color w:val="000000"/>
                <w:sz w:val="20"/>
                <w:szCs w:val="20"/>
                <w:lang w:eastAsia="en-AU"/>
              </w:rPr>
            </w:pPr>
            <w:r>
              <w:rPr>
                <w:rFonts w:ascii="Arial Narrow" w:eastAsia="Times New Roman" w:hAnsi="Arial Narrow" w:cs="Calibri"/>
                <w:b/>
                <w:bCs/>
                <w:color w:val="000000"/>
                <w:sz w:val="20"/>
                <w:szCs w:val="20"/>
                <w:lang w:eastAsia="en-AU"/>
              </w:rPr>
              <w:t>-</w:t>
            </w:r>
            <w:r w:rsidR="001B6C41">
              <w:rPr>
                <w:rFonts w:ascii="Arial Narrow" w:eastAsia="Times New Roman" w:hAnsi="Arial Narrow" w:cs="Calibri"/>
                <w:b/>
                <w:bCs/>
                <w:color w:val="000000"/>
                <w:sz w:val="20"/>
                <w:szCs w:val="20"/>
                <w:lang w:eastAsia="en-AU"/>
              </w:rPr>
              <w:t>Redacted</w:t>
            </w:r>
            <w:r w:rsidR="001B6C41" w:rsidRPr="000570F7" w:rsidDel="001B6C41">
              <w:rPr>
                <w:rFonts w:ascii="Arial Narrow" w:eastAsia="Times New Roman" w:hAnsi="Arial Narrow" w:cs="Calibri"/>
                <w:color w:val="000000"/>
                <w:sz w:val="20"/>
                <w:szCs w:val="20"/>
                <w:lang w:eastAsia="en-AU"/>
              </w:rPr>
              <w:t xml:space="preserve"> </w:t>
            </w:r>
            <w:r w:rsidR="0097062E" w:rsidRPr="000570F7">
              <w:rPr>
                <w:rFonts w:ascii="Arial Narrow" w:eastAsia="Times New Roman" w:hAnsi="Arial Narrow" w:cs="Calibri"/>
                <w:color w:val="000000"/>
                <w:sz w:val="20"/>
                <w:szCs w:val="20"/>
                <w:lang w:eastAsia="en-AU"/>
              </w:rPr>
              <w:t>%</w:t>
            </w:r>
          </w:p>
        </w:tc>
        <w:tc>
          <w:tcPr>
            <w:tcW w:w="992" w:type="dxa"/>
            <w:vAlign w:val="bottom"/>
          </w:tcPr>
          <w:p w14:paraId="0A34E37F" w14:textId="386E065F" w:rsidR="0097062E" w:rsidRPr="000570F7" w:rsidRDefault="001B6C41" w:rsidP="0097062E">
            <w:pPr>
              <w:spacing w:before="0" w:after="0" w:line="240" w:lineRule="auto"/>
              <w:jc w:val="center"/>
              <w:rPr>
                <w:rFonts w:ascii="Arial Narrow" w:eastAsia="Times New Roman" w:hAnsi="Arial Narrow" w:cs="Calibri"/>
                <w:sz w:val="20"/>
                <w:szCs w:val="20"/>
                <w:lang w:eastAsia="en-AU"/>
              </w:rPr>
            </w:pPr>
            <w:r>
              <w:rPr>
                <w:rFonts w:ascii="Arial Narrow" w:eastAsia="Times New Roman" w:hAnsi="Arial Narrow" w:cs="Calibri"/>
                <w:b/>
                <w:bCs/>
                <w:color w:val="000000"/>
                <w:sz w:val="20"/>
                <w:szCs w:val="20"/>
                <w:lang w:eastAsia="en-AU"/>
              </w:rPr>
              <w:t>Redacted</w:t>
            </w:r>
            <w:r w:rsidRPr="000570F7" w:rsidDel="001B6C41">
              <w:rPr>
                <w:rFonts w:ascii="Arial Narrow" w:eastAsia="Times New Roman" w:hAnsi="Arial Narrow" w:cs="Calibri"/>
                <w:sz w:val="20"/>
                <w:szCs w:val="20"/>
                <w:lang w:eastAsia="en-AU"/>
              </w:rPr>
              <w:t xml:space="preserve"> </w:t>
            </w:r>
            <w:r w:rsidR="0097062E" w:rsidRPr="000570F7">
              <w:rPr>
                <w:rFonts w:ascii="Arial Narrow" w:eastAsia="Times New Roman" w:hAnsi="Arial Narrow" w:cs="Calibri"/>
                <w:sz w:val="20"/>
                <w:szCs w:val="20"/>
                <w:lang w:eastAsia="en-AU"/>
              </w:rPr>
              <w:t>%</w:t>
            </w:r>
          </w:p>
        </w:tc>
      </w:tr>
    </w:tbl>
    <w:p w14:paraId="5B058420" w14:textId="1F6E5DBC" w:rsidR="00AA609F" w:rsidRDefault="00A57EC3" w:rsidP="008C0288">
      <w:pPr>
        <w:pStyle w:val="TableFooter"/>
        <w:spacing w:before="0"/>
        <w:jc w:val="left"/>
      </w:pPr>
      <w:r>
        <w:t>Abbreviations: AE = adverse events, EOL = end of life costs</w:t>
      </w:r>
      <w:r w:rsidR="00E81D25">
        <w:t xml:space="preserve">, </w:t>
      </w:r>
      <w:r>
        <w:t>PD = progressed disease state, PF = progression free state</w:t>
      </w:r>
      <w:r w:rsidR="008915F6">
        <w:br/>
        <w:t xml:space="preserve">Source: Table 2 in </w:t>
      </w:r>
      <w:r w:rsidR="00512E34">
        <w:t xml:space="preserve">MSAC </w:t>
      </w:r>
      <w:r w:rsidR="008915F6">
        <w:t>1779.1 resubmission</w:t>
      </w:r>
      <w:r w:rsidR="006C54B5">
        <w:t xml:space="preserve">, with </w:t>
      </w:r>
      <w:r w:rsidR="00CA40C4">
        <w:t>edits</w:t>
      </w:r>
      <w:r w:rsidR="006C54B5">
        <w:t xml:space="preserve"> made by the department</w:t>
      </w:r>
    </w:p>
    <w:p w14:paraId="0A6C7A1F" w14:textId="78208F3D" w:rsidR="00E12874" w:rsidRDefault="002A03AC" w:rsidP="002E2615">
      <w:r>
        <w:t>The</w:t>
      </w:r>
      <w:r w:rsidR="00067727">
        <w:t xml:space="preserve"> MSAC 1779.1 resubmission noted that the </w:t>
      </w:r>
      <w:r>
        <w:t xml:space="preserve">incremental cost of futibatinib treatment </w:t>
      </w:r>
      <w:r w:rsidR="00067727">
        <w:t xml:space="preserve">is </w:t>
      </w:r>
      <w:r>
        <w:t>$</w:t>
      </w:r>
      <w:r w:rsidR="00DC17CD" w:rsidRPr="0031094A">
        <w:rPr>
          <w:b/>
          <w:bCs/>
        </w:rPr>
        <w:t>Redacted</w:t>
      </w:r>
      <w:r>
        <w:t xml:space="preserve"> and incremental QALYs are </w:t>
      </w:r>
      <w:r w:rsidR="003B7784">
        <w:t>0.62</w:t>
      </w:r>
      <w:r w:rsidR="00B539AF">
        <w:t>,</w:t>
      </w:r>
      <w:r w:rsidR="00224317">
        <w:t xml:space="preserve"> </w:t>
      </w:r>
      <w:r w:rsidR="00B539AF">
        <w:t>resulting in an</w:t>
      </w:r>
      <w:r>
        <w:t xml:space="preserve"> ICER ($/QALY) </w:t>
      </w:r>
      <w:r w:rsidR="00B539AF">
        <w:t xml:space="preserve">of </w:t>
      </w:r>
      <w:r>
        <w:t>$</w:t>
      </w:r>
      <w:r w:rsidR="00BC3319">
        <w:t>75,000 to &lt; $</w:t>
      </w:r>
      <w:r w:rsidR="00422E97">
        <w:t>95</w:t>
      </w:r>
      <w:r w:rsidR="00BC3319">
        <w:t>,000</w:t>
      </w:r>
      <w:r>
        <w:t>.</w:t>
      </w:r>
      <w:r w:rsidR="00657496" w:rsidRPr="00657496">
        <w:t xml:space="preserve"> </w:t>
      </w:r>
    </w:p>
    <w:p w14:paraId="44457276" w14:textId="4210AF84" w:rsidR="00D022EB" w:rsidRDefault="00D022EB" w:rsidP="002E2615">
      <w:r>
        <w:t xml:space="preserve">The </w:t>
      </w:r>
      <w:r w:rsidR="008E739B">
        <w:t>d</w:t>
      </w:r>
      <w:r>
        <w:t xml:space="preserve">epartment </w:t>
      </w:r>
      <w:r w:rsidR="003F1933">
        <w:t>consider</w:t>
      </w:r>
      <w:r w:rsidR="00E70E06">
        <w:t>ed</w:t>
      </w:r>
      <w:r>
        <w:t xml:space="preserve"> that the approach for estimating the cost to identify one patient treated with </w:t>
      </w:r>
      <w:r w:rsidRPr="000570F7">
        <w:t>futibatinib</w:t>
      </w:r>
      <w:r>
        <w:t xml:space="preserve"> should be to divide the incremental test fee of $545 by an appropriate diagnostic yield for the proposed </w:t>
      </w:r>
      <w:r w:rsidR="004A5360">
        <w:t xml:space="preserve">expanded testing </w:t>
      </w:r>
      <w:r>
        <w:t xml:space="preserve">population. </w:t>
      </w:r>
      <w:r w:rsidR="00DC4A6B">
        <w:t xml:space="preserve">The </w:t>
      </w:r>
      <w:r>
        <w:t xml:space="preserve">department noted that the </w:t>
      </w:r>
      <w:r w:rsidR="00A324A8">
        <w:t>MSAC 1779.1 resubmission</w:t>
      </w:r>
      <w:r>
        <w:t xml:space="preserve"> test cost of </w:t>
      </w:r>
      <w:r w:rsidRPr="000570F7">
        <w:t xml:space="preserve">$14,137.46 to identify one </w:t>
      </w:r>
      <w:r w:rsidR="00AF6BA9">
        <w:t xml:space="preserve">treated </w:t>
      </w:r>
      <w:r w:rsidRPr="000570F7">
        <w:t xml:space="preserve">patient </w:t>
      </w:r>
      <w:r>
        <w:t xml:space="preserve">may be an over-estimate because it was derived by multiplying the initial estimate of cost per patient identified of </w:t>
      </w:r>
      <w:r w:rsidRPr="00EA0CFD">
        <w:t>$3,920.86</w:t>
      </w:r>
      <w:r>
        <w:t xml:space="preserve"> (</w:t>
      </w:r>
      <w:r w:rsidR="00AF6BA9">
        <w:t>i.e.</w:t>
      </w:r>
      <w:r>
        <w:t xml:space="preserve"> $545 divided by an assumed diagnostic yield of 13.9%)</w:t>
      </w:r>
      <w:r w:rsidR="00A75B71">
        <w:t>,</w:t>
      </w:r>
      <w:r>
        <w:t xml:space="preserve"> </w:t>
      </w:r>
      <w:r w:rsidR="00DA5CE6">
        <w:t>b</w:t>
      </w:r>
      <w:r w:rsidR="00DA5CE6" w:rsidRPr="00DA5CE6">
        <w:t>y factors of 3.57 and 1.</w:t>
      </w:r>
      <w:r w:rsidR="00B53408">
        <w:t>0</w:t>
      </w:r>
      <w:r w:rsidR="00DA5CE6" w:rsidRPr="00DA5CE6">
        <w:t>1 to reflect</w:t>
      </w:r>
      <w:r w:rsidR="00DA5CE6">
        <w:t xml:space="preserve"> the</w:t>
      </w:r>
      <w:r w:rsidR="00DA5CE6" w:rsidRPr="00DA5CE6">
        <w:t xml:space="preserve"> </w:t>
      </w:r>
      <w:r w:rsidR="00DA5CE6">
        <w:t>expansion in the tested population.</w:t>
      </w:r>
      <w:r w:rsidR="0023049F">
        <w:t xml:space="preserve"> </w:t>
      </w:r>
      <w:r w:rsidR="0023049F" w:rsidRPr="00C53B09">
        <w:t>Th</w:t>
      </w:r>
      <w:r w:rsidR="0023049F">
        <w:t>e</w:t>
      </w:r>
      <w:r w:rsidR="0023049F" w:rsidRPr="00C53B09">
        <w:t xml:space="preserve"> approach </w:t>
      </w:r>
      <w:r w:rsidR="0023049F">
        <w:t xml:space="preserve">adopted in the revised model </w:t>
      </w:r>
      <w:r w:rsidR="0023049F" w:rsidRPr="00C53B09">
        <w:t>effectively assumes a reduced diagnostic yield of 3.85%</w:t>
      </w:r>
      <w:r w:rsidR="0023049F">
        <w:t xml:space="preserve"> (13.8% divided by the product of 3.57 and 1.01)</w:t>
      </w:r>
      <w:r w:rsidR="00A75B71">
        <w:t>. This</w:t>
      </w:r>
      <w:r w:rsidR="0023049F" w:rsidRPr="00C53B09">
        <w:t xml:space="preserve"> may underestimate the true yield, inflate the cost per patient</w:t>
      </w:r>
      <w:r w:rsidR="00116190">
        <w:t xml:space="preserve"> identified</w:t>
      </w:r>
      <w:r w:rsidR="0023049F" w:rsidRPr="00C53B09">
        <w:t>, and consequently overstate the ICER.</w:t>
      </w:r>
      <w:r w:rsidR="00BD067C">
        <w:t xml:space="preserve"> </w:t>
      </w:r>
      <w:r w:rsidR="00427C46">
        <w:t>However</w:t>
      </w:r>
      <w:r w:rsidR="008B1C15">
        <w:t>,</w:t>
      </w:r>
      <w:r w:rsidR="00427C46">
        <w:t xml:space="preserve"> while expanding the tested population should lead to a proportional increase in </w:t>
      </w:r>
      <w:r w:rsidR="00427C46" w:rsidRPr="00F1207D">
        <w:t>the total financial costs of testing</w:t>
      </w:r>
      <w:r w:rsidR="00116190" w:rsidRPr="00F1207D">
        <w:t xml:space="preserve"> </w:t>
      </w:r>
      <w:r w:rsidR="00A547A5" w:rsidRPr="00F1207D">
        <w:t>(which</w:t>
      </w:r>
      <w:r w:rsidR="00116190" w:rsidRPr="00F1207D">
        <w:t xml:space="preserve"> is appropriately reflected in the financial estimates</w:t>
      </w:r>
      <w:r w:rsidR="00A547A5" w:rsidRPr="00F1207D">
        <w:t>)</w:t>
      </w:r>
      <w:r w:rsidR="00F55496">
        <w:t>,</w:t>
      </w:r>
      <w:r w:rsidR="00A547A5" w:rsidRPr="00F1207D">
        <w:t xml:space="preserve"> </w:t>
      </w:r>
      <w:r w:rsidR="00427C46" w:rsidRPr="00F1207D">
        <w:t>it</w:t>
      </w:r>
      <w:r w:rsidR="004C27D4" w:rsidRPr="00F1207D">
        <w:t xml:space="preserve"> does not necessarily lead to an equivalent proportional reduction in the diagnostic yield</w:t>
      </w:r>
      <w:r w:rsidR="00D620B9" w:rsidRPr="00F1207D">
        <w:t xml:space="preserve"> and therefore does not necessarily lead to an equivalent proportional increase in cost per patient identif</w:t>
      </w:r>
      <w:r w:rsidR="00290173" w:rsidRPr="00BC72CE">
        <w:t>i</w:t>
      </w:r>
      <w:r w:rsidR="00D620B9" w:rsidRPr="00F1207D">
        <w:t>ed</w:t>
      </w:r>
      <w:r w:rsidR="002551C2">
        <w:t>, as</w:t>
      </w:r>
      <w:r w:rsidR="004C27D4">
        <w:t xml:space="preserve"> this would be contingent on data on </w:t>
      </w:r>
      <w:r w:rsidR="00D50ABA">
        <w:t>prevalence rates and test accuracy.</w:t>
      </w:r>
      <w:r w:rsidR="00DA5CE6">
        <w:t xml:space="preserve"> </w:t>
      </w:r>
    </w:p>
    <w:p w14:paraId="48E56F90" w14:textId="1ABA58B6" w:rsidR="0072742B" w:rsidRDefault="002C07A4" w:rsidP="002E2615">
      <w:r>
        <w:lastRenderedPageBreak/>
        <w:t>The department considered that it may be more appropriate to include testing only</w:t>
      </w:r>
      <w:r w:rsidR="002645CD">
        <w:t xml:space="preserve"> in</w:t>
      </w:r>
      <w:r>
        <w:t xml:space="preserve"> the CCA population in the base case</w:t>
      </w:r>
      <w:r w:rsidR="002645CD">
        <w:t>, with</w:t>
      </w:r>
      <w:r>
        <w:t xml:space="preserve"> testing in other populations </w:t>
      </w:r>
      <w:r w:rsidR="002645CD">
        <w:t>addressed through</w:t>
      </w:r>
      <w:r>
        <w:t xml:space="preserve"> sensitivity analyses. Furthermore, </w:t>
      </w:r>
      <w:r w:rsidR="00BD434E">
        <w:t xml:space="preserve">a better approach to estimate the combined impact of the population expansions </w:t>
      </w:r>
      <w:r w:rsidR="00FA50C6">
        <w:t>on the cost to identify one treated patient</w:t>
      </w:r>
      <w:r w:rsidR="00D620B9">
        <w:t xml:space="preserve"> would be to adjust the diagnostic yield accordingly to reflect prevalence rates in</w:t>
      </w:r>
      <w:r w:rsidR="00E26AA6">
        <w:t xml:space="preserve"> each of the cancer populations tested (CCA, CUP and pancreatic cancer)</w:t>
      </w:r>
      <w:r w:rsidR="00D620B9">
        <w:t xml:space="preserve">. </w:t>
      </w:r>
      <w:r w:rsidR="002645CD">
        <w:t>The department noted that i</w:t>
      </w:r>
      <w:r w:rsidR="002645CD" w:rsidRPr="000379E9">
        <w:t xml:space="preserve">n the initial submission, the applicant cited several studies, each reporting different prevalence rates of </w:t>
      </w:r>
      <w:r w:rsidR="002645CD" w:rsidRPr="00617266">
        <w:rPr>
          <w:i/>
          <w:iCs/>
        </w:rPr>
        <w:t>FGFR2</w:t>
      </w:r>
      <w:r w:rsidR="002645CD" w:rsidRPr="000379E9">
        <w:t xml:space="preserve"> fusions or rearrangements in the </w:t>
      </w:r>
      <w:r w:rsidR="002645CD">
        <w:t xml:space="preserve">whole </w:t>
      </w:r>
      <w:r w:rsidR="002645CD" w:rsidRPr="000379E9">
        <w:t>CCA population. Across these studies, the reported prevalence ranged from 3.2% to 16.9%. When data from all studies were combined, the overall average prevalence was 10.1% (1,016 out of 10,041 cases).</w:t>
      </w:r>
      <w:r w:rsidR="002645CD">
        <w:t xml:space="preserve"> </w:t>
      </w:r>
      <w:r w:rsidR="00C349A3">
        <w:t xml:space="preserve">The estimated prevalence of </w:t>
      </w:r>
      <w:r w:rsidR="00C349A3" w:rsidRPr="00BC72CE">
        <w:rPr>
          <w:i/>
          <w:iCs/>
        </w:rPr>
        <w:t>FGFR2</w:t>
      </w:r>
      <w:r w:rsidR="00C349A3">
        <w:t xml:space="preserve"> variants in CUP and pancreatic cancer is 3.5% and 0.81% respectively.</w:t>
      </w:r>
      <w:r w:rsidR="00AD67B6">
        <w:rPr>
          <w:rStyle w:val="FootnoteReference"/>
        </w:rPr>
        <w:footnoteReference w:id="7"/>
      </w:r>
      <w:r w:rsidR="00AD67B6" w:rsidRPr="00BC72CE">
        <w:rPr>
          <w:vertAlign w:val="superscript"/>
        </w:rPr>
        <w:t>,</w:t>
      </w:r>
      <w:r w:rsidR="00AD67B6">
        <w:rPr>
          <w:rStyle w:val="FootnoteReference"/>
        </w:rPr>
        <w:footnoteReference w:id="8"/>
      </w:r>
    </w:p>
    <w:p w14:paraId="06C52B1E" w14:textId="7F1844BE" w:rsidR="00657496" w:rsidRDefault="00381A5D" w:rsidP="002E2615">
      <w:r>
        <w:t>Including testing only in patients with CCA and a</w:t>
      </w:r>
      <w:r w:rsidR="00D620B9">
        <w:t>n adjusted</w:t>
      </w:r>
      <w:r>
        <w:t xml:space="preserve"> diagnostic yield of 10.1%</w:t>
      </w:r>
      <w:r w:rsidR="00D620B9">
        <w:t xml:space="preserve"> </w:t>
      </w:r>
      <w:r>
        <w:t>resulted in the department revised base case I</w:t>
      </w:r>
      <w:r w:rsidR="00555AA5">
        <w:t xml:space="preserve">CER of </w:t>
      </w:r>
      <w:r w:rsidR="00E30EF7">
        <w:t>$55,000 to &lt; $75,000</w:t>
      </w:r>
      <w:r w:rsidR="00657496">
        <w:t xml:space="preserve"> </w:t>
      </w:r>
      <w:r w:rsidR="005C0DF1">
        <w:t xml:space="preserve">At its March and July 2025 meetings, the PBAC considered that futibatinib would be cost effective with an ICER less than </w:t>
      </w:r>
      <w:r w:rsidR="007C6716">
        <w:t>$</w:t>
      </w:r>
      <w:r w:rsidR="00D05797">
        <w:t>5</w:t>
      </w:r>
      <w:r w:rsidR="007C6716">
        <w:t>5,000 to &lt; $</w:t>
      </w:r>
      <w:r w:rsidR="00D05797">
        <w:t>7</w:t>
      </w:r>
      <w:r w:rsidR="007C6716">
        <w:t>5,000</w:t>
      </w:r>
      <w:r w:rsidR="005C0DF1">
        <w:t xml:space="preserve"> per QALY.</w:t>
      </w:r>
    </w:p>
    <w:p w14:paraId="4F52004D" w14:textId="1859015D" w:rsidR="00703EA6" w:rsidRDefault="00703EA6" w:rsidP="002E2615">
      <w:r>
        <w:t xml:space="preserve">The results of sensitivity analyses </w:t>
      </w:r>
      <w:r w:rsidR="00381A5D">
        <w:t xml:space="preserve">in the </w:t>
      </w:r>
      <w:r w:rsidR="00BB02B1">
        <w:t xml:space="preserve">MSAC </w:t>
      </w:r>
      <w:r w:rsidR="00381A5D">
        <w:t>1779.1 resubmission</w:t>
      </w:r>
      <w:r>
        <w:t xml:space="preserve"> and </w:t>
      </w:r>
      <w:r w:rsidR="00381A5D">
        <w:t xml:space="preserve">those </w:t>
      </w:r>
      <w:r>
        <w:t xml:space="preserve">conducted by the department are summarised in </w:t>
      </w:r>
      <w:r>
        <w:fldChar w:fldCharType="begin"/>
      </w:r>
      <w:r>
        <w:instrText xml:space="preserve"> REF _Ref212454215 \h </w:instrText>
      </w:r>
      <w:r>
        <w:fldChar w:fldCharType="separate"/>
      </w:r>
      <w:r>
        <w:t xml:space="preserve">Table </w:t>
      </w:r>
      <w:r>
        <w:rPr>
          <w:noProof/>
        </w:rPr>
        <w:t>3</w:t>
      </w:r>
      <w:r>
        <w:fldChar w:fldCharType="end"/>
      </w:r>
      <w:r>
        <w:t>.</w:t>
      </w:r>
    </w:p>
    <w:p w14:paraId="08123E65" w14:textId="6E453B13" w:rsidR="00703EA6" w:rsidRDefault="00703EA6" w:rsidP="008C0288">
      <w:pPr>
        <w:pStyle w:val="Caption"/>
        <w:spacing w:before="0" w:after="0"/>
      </w:pPr>
      <w:bookmarkStart w:id="29" w:name="_Ref212454215"/>
      <w:r>
        <w:t xml:space="preserve">Table </w:t>
      </w:r>
      <w:r>
        <w:fldChar w:fldCharType="begin"/>
      </w:r>
      <w:r>
        <w:instrText xml:space="preserve"> SEQ Table \* ARABIC </w:instrText>
      </w:r>
      <w:r>
        <w:fldChar w:fldCharType="separate"/>
      </w:r>
      <w:r>
        <w:rPr>
          <w:noProof/>
        </w:rPr>
        <w:t>3</w:t>
      </w:r>
      <w:r>
        <w:rPr>
          <w:noProof/>
        </w:rPr>
        <w:fldChar w:fldCharType="end"/>
      </w:r>
      <w:bookmarkEnd w:id="29"/>
      <w:r>
        <w:t>: Sensitivity analyses</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92"/>
        <w:gridCol w:w="2500"/>
      </w:tblGrid>
      <w:tr w:rsidR="00385D97" w14:paraId="3CFEE3C6" w14:textId="3241158D" w:rsidTr="7AFBB73E">
        <w:tc>
          <w:tcPr>
            <w:tcW w:w="5524" w:type="dxa"/>
          </w:tcPr>
          <w:p w14:paraId="43D0792B" w14:textId="356B8BAE" w:rsidR="00385D97" w:rsidRPr="000570F7" w:rsidRDefault="00BB02B1" w:rsidP="00771874">
            <w:pPr>
              <w:spacing w:before="0"/>
              <w:rPr>
                <w:rFonts w:ascii="Arial Narrow" w:hAnsi="Arial Narrow"/>
                <w:b/>
                <w:bCs/>
                <w:sz w:val="20"/>
                <w:szCs w:val="20"/>
              </w:rPr>
            </w:pPr>
            <w:r>
              <w:rPr>
                <w:rFonts w:ascii="Arial Narrow" w:hAnsi="Arial Narrow"/>
                <w:b/>
                <w:bCs/>
                <w:sz w:val="20"/>
                <w:szCs w:val="20"/>
              </w:rPr>
              <w:t xml:space="preserve">Sensitivity analysis in the </w:t>
            </w:r>
            <w:r w:rsidR="00674409">
              <w:rPr>
                <w:rFonts w:ascii="Arial Narrow" w:hAnsi="Arial Narrow"/>
                <w:b/>
                <w:bCs/>
                <w:sz w:val="20"/>
                <w:szCs w:val="20"/>
              </w:rPr>
              <w:t xml:space="preserve">MSAC 1779.1 resubmission </w:t>
            </w:r>
          </w:p>
        </w:tc>
        <w:tc>
          <w:tcPr>
            <w:tcW w:w="992" w:type="dxa"/>
          </w:tcPr>
          <w:p w14:paraId="2FC53E97" w14:textId="7EF56F67" w:rsidR="00385D97" w:rsidRPr="000570F7" w:rsidRDefault="00385D97" w:rsidP="00771874">
            <w:pPr>
              <w:spacing w:before="0"/>
              <w:rPr>
                <w:rFonts w:ascii="Arial Narrow" w:hAnsi="Arial Narrow"/>
                <w:b/>
                <w:bCs/>
                <w:sz w:val="20"/>
                <w:szCs w:val="20"/>
              </w:rPr>
            </w:pPr>
            <w:r w:rsidRPr="000570F7">
              <w:rPr>
                <w:rFonts w:ascii="Arial Narrow" w:hAnsi="Arial Narrow"/>
                <w:b/>
                <w:bCs/>
                <w:sz w:val="20"/>
                <w:szCs w:val="20"/>
              </w:rPr>
              <w:t>ICER</w:t>
            </w:r>
          </w:p>
        </w:tc>
        <w:tc>
          <w:tcPr>
            <w:tcW w:w="2500" w:type="dxa"/>
          </w:tcPr>
          <w:p w14:paraId="05E493C0" w14:textId="715FA3D8" w:rsidR="00385D97" w:rsidRPr="000570F7" w:rsidRDefault="00385D97" w:rsidP="00771874">
            <w:pPr>
              <w:spacing w:before="0"/>
              <w:rPr>
                <w:rFonts w:ascii="Arial Narrow" w:hAnsi="Arial Narrow"/>
                <w:b/>
                <w:bCs/>
                <w:sz w:val="20"/>
                <w:szCs w:val="20"/>
              </w:rPr>
            </w:pPr>
            <w:r w:rsidRPr="000570F7">
              <w:rPr>
                <w:rFonts w:ascii="Arial Narrow" w:hAnsi="Arial Narrow"/>
                <w:b/>
                <w:bCs/>
                <w:sz w:val="20"/>
                <w:szCs w:val="20"/>
              </w:rPr>
              <w:t xml:space="preserve">% change from </w:t>
            </w:r>
            <w:r w:rsidR="00512E34">
              <w:rPr>
                <w:rFonts w:ascii="Arial Narrow" w:hAnsi="Arial Narrow"/>
                <w:b/>
                <w:bCs/>
                <w:sz w:val="20"/>
                <w:szCs w:val="20"/>
              </w:rPr>
              <w:t>MSAC 1779.1 resubmission</w:t>
            </w:r>
            <w:r w:rsidR="00937E72">
              <w:rPr>
                <w:rFonts w:ascii="Arial Narrow" w:hAnsi="Arial Narrow"/>
                <w:b/>
                <w:bCs/>
                <w:sz w:val="20"/>
                <w:szCs w:val="20"/>
              </w:rPr>
              <w:t xml:space="preserve"> </w:t>
            </w:r>
            <w:r w:rsidRPr="000570F7">
              <w:rPr>
                <w:rFonts w:ascii="Arial Narrow" w:hAnsi="Arial Narrow"/>
                <w:b/>
                <w:bCs/>
                <w:sz w:val="20"/>
                <w:szCs w:val="20"/>
              </w:rPr>
              <w:t>base case ICER</w:t>
            </w:r>
          </w:p>
        </w:tc>
      </w:tr>
      <w:tr w:rsidR="00385D97" w14:paraId="315860CF" w14:textId="00AA0169" w:rsidTr="7AFBB73E">
        <w:tc>
          <w:tcPr>
            <w:tcW w:w="5524" w:type="dxa"/>
          </w:tcPr>
          <w:p w14:paraId="1974F042" w14:textId="7366A0FA" w:rsidR="00385D97" w:rsidRPr="000570F7" w:rsidRDefault="00512E34" w:rsidP="00771874">
            <w:pPr>
              <w:spacing w:before="0"/>
              <w:rPr>
                <w:rFonts w:ascii="Arial Narrow" w:hAnsi="Arial Narrow"/>
                <w:sz w:val="20"/>
                <w:szCs w:val="20"/>
                <w:vertAlign w:val="superscript"/>
              </w:rPr>
            </w:pPr>
            <w:r>
              <w:rPr>
                <w:rFonts w:ascii="Arial Narrow" w:hAnsi="Arial Narrow"/>
                <w:sz w:val="20"/>
                <w:szCs w:val="20"/>
              </w:rPr>
              <w:t>MSAC 1779.1 resubmission</w:t>
            </w:r>
            <w:r w:rsidR="00937E72">
              <w:rPr>
                <w:rFonts w:ascii="Arial Narrow" w:hAnsi="Arial Narrow"/>
                <w:sz w:val="20"/>
                <w:szCs w:val="20"/>
              </w:rPr>
              <w:t xml:space="preserve"> b</w:t>
            </w:r>
            <w:r w:rsidR="00385D97" w:rsidRPr="000570F7">
              <w:rPr>
                <w:rFonts w:ascii="Arial Narrow" w:hAnsi="Arial Narrow"/>
                <w:sz w:val="20"/>
                <w:szCs w:val="20"/>
              </w:rPr>
              <w:t xml:space="preserve">ase </w:t>
            </w:r>
            <w:proofErr w:type="spellStart"/>
            <w:r w:rsidR="00385D97" w:rsidRPr="000570F7">
              <w:rPr>
                <w:rFonts w:ascii="Arial Narrow" w:hAnsi="Arial Narrow"/>
                <w:sz w:val="20"/>
                <w:szCs w:val="20"/>
              </w:rPr>
              <w:t>case</w:t>
            </w:r>
            <w:r w:rsidR="00BB02B1">
              <w:rPr>
                <w:rFonts w:ascii="Arial Narrow" w:hAnsi="Arial Narrow"/>
                <w:sz w:val="20"/>
                <w:szCs w:val="20"/>
                <w:vertAlign w:val="superscript"/>
              </w:rPr>
              <w:t>a</w:t>
            </w:r>
            <w:proofErr w:type="spellEnd"/>
          </w:p>
        </w:tc>
        <w:tc>
          <w:tcPr>
            <w:tcW w:w="992" w:type="dxa"/>
          </w:tcPr>
          <w:p w14:paraId="3631D8D6" w14:textId="130748AE" w:rsidR="00385D97" w:rsidRPr="001C708A" w:rsidRDefault="003A19C7" w:rsidP="00771874">
            <w:pPr>
              <w:spacing w:before="0"/>
              <w:rPr>
                <w:rFonts w:ascii="Arial Narrow" w:hAnsi="Arial Narrow"/>
                <w:sz w:val="20"/>
                <w:szCs w:val="20"/>
              </w:rPr>
            </w:pPr>
            <w:r w:rsidRPr="0031094A">
              <w:rPr>
                <w:rFonts w:ascii="Arial Narrow" w:hAnsi="Arial Narrow"/>
                <w:b/>
                <w:bCs/>
                <w:sz w:val="20"/>
                <w:szCs w:val="20"/>
              </w:rPr>
              <w:t>Redacted</w:t>
            </w:r>
            <w:r>
              <w:rPr>
                <w:rFonts w:ascii="Arial Narrow" w:hAnsi="Arial Narrow"/>
                <w:b/>
                <w:bCs/>
                <w:sz w:val="20"/>
                <w:szCs w:val="20"/>
                <w:vertAlign w:val="superscript"/>
              </w:rPr>
              <w:t>2</w:t>
            </w:r>
          </w:p>
        </w:tc>
        <w:tc>
          <w:tcPr>
            <w:tcW w:w="2500" w:type="dxa"/>
          </w:tcPr>
          <w:p w14:paraId="1504C5CE" w14:textId="50B21F34" w:rsidR="00385D97" w:rsidRPr="000570F7" w:rsidRDefault="00BB02B1" w:rsidP="00771874">
            <w:pPr>
              <w:spacing w:before="0"/>
              <w:rPr>
                <w:rFonts w:ascii="Arial Narrow" w:hAnsi="Arial Narrow"/>
                <w:sz w:val="20"/>
                <w:szCs w:val="20"/>
              </w:rPr>
            </w:pPr>
            <w:r>
              <w:rPr>
                <w:rFonts w:ascii="Arial Narrow" w:hAnsi="Arial Narrow"/>
                <w:sz w:val="20"/>
                <w:szCs w:val="20"/>
              </w:rPr>
              <w:t>-</w:t>
            </w:r>
          </w:p>
        </w:tc>
      </w:tr>
      <w:tr w:rsidR="00937E72" w14:paraId="2E5AF8E4" w14:textId="77777777" w:rsidTr="7AFBB73E">
        <w:tc>
          <w:tcPr>
            <w:tcW w:w="5524" w:type="dxa"/>
          </w:tcPr>
          <w:p w14:paraId="53EE5559" w14:textId="46F5BDB2" w:rsidR="00937E72" w:rsidRDefault="00555AA5" w:rsidP="00771874">
            <w:pPr>
              <w:spacing w:before="0"/>
              <w:rPr>
                <w:rFonts w:ascii="Arial Narrow" w:hAnsi="Arial Narrow"/>
                <w:sz w:val="20"/>
                <w:szCs w:val="20"/>
              </w:rPr>
            </w:pPr>
            <w:r>
              <w:rPr>
                <w:rFonts w:ascii="Arial Narrow" w:hAnsi="Arial Narrow"/>
                <w:sz w:val="20"/>
                <w:szCs w:val="20"/>
              </w:rPr>
              <w:t xml:space="preserve">Multivariate analysis </w:t>
            </w:r>
            <w:r w:rsidR="00512E34">
              <w:rPr>
                <w:rFonts w:ascii="Arial Narrow" w:hAnsi="Arial Narrow"/>
                <w:sz w:val="20"/>
                <w:szCs w:val="20"/>
              </w:rPr>
              <w:t>in MSAC 1779.1 resubmission</w:t>
            </w:r>
            <w:r>
              <w:rPr>
                <w:rFonts w:ascii="Arial Narrow" w:hAnsi="Arial Narrow"/>
                <w:sz w:val="20"/>
                <w:szCs w:val="20"/>
              </w:rPr>
              <w:t>: Assuming a test cost of $340 (consistent with MBS 7</w:t>
            </w:r>
            <w:r w:rsidR="00766832">
              <w:rPr>
                <w:rFonts w:ascii="Arial Narrow" w:hAnsi="Arial Narrow"/>
                <w:sz w:val="20"/>
                <w:szCs w:val="20"/>
              </w:rPr>
              <w:t>3</w:t>
            </w:r>
            <w:r>
              <w:rPr>
                <w:rFonts w:ascii="Arial Narrow" w:hAnsi="Arial Narrow"/>
                <w:sz w:val="20"/>
                <w:szCs w:val="20"/>
              </w:rPr>
              <w:t>319) + testing only at 2</w:t>
            </w:r>
            <w:r w:rsidRPr="000570F7">
              <w:rPr>
                <w:rFonts w:ascii="Arial Narrow" w:hAnsi="Arial Narrow"/>
                <w:sz w:val="20"/>
                <w:szCs w:val="20"/>
                <w:vertAlign w:val="superscript"/>
              </w:rPr>
              <w:t>nd</w:t>
            </w:r>
            <w:r>
              <w:rPr>
                <w:rFonts w:ascii="Arial Narrow" w:hAnsi="Arial Narrow"/>
                <w:sz w:val="20"/>
                <w:szCs w:val="20"/>
              </w:rPr>
              <w:t xml:space="preserve"> line + not including testing in patients with CUP or pancreatic cancer</w:t>
            </w:r>
          </w:p>
        </w:tc>
        <w:tc>
          <w:tcPr>
            <w:tcW w:w="992" w:type="dxa"/>
          </w:tcPr>
          <w:p w14:paraId="794D1EA8" w14:textId="441035A2" w:rsidR="00937E72" w:rsidRPr="00937E72" w:rsidRDefault="003A19C7" w:rsidP="00771874">
            <w:pPr>
              <w:spacing w:before="0"/>
              <w:rPr>
                <w:rFonts w:ascii="Arial Narrow" w:hAnsi="Arial Narrow"/>
                <w:sz w:val="20"/>
                <w:szCs w:val="20"/>
              </w:rPr>
            </w:pPr>
            <w:r w:rsidRPr="007D59B9">
              <w:rPr>
                <w:rFonts w:ascii="Arial Narrow" w:hAnsi="Arial Narrow"/>
                <w:b/>
                <w:bCs/>
                <w:sz w:val="20"/>
                <w:szCs w:val="20"/>
              </w:rPr>
              <w:t>Redacted</w:t>
            </w:r>
            <w:r>
              <w:rPr>
                <w:rFonts w:ascii="Arial Narrow" w:hAnsi="Arial Narrow"/>
                <w:b/>
                <w:bCs/>
                <w:sz w:val="20"/>
                <w:szCs w:val="20"/>
                <w:vertAlign w:val="superscript"/>
              </w:rPr>
              <w:t>1</w:t>
            </w:r>
          </w:p>
        </w:tc>
        <w:tc>
          <w:tcPr>
            <w:tcW w:w="2500" w:type="dxa"/>
          </w:tcPr>
          <w:p w14:paraId="1E9DFF61" w14:textId="3CE663DD" w:rsidR="00937E72" w:rsidRPr="00937E72" w:rsidRDefault="00427D34" w:rsidP="00771874">
            <w:pPr>
              <w:spacing w:before="0"/>
              <w:rPr>
                <w:rFonts w:ascii="Arial Narrow" w:hAnsi="Arial Narrow"/>
                <w:sz w:val="20"/>
                <w:szCs w:val="20"/>
              </w:rPr>
            </w:pPr>
            <w:r>
              <w:rPr>
                <w:rFonts w:ascii="Arial Narrow" w:hAnsi="Arial Narrow"/>
                <w:b/>
                <w:bCs/>
                <w:sz w:val="20"/>
                <w:szCs w:val="20"/>
              </w:rPr>
              <w:t>-</w:t>
            </w:r>
            <w:r w:rsidR="003A19C7" w:rsidRPr="0031094A">
              <w:rPr>
                <w:rFonts w:ascii="Arial Narrow" w:hAnsi="Arial Narrow"/>
                <w:b/>
                <w:bCs/>
                <w:sz w:val="20"/>
                <w:szCs w:val="20"/>
              </w:rPr>
              <w:t>Redacted</w:t>
            </w:r>
            <w:r w:rsidR="00555AA5">
              <w:rPr>
                <w:rFonts w:ascii="Arial Narrow" w:hAnsi="Arial Narrow"/>
                <w:sz w:val="20"/>
                <w:szCs w:val="20"/>
              </w:rPr>
              <w:t>%</w:t>
            </w:r>
          </w:p>
        </w:tc>
      </w:tr>
      <w:tr w:rsidR="00555AA5" w14:paraId="22E043F2" w14:textId="77777777" w:rsidTr="7AFBB73E">
        <w:tc>
          <w:tcPr>
            <w:tcW w:w="5524" w:type="dxa"/>
          </w:tcPr>
          <w:p w14:paraId="777D2283" w14:textId="0940A07D" w:rsidR="00555AA5" w:rsidRPr="000570F7" w:rsidRDefault="00BB02B1" w:rsidP="00771874">
            <w:pPr>
              <w:spacing w:before="0"/>
              <w:rPr>
                <w:rFonts w:ascii="Arial Narrow" w:hAnsi="Arial Narrow"/>
                <w:b/>
                <w:sz w:val="20"/>
                <w:szCs w:val="20"/>
              </w:rPr>
            </w:pPr>
            <w:r>
              <w:rPr>
                <w:rFonts w:ascii="Arial Narrow" w:hAnsi="Arial Narrow"/>
                <w:b/>
                <w:bCs/>
                <w:sz w:val="20"/>
                <w:szCs w:val="20"/>
              </w:rPr>
              <w:t>Sensitivity a</w:t>
            </w:r>
            <w:r w:rsidR="00674409" w:rsidRPr="000570F7">
              <w:rPr>
                <w:rFonts w:ascii="Arial Narrow" w:hAnsi="Arial Narrow"/>
                <w:b/>
                <w:bCs/>
                <w:sz w:val="20"/>
                <w:szCs w:val="20"/>
              </w:rPr>
              <w:t>nalysis conducted by the department</w:t>
            </w:r>
          </w:p>
        </w:tc>
        <w:tc>
          <w:tcPr>
            <w:tcW w:w="992" w:type="dxa"/>
          </w:tcPr>
          <w:p w14:paraId="16A1FD4B" w14:textId="1D67ABCD" w:rsidR="00555AA5" w:rsidRPr="0082413C" w:rsidRDefault="00674409" w:rsidP="00771874">
            <w:pPr>
              <w:spacing w:before="0"/>
              <w:rPr>
                <w:rFonts w:ascii="Arial Narrow" w:hAnsi="Arial Narrow"/>
                <w:sz w:val="20"/>
                <w:szCs w:val="20"/>
              </w:rPr>
            </w:pPr>
            <w:r w:rsidRPr="008C3D9D">
              <w:rPr>
                <w:rFonts w:ascii="Arial Narrow" w:hAnsi="Arial Narrow"/>
                <w:b/>
                <w:bCs/>
                <w:sz w:val="20"/>
                <w:szCs w:val="20"/>
              </w:rPr>
              <w:t>ICER</w:t>
            </w:r>
          </w:p>
        </w:tc>
        <w:tc>
          <w:tcPr>
            <w:tcW w:w="2500" w:type="dxa"/>
          </w:tcPr>
          <w:p w14:paraId="5F7EE9E8" w14:textId="3EEAC70F" w:rsidR="00555AA5" w:rsidRDefault="00555AA5" w:rsidP="00771874">
            <w:pPr>
              <w:spacing w:before="0"/>
              <w:rPr>
                <w:rFonts w:ascii="Arial Narrow" w:hAnsi="Arial Narrow"/>
                <w:sz w:val="20"/>
                <w:szCs w:val="20"/>
              </w:rPr>
            </w:pPr>
            <w:r w:rsidRPr="0082413C">
              <w:rPr>
                <w:rFonts w:ascii="Arial Narrow" w:hAnsi="Arial Narrow"/>
                <w:b/>
                <w:bCs/>
                <w:sz w:val="20"/>
                <w:szCs w:val="20"/>
              </w:rPr>
              <w:t xml:space="preserve">% change from </w:t>
            </w:r>
            <w:r>
              <w:rPr>
                <w:rFonts w:ascii="Arial Narrow" w:hAnsi="Arial Narrow"/>
                <w:b/>
                <w:bCs/>
                <w:sz w:val="20"/>
                <w:szCs w:val="20"/>
              </w:rPr>
              <w:t xml:space="preserve">department revised </w:t>
            </w:r>
            <w:r w:rsidRPr="0082413C">
              <w:rPr>
                <w:rFonts w:ascii="Arial Narrow" w:hAnsi="Arial Narrow"/>
                <w:b/>
                <w:bCs/>
                <w:sz w:val="20"/>
                <w:szCs w:val="20"/>
              </w:rPr>
              <w:t>base case ICER</w:t>
            </w:r>
          </w:p>
        </w:tc>
      </w:tr>
      <w:tr w:rsidR="00555AA5" w14:paraId="19046688" w14:textId="77777777" w:rsidTr="7AFBB73E">
        <w:tc>
          <w:tcPr>
            <w:tcW w:w="5524" w:type="dxa"/>
          </w:tcPr>
          <w:p w14:paraId="0E15BE74" w14:textId="35E85479" w:rsidR="00555AA5" w:rsidRDefault="00555AA5" w:rsidP="00771874">
            <w:pPr>
              <w:spacing w:before="0"/>
              <w:rPr>
                <w:rFonts w:ascii="Arial Narrow" w:hAnsi="Arial Narrow"/>
                <w:sz w:val="20"/>
                <w:szCs w:val="20"/>
              </w:rPr>
            </w:pPr>
            <w:r>
              <w:rPr>
                <w:rFonts w:ascii="Arial Narrow" w:hAnsi="Arial Narrow"/>
                <w:sz w:val="20"/>
                <w:szCs w:val="20"/>
              </w:rPr>
              <w:t>Department revised base case</w:t>
            </w:r>
            <w:r w:rsidR="00107B09">
              <w:rPr>
                <w:rFonts w:ascii="Arial Narrow" w:hAnsi="Arial Narrow"/>
                <w:sz w:val="20"/>
                <w:szCs w:val="20"/>
              </w:rPr>
              <w:t>:</w:t>
            </w:r>
            <w:r w:rsidR="008865C5">
              <w:rPr>
                <w:rFonts w:ascii="Arial Narrow" w:hAnsi="Arial Narrow"/>
                <w:sz w:val="20"/>
                <w:szCs w:val="20"/>
              </w:rPr>
              <w:t xml:space="preserve"> </w:t>
            </w:r>
            <w:r w:rsidR="00107B09">
              <w:rPr>
                <w:rFonts w:ascii="Arial Narrow" w:hAnsi="Arial Narrow"/>
                <w:sz w:val="20"/>
                <w:szCs w:val="20"/>
              </w:rPr>
              <w:t>T</w:t>
            </w:r>
            <w:r w:rsidR="008865C5">
              <w:rPr>
                <w:rFonts w:ascii="Arial Narrow" w:hAnsi="Arial Narrow"/>
                <w:sz w:val="20"/>
                <w:szCs w:val="20"/>
              </w:rPr>
              <w:t>esting at CCA diagnosis, 1</w:t>
            </w:r>
            <w:r w:rsidR="002645CD">
              <w:rPr>
                <w:rFonts w:ascii="Arial Narrow" w:hAnsi="Arial Narrow"/>
                <w:sz w:val="20"/>
                <w:szCs w:val="20"/>
              </w:rPr>
              <w:t>0.1</w:t>
            </w:r>
            <w:r w:rsidR="008865C5">
              <w:rPr>
                <w:rFonts w:ascii="Arial Narrow" w:hAnsi="Arial Narrow"/>
                <w:sz w:val="20"/>
                <w:szCs w:val="20"/>
              </w:rPr>
              <w:t>% diagnostic yield, test fee of $885</w:t>
            </w:r>
            <w:r w:rsidR="00BB02B1">
              <w:rPr>
                <w:rFonts w:ascii="Arial Narrow" w:hAnsi="Arial Narrow"/>
                <w:sz w:val="20"/>
                <w:szCs w:val="20"/>
                <w:vertAlign w:val="superscript"/>
              </w:rPr>
              <w:t>a</w:t>
            </w:r>
            <w:r w:rsidR="008865C5">
              <w:rPr>
                <w:rFonts w:ascii="Arial Narrow" w:hAnsi="Arial Narrow"/>
                <w:sz w:val="20"/>
                <w:szCs w:val="20"/>
              </w:rPr>
              <w:t xml:space="preserve">, 0% </w:t>
            </w:r>
            <w:proofErr w:type="spellStart"/>
            <w:r w:rsidR="00BB0997">
              <w:rPr>
                <w:rFonts w:ascii="Arial Narrow" w:hAnsi="Arial Narrow"/>
                <w:sz w:val="20"/>
                <w:szCs w:val="20"/>
              </w:rPr>
              <w:t>Omico</w:t>
            </w:r>
            <w:proofErr w:type="spellEnd"/>
            <w:r w:rsidR="008865C5">
              <w:rPr>
                <w:rFonts w:ascii="Arial Narrow" w:hAnsi="Arial Narrow"/>
                <w:sz w:val="20"/>
                <w:szCs w:val="20"/>
              </w:rPr>
              <w:t xml:space="preserve"> testing</w:t>
            </w:r>
            <w:r w:rsidR="00BB0997">
              <w:rPr>
                <w:rFonts w:ascii="Arial Narrow" w:hAnsi="Arial Narrow"/>
                <w:sz w:val="20"/>
                <w:szCs w:val="20"/>
              </w:rPr>
              <w:t xml:space="preserve"> at no cost</w:t>
            </w:r>
            <w:r w:rsidR="008865C5">
              <w:rPr>
                <w:rFonts w:ascii="Arial Narrow" w:hAnsi="Arial Narrow"/>
                <w:sz w:val="20"/>
                <w:szCs w:val="20"/>
              </w:rPr>
              <w:t>, not including testing patients with CUP or pancreatic cancer</w:t>
            </w:r>
          </w:p>
        </w:tc>
        <w:tc>
          <w:tcPr>
            <w:tcW w:w="992" w:type="dxa"/>
          </w:tcPr>
          <w:p w14:paraId="73382BA6" w14:textId="70966CA4" w:rsidR="00555AA5" w:rsidRPr="0082413C" w:rsidRDefault="003A19C7" w:rsidP="00771874">
            <w:pPr>
              <w:spacing w:before="0"/>
              <w:rPr>
                <w:rFonts w:ascii="Arial Narrow" w:hAnsi="Arial Narrow"/>
                <w:sz w:val="20"/>
                <w:szCs w:val="20"/>
              </w:rPr>
            </w:pPr>
            <w:r w:rsidRPr="007D59B9">
              <w:rPr>
                <w:rFonts w:ascii="Arial Narrow" w:hAnsi="Arial Narrow"/>
                <w:b/>
                <w:bCs/>
                <w:sz w:val="20"/>
                <w:szCs w:val="20"/>
              </w:rPr>
              <w:t>Redacted</w:t>
            </w:r>
            <w:r>
              <w:rPr>
                <w:rFonts w:ascii="Arial Narrow" w:hAnsi="Arial Narrow"/>
                <w:b/>
                <w:bCs/>
                <w:sz w:val="20"/>
                <w:szCs w:val="20"/>
                <w:vertAlign w:val="superscript"/>
              </w:rPr>
              <w:t>1</w:t>
            </w:r>
          </w:p>
        </w:tc>
        <w:tc>
          <w:tcPr>
            <w:tcW w:w="2500" w:type="dxa"/>
          </w:tcPr>
          <w:p w14:paraId="4CEF7265" w14:textId="40689438" w:rsidR="00555AA5" w:rsidRPr="000570F7" w:rsidRDefault="00BB02B1" w:rsidP="00771874">
            <w:pPr>
              <w:spacing w:before="0"/>
              <w:rPr>
                <w:rFonts w:ascii="Arial Narrow" w:hAnsi="Arial Narrow"/>
                <w:sz w:val="20"/>
                <w:szCs w:val="20"/>
              </w:rPr>
            </w:pPr>
            <w:r>
              <w:rPr>
                <w:rFonts w:ascii="Arial Narrow" w:hAnsi="Arial Narrow"/>
                <w:sz w:val="20"/>
                <w:szCs w:val="20"/>
              </w:rPr>
              <w:t>-</w:t>
            </w:r>
          </w:p>
        </w:tc>
      </w:tr>
      <w:tr w:rsidR="00555AA5" w14:paraId="7851C5E3" w14:textId="77777777" w:rsidTr="7AFBB73E">
        <w:tc>
          <w:tcPr>
            <w:tcW w:w="5524" w:type="dxa"/>
          </w:tcPr>
          <w:p w14:paraId="2E56B811" w14:textId="3D46C5B2" w:rsidR="00555AA5" w:rsidRDefault="006A53DF" w:rsidP="00771874">
            <w:pPr>
              <w:spacing w:before="0"/>
              <w:rPr>
                <w:rFonts w:ascii="Arial Narrow" w:hAnsi="Arial Narrow"/>
                <w:sz w:val="20"/>
                <w:szCs w:val="20"/>
              </w:rPr>
            </w:pPr>
            <w:r>
              <w:rPr>
                <w:rFonts w:ascii="Arial Narrow" w:hAnsi="Arial Narrow"/>
                <w:sz w:val="20"/>
                <w:szCs w:val="20"/>
              </w:rPr>
              <w:t>Department revised base case</w:t>
            </w:r>
            <w:r w:rsidR="00956EDE">
              <w:rPr>
                <w:rFonts w:ascii="Arial Narrow" w:hAnsi="Arial Narrow"/>
                <w:sz w:val="20"/>
                <w:szCs w:val="20"/>
              </w:rPr>
              <w:t xml:space="preserve"> (as above) with t</w:t>
            </w:r>
            <w:r w:rsidR="00555AA5">
              <w:rPr>
                <w:rFonts w:ascii="Arial Narrow" w:hAnsi="Arial Narrow"/>
                <w:sz w:val="20"/>
                <w:szCs w:val="20"/>
              </w:rPr>
              <w:t>est fee of $800 (consistent with gene panel for sarcoma, MBS</w:t>
            </w:r>
            <w:r w:rsidR="00D9178E">
              <w:rPr>
                <w:rFonts w:ascii="Arial Narrow" w:hAnsi="Arial Narrow"/>
                <w:sz w:val="20"/>
                <w:szCs w:val="20"/>
              </w:rPr>
              <w:t xml:space="preserve"> item</w:t>
            </w:r>
            <w:r w:rsidR="00555AA5">
              <w:rPr>
                <w:rFonts w:ascii="Arial Narrow" w:hAnsi="Arial Narrow"/>
                <w:sz w:val="20"/>
                <w:szCs w:val="20"/>
              </w:rPr>
              <w:t xml:space="preserve"> 73376)</w:t>
            </w:r>
            <w:r w:rsidR="00A830BB">
              <w:rPr>
                <w:rFonts w:ascii="Arial Narrow" w:hAnsi="Arial Narrow"/>
                <w:sz w:val="20"/>
                <w:szCs w:val="20"/>
                <w:vertAlign w:val="superscript"/>
              </w:rPr>
              <w:t>b</w:t>
            </w:r>
          </w:p>
        </w:tc>
        <w:tc>
          <w:tcPr>
            <w:tcW w:w="992" w:type="dxa"/>
          </w:tcPr>
          <w:p w14:paraId="4FE02151" w14:textId="3086F54E" w:rsidR="00555AA5" w:rsidRPr="0082413C" w:rsidRDefault="003A19C7" w:rsidP="00771874">
            <w:pPr>
              <w:spacing w:before="0"/>
              <w:rPr>
                <w:rFonts w:ascii="Arial Narrow" w:hAnsi="Arial Narrow"/>
                <w:sz w:val="20"/>
                <w:szCs w:val="20"/>
              </w:rPr>
            </w:pPr>
            <w:r w:rsidRPr="007D59B9">
              <w:rPr>
                <w:rFonts w:ascii="Arial Narrow" w:hAnsi="Arial Narrow"/>
                <w:b/>
                <w:bCs/>
                <w:sz w:val="20"/>
                <w:szCs w:val="20"/>
              </w:rPr>
              <w:t>Redacted</w:t>
            </w:r>
            <w:r>
              <w:rPr>
                <w:rFonts w:ascii="Arial Narrow" w:hAnsi="Arial Narrow"/>
                <w:b/>
                <w:bCs/>
                <w:sz w:val="20"/>
                <w:szCs w:val="20"/>
                <w:vertAlign w:val="superscript"/>
              </w:rPr>
              <w:t>1</w:t>
            </w:r>
          </w:p>
        </w:tc>
        <w:tc>
          <w:tcPr>
            <w:tcW w:w="2500" w:type="dxa"/>
          </w:tcPr>
          <w:p w14:paraId="646B02A8" w14:textId="1B85A5D4" w:rsidR="00555AA5" w:rsidRPr="000570F7" w:rsidRDefault="00427D34" w:rsidP="00771874">
            <w:pPr>
              <w:spacing w:before="0"/>
              <w:rPr>
                <w:rFonts w:ascii="Arial Narrow" w:hAnsi="Arial Narrow"/>
                <w:sz w:val="20"/>
                <w:szCs w:val="20"/>
              </w:rPr>
            </w:pPr>
            <w:r>
              <w:rPr>
                <w:rFonts w:ascii="Arial Narrow" w:hAnsi="Arial Narrow"/>
                <w:b/>
                <w:bCs/>
                <w:sz w:val="20"/>
                <w:szCs w:val="20"/>
              </w:rPr>
              <w:t>-</w:t>
            </w:r>
            <w:r w:rsidR="003A19C7" w:rsidRPr="007D59B9">
              <w:rPr>
                <w:rFonts w:ascii="Arial Narrow" w:hAnsi="Arial Narrow"/>
                <w:b/>
                <w:bCs/>
                <w:sz w:val="20"/>
                <w:szCs w:val="20"/>
              </w:rPr>
              <w:t>Redacted</w:t>
            </w:r>
            <w:r w:rsidR="00555AA5" w:rsidRPr="000570F7">
              <w:rPr>
                <w:rFonts w:ascii="Arial Narrow" w:hAnsi="Arial Narrow"/>
                <w:sz w:val="20"/>
                <w:szCs w:val="20"/>
              </w:rPr>
              <w:t>%</w:t>
            </w:r>
          </w:p>
        </w:tc>
      </w:tr>
      <w:tr w:rsidR="0090281C" w14:paraId="3C838FE1" w14:textId="77777777" w:rsidTr="7AFBB73E">
        <w:tc>
          <w:tcPr>
            <w:tcW w:w="5524" w:type="dxa"/>
          </w:tcPr>
          <w:p w14:paraId="4825AC50" w14:textId="7DF66419" w:rsidR="0090281C" w:rsidRDefault="0090281C" w:rsidP="00771874">
            <w:pPr>
              <w:spacing w:before="0"/>
              <w:rPr>
                <w:rFonts w:ascii="Arial Narrow" w:hAnsi="Arial Narrow"/>
                <w:sz w:val="20"/>
                <w:szCs w:val="20"/>
              </w:rPr>
            </w:pPr>
            <w:r>
              <w:rPr>
                <w:rFonts w:ascii="Arial Narrow" w:hAnsi="Arial Narrow"/>
                <w:sz w:val="20"/>
                <w:szCs w:val="20"/>
              </w:rPr>
              <w:t>Department revised base case (as above) with test fee of $680</w:t>
            </w:r>
            <w:r w:rsidR="00D9178E">
              <w:rPr>
                <w:rFonts w:ascii="Arial Narrow" w:hAnsi="Arial Narrow"/>
                <w:sz w:val="20"/>
                <w:szCs w:val="20"/>
              </w:rPr>
              <w:t xml:space="preserve"> (consistent with the fee of MBS item 73374 in addition to MBS item 73319 for </w:t>
            </w:r>
            <w:r w:rsidR="00D9178E" w:rsidRPr="00BC72CE">
              <w:rPr>
                <w:rFonts w:ascii="Arial Narrow" w:hAnsi="Arial Narrow"/>
                <w:i/>
                <w:iCs/>
                <w:sz w:val="20"/>
                <w:szCs w:val="20"/>
              </w:rPr>
              <w:t>IDH1</w:t>
            </w:r>
            <w:r w:rsidR="00D9178E">
              <w:rPr>
                <w:rFonts w:ascii="Arial Narrow" w:hAnsi="Arial Narrow"/>
                <w:sz w:val="20"/>
                <w:szCs w:val="20"/>
              </w:rPr>
              <w:t xml:space="preserve"> testing)</w:t>
            </w:r>
            <w:r w:rsidR="00A830BB" w:rsidRPr="00BC72CE">
              <w:rPr>
                <w:rFonts w:ascii="Arial Narrow" w:hAnsi="Arial Narrow"/>
                <w:sz w:val="20"/>
                <w:szCs w:val="20"/>
                <w:vertAlign w:val="superscript"/>
              </w:rPr>
              <w:t>c</w:t>
            </w:r>
          </w:p>
        </w:tc>
        <w:tc>
          <w:tcPr>
            <w:tcW w:w="992" w:type="dxa"/>
          </w:tcPr>
          <w:p w14:paraId="68504364" w14:textId="7AA800F6" w:rsidR="0090281C" w:rsidRDefault="003A19C7" w:rsidP="00771874">
            <w:pPr>
              <w:spacing w:before="0"/>
              <w:rPr>
                <w:rFonts w:ascii="Arial Narrow" w:hAnsi="Arial Narrow"/>
                <w:sz w:val="20"/>
                <w:szCs w:val="20"/>
              </w:rPr>
            </w:pPr>
            <w:r w:rsidRPr="007D59B9">
              <w:rPr>
                <w:rFonts w:ascii="Arial Narrow" w:hAnsi="Arial Narrow"/>
                <w:b/>
                <w:bCs/>
                <w:sz w:val="20"/>
                <w:szCs w:val="20"/>
              </w:rPr>
              <w:t>Redacted</w:t>
            </w:r>
            <w:r>
              <w:rPr>
                <w:rFonts w:ascii="Arial Narrow" w:hAnsi="Arial Narrow"/>
                <w:b/>
                <w:bCs/>
                <w:sz w:val="20"/>
                <w:szCs w:val="20"/>
                <w:vertAlign w:val="superscript"/>
              </w:rPr>
              <w:t>1</w:t>
            </w:r>
          </w:p>
        </w:tc>
        <w:tc>
          <w:tcPr>
            <w:tcW w:w="2500" w:type="dxa"/>
          </w:tcPr>
          <w:p w14:paraId="6A36345C" w14:textId="1A39D9FA" w:rsidR="0090281C" w:rsidRPr="000570F7" w:rsidRDefault="00427D34" w:rsidP="00771874">
            <w:pPr>
              <w:spacing w:before="0"/>
              <w:rPr>
                <w:rFonts w:ascii="Arial Narrow" w:hAnsi="Arial Narrow"/>
                <w:sz w:val="20"/>
                <w:szCs w:val="20"/>
              </w:rPr>
            </w:pPr>
            <w:r>
              <w:rPr>
                <w:rFonts w:ascii="Arial Narrow" w:hAnsi="Arial Narrow"/>
                <w:b/>
                <w:bCs/>
                <w:sz w:val="20"/>
                <w:szCs w:val="20"/>
              </w:rPr>
              <w:t>-</w:t>
            </w:r>
            <w:r w:rsidR="00110B5C" w:rsidRPr="007D59B9">
              <w:rPr>
                <w:rFonts w:ascii="Arial Narrow" w:hAnsi="Arial Narrow"/>
                <w:b/>
                <w:bCs/>
                <w:sz w:val="20"/>
                <w:szCs w:val="20"/>
              </w:rPr>
              <w:t>Redacted</w:t>
            </w:r>
            <w:r w:rsidR="00A830BB">
              <w:rPr>
                <w:rFonts w:ascii="Arial Narrow" w:hAnsi="Arial Narrow"/>
                <w:sz w:val="20"/>
                <w:szCs w:val="20"/>
              </w:rPr>
              <w:t>%</w:t>
            </w:r>
          </w:p>
        </w:tc>
      </w:tr>
      <w:tr w:rsidR="00555AA5" w14:paraId="14DCC1A2" w14:textId="77777777" w:rsidTr="7AFBB73E">
        <w:tc>
          <w:tcPr>
            <w:tcW w:w="5524" w:type="dxa"/>
          </w:tcPr>
          <w:p w14:paraId="056248C5" w14:textId="440320A3" w:rsidR="00555AA5" w:rsidRPr="000570F7" w:rsidRDefault="00150831" w:rsidP="00771874">
            <w:pPr>
              <w:spacing w:before="0"/>
              <w:rPr>
                <w:rFonts w:ascii="Arial Narrow" w:hAnsi="Arial Narrow"/>
                <w:sz w:val="20"/>
                <w:szCs w:val="20"/>
                <w:vertAlign w:val="superscript"/>
              </w:rPr>
            </w:pPr>
            <w:r>
              <w:rPr>
                <w:rFonts w:ascii="Arial Narrow" w:hAnsi="Arial Narrow"/>
                <w:sz w:val="20"/>
                <w:szCs w:val="20"/>
              </w:rPr>
              <w:t>Department revised base case (as above) i</w:t>
            </w:r>
            <w:r w:rsidR="00555AA5">
              <w:rPr>
                <w:rFonts w:ascii="Arial Narrow" w:hAnsi="Arial Narrow"/>
                <w:sz w:val="20"/>
                <w:szCs w:val="20"/>
              </w:rPr>
              <w:t>ncluding testing in patients with CUP or pancreatic cancer</w:t>
            </w:r>
          </w:p>
        </w:tc>
        <w:tc>
          <w:tcPr>
            <w:tcW w:w="992" w:type="dxa"/>
          </w:tcPr>
          <w:p w14:paraId="268E5342" w14:textId="55B5FF9C" w:rsidR="00555AA5" w:rsidRDefault="003A19C7" w:rsidP="00771874">
            <w:pPr>
              <w:spacing w:before="0"/>
              <w:rPr>
                <w:rFonts w:ascii="Arial Narrow" w:hAnsi="Arial Narrow"/>
                <w:sz w:val="20"/>
                <w:szCs w:val="20"/>
              </w:rPr>
            </w:pPr>
            <w:r w:rsidRPr="007D59B9">
              <w:rPr>
                <w:rFonts w:ascii="Arial Narrow" w:hAnsi="Arial Narrow"/>
                <w:b/>
                <w:bCs/>
                <w:sz w:val="20"/>
                <w:szCs w:val="20"/>
              </w:rPr>
              <w:t>Redacted</w:t>
            </w:r>
            <w:r>
              <w:rPr>
                <w:rFonts w:ascii="Arial Narrow" w:hAnsi="Arial Narrow"/>
                <w:b/>
                <w:bCs/>
                <w:sz w:val="20"/>
                <w:szCs w:val="20"/>
                <w:vertAlign w:val="superscript"/>
              </w:rPr>
              <w:t>2</w:t>
            </w:r>
          </w:p>
        </w:tc>
        <w:tc>
          <w:tcPr>
            <w:tcW w:w="2500" w:type="dxa"/>
          </w:tcPr>
          <w:p w14:paraId="3D1CCC77" w14:textId="42559907" w:rsidR="00555AA5" w:rsidRPr="00555AA5" w:rsidRDefault="00110B5C" w:rsidP="00771874">
            <w:pPr>
              <w:spacing w:before="0"/>
              <w:rPr>
                <w:rFonts w:ascii="Arial Narrow" w:hAnsi="Arial Narrow"/>
                <w:sz w:val="20"/>
                <w:szCs w:val="20"/>
              </w:rPr>
            </w:pPr>
            <w:r w:rsidRPr="007D59B9">
              <w:rPr>
                <w:rFonts w:ascii="Arial Narrow" w:hAnsi="Arial Narrow"/>
                <w:b/>
                <w:bCs/>
                <w:sz w:val="20"/>
                <w:szCs w:val="20"/>
              </w:rPr>
              <w:t>Redacted</w:t>
            </w:r>
            <w:r w:rsidR="00555AA5">
              <w:rPr>
                <w:rFonts w:ascii="Arial Narrow" w:hAnsi="Arial Narrow"/>
                <w:sz w:val="20"/>
                <w:szCs w:val="20"/>
              </w:rPr>
              <w:t>%</w:t>
            </w:r>
          </w:p>
        </w:tc>
      </w:tr>
    </w:tbl>
    <w:p w14:paraId="3F82987E" w14:textId="5DAB537B" w:rsidR="00DB5173" w:rsidRDefault="00E46451" w:rsidP="008C0288">
      <w:pPr>
        <w:pStyle w:val="TableFooter"/>
        <w:keepNext/>
        <w:keepLines/>
        <w:spacing w:before="0"/>
        <w:jc w:val="left"/>
        <w:rPr>
          <w:szCs w:val="18"/>
        </w:rPr>
      </w:pPr>
      <w:r w:rsidRPr="000570F7">
        <w:rPr>
          <w:rFonts w:eastAsiaTheme="minorHAnsi" w:cstheme="minorBidi"/>
          <w:szCs w:val="18"/>
        </w:rPr>
        <w:t xml:space="preserve">Abbreviations: </w:t>
      </w:r>
      <w:r w:rsidR="00CF7A00" w:rsidRPr="000570F7">
        <w:rPr>
          <w:rFonts w:eastAsiaTheme="minorHAnsi" w:cstheme="minorBidi"/>
          <w:szCs w:val="18"/>
        </w:rPr>
        <w:t>CUP = cancer of unknown primary</w:t>
      </w:r>
      <w:r w:rsidR="00771269">
        <w:rPr>
          <w:rFonts w:eastAsiaTheme="minorHAnsi" w:cstheme="minorBidi"/>
          <w:szCs w:val="18"/>
        </w:rPr>
        <w:br/>
      </w:r>
      <w:proofErr w:type="spellStart"/>
      <w:r w:rsidR="00771269">
        <w:rPr>
          <w:szCs w:val="18"/>
          <w:vertAlign w:val="superscript"/>
        </w:rPr>
        <w:t>a</w:t>
      </w:r>
      <w:r w:rsidR="00771269">
        <w:rPr>
          <w:szCs w:val="18"/>
        </w:rPr>
        <w:t>A</w:t>
      </w:r>
      <w:proofErr w:type="spellEnd"/>
      <w:r w:rsidR="00771269">
        <w:rPr>
          <w:szCs w:val="18"/>
        </w:rPr>
        <w:t xml:space="preserve"> fee of $</w:t>
      </w:r>
      <w:r w:rsidR="00BB02B1">
        <w:rPr>
          <w:szCs w:val="18"/>
        </w:rPr>
        <w:t xml:space="preserve">545 applied in the economic model ($885 - $340 [MBS fee for </w:t>
      </w:r>
      <w:r w:rsidR="00BB02B1" w:rsidRPr="008C3D9D">
        <w:rPr>
          <w:rFonts w:eastAsiaTheme="minorHAnsi" w:cstheme="minorBidi"/>
          <w:i/>
          <w:iCs/>
          <w:szCs w:val="18"/>
        </w:rPr>
        <w:t>IDH1</w:t>
      </w:r>
      <w:r w:rsidR="00BB02B1">
        <w:rPr>
          <w:szCs w:val="18"/>
        </w:rPr>
        <w:t xml:space="preserve"> testing, MBS </w:t>
      </w:r>
      <w:r w:rsidR="00D9178E">
        <w:rPr>
          <w:szCs w:val="18"/>
        </w:rPr>
        <w:t xml:space="preserve">item </w:t>
      </w:r>
      <w:r w:rsidR="00BB02B1">
        <w:rPr>
          <w:szCs w:val="18"/>
        </w:rPr>
        <w:t>73319])</w:t>
      </w:r>
      <w:r w:rsidR="00771269" w:rsidRPr="000570F7">
        <w:rPr>
          <w:rFonts w:eastAsiaTheme="minorHAnsi" w:cstheme="minorBidi"/>
          <w:szCs w:val="18"/>
        </w:rPr>
        <w:br/>
      </w:r>
      <w:proofErr w:type="spellStart"/>
      <w:r w:rsidR="00BB02B1" w:rsidRPr="000570F7">
        <w:rPr>
          <w:szCs w:val="18"/>
          <w:vertAlign w:val="superscript"/>
        </w:rPr>
        <w:t>b</w:t>
      </w:r>
      <w:r w:rsidR="00771269">
        <w:rPr>
          <w:szCs w:val="18"/>
        </w:rPr>
        <w:t>A</w:t>
      </w:r>
      <w:proofErr w:type="spellEnd"/>
      <w:r w:rsidR="00771269">
        <w:rPr>
          <w:szCs w:val="18"/>
        </w:rPr>
        <w:t xml:space="preserve"> fee of $460 applied in the economic model ($800 - $340 [MBS fee for </w:t>
      </w:r>
      <w:r w:rsidR="00771269" w:rsidRPr="000570F7">
        <w:rPr>
          <w:rFonts w:eastAsiaTheme="minorHAnsi" w:cstheme="minorBidi"/>
          <w:i/>
          <w:iCs/>
          <w:szCs w:val="18"/>
        </w:rPr>
        <w:t>IDH1</w:t>
      </w:r>
      <w:r w:rsidR="00771269">
        <w:rPr>
          <w:szCs w:val="18"/>
        </w:rPr>
        <w:t xml:space="preserve"> testing, MBS</w:t>
      </w:r>
      <w:r w:rsidR="00D9178E">
        <w:rPr>
          <w:szCs w:val="18"/>
        </w:rPr>
        <w:t xml:space="preserve"> item</w:t>
      </w:r>
      <w:r w:rsidR="00771269">
        <w:rPr>
          <w:szCs w:val="18"/>
        </w:rPr>
        <w:t xml:space="preserve"> 73319])</w:t>
      </w:r>
    </w:p>
    <w:p w14:paraId="1C5914DB" w14:textId="7BA33193" w:rsidR="00A830BB" w:rsidRDefault="00A830BB" w:rsidP="008915F6">
      <w:pPr>
        <w:pStyle w:val="TableFooter"/>
        <w:keepNext/>
        <w:keepLines/>
        <w:jc w:val="left"/>
        <w:rPr>
          <w:szCs w:val="18"/>
        </w:rPr>
      </w:pPr>
      <w:proofErr w:type="spellStart"/>
      <w:r>
        <w:rPr>
          <w:szCs w:val="18"/>
          <w:vertAlign w:val="superscript"/>
        </w:rPr>
        <w:t>c</w:t>
      </w:r>
      <w:r>
        <w:rPr>
          <w:szCs w:val="18"/>
        </w:rPr>
        <w:t>A</w:t>
      </w:r>
      <w:proofErr w:type="spellEnd"/>
      <w:r>
        <w:rPr>
          <w:szCs w:val="18"/>
        </w:rPr>
        <w:t xml:space="preserve"> fee of $340 applied in the economic model ($680 - $340 [MBS fee for </w:t>
      </w:r>
      <w:r w:rsidRPr="000570F7">
        <w:rPr>
          <w:rFonts w:eastAsiaTheme="minorHAnsi" w:cstheme="minorBidi"/>
          <w:i/>
          <w:iCs/>
          <w:szCs w:val="18"/>
        </w:rPr>
        <w:t>IDH1</w:t>
      </w:r>
      <w:r>
        <w:rPr>
          <w:szCs w:val="18"/>
        </w:rPr>
        <w:t xml:space="preserve"> testing, MBS</w:t>
      </w:r>
      <w:r w:rsidR="00D9178E">
        <w:rPr>
          <w:szCs w:val="18"/>
        </w:rPr>
        <w:t xml:space="preserve"> item</w:t>
      </w:r>
      <w:r>
        <w:rPr>
          <w:szCs w:val="18"/>
        </w:rPr>
        <w:t xml:space="preserve"> 73319])</w:t>
      </w:r>
    </w:p>
    <w:p w14:paraId="31069A45" w14:textId="6A11883A" w:rsidR="00771269" w:rsidRDefault="008915F6" w:rsidP="000523F7">
      <w:pPr>
        <w:pStyle w:val="TableFooter"/>
        <w:keepNext/>
        <w:keepLines/>
        <w:jc w:val="left"/>
      </w:pPr>
      <w:r>
        <w:t xml:space="preserve">Source: </w:t>
      </w:r>
      <w:r w:rsidR="00512E34">
        <w:t>Derived from MSAC 1779.1 resubmission and c</w:t>
      </w:r>
      <w:r>
        <w:t>ompiled for the department</w:t>
      </w:r>
      <w:r w:rsidR="00AF6BA9">
        <w:t>al</w:t>
      </w:r>
      <w:r>
        <w:t xml:space="preserve"> overview</w:t>
      </w:r>
    </w:p>
    <w:p w14:paraId="4C36E107" w14:textId="2170BB09" w:rsidR="003A19C7" w:rsidRDefault="003A19C7" w:rsidP="00771874">
      <w:pPr>
        <w:pStyle w:val="TableFooter"/>
        <w:jc w:val="left"/>
        <w:rPr>
          <w:i/>
          <w:iCs/>
          <w:snapToGrid w:val="0"/>
          <w:color w:val="0D0D0D"/>
          <w:szCs w:val="18"/>
          <w:lang w:eastAsia="en-AU"/>
        </w:rPr>
      </w:pPr>
      <w:r w:rsidRPr="00F65B8B">
        <w:rPr>
          <w:i/>
          <w:iCs/>
          <w:snapToGrid w:val="0"/>
          <w:color w:val="0D0D0D"/>
          <w:szCs w:val="18"/>
          <w:lang w:eastAsia="en-AU"/>
        </w:rPr>
        <w:t>The redacted values correspond to the following ranges:</w:t>
      </w:r>
    </w:p>
    <w:p w14:paraId="734716B3" w14:textId="75275620" w:rsidR="003A19C7" w:rsidRPr="0031094A" w:rsidRDefault="003A19C7" w:rsidP="00771874">
      <w:pPr>
        <w:pStyle w:val="TableFooter"/>
        <w:jc w:val="left"/>
        <w:rPr>
          <w:i/>
          <w:iCs/>
          <w:snapToGrid w:val="0"/>
          <w:color w:val="0D0D0D"/>
          <w:szCs w:val="18"/>
          <w:lang w:eastAsia="en-AU"/>
        </w:rPr>
      </w:pPr>
      <w:r>
        <w:rPr>
          <w:i/>
          <w:iCs/>
          <w:snapToGrid w:val="0"/>
          <w:color w:val="0D0D0D"/>
          <w:szCs w:val="18"/>
          <w:vertAlign w:val="superscript"/>
          <w:lang w:eastAsia="en-AU"/>
        </w:rPr>
        <w:t>1</w:t>
      </w:r>
      <w:r w:rsidRPr="0031094A">
        <w:rPr>
          <w:i/>
          <w:iCs/>
          <w:snapToGrid w:val="0"/>
          <w:color w:val="0D0D0D"/>
          <w:szCs w:val="18"/>
          <w:lang w:eastAsia="en-AU"/>
        </w:rPr>
        <w:t>$55,000 to &lt; $75,000</w:t>
      </w:r>
    </w:p>
    <w:p w14:paraId="44E48AC3" w14:textId="316B9793" w:rsidR="003A19C7" w:rsidRPr="003A19C7" w:rsidRDefault="003A19C7" w:rsidP="00771874">
      <w:pPr>
        <w:pStyle w:val="TableFooter"/>
        <w:jc w:val="left"/>
      </w:pPr>
      <w:r>
        <w:rPr>
          <w:i/>
          <w:iCs/>
          <w:snapToGrid w:val="0"/>
          <w:color w:val="0D0D0D"/>
          <w:szCs w:val="18"/>
          <w:vertAlign w:val="superscript"/>
          <w:lang w:eastAsia="en-AU"/>
        </w:rPr>
        <w:t>2</w:t>
      </w:r>
      <w:r w:rsidRPr="0031094A">
        <w:rPr>
          <w:i/>
          <w:iCs/>
          <w:snapToGrid w:val="0"/>
          <w:color w:val="0D0D0D"/>
          <w:szCs w:val="18"/>
          <w:lang w:eastAsia="en-AU"/>
        </w:rPr>
        <w:t>$75,000 to &lt; $95,000</w:t>
      </w:r>
    </w:p>
    <w:p w14:paraId="25AE2BAC" w14:textId="584E27EC" w:rsidR="00772829" w:rsidRDefault="00B27795" w:rsidP="00771874">
      <w:pPr>
        <w:pStyle w:val="Heading2"/>
        <w:keepNext w:val="0"/>
        <w:keepLines w:val="0"/>
        <w:numPr>
          <w:ilvl w:val="0"/>
          <w:numId w:val="0"/>
        </w:numPr>
      </w:pPr>
      <w:bookmarkStart w:id="30" w:name="_Toc69491426"/>
      <w:r>
        <w:lastRenderedPageBreak/>
        <w:t>1</w:t>
      </w:r>
      <w:r w:rsidR="000523F7">
        <w:t>4</w:t>
      </w:r>
      <w:r w:rsidR="00C36633">
        <w:t>.</w:t>
      </w:r>
      <w:r w:rsidR="00C36633">
        <w:tab/>
      </w:r>
      <w:r w:rsidR="00772829" w:rsidRPr="00CE28E3">
        <w:t>Financial/budgetary impacts</w:t>
      </w:r>
      <w:bookmarkEnd w:id="30"/>
    </w:p>
    <w:p w14:paraId="7A1F00B1" w14:textId="430F75EF" w:rsidR="003473F5" w:rsidRDefault="00E93735" w:rsidP="002E2615">
      <w:r>
        <w:t xml:space="preserve">Using the values </w:t>
      </w:r>
      <w:r w:rsidR="002F1226">
        <w:t xml:space="preserve">described in </w:t>
      </w:r>
      <w:r w:rsidR="00BA5338">
        <w:t xml:space="preserve">Section 10 </w:t>
      </w:r>
      <w:r w:rsidR="00012BBF">
        <w:t>above</w:t>
      </w:r>
      <w:r w:rsidR="00BB02B1">
        <w:t>, the MSAC 1779.1 resubmission</w:t>
      </w:r>
      <w:r w:rsidR="00BA5338">
        <w:t xml:space="preserve"> </w:t>
      </w:r>
      <w:r w:rsidR="00BD7F7A">
        <w:t xml:space="preserve">estimated costs to MBS of </w:t>
      </w:r>
      <w:r w:rsidR="00BD7F7A" w:rsidRPr="000570F7">
        <w:rPr>
          <w:i/>
          <w:iCs/>
        </w:rPr>
        <w:t>FGFR</w:t>
      </w:r>
      <w:r w:rsidR="005E4ABC" w:rsidRPr="000570F7">
        <w:rPr>
          <w:i/>
          <w:iCs/>
        </w:rPr>
        <w:t>2</w:t>
      </w:r>
      <w:r w:rsidR="00BD7F7A">
        <w:t xml:space="preserve"> testing </w:t>
      </w:r>
      <w:r w:rsidR="00012BBF">
        <w:t>to be</w:t>
      </w:r>
      <w:r w:rsidR="00BD7F7A">
        <w:t xml:space="preserve"> </w:t>
      </w:r>
      <w:r w:rsidR="00C83FAA" w:rsidRPr="00CE6A19">
        <w:t>$0 to &lt; $10 million</w:t>
      </w:r>
      <w:r w:rsidR="00BD7F7A">
        <w:t xml:space="preserve"> in year 1, increasing to </w:t>
      </w:r>
      <w:r w:rsidR="00C83FAA" w:rsidRPr="00CE6A19">
        <w:t>$0 to &lt; $10 million</w:t>
      </w:r>
      <w:r w:rsidR="00BD7F7A">
        <w:t xml:space="preserve"> in year 6</w:t>
      </w:r>
      <w:r w:rsidR="0088508E">
        <w:t xml:space="preserve"> (</w:t>
      </w:r>
      <w:r w:rsidR="00316210">
        <w:fldChar w:fldCharType="begin"/>
      </w:r>
      <w:r w:rsidR="00316210">
        <w:instrText xml:space="preserve"> REF _Ref200370769 \h </w:instrText>
      </w:r>
      <w:r w:rsidR="00316210">
        <w:fldChar w:fldCharType="separate"/>
      </w:r>
      <w:r w:rsidR="00D15051">
        <w:fldChar w:fldCharType="begin"/>
      </w:r>
      <w:r w:rsidR="00D15051">
        <w:instrText xml:space="preserve"> REF _Ref200370769 \h </w:instrText>
      </w:r>
      <w:r w:rsidR="00D15051">
        <w:fldChar w:fldCharType="separate"/>
      </w:r>
      <w:r w:rsidR="00D15051">
        <w:t xml:space="preserve">Table </w:t>
      </w:r>
      <w:r w:rsidR="00D15051">
        <w:rPr>
          <w:noProof/>
        </w:rPr>
        <w:t>4</w:t>
      </w:r>
      <w:r w:rsidR="00D15051">
        <w:fldChar w:fldCharType="end"/>
      </w:r>
      <w:r w:rsidR="00316210">
        <w:fldChar w:fldCharType="end"/>
      </w:r>
      <w:r w:rsidR="0088508E">
        <w:t>)</w:t>
      </w:r>
      <w:r w:rsidR="00BD7F7A">
        <w:t>.</w:t>
      </w:r>
    </w:p>
    <w:p w14:paraId="68FFF88C" w14:textId="0BA19959" w:rsidR="00883227" w:rsidRDefault="00883227" w:rsidP="00883227">
      <w:pPr>
        <w:pStyle w:val="Caption"/>
      </w:pPr>
      <w:bookmarkStart w:id="31" w:name="_Ref200370769"/>
      <w:r>
        <w:t xml:space="preserve">Table </w:t>
      </w:r>
      <w:r>
        <w:fldChar w:fldCharType="begin"/>
      </w:r>
      <w:r>
        <w:instrText>SEQ Table \* ARABIC</w:instrText>
      </w:r>
      <w:r>
        <w:fldChar w:fldCharType="separate"/>
      </w:r>
      <w:r w:rsidR="00703EA6">
        <w:rPr>
          <w:noProof/>
        </w:rPr>
        <w:t>4</w:t>
      </w:r>
      <w:r>
        <w:fldChar w:fldCharType="end"/>
      </w:r>
      <w:bookmarkEnd w:id="31"/>
      <w:r>
        <w:t xml:space="preserve">: </w:t>
      </w:r>
      <w:r w:rsidRPr="00576A4D">
        <w:t xml:space="preserve">MBS costs of </w:t>
      </w:r>
      <w:r w:rsidRPr="000570F7">
        <w:rPr>
          <w:i/>
          <w:iCs/>
        </w:rPr>
        <w:t xml:space="preserve">FGFR2 </w:t>
      </w:r>
      <w:r w:rsidRPr="00576A4D">
        <w:t xml:space="preserve">testing </w:t>
      </w:r>
    </w:p>
    <w:tbl>
      <w:tblPr>
        <w:tblW w:w="8655" w:type="dxa"/>
        <w:tblInd w:w="-5" w:type="dxa"/>
        <w:tblLayout w:type="fixed"/>
        <w:tblLook w:val="04A0" w:firstRow="1" w:lastRow="0" w:firstColumn="1" w:lastColumn="0" w:noHBand="0" w:noVBand="1"/>
      </w:tblPr>
      <w:tblGrid>
        <w:gridCol w:w="1236"/>
        <w:gridCol w:w="1236"/>
        <w:gridCol w:w="1237"/>
        <w:gridCol w:w="1236"/>
        <w:gridCol w:w="1237"/>
        <w:gridCol w:w="1236"/>
        <w:gridCol w:w="1237"/>
      </w:tblGrid>
      <w:tr w:rsidR="005A088B" w:rsidRPr="003473F5" w14:paraId="1DBA339F" w14:textId="77777777" w:rsidTr="0031094A">
        <w:trPr>
          <w:trHeight w:val="251"/>
          <w:tblHeader/>
        </w:trPr>
        <w:tc>
          <w:tcPr>
            <w:tcW w:w="1236" w:type="dxa"/>
            <w:tcBorders>
              <w:top w:val="single" w:sz="4" w:space="0" w:color="auto"/>
              <w:left w:val="single" w:sz="4" w:space="0" w:color="auto"/>
              <w:bottom w:val="single" w:sz="4" w:space="0" w:color="auto"/>
              <w:right w:val="single" w:sz="4" w:space="0" w:color="auto"/>
            </w:tcBorders>
            <w:noWrap/>
            <w:vAlign w:val="center"/>
            <w:hideMark/>
          </w:tcPr>
          <w:p w14:paraId="0F7A046C" w14:textId="1D1AD4A0" w:rsidR="003473F5" w:rsidRPr="000570F7" w:rsidRDefault="003473F5" w:rsidP="003473F5">
            <w:pPr>
              <w:spacing w:before="0" w:after="0" w:line="240" w:lineRule="auto"/>
              <w:rPr>
                <w:rFonts w:ascii="Arial Narrow" w:eastAsia="Times New Roman" w:hAnsi="Arial Narrow" w:cs="Arial"/>
                <w:b/>
                <w:bCs/>
                <w:color w:val="000000"/>
                <w:sz w:val="20"/>
                <w:szCs w:val="20"/>
                <w:lang w:eastAsia="en-AU"/>
              </w:rPr>
            </w:pPr>
            <w:r w:rsidRPr="000570F7">
              <w:rPr>
                <w:rFonts w:ascii="Arial Narrow" w:eastAsia="Times New Roman" w:hAnsi="Arial Narrow" w:cs="Arial"/>
                <w:b/>
                <w:bCs/>
                <w:color w:val="000000"/>
                <w:sz w:val="20"/>
                <w:szCs w:val="20"/>
                <w:lang w:eastAsia="en-AU"/>
              </w:rPr>
              <w:t>Description </w:t>
            </w:r>
          </w:p>
        </w:tc>
        <w:tc>
          <w:tcPr>
            <w:tcW w:w="1236" w:type="dxa"/>
            <w:tcBorders>
              <w:top w:val="single" w:sz="4" w:space="0" w:color="auto"/>
              <w:left w:val="nil"/>
              <w:bottom w:val="single" w:sz="4" w:space="0" w:color="auto"/>
              <w:right w:val="single" w:sz="4" w:space="0" w:color="auto"/>
            </w:tcBorders>
            <w:noWrap/>
            <w:vAlign w:val="center"/>
            <w:hideMark/>
          </w:tcPr>
          <w:p w14:paraId="5708585C" w14:textId="77777777" w:rsidR="003473F5" w:rsidRPr="000570F7" w:rsidRDefault="003473F5" w:rsidP="003473F5">
            <w:pPr>
              <w:spacing w:before="0" w:after="0" w:line="240" w:lineRule="auto"/>
              <w:jc w:val="center"/>
              <w:rPr>
                <w:rFonts w:ascii="Arial Narrow" w:eastAsia="Times New Roman" w:hAnsi="Arial Narrow" w:cs="Arial"/>
                <w:b/>
                <w:bCs/>
                <w:color w:val="000000"/>
                <w:sz w:val="20"/>
                <w:szCs w:val="20"/>
                <w:lang w:eastAsia="en-AU"/>
              </w:rPr>
            </w:pPr>
            <w:r w:rsidRPr="000570F7">
              <w:rPr>
                <w:rFonts w:ascii="Arial Narrow" w:eastAsia="Times New Roman" w:hAnsi="Arial Narrow" w:cs="Arial"/>
                <w:b/>
                <w:bCs/>
                <w:color w:val="000000"/>
                <w:sz w:val="20"/>
                <w:szCs w:val="20"/>
                <w:lang w:eastAsia="en-AU"/>
              </w:rPr>
              <w:t>2025</w:t>
            </w:r>
          </w:p>
        </w:tc>
        <w:tc>
          <w:tcPr>
            <w:tcW w:w="1237" w:type="dxa"/>
            <w:tcBorders>
              <w:top w:val="single" w:sz="4" w:space="0" w:color="auto"/>
              <w:left w:val="nil"/>
              <w:bottom w:val="single" w:sz="4" w:space="0" w:color="auto"/>
              <w:right w:val="single" w:sz="4" w:space="0" w:color="auto"/>
            </w:tcBorders>
            <w:noWrap/>
            <w:vAlign w:val="center"/>
            <w:hideMark/>
          </w:tcPr>
          <w:p w14:paraId="763292F1" w14:textId="77777777" w:rsidR="003473F5" w:rsidRPr="000570F7" w:rsidRDefault="003473F5" w:rsidP="003473F5">
            <w:pPr>
              <w:spacing w:before="0" w:after="0" w:line="240" w:lineRule="auto"/>
              <w:jc w:val="center"/>
              <w:rPr>
                <w:rFonts w:ascii="Arial Narrow" w:eastAsia="Times New Roman" w:hAnsi="Arial Narrow" w:cs="Arial"/>
                <w:b/>
                <w:bCs/>
                <w:color w:val="000000"/>
                <w:sz w:val="20"/>
                <w:szCs w:val="20"/>
                <w:lang w:eastAsia="en-AU"/>
              </w:rPr>
            </w:pPr>
            <w:r w:rsidRPr="000570F7">
              <w:rPr>
                <w:rFonts w:ascii="Arial Narrow" w:eastAsia="Times New Roman" w:hAnsi="Arial Narrow" w:cs="Arial"/>
                <w:b/>
                <w:bCs/>
                <w:color w:val="000000"/>
                <w:sz w:val="20"/>
                <w:szCs w:val="20"/>
                <w:lang w:eastAsia="en-AU"/>
              </w:rPr>
              <w:t>2026</w:t>
            </w:r>
          </w:p>
        </w:tc>
        <w:tc>
          <w:tcPr>
            <w:tcW w:w="1236" w:type="dxa"/>
            <w:tcBorders>
              <w:top w:val="single" w:sz="4" w:space="0" w:color="auto"/>
              <w:left w:val="nil"/>
              <w:bottom w:val="single" w:sz="4" w:space="0" w:color="auto"/>
              <w:right w:val="single" w:sz="4" w:space="0" w:color="auto"/>
            </w:tcBorders>
            <w:noWrap/>
            <w:vAlign w:val="center"/>
            <w:hideMark/>
          </w:tcPr>
          <w:p w14:paraId="0D3C195F" w14:textId="77777777" w:rsidR="003473F5" w:rsidRPr="000570F7" w:rsidRDefault="003473F5" w:rsidP="003473F5">
            <w:pPr>
              <w:spacing w:before="0" w:after="0" w:line="240" w:lineRule="auto"/>
              <w:jc w:val="center"/>
              <w:rPr>
                <w:rFonts w:ascii="Arial Narrow" w:eastAsia="Times New Roman" w:hAnsi="Arial Narrow" w:cs="Arial"/>
                <w:b/>
                <w:bCs/>
                <w:color w:val="000000"/>
                <w:sz w:val="20"/>
                <w:szCs w:val="20"/>
                <w:lang w:eastAsia="en-AU"/>
              </w:rPr>
            </w:pPr>
            <w:r w:rsidRPr="000570F7">
              <w:rPr>
                <w:rFonts w:ascii="Arial Narrow" w:eastAsia="Times New Roman" w:hAnsi="Arial Narrow" w:cs="Arial"/>
                <w:b/>
                <w:bCs/>
                <w:color w:val="000000"/>
                <w:sz w:val="20"/>
                <w:szCs w:val="20"/>
                <w:lang w:eastAsia="en-AU"/>
              </w:rPr>
              <w:t>2027</w:t>
            </w:r>
          </w:p>
        </w:tc>
        <w:tc>
          <w:tcPr>
            <w:tcW w:w="1237" w:type="dxa"/>
            <w:tcBorders>
              <w:top w:val="single" w:sz="4" w:space="0" w:color="auto"/>
              <w:left w:val="nil"/>
              <w:bottom w:val="single" w:sz="4" w:space="0" w:color="auto"/>
              <w:right w:val="single" w:sz="4" w:space="0" w:color="auto"/>
            </w:tcBorders>
            <w:noWrap/>
            <w:vAlign w:val="center"/>
            <w:hideMark/>
          </w:tcPr>
          <w:p w14:paraId="55A601B1" w14:textId="77777777" w:rsidR="003473F5" w:rsidRPr="000570F7" w:rsidRDefault="003473F5" w:rsidP="003473F5">
            <w:pPr>
              <w:spacing w:before="0" w:after="0" w:line="240" w:lineRule="auto"/>
              <w:jc w:val="center"/>
              <w:rPr>
                <w:rFonts w:ascii="Arial Narrow" w:eastAsia="Times New Roman" w:hAnsi="Arial Narrow" w:cs="Arial"/>
                <w:b/>
                <w:bCs/>
                <w:color w:val="000000"/>
                <w:sz w:val="20"/>
                <w:szCs w:val="20"/>
                <w:lang w:eastAsia="en-AU"/>
              </w:rPr>
            </w:pPr>
            <w:r w:rsidRPr="000570F7">
              <w:rPr>
                <w:rFonts w:ascii="Arial Narrow" w:eastAsia="Times New Roman" w:hAnsi="Arial Narrow" w:cs="Arial"/>
                <w:b/>
                <w:bCs/>
                <w:color w:val="000000"/>
                <w:sz w:val="20"/>
                <w:szCs w:val="20"/>
                <w:lang w:eastAsia="en-AU"/>
              </w:rPr>
              <w:t>2028</w:t>
            </w:r>
          </w:p>
        </w:tc>
        <w:tc>
          <w:tcPr>
            <w:tcW w:w="1236" w:type="dxa"/>
            <w:tcBorders>
              <w:top w:val="single" w:sz="4" w:space="0" w:color="auto"/>
              <w:left w:val="nil"/>
              <w:bottom w:val="single" w:sz="4" w:space="0" w:color="auto"/>
              <w:right w:val="single" w:sz="4" w:space="0" w:color="auto"/>
            </w:tcBorders>
            <w:noWrap/>
            <w:vAlign w:val="center"/>
            <w:hideMark/>
          </w:tcPr>
          <w:p w14:paraId="5C9BB545" w14:textId="77777777" w:rsidR="003473F5" w:rsidRPr="000570F7" w:rsidRDefault="003473F5" w:rsidP="003473F5">
            <w:pPr>
              <w:spacing w:before="0" w:after="0" w:line="240" w:lineRule="auto"/>
              <w:jc w:val="center"/>
              <w:rPr>
                <w:rFonts w:ascii="Arial Narrow" w:eastAsia="Times New Roman" w:hAnsi="Arial Narrow" w:cs="Arial"/>
                <w:b/>
                <w:bCs/>
                <w:color w:val="000000"/>
                <w:sz w:val="20"/>
                <w:szCs w:val="20"/>
                <w:lang w:eastAsia="en-AU"/>
              </w:rPr>
            </w:pPr>
            <w:r w:rsidRPr="000570F7">
              <w:rPr>
                <w:rFonts w:ascii="Arial Narrow" w:eastAsia="Times New Roman" w:hAnsi="Arial Narrow" w:cs="Arial"/>
                <w:b/>
                <w:bCs/>
                <w:color w:val="000000"/>
                <w:sz w:val="20"/>
                <w:szCs w:val="20"/>
                <w:lang w:eastAsia="en-AU"/>
              </w:rPr>
              <w:t>2029</w:t>
            </w:r>
          </w:p>
        </w:tc>
        <w:tc>
          <w:tcPr>
            <w:tcW w:w="1237" w:type="dxa"/>
            <w:tcBorders>
              <w:top w:val="single" w:sz="4" w:space="0" w:color="auto"/>
              <w:left w:val="nil"/>
              <w:bottom w:val="single" w:sz="4" w:space="0" w:color="auto"/>
              <w:right w:val="single" w:sz="4" w:space="0" w:color="auto"/>
            </w:tcBorders>
            <w:noWrap/>
            <w:vAlign w:val="center"/>
            <w:hideMark/>
          </w:tcPr>
          <w:p w14:paraId="5C860D54" w14:textId="77777777" w:rsidR="003473F5" w:rsidRPr="000570F7" w:rsidRDefault="003473F5" w:rsidP="003473F5">
            <w:pPr>
              <w:spacing w:before="0" w:after="0" w:line="240" w:lineRule="auto"/>
              <w:jc w:val="center"/>
              <w:rPr>
                <w:rFonts w:ascii="Arial Narrow" w:eastAsia="Times New Roman" w:hAnsi="Arial Narrow" w:cs="Arial"/>
                <w:b/>
                <w:bCs/>
                <w:color w:val="000000"/>
                <w:sz w:val="20"/>
                <w:szCs w:val="20"/>
                <w:lang w:eastAsia="en-AU"/>
              </w:rPr>
            </w:pPr>
            <w:r w:rsidRPr="000570F7">
              <w:rPr>
                <w:rFonts w:ascii="Arial Narrow" w:eastAsia="Times New Roman" w:hAnsi="Arial Narrow" w:cs="Arial"/>
                <w:b/>
                <w:bCs/>
                <w:color w:val="000000"/>
                <w:sz w:val="20"/>
                <w:szCs w:val="20"/>
                <w:lang w:eastAsia="en-AU"/>
              </w:rPr>
              <w:t>2030</w:t>
            </w:r>
          </w:p>
        </w:tc>
      </w:tr>
      <w:tr w:rsidR="005A088B" w:rsidRPr="003473F5" w14:paraId="2708627B" w14:textId="77777777" w:rsidTr="00D874F8">
        <w:trPr>
          <w:trHeight w:val="590"/>
        </w:trPr>
        <w:tc>
          <w:tcPr>
            <w:tcW w:w="1236" w:type="dxa"/>
            <w:tcBorders>
              <w:top w:val="single" w:sz="4" w:space="0" w:color="auto"/>
              <w:left w:val="single" w:sz="4" w:space="0" w:color="auto"/>
              <w:bottom w:val="single" w:sz="4" w:space="0" w:color="auto"/>
              <w:right w:val="single" w:sz="4" w:space="0" w:color="auto"/>
            </w:tcBorders>
            <w:noWrap/>
            <w:hideMark/>
          </w:tcPr>
          <w:p w14:paraId="795BFB3D" w14:textId="518491EB" w:rsidR="00150283" w:rsidRPr="000570F7" w:rsidRDefault="00771F14" w:rsidP="00150283">
            <w:pPr>
              <w:spacing w:before="0" w:after="0" w:line="240" w:lineRule="auto"/>
              <w:rPr>
                <w:rFonts w:ascii="Arial Narrow" w:eastAsia="Times New Roman" w:hAnsi="Arial Narrow" w:cs="Arial"/>
                <w:color w:val="000000"/>
                <w:sz w:val="20"/>
                <w:szCs w:val="20"/>
                <w:lang w:eastAsia="en-AU"/>
              </w:rPr>
            </w:pPr>
            <w:r w:rsidRPr="009C398E">
              <w:rPr>
                <w:rFonts w:ascii="Arial Narrow" w:eastAsia="Times New Roman" w:hAnsi="Arial Narrow" w:cs="Arial"/>
                <w:color w:val="000000"/>
                <w:sz w:val="20"/>
                <w:szCs w:val="20"/>
                <w:lang w:eastAsia="en-AU"/>
              </w:rPr>
              <w:t xml:space="preserve">Net cost to the </w:t>
            </w:r>
            <w:proofErr w:type="spellStart"/>
            <w:r w:rsidRPr="009C398E">
              <w:rPr>
                <w:rFonts w:ascii="Arial Narrow" w:eastAsia="Times New Roman" w:hAnsi="Arial Narrow" w:cs="Arial"/>
                <w:color w:val="000000"/>
                <w:sz w:val="20"/>
                <w:szCs w:val="20"/>
                <w:lang w:eastAsia="en-AU"/>
              </w:rPr>
              <w:t>MBS</w:t>
            </w:r>
            <w:r w:rsidR="004C1804">
              <w:rPr>
                <w:rFonts w:ascii="Arial Narrow" w:eastAsia="Times New Roman" w:hAnsi="Arial Narrow" w:cs="Arial"/>
                <w:color w:val="000000"/>
                <w:sz w:val="20"/>
                <w:szCs w:val="20"/>
                <w:vertAlign w:val="superscript"/>
                <w:lang w:eastAsia="en-AU"/>
              </w:rPr>
              <w:t>a</w:t>
            </w:r>
            <w:proofErr w:type="spellEnd"/>
            <w:r w:rsidRPr="009C398E">
              <w:rPr>
                <w:rFonts w:ascii="Arial Narrow" w:eastAsia="Times New Roman" w:hAnsi="Arial Narrow" w:cs="Arial"/>
                <w:color w:val="000000"/>
                <w:sz w:val="20"/>
                <w:szCs w:val="20"/>
                <w:lang w:eastAsia="en-AU"/>
              </w:rPr>
              <w:t xml:space="preserve"> </w:t>
            </w:r>
          </w:p>
        </w:tc>
        <w:tc>
          <w:tcPr>
            <w:tcW w:w="1236" w:type="dxa"/>
            <w:tcBorders>
              <w:top w:val="single" w:sz="4" w:space="0" w:color="auto"/>
              <w:left w:val="nil"/>
              <w:bottom w:val="single" w:sz="4" w:space="0" w:color="auto"/>
              <w:right w:val="single" w:sz="4" w:space="0" w:color="auto"/>
            </w:tcBorders>
            <w:noWrap/>
            <w:hideMark/>
          </w:tcPr>
          <w:p w14:paraId="58C24400" w14:textId="5C56D4DF" w:rsidR="00150283" w:rsidRPr="00D874F8" w:rsidRDefault="002A02B8" w:rsidP="00D874F8">
            <w:pPr>
              <w:spacing w:before="0" w:after="0" w:line="240" w:lineRule="auto"/>
              <w:jc w:val="center"/>
              <w:rPr>
                <w:rFonts w:ascii="Arial Narrow" w:hAnsi="Arial Narrow" w:cs="Arial"/>
                <w:color w:val="000000"/>
                <w:sz w:val="20"/>
                <w:szCs w:val="20"/>
                <w:vertAlign w:val="superscript"/>
              </w:rPr>
            </w:pPr>
            <w:r w:rsidRPr="0031094A">
              <w:rPr>
                <w:rFonts w:ascii="Arial Narrow" w:hAnsi="Arial Narrow" w:cs="Arial"/>
                <w:b/>
                <w:bCs/>
                <w:color w:val="000000"/>
                <w:sz w:val="20"/>
                <w:szCs w:val="20"/>
              </w:rPr>
              <w:t>Redacted</w:t>
            </w:r>
            <w:r w:rsidR="006E69C1">
              <w:rPr>
                <w:rFonts w:ascii="Arial Narrow" w:hAnsi="Arial Narrow" w:cs="Arial"/>
                <w:color w:val="000000"/>
                <w:sz w:val="20"/>
                <w:szCs w:val="20"/>
                <w:vertAlign w:val="superscript"/>
              </w:rPr>
              <w:t>1</w:t>
            </w:r>
          </w:p>
        </w:tc>
        <w:tc>
          <w:tcPr>
            <w:tcW w:w="1237" w:type="dxa"/>
            <w:tcBorders>
              <w:top w:val="single" w:sz="4" w:space="0" w:color="auto"/>
              <w:left w:val="nil"/>
              <w:bottom w:val="single" w:sz="4" w:space="0" w:color="auto"/>
              <w:right w:val="single" w:sz="4" w:space="0" w:color="auto"/>
            </w:tcBorders>
            <w:noWrap/>
            <w:hideMark/>
          </w:tcPr>
          <w:p w14:paraId="2FB7A31F" w14:textId="2C516534" w:rsidR="00150283" w:rsidRPr="00D874F8" w:rsidRDefault="006E69C1" w:rsidP="00D874F8">
            <w:pPr>
              <w:spacing w:before="0" w:after="0" w:line="240" w:lineRule="auto"/>
              <w:jc w:val="center"/>
              <w:rPr>
                <w:rFonts w:ascii="Arial Narrow" w:hAnsi="Arial Narrow" w:cs="Arial"/>
                <w:color w:val="000000"/>
                <w:sz w:val="20"/>
                <w:szCs w:val="20"/>
                <w:vertAlign w:val="superscript"/>
              </w:rPr>
            </w:pPr>
            <w:r w:rsidRPr="001B17EC">
              <w:rPr>
                <w:rFonts w:ascii="Arial Narrow" w:hAnsi="Arial Narrow" w:cs="Arial"/>
                <w:b/>
                <w:bCs/>
                <w:color w:val="000000"/>
                <w:sz w:val="20"/>
                <w:szCs w:val="20"/>
              </w:rPr>
              <w:t>Redacted</w:t>
            </w:r>
            <w:r>
              <w:rPr>
                <w:rFonts w:ascii="Arial Narrow" w:hAnsi="Arial Narrow" w:cs="Arial"/>
                <w:color w:val="000000"/>
                <w:sz w:val="20"/>
                <w:szCs w:val="20"/>
                <w:vertAlign w:val="superscript"/>
              </w:rPr>
              <w:t>1</w:t>
            </w:r>
          </w:p>
        </w:tc>
        <w:tc>
          <w:tcPr>
            <w:tcW w:w="1236" w:type="dxa"/>
            <w:tcBorders>
              <w:top w:val="single" w:sz="4" w:space="0" w:color="auto"/>
              <w:left w:val="nil"/>
              <w:bottom w:val="single" w:sz="4" w:space="0" w:color="auto"/>
              <w:right w:val="single" w:sz="4" w:space="0" w:color="auto"/>
            </w:tcBorders>
            <w:noWrap/>
            <w:hideMark/>
          </w:tcPr>
          <w:p w14:paraId="32F99E0D" w14:textId="6A2CBE6A" w:rsidR="00150283" w:rsidRPr="00D874F8" w:rsidRDefault="006E69C1" w:rsidP="00D874F8">
            <w:pPr>
              <w:spacing w:before="0" w:after="0" w:line="240" w:lineRule="auto"/>
              <w:jc w:val="center"/>
              <w:rPr>
                <w:rFonts w:ascii="Arial Narrow" w:hAnsi="Arial Narrow" w:cs="Arial"/>
                <w:color w:val="000000"/>
                <w:sz w:val="20"/>
                <w:szCs w:val="20"/>
                <w:vertAlign w:val="superscript"/>
              </w:rPr>
            </w:pPr>
            <w:r w:rsidRPr="001B17EC">
              <w:rPr>
                <w:rFonts w:ascii="Arial Narrow" w:hAnsi="Arial Narrow" w:cs="Arial"/>
                <w:b/>
                <w:bCs/>
                <w:color w:val="000000"/>
                <w:sz w:val="20"/>
                <w:szCs w:val="20"/>
              </w:rPr>
              <w:t>Redacted</w:t>
            </w:r>
            <w:r>
              <w:rPr>
                <w:rFonts w:ascii="Arial Narrow" w:hAnsi="Arial Narrow" w:cs="Arial"/>
                <w:color w:val="000000"/>
                <w:sz w:val="20"/>
                <w:szCs w:val="20"/>
                <w:vertAlign w:val="superscript"/>
              </w:rPr>
              <w:t>1</w:t>
            </w:r>
          </w:p>
        </w:tc>
        <w:tc>
          <w:tcPr>
            <w:tcW w:w="1237" w:type="dxa"/>
            <w:tcBorders>
              <w:top w:val="single" w:sz="4" w:space="0" w:color="auto"/>
              <w:left w:val="nil"/>
              <w:bottom w:val="single" w:sz="4" w:space="0" w:color="auto"/>
              <w:right w:val="single" w:sz="4" w:space="0" w:color="auto"/>
            </w:tcBorders>
            <w:noWrap/>
            <w:hideMark/>
          </w:tcPr>
          <w:p w14:paraId="2D311EA2" w14:textId="4E2DC264" w:rsidR="00150283" w:rsidRPr="00D874F8" w:rsidRDefault="006E69C1" w:rsidP="00D874F8">
            <w:pPr>
              <w:spacing w:before="0" w:after="0" w:line="240" w:lineRule="auto"/>
              <w:jc w:val="center"/>
              <w:rPr>
                <w:rFonts w:ascii="Arial Narrow" w:hAnsi="Arial Narrow" w:cs="Arial"/>
                <w:color w:val="000000"/>
                <w:sz w:val="20"/>
                <w:szCs w:val="20"/>
                <w:vertAlign w:val="superscript"/>
              </w:rPr>
            </w:pPr>
            <w:r w:rsidRPr="001B17EC">
              <w:rPr>
                <w:rFonts w:ascii="Arial Narrow" w:hAnsi="Arial Narrow" w:cs="Arial"/>
                <w:b/>
                <w:bCs/>
                <w:color w:val="000000"/>
                <w:sz w:val="20"/>
                <w:szCs w:val="20"/>
              </w:rPr>
              <w:t>Redacted</w:t>
            </w:r>
            <w:r>
              <w:rPr>
                <w:rFonts w:ascii="Arial Narrow" w:hAnsi="Arial Narrow" w:cs="Arial"/>
                <w:color w:val="000000"/>
                <w:sz w:val="20"/>
                <w:szCs w:val="20"/>
                <w:vertAlign w:val="superscript"/>
              </w:rPr>
              <w:t>1</w:t>
            </w:r>
          </w:p>
        </w:tc>
        <w:tc>
          <w:tcPr>
            <w:tcW w:w="1236" w:type="dxa"/>
            <w:tcBorders>
              <w:top w:val="single" w:sz="4" w:space="0" w:color="auto"/>
              <w:left w:val="nil"/>
              <w:bottom w:val="single" w:sz="4" w:space="0" w:color="auto"/>
              <w:right w:val="single" w:sz="4" w:space="0" w:color="auto"/>
            </w:tcBorders>
            <w:noWrap/>
            <w:hideMark/>
          </w:tcPr>
          <w:p w14:paraId="5070F262" w14:textId="6D5253B7" w:rsidR="00150283" w:rsidRPr="00D874F8" w:rsidRDefault="005A088B" w:rsidP="00D874F8">
            <w:pPr>
              <w:spacing w:before="0" w:after="0" w:line="240" w:lineRule="auto"/>
              <w:jc w:val="center"/>
              <w:rPr>
                <w:rFonts w:ascii="Arial Narrow" w:hAnsi="Arial Narrow" w:cs="Arial"/>
                <w:color w:val="000000"/>
                <w:sz w:val="20"/>
                <w:szCs w:val="20"/>
                <w:vertAlign w:val="superscript"/>
              </w:rPr>
            </w:pPr>
            <w:r w:rsidRPr="001B17EC">
              <w:rPr>
                <w:rFonts w:ascii="Arial Narrow" w:hAnsi="Arial Narrow" w:cs="Arial"/>
                <w:b/>
                <w:bCs/>
                <w:color w:val="000000"/>
                <w:sz w:val="20"/>
                <w:szCs w:val="20"/>
              </w:rPr>
              <w:t>Redacted</w:t>
            </w:r>
            <w:r>
              <w:rPr>
                <w:rFonts w:ascii="Arial Narrow" w:hAnsi="Arial Narrow" w:cs="Arial"/>
                <w:color w:val="000000"/>
                <w:sz w:val="20"/>
                <w:szCs w:val="20"/>
                <w:vertAlign w:val="superscript"/>
              </w:rPr>
              <w:t>1</w:t>
            </w:r>
          </w:p>
        </w:tc>
        <w:tc>
          <w:tcPr>
            <w:tcW w:w="1237" w:type="dxa"/>
            <w:tcBorders>
              <w:top w:val="single" w:sz="4" w:space="0" w:color="auto"/>
              <w:left w:val="nil"/>
              <w:bottom w:val="single" w:sz="4" w:space="0" w:color="auto"/>
              <w:right w:val="single" w:sz="4" w:space="0" w:color="auto"/>
            </w:tcBorders>
            <w:noWrap/>
            <w:hideMark/>
          </w:tcPr>
          <w:p w14:paraId="180F8906" w14:textId="2DD4F145" w:rsidR="00150283" w:rsidRPr="00D874F8" w:rsidRDefault="005A088B" w:rsidP="00D874F8">
            <w:pPr>
              <w:spacing w:before="0" w:after="0" w:line="240" w:lineRule="auto"/>
              <w:jc w:val="center"/>
              <w:rPr>
                <w:rFonts w:ascii="Arial Narrow" w:hAnsi="Arial Narrow" w:cs="Arial"/>
                <w:color w:val="000000"/>
                <w:sz w:val="20"/>
                <w:szCs w:val="20"/>
                <w:vertAlign w:val="superscript"/>
              </w:rPr>
            </w:pPr>
            <w:r w:rsidRPr="001B17EC">
              <w:rPr>
                <w:rFonts w:ascii="Arial Narrow" w:hAnsi="Arial Narrow" w:cs="Arial"/>
                <w:b/>
                <w:bCs/>
                <w:color w:val="000000"/>
                <w:sz w:val="20"/>
                <w:szCs w:val="20"/>
              </w:rPr>
              <w:t>Redacted</w:t>
            </w:r>
            <w:r>
              <w:rPr>
                <w:rFonts w:ascii="Arial Narrow" w:hAnsi="Arial Narrow" w:cs="Arial"/>
                <w:color w:val="000000"/>
                <w:sz w:val="20"/>
                <w:szCs w:val="20"/>
                <w:vertAlign w:val="superscript"/>
              </w:rPr>
              <w:t>1</w:t>
            </w:r>
          </w:p>
        </w:tc>
      </w:tr>
    </w:tbl>
    <w:p w14:paraId="7FEA02EF" w14:textId="2FCE9922" w:rsidR="008915F6" w:rsidRDefault="001D50A7">
      <w:pPr>
        <w:pStyle w:val="TableFooter"/>
        <w:jc w:val="left"/>
      </w:pPr>
      <w:r>
        <w:t xml:space="preserve">Abbreviations: </w:t>
      </w:r>
      <w:r w:rsidR="00B43A5B" w:rsidRPr="00582F3A">
        <w:rPr>
          <w:i/>
          <w:iCs/>
        </w:rPr>
        <w:t>FGFR2</w:t>
      </w:r>
      <w:r w:rsidR="00B43A5B" w:rsidRPr="00B27879">
        <w:t xml:space="preserve"> = fibroblast growth factor receptor 2</w:t>
      </w:r>
      <w:r w:rsidR="00574F6D">
        <w:t xml:space="preserve"> </w:t>
      </w:r>
      <w:r w:rsidR="004C1804">
        <w:br/>
      </w:r>
      <w:r w:rsidR="004C1804" w:rsidRPr="000570F7">
        <w:rPr>
          <w:vertAlign w:val="superscript"/>
        </w:rPr>
        <w:t>a</w:t>
      </w:r>
      <w:r w:rsidR="004C1804">
        <w:t xml:space="preserve"> Assuming test fee of $885 ($545 incremental fee applied in the financial analysis), 0% free testing by</w:t>
      </w:r>
      <w:r w:rsidR="00486B61">
        <w:t xml:space="preserve"> </w:t>
      </w:r>
      <w:proofErr w:type="spellStart"/>
      <w:r w:rsidR="00486B61">
        <w:t>Omico</w:t>
      </w:r>
      <w:proofErr w:type="spellEnd"/>
      <w:r w:rsidR="00486B61">
        <w:t xml:space="preserve"> at no cost</w:t>
      </w:r>
      <w:r w:rsidR="00B851FA">
        <w:t xml:space="preserve">, testing population increased by 357% from the initial submission, an additional 1% of testing to account for testing that occurs in patients outside of the intended CCA population, </w:t>
      </w:r>
      <w:r w:rsidR="00766832">
        <w:t>80</w:t>
      </w:r>
      <w:r w:rsidR="004C1804">
        <w:t>% rebate</w:t>
      </w:r>
      <w:r w:rsidR="008915F6">
        <w:t xml:space="preserve">, includes MBS offsets. </w:t>
      </w:r>
    </w:p>
    <w:p w14:paraId="094F2DF3" w14:textId="493FA1CD" w:rsidR="001D50A7" w:rsidRDefault="008915F6" w:rsidP="000570F7">
      <w:pPr>
        <w:pStyle w:val="TableFooter"/>
        <w:jc w:val="left"/>
      </w:pPr>
      <w:r>
        <w:t>Source: Table 3 in 1779.1 resubmission</w:t>
      </w:r>
    </w:p>
    <w:p w14:paraId="384FED92" w14:textId="77777777" w:rsidR="00191D73" w:rsidRDefault="00191D73" w:rsidP="00191D73">
      <w:pPr>
        <w:pStyle w:val="TableFooter"/>
        <w:rPr>
          <w:i/>
          <w:iCs/>
          <w:snapToGrid w:val="0"/>
          <w:color w:val="0D0D0D"/>
          <w:szCs w:val="18"/>
          <w:lang w:eastAsia="en-AU"/>
        </w:rPr>
      </w:pPr>
      <w:r w:rsidRPr="00F65B8B">
        <w:rPr>
          <w:i/>
          <w:iCs/>
          <w:snapToGrid w:val="0"/>
          <w:color w:val="0D0D0D"/>
          <w:szCs w:val="18"/>
          <w:lang w:eastAsia="en-AU"/>
        </w:rPr>
        <w:t>The redacted values correspond to the following ranges:</w:t>
      </w:r>
    </w:p>
    <w:p w14:paraId="52555341" w14:textId="134B7662" w:rsidR="00191D73" w:rsidRDefault="00191D73" w:rsidP="0031094A">
      <w:pPr>
        <w:pStyle w:val="TableFooter"/>
        <w:spacing w:after="0"/>
      </w:pPr>
      <w:r>
        <w:rPr>
          <w:i/>
          <w:iCs/>
          <w:snapToGrid w:val="0"/>
          <w:color w:val="0D0D0D"/>
          <w:szCs w:val="18"/>
          <w:vertAlign w:val="superscript"/>
          <w:lang w:eastAsia="en-AU"/>
        </w:rPr>
        <w:t>1</w:t>
      </w:r>
      <w:r w:rsidRPr="00F65B8B">
        <w:rPr>
          <w:i/>
          <w:iCs/>
          <w:snapToGrid w:val="0"/>
          <w:color w:val="0D0D0D"/>
          <w:szCs w:val="18"/>
          <w:lang w:eastAsia="en-AU"/>
        </w:rPr>
        <w:t>$0 to &lt; $10 million</w:t>
      </w:r>
    </w:p>
    <w:p w14:paraId="5799A84C" w14:textId="62C3B202" w:rsidR="006D2219" w:rsidRDefault="006D2219" w:rsidP="006D2219">
      <w:pPr>
        <w:pStyle w:val="Caption"/>
      </w:pPr>
      <w:bookmarkStart w:id="32" w:name="_Ref213250657"/>
      <w:r>
        <w:t xml:space="preserve">Table </w:t>
      </w:r>
      <w:r>
        <w:fldChar w:fldCharType="begin"/>
      </w:r>
      <w:r>
        <w:instrText xml:space="preserve"> SEQ Table \* ARABIC </w:instrText>
      </w:r>
      <w:r>
        <w:fldChar w:fldCharType="separate"/>
      </w:r>
      <w:r>
        <w:rPr>
          <w:noProof/>
        </w:rPr>
        <w:t>5</w:t>
      </w:r>
      <w:r>
        <w:rPr>
          <w:noProof/>
        </w:rPr>
        <w:fldChar w:fldCharType="end"/>
      </w:r>
      <w:bookmarkEnd w:id="32"/>
      <w:r>
        <w:t>: Revised financial analysis conducted by the department</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937"/>
        <w:gridCol w:w="833"/>
        <w:gridCol w:w="834"/>
        <w:gridCol w:w="833"/>
        <w:gridCol w:w="834"/>
        <w:gridCol w:w="833"/>
        <w:gridCol w:w="834"/>
      </w:tblGrid>
      <w:tr w:rsidR="006D2219" w:rsidRPr="00B27879" w14:paraId="34A850FC" w14:textId="77777777" w:rsidTr="00816EB1">
        <w:trPr>
          <w:tblHeader/>
        </w:trPr>
        <w:tc>
          <w:tcPr>
            <w:tcW w:w="3937" w:type="dxa"/>
            <w:vAlign w:val="center"/>
          </w:tcPr>
          <w:p w14:paraId="4455FA3D" w14:textId="77777777" w:rsidR="006D2219" w:rsidRPr="00B27879" w:rsidRDefault="006D2219" w:rsidP="00816EB1">
            <w:pPr>
              <w:pStyle w:val="TableText"/>
              <w:keepNext/>
              <w:keepLines/>
              <w:rPr>
                <w:b/>
              </w:rPr>
            </w:pPr>
          </w:p>
        </w:tc>
        <w:tc>
          <w:tcPr>
            <w:tcW w:w="833" w:type="dxa"/>
            <w:vAlign w:val="center"/>
          </w:tcPr>
          <w:p w14:paraId="316DCC67" w14:textId="117A61AE" w:rsidR="006D2219" w:rsidRPr="00B27879" w:rsidRDefault="00B43A5B" w:rsidP="00816EB1">
            <w:pPr>
              <w:pStyle w:val="TableText"/>
              <w:keepNext/>
              <w:keepLines/>
              <w:jc w:val="center"/>
              <w:rPr>
                <w:b/>
              </w:rPr>
            </w:pPr>
            <w:r>
              <w:rPr>
                <w:b/>
              </w:rPr>
              <w:t>2025</w:t>
            </w:r>
          </w:p>
        </w:tc>
        <w:tc>
          <w:tcPr>
            <w:tcW w:w="834" w:type="dxa"/>
            <w:vAlign w:val="center"/>
          </w:tcPr>
          <w:p w14:paraId="5C4767E1" w14:textId="79824B35" w:rsidR="006D2219" w:rsidRPr="00B27879" w:rsidRDefault="00B43A5B" w:rsidP="00816EB1">
            <w:pPr>
              <w:pStyle w:val="TableText"/>
              <w:keepNext/>
              <w:keepLines/>
              <w:jc w:val="center"/>
              <w:rPr>
                <w:b/>
              </w:rPr>
            </w:pPr>
            <w:r>
              <w:rPr>
                <w:b/>
              </w:rPr>
              <w:t>2026</w:t>
            </w:r>
          </w:p>
        </w:tc>
        <w:tc>
          <w:tcPr>
            <w:tcW w:w="833" w:type="dxa"/>
            <w:vAlign w:val="center"/>
          </w:tcPr>
          <w:p w14:paraId="3A69021F" w14:textId="172B2B9F" w:rsidR="006D2219" w:rsidRPr="00B27879" w:rsidRDefault="00B43A5B" w:rsidP="00816EB1">
            <w:pPr>
              <w:pStyle w:val="TableText"/>
              <w:keepNext/>
              <w:keepLines/>
              <w:jc w:val="center"/>
              <w:rPr>
                <w:b/>
              </w:rPr>
            </w:pPr>
            <w:r>
              <w:rPr>
                <w:b/>
              </w:rPr>
              <w:t>2027</w:t>
            </w:r>
          </w:p>
        </w:tc>
        <w:tc>
          <w:tcPr>
            <w:tcW w:w="834" w:type="dxa"/>
            <w:vAlign w:val="center"/>
          </w:tcPr>
          <w:p w14:paraId="698341DD" w14:textId="2F47D7F5" w:rsidR="006D2219" w:rsidRPr="00B27879" w:rsidRDefault="00B43A5B" w:rsidP="00816EB1">
            <w:pPr>
              <w:pStyle w:val="TableText"/>
              <w:keepNext/>
              <w:keepLines/>
              <w:jc w:val="center"/>
              <w:rPr>
                <w:b/>
              </w:rPr>
            </w:pPr>
            <w:r>
              <w:rPr>
                <w:b/>
              </w:rPr>
              <w:t>2028</w:t>
            </w:r>
          </w:p>
        </w:tc>
        <w:tc>
          <w:tcPr>
            <w:tcW w:w="833" w:type="dxa"/>
            <w:vAlign w:val="center"/>
          </w:tcPr>
          <w:p w14:paraId="6B82BCFC" w14:textId="69ED8D21" w:rsidR="006D2219" w:rsidRPr="00B27879" w:rsidRDefault="00B43A5B" w:rsidP="00816EB1">
            <w:pPr>
              <w:pStyle w:val="TableText"/>
              <w:keepNext/>
              <w:keepLines/>
              <w:jc w:val="center"/>
              <w:rPr>
                <w:b/>
              </w:rPr>
            </w:pPr>
            <w:r>
              <w:rPr>
                <w:b/>
              </w:rPr>
              <w:t>2029</w:t>
            </w:r>
          </w:p>
        </w:tc>
        <w:tc>
          <w:tcPr>
            <w:tcW w:w="834" w:type="dxa"/>
            <w:vAlign w:val="center"/>
          </w:tcPr>
          <w:p w14:paraId="1198F980" w14:textId="10B310C4" w:rsidR="006D2219" w:rsidRPr="00B27879" w:rsidRDefault="00B43A5B" w:rsidP="00816EB1">
            <w:pPr>
              <w:pStyle w:val="TableText"/>
              <w:keepNext/>
              <w:keepLines/>
              <w:jc w:val="center"/>
              <w:rPr>
                <w:b/>
              </w:rPr>
            </w:pPr>
            <w:r>
              <w:rPr>
                <w:b/>
              </w:rPr>
              <w:t>2030</w:t>
            </w:r>
          </w:p>
        </w:tc>
      </w:tr>
      <w:tr w:rsidR="006D2219" w:rsidRPr="00B27879" w14:paraId="46BC51E9" w14:textId="77777777" w:rsidTr="00816EB1">
        <w:tc>
          <w:tcPr>
            <w:tcW w:w="8938" w:type="dxa"/>
            <w:gridSpan w:val="7"/>
            <w:vAlign w:val="center"/>
          </w:tcPr>
          <w:p w14:paraId="383790D7" w14:textId="77777777" w:rsidR="006D2219" w:rsidRPr="00B27879" w:rsidRDefault="006D2219" w:rsidP="00816EB1">
            <w:pPr>
              <w:pStyle w:val="TableText"/>
              <w:keepNext/>
              <w:keepLines/>
              <w:rPr>
                <w:b/>
              </w:rPr>
            </w:pPr>
            <w:r w:rsidRPr="00B27879">
              <w:rPr>
                <w:b/>
              </w:rPr>
              <w:t xml:space="preserve">Estimated extent of use of </w:t>
            </w:r>
            <w:r w:rsidRPr="000570F7">
              <w:rPr>
                <w:b/>
                <w:i/>
                <w:iCs/>
              </w:rPr>
              <w:t>FGFR2</w:t>
            </w:r>
            <w:r w:rsidRPr="00B27879">
              <w:rPr>
                <w:b/>
              </w:rPr>
              <w:t xml:space="preserve"> testing</w:t>
            </w:r>
          </w:p>
        </w:tc>
      </w:tr>
      <w:tr w:rsidR="006D2219" w:rsidRPr="00B27879" w14:paraId="5AA27508" w14:textId="77777777" w:rsidTr="00816EB1">
        <w:tc>
          <w:tcPr>
            <w:tcW w:w="3937" w:type="dxa"/>
          </w:tcPr>
          <w:p w14:paraId="419F2E43" w14:textId="76D7995D" w:rsidR="006D2219" w:rsidRPr="00BC72CE" w:rsidRDefault="006D2219" w:rsidP="00816EB1">
            <w:pPr>
              <w:pStyle w:val="TableText"/>
              <w:keepNext/>
              <w:keepLines/>
              <w:rPr>
                <w:vertAlign w:val="superscript"/>
              </w:rPr>
            </w:pPr>
            <w:r w:rsidRPr="00B27879">
              <w:t xml:space="preserve">Total CCA </w:t>
            </w:r>
            <w:proofErr w:type="spellStart"/>
            <w:r w:rsidRPr="00B27879">
              <w:t>population</w:t>
            </w:r>
            <w:r w:rsidR="000556D3">
              <w:rPr>
                <w:vertAlign w:val="superscript"/>
              </w:rPr>
              <w:t>a</w:t>
            </w:r>
            <w:proofErr w:type="spellEnd"/>
          </w:p>
        </w:tc>
        <w:tc>
          <w:tcPr>
            <w:tcW w:w="833" w:type="dxa"/>
            <w:vAlign w:val="center"/>
          </w:tcPr>
          <w:p w14:paraId="12BE9948" w14:textId="7D86BC6D" w:rsidR="006D2219" w:rsidRPr="00B27879" w:rsidRDefault="002B670A" w:rsidP="00816EB1">
            <w:pPr>
              <w:pStyle w:val="TableNumber"/>
              <w:keepNext/>
              <w:keepLines/>
              <w:tabs>
                <w:tab w:val="clear" w:pos="396"/>
                <w:tab w:val="decimal" w:pos="0"/>
              </w:tabs>
              <w:rPr>
                <w:i/>
                <w:iCs/>
              </w:rPr>
            </w:pPr>
            <w:r w:rsidRPr="001B17EC">
              <w:rPr>
                <w:b/>
                <w:bCs/>
              </w:rPr>
              <w:t>Redacted</w:t>
            </w:r>
            <w:r w:rsidRPr="0031094A">
              <w:rPr>
                <w:b/>
                <w:bCs/>
                <w:vertAlign w:val="superscript"/>
              </w:rPr>
              <w:t>2</w:t>
            </w:r>
          </w:p>
        </w:tc>
        <w:tc>
          <w:tcPr>
            <w:tcW w:w="834" w:type="dxa"/>
            <w:vAlign w:val="center"/>
          </w:tcPr>
          <w:p w14:paraId="350B29F0" w14:textId="34F7A4DF" w:rsidR="006D2219" w:rsidRPr="00B27879" w:rsidRDefault="002B670A" w:rsidP="00816EB1">
            <w:pPr>
              <w:pStyle w:val="TableNumber"/>
              <w:keepNext/>
              <w:keepLines/>
              <w:tabs>
                <w:tab w:val="clear" w:pos="396"/>
                <w:tab w:val="decimal" w:pos="0"/>
              </w:tabs>
              <w:rPr>
                <w:i/>
                <w:iCs/>
              </w:rPr>
            </w:pPr>
            <w:r w:rsidRPr="001B17EC">
              <w:rPr>
                <w:b/>
                <w:bCs/>
              </w:rPr>
              <w:t>Redacted</w:t>
            </w:r>
            <w:r w:rsidRPr="001B17EC">
              <w:rPr>
                <w:b/>
                <w:bCs/>
                <w:vertAlign w:val="superscript"/>
              </w:rPr>
              <w:t>2</w:t>
            </w:r>
          </w:p>
        </w:tc>
        <w:tc>
          <w:tcPr>
            <w:tcW w:w="833" w:type="dxa"/>
            <w:vAlign w:val="center"/>
          </w:tcPr>
          <w:p w14:paraId="08549A4F" w14:textId="1B7CE1D8" w:rsidR="006D2219" w:rsidRPr="00B27879" w:rsidRDefault="002B670A" w:rsidP="00816EB1">
            <w:pPr>
              <w:pStyle w:val="TableNumber"/>
              <w:keepNext/>
              <w:keepLines/>
              <w:tabs>
                <w:tab w:val="clear" w:pos="396"/>
                <w:tab w:val="decimal" w:pos="0"/>
              </w:tabs>
              <w:rPr>
                <w:i/>
                <w:iCs/>
              </w:rPr>
            </w:pPr>
            <w:r w:rsidRPr="001B17EC">
              <w:rPr>
                <w:b/>
                <w:bCs/>
              </w:rPr>
              <w:t>Redacted</w:t>
            </w:r>
            <w:r w:rsidRPr="001B17EC">
              <w:rPr>
                <w:b/>
                <w:bCs/>
                <w:vertAlign w:val="superscript"/>
              </w:rPr>
              <w:t>2</w:t>
            </w:r>
          </w:p>
        </w:tc>
        <w:tc>
          <w:tcPr>
            <w:tcW w:w="834" w:type="dxa"/>
            <w:vAlign w:val="center"/>
          </w:tcPr>
          <w:p w14:paraId="30B06C11" w14:textId="20F0E55A" w:rsidR="006D2219" w:rsidRPr="00B27879" w:rsidRDefault="002B670A" w:rsidP="00816EB1">
            <w:pPr>
              <w:pStyle w:val="TableNumber"/>
              <w:keepNext/>
              <w:keepLines/>
              <w:tabs>
                <w:tab w:val="clear" w:pos="396"/>
                <w:tab w:val="decimal" w:pos="0"/>
              </w:tabs>
              <w:rPr>
                <w:i/>
                <w:iCs/>
              </w:rPr>
            </w:pPr>
            <w:r w:rsidRPr="001B17EC">
              <w:rPr>
                <w:b/>
                <w:bCs/>
              </w:rPr>
              <w:t>Redacted</w:t>
            </w:r>
            <w:r w:rsidRPr="001B17EC">
              <w:rPr>
                <w:b/>
                <w:bCs/>
                <w:vertAlign w:val="superscript"/>
              </w:rPr>
              <w:t>2</w:t>
            </w:r>
          </w:p>
        </w:tc>
        <w:tc>
          <w:tcPr>
            <w:tcW w:w="833" w:type="dxa"/>
            <w:vAlign w:val="center"/>
          </w:tcPr>
          <w:p w14:paraId="7B2E97D2" w14:textId="549B64EB" w:rsidR="006D2219" w:rsidRPr="00B27879" w:rsidRDefault="002B670A" w:rsidP="00816EB1">
            <w:pPr>
              <w:pStyle w:val="TableNumber"/>
              <w:keepNext/>
              <w:keepLines/>
              <w:tabs>
                <w:tab w:val="clear" w:pos="396"/>
                <w:tab w:val="decimal" w:pos="0"/>
              </w:tabs>
              <w:rPr>
                <w:i/>
                <w:iCs/>
              </w:rPr>
            </w:pPr>
            <w:r w:rsidRPr="001B17EC">
              <w:rPr>
                <w:b/>
                <w:bCs/>
              </w:rPr>
              <w:t>Redacted</w:t>
            </w:r>
            <w:r w:rsidRPr="001B17EC">
              <w:rPr>
                <w:b/>
                <w:bCs/>
                <w:vertAlign w:val="superscript"/>
              </w:rPr>
              <w:t>2</w:t>
            </w:r>
          </w:p>
        </w:tc>
        <w:tc>
          <w:tcPr>
            <w:tcW w:w="834" w:type="dxa"/>
            <w:vAlign w:val="center"/>
          </w:tcPr>
          <w:p w14:paraId="458356B7" w14:textId="687B6030" w:rsidR="006D2219" w:rsidRPr="00B27879" w:rsidRDefault="002B670A" w:rsidP="00816EB1">
            <w:pPr>
              <w:pStyle w:val="TableNumber"/>
              <w:keepNext/>
              <w:keepLines/>
              <w:tabs>
                <w:tab w:val="clear" w:pos="396"/>
                <w:tab w:val="decimal" w:pos="0"/>
              </w:tabs>
              <w:rPr>
                <w:i/>
                <w:iCs/>
              </w:rPr>
            </w:pPr>
            <w:r w:rsidRPr="001B17EC">
              <w:rPr>
                <w:b/>
                <w:bCs/>
              </w:rPr>
              <w:t>Redacted</w:t>
            </w:r>
            <w:r w:rsidRPr="001B17EC">
              <w:rPr>
                <w:b/>
                <w:bCs/>
                <w:vertAlign w:val="superscript"/>
              </w:rPr>
              <w:t>2</w:t>
            </w:r>
          </w:p>
        </w:tc>
      </w:tr>
      <w:tr w:rsidR="006D2219" w:rsidRPr="00B27879" w14:paraId="390DB2A6" w14:textId="77777777" w:rsidTr="0031094A">
        <w:trPr>
          <w:trHeight w:val="1133"/>
        </w:trPr>
        <w:tc>
          <w:tcPr>
            <w:tcW w:w="3937" w:type="dxa"/>
            <w:vAlign w:val="center"/>
          </w:tcPr>
          <w:p w14:paraId="6E336970" w14:textId="6CF07D96" w:rsidR="006D2219" w:rsidRPr="00B27879" w:rsidRDefault="006D2219" w:rsidP="00816EB1">
            <w:pPr>
              <w:pStyle w:val="TableText"/>
              <w:keepNext/>
              <w:keepLines/>
            </w:pPr>
            <w:r w:rsidRPr="00B27879">
              <w:t xml:space="preserve">Number of patients likely to receive a positive test </w:t>
            </w:r>
            <w:proofErr w:type="spellStart"/>
            <w:r w:rsidRPr="00B27879">
              <w:t>result</w:t>
            </w:r>
            <w:r w:rsidR="00046A9C">
              <w:rPr>
                <w:vertAlign w:val="superscript"/>
              </w:rPr>
              <w:t>b</w:t>
            </w:r>
            <w:proofErr w:type="spellEnd"/>
            <w:r w:rsidRPr="00B27879">
              <w:t xml:space="preserve"> </w:t>
            </w:r>
          </w:p>
        </w:tc>
        <w:tc>
          <w:tcPr>
            <w:tcW w:w="833" w:type="dxa"/>
            <w:vAlign w:val="center"/>
          </w:tcPr>
          <w:p w14:paraId="4560E44D" w14:textId="2D4C2B99" w:rsidR="006D2219" w:rsidRPr="00B27879" w:rsidRDefault="000D2AED" w:rsidP="00816EB1">
            <w:pPr>
              <w:pStyle w:val="TableNumber"/>
              <w:keepNext/>
              <w:keepLines/>
              <w:tabs>
                <w:tab w:val="clear" w:pos="396"/>
                <w:tab w:val="decimal" w:pos="0"/>
              </w:tabs>
            </w:pPr>
            <w:r w:rsidRPr="0031094A">
              <w:rPr>
                <w:b/>
                <w:bCs/>
              </w:rPr>
              <w:t>Redacted</w:t>
            </w:r>
            <w:r w:rsidRPr="0031094A">
              <w:rPr>
                <w:b/>
                <w:bCs/>
                <w:vertAlign w:val="superscript"/>
              </w:rPr>
              <w:t>1</w:t>
            </w:r>
          </w:p>
        </w:tc>
        <w:tc>
          <w:tcPr>
            <w:tcW w:w="834" w:type="dxa"/>
            <w:vAlign w:val="center"/>
          </w:tcPr>
          <w:p w14:paraId="31232621" w14:textId="5E316811" w:rsidR="006D2219" w:rsidRPr="00B27879" w:rsidRDefault="000D2AED" w:rsidP="00816EB1">
            <w:pPr>
              <w:pStyle w:val="TableText"/>
              <w:keepNext/>
              <w:keepLines/>
              <w:tabs>
                <w:tab w:val="decimal" w:pos="0"/>
              </w:tabs>
              <w:jc w:val="center"/>
            </w:pPr>
            <w:r w:rsidRPr="001B17EC">
              <w:rPr>
                <w:b/>
                <w:bCs/>
              </w:rPr>
              <w:t>Redacted</w:t>
            </w:r>
            <w:r w:rsidRPr="001B17EC">
              <w:rPr>
                <w:b/>
                <w:bCs/>
                <w:vertAlign w:val="superscript"/>
              </w:rPr>
              <w:t>1</w:t>
            </w:r>
          </w:p>
        </w:tc>
        <w:tc>
          <w:tcPr>
            <w:tcW w:w="833" w:type="dxa"/>
            <w:vAlign w:val="center"/>
          </w:tcPr>
          <w:p w14:paraId="2C7A96C2" w14:textId="28724C10" w:rsidR="006D2219" w:rsidRPr="00B27879" w:rsidRDefault="000D2AED" w:rsidP="00816EB1">
            <w:pPr>
              <w:pStyle w:val="TableText"/>
              <w:keepNext/>
              <w:keepLines/>
              <w:tabs>
                <w:tab w:val="decimal" w:pos="0"/>
              </w:tabs>
              <w:jc w:val="center"/>
            </w:pPr>
            <w:r w:rsidRPr="001B17EC">
              <w:rPr>
                <w:b/>
                <w:bCs/>
              </w:rPr>
              <w:t>Redacted</w:t>
            </w:r>
            <w:r w:rsidRPr="001B17EC">
              <w:rPr>
                <w:b/>
                <w:bCs/>
                <w:vertAlign w:val="superscript"/>
              </w:rPr>
              <w:t>1</w:t>
            </w:r>
          </w:p>
        </w:tc>
        <w:tc>
          <w:tcPr>
            <w:tcW w:w="834" w:type="dxa"/>
            <w:vAlign w:val="center"/>
          </w:tcPr>
          <w:p w14:paraId="75F650FD" w14:textId="43DCCD44" w:rsidR="006D2219" w:rsidRPr="00B27879" w:rsidRDefault="000D2AED" w:rsidP="00816EB1">
            <w:pPr>
              <w:pStyle w:val="TableText"/>
              <w:keepNext/>
              <w:keepLines/>
              <w:tabs>
                <w:tab w:val="decimal" w:pos="0"/>
              </w:tabs>
              <w:jc w:val="center"/>
            </w:pPr>
            <w:r w:rsidRPr="001B17EC">
              <w:rPr>
                <w:b/>
                <w:bCs/>
              </w:rPr>
              <w:t>Redacted</w:t>
            </w:r>
            <w:r w:rsidRPr="001B17EC">
              <w:rPr>
                <w:b/>
                <w:bCs/>
                <w:vertAlign w:val="superscript"/>
              </w:rPr>
              <w:t>1</w:t>
            </w:r>
          </w:p>
        </w:tc>
        <w:tc>
          <w:tcPr>
            <w:tcW w:w="833" w:type="dxa"/>
            <w:vAlign w:val="center"/>
          </w:tcPr>
          <w:p w14:paraId="058DE2D0" w14:textId="08BB802D" w:rsidR="006D2219" w:rsidRPr="00B27879" w:rsidRDefault="000D2AED" w:rsidP="00816EB1">
            <w:pPr>
              <w:pStyle w:val="TableText"/>
              <w:keepNext/>
              <w:keepLines/>
              <w:tabs>
                <w:tab w:val="decimal" w:pos="0"/>
              </w:tabs>
              <w:jc w:val="center"/>
            </w:pPr>
            <w:r w:rsidRPr="001B17EC">
              <w:rPr>
                <w:b/>
                <w:bCs/>
              </w:rPr>
              <w:t>Redacted</w:t>
            </w:r>
            <w:r w:rsidRPr="001B17EC">
              <w:rPr>
                <w:b/>
                <w:bCs/>
                <w:vertAlign w:val="superscript"/>
              </w:rPr>
              <w:t>1</w:t>
            </w:r>
          </w:p>
        </w:tc>
        <w:tc>
          <w:tcPr>
            <w:tcW w:w="834" w:type="dxa"/>
            <w:vAlign w:val="center"/>
          </w:tcPr>
          <w:p w14:paraId="2F43046E" w14:textId="1C30E2FD" w:rsidR="006D2219" w:rsidRPr="00B27879" w:rsidRDefault="000D2AED" w:rsidP="00816EB1">
            <w:pPr>
              <w:pStyle w:val="TableText"/>
              <w:keepNext/>
              <w:keepLines/>
              <w:tabs>
                <w:tab w:val="decimal" w:pos="0"/>
              </w:tabs>
              <w:jc w:val="center"/>
            </w:pPr>
            <w:r w:rsidRPr="001B17EC">
              <w:rPr>
                <w:b/>
                <w:bCs/>
              </w:rPr>
              <w:t>Redacted</w:t>
            </w:r>
            <w:r w:rsidRPr="001B17EC">
              <w:rPr>
                <w:b/>
                <w:bCs/>
                <w:vertAlign w:val="superscript"/>
              </w:rPr>
              <w:t>1</w:t>
            </w:r>
          </w:p>
        </w:tc>
      </w:tr>
      <w:tr w:rsidR="006D2219" w:rsidRPr="00B27879" w14:paraId="4599879E" w14:textId="77777777" w:rsidTr="00816EB1">
        <w:tc>
          <w:tcPr>
            <w:tcW w:w="8938" w:type="dxa"/>
            <w:gridSpan w:val="7"/>
            <w:vAlign w:val="center"/>
          </w:tcPr>
          <w:p w14:paraId="5D8B571B" w14:textId="77777777" w:rsidR="006D2219" w:rsidRPr="00B27879" w:rsidRDefault="006D2219" w:rsidP="00816EB1">
            <w:pPr>
              <w:pStyle w:val="TableText"/>
              <w:keepNext/>
              <w:keepLines/>
              <w:rPr>
                <w:b/>
                <w:bCs/>
              </w:rPr>
            </w:pPr>
            <w:r w:rsidRPr="2914E55D">
              <w:rPr>
                <w:b/>
                <w:bCs/>
              </w:rPr>
              <w:t xml:space="preserve">Estimated financial implications of </w:t>
            </w:r>
            <w:r w:rsidRPr="000570F7">
              <w:rPr>
                <w:b/>
                <w:bCs/>
                <w:i/>
                <w:iCs/>
              </w:rPr>
              <w:t>FGFR2</w:t>
            </w:r>
            <w:r w:rsidRPr="2914E55D">
              <w:rPr>
                <w:b/>
                <w:bCs/>
              </w:rPr>
              <w:t xml:space="preserve"> testing and listing of futibatinib to the MBS</w:t>
            </w:r>
          </w:p>
        </w:tc>
      </w:tr>
      <w:tr w:rsidR="006D2219" w:rsidRPr="00B27879" w14:paraId="659BF7C3" w14:textId="77777777" w:rsidTr="00816EB1">
        <w:tc>
          <w:tcPr>
            <w:tcW w:w="3937" w:type="dxa"/>
            <w:vAlign w:val="center"/>
          </w:tcPr>
          <w:p w14:paraId="2DF485F3" w14:textId="623CFF9D" w:rsidR="006D2219" w:rsidRPr="006D2219" w:rsidRDefault="006D2219" w:rsidP="00816EB1">
            <w:pPr>
              <w:pStyle w:val="TableText"/>
              <w:keepNext/>
              <w:keepLines/>
              <w:rPr>
                <w:vertAlign w:val="superscript"/>
              </w:rPr>
            </w:pPr>
            <w:r w:rsidRPr="00B27879">
              <w:t xml:space="preserve">Cost to MBS for </w:t>
            </w:r>
            <w:r w:rsidRPr="00B27879">
              <w:rPr>
                <w:i/>
                <w:iCs/>
              </w:rPr>
              <w:t>FGFR2</w:t>
            </w:r>
            <w:r w:rsidRPr="00B27879">
              <w:t xml:space="preserve"> </w:t>
            </w:r>
            <w:proofErr w:type="spellStart"/>
            <w:r w:rsidRPr="00B27879">
              <w:t>testing</w:t>
            </w:r>
            <w:r w:rsidR="00046A9C">
              <w:rPr>
                <w:vertAlign w:val="superscript"/>
              </w:rPr>
              <w:t>c</w:t>
            </w:r>
            <w:proofErr w:type="spellEnd"/>
          </w:p>
        </w:tc>
        <w:tc>
          <w:tcPr>
            <w:tcW w:w="833" w:type="dxa"/>
            <w:vAlign w:val="center"/>
          </w:tcPr>
          <w:p w14:paraId="18C3950B" w14:textId="599509DE" w:rsidR="006D2219" w:rsidRPr="006B1BED" w:rsidRDefault="004946B0" w:rsidP="00816EB1">
            <w:pPr>
              <w:pStyle w:val="TableText"/>
              <w:keepNext/>
              <w:keepLines/>
              <w:jc w:val="center"/>
              <w:rPr>
                <w:i/>
                <w:iCs/>
              </w:rPr>
            </w:pPr>
            <w:r w:rsidRPr="001B17EC">
              <w:rPr>
                <w:b/>
                <w:bCs/>
              </w:rPr>
              <w:t>Redacted</w:t>
            </w:r>
            <w:r w:rsidR="0095208A">
              <w:rPr>
                <w:b/>
                <w:bCs/>
                <w:vertAlign w:val="superscript"/>
              </w:rPr>
              <w:t>4</w:t>
            </w:r>
          </w:p>
        </w:tc>
        <w:tc>
          <w:tcPr>
            <w:tcW w:w="834" w:type="dxa"/>
            <w:vAlign w:val="center"/>
          </w:tcPr>
          <w:p w14:paraId="223991B4" w14:textId="02EA8AA7" w:rsidR="006D2219" w:rsidRPr="006B1BED" w:rsidRDefault="002177CC" w:rsidP="00816EB1">
            <w:pPr>
              <w:pStyle w:val="TableText"/>
              <w:keepNext/>
              <w:keepLines/>
              <w:jc w:val="center"/>
              <w:rPr>
                <w:i/>
                <w:iCs/>
              </w:rPr>
            </w:pPr>
            <w:r w:rsidRPr="001B17EC">
              <w:rPr>
                <w:b/>
                <w:bCs/>
              </w:rPr>
              <w:t>Redacted</w:t>
            </w:r>
            <w:r w:rsidR="0095208A">
              <w:rPr>
                <w:b/>
                <w:bCs/>
                <w:vertAlign w:val="superscript"/>
              </w:rPr>
              <w:t>4</w:t>
            </w:r>
          </w:p>
        </w:tc>
        <w:tc>
          <w:tcPr>
            <w:tcW w:w="833" w:type="dxa"/>
            <w:vAlign w:val="center"/>
          </w:tcPr>
          <w:p w14:paraId="15975D8A" w14:textId="3D318D1A" w:rsidR="006D2219" w:rsidRPr="006B1BED" w:rsidRDefault="002177CC" w:rsidP="00816EB1">
            <w:pPr>
              <w:pStyle w:val="TableText"/>
              <w:keepNext/>
              <w:keepLines/>
              <w:jc w:val="center"/>
              <w:rPr>
                <w:i/>
                <w:iCs/>
              </w:rPr>
            </w:pPr>
            <w:r w:rsidRPr="001B17EC">
              <w:rPr>
                <w:b/>
                <w:bCs/>
              </w:rPr>
              <w:t>Redacted</w:t>
            </w:r>
            <w:r w:rsidR="0095208A">
              <w:rPr>
                <w:b/>
                <w:bCs/>
                <w:vertAlign w:val="superscript"/>
              </w:rPr>
              <w:t>4</w:t>
            </w:r>
          </w:p>
        </w:tc>
        <w:tc>
          <w:tcPr>
            <w:tcW w:w="834" w:type="dxa"/>
            <w:vAlign w:val="center"/>
          </w:tcPr>
          <w:p w14:paraId="6AEC44FB" w14:textId="3B03809F" w:rsidR="006D2219" w:rsidRPr="006B1BED" w:rsidRDefault="002177CC" w:rsidP="00816EB1">
            <w:pPr>
              <w:pStyle w:val="TableText"/>
              <w:keepNext/>
              <w:keepLines/>
              <w:jc w:val="center"/>
              <w:rPr>
                <w:i/>
                <w:iCs/>
              </w:rPr>
            </w:pPr>
            <w:r w:rsidRPr="001B17EC">
              <w:rPr>
                <w:b/>
                <w:bCs/>
              </w:rPr>
              <w:t>Redacted</w:t>
            </w:r>
            <w:r w:rsidR="0095208A">
              <w:rPr>
                <w:b/>
                <w:bCs/>
                <w:vertAlign w:val="superscript"/>
              </w:rPr>
              <w:t>4</w:t>
            </w:r>
          </w:p>
        </w:tc>
        <w:tc>
          <w:tcPr>
            <w:tcW w:w="833" w:type="dxa"/>
            <w:vAlign w:val="center"/>
          </w:tcPr>
          <w:p w14:paraId="051F46D3" w14:textId="2C90243C" w:rsidR="006D2219" w:rsidRPr="006B1BED" w:rsidRDefault="002177CC" w:rsidP="00816EB1">
            <w:pPr>
              <w:pStyle w:val="TableText"/>
              <w:keepNext/>
              <w:keepLines/>
              <w:jc w:val="center"/>
              <w:rPr>
                <w:i/>
                <w:iCs/>
              </w:rPr>
            </w:pPr>
            <w:r w:rsidRPr="001B17EC">
              <w:rPr>
                <w:b/>
                <w:bCs/>
              </w:rPr>
              <w:t>Redacted</w:t>
            </w:r>
            <w:r w:rsidR="0095208A">
              <w:rPr>
                <w:b/>
                <w:bCs/>
                <w:vertAlign w:val="superscript"/>
              </w:rPr>
              <w:t>4</w:t>
            </w:r>
          </w:p>
        </w:tc>
        <w:tc>
          <w:tcPr>
            <w:tcW w:w="834" w:type="dxa"/>
            <w:vAlign w:val="center"/>
          </w:tcPr>
          <w:p w14:paraId="1BECC706" w14:textId="5BC090B2" w:rsidR="006D2219" w:rsidRPr="006B1BED" w:rsidRDefault="006D3570" w:rsidP="00816EB1">
            <w:pPr>
              <w:pStyle w:val="TableText"/>
              <w:keepNext/>
              <w:keepLines/>
              <w:jc w:val="center"/>
              <w:rPr>
                <w:i/>
                <w:iCs/>
              </w:rPr>
            </w:pPr>
            <w:r w:rsidRPr="001B17EC">
              <w:rPr>
                <w:b/>
                <w:bCs/>
              </w:rPr>
              <w:t>Redacted</w:t>
            </w:r>
            <w:r w:rsidR="0095208A">
              <w:rPr>
                <w:b/>
                <w:bCs/>
                <w:vertAlign w:val="superscript"/>
              </w:rPr>
              <w:t>4</w:t>
            </w:r>
          </w:p>
        </w:tc>
      </w:tr>
      <w:tr w:rsidR="006D2219" w:rsidRPr="00B27879" w14:paraId="7F950FE4" w14:textId="77777777" w:rsidTr="00816EB1">
        <w:tc>
          <w:tcPr>
            <w:tcW w:w="3937" w:type="dxa"/>
          </w:tcPr>
          <w:p w14:paraId="2B7CD1BA" w14:textId="1FF17674" w:rsidR="006D2219" w:rsidRPr="005C0C49" w:rsidRDefault="006D2219" w:rsidP="00816EB1">
            <w:pPr>
              <w:pStyle w:val="TableText"/>
              <w:keepNext/>
              <w:keepLines/>
              <w:rPr>
                <w:vertAlign w:val="superscript"/>
              </w:rPr>
            </w:pPr>
            <w:r w:rsidRPr="00B27879">
              <w:rPr>
                <w:bCs/>
              </w:rPr>
              <w:t xml:space="preserve">Cost to MBS for </w:t>
            </w:r>
            <w:proofErr w:type="spellStart"/>
            <w:r w:rsidRPr="00B27879">
              <w:rPr>
                <w:bCs/>
              </w:rPr>
              <w:t>OCT</w:t>
            </w:r>
            <w:r w:rsidR="00046A9C">
              <w:rPr>
                <w:bCs/>
                <w:vertAlign w:val="superscript"/>
              </w:rPr>
              <w:t>d</w:t>
            </w:r>
            <w:proofErr w:type="spellEnd"/>
          </w:p>
        </w:tc>
        <w:tc>
          <w:tcPr>
            <w:tcW w:w="833" w:type="dxa"/>
            <w:vAlign w:val="center"/>
          </w:tcPr>
          <w:p w14:paraId="6E8696E6" w14:textId="4B7CB76B" w:rsidR="006D2219" w:rsidRPr="006B1BED" w:rsidRDefault="00775B7F" w:rsidP="00816EB1">
            <w:pPr>
              <w:pStyle w:val="TableText"/>
              <w:keepNext/>
              <w:keepLines/>
              <w:jc w:val="center"/>
              <w:rPr>
                <w:i/>
                <w:iCs/>
              </w:rPr>
            </w:pPr>
            <w:r w:rsidRPr="001B17EC">
              <w:rPr>
                <w:b/>
                <w:bCs/>
              </w:rPr>
              <w:t>Redacted</w:t>
            </w:r>
            <w:r w:rsidR="0095208A">
              <w:rPr>
                <w:b/>
                <w:bCs/>
                <w:vertAlign w:val="superscript"/>
              </w:rPr>
              <w:t>4</w:t>
            </w:r>
          </w:p>
        </w:tc>
        <w:tc>
          <w:tcPr>
            <w:tcW w:w="834" w:type="dxa"/>
            <w:vAlign w:val="center"/>
          </w:tcPr>
          <w:p w14:paraId="3C57D696" w14:textId="4A23C6DF" w:rsidR="006D2219" w:rsidRPr="006B1BED" w:rsidRDefault="00775B7F" w:rsidP="00816EB1">
            <w:pPr>
              <w:pStyle w:val="TableText"/>
              <w:keepNext/>
              <w:keepLines/>
              <w:jc w:val="center"/>
              <w:rPr>
                <w:i/>
                <w:iCs/>
              </w:rPr>
            </w:pPr>
            <w:r w:rsidRPr="001B17EC">
              <w:rPr>
                <w:b/>
                <w:bCs/>
              </w:rPr>
              <w:t>Redacted</w:t>
            </w:r>
            <w:r w:rsidR="0095208A">
              <w:rPr>
                <w:b/>
                <w:bCs/>
                <w:vertAlign w:val="superscript"/>
              </w:rPr>
              <w:t>4</w:t>
            </w:r>
          </w:p>
        </w:tc>
        <w:tc>
          <w:tcPr>
            <w:tcW w:w="833" w:type="dxa"/>
            <w:vAlign w:val="center"/>
          </w:tcPr>
          <w:p w14:paraId="10D01B07" w14:textId="3ADCEF78" w:rsidR="006D2219" w:rsidRPr="006B1BED" w:rsidRDefault="00775B7F" w:rsidP="00816EB1">
            <w:pPr>
              <w:pStyle w:val="TableText"/>
              <w:keepNext/>
              <w:keepLines/>
              <w:jc w:val="center"/>
              <w:rPr>
                <w:i/>
                <w:iCs/>
              </w:rPr>
            </w:pPr>
            <w:r w:rsidRPr="001B17EC">
              <w:rPr>
                <w:b/>
                <w:bCs/>
              </w:rPr>
              <w:t>Redacted</w:t>
            </w:r>
            <w:r w:rsidR="0095208A">
              <w:rPr>
                <w:b/>
                <w:bCs/>
                <w:vertAlign w:val="superscript"/>
              </w:rPr>
              <w:t>4</w:t>
            </w:r>
          </w:p>
        </w:tc>
        <w:tc>
          <w:tcPr>
            <w:tcW w:w="834" w:type="dxa"/>
            <w:vAlign w:val="center"/>
          </w:tcPr>
          <w:p w14:paraId="1AA9898D" w14:textId="0D5DA318" w:rsidR="006D2219" w:rsidRPr="006B1BED" w:rsidRDefault="00775B7F" w:rsidP="00816EB1">
            <w:pPr>
              <w:pStyle w:val="TableText"/>
              <w:keepNext/>
              <w:keepLines/>
              <w:jc w:val="center"/>
              <w:rPr>
                <w:i/>
                <w:iCs/>
              </w:rPr>
            </w:pPr>
            <w:r w:rsidRPr="001B17EC">
              <w:rPr>
                <w:b/>
                <w:bCs/>
              </w:rPr>
              <w:t>Redacted</w:t>
            </w:r>
            <w:r w:rsidR="0095208A">
              <w:rPr>
                <w:b/>
                <w:bCs/>
                <w:vertAlign w:val="superscript"/>
              </w:rPr>
              <w:t>4</w:t>
            </w:r>
          </w:p>
        </w:tc>
        <w:tc>
          <w:tcPr>
            <w:tcW w:w="833" w:type="dxa"/>
            <w:vAlign w:val="center"/>
          </w:tcPr>
          <w:p w14:paraId="750EADED" w14:textId="793BD065" w:rsidR="006D2219" w:rsidRPr="006B1BED" w:rsidRDefault="00775B7F" w:rsidP="00816EB1">
            <w:pPr>
              <w:pStyle w:val="TableText"/>
              <w:keepNext/>
              <w:keepLines/>
              <w:jc w:val="center"/>
              <w:rPr>
                <w:i/>
                <w:iCs/>
              </w:rPr>
            </w:pPr>
            <w:r w:rsidRPr="001B17EC">
              <w:rPr>
                <w:b/>
                <w:bCs/>
              </w:rPr>
              <w:t>Redacted</w:t>
            </w:r>
            <w:r w:rsidR="0095208A">
              <w:rPr>
                <w:b/>
                <w:bCs/>
                <w:vertAlign w:val="superscript"/>
              </w:rPr>
              <w:t>4</w:t>
            </w:r>
          </w:p>
        </w:tc>
        <w:tc>
          <w:tcPr>
            <w:tcW w:w="834" w:type="dxa"/>
            <w:vAlign w:val="center"/>
          </w:tcPr>
          <w:p w14:paraId="4F3356C8" w14:textId="6D95A5E1" w:rsidR="006D2219" w:rsidRPr="006B1BED" w:rsidRDefault="00775B7F" w:rsidP="00816EB1">
            <w:pPr>
              <w:pStyle w:val="TableText"/>
              <w:keepNext/>
              <w:keepLines/>
              <w:jc w:val="center"/>
              <w:rPr>
                <w:i/>
                <w:iCs/>
              </w:rPr>
            </w:pPr>
            <w:r w:rsidRPr="001B17EC">
              <w:rPr>
                <w:b/>
                <w:bCs/>
              </w:rPr>
              <w:t>Redacted</w:t>
            </w:r>
            <w:r w:rsidR="0095208A">
              <w:rPr>
                <w:b/>
                <w:bCs/>
                <w:vertAlign w:val="superscript"/>
              </w:rPr>
              <w:t>4</w:t>
            </w:r>
          </w:p>
        </w:tc>
      </w:tr>
      <w:tr w:rsidR="006D2219" w:rsidRPr="00B27879" w14:paraId="411E9E39" w14:textId="77777777" w:rsidTr="00816EB1">
        <w:tc>
          <w:tcPr>
            <w:tcW w:w="3937" w:type="dxa"/>
          </w:tcPr>
          <w:p w14:paraId="148FAAD9" w14:textId="7FB45AAD" w:rsidR="006D2219" w:rsidRPr="002041D1" w:rsidRDefault="006D2219" w:rsidP="00816EB1">
            <w:pPr>
              <w:pStyle w:val="TableText"/>
              <w:keepNext/>
              <w:keepLines/>
              <w:rPr>
                <w:bCs/>
                <w:vertAlign w:val="superscript"/>
              </w:rPr>
            </w:pPr>
            <w:r w:rsidRPr="00B27879">
              <w:rPr>
                <w:bCs/>
              </w:rPr>
              <w:t xml:space="preserve">Cost offset to MBS </w:t>
            </w:r>
            <w:r>
              <w:rPr>
                <w:bCs/>
              </w:rPr>
              <w:t>f</w:t>
            </w:r>
            <w:r w:rsidRPr="00B27879">
              <w:rPr>
                <w:bCs/>
              </w:rPr>
              <w:t xml:space="preserve">or reduction in </w:t>
            </w:r>
            <w:proofErr w:type="spellStart"/>
            <w:r w:rsidRPr="00B27879">
              <w:rPr>
                <w:bCs/>
              </w:rPr>
              <w:t>FOLFOX</w:t>
            </w:r>
            <w:r w:rsidR="00046A9C">
              <w:rPr>
                <w:bCs/>
                <w:vertAlign w:val="superscript"/>
              </w:rPr>
              <w:t>e</w:t>
            </w:r>
            <w:proofErr w:type="spellEnd"/>
          </w:p>
        </w:tc>
        <w:tc>
          <w:tcPr>
            <w:tcW w:w="833" w:type="dxa"/>
            <w:vAlign w:val="center"/>
          </w:tcPr>
          <w:p w14:paraId="6699F49C" w14:textId="072AD644" w:rsidR="006D2219" w:rsidRPr="006B1BED" w:rsidRDefault="00775B7F" w:rsidP="00816EB1">
            <w:pPr>
              <w:pStyle w:val="TableText"/>
              <w:keepNext/>
              <w:keepLines/>
              <w:jc w:val="center"/>
              <w:rPr>
                <w:i/>
                <w:iCs/>
              </w:rPr>
            </w:pPr>
            <w:r w:rsidRPr="001B17EC">
              <w:rPr>
                <w:b/>
                <w:bCs/>
              </w:rPr>
              <w:t>Redacted</w:t>
            </w:r>
            <w:r>
              <w:rPr>
                <w:b/>
                <w:bCs/>
                <w:vertAlign w:val="superscript"/>
              </w:rPr>
              <w:t>3</w:t>
            </w:r>
          </w:p>
        </w:tc>
        <w:tc>
          <w:tcPr>
            <w:tcW w:w="834" w:type="dxa"/>
            <w:vAlign w:val="center"/>
          </w:tcPr>
          <w:p w14:paraId="3B4A0433" w14:textId="439767FA" w:rsidR="006D2219" w:rsidRPr="006B1BED" w:rsidRDefault="00775B7F" w:rsidP="00816EB1">
            <w:pPr>
              <w:pStyle w:val="TableText"/>
              <w:keepNext/>
              <w:keepLines/>
              <w:jc w:val="center"/>
              <w:rPr>
                <w:i/>
                <w:iCs/>
              </w:rPr>
            </w:pPr>
            <w:r w:rsidRPr="001B17EC">
              <w:rPr>
                <w:b/>
                <w:bCs/>
              </w:rPr>
              <w:t>Redacted</w:t>
            </w:r>
            <w:r>
              <w:rPr>
                <w:b/>
                <w:bCs/>
                <w:vertAlign w:val="superscript"/>
              </w:rPr>
              <w:t>3</w:t>
            </w:r>
          </w:p>
        </w:tc>
        <w:tc>
          <w:tcPr>
            <w:tcW w:w="833" w:type="dxa"/>
            <w:vAlign w:val="center"/>
          </w:tcPr>
          <w:p w14:paraId="218FF837" w14:textId="2640B3AE" w:rsidR="006D2219" w:rsidRPr="006B1BED" w:rsidRDefault="00775B7F" w:rsidP="00816EB1">
            <w:pPr>
              <w:pStyle w:val="TableText"/>
              <w:keepNext/>
              <w:keepLines/>
              <w:jc w:val="center"/>
              <w:rPr>
                <w:i/>
                <w:iCs/>
              </w:rPr>
            </w:pPr>
            <w:r w:rsidRPr="001B17EC">
              <w:rPr>
                <w:b/>
                <w:bCs/>
              </w:rPr>
              <w:t>Redacted</w:t>
            </w:r>
            <w:r>
              <w:rPr>
                <w:b/>
                <w:bCs/>
                <w:vertAlign w:val="superscript"/>
              </w:rPr>
              <w:t>3</w:t>
            </w:r>
          </w:p>
        </w:tc>
        <w:tc>
          <w:tcPr>
            <w:tcW w:w="834" w:type="dxa"/>
            <w:vAlign w:val="center"/>
          </w:tcPr>
          <w:p w14:paraId="2B3207BC" w14:textId="1768DE83" w:rsidR="006D2219" w:rsidRPr="006B1BED" w:rsidRDefault="00775B7F" w:rsidP="00816EB1">
            <w:pPr>
              <w:pStyle w:val="TableText"/>
              <w:keepNext/>
              <w:keepLines/>
              <w:jc w:val="center"/>
              <w:rPr>
                <w:i/>
                <w:iCs/>
              </w:rPr>
            </w:pPr>
            <w:r w:rsidRPr="001B17EC">
              <w:rPr>
                <w:b/>
                <w:bCs/>
              </w:rPr>
              <w:t>Redacted</w:t>
            </w:r>
            <w:r>
              <w:rPr>
                <w:b/>
                <w:bCs/>
                <w:vertAlign w:val="superscript"/>
              </w:rPr>
              <w:t>3</w:t>
            </w:r>
          </w:p>
        </w:tc>
        <w:tc>
          <w:tcPr>
            <w:tcW w:w="833" w:type="dxa"/>
            <w:vAlign w:val="center"/>
          </w:tcPr>
          <w:p w14:paraId="395F8227" w14:textId="33B6952F" w:rsidR="006D2219" w:rsidRPr="006B1BED" w:rsidRDefault="00775B7F" w:rsidP="00816EB1">
            <w:pPr>
              <w:pStyle w:val="TableText"/>
              <w:keepNext/>
              <w:keepLines/>
              <w:jc w:val="center"/>
              <w:rPr>
                <w:i/>
                <w:iCs/>
              </w:rPr>
            </w:pPr>
            <w:r w:rsidRPr="001B17EC">
              <w:rPr>
                <w:b/>
                <w:bCs/>
              </w:rPr>
              <w:t>Redacted</w:t>
            </w:r>
            <w:r>
              <w:rPr>
                <w:b/>
                <w:bCs/>
                <w:vertAlign w:val="superscript"/>
              </w:rPr>
              <w:t>3</w:t>
            </w:r>
          </w:p>
        </w:tc>
        <w:tc>
          <w:tcPr>
            <w:tcW w:w="834" w:type="dxa"/>
            <w:vAlign w:val="center"/>
          </w:tcPr>
          <w:p w14:paraId="2010D741" w14:textId="5AAB132D" w:rsidR="006D2219" w:rsidRPr="006B1BED" w:rsidRDefault="00775B7F" w:rsidP="00816EB1">
            <w:pPr>
              <w:pStyle w:val="TableText"/>
              <w:keepNext/>
              <w:keepLines/>
              <w:jc w:val="center"/>
              <w:rPr>
                <w:i/>
                <w:iCs/>
              </w:rPr>
            </w:pPr>
            <w:r w:rsidRPr="001B17EC">
              <w:rPr>
                <w:b/>
                <w:bCs/>
              </w:rPr>
              <w:t>Redacted</w:t>
            </w:r>
            <w:r>
              <w:rPr>
                <w:b/>
                <w:bCs/>
                <w:vertAlign w:val="superscript"/>
              </w:rPr>
              <w:t>3</w:t>
            </w:r>
          </w:p>
        </w:tc>
      </w:tr>
      <w:tr w:rsidR="006D2219" w:rsidRPr="00B27879" w14:paraId="2D4481F7" w14:textId="77777777" w:rsidTr="00816EB1">
        <w:tc>
          <w:tcPr>
            <w:tcW w:w="3937" w:type="dxa"/>
          </w:tcPr>
          <w:p w14:paraId="4EA8C0BB" w14:textId="1893DEB2" w:rsidR="006D2219" w:rsidRPr="000570F7" w:rsidRDefault="006D2219" w:rsidP="00816EB1">
            <w:pPr>
              <w:pStyle w:val="TableText"/>
              <w:keepNext/>
              <w:keepLines/>
              <w:rPr>
                <w:bCs/>
                <w:vertAlign w:val="superscript"/>
              </w:rPr>
            </w:pPr>
            <w:r w:rsidRPr="00B27879">
              <w:rPr>
                <w:b/>
              </w:rPr>
              <w:t xml:space="preserve">Net cost to </w:t>
            </w:r>
            <w:proofErr w:type="spellStart"/>
            <w:r w:rsidRPr="00B27879">
              <w:rPr>
                <w:b/>
              </w:rPr>
              <w:t>MBS</w:t>
            </w:r>
            <w:r w:rsidR="00046A9C">
              <w:rPr>
                <w:bCs/>
                <w:vertAlign w:val="superscript"/>
              </w:rPr>
              <w:t>f</w:t>
            </w:r>
            <w:proofErr w:type="spellEnd"/>
          </w:p>
        </w:tc>
        <w:tc>
          <w:tcPr>
            <w:tcW w:w="833" w:type="dxa"/>
          </w:tcPr>
          <w:p w14:paraId="3AF69F79" w14:textId="176F2E6F" w:rsidR="006D2219" w:rsidRPr="007669DD" w:rsidRDefault="00783935" w:rsidP="00816EB1">
            <w:pPr>
              <w:pStyle w:val="TableText"/>
              <w:keepNext/>
              <w:keepLines/>
              <w:jc w:val="center"/>
              <w:rPr>
                <w:b/>
                <w:bCs/>
              </w:rPr>
            </w:pPr>
            <w:r w:rsidRPr="001B17EC">
              <w:rPr>
                <w:b/>
                <w:bCs/>
              </w:rPr>
              <w:t>Redacted</w:t>
            </w:r>
            <w:r w:rsidR="0095208A">
              <w:rPr>
                <w:b/>
                <w:bCs/>
                <w:vertAlign w:val="superscript"/>
              </w:rPr>
              <w:t>4</w:t>
            </w:r>
          </w:p>
        </w:tc>
        <w:tc>
          <w:tcPr>
            <w:tcW w:w="834" w:type="dxa"/>
          </w:tcPr>
          <w:p w14:paraId="2250C11F" w14:textId="3095AD3E" w:rsidR="006D2219" w:rsidRPr="007669DD" w:rsidRDefault="00783935" w:rsidP="00816EB1">
            <w:pPr>
              <w:pStyle w:val="TableText"/>
              <w:keepNext/>
              <w:keepLines/>
              <w:jc w:val="center"/>
              <w:rPr>
                <w:b/>
                <w:bCs/>
              </w:rPr>
            </w:pPr>
            <w:r w:rsidRPr="001B17EC">
              <w:rPr>
                <w:b/>
                <w:bCs/>
              </w:rPr>
              <w:t>Redacted</w:t>
            </w:r>
            <w:r w:rsidR="0095208A">
              <w:rPr>
                <w:b/>
                <w:bCs/>
                <w:vertAlign w:val="superscript"/>
              </w:rPr>
              <w:t>4</w:t>
            </w:r>
            <w:r w:rsidR="005C0C49" w:rsidRPr="007669DD">
              <w:rPr>
                <w:b/>
                <w:bCs/>
              </w:rPr>
              <w:t xml:space="preserve"> </w:t>
            </w:r>
          </w:p>
        </w:tc>
        <w:tc>
          <w:tcPr>
            <w:tcW w:w="833" w:type="dxa"/>
          </w:tcPr>
          <w:p w14:paraId="0F0D85C7" w14:textId="5623C49C" w:rsidR="006D2219" w:rsidRPr="007669DD" w:rsidRDefault="00783935" w:rsidP="00816EB1">
            <w:pPr>
              <w:pStyle w:val="TableText"/>
              <w:keepNext/>
              <w:keepLines/>
              <w:jc w:val="center"/>
              <w:rPr>
                <w:b/>
                <w:bCs/>
              </w:rPr>
            </w:pPr>
            <w:r w:rsidRPr="001B17EC">
              <w:rPr>
                <w:b/>
                <w:bCs/>
              </w:rPr>
              <w:t>Redacted</w:t>
            </w:r>
            <w:r w:rsidR="0095208A">
              <w:rPr>
                <w:b/>
                <w:bCs/>
                <w:vertAlign w:val="superscript"/>
              </w:rPr>
              <w:t>4</w:t>
            </w:r>
          </w:p>
        </w:tc>
        <w:tc>
          <w:tcPr>
            <w:tcW w:w="834" w:type="dxa"/>
          </w:tcPr>
          <w:p w14:paraId="14D1C9A9" w14:textId="5E245552" w:rsidR="006D2219" w:rsidRPr="007669DD" w:rsidRDefault="00783935" w:rsidP="00816EB1">
            <w:pPr>
              <w:pStyle w:val="TableText"/>
              <w:keepNext/>
              <w:keepLines/>
              <w:jc w:val="center"/>
              <w:rPr>
                <w:b/>
                <w:bCs/>
              </w:rPr>
            </w:pPr>
            <w:r w:rsidRPr="001B17EC">
              <w:rPr>
                <w:b/>
                <w:bCs/>
              </w:rPr>
              <w:t>Redacted</w:t>
            </w:r>
            <w:r w:rsidR="0095208A">
              <w:rPr>
                <w:b/>
                <w:bCs/>
                <w:vertAlign w:val="superscript"/>
              </w:rPr>
              <w:t>4</w:t>
            </w:r>
          </w:p>
        </w:tc>
        <w:tc>
          <w:tcPr>
            <w:tcW w:w="833" w:type="dxa"/>
          </w:tcPr>
          <w:p w14:paraId="4F320BDF" w14:textId="01C3CA8C" w:rsidR="006D2219" w:rsidRPr="007669DD" w:rsidRDefault="00783935" w:rsidP="00816EB1">
            <w:pPr>
              <w:pStyle w:val="TableText"/>
              <w:keepNext/>
              <w:keepLines/>
              <w:jc w:val="center"/>
              <w:rPr>
                <w:b/>
                <w:bCs/>
              </w:rPr>
            </w:pPr>
            <w:r w:rsidRPr="001B17EC">
              <w:rPr>
                <w:b/>
                <w:bCs/>
              </w:rPr>
              <w:t>Redacted</w:t>
            </w:r>
            <w:r w:rsidR="0095208A">
              <w:rPr>
                <w:b/>
                <w:bCs/>
                <w:vertAlign w:val="superscript"/>
              </w:rPr>
              <w:t>4</w:t>
            </w:r>
          </w:p>
        </w:tc>
        <w:tc>
          <w:tcPr>
            <w:tcW w:w="834" w:type="dxa"/>
          </w:tcPr>
          <w:p w14:paraId="4DFE3BAF" w14:textId="107308FD" w:rsidR="006D2219" w:rsidRPr="007669DD" w:rsidRDefault="00783935" w:rsidP="00816EB1">
            <w:pPr>
              <w:pStyle w:val="TableText"/>
              <w:keepNext/>
              <w:keepLines/>
              <w:jc w:val="center"/>
              <w:rPr>
                <w:b/>
                <w:bCs/>
              </w:rPr>
            </w:pPr>
            <w:r w:rsidRPr="001B17EC">
              <w:rPr>
                <w:b/>
                <w:bCs/>
              </w:rPr>
              <w:t>Redacted</w:t>
            </w:r>
            <w:r w:rsidR="0095208A">
              <w:rPr>
                <w:b/>
                <w:bCs/>
                <w:vertAlign w:val="superscript"/>
              </w:rPr>
              <w:t>4</w:t>
            </w:r>
          </w:p>
        </w:tc>
      </w:tr>
    </w:tbl>
    <w:p w14:paraId="118A00EC" w14:textId="60800209" w:rsidR="006B1BED" w:rsidRDefault="00A5262F">
      <w:pPr>
        <w:pStyle w:val="TableFooter"/>
        <w:keepNext/>
        <w:keepLines/>
        <w:jc w:val="left"/>
        <w:rPr>
          <w:szCs w:val="18"/>
        </w:rPr>
      </w:pPr>
      <w:r>
        <w:t xml:space="preserve">Abbreviations: </w:t>
      </w:r>
      <w:r w:rsidRPr="00B27879">
        <w:t>CCA = cholangiocarcinoma</w:t>
      </w:r>
      <w:r>
        <w:t>;</w:t>
      </w:r>
      <w:r w:rsidRPr="00A1138B">
        <w:t xml:space="preserve"> </w:t>
      </w:r>
      <w:r w:rsidRPr="000570F7">
        <w:rPr>
          <w:i/>
          <w:iCs/>
        </w:rPr>
        <w:t>FGFR2</w:t>
      </w:r>
      <w:r w:rsidRPr="00B27879">
        <w:t xml:space="preserve"> = fibroblast growth factor receptor 2</w:t>
      </w:r>
      <w:r>
        <w:t>;</w:t>
      </w:r>
      <w:r w:rsidRPr="00B27879">
        <w:t xml:space="preserve"> OCT = optical coherence tomography</w:t>
      </w:r>
      <w:r>
        <w:br/>
      </w:r>
      <w:proofErr w:type="spellStart"/>
      <w:proofErr w:type="gramStart"/>
      <w:r w:rsidR="006D2219" w:rsidRPr="006D2219">
        <w:rPr>
          <w:szCs w:val="18"/>
          <w:vertAlign w:val="superscript"/>
        </w:rPr>
        <w:t>a</w:t>
      </w:r>
      <w:proofErr w:type="spellEnd"/>
      <w:proofErr w:type="gramEnd"/>
      <w:r w:rsidR="006D2219" w:rsidRPr="006D2219">
        <w:rPr>
          <w:szCs w:val="18"/>
        </w:rPr>
        <w:t xml:space="preserve"> </w:t>
      </w:r>
      <w:r w:rsidR="00046A9C">
        <w:t>Incident population as per MSAC 1779.1 resubmission’s financial spreadsheet (2a. Patients-incident worksheet)</w:t>
      </w:r>
      <w:r>
        <w:rPr>
          <w:szCs w:val="18"/>
          <w:vertAlign w:val="superscript"/>
        </w:rPr>
        <w:br/>
      </w:r>
      <w:r w:rsidR="00046A9C">
        <w:rPr>
          <w:szCs w:val="18"/>
          <w:vertAlign w:val="superscript"/>
        </w:rPr>
        <w:t>b</w:t>
      </w:r>
      <w:r w:rsidR="006D2219" w:rsidRPr="006D2219">
        <w:rPr>
          <w:szCs w:val="18"/>
        </w:rPr>
        <w:t xml:space="preserve"> </w:t>
      </w:r>
      <w:r w:rsidR="006B1BED">
        <w:rPr>
          <w:szCs w:val="18"/>
        </w:rPr>
        <w:t>Assuming 92.5% test uptake and 1</w:t>
      </w:r>
      <w:r w:rsidR="00486B61">
        <w:rPr>
          <w:szCs w:val="18"/>
        </w:rPr>
        <w:t>0.1</w:t>
      </w:r>
      <w:r w:rsidR="006B1BED">
        <w:rPr>
          <w:szCs w:val="18"/>
        </w:rPr>
        <w:t>% diagnostic yield</w:t>
      </w:r>
    </w:p>
    <w:p w14:paraId="42ECDC49" w14:textId="5993F526" w:rsidR="006D2219" w:rsidRDefault="00046A9C">
      <w:pPr>
        <w:pStyle w:val="TableFooter"/>
        <w:keepNext/>
        <w:keepLines/>
        <w:jc w:val="left"/>
      </w:pPr>
      <w:r>
        <w:rPr>
          <w:szCs w:val="18"/>
          <w:vertAlign w:val="superscript"/>
        </w:rPr>
        <w:t>c</w:t>
      </w:r>
      <w:r w:rsidR="006B1BED">
        <w:rPr>
          <w:szCs w:val="18"/>
          <w:vertAlign w:val="superscript"/>
        </w:rPr>
        <w:t xml:space="preserve"> </w:t>
      </w:r>
      <w:r w:rsidR="006D2219" w:rsidRPr="006D2219">
        <w:rPr>
          <w:szCs w:val="18"/>
        </w:rPr>
        <w:t>Based on $885 test fee (with $545 applied in the financial analysi</w:t>
      </w:r>
      <w:r w:rsidR="006D2219">
        <w:rPr>
          <w:szCs w:val="18"/>
        </w:rPr>
        <w:t>s</w:t>
      </w:r>
      <w:r w:rsidR="006D2219" w:rsidRPr="006D2219">
        <w:rPr>
          <w:szCs w:val="18"/>
        </w:rPr>
        <w:t>), assuming 80% rebate</w:t>
      </w:r>
      <w:r w:rsidR="006D2219">
        <w:rPr>
          <w:szCs w:val="18"/>
        </w:rPr>
        <w:br/>
      </w:r>
      <w:r>
        <w:rPr>
          <w:vertAlign w:val="superscript"/>
        </w:rPr>
        <w:t>d</w:t>
      </w:r>
      <w:r w:rsidR="006D2219">
        <w:rPr>
          <w:vertAlign w:val="superscript"/>
        </w:rPr>
        <w:t xml:space="preserve"> </w:t>
      </w:r>
      <w:r w:rsidR="006D2219">
        <w:t>Assumed to occur twice per patient; based on MBS Item 11219, with a fee of $45.50 and 80% rebate</w:t>
      </w:r>
      <w:r w:rsidR="005C0C49">
        <w:br/>
      </w:r>
      <w:r>
        <w:rPr>
          <w:vertAlign w:val="superscript"/>
        </w:rPr>
        <w:t>e</w:t>
      </w:r>
      <w:r w:rsidR="005C0C49">
        <w:rPr>
          <w:vertAlign w:val="superscript"/>
        </w:rPr>
        <w:t xml:space="preserve"> </w:t>
      </w:r>
      <w:r w:rsidR="005C0C49" w:rsidRPr="2914E55D">
        <w:t>Includes Chemotherapy administration (MBS Item 13950: $123.05), insertion of a central venous access device (CVAD) (MBS item 34528, $310.35), removal of CVAD for 73.6% of patients (MBS item 34530, $232.60), anaesthesia (MBS item 20400+23010, $90.20),and cleaning the CVAD (MBS item 14221, $59.80). All assumed 80% rebate.</w:t>
      </w:r>
    </w:p>
    <w:p w14:paraId="038F0B53" w14:textId="3E611D80" w:rsidR="007E0375" w:rsidRDefault="00046A9C">
      <w:pPr>
        <w:pStyle w:val="TableFooter"/>
        <w:keepNext/>
        <w:keepLines/>
        <w:jc w:val="left"/>
      </w:pPr>
      <w:r>
        <w:rPr>
          <w:vertAlign w:val="superscript"/>
        </w:rPr>
        <w:t>f</w:t>
      </w:r>
      <w:r w:rsidR="007E0375">
        <w:rPr>
          <w:vertAlign w:val="superscript"/>
        </w:rPr>
        <w:t xml:space="preserve"> </w:t>
      </w:r>
      <w:r w:rsidR="007E0375">
        <w:t xml:space="preserve">Net cost </w:t>
      </w:r>
      <w:r w:rsidR="007E0375" w:rsidRPr="007E0375">
        <w:t>inclusive of OCT and offset from reduction in FOLFOX administration</w:t>
      </w:r>
      <w:r w:rsidR="00486B61">
        <w:t>. Does not include testing in populations outside of the intended CCA population.</w:t>
      </w:r>
    </w:p>
    <w:p w14:paraId="5F71188F" w14:textId="292F11A3" w:rsidR="006D2219" w:rsidRDefault="008915F6" w:rsidP="0031094A">
      <w:pPr>
        <w:pStyle w:val="TableFooter"/>
        <w:spacing w:after="0"/>
        <w:jc w:val="left"/>
      </w:pPr>
      <w:r>
        <w:t>Source: Compiled for the department</w:t>
      </w:r>
      <w:r w:rsidR="00AF6BA9">
        <w:t>al</w:t>
      </w:r>
      <w:r>
        <w:t xml:space="preserve"> overview</w:t>
      </w:r>
    </w:p>
    <w:p w14:paraId="6A1D21C8" w14:textId="77777777" w:rsidR="002B670A" w:rsidRPr="00F65B8B" w:rsidRDefault="002B670A" w:rsidP="002B670A">
      <w:pPr>
        <w:tabs>
          <w:tab w:val="left" w:pos="284"/>
        </w:tabs>
        <w:spacing w:before="0" w:after="0" w:line="240" w:lineRule="auto"/>
        <w:jc w:val="both"/>
        <w:rPr>
          <w:rFonts w:ascii="Arial Narrow" w:eastAsia="Times New Roman" w:hAnsi="Arial Narrow" w:cs="Arial"/>
          <w:i/>
          <w:iCs/>
          <w:snapToGrid w:val="0"/>
          <w:color w:val="0D0D0D"/>
          <w:sz w:val="18"/>
          <w:szCs w:val="18"/>
          <w:lang w:eastAsia="en-AU"/>
        </w:rPr>
      </w:pPr>
      <w:r w:rsidRPr="00F65B8B">
        <w:rPr>
          <w:rFonts w:ascii="Arial Narrow" w:eastAsia="Times New Roman" w:hAnsi="Arial Narrow" w:cs="Arial"/>
          <w:i/>
          <w:iCs/>
          <w:snapToGrid w:val="0"/>
          <w:color w:val="0D0D0D"/>
          <w:sz w:val="18"/>
          <w:szCs w:val="18"/>
          <w:lang w:eastAsia="en-AU"/>
        </w:rPr>
        <w:t>The redacted values correspond to the following ranges:</w:t>
      </w:r>
    </w:p>
    <w:p w14:paraId="7AA5F75B" w14:textId="674BBB96" w:rsidR="002B670A" w:rsidRPr="00F65B8B" w:rsidRDefault="002B670A" w:rsidP="002B670A">
      <w:pPr>
        <w:tabs>
          <w:tab w:val="left" w:pos="284"/>
        </w:tabs>
        <w:spacing w:before="0" w:after="0" w:line="240" w:lineRule="auto"/>
        <w:jc w:val="both"/>
        <w:rPr>
          <w:rFonts w:ascii="Arial Narrow" w:eastAsia="Times New Roman" w:hAnsi="Arial Narrow" w:cs="Arial"/>
          <w:i/>
          <w:iCs/>
          <w:snapToGrid w:val="0"/>
          <w:color w:val="0D0D0D"/>
          <w:sz w:val="18"/>
          <w:szCs w:val="18"/>
          <w:lang w:eastAsia="en-AU"/>
        </w:rPr>
      </w:pPr>
      <w:r w:rsidRPr="00F65B8B">
        <w:rPr>
          <w:rFonts w:ascii="Arial Narrow" w:eastAsia="Times New Roman" w:hAnsi="Arial Narrow" w:cs="Arial"/>
          <w:i/>
          <w:iCs/>
          <w:snapToGrid w:val="0"/>
          <w:color w:val="0D0D0D"/>
          <w:sz w:val="18"/>
          <w:szCs w:val="18"/>
          <w:vertAlign w:val="superscript"/>
          <w:lang w:eastAsia="en-AU"/>
        </w:rPr>
        <w:t>1</w:t>
      </w:r>
      <w:r w:rsidR="0067701F">
        <w:rPr>
          <w:rFonts w:ascii="Arial Narrow" w:eastAsia="Times New Roman" w:hAnsi="Arial Narrow" w:cs="Arial"/>
          <w:i/>
          <w:iCs/>
          <w:snapToGrid w:val="0"/>
          <w:color w:val="0D0D0D"/>
          <w:sz w:val="18"/>
          <w:szCs w:val="18"/>
          <w:vertAlign w:val="superscript"/>
          <w:lang w:eastAsia="en-AU"/>
        </w:rPr>
        <w:t xml:space="preserve"> </w:t>
      </w:r>
      <w:r w:rsidRPr="00F65B8B">
        <w:rPr>
          <w:rFonts w:ascii="Arial Narrow" w:eastAsia="Times New Roman" w:hAnsi="Arial Narrow" w:cs="Arial"/>
          <w:i/>
          <w:iCs/>
          <w:snapToGrid w:val="0"/>
          <w:color w:val="0D0D0D"/>
          <w:sz w:val="18"/>
          <w:szCs w:val="18"/>
          <w:lang w:eastAsia="en-AU"/>
        </w:rPr>
        <w:t>&lt; 500</w:t>
      </w:r>
    </w:p>
    <w:p w14:paraId="4C0F4802" w14:textId="37E7BBB3" w:rsidR="002B670A" w:rsidRPr="00F65B8B" w:rsidRDefault="002B670A" w:rsidP="002B670A">
      <w:pPr>
        <w:tabs>
          <w:tab w:val="left" w:pos="284"/>
        </w:tabs>
        <w:spacing w:before="0" w:after="0" w:line="240" w:lineRule="auto"/>
        <w:jc w:val="both"/>
        <w:rPr>
          <w:rFonts w:ascii="Arial Narrow" w:eastAsia="Times New Roman" w:hAnsi="Arial Narrow" w:cs="Arial"/>
          <w:i/>
          <w:iCs/>
          <w:snapToGrid w:val="0"/>
          <w:color w:val="0D0D0D"/>
          <w:sz w:val="18"/>
          <w:szCs w:val="18"/>
          <w:lang w:eastAsia="en-AU"/>
        </w:rPr>
      </w:pPr>
      <w:r w:rsidRPr="00F65B8B">
        <w:rPr>
          <w:rFonts w:ascii="Arial Narrow" w:eastAsia="Times New Roman" w:hAnsi="Arial Narrow" w:cs="Arial"/>
          <w:i/>
          <w:iCs/>
          <w:snapToGrid w:val="0"/>
          <w:color w:val="0D0D0D"/>
          <w:sz w:val="18"/>
          <w:szCs w:val="18"/>
          <w:vertAlign w:val="superscript"/>
          <w:lang w:eastAsia="en-AU"/>
        </w:rPr>
        <w:t>2</w:t>
      </w:r>
      <w:r w:rsidR="0067701F">
        <w:rPr>
          <w:rFonts w:ascii="Arial Narrow" w:eastAsia="Times New Roman" w:hAnsi="Arial Narrow" w:cs="Arial"/>
          <w:i/>
          <w:iCs/>
          <w:snapToGrid w:val="0"/>
          <w:color w:val="0D0D0D"/>
          <w:sz w:val="18"/>
          <w:szCs w:val="18"/>
          <w:vertAlign w:val="superscript"/>
          <w:lang w:eastAsia="en-AU"/>
        </w:rPr>
        <w:t xml:space="preserve"> </w:t>
      </w:r>
      <w:r w:rsidRPr="00F65B8B">
        <w:rPr>
          <w:rFonts w:ascii="Arial Narrow" w:eastAsia="Times New Roman" w:hAnsi="Arial Narrow" w:cs="Arial"/>
          <w:i/>
          <w:iCs/>
          <w:snapToGrid w:val="0"/>
          <w:color w:val="0D0D0D"/>
          <w:sz w:val="18"/>
          <w:szCs w:val="18"/>
          <w:lang w:eastAsia="en-AU"/>
        </w:rPr>
        <w:t>500 to &lt; 5,000</w:t>
      </w:r>
    </w:p>
    <w:p w14:paraId="4C539B6C" w14:textId="282C9C51" w:rsidR="0067701F" w:rsidRPr="0031094A" w:rsidRDefault="0067701F" w:rsidP="0031094A">
      <w:pPr>
        <w:spacing w:before="0" w:after="0"/>
        <w:rPr>
          <w:rFonts w:ascii="Arial Narrow" w:eastAsia="Times New Roman" w:hAnsi="Arial Narrow" w:cs="Arial"/>
          <w:i/>
          <w:iCs/>
          <w:snapToGrid w:val="0"/>
          <w:color w:val="0D0D0D"/>
          <w:sz w:val="18"/>
          <w:szCs w:val="18"/>
          <w:lang w:eastAsia="en-AU"/>
        </w:rPr>
      </w:pPr>
      <w:r>
        <w:rPr>
          <w:rFonts w:ascii="Arial Narrow" w:eastAsia="Times New Roman" w:hAnsi="Arial Narrow" w:cs="Arial"/>
          <w:i/>
          <w:iCs/>
          <w:snapToGrid w:val="0"/>
          <w:color w:val="0D0D0D"/>
          <w:sz w:val="18"/>
          <w:szCs w:val="18"/>
          <w:vertAlign w:val="superscript"/>
          <w:lang w:eastAsia="en-AU"/>
        </w:rPr>
        <w:t>3</w:t>
      </w:r>
      <w:r>
        <w:rPr>
          <w:rFonts w:ascii="Arial Narrow" w:eastAsia="Times New Roman" w:hAnsi="Arial Narrow" w:cs="Arial"/>
          <w:i/>
          <w:iCs/>
          <w:snapToGrid w:val="0"/>
          <w:color w:val="0D0D0D"/>
          <w:sz w:val="18"/>
          <w:szCs w:val="18"/>
          <w:lang w:eastAsia="en-AU"/>
        </w:rPr>
        <w:t xml:space="preserve"> n</w:t>
      </w:r>
      <w:r w:rsidRPr="0067701F">
        <w:rPr>
          <w:rFonts w:ascii="Arial Narrow" w:eastAsia="Times New Roman" w:hAnsi="Arial Narrow" w:cs="Arial"/>
          <w:i/>
          <w:iCs/>
          <w:snapToGrid w:val="0"/>
          <w:color w:val="0D0D0D"/>
          <w:sz w:val="18"/>
          <w:szCs w:val="18"/>
          <w:lang w:eastAsia="en-AU"/>
        </w:rPr>
        <w:t>et</w:t>
      </w:r>
      <w:r>
        <w:rPr>
          <w:rFonts w:ascii="Arial Narrow" w:eastAsia="Times New Roman" w:hAnsi="Arial Narrow" w:cs="Arial"/>
          <w:i/>
          <w:iCs/>
          <w:snapToGrid w:val="0"/>
          <w:color w:val="0D0D0D"/>
          <w:sz w:val="18"/>
          <w:szCs w:val="18"/>
          <w:lang w:eastAsia="en-AU"/>
        </w:rPr>
        <w:t xml:space="preserve"> cost saving</w:t>
      </w:r>
    </w:p>
    <w:p w14:paraId="398FD8F7" w14:textId="12AC4222" w:rsidR="002B670A" w:rsidRPr="000523F7" w:rsidRDefault="0067701F" w:rsidP="00767DCF">
      <w:pPr>
        <w:spacing w:before="0"/>
      </w:pPr>
      <w:r>
        <w:rPr>
          <w:rFonts w:ascii="Arial Narrow" w:eastAsia="Times New Roman" w:hAnsi="Arial Narrow" w:cs="Arial"/>
          <w:i/>
          <w:iCs/>
          <w:snapToGrid w:val="0"/>
          <w:color w:val="0D0D0D"/>
          <w:sz w:val="18"/>
          <w:szCs w:val="18"/>
          <w:vertAlign w:val="superscript"/>
          <w:lang w:eastAsia="en-AU"/>
        </w:rPr>
        <w:t xml:space="preserve">4 </w:t>
      </w:r>
      <w:r w:rsidR="002B670A" w:rsidRPr="00F65B8B">
        <w:rPr>
          <w:rFonts w:ascii="Arial Narrow" w:eastAsia="Times New Roman" w:hAnsi="Arial Narrow" w:cs="Arial"/>
          <w:i/>
          <w:iCs/>
          <w:snapToGrid w:val="0"/>
          <w:color w:val="0D0D0D"/>
          <w:sz w:val="18"/>
          <w:szCs w:val="18"/>
          <w:lang w:eastAsia="en-AU"/>
        </w:rPr>
        <w:t>$0 to &lt; $10 million</w:t>
      </w:r>
    </w:p>
    <w:p w14:paraId="4388A21B" w14:textId="6B3466FE" w:rsidR="005332DC" w:rsidRPr="000570F7" w:rsidRDefault="005332DC" w:rsidP="000523F7">
      <w:pPr>
        <w:pStyle w:val="Caption"/>
        <w:keepLines/>
        <w:rPr>
          <w:vertAlign w:val="superscript"/>
        </w:rPr>
      </w:pPr>
      <w:r>
        <w:lastRenderedPageBreak/>
        <w:t xml:space="preserve">Table </w:t>
      </w:r>
      <w:r w:rsidR="006D2219">
        <w:fldChar w:fldCharType="begin"/>
      </w:r>
      <w:r w:rsidR="006D2219">
        <w:instrText xml:space="preserve"> SEQ Table \* ARABIC </w:instrText>
      </w:r>
      <w:r w:rsidR="006D2219">
        <w:fldChar w:fldCharType="separate"/>
      </w:r>
      <w:r w:rsidR="006D2219">
        <w:rPr>
          <w:noProof/>
        </w:rPr>
        <w:t>6</w:t>
      </w:r>
      <w:r w:rsidR="006D2219">
        <w:rPr>
          <w:noProof/>
        </w:rPr>
        <w:fldChar w:fldCharType="end"/>
      </w:r>
      <w:r>
        <w:t xml:space="preserve">: Sensitivity analyses conducted by the </w:t>
      </w:r>
      <w:proofErr w:type="spellStart"/>
      <w:r w:rsidR="00FF0D76">
        <w:t>department</w:t>
      </w:r>
      <w:r w:rsidR="00FF0D76">
        <w:rPr>
          <w:vertAlign w:val="superscript"/>
        </w:rPr>
        <w:t>a</w:t>
      </w:r>
      <w:proofErr w:type="spellEnd"/>
    </w:p>
    <w:tbl>
      <w:tblPr>
        <w:tblW w:w="9036" w:type="dxa"/>
        <w:tblLook w:val="04A0" w:firstRow="1" w:lastRow="0" w:firstColumn="1" w:lastColumn="0" w:noHBand="0" w:noVBand="1"/>
      </w:tblPr>
      <w:tblGrid>
        <w:gridCol w:w="2664"/>
        <w:gridCol w:w="1062"/>
        <w:gridCol w:w="1062"/>
        <w:gridCol w:w="1062"/>
        <w:gridCol w:w="1062"/>
        <w:gridCol w:w="1062"/>
        <w:gridCol w:w="1062"/>
      </w:tblGrid>
      <w:tr w:rsidR="005332DC" w:rsidRPr="00582F3A" w14:paraId="2BE65BEA" w14:textId="77777777" w:rsidTr="1B12B364">
        <w:trPr>
          <w:trHeight w:val="256"/>
        </w:trPr>
        <w:tc>
          <w:tcPr>
            <w:tcW w:w="2664" w:type="dxa"/>
            <w:tcBorders>
              <w:top w:val="single" w:sz="4" w:space="0" w:color="auto"/>
              <w:left w:val="single" w:sz="4" w:space="0" w:color="auto"/>
              <w:bottom w:val="single" w:sz="4" w:space="0" w:color="auto"/>
              <w:right w:val="single" w:sz="4" w:space="0" w:color="auto"/>
            </w:tcBorders>
            <w:noWrap/>
            <w:vAlign w:val="center"/>
          </w:tcPr>
          <w:p w14:paraId="3BA05903" w14:textId="6AD38335" w:rsidR="005332DC" w:rsidRPr="000570F7" w:rsidRDefault="005332DC" w:rsidP="000523F7">
            <w:pPr>
              <w:keepNext/>
              <w:keepLines/>
              <w:spacing w:before="0" w:after="0" w:line="240" w:lineRule="auto"/>
              <w:rPr>
                <w:rFonts w:ascii="Arial Narrow" w:hAnsi="Arial Narrow"/>
                <w:b/>
                <w:bCs/>
                <w:sz w:val="20"/>
                <w:szCs w:val="20"/>
              </w:rPr>
            </w:pPr>
            <w:r w:rsidRPr="000570F7">
              <w:rPr>
                <w:rFonts w:ascii="Arial Narrow" w:hAnsi="Arial Narrow"/>
                <w:b/>
                <w:bCs/>
                <w:sz w:val="20"/>
                <w:szCs w:val="20"/>
              </w:rPr>
              <w:t>Description</w:t>
            </w:r>
          </w:p>
        </w:tc>
        <w:tc>
          <w:tcPr>
            <w:tcW w:w="1062" w:type="dxa"/>
            <w:tcBorders>
              <w:top w:val="single" w:sz="4" w:space="0" w:color="auto"/>
              <w:left w:val="nil"/>
              <w:bottom w:val="single" w:sz="4" w:space="0" w:color="auto"/>
              <w:right w:val="single" w:sz="4" w:space="0" w:color="auto"/>
            </w:tcBorders>
            <w:noWrap/>
            <w:vAlign w:val="center"/>
          </w:tcPr>
          <w:p w14:paraId="11839412" w14:textId="5D876E7C" w:rsidR="005332DC" w:rsidRPr="000570F7" w:rsidRDefault="005332DC" w:rsidP="000523F7">
            <w:pPr>
              <w:keepNext/>
              <w:keepLines/>
              <w:spacing w:before="0" w:after="0" w:line="240" w:lineRule="auto"/>
              <w:jc w:val="center"/>
              <w:rPr>
                <w:rFonts w:ascii="Arial Narrow" w:hAnsi="Arial Narrow"/>
                <w:b/>
                <w:bCs/>
                <w:sz w:val="20"/>
                <w:szCs w:val="20"/>
              </w:rPr>
            </w:pPr>
            <w:r w:rsidRPr="000570F7">
              <w:rPr>
                <w:rFonts w:ascii="Arial Narrow" w:hAnsi="Arial Narrow"/>
                <w:b/>
                <w:bCs/>
                <w:sz w:val="20"/>
                <w:szCs w:val="20"/>
              </w:rPr>
              <w:t>2025</w:t>
            </w:r>
          </w:p>
        </w:tc>
        <w:tc>
          <w:tcPr>
            <w:tcW w:w="1062" w:type="dxa"/>
            <w:tcBorders>
              <w:top w:val="single" w:sz="4" w:space="0" w:color="auto"/>
              <w:left w:val="nil"/>
              <w:bottom w:val="single" w:sz="4" w:space="0" w:color="auto"/>
              <w:right w:val="single" w:sz="4" w:space="0" w:color="auto"/>
            </w:tcBorders>
            <w:noWrap/>
            <w:vAlign w:val="center"/>
          </w:tcPr>
          <w:p w14:paraId="7FD4310E" w14:textId="531E73F2" w:rsidR="005332DC" w:rsidRPr="000570F7" w:rsidRDefault="005332DC" w:rsidP="000523F7">
            <w:pPr>
              <w:keepNext/>
              <w:keepLines/>
              <w:spacing w:before="0" w:after="0" w:line="240" w:lineRule="auto"/>
              <w:jc w:val="center"/>
              <w:rPr>
                <w:rFonts w:ascii="Arial Narrow" w:hAnsi="Arial Narrow"/>
                <w:b/>
                <w:bCs/>
                <w:sz w:val="20"/>
                <w:szCs w:val="20"/>
              </w:rPr>
            </w:pPr>
            <w:r w:rsidRPr="000570F7">
              <w:rPr>
                <w:rFonts w:ascii="Arial Narrow" w:hAnsi="Arial Narrow"/>
                <w:b/>
                <w:bCs/>
                <w:sz w:val="20"/>
                <w:szCs w:val="20"/>
              </w:rPr>
              <w:t>2026</w:t>
            </w:r>
          </w:p>
        </w:tc>
        <w:tc>
          <w:tcPr>
            <w:tcW w:w="1062" w:type="dxa"/>
            <w:tcBorders>
              <w:top w:val="single" w:sz="4" w:space="0" w:color="auto"/>
              <w:left w:val="nil"/>
              <w:bottom w:val="single" w:sz="4" w:space="0" w:color="auto"/>
              <w:right w:val="single" w:sz="4" w:space="0" w:color="auto"/>
            </w:tcBorders>
            <w:noWrap/>
            <w:vAlign w:val="center"/>
          </w:tcPr>
          <w:p w14:paraId="0A6AE0F9" w14:textId="1390598F" w:rsidR="005332DC" w:rsidRPr="000570F7" w:rsidRDefault="005332DC" w:rsidP="000523F7">
            <w:pPr>
              <w:keepNext/>
              <w:keepLines/>
              <w:spacing w:before="0" w:after="0" w:line="240" w:lineRule="auto"/>
              <w:jc w:val="center"/>
              <w:rPr>
                <w:rFonts w:ascii="Arial Narrow" w:hAnsi="Arial Narrow"/>
                <w:b/>
                <w:bCs/>
                <w:sz w:val="20"/>
                <w:szCs w:val="20"/>
              </w:rPr>
            </w:pPr>
            <w:r w:rsidRPr="000570F7">
              <w:rPr>
                <w:rFonts w:ascii="Arial Narrow" w:hAnsi="Arial Narrow"/>
                <w:b/>
                <w:bCs/>
                <w:sz w:val="20"/>
                <w:szCs w:val="20"/>
              </w:rPr>
              <w:t>2027</w:t>
            </w:r>
          </w:p>
        </w:tc>
        <w:tc>
          <w:tcPr>
            <w:tcW w:w="1062" w:type="dxa"/>
            <w:tcBorders>
              <w:top w:val="single" w:sz="4" w:space="0" w:color="auto"/>
              <w:left w:val="nil"/>
              <w:bottom w:val="single" w:sz="4" w:space="0" w:color="auto"/>
              <w:right w:val="single" w:sz="4" w:space="0" w:color="auto"/>
            </w:tcBorders>
            <w:noWrap/>
            <w:vAlign w:val="center"/>
          </w:tcPr>
          <w:p w14:paraId="41455FBD" w14:textId="21B5B192" w:rsidR="005332DC" w:rsidRPr="000570F7" w:rsidRDefault="005332DC" w:rsidP="000523F7">
            <w:pPr>
              <w:keepNext/>
              <w:keepLines/>
              <w:spacing w:before="0" w:after="0" w:line="240" w:lineRule="auto"/>
              <w:jc w:val="center"/>
              <w:rPr>
                <w:rFonts w:ascii="Arial Narrow" w:hAnsi="Arial Narrow"/>
                <w:b/>
                <w:bCs/>
                <w:sz w:val="20"/>
                <w:szCs w:val="20"/>
              </w:rPr>
            </w:pPr>
            <w:r w:rsidRPr="000570F7">
              <w:rPr>
                <w:rFonts w:ascii="Arial Narrow" w:hAnsi="Arial Narrow"/>
                <w:b/>
                <w:bCs/>
                <w:sz w:val="20"/>
                <w:szCs w:val="20"/>
              </w:rPr>
              <w:t>2028</w:t>
            </w:r>
          </w:p>
        </w:tc>
        <w:tc>
          <w:tcPr>
            <w:tcW w:w="1062" w:type="dxa"/>
            <w:tcBorders>
              <w:top w:val="single" w:sz="4" w:space="0" w:color="auto"/>
              <w:left w:val="nil"/>
              <w:bottom w:val="single" w:sz="4" w:space="0" w:color="auto"/>
              <w:right w:val="single" w:sz="4" w:space="0" w:color="auto"/>
            </w:tcBorders>
            <w:noWrap/>
            <w:vAlign w:val="center"/>
          </w:tcPr>
          <w:p w14:paraId="1D76A0BE" w14:textId="3BBFEB0F" w:rsidR="005332DC" w:rsidRPr="000570F7" w:rsidRDefault="005332DC" w:rsidP="000523F7">
            <w:pPr>
              <w:keepNext/>
              <w:keepLines/>
              <w:spacing w:before="0" w:after="0" w:line="240" w:lineRule="auto"/>
              <w:jc w:val="center"/>
              <w:rPr>
                <w:rFonts w:ascii="Arial Narrow" w:hAnsi="Arial Narrow"/>
                <w:b/>
                <w:bCs/>
                <w:sz w:val="20"/>
                <w:szCs w:val="20"/>
              </w:rPr>
            </w:pPr>
            <w:r w:rsidRPr="000570F7">
              <w:rPr>
                <w:rFonts w:ascii="Arial Narrow" w:hAnsi="Arial Narrow"/>
                <w:b/>
                <w:bCs/>
                <w:sz w:val="20"/>
                <w:szCs w:val="20"/>
              </w:rPr>
              <w:t>2029</w:t>
            </w:r>
          </w:p>
        </w:tc>
        <w:tc>
          <w:tcPr>
            <w:tcW w:w="1062" w:type="dxa"/>
            <w:tcBorders>
              <w:top w:val="single" w:sz="4" w:space="0" w:color="auto"/>
              <w:left w:val="nil"/>
              <w:bottom w:val="single" w:sz="4" w:space="0" w:color="auto"/>
              <w:right w:val="single" w:sz="4" w:space="0" w:color="auto"/>
            </w:tcBorders>
            <w:noWrap/>
            <w:vAlign w:val="center"/>
          </w:tcPr>
          <w:p w14:paraId="6B014CA6" w14:textId="67884360" w:rsidR="005332DC" w:rsidRPr="000570F7" w:rsidRDefault="005332DC" w:rsidP="000523F7">
            <w:pPr>
              <w:keepNext/>
              <w:keepLines/>
              <w:spacing w:before="0" w:after="0" w:line="240" w:lineRule="auto"/>
              <w:jc w:val="center"/>
              <w:rPr>
                <w:rFonts w:ascii="Arial Narrow" w:hAnsi="Arial Narrow"/>
                <w:b/>
                <w:bCs/>
                <w:sz w:val="20"/>
                <w:szCs w:val="20"/>
              </w:rPr>
            </w:pPr>
            <w:r w:rsidRPr="000570F7">
              <w:rPr>
                <w:rFonts w:ascii="Arial Narrow" w:hAnsi="Arial Narrow"/>
                <w:b/>
                <w:bCs/>
                <w:sz w:val="20"/>
                <w:szCs w:val="20"/>
              </w:rPr>
              <w:t>2030</w:t>
            </w:r>
          </w:p>
        </w:tc>
      </w:tr>
      <w:tr w:rsidR="00FF0D76" w:rsidRPr="00582F3A" w14:paraId="757B867E" w14:textId="77777777" w:rsidTr="1B12B364">
        <w:trPr>
          <w:trHeight w:val="256"/>
        </w:trPr>
        <w:tc>
          <w:tcPr>
            <w:tcW w:w="9036" w:type="dxa"/>
            <w:gridSpan w:val="7"/>
            <w:tcBorders>
              <w:top w:val="single" w:sz="4" w:space="0" w:color="auto"/>
              <w:left w:val="single" w:sz="4" w:space="0" w:color="auto"/>
              <w:bottom w:val="single" w:sz="4" w:space="0" w:color="auto"/>
              <w:right w:val="single" w:sz="4" w:space="0" w:color="auto"/>
            </w:tcBorders>
            <w:noWrap/>
            <w:vAlign w:val="center"/>
          </w:tcPr>
          <w:p w14:paraId="52C89EA8" w14:textId="2F70C5D3" w:rsidR="00FF0D76" w:rsidRPr="000570F7" w:rsidRDefault="00FF0D76" w:rsidP="000523F7">
            <w:pPr>
              <w:keepNext/>
              <w:keepLines/>
              <w:spacing w:before="0" w:after="0" w:line="240" w:lineRule="auto"/>
              <w:rPr>
                <w:rFonts w:ascii="Arial Narrow" w:hAnsi="Arial Narrow"/>
                <w:b/>
                <w:bCs/>
                <w:sz w:val="20"/>
                <w:szCs w:val="20"/>
                <w:highlight w:val="yellow"/>
              </w:rPr>
            </w:pPr>
            <w:r w:rsidRPr="000570F7">
              <w:rPr>
                <w:rFonts w:ascii="Arial Narrow" w:hAnsi="Arial Narrow"/>
                <w:b/>
                <w:bCs/>
                <w:sz w:val="20"/>
                <w:szCs w:val="20"/>
              </w:rPr>
              <w:t xml:space="preserve">Univariate sensitivity analyses </w:t>
            </w:r>
          </w:p>
        </w:tc>
      </w:tr>
      <w:tr w:rsidR="005332DC" w:rsidRPr="009C398E" w14:paraId="37FDC4FE" w14:textId="77777777" w:rsidTr="1B12B364">
        <w:trPr>
          <w:trHeight w:val="256"/>
        </w:trPr>
        <w:tc>
          <w:tcPr>
            <w:tcW w:w="2664" w:type="dxa"/>
            <w:tcBorders>
              <w:top w:val="single" w:sz="4" w:space="0" w:color="auto"/>
              <w:left w:val="single" w:sz="4" w:space="0" w:color="auto"/>
              <w:bottom w:val="single" w:sz="4" w:space="0" w:color="auto"/>
              <w:right w:val="single" w:sz="4" w:space="0" w:color="auto"/>
            </w:tcBorders>
            <w:noWrap/>
            <w:vAlign w:val="center"/>
          </w:tcPr>
          <w:p w14:paraId="1FEE0B52" w14:textId="24BFD313" w:rsidR="005332DC" w:rsidRPr="009C398E" w:rsidRDefault="005332DC" w:rsidP="000523F7">
            <w:pPr>
              <w:keepNext/>
              <w:keepLines/>
              <w:spacing w:before="0" w:after="0" w:line="240" w:lineRule="auto"/>
              <w:rPr>
                <w:rFonts w:ascii="Arial Narrow" w:eastAsia="Times New Roman" w:hAnsi="Arial Narrow" w:cs="Arial"/>
                <w:color w:val="000000"/>
                <w:sz w:val="20"/>
                <w:szCs w:val="20"/>
                <w:lang w:eastAsia="en-AU"/>
              </w:rPr>
            </w:pPr>
            <w:r w:rsidRPr="009C398E">
              <w:rPr>
                <w:rFonts w:ascii="Arial Narrow" w:hAnsi="Arial Narrow"/>
                <w:sz w:val="20"/>
                <w:szCs w:val="20"/>
              </w:rPr>
              <w:t xml:space="preserve">Test fee of $800 (consistent with gene panel for sarcoma, MBS </w:t>
            </w:r>
            <w:r w:rsidR="00D9178E">
              <w:rPr>
                <w:rFonts w:ascii="Arial Narrow" w:hAnsi="Arial Narrow"/>
                <w:sz w:val="20"/>
                <w:szCs w:val="20"/>
              </w:rPr>
              <w:t xml:space="preserve">item </w:t>
            </w:r>
            <w:r w:rsidRPr="009C398E">
              <w:rPr>
                <w:rFonts w:ascii="Arial Narrow" w:hAnsi="Arial Narrow"/>
                <w:sz w:val="20"/>
                <w:szCs w:val="20"/>
              </w:rPr>
              <w:t>73376)</w:t>
            </w:r>
            <w:r w:rsidR="00FF0D76" w:rsidRPr="000570F7">
              <w:rPr>
                <w:rFonts w:ascii="Arial Narrow" w:hAnsi="Arial Narrow"/>
                <w:sz w:val="20"/>
                <w:szCs w:val="20"/>
                <w:vertAlign w:val="superscript"/>
              </w:rPr>
              <w:t>b</w:t>
            </w:r>
          </w:p>
        </w:tc>
        <w:tc>
          <w:tcPr>
            <w:tcW w:w="1062" w:type="dxa"/>
            <w:tcBorders>
              <w:top w:val="single" w:sz="4" w:space="0" w:color="auto"/>
              <w:left w:val="nil"/>
              <w:bottom w:val="single" w:sz="4" w:space="0" w:color="auto"/>
              <w:right w:val="single" w:sz="4" w:space="0" w:color="auto"/>
            </w:tcBorders>
            <w:noWrap/>
            <w:vAlign w:val="center"/>
          </w:tcPr>
          <w:p w14:paraId="4581C623" w14:textId="77777777" w:rsidR="00DD4736" w:rsidRDefault="00DD4736" w:rsidP="00DD4736">
            <w:pPr>
              <w:spacing w:before="0" w:after="0" w:line="240" w:lineRule="auto"/>
              <w:jc w:val="center"/>
              <w:rPr>
                <w:rFonts w:ascii="Arial Narrow" w:hAnsi="Arial Narrow" w:cs="Arial"/>
                <w:color w:val="000000"/>
                <w:sz w:val="20"/>
                <w:szCs w:val="20"/>
                <w:vertAlign w:val="superscript"/>
              </w:rPr>
            </w:pPr>
            <w:r w:rsidRPr="001B17EC">
              <w:rPr>
                <w:rFonts w:ascii="Arial Narrow" w:hAnsi="Arial Narrow" w:cs="Arial"/>
                <w:b/>
                <w:bCs/>
                <w:color w:val="000000"/>
                <w:sz w:val="20"/>
                <w:szCs w:val="20"/>
              </w:rPr>
              <w:t>Redacted</w:t>
            </w:r>
            <w:r>
              <w:rPr>
                <w:rFonts w:ascii="Arial Narrow" w:hAnsi="Arial Narrow" w:cs="Arial"/>
                <w:color w:val="000000"/>
                <w:sz w:val="20"/>
                <w:szCs w:val="20"/>
                <w:vertAlign w:val="superscript"/>
              </w:rPr>
              <w:t>1</w:t>
            </w:r>
          </w:p>
          <w:p w14:paraId="0A3508EE" w14:textId="05042D4D" w:rsidR="005332DC" w:rsidRPr="004332F5" w:rsidRDefault="005332DC" w:rsidP="0031094A">
            <w:pPr>
              <w:keepNext/>
              <w:keepLines/>
              <w:spacing w:before="0" w:after="0" w:line="240" w:lineRule="auto"/>
              <w:rPr>
                <w:rFonts w:ascii="Arial Narrow" w:hAnsi="Arial Narrow" w:cs="Arial"/>
                <w:color w:val="000000"/>
                <w:sz w:val="20"/>
                <w:szCs w:val="20"/>
              </w:rPr>
            </w:pPr>
          </w:p>
        </w:tc>
        <w:tc>
          <w:tcPr>
            <w:tcW w:w="1062" w:type="dxa"/>
            <w:tcBorders>
              <w:top w:val="single" w:sz="4" w:space="0" w:color="auto"/>
              <w:left w:val="nil"/>
              <w:bottom w:val="single" w:sz="4" w:space="0" w:color="auto"/>
              <w:right w:val="single" w:sz="4" w:space="0" w:color="auto"/>
            </w:tcBorders>
            <w:noWrap/>
            <w:vAlign w:val="center"/>
          </w:tcPr>
          <w:p w14:paraId="7E53BE39" w14:textId="77777777" w:rsidR="00DD4736" w:rsidRDefault="00DD4736" w:rsidP="00DD4736">
            <w:pPr>
              <w:spacing w:before="0" w:after="0" w:line="240" w:lineRule="auto"/>
              <w:jc w:val="center"/>
              <w:rPr>
                <w:rFonts w:ascii="Arial Narrow" w:hAnsi="Arial Narrow" w:cs="Arial"/>
                <w:color w:val="000000"/>
                <w:sz w:val="20"/>
                <w:szCs w:val="20"/>
                <w:vertAlign w:val="superscript"/>
              </w:rPr>
            </w:pPr>
            <w:r w:rsidRPr="001B17EC">
              <w:rPr>
                <w:rFonts w:ascii="Arial Narrow" w:hAnsi="Arial Narrow" w:cs="Arial"/>
                <w:b/>
                <w:bCs/>
                <w:color w:val="000000"/>
                <w:sz w:val="20"/>
                <w:szCs w:val="20"/>
              </w:rPr>
              <w:t>Redacted</w:t>
            </w:r>
            <w:r>
              <w:rPr>
                <w:rFonts w:ascii="Arial Narrow" w:hAnsi="Arial Narrow" w:cs="Arial"/>
                <w:color w:val="000000"/>
                <w:sz w:val="20"/>
                <w:szCs w:val="20"/>
                <w:vertAlign w:val="superscript"/>
              </w:rPr>
              <w:t>1</w:t>
            </w:r>
          </w:p>
          <w:p w14:paraId="2FA45885" w14:textId="22BCFF7F" w:rsidR="005332DC" w:rsidRPr="004332F5" w:rsidRDefault="005332DC" w:rsidP="000523F7">
            <w:pPr>
              <w:keepNext/>
              <w:keepLines/>
              <w:spacing w:before="0" w:after="0" w:line="240" w:lineRule="auto"/>
              <w:jc w:val="center"/>
              <w:rPr>
                <w:rFonts w:ascii="Arial Narrow" w:hAnsi="Arial Narrow" w:cs="Arial"/>
                <w:color w:val="000000"/>
                <w:sz w:val="20"/>
                <w:szCs w:val="20"/>
              </w:rPr>
            </w:pPr>
          </w:p>
        </w:tc>
        <w:tc>
          <w:tcPr>
            <w:tcW w:w="1062" w:type="dxa"/>
            <w:tcBorders>
              <w:top w:val="single" w:sz="4" w:space="0" w:color="auto"/>
              <w:left w:val="nil"/>
              <w:bottom w:val="single" w:sz="4" w:space="0" w:color="auto"/>
              <w:right w:val="single" w:sz="4" w:space="0" w:color="auto"/>
            </w:tcBorders>
            <w:noWrap/>
            <w:vAlign w:val="center"/>
          </w:tcPr>
          <w:p w14:paraId="3B7CD9E6" w14:textId="77777777" w:rsidR="00DD4736" w:rsidRDefault="00DD4736" w:rsidP="00DD4736">
            <w:pPr>
              <w:spacing w:before="0" w:after="0" w:line="240" w:lineRule="auto"/>
              <w:jc w:val="center"/>
              <w:rPr>
                <w:rFonts w:ascii="Arial Narrow" w:hAnsi="Arial Narrow" w:cs="Arial"/>
                <w:color w:val="000000"/>
                <w:sz w:val="20"/>
                <w:szCs w:val="20"/>
                <w:vertAlign w:val="superscript"/>
              </w:rPr>
            </w:pPr>
            <w:r w:rsidRPr="001B17EC">
              <w:rPr>
                <w:rFonts w:ascii="Arial Narrow" w:hAnsi="Arial Narrow" w:cs="Arial"/>
                <w:b/>
                <w:bCs/>
                <w:color w:val="000000"/>
                <w:sz w:val="20"/>
                <w:szCs w:val="20"/>
              </w:rPr>
              <w:t>Redacted</w:t>
            </w:r>
            <w:r>
              <w:rPr>
                <w:rFonts w:ascii="Arial Narrow" w:hAnsi="Arial Narrow" w:cs="Arial"/>
                <w:color w:val="000000"/>
                <w:sz w:val="20"/>
                <w:szCs w:val="20"/>
                <w:vertAlign w:val="superscript"/>
              </w:rPr>
              <w:t>1</w:t>
            </w:r>
          </w:p>
          <w:p w14:paraId="4EE4B9C9" w14:textId="3EC0746B" w:rsidR="005332DC" w:rsidRPr="004332F5" w:rsidRDefault="005332DC" w:rsidP="000523F7">
            <w:pPr>
              <w:keepNext/>
              <w:keepLines/>
              <w:spacing w:before="0" w:after="0" w:line="240" w:lineRule="auto"/>
              <w:jc w:val="center"/>
              <w:rPr>
                <w:rFonts w:ascii="Arial Narrow" w:hAnsi="Arial Narrow" w:cs="Arial"/>
                <w:color w:val="000000"/>
                <w:sz w:val="20"/>
                <w:szCs w:val="20"/>
              </w:rPr>
            </w:pPr>
          </w:p>
        </w:tc>
        <w:tc>
          <w:tcPr>
            <w:tcW w:w="1062" w:type="dxa"/>
            <w:tcBorders>
              <w:top w:val="single" w:sz="4" w:space="0" w:color="auto"/>
              <w:left w:val="nil"/>
              <w:bottom w:val="single" w:sz="4" w:space="0" w:color="auto"/>
              <w:right w:val="single" w:sz="4" w:space="0" w:color="auto"/>
            </w:tcBorders>
            <w:noWrap/>
            <w:vAlign w:val="center"/>
          </w:tcPr>
          <w:p w14:paraId="136727B2" w14:textId="77777777" w:rsidR="00DD4736" w:rsidRDefault="00DD4736" w:rsidP="00DD4736">
            <w:pPr>
              <w:spacing w:before="0" w:after="0" w:line="240" w:lineRule="auto"/>
              <w:jc w:val="center"/>
              <w:rPr>
                <w:rFonts w:ascii="Arial Narrow" w:hAnsi="Arial Narrow" w:cs="Arial"/>
                <w:color w:val="000000"/>
                <w:sz w:val="20"/>
                <w:szCs w:val="20"/>
                <w:vertAlign w:val="superscript"/>
              </w:rPr>
            </w:pPr>
            <w:r w:rsidRPr="001B17EC">
              <w:rPr>
                <w:rFonts w:ascii="Arial Narrow" w:hAnsi="Arial Narrow" w:cs="Arial"/>
                <w:b/>
                <w:bCs/>
                <w:color w:val="000000"/>
                <w:sz w:val="20"/>
                <w:szCs w:val="20"/>
              </w:rPr>
              <w:t>Redacted</w:t>
            </w:r>
            <w:r>
              <w:rPr>
                <w:rFonts w:ascii="Arial Narrow" w:hAnsi="Arial Narrow" w:cs="Arial"/>
                <w:color w:val="000000"/>
                <w:sz w:val="20"/>
                <w:szCs w:val="20"/>
                <w:vertAlign w:val="superscript"/>
              </w:rPr>
              <w:t>1</w:t>
            </w:r>
          </w:p>
          <w:p w14:paraId="37B83B32" w14:textId="24252EF9" w:rsidR="005332DC" w:rsidRPr="004332F5" w:rsidRDefault="005332DC" w:rsidP="000523F7">
            <w:pPr>
              <w:keepNext/>
              <w:keepLines/>
              <w:spacing w:before="0" w:after="0" w:line="240" w:lineRule="auto"/>
              <w:jc w:val="center"/>
              <w:rPr>
                <w:rFonts w:ascii="Arial Narrow" w:hAnsi="Arial Narrow" w:cs="Arial"/>
                <w:color w:val="000000"/>
                <w:sz w:val="20"/>
                <w:szCs w:val="20"/>
              </w:rPr>
            </w:pPr>
          </w:p>
        </w:tc>
        <w:tc>
          <w:tcPr>
            <w:tcW w:w="1062" w:type="dxa"/>
            <w:tcBorders>
              <w:top w:val="single" w:sz="4" w:space="0" w:color="auto"/>
              <w:left w:val="nil"/>
              <w:bottom w:val="single" w:sz="4" w:space="0" w:color="auto"/>
              <w:right w:val="single" w:sz="4" w:space="0" w:color="auto"/>
            </w:tcBorders>
            <w:noWrap/>
            <w:vAlign w:val="center"/>
          </w:tcPr>
          <w:p w14:paraId="045E0065" w14:textId="77777777" w:rsidR="00DD4736" w:rsidRDefault="00DD4736" w:rsidP="00DD4736">
            <w:pPr>
              <w:spacing w:before="0" w:after="0" w:line="240" w:lineRule="auto"/>
              <w:jc w:val="center"/>
              <w:rPr>
                <w:rFonts w:ascii="Arial Narrow" w:hAnsi="Arial Narrow" w:cs="Arial"/>
                <w:color w:val="000000"/>
                <w:sz w:val="20"/>
                <w:szCs w:val="20"/>
                <w:vertAlign w:val="superscript"/>
              </w:rPr>
            </w:pPr>
            <w:r w:rsidRPr="001B17EC">
              <w:rPr>
                <w:rFonts w:ascii="Arial Narrow" w:hAnsi="Arial Narrow" w:cs="Arial"/>
                <w:b/>
                <w:bCs/>
                <w:color w:val="000000"/>
                <w:sz w:val="20"/>
                <w:szCs w:val="20"/>
              </w:rPr>
              <w:t>Redacted</w:t>
            </w:r>
            <w:r>
              <w:rPr>
                <w:rFonts w:ascii="Arial Narrow" w:hAnsi="Arial Narrow" w:cs="Arial"/>
                <w:color w:val="000000"/>
                <w:sz w:val="20"/>
                <w:szCs w:val="20"/>
                <w:vertAlign w:val="superscript"/>
              </w:rPr>
              <w:t>1</w:t>
            </w:r>
          </w:p>
          <w:p w14:paraId="31C3CB93" w14:textId="12812EA2" w:rsidR="005332DC" w:rsidRPr="004332F5" w:rsidRDefault="005332DC" w:rsidP="000523F7">
            <w:pPr>
              <w:keepNext/>
              <w:keepLines/>
              <w:spacing w:before="0" w:after="0" w:line="240" w:lineRule="auto"/>
              <w:jc w:val="center"/>
              <w:rPr>
                <w:rFonts w:ascii="Arial Narrow" w:hAnsi="Arial Narrow" w:cs="Arial"/>
                <w:color w:val="000000"/>
                <w:sz w:val="20"/>
                <w:szCs w:val="20"/>
              </w:rPr>
            </w:pPr>
          </w:p>
        </w:tc>
        <w:tc>
          <w:tcPr>
            <w:tcW w:w="1062" w:type="dxa"/>
            <w:tcBorders>
              <w:top w:val="single" w:sz="4" w:space="0" w:color="auto"/>
              <w:left w:val="nil"/>
              <w:bottom w:val="single" w:sz="4" w:space="0" w:color="auto"/>
              <w:right w:val="single" w:sz="4" w:space="0" w:color="auto"/>
            </w:tcBorders>
            <w:noWrap/>
            <w:vAlign w:val="center"/>
          </w:tcPr>
          <w:p w14:paraId="606649CD" w14:textId="77777777" w:rsidR="00DD4736" w:rsidRDefault="00DD4736" w:rsidP="00DD4736">
            <w:pPr>
              <w:spacing w:before="0" w:after="0" w:line="240" w:lineRule="auto"/>
              <w:jc w:val="center"/>
              <w:rPr>
                <w:rFonts w:ascii="Arial Narrow" w:hAnsi="Arial Narrow" w:cs="Arial"/>
                <w:color w:val="000000"/>
                <w:sz w:val="20"/>
                <w:szCs w:val="20"/>
                <w:vertAlign w:val="superscript"/>
              </w:rPr>
            </w:pPr>
            <w:r w:rsidRPr="001B17EC">
              <w:rPr>
                <w:rFonts w:ascii="Arial Narrow" w:hAnsi="Arial Narrow" w:cs="Arial"/>
                <w:b/>
                <w:bCs/>
                <w:color w:val="000000"/>
                <w:sz w:val="20"/>
                <w:szCs w:val="20"/>
              </w:rPr>
              <w:t>Redacted</w:t>
            </w:r>
            <w:r>
              <w:rPr>
                <w:rFonts w:ascii="Arial Narrow" w:hAnsi="Arial Narrow" w:cs="Arial"/>
                <w:color w:val="000000"/>
                <w:sz w:val="20"/>
                <w:szCs w:val="20"/>
                <w:vertAlign w:val="superscript"/>
              </w:rPr>
              <w:t>1</w:t>
            </w:r>
          </w:p>
          <w:p w14:paraId="3F659B26" w14:textId="07DC1C6D" w:rsidR="005332DC" w:rsidRPr="004332F5" w:rsidRDefault="005332DC" w:rsidP="000523F7">
            <w:pPr>
              <w:keepNext/>
              <w:keepLines/>
              <w:spacing w:before="0" w:after="0" w:line="240" w:lineRule="auto"/>
              <w:jc w:val="center"/>
              <w:rPr>
                <w:rFonts w:ascii="Arial Narrow" w:hAnsi="Arial Narrow" w:cs="Arial"/>
                <w:color w:val="000000"/>
                <w:sz w:val="20"/>
                <w:szCs w:val="20"/>
              </w:rPr>
            </w:pPr>
          </w:p>
        </w:tc>
      </w:tr>
      <w:tr w:rsidR="00D9178E" w:rsidRPr="009C398E" w14:paraId="73B1ED57" w14:textId="77777777" w:rsidTr="1B12B364">
        <w:trPr>
          <w:trHeight w:val="256"/>
        </w:trPr>
        <w:tc>
          <w:tcPr>
            <w:tcW w:w="2664" w:type="dxa"/>
            <w:tcBorders>
              <w:top w:val="single" w:sz="4" w:space="0" w:color="auto"/>
              <w:left w:val="single" w:sz="4" w:space="0" w:color="auto"/>
              <w:bottom w:val="single" w:sz="4" w:space="0" w:color="auto"/>
              <w:right w:val="single" w:sz="4" w:space="0" w:color="auto"/>
            </w:tcBorders>
            <w:noWrap/>
            <w:vAlign w:val="center"/>
          </w:tcPr>
          <w:p w14:paraId="3AC53ACC" w14:textId="6ED4CC04" w:rsidR="00D9178E" w:rsidRPr="009C398E" w:rsidRDefault="00D9178E" w:rsidP="000523F7">
            <w:pPr>
              <w:keepNext/>
              <w:keepLines/>
              <w:spacing w:before="0" w:after="0" w:line="240" w:lineRule="auto"/>
              <w:rPr>
                <w:rFonts w:ascii="Arial Narrow" w:hAnsi="Arial Narrow"/>
                <w:sz w:val="20"/>
                <w:szCs w:val="20"/>
              </w:rPr>
            </w:pPr>
            <w:r w:rsidRPr="009C398E">
              <w:rPr>
                <w:rFonts w:ascii="Arial Narrow" w:hAnsi="Arial Narrow"/>
                <w:sz w:val="20"/>
                <w:szCs w:val="20"/>
              </w:rPr>
              <w:t>Test fee of $</w:t>
            </w:r>
            <w:r>
              <w:rPr>
                <w:rFonts w:ascii="Arial Narrow" w:hAnsi="Arial Narrow"/>
                <w:sz w:val="20"/>
                <w:szCs w:val="20"/>
              </w:rPr>
              <w:t>680</w:t>
            </w:r>
            <w:r w:rsidRPr="009C398E">
              <w:rPr>
                <w:rFonts w:ascii="Arial Narrow" w:hAnsi="Arial Narrow"/>
                <w:sz w:val="20"/>
                <w:szCs w:val="20"/>
              </w:rPr>
              <w:t xml:space="preserve"> (</w:t>
            </w:r>
            <w:r>
              <w:rPr>
                <w:rFonts w:ascii="Arial Narrow" w:hAnsi="Arial Narrow"/>
                <w:sz w:val="20"/>
                <w:szCs w:val="20"/>
              </w:rPr>
              <w:t xml:space="preserve">consistent with the fee of MBS item 73374 in addition to MBS item 73319 for </w:t>
            </w:r>
            <w:r w:rsidRPr="00B42FBF">
              <w:rPr>
                <w:rFonts w:ascii="Arial Narrow" w:hAnsi="Arial Narrow"/>
                <w:i/>
                <w:iCs/>
                <w:sz w:val="20"/>
                <w:szCs w:val="20"/>
              </w:rPr>
              <w:t>IDH1</w:t>
            </w:r>
            <w:r>
              <w:rPr>
                <w:rFonts w:ascii="Arial Narrow" w:hAnsi="Arial Narrow"/>
                <w:sz w:val="20"/>
                <w:szCs w:val="20"/>
              </w:rPr>
              <w:t xml:space="preserve"> testing</w:t>
            </w:r>
            <w:r w:rsidRPr="009C398E">
              <w:rPr>
                <w:rFonts w:ascii="Arial Narrow" w:hAnsi="Arial Narrow"/>
                <w:sz w:val="20"/>
                <w:szCs w:val="20"/>
              </w:rPr>
              <w:t>)</w:t>
            </w:r>
            <w:r w:rsidRPr="00BC72CE">
              <w:rPr>
                <w:rFonts w:ascii="Arial Narrow" w:hAnsi="Arial Narrow"/>
                <w:sz w:val="20"/>
                <w:szCs w:val="20"/>
                <w:vertAlign w:val="superscript"/>
              </w:rPr>
              <w:t>c</w:t>
            </w:r>
          </w:p>
        </w:tc>
        <w:tc>
          <w:tcPr>
            <w:tcW w:w="1062" w:type="dxa"/>
            <w:tcBorders>
              <w:top w:val="single" w:sz="4" w:space="0" w:color="auto"/>
              <w:left w:val="nil"/>
              <w:bottom w:val="single" w:sz="4" w:space="0" w:color="auto"/>
              <w:right w:val="single" w:sz="4" w:space="0" w:color="auto"/>
            </w:tcBorders>
            <w:noWrap/>
            <w:vAlign w:val="center"/>
          </w:tcPr>
          <w:p w14:paraId="2302FA3B" w14:textId="77777777" w:rsidR="00DD4736" w:rsidRDefault="00DD4736" w:rsidP="00DD4736">
            <w:pPr>
              <w:spacing w:before="0" w:after="0" w:line="240" w:lineRule="auto"/>
              <w:jc w:val="center"/>
              <w:rPr>
                <w:rFonts w:ascii="Arial Narrow" w:hAnsi="Arial Narrow" w:cs="Arial"/>
                <w:color w:val="000000"/>
                <w:sz w:val="20"/>
                <w:szCs w:val="20"/>
                <w:vertAlign w:val="superscript"/>
              </w:rPr>
            </w:pPr>
            <w:r w:rsidRPr="001B17EC">
              <w:rPr>
                <w:rFonts w:ascii="Arial Narrow" w:hAnsi="Arial Narrow" w:cs="Arial"/>
                <w:b/>
                <w:bCs/>
                <w:color w:val="000000"/>
                <w:sz w:val="20"/>
                <w:szCs w:val="20"/>
              </w:rPr>
              <w:t>Redacted</w:t>
            </w:r>
            <w:r>
              <w:rPr>
                <w:rFonts w:ascii="Arial Narrow" w:hAnsi="Arial Narrow" w:cs="Arial"/>
                <w:color w:val="000000"/>
                <w:sz w:val="20"/>
                <w:szCs w:val="20"/>
                <w:vertAlign w:val="superscript"/>
              </w:rPr>
              <w:t>1</w:t>
            </w:r>
          </w:p>
          <w:p w14:paraId="3B6D727C" w14:textId="223B3D35" w:rsidR="00D9178E" w:rsidRPr="000570F7" w:rsidRDefault="00D9178E" w:rsidP="000523F7">
            <w:pPr>
              <w:keepNext/>
              <w:keepLines/>
              <w:spacing w:before="0" w:after="0" w:line="240" w:lineRule="auto"/>
              <w:jc w:val="center"/>
              <w:rPr>
                <w:rFonts w:ascii="Arial Narrow" w:hAnsi="Arial Narrow"/>
                <w:sz w:val="20"/>
                <w:szCs w:val="20"/>
              </w:rPr>
            </w:pPr>
          </w:p>
        </w:tc>
        <w:tc>
          <w:tcPr>
            <w:tcW w:w="1062" w:type="dxa"/>
            <w:tcBorders>
              <w:top w:val="single" w:sz="4" w:space="0" w:color="auto"/>
              <w:left w:val="nil"/>
              <w:bottom w:val="single" w:sz="4" w:space="0" w:color="auto"/>
              <w:right w:val="single" w:sz="4" w:space="0" w:color="auto"/>
            </w:tcBorders>
            <w:noWrap/>
            <w:vAlign w:val="center"/>
          </w:tcPr>
          <w:p w14:paraId="455CFE42" w14:textId="77777777" w:rsidR="00DD4736" w:rsidRDefault="00DD4736" w:rsidP="00DD4736">
            <w:pPr>
              <w:spacing w:before="0" w:after="0" w:line="240" w:lineRule="auto"/>
              <w:jc w:val="center"/>
              <w:rPr>
                <w:rFonts w:ascii="Arial Narrow" w:hAnsi="Arial Narrow" w:cs="Arial"/>
                <w:color w:val="000000"/>
                <w:sz w:val="20"/>
                <w:szCs w:val="20"/>
                <w:vertAlign w:val="superscript"/>
              </w:rPr>
            </w:pPr>
            <w:r w:rsidRPr="001B17EC">
              <w:rPr>
                <w:rFonts w:ascii="Arial Narrow" w:hAnsi="Arial Narrow" w:cs="Arial"/>
                <w:b/>
                <w:bCs/>
                <w:color w:val="000000"/>
                <w:sz w:val="20"/>
                <w:szCs w:val="20"/>
              </w:rPr>
              <w:t>Redacted</w:t>
            </w:r>
            <w:r>
              <w:rPr>
                <w:rFonts w:ascii="Arial Narrow" w:hAnsi="Arial Narrow" w:cs="Arial"/>
                <w:color w:val="000000"/>
                <w:sz w:val="20"/>
                <w:szCs w:val="20"/>
                <w:vertAlign w:val="superscript"/>
              </w:rPr>
              <w:t>1</w:t>
            </w:r>
          </w:p>
          <w:p w14:paraId="70CDD8BC" w14:textId="55A7CD8B" w:rsidR="00D9178E" w:rsidRPr="000570F7" w:rsidRDefault="00D9178E" w:rsidP="000523F7">
            <w:pPr>
              <w:keepNext/>
              <w:keepLines/>
              <w:spacing w:before="0" w:after="0" w:line="240" w:lineRule="auto"/>
              <w:jc w:val="center"/>
              <w:rPr>
                <w:rFonts w:ascii="Arial Narrow" w:hAnsi="Arial Narrow"/>
                <w:sz w:val="20"/>
                <w:szCs w:val="20"/>
              </w:rPr>
            </w:pPr>
          </w:p>
        </w:tc>
        <w:tc>
          <w:tcPr>
            <w:tcW w:w="1062" w:type="dxa"/>
            <w:tcBorders>
              <w:top w:val="single" w:sz="4" w:space="0" w:color="auto"/>
              <w:left w:val="nil"/>
              <w:bottom w:val="single" w:sz="4" w:space="0" w:color="auto"/>
              <w:right w:val="single" w:sz="4" w:space="0" w:color="auto"/>
            </w:tcBorders>
            <w:noWrap/>
            <w:vAlign w:val="center"/>
          </w:tcPr>
          <w:p w14:paraId="488A5944" w14:textId="77777777" w:rsidR="00DD4736" w:rsidRDefault="00DD4736" w:rsidP="00DD4736">
            <w:pPr>
              <w:spacing w:before="0" w:after="0" w:line="240" w:lineRule="auto"/>
              <w:jc w:val="center"/>
              <w:rPr>
                <w:rFonts w:ascii="Arial Narrow" w:hAnsi="Arial Narrow" w:cs="Arial"/>
                <w:color w:val="000000"/>
                <w:sz w:val="20"/>
                <w:szCs w:val="20"/>
                <w:vertAlign w:val="superscript"/>
              </w:rPr>
            </w:pPr>
            <w:r w:rsidRPr="001B17EC">
              <w:rPr>
                <w:rFonts w:ascii="Arial Narrow" w:hAnsi="Arial Narrow" w:cs="Arial"/>
                <w:b/>
                <w:bCs/>
                <w:color w:val="000000"/>
                <w:sz w:val="20"/>
                <w:szCs w:val="20"/>
              </w:rPr>
              <w:t>Redacted</w:t>
            </w:r>
            <w:r>
              <w:rPr>
                <w:rFonts w:ascii="Arial Narrow" w:hAnsi="Arial Narrow" w:cs="Arial"/>
                <w:color w:val="000000"/>
                <w:sz w:val="20"/>
                <w:szCs w:val="20"/>
                <w:vertAlign w:val="superscript"/>
              </w:rPr>
              <w:t>1</w:t>
            </w:r>
          </w:p>
          <w:p w14:paraId="24008E66" w14:textId="218520EE" w:rsidR="00D9178E" w:rsidRPr="000570F7" w:rsidRDefault="00D9178E" w:rsidP="000523F7">
            <w:pPr>
              <w:keepNext/>
              <w:keepLines/>
              <w:spacing w:before="0" w:after="0" w:line="240" w:lineRule="auto"/>
              <w:jc w:val="center"/>
              <w:rPr>
                <w:rFonts w:ascii="Arial Narrow" w:hAnsi="Arial Narrow"/>
                <w:sz w:val="20"/>
                <w:szCs w:val="20"/>
              </w:rPr>
            </w:pPr>
          </w:p>
        </w:tc>
        <w:tc>
          <w:tcPr>
            <w:tcW w:w="1062" w:type="dxa"/>
            <w:tcBorders>
              <w:top w:val="single" w:sz="4" w:space="0" w:color="auto"/>
              <w:left w:val="nil"/>
              <w:bottom w:val="single" w:sz="4" w:space="0" w:color="auto"/>
              <w:right w:val="single" w:sz="4" w:space="0" w:color="auto"/>
            </w:tcBorders>
            <w:noWrap/>
            <w:vAlign w:val="center"/>
          </w:tcPr>
          <w:p w14:paraId="7915C65D" w14:textId="77777777" w:rsidR="00DD4736" w:rsidRDefault="00DD4736" w:rsidP="00DD4736">
            <w:pPr>
              <w:spacing w:before="0" w:after="0" w:line="240" w:lineRule="auto"/>
              <w:jc w:val="center"/>
              <w:rPr>
                <w:rFonts w:ascii="Arial Narrow" w:hAnsi="Arial Narrow" w:cs="Arial"/>
                <w:color w:val="000000"/>
                <w:sz w:val="20"/>
                <w:szCs w:val="20"/>
                <w:vertAlign w:val="superscript"/>
              </w:rPr>
            </w:pPr>
            <w:r w:rsidRPr="001B17EC">
              <w:rPr>
                <w:rFonts w:ascii="Arial Narrow" w:hAnsi="Arial Narrow" w:cs="Arial"/>
                <w:b/>
                <w:bCs/>
                <w:color w:val="000000"/>
                <w:sz w:val="20"/>
                <w:szCs w:val="20"/>
              </w:rPr>
              <w:t>Redacted</w:t>
            </w:r>
            <w:r>
              <w:rPr>
                <w:rFonts w:ascii="Arial Narrow" w:hAnsi="Arial Narrow" w:cs="Arial"/>
                <w:color w:val="000000"/>
                <w:sz w:val="20"/>
                <w:szCs w:val="20"/>
                <w:vertAlign w:val="superscript"/>
              </w:rPr>
              <w:t>1</w:t>
            </w:r>
          </w:p>
          <w:p w14:paraId="44639A53" w14:textId="0B4D1AF0" w:rsidR="00D9178E" w:rsidRPr="000570F7" w:rsidRDefault="00D9178E" w:rsidP="000523F7">
            <w:pPr>
              <w:keepNext/>
              <w:keepLines/>
              <w:spacing w:before="0" w:after="0" w:line="240" w:lineRule="auto"/>
              <w:jc w:val="center"/>
              <w:rPr>
                <w:rFonts w:ascii="Arial Narrow" w:hAnsi="Arial Narrow"/>
                <w:sz w:val="20"/>
                <w:szCs w:val="20"/>
              </w:rPr>
            </w:pPr>
          </w:p>
        </w:tc>
        <w:tc>
          <w:tcPr>
            <w:tcW w:w="1062" w:type="dxa"/>
            <w:tcBorders>
              <w:top w:val="single" w:sz="4" w:space="0" w:color="auto"/>
              <w:left w:val="nil"/>
              <w:bottom w:val="single" w:sz="4" w:space="0" w:color="auto"/>
              <w:right w:val="single" w:sz="4" w:space="0" w:color="auto"/>
            </w:tcBorders>
            <w:noWrap/>
            <w:vAlign w:val="center"/>
          </w:tcPr>
          <w:p w14:paraId="664FEEA6" w14:textId="77777777" w:rsidR="00DD4736" w:rsidRDefault="00DD4736" w:rsidP="00DD4736">
            <w:pPr>
              <w:spacing w:before="0" w:after="0" w:line="240" w:lineRule="auto"/>
              <w:jc w:val="center"/>
              <w:rPr>
                <w:rFonts w:ascii="Arial Narrow" w:hAnsi="Arial Narrow" w:cs="Arial"/>
                <w:color w:val="000000"/>
                <w:sz w:val="20"/>
                <w:szCs w:val="20"/>
                <w:vertAlign w:val="superscript"/>
              </w:rPr>
            </w:pPr>
            <w:r w:rsidRPr="001B17EC">
              <w:rPr>
                <w:rFonts w:ascii="Arial Narrow" w:hAnsi="Arial Narrow" w:cs="Arial"/>
                <w:b/>
                <w:bCs/>
                <w:color w:val="000000"/>
                <w:sz w:val="20"/>
                <w:szCs w:val="20"/>
              </w:rPr>
              <w:t>Redacted</w:t>
            </w:r>
            <w:r>
              <w:rPr>
                <w:rFonts w:ascii="Arial Narrow" w:hAnsi="Arial Narrow" w:cs="Arial"/>
                <w:color w:val="000000"/>
                <w:sz w:val="20"/>
                <w:szCs w:val="20"/>
                <w:vertAlign w:val="superscript"/>
              </w:rPr>
              <w:t>1</w:t>
            </w:r>
          </w:p>
          <w:p w14:paraId="3C242FA1" w14:textId="280F1FD0" w:rsidR="00D9178E" w:rsidRPr="000570F7" w:rsidRDefault="00D9178E" w:rsidP="000523F7">
            <w:pPr>
              <w:keepNext/>
              <w:keepLines/>
              <w:spacing w:before="0" w:after="0" w:line="240" w:lineRule="auto"/>
              <w:jc w:val="center"/>
              <w:rPr>
                <w:rFonts w:ascii="Arial Narrow" w:hAnsi="Arial Narrow"/>
                <w:sz w:val="20"/>
                <w:szCs w:val="20"/>
              </w:rPr>
            </w:pPr>
          </w:p>
        </w:tc>
        <w:tc>
          <w:tcPr>
            <w:tcW w:w="1062" w:type="dxa"/>
            <w:tcBorders>
              <w:top w:val="single" w:sz="4" w:space="0" w:color="auto"/>
              <w:left w:val="nil"/>
              <w:bottom w:val="single" w:sz="4" w:space="0" w:color="auto"/>
              <w:right w:val="single" w:sz="4" w:space="0" w:color="auto"/>
            </w:tcBorders>
            <w:noWrap/>
            <w:vAlign w:val="center"/>
          </w:tcPr>
          <w:p w14:paraId="1A332653" w14:textId="77777777" w:rsidR="00DD4736" w:rsidRDefault="00DD4736" w:rsidP="00DD4736">
            <w:pPr>
              <w:spacing w:before="0" w:after="0" w:line="240" w:lineRule="auto"/>
              <w:jc w:val="center"/>
              <w:rPr>
                <w:rFonts w:ascii="Arial Narrow" w:hAnsi="Arial Narrow" w:cs="Arial"/>
                <w:color w:val="000000"/>
                <w:sz w:val="20"/>
                <w:szCs w:val="20"/>
                <w:vertAlign w:val="superscript"/>
              </w:rPr>
            </w:pPr>
            <w:r w:rsidRPr="001B17EC">
              <w:rPr>
                <w:rFonts w:ascii="Arial Narrow" w:hAnsi="Arial Narrow" w:cs="Arial"/>
                <w:b/>
                <w:bCs/>
                <w:color w:val="000000"/>
                <w:sz w:val="20"/>
                <w:szCs w:val="20"/>
              </w:rPr>
              <w:t>Redacted</w:t>
            </w:r>
            <w:r>
              <w:rPr>
                <w:rFonts w:ascii="Arial Narrow" w:hAnsi="Arial Narrow" w:cs="Arial"/>
                <w:color w:val="000000"/>
                <w:sz w:val="20"/>
                <w:szCs w:val="20"/>
                <w:vertAlign w:val="superscript"/>
              </w:rPr>
              <w:t>1</w:t>
            </w:r>
          </w:p>
          <w:p w14:paraId="53440648" w14:textId="3E3EEFC2" w:rsidR="00D9178E" w:rsidRPr="000570F7" w:rsidRDefault="00D9178E" w:rsidP="000523F7">
            <w:pPr>
              <w:keepNext/>
              <w:keepLines/>
              <w:spacing w:before="0" w:after="0" w:line="240" w:lineRule="auto"/>
              <w:jc w:val="center"/>
              <w:rPr>
                <w:rFonts w:ascii="Arial Narrow" w:hAnsi="Arial Narrow"/>
                <w:sz w:val="20"/>
                <w:szCs w:val="20"/>
              </w:rPr>
            </w:pPr>
          </w:p>
        </w:tc>
      </w:tr>
      <w:tr w:rsidR="005332DC" w:rsidRPr="009C398E" w14:paraId="5942B307" w14:textId="77777777" w:rsidTr="1B12B364">
        <w:trPr>
          <w:trHeight w:val="256"/>
        </w:trPr>
        <w:tc>
          <w:tcPr>
            <w:tcW w:w="2664" w:type="dxa"/>
            <w:tcBorders>
              <w:top w:val="single" w:sz="4" w:space="0" w:color="auto"/>
              <w:left w:val="single" w:sz="4" w:space="0" w:color="auto"/>
              <w:right w:val="single" w:sz="4" w:space="0" w:color="auto"/>
            </w:tcBorders>
            <w:noWrap/>
            <w:vAlign w:val="center"/>
          </w:tcPr>
          <w:p w14:paraId="1D7B02FE" w14:textId="5AC5557D" w:rsidR="005332DC" w:rsidRPr="009C398E" w:rsidDel="00771F14" w:rsidRDefault="005332DC" w:rsidP="000523F7">
            <w:pPr>
              <w:keepNext/>
              <w:keepLines/>
              <w:spacing w:before="0" w:after="0" w:line="240" w:lineRule="auto"/>
              <w:rPr>
                <w:rFonts w:ascii="Arial Narrow" w:eastAsia="Times New Roman" w:hAnsi="Arial Narrow" w:cs="Arial"/>
                <w:color w:val="000000"/>
                <w:sz w:val="20"/>
                <w:szCs w:val="20"/>
                <w:lang w:eastAsia="en-AU"/>
              </w:rPr>
            </w:pPr>
            <w:r w:rsidRPr="009C398E">
              <w:rPr>
                <w:rFonts w:ascii="Arial Narrow" w:eastAsia="Times New Roman" w:hAnsi="Arial Narrow" w:cs="Arial"/>
                <w:color w:val="000000"/>
                <w:sz w:val="20"/>
                <w:szCs w:val="20"/>
                <w:lang w:eastAsia="en-AU"/>
              </w:rPr>
              <w:t xml:space="preserve">Test uptake in patients with </w:t>
            </w:r>
            <w:r w:rsidR="005C0C49">
              <w:rPr>
                <w:rFonts w:ascii="Arial Narrow" w:eastAsia="Times New Roman" w:hAnsi="Arial Narrow" w:cs="Arial"/>
                <w:color w:val="000000"/>
                <w:sz w:val="20"/>
                <w:szCs w:val="20"/>
                <w:lang w:eastAsia="en-AU"/>
              </w:rPr>
              <w:t xml:space="preserve">CUP or </w:t>
            </w:r>
            <w:r w:rsidRPr="009C398E">
              <w:rPr>
                <w:rFonts w:ascii="Arial Narrow" w:eastAsia="Times New Roman" w:hAnsi="Arial Narrow" w:cs="Arial"/>
                <w:color w:val="000000"/>
                <w:sz w:val="20"/>
                <w:szCs w:val="20"/>
                <w:lang w:eastAsia="en-AU"/>
              </w:rPr>
              <w:t xml:space="preserve">pancreatic cancer </w:t>
            </w:r>
          </w:p>
        </w:tc>
        <w:tc>
          <w:tcPr>
            <w:tcW w:w="1062" w:type="dxa"/>
            <w:tcBorders>
              <w:top w:val="single" w:sz="4" w:space="0" w:color="auto"/>
              <w:left w:val="nil"/>
              <w:right w:val="single" w:sz="4" w:space="0" w:color="auto"/>
            </w:tcBorders>
            <w:noWrap/>
            <w:vAlign w:val="center"/>
          </w:tcPr>
          <w:p w14:paraId="132E7F07" w14:textId="77777777" w:rsidR="005332DC" w:rsidRPr="004332F5" w:rsidRDefault="005332DC" w:rsidP="000523F7">
            <w:pPr>
              <w:keepNext/>
              <w:keepLines/>
              <w:spacing w:before="0" w:after="0" w:line="240" w:lineRule="auto"/>
              <w:jc w:val="center"/>
              <w:rPr>
                <w:rFonts w:ascii="Arial Narrow" w:hAnsi="Arial Narrow" w:cs="Arial"/>
                <w:color w:val="000000"/>
                <w:sz w:val="20"/>
                <w:szCs w:val="20"/>
              </w:rPr>
            </w:pPr>
          </w:p>
        </w:tc>
        <w:tc>
          <w:tcPr>
            <w:tcW w:w="1062" w:type="dxa"/>
            <w:tcBorders>
              <w:top w:val="single" w:sz="4" w:space="0" w:color="auto"/>
              <w:left w:val="nil"/>
              <w:right w:val="single" w:sz="4" w:space="0" w:color="auto"/>
            </w:tcBorders>
            <w:noWrap/>
            <w:vAlign w:val="center"/>
          </w:tcPr>
          <w:p w14:paraId="79CBDE38" w14:textId="77777777" w:rsidR="005332DC" w:rsidRPr="004332F5" w:rsidRDefault="005332DC" w:rsidP="000523F7">
            <w:pPr>
              <w:keepNext/>
              <w:keepLines/>
              <w:spacing w:before="0" w:after="0" w:line="240" w:lineRule="auto"/>
              <w:jc w:val="center"/>
              <w:rPr>
                <w:rFonts w:ascii="Arial Narrow" w:hAnsi="Arial Narrow" w:cs="Arial"/>
                <w:color w:val="000000"/>
                <w:sz w:val="20"/>
                <w:szCs w:val="20"/>
              </w:rPr>
            </w:pPr>
          </w:p>
        </w:tc>
        <w:tc>
          <w:tcPr>
            <w:tcW w:w="1062" w:type="dxa"/>
            <w:tcBorders>
              <w:top w:val="single" w:sz="4" w:space="0" w:color="auto"/>
              <w:left w:val="nil"/>
              <w:right w:val="single" w:sz="4" w:space="0" w:color="auto"/>
            </w:tcBorders>
            <w:noWrap/>
            <w:vAlign w:val="center"/>
          </w:tcPr>
          <w:p w14:paraId="1D1910C4" w14:textId="77777777" w:rsidR="005332DC" w:rsidRPr="004332F5" w:rsidRDefault="005332DC" w:rsidP="000523F7">
            <w:pPr>
              <w:keepNext/>
              <w:keepLines/>
              <w:spacing w:before="0" w:after="0" w:line="240" w:lineRule="auto"/>
              <w:jc w:val="center"/>
              <w:rPr>
                <w:rFonts w:ascii="Arial Narrow" w:hAnsi="Arial Narrow" w:cs="Arial"/>
                <w:color w:val="000000"/>
                <w:sz w:val="20"/>
                <w:szCs w:val="20"/>
              </w:rPr>
            </w:pPr>
          </w:p>
        </w:tc>
        <w:tc>
          <w:tcPr>
            <w:tcW w:w="1062" w:type="dxa"/>
            <w:tcBorders>
              <w:top w:val="single" w:sz="4" w:space="0" w:color="auto"/>
              <w:left w:val="nil"/>
              <w:right w:val="single" w:sz="4" w:space="0" w:color="auto"/>
            </w:tcBorders>
            <w:noWrap/>
            <w:vAlign w:val="center"/>
          </w:tcPr>
          <w:p w14:paraId="65A503F2" w14:textId="77777777" w:rsidR="005332DC" w:rsidRPr="004332F5" w:rsidRDefault="005332DC" w:rsidP="000523F7">
            <w:pPr>
              <w:keepNext/>
              <w:keepLines/>
              <w:spacing w:before="0" w:after="0" w:line="240" w:lineRule="auto"/>
              <w:jc w:val="center"/>
              <w:rPr>
                <w:rFonts w:ascii="Arial Narrow" w:hAnsi="Arial Narrow" w:cs="Arial"/>
                <w:color w:val="000000"/>
                <w:sz w:val="20"/>
                <w:szCs w:val="20"/>
              </w:rPr>
            </w:pPr>
          </w:p>
        </w:tc>
        <w:tc>
          <w:tcPr>
            <w:tcW w:w="1062" w:type="dxa"/>
            <w:tcBorders>
              <w:top w:val="single" w:sz="4" w:space="0" w:color="auto"/>
              <w:left w:val="nil"/>
              <w:right w:val="single" w:sz="4" w:space="0" w:color="auto"/>
            </w:tcBorders>
            <w:noWrap/>
            <w:vAlign w:val="center"/>
          </w:tcPr>
          <w:p w14:paraId="06954577" w14:textId="77777777" w:rsidR="005332DC" w:rsidRPr="004332F5" w:rsidRDefault="005332DC" w:rsidP="000523F7">
            <w:pPr>
              <w:keepNext/>
              <w:keepLines/>
              <w:spacing w:before="0" w:after="0" w:line="240" w:lineRule="auto"/>
              <w:jc w:val="center"/>
              <w:rPr>
                <w:rFonts w:ascii="Arial Narrow" w:hAnsi="Arial Narrow" w:cs="Arial"/>
                <w:color w:val="000000"/>
                <w:sz w:val="20"/>
                <w:szCs w:val="20"/>
              </w:rPr>
            </w:pPr>
          </w:p>
        </w:tc>
        <w:tc>
          <w:tcPr>
            <w:tcW w:w="1062" w:type="dxa"/>
            <w:tcBorders>
              <w:top w:val="single" w:sz="4" w:space="0" w:color="auto"/>
              <w:left w:val="nil"/>
              <w:right w:val="single" w:sz="4" w:space="0" w:color="auto"/>
            </w:tcBorders>
            <w:noWrap/>
            <w:vAlign w:val="center"/>
          </w:tcPr>
          <w:p w14:paraId="2796A4F3" w14:textId="77777777" w:rsidR="005332DC" w:rsidRPr="004332F5" w:rsidRDefault="005332DC" w:rsidP="000523F7">
            <w:pPr>
              <w:keepNext/>
              <w:keepLines/>
              <w:spacing w:before="0" w:after="0" w:line="240" w:lineRule="auto"/>
              <w:jc w:val="center"/>
              <w:rPr>
                <w:rFonts w:ascii="Arial Narrow" w:hAnsi="Arial Narrow" w:cs="Arial"/>
                <w:color w:val="000000"/>
                <w:sz w:val="20"/>
                <w:szCs w:val="20"/>
              </w:rPr>
            </w:pPr>
          </w:p>
        </w:tc>
      </w:tr>
      <w:tr w:rsidR="005332DC" w:rsidRPr="00582F3A" w14:paraId="25EA196C" w14:textId="77777777" w:rsidTr="1B12B364">
        <w:trPr>
          <w:trHeight w:val="256"/>
        </w:trPr>
        <w:tc>
          <w:tcPr>
            <w:tcW w:w="2664" w:type="dxa"/>
            <w:tcBorders>
              <w:left w:val="single" w:sz="4" w:space="0" w:color="auto"/>
              <w:right w:val="single" w:sz="4" w:space="0" w:color="auto"/>
            </w:tcBorders>
            <w:noWrap/>
            <w:vAlign w:val="center"/>
          </w:tcPr>
          <w:p w14:paraId="6EDAE896" w14:textId="77777777" w:rsidR="005332DC" w:rsidRPr="00582F3A" w:rsidRDefault="005332DC" w:rsidP="000523F7">
            <w:pPr>
              <w:keepNext/>
              <w:keepLines/>
              <w:spacing w:before="0" w:after="0" w:line="240" w:lineRule="auto"/>
              <w:rPr>
                <w:rFonts w:ascii="Arial Narrow" w:eastAsia="Times New Roman" w:hAnsi="Arial Narrow" w:cs="Arial"/>
                <w:color w:val="000000"/>
                <w:sz w:val="20"/>
                <w:szCs w:val="20"/>
                <w:lang w:eastAsia="en-AU"/>
              </w:rPr>
            </w:pPr>
            <w:r w:rsidRPr="009C398E">
              <w:rPr>
                <w:rFonts w:ascii="Arial Narrow" w:eastAsia="Times New Roman" w:hAnsi="Arial Narrow" w:cs="Arial"/>
                <w:color w:val="000000"/>
                <w:sz w:val="20"/>
                <w:szCs w:val="20"/>
                <w:lang w:eastAsia="en-AU"/>
              </w:rPr>
              <w:t xml:space="preserve">     </w:t>
            </w:r>
            <w:r w:rsidRPr="00582F3A">
              <w:rPr>
                <w:rFonts w:ascii="Arial Narrow" w:eastAsia="Times New Roman" w:hAnsi="Arial Narrow" w:cs="Arial"/>
                <w:color w:val="000000"/>
                <w:sz w:val="20"/>
                <w:szCs w:val="20"/>
                <w:lang w:eastAsia="en-AU"/>
              </w:rPr>
              <w:t xml:space="preserve">25% </w:t>
            </w:r>
            <w:r w:rsidRPr="009C398E">
              <w:rPr>
                <w:rFonts w:ascii="Arial Narrow" w:eastAsia="Times New Roman" w:hAnsi="Arial Narrow" w:cs="Arial"/>
                <w:color w:val="000000"/>
                <w:sz w:val="20"/>
                <w:szCs w:val="20"/>
                <w:lang w:eastAsia="en-AU"/>
              </w:rPr>
              <w:t>test uptake</w:t>
            </w:r>
            <w:r w:rsidRPr="00582F3A">
              <w:rPr>
                <w:rFonts w:ascii="Arial Narrow" w:eastAsia="Times New Roman" w:hAnsi="Arial Narrow" w:cs="Arial"/>
                <w:color w:val="000000"/>
                <w:sz w:val="20"/>
                <w:szCs w:val="20"/>
                <w:lang w:eastAsia="en-AU"/>
              </w:rPr>
              <w:t xml:space="preserve"> </w:t>
            </w:r>
          </w:p>
        </w:tc>
        <w:tc>
          <w:tcPr>
            <w:tcW w:w="1062" w:type="dxa"/>
            <w:tcBorders>
              <w:left w:val="nil"/>
              <w:right w:val="single" w:sz="4" w:space="0" w:color="auto"/>
            </w:tcBorders>
            <w:noWrap/>
            <w:vAlign w:val="center"/>
          </w:tcPr>
          <w:p w14:paraId="3B8FDADE" w14:textId="77777777" w:rsidR="00DD4736" w:rsidRDefault="00DD4736" w:rsidP="00DD4736">
            <w:pPr>
              <w:spacing w:before="0" w:after="0" w:line="240" w:lineRule="auto"/>
              <w:jc w:val="center"/>
              <w:rPr>
                <w:rFonts w:ascii="Arial Narrow" w:hAnsi="Arial Narrow" w:cs="Arial"/>
                <w:color w:val="000000"/>
                <w:sz w:val="20"/>
                <w:szCs w:val="20"/>
                <w:vertAlign w:val="superscript"/>
              </w:rPr>
            </w:pPr>
            <w:r w:rsidRPr="001B17EC">
              <w:rPr>
                <w:rFonts w:ascii="Arial Narrow" w:hAnsi="Arial Narrow" w:cs="Arial"/>
                <w:b/>
                <w:bCs/>
                <w:color w:val="000000"/>
                <w:sz w:val="20"/>
                <w:szCs w:val="20"/>
              </w:rPr>
              <w:t>Redacted</w:t>
            </w:r>
            <w:r>
              <w:rPr>
                <w:rFonts w:ascii="Arial Narrow" w:hAnsi="Arial Narrow" w:cs="Arial"/>
                <w:color w:val="000000"/>
                <w:sz w:val="20"/>
                <w:szCs w:val="20"/>
                <w:vertAlign w:val="superscript"/>
              </w:rPr>
              <w:t>1</w:t>
            </w:r>
          </w:p>
          <w:p w14:paraId="5F19A28C" w14:textId="12B95076" w:rsidR="005332DC" w:rsidRPr="004332F5" w:rsidRDefault="005332DC" w:rsidP="000523F7">
            <w:pPr>
              <w:keepNext/>
              <w:keepLines/>
              <w:spacing w:before="0" w:after="0" w:line="240" w:lineRule="auto"/>
              <w:jc w:val="center"/>
              <w:rPr>
                <w:rFonts w:ascii="Arial Narrow" w:hAnsi="Arial Narrow" w:cs="Arial"/>
                <w:color w:val="000000"/>
                <w:sz w:val="20"/>
                <w:szCs w:val="20"/>
              </w:rPr>
            </w:pPr>
          </w:p>
        </w:tc>
        <w:tc>
          <w:tcPr>
            <w:tcW w:w="1062" w:type="dxa"/>
            <w:tcBorders>
              <w:left w:val="nil"/>
              <w:right w:val="single" w:sz="4" w:space="0" w:color="auto"/>
            </w:tcBorders>
            <w:noWrap/>
            <w:vAlign w:val="center"/>
          </w:tcPr>
          <w:p w14:paraId="4F2465E3" w14:textId="77777777" w:rsidR="007219D6" w:rsidRDefault="007219D6" w:rsidP="007219D6">
            <w:pPr>
              <w:spacing w:before="0" w:after="0" w:line="240" w:lineRule="auto"/>
              <w:jc w:val="center"/>
              <w:rPr>
                <w:rFonts w:ascii="Arial Narrow" w:hAnsi="Arial Narrow" w:cs="Arial"/>
                <w:color w:val="000000"/>
                <w:sz w:val="20"/>
                <w:szCs w:val="20"/>
                <w:vertAlign w:val="superscript"/>
              </w:rPr>
            </w:pPr>
            <w:r w:rsidRPr="001B17EC">
              <w:rPr>
                <w:rFonts w:ascii="Arial Narrow" w:hAnsi="Arial Narrow" w:cs="Arial"/>
                <w:b/>
                <w:bCs/>
                <w:color w:val="000000"/>
                <w:sz w:val="20"/>
                <w:szCs w:val="20"/>
              </w:rPr>
              <w:t>Redacted</w:t>
            </w:r>
            <w:r>
              <w:rPr>
                <w:rFonts w:ascii="Arial Narrow" w:hAnsi="Arial Narrow" w:cs="Arial"/>
                <w:color w:val="000000"/>
                <w:sz w:val="20"/>
                <w:szCs w:val="20"/>
                <w:vertAlign w:val="superscript"/>
              </w:rPr>
              <w:t>1</w:t>
            </w:r>
          </w:p>
          <w:p w14:paraId="757DCFF7" w14:textId="6C12EED8" w:rsidR="005332DC" w:rsidRPr="004332F5" w:rsidRDefault="005332DC" w:rsidP="000523F7">
            <w:pPr>
              <w:keepNext/>
              <w:keepLines/>
              <w:spacing w:before="0" w:after="0" w:line="240" w:lineRule="auto"/>
              <w:jc w:val="center"/>
              <w:rPr>
                <w:rFonts w:ascii="Arial Narrow" w:hAnsi="Arial Narrow" w:cs="Arial"/>
                <w:color w:val="000000"/>
                <w:sz w:val="20"/>
                <w:szCs w:val="20"/>
              </w:rPr>
            </w:pPr>
          </w:p>
        </w:tc>
        <w:tc>
          <w:tcPr>
            <w:tcW w:w="1062" w:type="dxa"/>
            <w:tcBorders>
              <w:left w:val="nil"/>
              <w:right w:val="single" w:sz="4" w:space="0" w:color="auto"/>
            </w:tcBorders>
            <w:noWrap/>
            <w:vAlign w:val="center"/>
          </w:tcPr>
          <w:p w14:paraId="68349D11" w14:textId="77777777" w:rsidR="007219D6" w:rsidRDefault="007219D6" w:rsidP="007219D6">
            <w:pPr>
              <w:spacing w:before="0" w:after="0" w:line="240" w:lineRule="auto"/>
              <w:jc w:val="center"/>
              <w:rPr>
                <w:rFonts w:ascii="Arial Narrow" w:hAnsi="Arial Narrow" w:cs="Arial"/>
                <w:color w:val="000000"/>
                <w:sz w:val="20"/>
                <w:szCs w:val="20"/>
                <w:vertAlign w:val="superscript"/>
              </w:rPr>
            </w:pPr>
            <w:r w:rsidRPr="001B17EC">
              <w:rPr>
                <w:rFonts w:ascii="Arial Narrow" w:hAnsi="Arial Narrow" w:cs="Arial"/>
                <w:b/>
                <w:bCs/>
                <w:color w:val="000000"/>
                <w:sz w:val="20"/>
                <w:szCs w:val="20"/>
              </w:rPr>
              <w:t>Redacted</w:t>
            </w:r>
            <w:r>
              <w:rPr>
                <w:rFonts w:ascii="Arial Narrow" w:hAnsi="Arial Narrow" w:cs="Arial"/>
                <w:color w:val="000000"/>
                <w:sz w:val="20"/>
                <w:szCs w:val="20"/>
                <w:vertAlign w:val="superscript"/>
              </w:rPr>
              <w:t>1</w:t>
            </w:r>
          </w:p>
          <w:p w14:paraId="76A02147" w14:textId="5D8DCD3F" w:rsidR="005332DC" w:rsidRPr="004332F5" w:rsidRDefault="005332DC" w:rsidP="000523F7">
            <w:pPr>
              <w:keepNext/>
              <w:keepLines/>
              <w:spacing w:before="0" w:after="0" w:line="240" w:lineRule="auto"/>
              <w:jc w:val="center"/>
              <w:rPr>
                <w:rFonts w:ascii="Arial Narrow" w:hAnsi="Arial Narrow" w:cs="Arial"/>
                <w:color w:val="000000"/>
                <w:sz w:val="20"/>
                <w:szCs w:val="20"/>
              </w:rPr>
            </w:pPr>
          </w:p>
        </w:tc>
        <w:tc>
          <w:tcPr>
            <w:tcW w:w="1062" w:type="dxa"/>
            <w:tcBorders>
              <w:left w:val="nil"/>
              <w:right w:val="single" w:sz="4" w:space="0" w:color="auto"/>
            </w:tcBorders>
            <w:noWrap/>
            <w:vAlign w:val="center"/>
          </w:tcPr>
          <w:p w14:paraId="0FDCF5DA" w14:textId="77777777" w:rsidR="007219D6" w:rsidRDefault="007219D6" w:rsidP="007219D6">
            <w:pPr>
              <w:spacing w:before="0" w:after="0" w:line="240" w:lineRule="auto"/>
              <w:jc w:val="center"/>
              <w:rPr>
                <w:rFonts w:ascii="Arial Narrow" w:hAnsi="Arial Narrow" w:cs="Arial"/>
                <w:color w:val="000000"/>
                <w:sz w:val="20"/>
                <w:szCs w:val="20"/>
                <w:vertAlign w:val="superscript"/>
              </w:rPr>
            </w:pPr>
            <w:r w:rsidRPr="001B17EC">
              <w:rPr>
                <w:rFonts w:ascii="Arial Narrow" w:hAnsi="Arial Narrow" w:cs="Arial"/>
                <w:b/>
                <w:bCs/>
                <w:color w:val="000000"/>
                <w:sz w:val="20"/>
                <w:szCs w:val="20"/>
              </w:rPr>
              <w:t>Redacted</w:t>
            </w:r>
            <w:r>
              <w:rPr>
                <w:rFonts w:ascii="Arial Narrow" w:hAnsi="Arial Narrow" w:cs="Arial"/>
                <w:color w:val="000000"/>
                <w:sz w:val="20"/>
                <w:szCs w:val="20"/>
                <w:vertAlign w:val="superscript"/>
              </w:rPr>
              <w:t>1</w:t>
            </w:r>
          </w:p>
          <w:p w14:paraId="78298605" w14:textId="7F40A581" w:rsidR="005332DC" w:rsidRPr="004332F5" w:rsidRDefault="005332DC" w:rsidP="000523F7">
            <w:pPr>
              <w:keepNext/>
              <w:keepLines/>
              <w:spacing w:before="0" w:after="0" w:line="240" w:lineRule="auto"/>
              <w:jc w:val="center"/>
              <w:rPr>
                <w:rFonts w:ascii="Arial Narrow" w:hAnsi="Arial Narrow" w:cs="Arial"/>
                <w:color w:val="000000"/>
                <w:sz w:val="20"/>
                <w:szCs w:val="20"/>
              </w:rPr>
            </w:pPr>
          </w:p>
        </w:tc>
        <w:tc>
          <w:tcPr>
            <w:tcW w:w="1062" w:type="dxa"/>
            <w:tcBorders>
              <w:left w:val="nil"/>
              <w:right w:val="single" w:sz="4" w:space="0" w:color="auto"/>
            </w:tcBorders>
            <w:noWrap/>
            <w:vAlign w:val="center"/>
          </w:tcPr>
          <w:p w14:paraId="537BE2F3" w14:textId="77777777" w:rsidR="007219D6" w:rsidRDefault="007219D6" w:rsidP="007219D6">
            <w:pPr>
              <w:spacing w:before="0" w:after="0" w:line="240" w:lineRule="auto"/>
              <w:jc w:val="center"/>
              <w:rPr>
                <w:rFonts w:ascii="Arial Narrow" w:hAnsi="Arial Narrow" w:cs="Arial"/>
                <w:color w:val="000000"/>
                <w:sz w:val="20"/>
                <w:szCs w:val="20"/>
                <w:vertAlign w:val="superscript"/>
              </w:rPr>
            </w:pPr>
            <w:r w:rsidRPr="001B17EC">
              <w:rPr>
                <w:rFonts w:ascii="Arial Narrow" w:hAnsi="Arial Narrow" w:cs="Arial"/>
                <w:b/>
                <w:bCs/>
                <w:color w:val="000000"/>
                <w:sz w:val="20"/>
                <w:szCs w:val="20"/>
              </w:rPr>
              <w:t>Redacted</w:t>
            </w:r>
            <w:r>
              <w:rPr>
                <w:rFonts w:ascii="Arial Narrow" w:hAnsi="Arial Narrow" w:cs="Arial"/>
                <w:color w:val="000000"/>
                <w:sz w:val="20"/>
                <w:szCs w:val="20"/>
                <w:vertAlign w:val="superscript"/>
              </w:rPr>
              <w:t>1</w:t>
            </w:r>
          </w:p>
          <w:p w14:paraId="6C0756F0" w14:textId="67843FF5" w:rsidR="005332DC" w:rsidRPr="004332F5" w:rsidRDefault="005332DC" w:rsidP="000523F7">
            <w:pPr>
              <w:keepNext/>
              <w:keepLines/>
              <w:spacing w:before="0" w:after="0" w:line="240" w:lineRule="auto"/>
              <w:jc w:val="center"/>
              <w:rPr>
                <w:rFonts w:ascii="Arial Narrow" w:hAnsi="Arial Narrow" w:cs="Arial"/>
                <w:color w:val="000000"/>
                <w:sz w:val="20"/>
                <w:szCs w:val="20"/>
              </w:rPr>
            </w:pPr>
          </w:p>
        </w:tc>
        <w:tc>
          <w:tcPr>
            <w:tcW w:w="1062" w:type="dxa"/>
            <w:tcBorders>
              <w:left w:val="nil"/>
              <w:right w:val="single" w:sz="4" w:space="0" w:color="auto"/>
            </w:tcBorders>
            <w:noWrap/>
            <w:vAlign w:val="center"/>
          </w:tcPr>
          <w:p w14:paraId="2EE30A71" w14:textId="77777777" w:rsidR="007219D6" w:rsidRDefault="007219D6" w:rsidP="007219D6">
            <w:pPr>
              <w:spacing w:before="0" w:after="0" w:line="240" w:lineRule="auto"/>
              <w:jc w:val="center"/>
              <w:rPr>
                <w:rFonts w:ascii="Arial Narrow" w:hAnsi="Arial Narrow" w:cs="Arial"/>
                <w:color w:val="000000"/>
                <w:sz w:val="20"/>
                <w:szCs w:val="20"/>
                <w:vertAlign w:val="superscript"/>
              </w:rPr>
            </w:pPr>
            <w:r w:rsidRPr="001B17EC">
              <w:rPr>
                <w:rFonts w:ascii="Arial Narrow" w:hAnsi="Arial Narrow" w:cs="Arial"/>
                <w:b/>
                <w:bCs/>
                <w:color w:val="000000"/>
                <w:sz w:val="20"/>
                <w:szCs w:val="20"/>
              </w:rPr>
              <w:t>Redacted</w:t>
            </w:r>
            <w:r>
              <w:rPr>
                <w:rFonts w:ascii="Arial Narrow" w:hAnsi="Arial Narrow" w:cs="Arial"/>
                <w:color w:val="000000"/>
                <w:sz w:val="20"/>
                <w:szCs w:val="20"/>
                <w:vertAlign w:val="superscript"/>
              </w:rPr>
              <w:t>1</w:t>
            </w:r>
          </w:p>
          <w:p w14:paraId="709F2F65" w14:textId="15038F69" w:rsidR="005332DC" w:rsidRPr="004332F5" w:rsidRDefault="005332DC" w:rsidP="000523F7">
            <w:pPr>
              <w:keepNext/>
              <w:keepLines/>
              <w:spacing w:before="0" w:after="0" w:line="240" w:lineRule="auto"/>
              <w:jc w:val="center"/>
              <w:rPr>
                <w:rFonts w:ascii="Arial Narrow" w:hAnsi="Arial Narrow" w:cs="Arial"/>
                <w:color w:val="000000"/>
                <w:sz w:val="20"/>
                <w:szCs w:val="20"/>
              </w:rPr>
            </w:pPr>
          </w:p>
        </w:tc>
      </w:tr>
      <w:tr w:rsidR="005332DC" w:rsidRPr="00582F3A" w14:paraId="711BA170" w14:textId="77777777" w:rsidTr="1B12B364">
        <w:trPr>
          <w:trHeight w:val="256"/>
        </w:trPr>
        <w:tc>
          <w:tcPr>
            <w:tcW w:w="2664" w:type="dxa"/>
            <w:tcBorders>
              <w:left w:val="single" w:sz="4" w:space="0" w:color="auto"/>
              <w:bottom w:val="single" w:sz="4" w:space="0" w:color="auto"/>
              <w:right w:val="single" w:sz="4" w:space="0" w:color="auto"/>
            </w:tcBorders>
            <w:noWrap/>
            <w:vAlign w:val="center"/>
          </w:tcPr>
          <w:p w14:paraId="20DE1516" w14:textId="712EE9C7" w:rsidR="005332DC" w:rsidRPr="00582F3A" w:rsidRDefault="492DA7CF" w:rsidP="000523F7">
            <w:pPr>
              <w:keepNext/>
              <w:keepLines/>
              <w:spacing w:before="0" w:after="0" w:line="240" w:lineRule="auto"/>
              <w:rPr>
                <w:rFonts w:ascii="Arial Narrow" w:eastAsia="Times New Roman" w:hAnsi="Arial Narrow" w:cs="Arial"/>
                <w:color w:val="000000"/>
                <w:sz w:val="20"/>
                <w:szCs w:val="20"/>
                <w:lang w:eastAsia="en-AU"/>
              </w:rPr>
            </w:pPr>
            <w:r w:rsidRPr="1B12B364">
              <w:rPr>
                <w:rFonts w:ascii="Arial Narrow" w:hAnsi="Arial Narrow"/>
                <w:sz w:val="20"/>
                <w:szCs w:val="20"/>
              </w:rPr>
              <w:t xml:space="preserve">    100% test uptake </w:t>
            </w:r>
          </w:p>
        </w:tc>
        <w:tc>
          <w:tcPr>
            <w:tcW w:w="1062" w:type="dxa"/>
            <w:tcBorders>
              <w:left w:val="nil"/>
              <w:bottom w:val="single" w:sz="4" w:space="0" w:color="auto"/>
              <w:right w:val="single" w:sz="4" w:space="0" w:color="auto"/>
            </w:tcBorders>
            <w:noWrap/>
            <w:vAlign w:val="center"/>
          </w:tcPr>
          <w:p w14:paraId="56CC80FD" w14:textId="77777777" w:rsidR="007219D6" w:rsidRDefault="007219D6" w:rsidP="007219D6">
            <w:pPr>
              <w:spacing w:before="0" w:after="0" w:line="240" w:lineRule="auto"/>
              <w:jc w:val="center"/>
              <w:rPr>
                <w:rFonts w:ascii="Arial Narrow" w:hAnsi="Arial Narrow" w:cs="Arial"/>
                <w:color w:val="000000"/>
                <w:sz w:val="20"/>
                <w:szCs w:val="20"/>
                <w:vertAlign w:val="superscript"/>
              </w:rPr>
            </w:pPr>
            <w:r w:rsidRPr="001B17EC">
              <w:rPr>
                <w:rFonts w:ascii="Arial Narrow" w:hAnsi="Arial Narrow" w:cs="Arial"/>
                <w:b/>
                <w:bCs/>
                <w:color w:val="000000"/>
                <w:sz w:val="20"/>
                <w:szCs w:val="20"/>
              </w:rPr>
              <w:t>Redacted</w:t>
            </w:r>
            <w:r>
              <w:rPr>
                <w:rFonts w:ascii="Arial Narrow" w:hAnsi="Arial Narrow" w:cs="Arial"/>
                <w:color w:val="000000"/>
                <w:sz w:val="20"/>
                <w:szCs w:val="20"/>
                <w:vertAlign w:val="superscript"/>
              </w:rPr>
              <w:t>1</w:t>
            </w:r>
          </w:p>
          <w:p w14:paraId="02DBA019" w14:textId="564C26C9" w:rsidR="005332DC" w:rsidRPr="004332F5" w:rsidRDefault="005332DC" w:rsidP="000523F7">
            <w:pPr>
              <w:keepNext/>
              <w:keepLines/>
              <w:spacing w:before="0" w:after="0" w:line="240" w:lineRule="auto"/>
              <w:jc w:val="center"/>
              <w:rPr>
                <w:rFonts w:ascii="Arial Narrow" w:hAnsi="Arial Narrow" w:cs="Arial"/>
                <w:color w:val="000000"/>
                <w:sz w:val="20"/>
                <w:szCs w:val="20"/>
              </w:rPr>
            </w:pPr>
          </w:p>
        </w:tc>
        <w:tc>
          <w:tcPr>
            <w:tcW w:w="1062" w:type="dxa"/>
            <w:tcBorders>
              <w:left w:val="nil"/>
              <w:bottom w:val="single" w:sz="4" w:space="0" w:color="auto"/>
              <w:right w:val="single" w:sz="4" w:space="0" w:color="auto"/>
            </w:tcBorders>
            <w:noWrap/>
            <w:vAlign w:val="center"/>
          </w:tcPr>
          <w:p w14:paraId="698CA68D" w14:textId="77777777" w:rsidR="007219D6" w:rsidRDefault="007219D6" w:rsidP="007219D6">
            <w:pPr>
              <w:spacing w:before="0" w:after="0" w:line="240" w:lineRule="auto"/>
              <w:jc w:val="center"/>
              <w:rPr>
                <w:rFonts w:ascii="Arial Narrow" w:hAnsi="Arial Narrow" w:cs="Arial"/>
                <w:color w:val="000000"/>
                <w:sz w:val="20"/>
                <w:szCs w:val="20"/>
                <w:vertAlign w:val="superscript"/>
              </w:rPr>
            </w:pPr>
            <w:r w:rsidRPr="001B17EC">
              <w:rPr>
                <w:rFonts w:ascii="Arial Narrow" w:hAnsi="Arial Narrow" w:cs="Arial"/>
                <w:b/>
                <w:bCs/>
                <w:color w:val="000000"/>
                <w:sz w:val="20"/>
                <w:szCs w:val="20"/>
              </w:rPr>
              <w:t>Redacted</w:t>
            </w:r>
            <w:r>
              <w:rPr>
                <w:rFonts w:ascii="Arial Narrow" w:hAnsi="Arial Narrow" w:cs="Arial"/>
                <w:color w:val="000000"/>
                <w:sz w:val="20"/>
                <w:szCs w:val="20"/>
                <w:vertAlign w:val="superscript"/>
              </w:rPr>
              <w:t>1</w:t>
            </w:r>
          </w:p>
          <w:p w14:paraId="3E998DEA" w14:textId="689F2318" w:rsidR="005332DC" w:rsidRPr="004332F5" w:rsidRDefault="005332DC" w:rsidP="000523F7">
            <w:pPr>
              <w:keepNext/>
              <w:keepLines/>
              <w:spacing w:before="0" w:after="0" w:line="240" w:lineRule="auto"/>
              <w:jc w:val="center"/>
              <w:rPr>
                <w:rFonts w:ascii="Arial Narrow" w:hAnsi="Arial Narrow" w:cs="Arial"/>
                <w:color w:val="000000"/>
                <w:sz w:val="20"/>
                <w:szCs w:val="20"/>
              </w:rPr>
            </w:pPr>
          </w:p>
        </w:tc>
        <w:tc>
          <w:tcPr>
            <w:tcW w:w="1062" w:type="dxa"/>
            <w:tcBorders>
              <w:left w:val="nil"/>
              <w:bottom w:val="single" w:sz="4" w:space="0" w:color="auto"/>
              <w:right w:val="single" w:sz="4" w:space="0" w:color="auto"/>
            </w:tcBorders>
            <w:noWrap/>
            <w:vAlign w:val="center"/>
          </w:tcPr>
          <w:p w14:paraId="09E26A88" w14:textId="77777777" w:rsidR="007219D6" w:rsidRDefault="007219D6" w:rsidP="007219D6">
            <w:pPr>
              <w:spacing w:before="0" w:after="0" w:line="240" w:lineRule="auto"/>
              <w:jc w:val="center"/>
              <w:rPr>
                <w:rFonts w:ascii="Arial Narrow" w:hAnsi="Arial Narrow" w:cs="Arial"/>
                <w:color w:val="000000"/>
                <w:sz w:val="20"/>
                <w:szCs w:val="20"/>
                <w:vertAlign w:val="superscript"/>
              </w:rPr>
            </w:pPr>
            <w:r w:rsidRPr="001B17EC">
              <w:rPr>
                <w:rFonts w:ascii="Arial Narrow" w:hAnsi="Arial Narrow" w:cs="Arial"/>
                <w:b/>
                <w:bCs/>
                <w:color w:val="000000"/>
                <w:sz w:val="20"/>
                <w:szCs w:val="20"/>
              </w:rPr>
              <w:t>Redacted</w:t>
            </w:r>
            <w:r>
              <w:rPr>
                <w:rFonts w:ascii="Arial Narrow" w:hAnsi="Arial Narrow" w:cs="Arial"/>
                <w:color w:val="000000"/>
                <w:sz w:val="20"/>
                <w:szCs w:val="20"/>
                <w:vertAlign w:val="superscript"/>
              </w:rPr>
              <w:t>1</w:t>
            </w:r>
          </w:p>
          <w:p w14:paraId="23E611A5" w14:textId="0D1DC6D9" w:rsidR="005332DC" w:rsidRPr="004332F5" w:rsidRDefault="005332DC" w:rsidP="000523F7">
            <w:pPr>
              <w:keepNext/>
              <w:keepLines/>
              <w:spacing w:before="0" w:after="0" w:line="240" w:lineRule="auto"/>
              <w:jc w:val="center"/>
              <w:rPr>
                <w:rFonts w:ascii="Arial Narrow" w:hAnsi="Arial Narrow" w:cs="Arial"/>
                <w:color w:val="000000"/>
                <w:sz w:val="20"/>
                <w:szCs w:val="20"/>
              </w:rPr>
            </w:pPr>
          </w:p>
        </w:tc>
        <w:tc>
          <w:tcPr>
            <w:tcW w:w="1062" w:type="dxa"/>
            <w:tcBorders>
              <w:left w:val="nil"/>
              <w:bottom w:val="single" w:sz="4" w:space="0" w:color="auto"/>
              <w:right w:val="single" w:sz="4" w:space="0" w:color="auto"/>
            </w:tcBorders>
            <w:noWrap/>
            <w:vAlign w:val="center"/>
          </w:tcPr>
          <w:p w14:paraId="4305E997" w14:textId="77777777" w:rsidR="007219D6" w:rsidRDefault="007219D6" w:rsidP="007219D6">
            <w:pPr>
              <w:spacing w:before="0" w:after="0" w:line="240" w:lineRule="auto"/>
              <w:jc w:val="center"/>
              <w:rPr>
                <w:rFonts w:ascii="Arial Narrow" w:hAnsi="Arial Narrow" w:cs="Arial"/>
                <w:color w:val="000000"/>
                <w:sz w:val="20"/>
                <w:szCs w:val="20"/>
                <w:vertAlign w:val="superscript"/>
              </w:rPr>
            </w:pPr>
            <w:r w:rsidRPr="001B17EC">
              <w:rPr>
                <w:rFonts w:ascii="Arial Narrow" w:hAnsi="Arial Narrow" w:cs="Arial"/>
                <w:b/>
                <w:bCs/>
                <w:color w:val="000000"/>
                <w:sz w:val="20"/>
                <w:szCs w:val="20"/>
              </w:rPr>
              <w:t>Redacted</w:t>
            </w:r>
            <w:r>
              <w:rPr>
                <w:rFonts w:ascii="Arial Narrow" w:hAnsi="Arial Narrow" w:cs="Arial"/>
                <w:color w:val="000000"/>
                <w:sz w:val="20"/>
                <w:szCs w:val="20"/>
                <w:vertAlign w:val="superscript"/>
              </w:rPr>
              <w:t>1</w:t>
            </w:r>
          </w:p>
          <w:p w14:paraId="4C3FA3EF" w14:textId="049C0B36" w:rsidR="005332DC" w:rsidRPr="004332F5" w:rsidRDefault="005332DC" w:rsidP="000523F7">
            <w:pPr>
              <w:keepNext/>
              <w:keepLines/>
              <w:spacing w:before="0" w:after="0" w:line="240" w:lineRule="auto"/>
              <w:jc w:val="center"/>
              <w:rPr>
                <w:rFonts w:ascii="Arial Narrow" w:hAnsi="Arial Narrow" w:cs="Arial"/>
                <w:color w:val="000000"/>
                <w:sz w:val="20"/>
                <w:szCs w:val="20"/>
              </w:rPr>
            </w:pPr>
          </w:p>
        </w:tc>
        <w:tc>
          <w:tcPr>
            <w:tcW w:w="1062" w:type="dxa"/>
            <w:tcBorders>
              <w:left w:val="nil"/>
              <w:bottom w:val="single" w:sz="4" w:space="0" w:color="auto"/>
              <w:right w:val="single" w:sz="4" w:space="0" w:color="auto"/>
            </w:tcBorders>
            <w:noWrap/>
            <w:vAlign w:val="center"/>
          </w:tcPr>
          <w:p w14:paraId="4E3FF1A7" w14:textId="77777777" w:rsidR="007219D6" w:rsidRDefault="007219D6" w:rsidP="007219D6">
            <w:pPr>
              <w:spacing w:before="0" w:after="0" w:line="240" w:lineRule="auto"/>
              <w:jc w:val="center"/>
              <w:rPr>
                <w:rFonts w:ascii="Arial Narrow" w:hAnsi="Arial Narrow" w:cs="Arial"/>
                <w:color w:val="000000"/>
                <w:sz w:val="20"/>
                <w:szCs w:val="20"/>
                <w:vertAlign w:val="superscript"/>
              </w:rPr>
            </w:pPr>
            <w:r w:rsidRPr="001B17EC">
              <w:rPr>
                <w:rFonts w:ascii="Arial Narrow" w:hAnsi="Arial Narrow" w:cs="Arial"/>
                <w:b/>
                <w:bCs/>
                <w:color w:val="000000"/>
                <w:sz w:val="20"/>
                <w:szCs w:val="20"/>
              </w:rPr>
              <w:t>Redacted</w:t>
            </w:r>
            <w:r>
              <w:rPr>
                <w:rFonts w:ascii="Arial Narrow" w:hAnsi="Arial Narrow" w:cs="Arial"/>
                <w:color w:val="000000"/>
                <w:sz w:val="20"/>
                <w:szCs w:val="20"/>
                <w:vertAlign w:val="superscript"/>
              </w:rPr>
              <w:t>1</w:t>
            </w:r>
          </w:p>
          <w:p w14:paraId="4080DC1E" w14:textId="4F20D950" w:rsidR="005332DC" w:rsidRPr="004332F5" w:rsidRDefault="005332DC" w:rsidP="000523F7">
            <w:pPr>
              <w:keepNext/>
              <w:keepLines/>
              <w:spacing w:before="0" w:after="0" w:line="240" w:lineRule="auto"/>
              <w:jc w:val="center"/>
              <w:rPr>
                <w:rFonts w:ascii="Arial Narrow" w:hAnsi="Arial Narrow" w:cs="Arial"/>
                <w:color w:val="000000"/>
                <w:sz w:val="20"/>
                <w:szCs w:val="20"/>
              </w:rPr>
            </w:pPr>
          </w:p>
        </w:tc>
        <w:tc>
          <w:tcPr>
            <w:tcW w:w="1062" w:type="dxa"/>
            <w:tcBorders>
              <w:left w:val="nil"/>
              <w:bottom w:val="single" w:sz="4" w:space="0" w:color="auto"/>
              <w:right w:val="single" w:sz="4" w:space="0" w:color="auto"/>
            </w:tcBorders>
            <w:noWrap/>
            <w:vAlign w:val="center"/>
          </w:tcPr>
          <w:p w14:paraId="792B5057" w14:textId="77777777" w:rsidR="007219D6" w:rsidRDefault="007219D6" w:rsidP="007219D6">
            <w:pPr>
              <w:spacing w:before="0" w:after="0" w:line="240" w:lineRule="auto"/>
              <w:jc w:val="center"/>
              <w:rPr>
                <w:rFonts w:ascii="Arial Narrow" w:hAnsi="Arial Narrow" w:cs="Arial"/>
                <w:color w:val="000000"/>
                <w:sz w:val="20"/>
                <w:szCs w:val="20"/>
                <w:vertAlign w:val="superscript"/>
              </w:rPr>
            </w:pPr>
            <w:r w:rsidRPr="001B17EC">
              <w:rPr>
                <w:rFonts w:ascii="Arial Narrow" w:hAnsi="Arial Narrow" w:cs="Arial"/>
                <w:b/>
                <w:bCs/>
                <w:color w:val="000000"/>
                <w:sz w:val="20"/>
                <w:szCs w:val="20"/>
              </w:rPr>
              <w:t>Redacted</w:t>
            </w:r>
            <w:r>
              <w:rPr>
                <w:rFonts w:ascii="Arial Narrow" w:hAnsi="Arial Narrow" w:cs="Arial"/>
                <w:color w:val="000000"/>
                <w:sz w:val="20"/>
                <w:szCs w:val="20"/>
                <w:vertAlign w:val="superscript"/>
              </w:rPr>
              <w:t>1</w:t>
            </w:r>
          </w:p>
          <w:p w14:paraId="2A895200" w14:textId="28DBF610" w:rsidR="005332DC" w:rsidRPr="004332F5" w:rsidRDefault="005332DC" w:rsidP="000523F7">
            <w:pPr>
              <w:keepNext/>
              <w:keepLines/>
              <w:spacing w:before="0" w:after="0" w:line="240" w:lineRule="auto"/>
              <w:jc w:val="center"/>
              <w:rPr>
                <w:rFonts w:ascii="Arial Narrow" w:hAnsi="Arial Narrow" w:cs="Arial"/>
                <w:color w:val="000000"/>
                <w:sz w:val="20"/>
                <w:szCs w:val="20"/>
              </w:rPr>
            </w:pPr>
          </w:p>
        </w:tc>
      </w:tr>
      <w:tr w:rsidR="00FF0D76" w:rsidRPr="00582F3A" w14:paraId="419747BB" w14:textId="77777777" w:rsidTr="1B12B364">
        <w:trPr>
          <w:trHeight w:val="256"/>
        </w:trPr>
        <w:tc>
          <w:tcPr>
            <w:tcW w:w="9036" w:type="dxa"/>
            <w:gridSpan w:val="7"/>
            <w:tcBorders>
              <w:top w:val="single" w:sz="4" w:space="0" w:color="auto"/>
              <w:left w:val="single" w:sz="4" w:space="0" w:color="auto"/>
              <w:bottom w:val="single" w:sz="4" w:space="0" w:color="auto"/>
              <w:right w:val="single" w:sz="4" w:space="0" w:color="auto"/>
            </w:tcBorders>
            <w:noWrap/>
            <w:vAlign w:val="center"/>
          </w:tcPr>
          <w:p w14:paraId="471667C2" w14:textId="6F5098D0" w:rsidR="00FF0D76" w:rsidRPr="000570F7" w:rsidRDefault="00FF0D76" w:rsidP="000523F7">
            <w:pPr>
              <w:keepNext/>
              <w:keepLines/>
              <w:spacing w:before="0" w:after="0" w:line="240" w:lineRule="auto"/>
              <w:rPr>
                <w:rFonts w:ascii="Arial Narrow" w:hAnsi="Arial Narrow"/>
                <w:b/>
                <w:bCs/>
                <w:sz w:val="20"/>
                <w:szCs w:val="20"/>
                <w:highlight w:val="yellow"/>
              </w:rPr>
            </w:pPr>
            <w:r w:rsidRPr="000570F7">
              <w:rPr>
                <w:rFonts w:ascii="Arial Narrow" w:hAnsi="Arial Narrow"/>
                <w:b/>
                <w:bCs/>
                <w:sz w:val="20"/>
                <w:szCs w:val="20"/>
              </w:rPr>
              <w:t>Multivariate sensitivity analyses</w:t>
            </w:r>
          </w:p>
        </w:tc>
      </w:tr>
      <w:tr w:rsidR="00322742" w:rsidRPr="00582F3A" w14:paraId="05BCFE29" w14:textId="77777777" w:rsidTr="1B12B364">
        <w:trPr>
          <w:trHeight w:val="256"/>
        </w:trPr>
        <w:tc>
          <w:tcPr>
            <w:tcW w:w="2664" w:type="dxa"/>
            <w:tcBorders>
              <w:top w:val="single" w:sz="4" w:space="0" w:color="auto"/>
              <w:left w:val="single" w:sz="4" w:space="0" w:color="auto"/>
              <w:bottom w:val="single" w:sz="4" w:space="0" w:color="auto"/>
              <w:right w:val="single" w:sz="4" w:space="0" w:color="auto"/>
            </w:tcBorders>
            <w:noWrap/>
            <w:vAlign w:val="center"/>
          </w:tcPr>
          <w:p w14:paraId="1CCD67C1" w14:textId="79904F1A" w:rsidR="00322742" w:rsidRDefault="00322742" w:rsidP="000523F7">
            <w:pPr>
              <w:keepNext/>
              <w:keepLines/>
              <w:spacing w:before="0" w:after="0" w:line="240" w:lineRule="auto"/>
              <w:rPr>
                <w:rFonts w:ascii="Arial Narrow" w:hAnsi="Arial Narrow"/>
                <w:sz w:val="20"/>
                <w:szCs w:val="20"/>
              </w:rPr>
            </w:pPr>
            <w:r>
              <w:rPr>
                <w:rFonts w:ascii="Arial Narrow" w:hAnsi="Arial Narrow"/>
                <w:sz w:val="20"/>
                <w:szCs w:val="20"/>
              </w:rPr>
              <w:t xml:space="preserve">Testing at CCA diagnosis assuming a </w:t>
            </w:r>
            <w:r w:rsidRPr="00C41A06">
              <w:rPr>
                <w:rFonts w:ascii="Arial Narrow" w:hAnsi="Arial Narrow"/>
                <w:i/>
                <w:iCs/>
                <w:sz w:val="20"/>
                <w:szCs w:val="20"/>
              </w:rPr>
              <w:t>FGFR2</w:t>
            </w:r>
            <w:r>
              <w:rPr>
                <w:rFonts w:ascii="Arial Narrow" w:hAnsi="Arial Narrow"/>
                <w:sz w:val="20"/>
                <w:szCs w:val="20"/>
              </w:rPr>
              <w:t xml:space="preserve"> diagnostic yield </w:t>
            </w:r>
            <w:r w:rsidR="004B6458">
              <w:rPr>
                <w:rFonts w:ascii="Arial Narrow" w:hAnsi="Arial Narrow"/>
                <w:sz w:val="20"/>
                <w:szCs w:val="20"/>
              </w:rPr>
              <w:t xml:space="preserve">of </w:t>
            </w:r>
            <w:r>
              <w:rPr>
                <w:rFonts w:ascii="Arial Narrow" w:hAnsi="Arial Narrow"/>
                <w:sz w:val="20"/>
                <w:szCs w:val="20"/>
              </w:rPr>
              <w:t>10.1% + test fee of $800</w:t>
            </w:r>
            <w:r>
              <w:rPr>
                <w:rFonts w:ascii="Arial Narrow" w:hAnsi="Arial Narrow"/>
                <w:sz w:val="20"/>
                <w:szCs w:val="20"/>
                <w:vertAlign w:val="superscript"/>
              </w:rPr>
              <w:t>b</w:t>
            </w:r>
            <w:r>
              <w:rPr>
                <w:rFonts w:ascii="Arial Narrow" w:hAnsi="Arial Narrow"/>
                <w:sz w:val="20"/>
                <w:szCs w:val="20"/>
              </w:rPr>
              <w:t xml:space="preserve"> + 0% free testing by OMICO+ 25% test</w:t>
            </w:r>
            <w:r w:rsidR="00E205F5">
              <w:rPr>
                <w:rFonts w:ascii="Arial Narrow" w:hAnsi="Arial Narrow"/>
                <w:sz w:val="20"/>
                <w:szCs w:val="20"/>
              </w:rPr>
              <w:t xml:space="preserve"> uptake</w:t>
            </w:r>
            <w:r>
              <w:rPr>
                <w:rFonts w:ascii="Arial Narrow" w:hAnsi="Arial Narrow"/>
                <w:sz w:val="20"/>
                <w:szCs w:val="20"/>
              </w:rPr>
              <w:t xml:space="preserve"> in patients with CUP or pancreatic cancer</w:t>
            </w:r>
          </w:p>
        </w:tc>
        <w:tc>
          <w:tcPr>
            <w:tcW w:w="1062" w:type="dxa"/>
            <w:tcBorders>
              <w:top w:val="single" w:sz="4" w:space="0" w:color="auto"/>
              <w:left w:val="nil"/>
              <w:bottom w:val="single" w:sz="4" w:space="0" w:color="auto"/>
              <w:right w:val="single" w:sz="4" w:space="0" w:color="auto"/>
            </w:tcBorders>
            <w:noWrap/>
            <w:vAlign w:val="center"/>
          </w:tcPr>
          <w:p w14:paraId="5178B3D5" w14:textId="77777777" w:rsidR="007219D6" w:rsidRDefault="007219D6" w:rsidP="007219D6">
            <w:pPr>
              <w:spacing w:before="0" w:after="0" w:line="240" w:lineRule="auto"/>
              <w:jc w:val="center"/>
              <w:rPr>
                <w:rFonts w:ascii="Arial Narrow" w:hAnsi="Arial Narrow" w:cs="Arial"/>
                <w:color w:val="000000"/>
                <w:sz w:val="20"/>
                <w:szCs w:val="20"/>
                <w:vertAlign w:val="superscript"/>
              </w:rPr>
            </w:pPr>
            <w:r w:rsidRPr="001B17EC">
              <w:rPr>
                <w:rFonts w:ascii="Arial Narrow" w:hAnsi="Arial Narrow" w:cs="Arial"/>
                <w:b/>
                <w:bCs/>
                <w:color w:val="000000"/>
                <w:sz w:val="20"/>
                <w:szCs w:val="20"/>
              </w:rPr>
              <w:t>Redacted</w:t>
            </w:r>
            <w:r>
              <w:rPr>
                <w:rFonts w:ascii="Arial Narrow" w:hAnsi="Arial Narrow" w:cs="Arial"/>
                <w:color w:val="000000"/>
                <w:sz w:val="20"/>
                <w:szCs w:val="20"/>
                <w:vertAlign w:val="superscript"/>
              </w:rPr>
              <w:t>1</w:t>
            </w:r>
          </w:p>
          <w:p w14:paraId="0F122844" w14:textId="34F49182" w:rsidR="00322742" w:rsidRPr="000570F7" w:rsidRDefault="00322742" w:rsidP="000523F7">
            <w:pPr>
              <w:keepNext/>
              <w:keepLines/>
              <w:spacing w:before="0" w:after="0" w:line="240" w:lineRule="auto"/>
              <w:jc w:val="center"/>
              <w:rPr>
                <w:rFonts w:ascii="Arial Narrow" w:hAnsi="Arial Narrow"/>
                <w:sz w:val="20"/>
                <w:szCs w:val="20"/>
              </w:rPr>
            </w:pPr>
          </w:p>
        </w:tc>
        <w:tc>
          <w:tcPr>
            <w:tcW w:w="1062" w:type="dxa"/>
            <w:tcBorders>
              <w:top w:val="single" w:sz="4" w:space="0" w:color="auto"/>
              <w:left w:val="nil"/>
              <w:bottom w:val="single" w:sz="4" w:space="0" w:color="auto"/>
              <w:right w:val="single" w:sz="4" w:space="0" w:color="auto"/>
            </w:tcBorders>
            <w:noWrap/>
            <w:vAlign w:val="center"/>
          </w:tcPr>
          <w:p w14:paraId="2A870405" w14:textId="77777777" w:rsidR="007219D6" w:rsidRDefault="007219D6" w:rsidP="007219D6">
            <w:pPr>
              <w:spacing w:before="0" w:after="0" w:line="240" w:lineRule="auto"/>
              <w:jc w:val="center"/>
              <w:rPr>
                <w:rFonts w:ascii="Arial Narrow" w:hAnsi="Arial Narrow" w:cs="Arial"/>
                <w:color w:val="000000"/>
                <w:sz w:val="20"/>
                <w:szCs w:val="20"/>
                <w:vertAlign w:val="superscript"/>
              </w:rPr>
            </w:pPr>
            <w:r w:rsidRPr="001B17EC">
              <w:rPr>
                <w:rFonts w:ascii="Arial Narrow" w:hAnsi="Arial Narrow" w:cs="Arial"/>
                <w:b/>
                <w:bCs/>
                <w:color w:val="000000"/>
                <w:sz w:val="20"/>
                <w:szCs w:val="20"/>
              </w:rPr>
              <w:t>Redacted</w:t>
            </w:r>
            <w:r>
              <w:rPr>
                <w:rFonts w:ascii="Arial Narrow" w:hAnsi="Arial Narrow" w:cs="Arial"/>
                <w:color w:val="000000"/>
                <w:sz w:val="20"/>
                <w:szCs w:val="20"/>
                <w:vertAlign w:val="superscript"/>
              </w:rPr>
              <w:t>1</w:t>
            </w:r>
          </w:p>
          <w:p w14:paraId="469F6150" w14:textId="11239E85" w:rsidR="00322742" w:rsidRPr="000570F7" w:rsidRDefault="00322742" w:rsidP="000523F7">
            <w:pPr>
              <w:keepNext/>
              <w:keepLines/>
              <w:spacing w:before="0" w:after="0" w:line="240" w:lineRule="auto"/>
              <w:jc w:val="center"/>
              <w:rPr>
                <w:rFonts w:ascii="Arial Narrow" w:hAnsi="Arial Narrow"/>
                <w:sz w:val="20"/>
                <w:szCs w:val="20"/>
              </w:rPr>
            </w:pPr>
          </w:p>
        </w:tc>
        <w:tc>
          <w:tcPr>
            <w:tcW w:w="1062" w:type="dxa"/>
            <w:tcBorders>
              <w:top w:val="single" w:sz="4" w:space="0" w:color="auto"/>
              <w:left w:val="nil"/>
              <w:bottom w:val="single" w:sz="4" w:space="0" w:color="auto"/>
              <w:right w:val="single" w:sz="4" w:space="0" w:color="auto"/>
            </w:tcBorders>
            <w:noWrap/>
            <w:vAlign w:val="center"/>
          </w:tcPr>
          <w:p w14:paraId="7163A3FE" w14:textId="77777777" w:rsidR="007219D6" w:rsidRDefault="007219D6" w:rsidP="007219D6">
            <w:pPr>
              <w:spacing w:before="0" w:after="0" w:line="240" w:lineRule="auto"/>
              <w:jc w:val="center"/>
              <w:rPr>
                <w:rFonts w:ascii="Arial Narrow" w:hAnsi="Arial Narrow" w:cs="Arial"/>
                <w:color w:val="000000"/>
                <w:sz w:val="20"/>
                <w:szCs w:val="20"/>
                <w:vertAlign w:val="superscript"/>
              </w:rPr>
            </w:pPr>
            <w:r w:rsidRPr="001B17EC">
              <w:rPr>
                <w:rFonts w:ascii="Arial Narrow" w:hAnsi="Arial Narrow" w:cs="Arial"/>
                <w:b/>
                <w:bCs/>
                <w:color w:val="000000"/>
                <w:sz w:val="20"/>
                <w:szCs w:val="20"/>
              </w:rPr>
              <w:t>Redacted</w:t>
            </w:r>
            <w:r>
              <w:rPr>
                <w:rFonts w:ascii="Arial Narrow" w:hAnsi="Arial Narrow" w:cs="Arial"/>
                <w:color w:val="000000"/>
                <w:sz w:val="20"/>
                <w:szCs w:val="20"/>
                <w:vertAlign w:val="superscript"/>
              </w:rPr>
              <w:t>1</w:t>
            </w:r>
          </w:p>
          <w:p w14:paraId="6B652522" w14:textId="7126E14D" w:rsidR="00322742" w:rsidRPr="000570F7" w:rsidRDefault="00322742" w:rsidP="000523F7">
            <w:pPr>
              <w:keepNext/>
              <w:keepLines/>
              <w:spacing w:before="0" w:after="0" w:line="240" w:lineRule="auto"/>
              <w:jc w:val="center"/>
              <w:rPr>
                <w:rFonts w:ascii="Arial Narrow" w:hAnsi="Arial Narrow"/>
                <w:sz w:val="20"/>
                <w:szCs w:val="20"/>
              </w:rPr>
            </w:pPr>
          </w:p>
        </w:tc>
        <w:tc>
          <w:tcPr>
            <w:tcW w:w="1062" w:type="dxa"/>
            <w:tcBorders>
              <w:top w:val="single" w:sz="4" w:space="0" w:color="auto"/>
              <w:left w:val="nil"/>
              <w:bottom w:val="single" w:sz="4" w:space="0" w:color="auto"/>
              <w:right w:val="single" w:sz="4" w:space="0" w:color="auto"/>
            </w:tcBorders>
            <w:noWrap/>
            <w:vAlign w:val="center"/>
          </w:tcPr>
          <w:p w14:paraId="7FE8B0D3" w14:textId="77777777" w:rsidR="007219D6" w:rsidRDefault="007219D6" w:rsidP="007219D6">
            <w:pPr>
              <w:spacing w:before="0" w:after="0" w:line="240" w:lineRule="auto"/>
              <w:jc w:val="center"/>
              <w:rPr>
                <w:rFonts w:ascii="Arial Narrow" w:hAnsi="Arial Narrow" w:cs="Arial"/>
                <w:color w:val="000000"/>
                <w:sz w:val="20"/>
                <w:szCs w:val="20"/>
                <w:vertAlign w:val="superscript"/>
              </w:rPr>
            </w:pPr>
            <w:r w:rsidRPr="001B17EC">
              <w:rPr>
                <w:rFonts w:ascii="Arial Narrow" w:hAnsi="Arial Narrow" w:cs="Arial"/>
                <w:b/>
                <w:bCs/>
                <w:color w:val="000000"/>
                <w:sz w:val="20"/>
                <w:szCs w:val="20"/>
              </w:rPr>
              <w:t>Redacted</w:t>
            </w:r>
            <w:r>
              <w:rPr>
                <w:rFonts w:ascii="Arial Narrow" w:hAnsi="Arial Narrow" w:cs="Arial"/>
                <w:color w:val="000000"/>
                <w:sz w:val="20"/>
                <w:szCs w:val="20"/>
                <w:vertAlign w:val="superscript"/>
              </w:rPr>
              <w:t>1</w:t>
            </w:r>
          </w:p>
          <w:p w14:paraId="224E78D9" w14:textId="029335B9" w:rsidR="00322742" w:rsidRPr="000570F7" w:rsidRDefault="00322742" w:rsidP="000523F7">
            <w:pPr>
              <w:keepNext/>
              <w:keepLines/>
              <w:spacing w:before="0" w:after="0" w:line="240" w:lineRule="auto"/>
              <w:jc w:val="center"/>
              <w:rPr>
                <w:rFonts w:ascii="Arial Narrow" w:hAnsi="Arial Narrow"/>
                <w:sz w:val="20"/>
                <w:szCs w:val="20"/>
              </w:rPr>
            </w:pPr>
          </w:p>
        </w:tc>
        <w:tc>
          <w:tcPr>
            <w:tcW w:w="1062" w:type="dxa"/>
            <w:tcBorders>
              <w:top w:val="single" w:sz="4" w:space="0" w:color="auto"/>
              <w:left w:val="nil"/>
              <w:bottom w:val="single" w:sz="4" w:space="0" w:color="auto"/>
              <w:right w:val="single" w:sz="4" w:space="0" w:color="auto"/>
            </w:tcBorders>
            <w:noWrap/>
            <w:vAlign w:val="center"/>
          </w:tcPr>
          <w:p w14:paraId="3C0819B6" w14:textId="77777777" w:rsidR="007219D6" w:rsidRDefault="007219D6" w:rsidP="007219D6">
            <w:pPr>
              <w:spacing w:before="0" w:after="0" w:line="240" w:lineRule="auto"/>
              <w:jc w:val="center"/>
              <w:rPr>
                <w:rFonts w:ascii="Arial Narrow" w:hAnsi="Arial Narrow" w:cs="Arial"/>
                <w:color w:val="000000"/>
                <w:sz w:val="20"/>
                <w:szCs w:val="20"/>
                <w:vertAlign w:val="superscript"/>
              </w:rPr>
            </w:pPr>
            <w:r w:rsidRPr="001B17EC">
              <w:rPr>
                <w:rFonts w:ascii="Arial Narrow" w:hAnsi="Arial Narrow" w:cs="Arial"/>
                <w:b/>
                <w:bCs/>
                <w:color w:val="000000"/>
                <w:sz w:val="20"/>
                <w:szCs w:val="20"/>
              </w:rPr>
              <w:t>Redacted</w:t>
            </w:r>
            <w:r>
              <w:rPr>
                <w:rFonts w:ascii="Arial Narrow" w:hAnsi="Arial Narrow" w:cs="Arial"/>
                <w:color w:val="000000"/>
                <w:sz w:val="20"/>
                <w:szCs w:val="20"/>
                <w:vertAlign w:val="superscript"/>
              </w:rPr>
              <w:t>1</w:t>
            </w:r>
          </w:p>
          <w:p w14:paraId="377EDB19" w14:textId="35327FAB" w:rsidR="00322742" w:rsidRPr="000570F7" w:rsidRDefault="00322742" w:rsidP="000523F7">
            <w:pPr>
              <w:keepNext/>
              <w:keepLines/>
              <w:spacing w:before="0" w:after="0" w:line="240" w:lineRule="auto"/>
              <w:jc w:val="center"/>
              <w:rPr>
                <w:rFonts w:ascii="Arial Narrow" w:hAnsi="Arial Narrow"/>
                <w:sz w:val="20"/>
                <w:szCs w:val="20"/>
              </w:rPr>
            </w:pPr>
          </w:p>
        </w:tc>
        <w:tc>
          <w:tcPr>
            <w:tcW w:w="1062" w:type="dxa"/>
            <w:tcBorders>
              <w:top w:val="single" w:sz="4" w:space="0" w:color="auto"/>
              <w:left w:val="nil"/>
              <w:bottom w:val="single" w:sz="4" w:space="0" w:color="auto"/>
              <w:right w:val="single" w:sz="4" w:space="0" w:color="auto"/>
            </w:tcBorders>
            <w:noWrap/>
            <w:vAlign w:val="center"/>
          </w:tcPr>
          <w:p w14:paraId="6D0E5F3D" w14:textId="77777777" w:rsidR="007219D6" w:rsidRDefault="007219D6" w:rsidP="007219D6">
            <w:pPr>
              <w:spacing w:before="0" w:after="0" w:line="240" w:lineRule="auto"/>
              <w:jc w:val="center"/>
              <w:rPr>
                <w:rFonts w:ascii="Arial Narrow" w:hAnsi="Arial Narrow" w:cs="Arial"/>
                <w:color w:val="000000"/>
                <w:sz w:val="20"/>
                <w:szCs w:val="20"/>
                <w:vertAlign w:val="superscript"/>
              </w:rPr>
            </w:pPr>
            <w:r w:rsidRPr="001B17EC">
              <w:rPr>
                <w:rFonts w:ascii="Arial Narrow" w:hAnsi="Arial Narrow" w:cs="Arial"/>
                <w:b/>
                <w:bCs/>
                <w:color w:val="000000"/>
                <w:sz w:val="20"/>
                <w:szCs w:val="20"/>
              </w:rPr>
              <w:t>Redacted</w:t>
            </w:r>
            <w:r>
              <w:rPr>
                <w:rFonts w:ascii="Arial Narrow" w:hAnsi="Arial Narrow" w:cs="Arial"/>
                <w:color w:val="000000"/>
                <w:sz w:val="20"/>
                <w:szCs w:val="20"/>
                <w:vertAlign w:val="superscript"/>
              </w:rPr>
              <w:t>1</w:t>
            </w:r>
          </w:p>
          <w:p w14:paraId="18A825C0" w14:textId="29E225DA" w:rsidR="00322742" w:rsidRPr="000570F7" w:rsidRDefault="00322742" w:rsidP="000523F7">
            <w:pPr>
              <w:keepNext/>
              <w:keepLines/>
              <w:spacing w:before="0" w:after="0" w:line="240" w:lineRule="auto"/>
              <w:jc w:val="center"/>
              <w:rPr>
                <w:rFonts w:ascii="Arial Narrow" w:hAnsi="Arial Narrow"/>
                <w:sz w:val="20"/>
                <w:szCs w:val="20"/>
              </w:rPr>
            </w:pPr>
          </w:p>
        </w:tc>
      </w:tr>
    </w:tbl>
    <w:p w14:paraId="5CDA77B1" w14:textId="2B2BF200" w:rsidR="00D9178E" w:rsidRDefault="00FF0D76" w:rsidP="000523F7">
      <w:pPr>
        <w:pStyle w:val="TableFooter"/>
        <w:keepNext/>
        <w:keepLines/>
        <w:jc w:val="left"/>
        <w:rPr>
          <w:szCs w:val="18"/>
        </w:rPr>
      </w:pPr>
      <w:r w:rsidRPr="000570F7">
        <w:rPr>
          <w:szCs w:val="18"/>
        </w:rPr>
        <w:t>Abbreviations</w:t>
      </w:r>
      <w:r w:rsidRPr="006D2219">
        <w:rPr>
          <w:szCs w:val="18"/>
          <w:vertAlign w:val="superscript"/>
        </w:rPr>
        <w:t xml:space="preserve">: </w:t>
      </w:r>
      <w:r w:rsidRPr="008915F6">
        <w:rPr>
          <w:szCs w:val="18"/>
        </w:rPr>
        <w:t>CUP = Cancer of unknown primary</w:t>
      </w:r>
      <w:r w:rsidR="00B43A5B">
        <w:rPr>
          <w:szCs w:val="18"/>
        </w:rPr>
        <w:t xml:space="preserve">; </w:t>
      </w:r>
      <w:r w:rsidR="00B43A5B" w:rsidRPr="008915F6">
        <w:rPr>
          <w:i/>
          <w:iCs/>
          <w:szCs w:val="18"/>
        </w:rPr>
        <w:t>FGFR2</w:t>
      </w:r>
      <w:r w:rsidR="00B43A5B" w:rsidRPr="008915F6">
        <w:rPr>
          <w:szCs w:val="18"/>
        </w:rPr>
        <w:t xml:space="preserve"> = fibroblast growth factor receptor 2; OCT = optical coherence tomography</w:t>
      </w:r>
      <w:r w:rsidRPr="00B43A5B">
        <w:rPr>
          <w:szCs w:val="18"/>
          <w:vertAlign w:val="superscript"/>
        </w:rPr>
        <w:br/>
      </w:r>
      <w:r w:rsidR="005332DC" w:rsidRPr="008915F6">
        <w:rPr>
          <w:szCs w:val="18"/>
          <w:vertAlign w:val="superscript"/>
        </w:rPr>
        <w:t>a</w:t>
      </w:r>
      <w:r>
        <w:rPr>
          <w:szCs w:val="18"/>
          <w:vertAlign w:val="superscript"/>
        </w:rPr>
        <w:t xml:space="preserve"> </w:t>
      </w:r>
      <w:r w:rsidR="005332DC" w:rsidRPr="008915F6">
        <w:rPr>
          <w:szCs w:val="18"/>
        </w:rPr>
        <w:t>Note that these analyses are based on the revised financial base case</w:t>
      </w:r>
      <w:r w:rsidR="005332DC">
        <w:rPr>
          <w:szCs w:val="18"/>
        </w:rPr>
        <w:t xml:space="preserve"> calculations</w:t>
      </w:r>
      <w:r w:rsidR="005332DC" w:rsidRPr="008915F6">
        <w:rPr>
          <w:szCs w:val="18"/>
        </w:rPr>
        <w:t xml:space="preserve"> conducted by the department</w:t>
      </w:r>
      <w:r w:rsidR="00107B09">
        <w:rPr>
          <w:szCs w:val="18"/>
        </w:rPr>
        <w:t xml:space="preserve"> (</w:t>
      </w:r>
      <w:r w:rsidR="00107B09">
        <w:rPr>
          <w:szCs w:val="18"/>
        </w:rPr>
        <w:fldChar w:fldCharType="begin"/>
      </w:r>
      <w:r w:rsidR="00107B09">
        <w:rPr>
          <w:szCs w:val="18"/>
        </w:rPr>
        <w:instrText xml:space="preserve"> REF _Ref213250657 \h </w:instrText>
      </w:r>
      <w:r w:rsidR="00107B09">
        <w:rPr>
          <w:szCs w:val="18"/>
        </w:rPr>
      </w:r>
      <w:r w:rsidR="00107B09">
        <w:rPr>
          <w:szCs w:val="18"/>
        </w:rPr>
        <w:fldChar w:fldCharType="separate"/>
      </w:r>
      <w:r w:rsidR="00107B09">
        <w:t xml:space="preserve">Table </w:t>
      </w:r>
      <w:r w:rsidR="00107B09">
        <w:rPr>
          <w:noProof/>
        </w:rPr>
        <w:t>5</w:t>
      </w:r>
      <w:r w:rsidR="00107B09">
        <w:rPr>
          <w:szCs w:val="18"/>
        </w:rPr>
        <w:fldChar w:fldCharType="end"/>
      </w:r>
      <w:r w:rsidR="00107B09">
        <w:rPr>
          <w:szCs w:val="18"/>
        </w:rPr>
        <w:t>)</w:t>
      </w:r>
      <w:r w:rsidR="007E0375">
        <w:rPr>
          <w:szCs w:val="18"/>
        </w:rPr>
        <w:t>. Net cost to the MBS</w:t>
      </w:r>
      <w:r w:rsidR="00B539AF">
        <w:rPr>
          <w:szCs w:val="18"/>
        </w:rPr>
        <w:t xml:space="preserve"> is </w:t>
      </w:r>
      <w:r w:rsidR="00A5262F">
        <w:rPr>
          <w:szCs w:val="18"/>
        </w:rPr>
        <w:t>inclusive of OCT and offset from reduction in FOLFOX administration</w:t>
      </w:r>
      <w:r w:rsidR="007E0375">
        <w:rPr>
          <w:szCs w:val="18"/>
        </w:rPr>
        <w:t>.</w:t>
      </w:r>
      <w:r>
        <w:rPr>
          <w:szCs w:val="18"/>
        </w:rPr>
        <w:br/>
      </w:r>
      <w:r w:rsidRPr="008915F6">
        <w:rPr>
          <w:szCs w:val="18"/>
          <w:vertAlign w:val="superscript"/>
        </w:rPr>
        <w:t xml:space="preserve">b </w:t>
      </w:r>
      <w:r w:rsidRPr="008915F6">
        <w:rPr>
          <w:szCs w:val="18"/>
        </w:rPr>
        <w:t xml:space="preserve">A fee of $460 applied in the financial analysis ($800 - $340 [MBS fee for </w:t>
      </w:r>
      <w:r w:rsidRPr="008915F6">
        <w:rPr>
          <w:i/>
          <w:iCs/>
          <w:szCs w:val="18"/>
        </w:rPr>
        <w:t>IDH1</w:t>
      </w:r>
      <w:r w:rsidRPr="008915F6">
        <w:rPr>
          <w:szCs w:val="18"/>
        </w:rPr>
        <w:t xml:space="preserve"> testing, MBS</w:t>
      </w:r>
      <w:r w:rsidR="00D9178E">
        <w:rPr>
          <w:szCs w:val="18"/>
        </w:rPr>
        <w:t xml:space="preserve"> item</w:t>
      </w:r>
      <w:r w:rsidRPr="008915F6">
        <w:rPr>
          <w:szCs w:val="18"/>
        </w:rPr>
        <w:t xml:space="preserve"> 73319])</w:t>
      </w:r>
      <w:r w:rsidR="005C0C49">
        <w:rPr>
          <w:szCs w:val="18"/>
        </w:rPr>
        <w:t>, assuming 80% rebate</w:t>
      </w:r>
    </w:p>
    <w:p w14:paraId="7E369DC3" w14:textId="414C754C" w:rsidR="005332DC" w:rsidRDefault="00AD67B6" w:rsidP="000523F7">
      <w:pPr>
        <w:pStyle w:val="TableFooter"/>
        <w:keepNext/>
        <w:keepLines/>
        <w:jc w:val="left"/>
      </w:pPr>
      <w:r>
        <w:rPr>
          <w:szCs w:val="18"/>
          <w:vertAlign w:val="superscript"/>
        </w:rPr>
        <w:t>c</w:t>
      </w:r>
      <w:r w:rsidR="00D9178E" w:rsidRPr="008915F6">
        <w:rPr>
          <w:szCs w:val="18"/>
          <w:vertAlign w:val="superscript"/>
        </w:rPr>
        <w:t xml:space="preserve"> </w:t>
      </w:r>
      <w:r w:rsidR="00D9178E" w:rsidRPr="008915F6">
        <w:rPr>
          <w:szCs w:val="18"/>
        </w:rPr>
        <w:t>A fee of $</w:t>
      </w:r>
      <w:r w:rsidR="00D9178E">
        <w:rPr>
          <w:szCs w:val="18"/>
        </w:rPr>
        <w:t>340</w:t>
      </w:r>
      <w:r w:rsidR="00D9178E" w:rsidRPr="008915F6">
        <w:rPr>
          <w:szCs w:val="18"/>
        </w:rPr>
        <w:t xml:space="preserve"> applied in the financial analysis ($</w:t>
      </w:r>
      <w:r w:rsidR="00D9178E">
        <w:rPr>
          <w:szCs w:val="18"/>
        </w:rPr>
        <w:t>680</w:t>
      </w:r>
      <w:r w:rsidR="00D9178E" w:rsidRPr="008915F6">
        <w:rPr>
          <w:szCs w:val="18"/>
        </w:rPr>
        <w:t xml:space="preserve"> - $340 [MBS fee for </w:t>
      </w:r>
      <w:r w:rsidR="00D9178E" w:rsidRPr="008915F6">
        <w:rPr>
          <w:i/>
          <w:iCs/>
          <w:szCs w:val="18"/>
        </w:rPr>
        <w:t>IDH1</w:t>
      </w:r>
      <w:r w:rsidR="00D9178E" w:rsidRPr="008915F6">
        <w:rPr>
          <w:szCs w:val="18"/>
        </w:rPr>
        <w:t xml:space="preserve"> testing, MBS</w:t>
      </w:r>
      <w:r w:rsidR="00D9178E">
        <w:rPr>
          <w:szCs w:val="18"/>
        </w:rPr>
        <w:t xml:space="preserve"> item</w:t>
      </w:r>
      <w:r w:rsidR="00D9178E" w:rsidRPr="008915F6">
        <w:rPr>
          <w:szCs w:val="18"/>
        </w:rPr>
        <w:t xml:space="preserve"> 73319])</w:t>
      </w:r>
      <w:r w:rsidR="00D9178E">
        <w:rPr>
          <w:szCs w:val="18"/>
        </w:rPr>
        <w:t>, assuming 80% rebate</w:t>
      </w:r>
      <w:r w:rsidR="008915F6">
        <w:rPr>
          <w:szCs w:val="18"/>
        </w:rPr>
        <w:br/>
      </w:r>
      <w:r w:rsidR="008915F6">
        <w:t>Source: Compiled for the department</w:t>
      </w:r>
      <w:r w:rsidR="00AF6BA9">
        <w:t>al</w:t>
      </w:r>
      <w:r w:rsidR="008915F6">
        <w:t xml:space="preserve"> overview</w:t>
      </w:r>
    </w:p>
    <w:p w14:paraId="16149E10" w14:textId="77777777" w:rsidR="00DD4736" w:rsidRDefault="00DD4736" w:rsidP="00DD4736">
      <w:pPr>
        <w:pStyle w:val="TableFooter"/>
        <w:rPr>
          <w:i/>
          <w:iCs/>
          <w:snapToGrid w:val="0"/>
          <w:color w:val="0D0D0D"/>
          <w:szCs w:val="18"/>
          <w:lang w:eastAsia="en-AU"/>
        </w:rPr>
      </w:pPr>
      <w:r w:rsidRPr="00F65B8B">
        <w:rPr>
          <w:i/>
          <w:iCs/>
          <w:snapToGrid w:val="0"/>
          <w:color w:val="0D0D0D"/>
          <w:szCs w:val="18"/>
          <w:lang w:eastAsia="en-AU"/>
        </w:rPr>
        <w:t>The redacted values correspond to the following ranges:</w:t>
      </w:r>
    </w:p>
    <w:p w14:paraId="773B9F67" w14:textId="766D0F58" w:rsidR="00DD4736" w:rsidRPr="000523F7" w:rsidRDefault="00DD4736" w:rsidP="0031094A">
      <w:pPr>
        <w:pStyle w:val="TableFooter"/>
        <w:spacing w:after="0"/>
      </w:pPr>
      <w:r>
        <w:rPr>
          <w:i/>
          <w:iCs/>
          <w:snapToGrid w:val="0"/>
          <w:color w:val="0D0D0D"/>
          <w:szCs w:val="18"/>
          <w:vertAlign w:val="superscript"/>
          <w:lang w:eastAsia="en-AU"/>
        </w:rPr>
        <w:t>1</w:t>
      </w:r>
      <w:r w:rsidRPr="00F65B8B">
        <w:rPr>
          <w:i/>
          <w:iCs/>
          <w:snapToGrid w:val="0"/>
          <w:color w:val="0D0D0D"/>
          <w:szCs w:val="18"/>
          <w:lang w:eastAsia="en-AU"/>
        </w:rPr>
        <w:t>$0 to &lt; $10 million</w:t>
      </w:r>
    </w:p>
    <w:p w14:paraId="7838A9FF" w14:textId="2297F2DB" w:rsidR="00772829" w:rsidRPr="00CE28E3" w:rsidRDefault="00B27795" w:rsidP="002A18BE">
      <w:pPr>
        <w:pStyle w:val="Heading2"/>
        <w:numPr>
          <w:ilvl w:val="0"/>
          <w:numId w:val="0"/>
        </w:numPr>
      </w:pPr>
      <w:bookmarkStart w:id="33" w:name="_Toc69491427"/>
      <w:r>
        <w:t>1</w:t>
      </w:r>
      <w:r w:rsidR="000523F7">
        <w:t>5</w:t>
      </w:r>
      <w:r w:rsidR="00C36633">
        <w:t>.</w:t>
      </w:r>
      <w:r w:rsidR="00C36633">
        <w:tab/>
      </w:r>
      <w:r w:rsidR="00772829" w:rsidRPr="00CE28E3">
        <w:t xml:space="preserve">Other relevant </w:t>
      </w:r>
      <w:bookmarkEnd w:id="33"/>
      <w:r w:rsidR="00FA5766">
        <w:t>information</w:t>
      </w:r>
    </w:p>
    <w:p w14:paraId="01B2A9FA" w14:textId="2869CD89" w:rsidR="00772829" w:rsidRDefault="00E208A5">
      <w:r>
        <w:t>Nil</w:t>
      </w:r>
      <w:r w:rsidR="00BA3E28">
        <w:t>.</w:t>
      </w:r>
    </w:p>
    <w:p w14:paraId="155A2744" w14:textId="08C71BD4" w:rsidR="000523F7" w:rsidRPr="00A737D1" w:rsidRDefault="000523F7" w:rsidP="000523F7">
      <w:pPr>
        <w:pStyle w:val="Heading2"/>
        <w:numPr>
          <w:ilvl w:val="0"/>
          <w:numId w:val="0"/>
        </w:numPr>
      </w:pPr>
      <w:bookmarkStart w:id="34" w:name="_Hlk213745948"/>
      <w:r>
        <w:t>16.</w:t>
      </w:r>
      <w:r>
        <w:tab/>
      </w:r>
      <w:r w:rsidRPr="003A793E">
        <w:t>Applicant comments on MSAC’s Public Summary Document</w:t>
      </w:r>
    </w:p>
    <w:p w14:paraId="3EA12668" w14:textId="1E6C0772" w:rsidR="000523F7" w:rsidRPr="00782154" w:rsidRDefault="00782154" w:rsidP="002E2615">
      <w:pPr>
        <w:spacing w:after="240"/>
      </w:pPr>
      <w:r w:rsidRPr="00782154">
        <w:t>Nil.</w:t>
      </w:r>
    </w:p>
    <w:p w14:paraId="474B414B" w14:textId="07781936" w:rsidR="000523F7" w:rsidRPr="00A737D1" w:rsidRDefault="000523F7" w:rsidP="000523F7">
      <w:pPr>
        <w:pStyle w:val="Heading2"/>
        <w:numPr>
          <w:ilvl w:val="0"/>
          <w:numId w:val="0"/>
        </w:numPr>
      </w:pPr>
      <w:r>
        <w:t>17.</w:t>
      </w:r>
      <w:r>
        <w:tab/>
      </w:r>
      <w:r w:rsidRPr="003A793E">
        <w:t>Further information on MSAC</w:t>
      </w:r>
    </w:p>
    <w:p w14:paraId="6562AB7F" w14:textId="256BF1A1" w:rsidR="000523F7" w:rsidRPr="000523F7" w:rsidRDefault="000523F7" w:rsidP="000523F7">
      <w:pPr>
        <w:pStyle w:val="BodyText"/>
        <w:rPr>
          <w:rFonts w:ascii="Franklin Gothic Book" w:hAnsi="Franklin Gothic Book"/>
          <w:sz w:val="22"/>
          <w:szCs w:val="22"/>
        </w:rPr>
      </w:pPr>
      <w:r w:rsidRPr="0018750D">
        <w:rPr>
          <w:rFonts w:ascii="Franklin Gothic Book" w:hAnsi="Franklin Gothic Book"/>
          <w:bCs/>
          <w:iCs/>
          <w:sz w:val="22"/>
          <w:szCs w:val="22"/>
        </w:rPr>
        <w:t xml:space="preserve">MSAC Terms of Reference and other information are available on the MSAC Website: </w:t>
      </w:r>
      <w:hyperlink r:id="rId12" w:tooltip="Link to the MSAC website" w:history="1">
        <w:r w:rsidRPr="0018750D">
          <w:rPr>
            <w:rStyle w:val="Hyperlink"/>
            <w:rFonts w:ascii="Franklin Gothic Book" w:hAnsi="Franklin Gothic Book"/>
            <w:iCs/>
            <w:color w:val="007BB8"/>
            <w:sz w:val="22"/>
            <w:szCs w:val="22"/>
          </w:rPr>
          <w:t>visit the MSAC website</w:t>
        </w:r>
      </w:hyperlink>
      <w:bookmarkEnd w:id="34"/>
    </w:p>
    <w:sectPr w:rsidR="000523F7" w:rsidRPr="000523F7" w:rsidSect="00784341">
      <w:headerReference w:type="even" r:id="rId13"/>
      <w:headerReference w:type="default" r:id="rId14"/>
      <w:footerReference w:type="even" r:id="rId15"/>
      <w:footerReference w:type="default" r:id="rId16"/>
      <w:headerReference w:type="first" r:id="rId17"/>
      <w:footerReference w:type="first" r:id="rId18"/>
      <w:type w:val="oddPag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A3FEC" w14:textId="77777777" w:rsidR="00064943" w:rsidRDefault="00064943" w:rsidP="00B62DF2">
      <w:pPr>
        <w:spacing w:after="0" w:line="240" w:lineRule="auto"/>
      </w:pPr>
      <w:r>
        <w:separator/>
      </w:r>
    </w:p>
  </w:endnote>
  <w:endnote w:type="continuationSeparator" w:id="0">
    <w:p w14:paraId="2FF24C0E" w14:textId="77777777" w:rsidR="00064943" w:rsidRDefault="00064943" w:rsidP="00B62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altName w:val="Arial"/>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ontserrat">
    <w:altName w:val="Calibri"/>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9286E" w14:textId="50E1B19D" w:rsidR="005947B5" w:rsidRDefault="00BE6845" w:rsidP="000523F7">
    <w:pPr>
      <w:pStyle w:val="Footer"/>
      <w:jc w:val="right"/>
    </w:pPr>
    <w:r>
      <w:rPr>
        <w:noProof/>
      </w:rPr>
      <mc:AlternateContent>
        <mc:Choice Requires="wps">
          <w:drawing>
            <wp:anchor distT="0" distB="0" distL="0" distR="0" simplePos="0" relativeHeight="251658244" behindDoc="0" locked="0" layoutInCell="1" allowOverlap="1" wp14:anchorId="7D67C5C6" wp14:editId="338EB3A2">
              <wp:simplePos x="635" y="635"/>
              <wp:positionH relativeFrom="page">
                <wp:align>center</wp:align>
              </wp:positionH>
              <wp:positionV relativeFrom="page">
                <wp:align>bottom</wp:align>
              </wp:positionV>
              <wp:extent cx="622300" cy="467360"/>
              <wp:effectExtent l="0" t="0" r="6350" b="0"/>
              <wp:wrapNone/>
              <wp:docPr id="199101566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67360"/>
                      </a:xfrm>
                      <a:prstGeom prst="rect">
                        <a:avLst/>
                      </a:prstGeom>
                      <a:noFill/>
                      <a:ln>
                        <a:noFill/>
                      </a:ln>
                    </wps:spPr>
                    <wps:txbx>
                      <w:txbxContent>
                        <w:p w14:paraId="5B7864F2" w14:textId="34C57188" w:rsidR="00BE6845" w:rsidRPr="00BE6845" w:rsidRDefault="00BE6845" w:rsidP="00BE6845">
                          <w:pPr>
                            <w:spacing w:after="0"/>
                            <w:rPr>
                              <w:rFonts w:ascii="Aptos" w:eastAsia="Aptos" w:hAnsi="Aptos" w:cs="Aptos"/>
                              <w:noProof/>
                              <w:color w:val="FF0000"/>
                              <w:sz w:val="24"/>
                              <w:szCs w:val="24"/>
                            </w:rPr>
                          </w:pPr>
                          <w:r w:rsidRPr="00BE6845">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67C5C6"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36.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dtUDgIAABwEAAAOAAAAZHJzL2Uyb0RvYy54bWysU02P0zAQvSPxHyzfadIuFIiarsquipCq&#10;3ZW6aM+O4zSRbI81dpuUX8/YbVpYOCEuzmRmPB/vPS9uB6PZQaHvwJZ8Osk5U1ZC3dldyb8/r999&#10;4swHYWuhwaqSH5Xnt8u3bxa9K9QMWtC1QkZFrC96V/I2BFdkmZetMsJPwClLwQbQiEC/uMtqFD1V&#10;Nzqb5fk86wFrhyCV9+S9PwX5MtVvGiXDY9N4FZguOc0W0onprOKZLRei2KFwbSfPY4h/mMKIzlLT&#10;S6l7EQTbY/dHKdNJBA9NmEgwGTRNJ1XagbaZ5q+22bbCqbQLgePdBSb//8rKh8PWPSELwxcYiMAI&#10;SO984ckZ9xkaNPFLkzKKE4THC2xqCEyScz6b3eQUkRR6P/94M0+wZtfLDn34qsCwaJQciZUEljhs&#10;fKCGlDqmxF4W1p3WiRltf3NQYvRk1wmjFYZqYF1d8tk4fQX1kZZCOPHtnVx31HojfHgSSATTtCTa&#10;8EhHo6EvOZwtzlrAH3/zx3zCnaKc9SSYkltSNGf6myU+orZGA0ejSsb0c/4hwmP35g5IhlN6EU4m&#10;k7wY9Gg2COaF5LyKjSgkrKR2Ja9G8y6clEvPQarVKiWRjJwIG7t1MpaOcEUsn4cXge4MeCCmHmBU&#10;kyhe4X7KjTe9W+0DoZ9IidCegDwjThJMXJ2fS9T4r/8p6/qolz8BAAD//wMAUEsDBBQABgAIAAAA&#10;IQCQpICC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4DWdgSxyec9e/AAAAP//AwBQSwECLQAUAAYACAAAACEAtoM4kv4AAADhAQAAEwAAAAAA&#10;AAAAAAAAAAAAAAAAW0NvbnRlbnRfVHlwZXNdLnhtbFBLAQItABQABgAIAAAAIQA4/SH/1gAAAJQB&#10;AAALAAAAAAAAAAAAAAAAAC8BAABfcmVscy8ucmVsc1BLAQItABQABgAIAAAAIQA8DdtUDgIAABwE&#10;AAAOAAAAAAAAAAAAAAAAAC4CAABkcnMvZTJvRG9jLnhtbFBLAQItABQABgAIAAAAIQCQpICC2gAA&#10;AAMBAAAPAAAAAAAAAAAAAAAAAGgEAABkcnMvZG93bnJldi54bWxQSwUGAAAAAAQABADzAAAAbwUA&#10;AAAA&#10;" filled="f" stroked="f">
              <v:textbox style="mso-fit-shape-to-text:t" inset="0,0,0,15pt">
                <w:txbxContent>
                  <w:p w14:paraId="5B7864F2" w14:textId="34C57188" w:rsidR="00BE6845" w:rsidRPr="00BE6845" w:rsidRDefault="00BE6845" w:rsidP="00BE6845">
                    <w:pPr>
                      <w:spacing w:after="0"/>
                      <w:rPr>
                        <w:rFonts w:ascii="Aptos" w:eastAsia="Aptos" w:hAnsi="Aptos" w:cs="Aptos"/>
                        <w:noProof/>
                        <w:color w:val="FF0000"/>
                        <w:sz w:val="24"/>
                        <w:szCs w:val="24"/>
                      </w:rPr>
                    </w:pPr>
                    <w:r w:rsidRPr="00BE6845">
                      <w:rPr>
                        <w:rFonts w:ascii="Aptos" w:eastAsia="Aptos" w:hAnsi="Aptos" w:cs="Aptos"/>
                        <w:noProof/>
                        <w:color w:val="FF0000"/>
                        <w:sz w:val="24"/>
                        <w:szCs w:val="24"/>
                      </w:rPr>
                      <w:t>OFFICIAL</w:t>
                    </w:r>
                  </w:p>
                </w:txbxContent>
              </v:textbox>
              <w10:wrap anchorx="page" anchory="page"/>
            </v:shape>
          </w:pict>
        </mc:Fallback>
      </mc:AlternateContent>
    </w:r>
    <w:sdt>
      <w:sdtPr>
        <w:id w:val="1925460831"/>
        <w:docPartObj>
          <w:docPartGallery w:val="Page Numbers (Bottom of Page)"/>
          <w:docPartUnique/>
        </w:docPartObj>
      </w:sdtPr>
      <w:sdtEndPr>
        <w:rPr>
          <w:noProof/>
        </w:rPr>
      </w:sdtEndPr>
      <w:sdtContent>
        <w:r w:rsidR="005947B5">
          <w:fldChar w:fldCharType="begin"/>
        </w:r>
        <w:r w:rsidR="005947B5">
          <w:instrText xml:space="preserve"> PAGE   \* MERGEFORMAT </w:instrText>
        </w:r>
        <w:r w:rsidR="005947B5">
          <w:fldChar w:fldCharType="separate"/>
        </w:r>
        <w:r w:rsidR="00120BD3">
          <w:rPr>
            <w:noProof/>
          </w:rPr>
          <w:t>22</w:t>
        </w:r>
        <w:r w:rsidR="005947B5">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F9B6D" w14:textId="58347569" w:rsidR="005947B5" w:rsidRDefault="00BE6845" w:rsidP="000523F7">
    <w:pPr>
      <w:pStyle w:val="Footer"/>
      <w:jc w:val="right"/>
    </w:pPr>
    <w:r>
      <w:rPr>
        <w:noProof/>
      </w:rPr>
      <mc:AlternateContent>
        <mc:Choice Requires="wps">
          <w:drawing>
            <wp:anchor distT="0" distB="0" distL="0" distR="0" simplePos="0" relativeHeight="251658245" behindDoc="0" locked="0" layoutInCell="1" allowOverlap="1" wp14:anchorId="6F89127C" wp14:editId="093B3B13">
              <wp:simplePos x="635" y="635"/>
              <wp:positionH relativeFrom="page">
                <wp:align>center</wp:align>
              </wp:positionH>
              <wp:positionV relativeFrom="page">
                <wp:align>bottom</wp:align>
              </wp:positionV>
              <wp:extent cx="622300" cy="467360"/>
              <wp:effectExtent l="0" t="0" r="6350" b="0"/>
              <wp:wrapNone/>
              <wp:docPr id="48382605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67360"/>
                      </a:xfrm>
                      <a:prstGeom prst="rect">
                        <a:avLst/>
                      </a:prstGeom>
                      <a:noFill/>
                      <a:ln>
                        <a:noFill/>
                      </a:ln>
                    </wps:spPr>
                    <wps:txbx>
                      <w:txbxContent>
                        <w:p w14:paraId="57F2D371" w14:textId="19A6822D" w:rsidR="00BE6845" w:rsidRPr="00BE6845" w:rsidRDefault="00BE6845" w:rsidP="00BE6845">
                          <w:pPr>
                            <w:spacing w:after="0"/>
                            <w:rPr>
                              <w:rFonts w:ascii="Aptos" w:eastAsia="Aptos" w:hAnsi="Aptos" w:cs="Aptos"/>
                              <w:noProof/>
                              <w:color w:val="FF0000"/>
                              <w:sz w:val="24"/>
                              <w:szCs w:val="24"/>
                            </w:rPr>
                          </w:pPr>
                          <w:r w:rsidRPr="00BE6845">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89127C"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36.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mlpDgIAABwEAAAOAAAAZHJzL2Uyb0RvYy54bWysU02P2jAQvVfqf7B8LwnQ0jYirOiuqCqh&#10;3ZXY1Z6N45BItscaGxL66zs2BNrtnqpenMnMeD7ee57f9Eazg0Lfgi35eJRzpqyEqrW7kj8/rT58&#10;4cwHYSuhwaqSH5XnN4v37+adK9QEGtCVQkZFrC86V/ImBFdkmZeNMsKPwClLwRrQiEC/uMsqFB1V&#10;Nzqb5Pks6wArhyCV9+S9OwX5ItWvayXDQ117FZguOc0W0onp3MYzW8xFsUPhmlaexxD/MIURraWm&#10;l1J3Igi2x/avUqaVCB7qMJJgMqjrVqq0A20zzl9ts2mEU2kXAse7C0z+/5WV94eNe0QW+m/QE4ER&#10;kM75wpMz7tPXaOKXJmUUJwiPF9hUH5gk52wymeYUkRT6OPs8nSVYs+tlhz58V2BYNEqOxEoCSxzW&#10;PlBDSh1SYi8Lq1brxIy2fzgoMXqy64TRCv22Z21V8ukw/RaqIy2FcOLbO7lqqfVa+PAokAimaUm0&#10;4YGOWkNXcjhbnDWAP9/yx3zCnaKcdSSYkltSNGf6hyU+orYGAwdjm4zx1/xThMfuzS2QDMf0IpxM&#10;Jnkx6MGsEcwLyXkZG1FIWEntSr4dzNtwUi49B6mWy5REMnIirO3GyVg6whWxfOpfBLoz4IGYuodB&#10;TaJ4hfspN970brkPhH4iJUJ7AvKMOEkwcXV+LlHjv/+nrOujXvwCAAD//wMAUEsDBBQABgAIAAAA&#10;IQCQpICC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4DWdgSxyec9e/AAAAP//AwBQSwECLQAUAAYACAAAACEAtoM4kv4AAADhAQAAEwAAAAAA&#10;AAAAAAAAAAAAAAAAW0NvbnRlbnRfVHlwZXNdLnhtbFBLAQItABQABgAIAAAAIQA4/SH/1gAAAJQB&#10;AAALAAAAAAAAAAAAAAAAAC8BAABfcmVscy8ucmVsc1BLAQItABQABgAIAAAAIQBRsmlpDgIAABwE&#10;AAAOAAAAAAAAAAAAAAAAAC4CAABkcnMvZTJvRG9jLnhtbFBLAQItABQABgAIAAAAIQCQpICC2gAA&#10;AAMBAAAPAAAAAAAAAAAAAAAAAGgEAABkcnMvZG93bnJldi54bWxQSwUGAAAAAAQABADzAAAAbwUA&#10;AAAA&#10;" filled="f" stroked="f">
              <v:textbox style="mso-fit-shape-to-text:t" inset="0,0,0,15pt">
                <w:txbxContent>
                  <w:p w14:paraId="57F2D371" w14:textId="19A6822D" w:rsidR="00BE6845" w:rsidRPr="00BE6845" w:rsidRDefault="00BE6845" w:rsidP="00BE6845">
                    <w:pPr>
                      <w:spacing w:after="0"/>
                      <w:rPr>
                        <w:rFonts w:ascii="Aptos" w:eastAsia="Aptos" w:hAnsi="Aptos" w:cs="Aptos"/>
                        <w:noProof/>
                        <w:color w:val="FF0000"/>
                        <w:sz w:val="24"/>
                        <w:szCs w:val="24"/>
                      </w:rPr>
                    </w:pPr>
                    <w:r w:rsidRPr="00BE6845">
                      <w:rPr>
                        <w:rFonts w:ascii="Aptos" w:eastAsia="Aptos" w:hAnsi="Aptos" w:cs="Aptos"/>
                        <w:noProof/>
                        <w:color w:val="FF0000"/>
                        <w:sz w:val="24"/>
                        <w:szCs w:val="24"/>
                      </w:rPr>
                      <w:t>OFFICIAL</w:t>
                    </w:r>
                  </w:p>
                </w:txbxContent>
              </v:textbox>
              <w10:wrap anchorx="page" anchory="page"/>
            </v:shape>
          </w:pict>
        </mc:Fallback>
      </mc:AlternateContent>
    </w:r>
    <w:sdt>
      <w:sdtPr>
        <w:id w:val="-18244847"/>
        <w:docPartObj>
          <w:docPartGallery w:val="Page Numbers (Bottom of Page)"/>
          <w:docPartUnique/>
        </w:docPartObj>
      </w:sdtPr>
      <w:sdtEndPr>
        <w:rPr>
          <w:noProof/>
        </w:rPr>
      </w:sdtEndPr>
      <w:sdtContent>
        <w:r w:rsidR="005947B5">
          <w:fldChar w:fldCharType="begin"/>
        </w:r>
        <w:r w:rsidR="005947B5">
          <w:instrText xml:space="preserve"> PAGE   \* MERGEFORMAT </w:instrText>
        </w:r>
        <w:r w:rsidR="005947B5">
          <w:fldChar w:fldCharType="separate"/>
        </w:r>
        <w:r w:rsidR="00120BD3">
          <w:rPr>
            <w:noProof/>
          </w:rPr>
          <w:t>21</w:t>
        </w:r>
        <w:r w:rsidR="005947B5">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5544" w14:textId="6E403A59" w:rsidR="00507BA1" w:rsidRDefault="00BE6845">
    <w:pPr>
      <w:pStyle w:val="Footer"/>
    </w:pPr>
    <w:r>
      <w:rPr>
        <w:noProof/>
      </w:rPr>
      <mc:AlternateContent>
        <mc:Choice Requires="wps">
          <w:drawing>
            <wp:anchor distT="0" distB="0" distL="0" distR="0" simplePos="0" relativeHeight="251658243" behindDoc="0" locked="0" layoutInCell="1" allowOverlap="1" wp14:anchorId="310B4A6A" wp14:editId="159A8642">
              <wp:simplePos x="635" y="635"/>
              <wp:positionH relativeFrom="page">
                <wp:align>center</wp:align>
              </wp:positionH>
              <wp:positionV relativeFrom="page">
                <wp:align>bottom</wp:align>
              </wp:positionV>
              <wp:extent cx="622300" cy="467360"/>
              <wp:effectExtent l="0" t="0" r="6350" b="0"/>
              <wp:wrapNone/>
              <wp:docPr id="17122619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67360"/>
                      </a:xfrm>
                      <a:prstGeom prst="rect">
                        <a:avLst/>
                      </a:prstGeom>
                      <a:noFill/>
                      <a:ln>
                        <a:noFill/>
                      </a:ln>
                    </wps:spPr>
                    <wps:txbx>
                      <w:txbxContent>
                        <w:p w14:paraId="449E5D44" w14:textId="0A6CC6A8" w:rsidR="00BE6845" w:rsidRPr="00BE6845" w:rsidRDefault="00BE6845" w:rsidP="00BE6845">
                          <w:pPr>
                            <w:spacing w:after="0"/>
                            <w:rPr>
                              <w:rFonts w:ascii="Aptos" w:eastAsia="Aptos" w:hAnsi="Aptos" w:cs="Aptos"/>
                              <w:noProof/>
                              <w:color w:val="FF0000"/>
                              <w:sz w:val="24"/>
                              <w:szCs w:val="24"/>
                            </w:rPr>
                          </w:pPr>
                          <w:r w:rsidRPr="00BE6845">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0B4A6A" id="_x0000_t202" coordsize="21600,21600" o:spt="202" path="m,l,21600r21600,l21600,xe">
              <v:stroke joinstyle="miter"/>
              <v:path gradientshapeok="t" o:connecttype="rect"/>
            </v:shapetype>
            <v:shape id="Text Box 4" o:spid="_x0000_s1031" type="#_x0000_t202" alt="OFFICIAL" style="position:absolute;margin-left:0;margin-top:0;width:49pt;height:36.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bkDgIAABwEAAAOAAAAZHJzL2Uyb0RvYy54bWysU01v2zAMvQ/YfxB0X+yka9YacYqsRYYB&#10;QVsgLXpWZDk2IIkCpcTOfv0oJU62bqdhF5kmKX689zS7641me4W+BVvy8SjnTFkJVWu3JX99WX66&#10;4cwHYSuhwaqSH5Tnd/OPH2adK9QEGtCVQkZFrC86V/ImBFdkmZeNMsKPwClLwRrQiEC/uM0qFB1V&#10;Nzqb5Pk06wArhyCV9+R9OAb5PNWvayXDU117FZguOc0W0onp3MQzm89EsUXhmlaexhD/MIURraWm&#10;51IPIgi2w/aPUqaVCB7qMJJgMqjrVqq0A20zzt9ts26EU2kXAse7M0z+/5WVj/u1e0YW+q/QE4ER&#10;kM75wpMz7tPXaOKXJmUUJwgPZ9hUH5gk53QyucopIin0efrlappgzS6XHfrwTYFh0Sg5EisJLLFf&#10;+UANKXVIib0sLFutEzPa/uagxOjJLhNGK/SbnrVVya+H6TdQHWgphCPf3sllS61XwodngUQwTUui&#10;DU901Bq6ksPJ4qwB/PE3f8wn3CnKWUeCKbklRXOmv1viI2prMHAwNskY3+bXER67M/dAMhzTi3Ay&#10;meTFoAezRjBvJOdFbEQhYSW1K/lmMO/DUbn0HKRaLFISyciJsLJrJ2PpCFfE8qV/E+hOgAdi6hEG&#10;NYniHe7H3HjTu8UuEPqJlAjtEcgT4iTBxNXpuUSN//qfsi6Pev4TAAD//wMAUEsDBBQABgAIAAAA&#10;IQCQpICC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4DWdgSxyec9e/AAAAP//AwBQSwECLQAUAAYACAAAACEAtoM4kv4AAADhAQAAEwAAAAAA&#10;AAAAAAAAAAAAAAAAW0NvbnRlbnRfVHlwZXNdLnhtbFBLAQItABQABgAIAAAAIQA4/SH/1gAAAJQB&#10;AAALAAAAAAAAAAAAAAAAAC8BAABfcmVscy8ucmVsc1BLAQItABQABgAIAAAAIQA/McbkDgIAABwE&#10;AAAOAAAAAAAAAAAAAAAAAC4CAABkcnMvZTJvRG9jLnhtbFBLAQItABQABgAIAAAAIQCQpICC2gAA&#10;AAMBAAAPAAAAAAAAAAAAAAAAAGgEAABkcnMvZG93bnJldi54bWxQSwUGAAAAAAQABADzAAAAbwUA&#10;AAAA&#10;" filled="f" stroked="f">
              <v:textbox style="mso-fit-shape-to-text:t" inset="0,0,0,15pt">
                <w:txbxContent>
                  <w:p w14:paraId="449E5D44" w14:textId="0A6CC6A8" w:rsidR="00BE6845" w:rsidRPr="00BE6845" w:rsidRDefault="00BE6845" w:rsidP="00BE6845">
                    <w:pPr>
                      <w:spacing w:after="0"/>
                      <w:rPr>
                        <w:rFonts w:ascii="Aptos" w:eastAsia="Aptos" w:hAnsi="Aptos" w:cs="Aptos"/>
                        <w:noProof/>
                        <w:color w:val="FF0000"/>
                        <w:sz w:val="24"/>
                        <w:szCs w:val="24"/>
                      </w:rPr>
                    </w:pPr>
                    <w:r w:rsidRPr="00BE6845">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DC0CF" w14:textId="77777777" w:rsidR="00064943" w:rsidRDefault="00064943" w:rsidP="00B62DF2">
      <w:pPr>
        <w:spacing w:after="0" w:line="240" w:lineRule="auto"/>
      </w:pPr>
      <w:r>
        <w:separator/>
      </w:r>
    </w:p>
  </w:footnote>
  <w:footnote w:type="continuationSeparator" w:id="0">
    <w:p w14:paraId="5B356E7C" w14:textId="77777777" w:rsidR="00064943" w:rsidRDefault="00064943" w:rsidP="00B62DF2">
      <w:pPr>
        <w:spacing w:after="0" w:line="240" w:lineRule="auto"/>
      </w:pPr>
      <w:r>
        <w:continuationSeparator/>
      </w:r>
    </w:p>
  </w:footnote>
  <w:footnote w:id="1">
    <w:p w14:paraId="6D59A651" w14:textId="57ACF1DF" w:rsidR="00151C8D" w:rsidRDefault="00151C8D">
      <w:pPr>
        <w:pStyle w:val="FootnoteText"/>
      </w:pPr>
      <w:r>
        <w:rPr>
          <w:rStyle w:val="FootnoteReference"/>
        </w:rPr>
        <w:footnoteRef/>
      </w:r>
      <w:r>
        <w:t xml:space="preserve"> </w:t>
      </w:r>
      <w:r w:rsidRPr="00151C8D">
        <w:t>Kendre G, Murugesan K, Brummer T, Segatto O, Saborowski A, Vogel A. Charting co-mutation patterns associated with actionable drivers in intrahepatic cholangiocarcinoma. </w:t>
      </w:r>
      <w:r w:rsidRPr="00151C8D">
        <w:rPr>
          <w:i/>
          <w:iCs/>
        </w:rPr>
        <w:t>J Hepatol</w:t>
      </w:r>
      <w:r w:rsidRPr="00151C8D">
        <w:t>. 2023;78(3):614-626. doi:10.1016/j.jhep.2022.11.030</w:t>
      </w:r>
    </w:p>
  </w:footnote>
  <w:footnote w:id="2">
    <w:p w14:paraId="42CBBD72" w14:textId="69BBD3A6" w:rsidR="00CA0E4F" w:rsidRDefault="00CA0E4F">
      <w:pPr>
        <w:pStyle w:val="FootnoteText"/>
      </w:pPr>
      <w:r>
        <w:rPr>
          <w:rStyle w:val="FootnoteReference"/>
        </w:rPr>
        <w:footnoteRef/>
      </w:r>
      <w:r>
        <w:t xml:space="preserve"> </w:t>
      </w:r>
      <w:r w:rsidR="007A0519">
        <w:t>At its</w:t>
      </w:r>
      <w:r w:rsidR="00596DB6">
        <w:t xml:space="preserve"> </w:t>
      </w:r>
      <w:r w:rsidR="00F3106D">
        <w:t>July 2025 meeting</w:t>
      </w:r>
      <w:r w:rsidR="00596DB6">
        <w:t>,</w:t>
      </w:r>
      <w:r w:rsidR="00F3106D">
        <w:t xml:space="preserve"> MSAC considered </w:t>
      </w:r>
      <w:r w:rsidR="00A72803">
        <w:t xml:space="preserve">it was reasonable </w:t>
      </w:r>
      <w:r w:rsidR="007A0519">
        <w:t>to</w:t>
      </w:r>
      <w:r w:rsidR="00A72803" w:rsidRPr="00A72803">
        <w:t xml:space="preserve"> only account for the incremental difference between the single gene </w:t>
      </w:r>
      <w:r w:rsidR="00A72803" w:rsidRPr="002173F2">
        <w:rPr>
          <w:i/>
          <w:iCs/>
        </w:rPr>
        <w:t>IDH1</w:t>
      </w:r>
      <w:r w:rsidR="00A72803" w:rsidRPr="00A72803">
        <w:t xml:space="preserve"> test fee and the proposed gene panel fee in the economic and financial analyses.</w:t>
      </w:r>
    </w:p>
  </w:footnote>
  <w:footnote w:id="3">
    <w:p w14:paraId="4E467013" w14:textId="13D1178B" w:rsidR="007A2A00" w:rsidRDefault="007A2A00">
      <w:pPr>
        <w:pStyle w:val="FootnoteText"/>
      </w:pPr>
      <w:r>
        <w:rPr>
          <w:rStyle w:val="FootnoteReference"/>
        </w:rPr>
        <w:footnoteRef/>
      </w:r>
      <w:r>
        <w:t xml:space="preserve"> The initial submission presented several studies that reported prevalence of </w:t>
      </w:r>
      <w:r w:rsidRPr="002173F2">
        <w:rPr>
          <w:i/>
          <w:iCs/>
        </w:rPr>
        <w:t>FGFR2</w:t>
      </w:r>
      <w:r>
        <w:t xml:space="preserve"> fusions and rearrangements in the whole CCA population. The reported prevalence ranged from 3.2% to 16.9%. </w:t>
      </w:r>
      <w:r w:rsidRPr="002B56BF">
        <w:t>The 10.1% diagnostic yield used in the department revised analyses was calculated by combining results from all the studies (1,016 out of 10,041 cases).</w:t>
      </w:r>
    </w:p>
  </w:footnote>
  <w:footnote w:id="4">
    <w:p w14:paraId="51D75C0E" w14:textId="07AF2710" w:rsidR="00B617EE" w:rsidRDefault="00B617EE">
      <w:pPr>
        <w:pStyle w:val="FootnoteText"/>
      </w:pPr>
      <w:r>
        <w:rPr>
          <w:rStyle w:val="FootnoteReference"/>
        </w:rPr>
        <w:footnoteRef/>
      </w:r>
      <w:r>
        <w:t xml:space="preserve"> </w:t>
      </w:r>
      <w:r w:rsidR="00917E58">
        <w:t xml:space="preserve">Medicine Status Website, </w:t>
      </w:r>
      <w:hyperlink r:id="rId1" w:history="1">
        <w:r w:rsidR="00917E58">
          <w:rPr>
            <w:rStyle w:val="Hyperlink"/>
          </w:rPr>
          <w:t>Ivosidenib</w:t>
        </w:r>
      </w:hyperlink>
      <w:r w:rsidR="00917E58">
        <w:t>,</w:t>
      </w:r>
      <w:r>
        <w:t xml:space="preserve"> accessed </w:t>
      </w:r>
      <w:r w:rsidR="00A32C72">
        <w:t>9</w:t>
      </w:r>
      <w:r>
        <w:t xml:space="preserve"> </w:t>
      </w:r>
      <w:r w:rsidR="00A32C72">
        <w:t>October</w:t>
      </w:r>
      <w:r>
        <w:t xml:space="preserve"> 2025</w:t>
      </w:r>
    </w:p>
  </w:footnote>
  <w:footnote w:id="5">
    <w:p w14:paraId="014F0705" w14:textId="3AD8CF88" w:rsidR="00917E58" w:rsidRDefault="00917E58">
      <w:pPr>
        <w:pStyle w:val="FootnoteText"/>
      </w:pPr>
      <w:r>
        <w:rPr>
          <w:rStyle w:val="FootnoteReference"/>
        </w:rPr>
        <w:footnoteRef/>
      </w:r>
      <w:r>
        <w:t xml:space="preserve"> </w:t>
      </w:r>
      <w:r w:rsidR="00257C6D">
        <w:t xml:space="preserve">MBS Online Medicare Benefits Schedule, </w:t>
      </w:r>
      <w:hyperlink r:id="rId2" w:history="1">
        <w:r w:rsidR="00257C6D">
          <w:rPr>
            <w:rStyle w:val="Hyperlink"/>
          </w:rPr>
          <w:t>Item 73319</w:t>
        </w:r>
      </w:hyperlink>
      <w:r w:rsidR="00257C6D">
        <w:t>, accessed 24 October 2025</w:t>
      </w:r>
    </w:p>
  </w:footnote>
  <w:footnote w:id="6">
    <w:p w14:paraId="76BC78F1" w14:textId="11B1034D" w:rsidR="002667EF" w:rsidRDefault="002667EF">
      <w:pPr>
        <w:pStyle w:val="FootnoteText"/>
      </w:pPr>
      <w:r>
        <w:rPr>
          <w:rStyle w:val="FootnoteReference"/>
        </w:rPr>
        <w:footnoteRef/>
      </w:r>
      <w:r>
        <w:t xml:space="preserve"> </w:t>
      </w:r>
      <w:r w:rsidR="003610B3">
        <w:t>The Oncomine Precision Assay (OPA) NGS DNA &amp; RNA Panel offered by Peter M</w:t>
      </w:r>
      <w:r w:rsidR="00384269">
        <w:t xml:space="preserve">acCallum Cancer Centre is for a range of genes and is not limited to </w:t>
      </w:r>
      <w:r w:rsidR="00E62E3C" w:rsidRPr="004C14BF">
        <w:rPr>
          <w:i/>
          <w:iCs/>
        </w:rPr>
        <w:t>FGFR2</w:t>
      </w:r>
      <w:r w:rsidR="00E62E3C">
        <w:t xml:space="preserve"> and </w:t>
      </w:r>
      <w:r w:rsidR="00E62E3C" w:rsidRPr="004C14BF">
        <w:rPr>
          <w:i/>
          <w:iCs/>
        </w:rPr>
        <w:t>IDH1</w:t>
      </w:r>
      <w:r w:rsidR="00B91972">
        <w:t xml:space="preserve">. </w:t>
      </w:r>
    </w:p>
  </w:footnote>
  <w:footnote w:id="7">
    <w:p w14:paraId="093A09A9" w14:textId="174A7F3A" w:rsidR="00AD67B6" w:rsidRDefault="00AD67B6">
      <w:pPr>
        <w:pStyle w:val="FootnoteText"/>
      </w:pPr>
      <w:r>
        <w:rPr>
          <w:rStyle w:val="FootnoteReference"/>
        </w:rPr>
        <w:footnoteRef/>
      </w:r>
      <w:r>
        <w:t xml:space="preserve"> </w:t>
      </w:r>
      <w:r w:rsidRPr="00B13E26">
        <w:t>Cavazzoni A, Salamon I, Fumarola C, et al. Synergic activity of FGFR2 and MEK inhibitors in the treatment of FGFR2-amplified cancers of unknown primary. </w:t>
      </w:r>
      <w:r w:rsidRPr="00B13E26">
        <w:rPr>
          <w:i/>
          <w:iCs/>
        </w:rPr>
        <w:t>Mol Ther</w:t>
      </w:r>
      <w:r w:rsidRPr="00B13E26">
        <w:t>. 2024;32(10):3650-3668. doi:10.1016/j.ymthe.2024.07.011</w:t>
      </w:r>
      <w:r>
        <w:t xml:space="preserve">. The publication stated that the </w:t>
      </w:r>
      <w:r w:rsidRPr="00B42FBF">
        <w:rPr>
          <w:i/>
          <w:iCs/>
        </w:rPr>
        <w:t xml:space="preserve">FGFR2 </w:t>
      </w:r>
      <w:r>
        <w:t xml:space="preserve">variant prevalence to be ranging from 3-4%, therefore have estimated the </w:t>
      </w:r>
      <w:r w:rsidR="00354487">
        <w:t>prevalence</w:t>
      </w:r>
      <w:r>
        <w:t xml:space="preserve"> to be 3.5% in the department revised calculations.</w:t>
      </w:r>
    </w:p>
  </w:footnote>
  <w:footnote w:id="8">
    <w:p w14:paraId="2D1F99A2" w14:textId="495E7F1F" w:rsidR="00AD67B6" w:rsidRDefault="00AD67B6" w:rsidP="000523F7">
      <w:r>
        <w:rPr>
          <w:rStyle w:val="FootnoteReference"/>
        </w:rPr>
        <w:footnoteRef/>
      </w:r>
      <w:r>
        <w:t xml:space="preserve"> </w:t>
      </w:r>
      <w:r w:rsidRPr="00BC72CE">
        <w:rPr>
          <w:rFonts w:asciiTheme="minorHAnsi" w:hAnsiTheme="minorHAnsi" w:cstheme="minorHAnsi"/>
          <w:sz w:val="18"/>
          <w:szCs w:val="18"/>
        </w:rPr>
        <w:t>Stein, L., Murugesan, K., Reeser, J.W. </w:t>
      </w:r>
      <w:r w:rsidRPr="00BC72CE">
        <w:rPr>
          <w:rFonts w:asciiTheme="minorHAnsi" w:hAnsiTheme="minorHAnsi" w:cstheme="minorHAnsi"/>
          <w:i/>
          <w:iCs/>
          <w:sz w:val="18"/>
          <w:szCs w:val="18"/>
        </w:rPr>
        <w:t>et al.</w:t>
      </w:r>
      <w:r w:rsidRPr="00BC72CE">
        <w:rPr>
          <w:rFonts w:asciiTheme="minorHAnsi" w:hAnsiTheme="minorHAnsi" w:cstheme="minorHAnsi"/>
          <w:sz w:val="18"/>
          <w:szCs w:val="18"/>
        </w:rPr>
        <w:t> </w:t>
      </w:r>
      <w:r w:rsidRPr="00BC72CE">
        <w:rPr>
          <w:rFonts w:asciiTheme="minorHAnsi" w:hAnsiTheme="minorHAnsi" w:cstheme="minorHAnsi"/>
          <w:i/>
          <w:iCs/>
          <w:sz w:val="18"/>
          <w:szCs w:val="18"/>
        </w:rPr>
        <w:t>FGFR2</w:t>
      </w:r>
      <w:r w:rsidRPr="00BC72CE">
        <w:rPr>
          <w:rFonts w:asciiTheme="minorHAnsi" w:hAnsiTheme="minorHAnsi" w:cstheme="minorHAnsi"/>
          <w:sz w:val="18"/>
          <w:szCs w:val="18"/>
        </w:rPr>
        <w:t>-fusions define a clinically actionable molecular subset of pancreatic cancer. </w:t>
      </w:r>
      <w:r w:rsidRPr="00BC72CE">
        <w:rPr>
          <w:rFonts w:asciiTheme="minorHAnsi" w:hAnsiTheme="minorHAnsi" w:cstheme="minorHAnsi"/>
          <w:i/>
          <w:iCs/>
          <w:sz w:val="18"/>
          <w:szCs w:val="18"/>
        </w:rPr>
        <w:t>npj Precis. Onc.</w:t>
      </w:r>
      <w:r w:rsidRPr="00BC72CE">
        <w:rPr>
          <w:rFonts w:asciiTheme="minorHAnsi" w:hAnsiTheme="minorHAnsi" w:cstheme="minorHAnsi"/>
          <w:sz w:val="18"/>
          <w:szCs w:val="18"/>
        </w:rPr>
        <w:t> </w:t>
      </w:r>
      <w:r w:rsidRPr="00BC72CE">
        <w:rPr>
          <w:rFonts w:asciiTheme="minorHAnsi" w:hAnsiTheme="minorHAnsi" w:cstheme="minorHAnsi"/>
          <w:b/>
          <w:bCs/>
          <w:sz w:val="18"/>
          <w:szCs w:val="18"/>
        </w:rPr>
        <w:t>8</w:t>
      </w:r>
      <w:r w:rsidRPr="00BC72CE">
        <w:rPr>
          <w:rFonts w:asciiTheme="minorHAnsi" w:hAnsiTheme="minorHAnsi" w:cstheme="minorHAnsi"/>
          <w:sz w:val="18"/>
          <w:szCs w:val="18"/>
        </w:rPr>
        <w:t xml:space="preserve">, 207 (2024), </w:t>
      </w:r>
      <w:hyperlink r:id="rId3" w:history="1">
        <w:r w:rsidRPr="00BC72CE">
          <w:rPr>
            <w:rStyle w:val="Hyperlink"/>
            <w:rFonts w:asciiTheme="minorHAnsi" w:hAnsiTheme="minorHAnsi" w:cstheme="minorHAnsi"/>
            <w:sz w:val="18"/>
            <w:szCs w:val="18"/>
          </w:rPr>
          <w:t>https://doi.org/10.1038/s41698-024-00683-x</w:t>
        </w:r>
      </w:hyperlink>
      <w:r w:rsidRPr="00BC72CE">
        <w:rPr>
          <w:rFonts w:asciiTheme="minorHAnsi" w:hAnsiTheme="minorHAnsi" w:cstheme="minorHAns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5CE51" w14:textId="48D48F9D" w:rsidR="00507BA1" w:rsidRDefault="00BE6845">
    <w:pPr>
      <w:pStyle w:val="Header"/>
    </w:pPr>
    <w:r>
      <w:rPr>
        <w:noProof/>
      </w:rPr>
      <mc:AlternateContent>
        <mc:Choice Requires="wps">
          <w:drawing>
            <wp:anchor distT="0" distB="0" distL="0" distR="0" simplePos="0" relativeHeight="251658241" behindDoc="0" locked="0" layoutInCell="1" allowOverlap="1" wp14:anchorId="1D9650A8" wp14:editId="0E0E0AE3">
              <wp:simplePos x="635" y="635"/>
              <wp:positionH relativeFrom="page">
                <wp:align>center</wp:align>
              </wp:positionH>
              <wp:positionV relativeFrom="page">
                <wp:align>top</wp:align>
              </wp:positionV>
              <wp:extent cx="622300" cy="467360"/>
              <wp:effectExtent l="0" t="0" r="6350" b="8890"/>
              <wp:wrapNone/>
              <wp:docPr id="182885390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67360"/>
                      </a:xfrm>
                      <a:prstGeom prst="rect">
                        <a:avLst/>
                      </a:prstGeom>
                      <a:noFill/>
                      <a:ln>
                        <a:noFill/>
                      </a:ln>
                    </wps:spPr>
                    <wps:txbx>
                      <w:txbxContent>
                        <w:p w14:paraId="7B14FE72" w14:textId="6F726641" w:rsidR="00BE6845" w:rsidRPr="00BE6845" w:rsidRDefault="00BE6845" w:rsidP="00BE6845">
                          <w:pPr>
                            <w:spacing w:after="0"/>
                            <w:rPr>
                              <w:rFonts w:ascii="Aptos" w:eastAsia="Aptos" w:hAnsi="Aptos" w:cs="Aptos"/>
                              <w:noProof/>
                              <w:color w:val="FF0000"/>
                              <w:sz w:val="24"/>
                              <w:szCs w:val="24"/>
                            </w:rPr>
                          </w:pPr>
                          <w:r w:rsidRPr="00BE6845">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9650A8" id="_x0000_t202" coordsize="21600,21600" o:spt="202" path="m,l,21600r21600,l21600,xe">
              <v:stroke joinstyle="miter"/>
              <v:path gradientshapeok="t" o:connecttype="rect"/>
            </v:shapetype>
            <v:shape id="Text Box 2" o:spid="_x0000_s1026" type="#_x0000_t202" alt="OFFICIAL" style="position:absolute;margin-left:0;margin-top:0;width:49pt;height:36.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E3KCQIAABUEAAAOAAAAZHJzL2Uyb0RvYy54bWysU02P0zAQvSPxHyzfadIuFIiarsquipCq&#10;3ZW6aM+uYzeRHI9lT5uUX8/YTVpYOCEuzmRmPB/vPS9u+9awo/KhAVvy6STnTFkJVWP3Jf/+vH73&#10;ibOAwlbCgFUlP6nAb5dv3yw6V6gZ1GAq5RkVsaHoXMlrRFdkWZC1akWYgFOWghp8K5B+/T6rvOio&#10;emuyWZ7Psw585TxIFQJ5789Bvkz1tVYSH7UOCpkpOc2G6fTp3MUzWy5EsffC1Y0cxhD/MEUrGktN&#10;L6XuBQp28M0fpdpGegigcSKhzUDrRqq0A20zzV9ts62FU2kXAie4C0zh/5WVD8ete/IM+y/QE4ER&#10;kM6FIpAz7tNr38YvTcooThCeLrCpHpkk53w2u8kpIin0fv7xZp5gza6XnQ/4VUHLolFyT6wksMRx&#10;E5AaUuqYEntZWDfGJGaM/c1BidGTXSeMFva7fhh7B9WJtvFwJjo4uW6o50YEfBKemKUxSa34SIc2&#10;0JUcBouzGvyPv/ljPgFOUc46UkrJLUmZM/PNEhFRVMmYfs4/RBT86N6Nhj20d0D6m9JTcDKZMQ/N&#10;aGoP7QvpeBUbUUhYSe1KjqN5h2fJ0juQarVKSaQfJ3Bjt07G0hGnCOJz/yK8G5BGougBRhmJ4hXg&#10;59x4M7jVAQn2xEbE9AzkADVpL5E0vJMo7l//U9b1NS9/AgAA//8DAFBLAwQUAAYACAAAACEAc1dc&#10;P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PD1OQRe5/s9e/AIAAP//AwBQSwECLQAUAAYACAAAACEAtoM4kv4AAADhAQAAEwAAAAAAAAAAAAAA&#10;AAAAAAAAW0NvbnRlbnRfVHlwZXNdLnhtbFBLAQItABQABgAIAAAAIQA4/SH/1gAAAJQBAAALAAAA&#10;AAAAAAAAAAAAAC8BAABfcmVscy8ucmVsc1BLAQItABQABgAIAAAAIQCGME3KCQIAABUEAAAOAAAA&#10;AAAAAAAAAAAAAC4CAABkcnMvZTJvRG9jLnhtbFBLAQItABQABgAIAAAAIQBzV1w92QAAAAMBAAAP&#10;AAAAAAAAAAAAAAAAAGMEAABkcnMvZG93bnJldi54bWxQSwUGAAAAAAQABADzAAAAaQUAAAAA&#10;" filled="f" stroked="f">
              <v:textbox style="mso-fit-shape-to-text:t" inset="0,15pt,0,0">
                <w:txbxContent>
                  <w:p w14:paraId="7B14FE72" w14:textId="6F726641" w:rsidR="00BE6845" w:rsidRPr="00BE6845" w:rsidRDefault="00BE6845" w:rsidP="00BE6845">
                    <w:pPr>
                      <w:spacing w:after="0"/>
                      <w:rPr>
                        <w:rFonts w:ascii="Aptos" w:eastAsia="Aptos" w:hAnsi="Aptos" w:cs="Aptos"/>
                        <w:noProof/>
                        <w:color w:val="FF0000"/>
                        <w:sz w:val="24"/>
                        <w:szCs w:val="24"/>
                      </w:rPr>
                    </w:pPr>
                    <w:r w:rsidRPr="00BE6845">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EECEC" w14:textId="47DD9729" w:rsidR="00507BA1" w:rsidRDefault="00BE6845">
    <w:pPr>
      <w:pStyle w:val="Header"/>
    </w:pPr>
    <w:r>
      <w:rPr>
        <w:noProof/>
      </w:rPr>
      <mc:AlternateContent>
        <mc:Choice Requires="wps">
          <w:drawing>
            <wp:anchor distT="0" distB="0" distL="0" distR="0" simplePos="0" relativeHeight="251658242" behindDoc="0" locked="0" layoutInCell="1" allowOverlap="1" wp14:anchorId="1AFCDF0E" wp14:editId="76324B6D">
              <wp:simplePos x="635" y="635"/>
              <wp:positionH relativeFrom="page">
                <wp:align>center</wp:align>
              </wp:positionH>
              <wp:positionV relativeFrom="page">
                <wp:align>top</wp:align>
              </wp:positionV>
              <wp:extent cx="622300" cy="467360"/>
              <wp:effectExtent l="0" t="0" r="6350" b="8890"/>
              <wp:wrapNone/>
              <wp:docPr id="16172881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67360"/>
                      </a:xfrm>
                      <a:prstGeom prst="rect">
                        <a:avLst/>
                      </a:prstGeom>
                      <a:noFill/>
                      <a:ln>
                        <a:noFill/>
                      </a:ln>
                    </wps:spPr>
                    <wps:txbx>
                      <w:txbxContent>
                        <w:p w14:paraId="67E6ABB8" w14:textId="17569AAC" w:rsidR="00BE6845" w:rsidRPr="00BE6845" w:rsidRDefault="00BE6845" w:rsidP="00BE6845">
                          <w:pPr>
                            <w:spacing w:after="0"/>
                            <w:rPr>
                              <w:rFonts w:ascii="Aptos" w:eastAsia="Aptos" w:hAnsi="Aptos" w:cs="Aptos"/>
                              <w:noProof/>
                              <w:color w:val="FF0000"/>
                              <w:sz w:val="24"/>
                              <w:szCs w:val="24"/>
                            </w:rPr>
                          </w:pPr>
                          <w:r w:rsidRPr="00BE6845">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FCDF0E" id="_x0000_t202" coordsize="21600,21600" o:spt="202" path="m,l,21600r21600,l21600,xe">
              <v:stroke joinstyle="miter"/>
              <v:path gradientshapeok="t" o:connecttype="rect"/>
            </v:shapetype>
            <v:shape id="Text Box 3" o:spid="_x0000_s1027" type="#_x0000_t202" alt="OFFICIAL" style="position:absolute;margin-left:0;margin-top:0;width:49pt;height:36.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12mDAIAABwEAAAOAAAAZHJzL2Uyb0RvYy54bWysU01v2zAMvQ/YfxB0X+ykW9YZcYqsRYYB&#10;QVsgHXpWZCk2IIuCxMTOfv0oJU66bqeiF5kmKX689zS76VvD9sqHBmzJx6OcM2UlVI3dlvzX0/LT&#10;NWcBha2EAatKflCB38w/fph1rlATqMFUyjMqYkPRuZLXiK7IsiBr1YowAqcsBTX4ViD9+m1WedFR&#10;9dZkkzyfZh34ynmQKgTy3h2DfJ7qa60kPmgdFDJTcpoN0+nTuYlnNp+JYuuFqxt5GkO8YYpWNJaa&#10;nkvdCRRs55t/SrWN9BBA40hCm4HWjVRpB9pmnL/aZl0Lp9IuBE5wZ5jC+5WV9/u1e/QM++/QE4ER&#10;kM6FIpAz7tNr38YvTcooThAezrCpHpkk53QyucopIin0efr1appgzS6XnQ/4Q0HLolFyT6wksMR+&#10;FZAaUuqQEntZWDbGJGaM/ctBidGTXSaMFvabnjXVi+k3UB1oKQ9HvoOTy4Zar0TAR+GJYJqWRIsP&#10;dGgDXcnhZHFWg//9P3/MJ9wpyllHgim5JUVzZn5a4iNqKxnjb/mXCIYf3JvBsLv2FkiGY3oRTiYz&#10;5qEZTO2hfSY5L2IjCgkrqV3JcTBv8ahceg5SLRYpiWTkBK7s2slYOsIVsXzqn4V3J8CRmLqHQU2i&#10;eIX7MTfeDG6xQ0I/kRKhPQJ5QpwkmLg6PZeo8Zf/KevyqOd/AAAA//8DAFBLAwQUAAYACAAAACEA&#10;c1dcPdkAAAADAQAADwAAAGRycy9kb3ducmV2LnhtbEyPQU/CQBCF7yb+h82QeJNtNSDWbgkx4cAN&#10;QT0v3bGtdGea7gKVX+/ARS8veXmT977J54Nv1RH70DAZSMcJKKSSXUOVgfft8n4GKkRLzrZMaOAH&#10;A8yL25vcZo5P9IbHTayUlFDIrIE6xi7TOpQ1ehvG3CFJ9sW9t1FsX2nX25OU+1Y/JMlUe9uQLNS2&#10;w9cay/3m4A00kwXHFD9Wy+9Pn3J6Xq8m57Uxd6Nh8QIq4hD/juGCL+hQCNOOD+SCag3II/Gqkj3P&#10;xO0MPD1OQRe5/s9e/AIAAP//AwBQSwECLQAUAAYACAAAACEAtoM4kv4AAADhAQAAEwAAAAAAAAAA&#10;AAAAAAAAAAAAW0NvbnRlbnRfVHlwZXNdLnhtbFBLAQItABQABgAIAAAAIQA4/SH/1gAAAJQBAAAL&#10;AAAAAAAAAAAAAAAAAC8BAABfcmVscy8ucmVsc1BLAQItABQABgAIAAAAIQAVC12mDAIAABwEAAAO&#10;AAAAAAAAAAAAAAAAAC4CAABkcnMvZTJvRG9jLnhtbFBLAQItABQABgAIAAAAIQBzV1w92QAAAAMB&#10;AAAPAAAAAAAAAAAAAAAAAGYEAABkcnMvZG93bnJldi54bWxQSwUGAAAAAAQABADzAAAAbAUAAAAA&#10;" filled="f" stroked="f">
              <v:textbox style="mso-fit-shape-to-text:t" inset="0,15pt,0,0">
                <w:txbxContent>
                  <w:p w14:paraId="67E6ABB8" w14:textId="17569AAC" w:rsidR="00BE6845" w:rsidRPr="00BE6845" w:rsidRDefault="00BE6845" w:rsidP="00BE6845">
                    <w:pPr>
                      <w:spacing w:after="0"/>
                      <w:rPr>
                        <w:rFonts w:ascii="Aptos" w:eastAsia="Aptos" w:hAnsi="Aptos" w:cs="Aptos"/>
                        <w:noProof/>
                        <w:color w:val="FF0000"/>
                        <w:sz w:val="24"/>
                        <w:szCs w:val="24"/>
                      </w:rPr>
                    </w:pPr>
                    <w:r w:rsidRPr="00BE6845">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B5D26" w14:textId="68E60BC2" w:rsidR="00507BA1" w:rsidRDefault="00BE6845">
    <w:pPr>
      <w:pStyle w:val="Header"/>
    </w:pPr>
    <w:r>
      <w:rPr>
        <w:noProof/>
      </w:rPr>
      <mc:AlternateContent>
        <mc:Choice Requires="wps">
          <w:drawing>
            <wp:anchor distT="0" distB="0" distL="0" distR="0" simplePos="0" relativeHeight="251658240" behindDoc="0" locked="0" layoutInCell="1" allowOverlap="1" wp14:anchorId="5C5E0384" wp14:editId="3B476B0F">
              <wp:simplePos x="635" y="635"/>
              <wp:positionH relativeFrom="page">
                <wp:align>center</wp:align>
              </wp:positionH>
              <wp:positionV relativeFrom="page">
                <wp:align>top</wp:align>
              </wp:positionV>
              <wp:extent cx="622300" cy="467360"/>
              <wp:effectExtent l="0" t="0" r="6350" b="8890"/>
              <wp:wrapNone/>
              <wp:docPr id="109743704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67360"/>
                      </a:xfrm>
                      <a:prstGeom prst="rect">
                        <a:avLst/>
                      </a:prstGeom>
                      <a:noFill/>
                      <a:ln>
                        <a:noFill/>
                      </a:ln>
                    </wps:spPr>
                    <wps:txbx>
                      <w:txbxContent>
                        <w:p w14:paraId="7B93B727" w14:textId="6CE64DAC" w:rsidR="00BE6845" w:rsidRPr="00BE6845" w:rsidRDefault="00BE6845" w:rsidP="00BE6845">
                          <w:pPr>
                            <w:spacing w:after="0"/>
                            <w:rPr>
                              <w:rFonts w:ascii="Aptos" w:eastAsia="Aptos" w:hAnsi="Aptos" w:cs="Aptos"/>
                              <w:noProof/>
                              <w:color w:val="FF0000"/>
                              <w:sz w:val="24"/>
                              <w:szCs w:val="24"/>
                            </w:rPr>
                          </w:pPr>
                          <w:r w:rsidRPr="00BE6845">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5E0384" id="_x0000_t202" coordsize="21600,21600" o:spt="202" path="m,l,21600r21600,l21600,xe">
              <v:stroke joinstyle="miter"/>
              <v:path gradientshapeok="t" o:connecttype="rect"/>
            </v:shapetype>
            <v:shape id="Text Box 1" o:spid="_x0000_s1030" type="#_x0000_t202" alt="OFFICIAL" style="position:absolute;margin-left:0;margin-top:0;width:49pt;height:36.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SVtDQIAABwEAAAOAAAAZHJzL2Uyb0RvYy54bWysU02P0zAQvSPxHyzfadIuFIiarsquipCq&#10;3ZW6aM+uYzeRHI9lT5uUX8/YTVpYOCEuzmRmPB/vPS9u+9awo/KhAVvy6STnTFkJVWP3Jf/+vH73&#10;ibOAwlbCgFUlP6nAb5dv3yw6V6gZ1GAq5RkVsaHoXMlrRFdkWZC1akWYgFOWghp8K5B+/T6rvOio&#10;emuyWZ7Psw585TxIFQJ5789Bvkz1tVYSH7UOCpkpOc2G6fTp3MUzWy5EsffC1Y0cxhD/MEUrGktN&#10;L6XuBQp28M0fpdpGegigcSKhzUDrRqq0A20zzV9ts62FU2kXAie4C0zh/5WVD8ete/IM+y/QE4ER&#10;kM6FIpAz7tNr38YvTcooThCeLrCpHpkk53w2u8kpIin0fv7xZp5gza6XnQ/4VUHLolFyT6wksMRx&#10;E5AaUuqYEntZWDfGJGaM/c1BidGTXSeMFva7njUVNR+n30F1oqU8nPkOTq4bar0RAZ+EJ4JpWhIt&#10;PtKhDXQlh8HirAb/42/+mE+4U5SzjgRTckuK5sx8s8RH1FYypp/zDxEMP7p3o2EP7R2QDKf0IpxM&#10;ZsxDM5raQ/tCcl7FRhQSVlK7kuNo3uFZufQcpFqtUhLJyAnc2K2TsXSEK2L53L8I7wbAkZh6gFFN&#10;oniF+zk33gxudUBCP5ESoT0DOSBOEkxcDc8lavzX/5R1fdTLnwAAAP//AwBQSwMEFAAGAAgAAAAh&#10;AHNXXD3ZAAAAAwEAAA8AAABkcnMvZG93bnJldi54bWxMj0FPwkAQhe8m/ofNkHiTbTUg1m4JMeHA&#10;DUE9L92xrXRnmu4ClV/vwEUvL3l5k/e+yeeDb9UR+9AwGUjHCSikkl1DlYH37fJ+BipES862TGjg&#10;BwPMi9ub3GaOT/SGx02slJRQyKyBOsYu0zqUNXobxtwhSfbFvbdRbF9p19uTlPtWPyTJVHvbkCzU&#10;tsPXGsv95uANNJMFxxQ/VsvvT59yel6vJue1MXejYfECKuIQ/47hgi/oUAjTjg/kgmoNyCPxqpI9&#10;z8TtDDw9TkEXuf7PXvwCAAD//wMAUEsBAi0AFAAGAAgAAAAhALaDOJL+AAAA4QEAABMAAAAAAAAA&#10;AAAAAAAAAAAAAFtDb250ZW50X1R5cGVzXS54bWxQSwECLQAUAAYACAAAACEAOP0h/9YAAACUAQAA&#10;CwAAAAAAAAAAAAAAAAAvAQAAX3JlbHMvLnJlbHNQSwECLQAUAAYACAAAACEAzEklbQ0CAAAcBAAA&#10;DgAAAAAAAAAAAAAAAAAuAgAAZHJzL2Uyb0RvYy54bWxQSwECLQAUAAYACAAAACEAc1dcPdkAAAAD&#10;AQAADwAAAAAAAAAAAAAAAABnBAAAZHJzL2Rvd25yZXYueG1sUEsFBgAAAAAEAAQA8wAAAG0FAAAA&#10;AA==&#10;" filled="f" stroked="f">
              <v:textbox style="mso-fit-shape-to-text:t" inset="0,15pt,0,0">
                <w:txbxContent>
                  <w:p w14:paraId="7B93B727" w14:textId="6CE64DAC" w:rsidR="00BE6845" w:rsidRPr="00BE6845" w:rsidRDefault="00BE6845" w:rsidP="00BE6845">
                    <w:pPr>
                      <w:spacing w:after="0"/>
                      <w:rPr>
                        <w:rFonts w:ascii="Aptos" w:eastAsia="Aptos" w:hAnsi="Aptos" w:cs="Aptos"/>
                        <w:noProof/>
                        <w:color w:val="FF0000"/>
                        <w:sz w:val="24"/>
                        <w:szCs w:val="24"/>
                      </w:rPr>
                    </w:pPr>
                    <w:r w:rsidRPr="00BE6845">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5264"/>
    <w:multiLevelType w:val="hybridMultilevel"/>
    <w:tmpl w:val="1038811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62B49A2"/>
    <w:multiLevelType w:val="hybridMultilevel"/>
    <w:tmpl w:val="37BCA3CE"/>
    <w:lvl w:ilvl="0" w:tplc="A2E486A4">
      <w:start w:val="1"/>
      <w:numFmt w:val="bullet"/>
      <w:lvlText w:val=""/>
      <w:lvlJc w:val="left"/>
      <w:pPr>
        <w:ind w:left="1440" w:hanging="360"/>
      </w:pPr>
      <w:rPr>
        <w:rFonts w:ascii="Symbol" w:hAnsi="Symbol"/>
      </w:rPr>
    </w:lvl>
    <w:lvl w:ilvl="1" w:tplc="D44050AE">
      <w:start w:val="1"/>
      <w:numFmt w:val="bullet"/>
      <w:lvlText w:val=""/>
      <w:lvlJc w:val="left"/>
      <w:pPr>
        <w:ind w:left="1440" w:hanging="360"/>
      </w:pPr>
      <w:rPr>
        <w:rFonts w:ascii="Symbol" w:hAnsi="Symbol"/>
      </w:rPr>
    </w:lvl>
    <w:lvl w:ilvl="2" w:tplc="9710E64E">
      <w:start w:val="1"/>
      <w:numFmt w:val="bullet"/>
      <w:lvlText w:val=""/>
      <w:lvlJc w:val="left"/>
      <w:pPr>
        <w:ind w:left="1440" w:hanging="360"/>
      </w:pPr>
      <w:rPr>
        <w:rFonts w:ascii="Symbol" w:hAnsi="Symbol"/>
      </w:rPr>
    </w:lvl>
    <w:lvl w:ilvl="3" w:tplc="BE78810C">
      <w:start w:val="1"/>
      <w:numFmt w:val="bullet"/>
      <w:lvlText w:val=""/>
      <w:lvlJc w:val="left"/>
      <w:pPr>
        <w:ind w:left="1440" w:hanging="360"/>
      </w:pPr>
      <w:rPr>
        <w:rFonts w:ascii="Symbol" w:hAnsi="Symbol"/>
      </w:rPr>
    </w:lvl>
    <w:lvl w:ilvl="4" w:tplc="43A805FE">
      <w:start w:val="1"/>
      <w:numFmt w:val="bullet"/>
      <w:lvlText w:val=""/>
      <w:lvlJc w:val="left"/>
      <w:pPr>
        <w:ind w:left="1440" w:hanging="360"/>
      </w:pPr>
      <w:rPr>
        <w:rFonts w:ascii="Symbol" w:hAnsi="Symbol"/>
      </w:rPr>
    </w:lvl>
    <w:lvl w:ilvl="5" w:tplc="4894CC6A">
      <w:start w:val="1"/>
      <w:numFmt w:val="bullet"/>
      <w:lvlText w:val=""/>
      <w:lvlJc w:val="left"/>
      <w:pPr>
        <w:ind w:left="1440" w:hanging="360"/>
      </w:pPr>
      <w:rPr>
        <w:rFonts w:ascii="Symbol" w:hAnsi="Symbol"/>
      </w:rPr>
    </w:lvl>
    <w:lvl w:ilvl="6" w:tplc="91FE3A9E">
      <w:start w:val="1"/>
      <w:numFmt w:val="bullet"/>
      <w:lvlText w:val=""/>
      <w:lvlJc w:val="left"/>
      <w:pPr>
        <w:ind w:left="1440" w:hanging="360"/>
      </w:pPr>
      <w:rPr>
        <w:rFonts w:ascii="Symbol" w:hAnsi="Symbol"/>
      </w:rPr>
    </w:lvl>
    <w:lvl w:ilvl="7" w:tplc="3D78A8C0">
      <w:start w:val="1"/>
      <w:numFmt w:val="bullet"/>
      <w:lvlText w:val=""/>
      <w:lvlJc w:val="left"/>
      <w:pPr>
        <w:ind w:left="1440" w:hanging="360"/>
      </w:pPr>
      <w:rPr>
        <w:rFonts w:ascii="Symbol" w:hAnsi="Symbol"/>
      </w:rPr>
    </w:lvl>
    <w:lvl w:ilvl="8" w:tplc="76029A68">
      <w:start w:val="1"/>
      <w:numFmt w:val="bullet"/>
      <w:lvlText w:val=""/>
      <w:lvlJc w:val="left"/>
      <w:pPr>
        <w:ind w:left="1440" w:hanging="360"/>
      </w:pPr>
      <w:rPr>
        <w:rFonts w:ascii="Symbol" w:hAnsi="Symbol"/>
      </w:rPr>
    </w:lvl>
  </w:abstractNum>
  <w:abstractNum w:abstractNumId="2" w15:restartNumberingAfterBreak="0">
    <w:nsid w:val="0D0B0B50"/>
    <w:multiLevelType w:val="hybridMultilevel"/>
    <w:tmpl w:val="4EE05EF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0FFF556F"/>
    <w:multiLevelType w:val="hybridMultilevel"/>
    <w:tmpl w:val="6BC035C4"/>
    <w:lvl w:ilvl="0" w:tplc="FB942214">
      <w:start w:val="1"/>
      <w:numFmt w:val="bullet"/>
      <w:pStyle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7879D2"/>
    <w:multiLevelType w:val="hybridMultilevel"/>
    <w:tmpl w:val="C764DF08"/>
    <w:lvl w:ilvl="0" w:tplc="0C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37B00D7"/>
    <w:multiLevelType w:val="hybridMultilevel"/>
    <w:tmpl w:val="7A768712"/>
    <w:lvl w:ilvl="0" w:tplc="FA9AA1AA">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4634013"/>
    <w:multiLevelType w:val="multilevel"/>
    <w:tmpl w:val="E5BAAC60"/>
    <w:lvl w:ilvl="0">
      <w:start w:val="1"/>
      <w:numFmt w:val="bullet"/>
      <w:pStyle w:val="MSACESBulletPoint"/>
      <w:lvlText w:val=""/>
      <w:lvlJc w:val="left"/>
      <w:pPr>
        <w:ind w:left="717" w:hanging="360"/>
      </w:pPr>
      <w:rPr>
        <w:rFonts w:ascii="Symbol" w:hAnsi="Symbol" w:hint="default"/>
      </w:rPr>
    </w:lvl>
    <w:lvl w:ilvl="1">
      <w:start w:val="1"/>
      <w:numFmt w:val="bullet"/>
      <w:lvlText w:val=""/>
      <w:lvlJc w:val="left"/>
      <w:pPr>
        <w:ind w:left="1191" w:hanging="397"/>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15743DDA"/>
    <w:multiLevelType w:val="hybridMultilevel"/>
    <w:tmpl w:val="2910B9EE"/>
    <w:lvl w:ilvl="0" w:tplc="7B96996E">
      <w:start w:val="1"/>
      <w:numFmt w:val="decimal"/>
      <w:lvlText w:val="%1."/>
      <w:lvlJc w:val="left"/>
      <w:pPr>
        <w:ind w:left="720" w:hanging="360"/>
      </w:pPr>
    </w:lvl>
    <w:lvl w:ilvl="1" w:tplc="8D2C5336">
      <w:start w:val="1"/>
      <w:numFmt w:val="decimal"/>
      <w:lvlText w:val="%2."/>
      <w:lvlJc w:val="left"/>
      <w:pPr>
        <w:ind w:left="720" w:hanging="360"/>
      </w:pPr>
    </w:lvl>
    <w:lvl w:ilvl="2" w:tplc="BD168248">
      <w:start w:val="1"/>
      <w:numFmt w:val="decimal"/>
      <w:lvlText w:val="%3."/>
      <w:lvlJc w:val="left"/>
      <w:pPr>
        <w:ind w:left="720" w:hanging="360"/>
      </w:pPr>
    </w:lvl>
    <w:lvl w:ilvl="3" w:tplc="6ABA0434">
      <w:start w:val="1"/>
      <w:numFmt w:val="decimal"/>
      <w:lvlText w:val="%4."/>
      <w:lvlJc w:val="left"/>
      <w:pPr>
        <w:ind w:left="720" w:hanging="360"/>
      </w:pPr>
    </w:lvl>
    <w:lvl w:ilvl="4" w:tplc="AC54C2AC">
      <w:start w:val="1"/>
      <w:numFmt w:val="decimal"/>
      <w:lvlText w:val="%5."/>
      <w:lvlJc w:val="left"/>
      <w:pPr>
        <w:ind w:left="720" w:hanging="360"/>
      </w:pPr>
    </w:lvl>
    <w:lvl w:ilvl="5" w:tplc="C4A0C1FE">
      <w:start w:val="1"/>
      <w:numFmt w:val="decimal"/>
      <w:lvlText w:val="%6."/>
      <w:lvlJc w:val="left"/>
      <w:pPr>
        <w:ind w:left="720" w:hanging="360"/>
      </w:pPr>
    </w:lvl>
    <w:lvl w:ilvl="6" w:tplc="C60C59BE">
      <w:start w:val="1"/>
      <w:numFmt w:val="decimal"/>
      <w:lvlText w:val="%7."/>
      <w:lvlJc w:val="left"/>
      <w:pPr>
        <w:ind w:left="720" w:hanging="360"/>
      </w:pPr>
    </w:lvl>
    <w:lvl w:ilvl="7" w:tplc="24A06A1C">
      <w:start w:val="1"/>
      <w:numFmt w:val="decimal"/>
      <w:lvlText w:val="%8."/>
      <w:lvlJc w:val="left"/>
      <w:pPr>
        <w:ind w:left="720" w:hanging="360"/>
      </w:pPr>
    </w:lvl>
    <w:lvl w:ilvl="8" w:tplc="2D06A5FC">
      <w:start w:val="1"/>
      <w:numFmt w:val="decimal"/>
      <w:lvlText w:val="%9."/>
      <w:lvlJc w:val="left"/>
      <w:pPr>
        <w:ind w:left="720" w:hanging="360"/>
      </w:pPr>
    </w:lvl>
  </w:abstractNum>
  <w:abstractNum w:abstractNumId="8" w15:restartNumberingAfterBreak="0">
    <w:nsid w:val="1A6B4074"/>
    <w:multiLevelType w:val="hybridMultilevel"/>
    <w:tmpl w:val="B41666CC"/>
    <w:lvl w:ilvl="0" w:tplc="2DC2BC2A">
      <w:start w:val="1"/>
      <w:numFmt w:val="decimal"/>
      <w:lvlText w:val="%1."/>
      <w:lvlJc w:val="left"/>
      <w:pPr>
        <w:ind w:left="1020" w:hanging="360"/>
      </w:pPr>
    </w:lvl>
    <w:lvl w:ilvl="1" w:tplc="1158E16C">
      <w:start w:val="1"/>
      <w:numFmt w:val="decimal"/>
      <w:lvlText w:val="%2."/>
      <w:lvlJc w:val="left"/>
      <w:pPr>
        <w:ind w:left="1020" w:hanging="360"/>
      </w:pPr>
    </w:lvl>
    <w:lvl w:ilvl="2" w:tplc="8AF8F56A">
      <w:start w:val="1"/>
      <w:numFmt w:val="decimal"/>
      <w:lvlText w:val="%3."/>
      <w:lvlJc w:val="left"/>
      <w:pPr>
        <w:ind w:left="1020" w:hanging="360"/>
      </w:pPr>
    </w:lvl>
    <w:lvl w:ilvl="3" w:tplc="97784A44">
      <w:start w:val="1"/>
      <w:numFmt w:val="decimal"/>
      <w:lvlText w:val="%4."/>
      <w:lvlJc w:val="left"/>
      <w:pPr>
        <w:ind w:left="1020" w:hanging="360"/>
      </w:pPr>
    </w:lvl>
    <w:lvl w:ilvl="4" w:tplc="9ACCEFDA">
      <w:start w:val="1"/>
      <w:numFmt w:val="decimal"/>
      <w:lvlText w:val="%5."/>
      <w:lvlJc w:val="left"/>
      <w:pPr>
        <w:ind w:left="1020" w:hanging="360"/>
      </w:pPr>
    </w:lvl>
    <w:lvl w:ilvl="5" w:tplc="11261BD4">
      <w:start w:val="1"/>
      <w:numFmt w:val="decimal"/>
      <w:lvlText w:val="%6."/>
      <w:lvlJc w:val="left"/>
      <w:pPr>
        <w:ind w:left="1020" w:hanging="360"/>
      </w:pPr>
    </w:lvl>
    <w:lvl w:ilvl="6" w:tplc="0D7493B0">
      <w:start w:val="1"/>
      <w:numFmt w:val="decimal"/>
      <w:lvlText w:val="%7."/>
      <w:lvlJc w:val="left"/>
      <w:pPr>
        <w:ind w:left="1020" w:hanging="360"/>
      </w:pPr>
    </w:lvl>
    <w:lvl w:ilvl="7" w:tplc="67A004B4">
      <w:start w:val="1"/>
      <w:numFmt w:val="decimal"/>
      <w:lvlText w:val="%8."/>
      <w:lvlJc w:val="left"/>
      <w:pPr>
        <w:ind w:left="1020" w:hanging="360"/>
      </w:pPr>
    </w:lvl>
    <w:lvl w:ilvl="8" w:tplc="E58A5F36">
      <w:start w:val="1"/>
      <w:numFmt w:val="decimal"/>
      <w:lvlText w:val="%9."/>
      <w:lvlJc w:val="left"/>
      <w:pPr>
        <w:ind w:left="1020" w:hanging="360"/>
      </w:pPr>
    </w:lvl>
  </w:abstractNum>
  <w:abstractNum w:abstractNumId="9" w15:restartNumberingAfterBreak="0">
    <w:nsid w:val="1DAC7BA3"/>
    <w:multiLevelType w:val="hybridMultilevel"/>
    <w:tmpl w:val="EDE4050A"/>
    <w:lvl w:ilvl="0" w:tplc="0C09000F">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37C0EE4"/>
    <w:multiLevelType w:val="multilevel"/>
    <w:tmpl w:val="FEE071C8"/>
    <w:styleLink w:val="ESSectionheading-numbered"/>
    <w:lvl w:ilvl="0">
      <w:start w:val="1"/>
      <w:numFmt w:val="none"/>
      <w:lvlText w:val="A.1"/>
      <w:lvlJc w:val="left"/>
      <w:pPr>
        <w:ind w:left="1134" w:hanging="1134"/>
      </w:pPr>
      <w:rPr>
        <w:rFonts w:ascii="Calibri" w:hAnsi="Calibri" w:hint="default"/>
        <w:b/>
        <w:i w:val="0"/>
        <w:color w:val="auto"/>
        <w:sz w:val="24"/>
      </w:rPr>
    </w:lvl>
    <w:lvl w:ilvl="1">
      <w:start w:val="1"/>
      <w:numFmt w:val="decimal"/>
      <w:lvlText w:val="B.%2."/>
      <w:lvlJc w:val="left"/>
      <w:pPr>
        <w:ind w:left="1134" w:hanging="1134"/>
      </w:pPr>
      <w:rPr>
        <w:rFonts w:ascii="Calibri" w:hAnsi="Calibri" w:hint="default"/>
        <w:b/>
        <w:i w:val="0"/>
        <w:sz w:val="24"/>
      </w:rPr>
    </w:lvl>
    <w:lvl w:ilvl="2">
      <w:start w:val="1"/>
      <w:numFmt w:val="decimal"/>
      <w:lvlText w:val="C.%3."/>
      <w:lvlJc w:val="left"/>
      <w:pPr>
        <w:ind w:left="1134" w:hanging="1134"/>
      </w:pPr>
      <w:rPr>
        <w:rFonts w:ascii="Calibri" w:hAnsi="Calibri" w:hint="default"/>
        <w:b/>
        <w:i w:val="0"/>
        <w:sz w:val="24"/>
      </w:rPr>
    </w:lvl>
    <w:lvl w:ilvl="3">
      <w:start w:val="1"/>
      <w:numFmt w:val="decimal"/>
      <w:lvlText w:val="D.%4."/>
      <w:lvlJc w:val="left"/>
      <w:pPr>
        <w:ind w:left="1134" w:hanging="1134"/>
      </w:pPr>
      <w:rPr>
        <w:rFonts w:ascii="Calibri" w:hAnsi="Calibri" w:hint="default"/>
        <w:b/>
        <w:i w:val="0"/>
        <w:sz w:val="24"/>
      </w:rPr>
    </w:lvl>
    <w:lvl w:ilvl="4">
      <w:start w:val="1"/>
      <w:numFmt w:val="decimal"/>
      <w:lvlText w:val="E.%5."/>
      <w:lvlJc w:val="left"/>
      <w:pPr>
        <w:ind w:left="1134" w:hanging="1134"/>
      </w:pPr>
      <w:rPr>
        <w:rFonts w:ascii="Calibri" w:hAnsi="Calibri" w:hint="default"/>
        <w:b/>
        <w:i w:val="0"/>
        <w:sz w:val="24"/>
      </w:rPr>
    </w:lvl>
    <w:lvl w:ilvl="5">
      <w:start w:val="1"/>
      <w:numFmt w:val="decimal"/>
      <w:lvlText w:val="A.%6"/>
      <w:lvlJc w:val="left"/>
      <w:pPr>
        <w:ind w:left="1134" w:hanging="1134"/>
      </w:pPr>
      <w:rPr>
        <w:rFonts w:ascii="Calibri" w:hAnsi="Calibri" w:hint="default"/>
        <w:b/>
        <w:i w:val="0"/>
        <w:color w:val="auto"/>
        <w:sz w:val="24"/>
      </w:rPr>
    </w:lvl>
    <w:lvl w:ilvl="6">
      <w:start w:val="1"/>
      <w:numFmt w:val="none"/>
      <w:lvlText w:val=""/>
      <w:lvlJc w:val="left"/>
      <w:pPr>
        <w:ind w:left="1134" w:hanging="1134"/>
      </w:pPr>
      <w:rPr>
        <w:rFonts w:ascii="Calibri" w:hAnsi="Calibri" w:hint="default"/>
        <w:b/>
        <w:i w:val="0"/>
        <w:sz w:val="24"/>
      </w:rPr>
    </w:lvl>
    <w:lvl w:ilvl="7">
      <w:start w:val="1"/>
      <w:numFmt w:val="none"/>
      <w:lvlText w:val="%8"/>
      <w:lvlJc w:val="left"/>
      <w:pPr>
        <w:ind w:left="1134" w:hanging="1134"/>
      </w:pPr>
      <w:rPr>
        <w:rFonts w:hint="default"/>
      </w:rPr>
    </w:lvl>
    <w:lvl w:ilvl="8">
      <w:start w:val="1"/>
      <w:numFmt w:val="none"/>
      <w:lvlText w:val="%9"/>
      <w:lvlJc w:val="right"/>
      <w:pPr>
        <w:ind w:left="1134" w:hanging="1134"/>
      </w:pPr>
      <w:rPr>
        <w:rFonts w:hint="default"/>
      </w:rPr>
    </w:lvl>
  </w:abstractNum>
  <w:abstractNum w:abstractNumId="11" w15:restartNumberingAfterBreak="0">
    <w:nsid w:val="27575C58"/>
    <w:multiLevelType w:val="multilevel"/>
    <w:tmpl w:val="BE44A646"/>
    <w:lvl w:ilvl="0">
      <w:start w:val="1"/>
      <w:numFmt w:val="bullet"/>
      <w:pStyle w:val="InstructionBulletpoint"/>
      <w:lvlText w:val=""/>
      <w:lvlJc w:val="left"/>
      <w:pPr>
        <w:ind w:left="720" w:hanging="360"/>
      </w:pPr>
      <w:rPr>
        <w:rFonts w:ascii="Symbol" w:hAnsi="Symbol" w:hint="default"/>
      </w:rPr>
    </w:lvl>
    <w:lvl w:ilvl="1">
      <w:start w:val="1"/>
      <w:numFmt w:val="bullet"/>
      <w:lvlText w:val=""/>
      <w:lvlJc w:val="left"/>
      <w:pPr>
        <w:ind w:left="1440" w:hanging="476"/>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5C53EB"/>
    <w:multiLevelType w:val="hybridMultilevel"/>
    <w:tmpl w:val="2B5E2A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5E246B"/>
    <w:multiLevelType w:val="hybridMultilevel"/>
    <w:tmpl w:val="C4F2253C"/>
    <w:lvl w:ilvl="0" w:tplc="B0E28340">
      <w:start w:val="1"/>
      <w:numFmt w:val="decimal"/>
      <w:pStyle w:val="ESHeading1"/>
      <w:lvlText w:val="%1."/>
      <w:lvlJc w:val="left"/>
      <w:pPr>
        <w:ind w:left="216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2E942450"/>
    <w:multiLevelType w:val="hybridMultilevel"/>
    <w:tmpl w:val="B9743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2D5244"/>
    <w:multiLevelType w:val="hybridMultilevel"/>
    <w:tmpl w:val="00E250B2"/>
    <w:lvl w:ilvl="0" w:tplc="32AE89D0">
      <w:start w:val="1"/>
      <w:numFmt w:val="bullet"/>
      <w:pStyle w:val="Das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4371DC"/>
    <w:multiLevelType w:val="multilevel"/>
    <w:tmpl w:val="4A02812C"/>
    <w:lvl w:ilvl="0">
      <w:start w:val="1"/>
      <w:numFmt w:val="decimal"/>
      <w:pStyle w:val="Heading1"/>
      <w:lvlText w:val="Section %1"/>
      <w:lvlJc w:val="left"/>
      <w:pPr>
        <w:ind w:left="786" w:hanging="360"/>
      </w:pPr>
      <w:rPr>
        <w:rFonts w:hint="default"/>
      </w:rPr>
    </w:lvl>
    <w:lvl w:ilvl="1">
      <w:start w:val="1"/>
      <w:numFmt w:val="decimal"/>
      <w:pStyle w:val="Heading2"/>
      <w:lvlText w:val="%1.%2"/>
      <w:lvlJc w:val="left"/>
      <w:pPr>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996749C"/>
    <w:multiLevelType w:val="hybridMultilevel"/>
    <w:tmpl w:val="CDE44678"/>
    <w:lvl w:ilvl="0" w:tplc="EA601BDA">
      <w:start w:val="1"/>
      <w:numFmt w:val="decimal"/>
      <w:lvlText w:val="%1."/>
      <w:lvlJc w:val="left"/>
      <w:pPr>
        <w:ind w:left="1020" w:hanging="360"/>
      </w:pPr>
    </w:lvl>
    <w:lvl w:ilvl="1" w:tplc="DA72E89E">
      <w:start w:val="1"/>
      <w:numFmt w:val="decimal"/>
      <w:lvlText w:val="%2."/>
      <w:lvlJc w:val="left"/>
      <w:pPr>
        <w:ind w:left="1020" w:hanging="360"/>
      </w:pPr>
    </w:lvl>
    <w:lvl w:ilvl="2" w:tplc="AE962946">
      <w:start w:val="1"/>
      <w:numFmt w:val="decimal"/>
      <w:lvlText w:val="%3."/>
      <w:lvlJc w:val="left"/>
      <w:pPr>
        <w:ind w:left="1020" w:hanging="360"/>
      </w:pPr>
    </w:lvl>
    <w:lvl w:ilvl="3" w:tplc="C972CE82">
      <w:start w:val="1"/>
      <w:numFmt w:val="decimal"/>
      <w:lvlText w:val="%4."/>
      <w:lvlJc w:val="left"/>
      <w:pPr>
        <w:ind w:left="1020" w:hanging="360"/>
      </w:pPr>
    </w:lvl>
    <w:lvl w:ilvl="4" w:tplc="F6523CFA">
      <w:start w:val="1"/>
      <w:numFmt w:val="decimal"/>
      <w:lvlText w:val="%5."/>
      <w:lvlJc w:val="left"/>
      <w:pPr>
        <w:ind w:left="1020" w:hanging="360"/>
      </w:pPr>
    </w:lvl>
    <w:lvl w:ilvl="5" w:tplc="CFDCD956">
      <w:start w:val="1"/>
      <w:numFmt w:val="decimal"/>
      <w:lvlText w:val="%6."/>
      <w:lvlJc w:val="left"/>
      <w:pPr>
        <w:ind w:left="1020" w:hanging="360"/>
      </w:pPr>
    </w:lvl>
    <w:lvl w:ilvl="6" w:tplc="63C02DD6">
      <w:start w:val="1"/>
      <w:numFmt w:val="decimal"/>
      <w:lvlText w:val="%7."/>
      <w:lvlJc w:val="left"/>
      <w:pPr>
        <w:ind w:left="1020" w:hanging="360"/>
      </w:pPr>
    </w:lvl>
    <w:lvl w:ilvl="7" w:tplc="B636E7CC">
      <w:start w:val="1"/>
      <w:numFmt w:val="decimal"/>
      <w:lvlText w:val="%8."/>
      <w:lvlJc w:val="left"/>
      <w:pPr>
        <w:ind w:left="1020" w:hanging="360"/>
      </w:pPr>
    </w:lvl>
    <w:lvl w:ilvl="8" w:tplc="2DE8A764">
      <w:start w:val="1"/>
      <w:numFmt w:val="decimal"/>
      <w:lvlText w:val="%9."/>
      <w:lvlJc w:val="left"/>
      <w:pPr>
        <w:ind w:left="1020" w:hanging="360"/>
      </w:pPr>
    </w:lvl>
  </w:abstractNum>
  <w:abstractNum w:abstractNumId="18" w15:restartNumberingAfterBreak="0">
    <w:nsid w:val="3A8E1635"/>
    <w:multiLevelType w:val="hybridMultilevel"/>
    <w:tmpl w:val="23EEA6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D9428D7"/>
    <w:multiLevelType w:val="hybridMultilevel"/>
    <w:tmpl w:val="DE3C4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8E794F"/>
    <w:multiLevelType w:val="hybridMultilevel"/>
    <w:tmpl w:val="49AA76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0B6ECC"/>
    <w:multiLevelType w:val="hybridMultilevel"/>
    <w:tmpl w:val="C23E7B90"/>
    <w:lvl w:ilvl="0" w:tplc="ED1E5F1E">
      <w:start w:val="1"/>
      <w:numFmt w:val="bullet"/>
      <w:pStyle w:val="NormalBullets"/>
      <w:lvlText w:val=""/>
      <w:lvlJc w:val="left"/>
      <w:pPr>
        <w:ind w:left="720" w:hanging="360"/>
      </w:pPr>
      <w:rPr>
        <w:rFonts w:ascii="Symbol" w:hAnsi="Symbol" w:hint="default"/>
      </w:rPr>
    </w:lvl>
    <w:lvl w:ilvl="1" w:tplc="9452778A">
      <w:start w:val="1"/>
      <w:numFmt w:val="bullet"/>
      <w:pStyle w:val="EvidenceSubhead"/>
      <w:lvlText w:val="o"/>
      <w:lvlJc w:val="left"/>
      <w:pPr>
        <w:ind w:left="1440" w:hanging="360"/>
      </w:pPr>
      <w:rPr>
        <w:rFonts w:ascii="Courier New" w:hAnsi="Courier New" w:cs="Courier New" w:hint="default"/>
      </w:rPr>
    </w:lvl>
    <w:lvl w:ilvl="2" w:tplc="87E4D1D6" w:tentative="1">
      <w:start w:val="1"/>
      <w:numFmt w:val="bullet"/>
      <w:lvlText w:val=""/>
      <w:lvlJc w:val="left"/>
      <w:pPr>
        <w:ind w:left="2160" w:hanging="360"/>
      </w:pPr>
      <w:rPr>
        <w:rFonts w:ascii="Wingdings" w:hAnsi="Wingdings" w:hint="default"/>
      </w:rPr>
    </w:lvl>
    <w:lvl w:ilvl="3" w:tplc="B26EBE3C" w:tentative="1">
      <w:start w:val="1"/>
      <w:numFmt w:val="bullet"/>
      <w:lvlText w:val=""/>
      <w:lvlJc w:val="left"/>
      <w:pPr>
        <w:ind w:left="2880" w:hanging="360"/>
      </w:pPr>
      <w:rPr>
        <w:rFonts w:ascii="Symbol" w:hAnsi="Symbol" w:hint="default"/>
      </w:rPr>
    </w:lvl>
    <w:lvl w:ilvl="4" w:tplc="AF3E72D2" w:tentative="1">
      <w:start w:val="1"/>
      <w:numFmt w:val="bullet"/>
      <w:lvlText w:val="o"/>
      <w:lvlJc w:val="left"/>
      <w:pPr>
        <w:ind w:left="3600" w:hanging="360"/>
      </w:pPr>
      <w:rPr>
        <w:rFonts w:ascii="Courier New" w:hAnsi="Courier New" w:cs="Courier New" w:hint="default"/>
      </w:rPr>
    </w:lvl>
    <w:lvl w:ilvl="5" w:tplc="79F2BED2" w:tentative="1">
      <w:start w:val="1"/>
      <w:numFmt w:val="bullet"/>
      <w:lvlText w:val=""/>
      <w:lvlJc w:val="left"/>
      <w:pPr>
        <w:ind w:left="4320" w:hanging="360"/>
      </w:pPr>
      <w:rPr>
        <w:rFonts w:ascii="Wingdings" w:hAnsi="Wingdings" w:hint="default"/>
      </w:rPr>
    </w:lvl>
    <w:lvl w:ilvl="6" w:tplc="19321076" w:tentative="1">
      <w:start w:val="1"/>
      <w:numFmt w:val="bullet"/>
      <w:lvlText w:val=""/>
      <w:lvlJc w:val="left"/>
      <w:pPr>
        <w:ind w:left="5040" w:hanging="360"/>
      </w:pPr>
      <w:rPr>
        <w:rFonts w:ascii="Symbol" w:hAnsi="Symbol" w:hint="default"/>
      </w:rPr>
    </w:lvl>
    <w:lvl w:ilvl="7" w:tplc="C7A826BC" w:tentative="1">
      <w:start w:val="1"/>
      <w:numFmt w:val="bullet"/>
      <w:lvlText w:val="o"/>
      <w:lvlJc w:val="left"/>
      <w:pPr>
        <w:ind w:left="5760" w:hanging="360"/>
      </w:pPr>
      <w:rPr>
        <w:rFonts w:ascii="Courier New" w:hAnsi="Courier New" w:cs="Courier New" w:hint="default"/>
      </w:rPr>
    </w:lvl>
    <w:lvl w:ilvl="8" w:tplc="6F3A9138" w:tentative="1">
      <w:start w:val="1"/>
      <w:numFmt w:val="bullet"/>
      <w:lvlText w:val=""/>
      <w:lvlJc w:val="left"/>
      <w:pPr>
        <w:ind w:left="6480" w:hanging="360"/>
      </w:pPr>
      <w:rPr>
        <w:rFonts w:ascii="Wingdings" w:hAnsi="Wingdings" w:hint="default"/>
      </w:rPr>
    </w:lvl>
  </w:abstractNum>
  <w:abstractNum w:abstractNumId="22" w15:restartNumberingAfterBreak="0">
    <w:nsid w:val="42376C72"/>
    <w:multiLevelType w:val="hybridMultilevel"/>
    <w:tmpl w:val="8FB46082"/>
    <w:lvl w:ilvl="0" w:tplc="B712C85C">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35B45AF"/>
    <w:multiLevelType w:val="hybridMultilevel"/>
    <w:tmpl w:val="2520A984"/>
    <w:lvl w:ilvl="0" w:tplc="D870D23C">
      <w:start w:val="1"/>
      <w:numFmt w:val="decimal"/>
      <w:lvlText w:val="%1."/>
      <w:lvlJc w:val="left"/>
      <w:pPr>
        <w:ind w:left="1020" w:hanging="360"/>
      </w:pPr>
    </w:lvl>
    <w:lvl w:ilvl="1" w:tplc="DBF4A9E2">
      <w:start w:val="1"/>
      <w:numFmt w:val="decimal"/>
      <w:lvlText w:val="%2."/>
      <w:lvlJc w:val="left"/>
      <w:pPr>
        <w:ind w:left="1020" w:hanging="360"/>
      </w:pPr>
    </w:lvl>
    <w:lvl w:ilvl="2" w:tplc="C3089502">
      <w:start w:val="1"/>
      <w:numFmt w:val="decimal"/>
      <w:lvlText w:val="%3."/>
      <w:lvlJc w:val="left"/>
      <w:pPr>
        <w:ind w:left="1020" w:hanging="360"/>
      </w:pPr>
    </w:lvl>
    <w:lvl w:ilvl="3" w:tplc="F3FCBBD2">
      <w:start w:val="1"/>
      <w:numFmt w:val="decimal"/>
      <w:lvlText w:val="%4."/>
      <w:lvlJc w:val="left"/>
      <w:pPr>
        <w:ind w:left="1020" w:hanging="360"/>
      </w:pPr>
    </w:lvl>
    <w:lvl w:ilvl="4" w:tplc="E0E67B20">
      <w:start w:val="1"/>
      <w:numFmt w:val="decimal"/>
      <w:lvlText w:val="%5."/>
      <w:lvlJc w:val="left"/>
      <w:pPr>
        <w:ind w:left="1020" w:hanging="360"/>
      </w:pPr>
    </w:lvl>
    <w:lvl w:ilvl="5" w:tplc="165AEE9E">
      <w:start w:val="1"/>
      <w:numFmt w:val="decimal"/>
      <w:lvlText w:val="%6."/>
      <w:lvlJc w:val="left"/>
      <w:pPr>
        <w:ind w:left="1020" w:hanging="360"/>
      </w:pPr>
    </w:lvl>
    <w:lvl w:ilvl="6" w:tplc="CAA80984">
      <w:start w:val="1"/>
      <w:numFmt w:val="decimal"/>
      <w:lvlText w:val="%7."/>
      <w:lvlJc w:val="left"/>
      <w:pPr>
        <w:ind w:left="1020" w:hanging="360"/>
      </w:pPr>
    </w:lvl>
    <w:lvl w:ilvl="7" w:tplc="6A12D20E">
      <w:start w:val="1"/>
      <w:numFmt w:val="decimal"/>
      <w:lvlText w:val="%8."/>
      <w:lvlJc w:val="left"/>
      <w:pPr>
        <w:ind w:left="1020" w:hanging="360"/>
      </w:pPr>
    </w:lvl>
    <w:lvl w:ilvl="8" w:tplc="0F64EE98">
      <w:start w:val="1"/>
      <w:numFmt w:val="decimal"/>
      <w:lvlText w:val="%9."/>
      <w:lvlJc w:val="left"/>
      <w:pPr>
        <w:ind w:left="1020" w:hanging="360"/>
      </w:pPr>
    </w:lvl>
  </w:abstractNum>
  <w:abstractNum w:abstractNumId="24" w15:restartNumberingAfterBreak="0">
    <w:nsid w:val="47095746"/>
    <w:multiLevelType w:val="hybridMultilevel"/>
    <w:tmpl w:val="28BC0FCE"/>
    <w:lvl w:ilvl="0" w:tplc="A26EFB64">
      <w:start w:val="1"/>
      <w:numFmt w:val="bullet"/>
      <w:pStyle w:val="Instructionaltext-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7135A82"/>
    <w:multiLevelType w:val="hybridMultilevel"/>
    <w:tmpl w:val="EA241D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E530311"/>
    <w:multiLevelType w:val="hybridMultilevel"/>
    <w:tmpl w:val="85A237A8"/>
    <w:lvl w:ilvl="0" w:tplc="9A7632B0">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4406A2A"/>
    <w:multiLevelType w:val="hybridMultilevel"/>
    <w:tmpl w:val="27488200"/>
    <w:lvl w:ilvl="0" w:tplc="7FA8CFAA">
      <w:start w:val="16"/>
      <w:numFmt w:val="decimal"/>
      <w:lvlText w:val="%1."/>
      <w:lvlJc w:val="left"/>
      <w:pPr>
        <w:ind w:left="795" w:hanging="43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E1A4E3C"/>
    <w:multiLevelType w:val="hybridMultilevel"/>
    <w:tmpl w:val="19E2351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73B2069"/>
    <w:multiLevelType w:val="hybridMultilevel"/>
    <w:tmpl w:val="33FA72CE"/>
    <w:lvl w:ilvl="0" w:tplc="AF7EF660">
      <w:start w:val="1"/>
      <w:numFmt w:val="decimal"/>
      <w:lvlText w:val="%1."/>
      <w:lvlJc w:val="left"/>
      <w:pPr>
        <w:ind w:left="1020" w:hanging="360"/>
      </w:pPr>
    </w:lvl>
    <w:lvl w:ilvl="1" w:tplc="686683F6">
      <w:start w:val="1"/>
      <w:numFmt w:val="decimal"/>
      <w:lvlText w:val="%2."/>
      <w:lvlJc w:val="left"/>
      <w:pPr>
        <w:ind w:left="1020" w:hanging="360"/>
      </w:pPr>
    </w:lvl>
    <w:lvl w:ilvl="2" w:tplc="DA06CAAC">
      <w:start w:val="1"/>
      <w:numFmt w:val="decimal"/>
      <w:lvlText w:val="%3."/>
      <w:lvlJc w:val="left"/>
      <w:pPr>
        <w:ind w:left="1020" w:hanging="360"/>
      </w:pPr>
    </w:lvl>
    <w:lvl w:ilvl="3" w:tplc="9C6C6B72">
      <w:start w:val="1"/>
      <w:numFmt w:val="decimal"/>
      <w:lvlText w:val="%4."/>
      <w:lvlJc w:val="left"/>
      <w:pPr>
        <w:ind w:left="1020" w:hanging="360"/>
      </w:pPr>
    </w:lvl>
    <w:lvl w:ilvl="4" w:tplc="7D943F1E">
      <w:start w:val="1"/>
      <w:numFmt w:val="decimal"/>
      <w:lvlText w:val="%5."/>
      <w:lvlJc w:val="left"/>
      <w:pPr>
        <w:ind w:left="1020" w:hanging="360"/>
      </w:pPr>
    </w:lvl>
    <w:lvl w:ilvl="5" w:tplc="D256D41C">
      <w:start w:val="1"/>
      <w:numFmt w:val="decimal"/>
      <w:lvlText w:val="%6."/>
      <w:lvlJc w:val="left"/>
      <w:pPr>
        <w:ind w:left="1020" w:hanging="360"/>
      </w:pPr>
    </w:lvl>
    <w:lvl w:ilvl="6" w:tplc="D1762DA8">
      <w:start w:val="1"/>
      <w:numFmt w:val="decimal"/>
      <w:lvlText w:val="%7."/>
      <w:lvlJc w:val="left"/>
      <w:pPr>
        <w:ind w:left="1020" w:hanging="360"/>
      </w:pPr>
    </w:lvl>
    <w:lvl w:ilvl="7" w:tplc="DF5675B4">
      <w:start w:val="1"/>
      <w:numFmt w:val="decimal"/>
      <w:lvlText w:val="%8."/>
      <w:lvlJc w:val="left"/>
      <w:pPr>
        <w:ind w:left="1020" w:hanging="360"/>
      </w:pPr>
    </w:lvl>
    <w:lvl w:ilvl="8" w:tplc="FE9073EC">
      <w:start w:val="1"/>
      <w:numFmt w:val="decimal"/>
      <w:lvlText w:val="%9."/>
      <w:lvlJc w:val="left"/>
      <w:pPr>
        <w:ind w:left="1020" w:hanging="360"/>
      </w:pPr>
    </w:lvl>
  </w:abstractNum>
  <w:abstractNum w:abstractNumId="30" w15:restartNumberingAfterBreak="0">
    <w:nsid w:val="69AE7D1D"/>
    <w:multiLevelType w:val="hybridMultilevel"/>
    <w:tmpl w:val="34ECA23E"/>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A981089"/>
    <w:multiLevelType w:val="hybridMultilevel"/>
    <w:tmpl w:val="223CD29E"/>
    <w:lvl w:ilvl="0" w:tplc="7A00F46C">
      <w:start w:val="1"/>
      <w:numFmt w:val="decimal"/>
      <w:lvlText w:val="%1."/>
      <w:lvlJc w:val="left"/>
      <w:pPr>
        <w:ind w:left="1020" w:hanging="360"/>
      </w:pPr>
    </w:lvl>
    <w:lvl w:ilvl="1" w:tplc="8E0CD7EE">
      <w:start w:val="1"/>
      <w:numFmt w:val="decimal"/>
      <w:lvlText w:val="%2."/>
      <w:lvlJc w:val="left"/>
      <w:pPr>
        <w:ind w:left="1020" w:hanging="360"/>
      </w:pPr>
    </w:lvl>
    <w:lvl w:ilvl="2" w:tplc="44AA9C0A">
      <w:start w:val="1"/>
      <w:numFmt w:val="decimal"/>
      <w:lvlText w:val="%3."/>
      <w:lvlJc w:val="left"/>
      <w:pPr>
        <w:ind w:left="1020" w:hanging="360"/>
      </w:pPr>
    </w:lvl>
    <w:lvl w:ilvl="3" w:tplc="DB62FA7C">
      <w:start w:val="1"/>
      <w:numFmt w:val="decimal"/>
      <w:lvlText w:val="%4."/>
      <w:lvlJc w:val="left"/>
      <w:pPr>
        <w:ind w:left="1020" w:hanging="360"/>
      </w:pPr>
    </w:lvl>
    <w:lvl w:ilvl="4" w:tplc="FD706E4A">
      <w:start w:val="1"/>
      <w:numFmt w:val="decimal"/>
      <w:lvlText w:val="%5."/>
      <w:lvlJc w:val="left"/>
      <w:pPr>
        <w:ind w:left="1020" w:hanging="360"/>
      </w:pPr>
    </w:lvl>
    <w:lvl w:ilvl="5" w:tplc="652267C0">
      <w:start w:val="1"/>
      <w:numFmt w:val="decimal"/>
      <w:lvlText w:val="%6."/>
      <w:lvlJc w:val="left"/>
      <w:pPr>
        <w:ind w:left="1020" w:hanging="360"/>
      </w:pPr>
    </w:lvl>
    <w:lvl w:ilvl="6" w:tplc="9BDE03E2">
      <w:start w:val="1"/>
      <w:numFmt w:val="decimal"/>
      <w:lvlText w:val="%7."/>
      <w:lvlJc w:val="left"/>
      <w:pPr>
        <w:ind w:left="1020" w:hanging="360"/>
      </w:pPr>
    </w:lvl>
    <w:lvl w:ilvl="7" w:tplc="3A9E0970">
      <w:start w:val="1"/>
      <w:numFmt w:val="decimal"/>
      <w:lvlText w:val="%8."/>
      <w:lvlJc w:val="left"/>
      <w:pPr>
        <w:ind w:left="1020" w:hanging="360"/>
      </w:pPr>
    </w:lvl>
    <w:lvl w:ilvl="8" w:tplc="927640E4">
      <w:start w:val="1"/>
      <w:numFmt w:val="decimal"/>
      <w:lvlText w:val="%9."/>
      <w:lvlJc w:val="left"/>
      <w:pPr>
        <w:ind w:left="1020" w:hanging="360"/>
      </w:pPr>
    </w:lvl>
  </w:abstractNum>
  <w:abstractNum w:abstractNumId="32" w15:restartNumberingAfterBreak="0">
    <w:nsid w:val="744E230E"/>
    <w:multiLevelType w:val="hybridMultilevel"/>
    <w:tmpl w:val="28803B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4E94FAF"/>
    <w:multiLevelType w:val="hybridMultilevel"/>
    <w:tmpl w:val="22686924"/>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5562E2C"/>
    <w:multiLevelType w:val="hybridMultilevel"/>
    <w:tmpl w:val="13AE5EF2"/>
    <w:lvl w:ilvl="0" w:tplc="F8A0AA4C">
      <w:start w:val="1"/>
      <w:numFmt w:val="lowerLetter"/>
      <w:lvlText w:val="(%1)"/>
      <w:lvlJc w:val="left"/>
      <w:pPr>
        <w:tabs>
          <w:tab w:val="num" w:pos="720"/>
        </w:tabs>
        <w:ind w:left="720" w:hanging="360"/>
      </w:pPr>
    </w:lvl>
    <w:lvl w:ilvl="1" w:tplc="C8785620" w:tentative="1">
      <w:start w:val="1"/>
      <w:numFmt w:val="lowerLetter"/>
      <w:lvlText w:val="(%2)"/>
      <w:lvlJc w:val="left"/>
      <w:pPr>
        <w:tabs>
          <w:tab w:val="num" w:pos="1440"/>
        </w:tabs>
        <w:ind w:left="1440" w:hanging="360"/>
      </w:pPr>
    </w:lvl>
    <w:lvl w:ilvl="2" w:tplc="9E4EA72C" w:tentative="1">
      <w:start w:val="1"/>
      <w:numFmt w:val="lowerLetter"/>
      <w:lvlText w:val="(%3)"/>
      <w:lvlJc w:val="left"/>
      <w:pPr>
        <w:tabs>
          <w:tab w:val="num" w:pos="2160"/>
        </w:tabs>
        <w:ind w:left="2160" w:hanging="360"/>
      </w:pPr>
    </w:lvl>
    <w:lvl w:ilvl="3" w:tplc="E632CE2A" w:tentative="1">
      <w:start w:val="1"/>
      <w:numFmt w:val="lowerLetter"/>
      <w:lvlText w:val="(%4)"/>
      <w:lvlJc w:val="left"/>
      <w:pPr>
        <w:tabs>
          <w:tab w:val="num" w:pos="2880"/>
        </w:tabs>
        <w:ind w:left="2880" w:hanging="360"/>
      </w:pPr>
    </w:lvl>
    <w:lvl w:ilvl="4" w:tplc="DAEE7C78" w:tentative="1">
      <w:start w:val="1"/>
      <w:numFmt w:val="lowerLetter"/>
      <w:lvlText w:val="(%5)"/>
      <w:lvlJc w:val="left"/>
      <w:pPr>
        <w:tabs>
          <w:tab w:val="num" w:pos="3600"/>
        </w:tabs>
        <w:ind w:left="3600" w:hanging="360"/>
      </w:pPr>
    </w:lvl>
    <w:lvl w:ilvl="5" w:tplc="76B6C2CC" w:tentative="1">
      <w:start w:val="1"/>
      <w:numFmt w:val="lowerLetter"/>
      <w:lvlText w:val="(%6)"/>
      <w:lvlJc w:val="left"/>
      <w:pPr>
        <w:tabs>
          <w:tab w:val="num" w:pos="4320"/>
        </w:tabs>
        <w:ind w:left="4320" w:hanging="360"/>
      </w:pPr>
    </w:lvl>
    <w:lvl w:ilvl="6" w:tplc="B12C6D0C" w:tentative="1">
      <w:start w:val="1"/>
      <w:numFmt w:val="lowerLetter"/>
      <w:lvlText w:val="(%7)"/>
      <w:lvlJc w:val="left"/>
      <w:pPr>
        <w:tabs>
          <w:tab w:val="num" w:pos="5040"/>
        </w:tabs>
        <w:ind w:left="5040" w:hanging="360"/>
      </w:pPr>
    </w:lvl>
    <w:lvl w:ilvl="7" w:tplc="D1BEDD52" w:tentative="1">
      <w:start w:val="1"/>
      <w:numFmt w:val="lowerLetter"/>
      <w:lvlText w:val="(%8)"/>
      <w:lvlJc w:val="left"/>
      <w:pPr>
        <w:tabs>
          <w:tab w:val="num" w:pos="5760"/>
        </w:tabs>
        <w:ind w:left="5760" w:hanging="360"/>
      </w:pPr>
    </w:lvl>
    <w:lvl w:ilvl="8" w:tplc="104C7918" w:tentative="1">
      <w:start w:val="1"/>
      <w:numFmt w:val="lowerLetter"/>
      <w:lvlText w:val="(%9)"/>
      <w:lvlJc w:val="left"/>
      <w:pPr>
        <w:tabs>
          <w:tab w:val="num" w:pos="6480"/>
        </w:tabs>
        <w:ind w:left="6480" w:hanging="360"/>
      </w:pPr>
    </w:lvl>
  </w:abstractNum>
  <w:abstractNum w:abstractNumId="35"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8E81FDC"/>
    <w:multiLevelType w:val="hybridMultilevel"/>
    <w:tmpl w:val="D5C698E8"/>
    <w:lvl w:ilvl="0" w:tplc="A79EC4F8">
      <w:start w:val="1"/>
      <w:numFmt w:val="bullet"/>
      <w:pStyle w:val="BulletBeforeDash"/>
      <w:lvlText w:val="•"/>
      <w:lvlJc w:val="left"/>
      <w:pPr>
        <w:tabs>
          <w:tab w:val="num" w:pos="360"/>
        </w:tabs>
        <w:ind w:left="36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181516"/>
    <w:multiLevelType w:val="hybridMultilevel"/>
    <w:tmpl w:val="FF9EE7EA"/>
    <w:lvl w:ilvl="0" w:tplc="99525AAE">
      <w:start w:val="1"/>
      <w:numFmt w:val="decimal"/>
      <w:pStyle w:val="Nnumberedlist"/>
      <w:lvlText w:val="%1."/>
      <w:lvlJc w:val="left"/>
      <w:pPr>
        <w:tabs>
          <w:tab w:val="num" w:pos="1440"/>
        </w:tabs>
        <w:ind w:left="1440" w:hanging="360"/>
      </w:pPr>
    </w:lvl>
    <w:lvl w:ilvl="1" w:tplc="389C2200" w:tentative="1">
      <w:start w:val="1"/>
      <w:numFmt w:val="lowerLetter"/>
      <w:lvlText w:val="%2."/>
      <w:lvlJc w:val="left"/>
      <w:pPr>
        <w:tabs>
          <w:tab w:val="num" w:pos="2160"/>
        </w:tabs>
        <w:ind w:left="2160" w:hanging="360"/>
      </w:pPr>
    </w:lvl>
    <w:lvl w:ilvl="2" w:tplc="C3F8B188" w:tentative="1">
      <w:start w:val="1"/>
      <w:numFmt w:val="lowerRoman"/>
      <w:lvlText w:val="%3."/>
      <w:lvlJc w:val="right"/>
      <w:pPr>
        <w:tabs>
          <w:tab w:val="num" w:pos="2880"/>
        </w:tabs>
        <w:ind w:left="2880" w:hanging="180"/>
      </w:pPr>
    </w:lvl>
    <w:lvl w:ilvl="3" w:tplc="391E97F0" w:tentative="1">
      <w:start w:val="1"/>
      <w:numFmt w:val="decimal"/>
      <w:lvlText w:val="%4."/>
      <w:lvlJc w:val="left"/>
      <w:pPr>
        <w:tabs>
          <w:tab w:val="num" w:pos="3600"/>
        </w:tabs>
        <w:ind w:left="3600" w:hanging="360"/>
      </w:pPr>
    </w:lvl>
    <w:lvl w:ilvl="4" w:tplc="4F42265E" w:tentative="1">
      <w:start w:val="1"/>
      <w:numFmt w:val="lowerLetter"/>
      <w:lvlText w:val="%5."/>
      <w:lvlJc w:val="left"/>
      <w:pPr>
        <w:tabs>
          <w:tab w:val="num" w:pos="4320"/>
        </w:tabs>
        <w:ind w:left="4320" w:hanging="360"/>
      </w:pPr>
    </w:lvl>
    <w:lvl w:ilvl="5" w:tplc="30546058" w:tentative="1">
      <w:start w:val="1"/>
      <w:numFmt w:val="lowerRoman"/>
      <w:lvlText w:val="%6."/>
      <w:lvlJc w:val="right"/>
      <w:pPr>
        <w:tabs>
          <w:tab w:val="num" w:pos="5040"/>
        </w:tabs>
        <w:ind w:left="5040" w:hanging="180"/>
      </w:pPr>
    </w:lvl>
    <w:lvl w:ilvl="6" w:tplc="6E10F0C6" w:tentative="1">
      <w:start w:val="1"/>
      <w:numFmt w:val="decimal"/>
      <w:lvlText w:val="%7."/>
      <w:lvlJc w:val="left"/>
      <w:pPr>
        <w:tabs>
          <w:tab w:val="num" w:pos="5760"/>
        </w:tabs>
        <w:ind w:left="5760" w:hanging="360"/>
      </w:pPr>
    </w:lvl>
    <w:lvl w:ilvl="7" w:tplc="70B07B9C" w:tentative="1">
      <w:start w:val="1"/>
      <w:numFmt w:val="lowerLetter"/>
      <w:lvlText w:val="%8."/>
      <w:lvlJc w:val="left"/>
      <w:pPr>
        <w:tabs>
          <w:tab w:val="num" w:pos="6480"/>
        </w:tabs>
        <w:ind w:left="6480" w:hanging="360"/>
      </w:pPr>
    </w:lvl>
    <w:lvl w:ilvl="8" w:tplc="9BF48AAC" w:tentative="1">
      <w:start w:val="1"/>
      <w:numFmt w:val="lowerRoman"/>
      <w:lvlText w:val="%9."/>
      <w:lvlJc w:val="right"/>
      <w:pPr>
        <w:tabs>
          <w:tab w:val="num" w:pos="7200"/>
        </w:tabs>
        <w:ind w:left="7200" w:hanging="180"/>
      </w:pPr>
    </w:lvl>
  </w:abstractNum>
  <w:abstractNum w:abstractNumId="38" w15:restartNumberingAfterBreak="0">
    <w:nsid w:val="7F9C5276"/>
    <w:multiLevelType w:val="hybridMultilevel"/>
    <w:tmpl w:val="71043576"/>
    <w:lvl w:ilvl="0" w:tplc="5CCC6834">
      <w:start w:val="1"/>
      <w:numFmt w:val="decimal"/>
      <w:lvlText w:val="%1."/>
      <w:lvlJc w:val="left"/>
      <w:pPr>
        <w:ind w:left="1020" w:hanging="360"/>
      </w:pPr>
    </w:lvl>
    <w:lvl w:ilvl="1" w:tplc="FB78EEE0">
      <w:start w:val="1"/>
      <w:numFmt w:val="decimal"/>
      <w:lvlText w:val="%2."/>
      <w:lvlJc w:val="left"/>
      <w:pPr>
        <w:ind w:left="1020" w:hanging="360"/>
      </w:pPr>
    </w:lvl>
    <w:lvl w:ilvl="2" w:tplc="C464A4EC">
      <w:start w:val="1"/>
      <w:numFmt w:val="decimal"/>
      <w:lvlText w:val="%3."/>
      <w:lvlJc w:val="left"/>
      <w:pPr>
        <w:ind w:left="1020" w:hanging="360"/>
      </w:pPr>
    </w:lvl>
    <w:lvl w:ilvl="3" w:tplc="9A76142A">
      <w:start w:val="1"/>
      <w:numFmt w:val="decimal"/>
      <w:lvlText w:val="%4."/>
      <w:lvlJc w:val="left"/>
      <w:pPr>
        <w:ind w:left="1020" w:hanging="360"/>
      </w:pPr>
    </w:lvl>
    <w:lvl w:ilvl="4" w:tplc="16843AA4">
      <w:start w:val="1"/>
      <w:numFmt w:val="decimal"/>
      <w:lvlText w:val="%5."/>
      <w:lvlJc w:val="left"/>
      <w:pPr>
        <w:ind w:left="1020" w:hanging="360"/>
      </w:pPr>
    </w:lvl>
    <w:lvl w:ilvl="5" w:tplc="23D6285C">
      <w:start w:val="1"/>
      <w:numFmt w:val="decimal"/>
      <w:lvlText w:val="%6."/>
      <w:lvlJc w:val="left"/>
      <w:pPr>
        <w:ind w:left="1020" w:hanging="360"/>
      </w:pPr>
    </w:lvl>
    <w:lvl w:ilvl="6" w:tplc="AEBCE84E">
      <w:start w:val="1"/>
      <w:numFmt w:val="decimal"/>
      <w:lvlText w:val="%7."/>
      <w:lvlJc w:val="left"/>
      <w:pPr>
        <w:ind w:left="1020" w:hanging="360"/>
      </w:pPr>
    </w:lvl>
    <w:lvl w:ilvl="7" w:tplc="7500E0F0">
      <w:start w:val="1"/>
      <w:numFmt w:val="decimal"/>
      <w:lvlText w:val="%8."/>
      <w:lvlJc w:val="left"/>
      <w:pPr>
        <w:ind w:left="1020" w:hanging="360"/>
      </w:pPr>
    </w:lvl>
    <w:lvl w:ilvl="8" w:tplc="E2405A2A">
      <w:start w:val="1"/>
      <w:numFmt w:val="decimal"/>
      <w:lvlText w:val="%9."/>
      <w:lvlJc w:val="left"/>
      <w:pPr>
        <w:ind w:left="1020" w:hanging="360"/>
      </w:pPr>
    </w:lvl>
  </w:abstractNum>
  <w:num w:numId="1" w16cid:durableId="1749109160">
    <w:abstractNumId w:val="16"/>
  </w:num>
  <w:num w:numId="2" w16cid:durableId="1270162788">
    <w:abstractNumId w:val="37"/>
  </w:num>
  <w:num w:numId="3" w16cid:durableId="1754930659">
    <w:abstractNumId w:val="3"/>
  </w:num>
  <w:num w:numId="4" w16cid:durableId="410388863">
    <w:abstractNumId w:val="10"/>
  </w:num>
  <w:num w:numId="5" w16cid:durableId="1821774551">
    <w:abstractNumId w:val="35"/>
  </w:num>
  <w:num w:numId="6" w16cid:durableId="758334604">
    <w:abstractNumId w:val="11"/>
  </w:num>
  <w:num w:numId="7" w16cid:durableId="1414619933">
    <w:abstractNumId w:val="13"/>
  </w:num>
  <w:num w:numId="8" w16cid:durableId="747844684">
    <w:abstractNumId w:val="15"/>
  </w:num>
  <w:num w:numId="9" w16cid:durableId="1180662619">
    <w:abstractNumId w:val="24"/>
  </w:num>
  <w:num w:numId="10" w16cid:durableId="1993099311">
    <w:abstractNumId w:val="5"/>
  </w:num>
  <w:num w:numId="11" w16cid:durableId="1728722686">
    <w:abstractNumId w:val="6"/>
  </w:num>
  <w:num w:numId="12" w16cid:durableId="432748491">
    <w:abstractNumId w:val="22"/>
  </w:num>
  <w:num w:numId="13" w16cid:durableId="502739959">
    <w:abstractNumId w:val="28"/>
  </w:num>
  <w:num w:numId="14" w16cid:durableId="383607931">
    <w:abstractNumId w:val="30"/>
  </w:num>
  <w:num w:numId="15" w16cid:durableId="815948720">
    <w:abstractNumId w:val="33"/>
  </w:num>
  <w:num w:numId="16" w16cid:durableId="1960604585">
    <w:abstractNumId w:val="32"/>
  </w:num>
  <w:num w:numId="17" w16cid:durableId="248393304">
    <w:abstractNumId w:val="14"/>
  </w:num>
  <w:num w:numId="18" w16cid:durableId="849104850">
    <w:abstractNumId w:val="21"/>
  </w:num>
  <w:num w:numId="19" w16cid:durableId="1433041385">
    <w:abstractNumId w:val="19"/>
  </w:num>
  <w:num w:numId="20" w16cid:durableId="814759832">
    <w:abstractNumId w:val="36"/>
  </w:num>
  <w:num w:numId="21" w16cid:durableId="1337341280">
    <w:abstractNumId w:val="4"/>
  </w:num>
  <w:num w:numId="22" w16cid:durableId="958028565">
    <w:abstractNumId w:val="2"/>
  </w:num>
  <w:num w:numId="23" w16cid:durableId="1269311685">
    <w:abstractNumId w:val="20"/>
  </w:num>
  <w:num w:numId="24" w16cid:durableId="2114745845">
    <w:abstractNumId w:val="9"/>
  </w:num>
  <w:num w:numId="25" w16cid:durableId="709690138">
    <w:abstractNumId w:val="12"/>
  </w:num>
  <w:num w:numId="26" w16cid:durableId="412825490">
    <w:abstractNumId w:val="17"/>
  </w:num>
  <w:num w:numId="27" w16cid:durableId="1407531466">
    <w:abstractNumId w:val="29"/>
  </w:num>
  <w:num w:numId="28" w16cid:durableId="2078552878">
    <w:abstractNumId w:val="8"/>
  </w:num>
  <w:num w:numId="29" w16cid:durableId="1750273237">
    <w:abstractNumId w:val="31"/>
  </w:num>
  <w:num w:numId="30" w16cid:durableId="1046444482">
    <w:abstractNumId w:val="38"/>
  </w:num>
  <w:num w:numId="31" w16cid:durableId="1792895354">
    <w:abstractNumId w:val="23"/>
  </w:num>
  <w:num w:numId="32" w16cid:durableId="1812206263">
    <w:abstractNumId w:val="18"/>
  </w:num>
  <w:num w:numId="33" w16cid:durableId="1097406995">
    <w:abstractNumId w:val="0"/>
  </w:num>
  <w:num w:numId="34" w16cid:durableId="859046891">
    <w:abstractNumId w:val="7"/>
  </w:num>
  <w:num w:numId="35" w16cid:durableId="1189294168">
    <w:abstractNumId w:val="16"/>
  </w:num>
  <w:num w:numId="36" w16cid:durableId="1923681232">
    <w:abstractNumId w:val="26"/>
  </w:num>
  <w:num w:numId="37" w16cid:durableId="1837837336">
    <w:abstractNumId w:val="27"/>
  </w:num>
  <w:num w:numId="38" w16cid:durableId="1669484051">
    <w:abstractNumId w:val="16"/>
  </w:num>
  <w:num w:numId="39" w16cid:durableId="845755090">
    <w:abstractNumId w:val="16"/>
  </w:num>
  <w:num w:numId="40" w16cid:durableId="812673811">
    <w:abstractNumId w:val="16"/>
  </w:num>
  <w:num w:numId="41" w16cid:durableId="1123885799">
    <w:abstractNumId w:val="16"/>
  </w:num>
  <w:num w:numId="42" w16cid:durableId="408892198">
    <w:abstractNumId w:val="34"/>
  </w:num>
  <w:num w:numId="43" w16cid:durableId="1244293648">
    <w:abstractNumId w:val="25"/>
  </w:num>
  <w:num w:numId="44" w16cid:durableId="297418574">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7F1"/>
    <w:rsid w:val="00000638"/>
    <w:rsid w:val="000006FD"/>
    <w:rsid w:val="0000109A"/>
    <w:rsid w:val="00001555"/>
    <w:rsid w:val="00001AE6"/>
    <w:rsid w:val="00001D55"/>
    <w:rsid w:val="00001E0B"/>
    <w:rsid w:val="00001EEF"/>
    <w:rsid w:val="00002218"/>
    <w:rsid w:val="000032D4"/>
    <w:rsid w:val="00003972"/>
    <w:rsid w:val="00004D69"/>
    <w:rsid w:val="00004F7F"/>
    <w:rsid w:val="000054C9"/>
    <w:rsid w:val="000058E4"/>
    <w:rsid w:val="00006741"/>
    <w:rsid w:val="00006EE0"/>
    <w:rsid w:val="00007D8F"/>
    <w:rsid w:val="00007E66"/>
    <w:rsid w:val="000100EA"/>
    <w:rsid w:val="0001021B"/>
    <w:rsid w:val="00010290"/>
    <w:rsid w:val="00010444"/>
    <w:rsid w:val="00010D0F"/>
    <w:rsid w:val="0001121D"/>
    <w:rsid w:val="00011568"/>
    <w:rsid w:val="0001187F"/>
    <w:rsid w:val="00011FB3"/>
    <w:rsid w:val="00012B6F"/>
    <w:rsid w:val="00012BBF"/>
    <w:rsid w:val="00012D0E"/>
    <w:rsid w:val="00013E3B"/>
    <w:rsid w:val="000142AD"/>
    <w:rsid w:val="00014923"/>
    <w:rsid w:val="00014974"/>
    <w:rsid w:val="000156E9"/>
    <w:rsid w:val="000157E8"/>
    <w:rsid w:val="000158A2"/>
    <w:rsid w:val="00015A82"/>
    <w:rsid w:val="00015B0F"/>
    <w:rsid w:val="00016670"/>
    <w:rsid w:val="00016861"/>
    <w:rsid w:val="00016C1B"/>
    <w:rsid w:val="00017200"/>
    <w:rsid w:val="00020C5A"/>
    <w:rsid w:val="00020DB4"/>
    <w:rsid w:val="00020F8B"/>
    <w:rsid w:val="000228B8"/>
    <w:rsid w:val="0002291B"/>
    <w:rsid w:val="0002381B"/>
    <w:rsid w:val="00023BFC"/>
    <w:rsid w:val="00023ED1"/>
    <w:rsid w:val="000244C1"/>
    <w:rsid w:val="00024EA5"/>
    <w:rsid w:val="000253E8"/>
    <w:rsid w:val="00025893"/>
    <w:rsid w:val="000262CC"/>
    <w:rsid w:val="000269F7"/>
    <w:rsid w:val="00026D80"/>
    <w:rsid w:val="0002755F"/>
    <w:rsid w:val="0003095C"/>
    <w:rsid w:val="00030BB8"/>
    <w:rsid w:val="00030FAE"/>
    <w:rsid w:val="0003155C"/>
    <w:rsid w:val="00031814"/>
    <w:rsid w:val="00031824"/>
    <w:rsid w:val="000322BF"/>
    <w:rsid w:val="0003261E"/>
    <w:rsid w:val="00032819"/>
    <w:rsid w:val="0003423A"/>
    <w:rsid w:val="0003477F"/>
    <w:rsid w:val="000349B3"/>
    <w:rsid w:val="0003641D"/>
    <w:rsid w:val="00036AD8"/>
    <w:rsid w:val="00037037"/>
    <w:rsid w:val="00037302"/>
    <w:rsid w:val="000379E9"/>
    <w:rsid w:val="0004005D"/>
    <w:rsid w:val="000404F3"/>
    <w:rsid w:val="00040580"/>
    <w:rsid w:val="00040ADF"/>
    <w:rsid w:val="00040FB4"/>
    <w:rsid w:val="000410A3"/>
    <w:rsid w:val="0004178C"/>
    <w:rsid w:val="00041A7B"/>
    <w:rsid w:val="00041F5D"/>
    <w:rsid w:val="00042F34"/>
    <w:rsid w:val="00043301"/>
    <w:rsid w:val="0004394E"/>
    <w:rsid w:val="00043C1D"/>
    <w:rsid w:val="00043D8B"/>
    <w:rsid w:val="00043F38"/>
    <w:rsid w:val="000443A6"/>
    <w:rsid w:val="000449D1"/>
    <w:rsid w:val="00045B8D"/>
    <w:rsid w:val="00045CC5"/>
    <w:rsid w:val="00046139"/>
    <w:rsid w:val="0004649D"/>
    <w:rsid w:val="00046A9C"/>
    <w:rsid w:val="00046B6A"/>
    <w:rsid w:val="0004721A"/>
    <w:rsid w:val="000472D4"/>
    <w:rsid w:val="0004778A"/>
    <w:rsid w:val="00050B73"/>
    <w:rsid w:val="000514FE"/>
    <w:rsid w:val="00052294"/>
    <w:rsid w:val="000523F7"/>
    <w:rsid w:val="00052DB7"/>
    <w:rsid w:val="00052DD3"/>
    <w:rsid w:val="0005326D"/>
    <w:rsid w:val="00053F6C"/>
    <w:rsid w:val="000541F0"/>
    <w:rsid w:val="000552D1"/>
    <w:rsid w:val="000556D3"/>
    <w:rsid w:val="00055FB5"/>
    <w:rsid w:val="000562E0"/>
    <w:rsid w:val="00056D8A"/>
    <w:rsid w:val="00056E99"/>
    <w:rsid w:val="00056FD2"/>
    <w:rsid w:val="000570F7"/>
    <w:rsid w:val="0005751E"/>
    <w:rsid w:val="00057B20"/>
    <w:rsid w:val="00057DCE"/>
    <w:rsid w:val="00060811"/>
    <w:rsid w:val="000615B3"/>
    <w:rsid w:val="00061AC4"/>
    <w:rsid w:val="000626E6"/>
    <w:rsid w:val="00062B9C"/>
    <w:rsid w:val="0006339C"/>
    <w:rsid w:val="000639B6"/>
    <w:rsid w:val="00063AFE"/>
    <w:rsid w:val="00064783"/>
    <w:rsid w:val="000647C2"/>
    <w:rsid w:val="00064943"/>
    <w:rsid w:val="00064D23"/>
    <w:rsid w:val="00064DFC"/>
    <w:rsid w:val="00065A87"/>
    <w:rsid w:val="00065F3A"/>
    <w:rsid w:val="0006702C"/>
    <w:rsid w:val="00067727"/>
    <w:rsid w:val="000678B0"/>
    <w:rsid w:val="0007021F"/>
    <w:rsid w:val="000702FA"/>
    <w:rsid w:val="000709A0"/>
    <w:rsid w:val="00070B4E"/>
    <w:rsid w:val="00071BD4"/>
    <w:rsid w:val="00071CEF"/>
    <w:rsid w:val="00071E5F"/>
    <w:rsid w:val="000724A0"/>
    <w:rsid w:val="00073683"/>
    <w:rsid w:val="00074199"/>
    <w:rsid w:val="00074EF1"/>
    <w:rsid w:val="000768DC"/>
    <w:rsid w:val="000777DB"/>
    <w:rsid w:val="00080241"/>
    <w:rsid w:val="0008148B"/>
    <w:rsid w:val="00081778"/>
    <w:rsid w:val="000826A2"/>
    <w:rsid w:val="00082E5F"/>
    <w:rsid w:val="00083970"/>
    <w:rsid w:val="000846E9"/>
    <w:rsid w:val="00084D74"/>
    <w:rsid w:val="00084ECE"/>
    <w:rsid w:val="00085E8D"/>
    <w:rsid w:val="00085F67"/>
    <w:rsid w:val="000868B9"/>
    <w:rsid w:val="000870B6"/>
    <w:rsid w:val="0008750D"/>
    <w:rsid w:val="00090017"/>
    <w:rsid w:val="00090613"/>
    <w:rsid w:val="00090BD1"/>
    <w:rsid w:val="00091857"/>
    <w:rsid w:val="00091C59"/>
    <w:rsid w:val="00092A21"/>
    <w:rsid w:val="00092ABF"/>
    <w:rsid w:val="00092EBC"/>
    <w:rsid w:val="000936FA"/>
    <w:rsid w:val="00093A97"/>
    <w:rsid w:val="00093D9A"/>
    <w:rsid w:val="00094307"/>
    <w:rsid w:val="00094656"/>
    <w:rsid w:val="000949FF"/>
    <w:rsid w:val="000950EC"/>
    <w:rsid w:val="00095494"/>
    <w:rsid w:val="0009576F"/>
    <w:rsid w:val="00096B52"/>
    <w:rsid w:val="00097D66"/>
    <w:rsid w:val="000A00FD"/>
    <w:rsid w:val="000A018C"/>
    <w:rsid w:val="000A052B"/>
    <w:rsid w:val="000A05AE"/>
    <w:rsid w:val="000A07DC"/>
    <w:rsid w:val="000A10BF"/>
    <w:rsid w:val="000A2505"/>
    <w:rsid w:val="000A2532"/>
    <w:rsid w:val="000A2ACD"/>
    <w:rsid w:val="000A2B65"/>
    <w:rsid w:val="000A2DA8"/>
    <w:rsid w:val="000A3404"/>
    <w:rsid w:val="000A3DBA"/>
    <w:rsid w:val="000A4639"/>
    <w:rsid w:val="000A55C7"/>
    <w:rsid w:val="000A596F"/>
    <w:rsid w:val="000A5C47"/>
    <w:rsid w:val="000A5F28"/>
    <w:rsid w:val="000A629E"/>
    <w:rsid w:val="000A6718"/>
    <w:rsid w:val="000A6B30"/>
    <w:rsid w:val="000B0C54"/>
    <w:rsid w:val="000B0F99"/>
    <w:rsid w:val="000B21AF"/>
    <w:rsid w:val="000B21F0"/>
    <w:rsid w:val="000B282B"/>
    <w:rsid w:val="000B2AB3"/>
    <w:rsid w:val="000B2EC8"/>
    <w:rsid w:val="000B2EE9"/>
    <w:rsid w:val="000B304C"/>
    <w:rsid w:val="000B3330"/>
    <w:rsid w:val="000B44B5"/>
    <w:rsid w:val="000B4AB8"/>
    <w:rsid w:val="000B4BFB"/>
    <w:rsid w:val="000B4D5D"/>
    <w:rsid w:val="000B6318"/>
    <w:rsid w:val="000B6B37"/>
    <w:rsid w:val="000B6CF0"/>
    <w:rsid w:val="000B720C"/>
    <w:rsid w:val="000B7665"/>
    <w:rsid w:val="000C0ACD"/>
    <w:rsid w:val="000C0FCE"/>
    <w:rsid w:val="000C145D"/>
    <w:rsid w:val="000C2C57"/>
    <w:rsid w:val="000C327B"/>
    <w:rsid w:val="000C3C47"/>
    <w:rsid w:val="000C4101"/>
    <w:rsid w:val="000C4252"/>
    <w:rsid w:val="000C5638"/>
    <w:rsid w:val="000C57E2"/>
    <w:rsid w:val="000C6DFD"/>
    <w:rsid w:val="000C7C46"/>
    <w:rsid w:val="000D0232"/>
    <w:rsid w:val="000D03E8"/>
    <w:rsid w:val="000D0614"/>
    <w:rsid w:val="000D06EC"/>
    <w:rsid w:val="000D13D1"/>
    <w:rsid w:val="000D1B52"/>
    <w:rsid w:val="000D2140"/>
    <w:rsid w:val="000D2AED"/>
    <w:rsid w:val="000D2F18"/>
    <w:rsid w:val="000D30E6"/>
    <w:rsid w:val="000D4373"/>
    <w:rsid w:val="000D4C1B"/>
    <w:rsid w:val="000D5523"/>
    <w:rsid w:val="000D57DB"/>
    <w:rsid w:val="000D679A"/>
    <w:rsid w:val="000D6D46"/>
    <w:rsid w:val="000D7031"/>
    <w:rsid w:val="000D7C1F"/>
    <w:rsid w:val="000E03DC"/>
    <w:rsid w:val="000E0622"/>
    <w:rsid w:val="000E08B1"/>
    <w:rsid w:val="000E08DA"/>
    <w:rsid w:val="000E1124"/>
    <w:rsid w:val="000E2DEC"/>
    <w:rsid w:val="000E3A20"/>
    <w:rsid w:val="000E48CC"/>
    <w:rsid w:val="000E54B9"/>
    <w:rsid w:val="000E5531"/>
    <w:rsid w:val="000E6315"/>
    <w:rsid w:val="000E6410"/>
    <w:rsid w:val="000E644C"/>
    <w:rsid w:val="000E678B"/>
    <w:rsid w:val="000E6B90"/>
    <w:rsid w:val="000E77A9"/>
    <w:rsid w:val="000F067A"/>
    <w:rsid w:val="000F1001"/>
    <w:rsid w:val="000F104D"/>
    <w:rsid w:val="000F1D4E"/>
    <w:rsid w:val="000F2B4A"/>
    <w:rsid w:val="000F2E01"/>
    <w:rsid w:val="000F2F23"/>
    <w:rsid w:val="000F39AF"/>
    <w:rsid w:val="000F43D3"/>
    <w:rsid w:val="000F4404"/>
    <w:rsid w:val="000F502C"/>
    <w:rsid w:val="000F59EB"/>
    <w:rsid w:val="000F5A54"/>
    <w:rsid w:val="000F5FC7"/>
    <w:rsid w:val="000F60AA"/>
    <w:rsid w:val="000F7162"/>
    <w:rsid w:val="000F71B0"/>
    <w:rsid w:val="000F71F4"/>
    <w:rsid w:val="000F7233"/>
    <w:rsid w:val="000F7987"/>
    <w:rsid w:val="000F7E90"/>
    <w:rsid w:val="0010051C"/>
    <w:rsid w:val="00100883"/>
    <w:rsid w:val="001013F9"/>
    <w:rsid w:val="00102770"/>
    <w:rsid w:val="00102A2D"/>
    <w:rsid w:val="00102B98"/>
    <w:rsid w:val="00102C3C"/>
    <w:rsid w:val="001041CD"/>
    <w:rsid w:val="001042F2"/>
    <w:rsid w:val="0010448B"/>
    <w:rsid w:val="0010521F"/>
    <w:rsid w:val="0010625A"/>
    <w:rsid w:val="001062B4"/>
    <w:rsid w:val="00106A66"/>
    <w:rsid w:val="00107524"/>
    <w:rsid w:val="0010757D"/>
    <w:rsid w:val="001079B3"/>
    <w:rsid w:val="00107B09"/>
    <w:rsid w:val="00107DCD"/>
    <w:rsid w:val="00107E61"/>
    <w:rsid w:val="00107EF0"/>
    <w:rsid w:val="00110140"/>
    <w:rsid w:val="00110A75"/>
    <w:rsid w:val="00110B5C"/>
    <w:rsid w:val="0011125E"/>
    <w:rsid w:val="00111417"/>
    <w:rsid w:val="00112C61"/>
    <w:rsid w:val="00113778"/>
    <w:rsid w:val="00113C60"/>
    <w:rsid w:val="0011438E"/>
    <w:rsid w:val="0011475E"/>
    <w:rsid w:val="00114C3B"/>
    <w:rsid w:val="00115691"/>
    <w:rsid w:val="00116190"/>
    <w:rsid w:val="00116B7F"/>
    <w:rsid w:val="00117039"/>
    <w:rsid w:val="0011729A"/>
    <w:rsid w:val="00117F04"/>
    <w:rsid w:val="00120710"/>
    <w:rsid w:val="00120B5D"/>
    <w:rsid w:val="00120BD3"/>
    <w:rsid w:val="00120EDD"/>
    <w:rsid w:val="0012206A"/>
    <w:rsid w:val="001224BB"/>
    <w:rsid w:val="00122579"/>
    <w:rsid w:val="00122AE3"/>
    <w:rsid w:val="00122EE1"/>
    <w:rsid w:val="00123658"/>
    <w:rsid w:val="001237AF"/>
    <w:rsid w:val="0012450E"/>
    <w:rsid w:val="001247EB"/>
    <w:rsid w:val="00124935"/>
    <w:rsid w:val="00124961"/>
    <w:rsid w:val="00124D49"/>
    <w:rsid w:val="00124F3C"/>
    <w:rsid w:val="00125B61"/>
    <w:rsid w:val="00126122"/>
    <w:rsid w:val="001264EE"/>
    <w:rsid w:val="001266E6"/>
    <w:rsid w:val="001274DA"/>
    <w:rsid w:val="00131A02"/>
    <w:rsid w:val="00131D45"/>
    <w:rsid w:val="001320F0"/>
    <w:rsid w:val="00132E81"/>
    <w:rsid w:val="00133063"/>
    <w:rsid w:val="0013345F"/>
    <w:rsid w:val="001336E0"/>
    <w:rsid w:val="00133D06"/>
    <w:rsid w:val="00133F34"/>
    <w:rsid w:val="0013483B"/>
    <w:rsid w:val="00134C2C"/>
    <w:rsid w:val="00135273"/>
    <w:rsid w:val="0013585D"/>
    <w:rsid w:val="00135883"/>
    <w:rsid w:val="00135FC9"/>
    <w:rsid w:val="001360FD"/>
    <w:rsid w:val="00136662"/>
    <w:rsid w:val="00136E11"/>
    <w:rsid w:val="00140013"/>
    <w:rsid w:val="00140191"/>
    <w:rsid w:val="0014087A"/>
    <w:rsid w:val="00140D26"/>
    <w:rsid w:val="001410F3"/>
    <w:rsid w:val="001416CA"/>
    <w:rsid w:val="001416D1"/>
    <w:rsid w:val="00141D7C"/>
    <w:rsid w:val="00141DCB"/>
    <w:rsid w:val="00142A01"/>
    <w:rsid w:val="00142D23"/>
    <w:rsid w:val="00143478"/>
    <w:rsid w:val="001439AA"/>
    <w:rsid w:val="00143F2E"/>
    <w:rsid w:val="00143F2F"/>
    <w:rsid w:val="001440BD"/>
    <w:rsid w:val="00144AC9"/>
    <w:rsid w:val="00145FFB"/>
    <w:rsid w:val="0014630D"/>
    <w:rsid w:val="00146624"/>
    <w:rsid w:val="00146ED1"/>
    <w:rsid w:val="00147CC4"/>
    <w:rsid w:val="00150283"/>
    <w:rsid w:val="00150376"/>
    <w:rsid w:val="00150831"/>
    <w:rsid w:val="0015086D"/>
    <w:rsid w:val="001509D0"/>
    <w:rsid w:val="00150A4E"/>
    <w:rsid w:val="00150E79"/>
    <w:rsid w:val="00151C8D"/>
    <w:rsid w:val="00151DBD"/>
    <w:rsid w:val="001521A9"/>
    <w:rsid w:val="00152726"/>
    <w:rsid w:val="00152C07"/>
    <w:rsid w:val="001531D6"/>
    <w:rsid w:val="001539AF"/>
    <w:rsid w:val="00153B79"/>
    <w:rsid w:val="00153BE7"/>
    <w:rsid w:val="00153E2E"/>
    <w:rsid w:val="00154203"/>
    <w:rsid w:val="00154764"/>
    <w:rsid w:val="001552B1"/>
    <w:rsid w:val="00155434"/>
    <w:rsid w:val="00155534"/>
    <w:rsid w:val="00155BDA"/>
    <w:rsid w:val="001566D4"/>
    <w:rsid w:val="00156761"/>
    <w:rsid w:val="00156B1C"/>
    <w:rsid w:val="00156FA7"/>
    <w:rsid w:val="00157A5E"/>
    <w:rsid w:val="0016017A"/>
    <w:rsid w:val="0016023A"/>
    <w:rsid w:val="00160F84"/>
    <w:rsid w:val="0016183F"/>
    <w:rsid w:val="00161D18"/>
    <w:rsid w:val="00162090"/>
    <w:rsid w:val="00162875"/>
    <w:rsid w:val="00162DBF"/>
    <w:rsid w:val="0016417A"/>
    <w:rsid w:val="001642D3"/>
    <w:rsid w:val="001645B3"/>
    <w:rsid w:val="00164CF8"/>
    <w:rsid w:val="001653AE"/>
    <w:rsid w:val="0016551D"/>
    <w:rsid w:val="00165DD7"/>
    <w:rsid w:val="001666D2"/>
    <w:rsid w:val="0016688B"/>
    <w:rsid w:val="00166C4A"/>
    <w:rsid w:val="001705B7"/>
    <w:rsid w:val="00170849"/>
    <w:rsid w:val="00170D5B"/>
    <w:rsid w:val="00170EF7"/>
    <w:rsid w:val="00171579"/>
    <w:rsid w:val="001715A0"/>
    <w:rsid w:val="001719A4"/>
    <w:rsid w:val="00171E02"/>
    <w:rsid w:val="00171E6F"/>
    <w:rsid w:val="00172B8F"/>
    <w:rsid w:val="00173031"/>
    <w:rsid w:val="001736F8"/>
    <w:rsid w:val="00173D85"/>
    <w:rsid w:val="00173F13"/>
    <w:rsid w:val="00174332"/>
    <w:rsid w:val="0017493B"/>
    <w:rsid w:val="00174ADB"/>
    <w:rsid w:val="00174D3F"/>
    <w:rsid w:val="00174E02"/>
    <w:rsid w:val="00174FD4"/>
    <w:rsid w:val="00175D89"/>
    <w:rsid w:val="00176023"/>
    <w:rsid w:val="001765E9"/>
    <w:rsid w:val="00176DE6"/>
    <w:rsid w:val="00177200"/>
    <w:rsid w:val="001809A7"/>
    <w:rsid w:val="00181097"/>
    <w:rsid w:val="00181740"/>
    <w:rsid w:val="00182C9F"/>
    <w:rsid w:val="00183423"/>
    <w:rsid w:val="001839A9"/>
    <w:rsid w:val="0018427A"/>
    <w:rsid w:val="00184BAE"/>
    <w:rsid w:val="00184BC9"/>
    <w:rsid w:val="0018505D"/>
    <w:rsid w:val="00185405"/>
    <w:rsid w:val="001863B0"/>
    <w:rsid w:val="00186461"/>
    <w:rsid w:val="00186ED3"/>
    <w:rsid w:val="0018798F"/>
    <w:rsid w:val="0019090A"/>
    <w:rsid w:val="0019165A"/>
    <w:rsid w:val="00191951"/>
    <w:rsid w:val="00191D11"/>
    <w:rsid w:val="00191D73"/>
    <w:rsid w:val="001929CD"/>
    <w:rsid w:val="00192A47"/>
    <w:rsid w:val="0019311D"/>
    <w:rsid w:val="001935A1"/>
    <w:rsid w:val="0019362A"/>
    <w:rsid w:val="00193873"/>
    <w:rsid w:val="0019464A"/>
    <w:rsid w:val="0019474E"/>
    <w:rsid w:val="00195619"/>
    <w:rsid w:val="00195728"/>
    <w:rsid w:val="0019581F"/>
    <w:rsid w:val="00195B12"/>
    <w:rsid w:val="0019653E"/>
    <w:rsid w:val="00196B7C"/>
    <w:rsid w:val="00196BEF"/>
    <w:rsid w:val="00196C23"/>
    <w:rsid w:val="00196C37"/>
    <w:rsid w:val="00196FDC"/>
    <w:rsid w:val="001970C0"/>
    <w:rsid w:val="00197634"/>
    <w:rsid w:val="001977CC"/>
    <w:rsid w:val="001A0597"/>
    <w:rsid w:val="001A0ACD"/>
    <w:rsid w:val="001A1486"/>
    <w:rsid w:val="001A1CB7"/>
    <w:rsid w:val="001A2D82"/>
    <w:rsid w:val="001A3527"/>
    <w:rsid w:val="001A38AA"/>
    <w:rsid w:val="001A420B"/>
    <w:rsid w:val="001A430F"/>
    <w:rsid w:val="001A4B97"/>
    <w:rsid w:val="001A4F7D"/>
    <w:rsid w:val="001A52FD"/>
    <w:rsid w:val="001A5538"/>
    <w:rsid w:val="001A575E"/>
    <w:rsid w:val="001A5C34"/>
    <w:rsid w:val="001A6078"/>
    <w:rsid w:val="001A635F"/>
    <w:rsid w:val="001A658F"/>
    <w:rsid w:val="001A676C"/>
    <w:rsid w:val="001A6901"/>
    <w:rsid w:val="001A69A3"/>
    <w:rsid w:val="001A7B42"/>
    <w:rsid w:val="001A7D8F"/>
    <w:rsid w:val="001B01DB"/>
    <w:rsid w:val="001B0464"/>
    <w:rsid w:val="001B0582"/>
    <w:rsid w:val="001B0878"/>
    <w:rsid w:val="001B08E4"/>
    <w:rsid w:val="001B132A"/>
    <w:rsid w:val="001B133A"/>
    <w:rsid w:val="001B1ECE"/>
    <w:rsid w:val="001B2A97"/>
    <w:rsid w:val="001B2CD4"/>
    <w:rsid w:val="001B38E0"/>
    <w:rsid w:val="001B4C7E"/>
    <w:rsid w:val="001B4F3D"/>
    <w:rsid w:val="001B5FF9"/>
    <w:rsid w:val="001B6C41"/>
    <w:rsid w:val="001B7329"/>
    <w:rsid w:val="001C046A"/>
    <w:rsid w:val="001C1488"/>
    <w:rsid w:val="001C174A"/>
    <w:rsid w:val="001C1D05"/>
    <w:rsid w:val="001C1F55"/>
    <w:rsid w:val="001C27EA"/>
    <w:rsid w:val="001C2A48"/>
    <w:rsid w:val="001C358F"/>
    <w:rsid w:val="001C36FD"/>
    <w:rsid w:val="001C442A"/>
    <w:rsid w:val="001C49B8"/>
    <w:rsid w:val="001C531D"/>
    <w:rsid w:val="001C5F1D"/>
    <w:rsid w:val="001C69E3"/>
    <w:rsid w:val="001C6DFD"/>
    <w:rsid w:val="001C708A"/>
    <w:rsid w:val="001C7F6C"/>
    <w:rsid w:val="001D0C56"/>
    <w:rsid w:val="001D19B1"/>
    <w:rsid w:val="001D32C0"/>
    <w:rsid w:val="001D3A17"/>
    <w:rsid w:val="001D3A64"/>
    <w:rsid w:val="001D408E"/>
    <w:rsid w:val="001D4AD9"/>
    <w:rsid w:val="001D50A7"/>
    <w:rsid w:val="001D5793"/>
    <w:rsid w:val="001D5891"/>
    <w:rsid w:val="001D5FDF"/>
    <w:rsid w:val="001D62E1"/>
    <w:rsid w:val="001D6BD7"/>
    <w:rsid w:val="001D74A7"/>
    <w:rsid w:val="001D74F3"/>
    <w:rsid w:val="001D79A4"/>
    <w:rsid w:val="001E1215"/>
    <w:rsid w:val="001E15F2"/>
    <w:rsid w:val="001E16E9"/>
    <w:rsid w:val="001E17FA"/>
    <w:rsid w:val="001E22F7"/>
    <w:rsid w:val="001E3892"/>
    <w:rsid w:val="001E465F"/>
    <w:rsid w:val="001E4919"/>
    <w:rsid w:val="001E5DC9"/>
    <w:rsid w:val="001E75AC"/>
    <w:rsid w:val="001E79DB"/>
    <w:rsid w:val="001F0154"/>
    <w:rsid w:val="001F0D44"/>
    <w:rsid w:val="001F16B1"/>
    <w:rsid w:val="001F188C"/>
    <w:rsid w:val="001F1AE4"/>
    <w:rsid w:val="001F2902"/>
    <w:rsid w:val="001F3F36"/>
    <w:rsid w:val="001F4EAF"/>
    <w:rsid w:val="001F5C1D"/>
    <w:rsid w:val="001F63BC"/>
    <w:rsid w:val="001F658C"/>
    <w:rsid w:val="001F675C"/>
    <w:rsid w:val="001F6F44"/>
    <w:rsid w:val="001F70AD"/>
    <w:rsid w:val="001F7563"/>
    <w:rsid w:val="002001C2"/>
    <w:rsid w:val="002008C8"/>
    <w:rsid w:val="00201070"/>
    <w:rsid w:val="00202234"/>
    <w:rsid w:val="00202EAE"/>
    <w:rsid w:val="00202F29"/>
    <w:rsid w:val="0020313D"/>
    <w:rsid w:val="00203902"/>
    <w:rsid w:val="00203E59"/>
    <w:rsid w:val="002040E4"/>
    <w:rsid w:val="002046FA"/>
    <w:rsid w:val="00204A85"/>
    <w:rsid w:val="00204D38"/>
    <w:rsid w:val="00205D5D"/>
    <w:rsid w:val="0020620E"/>
    <w:rsid w:val="00207F59"/>
    <w:rsid w:val="002112C8"/>
    <w:rsid w:val="00211328"/>
    <w:rsid w:val="00211B0A"/>
    <w:rsid w:val="00211C9B"/>
    <w:rsid w:val="00211DC3"/>
    <w:rsid w:val="00211FCE"/>
    <w:rsid w:val="0021200C"/>
    <w:rsid w:val="00212739"/>
    <w:rsid w:val="00212A08"/>
    <w:rsid w:val="0021439F"/>
    <w:rsid w:val="0021459F"/>
    <w:rsid w:val="00215313"/>
    <w:rsid w:val="002155B6"/>
    <w:rsid w:val="002157E4"/>
    <w:rsid w:val="00215AFB"/>
    <w:rsid w:val="00215C7A"/>
    <w:rsid w:val="00215DEA"/>
    <w:rsid w:val="00216709"/>
    <w:rsid w:val="00216AD5"/>
    <w:rsid w:val="002173F2"/>
    <w:rsid w:val="00217560"/>
    <w:rsid w:val="002177CC"/>
    <w:rsid w:val="002179E6"/>
    <w:rsid w:val="002200D8"/>
    <w:rsid w:val="00220151"/>
    <w:rsid w:val="0022035A"/>
    <w:rsid w:val="002204BC"/>
    <w:rsid w:val="00221859"/>
    <w:rsid w:val="00221AC9"/>
    <w:rsid w:val="00221CAE"/>
    <w:rsid w:val="00222562"/>
    <w:rsid w:val="00222BF5"/>
    <w:rsid w:val="00222F39"/>
    <w:rsid w:val="00222F48"/>
    <w:rsid w:val="0022328A"/>
    <w:rsid w:val="002233DB"/>
    <w:rsid w:val="00223664"/>
    <w:rsid w:val="00223A56"/>
    <w:rsid w:val="00224317"/>
    <w:rsid w:val="00225833"/>
    <w:rsid w:val="00225D40"/>
    <w:rsid w:val="00226095"/>
    <w:rsid w:val="002260CB"/>
    <w:rsid w:val="0022686B"/>
    <w:rsid w:val="002268DF"/>
    <w:rsid w:val="00227B89"/>
    <w:rsid w:val="00227F43"/>
    <w:rsid w:val="002303F1"/>
    <w:rsid w:val="00230477"/>
    <w:rsid w:val="0023049F"/>
    <w:rsid w:val="00230685"/>
    <w:rsid w:val="0023162B"/>
    <w:rsid w:val="002329AC"/>
    <w:rsid w:val="00232F8F"/>
    <w:rsid w:val="00233590"/>
    <w:rsid w:val="00233995"/>
    <w:rsid w:val="00234640"/>
    <w:rsid w:val="00234BC7"/>
    <w:rsid w:val="002351DA"/>
    <w:rsid w:val="00235251"/>
    <w:rsid w:val="0023528F"/>
    <w:rsid w:val="00235D88"/>
    <w:rsid w:val="00236FB7"/>
    <w:rsid w:val="002371B9"/>
    <w:rsid w:val="0023750F"/>
    <w:rsid w:val="00240106"/>
    <w:rsid w:val="002401EF"/>
    <w:rsid w:val="00240E98"/>
    <w:rsid w:val="002411C7"/>
    <w:rsid w:val="0024129D"/>
    <w:rsid w:val="0024256A"/>
    <w:rsid w:val="00242F4E"/>
    <w:rsid w:val="00243E55"/>
    <w:rsid w:val="00244B93"/>
    <w:rsid w:val="00244BAB"/>
    <w:rsid w:val="002452A0"/>
    <w:rsid w:val="00245902"/>
    <w:rsid w:val="0024629E"/>
    <w:rsid w:val="002463A6"/>
    <w:rsid w:val="002467C9"/>
    <w:rsid w:val="002469DF"/>
    <w:rsid w:val="00246ADB"/>
    <w:rsid w:val="002470F4"/>
    <w:rsid w:val="0025027B"/>
    <w:rsid w:val="00250FCC"/>
    <w:rsid w:val="00251169"/>
    <w:rsid w:val="002517A5"/>
    <w:rsid w:val="00251886"/>
    <w:rsid w:val="00251F6C"/>
    <w:rsid w:val="002520EB"/>
    <w:rsid w:val="0025249C"/>
    <w:rsid w:val="002529A6"/>
    <w:rsid w:val="00253215"/>
    <w:rsid w:val="00253741"/>
    <w:rsid w:val="002537EC"/>
    <w:rsid w:val="00253861"/>
    <w:rsid w:val="002539B7"/>
    <w:rsid w:val="002539ED"/>
    <w:rsid w:val="00253AE5"/>
    <w:rsid w:val="00253C21"/>
    <w:rsid w:val="00253C95"/>
    <w:rsid w:val="0025440D"/>
    <w:rsid w:val="0025448F"/>
    <w:rsid w:val="0025450E"/>
    <w:rsid w:val="00255152"/>
    <w:rsid w:val="002551C2"/>
    <w:rsid w:val="0025554E"/>
    <w:rsid w:val="00257C6D"/>
    <w:rsid w:val="0026019E"/>
    <w:rsid w:val="00261B14"/>
    <w:rsid w:val="002625FA"/>
    <w:rsid w:val="00262729"/>
    <w:rsid w:val="00262742"/>
    <w:rsid w:val="002627E2"/>
    <w:rsid w:val="00262BB3"/>
    <w:rsid w:val="00262DC7"/>
    <w:rsid w:val="002633F2"/>
    <w:rsid w:val="002638F4"/>
    <w:rsid w:val="00263D3B"/>
    <w:rsid w:val="002645CD"/>
    <w:rsid w:val="00264ECC"/>
    <w:rsid w:val="00266339"/>
    <w:rsid w:val="002667EF"/>
    <w:rsid w:val="00270031"/>
    <w:rsid w:val="00270406"/>
    <w:rsid w:val="0027086A"/>
    <w:rsid w:val="00270EE6"/>
    <w:rsid w:val="0027108C"/>
    <w:rsid w:val="002712A8"/>
    <w:rsid w:val="0027157C"/>
    <w:rsid w:val="0027160C"/>
    <w:rsid w:val="002717C6"/>
    <w:rsid w:val="00272087"/>
    <w:rsid w:val="00272C58"/>
    <w:rsid w:val="0027345B"/>
    <w:rsid w:val="0027363B"/>
    <w:rsid w:val="0027430D"/>
    <w:rsid w:val="00274DDC"/>
    <w:rsid w:val="00274FF5"/>
    <w:rsid w:val="002751D1"/>
    <w:rsid w:val="00275209"/>
    <w:rsid w:val="002758FE"/>
    <w:rsid w:val="00275908"/>
    <w:rsid w:val="002772EE"/>
    <w:rsid w:val="002774FD"/>
    <w:rsid w:val="00280BB3"/>
    <w:rsid w:val="002813CA"/>
    <w:rsid w:val="00281DBA"/>
    <w:rsid w:val="00282005"/>
    <w:rsid w:val="002820AA"/>
    <w:rsid w:val="0028210F"/>
    <w:rsid w:val="00283577"/>
    <w:rsid w:val="00283FAD"/>
    <w:rsid w:val="0028413A"/>
    <w:rsid w:val="00284340"/>
    <w:rsid w:val="00284710"/>
    <w:rsid w:val="00285353"/>
    <w:rsid w:val="00285926"/>
    <w:rsid w:val="00285BFC"/>
    <w:rsid w:val="00285CE2"/>
    <w:rsid w:val="00286B90"/>
    <w:rsid w:val="00287CC4"/>
    <w:rsid w:val="00287DCF"/>
    <w:rsid w:val="00287E78"/>
    <w:rsid w:val="0029006B"/>
    <w:rsid w:val="00290173"/>
    <w:rsid w:val="00290252"/>
    <w:rsid w:val="00290676"/>
    <w:rsid w:val="00290AD6"/>
    <w:rsid w:val="00291462"/>
    <w:rsid w:val="00291572"/>
    <w:rsid w:val="00291767"/>
    <w:rsid w:val="002925F2"/>
    <w:rsid w:val="00292A24"/>
    <w:rsid w:val="00293455"/>
    <w:rsid w:val="0029507C"/>
    <w:rsid w:val="00295790"/>
    <w:rsid w:val="0029620F"/>
    <w:rsid w:val="00296763"/>
    <w:rsid w:val="002967AF"/>
    <w:rsid w:val="00296DE3"/>
    <w:rsid w:val="00297543"/>
    <w:rsid w:val="002A02B8"/>
    <w:rsid w:val="002A03AC"/>
    <w:rsid w:val="002A04B4"/>
    <w:rsid w:val="002A145B"/>
    <w:rsid w:val="002A18BE"/>
    <w:rsid w:val="002A210B"/>
    <w:rsid w:val="002A36F6"/>
    <w:rsid w:val="002A38C3"/>
    <w:rsid w:val="002A3EB6"/>
    <w:rsid w:val="002A4084"/>
    <w:rsid w:val="002A4504"/>
    <w:rsid w:val="002A455C"/>
    <w:rsid w:val="002A4657"/>
    <w:rsid w:val="002A4A8D"/>
    <w:rsid w:val="002A4AD6"/>
    <w:rsid w:val="002A5616"/>
    <w:rsid w:val="002A57A6"/>
    <w:rsid w:val="002A5A59"/>
    <w:rsid w:val="002A7196"/>
    <w:rsid w:val="002A76AE"/>
    <w:rsid w:val="002B0DF1"/>
    <w:rsid w:val="002B1384"/>
    <w:rsid w:val="002B13BA"/>
    <w:rsid w:val="002B1A28"/>
    <w:rsid w:val="002B1BBF"/>
    <w:rsid w:val="002B24A5"/>
    <w:rsid w:val="002B2B17"/>
    <w:rsid w:val="002B2B4E"/>
    <w:rsid w:val="002B2BD1"/>
    <w:rsid w:val="002B3681"/>
    <w:rsid w:val="002B56BF"/>
    <w:rsid w:val="002B56DE"/>
    <w:rsid w:val="002B63F0"/>
    <w:rsid w:val="002B667C"/>
    <w:rsid w:val="002B66E1"/>
    <w:rsid w:val="002B670A"/>
    <w:rsid w:val="002B6919"/>
    <w:rsid w:val="002B6BE7"/>
    <w:rsid w:val="002B70AF"/>
    <w:rsid w:val="002B78B8"/>
    <w:rsid w:val="002C025F"/>
    <w:rsid w:val="002C07A4"/>
    <w:rsid w:val="002C11CA"/>
    <w:rsid w:val="002C1212"/>
    <w:rsid w:val="002C2585"/>
    <w:rsid w:val="002C2A39"/>
    <w:rsid w:val="002C3A4D"/>
    <w:rsid w:val="002C3C74"/>
    <w:rsid w:val="002C44C5"/>
    <w:rsid w:val="002C45E8"/>
    <w:rsid w:val="002C4C0D"/>
    <w:rsid w:val="002C4DD6"/>
    <w:rsid w:val="002C605D"/>
    <w:rsid w:val="002C66AB"/>
    <w:rsid w:val="002C70CE"/>
    <w:rsid w:val="002C71A4"/>
    <w:rsid w:val="002C78FF"/>
    <w:rsid w:val="002C7B87"/>
    <w:rsid w:val="002D0812"/>
    <w:rsid w:val="002D1A4B"/>
    <w:rsid w:val="002D26A8"/>
    <w:rsid w:val="002D28DC"/>
    <w:rsid w:val="002D2F0B"/>
    <w:rsid w:val="002D319F"/>
    <w:rsid w:val="002D3643"/>
    <w:rsid w:val="002D378A"/>
    <w:rsid w:val="002D3B84"/>
    <w:rsid w:val="002D3D1C"/>
    <w:rsid w:val="002D4988"/>
    <w:rsid w:val="002D4B96"/>
    <w:rsid w:val="002D5097"/>
    <w:rsid w:val="002D55E4"/>
    <w:rsid w:val="002D6779"/>
    <w:rsid w:val="002D690D"/>
    <w:rsid w:val="002D7070"/>
    <w:rsid w:val="002D72ED"/>
    <w:rsid w:val="002D78FB"/>
    <w:rsid w:val="002E0810"/>
    <w:rsid w:val="002E0D85"/>
    <w:rsid w:val="002E1F84"/>
    <w:rsid w:val="002E2615"/>
    <w:rsid w:val="002E2D2B"/>
    <w:rsid w:val="002E3839"/>
    <w:rsid w:val="002E4613"/>
    <w:rsid w:val="002E52EB"/>
    <w:rsid w:val="002E5A11"/>
    <w:rsid w:val="002E5BF9"/>
    <w:rsid w:val="002E5E0B"/>
    <w:rsid w:val="002E620E"/>
    <w:rsid w:val="002E63BE"/>
    <w:rsid w:val="002E7691"/>
    <w:rsid w:val="002E7775"/>
    <w:rsid w:val="002E7834"/>
    <w:rsid w:val="002E7AD2"/>
    <w:rsid w:val="002F042F"/>
    <w:rsid w:val="002F1226"/>
    <w:rsid w:val="002F1399"/>
    <w:rsid w:val="002F14AB"/>
    <w:rsid w:val="002F1E15"/>
    <w:rsid w:val="002F23BF"/>
    <w:rsid w:val="002F24F2"/>
    <w:rsid w:val="002F2554"/>
    <w:rsid w:val="002F28D8"/>
    <w:rsid w:val="002F2B8F"/>
    <w:rsid w:val="002F32FB"/>
    <w:rsid w:val="002F34C0"/>
    <w:rsid w:val="002F3679"/>
    <w:rsid w:val="002F418C"/>
    <w:rsid w:val="002F4361"/>
    <w:rsid w:val="002F46C8"/>
    <w:rsid w:val="002F49D6"/>
    <w:rsid w:val="002F5611"/>
    <w:rsid w:val="002F5F5E"/>
    <w:rsid w:val="002F5F85"/>
    <w:rsid w:val="002F63E6"/>
    <w:rsid w:val="002F693F"/>
    <w:rsid w:val="002F6E95"/>
    <w:rsid w:val="002F7B32"/>
    <w:rsid w:val="002F7E91"/>
    <w:rsid w:val="003004CF"/>
    <w:rsid w:val="003006A3"/>
    <w:rsid w:val="003007D0"/>
    <w:rsid w:val="003008CC"/>
    <w:rsid w:val="00301763"/>
    <w:rsid w:val="00301DAC"/>
    <w:rsid w:val="0030212A"/>
    <w:rsid w:val="00302252"/>
    <w:rsid w:val="0030353D"/>
    <w:rsid w:val="00303A1A"/>
    <w:rsid w:val="00303C60"/>
    <w:rsid w:val="00304C6E"/>
    <w:rsid w:val="00304FB8"/>
    <w:rsid w:val="00305CF9"/>
    <w:rsid w:val="00306C5F"/>
    <w:rsid w:val="00307299"/>
    <w:rsid w:val="003076BD"/>
    <w:rsid w:val="0031094A"/>
    <w:rsid w:val="00310B9B"/>
    <w:rsid w:val="00310C3F"/>
    <w:rsid w:val="003110F6"/>
    <w:rsid w:val="0031122F"/>
    <w:rsid w:val="003116B6"/>
    <w:rsid w:val="003117B7"/>
    <w:rsid w:val="0031213D"/>
    <w:rsid w:val="0031242D"/>
    <w:rsid w:val="003137C3"/>
    <w:rsid w:val="00313B1D"/>
    <w:rsid w:val="003140D2"/>
    <w:rsid w:val="00315D63"/>
    <w:rsid w:val="00316210"/>
    <w:rsid w:val="003162AA"/>
    <w:rsid w:val="00316E4F"/>
    <w:rsid w:val="00317714"/>
    <w:rsid w:val="003201AD"/>
    <w:rsid w:val="003204AF"/>
    <w:rsid w:val="00320A17"/>
    <w:rsid w:val="00320CDF"/>
    <w:rsid w:val="00321008"/>
    <w:rsid w:val="003213DD"/>
    <w:rsid w:val="0032263F"/>
    <w:rsid w:val="00322742"/>
    <w:rsid w:val="003228FA"/>
    <w:rsid w:val="00322DA9"/>
    <w:rsid w:val="00322FB9"/>
    <w:rsid w:val="00323AC6"/>
    <w:rsid w:val="00323AF6"/>
    <w:rsid w:val="00323FBC"/>
    <w:rsid w:val="003240A6"/>
    <w:rsid w:val="00324799"/>
    <w:rsid w:val="003251C2"/>
    <w:rsid w:val="00325C38"/>
    <w:rsid w:val="00325FA0"/>
    <w:rsid w:val="00326267"/>
    <w:rsid w:val="00326DE5"/>
    <w:rsid w:val="00326F1C"/>
    <w:rsid w:val="00327162"/>
    <w:rsid w:val="003277A3"/>
    <w:rsid w:val="003278A5"/>
    <w:rsid w:val="003302D2"/>
    <w:rsid w:val="00330454"/>
    <w:rsid w:val="00330A0A"/>
    <w:rsid w:val="00330C1A"/>
    <w:rsid w:val="00330D32"/>
    <w:rsid w:val="00331E60"/>
    <w:rsid w:val="003328A9"/>
    <w:rsid w:val="00333925"/>
    <w:rsid w:val="00334159"/>
    <w:rsid w:val="00335AD5"/>
    <w:rsid w:val="003365A8"/>
    <w:rsid w:val="003371B5"/>
    <w:rsid w:val="00337BAF"/>
    <w:rsid w:val="00340341"/>
    <w:rsid w:val="0034081E"/>
    <w:rsid w:val="00340D83"/>
    <w:rsid w:val="00340D9A"/>
    <w:rsid w:val="00340EF6"/>
    <w:rsid w:val="0034130B"/>
    <w:rsid w:val="003417CB"/>
    <w:rsid w:val="00341857"/>
    <w:rsid w:val="00341A75"/>
    <w:rsid w:val="00341D92"/>
    <w:rsid w:val="00341EB9"/>
    <w:rsid w:val="00342A72"/>
    <w:rsid w:val="003435A9"/>
    <w:rsid w:val="00344649"/>
    <w:rsid w:val="00344D65"/>
    <w:rsid w:val="00344E8B"/>
    <w:rsid w:val="003451F6"/>
    <w:rsid w:val="00345496"/>
    <w:rsid w:val="00345BCF"/>
    <w:rsid w:val="00345FE5"/>
    <w:rsid w:val="003466F9"/>
    <w:rsid w:val="003473F5"/>
    <w:rsid w:val="00347547"/>
    <w:rsid w:val="00350092"/>
    <w:rsid w:val="00350EBA"/>
    <w:rsid w:val="003519AD"/>
    <w:rsid w:val="00351E0E"/>
    <w:rsid w:val="00352DE2"/>
    <w:rsid w:val="003543BF"/>
    <w:rsid w:val="00354487"/>
    <w:rsid w:val="00354EB4"/>
    <w:rsid w:val="00355F28"/>
    <w:rsid w:val="00356D29"/>
    <w:rsid w:val="003571C2"/>
    <w:rsid w:val="00357E7D"/>
    <w:rsid w:val="00360213"/>
    <w:rsid w:val="003610B3"/>
    <w:rsid w:val="00361130"/>
    <w:rsid w:val="003611C2"/>
    <w:rsid w:val="003618BB"/>
    <w:rsid w:val="003625AC"/>
    <w:rsid w:val="00362C53"/>
    <w:rsid w:val="003640A7"/>
    <w:rsid w:val="003642AB"/>
    <w:rsid w:val="00365124"/>
    <w:rsid w:val="00365447"/>
    <w:rsid w:val="00365F1A"/>
    <w:rsid w:val="0036794E"/>
    <w:rsid w:val="00370B29"/>
    <w:rsid w:val="00370C5B"/>
    <w:rsid w:val="00370FE0"/>
    <w:rsid w:val="00371B53"/>
    <w:rsid w:val="0037225B"/>
    <w:rsid w:val="003727A7"/>
    <w:rsid w:val="00372892"/>
    <w:rsid w:val="00372A49"/>
    <w:rsid w:val="0037354E"/>
    <w:rsid w:val="003743F1"/>
    <w:rsid w:val="00374AA5"/>
    <w:rsid w:val="0037527C"/>
    <w:rsid w:val="00375556"/>
    <w:rsid w:val="003755AF"/>
    <w:rsid w:val="00375B5A"/>
    <w:rsid w:val="00375B67"/>
    <w:rsid w:val="00376053"/>
    <w:rsid w:val="003761C4"/>
    <w:rsid w:val="0038146C"/>
    <w:rsid w:val="00381A5D"/>
    <w:rsid w:val="00382609"/>
    <w:rsid w:val="00382F67"/>
    <w:rsid w:val="00384269"/>
    <w:rsid w:val="0038479F"/>
    <w:rsid w:val="003851A8"/>
    <w:rsid w:val="00385B14"/>
    <w:rsid w:val="00385D97"/>
    <w:rsid w:val="00386124"/>
    <w:rsid w:val="003864D5"/>
    <w:rsid w:val="00386FB9"/>
    <w:rsid w:val="00387CB6"/>
    <w:rsid w:val="00387D78"/>
    <w:rsid w:val="003900E6"/>
    <w:rsid w:val="00390567"/>
    <w:rsid w:val="003917FD"/>
    <w:rsid w:val="00391822"/>
    <w:rsid w:val="00391999"/>
    <w:rsid w:val="00391A2E"/>
    <w:rsid w:val="003927F1"/>
    <w:rsid w:val="00392A26"/>
    <w:rsid w:val="00393058"/>
    <w:rsid w:val="0039467F"/>
    <w:rsid w:val="0039495A"/>
    <w:rsid w:val="00394D68"/>
    <w:rsid w:val="00395102"/>
    <w:rsid w:val="003951AF"/>
    <w:rsid w:val="00395276"/>
    <w:rsid w:val="00395DE2"/>
    <w:rsid w:val="003966F6"/>
    <w:rsid w:val="0039677D"/>
    <w:rsid w:val="0039695B"/>
    <w:rsid w:val="00397CF0"/>
    <w:rsid w:val="003A0507"/>
    <w:rsid w:val="003A0660"/>
    <w:rsid w:val="003A0D52"/>
    <w:rsid w:val="003A17D5"/>
    <w:rsid w:val="003A19C7"/>
    <w:rsid w:val="003A2430"/>
    <w:rsid w:val="003A2650"/>
    <w:rsid w:val="003A2682"/>
    <w:rsid w:val="003A2CD2"/>
    <w:rsid w:val="003A2ED1"/>
    <w:rsid w:val="003A329F"/>
    <w:rsid w:val="003A3ED7"/>
    <w:rsid w:val="003A47B0"/>
    <w:rsid w:val="003A4C47"/>
    <w:rsid w:val="003A573B"/>
    <w:rsid w:val="003A6489"/>
    <w:rsid w:val="003A6724"/>
    <w:rsid w:val="003A67D0"/>
    <w:rsid w:val="003A6E1A"/>
    <w:rsid w:val="003A72D1"/>
    <w:rsid w:val="003A7EB4"/>
    <w:rsid w:val="003A7FDF"/>
    <w:rsid w:val="003B0BA1"/>
    <w:rsid w:val="003B0C18"/>
    <w:rsid w:val="003B0EF7"/>
    <w:rsid w:val="003B0F16"/>
    <w:rsid w:val="003B18D7"/>
    <w:rsid w:val="003B197C"/>
    <w:rsid w:val="003B24F5"/>
    <w:rsid w:val="003B2940"/>
    <w:rsid w:val="003B3759"/>
    <w:rsid w:val="003B3A38"/>
    <w:rsid w:val="003B3B29"/>
    <w:rsid w:val="003B3BA8"/>
    <w:rsid w:val="003B4599"/>
    <w:rsid w:val="003B4CA6"/>
    <w:rsid w:val="003B5D28"/>
    <w:rsid w:val="003B61B7"/>
    <w:rsid w:val="003B6216"/>
    <w:rsid w:val="003B670B"/>
    <w:rsid w:val="003B6C5E"/>
    <w:rsid w:val="003B6DB1"/>
    <w:rsid w:val="003B7784"/>
    <w:rsid w:val="003C07BE"/>
    <w:rsid w:val="003C0EE0"/>
    <w:rsid w:val="003C1AE2"/>
    <w:rsid w:val="003C2F87"/>
    <w:rsid w:val="003C38A8"/>
    <w:rsid w:val="003C41FC"/>
    <w:rsid w:val="003C45D8"/>
    <w:rsid w:val="003C4F8F"/>
    <w:rsid w:val="003C501E"/>
    <w:rsid w:val="003C587B"/>
    <w:rsid w:val="003C5959"/>
    <w:rsid w:val="003C5A75"/>
    <w:rsid w:val="003C6B59"/>
    <w:rsid w:val="003C6FF9"/>
    <w:rsid w:val="003C7A55"/>
    <w:rsid w:val="003C7E84"/>
    <w:rsid w:val="003D2763"/>
    <w:rsid w:val="003D299E"/>
    <w:rsid w:val="003D2EB3"/>
    <w:rsid w:val="003D3FBF"/>
    <w:rsid w:val="003D421C"/>
    <w:rsid w:val="003D4E26"/>
    <w:rsid w:val="003D51F3"/>
    <w:rsid w:val="003D550E"/>
    <w:rsid w:val="003D55E1"/>
    <w:rsid w:val="003D5768"/>
    <w:rsid w:val="003D5958"/>
    <w:rsid w:val="003D641A"/>
    <w:rsid w:val="003D6680"/>
    <w:rsid w:val="003D6772"/>
    <w:rsid w:val="003D685F"/>
    <w:rsid w:val="003D7176"/>
    <w:rsid w:val="003D71EB"/>
    <w:rsid w:val="003D7AF2"/>
    <w:rsid w:val="003E00D6"/>
    <w:rsid w:val="003E22CB"/>
    <w:rsid w:val="003E2343"/>
    <w:rsid w:val="003E2EE6"/>
    <w:rsid w:val="003E403A"/>
    <w:rsid w:val="003E406B"/>
    <w:rsid w:val="003E4424"/>
    <w:rsid w:val="003E4F96"/>
    <w:rsid w:val="003E54E7"/>
    <w:rsid w:val="003E56DD"/>
    <w:rsid w:val="003E5CCA"/>
    <w:rsid w:val="003E5DB3"/>
    <w:rsid w:val="003E6064"/>
    <w:rsid w:val="003E61B5"/>
    <w:rsid w:val="003E65AD"/>
    <w:rsid w:val="003E6CAE"/>
    <w:rsid w:val="003E7016"/>
    <w:rsid w:val="003E7438"/>
    <w:rsid w:val="003E775A"/>
    <w:rsid w:val="003E7773"/>
    <w:rsid w:val="003E78E5"/>
    <w:rsid w:val="003F0065"/>
    <w:rsid w:val="003F0885"/>
    <w:rsid w:val="003F0A99"/>
    <w:rsid w:val="003F0F41"/>
    <w:rsid w:val="003F1099"/>
    <w:rsid w:val="003F115E"/>
    <w:rsid w:val="003F14C2"/>
    <w:rsid w:val="003F1933"/>
    <w:rsid w:val="003F1DDE"/>
    <w:rsid w:val="003F2210"/>
    <w:rsid w:val="003F2CC5"/>
    <w:rsid w:val="003F3E6D"/>
    <w:rsid w:val="003F40DB"/>
    <w:rsid w:val="003F535C"/>
    <w:rsid w:val="003F61EA"/>
    <w:rsid w:val="003F7196"/>
    <w:rsid w:val="003F77F7"/>
    <w:rsid w:val="003F7CE3"/>
    <w:rsid w:val="004007B3"/>
    <w:rsid w:val="004007CA"/>
    <w:rsid w:val="004007DC"/>
    <w:rsid w:val="004008AF"/>
    <w:rsid w:val="00400B5F"/>
    <w:rsid w:val="00401264"/>
    <w:rsid w:val="0040160A"/>
    <w:rsid w:val="00401DBF"/>
    <w:rsid w:val="00402402"/>
    <w:rsid w:val="004033D9"/>
    <w:rsid w:val="004040B4"/>
    <w:rsid w:val="00404A94"/>
    <w:rsid w:val="00405080"/>
    <w:rsid w:val="0040551F"/>
    <w:rsid w:val="004057B3"/>
    <w:rsid w:val="00405AD0"/>
    <w:rsid w:val="00406878"/>
    <w:rsid w:val="0040771F"/>
    <w:rsid w:val="00410254"/>
    <w:rsid w:val="004111F7"/>
    <w:rsid w:val="00411D41"/>
    <w:rsid w:val="00411D62"/>
    <w:rsid w:val="0041217D"/>
    <w:rsid w:val="004125C6"/>
    <w:rsid w:val="0041275F"/>
    <w:rsid w:val="0041281D"/>
    <w:rsid w:val="00412834"/>
    <w:rsid w:val="00412DC4"/>
    <w:rsid w:val="004134AF"/>
    <w:rsid w:val="004135E6"/>
    <w:rsid w:val="00413DDE"/>
    <w:rsid w:val="00415460"/>
    <w:rsid w:val="00415755"/>
    <w:rsid w:val="00415981"/>
    <w:rsid w:val="004167E6"/>
    <w:rsid w:val="00416970"/>
    <w:rsid w:val="00416B2F"/>
    <w:rsid w:val="00420C69"/>
    <w:rsid w:val="004212E4"/>
    <w:rsid w:val="00421A89"/>
    <w:rsid w:val="00421C6F"/>
    <w:rsid w:val="00421D76"/>
    <w:rsid w:val="00421EBC"/>
    <w:rsid w:val="00421EDD"/>
    <w:rsid w:val="00422E97"/>
    <w:rsid w:val="00422F7A"/>
    <w:rsid w:val="00422F88"/>
    <w:rsid w:val="0042304B"/>
    <w:rsid w:val="00424084"/>
    <w:rsid w:val="004260E2"/>
    <w:rsid w:val="0042624B"/>
    <w:rsid w:val="00427285"/>
    <w:rsid w:val="004273AD"/>
    <w:rsid w:val="00427AC3"/>
    <w:rsid w:val="00427C46"/>
    <w:rsid w:val="00427D34"/>
    <w:rsid w:val="004305AE"/>
    <w:rsid w:val="0043077D"/>
    <w:rsid w:val="0043174A"/>
    <w:rsid w:val="00431800"/>
    <w:rsid w:val="00431D0E"/>
    <w:rsid w:val="004326C0"/>
    <w:rsid w:val="00432DF5"/>
    <w:rsid w:val="00432E75"/>
    <w:rsid w:val="00433050"/>
    <w:rsid w:val="004332F5"/>
    <w:rsid w:val="00433541"/>
    <w:rsid w:val="0043393D"/>
    <w:rsid w:val="00433966"/>
    <w:rsid w:val="004357E2"/>
    <w:rsid w:val="00435D3F"/>
    <w:rsid w:val="00435D82"/>
    <w:rsid w:val="00436514"/>
    <w:rsid w:val="004369ED"/>
    <w:rsid w:val="00437DA7"/>
    <w:rsid w:val="00437FDE"/>
    <w:rsid w:val="00440082"/>
    <w:rsid w:val="0044020E"/>
    <w:rsid w:val="00440551"/>
    <w:rsid w:val="00441921"/>
    <w:rsid w:val="00441F58"/>
    <w:rsid w:val="004423C0"/>
    <w:rsid w:val="004423F7"/>
    <w:rsid w:val="00442A49"/>
    <w:rsid w:val="004447B2"/>
    <w:rsid w:val="004447F5"/>
    <w:rsid w:val="0044491C"/>
    <w:rsid w:val="0044497D"/>
    <w:rsid w:val="00444ADD"/>
    <w:rsid w:val="00445835"/>
    <w:rsid w:val="00445E7B"/>
    <w:rsid w:val="0044690B"/>
    <w:rsid w:val="0044697F"/>
    <w:rsid w:val="00446AF8"/>
    <w:rsid w:val="00446BBE"/>
    <w:rsid w:val="00446CD1"/>
    <w:rsid w:val="0044782C"/>
    <w:rsid w:val="004504C5"/>
    <w:rsid w:val="004504DA"/>
    <w:rsid w:val="0045093D"/>
    <w:rsid w:val="004511A7"/>
    <w:rsid w:val="004513F9"/>
    <w:rsid w:val="00451645"/>
    <w:rsid w:val="0045212B"/>
    <w:rsid w:val="004521EA"/>
    <w:rsid w:val="00452D07"/>
    <w:rsid w:val="00453103"/>
    <w:rsid w:val="0045381D"/>
    <w:rsid w:val="00453FF7"/>
    <w:rsid w:val="004542EC"/>
    <w:rsid w:val="00454B25"/>
    <w:rsid w:val="00454F8E"/>
    <w:rsid w:val="00455C5A"/>
    <w:rsid w:val="004567E3"/>
    <w:rsid w:val="00456918"/>
    <w:rsid w:val="00456C60"/>
    <w:rsid w:val="004605C0"/>
    <w:rsid w:val="004607B7"/>
    <w:rsid w:val="00460FC0"/>
    <w:rsid w:val="0046106F"/>
    <w:rsid w:val="004617CD"/>
    <w:rsid w:val="00462090"/>
    <w:rsid w:val="004624B7"/>
    <w:rsid w:val="00462778"/>
    <w:rsid w:val="00462CC6"/>
    <w:rsid w:val="00463AB9"/>
    <w:rsid w:val="00464A75"/>
    <w:rsid w:val="00464F6C"/>
    <w:rsid w:val="00465446"/>
    <w:rsid w:val="004671B0"/>
    <w:rsid w:val="00467546"/>
    <w:rsid w:val="0046799F"/>
    <w:rsid w:val="00467A6F"/>
    <w:rsid w:val="00470C68"/>
    <w:rsid w:val="00471D0D"/>
    <w:rsid w:val="004720AF"/>
    <w:rsid w:val="00473F46"/>
    <w:rsid w:val="0047452E"/>
    <w:rsid w:val="00474E01"/>
    <w:rsid w:val="00475758"/>
    <w:rsid w:val="004770C3"/>
    <w:rsid w:val="004771D4"/>
    <w:rsid w:val="00477A3F"/>
    <w:rsid w:val="0048137B"/>
    <w:rsid w:val="00482216"/>
    <w:rsid w:val="0048226F"/>
    <w:rsid w:val="00482804"/>
    <w:rsid w:val="0048290F"/>
    <w:rsid w:val="00482B47"/>
    <w:rsid w:val="00483053"/>
    <w:rsid w:val="00483072"/>
    <w:rsid w:val="0048323E"/>
    <w:rsid w:val="0048355F"/>
    <w:rsid w:val="00483DE6"/>
    <w:rsid w:val="00484211"/>
    <w:rsid w:val="00484BB1"/>
    <w:rsid w:val="00484DC5"/>
    <w:rsid w:val="00485163"/>
    <w:rsid w:val="00485304"/>
    <w:rsid w:val="00485605"/>
    <w:rsid w:val="00485675"/>
    <w:rsid w:val="004858D0"/>
    <w:rsid w:val="00485C8D"/>
    <w:rsid w:val="00486B18"/>
    <w:rsid w:val="00486B61"/>
    <w:rsid w:val="00487481"/>
    <w:rsid w:val="0048766D"/>
    <w:rsid w:val="00487C85"/>
    <w:rsid w:val="00487DB0"/>
    <w:rsid w:val="0049037D"/>
    <w:rsid w:val="0049052A"/>
    <w:rsid w:val="00490579"/>
    <w:rsid w:val="004905F8"/>
    <w:rsid w:val="00490DC4"/>
    <w:rsid w:val="004911DD"/>
    <w:rsid w:val="004913D2"/>
    <w:rsid w:val="004922A0"/>
    <w:rsid w:val="0049274E"/>
    <w:rsid w:val="0049300B"/>
    <w:rsid w:val="00493065"/>
    <w:rsid w:val="004931A5"/>
    <w:rsid w:val="004939C3"/>
    <w:rsid w:val="004946AC"/>
    <w:rsid w:val="004946B0"/>
    <w:rsid w:val="00494B87"/>
    <w:rsid w:val="00494F64"/>
    <w:rsid w:val="00495287"/>
    <w:rsid w:val="00495292"/>
    <w:rsid w:val="00495A1E"/>
    <w:rsid w:val="00495BBD"/>
    <w:rsid w:val="00496887"/>
    <w:rsid w:val="00496C92"/>
    <w:rsid w:val="0049788B"/>
    <w:rsid w:val="00497A45"/>
    <w:rsid w:val="00497B9F"/>
    <w:rsid w:val="004A0B10"/>
    <w:rsid w:val="004A14A1"/>
    <w:rsid w:val="004A1B15"/>
    <w:rsid w:val="004A2084"/>
    <w:rsid w:val="004A242E"/>
    <w:rsid w:val="004A27CC"/>
    <w:rsid w:val="004A3844"/>
    <w:rsid w:val="004A4430"/>
    <w:rsid w:val="004A4FDF"/>
    <w:rsid w:val="004A534C"/>
    <w:rsid w:val="004A5360"/>
    <w:rsid w:val="004A5489"/>
    <w:rsid w:val="004A55C4"/>
    <w:rsid w:val="004A5E73"/>
    <w:rsid w:val="004A68EE"/>
    <w:rsid w:val="004A7A11"/>
    <w:rsid w:val="004A7A52"/>
    <w:rsid w:val="004B0892"/>
    <w:rsid w:val="004B19FE"/>
    <w:rsid w:val="004B1D24"/>
    <w:rsid w:val="004B1EEF"/>
    <w:rsid w:val="004B24CD"/>
    <w:rsid w:val="004B2A4D"/>
    <w:rsid w:val="004B2F45"/>
    <w:rsid w:val="004B33C2"/>
    <w:rsid w:val="004B3F7A"/>
    <w:rsid w:val="004B4160"/>
    <w:rsid w:val="004B4214"/>
    <w:rsid w:val="004B4924"/>
    <w:rsid w:val="004B6458"/>
    <w:rsid w:val="004B689D"/>
    <w:rsid w:val="004B6ABF"/>
    <w:rsid w:val="004B6C3B"/>
    <w:rsid w:val="004B702C"/>
    <w:rsid w:val="004B7161"/>
    <w:rsid w:val="004B722A"/>
    <w:rsid w:val="004B7B27"/>
    <w:rsid w:val="004C027E"/>
    <w:rsid w:val="004C0E97"/>
    <w:rsid w:val="004C1804"/>
    <w:rsid w:val="004C212E"/>
    <w:rsid w:val="004C27D4"/>
    <w:rsid w:val="004C3E2B"/>
    <w:rsid w:val="004C3FBF"/>
    <w:rsid w:val="004C45F4"/>
    <w:rsid w:val="004C48C8"/>
    <w:rsid w:val="004C4EAD"/>
    <w:rsid w:val="004C50FD"/>
    <w:rsid w:val="004C598D"/>
    <w:rsid w:val="004C5FE2"/>
    <w:rsid w:val="004C646E"/>
    <w:rsid w:val="004C6EC2"/>
    <w:rsid w:val="004C7A98"/>
    <w:rsid w:val="004D0F0B"/>
    <w:rsid w:val="004D1072"/>
    <w:rsid w:val="004D110A"/>
    <w:rsid w:val="004D141A"/>
    <w:rsid w:val="004D219E"/>
    <w:rsid w:val="004D2203"/>
    <w:rsid w:val="004D2250"/>
    <w:rsid w:val="004D2430"/>
    <w:rsid w:val="004D2BE1"/>
    <w:rsid w:val="004D3897"/>
    <w:rsid w:val="004D4425"/>
    <w:rsid w:val="004D46B8"/>
    <w:rsid w:val="004D53C1"/>
    <w:rsid w:val="004D60D0"/>
    <w:rsid w:val="004D675E"/>
    <w:rsid w:val="004D67D4"/>
    <w:rsid w:val="004D690F"/>
    <w:rsid w:val="004D7593"/>
    <w:rsid w:val="004D7B3A"/>
    <w:rsid w:val="004D7C16"/>
    <w:rsid w:val="004E0942"/>
    <w:rsid w:val="004E0B8B"/>
    <w:rsid w:val="004E1747"/>
    <w:rsid w:val="004E1EA3"/>
    <w:rsid w:val="004E2BD6"/>
    <w:rsid w:val="004E32CC"/>
    <w:rsid w:val="004E3524"/>
    <w:rsid w:val="004E396F"/>
    <w:rsid w:val="004E5E9D"/>
    <w:rsid w:val="004E60D3"/>
    <w:rsid w:val="004E70E0"/>
    <w:rsid w:val="004E7976"/>
    <w:rsid w:val="004E7E46"/>
    <w:rsid w:val="004F0060"/>
    <w:rsid w:val="004F0774"/>
    <w:rsid w:val="004F0CFF"/>
    <w:rsid w:val="004F1126"/>
    <w:rsid w:val="004F22E6"/>
    <w:rsid w:val="004F262A"/>
    <w:rsid w:val="004F3728"/>
    <w:rsid w:val="004F3B0F"/>
    <w:rsid w:val="004F5400"/>
    <w:rsid w:val="004F560E"/>
    <w:rsid w:val="004F570D"/>
    <w:rsid w:val="004F57C7"/>
    <w:rsid w:val="004F5B32"/>
    <w:rsid w:val="004F6640"/>
    <w:rsid w:val="004F668F"/>
    <w:rsid w:val="004F6AD3"/>
    <w:rsid w:val="004F6C5B"/>
    <w:rsid w:val="004F79E4"/>
    <w:rsid w:val="005005D7"/>
    <w:rsid w:val="00501386"/>
    <w:rsid w:val="00501BD9"/>
    <w:rsid w:val="00501C25"/>
    <w:rsid w:val="00501E83"/>
    <w:rsid w:val="00502464"/>
    <w:rsid w:val="005027A6"/>
    <w:rsid w:val="00502B6B"/>
    <w:rsid w:val="00502DAE"/>
    <w:rsid w:val="00502FFB"/>
    <w:rsid w:val="005034AF"/>
    <w:rsid w:val="005037DB"/>
    <w:rsid w:val="005038A0"/>
    <w:rsid w:val="00503F4A"/>
    <w:rsid w:val="00504648"/>
    <w:rsid w:val="00504A82"/>
    <w:rsid w:val="0050512C"/>
    <w:rsid w:val="00505659"/>
    <w:rsid w:val="0050598A"/>
    <w:rsid w:val="00505CD4"/>
    <w:rsid w:val="00505DEA"/>
    <w:rsid w:val="00505E19"/>
    <w:rsid w:val="00505E9F"/>
    <w:rsid w:val="00506031"/>
    <w:rsid w:val="0050644D"/>
    <w:rsid w:val="00507BA1"/>
    <w:rsid w:val="005103C5"/>
    <w:rsid w:val="00510CB8"/>
    <w:rsid w:val="00510DA1"/>
    <w:rsid w:val="005112F3"/>
    <w:rsid w:val="00511617"/>
    <w:rsid w:val="005116C3"/>
    <w:rsid w:val="00511CE0"/>
    <w:rsid w:val="00512530"/>
    <w:rsid w:val="00512E34"/>
    <w:rsid w:val="005131D3"/>
    <w:rsid w:val="0051352C"/>
    <w:rsid w:val="00513966"/>
    <w:rsid w:val="00514823"/>
    <w:rsid w:val="00514FC2"/>
    <w:rsid w:val="00514FE9"/>
    <w:rsid w:val="005159CA"/>
    <w:rsid w:val="00515BFA"/>
    <w:rsid w:val="00515C0C"/>
    <w:rsid w:val="005162D2"/>
    <w:rsid w:val="00516312"/>
    <w:rsid w:val="00517144"/>
    <w:rsid w:val="00517189"/>
    <w:rsid w:val="00517A86"/>
    <w:rsid w:val="00517CD1"/>
    <w:rsid w:val="005215DC"/>
    <w:rsid w:val="00522385"/>
    <w:rsid w:val="00522474"/>
    <w:rsid w:val="00522D11"/>
    <w:rsid w:val="00522DB2"/>
    <w:rsid w:val="0052349D"/>
    <w:rsid w:val="005243DD"/>
    <w:rsid w:val="00524BE8"/>
    <w:rsid w:val="00524F11"/>
    <w:rsid w:val="0052575D"/>
    <w:rsid w:val="0052585F"/>
    <w:rsid w:val="0052615B"/>
    <w:rsid w:val="0052622F"/>
    <w:rsid w:val="00526A98"/>
    <w:rsid w:val="00526C92"/>
    <w:rsid w:val="00526E6B"/>
    <w:rsid w:val="005271FE"/>
    <w:rsid w:val="00527294"/>
    <w:rsid w:val="005275FC"/>
    <w:rsid w:val="0052768C"/>
    <w:rsid w:val="005304A0"/>
    <w:rsid w:val="00530896"/>
    <w:rsid w:val="005310AF"/>
    <w:rsid w:val="00531A80"/>
    <w:rsid w:val="00531D71"/>
    <w:rsid w:val="00532003"/>
    <w:rsid w:val="00532B0B"/>
    <w:rsid w:val="00532D76"/>
    <w:rsid w:val="00532ECA"/>
    <w:rsid w:val="005332DC"/>
    <w:rsid w:val="00533897"/>
    <w:rsid w:val="005338BF"/>
    <w:rsid w:val="00533EA4"/>
    <w:rsid w:val="005342C3"/>
    <w:rsid w:val="0053468B"/>
    <w:rsid w:val="00534AEE"/>
    <w:rsid w:val="00535281"/>
    <w:rsid w:val="005362F5"/>
    <w:rsid w:val="005364D6"/>
    <w:rsid w:val="0053725B"/>
    <w:rsid w:val="005407B1"/>
    <w:rsid w:val="00540C4F"/>
    <w:rsid w:val="00540C57"/>
    <w:rsid w:val="005411A8"/>
    <w:rsid w:val="00541258"/>
    <w:rsid w:val="00541746"/>
    <w:rsid w:val="005423FA"/>
    <w:rsid w:val="00542DE1"/>
    <w:rsid w:val="00543B92"/>
    <w:rsid w:val="005444C2"/>
    <w:rsid w:val="00544B1B"/>
    <w:rsid w:val="00544BE4"/>
    <w:rsid w:val="005450C7"/>
    <w:rsid w:val="00545F96"/>
    <w:rsid w:val="00546297"/>
    <w:rsid w:val="00546A28"/>
    <w:rsid w:val="00546B36"/>
    <w:rsid w:val="0054732A"/>
    <w:rsid w:val="00547673"/>
    <w:rsid w:val="0055093F"/>
    <w:rsid w:val="00551894"/>
    <w:rsid w:val="005528A5"/>
    <w:rsid w:val="005531BD"/>
    <w:rsid w:val="00555AA5"/>
    <w:rsid w:val="00556089"/>
    <w:rsid w:val="005563CA"/>
    <w:rsid w:val="005567B2"/>
    <w:rsid w:val="005569BA"/>
    <w:rsid w:val="00556F1F"/>
    <w:rsid w:val="00557870"/>
    <w:rsid w:val="00557EDC"/>
    <w:rsid w:val="00560277"/>
    <w:rsid w:val="00560652"/>
    <w:rsid w:val="00560938"/>
    <w:rsid w:val="00560AF1"/>
    <w:rsid w:val="005610A2"/>
    <w:rsid w:val="00561278"/>
    <w:rsid w:val="00561562"/>
    <w:rsid w:val="0056163E"/>
    <w:rsid w:val="00563CAD"/>
    <w:rsid w:val="00563DE6"/>
    <w:rsid w:val="00563E1B"/>
    <w:rsid w:val="00563E57"/>
    <w:rsid w:val="00564577"/>
    <w:rsid w:val="0056528D"/>
    <w:rsid w:val="005653C3"/>
    <w:rsid w:val="0056628B"/>
    <w:rsid w:val="00566298"/>
    <w:rsid w:val="0056714F"/>
    <w:rsid w:val="00567252"/>
    <w:rsid w:val="005672A2"/>
    <w:rsid w:val="00567666"/>
    <w:rsid w:val="00567674"/>
    <w:rsid w:val="00567B2F"/>
    <w:rsid w:val="00567CBD"/>
    <w:rsid w:val="00570174"/>
    <w:rsid w:val="00570555"/>
    <w:rsid w:val="0057091E"/>
    <w:rsid w:val="00570EF5"/>
    <w:rsid w:val="0057159A"/>
    <w:rsid w:val="005723D6"/>
    <w:rsid w:val="00574090"/>
    <w:rsid w:val="005740BE"/>
    <w:rsid w:val="00574910"/>
    <w:rsid w:val="00574A6E"/>
    <w:rsid w:val="00574F6D"/>
    <w:rsid w:val="00575708"/>
    <w:rsid w:val="0057644E"/>
    <w:rsid w:val="005767F3"/>
    <w:rsid w:val="005769DA"/>
    <w:rsid w:val="00577043"/>
    <w:rsid w:val="00577145"/>
    <w:rsid w:val="005773BE"/>
    <w:rsid w:val="005777F3"/>
    <w:rsid w:val="00577F85"/>
    <w:rsid w:val="0058012B"/>
    <w:rsid w:val="005803C6"/>
    <w:rsid w:val="005804F7"/>
    <w:rsid w:val="00580599"/>
    <w:rsid w:val="00580601"/>
    <w:rsid w:val="00580683"/>
    <w:rsid w:val="00580EAB"/>
    <w:rsid w:val="00582365"/>
    <w:rsid w:val="00582381"/>
    <w:rsid w:val="005823D5"/>
    <w:rsid w:val="00582932"/>
    <w:rsid w:val="00582E22"/>
    <w:rsid w:val="00584B34"/>
    <w:rsid w:val="00585671"/>
    <w:rsid w:val="005856BB"/>
    <w:rsid w:val="00585C1B"/>
    <w:rsid w:val="00586A05"/>
    <w:rsid w:val="00587639"/>
    <w:rsid w:val="00590996"/>
    <w:rsid w:val="005914D8"/>
    <w:rsid w:val="00591FFA"/>
    <w:rsid w:val="0059225F"/>
    <w:rsid w:val="005922D1"/>
    <w:rsid w:val="00592638"/>
    <w:rsid w:val="00593138"/>
    <w:rsid w:val="0059375B"/>
    <w:rsid w:val="005937E4"/>
    <w:rsid w:val="00593A33"/>
    <w:rsid w:val="005944A4"/>
    <w:rsid w:val="00594768"/>
    <w:rsid w:val="005947B5"/>
    <w:rsid w:val="00595DEB"/>
    <w:rsid w:val="00595F60"/>
    <w:rsid w:val="0059604E"/>
    <w:rsid w:val="005960BB"/>
    <w:rsid w:val="00596461"/>
    <w:rsid w:val="005965DD"/>
    <w:rsid w:val="00596D0D"/>
    <w:rsid w:val="00596DB6"/>
    <w:rsid w:val="00597407"/>
    <w:rsid w:val="00597E63"/>
    <w:rsid w:val="005A02B9"/>
    <w:rsid w:val="005A0496"/>
    <w:rsid w:val="005A088B"/>
    <w:rsid w:val="005A14E5"/>
    <w:rsid w:val="005A167C"/>
    <w:rsid w:val="005A1722"/>
    <w:rsid w:val="005A2848"/>
    <w:rsid w:val="005A3BB2"/>
    <w:rsid w:val="005A4047"/>
    <w:rsid w:val="005A436C"/>
    <w:rsid w:val="005A4384"/>
    <w:rsid w:val="005A43D6"/>
    <w:rsid w:val="005A45D9"/>
    <w:rsid w:val="005A4820"/>
    <w:rsid w:val="005A48A2"/>
    <w:rsid w:val="005A4E3B"/>
    <w:rsid w:val="005A5095"/>
    <w:rsid w:val="005A7012"/>
    <w:rsid w:val="005A76FE"/>
    <w:rsid w:val="005A7A5E"/>
    <w:rsid w:val="005A7F4A"/>
    <w:rsid w:val="005B1A9C"/>
    <w:rsid w:val="005B1C07"/>
    <w:rsid w:val="005B2211"/>
    <w:rsid w:val="005B2F9F"/>
    <w:rsid w:val="005B3432"/>
    <w:rsid w:val="005B3BD6"/>
    <w:rsid w:val="005B422D"/>
    <w:rsid w:val="005B56CC"/>
    <w:rsid w:val="005B5CD7"/>
    <w:rsid w:val="005B64E1"/>
    <w:rsid w:val="005B7D6C"/>
    <w:rsid w:val="005C07EA"/>
    <w:rsid w:val="005C0C49"/>
    <w:rsid w:val="005C0DF1"/>
    <w:rsid w:val="005C14C1"/>
    <w:rsid w:val="005C32E7"/>
    <w:rsid w:val="005C477A"/>
    <w:rsid w:val="005C5391"/>
    <w:rsid w:val="005C5E99"/>
    <w:rsid w:val="005C63F4"/>
    <w:rsid w:val="005C7215"/>
    <w:rsid w:val="005C73C4"/>
    <w:rsid w:val="005C7D17"/>
    <w:rsid w:val="005C7DC5"/>
    <w:rsid w:val="005D00EA"/>
    <w:rsid w:val="005D023B"/>
    <w:rsid w:val="005D02C4"/>
    <w:rsid w:val="005D0A8F"/>
    <w:rsid w:val="005D0B84"/>
    <w:rsid w:val="005D12FB"/>
    <w:rsid w:val="005D1AB5"/>
    <w:rsid w:val="005D2304"/>
    <w:rsid w:val="005D28B0"/>
    <w:rsid w:val="005D3A04"/>
    <w:rsid w:val="005D3A5D"/>
    <w:rsid w:val="005D48FE"/>
    <w:rsid w:val="005D5BC7"/>
    <w:rsid w:val="005D626A"/>
    <w:rsid w:val="005D6DB1"/>
    <w:rsid w:val="005D7471"/>
    <w:rsid w:val="005D749D"/>
    <w:rsid w:val="005D7BD8"/>
    <w:rsid w:val="005D7CE4"/>
    <w:rsid w:val="005D7D81"/>
    <w:rsid w:val="005E0007"/>
    <w:rsid w:val="005E002E"/>
    <w:rsid w:val="005E01F1"/>
    <w:rsid w:val="005E140F"/>
    <w:rsid w:val="005E18D4"/>
    <w:rsid w:val="005E18F8"/>
    <w:rsid w:val="005E205E"/>
    <w:rsid w:val="005E2679"/>
    <w:rsid w:val="005E2702"/>
    <w:rsid w:val="005E419C"/>
    <w:rsid w:val="005E48AD"/>
    <w:rsid w:val="005E4AAB"/>
    <w:rsid w:val="005E4ABC"/>
    <w:rsid w:val="005E4B62"/>
    <w:rsid w:val="005E4CDF"/>
    <w:rsid w:val="005E57D0"/>
    <w:rsid w:val="005E5874"/>
    <w:rsid w:val="005E5B5C"/>
    <w:rsid w:val="005E5D04"/>
    <w:rsid w:val="005E6A57"/>
    <w:rsid w:val="005E75D5"/>
    <w:rsid w:val="005E79B6"/>
    <w:rsid w:val="005E7F72"/>
    <w:rsid w:val="005F1555"/>
    <w:rsid w:val="005F28E6"/>
    <w:rsid w:val="005F2978"/>
    <w:rsid w:val="005F2A34"/>
    <w:rsid w:val="005F2C7E"/>
    <w:rsid w:val="005F4721"/>
    <w:rsid w:val="005F580E"/>
    <w:rsid w:val="005F657C"/>
    <w:rsid w:val="005F6AD1"/>
    <w:rsid w:val="005F720A"/>
    <w:rsid w:val="005F76F7"/>
    <w:rsid w:val="005F77F4"/>
    <w:rsid w:val="00600CB8"/>
    <w:rsid w:val="00600D8F"/>
    <w:rsid w:val="00600F9A"/>
    <w:rsid w:val="006016CB"/>
    <w:rsid w:val="0060185D"/>
    <w:rsid w:val="00601B9C"/>
    <w:rsid w:val="00601EE5"/>
    <w:rsid w:val="006029B3"/>
    <w:rsid w:val="00602E82"/>
    <w:rsid w:val="00602F43"/>
    <w:rsid w:val="00603B08"/>
    <w:rsid w:val="00604136"/>
    <w:rsid w:val="0060469D"/>
    <w:rsid w:val="00604CE3"/>
    <w:rsid w:val="00605776"/>
    <w:rsid w:val="006057CD"/>
    <w:rsid w:val="00605957"/>
    <w:rsid w:val="00605FC1"/>
    <w:rsid w:val="00607293"/>
    <w:rsid w:val="00610162"/>
    <w:rsid w:val="00610ABA"/>
    <w:rsid w:val="00610CDB"/>
    <w:rsid w:val="00610DFE"/>
    <w:rsid w:val="00611039"/>
    <w:rsid w:val="00613037"/>
    <w:rsid w:val="006135AB"/>
    <w:rsid w:val="0061383D"/>
    <w:rsid w:val="006138E4"/>
    <w:rsid w:val="006144F6"/>
    <w:rsid w:val="0061495F"/>
    <w:rsid w:val="00616407"/>
    <w:rsid w:val="00616DDD"/>
    <w:rsid w:val="0061718E"/>
    <w:rsid w:val="006179B5"/>
    <w:rsid w:val="006179F0"/>
    <w:rsid w:val="00617F89"/>
    <w:rsid w:val="006202C0"/>
    <w:rsid w:val="00620E43"/>
    <w:rsid w:val="00620E5A"/>
    <w:rsid w:val="00621685"/>
    <w:rsid w:val="006225BA"/>
    <w:rsid w:val="00624204"/>
    <w:rsid w:val="00624734"/>
    <w:rsid w:val="00624BD7"/>
    <w:rsid w:val="006250E9"/>
    <w:rsid w:val="006253EE"/>
    <w:rsid w:val="006255A7"/>
    <w:rsid w:val="00625C08"/>
    <w:rsid w:val="00625CFD"/>
    <w:rsid w:val="006277D4"/>
    <w:rsid w:val="00630B93"/>
    <w:rsid w:val="0063143D"/>
    <w:rsid w:val="0063170D"/>
    <w:rsid w:val="006318D3"/>
    <w:rsid w:val="00631B92"/>
    <w:rsid w:val="0063286D"/>
    <w:rsid w:val="00632F58"/>
    <w:rsid w:val="00633B2F"/>
    <w:rsid w:val="006341E2"/>
    <w:rsid w:val="00635EE4"/>
    <w:rsid w:val="00640C31"/>
    <w:rsid w:val="00640CA2"/>
    <w:rsid w:val="0064214E"/>
    <w:rsid w:val="00642209"/>
    <w:rsid w:val="00642360"/>
    <w:rsid w:val="006429F0"/>
    <w:rsid w:val="00643226"/>
    <w:rsid w:val="00643450"/>
    <w:rsid w:val="00643D97"/>
    <w:rsid w:val="00644874"/>
    <w:rsid w:val="006459EF"/>
    <w:rsid w:val="00645D1E"/>
    <w:rsid w:val="006465F3"/>
    <w:rsid w:val="00646B55"/>
    <w:rsid w:val="00647F8A"/>
    <w:rsid w:val="00647F9A"/>
    <w:rsid w:val="0065083B"/>
    <w:rsid w:val="00651900"/>
    <w:rsid w:val="00652310"/>
    <w:rsid w:val="006523B6"/>
    <w:rsid w:val="00652983"/>
    <w:rsid w:val="00652C50"/>
    <w:rsid w:val="00652CE7"/>
    <w:rsid w:val="006534BF"/>
    <w:rsid w:val="006537D7"/>
    <w:rsid w:val="006537ED"/>
    <w:rsid w:val="0065444A"/>
    <w:rsid w:val="00654F68"/>
    <w:rsid w:val="00655CF9"/>
    <w:rsid w:val="00655D45"/>
    <w:rsid w:val="00655F20"/>
    <w:rsid w:val="00655FCB"/>
    <w:rsid w:val="006567BD"/>
    <w:rsid w:val="00656CBE"/>
    <w:rsid w:val="0065714C"/>
    <w:rsid w:val="00657496"/>
    <w:rsid w:val="00657C04"/>
    <w:rsid w:val="006600BA"/>
    <w:rsid w:val="006606B7"/>
    <w:rsid w:val="00660A74"/>
    <w:rsid w:val="00661C04"/>
    <w:rsid w:val="0066271F"/>
    <w:rsid w:val="00662E5F"/>
    <w:rsid w:val="00663037"/>
    <w:rsid w:val="006631FD"/>
    <w:rsid w:val="00663639"/>
    <w:rsid w:val="00663BA0"/>
    <w:rsid w:val="00663F11"/>
    <w:rsid w:val="00664434"/>
    <w:rsid w:val="00664F2C"/>
    <w:rsid w:val="0066561F"/>
    <w:rsid w:val="00665C06"/>
    <w:rsid w:val="00665CF7"/>
    <w:rsid w:val="00665EBB"/>
    <w:rsid w:val="00666693"/>
    <w:rsid w:val="00666998"/>
    <w:rsid w:val="00666A58"/>
    <w:rsid w:val="00667F8F"/>
    <w:rsid w:val="00670650"/>
    <w:rsid w:val="00670E3C"/>
    <w:rsid w:val="006712C0"/>
    <w:rsid w:val="00672BDB"/>
    <w:rsid w:val="00672CD2"/>
    <w:rsid w:val="006733C7"/>
    <w:rsid w:val="00674409"/>
    <w:rsid w:val="006744AC"/>
    <w:rsid w:val="00674C7D"/>
    <w:rsid w:val="00674EE9"/>
    <w:rsid w:val="0067533F"/>
    <w:rsid w:val="00675DEE"/>
    <w:rsid w:val="006763ED"/>
    <w:rsid w:val="00676543"/>
    <w:rsid w:val="0067701F"/>
    <w:rsid w:val="006774DE"/>
    <w:rsid w:val="00677CEF"/>
    <w:rsid w:val="00680114"/>
    <w:rsid w:val="0068045E"/>
    <w:rsid w:val="0068070C"/>
    <w:rsid w:val="00680B40"/>
    <w:rsid w:val="00680CCE"/>
    <w:rsid w:val="006811C4"/>
    <w:rsid w:val="0068160E"/>
    <w:rsid w:val="00681EC9"/>
    <w:rsid w:val="00681FE9"/>
    <w:rsid w:val="006822FA"/>
    <w:rsid w:val="0068288C"/>
    <w:rsid w:val="006839AC"/>
    <w:rsid w:val="00683F36"/>
    <w:rsid w:val="006840C5"/>
    <w:rsid w:val="006843D8"/>
    <w:rsid w:val="00685025"/>
    <w:rsid w:val="00685589"/>
    <w:rsid w:val="006862AD"/>
    <w:rsid w:val="0068682C"/>
    <w:rsid w:val="00686BA4"/>
    <w:rsid w:val="00687945"/>
    <w:rsid w:val="00687B67"/>
    <w:rsid w:val="006902B0"/>
    <w:rsid w:val="006913BC"/>
    <w:rsid w:val="0069322B"/>
    <w:rsid w:val="006938AA"/>
    <w:rsid w:val="0069474B"/>
    <w:rsid w:val="0069475D"/>
    <w:rsid w:val="00694E23"/>
    <w:rsid w:val="00694F53"/>
    <w:rsid w:val="0069533A"/>
    <w:rsid w:val="00695659"/>
    <w:rsid w:val="00695D39"/>
    <w:rsid w:val="00695EEF"/>
    <w:rsid w:val="00696678"/>
    <w:rsid w:val="006966F3"/>
    <w:rsid w:val="00697966"/>
    <w:rsid w:val="006A1682"/>
    <w:rsid w:val="006A176F"/>
    <w:rsid w:val="006A18C2"/>
    <w:rsid w:val="006A1C13"/>
    <w:rsid w:val="006A2242"/>
    <w:rsid w:val="006A28A7"/>
    <w:rsid w:val="006A2986"/>
    <w:rsid w:val="006A2C30"/>
    <w:rsid w:val="006A3A2B"/>
    <w:rsid w:val="006A3F2B"/>
    <w:rsid w:val="006A4B51"/>
    <w:rsid w:val="006A53DF"/>
    <w:rsid w:val="006A5745"/>
    <w:rsid w:val="006A6447"/>
    <w:rsid w:val="006A6BF1"/>
    <w:rsid w:val="006A6E7E"/>
    <w:rsid w:val="006A7D30"/>
    <w:rsid w:val="006B0503"/>
    <w:rsid w:val="006B08F3"/>
    <w:rsid w:val="006B0A91"/>
    <w:rsid w:val="006B0AD6"/>
    <w:rsid w:val="006B1BED"/>
    <w:rsid w:val="006B2988"/>
    <w:rsid w:val="006B3032"/>
    <w:rsid w:val="006B3FE9"/>
    <w:rsid w:val="006B453C"/>
    <w:rsid w:val="006B48A1"/>
    <w:rsid w:val="006B4B4A"/>
    <w:rsid w:val="006B4B78"/>
    <w:rsid w:val="006B5578"/>
    <w:rsid w:val="006B6DF8"/>
    <w:rsid w:val="006B75C6"/>
    <w:rsid w:val="006B779E"/>
    <w:rsid w:val="006B7861"/>
    <w:rsid w:val="006B7A5E"/>
    <w:rsid w:val="006B7B59"/>
    <w:rsid w:val="006C0202"/>
    <w:rsid w:val="006C06EE"/>
    <w:rsid w:val="006C0B44"/>
    <w:rsid w:val="006C17AF"/>
    <w:rsid w:val="006C1F53"/>
    <w:rsid w:val="006C1FF9"/>
    <w:rsid w:val="006C26F6"/>
    <w:rsid w:val="006C2BB7"/>
    <w:rsid w:val="006C354C"/>
    <w:rsid w:val="006C3B16"/>
    <w:rsid w:val="006C3B76"/>
    <w:rsid w:val="006C3C0E"/>
    <w:rsid w:val="006C43D6"/>
    <w:rsid w:val="006C4568"/>
    <w:rsid w:val="006C4572"/>
    <w:rsid w:val="006C4ECC"/>
    <w:rsid w:val="006C5064"/>
    <w:rsid w:val="006C5309"/>
    <w:rsid w:val="006C54B5"/>
    <w:rsid w:val="006C5996"/>
    <w:rsid w:val="006C60A7"/>
    <w:rsid w:val="006C6AA8"/>
    <w:rsid w:val="006C70B6"/>
    <w:rsid w:val="006C758C"/>
    <w:rsid w:val="006C7B03"/>
    <w:rsid w:val="006C7FCC"/>
    <w:rsid w:val="006D0455"/>
    <w:rsid w:val="006D0EC2"/>
    <w:rsid w:val="006D146F"/>
    <w:rsid w:val="006D1BAC"/>
    <w:rsid w:val="006D2219"/>
    <w:rsid w:val="006D2A16"/>
    <w:rsid w:val="006D3335"/>
    <w:rsid w:val="006D3570"/>
    <w:rsid w:val="006D3674"/>
    <w:rsid w:val="006D36AE"/>
    <w:rsid w:val="006D4330"/>
    <w:rsid w:val="006D4331"/>
    <w:rsid w:val="006D4C72"/>
    <w:rsid w:val="006D4E4C"/>
    <w:rsid w:val="006D5585"/>
    <w:rsid w:val="006D58E3"/>
    <w:rsid w:val="006D5F76"/>
    <w:rsid w:val="006D61B3"/>
    <w:rsid w:val="006D6D96"/>
    <w:rsid w:val="006D6F08"/>
    <w:rsid w:val="006D7211"/>
    <w:rsid w:val="006D75C8"/>
    <w:rsid w:val="006E0CE7"/>
    <w:rsid w:val="006E11DC"/>
    <w:rsid w:val="006E1831"/>
    <w:rsid w:val="006E1939"/>
    <w:rsid w:val="006E30C6"/>
    <w:rsid w:val="006E3AF5"/>
    <w:rsid w:val="006E3F6F"/>
    <w:rsid w:val="006E613E"/>
    <w:rsid w:val="006E690F"/>
    <w:rsid w:val="006E69C1"/>
    <w:rsid w:val="006E7610"/>
    <w:rsid w:val="006F09B7"/>
    <w:rsid w:val="006F0D46"/>
    <w:rsid w:val="006F141B"/>
    <w:rsid w:val="006F23DD"/>
    <w:rsid w:val="006F2A38"/>
    <w:rsid w:val="006F2B2F"/>
    <w:rsid w:val="006F2CF7"/>
    <w:rsid w:val="006F30E1"/>
    <w:rsid w:val="006F4161"/>
    <w:rsid w:val="006F5158"/>
    <w:rsid w:val="006F55E2"/>
    <w:rsid w:val="006F5896"/>
    <w:rsid w:val="006F5D78"/>
    <w:rsid w:val="006F6675"/>
    <w:rsid w:val="006F7005"/>
    <w:rsid w:val="006F7013"/>
    <w:rsid w:val="006F73C5"/>
    <w:rsid w:val="006F77E9"/>
    <w:rsid w:val="00700109"/>
    <w:rsid w:val="00700950"/>
    <w:rsid w:val="007009D1"/>
    <w:rsid w:val="00700D20"/>
    <w:rsid w:val="00701136"/>
    <w:rsid w:val="00701395"/>
    <w:rsid w:val="00701437"/>
    <w:rsid w:val="00701601"/>
    <w:rsid w:val="00701E2F"/>
    <w:rsid w:val="00701F02"/>
    <w:rsid w:val="00702E3E"/>
    <w:rsid w:val="0070319A"/>
    <w:rsid w:val="00703CB4"/>
    <w:rsid w:val="00703DAA"/>
    <w:rsid w:val="00703EA6"/>
    <w:rsid w:val="0070466C"/>
    <w:rsid w:val="007046F1"/>
    <w:rsid w:val="00704702"/>
    <w:rsid w:val="007052EE"/>
    <w:rsid w:val="00705762"/>
    <w:rsid w:val="00705786"/>
    <w:rsid w:val="00705BD7"/>
    <w:rsid w:val="0070630B"/>
    <w:rsid w:val="007064E6"/>
    <w:rsid w:val="00706E9B"/>
    <w:rsid w:val="00707C18"/>
    <w:rsid w:val="007103A9"/>
    <w:rsid w:val="00710897"/>
    <w:rsid w:val="00710A23"/>
    <w:rsid w:val="007113A2"/>
    <w:rsid w:val="0071214A"/>
    <w:rsid w:val="007126A4"/>
    <w:rsid w:val="00712700"/>
    <w:rsid w:val="00712FEA"/>
    <w:rsid w:val="0071363C"/>
    <w:rsid w:val="007138EB"/>
    <w:rsid w:val="00713AEA"/>
    <w:rsid w:val="00713B21"/>
    <w:rsid w:val="00713EEB"/>
    <w:rsid w:val="00714340"/>
    <w:rsid w:val="00716AD2"/>
    <w:rsid w:val="00717542"/>
    <w:rsid w:val="007203CA"/>
    <w:rsid w:val="00720722"/>
    <w:rsid w:val="00720E3E"/>
    <w:rsid w:val="00720E81"/>
    <w:rsid w:val="0072167E"/>
    <w:rsid w:val="007217F1"/>
    <w:rsid w:val="007219D6"/>
    <w:rsid w:val="00721A61"/>
    <w:rsid w:val="007226F5"/>
    <w:rsid w:val="0072290F"/>
    <w:rsid w:val="007229D1"/>
    <w:rsid w:val="00723B2C"/>
    <w:rsid w:val="00723B5B"/>
    <w:rsid w:val="00724151"/>
    <w:rsid w:val="00724A73"/>
    <w:rsid w:val="00724ED0"/>
    <w:rsid w:val="00724F92"/>
    <w:rsid w:val="007253D6"/>
    <w:rsid w:val="0072578A"/>
    <w:rsid w:val="0072597A"/>
    <w:rsid w:val="00726191"/>
    <w:rsid w:val="00726C39"/>
    <w:rsid w:val="0072742B"/>
    <w:rsid w:val="007274DE"/>
    <w:rsid w:val="0073008E"/>
    <w:rsid w:val="00731159"/>
    <w:rsid w:val="00731FD1"/>
    <w:rsid w:val="007320B6"/>
    <w:rsid w:val="007321F3"/>
    <w:rsid w:val="007322F6"/>
    <w:rsid w:val="0073240D"/>
    <w:rsid w:val="00732C69"/>
    <w:rsid w:val="00733F05"/>
    <w:rsid w:val="00733FB2"/>
    <w:rsid w:val="007344E8"/>
    <w:rsid w:val="00734AE6"/>
    <w:rsid w:val="0073555C"/>
    <w:rsid w:val="007355D3"/>
    <w:rsid w:val="007367E1"/>
    <w:rsid w:val="0073792C"/>
    <w:rsid w:val="0074028E"/>
    <w:rsid w:val="0074089A"/>
    <w:rsid w:val="00740BA0"/>
    <w:rsid w:val="007419F2"/>
    <w:rsid w:val="00741DFE"/>
    <w:rsid w:val="0074208C"/>
    <w:rsid w:val="0074257A"/>
    <w:rsid w:val="007425CD"/>
    <w:rsid w:val="007436BA"/>
    <w:rsid w:val="00743E20"/>
    <w:rsid w:val="00744A26"/>
    <w:rsid w:val="00744D19"/>
    <w:rsid w:val="00746047"/>
    <w:rsid w:val="007460F9"/>
    <w:rsid w:val="007461EF"/>
    <w:rsid w:val="00746DFD"/>
    <w:rsid w:val="00747434"/>
    <w:rsid w:val="0074788B"/>
    <w:rsid w:val="007479DF"/>
    <w:rsid w:val="00747FF2"/>
    <w:rsid w:val="00750151"/>
    <w:rsid w:val="00750407"/>
    <w:rsid w:val="00750708"/>
    <w:rsid w:val="00750D2D"/>
    <w:rsid w:val="00751353"/>
    <w:rsid w:val="0075137C"/>
    <w:rsid w:val="0075153D"/>
    <w:rsid w:val="0075203B"/>
    <w:rsid w:val="00752748"/>
    <w:rsid w:val="0075395B"/>
    <w:rsid w:val="0075418A"/>
    <w:rsid w:val="00754445"/>
    <w:rsid w:val="00754569"/>
    <w:rsid w:val="007549AE"/>
    <w:rsid w:val="007566F9"/>
    <w:rsid w:val="007571D6"/>
    <w:rsid w:val="00757F87"/>
    <w:rsid w:val="00760E8F"/>
    <w:rsid w:val="0076260D"/>
    <w:rsid w:val="00762B02"/>
    <w:rsid w:val="00763B77"/>
    <w:rsid w:val="007651BD"/>
    <w:rsid w:val="0076555B"/>
    <w:rsid w:val="0076567E"/>
    <w:rsid w:val="00765794"/>
    <w:rsid w:val="0076664E"/>
    <w:rsid w:val="00766832"/>
    <w:rsid w:val="007669DD"/>
    <w:rsid w:val="0076702C"/>
    <w:rsid w:val="00767DCF"/>
    <w:rsid w:val="00767F6C"/>
    <w:rsid w:val="0077039E"/>
    <w:rsid w:val="00770E31"/>
    <w:rsid w:val="0077108A"/>
    <w:rsid w:val="00771269"/>
    <w:rsid w:val="00771874"/>
    <w:rsid w:val="00771F14"/>
    <w:rsid w:val="00772057"/>
    <w:rsid w:val="0077235E"/>
    <w:rsid w:val="007726D1"/>
    <w:rsid w:val="00772829"/>
    <w:rsid w:val="00772BEB"/>
    <w:rsid w:val="00772EFF"/>
    <w:rsid w:val="007735CE"/>
    <w:rsid w:val="00773C23"/>
    <w:rsid w:val="007740F8"/>
    <w:rsid w:val="00774553"/>
    <w:rsid w:val="007745C5"/>
    <w:rsid w:val="00775B7F"/>
    <w:rsid w:val="00776571"/>
    <w:rsid w:val="00776A81"/>
    <w:rsid w:val="00776C34"/>
    <w:rsid w:val="00776C3C"/>
    <w:rsid w:val="00777848"/>
    <w:rsid w:val="00777893"/>
    <w:rsid w:val="0078027B"/>
    <w:rsid w:val="007805E9"/>
    <w:rsid w:val="00780C65"/>
    <w:rsid w:val="00781102"/>
    <w:rsid w:val="00781961"/>
    <w:rsid w:val="00781B6B"/>
    <w:rsid w:val="00781D76"/>
    <w:rsid w:val="00782154"/>
    <w:rsid w:val="00783354"/>
    <w:rsid w:val="00783935"/>
    <w:rsid w:val="007842B5"/>
    <w:rsid w:val="00784341"/>
    <w:rsid w:val="007852E9"/>
    <w:rsid w:val="007854DE"/>
    <w:rsid w:val="00785D88"/>
    <w:rsid w:val="00786012"/>
    <w:rsid w:val="007866A6"/>
    <w:rsid w:val="00790305"/>
    <w:rsid w:val="00790B15"/>
    <w:rsid w:val="00790D52"/>
    <w:rsid w:val="00790F49"/>
    <w:rsid w:val="00791DFF"/>
    <w:rsid w:val="00792BBE"/>
    <w:rsid w:val="007931CB"/>
    <w:rsid w:val="0079345B"/>
    <w:rsid w:val="00793EBE"/>
    <w:rsid w:val="00794359"/>
    <w:rsid w:val="00794D2D"/>
    <w:rsid w:val="007951D4"/>
    <w:rsid w:val="007957EB"/>
    <w:rsid w:val="00795CE7"/>
    <w:rsid w:val="0079614C"/>
    <w:rsid w:val="00796153"/>
    <w:rsid w:val="00797218"/>
    <w:rsid w:val="00797C46"/>
    <w:rsid w:val="007A0519"/>
    <w:rsid w:val="007A0882"/>
    <w:rsid w:val="007A16AA"/>
    <w:rsid w:val="007A17B2"/>
    <w:rsid w:val="007A19F6"/>
    <w:rsid w:val="007A1C61"/>
    <w:rsid w:val="007A297E"/>
    <w:rsid w:val="007A2A00"/>
    <w:rsid w:val="007A2B65"/>
    <w:rsid w:val="007A43FC"/>
    <w:rsid w:val="007A4462"/>
    <w:rsid w:val="007A5617"/>
    <w:rsid w:val="007A610E"/>
    <w:rsid w:val="007A63DC"/>
    <w:rsid w:val="007A6BFB"/>
    <w:rsid w:val="007A7228"/>
    <w:rsid w:val="007A7848"/>
    <w:rsid w:val="007B0245"/>
    <w:rsid w:val="007B083F"/>
    <w:rsid w:val="007B0880"/>
    <w:rsid w:val="007B0D01"/>
    <w:rsid w:val="007B1576"/>
    <w:rsid w:val="007B17A4"/>
    <w:rsid w:val="007B1916"/>
    <w:rsid w:val="007B1C55"/>
    <w:rsid w:val="007B2085"/>
    <w:rsid w:val="007B2177"/>
    <w:rsid w:val="007B24DF"/>
    <w:rsid w:val="007B2DE8"/>
    <w:rsid w:val="007B2FDC"/>
    <w:rsid w:val="007B301E"/>
    <w:rsid w:val="007B30C0"/>
    <w:rsid w:val="007B377E"/>
    <w:rsid w:val="007B38A0"/>
    <w:rsid w:val="007B38B7"/>
    <w:rsid w:val="007B3C42"/>
    <w:rsid w:val="007B4C90"/>
    <w:rsid w:val="007B4F7B"/>
    <w:rsid w:val="007B504C"/>
    <w:rsid w:val="007B5698"/>
    <w:rsid w:val="007B583D"/>
    <w:rsid w:val="007B5E89"/>
    <w:rsid w:val="007B61E1"/>
    <w:rsid w:val="007B65ED"/>
    <w:rsid w:val="007B6684"/>
    <w:rsid w:val="007B6B21"/>
    <w:rsid w:val="007B6F97"/>
    <w:rsid w:val="007B7024"/>
    <w:rsid w:val="007C035B"/>
    <w:rsid w:val="007C0390"/>
    <w:rsid w:val="007C0E52"/>
    <w:rsid w:val="007C102B"/>
    <w:rsid w:val="007C1087"/>
    <w:rsid w:val="007C14A2"/>
    <w:rsid w:val="007C1647"/>
    <w:rsid w:val="007C179B"/>
    <w:rsid w:val="007C1E92"/>
    <w:rsid w:val="007C2680"/>
    <w:rsid w:val="007C2DEB"/>
    <w:rsid w:val="007C300E"/>
    <w:rsid w:val="007C328D"/>
    <w:rsid w:val="007C336F"/>
    <w:rsid w:val="007C37BA"/>
    <w:rsid w:val="007C3C40"/>
    <w:rsid w:val="007C41B1"/>
    <w:rsid w:val="007C580A"/>
    <w:rsid w:val="007C6498"/>
    <w:rsid w:val="007C64E6"/>
    <w:rsid w:val="007C6716"/>
    <w:rsid w:val="007C6F71"/>
    <w:rsid w:val="007C72E4"/>
    <w:rsid w:val="007C73A2"/>
    <w:rsid w:val="007C763F"/>
    <w:rsid w:val="007D028B"/>
    <w:rsid w:val="007D149E"/>
    <w:rsid w:val="007D1E6C"/>
    <w:rsid w:val="007D2598"/>
    <w:rsid w:val="007D30B7"/>
    <w:rsid w:val="007D3182"/>
    <w:rsid w:val="007D33B8"/>
    <w:rsid w:val="007D33C1"/>
    <w:rsid w:val="007D3585"/>
    <w:rsid w:val="007D4F5E"/>
    <w:rsid w:val="007D518A"/>
    <w:rsid w:val="007D5C58"/>
    <w:rsid w:val="007D687B"/>
    <w:rsid w:val="007D72DC"/>
    <w:rsid w:val="007D7E6D"/>
    <w:rsid w:val="007E0375"/>
    <w:rsid w:val="007E0D47"/>
    <w:rsid w:val="007E15AD"/>
    <w:rsid w:val="007E17DD"/>
    <w:rsid w:val="007E25ED"/>
    <w:rsid w:val="007E2BC0"/>
    <w:rsid w:val="007E37B2"/>
    <w:rsid w:val="007E3E0C"/>
    <w:rsid w:val="007E6F29"/>
    <w:rsid w:val="007E73DD"/>
    <w:rsid w:val="007E7842"/>
    <w:rsid w:val="007E7E51"/>
    <w:rsid w:val="007F033B"/>
    <w:rsid w:val="007F082F"/>
    <w:rsid w:val="007F0A38"/>
    <w:rsid w:val="007F0CBC"/>
    <w:rsid w:val="007F129D"/>
    <w:rsid w:val="007F1DF8"/>
    <w:rsid w:val="007F29D9"/>
    <w:rsid w:val="007F352C"/>
    <w:rsid w:val="007F3A03"/>
    <w:rsid w:val="007F4467"/>
    <w:rsid w:val="007F45AC"/>
    <w:rsid w:val="007F52E0"/>
    <w:rsid w:val="007F67E9"/>
    <w:rsid w:val="007F7C7B"/>
    <w:rsid w:val="007F7EA0"/>
    <w:rsid w:val="0080076A"/>
    <w:rsid w:val="008008E1"/>
    <w:rsid w:val="0080112E"/>
    <w:rsid w:val="00801257"/>
    <w:rsid w:val="0080135A"/>
    <w:rsid w:val="00801797"/>
    <w:rsid w:val="008026B1"/>
    <w:rsid w:val="00802835"/>
    <w:rsid w:val="00802E48"/>
    <w:rsid w:val="00802F27"/>
    <w:rsid w:val="0080329F"/>
    <w:rsid w:val="008040A2"/>
    <w:rsid w:val="00804632"/>
    <w:rsid w:val="00804907"/>
    <w:rsid w:val="00805072"/>
    <w:rsid w:val="00805103"/>
    <w:rsid w:val="0080537F"/>
    <w:rsid w:val="008054D9"/>
    <w:rsid w:val="008059A7"/>
    <w:rsid w:val="00806688"/>
    <w:rsid w:val="0080681B"/>
    <w:rsid w:val="00807A3E"/>
    <w:rsid w:val="00810338"/>
    <w:rsid w:val="00810994"/>
    <w:rsid w:val="00810DC0"/>
    <w:rsid w:val="00810E5A"/>
    <w:rsid w:val="00812282"/>
    <w:rsid w:val="008135E9"/>
    <w:rsid w:val="00813927"/>
    <w:rsid w:val="00814006"/>
    <w:rsid w:val="00814306"/>
    <w:rsid w:val="008148E4"/>
    <w:rsid w:val="008157F1"/>
    <w:rsid w:val="008167F5"/>
    <w:rsid w:val="00816EB1"/>
    <w:rsid w:val="00816EC2"/>
    <w:rsid w:val="00820520"/>
    <w:rsid w:val="008206BF"/>
    <w:rsid w:val="00820A85"/>
    <w:rsid w:val="00820DB8"/>
    <w:rsid w:val="0082132D"/>
    <w:rsid w:val="00821C25"/>
    <w:rsid w:val="00821E9F"/>
    <w:rsid w:val="00821F58"/>
    <w:rsid w:val="008223ED"/>
    <w:rsid w:val="00822935"/>
    <w:rsid w:val="008236E1"/>
    <w:rsid w:val="00824310"/>
    <w:rsid w:val="00824458"/>
    <w:rsid w:val="008246DE"/>
    <w:rsid w:val="008249F7"/>
    <w:rsid w:val="00824B74"/>
    <w:rsid w:val="00824EFF"/>
    <w:rsid w:val="00825E51"/>
    <w:rsid w:val="0082605D"/>
    <w:rsid w:val="008265F7"/>
    <w:rsid w:val="00827027"/>
    <w:rsid w:val="008274F5"/>
    <w:rsid w:val="008277EA"/>
    <w:rsid w:val="00831036"/>
    <w:rsid w:val="00831851"/>
    <w:rsid w:val="008330D1"/>
    <w:rsid w:val="00833B99"/>
    <w:rsid w:val="008346FE"/>
    <w:rsid w:val="0083480D"/>
    <w:rsid w:val="00835EC9"/>
    <w:rsid w:val="00835F77"/>
    <w:rsid w:val="00836F91"/>
    <w:rsid w:val="008374A8"/>
    <w:rsid w:val="00837F7E"/>
    <w:rsid w:val="008403ED"/>
    <w:rsid w:val="0084093E"/>
    <w:rsid w:val="00840A25"/>
    <w:rsid w:val="0084108A"/>
    <w:rsid w:val="00841388"/>
    <w:rsid w:val="00841EFB"/>
    <w:rsid w:val="00841F44"/>
    <w:rsid w:val="00842C82"/>
    <w:rsid w:val="00842F53"/>
    <w:rsid w:val="008436D7"/>
    <w:rsid w:val="008437E9"/>
    <w:rsid w:val="008440FE"/>
    <w:rsid w:val="008444F2"/>
    <w:rsid w:val="0084494C"/>
    <w:rsid w:val="0084590B"/>
    <w:rsid w:val="00846119"/>
    <w:rsid w:val="0084663F"/>
    <w:rsid w:val="00846C74"/>
    <w:rsid w:val="008474E3"/>
    <w:rsid w:val="0084786A"/>
    <w:rsid w:val="00847FE9"/>
    <w:rsid w:val="008508CB"/>
    <w:rsid w:val="008511DD"/>
    <w:rsid w:val="00851DFD"/>
    <w:rsid w:val="00852350"/>
    <w:rsid w:val="008527ED"/>
    <w:rsid w:val="0085288F"/>
    <w:rsid w:val="008529BD"/>
    <w:rsid w:val="00852B5F"/>
    <w:rsid w:val="00852E45"/>
    <w:rsid w:val="008534DD"/>
    <w:rsid w:val="0085360F"/>
    <w:rsid w:val="008537F7"/>
    <w:rsid w:val="00853E19"/>
    <w:rsid w:val="008546BE"/>
    <w:rsid w:val="00854C55"/>
    <w:rsid w:val="008556F7"/>
    <w:rsid w:val="00855E9B"/>
    <w:rsid w:val="00856074"/>
    <w:rsid w:val="00856C27"/>
    <w:rsid w:val="0085726D"/>
    <w:rsid w:val="0085763A"/>
    <w:rsid w:val="00857949"/>
    <w:rsid w:val="00857C46"/>
    <w:rsid w:val="00861770"/>
    <w:rsid w:val="008618F7"/>
    <w:rsid w:val="00861FAB"/>
    <w:rsid w:val="00862020"/>
    <w:rsid w:val="00864230"/>
    <w:rsid w:val="008648BE"/>
    <w:rsid w:val="00864B32"/>
    <w:rsid w:val="0086597C"/>
    <w:rsid w:val="00865DD7"/>
    <w:rsid w:val="008664FA"/>
    <w:rsid w:val="00867F9C"/>
    <w:rsid w:val="0087037A"/>
    <w:rsid w:val="00870C89"/>
    <w:rsid w:val="008710C1"/>
    <w:rsid w:val="0087191B"/>
    <w:rsid w:val="008719C2"/>
    <w:rsid w:val="008722FE"/>
    <w:rsid w:val="0087277A"/>
    <w:rsid w:val="00872A47"/>
    <w:rsid w:val="00872CB3"/>
    <w:rsid w:val="008736E2"/>
    <w:rsid w:val="0087418A"/>
    <w:rsid w:val="00874419"/>
    <w:rsid w:val="00874565"/>
    <w:rsid w:val="00875050"/>
    <w:rsid w:val="008758B5"/>
    <w:rsid w:val="00875C80"/>
    <w:rsid w:val="00876481"/>
    <w:rsid w:val="008771C7"/>
    <w:rsid w:val="00877218"/>
    <w:rsid w:val="00877247"/>
    <w:rsid w:val="00877EE1"/>
    <w:rsid w:val="00877F9B"/>
    <w:rsid w:val="008801AE"/>
    <w:rsid w:val="00880AA3"/>
    <w:rsid w:val="00883227"/>
    <w:rsid w:val="00883844"/>
    <w:rsid w:val="0088421C"/>
    <w:rsid w:val="0088445B"/>
    <w:rsid w:val="0088488B"/>
    <w:rsid w:val="0088508E"/>
    <w:rsid w:val="008865C5"/>
    <w:rsid w:val="008865F1"/>
    <w:rsid w:val="00886EEB"/>
    <w:rsid w:val="00887399"/>
    <w:rsid w:val="00887573"/>
    <w:rsid w:val="00887E3D"/>
    <w:rsid w:val="00890232"/>
    <w:rsid w:val="0089070F"/>
    <w:rsid w:val="00890B7F"/>
    <w:rsid w:val="00890F3F"/>
    <w:rsid w:val="0089134F"/>
    <w:rsid w:val="008914D7"/>
    <w:rsid w:val="008915F6"/>
    <w:rsid w:val="0089195D"/>
    <w:rsid w:val="00891AF6"/>
    <w:rsid w:val="00891BC3"/>
    <w:rsid w:val="00892048"/>
    <w:rsid w:val="00892104"/>
    <w:rsid w:val="0089253C"/>
    <w:rsid w:val="00892C57"/>
    <w:rsid w:val="0089303B"/>
    <w:rsid w:val="008937C8"/>
    <w:rsid w:val="00893D5D"/>
    <w:rsid w:val="00893DF3"/>
    <w:rsid w:val="008947D9"/>
    <w:rsid w:val="00894EB9"/>
    <w:rsid w:val="008967C4"/>
    <w:rsid w:val="00897663"/>
    <w:rsid w:val="008A0D2A"/>
    <w:rsid w:val="008A1693"/>
    <w:rsid w:val="008A1726"/>
    <w:rsid w:val="008A186B"/>
    <w:rsid w:val="008A1A95"/>
    <w:rsid w:val="008A254F"/>
    <w:rsid w:val="008A2630"/>
    <w:rsid w:val="008A2C76"/>
    <w:rsid w:val="008A2DEA"/>
    <w:rsid w:val="008A35EB"/>
    <w:rsid w:val="008A388B"/>
    <w:rsid w:val="008A390C"/>
    <w:rsid w:val="008A39B0"/>
    <w:rsid w:val="008A44DE"/>
    <w:rsid w:val="008A4CFB"/>
    <w:rsid w:val="008A4F0E"/>
    <w:rsid w:val="008A53E1"/>
    <w:rsid w:val="008A541C"/>
    <w:rsid w:val="008A5833"/>
    <w:rsid w:val="008A64D8"/>
    <w:rsid w:val="008A6FB2"/>
    <w:rsid w:val="008A7DE5"/>
    <w:rsid w:val="008B148B"/>
    <w:rsid w:val="008B1C15"/>
    <w:rsid w:val="008B2BC3"/>
    <w:rsid w:val="008B3A88"/>
    <w:rsid w:val="008B3CCA"/>
    <w:rsid w:val="008B426F"/>
    <w:rsid w:val="008B4A66"/>
    <w:rsid w:val="008B4BFC"/>
    <w:rsid w:val="008B51B4"/>
    <w:rsid w:val="008B55AC"/>
    <w:rsid w:val="008B573D"/>
    <w:rsid w:val="008B5B67"/>
    <w:rsid w:val="008B5D7A"/>
    <w:rsid w:val="008B66E3"/>
    <w:rsid w:val="008B7117"/>
    <w:rsid w:val="008B715A"/>
    <w:rsid w:val="008B7848"/>
    <w:rsid w:val="008B7CD6"/>
    <w:rsid w:val="008C0288"/>
    <w:rsid w:val="008C05B6"/>
    <w:rsid w:val="008C0D5C"/>
    <w:rsid w:val="008C1125"/>
    <w:rsid w:val="008C14DB"/>
    <w:rsid w:val="008C15F0"/>
    <w:rsid w:val="008C1E05"/>
    <w:rsid w:val="008C21B5"/>
    <w:rsid w:val="008C34BB"/>
    <w:rsid w:val="008C36F3"/>
    <w:rsid w:val="008C381F"/>
    <w:rsid w:val="008C4053"/>
    <w:rsid w:val="008C45E2"/>
    <w:rsid w:val="008C4BC0"/>
    <w:rsid w:val="008C58BA"/>
    <w:rsid w:val="008C620D"/>
    <w:rsid w:val="008C7CDB"/>
    <w:rsid w:val="008D0BF3"/>
    <w:rsid w:val="008D102F"/>
    <w:rsid w:val="008D199F"/>
    <w:rsid w:val="008D205B"/>
    <w:rsid w:val="008D20C9"/>
    <w:rsid w:val="008D241E"/>
    <w:rsid w:val="008D3004"/>
    <w:rsid w:val="008D30F1"/>
    <w:rsid w:val="008D3726"/>
    <w:rsid w:val="008D3783"/>
    <w:rsid w:val="008D3DC0"/>
    <w:rsid w:val="008D47A0"/>
    <w:rsid w:val="008D4CB0"/>
    <w:rsid w:val="008D5E3A"/>
    <w:rsid w:val="008D6379"/>
    <w:rsid w:val="008D6397"/>
    <w:rsid w:val="008D6974"/>
    <w:rsid w:val="008D699F"/>
    <w:rsid w:val="008D6D62"/>
    <w:rsid w:val="008D73C9"/>
    <w:rsid w:val="008D75DD"/>
    <w:rsid w:val="008D7CB1"/>
    <w:rsid w:val="008D7DCF"/>
    <w:rsid w:val="008E0A52"/>
    <w:rsid w:val="008E16BF"/>
    <w:rsid w:val="008E1AF6"/>
    <w:rsid w:val="008E2288"/>
    <w:rsid w:val="008E2C0E"/>
    <w:rsid w:val="008E3049"/>
    <w:rsid w:val="008E306D"/>
    <w:rsid w:val="008E35A3"/>
    <w:rsid w:val="008E4E84"/>
    <w:rsid w:val="008E5A1A"/>
    <w:rsid w:val="008E6881"/>
    <w:rsid w:val="008E6F5F"/>
    <w:rsid w:val="008E7274"/>
    <w:rsid w:val="008E739B"/>
    <w:rsid w:val="008F01CB"/>
    <w:rsid w:val="008F03EC"/>
    <w:rsid w:val="008F0562"/>
    <w:rsid w:val="008F09DC"/>
    <w:rsid w:val="008F0A62"/>
    <w:rsid w:val="008F0CD4"/>
    <w:rsid w:val="008F0CF8"/>
    <w:rsid w:val="008F254E"/>
    <w:rsid w:val="008F260B"/>
    <w:rsid w:val="008F304E"/>
    <w:rsid w:val="008F30D7"/>
    <w:rsid w:val="008F3B7F"/>
    <w:rsid w:val="008F4394"/>
    <w:rsid w:val="008F44B8"/>
    <w:rsid w:val="008F48F3"/>
    <w:rsid w:val="008F498E"/>
    <w:rsid w:val="008F5876"/>
    <w:rsid w:val="008F65E0"/>
    <w:rsid w:val="008F69E7"/>
    <w:rsid w:val="008F7037"/>
    <w:rsid w:val="008F7FAE"/>
    <w:rsid w:val="009000BE"/>
    <w:rsid w:val="00900E85"/>
    <w:rsid w:val="00900F3E"/>
    <w:rsid w:val="009019A2"/>
    <w:rsid w:val="009019AE"/>
    <w:rsid w:val="0090281C"/>
    <w:rsid w:val="009035B5"/>
    <w:rsid w:val="00903B4E"/>
    <w:rsid w:val="00904F29"/>
    <w:rsid w:val="00905D20"/>
    <w:rsid w:val="00905DCC"/>
    <w:rsid w:val="00906821"/>
    <w:rsid w:val="00906942"/>
    <w:rsid w:val="00906CB3"/>
    <w:rsid w:val="00906CED"/>
    <w:rsid w:val="00906E65"/>
    <w:rsid w:val="0090793C"/>
    <w:rsid w:val="00910715"/>
    <w:rsid w:val="00910C80"/>
    <w:rsid w:val="00910F43"/>
    <w:rsid w:val="00910F46"/>
    <w:rsid w:val="0091195F"/>
    <w:rsid w:val="00911FD6"/>
    <w:rsid w:val="009121D4"/>
    <w:rsid w:val="00912DDE"/>
    <w:rsid w:val="0091361C"/>
    <w:rsid w:val="00913F6E"/>
    <w:rsid w:val="00913F81"/>
    <w:rsid w:val="009144D5"/>
    <w:rsid w:val="00914ABB"/>
    <w:rsid w:val="00915F93"/>
    <w:rsid w:val="00915F98"/>
    <w:rsid w:val="00915FA3"/>
    <w:rsid w:val="009166D6"/>
    <w:rsid w:val="00917E58"/>
    <w:rsid w:val="009205A7"/>
    <w:rsid w:val="00920967"/>
    <w:rsid w:val="009217F8"/>
    <w:rsid w:val="00921964"/>
    <w:rsid w:val="00921C34"/>
    <w:rsid w:val="0092470E"/>
    <w:rsid w:val="00924786"/>
    <w:rsid w:val="009249A7"/>
    <w:rsid w:val="00925187"/>
    <w:rsid w:val="00926607"/>
    <w:rsid w:val="009267C0"/>
    <w:rsid w:val="0092709C"/>
    <w:rsid w:val="0092717F"/>
    <w:rsid w:val="00927447"/>
    <w:rsid w:val="00927744"/>
    <w:rsid w:val="009279D0"/>
    <w:rsid w:val="00927B05"/>
    <w:rsid w:val="00927F2B"/>
    <w:rsid w:val="009300CF"/>
    <w:rsid w:val="00930F4E"/>
    <w:rsid w:val="00930F59"/>
    <w:rsid w:val="00931383"/>
    <w:rsid w:val="00931DBD"/>
    <w:rsid w:val="00932428"/>
    <w:rsid w:val="009325BE"/>
    <w:rsid w:val="00932D10"/>
    <w:rsid w:val="009340FE"/>
    <w:rsid w:val="00934397"/>
    <w:rsid w:val="009344C8"/>
    <w:rsid w:val="009353F7"/>
    <w:rsid w:val="0093541B"/>
    <w:rsid w:val="00936062"/>
    <w:rsid w:val="00937CBE"/>
    <w:rsid w:val="00937E72"/>
    <w:rsid w:val="00940288"/>
    <w:rsid w:val="00941603"/>
    <w:rsid w:val="0094166D"/>
    <w:rsid w:val="00941D89"/>
    <w:rsid w:val="009427B5"/>
    <w:rsid w:val="00942B5F"/>
    <w:rsid w:val="00943807"/>
    <w:rsid w:val="00944087"/>
    <w:rsid w:val="00944E74"/>
    <w:rsid w:val="00945538"/>
    <w:rsid w:val="0094645B"/>
    <w:rsid w:val="00947278"/>
    <w:rsid w:val="0094766C"/>
    <w:rsid w:val="0095012E"/>
    <w:rsid w:val="00950599"/>
    <w:rsid w:val="0095061B"/>
    <w:rsid w:val="0095082F"/>
    <w:rsid w:val="009516AE"/>
    <w:rsid w:val="00951934"/>
    <w:rsid w:val="0095207B"/>
    <w:rsid w:val="0095208A"/>
    <w:rsid w:val="009522CD"/>
    <w:rsid w:val="009529EA"/>
    <w:rsid w:val="00952B06"/>
    <w:rsid w:val="009536AD"/>
    <w:rsid w:val="00953793"/>
    <w:rsid w:val="0095408F"/>
    <w:rsid w:val="00954304"/>
    <w:rsid w:val="00954C8C"/>
    <w:rsid w:val="00954DB4"/>
    <w:rsid w:val="009557BF"/>
    <w:rsid w:val="00955FD5"/>
    <w:rsid w:val="00956303"/>
    <w:rsid w:val="00956ACE"/>
    <w:rsid w:val="00956EDE"/>
    <w:rsid w:val="00957048"/>
    <w:rsid w:val="009572A0"/>
    <w:rsid w:val="009579C8"/>
    <w:rsid w:val="00957D24"/>
    <w:rsid w:val="00957D6D"/>
    <w:rsid w:val="00960389"/>
    <w:rsid w:val="00960654"/>
    <w:rsid w:val="0096083C"/>
    <w:rsid w:val="009609B1"/>
    <w:rsid w:val="00960DCF"/>
    <w:rsid w:val="00960FD9"/>
    <w:rsid w:val="00961B53"/>
    <w:rsid w:val="009620F0"/>
    <w:rsid w:val="00963264"/>
    <w:rsid w:val="00963591"/>
    <w:rsid w:val="0096389D"/>
    <w:rsid w:val="00963B70"/>
    <w:rsid w:val="00963FA4"/>
    <w:rsid w:val="00964430"/>
    <w:rsid w:val="00964971"/>
    <w:rsid w:val="00964F4C"/>
    <w:rsid w:val="009650C8"/>
    <w:rsid w:val="009656D0"/>
    <w:rsid w:val="00965839"/>
    <w:rsid w:val="0096621B"/>
    <w:rsid w:val="00966334"/>
    <w:rsid w:val="009676C0"/>
    <w:rsid w:val="0097062E"/>
    <w:rsid w:val="0097090A"/>
    <w:rsid w:val="00970A05"/>
    <w:rsid w:val="00971647"/>
    <w:rsid w:val="00972567"/>
    <w:rsid w:val="00972ADB"/>
    <w:rsid w:val="00972FEA"/>
    <w:rsid w:val="0097476A"/>
    <w:rsid w:val="00974A5D"/>
    <w:rsid w:val="00976CF2"/>
    <w:rsid w:val="0097726C"/>
    <w:rsid w:val="00977688"/>
    <w:rsid w:val="00977FB6"/>
    <w:rsid w:val="009803A9"/>
    <w:rsid w:val="009803CB"/>
    <w:rsid w:val="009803D4"/>
    <w:rsid w:val="009807A2"/>
    <w:rsid w:val="00980AAB"/>
    <w:rsid w:val="00980CB5"/>
    <w:rsid w:val="00980F43"/>
    <w:rsid w:val="0098199C"/>
    <w:rsid w:val="0098314B"/>
    <w:rsid w:val="00983B31"/>
    <w:rsid w:val="00984054"/>
    <w:rsid w:val="00984585"/>
    <w:rsid w:val="009846BF"/>
    <w:rsid w:val="00984815"/>
    <w:rsid w:val="00985071"/>
    <w:rsid w:val="0098604A"/>
    <w:rsid w:val="0098621B"/>
    <w:rsid w:val="00986350"/>
    <w:rsid w:val="00986BA9"/>
    <w:rsid w:val="00986BC9"/>
    <w:rsid w:val="009873F3"/>
    <w:rsid w:val="00987674"/>
    <w:rsid w:val="00987DE0"/>
    <w:rsid w:val="009904EB"/>
    <w:rsid w:val="00990726"/>
    <w:rsid w:val="0099088A"/>
    <w:rsid w:val="00991FD7"/>
    <w:rsid w:val="00992632"/>
    <w:rsid w:val="009927F1"/>
    <w:rsid w:val="00992FC1"/>
    <w:rsid w:val="0099317C"/>
    <w:rsid w:val="00995E98"/>
    <w:rsid w:val="00996C17"/>
    <w:rsid w:val="00996C5D"/>
    <w:rsid w:val="00996F15"/>
    <w:rsid w:val="00997408"/>
    <w:rsid w:val="0099768B"/>
    <w:rsid w:val="00997BA8"/>
    <w:rsid w:val="009A0372"/>
    <w:rsid w:val="009A0385"/>
    <w:rsid w:val="009A06F4"/>
    <w:rsid w:val="009A2857"/>
    <w:rsid w:val="009A36FC"/>
    <w:rsid w:val="009A3778"/>
    <w:rsid w:val="009A3E2E"/>
    <w:rsid w:val="009A3EEC"/>
    <w:rsid w:val="009A4250"/>
    <w:rsid w:val="009A44BD"/>
    <w:rsid w:val="009A4F68"/>
    <w:rsid w:val="009A4F6D"/>
    <w:rsid w:val="009A4FA8"/>
    <w:rsid w:val="009A6395"/>
    <w:rsid w:val="009A7E02"/>
    <w:rsid w:val="009A7F34"/>
    <w:rsid w:val="009B05D9"/>
    <w:rsid w:val="009B0614"/>
    <w:rsid w:val="009B0E84"/>
    <w:rsid w:val="009B0F45"/>
    <w:rsid w:val="009B2245"/>
    <w:rsid w:val="009B258E"/>
    <w:rsid w:val="009B2C0D"/>
    <w:rsid w:val="009B37B6"/>
    <w:rsid w:val="009B3B3F"/>
    <w:rsid w:val="009B4241"/>
    <w:rsid w:val="009B5742"/>
    <w:rsid w:val="009B5997"/>
    <w:rsid w:val="009B5AD5"/>
    <w:rsid w:val="009B621E"/>
    <w:rsid w:val="009B62B6"/>
    <w:rsid w:val="009B6B23"/>
    <w:rsid w:val="009B6FE1"/>
    <w:rsid w:val="009B74D8"/>
    <w:rsid w:val="009B7ABD"/>
    <w:rsid w:val="009B7EA9"/>
    <w:rsid w:val="009C0171"/>
    <w:rsid w:val="009C04CC"/>
    <w:rsid w:val="009C09A6"/>
    <w:rsid w:val="009C0E82"/>
    <w:rsid w:val="009C189C"/>
    <w:rsid w:val="009C19DF"/>
    <w:rsid w:val="009C1D27"/>
    <w:rsid w:val="009C398E"/>
    <w:rsid w:val="009C3BD9"/>
    <w:rsid w:val="009C3DC9"/>
    <w:rsid w:val="009C46C7"/>
    <w:rsid w:val="009C5B41"/>
    <w:rsid w:val="009C5B82"/>
    <w:rsid w:val="009C5F4F"/>
    <w:rsid w:val="009C7505"/>
    <w:rsid w:val="009C756E"/>
    <w:rsid w:val="009C76A5"/>
    <w:rsid w:val="009C7B35"/>
    <w:rsid w:val="009D03B4"/>
    <w:rsid w:val="009D08F9"/>
    <w:rsid w:val="009D132E"/>
    <w:rsid w:val="009D21BE"/>
    <w:rsid w:val="009D3BDE"/>
    <w:rsid w:val="009D3C3D"/>
    <w:rsid w:val="009D4708"/>
    <w:rsid w:val="009D5288"/>
    <w:rsid w:val="009D54E9"/>
    <w:rsid w:val="009D65BE"/>
    <w:rsid w:val="009D67F0"/>
    <w:rsid w:val="009D71E6"/>
    <w:rsid w:val="009D76FA"/>
    <w:rsid w:val="009E041D"/>
    <w:rsid w:val="009E0A8F"/>
    <w:rsid w:val="009E1034"/>
    <w:rsid w:val="009E1174"/>
    <w:rsid w:val="009E1316"/>
    <w:rsid w:val="009E2AD3"/>
    <w:rsid w:val="009E2ADA"/>
    <w:rsid w:val="009E360E"/>
    <w:rsid w:val="009E3BED"/>
    <w:rsid w:val="009E47E5"/>
    <w:rsid w:val="009E4B21"/>
    <w:rsid w:val="009E5A95"/>
    <w:rsid w:val="009E5F50"/>
    <w:rsid w:val="009E7288"/>
    <w:rsid w:val="009E79AD"/>
    <w:rsid w:val="009E7CAB"/>
    <w:rsid w:val="009F0848"/>
    <w:rsid w:val="009F146F"/>
    <w:rsid w:val="009F280F"/>
    <w:rsid w:val="009F3C75"/>
    <w:rsid w:val="009F407E"/>
    <w:rsid w:val="009F45F3"/>
    <w:rsid w:val="009F48BC"/>
    <w:rsid w:val="009F7230"/>
    <w:rsid w:val="009F747C"/>
    <w:rsid w:val="00A0037E"/>
    <w:rsid w:val="00A00AC7"/>
    <w:rsid w:val="00A01303"/>
    <w:rsid w:val="00A01B18"/>
    <w:rsid w:val="00A02282"/>
    <w:rsid w:val="00A02403"/>
    <w:rsid w:val="00A02C4F"/>
    <w:rsid w:val="00A02CDF"/>
    <w:rsid w:val="00A033EF"/>
    <w:rsid w:val="00A03E54"/>
    <w:rsid w:val="00A03F38"/>
    <w:rsid w:val="00A04719"/>
    <w:rsid w:val="00A048A8"/>
    <w:rsid w:val="00A04A09"/>
    <w:rsid w:val="00A04EC5"/>
    <w:rsid w:val="00A0560A"/>
    <w:rsid w:val="00A057A4"/>
    <w:rsid w:val="00A05821"/>
    <w:rsid w:val="00A05D1D"/>
    <w:rsid w:val="00A05EA2"/>
    <w:rsid w:val="00A060E4"/>
    <w:rsid w:val="00A065F0"/>
    <w:rsid w:val="00A0670E"/>
    <w:rsid w:val="00A07087"/>
    <w:rsid w:val="00A070D7"/>
    <w:rsid w:val="00A076CC"/>
    <w:rsid w:val="00A102DF"/>
    <w:rsid w:val="00A10BDE"/>
    <w:rsid w:val="00A10EE8"/>
    <w:rsid w:val="00A1165C"/>
    <w:rsid w:val="00A125D6"/>
    <w:rsid w:val="00A128ED"/>
    <w:rsid w:val="00A129EC"/>
    <w:rsid w:val="00A13AE8"/>
    <w:rsid w:val="00A14077"/>
    <w:rsid w:val="00A14240"/>
    <w:rsid w:val="00A14440"/>
    <w:rsid w:val="00A14E53"/>
    <w:rsid w:val="00A15208"/>
    <w:rsid w:val="00A15580"/>
    <w:rsid w:val="00A15D86"/>
    <w:rsid w:val="00A15E2E"/>
    <w:rsid w:val="00A16449"/>
    <w:rsid w:val="00A166DA"/>
    <w:rsid w:val="00A2089D"/>
    <w:rsid w:val="00A216D2"/>
    <w:rsid w:val="00A22963"/>
    <w:rsid w:val="00A229A1"/>
    <w:rsid w:val="00A22E62"/>
    <w:rsid w:val="00A22EFC"/>
    <w:rsid w:val="00A24EA1"/>
    <w:rsid w:val="00A25A98"/>
    <w:rsid w:val="00A25C36"/>
    <w:rsid w:val="00A25E62"/>
    <w:rsid w:val="00A261F9"/>
    <w:rsid w:val="00A26389"/>
    <w:rsid w:val="00A27803"/>
    <w:rsid w:val="00A30264"/>
    <w:rsid w:val="00A303B8"/>
    <w:rsid w:val="00A324A8"/>
    <w:rsid w:val="00A324E4"/>
    <w:rsid w:val="00A325D1"/>
    <w:rsid w:val="00A32C72"/>
    <w:rsid w:val="00A32E1C"/>
    <w:rsid w:val="00A336B0"/>
    <w:rsid w:val="00A33AEC"/>
    <w:rsid w:val="00A342C6"/>
    <w:rsid w:val="00A34735"/>
    <w:rsid w:val="00A3598E"/>
    <w:rsid w:val="00A35F49"/>
    <w:rsid w:val="00A361C3"/>
    <w:rsid w:val="00A3654D"/>
    <w:rsid w:val="00A372C6"/>
    <w:rsid w:val="00A372EF"/>
    <w:rsid w:val="00A40291"/>
    <w:rsid w:val="00A411FA"/>
    <w:rsid w:val="00A41213"/>
    <w:rsid w:val="00A426BB"/>
    <w:rsid w:val="00A43075"/>
    <w:rsid w:val="00A43755"/>
    <w:rsid w:val="00A43771"/>
    <w:rsid w:val="00A44333"/>
    <w:rsid w:val="00A447AF"/>
    <w:rsid w:val="00A44EC1"/>
    <w:rsid w:val="00A45243"/>
    <w:rsid w:val="00A454B3"/>
    <w:rsid w:val="00A45985"/>
    <w:rsid w:val="00A45E52"/>
    <w:rsid w:val="00A46652"/>
    <w:rsid w:val="00A46D15"/>
    <w:rsid w:val="00A4713D"/>
    <w:rsid w:val="00A47CB7"/>
    <w:rsid w:val="00A47FCB"/>
    <w:rsid w:val="00A50F43"/>
    <w:rsid w:val="00A50FAC"/>
    <w:rsid w:val="00A51063"/>
    <w:rsid w:val="00A51F0A"/>
    <w:rsid w:val="00A5262F"/>
    <w:rsid w:val="00A52717"/>
    <w:rsid w:val="00A52CF6"/>
    <w:rsid w:val="00A5323B"/>
    <w:rsid w:val="00A53E2F"/>
    <w:rsid w:val="00A547A5"/>
    <w:rsid w:val="00A549C5"/>
    <w:rsid w:val="00A54FB4"/>
    <w:rsid w:val="00A5681F"/>
    <w:rsid w:val="00A5687B"/>
    <w:rsid w:val="00A56DE0"/>
    <w:rsid w:val="00A571E7"/>
    <w:rsid w:val="00A5763C"/>
    <w:rsid w:val="00A57739"/>
    <w:rsid w:val="00A57814"/>
    <w:rsid w:val="00A57AA5"/>
    <w:rsid w:val="00A57AE5"/>
    <w:rsid w:val="00A57EC3"/>
    <w:rsid w:val="00A60515"/>
    <w:rsid w:val="00A60ABF"/>
    <w:rsid w:val="00A61BCC"/>
    <w:rsid w:val="00A6203D"/>
    <w:rsid w:val="00A634EA"/>
    <w:rsid w:val="00A63C18"/>
    <w:rsid w:val="00A63D6D"/>
    <w:rsid w:val="00A63F96"/>
    <w:rsid w:val="00A6446E"/>
    <w:rsid w:val="00A65A4C"/>
    <w:rsid w:val="00A660C6"/>
    <w:rsid w:val="00A66238"/>
    <w:rsid w:val="00A662DC"/>
    <w:rsid w:val="00A665AD"/>
    <w:rsid w:val="00A6741B"/>
    <w:rsid w:val="00A6742B"/>
    <w:rsid w:val="00A67784"/>
    <w:rsid w:val="00A67B85"/>
    <w:rsid w:val="00A7093F"/>
    <w:rsid w:val="00A710CC"/>
    <w:rsid w:val="00A717C6"/>
    <w:rsid w:val="00A71C47"/>
    <w:rsid w:val="00A72803"/>
    <w:rsid w:val="00A72E40"/>
    <w:rsid w:val="00A72E7D"/>
    <w:rsid w:val="00A74226"/>
    <w:rsid w:val="00A743DD"/>
    <w:rsid w:val="00A757B0"/>
    <w:rsid w:val="00A75B71"/>
    <w:rsid w:val="00A75BAE"/>
    <w:rsid w:val="00A75E6A"/>
    <w:rsid w:val="00A766E7"/>
    <w:rsid w:val="00A7689B"/>
    <w:rsid w:val="00A772F6"/>
    <w:rsid w:val="00A77678"/>
    <w:rsid w:val="00A776A4"/>
    <w:rsid w:val="00A778B2"/>
    <w:rsid w:val="00A77A3D"/>
    <w:rsid w:val="00A8049D"/>
    <w:rsid w:val="00A8226C"/>
    <w:rsid w:val="00A822C2"/>
    <w:rsid w:val="00A825A6"/>
    <w:rsid w:val="00A82990"/>
    <w:rsid w:val="00A830BB"/>
    <w:rsid w:val="00A83786"/>
    <w:rsid w:val="00A83E6D"/>
    <w:rsid w:val="00A840AA"/>
    <w:rsid w:val="00A8550B"/>
    <w:rsid w:val="00A856AF"/>
    <w:rsid w:val="00A85BF0"/>
    <w:rsid w:val="00A863EC"/>
    <w:rsid w:val="00A87416"/>
    <w:rsid w:val="00A90401"/>
    <w:rsid w:val="00A90951"/>
    <w:rsid w:val="00A91447"/>
    <w:rsid w:val="00A91EBC"/>
    <w:rsid w:val="00A92186"/>
    <w:rsid w:val="00A921E3"/>
    <w:rsid w:val="00A9232D"/>
    <w:rsid w:val="00A94D20"/>
    <w:rsid w:val="00A951FE"/>
    <w:rsid w:val="00A95D0E"/>
    <w:rsid w:val="00A95D7E"/>
    <w:rsid w:val="00A9682D"/>
    <w:rsid w:val="00A96899"/>
    <w:rsid w:val="00A9706A"/>
    <w:rsid w:val="00A97123"/>
    <w:rsid w:val="00A9732F"/>
    <w:rsid w:val="00A9752B"/>
    <w:rsid w:val="00A9769D"/>
    <w:rsid w:val="00A97BE8"/>
    <w:rsid w:val="00AA0372"/>
    <w:rsid w:val="00AA0B39"/>
    <w:rsid w:val="00AA1053"/>
    <w:rsid w:val="00AA2461"/>
    <w:rsid w:val="00AA2574"/>
    <w:rsid w:val="00AA2865"/>
    <w:rsid w:val="00AA2CC6"/>
    <w:rsid w:val="00AA3A9B"/>
    <w:rsid w:val="00AA3BF1"/>
    <w:rsid w:val="00AA3D52"/>
    <w:rsid w:val="00AA4014"/>
    <w:rsid w:val="00AA5410"/>
    <w:rsid w:val="00AA5AF9"/>
    <w:rsid w:val="00AA609F"/>
    <w:rsid w:val="00AA61F0"/>
    <w:rsid w:val="00AA6531"/>
    <w:rsid w:val="00AA66F3"/>
    <w:rsid w:val="00AA6A6C"/>
    <w:rsid w:val="00AA7521"/>
    <w:rsid w:val="00AA7AC4"/>
    <w:rsid w:val="00AA7D23"/>
    <w:rsid w:val="00AB095D"/>
    <w:rsid w:val="00AB10D6"/>
    <w:rsid w:val="00AB21C6"/>
    <w:rsid w:val="00AB245A"/>
    <w:rsid w:val="00AB2841"/>
    <w:rsid w:val="00AB3622"/>
    <w:rsid w:val="00AB3E1C"/>
    <w:rsid w:val="00AB3E63"/>
    <w:rsid w:val="00AB4987"/>
    <w:rsid w:val="00AB5ADC"/>
    <w:rsid w:val="00AB654B"/>
    <w:rsid w:val="00AB65E5"/>
    <w:rsid w:val="00AB752A"/>
    <w:rsid w:val="00AB78DE"/>
    <w:rsid w:val="00AB7DC0"/>
    <w:rsid w:val="00AB7F8A"/>
    <w:rsid w:val="00AC0B78"/>
    <w:rsid w:val="00AC0C17"/>
    <w:rsid w:val="00AC16CF"/>
    <w:rsid w:val="00AC253F"/>
    <w:rsid w:val="00AC2B4C"/>
    <w:rsid w:val="00AC36E9"/>
    <w:rsid w:val="00AC3E33"/>
    <w:rsid w:val="00AC3EFD"/>
    <w:rsid w:val="00AC4273"/>
    <w:rsid w:val="00AC4904"/>
    <w:rsid w:val="00AC5A99"/>
    <w:rsid w:val="00AC6F7D"/>
    <w:rsid w:val="00AC720A"/>
    <w:rsid w:val="00AC7FEC"/>
    <w:rsid w:val="00AD0EF7"/>
    <w:rsid w:val="00AD0F25"/>
    <w:rsid w:val="00AD2846"/>
    <w:rsid w:val="00AD2E99"/>
    <w:rsid w:val="00AD357C"/>
    <w:rsid w:val="00AD387A"/>
    <w:rsid w:val="00AD3B68"/>
    <w:rsid w:val="00AD3E18"/>
    <w:rsid w:val="00AD4830"/>
    <w:rsid w:val="00AD5FFF"/>
    <w:rsid w:val="00AD60EA"/>
    <w:rsid w:val="00AD65C0"/>
    <w:rsid w:val="00AD67B6"/>
    <w:rsid w:val="00AD67D4"/>
    <w:rsid w:val="00AD732D"/>
    <w:rsid w:val="00AD7666"/>
    <w:rsid w:val="00AD7C77"/>
    <w:rsid w:val="00AE10EA"/>
    <w:rsid w:val="00AE1216"/>
    <w:rsid w:val="00AE127E"/>
    <w:rsid w:val="00AE1289"/>
    <w:rsid w:val="00AE2393"/>
    <w:rsid w:val="00AE2877"/>
    <w:rsid w:val="00AE4331"/>
    <w:rsid w:val="00AE5597"/>
    <w:rsid w:val="00AE6074"/>
    <w:rsid w:val="00AE614D"/>
    <w:rsid w:val="00AE62AB"/>
    <w:rsid w:val="00AE66CD"/>
    <w:rsid w:val="00AE741F"/>
    <w:rsid w:val="00AE765D"/>
    <w:rsid w:val="00AE77D2"/>
    <w:rsid w:val="00AE7849"/>
    <w:rsid w:val="00AE7977"/>
    <w:rsid w:val="00AF0045"/>
    <w:rsid w:val="00AF0EB1"/>
    <w:rsid w:val="00AF1A45"/>
    <w:rsid w:val="00AF1E2A"/>
    <w:rsid w:val="00AF1F10"/>
    <w:rsid w:val="00AF22C6"/>
    <w:rsid w:val="00AF28F6"/>
    <w:rsid w:val="00AF2E2D"/>
    <w:rsid w:val="00AF33D1"/>
    <w:rsid w:val="00AF3716"/>
    <w:rsid w:val="00AF378A"/>
    <w:rsid w:val="00AF39CF"/>
    <w:rsid w:val="00AF3D39"/>
    <w:rsid w:val="00AF441E"/>
    <w:rsid w:val="00AF497B"/>
    <w:rsid w:val="00AF51E9"/>
    <w:rsid w:val="00AF57CD"/>
    <w:rsid w:val="00AF58DD"/>
    <w:rsid w:val="00AF5BD6"/>
    <w:rsid w:val="00AF6417"/>
    <w:rsid w:val="00AF6490"/>
    <w:rsid w:val="00AF6A4C"/>
    <w:rsid w:val="00AF6BA9"/>
    <w:rsid w:val="00AF6EED"/>
    <w:rsid w:val="00AF7DF3"/>
    <w:rsid w:val="00B000B1"/>
    <w:rsid w:val="00B01650"/>
    <w:rsid w:val="00B01C88"/>
    <w:rsid w:val="00B02183"/>
    <w:rsid w:val="00B022E5"/>
    <w:rsid w:val="00B02D5C"/>
    <w:rsid w:val="00B02FEC"/>
    <w:rsid w:val="00B03894"/>
    <w:rsid w:val="00B03A3C"/>
    <w:rsid w:val="00B03C65"/>
    <w:rsid w:val="00B047C2"/>
    <w:rsid w:val="00B04C30"/>
    <w:rsid w:val="00B04CB1"/>
    <w:rsid w:val="00B050C0"/>
    <w:rsid w:val="00B05635"/>
    <w:rsid w:val="00B060DC"/>
    <w:rsid w:val="00B0670B"/>
    <w:rsid w:val="00B06A3A"/>
    <w:rsid w:val="00B06B93"/>
    <w:rsid w:val="00B06E41"/>
    <w:rsid w:val="00B06EBD"/>
    <w:rsid w:val="00B07143"/>
    <w:rsid w:val="00B07620"/>
    <w:rsid w:val="00B1002D"/>
    <w:rsid w:val="00B103AA"/>
    <w:rsid w:val="00B1084B"/>
    <w:rsid w:val="00B10C50"/>
    <w:rsid w:val="00B11900"/>
    <w:rsid w:val="00B11B79"/>
    <w:rsid w:val="00B120E7"/>
    <w:rsid w:val="00B12705"/>
    <w:rsid w:val="00B1314F"/>
    <w:rsid w:val="00B13E26"/>
    <w:rsid w:val="00B142FB"/>
    <w:rsid w:val="00B151CF"/>
    <w:rsid w:val="00B15210"/>
    <w:rsid w:val="00B155CB"/>
    <w:rsid w:val="00B1609B"/>
    <w:rsid w:val="00B16D8D"/>
    <w:rsid w:val="00B17206"/>
    <w:rsid w:val="00B177F6"/>
    <w:rsid w:val="00B179BC"/>
    <w:rsid w:val="00B20445"/>
    <w:rsid w:val="00B21643"/>
    <w:rsid w:val="00B22D26"/>
    <w:rsid w:val="00B23043"/>
    <w:rsid w:val="00B23B36"/>
    <w:rsid w:val="00B23D06"/>
    <w:rsid w:val="00B23F70"/>
    <w:rsid w:val="00B2456C"/>
    <w:rsid w:val="00B247AD"/>
    <w:rsid w:val="00B25D05"/>
    <w:rsid w:val="00B26622"/>
    <w:rsid w:val="00B26669"/>
    <w:rsid w:val="00B26CDE"/>
    <w:rsid w:val="00B2763B"/>
    <w:rsid w:val="00B276B4"/>
    <w:rsid w:val="00B27795"/>
    <w:rsid w:val="00B27DFE"/>
    <w:rsid w:val="00B3024B"/>
    <w:rsid w:val="00B303F6"/>
    <w:rsid w:val="00B307B7"/>
    <w:rsid w:val="00B31CEF"/>
    <w:rsid w:val="00B33693"/>
    <w:rsid w:val="00B33ED6"/>
    <w:rsid w:val="00B33F4D"/>
    <w:rsid w:val="00B3431A"/>
    <w:rsid w:val="00B3506A"/>
    <w:rsid w:val="00B351DD"/>
    <w:rsid w:val="00B36028"/>
    <w:rsid w:val="00B36286"/>
    <w:rsid w:val="00B36694"/>
    <w:rsid w:val="00B36A39"/>
    <w:rsid w:val="00B36CB1"/>
    <w:rsid w:val="00B37992"/>
    <w:rsid w:val="00B37C33"/>
    <w:rsid w:val="00B40064"/>
    <w:rsid w:val="00B40151"/>
    <w:rsid w:val="00B402A5"/>
    <w:rsid w:val="00B40352"/>
    <w:rsid w:val="00B406AF"/>
    <w:rsid w:val="00B4211E"/>
    <w:rsid w:val="00B42FE7"/>
    <w:rsid w:val="00B43A5B"/>
    <w:rsid w:val="00B43C48"/>
    <w:rsid w:val="00B440F1"/>
    <w:rsid w:val="00B443AB"/>
    <w:rsid w:val="00B44C81"/>
    <w:rsid w:val="00B44EB4"/>
    <w:rsid w:val="00B4524D"/>
    <w:rsid w:val="00B45E33"/>
    <w:rsid w:val="00B470AD"/>
    <w:rsid w:val="00B47534"/>
    <w:rsid w:val="00B478F2"/>
    <w:rsid w:val="00B50356"/>
    <w:rsid w:val="00B50399"/>
    <w:rsid w:val="00B505DD"/>
    <w:rsid w:val="00B50A44"/>
    <w:rsid w:val="00B516DC"/>
    <w:rsid w:val="00B51894"/>
    <w:rsid w:val="00B52514"/>
    <w:rsid w:val="00B5262E"/>
    <w:rsid w:val="00B52DCC"/>
    <w:rsid w:val="00B53408"/>
    <w:rsid w:val="00B539AF"/>
    <w:rsid w:val="00B54516"/>
    <w:rsid w:val="00B54C72"/>
    <w:rsid w:val="00B54D4A"/>
    <w:rsid w:val="00B54DCB"/>
    <w:rsid w:val="00B55524"/>
    <w:rsid w:val="00B55EC7"/>
    <w:rsid w:val="00B5619A"/>
    <w:rsid w:val="00B56460"/>
    <w:rsid w:val="00B56B6C"/>
    <w:rsid w:val="00B572F3"/>
    <w:rsid w:val="00B575BF"/>
    <w:rsid w:val="00B601D5"/>
    <w:rsid w:val="00B601F9"/>
    <w:rsid w:val="00B611E4"/>
    <w:rsid w:val="00B61243"/>
    <w:rsid w:val="00B612EA"/>
    <w:rsid w:val="00B61377"/>
    <w:rsid w:val="00B617EE"/>
    <w:rsid w:val="00B61C66"/>
    <w:rsid w:val="00B61DD6"/>
    <w:rsid w:val="00B62604"/>
    <w:rsid w:val="00B62DF2"/>
    <w:rsid w:val="00B6309C"/>
    <w:rsid w:val="00B642E5"/>
    <w:rsid w:val="00B649B0"/>
    <w:rsid w:val="00B65051"/>
    <w:rsid w:val="00B65802"/>
    <w:rsid w:val="00B65A3E"/>
    <w:rsid w:val="00B66A87"/>
    <w:rsid w:val="00B66EBE"/>
    <w:rsid w:val="00B709D4"/>
    <w:rsid w:val="00B710A7"/>
    <w:rsid w:val="00B712D0"/>
    <w:rsid w:val="00B71EDA"/>
    <w:rsid w:val="00B745F2"/>
    <w:rsid w:val="00B74F39"/>
    <w:rsid w:val="00B75031"/>
    <w:rsid w:val="00B757E5"/>
    <w:rsid w:val="00B77C38"/>
    <w:rsid w:val="00B80AF7"/>
    <w:rsid w:val="00B81251"/>
    <w:rsid w:val="00B81B04"/>
    <w:rsid w:val="00B81F38"/>
    <w:rsid w:val="00B821B8"/>
    <w:rsid w:val="00B82994"/>
    <w:rsid w:val="00B82C2F"/>
    <w:rsid w:val="00B83B62"/>
    <w:rsid w:val="00B83D90"/>
    <w:rsid w:val="00B83EAA"/>
    <w:rsid w:val="00B843A2"/>
    <w:rsid w:val="00B84A48"/>
    <w:rsid w:val="00B84CD8"/>
    <w:rsid w:val="00B851FA"/>
    <w:rsid w:val="00B8535F"/>
    <w:rsid w:val="00B853D9"/>
    <w:rsid w:val="00B86CE8"/>
    <w:rsid w:val="00B87073"/>
    <w:rsid w:val="00B87523"/>
    <w:rsid w:val="00B878CD"/>
    <w:rsid w:val="00B879B4"/>
    <w:rsid w:val="00B87E4B"/>
    <w:rsid w:val="00B90C87"/>
    <w:rsid w:val="00B90DF6"/>
    <w:rsid w:val="00B918C8"/>
    <w:rsid w:val="00B91972"/>
    <w:rsid w:val="00B91A03"/>
    <w:rsid w:val="00B91B91"/>
    <w:rsid w:val="00B91CB1"/>
    <w:rsid w:val="00B91FD1"/>
    <w:rsid w:val="00B9249B"/>
    <w:rsid w:val="00B932D8"/>
    <w:rsid w:val="00B9333B"/>
    <w:rsid w:val="00B93575"/>
    <w:rsid w:val="00B93CB2"/>
    <w:rsid w:val="00B93EDD"/>
    <w:rsid w:val="00B93FE2"/>
    <w:rsid w:val="00B94CD6"/>
    <w:rsid w:val="00B9536C"/>
    <w:rsid w:val="00B97570"/>
    <w:rsid w:val="00B97FB0"/>
    <w:rsid w:val="00BA068B"/>
    <w:rsid w:val="00BA0B53"/>
    <w:rsid w:val="00BA0FD4"/>
    <w:rsid w:val="00BA15C6"/>
    <w:rsid w:val="00BA1935"/>
    <w:rsid w:val="00BA1AED"/>
    <w:rsid w:val="00BA1FFB"/>
    <w:rsid w:val="00BA2B3F"/>
    <w:rsid w:val="00BA346D"/>
    <w:rsid w:val="00BA3E28"/>
    <w:rsid w:val="00BA3FFC"/>
    <w:rsid w:val="00BA4B6A"/>
    <w:rsid w:val="00BA4E45"/>
    <w:rsid w:val="00BA4F91"/>
    <w:rsid w:val="00BA5338"/>
    <w:rsid w:val="00BA59FB"/>
    <w:rsid w:val="00BA5AAA"/>
    <w:rsid w:val="00BA6534"/>
    <w:rsid w:val="00BA6CE0"/>
    <w:rsid w:val="00BA7503"/>
    <w:rsid w:val="00BA7F8E"/>
    <w:rsid w:val="00BB02B1"/>
    <w:rsid w:val="00BB036E"/>
    <w:rsid w:val="00BB0958"/>
    <w:rsid w:val="00BB0997"/>
    <w:rsid w:val="00BB0C7C"/>
    <w:rsid w:val="00BB13E2"/>
    <w:rsid w:val="00BB14A3"/>
    <w:rsid w:val="00BB1A50"/>
    <w:rsid w:val="00BB262D"/>
    <w:rsid w:val="00BB343F"/>
    <w:rsid w:val="00BB345B"/>
    <w:rsid w:val="00BB3526"/>
    <w:rsid w:val="00BB3935"/>
    <w:rsid w:val="00BB5107"/>
    <w:rsid w:val="00BB67C7"/>
    <w:rsid w:val="00BB6DFF"/>
    <w:rsid w:val="00BB7C88"/>
    <w:rsid w:val="00BC15DE"/>
    <w:rsid w:val="00BC17C8"/>
    <w:rsid w:val="00BC3319"/>
    <w:rsid w:val="00BC369C"/>
    <w:rsid w:val="00BC3A7E"/>
    <w:rsid w:val="00BC3F27"/>
    <w:rsid w:val="00BC4632"/>
    <w:rsid w:val="00BC4972"/>
    <w:rsid w:val="00BC4A56"/>
    <w:rsid w:val="00BC4B19"/>
    <w:rsid w:val="00BC5600"/>
    <w:rsid w:val="00BC5BA7"/>
    <w:rsid w:val="00BC5CE6"/>
    <w:rsid w:val="00BC64DB"/>
    <w:rsid w:val="00BC6881"/>
    <w:rsid w:val="00BC6891"/>
    <w:rsid w:val="00BC6897"/>
    <w:rsid w:val="00BC6A6C"/>
    <w:rsid w:val="00BC6B74"/>
    <w:rsid w:val="00BC72CE"/>
    <w:rsid w:val="00BD00AE"/>
    <w:rsid w:val="00BD0605"/>
    <w:rsid w:val="00BD067C"/>
    <w:rsid w:val="00BD0950"/>
    <w:rsid w:val="00BD1636"/>
    <w:rsid w:val="00BD1914"/>
    <w:rsid w:val="00BD1B8D"/>
    <w:rsid w:val="00BD3220"/>
    <w:rsid w:val="00BD33D4"/>
    <w:rsid w:val="00BD36B4"/>
    <w:rsid w:val="00BD3A4C"/>
    <w:rsid w:val="00BD3CEA"/>
    <w:rsid w:val="00BD3CED"/>
    <w:rsid w:val="00BD3E17"/>
    <w:rsid w:val="00BD40B1"/>
    <w:rsid w:val="00BD434E"/>
    <w:rsid w:val="00BD51EE"/>
    <w:rsid w:val="00BD52DE"/>
    <w:rsid w:val="00BD54D7"/>
    <w:rsid w:val="00BD5E24"/>
    <w:rsid w:val="00BD637A"/>
    <w:rsid w:val="00BD67D1"/>
    <w:rsid w:val="00BD7013"/>
    <w:rsid w:val="00BD705C"/>
    <w:rsid w:val="00BD7F7A"/>
    <w:rsid w:val="00BE1FB0"/>
    <w:rsid w:val="00BE215E"/>
    <w:rsid w:val="00BE2207"/>
    <w:rsid w:val="00BE24C5"/>
    <w:rsid w:val="00BE2C52"/>
    <w:rsid w:val="00BE4748"/>
    <w:rsid w:val="00BE47BF"/>
    <w:rsid w:val="00BE48B1"/>
    <w:rsid w:val="00BE5374"/>
    <w:rsid w:val="00BE582F"/>
    <w:rsid w:val="00BE602A"/>
    <w:rsid w:val="00BE627A"/>
    <w:rsid w:val="00BE6845"/>
    <w:rsid w:val="00BE6CE8"/>
    <w:rsid w:val="00BF00E7"/>
    <w:rsid w:val="00BF16DE"/>
    <w:rsid w:val="00BF18E0"/>
    <w:rsid w:val="00BF1E99"/>
    <w:rsid w:val="00BF2138"/>
    <w:rsid w:val="00BF23AA"/>
    <w:rsid w:val="00BF24ED"/>
    <w:rsid w:val="00BF28E1"/>
    <w:rsid w:val="00BF2B09"/>
    <w:rsid w:val="00BF3984"/>
    <w:rsid w:val="00BF44E3"/>
    <w:rsid w:val="00BF4511"/>
    <w:rsid w:val="00BF497B"/>
    <w:rsid w:val="00BF4E3D"/>
    <w:rsid w:val="00BF5804"/>
    <w:rsid w:val="00BF5B87"/>
    <w:rsid w:val="00BF628C"/>
    <w:rsid w:val="00BF6C02"/>
    <w:rsid w:val="00BF6C61"/>
    <w:rsid w:val="00BF7BCF"/>
    <w:rsid w:val="00BF7C54"/>
    <w:rsid w:val="00BF7DF1"/>
    <w:rsid w:val="00C00A29"/>
    <w:rsid w:val="00C0104C"/>
    <w:rsid w:val="00C01D5F"/>
    <w:rsid w:val="00C01D92"/>
    <w:rsid w:val="00C01E48"/>
    <w:rsid w:val="00C020E7"/>
    <w:rsid w:val="00C02239"/>
    <w:rsid w:val="00C02C60"/>
    <w:rsid w:val="00C0345A"/>
    <w:rsid w:val="00C03511"/>
    <w:rsid w:val="00C03826"/>
    <w:rsid w:val="00C04C3A"/>
    <w:rsid w:val="00C05700"/>
    <w:rsid w:val="00C05C27"/>
    <w:rsid w:val="00C060D0"/>
    <w:rsid w:val="00C06105"/>
    <w:rsid w:val="00C07368"/>
    <w:rsid w:val="00C0738D"/>
    <w:rsid w:val="00C074CD"/>
    <w:rsid w:val="00C07C6D"/>
    <w:rsid w:val="00C104A6"/>
    <w:rsid w:val="00C107C3"/>
    <w:rsid w:val="00C11E52"/>
    <w:rsid w:val="00C13520"/>
    <w:rsid w:val="00C136F2"/>
    <w:rsid w:val="00C142B1"/>
    <w:rsid w:val="00C14BCE"/>
    <w:rsid w:val="00C14F93"/>
    <w:rsid w:val="00C14F9B"/>
    <w:rsid w:val="00C14FAB"/>
    <w:rsid w:val="00C15E2C"/>
    <w:rsid w:val="00C15F42"/>
    <w:rsid w:val="00C1610B"/>
    <w:rsid w:val="00C1611D"/>
    <w:rsid w:val="00C16C9A"/>
    <w:rsid w:val="00C16CA5"/>
    <w:rsid w:val="00C17231"/>
    <w:rsid w:val="00C175E4"/>
    <w:rsid w:val="00C17753"/>
    <w:rsid w:val="00C17762"/>
    <w:rsid w:val="00C17BB0"/>
    <w:rsid w:val="00C17DD9"/>
    <w:rsid w:val="00C2026C"/>
    <w:rsid w:val="00C207AF"/>
    <w:rsid w:val="00C20E3E"/>
    <w:rsid w:val="00C21C54"/>
    <w:rsid w:val="00C226B3"/>
    <w:rsid w:val="00C232E0"/>
    <w:rsid w:val="00C23745"/>
    <w:rsid w:val="00C239A7"/>
    <w:rsid w:val="00C2411C"/>
    <w:rsid w:val="00C24201"/>
    <w:rsid w:val="00C24523"/>
    <w:rsid w:val="00C24B5E"/>
    <w:rsid w:val="00C2534F"/>
    <w:rsid w:val="00C25724"/>
    <w:rsid w:val="00C263B3"/>
    <w:rsid w:val="00C2767F"/>
    <w:rsid w:val="00C276F7"/>
    <w:rsid w:val="00C30058"/>
    <w:rsid w:val="00C30F0E"/>
    <w:rsid w:val="00C317A2"/>
    <w:rsid w:val="00C31C3C"/>
    <w:rsid w:val="00C31D56"/>
    <w:rsid w:val="00C343FC"/>
    <w:rsid w:val="00C34468"/>
    <w:rsid w:val="00C349A3"/>
    <w:rsid w:val="00C35B0B"/>
    <w:rsid w:val="00C35FA1"/>
    <w:rsid w:val="00C360FD"/>
    <w:rsid w:val="00C3651F"/>
    <w:rsid w:val="00C36633"/>
    <w:rsid w:val="00C36E9D"/>
    <w:rsid w:val="00C37C86"/>
    <w:rsid w:val="00C400AB"/>
    <w:rsid w:val="00C40907"/>
    <w:rsid w:val="00C41224"/>
    <w:rsid w:val="00C412B1"/>
    <w:rsid w:val="00C42F52"/>
    <w:rsid w:val="00C436D0"/>
    <w:rsid w:val="00C43955"/>
    <w:rsid w:val="00C43D2E"/>
    <w:rsid w:val="00C4436C"/>
    <w:rsid w:val="00C45115"/>
    <w:rsid w:val="00C45653"/>
    <w:rsid w:val="00C46017"/>
    <w:rsid w:val="00C4617B"/>
    <w:rsid w:val="00C461B2"/>
    <w:rsid w:val="00C4630A"/>
    <w:rsid w:val="00C46E09"/>
    <w:rsid w:val="00C47558"/>
    <w:rsid w:val="00C4769C"/>
    <w:rsid w:val="00C47B41"/>
    <w:rsid w:val="00C47C8E"/>
    <w:rsid w:val="00C50429"/>
    <w:rsid w:val="00C52451"/>
    <w:rsid w:val="00C5298F"/>
    <w:rsid w:val="00C52C6D"/>
    <w:rsid w:val="00C52FD1"/>
    <w:rsid w:val="00C5306A"/>
    <w:rsid w:val="00C5359B"/>
    <w:rsid w:val="00C53AF7"/>
    <w:rsid w:val="00C53B09"/>
    <w:rsid w:val="00C53C23"/>
    <w:rsid w:val="00C53FCD"/>
    <w:rsid w:val="00C5491D"/>
    <w:rsid w:val="00C54A81"/>
    <w:rsid w:val="00C554B5"/>
    <w:rsid w:val="00C555A7"/>
    <w:rsid w:val="00C56EF2"/>
    <w:rsid w:val="00C570A6"/>
    <w:rsid w:val="00C5731E"/>
    <w:rsid w:val="00C5732C"/>
    <w:rsid w:val="00C5748F"/>
    <w:rsid w:val="00C579F3"/>
    <w:rsid w:val="00C57BE2"/>
    <w:rsid w:val="00C60012"/>
    <w:rsid w:val="00C600B3"/>
    <w:rsid w:val="00C60DE1"/>
    <w:rsid w:val="00C61464"/>
    <w:rsid w:val="00C61760"/>
    <w:rsid w:val="00C645F2"/>
    <w:rsid w:val="00C658B6"/>
    <w:rsid w:val="00C65E4C"/>
    <w:rsid w:val="00C65ECB"/>
    <w:rsid w:val="00C661F9"/>
    <w:rsid w:val="00C661FC"/>
    <w:rsid w:val="00C67DF4"/>
    <w:rsid w:val="00C67E8E"/>
    <w:rsid w:val="00C71B68"/>
    <w:rsid w:val="00C72177"/>
    <w:rsid w:val="00C72AA1"/>
    <w:rsid w:val="00C73372"/>
    <w:rsid w:val="00C73390"/>
    <w:rsid w:val="00C73F75"/>
    <w:rsid w:val="00C74B8C"/>
    <w:rsid w:val="00C74B8D"/>
    <w:rsid w:val="00C74C1F"/>
    <w:rsid w:val="00C75313"/>
    <w:rsid w:val="00C75918"/>
    <w:rsid w:val="00C76213"/>
    <w:rsid w:val="00C77F2A"/>
    <w:rsid w:val="00C802B4"/>
    <w:rsid w:val="00C80454"/>
    <w:rsid w:val="00C816E4"/>
    <w:rsid w:val="00C81A1E"/>
    <w:rsid w:val="00C81B90"/>
    <w:rsid w:val="00C81D82"/>
    <w:rsid w:val="00C825E4"/>
    <w:rsid w:val="00C8268F"/>
    <w:rsid w:val="00C83535"/>
    <w:rsid w:val="00C83A81"/>
    <w:rsid w:val="00C83D6C"/>
    <w:rsid w:val="00C83D84"/>
    <w:rsid w:val="00C83FAA"/>
    <w:rsid w:val="00C84005"/>
    <w:rsid w:val="00C8420A"/>
    <w:rsid w:val="00C856B8"/>
    <w:rsid w:val="00C858F8"/>
    <w:rsid w:val="00C85A70"/>
    <w:rsid w:val="00C85AFD"/>
    <w:rsid w:val="00C85B88"/>
    <w:rsid w:val="00C871C9"/>
    <w:rsid w:val="00C87436"/>
    <w:rsid w:val="00C8785C"/>
    <w:rsid w:val="00C87BA0"/>
    <w:rsid w:val="00C908B0"/>
    <w:rsid w:val="00C90A1A"/>
    <w:rsid w:val="00C90AEA"/>
    <w:rsid w:val="00C91651"/>
    <w:rsid w:val="00C91788"/>
    <w:rsid w:val="00C917A4"/>
    <w:rsid w:val="00C91EB3"/>
    <w:rsid w:val="00C922A2"/>
    <w:rsid w:val="00C94631"/>
    <w:rsid w:val="00C9737F"/>
    <w:rsid w:val="00C973B7"/>
    <w:rsid w:val="00C97CEE"/>
    <w:rsid w:val="00C97F16"/>
    <w:rsid w:val="00CA0E4F"/>
    <w:rsid w:val="00CA15BC"/>
    <w:rsid w:val="00CA1A36"/>
    <w:rsid w:val="00CA26EA"/>
    <w:rsid w:val="00CA2FB2"/>
    <w:rsid w:val="00CA375E"/>
    <w:rsid w:val="00CA3D3A"/>
    <w:rsid w:val="00CA3E71"/>
    <w:rsid w:val="00CA40C4"/>
    <w:rsid w:val="00CA42D6"/>
    <w:rsid w:val="00CA42E8"/>
    <w:rsid w:val="00CA464A"/>
    <w:rsid w:val="00CA528A"/>
    <w:rsid w:val="00CA53FF"/>
    <w:rsid w:val="00CA61A4"/>
    <w:rsid w:val="00CA6CD0"/>
    <w:rsid w:val="00CA745A"/>
    <w:rsid w:val="00CA75AF"/>
    <w:rsid w:val="00CA7A7B"/>
    <w:rsid w:val="00CB0D9C"/>
    <w:rsid w:val="00CB1138"/>
    <w:rsid w:val="00CB13C8"/>
    <w:rsid w:val="00CB15E9"/>
    <w:rsid w:val="00CB170F"/>
    <w:rsid w:val="00CB189F"/>
    <w:rsid w:val="00CB1B58"/>
    <w:rsid w:val="00CB1D6E"/>
    <w:rsid w:val="00CB2771"/>
    <w:rsid w:val="00CB28A6"/>
    <w:rsid w:val="00CB2BD5"/>
    <w:rsid w:val="00CB30FA"/>
    <w:rsid w:val="00CB392F"/>
    <w:rsid w:val="00CB3C24"/>
    <w:rsid w:val="00CB4C83"/>
    <w:rsid w:val="00CB527F"/>
    <w:rsid w:val="00CB59CE"/>
    <w:rsid w:val="00CB5C55"/>
    <w:rsid w:val="00CB618E"/>
    <w:rsid w:val="00CB7769"/>
    <w:rsid w:val="00CC00D2"/>
    <w:rsid w:val="00CC033D"/>
    <w:rsid w:val="00CC03C9"/>
    <w:rsid w:val="00CC0D46"/>
    <w:rsid w:val="00CC0EEE"/>
    <w:rsid w:val="00CC1710"/>
    <w:rsid w:val="00CC1D1A"/>
    <w:rsid w:val="00CC2695"/>
    <w:rsid w:val="00CC2996"/>
    <w:rsid w:val="00CC376B"/>
    <w:rsid w:val="00CC38EF"/>
    <w:rsid w:val="00CC43CB"/>
    <w:rsid w:val="00CC442C"/>
    <w:rsid w:val="00CC4F96"/>
    <w:rsid w:val="00CC5798"/>
    <w:rsid w:val="00CC5956"/>
    <w:rsid w:val="00CC6260"/>
    <w:rsid w:val="00CC6DBD"/>
    <w:rsid w:val="00CC6FE4"/>
    <w:rsid w:val="00CD06DD"/>
    <w:rsid w:val="00CD093C"/>
    <w:rsid w:val="00CD1404"/>
    <w:rsid w:val="00CD25B2"/>
    <w:rsid w:val="00CD44F5"/>
    <w:rsid w:val="00CD4A00"/>
    <w:rsid w:val="00CD4BB2"/>
    <w:rsid w:val="00CD5678"/>
    <w:rsid w:val="00CD6326"/>
    <w:rsid w:val="00CD73CE"/>
    <w:rsid w:val="00CD7523"/>
    <w:rsid w:val="00CE0602"/>
    <w:rsid w:val="00CE0727"/>
    <w:rsid w:val="00CE20FA"/>
    <w:rsid w:val="00CE2114"/>
    <w:rsid w:val="00CE26EA"/>
    <w:rsid w:val="00CE28E3"/>
    <w:rsid w:val="00CE34B2"/>
    <w:rsid w:val="00CE3B87"/>
    <w:rsid w:val="00CE3C46"/>
    <w:rsid w:val="00CE5CDB"/>
    <w:rsid w:val="00CE6542"/>
    <w:rsid w:val="00CE748E"/>
    <w:rsid w:val="00CF02A2"/>
    <w:rsid w:val="00CF0429"/>
    <w:rsid w:val="00CF0B4F"/>
    <w:rsid w:val="00CF126B"/>
    <w:rsid w:val="00CF12E5"/>
    <w:rsid w:val="00CF1589"/>
    <w:rsid w:val="00CF15B8"/>
    <w:rsid w:val="00CF15F1"/>
    <w:rsid w:val="00CF1A2D"/>
    <w:rsid w:val="00CF1E13"/>
    <w:rsid w:val="00CF2913"/>
    <w:rsid w:val="00CF2E11"/>
    <w:rsid w:val="00CF2EDB"/>
    <w:rsid w:val="00CF3954"/>
    <w:rsid w:val="00CF439F"/>
    <w:rsid w:val="00CF54AC"/>
    <w:rsid w:val="00CF668C"/>
    <w:rsid w:val="00CF7120"/>
    <w:rsid w:val="00CF724C"/>
    <w:rsid w:val="00CF74AC"/>
    <w:rsid w:val="00CF7649"/>
    <w:rsid w:val="00CF7A00"/>
    <w:rsid w:val="00CF7A89"/>
    <w:rsid w:val="00CF7FDB"/>
    <w:rsid w:val="00D001B4"/>
    <w:rsid w:val="00D003B7"/>
    <w:rsid w:val="00D00DDF"/>
    <w:rsid w:val="00D00E2C"/>
    <w:rsid w:val="00D00E36"/>
    <w:rsid w:val="00D022EB"/>
    <w:rsid w:val="00D02385"/>
    <w:rsid w:val="00D02774"/>
    <w:rsid w:val="00D027D1"/>
    <w:rsid w:val="00D02A06"/>
    <w:rsid w:val="00D02A2D"/>
    <w:rsid w:val="00D02C91"/>
    <w:rsid w:val="00D02F4F"/>
    <w:rsid w:val="00D045B9"/>
    <w:rsid w:val="00D04681"/>
    <w:rsid w:val="00D04CB3"/>
    <w:rsid w:val="00D04D5D"/>
    <w:rsid w:val="00D04D68"/>
    <w:rsid w:val="00D04E55"/>
    <w:rsid w:val="00D050B1"/>
    <w:rsid w:val="00D051D3"/>
    <w:rsid w:val="00D05255"/>
    <w:rsid w:val="00D05797"/>
    <w:rsid w:val="00D05D60"/>
    <w:rsid w:val="00D05FEA"/>
    <w:rsid w:val="00D065EF"/>
    <w:rsid w:val="00D069BD"/>
    <w:rsid w:val="00D104DE"/>
    <w:rsid w:val="00D10D80"/>
    <w:rsid w:val="00D11EF0"/>
    <w:rsid w:val="00D12573"/>
    <w:rsid w:val="00D13A4E"/>
    <w:rsid w:val="00D144A4"/>
    <w:rsid w:val="00D14D52"/>
    <w:rsid w:val="00D14E59"/>
    <w:rsid w:val="00D15051"/>
    <w:rsid w:val="00D15BB4"/>
    <w:rsid w:val="00D167BE"/>
    <w:rsid w:val="00D16807"/>
    <w:rsid w:val="00D17893"/>
    <w:rsid w:val="00D20031"/>
    <w:rsid w:val="00D20B95"/>
    <w:rsid w:val="00D211EC"/>
    <w:rsid w:val="00D21B26"/>
    <w:rsid w:val="00D21FE7"/>
    <w:rsid w:val="00D22621"/>
    <w:rsid w:val="00D22834"/>
    <w:rsid w:val="00D22DF4"/>
    <w:rsid w:val="00D22F42"/>
    <w:rsid w:val="00D23446"/>
    <w:rsid w:val="00D23743"/>
    <w:rsid w:val="00D257F0"/>
    <w:rsid w:val="00D26089"/>
    <w:rsid w:val="00D265AD"/>
    <w:rsid w:val="00D26D01"/>
    <w:rsid w:val="00D26FD9"/>
    <w:rsid w:val="00D27A94"/>
    <w:rsid w:val="00D27B56"/>
    <w:rsid w:val="00D30C1B"/>
    <w:rsid w:val="00D313B3"/>
    <w:rsid w:val="00D31EE9"/>
    <w:rsid w:val="00D3292B"/>
    <w:rsid w:val="00D32BFD"/>
    <w:rsid w:val="00D336FA"/>
    <w:rsid w:val="00D33F02"/>
    <w:rsid w:val="00D34821"/>
    <w:rsid w:val="00D349E0"/>
    <w:rsid w:val="00D358F7"/>
    <w:rsid w:val="00D36376"/>
    <w:rsid w:val="00D3663E"/>
    <w:rsid w:val="00D36E67"/>
    <w:rsid w:val="00D37A00"/>
    <w:rsid w:val="00D37DA5"/>
    <w:rsid w:val="00D37EF5"/>
    <w:rsid w:val="00D4077C"/>
    <w:rsid w:val="00D419C9"/>
    <w:rsid w:val="00D41F18"/>
    <w:rsid w:val="00D4200A"/>
    <w:rsid w:val="00D42234"/>
    <w:rsid w:val="00D42364"/>
    <w:rsid w:val="00D4278A"/>
    <w:rsid w:val="00D428B9"/>
    <w:rsid w:val="00D42915"/>
    <w:rsid w:val="00D43246"/>
    <w:rsid w:val="00D4396B"/>
    <w:rsid w:val="00D44999"/>
    <w:rsid w:val="00D45182"/>
    <w:rsid w:val="00D45750"/>
    <w:rsid w:val="00D457EA"/>
    <w:rsid w:val="00D45C42"/>
    <w:rsid w:val="00D45F2C"/>
    <w:rsid w:val="00D4731B"/>
    <w:rsid w:val="00D47474"/>
    <w:rsid w:val="00D47FC0"/>
    <w:rsid w:val="00D50036"/>
    <w:rsid w:val="00D507A5"/>
    <w:rsid w:val="00D50ABA"/>
    <w:rsid w:val="00D5100F"/>
    <w:rsid w:val="00D51227"/>
    <w:rsid w:val="00D513F6"/>
    <w:rsid w:val="00D51A5A"/>
    <w:rsid w:val="00D52E54"/>
    <w:rsid w:val="00D52FF5"/>
    <w:rsid w:val="00D53B93"/>
    <w:rsid w:val="00D54769"/>
    <w:rsid w:val="00D54C10"/>
    <w:rsid w:val="00D54EE0"/>
    <w:rsid w:val="00D5569C"/>
    <w:rsid w:val="00D56226"/>
    <w:rsid w:val="00D56D50"/>
    <w:rsid w:val="00D56DFA"/>
    <w:rsid w:val="00D57A29"/>
    <w:rsid w:val="00D57BF1"/>
    <w:rsid w:val="00D602A6"/>
    <w:rsid w:val="00D60939"/>
    <w:rsid w:val="00D60E22"/>
    <w:rsid w:val="00D61302"/>
    <w:rsid w:val="00D61E56"/>
    <w:rsid w:val="00D620B9"/>
    <w:rsid w:val="00D62506"/>
    <w:rsid w:val="00D62F4D"/>
    <w:rsid w:val="00D63914"/>
    <w:rsid w:val="00D643DB"/>
    <w:rsid w:val="00D64906"/>
    <w:rsid w:val="00D64D1D"/>
    <w:rsid w:val="00D64DAF"/>
    <w:rsid w:val="00D652D9"/>
    <w:rsid w:val="00D65D70"/>
    <w:rsid w:val="00D664C7"/>
    <w:rsid w:val="00D66620"/>
    <w:rsid w:val="00D66832"/>
    <w:rsid w:val="00D66910"/>
    <w:rsid w:val="00D67AEA"/>
    <w:rsid w:val="00D70109"/>
    <w:rsid w:val="00D70DDA"/>
    <w:rsid w:val="00D711DC"/>
    <w:rsid w:val="00D721CE"/>
    <w:rsid w:val="00D739DC"/>
    <w:rsid w:val="00D73AD9"/>
    <w:rsid w:val="00D741AD"/>
    <w:rsid w:val="00D74879"/>
    <w:rsid w:val="00D76137"/>
    <w:rsid w:val="00D762E9"/>
    <w:rsid w:val="00D77B20"/>
    <w:rsid w:val="00D80C29"/>
    <w:rsid w:val="00D812F8"/>
    <w:rsid w:val="00D8155A"/>
    <w:rsid w:val="00D81AF4"/>
    <w:rsid w:val="00D81FA4"/>
    <w:rsid w:val="00D82242"/>
    <w:rsid w:val="00D82AA4"/>
    <w:rsid w:val="00D82ED8"/>
    <w:rsid w:val="00D82FC6"/>
    <w:rsid w:val="00D8316D"/>
    <w:rsid w:val="00D83874"/>
    <w:rsid w:val="00D83B51"/>
    <w:rsid w:val="00D83DD5"/>
    <w:rsid w:val="00D8456A"/>
    <w:rsid w:val="00D84709"/>
    <w:rsid w:val="00D84CB7"/>
    <w:rsid w:val="00D84ECA"/>
    <w:rsid w:val="00D84F6A"/>
    <w:rsid w:val="00D8525E"/>
    <w:rsid w:val="00D85621"/>
    <w:rsid w:val="00D85A08"/>
    <w:rsid w:val="00D85B94"/>
    <w:rsid w:val="00D874F8"/>
    <w:rsid w:val="00D900BC"/>
    <w:rsid w:val="00D902BF"/>
    <w:rsid w:val="00D9041B"/>
    <w:rsid w:val="00D906D1"/>
    <w:rsid w:val="00D90A97"/>
    <w:rsid w:val="00D90DBB"/>
    <w:rsid w:val="00D91118"/>
    <w:rsid w:val="00D9141D"/>
    <w:rsid w:val="00D91431"/>
    <w:rsid w:val="00D9178E"/>
    <w:rsid w:val="00D918B9"/>
    <w:rsid w:val="00D92749"/>
    <w:rsid w:val="00D928EA"/>
    <w:rsid w:val="00D928F6"/>
    <w:rsid w:val="00D929F1"/>
    <w:rsid w:val="00D92C9C"/>
    <w:rsid w:val="00D92D09"/>
    <w:rsid w:val="00D92FC8"/>
    <w:rsid w:val="00D9326F"/>
    <w:rsid w:val="00D93D30"/>
    <w:rsid w:val="00D946C9"/>
    <w:rsid w:val="00D94CF3"/>
    <w:rsid w:val="00D952CD"/>
    <w:rsid w:val="00D96108"/>
    <w:rsid w:val="00D96512"/>
    <w:rsid w:val="00D96705"/>
    <w:rsid w:val="00D967A8"/>
    <w:rsid w:val="00D97EE4"/>
    <w:rsid w:val="00DA058E"/>
    <w:rsid w:val="00DA0A05"/>
    <w:rsid w:val="00DA0CAD"/>
    <w:rsid w:val="00DA0E08"/>
    <w:rsid w:val="00DA17E6"/>
    <w:rsid w:val="00DA1ADA"/>
    <w:rsid w:val="00DA1EE6"/>
    <w:rsid w:val="00DA2DDE"/>
    <w:rsid w:val="00DA3635"/>
    <w:rsid w:val="00DA512C"/>
    <w:rsid w:val="00DA57F7"/>
    <w:rsid w:val="00DA5CE6"/>
    <w:rsid w:val="00DA6765"/>
    <w:rsid w:val="00DA67BD"/>
    <w:rsid w:val="00DA7D3A"/>
    <w:rsid w:val="00DB003C"/>
    <w:rsid w:val="00DB00CE"/>
    <w:rsid w:val="00DB05DB"/>
    <w:rsid w:val="00DB07CB"/>
    <w:rsid w:val="00DB1370"/>
    <w:rsid w:val="00DB1AD5"/>
    <w:rsid w:val="00DB1C73"/>
    <w:rsid w:val="00DB1E91"/>
    <w:rsid w:val="00DB2101"/>
    <w:rsid w:val="00DB21E4"/>
    <w:rsid w:val="00DB248A"/>
    <w:rsid w:val="00DB3FF1"/>
    <w:rsid w:val="00DB4410"/>
    <w:rsid w:val="00DB5117"/>
    <w:rsid w:val="00DB5173"/>
    <w:rsid w:val="00DB5521"/>
    <w:rsid w:val="00DB5910"/>
    <w:rsid w:val="00DB6031"/>
    <w:rsid w:val="00DB664A"/>
    <w:rsid w:val="00DB7463"/>
    <w:rsid w:val="00DB788A"/>
    <w:rsid w:val="00DB7ABE"/>
    <w:rsid w:val="00DB7D02"/>
    <w:rsid w:val="00DC017F"/>
    <w:rsid w:val="00DC093C"/>
    <w:rsid w:val="00DC0DEB"/>
    <w:rsid w:val="00DC1043"/>
    <w:rsid w:val="00DC14AF"/>
    <w:rsid w:val="00DC16E7"/>
    <w:rsid w:val="00DC1720"/>
    <w:rsid w:val="00DC17CD"/>
    <w:rsid w:val="00DC1D4F"/>
    <w:rsid w:val="00DC1D80"/>
    <w:rsid w:val="00DC1E32"/>
    <w:rsid w:val="00DC1F34"/>
    <w:rsid w:val="00DC21E2"/>
    <w:rsid w:val="00DC2409"/>
    <w:rsid w:val="00DC3238"/>
    <w:rsid w:val="00DC3633"/>
    <w:rsid w:val="00DC383F"/>
    <w:rsid w:val="00DC4108"/>
    <w:rsid w:val="00DC47B5"/>
    <w:rsid w:val="00DC4A6B"/>
    <w:rsid w:val="00DC4EC7"/>
    <w:rsid w:val="00DC4F64"/>
    <w:rsid w:val="00DC50C5"/>
    <w:rsid w:val="00DC5664"/>
    <w:rsid w:val="00DC64A7"/>
    <w:rsid w:val="00DC6AD2"/>
    <w:rsid w:val="00DC7850"/>
    <w:rsid w:val="00DC79FC"/>
    <w:rsid w:val="00DD0559"/>
    <w:rsid w:val="00DD0953"/>
    <w:rsid w:val="00DD09CC"/>
    <w:rsid w:val="00DD0F47"/>
    <w:rsid w:val="00DD171A"/>
    <w:rsid w:val="00DD1A95"/>
    <w:rsid w:val="00DD1CFB"/>
    <w:rsid w:val="00DD1E80"/>
    <w:rsid w:val="00DD2A44"/>
    <w:rsid w:val="00DD2C81"/>
    <w:rsid w:val="00DD35C8"/>
    <w:rsid w:val="00DD3965"/>
    <w:rsid w:val="00DD3AF2"/>
    <w:rsid w:val="00DD4344"/>
    <w:rsid w:val="00DD4736"/>
    <w:rsid w:val="00DD57D3"/>
    <w:rsid w:val="00DD6323"/>
    <w:rsid w:val="00DD6DB6"/>
    <w:rsid w:val="00DD6EC4"/>
    <w:rsid w:val="00DD7487"/>
    <w:rsid w:val="00DD7577"/>
    <w:rsid w:val="00DD7DCF"/>
    <w:rsid w:val="00DE1130"/>
    <w:rsid w:val="00DE1839"/>
    <w:rsid w:val="00DE2147"/>
    <w:rsid w:val="00DE2496"/>
    <w:rsid w:val="00DE2568"/>
    <w:rsid w:val="00DE2617"/>
    <w:rsid w:val="00DE294F"/>
    <w:rsid w:val="00DE3318"/>
    <w:rsid w:val="00DE3859"/>
    <w:rsid w:val="00DE3CB7"/>
    <w:rsid w:val="00DE4C73"/>
    <w:rsid w:val="00DE59CB"/>
    <w:rsid w:val="00DE5B60"/>
    <w:rsid w:val="00DE7099"/>
    <w:rsid w:val="00DF0885"/>
    <w:rsid w:val="00DF0D37"/>
    <w:rsid w:val="00DF0FAA"/>
    <w:rsid w:val="00DF14A8"/>
    <w:rsid w:val="00DF1DC0"/>
    <w:rsid w:val="00DF2118"/>
    <w:rsid w:val="00DF23DE"/>
    <w:rsid w:val="00DF2A33"/>
    <w:rsid w:val="00DF2D7A"/>
    <w:rsid w:val="00DF341B"/>
    <w:rsid w:val="00DF39E9"/>
    <w:rsid w:val="00DF3CD6"/>
    <w:rsid w:val="00DF41A4"/>
    <w:rsid w:val="00DF431B"/>
    <w:rsid w:val="00DF4460"/>
    <w:rsid w:val="00DF45FC"/>
    <w:rsid w:val="00DF4A97"/>
    <w:rsid w:val="00DF4C48"/>
    <w:rsid w:val="00DF4E75"/>
    <w:rsid w:val="00DF60A8"/>
    <w:rsid w:val="00DF6410"/>
    <w:rsid w:val="00DF684B"/>
    <w:rsid w:val="00DF74A1"/>
    <w:rsid w:val="00DF74D9"/>
    <w:rsid w:val="00DF7D5E"/>
    <w:rsid w:val="00E016E8"/>
    <w:rsid w:val="00E0360B"/>
    <w:rsid w:val="00E036B8"/>
    <w:rsid w:val="00E037DC"/>
    <w:rsid w:val="00E03A96"/>
    <w:rsid w:val="00E0544F"/>
    <w:rsid w:val="00E05B8E"/>
    <w:rsid w:val="00E05D56"/>
    <w:rsid w:val="00E070DC"/>
    <w:rsid w:val="00E07823"/>
    <w:rsid w:val="00E079B8"/>
    <w:rsid w:val="00E103EB"/>
    <w:rsid w:val="00E1057C"/>
    <w:rsid w:val="00E105A9"/>
    <w:rsid w:val="00E10F84"/>
    <w:rsid w:val="00E112BE"/>
    <w:rsid w:val="00E12010"/>
    <w:rsid w:val="00E12874"/>
    <w:rsid w:val="00E12B80"/>
    <w:rsid w:val="00E13271"/>
    <w:rsid w:val="00E13896"/>
    <w:rsid w:val="00E14071"/>
    <w:rsid w:val="00E14FC7"/>
    <w:rsid w:val="00E15056"/>
    <w:rsid w:val="00E15D82"/>
    <w:rsid w:val="00E15DB1"/>
    <w:rsid w:val="00E1624A"/>
    <w:rsid w:val="00E167E5"/>
    <w:rsid w:val="00E168D6"/>
    <w:rsid w:val="00E16D58"/>
    <w:rsid w:val="00E17552"/>
    <w:rsid w:val="00E17AA6"/>
    <w:rsid w:val="00E17DCA"/>
    <w:rsid w:val="00E20161"/>
    <w:rsid w:val="00E205F5"/>
    <w:rsid w:val="00E208A5"/>
    <w:rsid w:val="00E215FC"/>
    <w:rsid w:val="00E21617"/>
    <w:rsid w:val="00E2178C"/>
    <w:rsid w:val="00E21B03"/>
    <w:rsid w:val="00E21C6E"/>
    <w:rsid w:val="00E22445"/>
    <w:rsid w:val="00E22B25"/>
    <w:rsid w:val="00E23962"/>
    <w:rsid w:val="00E23E5D"/>
    <w:rsid w:val="00E23F02"/>
    <w:rsid w:val="00E247D3"/>
    <w:rsid w:val="00E24AFB"/>
    <w:rsid w:val="00E25533"/>
    <w:rsid w:val="00E25CC2"/>
    <w:rsid w:val="00E260A3"/>
    <w:rsid w:val="00E26AA6"/>
    <w:rsid w:val="00E26D15"/>
    <w:rsid w:val="00E26F29"/>
    <w:rsid w:val="00E27A10"/>
    <w:rsid w:val="00E27DDB"/>
    <w:rsid w:val="00E3036C"/>
    <w:rsid w:val="00E30462"/>
    <w:rsid w:val="00E30EF7"/>
    <w:rsid w:val="00E31702"/>
    <w:rsid w:val="00E31B75"/>
    <w:rsid w:val="00E3242E"/>
    <w:rsid w:val="00E32620"/>
    <w:rsid w:val="00E330C9"/>
    <w:rsid w:val="00E3330E"/>
    <w:rsid w:val="00E3351F"/>
    <w:rsid w:val="00E33992"/>
    <w:rsid w:val="00E33C7F"/>
    <w:rsid w:val="00E341D7"/>
    <w:rsid w:val="00E3721C"/>
    <w:rsid w:val="00E400E3"/>
    <w:rsid w:val="00E40DAE"/>
    <w:rsid w:val="00E40F62"/>
    <w:rsid w:val="00E41A03"/>
    <w:rsid w:val="00E41BA8"/>
    <w:rsid w:val="00E42694"/>
    <w:rsid w:val="00E4297D"/>
    <w:rsid w:val="00E42AA7"/>
    <w:rsid w:val="00E43249"/>
    <w:rsid w:val="00E43380"/>
    <w:rsid w:val="00E436A2"/>
    <w:rsid w:val="00E43E5F"/>
    <w:rsid w:val="00E4429E"/>
    <w:rsid w:val="00E44C34"/>
    <w:rsid w:val="00E4521A"/>
    <w:rsid w:val="00E458D8"/>
    <w:rsid w:val="00E46295"/>
    <w:rsid w:val="00E46451"/>
    <w:rsid w:val="00E47324"/>
    <w:rsid w:val="00E474B1"/>
    <w:rsid w:val="00E47DA1"/>
    <w:rsid w:val="00E50065"/>
    <w:rsid w:val="00E5105C"/>
    <w:rsid w:val="00E51696"/>
    <w:rsid w:val="00E518A7"/>
    <w:rsid w:val="00E52360"/>
    <w:rsid w:val="00E529F5"/>
    <w:rsid w:val="00E531BB"/>
    <w:rsid w:val="00E53251"/>
    <w:rsid w:val="00E5356B"/>
    <w:rsid w:val="00E539B0"/>
    <w:rsid w:val="00E53C4E"/>
    <w:rsid w:val="00E53E00"/>
    <w:rsid w:val="00E53F1B"/>
    <w:rsid w:val="00E54221"/>
    <w:rsid w:val="00E5565E"/>
    <w:rsid w:val="00E5572A"/>
    <w:rsid w:val="00E55CFC"/>
    <w:rsid w:val="00E562A7"/>
    <w:rsid w:val="00E562F4"/>
    <w:rsid w:val="00E5650A"/>
    <w:rsid w:val="00E574EC"/>
    <w:rsid w:val="00E57710"/>
    <w:rsid w:val="00E57F9C"/>
    <w:rsid w:val="00E61455"/>
    <w:rsid w:val="00E615F9"/>
    <w:rsid w:val="00E6193C"/>
    <w:rsid w:val="00E62BC2"/>
    <w:rsid w:val="00E62E3C"/>
    <w:rsid w:val="00E62E74"/>
    <w:rsid w:val="00E62FAC"/>
    <w:rsid w:val="00E63135"/>
    <w:rsid w:val="00E63DAA"/>
    <w:rsid w:val="00E6525D"/>
    <w:rsid w:val="00E65BEF"/>
    <w:rsid w:val="00E66605"/>
    <w:rsid w:val="00E6775D"/>
    <w:rsid w:val="00E6794E"/>
    <w:rsid w:val="00E67D27"/>
    <w:rsid w:val="00E67F47"/>
    <w:rsid w:val="00E67F7F"/>
    <w:rsid w:val="00E702AC"/>
    <w:rsid w:val="00E7048B"/>
    <w:rsid w:val="00E70590"/>
    <w:rsid w:val="00E70E06"/>
    <w:rsid w:val="00E70EC2"/>
    <w:rsid w:val="00E71208"/>
    <w:rsid w:val="00E716E3"/>
    <w:rsid w:val="00E718C6"/>
    <w:rsid w:val="00E7208E"/>
    <w:rsid w:val="00E7221D"/>
    <w:rsid w:val="00E73758"/>
    <w:rsid w:val="00E73EEE"/>
    <w:rsid w:val="00E73EF5"/>
    <w:rsid w:val="00E7615F"/>
    <w:rsid w:val="00E7623C"/>
    <w:rsid w:val="00E7636A"/>
    <w:rsid w:val="00E7639A"/>
    <w:rsid w:val="00E76AE0"/>
    <w:rsid w:val="00E76CA4"/>
    <w:rsid w:val="00E76DDE"/>
    <w:rsid w:val="00E77B5E"/>
    <w:rsid w:val="00E80656"/>
    <w:rsid w:val="00E80A86"/>
    <w:rsid w:val="00E80B6E"/>
    <w:rsid w:val="00E80EE9"/>
    <w:rsid w:val="00E81267"/>
    <w:rsid w:val="00E81A87"/>
    <w:rsid w:val="00E81AC4"/>
    <w:rsid w:val="00E81D25"/>
    <w:rsid w:val="00E8253E"/>
    <w:rsid w:val="00E82B72"/>
    <w:rsid w:val="00E83948"/>
    <w:rsid w:val="00E83CF9"/>
    <w:rsid w:val="00E84EBC"/>
    <w:rsid w:val="00E84EE4"/>
    <w:rsid w:val="00E852D4"/>
    <w:rsid w:val="00E85E6B"/>
    <w:rsid w:val="00E86170"/>
    <w:rsid w:val="00E86A46"/>
    <w:rsid w:val="00E87A8B"/>
    <w:rsid w:val="00E9011A"/>
    <w:rsid w:val="00E92551"/>
    <w:rsid w:val="00E9263A"/>
    <w:rsid w:val="00E92974"/>
    <w:rsid w:val="00E92E39"/>
    <w:rsid w:val="00E92F98"/>
    <w:rsid w:val="00E930BF"/>
    <w:rsid w:val="00E9331D"/>
    <w:rsid w:val="00E93735"/>
    <w:rsid w:val="00E93FC0"/>
    <w:rsid w:val="00E9410C"/>
    <w:rsid w:val="00E941A6"/>
    <w:rsid w:val="00E946A7"/>
    <w:rsid w:val="00E946B6"/>
    <w:rsid w:val="00E94D45"/>
    <w:rsid w:val="00E94FA5"/>
    <w:rsid w:val="00E95322"/>
    <w:rsid w:val="00E95476"/>
    <w:rsid w:val="00E95490"/>
    <w:rsid w:val="00E95AAA"/>
    <w:rsid w:val="00E95D5A"/>
    <w:rsid w:val="00E968C1"/>
    <w:rsid w:val="00E96AA9"/>
    <w:rsid w:val="00E971F6"/>
    <w:rsid w:val="00EA0CFD"/>
    <w:rsid w:val="00EA0E54"/>
    <w:rsid w:val="00EA1709"/>
    <w:rsid w:val="00EA1769"/>
    <w:rsid w:val="00EA1D6D"/>
    <w:rsid w:val="00EA25C7"/>
    <w:rsid w:val="00EA2D96"/>
    <w:rsid w:val="00EA30C3"/>
    <w:rsid w:val="00EA3671"/>
    <w:rsid w:val="00EA4907"/>
    <w:rsid w:val="00EA4984"/>
    <w:rsid w:val="00EA5BE8"/>
    <w:rsid w:val="00EA60F5"/>
    <w:rsid w:val="00EA66D5"/>
    <w:rsid w:val="00EA67AE"/>
    <w:rsid w:val="00EA6B74"/>
    <w:rsid w:val="00EA6D4D"/>
    <w:rsid w:val="00EA703A"/>
    <w:rsid w:val="00EB0AD9"/>
    <w:rsid w:val="00EB0DBF"/>
    <w:rsid w:val="00EB0DEA"/>
    <w:rsid w:val="00EB0F16"/>
    <w:rsid w:val="00EB169E"/>
    <w:rsid w:val="00EB1F63"/>
    <w:rsid w:val="00EB2119"/>
    <w:rsid w:val="00EB2172"/>
    <w:rsid w:val="00EB2235"/>
    <w:rsid w:val="00EB27BC"/>
    <w:rsid w:val="00EB29A8"/>
    <w:rsid w:val="00EB3218"/>
    <w:rsid w:val="00EB3243"/>
    <w:rsid w:val="00EB329C"/>
    <w:rsid w:val="00EB34BE"/>
    <w:rsid w:val="00EB360A"/>
    <w:rsid w:val="00EB3969"/>
    <w:rsid w:val="00EB419F"/>
    <w:rsid w:val="00EB4D2D"/>
    <w:rsid w:val="00EB5061"/>
    <w:rsid w:val="00EB51E3"/>
    <w:rsid w:val="00EB6A32"/>
    <w:rsid w:val="00EB6FEE"/>
    <w:rsid w:val="00EB7E64"/>
    <w:rsid w:val="00EC0369"/>
    <w:rsid w:val="00EC1A38"/>
    <w:rsid w:val="00EC1C4B"/>
    <w:rsid w:val="00EC1C6C"/>
    <w:rsid w:val="00EC266F"/>
    <w:rsid w:val="00EC33A0"/>
    <w:rsid w:val="00EC3981"/>
    <w:rsid w:val="00EC3D53"/>
    <w:rsid w:val="00EC4836"/>
    <w:rsid w:val="00EC5088"/>
    <w:rsid w:val="00EC653E"/>
    <w:rsid w:val="00EC72E0"/>
    <w:rsid w:val="00EC7A61"/>
    <w:rsid w:val="00ED0402"/>
    <w:rsid w:val="00ED12F4"/>
    <w:rsid w:val="00ED17F5"/>
    <w:rsid w:val="00ED3579"/>
    <w:rsid w:val="00ED56A3"/>
    <w:rsid w:val="00ED5E38"/>
    <w:rsid w:val="00ED6605"/>
    <w:rsid w:val="00ED6905"/>
    <w:rsid w:val="00ED74F9"/>
    <w:rsid w:val="00EE00FD"/>
    <w:rsid w:val="00EE11C0"/>
    <w:rsid w:val="00EE123A"/>
    <w:rsid w:val="00EE169C"/>
    <w:rsid w:val="00EE19C5"/>
    <w:rsid w:val="00EE3A2B"/>
    <w:rsid w:val="00EE3DF2"/>
    <w:rsid w:val="00EE423D"/>
    <w:rsid w:val="00EE42AC"/>
    <w:rsid w:val="00EE4490"/>
    <w:rsid w:val="00EE4619"/>
    <w:rsid w:val="00EE4EEF"/>
    <w:rsid w:val="00EE5644"/>
    <w:rsid w:val="00EE5C6B"/>
    <w:rsid w:val="00EE5C89"/>
    <w:rsid w:val="00EE6177"/>
    <w:rsid w:val="00EE6832"/>
    <w:rsid w:val="00EE7C3D"/>
    <w:rsid w:val="00EF086F"/>
    <w:rsid w:val="00EF1295"/>
    <w:rsid w:val="00EF1415"/>
    <w:rsid w:val="00EF1755"/>
    <w:rsid w:val="00EF2833"/>
    <w:rsid w:val="00EF3141"/>
    <w:rsid w:val="00EF3D58"/>
    <w:rsid w:val="00EF41FA"/>
    <w:rsid w:val="00EF4997"/>
    <w:rsid w:val="00EF527E"/>
    <w:rsid w:val="00EF542C"/>
    <w:rsid w:val="00EF6C97"/>
    <w:rsid w:val="00EF7063"/>
    <w:rsid w:val="00EF7084"/>
    <w:rsid w:val="00F00A3C"/>
    <w:rsid w:val="00F00E49"/>
    <w:rsid w:val="00F01268"/>
    <w:rsid w:val="00F03A23"/>
    <w:rsid w:val="00F03B39"/>
    <w:rsid w:val="00F03CC5"/>
    <w:rsid w:val="00F03D78"/>
    <w:rsid w:val="00F04052"/>
    <w:rsid w:val="00F04E57"/>
    <w:rsid w:val="00F04FED"/>
    <w:rsid w:val="00F06673"/>
    <w:rsid w:val="00F0683A"/>
    <w:rsid w:val="00F06961"/>
    <w:rsid w:val="00F1066F"/>
    <w:rsid w:val="00F11208"/>
    <w:rsid w:val="00F1207D"/>
    <w:rsid w:val="00F12CBD"/>
    <w:rsid w:val="00F13827"/>
    <w:rsid w:val="00F1415F"/>
    <w:rsid w:val="00F14201"/>
    <w:rsid w:val="00F14857"/>
    <w:rsid w:val="00F14877"/>
    <w:rsid w:val="00F14938"/>
    <w:rsid w:val="00F149DA"/>
    <w:rsid w:val="00F1508C"/>
    <w:rsid w:val="00F1578E"/>
    <w:rsid w:val="00F175C1"/>
    <w:rsid w:val="00F17CBB"/>
    <w:rsid w:val="00F20763"/>
    <w:rsid w:val="00F20A18"/>
    <w:rsid w:val="00F22675"/>
    <w:rsid w:val="00F227C8"/>
    <w:rsid w:val="00F23402"/>
    <w:rsid w:val="00F23612"/>
    <w:rsid w:val="00F23CB7"/>
    <w:rsid w:val="00F24509"/>
    <w:rsid w:val="00F24F2A"/>
    <w:rsid w:val="00F2541E"/>
    <w:rsid w:val="00F257B5"/>
    <w:rsid w:val="00F26118"/>
    <w:rsid w:val="00F2720E"/>
    <w:rsid w:val="00F2776D"/>
    <w:rsid w:val="00F279E2"/>
    <w:rsid w:val="00F3043B"/>
    <w:rsid w:val="00F3052D"/>
    <w:rsid w:val="00F30CDB"/>
    <w:rsid w:val="00F3106D"/>
    <w:rsid w:val="00F31C75"/>
    <w:rsid w:val="00F332F7"/>
    <w:rsid w:val="00F334F3"/>
    <w:rsid w:val="00F34468"/>
    <w:rsid w:val="00F346E6"/>
    <w:rsid w:val="00F3478F"/>
    <w:rsid w:val="00F35142"/>
    <w:rsid w:val="00F37543"/>
    <w:rsid w:val="00F37959"/>
    <w:rsid w:val="00F40864"/>
    <w:rsid w:val="00F42514"/>
    <w:rsid w:val="00F42D10"/>
    <w:rsid w:val="00F4368B"/>
    <w:rsid w:val="00F43B68"/>
    <w:rsid w:val="00F43D67"/>
    <w:rsid w:val="00F43F7A"/>
    <w:rsid w:val="00F44374"/>
    <w:rsid w:val="00F44895"/>
    <w:rsid w:val="00F44C96"/>
    <w:rsid w:val="00F45556"/>
    <w:rsid w:val="00F45C5F"/>
    <w:rsid w:val="00F4670B"/>
    <w:rsid w:val="00F50585"/>
    <w:rsid w:val="00F505BA"/>
    <w:rsid w:val="00F50D7B"/>
    <w:rsid w:val="00F50E90"/>
    <w:rsid w:val="00F51699"/>
    <w:rsid w:val="00F516E3"/>
    <w:rsid w:val="00F51876"/>
    <w:rsid w:val="00F51E50"/>
    <w:rsid w:val="00F51F87"/>
    <w:rsid w:val="00F52491"/>
    <w:rsid w:val="00F52D3C"/>
    <w:rsid w:val="00F546F7"/>
    <w:rsid w:val="00F54832"/>
    <w:rsid w:val="00F553A1"/>
    <w:rsid w:val="00F55496"/>
    <w:rsid w:val="00F55E7B"/>
    <w:rsid w:val="00F5658C"/>
    <w:rsid w:val="00F56B3E"/>
    <w:rsid w:val="00F57885"/>
    <w:rsid w:val="00F606CB"/>
    <w:rsid w:val="00F61F4C"/>
    <w:rsid w:val="00F62588"/>
    <w:rsid w:val="00F64959"/>
    <w:rsid w:val="00F6542B"/>
    <w:rsid w:val="00F65F59"/>
    <w:rsid w:val="00F66144"/>
    <w:rsid w:val="00F66403"/>
    <w:rsid w:val="00F66E59"/>
    <w:rsid w:val="00F6713F"/>
    <w:rsid w:val="00F70331"/>
    <w:rsid w:val="00F708C1"/>
    <w:rsid w:val="00F70CC9"/>
    <w:rsid w:val="00F7196C"/>
    <w:rsid w:val="00F71FE5"/>
    <w:rsid w:val="00F73343"/>
    <w:rsid w:val="00F73548"/>
    <w:rsid w:val="00F73F02"/>
    <w:rsid w:val="00F74891"/>
    <w:rsid w:val="00F74B51"/>
    <w:rsid w:val="00F74CC0"/>
    <w:rsid w:val="00F75670"/>
    <w:rsid w:val="00F7571F"/>
    <w:rsid w:val="00F76D4E"/>
    <w:rsid w:val="00F77272"/>
    <w:rsid w:val="00F777C8"/>
    <w:rsid w:val="00F77E03"/>
    <w:rsid w:val="00F803BE"/>
    <w:rsid w:val="00F8095F"/>
    <w:rsid w:val="00F8130C"/>
    <w:rsid w:val="00F81362"/>
    <w:rsid w:val="00F8155E"/>
    <w:rsid w:val="00F82893"/>
    <w:rsid w:val="00F83202"/>
    <w:rsid w:val="00F83B5F"/>
    <w:rsid w:val="00F84735"/>
    <w:rsid w:val="00F8473B"/>
    <w:rsid w:val="00F84EC3"/>
    <w:rsid w:val="00F84FE5"/>
    <w:rsid w:val="00F854EE"/>
    <w:rsid w:val="00F85B39"/>
    <w:rsid w:val="00F85E68"/>
    <w:rsid w:val="00F8634E"/>
    <w:rsid w:val="00F86D07"/>
    <w:rsid w:val="00F86EDA"/>
    <w:rsid w:val="00F90C33"/>
    <w:rsid w:val="00F91353"/>
    <w:rsid w:val="00F913BF"/>
    <w:rsid w:val="00F92621"/>
    <w:rsid w:val="00F92B09"/>
    <w:rsid w:val="00F93966"/>
    <w:rsid w:val="00F93D7E"/>
    <w:rsid w:val="00F93F06"/>
    <w:rsid w:val="00F95FDA"/>
    <w:rsid w:val="00F95FF7"/>
    <w:rsid w:val="00F9664F"/>
    <w:rsid w:val="00F9684A"/>
    <w:rsid w:val="00F96ACE"/>
    <w:rsid w:val="00F97B20"/>
    <w:rsid w:val="00F97C15"/>
    <w:rsid w:val="00FA006B"/>
    <w:rsid w:val="00FA0825"/>
    <w:rsid w:val="00FA08AD"/>
    <w:rsid w:val="00FA0DB8"/>
    <w:rsid w:val="00FA2690"/>
    <w:rsid w:val="00FA2F27"/>
    <w:rsid w:val="00FA3443"/>
    <w:rsid w:val="00FA3483"/>
    <w:rsid w:val="00FA37CB"/>
    <w:rsid w:val="00FA4150"/>
    <w:rsid w:val="00FA4812"/>
    <w:rsid w:val="00FA50C6"/>
    <w:rsid w:val="00FA5733"/>
    <w:rsid w:val="00FA5766"/>
    <w:rsid w:val="00FA7955"/>
    <w:rsid w:val="00FA7D7D"/>
    <w:rsid w:val="00FB03E0"/>
    <w:rsid w:val="00FB072D"/>
    <w:rsid w:val="00FB08AD"/>
    <w:rsid w:val="00FB18C7"/>
    <w:rsid w:val="00FB1AF1"/>
    <w:rsid w:val="00FB3177"/>
    <w:rsid w:val="00FB33E6"/>
    <w:rsid w:val="00FB3810"/>
    <w:rsid w:val="00FB4EF5"/>
    <w:rsid w:val="00FB5441"/>
    <w:rsid w:val="00FB5852"/>
    <w:rsid w:val="00FB61E9"/>
    <w:rsid w:val="00FB620D"/>
    <w:rsid w:val="00FB68CE"/>
    <w:rsid w:val="00FB6B32"/>
    <w:rsid w:val="00FB6F67"/>
    <w:rsid w:val="00FC0AD7"/>
    <w:rsid w:val="00FC0DDF"/>
    <w:rsid w:val="00FC0FB2"/>
    <w:rsid w:val="00FC10DE"/>
    <w:rsid w:val="00FC16BE"/>
    <w:rsid w:val="00FC1709"/>
    <w:rsid w:val="00FC19A0"/>
    <w:rsid w:val="00FC1FB7"/>
    <w:rsid w:val="00FC24B7"/>
    <w:rsid w:val="00FC26F6"/>
    <w:rsid w:val="00FC2CFA"/>
    <w:rsid w:val="00FC2D5F"/>
    <w:rsid w:val="00FC351A"/>
    <w:rsid w:val="00FC4101"/>
    <w:rsid w:val="00FC4DC0"/>
    <w:rsid w:val="00FC5603"/>
    <w:rsid w:val="00FC5640"/>
    <w:rsid w:val="00FC71C9"/>
    <w:rsid w:val="00FC75BF"/>
    <w:rsid w:val="00FC7699"/>
    <w:rsid w:val="00FD020D"/>
    <w:rsid w:val="00FD0916"/>
    <w:rsid w:val="00FD0B28"/>
    <w:rsid w:val="00FD0C54"/>
    <w:rsid w:val="00FD1485"/>
    <w:rsid w:val="00FD1538"/>
    <w:rsid w:val="00FD17BA"/>
    <w:rsid w:val="00FD1E4F"/>
    <w:rsid w:val="00FD2136"/>
    <w:rsid w:val="00FD2C9D"/>
    <w:rsid w:val="00FD2F74"/>
    <w:rsid w:val="00FD399C"/>
    <w:rsid w:val="00FD3B94"/>
    <w:rsid w:val="00FD3FF8"/>
    <w:rsid w:val="00FD40DD"/>
    <w:rsid w:val="00FD43B3"/>
    <w:rsid w:val="00FD5759"/>
    <w:rsid w:val="00FD59C3"/>
    <w:rsid w:val="00FD60A1"/>
    <w:rsid w:val="00FD6295"/>
    <w:rsid w:val="00FD70E2"/>
    <w:rsid w:val="00FD7840"/>
    <w:rsid w:val="00FE0150"/>
    <w:rsid w:val="00FE02F1"/>
    <w:rsid w:val="00FE06C5"/>
    <w:rsid w:val="00FE1118"/>
    <w:rsid w:val="00FE15BC"/>
    <w:rsid w:val="00FE1806"/>
    <w:rsid w:val="00FE18D8"/>
    <w:rsid w:val="00FE1D9F"/>
    <w:rsid w:val="00FE2B66"/>
    <w:rsid w:val="00FE2E63"/>
    <w:rsid w:val="00FE3601"/>
    <w:rsid w:val="00FE40E5"/>
    <w:rsid w:val="00FE4625"/>
    <w:rsid w:val="00FE471D"/>
    <w:rsid w:val="00FE4739"/>
    <w:rsid w:val="00FE4DB2"/>
    <w:rsid w:val="00FE5458"/>
    <w:rsid w:val="00FE547F"/>
    <w:rsid w:val="00FE5D11"/>
    <w:rsid w:val="00FE5F6A"/>
    <w:rsid w:val="00FE681D"/>
    <w:rsid w:val="00FE71B9"/>
    <w:rsid w:val="00FE7450"/>
    <w:rsid w:val="00FE74DF"/>
    <w:rsid w:val="00FF0539"/>
    <w:rsid w:val="00FF05A9"/>
    <w:rsid w:val="00FF0D76"/>
    <w:rsid w:val="00FF0DBD"/>
    <w:rsid w:val="00FF180C"/>
    <w:rsid w:val="00FF1FCB"/>
    <w:rsid w:val="00FF2100"/>
    <w:rsid w:val="00FF3A07"/>
    <w:rsid w:val="00FF3FEA"/>
    <w:rsid w:val="00FF4C0C"/>
    <w:rsid w:val="00FF4C68"/>
    <w:rsid w:val="00FF5561"/>
    <w:rsid w:val="00FF588D"/>
    <w:rsid w:val="00FF5B66"/>
    <w:rsid w:val="00FF5D1C"/>
    <w:rsid w:val="00FF61F4"/>
    <w:rsid w:val="00FF72CC"/>
    <w:rsid w:val="00FF7C6C"/>
    <w:rsid w:val="0409755F"/>
    <w:rsid w:val="0441B917"/>
    <w:rsid w:val="0463F64D"/>
    <w:rsid w:val="047CB881"/>
    <w:rsid w:val="064F161A"/>
    <w:rsid w:val="07704D64"/>
    <w:rsid w:val="07D41FFD"/>
    <w:rsid w:val="094BA933"/>
    <w:rsid w:val="0C4C1F0A"/>
    <w:rsid w:val="0C8B5CDE"/>
    <w:rsid w:val="0CAE5828"/>
    <w:rsid w:val="0EA914DF"/>
    <w:rsid w:val="101E9185"/>
    <w:rsid w:val="12DB3FC5"/>
    <w:rsid w:val="13B9FEE0"/>
    <w:rsid w:val="13BE1CD9"/>
    <w:rsid w:val="14ED1514"/>
    <w:rsid w:val="1535ACA3"/>
    <w:rsid w:val="15B32048"/>
    <w:rsid w:val="178899FC"/>
    <w:rsid w:val="17948AE5"/>
    <w:rsid w:val="19779651"/>
    <w:rsid w:val="1B12B364"/>
    <w:rsid w:val="1BD66D64"/>
    <w:rsid w:val="1C7D6985"/>
    <w:rsid w:val="1CE78C6F"/>
    <w:rsid w:val="1D21DDE4"/>
    <w:rsid w:val="1E74472B"/>
    <w:rsid w:val="204A7344"/>
    <w:rsid w:val="237F461B"/>
    <w:rsid w:val="240C582A"/>
    <w:rsid w:val="241A3D70"/>
    <w:rsid w:val="258A4151"/>
    <w:rsid w:val="268F5684"/>
    <w:rsid w:val="26B9B1CB"/>
    <w:rsid w:val="275AB490"/>
    <w:rsid w:val="28EE9E32"/>
    <w:rsid w:val="29128CAF"/>
    <w:rsid w:val="29E7C312"/>
    <w:rsid w:val="29ED0CD9"/>
    <w:rsid w:val="2B647FBC"/>
    <w:rsid w:val="2EBB719C"/>
    <w:rsid w:val="30D890D8"/>
    <w:rsid w:val="3112BFAB"/>
    <w:rsid w:val="318604C9"/>
    <w:rsid w:val="345F18F2"/>
    <w:rsid w:val="34F89DF6"/>
    <w:rsid w:val="35A56CDC"/>
    <w:rsid w:val="36B0F2AA"/>
    <w:rsid w:val="3AA711E0"/>
    <w:rsid w:val="3C1A841B"/>
    <w:rsid w:val="3DDDF76E"/>
    <w:rsid w:val="3E0D4224"/>
    <w:rsid w:val="3E4398D5"/>
    <w:rsid w:val="406E1496"/>
    <w:rsid w:val="412FB178"/>
    <w:rsid w:val="416A23E2"/>
    <w:rsid w:val="428BBCA4"/>
    <w:rsid w:val="44029669"/>
    <w:rsid w:val="449740EF"/>
    <w:rsid w:val="45009593"/>
    <w:rsid w:val="45564D2A"/>
    <w:rsid w:val="45B29D90"/>
    <w:rsid w:val="45D24A8C"/>
    <w:rsid w:val="46D7233E"/>
    <w:rsid w:val="48C61FA2"/>
    <w:rsid w:val="492DA7CF"/>
    <w:rsid w:val="4A8C1F8E"/>
    <w:rsid w:val="4AEEE312"/>
    <w:rsid w:val="4C883296"/>
    <w:rsid w:val="4D08E79F"/>
    <w:rsid w:val="4D37B5D8"/>
    <w:rsid w:val="4D82A613"/>
    <w:rsid w:val="4F532AE1"/>
    <w:rsid w:val="4F5A8A97"/>
    <w:rsid w:val="4F81B30E"/>
    <w:rsid w:val="51DAF0C1"/>
    <w:rsid w:val="52D129EB"/>
    <w:rsid w:val="53A0444A"/>
    <w:rsid w:val="549ADB1A"/>
    <w:rsid w:val="55B6390B"/>
    <w:rsid w:val="561D6E04"/>
    <w:rsid w:val="57AC86E2"/>
    <w:rsid w:val="57E2EF6C"/>
    <w:rsid w:val="5B54FD09"/>
    <w:rsid w:val="5C452F4D"/>
    <w:rsid w:val="5CC9010E"/>
    <w:rsid w:val="5D9A8BA7"/>
    <w:rsid w:val="5EACFF48"/>
    <w:rsid w:val="61D8D55B"/>
    <w:rsid w:val="63957DF9"/>
    <w:rsid w:val="6454D76D"/>
    <w:rsid w:val="65328517"/>
    <w:rsid w:val="66597D81"/>
    <w:rsid w:val="67B5043E"/>
    <w:rsid w:val="6A055E92"/>
    <w:rsid w:val="6A7D1F64"/>
    <w:rsid w:val="6B67EC5F"/>
    <w:rsid w:val="6BD1EACD"/>
    <w:rsid w:val="6C2572B5"/>
    <w:rsid w:val="6E096EDD"/>
    <w:rsid w:val="6E2E482C"/>
    <w:rsid w:val="6ED70C55"/>
    <w:rsid w:val="6EF6719C"/>
    <w:rsid w:val="73401EF8"/>
    <w:rsid w:val="73A968B0"/>
    <w:rsid w:val="77B61B5B"/>
    <w:rsid w:val="7818FF09"/>
    <w:rsid w:val="783806ED"/>
    <w:rsid w:val="797982DB"/>
    <w:rsid w:val="79D7F9B9"/>
    <w:rsid w:val="7A47EF5D"/>
    <w:rsid w:val="7AFBB73E"/>
    <w:rsid w:val="7C4CF941"/>
    <w:rsid w:val="7C76C5E8"/>
    <w:rsid w:val="7EB14160"/>
    <w:rsid w:val="7FCF858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8C4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3A9"/>
    <w:pPr>
      <w:spacing w:before="120"/>
    </w:pPr>
    <w:rPr>
      <w:rFonts w:ascii="Franklin Gothic Book" w:hAnsi="Franklin Gothic Book"/>
    </w:rPr>
  </w:style>
  <w:style w:type="paragraph" w:styleId="Heading1">
    <w:name w:val="heading 1"/>
    <w:aliases w:val="NICE Heading 1"/>
    <w:basedOn w:val="Normal"/>
    <w:next w:val="Normal"/>
    <w:link w:val="Heading1Char"/>
    <w:uiPriority w:val="9"/>
    <w:qFormat/>
    <w:rsid w:val="001531D6"/>
    <w:pPr>
      <w:keepNext/>
      <w:keepLines/>
      <w:numPr>
        <w:numId w:val="1"/>
      </w:numPr>
      <w:pBdr>
        <w:bottom w:val="single" w:sz="4" w:space="1" w:color="auto"/>
      </w:pBdr>
      <w:spacing w:before="600" w:after="480" w:line="240" w:lineRule="auto"/>
      <w:ind w:left="357" w:hanging="357"/>
      <w:outlineLvl w:val="0"/>
    </w:pPr>
    <w:rPr>
      <w:rFonts w:ascii="Franklin Gothic Medium" w:eastAsiaTheme="majorEastAsia" w:hAnsi="Franklin Gothic Medium" w:cstheme="majorBidi"/>
      <w:sz w:val="44"/>
      <w:szCs w:val="32"/>
    </w:rPr>
  </w:style>
  <w:style w:type="paragraph" w:styleId="Heading2">
    <w:name w:val="heading 2"/>
    <w:aliases w:val="- H34,1.1 Report heading"/>
    <w:basedOn w:val="Normal"/>
    <w:next w:val="Normal"/>
    <w:link w:val="Heading2Char"/>
    <w:uiPriority w:val="9"/>
    <w:unhideWhenUsed/>
    <w:qFormat/>
    <w:rsid w:val="001531D6"/>
    <w:pPr>
      <w:keepNext/>
      <w:keepLines/>
      <w:numPr>
        <w:ilvl w:val="1"/>
        <w:numId w:val="1"/>
      </w:numPr>
      <w:spacing w:before="360" w:after="240" w:line="240" w:lineRule="auto"/>
      <w:outlineLvl w:val="1"/>
    </w:pPr>
    <w:rPr>
      <w:rFonts w:ascii="Franklin Gothic Medium" w:eastAsiaTheme="majorEastAsia" w:hAnsi="Franklin Gothic Medium" w:cstheme="majorBidi"/>
      <w:color w:val="000000" w:themeColor="text1"/>
      <w:sz w:val="32"/>
      <w:szCs w:val="26"/>
    </w:rPr>
  </w:style>
  <w:style w:type="paragraph" w:styleId="Heading3">
    <w:name w:val="heading 3"/>
    <w:aliases w:val="NICE Heading 3"/>
    <w:basedOn w:val="Normal"/>
    <w:next w:val="Normal"/>
    <w:link w:val="Heading3Char"/>
    <w:uiPriority w:val="9"/>
    <w:unhideWhenUsed/>
    <w:qFormat/>
    <w:rsid w:val="005103C5"/>
    <w:pPr>
      <w:keepNext/>
      <w:keepLines/>
      <w:tabs>
        <w:tab w:val="left" w:pos="851"/>
      </w:tabs>
      <w:spacing w:before="360" w:after="200" w:line="240" w:lineRule="auto"/>
      <w:outlineLvl w:val="2"/>
    </w:pPr>
    <w:rPr>
      <w:rFonts w:ascii="Franklin Gothic Medium" w:eastAsiaTheme="majorEastAsia" w:hAnsi="Franklin Gothic Medium" w:cstheme="majorBidi"/>
      <w:sz w:val="24"/>
      <w:szCs w:val="24"/>
    </w:rPr>
  </w:style>
  <w:style w:type="paragraph" w:styleId="Heading4">
    <w:name w:val="heading 4"/>
    <w:basedOn w:val="Heading3"/>
    <w:next w:val="Normal"/>
    <w:link w:val="Heading4Char"/>
    <w:uiPriority w:val="9"/>
    <w:unhideWhenUsed/>
    <w:qFormat/>
    <w:rsid w:val="00A776A4"/>
    <w:pPr>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link w:val="TableTextChar"/>
    <w:qFormat/>
    <w:rsid w:val="003E7773"/>
    <w:pPr>
      <w:spacing w:before="40" w:after="40" w:line="240" w:lineRule="auto"/>
    </w:pPr>
    <w:rPr>
      <w:rFonts w:ascii="Arial Narrow" w:hAnsi="Arial Narrow"/>
      <w:sz w:val="20"/>
    </w:rPr>
  </w:style>
  <w:style w:type="paragraph" w:customStyle="1" w:styleId="TableHeading">
    <w:name w:val="TableHeading"/>
    <w:basedOn w:val="Normal"/>
    <w:link w:val="TableHeadingChar"/>
    <w:qFormat/>
    <w:rsid w:val="00B151CF"/>
    <w:pPr>
      <w:keepNext/>
      <w:spacing w:after="60" w:line="240" w:lineRule="auto"/>
    </w:pPr>
    <w:rPr>
      <w:rFonts w:ascii="Arial Narrow" w:hAnsi="Arial Narrow"/>
      <w:b/>
      <w:sz w:val="20"/>
    </w:rPr>
  </w:style>
  <w:style w:type="paragraph" w:styleId="CommentText">
    <w:name w:val="annotation text"/>
    <w:basedOn w:val="Normal"/>
    <w:link w:val="CommentTextChar"/>
    <w:uiPriority w:val="99"/>
    <w:unhideWhenUsed/>
    <w:rsid w:val="003E7773"/>
    <w:pPr>
      <w:spacing w:after="240" w:line="240" w:lineRule="auto"/>
    </w:pPr>
    <w:rPr>
      <w:rFonts w:ascii="Calibri" w:eastAsia="Times New Roman" w:hAnsi="Calibri" w:cs="Times New Roman"/>
      <w:color w:val="000000"/>
      <w:szCs w:val="24"/>
      <w:lang w:eastAsia="en-AU"/>
    </w:rPr>
  </w:style>
  <w:style w:type="character" w:customStyle="1" w:styleId="CommentTextChar">
    <w:name w:val="Comment Text Char"/>
    <w:basedOn w:val="DefaultParagraphFont"/>
    <w:link w:val="CommentText"/>
    <w:uiPriority w:val="99"/>
    <w:rsid w:val="003E7773"/>
    <w:rPr>
      <w:rFonts w:ascii="Calibri" w:eastAsia="Times New Roman" w:hAnsi="Calibri" w:cs="Times New Roman"/>
      <w:color w:val="000000"/>
      <w:szCs w:val="24"/>
      <w:lang w:eastAsia="en-AU"/>
    </w:rPr>
  </w:style>
  <w:style w:type="character" w:styleId="CommentReference">
    <w:name w:val="annotation reference"/>
    <w:aliases w:val="Table Title"/>
    <w:basedOn w:val="DefaultParagraphFont"/>
    <w:uiPriority w:val="99"/>
    <w:unhideWhenUsed/>
    <w:qFormat/>
    <w:rsid w:val="003E7773"/>
    <w:rPr>
      <w:sz w:val="16"/>
      <w:szCs w:val="16"/>
    </w:rPr>
  </w:style>
  <w:style w:type="character" w:customStyle="1" w:styleId="TableTextChar">
    <w:name w:val="Table Text Char"/>
    <w:basedOn w:val="DefaultParagraphFont"/>
    <w:link w:val="TableText"/>
    <w:rsid w:val="003E7773"/>
    <w:rPr>
      <w:rFonts w:ascii="Arial Narrow" w:hAnsi="Arial Narrow"/>
      <w:sz w:val="20"/>
    </w:rPr>
  </w:style>
  <w:style w:type="character" w:customStyle="1" w:styleId="TableHeadingChar">
    <w:name w:val="TableHeading Char"/>
    <w:link w:val="TableHeading"/>
    <w:rsid w:val="00B151CF"/>
    <w:rPr>
      <w:rFonts w:ascii="Arial Narrow" w:hAnsi="Arial Narrow"/>
      <w:b/>
      <w:sz w:val="20"/>
    </w:rPr>
  </w:style>
  <w:style w:type="paragraph" w:styleId="BalloonText">
    <w:name w:val="Balloon Text"/>
    <w:basedOn w:val="Normal"/>
    <w:link w:val="BalloonTextChar"/>
    <w:uiPriority w:val="99"/>
    <w:semiHidden/>
    <w:unhideWhenUsed/>
    <w:rsid w:val="003E77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77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E7773"/>
    <w:pPr>
      <w:spacing w:after="160"/>
    </w:pPr>
    <w:rPr>
      <w:rFonts w:asciiTheme="minorHAnsi" w:eastAsiaTheme="minorHAnsi" w:hAnsiTheme="minorHAnsi" w:cstheme="minorBidi"/>
      <w:b/>
      <w:bCs/>
      <w:color w:val="auto"/>
      <w:sz w:val="20"/>
      <w:szCs w:val="20"/>
      <w:lang w:eastAsia="en-US"/>
    </w:rPr>
  </w:style>
  <w:style w:type="character" w:customStyle="1" w:styleId="CommentSubjectChar">
    <w:name w:val="Comment Subject Char"/>
    <w:basedOn w:val="CommentTextChar"/>
    <w:link w:val="CommentSubject"/>
    <w:uiPriority w:val="99"/>
    <w:semiHidden/>
    <w:rsid w:val="003E7773"/>
    <w:rPr>
      <w:rFonts w:ascii="Calibri" w:eastAsia="Times New Roman" w:hAnsi="Calibri" w:cs="Times New Roman"/>
      <w:b/>
      <w:bCs/>
      <w:color w:val="000000"/>
      <w:sz w:val="20"/>
      <w:szCs w:val="20"/>
      <w:lang w:eastAsia="en-AU"/>
    </w:rPr>
  </w:style>
  <w:style w:type="character" w:customStyle="1" w:styleId="Heading1Char">
    <w:name w:val="Heading 1 Char"/>
    <w:aliases w:val="NICE Heading 1 Char"/>
    <w:basedOn w:val="DefaultParagraphFont"/>
    <w:link w:val="Heading1"/>
    <w:uiPriority w:val="9"/>
    <w:rsid w:val="001531D6"/>
    <w:rPr>
      <w:rFonts w:ascii="Franklin Gothic Medium" w:eastAsiaTheme="majorEastAsia" w:hAnsi="Franklin Gothic Medium" w:cstheme="majorBidi"/>
      <w:sz w:val="44"/>
      <w:szCs w:val="32"/>
    </w:rPr>
  </w:style>
  <w:style w:type="character" w:customStyle="1" w:styleId="Heading2Char">
    <w:name w:val="Heading 2 Char"/>
    <w:aliases w:val="- H34 Char,1.1 Report heading Char"/>
    <w:basedOn w:val="DefaultParagraphFont"/>
    <w:link w:val="Heading2"/>
    <w:uiPriority w:val="9"/>
    <w:rsid w:val="001531D6"/>
    <w:rPr>
      <w:rFonts w:ascii="Franklin Gothic Medium" w:eastAsiaTheme="majorEastAsia" w:hAnsi="Franklin Gothic Medium" w:cstheme="majorBidi"/>
      <w:color w:val="000000" w:themeColor="text1"/>
      <w:sz w:val="32"/>
      <w:szCs w:val="26"/>
    </w:rPr>
  </w:style>
  <w:style w:type="character" w:customStyle="1" w:styleId="Heading3Char">
    <w:name w:val="Heading 3 Char"/>
    <w:aliases w:val="NICE Heading 3 Char"/>
    <w:basedOn w:val="DefaultParagraphFont"/>
    <w:link w:val="Heading3"/>
    <w:uiPriority w:val="9"/>
    <w:rsid w:val="005103C5"/>
    <w:rPr>
      <w:rFonts w:ascii="Franklin Gothic Medium" w:eastAsiaTheme="majorEastAsia" w:hAnsi="Franklin Gothic Medium" w:cstheme="majorBidi"/>
      <w:sz w:val="24"/>
      <w:szCs w:val="24"/>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 Char1,Caption Char2,Caption Char1"/>
    <w:basedOn w:val="Normal"/>
    <w:next w:val="Normal"/>
    <w:link w:val="CaptionChar"/>
    <w:qFormat/>
    <w:rsid w:val="009A06F4"/>
    <w:pPr>
      <w:keepNext/>
      <w:spacing w:before="360" w:after="120" w:line="240" w:lineRule="auto"/>
    </w:pPr>
    <w:rPr>
      <w:rFonts w:ascii="Arial Narrow" w:eastAsia="Times New Roman" w:hAnsi="Arial Narrow" w:cs="Times New Roman"/>
      <w:b/>
      <w:bCs/>
      <w:sz w:val="20"/>
      <w:szCs w:val="20"/>
    </w:rPr>
  </w:style>
  <w:style w:type="table" w:customStyle="1" w:styleId="TableGrid1">
    <w:name w:val="Table Grid1"/>
    <w:basedOn w:val="TableNormal"/>
    <w:next w:val="TableGrid"/>
    <w:locked/>
    <w:rsid w:val="00CA528A"/>
    <w:pPr>
      <w:spacing w:before="40" w:after="40" w:line="240" w:lineRule="auto"/>
    </w:pPr>
    <w:rPr>
      <w:rFonts w:ascii="Arial Narrow" w:eastAsia="Times New Roman" w:hAnsi="Arial Narrow" w:cs="Times New Roman"/>
      <w:sz w:val="20"/>
      <w:szCs w:val="20"/>
      <w:lang w:eastAsia="en-AU"/>
    </w:rPr>
    <w:tblPr>
      <w:tblInd w:w="0" w:type="nil"/>
      <w:tblCellMar>
        <w:left w:w="0" w:type="dxa"/>
        <w:right w:w="0" w:type="dxa"/>
      </w:tblCellMar>
    </w:tblPr>
    <w:tblStylePr w:type="firstRow">
      <w:rPr>
        <w:rFonts w:ascii="Montserrat" w:hAnsi="Montserrat"/>
        <w:b w:val="0"/>
        <w:sz w:val="20"/>
      </w:rPr>
    </w:tblStyle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
    <w:basedOn w:val="DefaultParagraphFont"/>
    <w:link w:val="Caption"/>
    <w:rsid w:val="009A06F4"/>
    <w:rPr>
      <w:rFonts w:ascii="Arial Narrow" w:eastAsia="Times New Roman" w:hAnsi="Arial Narrow" w:cs="Times New Roman"/>
      <w:b/>
      <w:bCs/>
      <w:sz w:val="20"/>
      <w:szCs w:val="20"/>
    </w:rPr>
  </w:style>
  <w:style w:type="table" w:styleId="TableGrid">
    <w:name w:val="Table Grid"/>
    <w:aliases w:val="Summary box,Table Gridbeth,RTI AMCP Table,new style,ASD Table"/>
    <w:basedOn w:val="TableNormal"/>
    <w:uiPriority w:val="59"/>
    <w:rsid w:val="00CA528A"/>
    <w:pPr>
      <w:spacing w:after="0" w:line="240" w:lineRule="auto"/>
    </w:pPr>
    <w:tblPr>
      <w:tblInd w:w="0" w:type="nil"/>
      <w:tblCellMar>
        <w:left w:w="0" w:type="dxa"/>
        <w:right w:w="0" w:type="dxa"/>
      </w:tblCellMar>
    </w:tblPr>
  </w:style>
  <w:style w:type="paragraph" w:customStyle="1" w:styleId="TableFigNote">
    <w:name w:val="TableFigNote"/>
    <w:basedOn w:val="Normal"/>
    <w:qFormat/>
    <w:rsid w:val="00CA528A"/>
    <w:pPr>
      <w:spacing w:after="360" w:line="240" w:lineRule="auto"/>
      <w:contextualSpacing/>
    </w:pPr>
    <w:rPr>
      <w:sz w:val="18"/>
    </w:rPr>
  </w:style>
  <w:style w:type="paragraph" w:styleId="ListParagraph">
    <w:name w:val="List Paragraph"/>
    <w:basedOn w:val="Normal"/>
    <w:link w:val="ListParagraphChar"/>
    <w:uiPriority w:val="34"/>
    <w:qFormat/>
    <w:rsid w:val="00724F92"/>
    <w:pPr>
      <w:ind w:left="720"/>
      <w:contextualSpacing/>
    </w:pPr>
  </w:style>
  <w:style w:type="character" w:styleId="Strong">
    <w:name w:val="Strong"/>
    <w:basedOn w:val="DefaultParagraphFont"/>
    <w:uiPriority w:val="22"/>
    <w:qFormat/>
    <w:rsid w:val="00FD17BA"/>
    <w:rPr>
      <w:b/>
      <w:bCs/>
    </w:rPr>
  </w:style>
  <w:style w:type="paragraph" w:customStyle="1" w:styleId="TableName">
    <w:name w:val="TableName"/>
    <w:basedOn w:val="Normal"/>
    <w:qFormat/>
    <w:rsid w:val="00FD17BA"/>
    <w:pPr>
      <w:keepNext/>
      <w:spacing w:after="240" w:line="240" w:lineRule="auto"/>
      <w:ind w:left="1418" w:hanging="1418"/>
    </w:pPr>
    <w:rPr>
      <w:rFonts w:ascii="Franklin Gothic Medium" w:hAnsi="Franklin Gothic Medium"/>
    </w:rPr>
  </w:style>
  <w:style w:type="paragraph" w:customStyle="1" w:styleId="TableFigNoteHangingLast">
    <w:name w:val="TableFigNoteHanging Last"/>
    <w:basedOn w:val="TableFigNote"/>
    <w:qFormat/>
    <w:rsid w:val="00FD17BA"/>
    <w:pPr>
      <w:ind w:left="142" w:hanging="142"/>
    </w:pPr>
  </w:style>
  <w:style w:type="paragraph" w:customStyle="1" w:styleId="TableTextCA">
    <w:name w:val="Table Text CA"/>
    <w:basedOn w:val="TableText"/>
    <w:qFormat/>
    <w:rsid w:val="00FD17BA"/>
    <w:pPr>
      <w:jc w:val="center"/>
    </w:pPr>
  </w:style>
  <w:style w:type="paragraph" w:customStyle="1" w:styleId="TableHeadingCA">
    <w:name w:val="Table Heading CA"/>
    <w:basedOn w:val="TableHeading0"/>
    <w:qFormat/>
    <w:rsid w:val="00FD17BA"/>
    <w:pPr>
      <w:jc w:val="center"/>
    </w:pPr>
  </w:style>
  <w:style w:type="paragraph" w:customStyle="1" w:styleId="TableHeading0">
    <w:name w:val="Table Heading"/>
    <w:basedOn w:val="Normal"/>
    <w:qFormat/>
    <w:rsid w:val="00FD17BA"/>
    <w:pPr>
      <w:spacing w:after="60" w:line="240" w:lineRule="auto"/>
    </w:pPr>
    <w:rPr>
      <w:rFonts w:ascii="Arial Narrow" w:hAnsi="Arial Narrow"/>
      <w:b/>
      <w:sz w:val="20"/>
    </w:rPr>
  </w:style>
  <w:style w:type="paragraph" w:customStyle="1" w:styleId="TableFigNoteLast">
    <w:name w:val="TableFigNote Last"/>
    <w:basedOn w:val="TableFigNote"/>
    <w:qFormat/>
    <w:rsid w:val="00FD17BA"/>
  </w:style>
  <w:style w:type="character" w:customStyle="1" w:styleId="Heading4Char">
    <w:name w:val="Heading 4 Char"/>
    <w:basedOn w:val="DefaultParagraphFont"/>
    <w:link w:val="Heading4"/>
    <w:uiPriority w:val="9"/>
    <w:rsid w:val="00A776A4"/>
    <w:rPr>
      <w:rFonts w:ascii="Franklin Gothic Medium" w:eastAsiaTheme="majorEastAsia" w:hAnsi="Franklin Gothic Medium" w:cstheme="majorBidi"/>
      <w:i/>
      <w:sz w:val="24"/>
      <w:szCs w:val="24"/>
    </w:rPr>
  </w:style>
  <w:style w:type="paragraph" w:customStyle="1" w:styleId="2ChapterText">
    <w:name w:val="2ChapterText"/>
    <w:basedOn w:val="Normal"/>
    <w:qFormat/>
    <w:rsid w:val="00004F7F"/>
    <w:rPr>
      <w:shd w:val="clear" w:color="auto" w:fill="BDD6EE" w:themeFill="accent1" w:themeFillTint="66"/>
    </w:rPr>
  </w:style>
  <w:style w:type="paragraph" w:customStyle="1" w:styleId="1ExplanatoryText">
    <w:name w:val="1ExplanatoryText"/>
    <w:basedOn w:val="Normal"/>
    <w:qFormat/>
    <w:rsid w:val="00225833"/>
    <w:pPr>
      <w:shd w:val="clear" w:color="auto" w:fill="C5E0B3" w:themeFill="accent6" w:themeFillTint="66"/>
    </w:pPr>
  </w:style>
  <w:style w:type="character" w:styleId="Hyperlink">
    <w:name w:val="Hyperlink"/>
    <w:basedOn w:val="DefaultParagraphFont"/>
    <w:uiPriority w:val="99"/>
    <w:unhideWhenUsed/>
    <w:rsid w:val="00997BA8"/>
    <w:rPr>
      <w:color w:val="0070C0"/>
      <w:u w:val="single"/>
    </w:rPr>
  </w:style>
  <w:style w:type="paragraph" w:styleId="TOC1">
    <w:name w:val="toc 1"/>
    <w:basedOn w:val="Normal"/>
    <w:next w:val="Normal"/>
    <w:autoRedefine/>
    <w:uiPriority w:val="39"/>
    <w:unhideWhenUsed/>
    <w:rsid w:val="00C91651"/>
    <w:pPr>
      <w:tabs>
        <w:tab w:val="left" w:pos="1100"/>
        <w:tab w:val="left" w:pos="1531"/>
        <w:tab w:val="right" w:leader="dot" w:pos="9010"/>
      </w:tabs>
      <w:spacing w:after="100" w:line="240" w:lineRule="auto"/>
    </w:pPr>
    <w:rPr>
      <w:rFonts w:asciiTheme="minorHAnsi" w:hAnsiTheme="minorHAnsi"/>
      <w:b/>
    </w:rPr>
  </w:style>
  <w:style w:type="paragraph" w:styleId="TOC2">
    <w:name w:val="toc 2"/>
    <w:basedOn w:val="Normal"/>
    <w:next w:val="Normal"/>
    <w:autoRedefine/>
    <w:uiPriority w:val="39"/>
    <w:unhideWhenUsed/>
    <w:rsid w:val="00944087"/>
    <w:pPr>
      <w:tabs>
        <w:tab w:val="left" w:pos="1089"/>
        <w:tab w:val="right" w:leader="dot" w:pos="9010"/>
      </w:tabs>
      <w:spacing w:after="100" w:line="240" w:lineRule="auto"/>
    </w:pPr>
    <w:rPr>
      <w:rFonts w:asciiTheme="minorHAnsi" w:hAnsiTheme="minorHAnsi"/>
    </w:rPr>
  </w:style>
  <w:style w:type="paragraph" w:styleId="TOC3">
    <w:name w:val="toc 3"/>
    <w:basedOn w:val="Normal"/>
    <w:next w:val="Normal"/>
    <w:autoRedefine/>
    <w:uiPriority w:val="39"/>
    <w:unhideWhenUsed/>
    <w:rsid w:val="0088445B"/>
    <w:pPr>
      <w:spacing w:after="100" w:line="240" w:lineRule="auto"/>
      <w:ind w:left="720"/>
    </w:pPr>
    <w:rPr>
      <w:rFonts w:asciiTheme="minorHAnsi" w:hAnsiTheme="minorHAnsi"/>
    </w:rPr>
  </w:style>
  <w:style w:type="character" w:styleId="FollowedHyperlink">
    <w:name w:val="FollowedHyperlink"/>
    <w:basedOn w:val="DefaultParagraphFont"/>
    <w:uiPriority w:val="99"/>
    <w:semiHidden/>
    <w:unhideWhenUsed/>
    <w:rsid w:val="0088445B"/>
    <w:rPr>
      <w:color w:val="954F72" w:themeColor="followedHyperlink"/>
      <w:u w:val="single"/>
    </w:rPr>
  </w:style>
  <w:style w:type="paragraph" w:styleId="TOC9">
    <w:name w:val="toc 9"/>
    <w:basedOn w:val="Normal"/>
    <w:next w:val="Normal"/>
    <w:autoRedefine/>
    <w:uiPriority w:val="39"/>
    <w:unhideWhenUsed/>
    <w:rsid w:val="00AF3D39"/>
    <w:pPr>
      <w:spacing w:after="100"/>
      <w:ind w:left="1760"/>
    </w:pPr>
  </w:style>
  <w:style w:type="paragraph" w:styleId="Date">
    <w:name w:val="Date"/>
    <w:basedOn w:val="Normal"/>
    <w:next w:val="Normal"/>
    <w:link w:val="DateChar"/>
    <w:rsid w:val="000870B6"/>
    <w:pPr>
      <w:spacing w:before="1134" w:after="800"/>
      <w:ind w:left="4536"/>
    </w:pPr>
    <w:rPr>
      <w:rFonts w:ascii="Arial" w:eastAsia="Times New Roman" w:hAnsi="Arial" w:cs="Tahoma"/>
      <w:b/>
      <w:sz w:val="36"/>
      <w:lang w:eastAsia="en-AU"/>
    </w:rPr>
  </w:style>
  <w:style w:type="character" w:customStyle="1" w:styleId="DateChar">
    <w:name w:val="Date Char"/>
    <w:basedOn w:val="DefaultParagraphFont"/>
    <w:link w:val="Date"/>
    <w:rsid w:val="000870B6"/>
    <w:rPr>
      <w:rFonts w:ascii="Arial" w:eastAsia="Times New Roman" w:hAnsi="Arial" w:cs="Tahoma"/>
      <w:b/>
      <w:sz w:val="36"/>
      <w:lang w:eastAsia="en-AU"/>
    </w:rPr>
  </w:style>
  <w:style w:type="paragraph" w:customStyle="1" w:styleId="PublicationTitle">
    <w:name w:val="PublicationTitle"/>
    <w:basedOn w:val="Normal"/>
    <w:rsid w:val="000870B6"/>
    <w:pPr>
      <w:tabs>
        <w:tab w:val="left" w:pos="4536"/>
      </w:tabs>
      <w:spacing w:before="4536" w:after="800" w:line="480" w:lineRule="exact"/>
      <w:ind w:left="4536" w:right="113"/>
      <w:jc w:val="right"/>
    </w:pPr>
    <w:rPr>
      <w:rFonts w:ascii="Arial" w:eastAsia="Times New Roman" w:hAnsi="Arial" w:cs="Tahoma"/>
      <w:b/>
      <w:i/>
      <w:sz w:val="44"/>
      <w:lang w:eastAsia="en-AU"/>
    </w:rPr>
  </w:style>
  <w:style w:type="paragraph" w:customStyle="1" w:styleId="Sub-title">
    <w:name w:val="Sub-title"/>
    <w:basedOn w:val="Normal"/>
    <w:locked/>
    <w:rsid w:val="00401DBF"/>
    <w:pPr>
      <w:spacing w:before="1701"/>
      <w:ind w:left="4536"/>
    </w:pPr>
    <w:rPr>
      <w:rFonts w:ascii="Arial" w:eastAsia="Times New Roman" w:hAnsi="Arial" w:cs="Tahoma"/>
      <w:b/>
      <w:sz w:val="32"/>
      <w:lang w:eastAsia="en-AU"/>
    </w:rPr>
  </w:style>
  <w:style w:type="paragraph" w:customStyle="1" w:styleId="Nnumberedlist">
    <w:name w:val="Nnumbered list"/>
    <w:basedOn w:val="Normal"/>
    <w:rsid w:val="00AF3D39"/>
    <w:pPr>
      <w:numPr>
        <w:numId w:val="2"/>
      </w:numPr>
      <w:jc w:val="both"/>
    </w:pPr>
    <w:rPr>
      <w:rFonts w:ascii="Calibri" w:eastAsia="Times New Roman" w:hAnsi="Calibri" w:cs="Tahoma"/>
      <w:lang w:eastAsia="en-AU"/>
    </w:rPr>
  </w:style>
  <w:style w:type="paragraph" w:styleId="TOCHeading">
    <w:name w:val="TOC Heading"/>
    <w:basedOn w:val="Heading1"/>
    <w:next w:val="Normal"/>
    <w:uiPriority w:val="39"/>
    <w:unhideWhenUsed/>
    <w:qFormat/>
    <w:rsid w:val="00DE7099"/>
    <w:pPr>
      <w:numPr>
        <w:numId w:val="0"/>
      </w:numPr>
      <w:pBdr>
        <w:bottom w:val="none" w:sz="0" w:space="0" w:color="auto"/>
      </w:pBdr>
      <w:spacing w:before="240" w:after="0" w:line="259" w:lineRule="auto"/>
      <w:outlineLvl w:val="9"/>
    </w:pPr>
    <w:rPr>
      <w:rFonts w:asciiTheme="majorHAnsi" w:hAnsiTheme="majorHAnsi"/>
      <w:color w:val="2E74B5" w:themeColor="accent1" w:themeShade="BF"/>
      <w:sz w:val="32"/>
      <w:lang w:val="en-US"/>
    </w:rPr>
  </w:style>
  <w:style w:type="paragraph" w:styleId="TOC4">
    <w:name w:val="toc 4"/>
    <w:basedOn w:val="Normal"/>
    <w:next w:val="Normal"/>
    <w:autoRedefine/>
    <w:uiPriority w:val="39"/>
    <w:unhideWhenUsed/>
    <w:rsid w:val="00DE7099"/>
    <w:pPr>
      <w:spacing w:after="100"/>
      <w:ind w:left="660"/>
    </w:pPr>
    <w:rPr>
      <w:rFonts w:asciiTheme="minorHAnsi" w:eastAsiaTheme="minorEastAsia" w:hAnsiTheme="minorHAnsi"/>
      <w:lang w:eastAsia="en-AU"/>
    </w:rPr>
  </w:style>
  <w:style w:type="paragraph" w:styleId="TOC5">
    <w:name w:val="toc 5"/>
    <w:basedOn w:val="Normal"/>
    <w:next w:val="Normal"/>
    <w:autoRedefine/>
    <w:uiPriority w:val="39"/>
    <w:unhideWhenUsed/>
    <w:rsid w:val="00DE7099"/>
    <w:pPr>
      <w:spacing w:after="100"/>
      <w:ind w:left="880"/>
    </w:pPr>
    <w:rPr>
      <w:rFonts w:asciiTheme="minorHAnsi" w:eastAsiaTheme="minorEastAsia" w:hAnsiTheme="minorHAnsi"/>
      <w:lang w:eastAsia="en-AU"/>
    </w:rPr>
  </w:style>
  <w:style w:type="paragraph" w:styleId="TOC6">
    <w:name w:val="toc 6"/>
    <w:basedOn w:val="Normal"/>
    <w:next w:val="Normal"/>
    <w:autoRedefine/>
    <w:uiPriority w:val="39"/>
    <w:unhideWhenUsed/>
    <w:rsid w:val="00DE7099"/>
    <w:pPr>
      <w:spacing w:after="100"/>
      <w:ind w:left="1100"/>
    </w:pPr>
    <w:rPr>
      <w:rFonts w:asciiTheme="minorHAnsi" w:eastAsiaTheme="minorEastAsia" w:hAnsiTheme="minorHAnsi"/>
      <w:lang w:eastAsia="en-AU"/>
    </w:rPr>
  </w:style>
  <w:style w:type="paragraph" w:styleId="TOC7">
    <w:name w:val="toc 7"/>
    <w:basedOn w:val="Normal"/>
    <w:next w:val="Normal"/>
    <w:autoRedefine/>
    <w:uiPriority w:val="39"/>
    <w:unhideWhenUsed/>
    <w:rsid w:val="00DE7099"/>
    <w:pPr>
      <w:spacing w:after="100"/>
      <w:ind w:left="1320"/>
    </w:pPr>
    <w:rPr>
      <w:rFonts w:asciiTheme="minorHAnsi" w:eastAsiaTheme="minorEastAsia" w:hAnsiTheme="minorHAnsi"/>
      <w:lang w:eastAsia="en-AU"/>
    </w:rPr>
  </w:style>
  <w:style w:type="paragraph" w:styleId="TOC8">
    <w:name w:val="toc 8"/>
    <w:basedOn w:val="Normal"/>
    <w:next w:val="Normal"/>
    <w:autoRedefine/>
    <w:uiPriority w:val="39"/>
    <w:unhideWhenUsed/>
    <w:rsid w:val="00DE7099"/>
    <w:pPr>
      <w:spacing w:after="100"/>
      <w:ind w:left="1540"/>
    </w:pPr>
    <w:rPr>
      <w:rFonts w:asciiTheme="minorHAnsi" w:eastAsiaTheme="minorEastAsia" w:hAnsiTheme="minorHAnsi"/>
      <w:lang w:eastAsia="en-AU"/>
    </w:rPr>
  </w:style>
  <w:style w:type="paragraph" w:customStyle="1" w:styleId="In-tableHeading">
    <w:name w:val="In-table Heading"/>
    <w:qFormat/>
    <w:rsid w:val="000472D4"/>
    <w:pPr>
      <w:keepNext/>
      <w:spacing w:after="0" w:line="240" w:lineRule="auto"/>
    </w:pPr>
    <w:rPr>
      <w:rFonts w:ascii="Arial Narrow" w:eastAsiaTheme="majorEastAsia" w:hAnsi="Arial Narrow" w:cs="Times New Roman"/>
      <w:b/>
      <w:sz w:val="20"/>
      <w:szCs w:val="24"/>
      <w:lang w:val="en-US" w:eastAsia="en-AU"/>
    </w:rPr>
  </w:style>
  <w:style w:type="paragraph" w:customStyle="1" w:styleId="TableFigureFooter">
    <w:name w:val="Table/Figure Footer"/>
    <w:basedOn w:val="Normal"/>
    <w:link w:val="TableFigureFooterChar"/>
    <w:qFormat/>
    <w:rsid w:val="009A06F4"/>
    <w:pPr>
      <w:tabs>
        <w:tab w:val="left" w:pos="284"/>
      </w:tabs>
      <w:spacing w:after="360" w:line="240" w:lineRule="auto"/>
    </w:pPr>
    <w:rPr>
      <w:rFonts w:ascii="Arial Narrow" w:eastAsia="Times New Roman" w:hAnsi="Arial Narrow" w:cs="Arial"/>
      <w:snapToGrid w:val="0"/>
      <w:sz w:val="18"/>
      <w:lang w:eastAsia="en-AU"/>
    </w:rPr>
  </w:style>
  <w:style w:type="character" w:customStyle="1" w:styleId="TableFigureFooterChar">
    <w:name w:val="Table/Figure Footer Char"/>
    <w:link w:val="TableFigureFooter"/>
    <w:rsid w:val="009A06F4"/>
    <w:rPr>
      <w:rFonts w:ascii="Arial Narrow" w:eastAsia="Times New Roman" w:hAnsi="Arial Narrow" w:cs="Arial"/>
      <w:snapToGrid w:val="0"/>
      <w:sz w:val="18"/>
      <w:lang w:eastAsia="en-AU"/>
    </w:rPr>
  </w:style>
  <w:style w:type="character" w:styleId="Emphasis">
    <w:name w:val="Emphasis"/>
    <w:uiPriority w:val="20"/>
    <w:qFormat/>
    <w:rsid w:val="00566298"/>
    <w:rPr>
      <w:i/>
      <w:iCs/>
    </w:rPr>
  </w:style>
  <w:style w:type="paragraph" w:styleId="Header">
    <w:name w:val="header"/>
    <w:basedOn w:val="Normal"/>
    <w:link w:val="HeaderChar"/>
    <w:uiPriority w:val="99"/>
    <w:unhideWhenUsed/>
    <w:rsid w:val="00B62D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DF2"/>
    <w:rPr>
      <w:rFonts w:ascii="Franklin Gothic Book" w:hAnsi="Franklin Gothic Book"/>
    </w:rPr>
  </w:style>
  <w:style w:type="paragraph" w:styleId="Footer">
    <w:name w:val="footer"/>
    <w:basedOn w:val="Normal"/>
    <w:link w:val="FooterChar"/>
    <w:uiPriority w:val="99"/>
    <w:unhideWhenUsed/>
    <w:rsid w:val="00B62D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DF2"/>
    <w:rPr>
      <w:rFonts w:ascii="Franklin Gothic Book" w:hAnsi="Franklin Gothic Book"/>
    </w:rPr>
  </w:style>
  <w:style w:type="paragraph" w:customStyle="1" w:styleId="Tablenotes">
    <w:name w:val="Tablenotes"/>
    <w:basedOn w:val="Normal"/>
    <w:link w:val="TablenotesChar"/>
    <w:qFormat/>
    <w:rsid w:val="00242F4E"/>
    <w:pPr>
      <w:widowControl w:val="0"/>
      <w:spacing w:after="120" w:line="240" w:lineRule="auto"/>
      <w:contextualSpacing/>
    </w:pPr>
    <w:rPr>
      <w:rFonts w:ascii="Arial Narrow" w:eastAsia="Times New Roman" w:hAnsi="Arial Narrow" w:cs="Arial"/>
      <w:snapToGrid w:val="0"/>
      <w:sz w:val="18"/>
      <w:szCs w:val="20"/>
    </w:rPr>
  </w:style>
  <w:style w:type="character" w:customStyle="1" w:styleId="TablenotesChar">
    <w:name w:val="Tablenotes Char"/>
    <w:basedOn w:val="DefaultParagraphFont"/>
    <w:link w:val="Tablenotes"/>
    <w:rsid w:val="00242F4E"/>
    <w:rPr>
      <w:rFonts w:ascii="Arial Narrow" w:eastAsia="Times New Roman" w:hAnsi="Arial Narrow" w:cs="Arial"/>
      <w:snapToGrid w:val="0"/>
      <w:sz w:val="18"/>
      <w:szCs w:val="20"/>
    </w:rPr>
  </w:style>
  <w:style w:type="character" w:customStyle="1" w:styleId="ListParagraphChar">
    <w:name w:val="List Paragraph Char"/>
    <w:basedOn w:val="DefaultParagraphFont"/>
    <w:link w:val="ListParagraph"/>
    <w:uiPriority w:val="34"/>
    <w:rsid w:val="00A454B3"/>
    <w:rPr>
      <w:rFonts w:ascii="Franklin Gothic Book" w:hAnsi="Franklin Gothic Book"/>
    </w:rPr>
  </w:style>
  <w:style w:type="table" w:customStyle="1" w:styleId="TableGridLight1">
    <w:name w:val="Table Grid Light1"/>
    <w:basedOn w:val="TableNormal"/>
    <w:uiPriority w:val="40"/>
    <w:rsid w:val="00BA59FB"/>
    <w:pPr>
      <w:spacing w:after="0" w:line="240" w:lineRule="auto"/>
    </w:pPr>
    <w:rPr>
      <w:lang w:val="en-US"/>
    </w:rPr>
    <w:tblPr/>
  </w:style>
  <w:style w:type="paragraph" w:customStyle="1" w:styleId="Bullet">
    <w:name w:val="Bullet"/>
    <w:basedOn w:val="Normal"/>
    <w:qFormat/>
    <w:rsid w:val="00BA59FB"/>
    <w:pPr>
      <w:numPr>
        <w:numId w:val="3"/>
      </w:numPr>
      <w:spacing w:after="120" w:line="240" w:lineRule="auto"/>
    </w:pPr>
    <w:rPr>
      <w:rFonts w:asciiTheme="minorHAnsi" w:hAnsiTheme="minorHAnsi"/>
    </w:rPr>
  </w:style>
  <w:style w:type="paragraph" w:customStyle="1" w:styleId="TableFigureHeading">
    <w:name w:val="Table/Figure Heading"/>
    <w:next w:val="In-tableHeading"/>
    <w:link w:val="TableFigureHeadingChar"/>
    <w:qFormat/>
    <w:rsid w:val="00F257B5"/>
    <w:pPr>
      <w:keepNext/>
      <w:spacing w:after="0" w:line="240" w:lineRule="auto"/>
    </w:pPr>
    <w:rPr>
      <w:rFonts w:ascii="Arial Narrow" w:eastAsiaTheme="majorEastAsia" w:hAnsi="Arial Narrow" w:cstheme="majorBidi"/>
      <w:b/>
      <w:bCs/>
      <w:sz w:val="20"/>
      <w:szCs w:val="24"/>
      <w:lang w:eastAsia="en-AU"/>
    </w:rPr>
  </w:style>
  <w:style w:type="character" w:customStyle="1" w:styleId="TableFigureHeadingChar">
    <w:name w:val="Table/Figure Heading Char"/>
    <w:basedOn w:val="DefaultParagraphFont"/>
    <w:link w:val="TableFigureHeading"/>
    <w:rsid w:val="00F257B5"/>
    <w:rPr>
      <w:rFonts w:ascii="Arial Narrow" w:eastAsiaTheme="majorEastAsia" w:hAnsi="Arial Narrow" w:cstheme="majorBidi"/>
      <w:b/>
      <w:bCs/>
      <w:sz w:val="20"/>
      <w:szCs w:val="24"/>
      <w:lang w:eastAsia="en-AU"/>
    </w:rPr>
  </w:style>
  <w:style w:type="paragraph" w:customStyle="1" w:styleId="Tabletext0">
    <w:name w:val="Table text"/>
    <w:basedOn w:val="Normal"/>
    <w:link w:val="TabletextChar0"/>
    <w:qFormat/>
    <w:rsid w:val="001B2CD4"/>
    <w:pPr>
      <w:spacing w:before="40" w:after="40" w:line="240" w:lineRule="auto"/>
      <w:jc w:val="both"/>
    </w:pPr>
    <w:rPr>
      <w:rFonts w:ascii="Arial Narrow" w:eastAsia="Times New Roman" w:hAnsi="Arial Narrow" w:cs="Tahoma"/>
      <w:sz w:val="20"/>
      <w:szCs w:val="20"/>
      <w:lang w:eastAsia="en-AU"/>
    </w:rPr>
  </w:style>
  <w:style w:type="character" w:customStyle="1" w:styleId="TabletextChar0">
    <w:name w:val="Table text Char"/>
    <w:link w:val="Tabletext0"/>
    <w:rsid w:val="001B2CD4"/>
    <w:rPr>
      <w:rFonts w:ascii="Arial Narrow" w:eastAsia="Times New Roman" w:hAnsi="Arial Narrow" w:cs="Tahoma"/>
      <w:sz w:val="20"/>
      <w:szCs w:val="20"/>
      <w:lang w:eastAsia="en-AU"/>
    </w:rPr>
  </w:style>
  <w:style w:type="paragraph" w:customStyle="1" w:styleId="Tablenotes0">
    <w:name w:val="Table notes"/>
    <w:basedOn w:val="Normal"/>
    <w:link w:val="TablenotesChar0"/>
    <w:qFormat/>
    <w:rsid w:val="001B2CD4"/>
    <w:pPr>
      <w:spacing w:after="240"/>
      <w:contextualSpacing/>
      <w:jc w:val="both"/>
    </w:pPr>
    <w:rPr>
      <w:rFonts w:ascii="Arial Narrow" w:hAnsi="Arial Narrow" w:cs="Arial"/>
      <w:sz w:val="18"/>
    </w:rPr>
  </w:style>
  <w:style w:type="character" w:customStyle="1" w:styleId="TablenotesChar0">
    <w:name w:val="Table notes Char"/>
    <w:basedOn w:val="DefaultParagraphFont"/>
    <w:link w:val="Tablenotes0"/>
    <w:rsid w:val="001B2CD4"/>
    <w:rPr>
      <w:rFonts w:ascii="Arial Narrow" w:hAnsi="Arial Narrow" w:cs="Arial"/>
      <w:sz w:val="18"/>
    </w:rPr>
  </w:style>
  <w:style w:type="numbering" w:customStyle="1" w:styleId="ESSectionheading-numbered">
    <w:name w:val="ES. Section heading - numbered"/>
    <w:uiPriority w:val="99"/>
    <w:rsid w:val="002A4084"/>
    <w:pPr>
      <w:numPr>
        <w:numId w:val="4"/>
      </w:numPr>
    </w:pPr>
  </w:style>
  <w:style w:type="paragraph" w:customStyle="1" w:styleId="2-SectionHeading">
    <w:name w:val="2-Section Heading"/>
    <w:qFormat/>
    <w:rsid w:val="005131D3"/>
    <w:pPr>
      <w:keepNext/>
      <w:numPr>
        <w:numId w:val="5"/>
      </w:numPr>
      <w:spacing w:before="240" w:after="120" w:line="240" w:lineRule="auto"/>
      <w:outlineLvl w:val="0"/>
    </w:pPr>
    <w:rPr>
      <w:rFonts w:eastAsia="Times New Roman" w:cs="Arial"/>
      <w:b/>
      <w:snapToGrid w:val="0"/>
      <w:sz w:val="32"/>
      <w:szCs w:val="32"/>
      <w:lang w:eastAsia="en-AU"/>
    </w:rPr>
  </w:style>
  <w:style w:type="paragraph" w:customStyle="1" w:styleId="3-BodyText">
    <w:name w:val="3-Body Text"/>
    <w:basedOn w:val="ListParagraph"/>
    <w:qFormat/>
    <w:rsid w:val="005131D3"/>
    <w:pPr>
      <w:numPr>
        <w:ilvl w:val="1"/>
        <w:numId w:val="5"/>
      </w:numPr>
      <w:spacing w:after="120" w:line="240" w:lineRule="auto"/>
      <w:contextualSpacing w:val="0"/>
      <w:jc w:val="both"/>
    </w:pPr>
    <w:rPr>
      <w:rFonts w:asciiTheme="minorHAnsi" w:eastAsia="Times New Roman" w:hAnsiTheme="minorHAnsi" w:cs="Arial"/>
      <w:snapToGrid w:val="0"/>
      <w:sz w:val="24"/>
      <w:szCs w:val="24"/>
      <w:lang w:eastAsia="en-AU"/>
    </w:rPr>
  </w:style>
  <w:style w:type="paragraph" w:customStyle="1" w:styleId="BoxName">
    <w:name w:val="Box Name"/>
    <w:basedOn w:val="Normal"/>
    <w:qFormat/>
    <w:rsid w:val="002B667C"/>
    <w:pPr>
      <w:pBdr>
        <w:top w:val="single" w:sz="4" w:space="4" w:color="auto"/>
        <w:left w:val="single" w:sz="4" w:space="4" w:color="auto"/>
        <w:bottom w:val="single" w:sz="4" w:space="4" w:color="auto"/>
        <w:right w:val="single" w:sz="4" w:space="4" w:color="auto"/>
      </w:pBdr>
      <w:spacing w:after="120" w:line="240" w:lineRule="auto"/>
    </w:pPr>
    <w:rPr>
      <w:rFonts w:ascii="Franklin Gothic Medium" w:hAnsi="Franklin Gothic Medium"/>
      <w:sz w:val="21"/>
    </w:rPr>
  </w:style>
  <w:style w:type="character" w:customStyle="1" w:styleId="InstructionBulletpointChar">
    <w:name w:val="Instruction Bullet point Char"/>
    <w:basedOn w:val="DefaultParagraphFont"/>
    <w:link w:val="InstructionBulletpoint"/>
    <w:uiPriority w:val="3"/>
    <w:locked/>
    <w:rsid w:val="00107DCD"/>
    <w:rPr>
      <w:rFonts w:ascii="Calibri" w:hAnsi="Calibri" w:cs="Calibri"/>
      <w:color w:val="0070C0"/>
      <w:sz w:val="24"/>
    </w:rPr>
  </w:style>
  <w:style w:type="paragraph" w:customStyle="1" w:styleId="InstructionBulletpoint">
    <w:name w:val="Instruction Bullet point"/>
    <w:basedOn w:val="Normal"/>
    <w:link w:val="InstructionBulletpointChar"/>
    <w:uiPriority w:val="3"/>
    <w:qFormat/>
    <w:rsid w:val="00107DCD"/>
    <w:pPr>
      <w:numPr>
        <w:numId w:val="6"/>
      </w:numPr>
      <w:spacing w:after="120" w:line="240" w:lineRule="auto"/>
      <w:ind w:left="714" w:hanging="357"/>
    </w:pPr>
    <w:rPr>
      <w:rFonts w:ascii="Calibri" w:hAnsi="Calibri" w:cs="Calibri"/>
      <w:color w:val="0070C0"/>
      <w:sz w:val="24"/>
    </w:rPr>
  </w:style>
  <w:style w:type="character" w:customStyle="1" w:styleId="TableFooterChar">
    <w:name w:val="Table Footer Char"/>
    <w:link w:val="TableFooter"/>
    <w:locked/>
    <w:rsid w:val="007B0880"/>
    <w:rPr>
      <w:rFonts w:ascii="Arial Narrow" w:eastAsia="Times New Roman" w:hAnsi="Arial Narrow" w:cs="Arial"/>
      <w:sz w:val="18"/>
      <w:szCs w:val="20"/>
    </w:rPr>
  </w:style>
  <w:style w:type="paragraph" w:customStyle="1" w:styleId="TableFooter">
    <w:name w:val="Table Footer"/>
    <w:basedOn w:val="Normal"/>
    <w:link w:val="TableFooterChar"/>
    <w:qFormat/>
    <w:rsid w:val="007B0880"/>
    <w:pPr>
      <w:widowControl w:val="0"/>
      <w:snapToGrid w:val="0"/>
      <w:spacing w:after="240" w:line="240" w:lineRule="auto"/>
      <w:contextualSpacing/>
      <w:jc w:val="both"/>
    </w:pPr>
    <w:rPr>
      <w:rFonts w:ascii="Arial Narrow" w:eastAsia="Times New Roman" w:hAnsi="Arial Narrow" w:cs="Arial"/>
      <w:sz w:val="18"/>
      <w:szCs w:val="20"/>
    </w:rPr>
  </w:style>
  <w:style w:type="table" w:customStyle="1" w:styleId="PBACTableStyle">
    <w:name w:val="PBAC Table Style"/>
    <w:basedOn w:val="TableGrid10"/>
    <w:uiPriority w:val="99"/>
    <w:rsid w:val="007B0880"/>
    <w:pPr>
      <w:widowControl w:val="0"/>
      <w:spacing w:before="120" w:after="0" w:line="240" w:lineRule="auto"/>
      <w:contextualSpacing/>
      <w:jc w:val="center"/>
    </w:pPr>
    <w:rPr>
      <w:rFonts w:ascii="Arial Narrow" w:hAnsi="Arial Narrow"/>
      <w:color w:val="000000" w:themeColor="text1"/>
      <w:sz w:val="20"/>
      <w:szCs w:val="20"/>
      <w:lang w:val="en-US" w:eastAsia="en-AU"/>
    </w:rPr>
    <w:tblPr/>
    <w:tblStylePr w:type="firstRow">
      <w:pPr>
        <w:wordWrap/>
        <w:spacing w:beforeLines="0" w:before="100" w:beforeAutospacing="1" w:afterLines="0" w:after="100" w:afterAutospacing="1" w:line="240" w:lineRule="auto"/>
        <w:ind w:leftChars="0" w:left="0" w:rightChars="0" w:right="0" w:firstLineChars="0" w:firstLine="0"/>
        <w:contextualSpacing/>
        <w:jc w:val="center"/>
      </w:pPr>
      <w:rPr>
        <w:rFonts w:ascii="Montserrat" w:hAnsi="Montserrat" w:hint="default"/>
        <w:b/>
        <w:sz w:val="20"/>
        <w:szCs w:val="20"/>
      </w:rPr>
    </w:tblStylePr>
    <w:tblStylePr w:type="lastRow">
      <w:rPr>
        <w:i/>
        <w:iCs/>
      </w:rPr>
    </w:tblStylePr>
    <w:tblStylePr w:type="firstCol">
      <w:pPr>
        <w:wordWrap/>
        <w:spacing w:beforeLines="0" w:before="100" w:beforeAutospacing="1" w:afterLines="0" w:after="100" w:afterAutospacing="1" w:line="240" w:lineRule="auto"/>
        <w:ind w:leftChars="0" w:left="0" w:rightChars="0" w:right="0"/>
        <w:contextualSpacing/>
        <w:jc w:val="left"/>
      </w:pPr>
      <w:rPr>
        <w:rFonts w:ascii="Montserrat" w:hAnsi="Montserrat" w:hint="default"/>
        <w:sz w:val="20"/>
        <w:szCs w:val="20"/>
      </w:rPr>
    </w:tblStylePr>
    <w:tblStylePr w:type="lastCol">
      <w:pPr>
        <w:wordWrap/>
        <w:spacing w:beforeLines="0" w:before="100" w:beforeAutospacing="1" w:afterLines="0" w:after="100" w:afterAutospacing="1" w:line="240" w:lineRule="auto"/>
        <w:ind w:leftChars="0" w:left="0" w:rightChars="0" w:right="0" w:firstLineChars="0" w:firstLine="0"/>
        <w:contextualSpacing/>
      </w:pPr>
      <w:rPr>
        <w:rFonts w:ascii="Montserrat" w:hAnsi="Montserrat" w:hint="default"/>
        <w:i/>
        <w:iCs/>
        <w:sz w:val="20"/>
        <w:szCs w:val="20"/>
      </w:rPr>
    </w:tblStylePr>
  </w:style>
  <w:style w:type="table" w:styleId="TableGrid10">
    <w:name w:val="Table Grid 1"/>
    <w:basedOn w:val="TableNormal"/>
    <w:uiPriority w:val="99"/>
    <w:semiHidden/>
    <w:unhideWhenUsed/>
    <w:rsid w:val="007B0880"/>
    <w:tblPr/>
    <w:tblStylePr w:type="lastRow">
      <w:rPr>
        <w:i/>
        <w:iCs/>
      </w:rPr>
    </w:tblStylePr>
    <w:tblStylePr w:type="lastCol">
      <w:rPr>
        <w:i/>
        <w:iCs/>
      </w:rPr>
    </w:tblStylePr>
  </w:style>
  <w:style w:type="character" w:customStyle="1" w:styleId="MSACESParagraphChar">
    <w:name w:val="MSAC ES Paragraph Char"/>
    <w:basedOn w:val="DefaultParagraphFont"/>
    <w:link w:val="MSACESParagraph"/>
    <w:uiPriority w:val="1"/>
    <w:locked/>
    <w:rsid w:val="000B720C"/>
    <w:rPr>
      <w:rFonts w:ascii="Times New Roman" w:hAnsi="Times New Roman" w:cs="Times New Roman"/>
      <w:sz w:val="24"/>
    </w:rPr>
  </w:style>
  <w:style w:type="paragraph" w:customStyle="1" w:styleId="MSACESParagraph">
    <w:name w:val="MSAC ES Paragraph"/>
    <w:link w:val="MSACESParagraphChar"/>
    <w:uiPriority w:val="1"/>
    <w:qFormat/>
    <w:rsid w:val="000B720C"/>
    <w:pPr>
      <w:spacing w:after="240" w:line="240" w:lineRule="auto"/>
    </w:pPr>
    <w:rPr>
      <w:rFonts w:ascii="Times New Roman" w:hAnsi="Times New Roman" w:cs="Times New Roman"/>
      <w:sz w:val="24"/>
    </w:rPr>
  </w:style>
  <w:style w:type="paragraph" w:styleId="FootnoteText">
    <w:name w:val="footnote text"/>
    <w:basedOn w:val="Normal"/>
    <w:link w:val="FootnoteTextChar"/>
    <w:uiPriority w:val="99"/>
    <w:unhideWhenUsed/>
    <w:rsid w:val="00804632"/>
    <w:pPr>
      <w:spacing w:after="0" w:line="240" w:lineRule="auto"/>
    </w:pPr>
    <w:rPr>
      <w:rFonts w:asciiTheme="minorHAnsi" w:hAnsiTheme="minorHAnsi"/>
      <w:sz w:val="18"/>
      <w:szCs w:val="20"/>
    </w:rPr>
  </w:style>
  <w:style w:type="character" w:customStyle="1" w:styleId="FootnoteTextChar">
    <w:name w:val="Footnote Text Char"/>
    <w:basedOn w:val="DefaultParagraphFont"/>
    <w:link w:val="FootnoteText"/>
    <w:uiPriority w:val="99"/>
    <w:rsid w:val="00804632"/>
    <w:rPr>
      <w:sz w:val="18"/>
      <w:szCs w:val="20"/>
    </w:rPr>
  </w:style>
  <w:style w:type="character" w:styleId="FootnoteReference">
    <w:name w:val="footnote reference"/>
    <w:basedOn w:val="DefaultParagraphFont"/>
    <w:uiPriority w:val="99"/>
    <w:unhideWhenUsed/>
    <w:rsid w:val="00804632"/>
    <w:rPr>
      <w:vertAlign w:val="superscript"/>
    </w:rPr>
  </w:style>
  <w:style w:type="paragraph" w:customStyle="1" w:styleId="TableFigNoteHanging">
    <w:name w:val="TableFigNoteHanging"/>
    <w:basedOn w:val="TableFigNoteHangingLast"/>
    <w:qFormat/>
    <w:rsid w:val="00804632"/>
    <w:pPr>
      <w:spacing w:after="0"/>
      <w:contextualSpacing w:val="0"/>
    </w:pPr>
    <w:rPr>
      <w:rFonts w:asciiTheme="minorHAnsi" w:hAnsiTheme="minorHAnsi"/>
    </w:rPr>
  </w:style>
  <w:style w:type="table" w:customStyle="1" w:styleId="TableGrid2">
    <w:name w:val="Table Grid2"/>
    <w:basedOn w:val="TableNormal"/>
    <w:next w:val="TableGrid"/>
    <w:uiPriority w:val="59"/>
    <w:rsid w:val="00804632"/>
    <w:pPr>
      <w:spacing w:after="240" w:line="240" w:lineRule="auto"/>
      <w:ind w:left="720"/>
    </w:pPr>
    <w:rPr>
      <w:rFonts w:ascii="Times New Roman" w:eastAsia="Times New Roman" w:hAnsi="Times New Roman" w:cs="Times New Roman"/>
      <w:sz w:val="20"/>
      <w:szCs w:val="20"/>
      <w:lang w:eastAsia="en-AU"/>
    </w:rPr>
    <w:tblPr/>
  </w:style>
  <w:style w:type="paragraph" w:customStyle="1" w:styleId="Summaryboxheading">
    <w:name w:val="Summary box heading"/>
    <w:basedOn w:val="Normal"/>
    <w:rsid w:val="00666A58"/>
    <w:pPr>
      <w:spacing w:after="100" w:afterAutospacing="1"/>
      <w:jc w:val="both"/>
    </w:pPr>
    <w:rPr>
      <w:rFonts w:ascii="Arial Narrow" w:eastAsia="Times New Roman" w:hAnsi="Arial Narrow" w:cs="Tahoma"/>
      <w:b/>
      <w:lang w:eastAsia="en-AU"/>
    </w:rPr>
  </w:style>
  <w:style w:type="paragraph" w:customStyle="1" w:styleId="TableText1">
    <w:name w:val="TableText"/>
    <w:basedOn w:val="Normal"/>
    <w:link w:val="TableTextChar1"/>
    <w:rsid w:val="001C2A48"/>
    <w:pPr>
      <w:keepNext/>
      <w:spacing w:before="40" w:after="40"/>
      <w:jc w:val="both"/>
    </w:pPr>
    <w:rPr>
      <w:rFonts w:ascii="Arial Narrow" w:eastAsia="Times New Roman" w:hAnsi="Arial Narrow" w:cs="Tahoma"/>
      <w:sz w:val="18"/>
      <w:lang w:eastAsia="en-AU"/>
    </w:rPr>
  </w:style>
  <w:style w:type="character" w:customStyle="1" w:styleId="TableTextChar1">
    <w:name w:val="TableText Char"/>
    <w:link w:val="TableText1"/>
    <w:rsid w:val="001C2A48"/>
    <w:rPr>
      <w:rFonts w:ascii="Arial Narrow" w:eastAsia="Times New Roman" w:hAnsi="Arial Narrow" w:cs="Tahoma"/>
      <w:sz w:val="18"/>
      <w:lang w:eastAsia="en-AU"/>
    </w:rPr>
  </w:style>
  <w:style w:type="paragraph" w:customStyle="1" w:styleId="References">
    <w:name w:val="References"/>
    <w:basedOn w:val="Normal"/>
    <w:rsid w:val="001C2A48"/>
    <w:pPr>
      <w:keepLines/>
      <w:spacing w:after="240" w:line="312" w:lineRule="auto"/>
      <w:ind w:left="1440" w:hanging="720"/>
    </w:pPr>
    <w:rPr>
      <w:rFonts w:ascii="Calibri" w:eastAsia="Times New Roman" w:hAnsi="Calibri" w:cs="Tahoma"/>
      <w:lang w:eastAsia="en-AU"/>
    </w:rPr>
  </w:style>
  <w:style w:type="paragraph" w:styleId="Title">
    <w:name w:val="Title"/>
    <w:basedOn w:val="Normal"/>
    <w:next w:val="Normal"/>
    <w:link w:val="TitleChar"/>
    <w:qFormat/>
    <w:rsid w:val="00772829"/>
    <w:pPr>
      <w:spacing w:before="480" w:after="240" w:line="240" w:lineRule="auto"/>
      <w:jc w:val="center"/>
    </w:pPr>
    <w:rPr>
      <w:rFonts w:ascii="Arial" w:eastAsia="Times New Roman" w:hAnsi="Arial" w:cs="Arial"/>
      <w:b/>
      <w:bCs/>
      <w:color w:val="000080"/>
      <w:sz w:val="36"/>
      <w:szCs w:val="36"/>
      <w:lang w:eastAsia="en-AU"/>
    </w:rPr>
  </w:style>
  <w:style w:type="character" w:customStyle="1" w:styleId="TitleChar">
    <w:name w:val="Title Char"/>
    <w:basedOn w:val="DefaultParagraphFont"/>
    <w:link w:val="Title"/>
    <w:rsid w:val="00772829"/>
    <w:rPr>
      <w:rFonts w:ascii="Arial" w:eastAsia="Times New Roman" w:hAnsi="Arial" w:cs="Arial"/>
      <w:b/>
      <w:bCs/>
      <w:color w:val="000080"/>
      <w:sz w:val="36"/>
      <w:szCs w:val="36"/>
      <w:lang w:eastAsia="en-AU"/>
    </w:rPr>
  </w:style>
  <w:style w:type="paragraph" w:styleId="Subtitle">
    <w:name w:val="Subtitle"/>
    <w:basedOn w:val="Normal"/>
    <w:next w:val="Normal"/>
    <w:link w:val="SubtitleChar"/>
    <w:qFormat/>
    <w:rsid w:val="00772829"/>
    <w:pPr>
      <w:spacing w:after="240" w:line="240" w:lineRule="auto"/>
      <w:jc w:val="center"/>
    </w:pPr>
    <w:rPr>
      <w:rFonts w:ascii="Arial" w:eastAsia="Times New Roman" w:hAnsi="Arial" w:cs="Arial"/>
      <w:b/>
      <w:bCs/>
      <w:i/>
      <w:color w:val="000080"/>
      <w:sz w:val="28"/>
      <w:szCs w:val="28"/>
      <w:lang w:eastAsia="en-AU"/>
    </w:rPr>
  </w:style>
  <w:style w:type="character" w:customStyle="1" w:styleId="SubtitleChar">
    <w:name w:val="Subtitle Char"/>
    <w:basedOn w:val="DefaultParagraphFont"/>
    <w:link w:val="Subtitle"/>
    <w:rsid w:val="00772829"/>
    <w:rPr>
      <w:rFonts w:ascii="Arial" w:eastAsia="Times New Roman" w:hAnsi="Arial" w:cs="Arial"/>
      <w:b/>
      <w:bCs/>
      <w:i/>
      <w:color w:val="000080"/>
      <w:sz w:val="28"/>
      <w:szCs w:val="28"/>
      <w:lang w:eastAsia="en-AU"/>
    </w:rPr>
  </w:style>
  <w:style w:type="paragraph" w:customStyle="1" w:styleId="ESHeading1">
    <w:name w:val="ES Heading1"/>
    <w:basedOn w:val="Heading2"/>
    <w:next w:val="Normal"/>
    <w:qFormat/>
    <w:rsid w:val="002C70CE"/>
    <w:pPr>
      <w:numPr>
        <w:ilvl w:val="0"/>
        <w:numId w:val="7"/>
      </w:numPr>
      <w:spacing w:before="240"/>
      <w:ind w:left="2154" w:hanging="357"/>
    </w:pPr>
  </w:style>
  <w:style w:type="paragraph" w:customStyle="1" w:styleId="NormalBeforeBullet">
    <w:name w:val="Normal Before Bullet"/>
    <w:basedOn w:val="Normal"/>
    <w:qFormat/>
    <w:rsid w:val="00091C59"/>
    <w:pPr>
      <w:keepNext/>
      <w:spacing w:after="120" w:line="240" w:lineRule="auto"/>
    </w:pPr>
    <w:rPr>
      <w:rFonts w:asciiTheme="minorHAnsi" w:hAnsiTheme="minorHAnsi"/>
    </w:rPr>
  </w:style>
  <w:style w:type="paragraph" w:customStyle="1" w:styleId="Dash">
    <w:name w:val="Dash"/>
    <w:basedOn w:val="Bullet"/>
    <w:qFormat/>
    <w:rsid w:val="00091C59"/>
    <w:pPr>
      <w:numPr>
        <w:numId w:val="8"/>
      </w:numPr>
      <w:spacing w:after="40"/>
      <w:ind w:left="714" w:hanging="357"/>
    </w:pPr>
  </w:style>
  <w:style w:type="paragraph" w:customStyle="1" w:styleId="Instructionaltext">
    <w:name w:val="Instructional text"/>
    <w:basedOn w:val="Normal"/>
    <w:link w:val="InstructionaltextChar"/>
    <w:qFormat/>
    <w:rsid w:val="00E436A2"/>
    <w:rPr>
      <w:color w:val="258221"/>
    </w:rPr>
  </w:style>
  <w:style w:type="character" w:customStyle="1" w:styleId="UnresolvedMention1">
    <w:name w:val="Unresolved Mention1"/>
    <w:basedOn w:val="DefaultParagraphFont"/>
    <w:uiPriority w:val="99"/>
    <w:semiHidden/>
    <w:unhideWhenUsed/>
    <w:rsid w:val="00997BA8"/>
    <w:rPr>
      <w:color w:val="605E5C"/>
      <w:shd w:val="clear" w:color="auto" w:fill="E1DFDD"/>
    </w:rPr>
  </w:style>
  <w:style w:type="character" w:customStyle="1" w:styleId="InstructionaltextChar">
    <w:name w:val="Instructional text Char"/>
    <w:basedOn w:val="DefaultParagraphFont"/>
    <w:link w:val="Instructionaltext"/>
    <w:rsid w:val="00DF39E9"/>
    <w:rPr>
      <w:rFonts w:ascii="Franklin Gothic Book" w:hAnsi="Franklin Gothic Book"/>
      <w:color w:val="258221"/>
    </w:rPr>
  </w:style>
  <w:style w:type="paragraph" w:customStyle="1" w:styleId="Instructionaltext-bullet">
    <w:name w:val="Instructional text - bullet"/>
    <w:basedOn w:val="Instructionaltext"/>
    <w:qFormat/>
    <w:rsid w:val="002463A6"/>
    <w:pPr>
      <w:numPr>
        <w:numId w:val="9"/>
      </w:numPr>
      <w:spacing w:before="0" w:after="0"/>
      <w:ind w:left="714" w:hanging="357"/>
    </w:pPr>
  </w:style>
  <w:style w:type="paragraph" w:customStyle="1" w:styleId="Instructionaltext-afterfiguretable">
    <w:name w:val="Instructional text - after figure/table"/>
    <w:basedOn w:val="Instructionaltext"/>
    <w:qFormat/>
    <w:rsid w:val="00B151CF"/>
    <w:pPr>
      <w:spacing w:before="360"/>
    </w:pPr>
  </w:style>
  <w:style w:type="paragraph" w:customStyle="1" w:styleId="Guidelinescross-ref">
    <w:name w:val="Guidelines cross-ref"/>
    <w:basedOn w:val="Normal"/>
    <w:qFormat/>
    <w:rsid w:val="005B7D6C"/>
    <w:pPr>
      <w:spacing w:before="240" w:after="240"/>
    </w:pPr>
    <w:rPr>
      <w:b/>
      <w:color w:val="0070C0"/>
      <w:sz w:val="24"/>
    </w:rPr>
  </w:style>
  <w:style w:type="paragraph" w:styleId="Revision">
    <w:name w:val="Revision"/>
    <w:hidden/>
    <w:uiPriority w:val="99"/>
    <w:semiHidden/>
    <w:rsid w:val="00610ABA"/>
    <w:pPr>
      <w:spacing w:after="0" w:line="240" w:lineRule="auto"/>
    </w:pPr>
    <w:rPr>
      <w:rFonts w:ascii="Franklin Gothic Book" w:hAnsi="Franklin Gothic Book"/>
    </w:rPr>
  </w:style>
  <w:style w:type="character" w:customStyle="1" w:styleId="UnresolvedMention2">
    <w:name w:val="Unresolved Mention2"/>
    <w:basedOn w:val="DefaultParagraphFont"/>
    <w:uiPriority w:val="99"/>
    <w:semiHidden/>
    <w:unhideWhenUsed/>
    <w:rsid w:val="00223664"/>
    <w:rPr>
      <w:color w:val="605E5C"/>
      <w:shd w:val="clear" w:color="auto" w:fill="E1DFDD"/>
    </w:rPr>
  </w:style>
  <w:style w:type="paragraph" w:customStyle="1" w:styleId="MSACESBulletPoint">
    <w:name w:val="MSAC ES Bullet Point"/>
    <w:basedOn w:val="MSACESParagraph"/>
    <w:link w:val="MSACESBulletPointChar"/>
    <w:uiPriority w:val="1"/>
    <w:rsid w:val="003162AA"/>
    <w:pPr>
      <w:numPr>
        <w:numId w:val="11"/>
      </w:numPr>
      <w:spacing w:before="120" w:after="120"/>
      <w:ind w:left="714" w:hanging="357"/>
    </w:pPr>
  </w:style>
  <w:style w:type="character" w:customStyle="1" w:styleId="MSACESBulletPointChar">
    <w:name w:val="MSAC ES Bullet Point Char"/>
    <w:basedOn w:val="MSACESParagraphChar"/>
    <w:link w:val="MSACESBulletPoint"/>
    <w:uiPriority w:val="1"/>
    <w:rsid w:val="003162AA"/>
    <w:rPr>
      <w:rFonts w:ascii="Times New Roman" w:hAnsi="Times New Roman" w:cs="Times New Roman"/>
      <w:sz w:val="24"/>
    </w:rPr>
  </w:style>
  <w:style w:type="character" w:styleId="UnresolvedMention">
    <w:name w:val="Unresolved Mention"/>
    <w:basedOn w:val="DefaultParagraphFont"/>
    <w:uiPriority w:val="99"/>
    <w:semiHidden/>
    <w:unhideWhenUsed/>
    <w:rsid w:val="00B617EE"/>
    <w:rPr>
      <w:color w:val="605E5C"/>
      <w:shd w:val="clear" w:color="auto" w:fill="E1DFDD"/>
    </w:rPr>
  </w:style>
  <w:style w:type="paragraph" w:customStyle="1" w:styleId="ESHeading3">
    <w:name w:val="ES Heading 3"/>
    <w:basedOn w:val="Normal"/>
    <w:uiPriority w:val="8"/>
    <w:semiHidden/>
    <w:rsid w:val="000D06EC"/>
    <w:pPr>
      <w:keepNext/>
      <w:keepLines/>
      <w:spacing w:before="360" w:after="120" w:line="240" w:lineRule="auto"/>
      <w:ind w:left="1080" w:hanging="1080"/>
      <w:outlineLvl w:val="1"/>
    </w:pPr>
    <w:rPr>
      <w:rFonts w:asciiTheme="majorHAnsi" w:eastAsiaTheme="majorEastAsia" w:hAnsiTheme="majorHAnsi" w:cstheme="majorBidi"/>
      <w:b/>
      <w:snapToGrid w:val="0"/>
      <w:sz w:val="24"/>
      <w:szCs w:val="28"/>
    </w:rPr>
  </w:style>
  <w:style w:type="table" w:customStyle="1" w:styleId="ASDTable1">
    <w:name w:val="ASD Table1"/>
    <w:basedOn w:val="TableNormal"/>
    <w:next w:val="TableGrid"/>
    <w:uiPriority w:val="39"/>
    <w:rsid w:val="00A571E7"/>
    <w:pPr>
      <w:spacing w:after="0" w:line="240" w:lineRule="auto"/>
    </w:pPr>
    <w:rPr>
      <w:rFonts w:ascii="Times New Roman" w:eastAsia="Times New Roman" w:hAnsi="Times New Roman" w:cs="Times New Roman"/>
      <w:sz w:val="20"/>
      <w:szCs w:val="20"/>
      <w:lang w:eastAsia="en-AU"/>
    </w:rPr>
    <w:tblPr/>
  </w:style>
  <w:style w:type="paragraph" w:customStyle="1" w:styleId="NormalBullets">
    <w:name w:val="Normal Bullets"/>
    <w:basedOn w:val="Normal"/>
    <w:uiPriority w:val="3"/>
    <w:rsid w:val="00D92FC8"/>
    <w:pPr>
      <w:numPr>
        <w:numId w:val="18"/>
      </w:numPr>
      <w:spacing w:before="0" w:after="240" w:line="276" w:lineRule="auto"/>
      <w:contextualSpacing/>
      <w:jc w:val="both"/>
    </w:pPr>
    <w:rPr>
      <w:rFonts w:ascii="Calibri" w:eastAsiaTheme="majorEastAsia" w:hAnsi="Calibri" w:cstheme="majorBidi"/>
      <w:lang w:bidi="en-US"/>
    </w:rPr>
  </w:style>
  <w:style w:type="paragraph" w:customStyle="1" w:styleId="EvidenceSubhead">
    <w:name w:val="EvidenceSubhead"/>
    <w:basedOn w:val="Heading2"/>
    <w:rsid w:val="00D92FC8"/>
    <w:pPr>
      <w:keepLines w:val="0"/>
      <w:numPr>
        <w:numId w:val="18"/>
      </w:numPr>
      <w:tabs>
        <w:tab w:val="num" w:pos="576"/>
      </w:tabs>
      <w:spacing w:before="120" w:after="120" w:line="260" w:lineRule="exact"/>
      <w:contextualSpacing/>
    </w:pPr>
    <w:rPr>
      <w:rFonts w:ascii="Tahoma" w:hAnsi="Tahoma" w:cs="Times New Roman"/>
      <w:b/>
      <w:noProof/>
      <w:color w:val="362C66"/>
      <w:sz w:val="22"/>
      <w:szCs w:val="22"/>
      <w:u w:val="single"/>
      <w:lang w:val="en-US"/>
    </w:rPr>
  </w:style>
  <w:style w:type="paragraph" w:customStyle="1" w:styleId="BulletBeforeDash">
    <w:name w:val="BulletBeforeDash"/>
    <w:basedOn w:val="Normal"/>
    <w:rsid w:val="000D03E8"/>
    <w:pPr>
      <w:numPr>
        <w:numId w:val="20"/>
      </w:numPr>
      <w:spacing w:before="0" w:after="0" w:line="240" w:lineRule="auto"/>
      <w:ind w:left="720"/>
    </w:pPr>
    <w:rPr>
      <w:rFonts w:ascii="Times New Roman" w:eastAsia="Times New Roman" w:hAnsi="Times New Roman" w:cs="Times New Roman"/>
      <w:color w:val="000000"/>
      <w:sz w:val="24"/>
      <w:szCs w:val="20"/>
      <w:lang w:eastAsia="en-AU"/>
    </w:rPr>
  </w:style>
  <w:style w:type="character" w:styleId="Mention">
    <w:name w:val="Mention"/>
    <w:basedOn w:val="DefaultParagraphFont"/>
    <w:uiPriority w:val="99"/>
    <w:unhideWhenUsed/>
    <w:rsid w:val="00D16807"/>
    <w:rPr>
      <w:color w:val="2B579A"/>
      <w:shd w:val="clear" w:color="auto" w:fill="E1DFDD"/>
    </w:rPr>
  </w:style>
  <w:style w:type="paragraph" w:customStyle="1" w:styleId="TableNumber">
    <w:name w:val="Table Number"/>
    <w:basedOn w:val="TableText"/>
    <w:link w:val="TableNumberChar"/>
    <w:qFormat/>
    <w:rsid w:val="001D19B1"/>
    <w:pPr>
      <w:widowControl w:val="0"/>
      <w:tabs>
        <w:tab w:val="decimal" w:pos="396"/>
      </w:tabs>
      <w:spacing w:before="0" w:after="0"/>
      <w:jc w:val="center"/>
    </w:pPr>
  </w:style>
  <w:style w:type="character" w:customStyle="1" w:styleId="TableNumberChar">
    <w:name w:val="Table Number Char"/>
    <w:basedOn w:val="TableTextChar"/>
    <w:link w:val="TableNumber"/>
    <w:rsid w:val="001D19B1"/>
    <w:rPr>
      <w:rFonts w:ascii="Arial Narrow" w:hAnsi="Arial Narrow"/>
      <w:sz w:val="20"/>
    </w:rPr>
  </w:style>
  <w:style w:type="table" w:customStyle="1" w:styleId="Section3-footnot1">
    <w:name w:val="Section 3- footnot1"/>
    <w:basedOn w:val="TableNormal"/>
    <w:next w:val="TableGrid"/>
    <w:uiPriority w:val="59"/>
    <w:rsid w:val="000523F7"/>
    <w:pPr>
      <w:spacing w:after="0" w:line="240" w:lineRule="auto"/>
    </w:pPr>
    <w:tblPr/>
  </w:style>
  <w:style w:type="paragraph" w:styleId="BodyText">
    <w:name w:val="Body Text"/>
    <w:link w:val="BodyTextChar"/>
    <w:qFormat/>
    <w:rsid w:val="000523F7"/>
    <w:pPr>
      <w:keepLines/>
      <w:spacing w:after="120" w:line="269" w:lineRule="auto"/>
    </w:pPr>
    <w:rPr>
      <w:rFonts w:ascii="Montserrat" w:eastAsia="Calibri" w:hAnsi="Montserrat" w:cs="Calibri"/>
      <w:sz w:val="18"/>
      <w:szCs w:val="20"/>
    </w:rPr>
  </w:style>
  <w:style w:type="character" w:customStyle="1" w:styleId="BodyTextChar">
    <w:name w:val="Body Text Char"/>
    <w:basedOn w:val="DefaultParagraphFont"/>
    <w:link w:val="BodyText"/>
    <w:rsid w:val="000523F7"/>
    <w:rPr>
      <w:rFonts w:ascii="Montserrat" w:eastAsia="Calibri" w:hAnsi="Montserrat" w:cs="Calibri"/>
      <w:sz w:val="18"/>
      <w:szCs w:val="20"/>
    </w:rPr>
  </w:style>
  <w:style w:type="paragraph" w:styleId="EndnoteText">
    <w:name w:val="endnote text"/>
    <w:basedOn w:val="Normal"/>
    <w:link w:val="EndnoteTextChar"/>
    <w:uiPriority w:val="99"/>
    <w:semiHidden/>
    <w:unhideWhenUsed/>
    <w:rsid w:val="00CA0E4F"/>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CA0E4F"/>
    <w:rPr>
      <w:rFonts w:ascii="Franklin Gothic Book" w:hAnsi="Franklin Gothic Book"/>
      <w:sz w:val="20"/>
      <w:szCs w:val="20"/>
    </w:rPr>
  </w:style>
  <w:style w:type="character" w:styleId="EndnoteReference">
    <w:name w:val="endnote reference"/>
    <w:basedOn w:val="DefaultParagraphFont"/>
    <w:uiPriority w:val="99"/>
    <w:semiHidden/>
    <w:unhideWhenUsed/>
    <w:rsid w:val="00CA0E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5403">
      <w:bodyDiv w:val="1"/>
      <w:marLeft w:val="0"/>
      <w:marRight w:val="0"/>
      <w:marTop w:val="0"/>
      <w:marBottom w:val="0"/>
      <w:divBdr>
        <w:top w:val="none" w:sz="0" w:space="0" w:color="auto"/>
        <w:left w:val="none" w:sz="0" w:space="0" w:color="auto"/>
        <w:bottom w:val="none" w:sz="0" w:space="0" w:color="auto"/>
        <w:right w:val="none" w:sz="0" w:space="0" w:color="auto"/>
      </w:divBdr>
    </w:div>
    <w:div w:id="72052772">
      <w:bodyDiv w:val="1"/>
      <w:marLeft w:val="0"/>
      <w:marRight w:val="0"/>
      <w:marTop w:val="0"/>
      <w:marBottom w:val="0"/>
      <w:divBdr>
        <w:top w:val="none" w:sz="0" w:space="0" w:color="auto"/>
        <w:left w:val="none" w:sz="0" w:space="0" w:color="auto"/>
        <w:bottom w:val="none" w:sz="0" w:space="0" w:color="auto"/>
        <w:right w:val="none" w:sz="0" w:space="0" w:color="auto"/>
      </w:divBdr>
    </w:div>
    <w:div w:id="74130392">
      <w:bodyDiv w:val="1"/>
      <w:marLeft w:val="0"/>
      <w:marRight w:val="0"/>
      <w:marTop w:val="0"/>
      <w:marBottom w:val="0"/>
      <w:divBdr>
        <w:top w:val="none" w:sz="0" w:space="0" w:color="auto"/>
        <w:left w:val="none" w:sz="0" w:space="0" w:color="auto"/>
        <w:bottom w:val="none" w:sz="0" w:space="0" w:color="auto"/>
        <w:right w:val="none" w:sz="0" w:space="0" w:color="auto"/>
      </w:divBdr>
    </w:div>
    <w:div w:id="174998036">
      <w:bodyDiv w:val="1"/>
      <w:marLeft w:val="0"/>
      <w:marRight w:val="0"/>
      <w:marTop w:val="0"/>
      <w:marBottom w:val="0"/>
      <w:divBdr>
        <w:top w:val="none" w:sz="0" w:space="0" w:color="auto"/>
        <w:left w:val="none" w:sz="0" w:space="0" w:color="auto"/>
        <w:bottom w:val="none" w:sz="0" w:space="0" w:color="auto"/>
        <w:right w:val="none" w:sz="0" w:space="0" w:color="auto"/>
      </w:divBdr>
    </w:div>
    <w:div w:id="184029289">
      <w:bodyDiv w:val="1"/>
      <w:marLeft w:val="0"/>
      <w:marRight w:val="0"/>
      <w:marTop w:val="0"/>
      <w:marBottom w:val="0"/>
      <w:divBdr>
        <w:top w:val="none" w:sz="0" w:space="0" w:color="auto"/>
        <w:left w:val="none" w:sz="0" w:space="0" w:color="auto"/>
        <w:bottom w:val="none" w:sz="0" w:space="0" w:color="auto"/>
        <w:right w:val="none" w:sz="0" w:space="0" w:color="auto"/>
      </w:divBdr>
    </w:div>
    <w:div w:id="206991689">
      <w:bodyDiv w:val="1"/>
      <w:marLeft w:val="0"/>
      <w:marRight w:val="0"/>
      <w:marTop w:val="0"/>
      <w:marBottom w:val="0"/>
      <w:divBdr>
        <w:top w:val="none" w:sz="0" w:space="0" w:color="auto"/>
        <w:left w:val="none" w:sz="0" w:space="0" w:color="auto"/>
        <w:bottom w:val="none" w:sz="0" w:space="0" w:color="auto"/>
        <w:right w:val="none" w:sz="0" w:space="0" w:color="auto"/>
      </w:divBdr>
    </w:div>
    <w:div w:id="240987840">
      <w:bodyDiv w:val="1"/>
      <w:marLeft w:val="0"/>
      <w:marRight w:val="0"/>
      <w:marTop w:val="0"/>
      <w:marBottom w:val="0"/>
      <w:divBdr>
        <w:top w:val="none" w:sz="0" w:space="0" w:color="auto"/>
        <w:left w:val="none" w:sz="0" w:space="0" w:color="auto"/>
        <w:bottom w:val="none" w:sz="0" w:space="0" w:color="auto"/>
        <w:right w:val="none" w:sz="0" w:space="0" w:color="auto"/>
      </w:divBdr>
    </w:div>
    <w:div w:id="259148225">
      <w:bodyDiv w:val="1"/>
      <w:marLeft w:val="0"/>
      <w:marRight w:val="0"/>
      <w:marTop w:val="0"/>
      <w:marBottom w:val="0"/>
      <w:divBdr>
        <w:top w:val="none" w:sz="0" w:space="0" w:color="auto"/>
        <w:left w:val="none" w:sz="0" w:space="0" w:color="auto"/>
        <w:bottom w:val="none" w:sz="0" w:space="0" w:color="auto"/>
        <w:right w:val="none" w:sz="0" w:space="0" w:color="auto"/>
      </w:divBdr>
    </w:div>
    <w:div w:id="381249859">
      <w:bodyDiv w:val="1"/>
      <w:marLeft w:val="0"/>
      <w:marRight w:val="0"/>
      <w:marTop w:val="0"/>
      <w:marBottom w:val="0"/>
      <w:divBdr>
        <w:top w:val="none" w:sz="0" w:space="0" w:color="auto"/>
        <w:left w:val="none" w:sz="0" w:space="0" w:color="auto"/>
        <w:bottom w:val="none" w:sz="0" w:space="0" w:color="auto"/>
        <w:right w:val="none" w:sz="0" w:space="0" w:color="auto"/>
      </w:divBdr>
    </w:div>
    <w:div w:id="388959748">
      <w:bodyDiv w:val="1"/>
      <w:marLeft w:val="0"/>
      <w:marRight w:val="0"/>
      <w:marTop w:val="0"/>
      <w:marBottom w:val="0"/>
      <w:divBdr>
        <w:top w:val="none" w:sz="0" w:space="0" w:color="auto"/>
        <w:left w:val="none" w:sz="0" w:space="0" w:color="auto"/>
        <w:bottom w:val="none" w:sz="0" w:space="0" w:color="auto"/>
        <w:right w:val="none" w:sz="0" w:space="0" w:color="auto"/>
      </w:divBdr>
    </w:div>
    <w:div w:id="393283070">
      <w:bodyDiv w:val="1"/>
      <w:marLeft w:val="0"/>
      <w:marRight w:val="0"/>
      <w:marTop w:val="0"/>
      <w:marBottom w:val="0"/>
      <w:divBdr>
        <w:top w:val="none" w:sz="0" w:space="0" w:color="auto"/>
        <w:left w:val="none" w:sz="0" w:space="0" w:color="auto"/>
        <w:bottom w:val="none" w:sz="0" w:space="0" w:color="auto"/>
        <w:right w:val="none" w:sz="0" w:space="0" w:color="auto"/>
      </w:divBdr>
    </w:div>
    <w:div w:id="414280912">
      <w:bodyDiv w:val="1"/>
      <w:marLeft w:val="0"/>
      <w:marRight w:val="0"/>
      <w:marTop w:val="0"/>
      <w:marBottom w:val="0"/>
      <w:divBdr>
        <w:top w:val="none" w:sz="0" w:space="0" w:color="auto"/>
        <w:left w:val="none" w:sz="0" w:space="0" w:color="auto"/>
        <w:bottom w:val="none" w:sz="0" w:space="0" w:color="auto"/>
        <w:right w:val="none" w:sz="0" w:space="0" w:color="auto"/>
      </w:divBdr>
    </w:div>
    <w:div w:id="425276192">
      <w:bodyDiv w:val="1"/>
      <w:marLeft w:val="0"/>
      <w:marRight w:val="0"/>
      <w:marTop w:val="0"/>
      <w:marBottom w:val="0"/>
      <w:divBdr>
        <w:top w:val="none" w:sz="0" w:space="0" w:color="auto"/>
        <w:left w:val="none" w:sz="0" w:space="0" w:color="auto"/>
        <w:bottom w:val="none" w:sz="0" w:space="0" w:color="auto"/>
        <w:right w:val="none" w:sz="0" w:space="0" w:color="auto"/>
      </w:divBdr>
    </w:div>
    <w:div w:id="445393862">
      <w:bodyDiv w:val="1"/>
      <w:marLeft w:val="0"/>
      <w:marRight w:val="0"/>
      <w:marTop w:val="0"/>
      <w:marBottom w:val="0"/>
      <w:divBdr>
        <w:top w:val="none" w:sz="0" w:space="0" w:color="auto"/>
        <w:left w:val="none" w:sz="0" w:space="0" w:color="auto"/>
        <w:bottom w:val="none" w:sz="0" w:space="0" w:color="auto"/>
        <w:right w:val="none" w:sz="0" w:space="0" w:color="auto"/>
      </w:divBdr>
    </w:div>
    <w:div w:id="497383534">
      <w:bodyDiv w:val="1"/>
      <w:marLeft w:val="0"/>
      <w:marRight w:val="0"/>
      <w:marTop w:val="0"/>
      <w:marBottom w:val="0"/>
      <w:divBdr>
        <w:top w:val="none" w:sz="0" w:space="0" w:color="auto"/>
        <w:left w:val="none" w:sz="0" w:space="0" w:color="auto"/>
        <w:bottom w:val="none" w:sz="0" w:space="0" w:color="auto"/>
        <w:right w:val="none" w:sz="0" w:space="0" w:color="auto"/>
      </w:divBdr>
    </w:div>
    <w:div w:id="547684622">
      <w:bodyDiv w:val="1"/>
      <w:marLeft w:val="0"/>
      <w:marRight w:val="0"/>
      <w:marTop w:val="0"/>
      <w:marBottom w:val="0"/>
      <w:divBdr>
        <w:top w:val="none" w:sz="0" w:space="0" w:color="auto"/>
        <w:left w:val="none" w:sz="0" w:space="0" w:color="auto"/>
        <w:bottom w:val="none" w:sz="0" w:space="0" w:color="auto"/>
        <w:right w:val="none" w:sz="0" w:space="0" w:color="auto"/>
      </w:divBdr>
    </w:div>
    <w:div w:id="553857340">
      <w:bodyDiv w:val="1"/>
      <w:marLeft w:val="0"/>
      <w:marRight w:val="0"/>
      <w:marTop w:val="0"/>
      <w:marBottom w:val="0"/>
      <w:divBdr>
        <w:top w:val="none" w:sz="0" w:space="0" w:color="auto"/>
        <w:left w:val="none" w:sz="0" w:space="0" w:color="auto"/>
        <w:bottom w:val="none" w:sz="0" w:space="0" w:color="auto"/>
        <w:right w:val="none" w:sz="0" w:space="0" w:color="auto"/>
      </w:divBdr>
    </w:div>
    <w:div w:id="633798868">
      <w:bodyDiv w:val="1"/>
      <w:marLeft w:val="0"/>
      <w:marRight w:val="0"/>
      <w:marTop w:val="0"/>
      <w:marBottom w:val="0"/>
      <w:divBdr>
        <w:top w:val="none" w:sz="0" w:space="0" w:color="auto"/>
        <w:left w:val="none" w:sz="0" w:space="0" w:color="auto"/>
        <w:bottom w:val="none" w:sz="0" w:space="0" w:color="auto"/>
        <w:right w:val="none" w:sz="0" w:space="0" w:color="auto"/>
      </w:divBdr>
    </w:div>
    <w:div w:id="650017405">
      <w:bodyDiv w:val="1"/>
      <w:marLeft w:val="0"/>
      <w:marRight w:val="0"/>
      <w:marTop w:val="0"/>
      <w:marBottom w:val="0"/>
      <w:divBdr>
        <w:top w:val="none" w:sz="0" w:space="0" w:color="auto"/>
        <w:left w:val="none" w:sz="0" w:space="0" w:color="auto"/>
        <w:bottom w:val="none" w:sz="0" w:space="0" w:color="auto"/>
        <w:right w:val="none" w:sz="0" w:space="0" w:color="auto"/>
      </w:divBdr>
    </w:div>
    <w:div w:id="719669662">
      <w:bodyDiv w:val="1"/>
      <w:marLeft w:val="0"/>
      <w:marRight w:val="0"/>
      <w:marTop w:val="0"/>
      <w:marBottom w:val="0"/>
      <w:divBdr>
        <w:top w:val="none" w:sz="0" w:space="0" w:color="auto"/>
        <w:left w:val="none" w:sz="0" w:space="0" w:color="auto"/>
        <w:bottom w:val="none" w:sz="0" w:space="0" w:color="auto"/>
        <w:right w:val="none" w:sz="0" w:space="0" w:color="auto"/>
      </w:divBdr>
    </w:div>
    <w:div w:id="733554141">
      <w:bodyDiv w:val="1"/>
      <w:marLeft w:val="0"/>
      <w:marRight w:val="0"/>
      <w:marTop w:val="0"/>
      <w:marBottom w:val="0"/>
      <w:divBdr>
        <w:top w:val="none" w:sz="0" w:space="0" w:color="auto"/>
        <w:left w:val="none" w:sz="0" w:space="0" w:color="auto"/>
        <w:bottom w:val="none" w:sz="0" w:space="0" w:color="auto"/>
        <w:right w:val="none" w:sz="0" w:space="0" w:color="auto"/>
      </w:divBdr>
    </w:div>
    <w:div w:id="815755281">
      <w:bodyDiv w:val="1"/>
      <w:marLeft w:val="0"/>
      <w:marRight w:val="0"/>
      <w:marTop w:val="0"/>
      <w:marBottom w:val="0"/>
      <w:divBdr>
        <w:top w:val="none" w:sz="0" w:space="0" w:color="auto"/>
        <w:left w:val="none" w:sz="0" w:space="0" w:color="auto"/>
        <w:bottom w:val="none" w:sz="0" w:space="0" w:color="auto"/>
        <w:right w:val="none" w:sz="0" w:space="0" w:color="auto"/>
      </w:divBdr>
    </w:div>
    <w:div w:id="850949379">
      <w:bodyDiv w:val="1"/>
      <w:marLeft w:val="0"/>
      <w:marRight w:val="0"/>
      <w:marTop w:val="0"/>
      <w:marBottom w:val="0"/>
      <w:divBdr>
        <w:top w:val="none" w:sz="0" w:space="0" w:color="auto"/>
        <w:left w:val="none" w:sz="0" w:space="0" w:color="auto"/>
        <w:bottom w:val="none" w:sz="0" w:space="0" w:color="auto"/>
        <w:right w:val="none" w:sz="0" w:space="0" w:color="auto"/>
      </w:divBdr>
    </w:div>
    <w:div w:id="883716246">
      <w:bodyDiv w:val="1"/>
      <w:marLeft w:val="0"/>
      <w:marRight w:val="0"/>
      <w:marTop w:val="0"/>
      <w:marBottom w:val="0"/>
      <w:divBdr>
        <w:top w:val="none" w:sz="0" w:space="0" w:color="auto"/>
        <w:left w:val="none" w:sz="0" w:space="0" w:color="auto"/>
        <w:bottom w:val="none" w:sz="0" w:space="0" w:color="auto"/>
        <w:right w:val="none" w:sz="0" w:space="0" w:color="auto"/>
      </w:divBdr>
    </w:div>
    <w:div w:id="912742429">
      <w:bodyDiv w:val="1"/>
      <w:marLeft w:val="0"/>
      <w:marRight w:val="0"/>
      <w:marTop w:val="0"/>
      <w:marBottom w:val="0"/>
      <w:divBdr>
        <w:top w:val="none" w:sz="0" w:space="0" w:color="auto"/>
        <w:left w:val="none" w:sz="0" w:space="0" w:color="auto"/>
        <w:bottom w:val="none" w:sz="0" w:space="0" w:color="auto"/>
        <w:right w:val="none" w:sz="0" w:space="0" w:color="auto"/>
      </w:divBdr>
    </w:div>
    <w:div w:id="921065123">
      <w:bodyDiv w:val="1"/>
      <w:marLeft w:val="0"/>
      <w:marRight w:val="0"/>
      <w:marTop w:val="0"/>
      <w:marBottom w:val="0"/>
      <w:divBdr>
        <w:top w:val="none" w:sz="0" w:space="0" w:color="auto"/>
        <w:left w:val="none" w:sz="0" w:space="0" w:color="auto"/>
        <w:bottom w:val="none" w:sz="0" w:space="0" w:color="auto"/>
        <w:right w:val="none" w:sz="0" w:space="0" w:color="auto"/>
      </w:divBdr>
    </w:div>
    <w:div w:id="944847599">
      <w:bodyDiv w:val="1"/>
      <w:marLeft w:val="0"/>
      <w:marRight w:val="0"/>
      <w:marTop w:val="0"/>
      <w:marBottom w:val="0"/>
      <w:divBdr>
        <w:top w:val="none" w:sz="0" w:space="0" w:color="auto"/>
        <w:left w:val="none" w:sz="0" w:space="0" w:color="auto"/>
        <w:bottom w:val="none" w:sz="0" w:space="0" w:color="auto"/>
        <w:right w:val="none" w:sz="0" w:space="0" w:color="auto"/>
      </w:divBdr>
    </w:div>
    <w:div w:id="976447681">
      <w:bodyDiv w:val="1"/>
      <w:marLeft w:val="0"/>
      <w:marRight w:val="0"/>
      <w:marTop w:val="0"/>
      <w:marBottom w:val="0"/>
      <w:divBdr>
        <w:top w:val="none" w:sz="0" w:space="0" w:color="auto"/>
        <w:left w:val="none" w:sz="0" w:space="0" w:color="auto"/>
        <w:bottom w:val="none" w:sz="0" w:space="0" w:color="auto"/>
        <w:right w:val="none" w:sz="0" w:space="0" w:color="auto"/>
      </w:divBdr>
    </w:div>
    <w:div w:id="1019160309">
      <w:bodyDiv w:val="1"/>
      <w:marLeft w:val="0"/>
      <w:marRight w:val="0"/>
      <w:marTop w:val="0"/>
      <w:marBottom w:val="0"/>
      <w:divBdr>
        <w:top w:val="none" w:sz="0" w:space="0" w:color="auto"/>
        <w:left w:val="none" w:sz="0" w:space="0" w:color="auto"/>
        <w:bottom w:val="none" w:sz="0" w:space="0" w:color="auto"/>
        <w:right w:val="none" w:sz="0" w:space="0" w:color="auto"/>
      </w:divBdr>
    </w:div>
    <w:div w:id="1115448293">
      <w:bodyDiv w:val="1"/>
      <w:marLeft w:val="0"/>
      <w:marRight w:val="0"/>
      <w:marTop w:val="0"/>
      <w:marBottom w:val="0"/>
      <w:divBdr>
        <w:top w:val="none" w:sz="0" w:space="0" w:color="auto"/>
        <w:left w:val="none" w:sz="0" w:space="0" w:color="auto"/>
        <w:bottom w:val="none" w:sz="0" w:space="0" w:color="auto"/>
        <w:right w:val="none" w:sz="0" w:space="0" w:color="auto"/>
      </w:divBdr>
    </w:div>
    <w:div w:id="1117408241">
      <w:bodyDiv w:val="1"/>
      <w:marLeft w:val="0"/>
      <w:marRight w:val="0"/>
      <w:marTop w:val="0"/>
      <w:marBottom w:val="0"/>
      <w:divBdr>
        <w:top w:val="none" w:sz="0" w:space="0" w:color="auto"/>
        <w:left w:val="none" w:sz="0" w:space="0" w:color="auto"/>
        <w:bottom w:val="none" w:sz="0" w:space="0" w:color="auto"/>
        <w:right w:val="none" w:sz="0" w:space="0" w:color="auto"/>
      </w:divBdr>
    </w:div>
    <w:div w:id="1140272256">
      <w:bodyDiv w:val="1"/>
      <w:marLeft w:val="0"/>
      <w:marRight w:val="0"/>
      <w:marTop w:val="0"/>
      <w:marBottom w:val="0"/>
      <w:divBdr>
        <w:top w:val="none" w:sz="0" w:space="0" w:color="auto"/>
        <w:left w:val="none" w:sz="0" w:space="0" w:color="auto"/>
        <w:bottom w:val="none" w:sz="0" w:space="0" w:color="auto"/>
        <w:right w:val="none" w:sz="0" w:space="0" w:color="auto"/>
      </w:divBdr>
    </w:div>
    <w:div w:id="1171220333">
      <w:bodyDiv w:val="1"/>
      <w:marLeft w:val="0"/>
      <w:marRight w:val="0"/>
      <w:marTop w:val="0"/>
      <w:marBottom w:val="0"/>
      <w:divBdr>
        <w:top w:val="none" w:sz="0" w:space="0" w:color="auto"/>
        <w:left w:val="none" w:sz="0" w:space="0" w:color="auto"/>
        <w:bottom w:val="none" w:sz="0" w:space="0" w:color="auto"/>
        <w:right w:val="none" w:sz="0" w:space="0" w:color="auto"/>
      </w:divBdr>
    </w:div>
    <w:div w:id="1224098787">
      <w:bodyDiv w:val="1"/>
      <w:marLeft w:val="0"/>
      <w:marRight w:val="0"/>
      <w:marTop w:val="0"/>
      <w:marBottom w:val="0"/>
      <w:divBdr>
        <w:top w:val="none" w:sz="0" w:space="0" w:color="auto"/>
        <w:left w:val="none" w:sz="0" w:space="0" w:color="auto"/>
        <w:bottom w:val="none" w:sz="0" w:space="0" w:color="auto"/>
        <w:right w:val="none" w:sz="0" w:space="0" w:color="auto"/>
      </w:divBdr>
    </w:div>
    <w:div w:id="1229151570">
      <w:bodyDiv w:val="1"/>
      <w:marLeft w:val="0"/>
      <w:marRight w:val="0"/>
      <w:marTop w:val="0"/>
      <w:marBottom w:val="0"/>
      <w:divBdr>
        <w:top w:val="none" w:sz="0" w:space="0" w:color="auto"/>
        <w:left w:val="none" w:sz="0" w:space="0" w:color="auto"/>
        <w:bottom w:val="none" w:sz="0" w:space="0" w:color="auto"/>
        <w:right w:val="none" w:sz="0" w:space="0" w:color="auto"/>
      </w:divBdr>
    </w:div>
    <w:div w:id="1244218186">
      <w:bodyDiv w:val="1"/>
      <w:marLeft w:val="0"/>
      <w:marRight w:val="0"/>
      <w:marTop w:val="0"/>
      <w:marBottom w:val="0"/>
      <w:divBdr>
        <w:top w:val="none" w:sz="0" w:space="0" w:color="auto"/>
        <w:left w:val="none" w:sz="0" w:space="0" w:color="auto"/>
        <w:bottom w:val="none" w:sz="0" w:space="0" w:color="auto"/>
        <w:right w:val="none" w:sz="0" w:space="0" w:color="auto"/>
      </w:divBdr>
    </w:div>
    <w:div w:id="1256019463">
      <w:bodyDiv w:val="1"/>
      <w:marLeft w:val="0"/>
      <w:marRight w:val="0"/>
      <w:marTop w:val="0"/>
      <w:marBottom w:val="0"/>
      <w:divBdr>
        <w:top w:val="none" w:sz="0" w:space="0" w:color="auto"/>
        <w:left w:val="none" w:sz="0" w:space="0" w:color="auto"/>
        <w:bottom w:val="none" w:sz="0" w:space="0" w:color="auto"/>
        <w:right w:val="none" w:sz="0" w:space="0" w:color="auto"/>
      </w:divBdr>
    </w:div>
    <w:div w:id="1257448350">
      <w:bodyDiv w:val="1"/>
      <w:marLeft w:val="0"/>
      <w:marRight w:val="0"/>
      <w:marTop w:val="0"/>
      <w:marBottom w:val="0"/>
      <w:divBdr>
        <w:top w:val="none" w:sz="0" w:space="0" w:color="auto"/>
        <w:left w:val="none" w:sz="0" w:space="0" w:color="auto"/>
        <w:bottom w:val="none" w:sz="0" w:space="0" w:color="auto"/>
        <w:right w:val="none" w:sz="0" w:space="0" w:color="auto"/>
      </w:divBdr>
    </w:div>
    <w:div w:id="1260408255">
      <w:bodyDiv w:val="1"/>
      <w:marLeft w:val="0"/>
      <w:marRight w:val="0"/>
      <w:marTop w:val="0"/>
      <w:marBottom w:val="0"/>
      <w:divBdr>
        <w:top w:val="none" w:sz="0" w:space="0" w:color="auto"/>
        <w:left w:val="none" w:sz="0" w:space="0" w:color="auto"/>
        <w:bottom w:val="none" w:sz="0" w:space="0" w:color="auto"/>
        <w:right w:val="none" w:sz="0" w:space="0" w:color="auto"/>
      </w:divBdr>
    </w:div>
    <w:div w:id="1261797108">
      <w:bodyDiv w:val="1"/>
      <w:marLeft w:val="0"/>
      <w:marRight w:val="0"/>
      <w:marTop w:val="0"/>
      <w:marBottom w:val="0"/>
      <w:divBdr>
        <w:top w:val="none" w:sz="0" w:space="0" w:color="auto"/>
        <w:left w:val="none" w:sz="0" w:space="0" w:color="auto"/>
        <w:bottom w:val="none" w:sz="0" w:space="0" w:color="auto"/>
        <w:right w:val="none" w:sz="0" w:space="0" w:color="auto"/>
      </w:divBdr>
    </w:div>
    <w:div w:id="1285310076">
      <w:bodyDiv w:val="1"/>
      <w:marLeft w:val="0"/>
      <w:marRight w:val="0"/>
      <w:marTop w:val="0"/>
      <w:marBottom w:val="0"/>
      <w:divBdr>
        <w:top w:val="none" w:sz="0" w:space="0" w:color="auto"/>
        <w:left w:val="none" w:sz="0" w:space="0" w:color="auto"/>
        <w:bottom w:val="none" w:sz="0" w:space="0" w:color="auto"/>
        <w:right w:val="none" w:sz="0" w:space="0" w:color="auto"/>
      </w:divBdr>
    </w:div>
    <w:div w:id="1291789928">
      <w:bodyDiv w:val="1"/>
      <w:marLeft w:val="0"/>
      <w:marRight w:val="0"/>
      <w:marTop w:val="0"/>
      <w:marBottom w:val="0"/>
      <w:divBdr>
        <w:top w:val="none" w:sz="0" w:space="0" w:color="auto"/>
        <w:left w:val="none" w:sz="0" w:space="0" w:color="auto"/>
        <w:bottom w:val="none" w:sz="0" w:space="0" w:color="auto"/>
        <w:right w:val="none" w:sz="0" w:space="0" w:color="auto"/>
      </w:divBdr>
    </w:div>
    <w:div w:id="1309745875">
      <w:bodyDiv w:val="1"/>
      <w:marLeft w:val="0"/>
      <w:marRight w:val="0"/>
      <w:marTop w:val="0"/>
      <w:marBottom w:val="0"/>
      <w:divBdr>
        <w:top w:val="none" w:sz="0" w:space="0" w:color="auto"/>
        <w:left w:val="none" w:sz="0" w:space="0" w:color="auto"/>
        <w:bottom w:val="none" w:sz="0" w:space="0" w:color="auto"/>
        <w:right w:val="none" w:sz="0" w:space="0" w:color="auto"/>
      </w:divBdr>
    </w:div>
    <w:div w:id="1320118329">
      <w:bodyDiv w:val="1"/>
      <w:marLeft w:val="0"/>
      <w:marRight w:val="0"/>
      <w:marTop w:val="0"/>
      <w:marBottom w:val="0"/>
      <w:divBdr>
        <w:top w:val="none" w:sz="0" w:space="0" w:color="auto"/>
        <w:left w:val="none" w:sz="0" w:space="0" w:color="auto"/>
        <w:bottom w:val="none" w:sz="0" w:space="0" w:color="auto"/>
        <w:right w:val="none" w:sz="0" w:space="0" w:color="auto"/>
      </w:divBdr>
    </w:div>
    <w:div w:id="1338461236">
      <w:bodyDiv w:val="1"/>
      <w:marLeft w:val="0"/>
      <w:marRight w:val="0"/>
      <w:marTop w:val="0"/>
      <w:marBottom w:val="0"/>
      <w:divBdr>
        <w:top w:val="none" w:sz="0" w:space="0" w:color="auto"/>
        <w:left w:val="none" w:sz="0" w:space="0" w:color="auto"/>
        <w:bottom w:val="none" w:sz="0" w:space="0" w:color="auto"/>
        <w:right w:val="none" w:sz="0" w:space="0" w:color="auto"/>
      </w:divBdr>
    </w:div>
    <w:div w:id="1339045467">
      <w:bodyDiv w:val="1"/>
      <w:marLeft w:val="0"/>
      <w:marRight w:val="0"/>
      <w:marTop w:val="0"/>
      <w:marBottom w:val="0"/>
      <w:divBdr>
        <w:top w:val="none" w:sz="0" w:space="0" w:color="auto"/>
        <w:left w:val="none" w:sz="0" w:space="0" w:color="auto"/>
        <w:bottom w:val="none" w:sz="0" w:space="0" w:color="auto"/>
        <w:right w:val="none" w:sz="0" w:space="0" w:color="auto"/>
      </w:divBdr>
    </w:div>
    <w:div w:id="1411778870">
      <w:bodyDiv w:val="1"/>
      <w:marLeft w:val="0"/>
      <w:marRight w:val="0"/>
      <w:marTop w:val="0"/>
      <w:marBottom w:val="0"/>
      <w:divBdr>
        <w:top w:val="none" w:sz="0" w:space="0" w:color="auto"/>
        <w:left w:val="none" w:sz="0" w:space="0" w:color="auto"/>
        <w:bottom w:val="none" w:sz="0" w:space="0" w:color="auto"/>
        <w:right w:val="none" w:sz="0" w:space="0" w:color="auto"/>
      </w:divBdr>
    </w:div>
    <w:div w:id="1438984073">
      <w:bodyDiv w:val="1"/>
      <w:marLeft w:val="0"/>
      <w:marRight w:val="0"/>
      <w:marTop w:val="0"/>
      <w:marBottom w:val="0"/>
      <w:divBdr>
        <w:top w:val="none" w:sz="0" w:space="0" w:color="auto"/>
        <w:left w:val="none" w:sz="0" w:space="0" w:color="auto"/>
        <w:bottom w:val="none" w:sz="0" w:space="0" w:color="auto"/>
        <w:right w:val="none" w:sz="0" w:space="0" w:color="auto"/>
      </w:divBdr>
    </w:div>
    <w:div w:id="1446995807">
      <w:bodyDiv w:val="1"/>
      <w:marLeft w:val="0"/>
      <w:marRight w:val="0"/>
      <w:marTop w:val="0"/>
      <w:marBottom w:val="0"/>
      <w:divBdr>
        <w:top w:val="none" w:sz="0" w:space="0" w:color="auto"/>
        <w:left w:val="none" w:sz="0" w:space="0" w:color="auto"/>
        <w:bottom w:val="none" w:sz="0" w:space="0" w:color="auto"/>
        <w:right w:val="none" w:sz="0" w:space="0" w:color="auto"/>
      </w:divBdr>
    </w:div>
    <w:div w:id="1463307564">
      <w:bodyDiv w:val="1"/>
      <w:marLeft w:val="0"/>
      <w:marRight w:val="0"/>
      <w:marTop w:val="0"/>
      <w:marBottom w:val="0"/>
      <w:divBdr>
        <w:top w:val="none" w:sz="0" w:space="0" w:color="auto"/>
        <w:left w:val="none" w:sz="0" w:space="0" w:color="auto"/>
        <w:bottom w:val="none" w:sz="0" w:space="0" w:color="auto"/>
        <w:right w:val="none" w:sz="0" w:space="0" w:color="auto"/>
      </w:divBdr>
    </w:div>
    <w:div w:id="1541436872">
      <w:bodyDiv w:val="1"/>
      <w:marLeft w:val="0"/>
      <w:marRight w:val="0"/>
      <w:marTop w:val="0"/>
      <w:marBottom w:val="0"/>
      <w:divBdr>
        <w:top w:val="none" w:sz="0" w:space="0" w:color="auto"/>
        <w:left w:val="none" w:sz="0" w:space="0" w:color="auto"/>
        <w:bottom w:val="none" w:sz="0" w:space="0" w:color="auto"/>
        <w:right w:val="none" w:sz="0" w:space="0" w:color="auto"/>
      </w:divBdr>
    </w:div>
    <w:div w:id="1590624353">
      <w:bodyDiv w:val="1"/>
      <w:marLeft w:val="0"/>
      <w:marRight w:val="0"/>
      <w:marTop w:val="0"/>
      <w:marBottom w:val="0"/>
      <w:divBdr>
        <w:top w:val="none" w:sz="0" w:space="0" w:color="auto"/>
        <w:left w:val="none" w:sz="0" w:space="0" w:color="auto"/>
        <w:bottom w:val="none" w:sz="0" w:space="0" w:color="auto"/>
        <w:right w:val="none" w:sz="0" w:space="0" w:color="auto"/>
      </w:divBdr>
    </w:div>
    <w:div w:id="1596087102">
      <w:bodyDiv w:val="1"/>
      <w:marLeft w:val="0"/>
      <w:marRight w:val="0"/>
      <w:marTop w:val="0"/>
      <w:marBottom w:val="0"/>
      <w:divBdr>
        <w:top w:val="none" w:sz="0" w:space="0" w:color="auto"/>
        <w:left w:val="none" w:sz="0" w:space="0" w:color="auto"/>
        <w:bottom w:val="none" w:sz="0" w:space="0" w:color="auto"/>
        <w:right w:val="none" w:sz="0" w:space="0" w:color="auto"/>
      </w:divBdr>
    </w:div>
    <w:div w:id="1598513245">
      <w:bodyDiv w:val="1"/>
      <w:marLeft w:val="0"/>
      <w:marRight w:val="0"/>
      <w:marTop w:val="0"/>
      <w:marBottom w:val="0"/>
      <w:divBdr>
        <w:top w:val="none" w:sz="0" w:space="0" w:color="auto"/>
        <w:left w:val="none" w:sz="0" w:space="0" w:color="auto"/>
        <w:bottom w:val="none" w:sz="0" w:space="0" w:color="auto"/>
        <w:right w:val="none" w:sz="0" w:space="0" w:color="auto"/>
      </w:divBdr>
    </w:div>
    <w:div w:id="1606306867">
      <w:bodyDiv w:val="1"/>
      <w:marLeft w:val="0"/>
      <w:marRight w:val="0"/>
      <w:marTop w:val="0"/>
      <w:marBottom w:val="0"/>
      <w:divBdr>
        <w:top w:val="none" w:sz="0" w:space="0" w:color="auto"/>
        <w:left w:val="none" w:sz="0" w:space="0" w:color="auto"/>
        <w:bottom w:val="none" w:sz="0" w:space="0" w:color="auto"/>
        <w:right w:val="none" w:sz="0" w:space="0" w:color="auto"/>
      </w:divBdr>
    </w:div>
    <w:div w:id="1656181121">
      <w:bodyDiv w:val="1"/>
      <w:marLeft w:val="0"/>
      <w:marRight w:val="0"/>
      <w:marTop w:val="0"/>
      <w:marBottom w:val="0"/>
      <w:divBdr>
        <w:top w:val="none" w:sz="0" w:space="0" w:color="auto"/>
        <w:left w:val="none" w:sz="0" w:space="0" w:color="auto"/>
        <w:bottom w:val="none" w:sz="0" w:space="0" w:color="auto"/>
        <w:right w:val="none" w:sz="0" w:space="0" w:color="auto"/>
      </w:divBdr>
    </w:div>
    <w:div w:id="1788818186">
      <w:bodyDiv w:val="1"/>
      <w:marLeft w:val="0"/>
      <w:marRight w:val="0"/>
      <w:marTop w:val="0"/>
      <w:marBottom w:val="0"/>
      <w:divBdr>
        <w:top w:val="none" w:sz="0" w:space="0" w:color="auto"/>
        <w:left w:val="none" w:sz="0" w:space="0" w:color="auto"/>
        <w:bottom w:val="none" w:sz="0" w:space="0" w:color="auto"/>
        <w:right w:val="none" w:sz="0" w:space="0" w:color="auto"/>
      </w:divBdr>
    </w:div>
    <w:div w:id="1812365276">
      <w:bodyDiv w:val="1"/>
      <w:marLeft w:val="0"/>
      <w:marRight w:val="0"/>
      <w:marTop w:val="0"/>
      <w:marBottom w:val="0"/>
      <w:divBdr>
        <w:top w:val="none" w:sz="0" w:space="0" w:color="auto"/>
        <w:left w:val="none" w:sz="0" w:space="0" w:color="auto"/>
        <w:bottom w:val="none" w:sz="0" w:space="0" w:color="auto"/>
        <w:right w:val="none" w:sz="0" w:space="0" w:color="auto"/>
      </w:divBdr>
    </w:div>
    <w:div w:id="1821579227">
      <w:bodyDiv w:val="1"/>
      <w:marLeft w:val="0"/>
      <w:marRight w:val="0"/>
      <w:marTop w:val="0"/>
      <w:marBottom w:val="0"/>
      <w:divBdr>
        <w:top w:val="none" w:sz="0" w:space="0" w:color="auto"/>
        <w:left w:val="none" w:sz="0" w:space="0" w:color="auto"/>
        <w:bottom w:val="none" w:sz="0" w:space="0" w:color="auto"/>
        <w:right w:val="none" w:sz="0" w:space="0" w:color="auto"/>
      </w:divBdr>
    </w:div>
    <w:div w:id="1825900015">
      <w:bodyDiv w:val="1"/>
      <w:marLeft w:val="0"/>
      <w:marRight w:val="0"/>
      <w:marTop w:val="0"/>
      <w:marBottom w:val="0"/>
      <w:divBdr>
        <w:top w:val="none" w:sz="0" w:space="0" w:color="auto"/>
        <w:left w:val="none" w:sz="0" w:space="0" w:color="auto"/>
        <w:bottom w:val="none" w:sz="0" w:space="0" w:color="auto"/>
        <w:right w:val="none" w:sz="0" w:space="0" w:color="auto"/>
      </w:divBdr>
    </w:div>
    <w:div w:id="1839031648">
      <w:bodyDiv w:val="1"/>
      <w:marLeft w:val="0"/>
      <w:marRight w:val="0"/>
      <w:marTop w:val="0"/>
      <w:marBottom w:val="0"/>
      <w:divBdr>
        <w:top w:val="none" w:sz="0" w:space="0" w:color="auto"/>
        <w:left w:val="none" w:sz="0" w:space="0" w:color="auto"/>
        <w:bottom w:val="none" w:sz="0" w:space="0" w:color="auto"/>
        <w:right w:val="none" w:sz="0" w:space="0" w:color="auto"/>
      </w:divBdr>
    </w:div>
    <w:div w:id="1872720001">
      <w:bodyDiv w:val="1"/>
      <w:marLeft w:val="0"/>
      <w:marRight w:val="0"/>
      <w:marTop w:val="0"/>
      <w:marBottom w:val="0"/>
      <w:divBdr>
        <w:top w:val="none" w:sz="0" w:space="0" w:color="auto"/>
        <w:left w:val="none" w:sz="0" w:space="0" w:color="auto"/>
        <w:bottom w:val="none" w:sz="0" w:space="0" w:color="auto"/>
        <w:right w:val="none" w:sz="0" w:space="0" w:color="auto"/>
      </w:divBdr>
    </w:div>
    <w:div w:id="1897084583">
      <w:bodyDiv w:val="1"/>
      <w:marLeft w:val="0"/>
      <w:marRight w:val="0"/>
      <w:marTop w:val="0"/>
      <w:marBottom w:val="0"/>
      <w:divBdr>
        <w:top w:val="none" w:sz="0" w:space="0" w:color="auto"/>
        <w:left w:val="none" w:sz="0" w:space="0" w:color="auto"/>
        <w:bottom w:val="none" w:sz="0" w:space="0" w:color="auto"/>
        <w:right w:val="none" w:sz="0" w:space="0" w:color="auto"/>
      </w:divBdr>
    </w:div>
    <w:div w:id="1966886888">
      <w:bodyDiv w:val="1"/>
      <w:marLeft w:val="0"/>
      <w:marRight w:val="0"/>
      <w:marTop w:val="0"/>
      <w:marBottom w:val="0"/>
      <w:divBdr>
        <w:top w:val="none" w:sz="0" w:space="0" w:color="auto"/>
        <w:left w:val="none" w:sz="0" w:space="0" w:color="auto"/>
        <w:bottom w:val="none" w:sz="0" w:space="0" w:color="auto"/>
        <w:right w:val="none" w:sz="0" w:space="0" w:color="auto"/>
      </w:divBdr>
    </w:div>
    <w:div w:id="2006470214">
      <w:bodyDiv w:val="1"/>
      <w:marLeft w:val="0"/>
      <w:marRight w:val="0"/>
      <w:marTop w:val="0"/>
      <w:marBottom w:val="0"/>
      <w:divBdr>
        <w:top w:val="none" w:sz="0" w:space="0" w:color="auto"/>
        <w:left w:val="none" w:sz="0" w:space="0" w:color="auto"/>
        <w:bottom w:val="none" w:sz="0" w:space="0" w:color="auto"/>
        <w:right w:val="none" w:sz="0" w:space="0" w:color="auto"/>
      </w:divBdr>
    </w:div>
    <w:div w:id="2010130949">
      <w:bodyDiv w:val="1"/>
      <w:marLeft w:val="0"/>
      <w:marRight w:val="0"/>
      <w:marTop w:val="0"/>
      <w:marBottom w:val="0"/>
      <w:divBdr>
        <w:top w:val="none" w:sz="0" w:space="0" w:color="auto"/>
        <w:left w:val="none" w:sz="0" w:space="0" w:color="auto"/>
        <w:bottom w:val="none" w:sz="0" w:space="0" w:color="auto"/>
        <w:right w:val="none" w:sz="0" w:space="0" w:color="auto"/>
      </w:divBdr>
    </w:div>
    <w:div w:id="2068530871">
      <w:bodyDiv w:val="1"/>
      <w:marLeft w:val="0"/>
      <w:marRight w:val="0"/>
      <w:marTop w:val="0"/>
      <w:marBottom w:val="0"/>
      <w:divBdr>
        <w:top w:val="none" w:sz="0" w:space="0" w:color="auto"/>
        <w:left w:val="none" w:sz="0" w:space="0" w:color="auto"/>
        <w:bottom w:val="none" w:sz="0" w:space="0" w:color="auto"/>
        <w:right w:val="none" w:sz="0" w:space="0" w:color="auto"/>
      </w:divBdr>
    </w:div>
    <w:div w:id="2104757405">
      <w:bodyDiv w:val="1"/>
      <w:marLeft w:val="0"/>
      <w:marRight w:val="0"/>
      <w:marTop w:val="0"/>
      <w:marBottom w:val="0"/>
      <w:divBdr>
        <w:top w:val="none" w:sz="0" w:space="0" w:color="auto"/>
        <w:left w:val="none" w:sz="0" w:space="0" w:color="auto"/>
        <w:bottom w:val="none" w:sz="0" w:space="0" w:color="auto"/>
        <w:right w:val="none" w:sz="0" w:space="0" w:color="auto"/>
      </w:divBdr>
    </w:div>
    <w:div w:id="213123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msac.gov.au/internet/msac/publishing.nsf/Content/Home-1"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sac.gov.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1038/s41698-024-00683-x" TargetMode="External"/><Relationship Id="rId2" Type="http://schemas.openxmlformats.org/officeDocument/2006/relationships/hyperlink" Target="https://www9.health.gov.au/mbs/fullDisplay.cfm?type=item&amp;q=73319&amp;qt=item&amp;criteria=73319" TargetMode="External"/><Relationship Id="rId1" Type="http://schemas.openxmlformats.org/officeDocument/2006/relationships/hyperlink" Target="https://www.pbs.gov.au/medicinestatus/document/128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7d54a9e-4aca-451b-99db-b94fe438e987">
      <UserInfo>
        <DisplayName/>
        <AccountId xsi:nil="true"/>
        <AccountType/>
      </UserInfo>
    </SharedWithUsers>
    <lcf76f155ced4ddcb4097134ff3c332f xmlns="7513b557-581c-46d3-8cc7-77c65017dc6f">
      <Terms xmlns="http://schemas.microsoft.com/office/infopath/2007/PartnerControls"/>
    </lcf76f155ced4ddcb4097134ff3c332f>
    <TaxCatchAll xmlns="e7d54a9e-4aca-451b-99db-b94fe438e987"/>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4A37BE997BE34FBB7D5057D341D123" ma:contentTypeVersion="13" ma:contentTypeDescription="Create a new document." ma:contentTypeScope="" ma:versionID="7945de09b0bd2dfd0464c416d7bf3e95">
  <xsd:schema xmlns:xsd="http://www.w3.org/2001/XMLSchema" xmlns:xs="http://www.w3.org/2001/XMLSchema" xmlns:p="http://schemas.microsoft.com/office/2006/metadata/properties" xmlns:ns2="7513b557-581c-46d3-8cc7-77c65017dc6f" xmlns:ns3="e7d54a9e-4aca-451b-99db-b94fe438e987" targetNamespace="http://schemas.microsoft.com/office/2006/metadata/properties" ma:root="true" ma:fieldsID="3ac271c091bacc93df53fa8bd429fd00" ns2:_="" ns3:_="">
    <xsd:import namespace="7513b557-581c-46d3-8cc7-77c65017dc6f"/>
    <xsd:import namespace="e7d54a9e-4aca-451b-99db-b94fe438e9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13b557-581c-46d3-8cc7-77c65017dc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d54a9e-4aca-451b-99db-b94fe438e9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b094059-5103-4cd0-8820-a17a44f45f06}" ma:internalName="TaxCatchAll" ma:showField="CatchAllData" ma:web="e7d54a9e-4aca-451b-99db-b94fe438e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22078-B503-4492-A88C-3C4D61538A51}">
  <ds:schemaRefs>
    <ds:schemaRef ds:uri="http://schemas.microsoft.com/office/2006/metadata/properties"/>
    <ds:schemaRef ds:uri="http://schemas.microsoft.com/office/infopath/2007/PartnerControls"/>
    <ds:schemaRef ds:uri="e7d54a9e-4aca-451b-99db-b94fe438e987"/>
    <ds:schemaRef ds:uri="7513b557-581c-46d3-8cc7-77c65017dc6f"/>
  </ds:schemaRefs>
</ds:datastoreItem>
</file>

<file path=customXml/itemProps2.xml><?xml version="1.0" encoding="utf-8"?>
<ds:datastoreItem xmlns:ds="http://schemas.openxmlformats.org/officeDocument/2006/customXml" ds:itemID="{1EE2E8ED-B1F8-4889-A987-218A3CAF9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13b557-581c-46d3-8cc7-77c65017dc6f"/>
    <ds:schemaRef ds:uri="e7d54a9e-4aca-451b-99db-b94fe438e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DC85E2-F936-4EEC-AD9B-4281E6975117}">
  <ds:schemaRefs>
    <ds:schemaRef ds:uri="http://schemas.microsoft.com/sharepoint/v3/contenttype/forms"/>
  </ds:schemaRefs>
</ds:datastoreItem>
</file>

<file path=customXml/itemProps4.xml><?xml version="1.0" encoding="utf-8"?>
<ds:datastoreItem xmlns:ds="http://schemas.openxmlformats.org/officeDocument/2006/customXml" ds:itemID="{8C2E7703-A24C-4C87-98C7-16C364BB0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6703</Words>
  <Characters>35775</Characters>
  <Application>Microsoft Office Word</Application>
  <DocSecurity>0</DocSecurity>
  <Lines>819</Lines>
  <Paragraphs>351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42396</CharactersWithSpaces>
  <SharedDoc>false</SharedDoc>
  <HyperlinkBase/>
  <HLinks>
    <vt:vector size="30" baseType="variant">
      <vt:variant>
        <vt:i4>6684716</vt:i4>
      </vt:variant>
      <vt:variant>
        <vt:i4>42</vt:i4>
      </vt:variant>
      <vt:variant>
        <vt:i4>0</vt:i4>
      </vt:variant>
      <vt:variant>
        <vt:i4>5</vt:i4>
      </vt:variant>
      <vt:variant>
        <vt:lpwstr>http://msac.gov.au/internet/msac/publishing.nsf/Content/Home-1</vt:lpwstr>
      </vt:variant>
      <vt:variant>
        <vt:lpwstr/>
      </vt:variant>
      <vt:variant>
        <vt:i4>3997744</vt:i4>
      </vt:variant>
      <vt:variant>
        <vt:i4>0</vt:i4>
      </vt:variant>
      <vt:variant>
        <vt:i4>0</vt:i4>
      </vt:variant>
      <vt:variant>
        <vt:i4>5</vt:i4>
      </vt:variant>
      <vt:variant>
        <vt:lpwstr>http://www.msac.gov.au/</vt:lpwstr>
      </vt:variant>
      <vt:variant>
        <vt:lpwstr/>
      </vt:variant>
      <vt:variant>
        <vt:i4>6488126</vt:i4>
      </vt:variant>
      <vt:variant>
        <vt:i4>6</vt:i4>
      </vt:variant>
      <vt:variant>
        <vt:i4>0</vt:i4>
      </vt:variant>
      <vt:variant>
        <vt:i4>5</vt:i4>
      </vt:variant>
      <vt:variant>
        <vt:lpwstr>https://doi.org/10.1038/s41698-024-00683-x</vt:lpwstr>
      </vt:variant>
      <vt:variant>
        <vt:lpwstr/>
      </vt:variant>
      <vt:variant>
        <vt:i4>2097259</vt:i4>
      </vt:variant>
      <vt:variant>
        <vt:i4>3</vt:i4>
      </vt:variant>
      <vt:variant>
        <vt:i4>0</vt:i4>
      </vt:variant>
      <vt:variant>
        <vt:i4>5</vt:i4>
      </vt:variant>
      <vt:variant>
        <vt:lpwstr>https://www9.health.gov.au/mbs/fullDisplay.cfm?type=item&amp;q=73319&amp;qt=item&amp;criteria=73319</vt:lpwstr>
      </vt:variant>
      <vt:variant>
        <vt:lpwstr/>
      </vt:variant>
      <vt:variant>
        <vt:i4>4718666</vt:i4>
      </vt:variant>
      <vt:variant>
        <vt:i4>0</vt:i4>
      </vt:variant>
      <vt:variant>
        <vt:i4>0</vt:i4>
      </vt:variant>
      <vt:variant>
        <vt:i4>5</vt:i4>
      </vt:variant>
      <vt:variant>
        <vt:lpwstr>https://www.pbs.gov.au/medicinestatus/document/1289.html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2026-02-24T18:30:00Z</dcterms:created>
  <dcterms:modified xsi:type="dcterms:W3CDTF">2026-03-04T23:51:00Z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41698f75,6d021890,9a3c92f</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a34b452,76ac7cf2,1cd6998b</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2026-01-22T04:59:04Z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f209e0ec-73fe-4213-8849-c44e63a0220a</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HPPArchived">
    <vt:lpwstr>Archived</vt:lpwstr>
  </property>
  <property fmtid="{D5CDD505-2E9C-101B-9397-08002B2CF9AE}" pid="17" name="MediaServiceImageTags">
    <vt:lpwstr/>
  </property>
  <property fmtid="{D5CDD505-2E9C-101B-9397-08002B2CF9AE}" pid="18" name="xd_ProgID">
    <vt:lpwstr/>
  </property>
  <property fmtid="{D5CDD505-2E9C-101B-9397-08002B2CF9AE}" pid="19" name="ContentTypeId">
    <vt:lpwstr>0x0101005E4A37BE997BE34FBB7D5057D341D123</vt:lpwstr>
  </property>
  <property fmtid="{D5CDD505-2E9C-101B-9397-08002B2CF9AE}" pid="20" name="TrimRecordURI">
    <vt:lpwstr>261867092</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HPPTrimContainerId">
    <vt:lpwstr>E25-547800</vt:lpwstr>
  </property>
  <property fmtid="{D5CDD505-2E9C-101B-9397-08002B2CF9AE}" pid="25" name="docLang">
    <vt:lpwstr>en</vt:lpwstr>
  </property>
  <property fmtid="{D5CDD505-2E9C-101B-9397-08002B2CF9AE}" pid="26" name="xd_Signature">
    <vt:bool>false</vt:bool>
  </property>
  <property fmtid="{D5CDD505-2E9C-101B-9397-08002B2CF9AE}" pid="27" name="HPPTrimLink">
    <vt:lpwstr>https://auc-common-prd-app-as-trim.azurewebsites.net/Api/DownloadTrimFile/HPP/D25-4529389</vt:lpwstr>
  </property>
  <property fmtid="{D5CDD505-2E9C-101B-9397-08002B2CF9AE}" pid="28" name="HPPTrimRecordId">
    <vt:lpwstr>D25-4529389</vt:lpwstr>
  </property>
  <property fmtid="{D5CDD505-2E9C-101B-9397-08002B2CF9AE}" pid="29" name="TriggerFlowInfo">
    <vt:lpwstr/>
  </property>
  <property fmtid="{D5CDD505-2E9C-101B-9397-08002B2CF9AE}" pid="30" name="Order">
    <vt:r8>7622200</vt:r8>
  </property>
</Properties>
</file>