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E6B6C" w14:textId="70EC6C72" w:rsidR="006478E7" w:rsidRPr="00374CCA" w:rsidRDefault="00287A00" w:rsidP="006478E7">
      <w:pPr>
        <w:spacing w:before="120" w:after="120" w:line="312" w:lineRule="auto"/>
        <w:jc w:val="center"/>
      </w:pPr>
      <w:r w:rsidRPr="00374CCA">
        <w:t xml:space="preserve"> </w:t>
      </w:r>
    </w:p>
    <w:p w14:paraId="50B6D781" w14:textId="67335690" w:rsidR="006478E7" w:rsidRPr="00E57713" w:rsidRDefault="05F80DC4" w:rsidP="00BB0FFB">
      <w:pPr>
        <w:pStyle w:val="Heading10"/>
        <w:spacing w:before="2880"/>
        <w:jc w:val="center"/>
        <w:rPr>
          <w:sz w:val="48"/>
          <w:szCs w:val="48"/>
          <w:lang w:val="en-AU"/>
        </w:rPr>
      </w:pPr>
      <w:r w:rsidRPr="100B7348">
        <w:rPr>
          <w:sz w:val="48"/>
          <w:szCs w:val="48"/>
          <w:lang w:val="en-AU"/>
        </w:rPr>
        <w:t xml:space="preserve">MSAC </w:t>
      </w:r>
      <w:r w:rsidR="7AB1AA09" w:rsidRPr="100B7348">
        <w:rPr>
          <w:sz w:val="48"/>
          <w:szCs w:val="48"/>
          <w:lang w:val="en-AU"/>
        </w:rPr>
        <w:t xml:space="preserve">Application </w:t>
      </w:r>
      <w:r w:rsidR="0BEAE9CD" w:rsidRPr="100B7348">
        <w:rPr>
          <w:sz w:val="48"/>
          <w:szCs w:val="48"/>
          <w:lang w:val="en-AU"/>
        </w:rPr>
        <w:t>1812</w:t>
      </w:r>
    </w:p>
    <w:p w14:paraId="11765312" w14:textId="2B6585F3" w:rsidR="006478E7" w:rsidRPr="00E57713" w:rsidRDefault="00E2197B" w:rsidP="006478E7">
      <w:pPr>
        <w:pStyle w:val="Heading10"/>
        <w:jc w:val="center"/>
        <w:rPr>
          <w:color w:val="002060"/>
          <w:sz w:val="48"/>
          <w:szCs w:val="48"/>
          <w:lang w:val="en-AU"/>
        </w:rPr>
      </w:pPr>
      <w:r w:rsidRPr="00E57713">
        <w:rPr>
          <w:color w:val="002060"/>
          <w:sz w:val="48"/>
          <w:szCs w:val="48"/>
          <w:lang w:val="en-AU"/>
        </w:rPr>
        <w:t xml:space="preserve">Transcatheter </w:t>
      </w:r>
      <w:r w:rsidR="00E76C1C" w:rsidRPr="00E57713">
        <w:rPr>
          <w:color w:val="002060"/>
          <w:sz w:val="48"/>
          <w:szCs w:val="48"/>
          <w:lang w:val="en-AU"/>
        </w:rPr>
        <w:t>e</w:t>
      </w:r>
      <w:r w:rsidRPr="00E57713">
        <w:rPr>
          <w:color w:val="002060"/>
          <w:sz w:val="48"/>
          <w:szCs w:val="48"/>
          <w:lang w:val="en-AU"/>
        </w:rPr>
        <w:t>dge-</w:t>
      </w:r>
      <w:r w:rsidR="00E76C1C" w:rsidRPr="00E57713">
        <w:rPr>
          <w:color w:val="002060"/>
          <w:sz w:val="48"/>
          <w:szCs w:val="48"/>
          <w:lang w:val="en-AU"/>
        </w:rPr>
        <w:t>t</w:t>
      </w:r>
      <w:r w:rsidRPr="00E57713">
        <w:rPr>
          <w:color w:val="002060"/>
          <w:sz w:val="48"/>
          <w:szCs w:val="48"/>
          <w:lang w:val="en-AU"/>
        </w:rPr>
        <w:t>o-</w:t>
      </w:r>
      <w:r w:rsidR="00E76C1C" w:rsidRPr="00E57713">
        <w:rPr>
          <w:color w:val="002060"/>
          <w:sz w:val="48"/>
          <w:szCs w:val="48"/>
          <w:lang w:val="en-AU"/>
        </w:rPr>
        <w:t>e</w:t>
      </w:r>
      <w:r w:rsidRPr="00E57713">
        <w:rPr>
          <w:color w:val="002060"/>
          <w:sz w:val="48"/>
          <w:szCs w:val="48"/>
          <w:lang w:val="en-AU"/>
        </w:rPr>
        <w:t xml:space="preserve">dge </w:t>
      </w:r>
      <w:r w:rsidR="00E76C1C" w:rsidRPr="00E57713">
        <w:rPr>
          <w:color w:val="002060"/>
          <w:sz w:val="48"/>
          <w:szCs w:val="48"/>
          <w:lang w:val="en-AU"/>
        </w:rPr>
        <w:t>r</w:t>
      </w:r>
      <w:r w:rsidRPr="00E57713">
        <w:rPr>
          <w:color w:val="002060"/>
          <w:sz w:val="48"/>
          <w:szCs w:val="48"/>
          <w:lang w:val="en-AU"/>
        </w:rPr>
        <w:t>epair (TEER) for the treatment of severe tricuspid regurgitation (TR) using the TriClip device</w:t>
      </w:r>
    </w:p>
    <w:p w14:paraId="44FD303D" w14:textId="59E44DAA" w:rsidR="00477EE1" w:rsidRPr="00E57713" w:rsidRDefault="00D47F16" w:rsidP="00477EE1">
      <w:pPr>
        <w:pStyle w:val="Heading10"/>
        <w:jc w:val="center"/>
        <w:rPr>
          <w:color w:val="002060"/>
          <w:sz w:val="40"/>
          <w:szCs w:val="40"/>
          <w:lang w:val="en-AU"/>
        </w:rPr>
      </w:pPr>
      <w:r w:rsidRPr="00E57713">
        <w:rPr>
          <w:color w:val="002060"/>
          <w:sz w:val="40"/>
          <w:szCs w:val="40"/>
          <w:lang w:val="en-AU"/>
        </w:rPr>
        <w:t xml:space="preserve">Applicant: </w:t>
      </w:r>
      <w:r w:rsidR="00206EA6" w:rsidRPr="00E57713">
        <w:rPr>
          <w:color w:val="002060"/>
          <w:sz w:val="40"/>
          <w:szCs w:val="40"/>
          <w:lang w:val="en-AU"/>
        </w:rPr>
        <w:t>Abbott Medical Australia Pty Limited</w:t>
      </w:r>
    </w:p>
    <w:p w14:paraId="23900CA0" w14:textId="430317B5" w:rsidR="006478E7" w:rsidRPr="00E57713" w:rsidRDefault="006478E7" w:rsidP="00BB0FFB">
      <w:pPr>
        <w:pStyle w:val="Heading1"/>
        <w:rPr>
          <w:lang w:val="en-AU"/>
        </w:rPr>
      </w:pPr>
      <w:r w:rsidRPr="00E57713">
        <w:rPr>
          <w:lang w:val="en-AU"/>
        </w:rPr>
        <w:t>PICO Confirmation</w:t>
      </w:r>
      <w:r w:rsidRPr="00E57713">
        <w:rPr>
          <w:lang w:val="en-AU"/>
        </w:rPr>
        <w:br w:type="page"/>
      </w:r>
    </w:p>
    <w:p w14:paraId="219312C8" w14:textId="76A682CC" w:rsidR="006478E7" w:rsidRPr="00374CCA" w:rsidRDefault="7AB1AA09" w:rsidP="00BB0FFB">
      <w:pPr>
        <w:pStyle w:val="Heading2"/>
      </w:pPr>
      <w:r>
        <w:lastRenderedPageBreak/>
        <w:t>Summary of PI</w:t>
      </w:r>
      <w:r w:rsidR="220DB905">
        <w:t xml:space="preserve">CO criteria to define </w:t>
      </w:r>
      <w:r>
        <w:t>question to be addressed in an Assessment Report to the Medical Services Advisory Committee (MSAC)</w:t>
      </w:r>
    </w:p>
    <w:p w14:paraId="224459F3" w14:textId="200E6BC4" w:rsidR="00D52956" w:rsidRPr="00E57713" w:rsidRDefault="00D52956" w:rsidP="00D52956">
      <w:pPr>
        <w:pStyle w:val="Caption"/>
        <w:rPr>
          <w:lang w:val="en-AU"/>
        </w:rPr>
      </w:pPr>
      <w:bookmarkStart w:id="0" w:name="_Ref69732160"/>
      <w:bookmarkStart w:id="1" w:name="_Ref69732155"/>
      <w:r w:rsidRPr="00E57713">
        <w:rPr>
          <w:lang w:val="en-AU"/>
        </w:rPr>
        <w:t>Table</w:t>
      </w:r>
      <w:r w:rsidR="00FD4C65" w:rsidRPr="00E57713">
        <w:rPr>
          <w:lang w:val="en-AU"/>
        </w:rPr>
        <w:t> </w:t>
      </w:r>
      <w:r w:rsidRPr="00E57713">
        <w:rPr>
          <w:lang w:val="en-AU"/>
        </w:rPr>
        <w:fldChar w:fldCharType="begin"/>
      </w:r>
      <w:r w:rsidRPr="00E57713">
        <w:rPr>
          <w:lang w:val="en-AU"/>
        </w:rPr>
        <w:instrText xml:space="preserve"> SEQ Table \* ARABIC </w:instrText>
      </w:r>
      <w:r w:rsidRPr="00E57713">
        <w:rPr>
          <w:lang w:val="en-AU"/>
        </w:rPr>
        <w:fldChar w:fldCharType="separate"/>
      </w:r>
      <w:r w:rsidR="005B2582" w:rsidRPr="00E57713">
        <w:rPr>
          <w:lang w:val="en-AU"/>
        </w:rPr>
        <w:t>1</w:t>
      </w:r>
      <w:r w:rsidRPr="00E57713">
        <w:rPr>
          <w:lang w:val="en-AU"/>
        </w:rPr>
        <w:fldChar w:fldCharType="end"/>
      </w:r>
      <w:bookmarkEnd w:id="0"/>
      <w:r w:rsidRPr="00E57713">
        <w:rPr>
          <w:lang w:val="en-AU"/>
        </w:rPr>
        <w:tab/>
        <w:t xml:space="preserve">PICO for </w:t>
      </w:r>
      <w:r w:rsidR="00E76C1C" w:rsidRPr="00E57713">
        <w:rPr>
          <w:lang w:val="en-AU"/>
        </w:rPr>
        <w:t>transcatheter edge-to-edge repair for the treatment of severe tricuspid regurgitation</w:t>
      </w:r>
      <w:bookmarkEnd w:id="1"/>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A0" w:firstRow="1" w:lastRow="0" w:firstColumn="1" w:lastColumn="0" w:noHBand="0" w:noVBand="0"/>
        <w:tblCaption w:val="PICO for transcatheter edge-to-edge repair for the treatment of severe tricuspid regurgitation"/>
        <w:tblDescription w:val="This table outlines the PICO criteria and research questions to guide the assessment of T-TEER for severe TR"/>
      </w:tblPr>
      <w:tblGrid>
        <w:gridCol w:w="1923"/>
        <w:gridCol w:w="7643"/>
      </w:tblGrid>
      <w:tr w:rsidR="006478E7" w:rsidRPr="00374CCA" w14:paraId="2A509B30" w14:textId="77777777" w:rsidTr="00C54349">
        <w:trPr>
          <w:trHeight w:val="372"/>
          <w:tblHeader/>
        </w:trPr>
        <w:tc>
          <w:tcPr>
            <w:tcW w:w="1005" w:type="pct"/>
            <w:tcBorders>
              <w:top w:val="single" w:sz="8" w:space="0" w:color="auto"/>
              <w:left w:val="single" w:sz="8" w:space="0" w:color="auto"/>
              <w:bottom w:val="single" w:sz="8" w:space="0" w:color="auto"/>
              <w:right w:val="single" w:sz="4" w:space="0" w:color="auto"/>
            </w:tcBorders>
            <w:shd w:val="clear" w:color="auto" w:fill="D9D9D9"/>
            <w:vAlign w:val="center"/>
            <w:hideMark/>
          </w:tcPr>
          <w:p w14:paraId="333B8A35" w14:textId="77777777" w:rsidR="006478E7" w:rsidRPr="00374CCA" w:rsidRDefault="006478E7" w:rsidP="00C54349">
            <w:pPr>
              <w:spacing w:before="20" w:after="20" w:line="240" w:lineRule="auto"/>
              <w:rPr>
                <w:b/>
              </w:rPr>
            </w:pPr>
            <w:bookmarkStart w:id="2" w:name="Title_Table1" w:colFirst="0" w:colLast="0"/>
            <w:r w:rsidRPr="00374CCA">
              <w:rPr>
                <w:b/>
              </w:rPr>
              <w:t>Component</w:t>
            </w:r>
          </w:p>
        </w:tc>
        <w:tc>
          <w:tcPr>
            <w:tcW w:w="3995"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E31DF4F" w14:textId="77777777" w:rsidR="006478E7" w:rsidRPr="00374CCA" w:rsidRDefault="006478E7" w:rsidP="00C54349">
            <w:pPr>
              <w:spacing w:before="20" w:after="20" w:line="240" w:lineRule="auto"/>
              <w:rPr>
                <w:b/>
              </w:rPr>
            </w:pPr>
            <w:r w:rsidRPr="00374CCA">
              <w:rPr>
                <w:b/>
              </w:rPr>
              <w:t>Description</w:t>
            </w:r>
          </w:p>
        </w:tc>
      </w:tr>
      <w:bookmarkEnd w:id="2"/>
      <w:tr w:rsidR="006478E7" w:rsidRPr="00374CCA" w14:paraId="78E0BB65" w14:textId="77777777" w:rsidTr="00AE39B3">
        <w:tc>
          <w:tcPr>
            <w:tcW w:w="1005" w:type="pct"/>
            <w:tcBorders>
              <w:top w:val="single" w:sz="8" w:space="0" w:color="auto"/>
              <w:left w:val="single" w:sz="8" w:space="0" w:color="auto"/>
              <w:bottom w:val="single" w:sz="4" w:space="0" w:color="auto"/>
              <w:right w:val="single" w:sz="4" w:space="0" w:color="auto"/>
            </w:tcBorders>
            <w:hideMark/>
          </w:tcPr>
          <w:p w14:paraId="715E50D5" w14:textId="74EB4863" w:rsidR="006478E7" w:rsidRPr="00374CCA" w:rsidRDefault="00F660E8" w:rsidP="00E01349">
            <w:pPr>
              <w:spacing w:before="120" w:after="120" w:line="240" w:lineRule="auto"/>
              <w:rPr>
                <w:rFonts w:cs="Arial"/>
              </w:rPr>
            </w:pPr>
            <w:r w:rsidRPr="00374CCA">
              <w:rPr>
                <w:rFonts w:cs="Arial"/>
              </w:rPr>
              <w:t>Population</w:t>
            </w:r>
          </w:p>
        </w:tc>
        <w:tc>
          <w:tcPr>
            <w:tcW w:w="3995" w:type="pct"/>
            <w:tcBorders>
              <w:top w:val="single" w:sz="4" w:space="0" w:color="auto"/>
              <w:left w:val="single" w:sz="4" w:space="0" w:color="auto"/>
              <w:bottom w:val="single" w:sz="4" w:space="0" w:color="auto"/>
              <w:right w:val="single" w:sz="4" w:space="0" w:color="auto"/>
            </w:tcBorders>
          </w:tcPr>
          <w:p w14:paraId="4A4FF7C2" w14:textId="4427F22D" w:rsidR="006478E7" w:rsidRPr="00374CCA" w:rsidRDefault="00930BEF" w:rsidP="00BE49FE">
            <w:pPr>
              <w:spacing w:before="120" w:after="120" w:line="240" w:lineRule="auto"/>
              <w:rPr>
                <w:color w:val="000000" w:themeColor="text1"/>
              </w:rPr>
            </w:pPr>
            <w:r w:rsidRPr="00374CCA">
              <w:rPr>
                <w:color w:val="000000" w:themeColor="text1"/>
              </w:rPr>
              <w:t>P</w:t>
            </w:r>
            <w:r w:rsidR="0064158B" w:rsidRPr="00374CCA">
              <w:rPr>
                <w:color w:val="000000" w:themeColor="text1"/>
              </w:rPr>
              <w:t xml:space="preserve">atients with severe </w:t>
            </w:r>
            <w:r w:rsidRPr="00374CCA">
              <w:rPr>
                <w:color w:val="000000" w:themeColor="text1"/>
              </w:rPr>
              <w:t xml:space="preserve">tricuspid regurgitation (TR) </w:t>
            </w:r>
            <w:r w:rsidR="0064158B" w:rsidRPr="00374CCA">
              <w:rPr>
                <w:color w:val="000000" w:themeColor="text1"/>
              </w:rPr>
              <w:t>who are symptomatic (</w:t>
            </w:r>
            <w:r w:rsidR="00A40037" w:rsidRPr="00374CCA">
              <w:rPr>
                <w:color w:val="000000" w:themeColor="text1"/>
              </w:rPr>
              <w:t>New York Heart Association [</w:t>
            </w:r>
            <w:r w:rsidR="0064158B" w:rsidRPr="00374CCA">
              <w:rPr>
                <w:color w:val="000000" w:themeColor="text1"/>
              </w:rPr>
              <w:t>NYHA</w:t>
            </w:r>
            <w:r w:rsidR="00A40037" w:rsidRPr="00374CCA">
              <w:rPr>
                <w:color w:val="000000" w:themeColor="text1"/>
              </w:rPr>
              <w:t>]</w:t>
            </w:r>
            <w:r w:rsidR="0064158B" w:rsidRPr="00374CCA">
              <w:rPr>
                <w:color w:val="000000" w:themeColor="text1"/>
              </w:rPr>
              <w:t xml:space="preserve"> </w:t>
            </w:r>
            <w:r w:rsidR="00BC282D" w:rsidRPr="00374CCA">
              <w:rPr>
                <w:color w:val="000000" w:themeColor="text1"/>
              </w:rPr>
              <w:t>f</w:t>
            </w:r>
            <w:r w:rsidR="0064158B" w:rsidRPr="00374CCA">
              <w:rPr>
                <w:color w:val="000000" w:themeColor="text1"/>
              </w:rPr>
              <w:t xml:space="preserve">unctional </w:t>
            </w:r>
            <w:r w:rsidR="00BC282D" w:rsidRPr="00374CCA">
              <w:rPr>
                <w:color w:val="000000" w:themeColor="text1"/>
              </w:rPr>
              <w:t>c</w:t>
            </w:r>
            <w:r w:rsidR="0064158B" w:rsidRPr="00374CCA">
              <w:rPr>
                <w:color w:val="000000" w:themeColor="text1"/>
              </w:rPr>
              <w:t xml:space="preserve">lass II, III or ambulatory IV) despite treatment with </w:t>
            </w:r>
            <w:r w:rsidR="00085FD7" w:rsidRPr="00374CCA">
              <w:rPr>
                <w:color w:val="000000" w:themeColor="text1"/>
              </w:rPr>
              <w:t>optimal medical therapy (</w:t>
            </w:r>
            <w:r w:rsidR="0064158B" w:rsidRPr="00374CCA">
              <w:rPr>
                <w:color w:val="000000" w:themeColor="text1"/>
              </w:rPr>
              <w:t>OMT</w:t>
            </w:r>
            <w:r w:rsidR="00085FD7" w:rsidRPr="00374CCA">
              <w:rPr>
                <w:color w:val="000000" w:themeColor="text1"/>
              </w:rPr>
              <w:t>)</w:t>
            </w:r>
            <w:r w:rsidR="0064158B" w:rsidRPr="00374CCA">
              <w:rPr>
                <w:color w:val="000000" w:themeColor="text1"/>
              </w:rPr>
              <w:t xml:space="preserve">, </w:t>
            </w:r>
            <w:r w:rsidR="00532360" w:rsidRPr="00374CCA">
              <w:rPr>
                <w:color w:val="000000" w:themeColor="text1"/>
              </w:rPr>
              <w:t>and who have</w:t>
            </w:r>
            <w:r w:rsidR="0064158B" w:rsidRPr="00374CCA">
              <w:rPr>
                <w:color w:val="000000" w:themeColor="text1"/>
              </w:rPr>
              <w:t xml:space="preserve"> </w:t>
            </w:r>
            <w:r w:rsidR="00A2601E" w:rsidRPr="00374CCA">
              <w:rPr>
                <w:color w:val="000000" w:themeColor="text1"/>
              </w:rPr>
              <w:t xml:space="preserve">systolic </w:t>
            </w:r>
            <w:r w:rsidR="00F96857" w:rsidRPr="00374CCA">
              <w:rPr>
                <w:color w:val="000000" w:themeColor="text1"/>
              </w:rPr>
              <w:t>pulmonary artery pressure (s</w:t>
            </w:r>
            <w:r w:rsidR="0064158B" w:rsidRPr="00374CCA">
              <w:rPr>
                <w:color w:val="000000" w:themeColor="text1"/>
              </w:rPr>
              <w:t>PAP</w:t>
            </w:r>
            <w:r w:rsidR="00F96857" w:rsidRPr="00374CCA">
              <w:rPr>
                <w:color w:val="000000" w:themeColor="text1"/>
              </w:rPr>
              <w:t>)</w:t>
            </w:r>
            <w:r w:rsidR="00BC282D" w:rsidRPr="00374CCA">
              <w:rPr>
                <w:color w:val="000000" w:themeColor="text1"/>
              </w:rPr>
              <w:t xml:space="preserve"> of </w:t>
            </w:r>
            <w:r w:rsidR="003733AF" w:rsidRPr="00374CCA">
              <w:rPr>
                <w:rFonts w:cs="Calibri"/>
                <w:color w:val="000000" w:themeColor="text1"/>
              </w:rPr>
              <w:t>≤</w:t>
            </w:r>
            <w:r w:rsidR="0064158B" w:rsidRPr="00374CCA">
              <w:rPr>
                <w:color w:val="000000" w:themeColor="text1"/>
              </w:rPr>
              <w:t>70</w:t>
            </w:r>
            <w:r w:rsidR="00BC282D" w:rsidRPr="00374CCA">
              <w:rPr>
                <w:color w:val="000000" w:themeColor="text1"/>
              </w:rPr>
              <w:t> </w:t>
            </w:r>
            <w:r w:rsidR="0064158B" w:rsidRPr="00374CCA">
              <w:rPr>
                <w:color w:val="000000" w:themeColor="text1"/>
              </w:rPr>
              <w:t xml:space="preserve">mmHg, </w:t>
            </w:r>
            <w:r w:rsidR="00532360" w:rsidRPr="00374CCA">
              <w:rPr>
                <w:color w:val="000000" w:themeColor="text1"/>
              </w:rPr>
              <w:t xml:space="preserve">and </w:t>
            </w:r>
            <w:r w:rsidR="005D5F0E" w:rsidRPr="00374CCA">
              <w:rPr>
                <w:color w:val="000000" w:themeColor="text1"/>
              </w:rPr>
              <w:t xml:space="preserve">left ventricular ejection fraction (LVEF) of </w:t>
            </w:r>
            <w:r w:rsidR="00252747" w:rsidRPr="00374CCA">
              <w:rPr>
                <w:color w:val="000000" w:themeColor="text1"/>
              </w:rPr>
              <w:t>&gt;</w:t>
            </w:r>
            <w:r w:rsidR="0064158B" w:rsidRPr="00374CCA">
              <w:rPr>
                <w:color w:val="000000" w:themeColor="text1"/>
              </w:rPr>
              <w:t xml:space="preserve">20%, and are deemed by a qualified multidisciplinary heart team </w:t>
            </w:r>
            <w:r w:rsidR="005A7BBB" w:rsidRPr="00374CCA">
              <w:rPr>
                <w:color w:val="000000" w:themeColor="text1"/>
              </w:rPr>
              <w:t>(</w:t>
            </w:r>
            <w:r w:rsidR="00E9613A" w:rsidRPr="00374CCA">
              <w:rPr>
                <w:color w:val="000000" w:themeColor="text1"/>
              </w:rPr>
              <w:t>M</w:t>
            </w:r>
            <w:r w:rsidR="00161B98" w:rsidRPr="00374CCA">
              <w:rPr>
                <w:color w:val="000000" w:themeColor="text1"/>
              </w:rPr>
              <w:t>D</w:t>
            </w:r>
            <w:r w:rsidR="00E9613A" w:rsidRPr="00374CCA">
              <w:rPr>
                <w:color w:val="000000" w:themeColor="text1"/>
              </w:rPr>
              <w:t xml:space="preserve">HT) </w:t>
            </w:r>
            <w:r w:rsidR="0064158B" w:rsidRPr="00374CCA">
              <w:rPr>
                <w:color w:val="000000" w:themeColor="text1"/>
              </w:rPr>
              <w:t xml:space="preserve">to be suitable for </w:t>
            </w:r>
            <w:r w:rsidR="006678FB" w:rsidRPr="00374CCA">
              <w:rPr>
                <w:color w:val="000000" w:themeColor="text1"/>
              </w:rPr>
              <w:t xml:space="preserve">isolated transcatheter </w:t>
            </w:r>
            <w:r w:rsidR="004109EE" w:rsidRPr="00374CCA">
              <w:rPr>
                <w:color w:val="000000" w:themeColor="text1"/>
              </w:rPr>
              <w:t>edge-to-edge repair (</w:t>
            </w:r>
            <w:r w:rsidR="0064158B" w:rsidRPr="00374CCA">
              <w:rPr>
                <w:color w:val="000000" w:themeColor="text1"/>
              </w:rPr>
              <w:t>TEER</w:t>
            </w:r>
            <w:r w:rsidR="004109EE" w:rsidRPr="00374CCA">
              <w:rPr>
                <w:color w:val="000000" w:themeColor="text1"/>
              </w:rPr>
              <w:t>)</w:t>
            </w:r>
          </w:p>
        </w:tc>
      </w:tr>
      <w:tr w:rsidR="006478E7" w:rsidRPr="00374CCA" w14:paraId="654E13A9" w14:textId="77777777" w:rsidTr="00AE39B3">
        <w:tc>
          <w:tcPr>
            <w:tcW w:w="1005" w:type="pct"/>
            <w:tcBorders>
              <w:top w:val="single" w:sz="4" w:space="0" w:color="auto"/>
              <w:left w:val="single" w:sz="8" w:space="0" w:color="auto"/>
              <w:bottom w:val="single" w:sz="4" w:space="0" w:color="auto"/>
              <w:right w:val="single" w:sz="4" w:space="0" w:color="auto"/>
            </w:tcBorders>
            <w:hideMark/>
          </w:tcPr>
          <w:p w14:paraId="5BF0C211" w14:textId="77777777" w:rsidR="006478E7" w:rsidRPr="00374CCA" w:rsidRDefault="006478E7" w:rsidP="00E01349">
            <w:pPr>
              <w:spacing w:before="120" w:after="120" w:line="240" w:lineRule="auto"/>
              <w:rPr>
                <w:rFonts w:cs="Arial"/>
              </w:rPr>
            </w:pPr>
            <w:r w:rsidRPr="00374CCA">
              <w:rPr>
                <w:rFonts w:cs="Arial"/>
              </w:rPr>
              <w:t>Intervention</w:t>
            </w:r>
          </w:p>
        </w:tc>
        <w:tc>
          <w:tcPr>
            <w:tcW w:w="3995" w:type="pct"/>
            <w:tcBorders>
              <w:top w:val="single" w:sz="4" w:space="0" w:color="auto"/>
              <w:left w:val="single" w:sz="4" w:space="0" w:color="auto"/>
              <w:bottom w:val="single" w:sz="4" w:space="0" w:color="auto"/>
              <w:right w:val="single" w:sz="4" w:space="0" w:color="auto"/>
            </w:tcBorders>
          </w:tcPr>
          <w:p w14:paraId="3E51DB12" w14:textId="436E6A34" w:rsidR="006478E7" w:rsidRPr="00374CCA" w:rsidRDefault="005D6230" w:rsidP="00BE49FE">
            <w:pPr>
              <w:spacing w:before="120" w:after="120" w:line="240" w:lineRule="auto"/>
              <w:rPr>
                <w:color w:val="000000" w:themeColor="text1"/>
              </w:rPr>
            </w:pPr>
            <w:r w:rsidRPr="00374CCA">
              <w:rPr>
                <w:color w:val="000000" w:themeColor="text1"/>
              </w:rPr>
              <w:t>Transcatheter edge-to-edge repair of the tricuspid valve (T-TEER)</w:t>
            </w:r>
            <w:r w:rsidR="003125F5" w:rsidRPr="00374CCA">
              <w:rPr>
                <w:color w:val="000000" w:themeColor="text1"/>
              </w:rPr>
              <w:t xml:space="preserve"> in addition to </w:t>
            </w:r>
            <w:r w:rsidR="0098351F" w:rsidRPr="00374CCA">
              <w:rPr>
                <w:color w:val="000000" w:themeColor="text1"/>
              </w:rPr>
              <w:t>continued OMT</w:t>
            </w:r>
          </w:p>
        </w:tc>
      </w:tr>
      <w:tr w:rsidR="006478E7" w:rsidRPr="00374CCA" w14:paraId="1F5647C3" w14:textId="77777777" w:rsidTr="00AE39B3">
        <w:tc>
          <w:tcPr>
            <w:tcW w:w="1005" w:type="pct"/>
            <w:tcBorders>
              <w:top w:val="single" w:sz="4" w:space="0" w:color="auto"/>
              <w:left w:val="single" w:sz="8" w:space="0" w:color="auto"/>
              <w:bottom w:val="single" w:sz="4" w:space="0" w:color="auto"/>
              <w:right w:val="single" w:sz="4" w:space="0" w:color="auto"/>
            </w:tcBorders>
            <w:hideMark/>
          </w:tcPr>
          <w:p w14:paraId="7F55173A" w14:textId="2569D775" w:rsidR="006478E7" w:rsidRPr="00374CCA" w:rsidRDefault="006478E7" w:rsidP="00E01349">
            <w:pPr>
              <w:spacing w:before="120" w:after="120" w:line="240" w:lineRule="auto"/>
              <w:rPr>
                <w:rFonts w:cs="Arial"/>
              </w:rPr>
            </w:pPr>
            <w:r w:rsidRPr="00374CCA">
              <w:rPr>
                <w:rFonts w:cs="Arial"/>
              </w:rPr>
              <w:t>Comparator</w:t>
            </w:r>
          </w:p>
        </w:tc>
        <w:tc>
          <w:tcPr>
            <w:tcW w:w="3995" w:type="pct"/>
            <w:tcBorders>
              <w:top w:val="single" w:sz="4" w:space="0" w:color="auto"/>
              <w:left w:val="single" w:sz="4" w:space="0" w:color="auto"/>
              <w:bottom w:val="single" w:sz="4" w:space="0" w:color="auto"/>
              <w:right w:val="single" w:sz="4" w:space="0" w:color="auto"/>
            </w:tcBorders>
          </w:tcPr>
          <w:p w14:paraId="7E690E4B" w14:textId="18B89B5B" w:rsidR="006478E7" w:rsidRPr="00374CCA" w:rsidRDefault="00135FD7" w:rsidP="00BE49FE">
            <w:pPr>
              <w:spacing w:before="120" w:after="120" w:line="240" w:lineRule="auto"/>
              <w:rPr>
                <w:color w:val="000000" w:themeColor="text1"/>
              </w:rPr>
            </w:pPr>
            <w:r w:rsidRPr="00374CCA">
              <w:rPr>
                <w:color w:val="000000" w:themeColor="text1"/>
              </w:rPr>
              <w:t>Continued OMT alone</w:t>
            </w:r>
          </w:p>
        </w:tc>
      </w:tr>
      <w:tr w:rsidR="006478E7" w:rsidRPr="00374CCA" w14:paraId="591B1D2D" w14:textId="77777777" w:rsidTr="00AE39B3">
        <w:tc>
          <w:tcPr>
            <w:tcW w:w="1005" w:type="pct"/>
            <w:tcBorders>
              <w:top w:val="single" w:sz="4" w:space="0" w:color="auto"/>
              <w:left w:val="single" w:sz="8" w:space="0" w:color="auto"/>
              <w:bottom w:val="single" w:sz="4" w:space="0" w:color="auto"/>
              <w:right w:val="single" w:sz="4" w:space="0" w:color="auto"/>
            </w:tcBorders>
            <w:hideMark/>
          </w:tcPr>
          <w:p w14:paraId="635F9D15" w14:textId="77777777" w:rsidR="006478E7" w:rsidRPr="00374CCA" w:rsidRDefault="006478E7" w:rsidP="00E01349">
            <w:pPr>
              <w:spacing w:before="120" w:after="120" w:line="240" w:lineRule="auto"/>
              <w:rPr>
                <w:rFonts w:cs="Arial"/>
              </w:rPr>
            </w:pPr>
            <w:r w:rsidRPr="00374CCA">
              <w:rPr>
                <w:rFonts w:cs="Arial"/>
              </w:rPr>
              <w:t>Outcomes</w:t>
            </w:r>
          </w:p>
        </w:tc>
        <w:tc>
          <w:tcPr>
            <w:tcW w:w="3995" w:type="pct"/>
            <w:tcBorders>
              <w:top w:val="single" w:sz="4" w:space="0" w:color="auto"/>
              <w:left w:val="single" w:sz="4" w:space="0" w:color="auto"/>
              <w:bottom w:val="single" w:sz="4" w:space="0" w:color="auto"/>
              <w:right w:val="single" w:sz="4" w:space="0" w:color="auto"/>
            </w:tcBorders>
          </w:tcPr>
          <w:p w14:paraId="387B1C8E" w14:textId="77777777" w:rsidR="0052239B" w:rsidRPr="00374CCA" w:rsidRDefault="0052239B" w:rsidP="0052239B">
            <w:pPr>
              <w:keepNext/>
              <w:spacing w:before="120" w:after="0" w:line="240" w:lineRule="auto"/>
              <w:rPr>
                <w:rFonts w:cs="Arial"/>
                <w:b/>
                <w:bCs/>
              </w:rPr>
            </w:pPr>
            <w:r w:rsidRPr="00374CCA">
              <w:rPr>
                <w:rFonts w:cs="Arial"/>
                <w:b/>
                <w:bCs/>
              </w:rPr>
              <w:t>Safety outcomes:</w:t>
            </w:r>
          </w:p>
          <w:p w14:paraId="66033F1D" w14:textId="77777777" w:rsidR="0052239B" w:rsidRPr="00374CCA" w:rsidRDefault="0052239B" w:rsidP="0052239B">
            <w:pPr>
              <w:pStyle w:val="ListParagraph"/>
              <w:numPr>
                <w:ilvl w:val="0"/>
                <w:numId w:val="10"/>
              </w:numPr>
              <w:spacing w:after="0" w:line="240" w:lineRule="auto"/>
              <w:ind w:left="511" w:hanging="284"/>
              <w:contextualSpacing w:val="0"/>
              <w:rPr>
                <w:rFonts w:cs="Arial"/>
              </w:rPr>
            </w:pPr>
            <w:r w:rsidRPr="00374CCA">
              <w:rPr>
                <w:rFonts w:cs="Arial"/>
              </w:rPr>
              <w:t>major cardiovascular (CV) events (myocardial infarction, stroke, CV death)</w:t>
            </w:r>
          </w:p>
          <w:p w14:paraId="259918F9" w14:textId="77777777" w:rsidR="0052239B" w:rsidRPr="00374CCA" w:rsidRDefault="0052239B" w:rsidP="0052239B">
            <w:pPr>
              <w:pStyle w:val="ListParagraph"/>
              <w:numPr>
                <w:ilvl w:val="0"/>
                <w:numId w:val="10"/>
              </w:numPr>
              <w:spacing w:after="0" w:line="240" w:lineRule="auto"/>
              <w:ind w:left="511" w:hanging="284"/>
              <w:contextualSpacing w:val="0"/>
              <w:rPr>
                <w:rFonts w:cs="Arial"/>
              </w:rPr>
            </w:pPr>
            <w:r w:rsidRPr="00374CCA">
              <w:rPr>
                <w:rFonts w:cs="Arial"/>
              </w:rPr>
              <w:t>severe bleeding</w:t>
            </w:r>
          </w:p>
          <w:p w14:paraId="7D5FCF56" w14:textId="77777777" w:rsidR="0052239B" w:rsidRPr="00374CCA" w:rsidRDefault="0052239B" w:rsidP="0052239B">
            <w:pPr>
              <w:pStyle w:val="ListParagraph"/>
              <w:numPr>
                <w:ilvl w:val="0"/>
                <w:numId w:val="10"/>
              </w:numPr>
              <w:spacing w:after="0" w:line="240" w:lineRule="auto"/>
              <w:ind w:left="511" w:hanging="284"/>
              <w:contextualSpacing w:val="0"/>
              <w:rPr>
                <w:rFonts w:cs="Arial"/>
              </w:rPr>
            </w:pPr>
            <w:r w:rsidRPr="00374CCA">
              <w:rPr>
                <w:rFonts w:cs="Arial"/>
              </w:rPr>
              <w:t>major access site and vascular complications</w:t>
            </w:r>
          </w:p>
          <w:p w14:paraId="5FA21000" w14:textId="77777777" w:rsidR="0052239B" w:rsidRPr="00374CCA" w:rsidRDefault="0052239B" w:rsidP="0052239B">
            <w:pPr>
              <w:pStyle w:val="ListParagraph"/>
              <w:numPr>
                <w:ilvl w:val="0"/>
                <w:numId w:val="10"/>
              </w:numPr>
              <w:spacing w:after="0" w:line="240" w:lineRule="auto"/>
              <w:ind w:left="511" w:hanging="284"/>
              <w:contextualSpacing w:val="0"/>
              <w:rPr>
                <w:rFonts w:cs="Arial"/>
              </w:rPr>
            </w:pPr>
            <w:r w:rsidRPr="00374CCA">
              <w:rPr>
                <w:rFonts w:cs="Arial"/>
              </w:rPr>
              <w:t>major cardiac structural complications (e.g. coronary structure perforation)</w:t>
            </w:r>
          </w:p>
          <w:p w14:paraId="007A3449" w14:textId="77777777" w:rsidR="0052239B" w:rsidRPr="00374CCA" w:rsidRDefault="0052239B" w:rsidP="0052239B">
            <w:pPr>
              <w:pStyle w:val="ListParagraph"/>
              <w:numPr>
                <w:ilvl w:val="0"/>
                <w:numId w:val="10"/>
              </w:numPr>
              <w:spacing w:after="0" w:line="240" w:lineRule="auto"/>
              <w:ind w:left="511" w:hanging="284"/>
              <w:contextualSpacing w:val="0"/>
              <w:rPr>
                <w:rFonts w:cs="Arial"/>
              </w:rPr>
            </w:pPr>
            <w:r w:rsidRPr="00374CCA">
              <w:rPr>
                <w:rFonts w:cs="Arial"/>
              </w:rPr>
              <w:t>conversion to surgery</w:t>
            </w:r>
          </w:p>
          <w:p w14:paraId="2628EB63" w14:textId="77777777" w:rsidR="00B0774B" w:rsidRPr="00374CCA" w:rsidRDefault="00B0774B" w:rsidP="00B0774B">
            <w:pPr>
              <w:pStyle w:val="ListParagraph"/>
              <w:numPr>
                <w:ilvl w:val="0"/>
                <w:numId w:val="10"/>
              </w:numPr>
              <w:spacing w:after="0" w:line="240" w:lineRule="auto"/>
              <w:ind w:left="511" w:hanging="284"/>
              <w:contextualSpacing w:val="0"/>
              <w:rPr>
                <w:rFonts w:cs="Arial"/>
              </w:rPr>
            </w:pPr>
            <w:r w:rsidRPr="00374CCA">
              <w:rPr>
                <w:rFonts w:cs="Arial"/>
              </w:rPr>
              <w:t>new arrhythmia or conduction disorder requiring permanent pacing</w:t>
            </w:r>
          </w:p>
          <w:p w14:paraId="0ADB0C2F" w14:textId="77777777" w:rsidR="00B0774B" w:rsidRPr="00374CCA" w:rsidRDefault="00B0774B" w:rsidP="00B0774B">
            <w:pPr>
              <w:pStyle w:val="ListParagraph"/>
              <w:numPr>
                <w:ilvl w:val="0"/>
                <w:numId w:val="10"/>
              </w:numPr>
              <w:spacing w:after="0" w:line="240" w:lineRule="auto"/>
              <w:ind w:left="511" w:hanging="284"/>
              <w:contextualSpacing w:val="0"/>
              <w:rPr>
                <w:rFonts w:cs="Arial"/>
              </w:rPr>
            </w:pPr>
            <w:r w:rsidRPr="00374CCA">
              <w:rPr>
                <w:rFonts w:cs="Arial"/>
              </w:rPr>
              <w:t>new onset renal failure</w:t>
            </w:r>
          </w:p>
          <w:p w14:paraId="031F836F" w14:textId="4AD0B64C" w:rsidR="005A29F9" w:rsidRPr="00374CCA" w:rsidRDefault="005A29F9" w:rsidP="0052239B">
            <w:pPr>
              <w:pStyle w:val="ListParagraph"/>
              <w:numPr>
                <w:ilvl w:val="0"/>
                <w:numId w:val="10"/>
              </w:numPr>
              <w:spacing w:after="0" w:line="240" w:lineRule="auto"/>
              <w:ind w:left="511" w:hanging="284"/>
              <w:contextualSpacing w:val="0"/>
              <w:rPr>
                <w:rFonts w:cs="Arial"/>
              </w:rPr>
            </w:pPr>
            <w:r w:rsidRPr="00374CCA">
              <w:rPr>
                <w:rFonts w:cs="Arial"/>
              </w:rPr>
              <w:t>endocarditis</w:t>
            </w:r>
            <w:r w:rsidR="008A54AC" w:rsidRPr="00374CCA">
              <w:rPr>
                <w:rFonts w:cs="Arial"/>
              </w:rPr>
              <w:t xml:space="preserve"> requiring </w:t>
            </w:r>
            <w:r w:rsidR="00B545C0" w:rsidRPr="00374CCA">
              <w:rPr>
                <w:rFonts w:cs="Arial"/>
              </w:rPr>
              <w:t>surgery</w:t>
            </w:r>
          </w:p>
          <w:p w14:paraId="6B34763C" w14:textId="455509F9" w:rsidR="0052239B" w:rsidRPr="00374CCA" w:rsidRDefault="0052239B" w:rsidP="0052239B">
            <w:pPr>
              <w:pStyle w:val="ListParagraph"/>
              <w:numPr>
                <w:ilvl w:val="0"/>
                <w:numId w:val="10"/>
              </w:numPr>
              <w:spacing w:after="0" w:line="240" w:lineRule="auto"/>
              <w:ind w:left="511" w:hanging="284"/>
              <w:contextualSpacing w:val="0"/>
              <w:rPr>
                <w:rFonts w:cs="Arial"/>
              </w:rPr>
            </w:pPr>
            <w:r w:rsidRPr="00374CCA">
              <w:rPr>
                <w:rFonts w:cs="Arial"/>
              </w:rPr>
              <w:t>tricuspid valve reintervention (percutaneous or surgical)</w:t>
            </w:r>
            <w:r w:rsidR="001F12F9" w:rsidRPr="00374CCA">
              <w:rPr>
                <w:rFonts w:cs="Arial"/>
              </w:rPr>
              <w:t>; explant</w:t>
            </w:r>
          </w:p>
          <w:p w14:paraId="56A8D1F5" w14:textId="424FA566" w:rsidR="0052239B" w:rsidRPr="00374CCA" w:rsidRDefault="00E74689" w:rsidP="0052239B">
            <w:pPr>
              <w:pStyle w:val="ListParagraph"/>
              <w:numPr>
                <w:ilvl w:val="0"/>
                <w:numId w:val="10"/>
              </w:numPr>
              <w:spacing w:after="0" w:line="240" w:lineRule="auto"/>
              <w:ind w:left="511" w:hanging="284"/>
              <w:contextualSpacing w:val="0"/>
              <w:rPr>
                <w:rFonts w:cs="Arial"/>
              </w:rPr>
            </w:pPr>
            <w:r w:rsidRPr="00374CCA">
              <w:t>device</w:t>
            </w:r>
            <w:r w:rsidR="00CA12C9" w:rsidRPr="00374CCA">
              <w:t>-related</w:t>
            </w:r>
            <w:r w:rsidR="0052239B" w:rsidRPr="00374CCA">
              <w:t xml:space="preserve"> </w:t>
            </w:r>
            <w:r w:rsidR="00CA12C9" w:rsidRPr="00374CCA">
              <w:t xml:space="preserve">events </w:t>
            </w:r>
            <w:r w:rsidR="00804872" w:rsidRPr="00374CCA">
              <w:t xml:space="preserve">(e.g. detachment, </w:t>
            </w:r>
            <w:r w:rsidR="00A51855" w:rsidRPr="00374CCA">
              <w:t>embolisation</w:t>
            </w:r>
            <w:r w:rsidR="00804872" w:rsidRPr="00374CCA">
              <w:t>,</w:t>
            </w:r>
            <w:r w:rsidR="00E26236" w:rsidRPr="00374CCA">
              <w:t xml:space="preserve"> </w:t>
            </w:r>
            <w:r w:rsidR="006E45B2" w:rsidRPr="00374CCA">
              <w:t>thrombosis</w:t>
            </w:r>
            <w:r w:rsidR="00754BF8" w:rsidRPr="00374CCA">
              <w:t>)</w:t>
            </w:r>
          </w:p>
          <w:p w14:paraId="258B9A9E" w14:textId="77777777" w:rsidR="0052239B" w:rsidRPr="00374CCA" w:rsidRDefault="0052239B" w:rsidP="0052239B">
            <w:pPr>
              <w:keepNext/>
              <w:spacing w:before="120" w:after="0" w:line="240" w:lineRule="auto"/>
              <w:rPr>
                <w:rFonts w:cs="Arial"/>
                <w:b/>
                <w:bCs/>
              </w:rPr>
            </w:pPr>
            <w:r w:rsidRPr="00374CCA">
              <w:rPr>
                <w:rFonts w:cs="Arial"/>
                <w:b/>
                <w:bCs/>
              </w:rPr>
              <w:t>Efficacy/effectiveness outcomes:</w:t>
            </w:r>
          </w:p>
          <w:p w14:paraId="77B7677A" w14:textId="375D54CC" w:rsidR="0052239B" w:rsidRPr="00374CCA" w:rsidRDefault="0052239B" w:rsidP="0052239B">
            <w:pPr>
              <w:pStyle w:val="ListParagraph"/>
              <w:numPr>
                <w:ilvl w:val="0"/>
                <w:numId w:val="10"/>
              </w:numPr>
              <w:spacing w:after="0" w:line="240" w:lineRule="auto"/>
              <w:ind w:left="511" w:hanging="284"/>
              <w:contextualSpacing w:val="0"/>
              <w:rPr>
                <w:rFonts w:cs="Arial"/>
              </w:rPr>
            </w:pPr>
            <w:r w:rsidRPr="00374CCA">
              <w:rPr>
                <w:rFonts w:cs="Arial"/>
              </w:rPr>
              <w:t>mortality (all</w:t>
            </w:r>
            <w:r w:rsidR="00E24150" w:rsidRPr="00374CCA">
              <w:rPr>
                <w:rFonts w:cs="Arial"/>
              </w:rPr>
              <w:t>-</w:t>
            </w:r>
            <w:r w:rsidRPr="00374CCA">
              <w:rPr>
                <w:rFonts w:cs="Arial"/>
              </w:rPr>
              <w:t>cause, CV)</w:t>
            </w:r>
          </w:p>
          <w:p w14:paraId="5209A97B" w14:textId="77777777" w:rsidR="0052239B" w:rsidRPr="00374CCA" w:rsidRDefault="0052239B" w:rsidP="0052239B">
            <w:pPr>
              <w:pStyle w:val="ListParagraph"/>
              <w:numPr>
                <w:ilvl w:val="0"/>
                <w:numId w:val="10"/>
              </w:numPr>
              <w:spacing w:after="0" w:line="240" w:lineRule="auto"/>
              <w:ind w:left="513" w:hanging="284"/>
              <w:rPr>
                <w:rFonts w:cs="Arial"/>
              </w:rPr>
            </w:pPr>
            <w:r w:rsidRPr="00374CCA">
              <w:rPr>
                <w:rFonts w:cs="Arial"/>
              </w:rPr>
              <w:t>hospitalisation for heart failure</w:t>
            </w:r>
          </w:p>
          <w:p w14:paraId="3F1DE19B" w14:textId="698FC374" w:rsidR="0052239B" w:rsidRPr="00374CCA" w:rsidRDefault="0052239B" w:rsidP="0052239B">
            <w:pPr>
              <w:pStyle w:val="ListParagraph"/>
              <w:numPr>
                <w:ilvl w:val="0"/>
                <w:numId w:val="10"/>
              </w:numPr>
              <w:spacing w:after="0" w:line="240" w:lineRule="auto"/>
              <w:ind w:left="513" w:hanging="284"/>
              <w:rPr>
                <w:rFonts w:cs="Arial"/>
              </w:rPr>
            </w:pPr>
            <w:r w:rsidRPr="00374CCA">
              <w:rPr>
                <w:rFonts w:cs="Arial"/>
              </w:rPr>
              <w:t xml:space="preserve">change in TR </w:t>
            </w:r>
            <w:r w:rsidR="00932AC1" w:rsidRPr="00374CCA">
              <w:rPr>
                <w:rFonts w:cs="Arial"/>
              </w:rPr>
              <w:t>severity</w:t>
            </w:r>
            <w:r w:rsidR="0003709D" w:rsidRPr="00374CCA">
              <w:rPr>
                <w:rFonts w:cs="Arial"/>
              </w:rPr>
              <w:t>/grade</w:t>
            </w:r>
          </w:p>
          <w:p w14:paraId="7864DBEF" w14:textId="5A358BA2" w:rsidR="0052239B" w:rsidRPr="00374CCA" w:rsidRDefault="0052239B" w:rsidP="0052239B">
            <w:pPr>
              <w:pStyle w:val="ListParagraph"/>
              <w:numPr>
                <w:ilvl w:val="0"/>
                <w:numId w:val="10"/>
              </w:numPr>
              <w:spacing w:after="0" w:line="240" w:lineRule="auto"/>
              <w:ind w:left="513" w:hanging="284"/>
              <w:rPr>
                <w:rFonts w:cs="Arial"/>
              </w:rPr>
            </w:pPr>
            <w:r w:rsidRPr="00374CCA">
              <w:rPr>
                <w:rFonts w:cs="Arial"/>
              </w:rPr>
              <w:t xml:space="preserve">quality of life using disease-specific </w:t>
            </w:r>
            <w:r w:rsidR="001368B6" w:rsidRPr="00374CCA">
              <w:rPr>
                <w:rFonts w:cs="Arial"/>
              </w:rPr>
              <w:t>(</w:t>
            </w:r>
            <w:r w:rsidR="000B20BE" w:rsidRPr="00374CCA">
              <w:rPr>
                <w:rFonts w:cs="Arial"/>
              </w:rPr>
              <w:t xml:space="preserve">e.g. </w:t>
            </w:r>
            <w:r w:rsidR="001368B6" w:rsidRPr="00374CCA">
              <w:rPr>
                <w:rFonts w:cs="Arial"/>
              </w:rPr>
              <w:t xml:space="preserve">Kansas City Cardiomyopathy Questionnaire [KCCQ]) </w:t>
            </w:r>
            <w:r w:rsidRPr="00374CCA">
              <w:rPr>
                <w:rFonts w:cs="Arial"/>
              </w:rPr>
              <w:t xml:space="preserve">and generic </w:t>
            </w:r>
            <w:r w:rsidR="00713373" w:rsidRPr="00374CCA">
              <w:rPr>
                <w:rFonts w:cs="Arial"/>
              </w:rPr>
              <w:t>(e.g. 36-item Short Form Health Survey [SF-36])</w:t>
            </w:r>
            <w:r w:rsidR="001368B6" w:rsidRPr="00374CCA">
              <w:rPr>
                <w:rFonts w:cs="Arial"/>
              </w:rPr>
              <w:t xml:space="preserve"> tools</w:t>
            </w:r>
          </w:p>
          <w:p w14:paraId="50565DDA" w14:textId="77777777" w:rsidR="0052239B" w:rsidRPr="00374CCA" w:rsidRDefault="0052239B" w:rsidP="0052239B">
            <w:pPr>
              <w:pStyle w:val="ListParagraph"/>
              <w:numPr>
                <w:ilvl w:val="0"/>
                <w:numId w:val="10"/>
              </w:numPr>
              <w:spacing w:after="0" w:line="240" w:lineRule="auto"/>
              <w:ind w:left="513" w:hanging="284"/>
              <w:rPr>
                <w:rFonts w:cs="Arial"/>
              </w:rPr>
            </w:pPr>
            <w:r w:rsidRPr="00374CCA">
              <w:rPr>
                <w:rFonts w:cs="Arial"/>
              </w:rPr>
              <w:t>health status (New York Heart Association [NYHA] functional class and 6</w:t>
            </w:r>
            <w:r w:rsidRPr="00374CCA">
              <w:rPr>
                <w:rFonts w:cs="Arial"/>
              </w:rPr>
              <w:noBreakHyphen/>
              <w:t>minute walk test [6MWT])</w:t>
            </w:r>
          </w:p>
          <w:p w14:paraId="1C5B621E" w14:textId="77777777" w:rsidR="0052239B" w:rsidRPr="00374CCA" w:rsidRDefault="0052239B" w:rsidP="0052239B">
            <w:pPr>
              <w:pStyle w:val="ListParagraph"/>
              <w:numPr>
                <w:ilvl w:val="0"/>
                <w:numId w:val="10"/>
              </w:numPr>
              <w:spacing w:after="0" w:line="240" w:lineRule="auto"/>
              <w:ind w:left="513" w:hanging="284"/>
              <w:rPr>
                <w:rFonts w:cs="Arial"/>
              </w:rPr>
            </w:pPr>
            <w:r w:rsidRPr="00374CCA">
              <w:t>change in medical therapy (dose, frequency, type)</w:t>
            </w:r>
          </w:p>
          <w:p w14:paraId="78CFDE47" w14:textId="77C507B4" w:rsidR="0052239B" w:rsidRPr="00374CCA" w:rsidRDefault="0052239B" w:rsidP="0052239B">
            <w:pPr>
              <w:keepNext/>
              <w:spacing w:before="120" w:after="0" w:line="240" w:lineRule="auto"/>
              <w:rPr>
                <w:rFonts w:cs="Arial"/>
                <w:b/>
                <w:bCs/>
              </w:rPr>
            </w:pPr>
            <w:r w:rsidRPr="00374CCA">
              <w:rPr>
                <w:rFonts w:cs="Arial"/>
                <w:b/>
                <w:bCs/>
              </w:rPr>
              <w:t>Healthcare resources</w:t>
            </w:r>
            <w:r w:rsidR="006770BD" w:rsidRPr="00374CCA">
              <w:rPr>
                <w:rFonts w:cs="Arial"/>
                <w:b/>
                <w:bCs/>
              </w:rPr>
              <w:t xml:space="preserve"> (including patient </w:t>
            </w:r>
            <w:r w:rsidR="00CF5903" w:rsidRPr="00374CCA">
              <w:rPr>
                <w:rFonts w:cs="Arial"/>
                <w:b/>
                <w:bCs/>
              </w:rPr>
              <w:t xml:space="preserve">out-of-pocket </w:t>
            </w:r>
            <w:r w:rsidR="002A3C6A" w:rsidRPr="00374CCA">
              <w:rPr>
                <w:rFonts w:cs="Arial"/>
                <w:b/>
                <w:bCs/>
              </w:rPr>
              <w:t>costs)</w:t>
            </w:r>
            <w:r w:rsidRPr="00374CCA">
              <w:rPr>
                <w:rFonts w:cs="Arial"/>
                <w:b/>
                <w:bCs/>
              </w:rPr>
              <w:t>:</w:t>
            </w:r>
          </w:p>
          <w:p w14:paraId="598F51A3" w14:textId="02D0CFCF" w:rsidR="0052239B" w:rsidRPr="00374CCA" w:rsidRDefault="0052239B" w:rsidP="0052239B">
            <w:pPr>
              <w:pStyle w:val="ListParagraph"/>
              <w:numPr>
                <w:ilvl w:val="0"/>
                <w:numId w:val="10"/>
              </w:numPr>
              <w:spacing w:after="0" w:line="240" w:lineRule="auto"/>
              <w:ind w:left="511" w:hanging="284"/>
              <w:contextualSpacing w:val="0"/>
              <w:rPr>
                <w:rFonts w:cs="Arial"/>
              </w:rPr>
            </w:pPr>
            <w:r w:rsidRPr="00374CCA">
              <w:rPr>
                <w:rFonts w:cs="Arial"/>
              </w:rPr>
              <w:t xml:space="preserve">cost of </w:t>
            </w:r>
            <w:r w:rsidR="00CB1753" w:rsidRPr="00374CCA">
              <w:rPr>
                <w:rFonts w:cs="Arial"/>
              </w:rPr>
              <w:t>T-TEER prosthesis</w:t>
            </w:r>
            <w:r w:rsidR="005D2F3E" w:rsidRPr="00374CCA">
              <w:rPr>
                <w:rFonts w:cs="Arial"/>
              </w:rPr>
              <w:t xml:space="preserve"> </w:t>
            </w:r>
            <w:r w:rsidRPr="00374CCA">
              <w:rPr>
                <w:rFonts w:cs="Arial"/>
              </w:rPr>
              <w:t>and other consumables</w:t>
            </w:r>
          </w:p>
          <w:p w14:paraId="6A3BC031" w14:textId="1FC0DFD7" w:rsidR="0052239B" w:rsidRPr="00374CCA" w:rsidRDefault="0052239B" w:rsidP="0052239B">
            <w:pPr>
              <w:pStyle w:val="ListParagraph"/>
              <w:numPr>
                <w:ilvl w:val="0"/>
                <w:numId w:val="10"/>
              </w:numPr>
              <w:spacing w:after="0" w:line="240" w:lineRule="auto"/>
              <w:ind w:left="511" w:hanging="284"/>
              <w:contextualSpacing w:val="0"/>
              <w:rPr>
                <w:rFonts w:cs="Arial"/>
              </w:rPr>
            </w:pPr>
            <w:r w:rsidRPr="00374CCA">
              <w:rPr>
                <w:rFonts w:cs="Arial"/>
              </w:rPr>
              <w:t xml:space="preserve">cost to deliver </w:t>
            </w:r>
            <w:r w:rsidR="005D2F3E" w:rsidRPr="00374CCA">
              <w:rPr>
                <w:rFonts w:cs="Arial"/>
              </w:rPr>
              <w:t>T-TEER</w:t>
            </w:r>
            <w:r w:rsidRPr="00374CCA">
              <w:rPr>
                <w:rFonts w:cs="Arial"/>
              </w:rPr>
              <w:t xml:space="preserve"> intervention</w:t>
            </w:r>
          </w:p>
          <w:p w14:paraId="1148F9CF" w14:textId="77777777" w:rsidR="0052239B" w:rsidRPr="00374CCA" w:rsidRDefault="0052239B" w:rsidP="0052239B">
            <w:pPr>
              <w:pStyle w:val="ListParagraph"/>
              <w:numPr>
                <w:ilvl w:val="0"/>
                <w:numId w:val="10"/>
              </w:numPr>
              <w:spacing w:after="0" w:line="240" w:lineRule="auto"/>
              <w:ind w:left="511" w:hanging="284"/>
              <w:rPr>
                <w:rFonts w:cs="Arial"/>
              </w:rPr>
            </w:pPr>
            <w:r w:rsidRPr="00374CCA">
              <w:rPr>
                <w:rFonts w:cs="Arial"/>
              </w:rPr>
              <w:t>cost associated with changes in clinical management (testing required before the procedure, length of hospital stay, post-discharge rehabilitation)</w:t>
            </w:r>
          </w:p>
          <w:p w14:paraId="37A44427" w14:textId="77777777" w:rsidR="0052239B" w:rsidRPr="00374CCA" w:rsidRDefault="0052239B" w:rsidP="0052239B">
            <w:pPr>
              <w:pStyle w:val="ListParagraph"/>
              <w:numPr>
                <w:ilvl w:val="0"/>
                <w:numId w:val="10"/>
              </w:numPr>
              <w:spacing w:after="120" w:line="240" w:lineRule="auto"/>
              <w:ind w:left="511" w:hanging="284"/>
              <w:contextualSpacing w:val="0"/>
              <w:rPr>
                <w:rFonts w:cs="Arial"/>
              </w:rPr>
            </w:pPr>
            <w:r w:rsidRPr="00374CCA">
              <w:rPr>
                <w:rFonts w:cs="Arial"/>
              </w:rPr>
              <w:t>cost associated with management of complications (including reintervention)</w:t>
            </w:r>
          </w:p>
          <w:p w14:paraId="33D770B9" w14:textId="77777777" w:rsidR="0052239B" w:rsidRPr="00374CCA" w:rsidRDefault="0052239B" w:rsidP="006D2452">
            <w:pPr>
              <w:keepNext/>
              <w:keepLines/>
              <w:spacing w:before="120" w:after="0" w:line="240" w:lineRule="auto"/>
              <w:rPr>
                <w:rFonts w:cs="Arial"/>
                <w:b/>
                <w:bCs/>
              </w:rPr>
            </w:pPr>
            <w:r w:rsidRPr="00374CCA">
              <w:rPr>
                <w:rFonts w:cs="Arial"/>
                <w:b/>
                <w:bCs/>
              </w:rPr>
              <w:lastRenderedPageBreak/>
              <w:t>Cost-effectiveness:</w:t>
            </w:r>
          </w:p>
          <w:p w14:paraId="6B0C39E7" w14:textId="77777777" w:rsidR="0052239B" w:rsidRPr="00374CCA" w:rsidRDefault="0052239B" w:rsidP="006D2452">
            <w:pPr>
              <w:pStyle w:val="ListParagraph"/>
              <w:keepNext/>
              <w:keepLines/>
              <w:numPr>
                <w:ilvl w:val="0"/>
                <w:numId w:val="10"/>
              </w:numPr>
              <w:spacing w:after="0" w:line="240" w:lineRule="auto"/>
              <w:ind w:left="511" w:hanging="284"/>
              <w:contextualSpacing w:val="0"/>
              <w:rPr>
                <w:rFonts w:cs="Arial"/>
              </w:rPr>
            </w:pPr>
            <w:r w:rsidRPr="00374CCA">
              <w:rPr>
                <w:rFonts w:cs="Arial"/>
              </w:rPr>
              <w:t>cost per life year gained</w:t>
            </w:r>
          </w:p>
          <w:p w14:paraId="4F1644CF" w14:textId="77777777" w:rsidR="0052239B" w:rsidRPr="00374CCA" w:rsidRDefault="0052239B" w:rsidP="006D2452">
            <w:pPr>
              <w:pStyle w:val="ListParagraph"/>
              <w:keepNext/>
              <w:keepLines/>
              <w:numPr>
                <w:ilvl w:val="0"/>
                <w:numId w:val="10"/>
              </w:numPr>
              <w:spacing w:after="0" w:line="240" w:lineRule="auto"/>
              <w:ind w:left="511" w:hanging="284"/>
              <w:contextualSpacing w:val="0"/>
              <w:rPr>
                <w:rFonts w:cs="Arial"/>
              </w:rPr>
            </w:pPr>
            <w:r w:rsidRPr="00374CCA">
              <w:rPr>
                <w:rFonts w:cs="Arial"/>
              </w:rPr>
              <w:t>cost per quality-adjusted life year (QALY) gained</w:t>
            </w:r>
          </w:p>
          <w:p w14:paraId="245A96A3" w14:textId="77777777" w:rsidR="0052239B" w:rsidRPr="00374CCA" w:rsidRDefault="0052239B" w:rsidP="0052239B">
            <w:pPr>
              <w:keepNext/>
              <w:spacing w:before="120" w:after="0" w:line="240" w:lineRule="auto"/>
              <w:rPr>
                <w:rFonts w:cs="Arial"/>
                <w:b/>
                <w:bCs/>
              </w:rPr>
            </w:pPr>
            <w:r w:rsidRPr="00374CCA">
              <w:rPr>
                <w:rFonts w:cs="Arial"/>
                <w:b/>
                <w:bCs/>
              </w:rPr>
              <w:t>Total Australian government healthcare costs</w:t>
            </w:r>
          </w:p>
          <w:p w14:paraId="305701FD" w14:textId="13A6B12A" w:rsidR="00E01349" w:rsidRPr="00374CCA" w:rsidRDefault="0052239B" w:rsidP="0052239B">
            <w:pPr>
              <w:pStyle w:val="ListParagraph"/>
              <w:numPr>
                <w:ilvl w:val="0"/>
                <w:numId w:val="10"/>
              </w:numPr>
              <w:spacing w:after="0" w:line="240" w:lineRule="auto"/>
              <w:ind w:left="511" w:hanging="284"/>
              <w:contextualSpacing w:val="0"/>
              <w:rPr>
                <w:rFonts w:cs="Arial"/>
              </w:rPr>
            </w:pPr>
            <w:r w:rsidRPr="00374CCA">
              <w:rPr>
                <w:rFonts w:cs="Arial"/>
              </w:rPr>
              <w:t>total cost to the Medical Benefits Schedule (MBS)</w:t>
            </w:r>
          </w:p>
          <w:p w14:paraId="6318A4BC" w14:textId="4ABB26B8" w:rsidR="00180F91" w:rsidRPr="00374CCA" w:rsidRDefault="00180F91" w:rsidP="0052239B">
            <w:pPr>
              <w:pStyle w:val="ListParagraph"/>
              <w:numPr>
                <w:ilvl w:val="0"/>
                <w:numId w:val="10"/>
              </w:numPr>
              <w:spacing w:after="0" w:line="240" w:lineRule="auto"/>
              <w:ind w:left="511" w:hanging="284"/>
              <w:contextualSpacing w:val="0"/>
              <w:rPr>
                <w:rFonts w:cs="Arial"/>
              </w:rPr>
            </w:pPr>
            <w:r w:rsidRPr="00374CCA">
              <w:rPr>
                <w:rFonts w:cs="Arial"/>
              </w:rPr>
              <w:t>total cost to the Pharmaceutical Benefits Scheme (PBS)</w:t>
            </w:r>
          </w:p>
          <w:p w14:paraId="279D3253" w14:textId="02237BA5" w:rsidR="00C851F0" w:rsidRPr="00374CCA" w:rsidRDefault="00C851F0" w:rsidP="00C851F0">
            <w:pPr>
              <w:keepNext/>
              <w:spacing w:before="120" w:after="0" w:line="240" w:lineRule="auto"/>
              <w:rPr>
                <w:rFonts w:cs="Arial"/>
                <w:b/>
                <w:bCs/>
              </w:rPr>
            </w:pPr>
            <w:r w:rsidRPr="00374CCA">
              <w:rPr>
                <w:rFonts w:cs="Arial"/>
                <w:b/>
                <w:bCs/>
              </w:rPr>
              <w:t xml:space="preserve">Total cost to </w:t>
            </w:r>
            <w:r w:rsidR="00A21871" w:rsidRPr="00374CCA">
              <w:rPr>
                <w:rFonts w:cs="Arial"/>
                <w:b/>
                <w:bCs/>
              </w:rPr>
              <w:t>private health insurers</w:t>
            </w:r>
            <w:r w:rsidR="003C7AA3" w:rsidRPr="00374CCA">
              <w:rPr>
                <w:rFonts w:cs="Arial"/>
                <w:b/>
                <w:bCs/>
              </w:rPr>
              <w:t xml:space="preserve"> and hospitals</w:t>
            </w:r>
          </w:p>
          <w:p w14:paraId="54A05E1D" w14:textId="604BE3A9" w:rsidR="00C851F0" w:rsidRPr="00374CCA" w:rsidRDefault="00C851F0" w:rsidP="00C851F0">
            <w:pPr>
              <w:pStyle w:val="ListParagraph"/>
              <w:numPr>
                <w:ilvl w:val="0"/>
                <w:numId w:val="10"/>
              </w:numPr>
              <w:spacing w:after="0" w:line="240" w:lineRule="auto"/>
              <w:ind w:left="511" w:hanging="284"/>
              <w:contextualSpacing w:val="0"/>
              <w:rPr>
                <w:rFonts w:cs="Arial"/>
              </w:rPr>
            </w:pPr>
            <w:r w:rsidRPr="00374CCA">
              <w:rPr>
                <w:rFonts w:cs="Arial"/>
              </w:rPr>
              <w:t xml:space="preserve">total cost to the </w:t>
            </w:r>
            <w:r w:rsidR="00D46AA2" w:rsidRPr="00374CCA">
              <w:rPr>
                <w:rFonts w:cs="Arial"/>
              </w:rPr>
              <w:t xml:space="preserve">Prescribed List of Medical Devices and </w:t>
            </w:r>
            <w:r w:rsidR="00007037" w:rsidRPr="00374CCA">
              <w:rPr>
                <w:rFonts w:cs="Arial"/>
              </w:rPr>
              <w:t>Human Tissue Products (PL)</w:t>
            </w:r>
            <w:r w:rsidR="00A87696" w:rsidRPr="00374CCA">
              <w:rPr>
                <w:rFonts w:cs="Arial"/>
              </w:rPr>
              <w:t xml:space="preserve"> for </w:t>
            </w:r>
            <w:r w:rsidR="009652B1" w:rsidRPr="00374CCA">
              <w:rPr>
                <w:rFonts w:cs="Arial"/>
              </w:rPr>
              <w:t>T-TEER prosthesis and changes in use of other prostheses</w:t>
            </w:r>
          </w:p>
          <w:p w14:paraId="6F9242D7" w14:textId="4C22063B" w:rsidR="00947F5A" w:rsidRPr="00374CCA" w:rsidRDefault="00C449E8" w:rsidP="00C449E8">
            <w:pPr>
              <w:pStyle w:val="ListParagraph"/>
              <w:numPr>
                <w:ilvl w:val="0"/>
                <w:numId w:val="10"/>
              </w:numPr>
              <w:spacing w:after="120" w:line="240" w:lineRule="auto"/>
              <w:ind w:left="511" w:hanging="284"/>
              <w:contextualSpacing w:val="0"/>
              <w:rPr>
                <w:rFonts w:cs="Arial"/>
              </w:rPr>
            </w:pPr>
            <w:r w:rsidRPr="00374CCA">
              <w:rPr>
                <w:rFonts w:cs="Arial"/>
              </w:rPr>
              <w:t xml:space="preserve">total cost </w:t>
            </w:r>
            <w:r w:rsidR="00F12F91" w:rsidRPr="00374CCA">
              <w:rPr>
                <w:rFonts w:cs="Arial"/>
              </w:rPr>
              <w:t>of</w:t>
            </w:r>
            <w:r w:rsidRPr="00374CCA">
              <w:rPr>
                <w:rFonts w:cs="Arial"/>
              </w:rPr>
              <w:t xml:space="preserve"> hospitalisation</w:t>
            </w:r>
            <w:r w:rsidR="00F12F91" w:rsidRPr="00374CCA">
              <w:rPr>
                <w:rFonts w:cs="Arial"/>
              </w:rPr>
              <w:t xml:space="preserve"> for T-TEER</w:t>
            </w:r>
            <w:r w:rsidR="009F6123" w:rsidRPr="00374CCA">
              <w:rPr>
                <w:rFonts w:cs="Arial"/>
              </w:rPr>
              <w:t xml:space="preserve">, </w:t>
            </w:r>
            <w:r w:rsidR="00DA6FD7" w:rsidRPr="00374CCA">
              <w:rPr>
                <w:rFonts w:cs="Arial"/>
              </w:rPr>
              <w:t xml:space="preserve">management of </w:t>
            </w:r>
            <w:r w:rsidR="009F6123" w:rsidRPr="00374CCA">
              <w:rPr>
                <w:rFonts w:cs="Arial"/>
              </w:rPr>
              <w:t>complications</w:t>
            </w:r>
            <w:r w:rsidR="00BA541E" w:rsidRPr="00374CCA">
              <w:rPr>
                <w:rFonts w:cs="Arial"/>
              </w:rPr>
              <w:t xml:space="preserve"> and </w:t>
            </w:r>
            <w:r w:rsidR="00A87696" w:rsidRPr="00374CCA">
              <w:rPr>
                <w:rFonts w:cs="Arial"/>
              </w:rPr>
              <w:t>reinterventions</w:t>
            </w:r>
          </w:p>
        </w:tc>
      </w:tr>
      <w:tr w:rsidR="00BB1698" w:rsidRPr="00374CCA" w14:paraId="4A55FFDB" w14:textId="77777777" w:rsidTr="006478E7">
        <w:tc>
          <w:tcPr>
            <w:tcW w:w="1005" w:type="pct"/>
            <w:tcBorders>
              <w:top w:val="single" w:sz="4" w:space="0" w:color="auto"/>
              <w:left w:val="single" w:sz="8" w:space="0" w:color="auto"/>
              <w:bottom w:val="single" w:sz="8" w:space="0" w:color="auto"/>
              <w:right w:val="single" w:sz="4" w:space="0" w:color="auto"/>
            </w:tcBorders>
          </w:tcPr>
          <w:p w14:paraId="003B36EC" w14:textId="20971D39" w:rsidR="00BB1698" w:rsidRPr="00374CCA" w:rsidRDefault="00BB1698" w:rsidP="00E01349">
            <w:pPr>
              <w:spacing w:before="120" w:after="120" w:line="240" w:lineRule="auto"/>
              <w:rPr>
                <w:rFonts w:cs="Arial"/>
              </w:rPr>
            </w:pPr>
            <w:r w:rsidRPr="00374CCA">
              <w:rPr>
                <w:rFonts w:cs="Arial"/>
              </w:rPr>
              <w:lastRenderedPageBreak/>
              <w:t>Assessment question</w:t>
            </w:r>
          </w:p>
        </w:tc>
        <w:tc>
          <w:tcPr>
            <w:tcW w:w="3995" w:type="pct"/>
            <w:tcBorders>
              <w:top w:val="single" w:sz="4" w:space="0" w:color="auto"/>
              <w:left w:val="single" w:sz="4" w:space="0" w:color="auto"/>
              <w:bottom w:val="single" w:sz="4" w:space="0" w:color="auto"/>
              <w:right w:val="single" w:sz="4" w:space="0" w:color="auto"/>
            </w:tcBorders>
          </w:tcPr>
          <w:p w14:paraId="7AB69A9A" w14:textId="221909DB" w:rsidR="00BB1698" w:rsidRPr="00374CCA" w:rsidRDefault="00BB1698" w:rsidP="00E01349">
            <w:pPr>
              <w:spacing w:before="120" w:after="120" w:line="240" w:lineRule="auto"/>
              <w:rPr>
                <w:color w:val="000000" w:themeColor="text1"/>
              </w:rPr>
            </w:pPr>
            <w:r w:rsidRPr="00374CCA">
              <w:rPr>
                <w:color w:val="000000" w:themeColor="text1"/>
              </w:rPr>
              <w:t xml:space="preserve">What is the </w:t>
            </w:r>
            <w:r w:rsidR="00DA0186">
              <w:rPr>
                <w:color w:val="000000" w:themeColor="text1"/>
              </w:rPr>
              <w:t>comparative</w:t>
            </w:r>
            <w:r w:rsidRPr="00374CCA">
              <w:rPr>
                <w:color w:val="000000" w:themeColor="text1"/>
              </w:rPr>
              <w:t xml:space="preserve"> safety, effectiveness and cost-effectiveness of </w:t>
            </w:r>
            <w:r w:rsidR="00E84DA3" w:rsidRPr="00374CCA">
              <w:rPr>
                <w:color w:val="000000" w:themeColor="text1"/>
              </w:rPr>
              <w:t>T-TEER</w:t>
            </w:r>
            <w:r w:rsidRPr="00374CCA">
              <w:rPr>
                <w:color w:val="000000" w:themeColor="text1"/>
              </w:rPr>
              <w:t xml:space="preserve"> </w:t>
            </w:r>
            <w:r w:rsidR="008507B3" w:rsidRPr="00374CCA">
              <w:rPr>
                <w:color w:val="000000" w:themeColor="text1"/>
              </w:rPr>
              <w:t xml:space="preserve">in addition to continued OMT </w:t>
            </w:r>
            <w:r w:rsidRPr="00374CCA">
              <w:rPr>
                <w:color w:val="000000" w:themeColor="text1"/>
              </w:rPr>
              <w:t xml:space="preserve">versus </w:t>
            </w:r>
            <w:r w:rsidR="008507B3" w:rsidRPr="00374CCA">
              <w:rPr>
                <w:color w:val="000000" w:themeColor="text1"/>
              </w:rPr>
              <w:t xml:space="preserve">OMT alone </w:t>
            </w:r>
            <w:r w:rsidRPr="00374CCA">
              <w:rPr>
                <w:color w:val="000000" w:themeColor="text1"/>
              </w:rPr>
              <w:t xml:space="preserve">in </w:t>
            </w:r>
            <w:r w:rsidR="000B19B4" w:rsidRPr="00374CCA">
              <w:rPr>
                <w:color w:val="000000" w:themeColor="text1"/>
              </w:rPr>
              <w:t xml:space="preserve">patients with severe, symptomatic TR despite OMT </w:t>
            </w:r>
            <w:r w:rsidR="005A3009">
              <w:rPr>
                <w:color w:val="000000" w:themeColor="text1"/>
              </w:rPr>
              <w:t xml:space="preserve">and </w:t>
            </w:r>
            <w:r w:rsidR="000B19B4" w:rsidRPr="00374CCA">
              <w:rPr>
                <w:color w:val="000000" w:themeColor="text1"/>
              </w:rPr>
              <w:t xml:space="preserve">who are suitable for </w:t>
            </w:r>
            <w:r w:rsidR="00F353EA">
              <w:rPr>
                <w:color w:val="000000" w:themeColor="text1"/>
              </w:rPr>
              <w:t xml:space="preserve">isolated </w:t>
            </w:r>
            <w:r w:rsidR="000B19B4" w:rsidRPr="00374CCA">
              <w:rPr>
                <w:color w:val="000000" w:themeColor="text1"/>
              </w:rPr>
              <w:t>T-TEER</w:t>
            </w:r>
            <w:r w:rsidRPr="00374CCA">
              <w:rPr>
                <w:color w:val="000000" w:themeColor="text1"/>
              </w:rPr>
              <w:t>?</w:t>
            </w:r>
          </w:p>
        </w:tc>
      </w:tr>
    </w:tbl>
    <w:p w14:paraId="5D5376EF" w14:textId="4F450D6C" w:rsidR="006478E7" w:rsidRPr="00374CCA" w:rsidRDefault="006478E7" w:rsidP="00E01349"/>
    <w:p w14:paraId="53297713" w14:textId="0DA7B658" w:rsidR="00912660" w:rsidRPr="00374CCA" w:rsidRDefault="00912660" w:rsidP="00713728">
      <w:pPr>
        <w:pStyle w:val="Heading2"/>
      </w:pPr>
      <w:r w:rsidRPr="00374CCA">
        <w:t>Purpose of application</w:t>
      </w:r>
    </w:p>
    <w:p w14:paraId="0E65AD1B" w14:textId="5A67B414" w:rsidR="004C2C5E" w:rsidRPr="00374CCA" w:rsidRDefault="005968BF" w:rsidP="005968BF">
      <w:pPr>
        <w:spacing w:after="240"/>
        <w:rPr>
          <w:iCs/>
        </w:rPr>
      </w:pPr>
      <w:r w:rsidRPr="00374CCA">
        <w:rPr>
          <w:iCs/>
        </w:rPr>
        <w:t xml:space="preserve">An application requesting Medicare Benefits Schedule (MBS) listing of transcatheter </w:t>
      </w:r>
      <w:r w:rsidR="00301CED" w:rsidRPr="00374CCA">
        <w:rPr>
          <w:iCs/>
        </w:rPr>
        <w:t xml:space="preserve">edge-to-edge repair </w:t>
      </w:r>
      <w:r w:rsidR="00AA4832" w:rsidRPr="00374CCA">
        <w:rPr>
          <w:iCs/>
        </w:rPr>
        <w:t xml:space="preserve">(TEER) </w:t>
      </w:r>
      <w:r w:rsidR="00301CED" w:rsidRPr="00374CCA">
        <w:rPr>
          <w:iCs/>
        </w:rPr>
        <w:t xml:space="preserve">of the </w:t>
      </w:r>
      <w:r w:rsidRPr="00374CCA">
        <w:rPr>
          <w:iCs/>
        </w:rPr>
        <w:t>tricuspid valve (T</w:t>
      </w:r>
      <w:r w:rsidR="00301CED" w:rsidRPr="00374CCA">
        <w:rPr>
          <w:iCs/>
        </w:rPr>
        <w:t>-TEER</w:t>
      </w:r>
      <w:r w:rsidRPr="00374CCA">
        <w:rPr>
          <w:iCs/>
        </w:rPr>
        <w:t>)</w:t>
      </w:r>
      <w:r w:rsidR="00CC366D" w:rsidRPr="00374CCA">
        <w:rPr>
          <w:rStyle w:val="FootnoteReference"/>
          <w:iCs/>
        </w:rPr>
        <w:footnoteReference w:id="2"/>
      </w:r>
      <w:r w:rsidRPr="00374CCA">
        <w:rPr>
          <w:iCs/>
        </w:rPr>
        <w:t xml:space="preserve"> for the treatment of severe, symptomatic tricuspid regurgitation (TR) despite optimal medical therapy (OMT) was received from </w:t>
      </w:r>
      <w:r w:rsidR="00AA4832" w:rsidRPr="00374CCA">
        <w:rPr>
          <w:iCs/>
        </w:rPr>
        <w:t xml:space="preserve">Abbott </w:t>
      </w:r>
      <w:r w:rsidR="00B8532C" w:rsidRPr="00374CCA">
        <w:rPr>
          <w:iCs/>
        </w:rPr>
        <w:t>Medical Australia</w:t>
      </w:r>
      <w:r w:rsidRPr="00374CCA">
        <w:rPr>
          <w:iCs/>
        </w:rPr>
        <w:t xml:space="preserve"> Pty Limited by the Department of Health</w:t>
      </w:r>
      <w:r w:rsidR="00B8532C" w:rsidRPr="00374CCA">
        <w:rPr>
          <w:iCs/>
        </w:rPr>
        <w:t>, Disability</w:t>
      </w:r>
      <w:r w:rsidRPr="00374CCA">
        <w:rPr>
          <w:iCs/>
        </w:rPr>
        <w:t xml:space="preserve"> and Age</w:t>
      </w:r>
      <w:r w:rsidR="00B8532C" w:rsidRPr="00374CCA">
        <w:rPr>
          <w:iCs/>
        </w:rPr>
        <w:t>ing</w:t>
      </w:r>
      <w:r w:rsidRPr="00374CCA">
        <w:rPr>
          <w:iCs/>
        </w:rPr>
        <w:t>.</w:t>
      </w:r>
    </w:p>
    <w:p w14:paraId="18E66948" w14:textId="77777777" w:rsidR="00D73332" w:rsidRPr="00374CCA" w:rsidRDefault="00D73332" w:rsidP="00FD4C65">
      <w:pPr>
        <w:pStyle w:val="Heading2"/>
      </w:pPr>
      <w:r w:rsidRPr="00374CCA">
        <w:t xml:space="preserve">PICO </w:t>
      </w:r>
      <w:r w:rsidR="00FD4E33" w:rsidRPr="00374CCA">
        <w:t xml:space="preserve">criteria </w:t>
      </w:r>
    </w:p>
    <w:p w14:paraId="06B30611" w14:textId="77777777" w:rsidR="007D6B83" w:rsidRPr="00374CCA" w:rsidRDefault="007D6B83" w:rsidP="007D6B83">
      <w:pPr>
        <w:pStyle w:val="Heading3"/>
      </w:pPr>
      <w:r w:rsidRPr="00374CCA">
        <w:t>Population</w:t>
      </w:r>
    </w:p>
    <w:p w14:paraId="2DA12062" w14:textId="088A4696" w:rsidR="002E0952" w:rsidRPr="00374CCA" w:rsidRDefault="006F5147" w:rsidP="002E0952">
      <w:r w:rsidRPr="00374CCA">
        <w:t xml:space="preserve">The proposed population is patients with TR graded at least severe, as determined by echocardiography, with symptoms </w:t>
      </w:r>
      <w:r w:rsidRPr="00374CCA">
        <w:rPr>
          <w:rFonts w:cs="Arial"/>
        </w:rPr>
        <w:t>(New York Heart Association [NYHA] functional class II</w:t>
      </w:r>
      <w:r w:rsidR="005E7A14" w:rsidRPr="00374CCA">
        <w:rPr>
          <w:rFonts w:cs="Arial"/>
        </w:rPr>
        <w:t xml:space="preserve">, III or </w:t>
      </w:r>
      <w:r w:rsidR="007C6A66" w:rsidRPr="00374CCA">
        <w:rPr>
          <w:rFonts w:cs="Arial"/>
        </w:rPr>
        <w:t xml:space="preserve">ambulatory </w:t>
      </w:r>
      <w:r w:rsidR="005E7A14" w:rsidRPr="00374CCA">
        <w:rPr>
          <w:rFonts w:cs="Arial"/>
        </w:rPr>
        <w:t>IV</w:t>
      </w:r>
      <w:r w:rsidRPr="00374CCA">
        <w:rPr>
          <w:rFonts w:cs="Arial"/>
        </w:rPr>
        <w:t xml:space="preserve">) </w:t>
      </w:r>
      <w:r w:rsidRPr="00374CCA">
        <w:t xml:space="preserve">that persist despite OMT, and who have </w:t>
      </w:r>
      <w:r w:rsidR="007C6A66" w:rsidRPr="00374CCA">
        <w:t xml:space="preserve">systolic pulmonary artery pressure (sPAP) of </w:t>
      </w:r>
      <w:r w:rsidR="00AE7646" w:rsidRPr="00374CCA">
        <w:rPr>
          <w:rFonts w:cs="Calibri"/>
        </w:rPr>
        <w:t>≤</w:t>
      </w:r>
      <w:r w:rsidR="007C6A66" w:rsidRPr="00374CCA">
        <w:t>70 mmHg</w:t>
      </w:r>
      <w:r w:rsidR="002F4697" w:rsidRPr="00374CCA">
        <w:t>,</w:t>
      </w:r>
      <w:r w:rsidR="003C542E" w:rsidRPr="00374CCA">
        <w:t xml:space="preserve"> </w:t>
      </w:r>
      <w:r w:rsidR="00F5420F" w:rsidRPr="00374CCA">
        <w:t xml:space="preserve">and </w:t>
      </w:r>
      <w:r w:rsidRPr="00374CCA">
        <w:t xml:space="preserve">left ventricular ejection fraction (LVEF) of </w:t>
      </w:r>
      <w:r w:rsidR="00DB3493" w:rsidRPr="00374CCA">
        <w:t>&gt;</w:t>
      </w:r>
      <w:r w:rsidRPr="00374CCA">
        <w:t>2</w:t>
      </w:r>
      <w:r w:rsidR="007C6A66" w:rsidRPr="00374CCA">
        <w:t>0</w:t>
      </w:r>
      <w:r w:rsidRPr="00374CCA">
        <w:t>%.</w:t>
      </w:r>
      <w:r w:rsidR="00130E43" w:rsidRPr="00374CCA">
        <w:rPr>
          <w:rStyle w:val="FootnoteReference"/>
        </w:rPr>
        <w:footnoteReference w:id="3"/>
      </w:r>
      <w:r w:rsidRPr="00374CCA">
        <w:t xml:space="preserve"> To be eligible for the </w:t>
      </w:r>
      <w:r w:rsidR="007B68FF">
        <w:t xml:space="preserve">proposed </w:t>
      </w:r>
      <w:r w:rsidRPr="00374CCA">
        <w:t xml:space="preserve">intervention, patients must also be deemed by a qualified multidisciplinary heart team </w:t>
      </w:r>
      <w:r w:rsidR="00872071" w:rsidRPr="00374CCA">
        <w:t xml:space="preserve">(MDHT) </w:t>
      </w:r>
      <w:r w:rsidRPr="00374CCA">
        <w:t xml:space="preserve">to be suitable for isolated </w:t>
      </w:r>
      <w:r w:rsidR="00F5420F" w:rsidRPr="00374CCA">
        <w:t>T-TEER</w:t>
      </w:r>
      <w:r w:rsidRPr="00374CCA">
        <w:t>.</w:t>
      </w:r>
    </w:p>
    <w:p w14:paraId="6DFC9372" w14:textId="4264C983" w:rsidR="008229E9" w:rsidRPr="00374CCA" w:rsidRDefault="00D07416" w:rsidP="002E0952">
      <w:r w:rsidRPr="00374CCA">
        <w:t xml:space="preserve">The proposed population </w:t>
      </w:r>
      <w:r w:rsidR="000367B5" w:rsidRPr="00374CCA">
        <w:t>aligns with that of</w:t>
      </w:r>
      <w:r w:rsidRPr="00374CCA">
        <w:t xml:space="preserve"> the </w:t>
      </w:r>
      <w:r w:rsidR="005E1273" w:rsidRPr="00374CCA">
        <w:t xml:space="preserve">pivotal randomised controlled trial (RCT) </w:t>
      </w:r>
      <w:r w:rsidR="009A6F34" w:rsidRPr="00374CCA">
        <w:t>evaluating</w:t>
      </w:r>
      <w:r w:rsidR="005E1273" w:rsidRPr="00374CCA">
        <w:t xml:space="preserve"> the safety and efficacy of T-TEER using the </w:t>
      </w:r>
      <w:r w:rsidR="004B790D" w:rsidRPr="00374CCA">
        <w:rPr>
          <w:iCs/>
        </w:rPr>
        <w:t>TriClip Transcatheter Tricuspid Valve Repair System (here</w:t>
      </w:r>
      <w:r w:rsidR="00781E9E" w:rsidRPr="00374CCA">
        <w:rPr>
          <w:iCs/>
        </w:rPr>
        <w:t>after</w:t>
      </w:r>
      <w:r w:rsidR="004B790D" w:rsidRPr="00374CCA">
        <w:rPr>
          <w:iCs/>
        </w:rPr>
        <w:t xml:space="preserve"> referred to as the TriClip system) </w:t>
      </w:r>
      <w:r w:rsidR="005E1273" w:rsidRPr="00374CCA">
        <w:t>in addition to continued OMT</w:t>
      </w:r>
      <w:r w:rsidR="009A6F34" w:rsidRPr="00374CCA">
        <w:t>,</w:t>
      </w:r>
      <w:r w:rsidR="005E1273" w:rsidRPr="00374CCA">
        <w:t xml:space="preserve"> </w:t>
      </w:r>
      <w:r w:rsidR="009A6F34" w:rsidRPr="00374CCA">
        <w:t>compared with</w:t>
      </w:r>
      <w:r w:rsidR="005E1273" w:rsidRPr="00374CCA">
        <w:t xml:space="preserve"> OMT alone</w:t>
      </w:r>
      <w:r w:rsidR="00EF1B69" w:rsidRPr="00374CCA">
        <w:t>. This trial,</w:t>
      </w:r>
      <w:r w:rsidR="005E1273" w:rsidRPr="00374CCA">
        <w:t xml:space="preserve"> referred to as TRILUMINATE Pivotal (</w:t>
      </w:r>
      <w:hyperlink r:id="rId8" w:tooltip="Hyperlink to TRILUMINATE Pivotal entry in ClinicalTrials.gov" w:history="1">
        <w:r w:rsidR="00F53301" w:rsidRPr="00374CCA">
          <w:rPr>
            <w:rStyle w:val="Hyperlink"/>
            <w:rFonts w:ascii="Calibri" w:hAnsi="Calibri"/>
          </w:rPr>
          <w:t>NCT03904147</w:t>
        </w:r>
      </w:hyperlink>
      <w:r w:rsidR="00E32AA7" w:rsidRPr="00374CCA">
        <w:t xml:space="preserve">; </w:t>
      </w:r>
      <w:r w:rsidR="00A32E7C" w:rsidRPr="00374CCA">
        <w:t xml:space="preserve">Sorajja et al. </w:t>
      </w:r>
      <w:r w:rsidR="006D7CD7" w:rsidRPr="00374CCA">
        <w:t>2023</w:t>
      </w:r>
      <w:r w:rsidR="005E1273" w:rsidRPr="00374CCA">
        <w:t>)</w:t>
      </w:r>
      <w:r w:rsidR="00EF1B69" w:rsidRPr="00374CCA">
        <w:t xml:space="preserve">, required participants </w:t>
      </w:r>
      <w:r w:rsidR="00082CD0" w:rsidRPr="00374CCA">
        <w:t xml:space="preserve">to </w:t>
      </w:r>
      <w:r w:rsidR="00D57256" w:rsidRPr="00374CCA">
        <w:t>be at</w:t>
      </w:r>
      <w:r w:rsidR="006E4918" w:rsidRPr="00374CCA">
        <w:t xml:space="preserve"> intermediate or greater</w:t>
      </w:r>
      <w:r w:rsidR="00863BDD" w:rsidRPr="00374CCA">
        <w:t xml:space="preserve"> </w:t>
      </w:r>
      <w:r w:rsidR="006E4918" w:rsidRPr="00374CCA">
        <w:t xml:space="preserve">estimated risk for mortality or morbidity </w:t>
      </w:r>
      <w:r w:rsidR="005E7A8F" w:rsidRPr="00374CCA">
        <w:t xml:space="preserve">associated </w:t>
      </w:r>
      <w:r w:rsidR="006E4918" w:rsidRPr="00374CCA">
        <w:t>with tricuspid</w:t>
      </w:r>
      <w:r w:rsidR="00863BDD" w:rsidRPr="00374CCA">
        <w:t xml:space="preserve"> </w:t>
      </w:r>
      <w:r w:rsidR="006E4918" w:rsidRPr="00374CCA">
        <w:t>valve surgery</w:t>
      </w:r>
      <w:r w:rsidR="005E7A8F" w:rsidRPr="00374CCA">
        <w:t>,</w:t>
      </w:r>
      <w:r w:rsidR="00B43F95" w:rsidRPr="00374CCA">
        <w:t xml:space="preserve"> as determined by the </w:t>
      </w:r>
      <w:r w:rsidR="00DB6BB4" w:rsidRPr="00374CCA">
        <w:t>local</w:t>
      </w:r>
      <w:r w:rsidR="00B43F95" w:rsidRPr="00374CCA">
        <w:t xml:space="preserve"> heart team</w:t>
      </w:r>
      <w:r w:rsidR="001A3B78" w:rsidRPr="00374CCA">
        <w:t xml:space="preserve">, and </w:t>
      </w:r>
      <w:r w:rsidR="005E7A8F" w:rsidRPr="00374CCA">
        <w:t xml:space="preserve">to be </w:t>
      </w:r>
      <w:r w:rsidR="001A3B78" w:rsidRPr="00374CCA">
        <w:t xml:space="preserve">receiving stable </w:t>
      </w:r>
      <w:r w:rsidR="008229E9" w:rsidRPr="00374CCA">
        <w:t xml:space="preserve">OMT for </w:t>
      </w:r>
      <w:r w:rsidR="001A3B78" w:rsidRPr="00374CCA">
        <w:t>at least 30 days</w:t>
      </w:r>
      <w:r w:rsidR="004D79ED" w:rsidRPr="00374CCA">
        <w:t>.</w:t>
      </w:r>
      <w:r w:rsidR="00D57256" w:rsidRPr="00374CCA">
        <w:t xml:space="preserve"> </w:t>
      </w:r>
      <w:r w:rsidR="00CE7E23" w:rsidRPr="00CE7E23">
        <w:t xml:space="preserve">The applicability of the clinical evidence </w:t>
      </w:r>
      <w:r w:rsidR="00E0190F">
        <w:t xml:space="preserve">to the </w:t>
      </w:r>
      <w:r w:rsidR="00AF20AE">
        <w:t xml:space="preserve">Australian target population </w:t>
      </w:r>
      <w:r w:rsidR="00CE7E23" w:rsidRPr="00CE7E23">
        <w:t>needs to be addressed during the assessment.</w:t>
      </w:r>
    </w:p>
    <w:p w14:paraId="7640AB27" w14:textId="40BBD716" w:rsidR="00101391" w:rsidRPr="00374CCA" w:rsidRDefault="008C3A87" w:rsidP="00F7777F">
      <w:r w:rsidRPr="00374CCA">
        <w:lastRenderedPageBreak/>
        <w:t>TRILUMINATE Pivotal p</w:t>
      </w:r>
      <w:r w:rsidR="00111750" w:rsidRPr="00374CCA">
        <w:t xml:space="preserve">articipants were </w:t>
      </w:r>
      <w:r w:rsidR="006367A4" w:rsidRPr="00374CCA">
        <w:t>further s</w:t>
      </w:r>
      <w:r w:rsidR="00111750" w:rsidRPr="00374CCA">
        <w:t xml:space="preserve">elected based on </w:t>
      </w:r>
      <w:r w:rsidR="006367A4" w:rsidRPr="00374CCA">
        <w:t xml:space="preserve">the </w:t>
      </w:r>
      <w:r w:rsidR="00111750" w:rsidRPr="00374CCA">
        <w:t xml:space="preserve">likelihood of achieving a </w:t>
      </w:r>
      <w:r w:rsidR="006367A4" w:rsidRPr="00374CCA">
        <w:t xml:space="preserve">meaningful </w:t>
      </w:r>
      <w:r w:rsidR="00111750" w:rsidRPr="00374CCA">
        <w:t xml:space="preserve">reduction in TR </w:t>
      </w:r>
      <w:r w:rsidR="006367A4" w:rsidRPr="00374CCA">
        <w:t>following</w:t>
      </w:r>
      <w:r w:rsidR="00ED0678" w:rsidRPr="00374CCA">
        <w:t xml:space="preserve"> T-TEER. </w:t>
      </w:r>
      <w:r w:rsidR="006367A4" w:rsidRPr="00374CCA">
        <w:t>A</w:t>
      </w:r>
      <w:r w:rsidR="00BD1B8D" w:rsidRPr="00374CCA">
        <w:t xml:space="preserve">n independent eligibility committee </w:t>
      </w:r>
      <w:r w:rsidR="00E64416" w:rsidRPr="00374CCA">
        <w:t xml:space="preserve">that included a </w:t>
      </w:r>
      <w:r w:rsidR="00F7777F" w:rsidRPr="00374CCA">
        <w:t>cardiac surgeon, an interventionalist, and</w:t>
      </w:r>
      <w:r w:rsidR="00E64416" w:rsidRPr="00374CCA">
        <w:t xml:space="preserve"> </w:t>
      </w:r>
      <w:r w:rsidR="00F7777F" w:rsidRPr="00374CCA">
        <w:t xml:space="preserve">an echocardiographer </w:t>
      </w:r>
      <w:r w:rsidR="0052335D" w:rsidRPr="00374CCA">
        <w:t xml:space="preserve">assessed this likelihood using criteria such as baseline TR severity, the number of </w:t>
      </w:r>
      <w:r w:rsidR="00940E59" w:rsidRPr="00374CCA">
        <w:t xml:space="preserve">tricuspid valve </w:t>
      </w:r>
      <w:r w:rsidR="0052335D" w:rsidRPr="00374CCA">
        <w:t>leaflet segments requiring treatment, and the size of anatomic leaflet gaps. Patients deemed likely to achieve moderate or less residual TR were enrolled in the RCT. Those expected to achieve at least a one-grade reduction in TR, but not moderate or less residual TR, were assigned to a concurrent single-arm cohort. Patients unlikely to experience any reduction in TR were excluded from the study</w:t>
      </w:r>
      <w:r w:rsidR="007324B9" w:rsidRPr="00374CCA">
        <w:t xml:space="preserve"> (Sorajja et al. 2023; </w:t>
      </w:r>
      <w:r w:rsidR="00E323FF" w:rsidRPr="00374CCA">
        <w:t xml:space="preserve">supplementary </w:t>
      </w:r>
      <w:r w:rsidR="005402EB" w:rsidRPr="00374CCA">
        <w:t>material</w:t>
      </w:r>
      <w:r w:rsidR="00E323FF" w:rsidRPr="00374CCA">
        <w:t>)</w:t>
      </w:r>
      <w:r w:rsidR="0052335D" w:rsidRPr="00374CCA">
        <w:t>.</w:t>
      </w:r>
    </w:p>
    <w:p w14:paraId="35926DD9" w14:textId="4C9C4CD6" w:rsidR="00B43F95" w:rsidRPr="00374CCA" w:rsidRDefault="00C64DB8" w:rsidP="00321BAD">
      <w:pPr>
        <w:spacing w:after="120"/>
      </w:pPr>
      <w:r w:rsidRPr="00374CCA">
        <w:t>Other k</w:t>
      </w:r>
      <w:r w:rsidR="00F725B6" w:rsidRPr="00374CCA">
        <w:t xml:space="preserve">ey </w:t>
      </w:r>
      <w:r w:rsidR="00D31CC7" w:rsidRPr="00374CCA">
        <w:t>exclusion</w:t>
      </w:r>
      <w:r w:rsidR="003342DD" w:rsidRPr="00374CCA">
        <w:t xml:space="preserve"> criteria </w:t>
      </w:r>
      <w:r w:rsidR="00315BC6" w:rsidRPr="00374CCA">
        <w:t xml:space="preserve">in TRILUMINATE </w:t>
      </w:r>
      <w:r w:rsidR="005766E5" w:rsidRPr="00374CCA">
        <w:t xml:space="preserve">Pivotal </w:t>
      </w:r>
      <w:r w:rsidR="00F50905" w:rsidRPr="00374CCA">
        <w:t>were</w:t>
      </w:r>
      <w:r w:rsidR="00B43F95" w:rsidRPr="00374CCA">
        <w:t>:</w:t>
      </w:r>
    </w:p>
    <w:p w14:paraId="567B5129" w14:textId="3BFD3769" w:rsidR="00BF2864" w:rsidRPr="00374CCA" w:rsidRDefault="00BF2864" w:rsidP="00BF2864">
      <w:pPr>
        <w:pStyle w:val="ListParagraph"/>
        <w:numPr>
          <w:ilvl w:val="0"/>
          <w:numId w:val="12"/>
        </w:numPr>
      </w:pPr>
      <w:r w:rsidRPr="00374CCA">
        <w:t xml:space="preserve">tricuspid valve leaflet anatomy that may preclude clip implantation, proper clip positioning on the leaflets, or sufficient reduction in TR (e.g. evidence of calcification in the grasping area, presence of a severe coaptation defect of the tricuspid leaflets, severe leaflet defect preventing proper device placement, Ebstein </w:t>
      </w:r>
      <w:r w:rsidR="00FA1D6E" w:rsidRPr="00374CCA">
        <w:t>a</w:t>
      </w:r>
      <w:r w:rsidRPr="00374CCA">
        <w:t>nomaly)</w:t>
      </w:r>
    </w:p>
    <w:p w14:paraId="12974E23" w14:textId="61CC0F0B" w:rsidR="00B43F95" w:rsidRPr="00374CCA" w:rsidRDefault="005A7EF0" w:rsidP="00B43F95">
      <w:pPr>
        <w:pStyle w:val="ListParagraph"/>
        <w:numPr>
          <w:ilvl w:val="0"/>
          <w:numId w:val="12"/>
        </w:numPr>
      </w:pPr>
      <w:r w:rsidRPr="00374CCA">
        <w:t>s</w:t>
      </w:r>
      <w:r w:rsidR="00CF4EF8" w:rsidRPr="00374CCA">
        <w:t xml:space="preserve">evere uncontrolled </w:t>
      </w:r>
      <w:r w:rsidRPr="00374CCA">
        <w:t>hypertension</w:t>
      </w:r>
    </w:p>
    <w:p w14:paraId="548A7703" w14:textId="03967198" w:rsidR="00D07416" w:rsidRPr="00374CCA" w:rsidRDefault="00C64CB1">
      <w:pPr>
        <w:pStyle w:val="ListParagraph"/>
        <w:numPr>
          <w:ilvl w:val="0"/>
          <w:numId w:val="12"/>
        </w:numPr>
      </w:pPr>
      <w:r w:rsidRPr="00374CCA">
        <w:t>indication for left-sided (e.g. severe mitral regurgitation</w:t>
      </w:r>
      <w:r w:rsidR="008B6D84" w:rsidRPr="00374CCA">
        <w:t xml:space="preserve"> [MR]</w:t>
      </w:r>
      <w:r w:rsidRPr="00374CCA">
        <w:t>) or pulmonary valve correction in the prior 60 days</w:t>
      </w:r>
      <w:r w:rsidR="00BC3250" w:rsidRPr="00374CCA">
        <w:t>.</w:t>
      </w:r>
    </w:p>
    <w:p w14:paraId="10D4F604" w14:textId="0D3920F6" w:rsidR="00321BAD" w:rsidRDefault="00E7653D" w:rsidP="00321BAD">
      <w:r w:rsidRPr="00374CCA">
        <w:t>Although the proposed population does not specify these additional</w:t>
      </w:r>
      <w:r w:rsidR="00477618" w:rsidRPr="00374CCA">
        <w:t xml:space="preserve"> </w:t>
      </w:r>
      <w:r w:rsidRPr="00374CCA">
        <w:t xml:space="preserve">criteria, the application noted that </w:t>
      </w:r>
      <w:r w:rsidR="00837886" w:rsidRPr="00374CCA">
        <w:t>suitability will be confirmed via a</w:t>
      </w:r>
      <w:r w:rsidRPr="00374CCA">
        <w:t xml:space="preserve"> multidisciplinary </w:t>
      </w:r>
      <w:r w:rsidR="00837886" w:rsidRPr="00374CCA">
        <w:t xml:space="preserve">case conference to ensure </w:t>
      </w:r>
      <w:r w:rsidR="00DF20C3" w:rsidRPr="00374CCA">
        <w:t>appropriate patient selection</w:t>
      </w:r>
      <w:r w:rsidR="007851B8" w:rsidRPr="00374CCA">
        <w:t>.</w:t>
      </w:r>
      <w:r w:rsidR="00321BAD" w:rsidRPr="00374CCA">
        <w:t xml:space="preserve"> </w:t>
      </w:r>
    </w:p>
    <w:p w14:paraId="27E797CA" w14:textId="3929BBB5" w:rsidR="00497760" w:rsidRPr="00374CCA" w:rsidRDefault="00497760" w:rsidP="00321BAD">
      <w:r w:rsidRPr="00374CCA">
        <w:rPr>
          <w:rFonts w:asciiTheme="minorHAnsi" w:hAnsiTheme="minorHAnsi" w:cstheme="minorHAnsi"/>
          <w:i/>
          <w:iCs/>
        </w:rPr>
        <w:t xml:space="preserve">PASC confirmed the proposed patient population. PASC noted that the pivotal clinical trial excluded patients with severely depressed ejection fraction and severe pulmonary hypertension. PASC considered that these patients have very high mortality and are unlikely to benefit from the intervention, making their exclusion appropriate. </w:t>
      </w:r>
      <w:r w:rsidRPr="00374CCA">
        <w:rPr>
          <w:rFonts w:asciiTheme="minorHAnsi" w:hAnsiTheme="minorHAnsi" w:cstheme="minorBidi"/>
          <w:i/>
        </w:rPr>
        <w:t xml:space="preserve">PASC also considered whether other trial exclusions – such as surgical ineligibility or the likelihood of achieving </w:t>
      </w:r>
      <w:r w:rsidRPr="00374CCA" w:rsidDel="007E761D">
        <w:rPr>
          <w:rFonts w:asciiTheme="minorHAnsi" w:hAnsiTheme="minorHAnsi" w:cstheme="minorBidi"/>
          <w:i/>
        </w:rPr>
        <w:t xml:space="preserve">only </w:t>
      </w:r>
      <w:r w:rsidRPr="00374CCA">
        <w:rPr>
          <w:rFonts w:asciiTheme="minorHAnsi" w:hAnsiTheme="minorHAnsi" w:cstheme="minorBidi"/>
          <w:i/>
        </w:rPr>
        <w:t xml:space="preserve">moderate or less residual TR after the procedure – should be incorporated into the population definition. PASC recalled its previous discussion on whether to include surgical ineligibility in MSAC application </w:t>
      </w:r>
      <w:hyperlink r:id="rId9" w:history="1">
        <w:r w:rsidRPr="00374CCA">
          <w:rPr>
            <w:rStyle w:val="Hyperlink"/>
            <w:rFonts w:asciiTheme="minorHAnsi" w:hAnsiTheme="minorHAnsi" w:cstheme="minorBidi"/>
            <w:i/>
          </w:rPr>
          <w:t>1799</w:t>
        </w:r>
      </w:hyperlink>
      <w:r w:rsidRPr="00374CCA">
        <w:rPr>
          <w:rFonts w:asciiTheme="minorHAnsi" w:hAnsiTheme="minorHAnsi" w:cstheme="minorBidi"/>
          <w:i/>
        </w:rPr>
        <w:t xml:space="preserve"> for </w:t>
      </w:r>
      <w:r w:rsidR="00DF3B75" w:rsidRPr="00DF3B75">
        <w:rPr>
          <w:rFonts w:asciiTheme="minorHAnsi" w:hAnsiTheme="minorHAnsi" w:cstheme="minorBidi"/>
          <w:i/>
        </w:rPr>
        <w:t xml:space="preserve">transcatheter tricuspid valve </w:t>
      </w:r>
      <w:r w:rsidR="00DF3B75">
        <w:rPr>
          <w:rFonts w:asciiTheme="minorHAnsi" w:hAnsiTheme="minorHAnsi" w:cstheme="minorBidi"/>
          <w:i/>
        </w:rPr>
        <w:t>(</w:t>
      </w:r>
      <w:r w:rsidRPr="00374CCA">
        <w:rPr>
          <w:rFonts w:asciiTheme="minorHAnsi" w:hAnsiTheme="minorHAnsi" w:cstheme="minorBidi"/>
          <w:i/>
        </w:rPr>
        <w:t>TTV</w:t>
      </w:r>
      <w:r w:rsidR="00DF3B75">
        <w:rPr>
          <w:rFonts w:asciiTheme="minorHAnsi" w:hAnsiTheme="minorHAnsi" w:cstheme="minorBidi"/>
          <w:i/>
        </w:rPr>
        <w:t>)</w:t>
      </w:r>
      <w:r w:rsidRPr="00374CCA">
        <w:rPr>
          <w:rFonts w:asciiTheme="minorHAnsi" w:hAnsiTheme="minorHAnsi" w:cstheme="minorBidi"/>
          <w:i/>
        </w:rPr>
        <w:t xml:space="preserve"> replacement, where it was agreed that patients with severe, symptomatic TR are rarely suitable for</w:t>
      </w:r>
      <w:r w:rsidRPr="00374CCA">
        <w:rPr>
          <w:rFonts w:asciiTheme="minorHAnsi" w:hAnsiTheme="minorHAnsi" w:cstheme="minorBidi"/>
          <w:i/>
          <w:iCs/>
        </w:rPr>
        <w:t>,</w:t>
      </w:r>
      <w:r w:rsidRPr="00374CCA">
        <w:rPr>
          <w:rFonts w:asciiTheme="minorHAnsi" w:hAnsiTheme="minorHAnsi" w:cstheme="minorBidi"/>
          <w:i/>
        </w:rPr>
        <w:t xml:space="preserve"> or offered</w:t>
      </w:r>
      <w:r w:rsidRPr="00374CCA">
        <w:rPr>
          <w:rFonts w:asciiTheme="minorHAnsi" w:hAnsiTheme="minorHAnsi" w:cstheme="minorBidi"/>
          <w:i/>
          <w:iCs/>
        </w:rPr>
        <w:t>,</w:t>
      </w:r>
      <w:r w:rsidRPr="00374CCA">
        <w:rPr>
          <w:rFonts w:asciiTheme="minorHAnsi" w:hAnsiTheme="minorHAnsi" w:cstheme="minorBidi"/>
          <w:i/>
        </w:rPr>
        <w:t xml:space="preserve"> surgery. PASC noted that the applicant’s clinical expert advised that some patients could derive clinical benefit from reducing TR severity from torrential or massive to severe. After discussion, PASC advised that the decision regarding suitability for T-TEER should remain at the discretion of the MDHT, and no changes to the population description were required.</w:t>
      </w:r>
    </w:p>
    <w:p w14:paraId="7B4BACA3" w14:textId="77777777" w:rsidR="007D7A50" w:rsidRPr="00374CCA" w:rsidRDefault="007D7A50" w:rsidP="007D7A50">
      <w:pPr>
        <w:pStyle w:val="Heading4"/>
      </w:pPr>
      <w:r w:rsidRPr="002B4B36">
        <w:rPr>
          <w:color w:val="0070C0"/>
        </w:rPr>
        <w:t>Severe tricuspid regurgitation</w:t>
      </w:r>
    </w:p>
    <w:p w14:paraId="212AE5AC" w14:textId="025ADFA5" w:rsidR="007D7A50" w:rsidRPr="00374CCA" w:rsidRDefault="007D7A50" w:rsidP="00D11C34">
      <w:r w:rsidRPr="00374CCA">
        <w:t xml:space="preserve">TR is a </w:t>
      </w:r>
      <w:r w:rsidR="00EC3889" w:rsidRPr="00374CCA">
        <w:t>valvular heart</w:t>
      </w:r>
      <w:r w:rsidRPr="00374CCA">
        <w:t xml:space="preserve"> condition </w:t>
      </w:r>
      <w:r w:rsidR="00EC3889" w:rsidRPr="00374CCA">
        <w:t>in which</w:t>
      </w:r>
      <w:r w:rsidRPr="00374CCA">
        <w:t xml:space="preserve"> the tricuspid valve </w:t>
      </w:r>
      <w:r w:rsidR="00EC3889" w:rsidRPr="00374CCA">
        <w:t>fails to</w:t>
      </w:r>
      <w:r w:rsidRPr="00374CCA">
        <w:t xml:space="preserve"> close properly, </w:t>
      </w:r>
      <w:r w:rsidR="009E02E1" w:rsidRPr="00374CCA">
        <w:t>resulting in the</w:t>
      </w:r>
      <w:r w:rsidR="003749BB" w:rsidRPr="00374CCA">
        <w:t xml:space="preserve"> backflow of blood from the right ventricle into the right atrium</w:t>
      </w:r>
      <w:r w:rsidR="00332CC3" w:rsidRPr="00374CCA">
        <w:t xml:space="preserve">. </w:t>
      </w:r>
      <w:r w:rsidR="009E02E1" w:rsidRPr="00374CCA">
        <w:t>TR can arise from a range of aetiologies, broadly</w:t>
      </w:r>
      <w:r w:rsidRPr="00374CCA">
        <w:t xml:space="preserve"> classified into primary and secondary causes. </w:t>
      </w:r>
      <w:r w:rsidR="00683F06" w:rsidRPr="00374CCA">
        <w:t xml:space="preserve">Primary TR is due to intrinsic abnormalities of the tricuspid valve leaflets. Common causes include infective endocarditis, rheumatic heart disease, blunt chest trauma, carcinoid syndrome, drug-induced damage, radiation exposure, and congenital anomalies such as Ebstein anomaly </w:t>
      </w:r>
      <w:r w:rsidRPr="00374CCA">
        <w:t xml:space="preserve">(Otto et al. 2021). Secondary (functional) TR accounts for approximately 90% of TR </w:t>
      </w:r>
      <w:r w:rsidR="00683F06" w:rsidRPr="00374CCA">
        <w:t xml:space="preserve">cases </w:t>
      </w:r>
      <w:r w:rsidRPr="00374CCA">
        <w:t>(</w:t>
      </w:r>
      <w:r w:rsidR="00224B5D">
        <w:t>Praz et al. 2025</w:t>
      </w:r>
      <w:r w:rsidRPr="00374CCA">
        <w:t xml:space="preserve">). </w:t>
      </w:r>
      <w:r w:rsidR="00E445C5" w:rsidRPr="00374CCA">
        <w:t>It typically results from right ventricular (RV) remodelling due to pressure or volume overload, often associated with left-sided heart disease, chronic pulmonary hypertension, or dilated cardiomyopathy</w:t>
      </w:r>
      <w:r w:rsidRPr="00374CCA">
        <w:t xml:space="preserve"> (Otto et al</w:t>
      </w:r>
      <w:r w:rsidR="008B37C8" w:rsidRPr="00374CCA">
        <w:t>.</w:t>
      </w:r>
      <w:r w:rsidRPr="00374CCA">
        <w:t xml:space="preserve"> 2021). </w:t>
      </w:r>
      <w:r w:rsidR="00F44988" w:rsidRPr="00374CCA">
        <w:t>Recent classifications further subdivide secondary TR into ventricular, atrial, and lead-associated forms, the latter referring to TR caused by cardiac implantable electronic devices</w:t>
      </w:r>
      <w:r w:rsidRPr="00374CCA">
        <w:t xml:space="preserve"> (Hahn et al. 2023).</w:t>
      </w:r>
    </w:p>
    <w:p w14:paraId="26BD86BB" w14:textId="3E4B3689" w:rsidR="00D56AB3" w:rsidRPr="00374CCA" w:rsidRDefault="008F51B4" w:rsidP="007D7A50">
      <w:r w:rsidRPr="00374CCA">
        <w:lastRenderedPageBreak/>
        <w:t xml:space="preserve">A distinct subtype, isolated TR, is increasingly recognised as a separate clinical entity (Otto et al. 2021; Prihadi et al. 2019). It typically occurs in elderly patients without pulmonary hypertension or left-sided heart disease and is strongly associated with atrial fibrillation (AF). AF contributes to right atrial dilation, tricuspid annular enlargement, and malcoaptation of the valve leaflets (Prihadi et al. 2019). Prognosis in isolated TR is closely linked to the severity of regurgitation </w:t>
      </w:r>
      <w:r w:rsidR="00D56AB3" w:rsidRPr="00374CCA">
        <w:t>(Topilsky</w:t>
      </w:r>
      <w:r w:rsidR="006065AF" w:rsidRPr="00374CCA">
        <w:t xml:space="preserve"> et al.</w:t>
      </w:r>
      <w:r w:rsidR="00D56AB3" w:rsidRPr="00374CCA">
        <w:t xml:space="preserve"> 2014).</w:t>
      </w:r>
    </w:p>
    <w:p w14:paraId="05B9C617" w14:textId="2AE77B53" w:rsidR="007D7A50" w:rsidRPr="00374CCA" w:rsidRDefault="00540FC8" w:rsidP="007D7A50">
      <w:r w:rsidRPr="00374CCA">
        <w:t xml:space="preserve">TR severity is traditionally graded as mild, moderate, or severe, based on guidelines from the American Society of Echocardiography (ASE) (Zoghbi et al. 2017). More recently, this grading system has been expanded to a five-grade scale, further stratifying the severe category </w:t>
      </w:r>
      <w:r w:rsidR="00A5464D" w:rsidRPr="00374CCA">
        <w:t>i</w:t>
      </w:r>
      <w:r w:rsidRPr="00374CCA">
        <w:t>nto severe, massive, and torrential TR (Hahn et al. 2023). In clinical practice, the term ‘severe TR’ is often used as an umbrella term encompassing all three higher grades.</w:t>
      </w:r>
    </w:p>
    <w:p w14:paraId="5CB7C714" w14:textId="5456A3F1" w:rsidR="000B2B61" w:rsidRPr="00374CCA" w:rsidRDefault="00EE2DB2" w:rsidP="007D7A50">
      <w:r w:rsidRPr="00374CCA">
        <w:t>Data from</w:t>
      </w:r>
      <w:r w:rsidR="000B2B61" w:rsidRPr="00374CCA">
        <w:t xml:space="preserve"> the National Echocardiography Database of Australia</w:t>
      </w:r>
      <w:r w:rsidRPr="00374CCA">
        <w:t xml:space="preserve"> (NEDA)</w:t>
      </w:r>
      <w:r w:rsidR="001C04E7" w:rsidRPr="00374CCA">
        <w:t xml:space="preserve"> indicate that among adults evaluated for heart disease</w:t>
      </w:r>
      <w:r w:rsidR="000B2B61" w:rsidRPr="00374CCA">
        <w:t xml:space="preserve">, 21.4% </w:t>
      </w:r>
      <w:r w:rsidR="001C04E7" w:rsidRPr="00374CCA">
        <w:t>had</w:t>
      </w:r>
      <w:r w:rsidR="000B2B61" w:rsidRPr="00374CCA">
        <w:t xml:space="preserve"> mild TR, 5.9% </w:t>
      </w:r>
      <w:r w:rsidR="001C04E7" w:rsidRPr="00374CCA">
        <w:t>had</w:t>
      </w:r>
      <w:r w:rsidR="000B2B61" w:rsidRPr="00374CCA">
        <w:t xml:space="preserve"> moderate TR, and 1.8% </w:t>
      </w:r>
      <w:r w:rsidR="008711B6" w:rsidRPr="00374CCA">
        <w:t>had</w:t>
      </w:r>
      <w:r w:rsidR="000B2B61" w:rsidRPr="00374CCA">
        <w:t xml:space="preserve"> severe TR (Offen et al. 2022). </w:t>
      </w:r>
      <w:r w:rsidR="008711B6" w:rsidRPr="00374CCA">
        <w:t>Importantly, increasing TR severity is independently associated with higher risks of cardiovascular and all-cause mortality (Offen et al. 2022; Chorin et al. 2020). One-year mortality in patients with severe or worse TR exceeds 40%, with even higher rates over the long term. Additionally, higher TR grades are linked to increased heart failure hospitalisations and reduced quality of life (Chorin et al. 2020; Fujisawa et al. 2022).</w:t>
      </w:r>
    </w:p>
    <w:p w14:paraId="32EF2272" w14:textId="4016CC02" w:rsidR="007D7A50" w:rsidRPr="00374CCA" w:rsidRDefault="007D7A50" w:rsidP="007D7A50">
      <w:r w:rsidRPr="00374CCA">
        <w:t xml:space="preserve">Based on epidemiological </w:t>
      </w:r>
      <w:r w:rsidR="008711B6" w:rsidRPr="00374CCA">
        <w:t>modelling</w:t>
      </w:r>
      <w:r w:rsidR="009D771A" w:rsidRPr="00374CCA">
        <w:t>,</w:t>
      </w:r>
      <w:r w:rsidRPr="00374CCA">
        <w:t xml:space="preserve"> the application estimated </w:t>
      </w:r>
      <w:r w:rsidR="009978E4" w:rsidRPr="00374CCA">
        <w:t>that</w:t>
      </w:r>
      <w:r w:rsidRPr="00374CCA">
        <w:t xml:space="preserve"> approximately </w:t>
      </w:r>
      <w:r w:rsidR="007C6EDA" w:rsidRPr="00374CCA">
        <w:t>29,260</w:t>
      </w:r>
      <w:r w:rsidRPr="00374CCA">
        <w:t xml:space="preserve"> </w:t>
      </w:r>
      <w:r w:rsidR="009978E4" w:rsidRPr="00374CCA">
        <w:t>individuals in Australia</w:t>
      </w:r>
      <w:r w:rsidR="00F45D9B" w:rsidRPr="00374CCA">
        <w:t xml:space="preserve"> are living with</w:t>
      </w:r>
      <w:r w:rsidRPr="00374CCA">
        <w:t xml:space="preserve"> severe TR.</w:t>
      </w:r>
    </w:p>
    <w:p w14:paraId="1B092BCF" w14:textId="77777777" w:rsidR="007D7A50" w:rsidRPr="002B4B36" w:rsidRDefault="007D7A50" w:rsidP="007D7A50">
      <w:pPr>
        <w:pStyle w:val="Heading4"/>
        <w:rPr>
          <w:color w:val="0070C0"/>
        </w:rPr>
      </w:pPr>
      <w:r w:rsidRPr="002B4B36">
        <w:rPr>
          <w:color w:val="0070C0"/>
        </w:rPr>
        <w:t>Investigation and assessment of TR severity</w:t>
      </w:r>
    </w:p>
    <w:p w14:paraId="4EC799FE" w14:textId="2020A62F" w:rsidR="00FE391A" w:rsidRPr="00374CCA" w:rsidRDefault="00360AF6" w:rsidP="007D7A50">
      <w:pPr>
        <w:rPr>
          <w:highlight w:val="yellow"/>
        </w:rPr>
      </w:pPr>
      <w:r w:rsidRPr="00374CCA">
        <w:t>TR is frequently identified incidentally during routine echocardiography, often performed for unrelated reasons in asymptomatic patients. In contrast, symptomatic individuals may present with a range of clinical features including fatigue, exertional dyspnoea, peripheral oedema, ascites, gastrointestinal symptoms, and signs of right heart failure. In advanced stages, renal and hepatic dysfunction may also occur</w:t>
      </w:r>
      <w:r w:rsidR="00FE391A" w:rsidRPr="00374CCA">
        <w:t xml:space="preserve"> (Otto </w:t>
      </w:r>
      <w:r w:rsidR="00353AE6" w:rsidRPr="00374CCA">
        <w:t xml:space="preserve">et al. </w:t>
      </w:r>
      <w:r w:rsidR="00FE391A" w:rsidRPr="00374CCA">
        <w:t>2021).</w:t>
      </w:r>
    </w:p>
    <w:p w14:paraId="49E2671C" w14:textId="30FDF767" w:rsidR="007D7A50" w:rsidRPr="00374CCA" w:rsidRDefault="00EE309B" w:rsidP="007D7A50">
      <w:r w:rsidRPr="00374CCA">
        <w:t>Clinical evaluation typically begins with a general practitioner (GP) reviewing the patient’s medical history for conditions associated with TR. If TR is suspected, the patient is usually referred to a cardiologist for further assessment. Depending on the severity and underlying mechanism, the cardiologist may then refer the patient to an interventional cardiologist or a cardiothoracic surgeon for consideration of procedural intervention.</w:t>
      </w:r>
    </w:p>
    <w:p w14:paraId="0D9A7EE2" w14:textId="15381CDE" w:rsidR="007D7A50" w:rsidRPr="00374CCA" w:rsidRDefault="007D7A50" w:rsidP="007D7A50">
      <w:r w:rsidRPr="00374CCA">
        <w:t xml:space="preserve">Echocardiography </w:t>
      </w:r>
      <w:r w:rsidR="00EE309B" w:rsidRPr="00374CCA">
        <w:t>remains</w:t>
      </w:r>
      <w:r w:rsidRPr="00374CCA">
        <w:t xml:space="preserve"> the gold standard for </w:t>
      </w:r>
      <w:r w:rsidR="00BC40C4" w:rsidRPr="00374CCA">
        <w:t>assessing both the</w:t>
      </w:r>
      <w:r w:rsidRPr="00374CCA">
        <w:t xml:space="preserve"> mechanism and severity of TR. Transthoracic echocardiography (TTE) is </w:t>
      </w:r>
      <w:r w:rsidR="006F71CB" w:rsidRPr="00374CCA">
        <w:t xml:space="preserve">the primary imaging </w:t>
      </w:r>
      <w:r w:rsidR="00BC40C4" w:rsidRPr="00374CCA">
        <w:t>modality</w:t>
      </w:r>
      <w:r w:rsidR="006F71CB" w:rsidRPr="00374CCA">
        <w:t xml:space="preserve"> used for </w:t>
      </w:r>
      <w:r w:rsidR="00BC40C4" w:rsidRPr="00374CCA">
        <w:t xml:space="preserve">initial </w:t>
      </w:r>
      <w:r w:rsidR="006F71CB" w:rsidRPr="00374CCA">
        <w:t xml:space="preserve">screening, </w:t>
      </w:r>
      <w:r w:rsidR="00BC40C4" w:rsidRPr="00374CCA">
        <w:t>providing evaluation of</w:t>
      </w:r>
      <w:r w:rsidR="006F71CB" w:rsidRPr="00374CCA">
        <w:t xml:space="preserve"> valve </w:t>
      </w:r>
      <w:r w:rsidR="00BC40C4" w:rsidRPr="00374CCA">
        <w:t>anatomy</w:t>
      </w:r>
      <w:r w:rsidR="006F71CB" w:rsidRPr="00374CCA">
        <w:t xml:space="preserve"> and </w:t>
      </w:r>
      <w:r w:rsidR="00BC40C4" w:rsidRPr="00374CCA">
        <w:t>regurgitation</w:t>
      </w:r>
      <w:r w:rsidR="006F71CB" w:rsidRPr="00374CCA">
        <w:t xml:space="preserve"> severity</w:t>
      </w:r>
      <w:r w:rsidRPr="00374CCA">
        <w:t xml:space="preserve">. </w:t>
      </w:r>
      <w:r w:rsidR="004502D5" w:rsidRPr="00374CCA">
        <w:t>T</w:t>
      </w:r>
      <w:r w:rsidRPr="00374CCA">
        <w:t>rans</w:t>
      </w:r>
      <w:r w:rsidR="00D71D9F" w:rsidRPr="00374CCA">
        <w:t>o</w:t>
      </w:r>
      <w:r w:rsidRPr="00374CCA">
        <w:t xml:space="preserve">esophageal echocardiography (TOE) </w:t>
      </w:r>
      <w:r w:rsidR="00BC40C4" w:rsidRPr="00374CCA">
        <w:t>offers more</w:t>
      </w:r>
      <w:r w:rsidR="00367FD0" w:rsidRPr="00374CCA">
        <w:t xml:space="preserve"> detailed imag</w:t>
      </w:r>
      <w:r w:rsidR="00BC40C4" w:rsidRPr="00374CCA">
        <w:t>ing</w:t>
      </w:r>
      <w:r w:rsidR="00F33006" w:rsidRPr="00374CCA">
        <w:t xml:space="preserve"> and is</w:t>
      </w:r>
      <w:r w:rsidR="00367FD0" w:rsidRPr="00374CCA">
        <w:t xml:space="preserve"> </w:t>
      </w:r>
      <w:r w:rsidR="00F33006" w:rsidRPr="00374CCA">
        <w:t>particularly useful</w:t>
      </w:r>
      <w:r w:rsidR="00367FD0" w:rsidRPr="00374CCA">
        <w:t xml:space="preserve"> when TTE results are inconclusive</w:t>
      </w:r>
      <w:r w:rsidR="00F33006" w:rsidRPr="00374CCA">
        <w:t xml:space="preserve"> or suboptimal</w:t>
      </w:r>
      <w:r w:rsidR="00367FD0" w:rsidRPr="00374CCA">
        <w:t xml:space="preserve">. </w:t>
      </w:r>
      <w:r w:rsidRPr="00374CCA">
        <w:t xml:space="preserve">In cases </w:t>
      </w:r>
      <w:r w:rsidR="00BD09C3" w:rsidRPr="00374CCA">
        <w:t>where</w:t>
      </w:r>
      <w:r w:rsidRPr="00374CCA">
        <w:t xml:space="preserve"> echocardiographic </w:t>
      </w:r>
      <w:r w:rsidR="00BD09C3" w:rsidRPr="00374CCA">
        <w:t>imaging is limited or findings are</w:t>
      </w:r>
      <w:r w:rsidRPr="00374CCA">
        <w:t xml:space="preserve"> discordant, additional modalities such as computed tomography (CT) </w:t>
      </w:r>
      <w:r w:rsidR="00700A20" w:rsidRPr="00374CCA">
        <w:t>may be used to further clarify the diagnosis and guide management</w:t>
      </w:r>
      <w:r w:rsidRPr="00374CCA">
        <w:t>.</w:t>
      </w:r>
    </w:p>
    <w:p w14:paraId="7B02522E" w14:textId="77777777" w:rsidR="007D7A50" w:rsidRPr="002B4B36" w:rsidRDefault="007D7A50" w:rsidP="007D7A50">
      <w:pPr>
        <w:pStyle w:val="Heading4"/>
        <w:rPr>
          <w:color w:val="0070C0"/>
        </w:rPr>
      </w:pPr>
      <w:r w:rsidRPr="002B4B36">
        <w:rPr>
          <w:color w:val="0070C0"/>
        </w:rPr>
        <w:t>Current management of severe, symptomatic TR</w:t>
      </w:r>
    </w:p>
    <w:p w14:paraId="2317A3C0" w14:textId="06969F87" w:rsidR="007D7A50" w:rsidRPr="00374CCA" w:rsidRDefault="007D7A50" w:rsidP="007D7A50">
      <w:r w:rsidRPr="00374CCA">
        <w:t xml:space="preserve">In Australia, </w:t>
      </w:r>
      <w:r w:rsidR="00CD76AE" w:rsidRPr="00374CCA">
        <w:t xml:space="preserve">current treatment options for severe TR include medical therapy, surgical valve repair or replacement via open-heart or minimally invasive approaches, </w:t>
      </w:r>
      <w:r w:rsidR="000650FB" w:rsidRPr="00374CCA">
        <w:t>with the latter</w:t>
      </w:r>
      <w:r w:rsidR="00CD76AE" w:rsidRPr="00374CCA">
        <w:t xml:space="preserve"> more recently</w:t>
      </w:r>
      <w:r w:rsidR="000650FB" w:rsidRPr="00374CCA">
        <w:t xml:space="preserve"> including</w:t>
      </w:r>
      <w:r w:rsidR="00CD76AE" w:rsidRPr="00374CCA">
        <w:t>, transcatheter tricuspid valve intervention (TTVI).</w:t>
      </w:r>
    </w:p>
    <w:p w14:paraId="5CF1CC19" w14:textId="73425DE8" w:rsidR="007D7A50" w:rsidRPr="00374CCA" w:rsidRDefault="001D3F26" w:rsidP="007D7A50">
      <w:r w:rsidRPr="00374CCA">
        <w:lastRenderedPageBreak/>
        <w:t xml:space="preserve">The majority of patients with TR are managed with medical therapy alone, primarily aimed at symptom relief. Both the American Heart Association/American College of Cardiology (AHA/ACC) and the European Society of Cardiology/European Association for Cardiothoracic Surgery (ESC/EACTS) guidelines recommend the use of diuretics, particularly loop diuretics, to reduce volume overload in patients with signs of right-sided heart failure (Otto et al. 2021; </w:t>
      </w:r>
      <w:r w:rsidR="00F72A62">
        <w:t>Praz et al. 2025</w:t>
      </w:r>
      <w:r w:rsidRPr="00374CCA">
        <w:t>). However, diuretics do not alter the underlying disease process and have no proven role in preventing or delaying TR progression.</w:t>
      </w:r>
    </w:p>
    <w:p w14:paraId="526A4435" w14:textId="754ABAD6" w:rsidR="006E5E6E" w:rsidRPr="006E5E6E" w:rsidRDefault="003B4807" w:rsidP="00006555">
      <w:r w:rsidRPr="00374CCA">
        <w:t>Surgical intervention is recommended in selected cases. The AHA/ACC guidelines support surgery for patients with severe TR, including those with isolated TR due to annular dilation, in the absence of pulmonary hypertension or left-sided heart disease (Otto et al. 2021). Similarly, the ESC/EACTS guidelines recommend considering surgery in patients with severe secondary TR who are symptomatic or have RV dilation</w:t>
      </w:r>
      <w:r w:rsidR="0093674F">
        <w:t xml:space="preserve"> or function deterioration</w:t>
      </w:r>
      <w:r w:rsidRPr="00374CCA">
        <w:t xml:space="preserve">, provided there is no severe ventricular dysfunction or pulmonary </w:t>
      </w:r>
      <w:r w:rsidR="00493E6F">
        <w:t>hypertension</w:t>
      </w:r>
      <w:r w:rsidRPr="00374CCA">
        <w:t xml:space="preserve"> (</w:t>
      </w:r>
      <w:r w:rsidR="00C01888">
        <w:t>Praz et al. 2025</w:t>
      </w:r>
      <w:r w:rsidRPr="00374CCA">
        <w:t>).</w:t>
      </w:r>
      <w:r w:rsidR="006E5E6E">
        <w:tab/>
      </w:r>
    </w:p>
    <w:p w14:paraId="75857950" w14:textId="461DB2B2" w:rsidR="007D7A50" w:rsidRPr="00374CCA" w:rsidRDefault="000060D0" w:rsidP="007D7A50">
      <w:r w:rsidRPr="00374CCA">
        <w:t xml:space="preserve">Despite these recommendations, surgical intervention is offered to only a small proportion of patients, largely due to high operative risk, multiple comorbidities, and late-stage disease presentation or referral (Latib et al. 2018; </w:t>
      </w:r>
      <w:r w:rsidR="00FA2AB1">
        <w:t>Praz et al. 2025</w:t>
      </w:r>
      <w:r w:rsidRPr="00374CCA">
        <w:t>). Operative mortality for severe isolated TR is reported to range between 8% and 20% (Otto et al. 2021), contributing to the preference for conservative management in many cases.</w:t>
      </w:r>
    </w:p>
    <w:p w14:paraId="62D9DAAB" w14:textId="060747BF" w:rsidR="00D60CFF" w:rsidRPr="00374CCA" w:rsidRDefault="00CF6093" w:rsidP="007D7A50">
      <w:r w:rsidRPr="00374CCA">
        <w:t xml:space="preserve">The ESC/EACTS guidelines suggest that TTVI </w:t>
      </w:r>
      <w:r w:rsidR="00C60D46">
        <w:t>should</w:t>
      </w:r>
      <w:r w:rsidR="00C60D46" w:rsidRPr="00374CCA">
        <w:t xml:space="preserve"> </w:t>
      </w:r>
      <w:r w:rsidRPr="00374CCA">
        <w:t xml:space="preserve">be considered at experienced </w:t>
      </w:r>
      <w:r w:rsidR="00AF4049">
        <w:t xml:space="preserve">heart </w:t>
      </w:r>
      <w:r w:rsidRPr="00374CCA">
        <w:t xml:space="preserve">valve centres </w:t>
      </w:r>
      <w:r w:rsidR="00AF4049">
        <w:t xml:space="preserve">to improve quality of life and </w:t>
      </w:r>
      <w:r w:rsidR="004E51AF">
        <w:t>RV remodelling</w:t>
      </w:r>
      <w:r w:rsidR="00D46A74">
        <w:t xml:space="preserve"> in high</w:t>
      </w:r>
      <w:r w:rsidR="004220F6">
        <w:t>-</w:t>
      </w:r>
      <w:r w:rsidR="00D46A74">
        <w:t>risk patients with</w:t>
      </w:r>
      <w:r w:rsidR="004E51AF">
        <w:t xml:space="preserve"> </w:t>
      </w:r>
      <w:r w:rsidRPr="00374CCA">
        <w:t xml:space="preserve">symptomatic, </w:t>
      </w:r>
      <w:r w:rsidR="00362D87">
        <w:t>severe TR</w:t>
      </w:r>
      <w:r w:rsidR="00ED7556">
        <w:t xml:space="preserve"> despite OMT in the absence of severe RV dysfunction or pre-capillary </w:t>
      </w:r>
      <w:r w:rsidR="00714639">
        <w:t>pulmonary hypertension</w:t>
      </w:r>
      <w:r w:rsidRPr="00374CCA">
        <w:t xml:space="preserve"> (</w:t>
      </w:r>
      <w:r w:rsidR="00652BE3">
        <w:t>Praz et al. 2025</w:t>
      </w:r>
      <w:r w:rsidRPr="00374CCA">
        <w:t>).</w:t>
      </w:r>
      <w:r w:rsidR="009B5A50" w:rsidRPr="00374CCA">
        <w:t xml:space="preserve"> TTVI technologies are broadly categorised into TTV repair and replacement devices</w:t>
      </w:r>
      <w:r w:rsidR="00741D8B" w:rsidRPr="00374CCA">
        <w:t>:</w:t>
      </w:r>
      <w:r w:rsidR="009B5A50" w:rsidRPr="00374CCA">
        <w:t xml:space="preserve"> </w:t>
      </w:r>
    </w:p>
    <w:p w14:paraId="09B62560" w14:textId="6F675344" w:rsidR="00D60CFF" w:rsidRPr="00374CCA" w:rsidRDefault="009B5A50" w:rsidP="00D60CFF">
      <w:pPr>
        <w:pStyle w:val="ListParagraph"/>
        <w:numPr>
          <w:ilvl w:val="0"/>
          <w:numId w:val="15"/>
        </w:numPr>
      </w:pPr>
      <w:r w:rsidRPr="00374CCA">
        <w:t>TTV repair includes TEER devices, which approximate valve leaflets to reduce regurgitation, and annular reshaping devices, which aim to restore the normal geometry of the tricuspid annulus</w:t>
      </w:r>
      <w:r w:rsidR="00C62A4D" w:rsidRPr="00374CCA">
        <w:t>.</w:t>
      </w:r>
    </w:p>
    <w:p w14:paraId="1C8BEBE6" w14:textId="57AB1AD0" w:rsidR="007D7A50" w:rsidRPr="00374CCA" w:rsidRDefault="00CF6574" w:rsidP="0008023B">
      <w:pPr>
        <w:pStyle w:val="ListParagraph"/>
        <w:numPr>
          <w:ilvl w:val="0"/>
          <w:numId w:val="15"/>
        </w:numPr>
      </w:pPr>
      <w:r w:rsidRPr="00374CCA">
        <w:t xml:space="preserve">TTV replacement involves the implantation of a </w:t>
      </w:r>
      <w:r w:rsidR="00E84DD0" w:rsidRPr="00374CCA">
        <w:t>bio</w:t>
      </w:r>
      <w:r w:rsidRPr="00374CCA">
        <w:t>prosthetic valve</w:t>
      </w:r>
      <w:r w:rsidR="0008023B" w:rsidRPr="00374CCA">
        <w:t xml:space="preserve"> to replace the native tricuspid valve</w:t>
      </w:r>
      <w:r w:rsidR="00040736" w:rsidRPr="00374CCA">
        <w:t xml:space="preserve"> and</w:t>
      </w:r>
      <w:r w:rsidRPr="00374CCA">
        <w:t xml:space="preserve"> </w:t>
      </w:r>
      <w:r w:rsidR="007D2F08" w:rsidRPr="00374CCA">
        <w:t xml:space="preserve">was </w:t>
      </w:r>
      <w:r w:rsidRPr="00374CCA">
        <w:t xml:space="preserve">the focus of </w:t>
      </w:r>
      <w:r w:rsidR="00873A51" w:rsidRPr="00374CCA">
        <w:t xml:space="preserve">MSAC </w:t>
      </w:r>
      <w:hyperlink r:id="rId10" w:tooltip="Hyperlink to application 1799 on MSAC website " w:history="1">
        <w:r w:rsidR="00BB3947" w:rsidRPr="00374CCA">
          <w:rPr>
            <w:rStyle w:val="Hyperlink"/>
            <w:rFonts w:ascii="Calibri" w:hAnsi="Calibri"/>
          </w:rPr>
          <w:t>a</w:t>
        </w:r>
        <w:r w:rsidRPr="00374CCA">
          <w:rPr>
            <w:rStyle w:val="Hyperlink"/>
            <w:rFonts w:ascii="Calibri" w:hAnsi="Calibri"/>
          </w:rPr>
          <w:t>pplication 1799</w:t>
        </w:r>
      </w:hyperlink>
      <w:r w:rsidR="00B603E5" w:rsidRPr="00374CCA">
        <w:t xml:space="preserve">, </w:t>
      </w:r>
      <w:r w:rsidR="00D75C78" w:rsidRPr="00374CCA">
        <w:t>an application</w:t>
      </w:r>
      <w:r w:rsidR="00F558F6" w:rsidRPr="00374CCA">
        <w:t xml:space="preserve"> </w:t>
      </w:r>
      <w:r w:rsidR="008E2077" w:rsidRPr="00374CCA">
        <w:t xml:space="preserve">withdrawn </w:t>
      </w:r>
      <w:r w:rsidR="00FD5B11" w:rsidRPr="00374CCA">
        <w:t xml:space="preserve">prior </w:t>
      </w:r>
      <w:r w:rsidR="00C20C72" w:rsidRPr="00374CCA">
        <w:t>to</w:t>
      </w:r>
      <w:r w:rsidR="008E2077" w:rsidRPr="00374CCA">
        <w:t xml:space="preserve"> the November 2025</w:t>
      </w:r>
      <w:r w:rsidR="00B603E5" w:rsidRPr="00374CCA">
        <w:t xml:space="preserve"> MSAC </w:t>
      </w:r>
      <w:r w:rsidR="00FB5B74" w:rsidRPr="00374CCA">
        <w:t>meeting</w:t>
      </w:r>
      <w:r w:rsidRPr="00374CCA">
        <w:t>.</w:t>
      </w:r>
    </w:p>
    <w:p w14:paraId="0E38780D" w14:textId="77777777" w:rsidR="007A66C8" w:rsidRPr="00374CCA" w:rsidRDefault="007A66C8" w:rsidP="00713728">
      <w:pPr>
        <w:pStyle w:val="Heading3"/>
      </w:pPr>
      <w:r w:rsidRPr="00374CCA">
        <w:t>Intervention</w:t>
      </w:r>
    </w:p>
    <w:p w14:paraId="1CCD37AC" w14:textId="3FE2FBA3" w:rsidR="0046359C" w:rsidRPr="00BA7D06" w:rsidRDefault="004A7B6B" w:rsidP="00BA7D06">
      <w:pPr>
        <w:rPr>
          <w:rFonts w:asciiTheme="minorHAnsi" w:hAnsiTheme="minorHAnsi" w:cstheme="minorHAnsi"/>
        </w:rPr>
      </w:pPr>
      <w:r w:rsidRPr="00374CCA">
        <w:t>The intervention proposed in the application is T-TEER using the Tri</w:t>
      </w:r>
      <w:r w:rsidR="00F95016" w:rsidRPr="00374CCA">
        <w:t>C</w:t>
      </w:r>
      <w:r w:rsidRPr="00374CCA">
        <w:t>lip system in addition to continued OMT.</w:t>
      </w:r>
    </w:p>
    <w:p w14:paraId="2FB1E1BC" w14:textId="3B9C35BB" w:rsidR="00E74C89" w:rsidRPr="00374CCA" w:rsidRDefault="001478CB" w:rsidP="00E74C89">
      <w:r w:rsidRPr="00374CCA">
        <w:t>T-TEER</w:t>
      </w:r>
      <w:r w:rsidR="004A7B6B" w:rsidRPr="00374CCA">
        <w:t xml:space="preserve"> </w:t>
      </w:r>
      <w:r w:rsidR="00E74C89" w:rsidRPr="00374CCA">
        <w:t xml:space="preserve">is a </w:t>
      </w:r>
      <w:r w:rsidR="009E2AEA" w:rsidRPr="00374CCA">
        <w:t>minima</w:t>
      </w:r>
      <w:r w:rsidR="00EE3519" w:rsidRPr="00374CCA">
        <w:t>lly invasive</w:t>
      </w:r>
      <w:r w:rsidR="00E74C89" w:rsidRPr="00374CCA">
        <w:t xml:space="preserve">, catheter-based procedure </w:t>
      </w:r>
      <w:r w:rsidR="00EE3519" w:rsidRPr="00374CCA">
        <w:t>intended to reduce</w:t>
      </w:r>
      <w:r w:rsidR="00E74C89" w:rsidRPr="00374CCA">
        <w:t xml:space="preserve"> TR by </w:t>
      </w:r>
      <w:r w:rsidR="008E5DB1" w:rsidRPr="00374CCA">
        <w:t xml:space="preserve">grasping and approximating </w:t>
      </w:r>
      <w:r w:rsidR="001872E3" w:rsidRPr="00374CCA">
        <w:t xml:space="preserve">the tricuspid valve leaflets to </w:t>
      </w:r>
      <w:r w:rsidR="00E74C89" w:rsidRPr="00374CCA">
        <w:t>improv</w:t>
      </w:r>
      <w:r w:rsidR="001872E3" w:rsidRPr="00374CCA">
        <w:t>e</w:t>
      </w:r>
      <w:r w:rsidR="00E74C89" w:rsidRPr="00374CCA">
        <w:t xml:space="preserve"> coaptation. The device is delivered via a transvenous approach and </w:t>
      </w:r>
      <w:r w:rsidR="001872E3" w:rsidRPr="00374CCA">
        <w:t>mechanically cap</w:t>
      </w:r>
      <w:r w:rsidR="00A42871" w:rsidRPr="00374CCA">
        <w:t>tures opposing</w:t>
      </w:r>
      <w:r w:rsidR="00E74C89" w:rsidRPr="00374CCA">
        <w:t xml:space="preserve"> leaflets, </w:t>
      </w:r>
      <w:r w:rsidR="00A42871" w:rsidRPr="00374CCA">
        <w:t xml:space="preserve">thereby </w:t>
      </w:r>
      <w:r w:rsidR="00E74C89" w:rsidRPr="00374CCA">
        <w:t xml:space="preserve">reducing the regurgitant orifice area and limiting backward blood flow from the right ventricle to the right atrium during </w:t>
      </w:r>
      <w:r w:rsidR="007508CF" w:rsidRPr="00374CCA">
        <w:t>ventricular contraction</w:t>
      </w:r>
      <w:r w:rsidR="00E74C89" w:rsidRPr="00374CCA">
        <w:t>.</w:t>
      </w:r>
    </w:p>
    <w:p w14:paraId="54987291" w14:textId="77777777" w:rsidR="00DE1A88" w:rsidRDefault="00E74C89" w:rsidP="00E74C89">
      <w:r w:rsidRPr="00374CCA">
        <w:t xml:space="preserve">This reconstruction of the valve through tissue approximation </w:t>
      </w:r>
      <w:r w:rsidR="00861E03" w:rsidRPr="00374CCA">
        <w:t xml:space="preserve">is designed to </w:t>
      </w:r>
      <w:r w:rsidRPr="00374CCA">
        <w:t xml:space="preserve">reduce volume overload </w:t>
      </w:r>
      <w:r w:rsidR="00C77E86" w:rsidRPr="00374CCA">
        <w:t>and improve haemodynamic</w:t>
      </w:r>
      <w:r w:rsidR="00E3350E" w:rsidRPr="00374CCA">
        <w:t xml:space="preserve"> efficiency, which may help</w:t>
      </w:r>
      <w:r w:rsidR="00C77E86" w:rsidRPr="00374CCA">
        <w:t xml:space="preserve"> </w:t>
      </w:r>
      <w:r w:rsidRPr="00374CCA">
        <w:t xml:space="preserve">alleviate symptoms and improve functional status. </w:t>
      </w:r>
    </w:p>
    <w:p w14:paraId="6D72EC9A" w14:textId="08237DA9" w:rsidR="002E0952" w:rsidRPr="00374CCA" w:rsidRDefault="00E74C89" w:rsidP="00E74C89">
      <w:r w:rsidRPr="00374CCA">
        <w:t xml:space="preserve">T-TEER </w:t>
      </w:r>
      <w:r w:rsidR="00623981" w:rsidRPr="00374CCA">
        <w:t>provides</w:t>
      </w:r>
      <w:r w:rsidRPr="00374CCA">
        <w:t xml:space="preserve"> a less invasive alternative to surgical repair, particularly for patients </w:t>
      </w:r>
      <w:r w:rsidR="00623981" w:rsidRPr="00374CCA">
        <w:t xml:space="preserve">considered </w:t>
      </w:r>
      <w:r w:rsidRPr="00374CCA">
        <w:t>at high operative risk.</w:t>
      </w:r>
    </w:p>
    <w:p w14:paraId="2F00D7E2" w14:textId="13A5FE50" w:rsidR="00BA7D06" w:rsidRDefault="00CE74BB" w:rsidP="00BA7D06">
      <w:r w:rsidRPr="00374CCA">
        <w:t xml:space="preserve">The procedure involves the placement of a permanent implant that remains </w:t>
      </w:r>
      <w:r w:rsidR="004553AA" w:rsidRPr="00374CCA">
        <w:t>attached</w:t>
      </w:r>
      <w:r w:rsidRPr="00374CCA">
        <w:t xml:space="preserve"> to the valve leaflets</w:t>
      </w:r>
      <w:r w:rsidR="00A5136E" w:rsidRPr="00374CCA">
        <w:t>,</w:t>
      </w:r>
      <w:r w:rsidR="001859ED" w:rsidRPr="00374CCA">
        <w:t xml:space="preserve"> </w:t>
      </w:r>
      <w:r w:rsidR="00A5136E" w:rsidRPr="00374CCA">
        <w:t>ensuring sustained improvement in their</w:t>
      </w:r>
      <w:r w:rsidRPr="00374CCA">
        <w:t xml:space="preserve"> coaptation over time. </w:t>
      </w:r>
      <w:r w:rsidR="00DB0A56" w:rsidRPr="00374CCA">
        <w:t xml:space="preserve">Acting </w:t>
      </w:r>
      <w:r w:rsidRPr="00374CCA">
        <w:t xml:space="preserve">as a mechanical bridge, </w:t>
      </w:r>
      <w:r w:rsidR="00A44DEE" w:rsidRPr="00374CCA">
        <w:t xml:space="preserve">the implant </w:t>
      </w:r>
      <w:r w:rsidRPr="00374CCA">
        <w:t>secur</w:t>
      </w:r>
      <w:r w:rsidR="00A44DEE" w:rsidRPr="00374CCA">
        <w:t>es</w:t>
      </w:r>
      <w:r w:rsidRPr="00374CCA">
        <w:t xml:space="preserve"> the grasped leaflets together</w:t>
      </w:r>
      <w:r w:rsidR="00A44DEE" w:rsidRPr="00374CCA">
        <w:t>,</w:t>
      </w:r>
      <w:r w:rsidRPr="00374CCA">
        <w:t xml:space="preserve"> thereby </w:t>
      </w:r>
      <w:r w:rsidR="00A44DEE" w:rsidRPr="00374CCA">
        <w:t>main</w:t>
      </w:r>
      <w:r w:rsidRPr="00374CCA">
        <w:t xml:space="preserve">taining the reduction in regurgitation. </w:t>
      </w:r>
      <w:r w:rsidR="00922E93" w:rsidRPr="00374CCA">
        <w:t xml:space="preserve">The number of implants required depends </w:t>
      </w:r>
      <w:r w:rsidRPr="00374CCA">
        <w:t xml:space="preserve">on the size of the regurgitant orifice and the patient's </w:t>
      </w:r>
      <w:r w:rsidR="004B6047" w:rsidRPr="00374CCA">
        <w:t xml:space="preserve">specific </w:t>
      </w:r>
      <w:r w:rsidRPr="00374CCA">
        <w:t>valve anatomy</w:t>
      </w:r>
      <w:r w:rsidR="004B6047" w:rsidRPr="00374CCA">
        <w:t>;</w:t>
      </w:r>
      <w:r w:rsidRPr="00374CCA">
        <w:t xml:space="preserve"> </w:t>
      </w:r>
      <w:r w:rsidRPr="00374CCA">
        <w:lastRenderedPageBreak/>
        <w:t xml:space="preserve">one or more may be </w:t>
      </w:r>
      <w:r w:rsidR="004B6047" w:rsidRPr="00374CCA">
        <w:t>necessary</w:t>
      </w:r>
      <w:r w:rsidRPr="00374CCA">
        <w:t xml:space="preserve"> to achieve an </w:t>
      </w:r>
      <w:r w:rsidR="004B6047" w:rsidRPr="00374CCA">
        <w:t>effective</w:t>
      </w:r>
      <w:r w:rsidRPr="00374CCA">
        <w:t xml:space="preserve"> seal and optimal haemodynamic </w:t>
      </w:r>
      <w:r w:rsidR="00985710" w:rsidRPr="00374CCA">
        <w:t>outcomes</w:t>
      </w:r>
      <w:r w:rsidRPr="00374CCA">
        <w:t>.</w:t>
      </w:r>
      <w:r w:rsidR="0073436F" w:rsidRPr="00374CCA">
        <w:t xml:space="preserve"> </w:t>
      </w:r>
      <w:r w:rsidR="00C7536E" w:rsidRPr="00374CCA">
        <w:t xml:space="preserve">In </w:t>
      </w:r>
      <w:r w:rsidR="00B34CFF" w:rsidRPr="00374CCA">
        <w:t xml:space="preserve">the </w:t>
      </w:r>
      <w:r w:rsidR="00C7536E" w:rsidRPr="00374CCA">
        <w:t>TRILUMINATE</w:t>
      </w:r>
      <w:r w:rsidR="00B34CFF" w:rsidRPr="00374CCA">
        <w:t xml:space="preserve"> </w:t>
      </w:r>
      <w:r w:rsidR="002E1146">
        <w:t>Pivotal RCT</w:t>
      </w:r>
      <w:r w:rsidR="00C7536E" w:rsidRPr="00374CCA">
        <w:t xml:space="preserve">, </w:t>
      </w:r>
      <w:r w:rsidR="00B34CFF" w:rsidRPr="00374CCA">
        <w:t xml:space="preserve">patients received </w:t>
      </w:r>
      <w:r w:rsidR="00C7536E" w:rsidRPr="00374CCA">
        <w:t xml:space="preserve">an average of 2.2 </w:t>
      </w:r>
      <w:r w:rsidR="00A96735" w:rsidRPr="00374CCA">
        <w:t>TriC</w:t>
      </w:r>
      <w:r w:rsidR="00C7536E" w:rsidRPr="00374CCA">
        <w:t>lips</w:t>
      </w:r>
      <w:r w:rsidR="00B34CFF" w:rsidRPr="00374CCA">
        <w:t xml:space="preserve">, with </w:t>
      </w:r>
      <w:r w:rsidR="002E1146">
        <w:t>24.4</w:t>
      </w:r>
      <w:r w:rsidR="001647C4" w:rsidRPr="00374CCA">
        <w:t>% requir</w:t>
      </w:r>
      <w:r w:rsidR="00601AA2" w:rsidRPr="00374CCA">
        <w:t>ing</w:t>
      </w:r>
      <w:r w:rsidR="001647C4" w:rsidRPr="00374CCA">
        <w:t xml:space="preserve"> </w:t>
      </w:r>
      <w:r w:rsidR="00515EA2">
        <w:t xml:space="preserve">3 clips and 2.9% requiring </w:t>
      </w:r>
      <w:r w:rsidR="001647C4" w:rsidRPr="00374CCA">
        <w:t xml:space="preserve">4 clips </w:t>
      </w:r>
      <w:r w:rsidR="00C7536E" w:rsidRPr="00374CCA">
        <w:t>(</w:t>
      </w:r>
      <w:r w:rsidR="00515EA2">
        <w:t>Sorajja et al. 2023</w:t>
      </w:r>
      <w:r w:rsidR="00C7536E" w:rsidRPr="00374CCA">
        <w:t xml:space="preserve">). </w:t>
      </w:r>
      <w:r w:rsidR="001647C4" w:rsidRPr="00374CCA">
        <w:t xml:space="preserve">This is </w:t>
      </w:r>
      <w:r w:rsidR="00601AA2" w:rsidRPr="00374CCA">
        <w:t>notably high</w:t>
      </w:r>
      <w:r w:rsidR="00247942" w:rsidRPr="00374CCA">
        <w:t xml:space="preserve">er </w:t>
      </w:r>
      <w:r w:rsidR="001647C4" w:rsidRPr="00374CCA">
        <w:t xml:space="preserve">than the </w:t>
      </w:r>
      <w:r w:rsidR="00247942" w:rsidRPr="00374CCA">
        <w:t>typical</w:t>
      </w:r>
      <w:r w:rsidR="001647C4" w:rsidRPr="00374CCA">
        <w:t xml:space="preserve"> </w:t>
      </w:r>
      <w:r w:rsidR="00C7536E" w:rsidRPr="00374CCA">
        <w:t xml:space="preserve">number of MitraClips </w:t>
      </w:r>
      <w:r w:rsidR="00247942" w:rsidRPr="00374CCA">
        <w:t>used in</w:t>
      </w:r>
      <w:r w:rsidR="00C7536E" w:rsidRPr="00374CCA">
        <w:t xml:space="preserve"> </w:t>
      </w:r>
      <w:r w:rsidR="005020E4" w:rsidRPr="00374CCA">
        <w:t>transcatheter mitral valve rep</w:t>
      </w:r>
      <w:r w:rsidR="0000230D" w:rsidRPr="00374CCA">
        <w:t>air (</w:t>
      </w:r>
      <w:r w:rsidR="00C7536E" w:rsidRPr="00374CCA">
        <w:t>TMVr</w:t>
      </w:r>
      <w:r w:rsidR="0000230D" w:rsidRPr="00374CCA">
        <w:t>)</w:t>
      </w:r>
      <w:r w:rsidR="00247942" w:rsidRPr="00374CCA">
        <w:t>, where most</w:t>
      </w:r>
      <w:r w:rsidR="00C7536E" w:rsidRPr="00374CCA">
        <w:t xml:space="preserve"> procedure</w:t>
      </w:r>
      <w:r w:rsidR="00247942" w:rsidRPr="00374CCA">
        <w:t xml:space="preserve">s involve only </w:t>
      </w:r>
      <w:r w:rsidR="00C7536E" w:rsidRPr="00374CCA">
        <w:t>1</w:t>
      </w:r>
      <w:r w:rsidR="007A7D78" w:rsidRPr="00374CCA">
        <w:t xml:space="preserve"> or </w:t>
      </w:r>
      <w:r w:rsidR="00C7536E" w:rsidRPr="00374CCA">
        <w:t>2 clips.</w:t>
      </w:r>
    </w:p>
    <w:p w14:paraId="05024417" w14:textId="239B1CC6" w:rsidR="00BA7D06" w:rsidRPr="00BA7D06" w:rsidRDefault="00BA7D06" w:rsidP="00BA7D06">
      <w:pPr>
        <w:autoSpaceDE w:val="0"/>
        <w:autoSpaceDN w:val="0"/>
        <w:adjustRightInd w:val="0"/>
        <w:rPr>
          <w:rFonts w:asciiTheme="minorHAnsi" w:hAnsiTheme="minorHAnsi" w:cstheme="minorHAnsi"/>
          <w:i/>
          <w:iCs/>
        </w:rPr>
      </w:pPr>
      <w:r w:rsidRPr="00374CCA">
        <w:rPr>
          <w:rFonts w:asciiTheme="minorHAnsi" w:hAnsiTheme="minorHAnsi" w:cstheme="minorHAnsi"/>
          <w:i/>
          <w:iCs/>
        </w:rPr>
        <w:t>PASC considered whether the forthcoming assessment should be device-specific or device-agnostic and expressed a preference to evaluate the proposed procedure rather than a particular device. PASC noted that an RCT</w:t>
      </w:r>
      <w:r w:rsidRPr="00412D3F">
        <w:rPr>
          <w:rFonts w:asciiTheme="minorHAnsi" w:hAnsiTheme="minorHAnsi" w:cstheme="minorHAnsi"/>
        </w:rPr>
        <w:t xml:space="preserve"> </w:t>
      </w:r>
      <w:r w:rsidRPr="00374CCA">
        <w:rPr>
          <w:rFonts w:asciiTheme="minorHAnsi" w:hAnsiTheme="minorHAnsi" w:cstheme="minorHAnsi"/>
          <w:i/>
          <w:iCs/>
        </w:rPr>
        <w:t>(</w:t>
      </w:r>
      <w:hyperlink r:id="rId11" w:tooltip="Hyperlink to CLASP II TR trial entry in ClinicalTrials.gov" w:history="1">
        <w:r w:rsidRPr="00412D3F">
          <w:rPr>
            <w:rStyle w:val="Hyperlink"/>
            <w:rFonts w:ascii="Calibri" w:hAnsi="Calibri"/>
            <w:i/>
          </w:rPr>
          <w:t>CLASP II TR trial</w:t>
        </w:r>
      </w:hyperlink>
      <w:r w:rsidRPr="00412D3F">
        <w:rPr>
          <w:i/>
        </w:rPr>
        <w:t>)</w:t>
      </w:r>
      <w:r w:rsidRPr="00374CCA">
        <w:rPr>
          <w:rFonts w:asciiTheme="minorHAnsi" w:hAnsiTheme="minorHAnsi" w:cstheme="minorHAnsi"/>
          <w:i/>
          <w:iCs/>
        </w:rPr>
        <w:t xml:space="preserve"> is currently underway using the PASCAL </w:t>
      </w:r>
      <w:r>
        <w:rPr>
          <w:rFonts w:asciiTheme="minorHAnsi" w:hAnsiTheme="minorHAnsi" w:cstheme="minorHAnsi"/>
          <w:i/>
          <w:iCs/>
        </w:rPr>
        <w:t xml:space="preserve">Precision </w:t>
      </w:r>
      <w:r w:rsidRPr="00374CCA">
        <w:rPr>
          <w:rFonts w:asciiTheme="minorHAnsi" w:hAnsiTheme="minorHAnsi" w:cstheme="minorHAnsi"/>
          <w:i/>
          <w:iCs/>
        </w:rPr>
        <w:t xml:space="preserve">system, which has </w:t>
      </w:r>
      <w:r>
        <w:rPr>
          <w:rFonts w:asciiTheme="minorHAnsi" w:hAnsiTheme="minorHAnsi" w:cstheme="minorHAnsi"/>
          <w:i/>
          <w:iCs/>
        </w:rPr>
        <w:t>Therapeutic Goods Administration (</w:t>
      </w:r>
      <w:r w:rsidRPr="00374CCA">
        <w:rPr>
          <w:rFonts w:asciiTheme="minorHAnsi" w:hAnsiTheme="minorHAnsi" w:cstheme="minorHAnsi"/>
          <w:i/>
          <w:iCs/>
        </w:rPr>
        <w:t>TGA</w:t>
      </w:r>
      <w:r>
        <w:rPr>
          <w:rFonts w:asciiTheme="minorHAnsi" w:hAnsiTheme="minorHAnsi" w:cstheme="minorHAnsi"/>
          <w:i/>
          <w:iCs/>
        </w:rPr>
        <w:t>)</w:t>
      </w:r>
      <w:r w:rsidRPr="00374CCA">
        <w:rPr>
          <w:rFonts w:asciiTheme="minorHAnsi" w:hAnsiTheme="minorHAnsi" w:cstheme="minorHAnsi"/>
          <w:i/>
          <w:iCs/>
        </w:rPr>
        <w:t xml:space="preserve"> approval for </w:t>
      </w:r>
      <w:r w:rsidR="001619F6">
        <w:rPr>
          <w:rFonts w:asciiTheme="minorHAnsi" w:hAnsiTheme="minorHAnsi" w:cstheme="minorHAnsi"/>
          <w:i/>
          <w:iCs/>
        </w:rPr>
        <w:t>tricuspid valve repair</w:t>
      </w:r>
      <w:r w:rsidRPr="00374CCA">
        <w:rPr>
          <w:rFonts w:asciiTheme="minorHAnsi" w:hAnsiTheme="minorHAnsi" w:cstheme="minorHAnsi"/>
          <w:i/>
          <w:iCs/>
        </w:rPr>
        <w:t>, but results have not yet been reported.</w:t>
      </w:r>
    </w:p>
    <w:p w14:paraId="79CBD1D2" w14:textId="72CAE671" w:rsidR="00045BA6" w:rsidRPr="002B4B36" w:rsidRDefault="008322FD" w:rsidP="00045BA6">
      <w:pPr>
        <w:pStyle w:val="Heading4"/>
        <w:rPr>
          <w:color w:val="0070C0"/>
        </w:rPr>
      </w:pPr>
      <w:r w:rsidRPr="002B4B36">
        <w:rPr>
          <w:color w:val="0070C0"/>
        </w:rPr>
        <w:t xml:space="preserve">Referral and </w:t>
      </w:r>
      <w:r w:rsidR="004427D8" w:rsidRPr="002B4B36">
        <w:rPr>
          <w:color w:val="0070C0"/>
        </w:rPr>
        <w:t>assessment of suitability for T-TEER</w:t>
      </w:r>
    </w:p>
    <w:p w14:paraId="2509335A" w14:textId="77777777" w:rsidR="001F0AB1" w:rsidRPr="00374CCA" w:rsidRDefault="00121422" w:rsidP="00B1684D">
      <w:r w:rsidRPr="00374CCA">
        <w:t xml:space="preserve">Referral for T-TEER is typically initiated by the patient’s </w:t>
      </w:r>
      <w:r w:rsidR="00281C95" w:rsidRPr="00374CCA">
        <w:t xml:space="preserve">treating </w:t>
      </w:r>
      <w:r w:rsidRPr="00374CCA">
        <w:t xml:space="preserve">specialist, most </w:t>
      </w:r>
      <w:r w:rsidR="00281C95" w:rsidRPr="00374CCA">
        <w:t>commonly</w:t>
      </w:r>
      <w:r w:rsidRPr="00374CCA">
        <w:t xml:space="preserve"> a cardiologist</w:t>
      </w:r>
      <w:r w:rsidR="00E13114" w:rsidRPr="00374CCA">
        <w:t>, following identification of symptomatic TR that may be suitable for intervention</w:t>
      </w:r>
      <w:r w:rsidRPr="00374CCA">
        <w:t xml:space="preserve">. </w:t>
      </w:r>
      <w:r w:rsidR="00517DDF" w:rsidRPr="00374CCA">
        <w:t xml:space="preserve">In some cases, referral may also be initiated by other physicians involved in the patient’s care, such as general physicians or heart failure specialists. </w:t>
      </w:r>
    </w:p>
    <w:p w14:paraId="3DE440D3" w14:textId="32769E40" w:rsidR="00F479FC" w:rsidRDefault="001F0AB1" w:rsidP="00B1684D">
      <w:r w:rsidRPr="00374CCA">
        <w:t>Once referred, the patient undergoes a comprehensive evaluation by a</w:t>
      </w:r>
      <w:r w:rsidR="00251650">
        <w:t>n</w:t>
      </w:r>
      <w:r w:rsidRPr="00374CCA">
        <w:t xml:space="preserve"> </w:t>
      </w:r>
      <w:r w:rsidR="00121422" w:rsidRPr="00374CCA">
        <w:t>MDHT</w:t>
      </w:r>
      <w:r w:rsidRPr="00374CCA">
        <w:t xml:space="preserve">. This team </w:t>
      </w:r>
      <w:r w:rsidR="009F31CC" w:rsidRPr="00374CCA">
        <w:t xml:space="preserve">is responsible for determining clinical eligibility and procedural suitability for T-TEER. </w:t>
      </w:r>
      <w:r w:rsidR="00F479FC" w:rsidRPr="00374CCA">
        <w:t>The assessment includes detailed imaging (e.g. echocardiography, cardiac CT), evaluation of comorbidities, anatomical suitability, and consideration of alternative treatment options. The MDHT also reviews the patient’s operative risk and symptom burden to determine whether T-TEER is appropriate, or whether medical management or surgical intervention is more suitable.</w:t>
      </w:r>
    </w:p>
    <w:p w14:paraId="24CED652" w14:textId="4B1BF13D" w:rsidR="00716221" w:rsidRPr="00C86F7A" w:rsidRDefault="00C86F7A" w:rsidP="401EE2EC">
      <w:pPr>
        <w:rPr>
          <w:i/>
          <w:iCs/>
        </w:rPr>
      </w:pPr>
      <w:r w:rsidRPr="401EE2EC">
        <w:rPr>
          <w:i/>
          <w:iCs/>
        </w:rPr>
        <w:t>PASC discussed whether a cardiac imaging specialist should be a mandatory member of the MDHT and advised that this was unnecessary. PASC noted the current MDHT process appeared to be functioning well, with numerous and varied transcatheter intervention cases reviewed at the same meeting</w:t>
      </w:r>
      <w:r w:rsidR="6059BACE" w:rsidRPr="401EE2EC">
        <w:rPr>
          <w:i/>
          <w:iCs/>
        </w:rPr>
        <w:t>, therefore the requirement of an imaging specialist may not be feasible for isolated cases and add unintended complexity to meeting arrangements.</w:t>
      </w:r>
    </w:p>
    <w:p w14:paraId="2A60C088" w14:textId="39331321" w:rsidR="008322FD" w:rsidRPr="002B4B36" w:rsidRDefault="00A3085A" w:rsidP="008322FD">
      <w:pPr>
        <w:pStyle w:val="Heading4"/>
        <w:rPr>
          <w:color w:val="0070C0"/>
        </w:rPr>
      </w:pPr>
      <w:r w:rsidRPr="002B4B36">
        <w:rPr>
          <w:color w:val="0070C0"/>
        </w:rPr>
        <w:t>P</w:t>
      </w:r>
      <w:r w:rsidR="008322FD" w:rsidRPr="002B4B36">
        <w:rPr>
          <w:color w:val="0070C0"/>
        </w:rPr>
        <w:t>rocedure</w:t>
      </w:r>
      <w:r w:rsidRPr="002B4B36">
        <w:rPr>
          <w:color w:val="0070C0"/>
        </w:rPr>
        <w:t xml:space="preserve"> setting and delivery of T-TEER</w:t>
      </w:r>
    </w:p>
    <w:p w14:paraId="48796606" w14:textId="75578F31" w:rsidR="00AC67FE" w:rsidRPr="00374CCA" w:rsidRDefault="00AC67FE" w:rsidP="00AC67FE">
      <w:r>
        <w:t xml:space="preserve">T-TEER is </w:t>
      </w:r>
      <w:r w:rsidR="70042664">
        <w:t xml:space="preserve">intended to be </w:t>
      </w:r>
      <w:r>
        <w:t>performed exclusively as an inpatient procedure at specialised cardiac centres, in either public or private hospital settings. These centres must be accredited for structural heart interventions in accordance with national cardiac accreditation criteria, similar to those required for transcatheter aortic valve implantation (TAVI) and MitraClip procedures.</w:t>
      </w:r>
    </w:p>
    <w:p w14:paraId="744BCB65" w14:textId="719406DC" w:rsidR="00AC67FE" w:rsidRPr="00374CCA" w:rsidRDefault="00AC67FE" w:rsidP="00AC67FE">
      <w:r>
        <w:t xml:space="preserve">The procedure is </w:t>
      </w:r>
      <w:r w:rsidR="002223FE">
        <w:t>performed</w:t>
      </w:r>
      <w:r>
        <w:t xml:space="preserve"> by accredited specialists – typically interventional cardiologists or cardiothoracic surgeons – who have completed </w:t>
      </w:r>
      <w:r w:rsidR="002223FE">
        <w:t>dedicated</w:t>
      </w:r>
      <w:r>
        <w:t xml:space="preserve"> training in T-TEER, including proctoring and certification by the device manufacturer (e.g. Abbott).</w:t>
      </w:r>
      <w:r w:rsidR="008C2D1A">
        <w:rPr>
          <w:rStyle w:val="FootnoteReference"/>
        </w:rPr>
        <w:footnoteReference w:id="4"/>
      </w:r>
      <w:r>
        <w:t xml:space="preserve"> A </w:t>
      </w:r>
      <w:r w:rsidR="000E55E2">
        <w:t>cardiovascular</w:t>
      </w:r>
      <w:r>
        <w:t xml:space="preserve"> imaging specialist </w:t>
      </w:r>
      <w:r w:rsidR="00BF24C8">
        <w:t>with advanced expertise in structural heart disease</w:t>
      </w:r>
      <w:r>
        <w:t xml:space="preserve"> is required throughout the procedure to provide continuous imaging guidance.</w:t>
      </w:r>
      <w:r w:rsidR="00426076">
        <w:t xml:space="preserve"> </w:t>
      </w:r>
      <w:r w:rsidR="00933470">
        <w:t xml:space="preserve">The mean </w:t>
      </w:r>
      <w:r w:rsidR="00971218">
        <w:t xml:space="preserve">procedure </w:t>
      </w:r>
      <w:r w:rsidR="00835B8B">
        <w:t xml:space="preserve">time for T-TEER was </w:t>
      </w:r>
      <w:r w:rsidR="001728B4">
        <w:t>151 minutes in TRILUMINATE Pivotal (</w:t>
      </w:r>
      <w:r w:rsidR="005D3E6D">
        <w:t>Sorajja</w:t>
      </w:r>
      <w:r w:rsidR="001728B4">
        <w:t xml:space="preserve"> et al. 2023).</w:t>
      </w:r>
    </w:p>
    <w:p w14:paraId="1AC6CC04" w14:textId="516357A0" w:rsidR="00AC67FE" w:rsidRPr="00374CCA" w:rsidRDefault="00AC67FE" w:rsidP="00AC67FE">
      <w:r w:rsidRPr="00374CCA">
        <w:lastRenderedPageBreak/>
        <w:t xml:space="preserve">T-TEER is generally </w:t>
      </w:r>
      <w:r w:rsidR="004D44BB" w:rsidRPr="00374CCA">
        <w:t>conducted</w:t>
      </w:r>
      <w:r w:rsidRPr="00374CCA">
        <w:t xml:space="preserve"> under general anaesthesia to </w:t>
      </w:r>
      <w:r w:rsidR="008C1DEC" w:rsidRPr="00374CCA">
        <w:t>optimise</w:t>
      </w:r>
      <w:r w:rsidRPr="00374CCA">
        <w:t xml:space="preserve"> TOE imaging, </w:t>
      </w:r>
      <w:r w:rsidR="008C1DEC" w:rsidRPr="00374CCA">
        <w:t xml:space="preserve">ensure </w:t>
      </w:r>
      <w:r w:rsidRPr="00374CCA">
        <w:t xml:space="preserve">airway control, and </w:t>
      </w:r>
      <w:r w:rsidR="008C1DEC" w:rsidRPr="00374CCA">
        <w:t xml:space="preserve">maintain </w:t>
      </w:r>
      <w:r w:rsidRPr="00374CCA">
        <w:t>patient immobility. However, deep or moderate sedation may be considered in selected patients, depending on clinical circumstances and operator experience.</w:t>
      </w:r>
    </w:p>
    <w:p w14:paraId="680A96A5" w14:textId="34A356CB" w:rsidR="00221BDD" w:rsidRDefault="00AC67FE" w:rsidP="00AC67FE">
      <w:r w:rsidRPr="00374CCA">
        <w:t xml:space="preserve">Imaging plays a central role throughout the procedure. Preprocedural assessment typically includes TTE, TOE, and cardiac CT to evaluate the severity and mechanism of </w:t>
      </w:r>
      <w:r w:rsidR="009800B9" w:rsidRPr="00374CCA">
        <w:t>TR</w:t>
      </w:r>
      <w:r w:rsidRPr="00374CCA">
        <w:t>, leaflet morphology, and anatomical suitability. During the procedure, real-time TOE is the primary imaging modality used to guide device positioning, leaflet grasping, and confirmation of coaptation. Fluoroscopy is used concurrently to visualise catheter and device movement. In cases where TOE is contraindicated or suboptimal, intracardiac echocardiography (ICE) may be used as an alternative.</w:t>
      </w:r>
    </w:p>
    <w:p w14:paraId="52ADEDD3" w14:textId="75641064" w:rsidR="00A6488E" w:rsidRDefault="00A6488E" w:rsidP="00E06306">
      <w:pPr>
        <w:rPr>
          <w:i/>
          <w:iCs/>
        </w:rPr>
      </w:pPr>
      <w:bookmarkStart w:id="3" w:name="_Hlk219905704"/>
      <w:r w:rsidRPr="00E06306">
        <w:rPr>
          <w:i/>
          <w:iCs/>
        </w:rPr>
        <w:t>PASC advised that the intervention should be restricted to accredited cardiac centres, consistent with the standard practice for other existing structural heart procedures such as TAVI, noting that these high-end interventions require sites with appropriate experience, infrastructure, and capability to ensure safety and quality outcomes.</w:t>
      </w:r>
    </w:p>
    <w:p w14:paraId="0602C1CF" w14:textId="77777777" w:rsidR="00F87881" w:rsidRPr="00F87881" w:rsidRDefault="00F87881" w:rsidP="00F87881">
      <w:pPr>
        <w:rPr>
          <w:i/>
          <w:iCs/>
        </w:rPr>
      </w:pPr>
      <w:r w:rsidRPr="00F87881">
        <w:rPr>
          <w:i/>
          <w:iCs/>
        </w:rPr>
        <w:t>PASC noted consumer concerns regarding workforce capacity impacting accessibility, noting that the procedure requires advanced training beyond standard practice and carries inherent risks. PASC noted the applicant’s clinical experts advised that the main limitation is the availability of interventional echocardiographers, who must interpret complex imaging and guide the procedure in real time. While most major centres in capital cities already have teams experienced in TMVr and are expected to perform T-TEER, some centres still lack adequately trained TOE specialists. The applicant’s clinical experts further stated, however, that dedicated interventional echo training programs are addressing this gap, with growing participation from younger clinicians.</w:t>
      </w:r>
    </w:p>
    <w:p w14:paraId="3113861E" w14:textId="5323C665" w:rsidR="00F87881" w:rsidRPr="00F87881" w:rsidRDefault="00F87881" w:rsidP="00F87881">
      <w:pPr>
        <w:rPr>
          <w:i/>
          <w:iCs/>
        </w:rPr>
      </w:pPr>
      <w:r w:rsidRPr="00F87881">
        <w:rPr>
          <w:i/>
          <w:iCs/>
        </w:rPr>
        <w:t>PASC noted the applicant’s clinical experts advised that the rollout of T-TEER is anticipated to be gradual, starting in accredited tertiary centres with the necessary infrastructure and skilled workforce. Widespread availability in local hospitals is unlikely in the near term. PASC w</w:t>
      </w:r>
      <w:r w:rsidR="00985AAB">
        <w:rPr>
          <w:i/>
          <w:iCs/>
        </w:rPr>
        <w:t>as</w:t>
      </w:r>
      <w:r w:rsidRPr="00F87881">
        <w:rPr>
          <w:i/>
          <w:iCs/>
        </w:rPr>
        <w:t xml:space="preserve"> advised that structural heart programs capable of performing TAVI and transcatheter mitral and tricuspid interventions remain limited, and access will continue to be controlled through accreditation requirements for both sites and individuals to maintain safety and capability standards. The applicant’s clinical experts further informed that clinicians who receive training overseas can help support service expansion upon returning to Australia.</w:t>
      </w:r>
    </w:p>
    <w:bookmarkEnd w:id="3"/>
    <w:p w14:paraId="31A278DD" w14:textId="0BC56A6A" w:rsidR="00D91A0D" w:rsidRPr="002B4B36" w:rsidRDefault="00D91A0D" w:rsidP="00D91A0D">
      <w:pPr>
        <w:pStyle w:val="Heading4"/>
        <w:rPr>
          <w:color w:val="0070C0"/>
        </w:rPr>
      </w:pPr>
      <w:r w:rsidRPr="002B4B36">
        <w:rPr>
          <w:color w:val="0070C0"/>
        </w:rPr>
        <w:t>Post procedural care and follow up</w:t>
      </w:r>
    </w:p>
    <w:p w14:paraId="7E358BE0" w14:textId="6F416089" w:rsidR="00097238" w:rsidRPr="00374CCA" w:rsidRDefault="00097238" w:rsidP="00097238">
      <w:r w:rsidRPr="00374CCA">
        <w:t>Following T-TEER, patients typically remain in hospital for short-term monitoring. The duration of inpatient stay may vary depending on individual clinical factors, procedural complexity, and institutional protocols, but is generally shorter than for surgical valve repair.</w:t>
      </w:r>
      <w:r w:rsidR="005D3E6D" w:rsidRPr="00374CCA">
        <w:t xml:space="preserve"> The mean hospital length of stay was </w:t>
      </w:r>
      <w:r w:rsidR="00A44C5B" w:rsidRPr="00374CCA">
        <w:t>1.6 days</w:t>
      </w:r>
      <w:r w:rsidR="005D3E6D" w:rsidRPr="00374CCA">
        <w:t xml:space="preserve"> in </w:t>
      </w:r>
      <w:r w:rsidR="0081180E">
        <w:t xml:space="preserve">the </w:t>
      </w:r>
      <w:r w:rsidR="005D3E6D" w:rsidRPr="00374CCA">
        <w:t xml:space="preserve">TRILUMINATE Pivotal </w:t>
      </w:r>
      <w:r w:rsidR="0081180E">
        <w:t xml:space="preserve">trial </w:t>
      </w:r>
      <w:r w:rsidR="005D3E6D" w:rsidRPr="00374CCA">
        <w:t>(Sorajja et al. 2023).</w:t>
      </w:r>
    </w:p>
    <w:p w14:paraId="67441260" w14:textId="33D749B9" w:rsidR="00097238" w:rsidRPr="00374CCA" w:rsidRDefault="00097238" w:rsidP="00097238">
      <w:r w:rsidRPr="00374CCA">
        <w:t xml:space="preserve">Post-procedural care includes haemodynamic monitoring, assessment for potential complications (e.g. bleeding, arrhythmias, device-related issues), and early imaging to confirm device position and function. TTE is performed prior to discharge to evaluate residual </w:t>
      </w:r>
      <w:r w:rsidR="00A1159D" w:rsidRPr="00374CCA">
        <w:t>TR</w:t>
      </w:r>
      <w:r w:rsidRPr="00374CCA">
        <w:t>, leaflet mobility, and right heart function.</w:t>
      </w:r>
    </w:p>
    <w:p w14:paraId="121B81A0" w14:textId="443360C3" w:rsidR="00A4462C" w:rsidRPr="00374CCA" w:rsidRDefault="00A4462C" w:rsidP="00A4462C">
      <w:r>
        <w:t xml:space="preserve">Reintervention may be required in cases of </w:t>
      </w:r>
      <w:r w:rsidR="00E323FE">
        <w:t xml:space="preserve">clip </w:t>
      </w:r>
      <w:r>
        <w:t xml:space="preserve">detachment, which typically occurs within the first 24 hours post-procedure while the patient is still hospitalised. According to the applicant’s clinical expert, detachment rates are higher for T-TEER compared to TMVr, although these rates tend to </w:t>
      </w:r>
      <w:r w:rsidR="00312FCC">
        <w:t>decline</w:t>
      </w:r>
      <w:r>
        <w:t xml:space="preserve"> with increased operator experience. </w:t>
      </w:r>
      <w:r w:rsidR="00312FCC">
        <w:t xml:space="preserve">In instances of </w:t>
      </w:r>
      <w:r w:rsidR="00365441">
        <w:t xml:space="preserve">single leaflet </w:t>
      </w:r>
      <w:r>
        <w:t xml:space="preserve">detachment, the procedure is generally repeated to reclip the valve leaflets. </w:t>
      </w:r>
      <w:r w:rsidR="00E60D2C">
        <w:t>C</w:t>
      </w:r>
      <w:r w:rsidR="00495B97">
        <w:t>omplete clip detachment and embolisation</w:t>
      </w:r>
      <w:r>
        <w:t xml:space="preserve"> is </w:t>
      </w:r>
      <w:r w:rsidR="0005527D">
        <w:t xml:space="preserve">rare but may </w:t>
      </w:r>
      <w:r w:rsidR="00A6375E">
        <w:t>occur and</w:t>
      </w:r>
      <w:r w:rsidR="0005527D">
        <w:t xml:space="preserve"> is </w:t>
      </w:r>
      <w:r>
        <w:t>managed medically</w:t>
      </w:r>
      <w:r w:rsidR="0005527D">
        <w:t xml:space="preserve"> when it does</w:t>
      </w:r>
      <w:r>
        <w:t>.</w:t>
      </w:r>
    </w:p>
    <w:p w14:paraId="3981CC69" w14:textId="40FE7BDD" w:rsidR="00097238" w:rsidRPr="00374CCA" w:rsidRDefault="00097238" w:rsidP="00097238">
      <w:r w:rsidRPr="00374CCA">
        <w:lastRenderedPageBreak/>
        <w:t xml:space="preserve">Patients are typically discharged on guideline-directed medical therapy for </w:t>
      </w:r>
      <w:r w:rsidR="004D3068" w:rsidRPr="00374CCA">
        <w:t>heart failure</w:t>
      </w:r>
      <w:r w:rsidRPr="00374CCA">
        <w:t xml:space="preserve"> and arrhythmia management, as appropriate. Antithrombotic therapy may be prescribed based on individual risk factors and procedural outcomes, in accordance with local protocols and clinical guidelines.</w:t>
      </w:r>
    </w:p>
    <w:p w14:paraId="471FE2C5" w14:textId="63B30CE9" w:rsidR="00D91A0D" w:rsidRPr="00374CCA" w:rsidRDefault="00097238" w:rsidP="00097238">
      <w:r w:rsidRPr="00374CCA">
        <w:t xml:space="preserve">Long-term follow-up includes regular clinical review and repeat imaging </w:t>
      </w:r>
      <w:r w:rsidR="00CC7650" w:rsidRPr="00374CCA">
        <w:t xml:space="preserve">(every 1 to 2 years) </w:t>
      </w:r>
      <w:r w:rsidRPr="00374CCA">
        <w:t>to monitor valve function and assess for progression of TR or other cardiac conditions.</w:t>
      </w:r>
    </w:p>
    <w:p w14:paraId="137A752A" w14:textId="0021B347" w:rsidR="00045BA6" w:rsidRPr="002B4B36" w:rsidRDefault="00045BA6" w:rsidP="00045BA6">
      <w:pPr>
        <w:pStyle w:val="Heading4"/>
        <w:rPr>
          <w:color w:val="0070C0"/>
        </w:rPr>
      </w:pPr>
      <w:r w:rsidRPr="002B4B36">
        <w:rPr>
          <w:color w:val="0070C0"/>
        </w:rPr>
        <w:t>Expected uptake of the technology</w:t>
      </w:r>
    </w:p>
    <w:p w14:paraId="7D8DD4C6" w14:textId="412399E2" w:rsidR="000D6734" w:rsidRPr="00374CCA" w:rsidRDefault="00403CA3" w:rsidP="002E0952">
      <w:r w:rsidRPr="00374CCA">
        <w:t>N</w:t>
      </w:r>
      <w:r w:rsidR="00E76910" w:rsidRPr="00374CCA">
        <w:t xml:space="preserve">ot all patients with severe TR will be clinically indicated </w:t>
      </w:r>
      <w:r w:rsidRPr="00374CCA">
        <w:t>or</w:t>
      </w:r>
      <w:r w:rsidR="00E76910" w:rsidRPr="00374CCA">
        <w:t xml:space="preserve"> eligible for T-TEER. </w:t>
      </w:r>
      <w:r w:rsidR="00053A88" w:rsidRPr="00374CCA">
        <w:t xml:space="preserve">The application asserts that the proposed population </w:t>
      </w:r>
      <w:r w:rsidR="00B573A0" w:rsidRPr="00374CCA">
        <w:t>is most consistent with the ‘pure AF’ subgroup defined in Offen et al. (2022)</w:t>
      </w:r>
      <w:r w:rsidR="00C947B4" w:rsidRPr="00374CCA">
        <w:t xml:space="preserve"> as </w:t>
      </w:r>
      <w:r w:rsidR="00B573A0" w:rsidRPr="00374CCA">
        <w:t>patients with severe TR but without significant pulmonary hypertension or left-sided valvular or ventricular dysfunction.</w:t>
      </w:r>
      <w:r w:rsidR="00F937BD" w:rsidRPr="00374CCA">
        <w:t xml:space="preserve"> </w:t>
      </w:r>
      <w:r w:rsidR="002D0B95" w:rsidRPr="00374CCA">
        <w:t xml:space="preserve">Offen et al. (2022) found that 10% of severe TR patients met this definition. Applied to the Australian severe TR population, this equates to approximately 2,932 patients potentially suitable for </w:t>
      </w:r>
      <w:r w:rsidR="00CB257E" w:rsidRPr="00374CCA">
        <w:t>T-</w:t>
      </w:r>
      <w:r w:rsidR="002D0B95" w:rsidRPr="00374CCA">
        <w:t>TEER.</w:t>
      </w:r>
      <w:r w:rsidR="00DC55AB" w:rsidRPr="00374CCA">
        <w:t xml:space="preserve"> </w:t>
      </w:r>
    </w:p>
    <w:p w14:paraId="43225AE0" w14:textId="77777777" w:rsidR="003B622D" w:rsidRPr="00374CCA" w:rsidRDefault="00DC55AB" w:rsidP="002E0952">
      <w:r w:rsidRPr="00374CCA">
        <w:t xml:space="preserve">The application acknowledged that this estimate excludes some patients, such as those with primary TR or anatomical contraindications, and does not fully match </w:t>
      </w:r>
      <w:r w:rsidR="00EA7A6E" w:rsidRPr="00374CCA">
        <w:t xml:space="preserve">the proposed </w:t>
      </w:r>
      <w:r w:rsidRPr="00374CCA">
        <w:t>MBS criteria</w:t>
      </w:r>
      <w:r w:rsidR="00EA7A6E" w:rsidRPr="00374CCA">
        <w:t xml:space="preserve">, but </w:t>
      </w:r>
      <w:r w:rsidR="00AC0F99" w:rsidRPr="00374CCA">
        <w:t xml:space="preserve">provides a reasonable initial indication </w:t>
      </w:r>
      <w:r w:rsidR="00C7639D" w:rsidRPr="00374CCA">
        <w:t xml:space="preserve">of the likely order of magnitude of patients who may be considered for </w:t>
      </w:r>
      <w:r w:rsidR="00300A71" w:rsidRPr="00374CCA">
        <w:t>T-</w:t>
      </w:r>
      <w:r w:rsidR="00C7639D" w:rsidRPr="00374CCA">
        <w:t xml:space="preserve">TEER in Australia across both public and private healthcare settings. </w:t>
      </w:r>
    </w:p>
    <w:p w14:paraId="6FEAA7D4" w14:textId="2B35C885" w:rsidR="00045BA6" w:rsidRPr="00374CCA" w:rsidRDefault="00336FCC" w:rsidP="002E0952">
      <w:r w:rsidRPr="00374CCA">
        <w:t xml:space="preserve">The application estimated that </w:t>
      </w:r>
      <w:r w:rsidR="007B7C61">
        <w:t xml:space="preserve">the </w:t>
      </w:r>
      <w:r w:rsidR="002B3547" w:rsidRPr="00374CCA">
        <w:t xml:space="preserve">uptake </w:t>
      </w:r>
      <w:r w:rsidR="00283035" w:rsidRPr="00374CCA">
        <w:t xml:space="preserve">of T-TEER </w:t>
      </w:r>
      <w:r w:rsidR="002B3547" w:rsidRPr="00374CCA">
        <w:t>would be 50</w:t>
      </w:r>
      <w:r w:rsidR="00283035" w:rsidRPr="00374CCA">
        <w:t xml:space="preserve">% </w:t>
      </w:r>
      <w:r w:rsidR="002B3547" w:rsidRPr="00374CCA">
        <w:t xml:space="preserve">in the </w:t>
      </w:r>
      <w:r w:rsidR="00283035" w:rsidRPr="00374CCA">
        <w:t>first years of MBS listing, which equates to 1,466 patients</w:t>
      </w:r>
      <w:r w:rsidR="00291F00" w:rsidRPr="00374CCA">
        <w:t>.</w:t>
      </w:r>
      <w:r w:rsidR="00283035" w:rsidRPr="00374CCA">
        <w:t xml:space="preserve"> </w:t>
      </w:r>
      <w:r w:rsidR="00C7639D" w:rsidRPr="00374CCA">
        <w:t xml:space="preserve">Final estimates will be refined in the </w:t>
      </w:r>
      <w:r w:rsidR="00AD4151" w:rsidRPr="00374CCA">
        <w:t>Applicant</w:t>
      </w:r>
      <w:r w:rsidR="00FA0F4F">
        <w:t>-</w:t>
      </w:r>
      <w:r w:rsidR="00AD4151" w:rsidRPr="00374CCA">
        <w:t>Developed Assessment Report (ADAR)</w:t>
      </w:r>
      <w:r w:rsidR="00C7639D" w:rsidRPr="00374CCA">
        <w:t>.</w:t>
      </w:r>
    </w:p>
    <w:p w14:paraId="508A1ADB" w14:textId="2BFA2A3A" w:rsidR="00045BA6" w:rsidRPr="002B4B36" w:rsidRDefault="00A754B8" w:rsidP="00A754B8">
      <w:pPr>
        <w:pStyle w:val="Heading4"/>
        <w:rPr>
          <w:color w:val="0070C0"/>
        </w:rPr>
      </w:pPr>
      <w:r w:rsidRPr="002B4B36">
        <w:rPr>
          <w:color w:val="0070C0"/>
        </w:rPr>
        <w:t>Regulatory status</w:t>
      </w:r>
    </w:p>
    <w:p w14:paraId="462B20BD" w14:textId="6CC0C5DE" w:rsidR="00AE2A6A" w:rsidRPr="00374CCA" w:rsidRDefault="004E3D72" w:rsidP="004E3D72">
      <w:r w:rsidRPr="00374CCA">
        <w:t xml:space="preserve">Two </w:t>
      </w:r>
      <w:r w:rsidR="00D85899" w:rsidRPr="00374CCA">
        <w:t>T-TEER</w:t>
      </w:r>
      <w:r w:rsidRPr="00374CCA">
        <w:t xml:space="preserve"> devices –</w:t>
      </w:r>
      <w:r w:rsidR="00D85899" w:rsidRPr="00374CCA">
        <w:t xml:space="preserve"> </w:t>
      </w:r>
      <w:r w:rsidRPr="00374CCA">
        <w:t>the TriClip Transcatheter Tricuspid Valve Repair System</w:t>
      </w:r>
      <w:r w:rsidR="00D85899" w:rsidRPr="00374CCA">
        <w:t xml:space="preserve"> </w:t>
      </w:r>
      <w:r w:rsidR="00B528E4" w:rsidRPr="00374CCA">
        <w:t xml:space="preserve">(Abbott Medical) </w:t>
      </w:r>
      <w:r w:rsidR="00D85899" w:rsidRPr="00374CCA">
        <w:t>and the PASCAL Precision System</w:t>
      </w:r>
      <w:r w:rsidR="00B528E4" w:rsidRPr="00374CCA">
        <w:t xml:space="preserve"> (Edwards Lifesciences)</w:t>
      </w:r>
      <w:r w:rsidRPr="00374CCA">
        <w:t xml:space="preserve"> – are </w:t>
      </w:r>
      <w:r w:rsidR="00C44C24" w:rsidRPr="00374CCA">
        <w:t xml:space="preserve">included in the Australian Register of Therapeutic Goods (ARTG) </w:t>
      </w:r>
      <w:r w:rsidRPr="00374CCA">
        <w:t>(</w:t>
      </w:r>
      <w:r w:rsidR="00C44C24" w:rsidRPr="00374CCA">
        <w:fldChar w:fldCharType="begin"/>
      </w:r>
      <w:r w:rsidR="00C44C24" w:rsidRPr="00374CCA">
        <w:instrText xml:space="preserve"> REF _Ref211774735 \h </w:instrText>
      </w:r>
      <w:r w:rsidR="00C44C24" w:rsidRPr="00374CCA">
        <w:fldChar w:fldCharType="separate"/>
      </w:r>
      <w:r w:rsidR="005B2582" w:rsidRPr="00374CCA">
        <w:t>Table </w:t>
      </w:r>
      <w:r w:rsidR="005B2582" w:rsidRPr="004220F6">
        <w:t>2</w:t>
      </w:r>
      <w:r w:rsidR="00C44C24" w:rsidRPr="00374CCA">
        <w:fldChar w:fldCharType="end"/>
      </w:r>
      <w:r w:rsidRPr="00374CCA">
        <w:t xml:space="preserve">). </w:t>
      </w:r>
    </w:p>
    <w:p w14:paraId="03BAA470" w14:textId="638F9307" w:rsidR="004E3D72" w:rsidRPr="00374CCA" w:rsidRDefault="00B528E4" w:rsidP="004E3D72">
      <w:r w:rsidRPr="00374CCA">
        <w:t xml:space="preserve">The TriClip system is indicated for patients with severe, symptomatic TR. </w:t>
      </w:r>
      <w:r w:rsidR="0090661A" w:rsidRPr="00374CCA">
        <w:t>The PASCAL system</w:t>
      </w:r>
      <w:r w:rsidR="00AE2A6A" w:rsidRPr="00374CCA">
        <w:t xml:space="preserve"> is indicated for the repair of the mitral and/or tricuspid valve</w:t>
      </w:r>
      <w:r w:rsidR="007C53FD" w:rsidRPr="00374CCA">
        <w:t xml:space="preserve"> in patients with clinically significant</w:t>
      </w:r>
      <w:r w:rsidR="000864C6" w:rsidRPr="00374CCA">
        <w:t xml:space="preserve">, symptomatic </w:t>
      </w:r>
      <w:r w:rsidR="00D7389F" w:rsidRPr="00374CCA">
        <w:t xml:space="preserve">MR or </w:t>
      </w:r>
      <w:r w:rsidR="000864C6" w:rsidRPr="00374CCA">
        <w:t>TR</w:t>
      </w:r>
      <w:r w:rsidR="003644BF" w:rsidRPr="00374CCA">
        <w:t>.</w:t>
      </w:r>
    </w:p>
    <w:p w14:paraId="2A431602" w14:textId="180E3B52" w:rsidR="004E3D72" w:rsidRPr="00374CCA" w:rsidRDefault="00D72262" w:rsidP="004E3D72">
      <w:pPr>
        <w:pStyle w:val="Caption"/>
        <w:rPr>
          <w:lang w:val="en-AU"/>
        </w:rPr>
      </w:pPr>
      <w:bookmarkStart w:id="4" w:name="_Ref211774735"/>
      <w:r w:rsidRPr="004220F6">
        <w:rPr>
          <w:lang w:val="en-AU"/>
        </w:rPr>
        <w:t>Table </w:t>
      </w:r>
      <w:r w:rsidRPr="004220F6">
        <w:rPr>
          <w:lang w:val="en-AU"/>
        </w:rPr>
        <w:fldChar w:fldCharType="begin"/>
      </w:r>
      <w:r w:rsidRPr="004220F6">
        <w:rPr>
          <w:lang w:val="en-AU"/>
        </w:rPr>
        <w:instrText xml:space="preserve"> SEQ Table \* ARABIC </w:instrText>
      </w:r>
      <w:r w:rsidRPr="004220F6">
        <w:rPr>
          <w:lang w:val="en-AU"/>
        </w:rPr>
        <w:fldChar w:fldCharType="separate"/>
      </w:r>
      <w:r w:rsidR="005B2582" w:rsidRPr="004220F6">
        <w:rPr>
          <w:lang w:val="en-AU"/>
        </w:rPr>
        <w:t>2</w:t>
      </w:r>
      <w:r w:rsidRPr="004220F6">
        <w:rPr>
          <w:lang w:val="en-AU"/>
        </w:rPr>
        <w:fldChar w:fldCharType="end"/>
      </w:r>
      <w:bookmarkEnd w:id="4"/>
      <w:r w:rsidR="004E3D72" w:rsidRPr="00374CCA">
        <w:rPr>
          <w:lang w:val="en-AU"/>
        </w:rPr>
        <w:tab/>
      </w:r>
      <w:r w:rsidRPr="00374CCA">
        <w:rPr>
          <w:lang w:val="en-AU"/>
        </w:rPr>
        <w:t>T-TEER</w:t>
      </w:r>
      <w:r w:rsidR="004E3D72" w:rsidRPr="00374CCA">
        <w:rPr>
          <w:lang w:val="en-AU"/>
        </w:rPr>
        <w:t xml:space="preserve"> systems included in the ARTG</w:t>
      </w:r>
    </w:p>
    <w:tbl>
      <w:tblPr>
        <w:tblStyle w:val="TableGrid"/>
        <w:tblW w:w="5000" w:type="pct"/>
        <w:tblInd w:w="0" w:type="dxa"/>
        <w:tblLook w:val="04A0" w:firstRow="1" w:lastRow="0" w:firstColumn="1" w:lastColumn="0" w:noHBand="0" w:noVBand="1"/>
        <w:tblCaption w:val="T-TEER systems included in the ARTG"/>
        <w:tblDescription w:val="The table shows the regulatory details for the PASCAL Prescision System and the TriClip System, taken from the ARTG Public Summary."/>
      </w:tblPr>
      <w:tblGrid>
        <w:gridCol w:w="1413"/>
        <w:gridCol w:w="4079"/>
        <w:gridCol w:w="4079"/>
      </w:tblGrid>
      <w:tr w:rsidR="00A70F8C" w:rsidRPr="00374CCA" w14:paraId="2BD705C6" w14:textId="77777777" w:rsidTr="00320594">
        <w:trPr>
          <w:cantSplit/>
          <w:tblHeader/>
        </w:trPr>
        <w:tc>
          <w:tcPr>
            <w:tcW w:w="738" w:type="pct"/>
          </w:tcPr>
          <w:p w14:paraId="6AB022D7" w14:textId="77777777" w:rsidR="00A70F8C" w:rsidRPr="00374CCA" w:rsidRDefault="00A70F8C" w:rsidP="00A70F8C">
            <w:pPr>
              <w:pStyle w:val="TableHeading"/>
            </w:pPr>
            <w:r w:rsidRPr="00374CCA">
              <w:t>Product Name</w:t>
            </w:r>
          </w:p>
        </w:tc>
        <w:tc>
          <w:tcPr>
            <w:tcW w:w="2131" w:type="pct"/>
          </w:tcPr>
          <w:p w14:paraId="1C6A257D" w14:textId="5980CA9F" w:rsidR="00A70F8C" w:rsidRPr="00374CCA" w:rsidRDefault="00A70F8C" w:rsidP="00A70F8C">
            <w:pPr>
              <w:pStyle w:val="TableHeading"/>
            </w:pPr>
            <w:r w:rsidRPr="00374CCA">
              <w:t>TriClip Transcatheter Tricuspid Valve Repair System</w:t>
            </w:r>
          </w:p>
        </w:tc>
        <w:tc>
          <w:tcPr>
            <w:tcW w:w="2131" w:type="pct"/>
          </w:tcPr>
          <w:p w14:paraId="02358354" w14:textId="63A4B110" w:rsidR="00A70F8C" w:rsidRPr="00374CCA" w:rsidRDefault="00A70F8C" w:rsidP="00A70F8C">
            <w:pPr>
              <w:pStyle w:val="TableHeading"/>
            </w:pPr>
            <w:r w:rsidRPr="00374CCA">
              <w:t xml:space="preserve">PASCAL Precision System </w:t>
            </w:r>
          </w:p>
        </w:tc>
      </w:tr>
      <w:tr w:rsidR="00A70F8C" w:rsidRPr="00374CCA" w14:paraId="2D4D5110" w14:textId="77777777" w:rsidTr="00320594">
        <w:trPr>
          <w:cantSplit/>
        </w:trPr>
        <w:tc>
          <w:tcPr>
            <w:tcW w:w="738" w:type="pct"/>
          </w:tcPr>
          <w:p w14:paraId="73053D97" w14:textId="77777777" w:rsidR="00A70F8C" w:rsidRPr="00374CCA" w:rsidRDefault="00A70F8C" w:rsidP="00320594">
            <w:pPr>
              <w:pStyle w:val="Tabletext"/>
              <w:keepNext/>
              <w:keepLines/>
              <w:rPr>
                <w:b/>
                <w:bCs/>
              </w:rPr>
            </w:pPr>
            <w:r w:rsidRPr="00374CCA">
              <w:rPr>
                <w:b/>
                <w:bCs/>
              </w:rPr>
              <w:t>Sponsor</w:t>
            </w:r>
          </w:p>
        </w:tc>
        <w:tc>
          <w:tcPr>
            <w:tcW w:w="2131" w:type="pct"/>
          </w:tcPr>
          <w:p w14:paraId="36D6B59E" w14:textId="3CEA282D" w:rsidR="00A70F8C" w:rsidRPr="00374CCA" w:rsidRDefault="00A70F8C" w:rsidP="00320594">
            <w:pPr>
              <w:pStyle w:val="Tabletext"/>
              <w:keepNext/>
              <w:keepLines/>
            </w:pPr>
            <w:r w:rsidRPr="00374CCA">
              <w:t>Abbott Medical Australia Pty Ltd</w:t>
            </w:r>
          </w:p>
        </w:tc>
        <w:tc>
          <w:tcPr>
            <w:tcW w:w="2131" w:type="pct"/>
          </w:tcPr>
          <w:p w14:paraId="2B18C0B1" w14:textId="258507F4" w:rsidR="00A70F8C" w:rsidRPr="00374CCA" w:rsidRDefault="00A70F8C" w:rsidP="00A70F8C">
            <w:pPr>
              <w:pStyle w:val="Tabletext"/>
            </w:pPr>
            <w:r w:rsidRPr="00374CCA">
              <w:t>Edwards Lifesciences Pty Ltd</w:t>
            </w:r>
          </w:p>
        </w:tc>
      </w:tr>
      <w:tr w:rsidR="00A70F8C" w:rsidRPr="00374CCA" w14:paraId="26AA3A5A" w14:textId="77777777" w:rsidTr="00320594">
        <w:trPr>
          <w:cantSplit/>
        </w:trPr>
        <w:tc>
          <w:tcPr>
            <w:tcW w:w="738" w:type="pct"/>
          </w:tcPr>
          <w:p w14:paraId="0A2B907B" w14:textId="77777777" w:rsidR="00A70F8C" w:rsidRPr="00374CCA" w:rsidRDefault="00A70F8C" w:rsidP="00320594">
            <w:pPr>
              <w:pStyle w:val="Tabletext"/>
              <w:keepNext/>
              <w:keepLines/>
              <w:rPr>
                <w:b/>
                <w:bCs/>
              </w:rPr>
            </w:pPr>
            <w:r w:rsidRPr="00374CCA">
              <w:rPr>
                <w:b/>
                <w:bCs/>
              </w:rPr>
              <w:t>ARTG ID</w:t>
            </w:r>
          </w:p>
        </w:tc>
        <w:tc>
          <w:tcPr>
            <w:tcW w:w="2131" w:type="pct"/>
          </w:tcPr>
          <w:p w14:paraId="3D33D381" w14:textId="2BB173DE" w:rsidR="00745CA0" w:rsidRPr="00374CCA" w:rsidRDefault="00745CA0" w:rsidP="00320594">
            <w:pPr>
              <w:pStyle w:val="Tabletext"/>
              <w:keepNext/>
              <w:keepLines/>
            </w:pPr>
            <w:hyperlink r:id="rId12" w:tooltip="Hyperlink to ARTG entry" w:history="1">
              <w:r w:rsidRPr="00374CCA">
                <w:rPr>
                  <w:rStyle w:val="Hyperlink"/>
                  <w:rFonts w:ascii="Arial Narrow" w:hAnsi="Arial Narrow" w:cs="Tahoma"/>
                </w:rPr>
                <w:t>498645</w:t>
              </w:r>
            </w:hyperlink>
            <w:r w:rsidRPr="00374CCA">
              <w:t xml:space="preserve"> – TriClip G5 Delivery System – Heart Valve Clip</w:t>
            </w:r>
            <w:r w:rsidR="00D93B02" w:rsidRPr="00374CCA">
              <w:rPr>
                <w:vertAlign w:val="superscript"/>
              </w:rPr>
              <w:t>a</w:t>
            </w:r>
          </w:p>
          <w:p w14:paraId="10EBFE54" w14:textId="6C924BFE" w:rsidR="00EC4E09" w:rsidRPr="00374CCA" w:rsidRDefault="00285882" w:rsidP="00320594">
            <w:pPr>
              <w:pStyle w:val="Tabletext"/>
              <w:keepNext/>
              <w:keepLines/>
            </w:pPr>
            <w:hyperlink r:id="rId13" w:tooltip="Hyperlink to ARTG entry" w:history="1">
              <w:r w:rsidRPr="00374CCA">
                <w:rPr>
                  <w:rStyle w:val="Hyperlink"/>
                  <w:rFonts w:ascii="Arial Narrow" w:hAnsi="Arial Narrow" w:cs="Tahoma"/>
                </w:rPr>
                <w:t>498646</w:t>
              </w:r>
            </w:hyperlink>
            <w:r w:rsidRPr="00374CCA">
              <w:t xml:space="preserve"> – TriClip G5 Steerable Guide Catheter</w:t>
            </w:r>
            <w:r w:rsidR="00123FF4" w:rsidRPr="00374CCA">
              <w:t xml:space="preserve"> – Catheter, intravascular, guiding</w:t>
            </w:r>
            <w:r w:rsidR="00D93B02" w:rsidRPr="00374CCA">
              <w:rPr>
                <w:vertAlign w:val="superscript"/>
              </w:rPr>
              <w:t>b</w:t>
            </w:r>
          </w:p>
        </w:tc>
        <w:tc>
          <w:tcPr>
            <w:tcW w:w="2131" w:type="pct"/>
          </w:tcPr>
          <w:p w14:paraId="445284F7" w14:textId="413D2736" w:rsidR="00A70F8C" w:rsidRPr="00374CCA" w:rsidRDefault="00A70F8C" w:rsidP="00A70F8C">
            <w:pPr>
              <w:pStyle w:val="Tabletext"/>
            </w:pPr>
            <w:hyperlink r:id="rId14" w:tooltip="Hyperlink to ARTG entry for 410289" w:history="1">
              <w:r w:rsidRPr="00374CCA">
                <w:rPr>
                  <w:rStyle w:val="Hyperlink"/>
                  <w:rFonts w:ascii="Arial Narrow" w:hAnsi="Arial Narrow" w:cs="Tahoma"/>
                </w:rPr>
                <w:t>410289</w:t>
              </w:r>
            </w:hyperlink>
            <w:r w:rsidRPr="00374CCA">
              <w:t xml:space="preserve"> – PASCAL Precision System – PASCAL ACE Implant System – Heart valve clip</w:t>
            </w:r>
          </w:p>
          <w:p w14:paraId="2CC3E01B" w14:textId="02EA41BA" w:rsidR="00A70F8C" w:rsidRPr="00374CCA" w:rsidRDefault="00A70F8C" w:rsidP="00A70F8C">
            <w:pPr>
              <w:pStyle w:val="Tabletext"/>
            </w:pPr>
            <w:hyperlink r:id="rId15" w:tooltip="Hperlink to ARTG entry for 410288" w:history="1">
              <w:r w:rsidRPr="00374CCA">
                <w:rPr>
                  <w:rStyle w:val="Hyperlink"/>
                  <w:rFonts w:ascii="Arial Narrow" w:hAnsi="Arial Narrow" w:cs="Tahoma"/>
                </w:rPr>
                <w:t>410288</w:t>
              </w:r>
            </w:hyperlink>
            <w:r w:rsidRPr="00374CCA">
              <w:t xml:space="preserve"> – PASCAL Precision System – Implant System – Heart valve clip </w:t>
            </w:r>
          </w:p>
          <w:p w14:paraId="7179469E" w14:textId="38C776B3" w:rsidR="00A70F8C" w:rsidRPr="00374CCA" w:rsidRDefault="00A70F8C" w:rsidP="00A70F8C">
            <w:pPr>
              <w:pStyle w:val="Tabletext"/>
            </w:pPr>
            <w:hyperlink r:id="rId16" w:tooltip="Hyperlink to ARTG entry for 410290" w:history="1">
              <w:r w:rsidRPr="00374CCA">
                <w:rPr>
                  <w:rStyle w:val="Hyperlink"/>
                  <w:rFonts w:ascii="Arial Narrow" w:hAnsi="Arial Narrow" w:cs="Tahoma"/>
                </w:rPr>
                <w:t>410290</w:t>
              </w:r>
            </w:hyperlink>
            <w:r w:rsidRPr="00374CCA">
              <w:t xml:space="preserve"> – PASCAL Precision System – Guide Sheath – Heart valve clip</w:t>
            </w:r>
          </w:p>
        </w:tc>
      </w:tr>
      <w:tr w:rsidR="00A70F8C" w:rsidRPr="00374CCA" w14:paraId="26960D5A" w14:textId="77777777" w:rsidTr="00320594">
        <w:trPr>
          <w:cantSplit/>
        </w:trPr>
        <w:tc>
          <w:tcPr>
            <w:tcW w:w="738" w:type="pct"/>
          </w:tcPr>
          <w:p w14:paraId="6B8D4EE8" w14:textId="77777777" w:rsidR="00A70F8C" w:rsidRPr="00374CCA" w:rsidRDefault="00A70F8C" w:rsidP="00A70F8C">
            <w:pPr>
              <w:pStyle w:val="Tabletext"/>
              <w:rPr>
                <w:b/>
                <w:bCs/>
              </w:rPr>
            </w:pPr>
            <w:r w:rsidRPr="00374CCA">
              <w:rPr>
                <w:b/>
                <w:bCs/>
              </w:rPr>
              <w:t>GMDN</w:t>
            </w:r>
          </w:p>
        </w:tc>
        <w:tc>
          <w:tcPr>
            <w:tcW w:w="2131" w:type="pct"/>
          </w:tcPr>
          <w:p w14:paraId="30A49C31" w14:textId="77777777" w:rsidR="00A70F8C" w:rsidRPr="00374CCA" w:rsidRDefault="00A70F8C" w:rsidP="00A70F8C">
            <w:pPr>
              <w:pStyle w:val="Tabletext"/>
            </w:pPr>
            <w:r w:rsidRPr="00374CCA">
              <w:t>57790 Heart valve clip</w:t>
            </w:r>
          </w:p>
          <w:p w14:paraId="16ED9CC3" w14:textId="3608D254" w:rsidR="00A70F8C" w:rsidRPr="00374CCA" w:rsidRDefault="00A70F8C" w:rsidP="00A70F8C">
            <w:pPr>
              <w:pStyle w:val="Tabletext"/>
            </w:pPr>
            <w:r w:rsidRPr="00374CCA">
              <w:t>17846 Catheter, intravascular, guiding</w:t>
            </w:r>
          </w:p>
        </w:tc>
        <w:tc>
          <w:tcPr>
            <w:tcW w:w="2131" w:type="pct"/>
          </w:tcPr>
          <w:p w14:paraId="27190DAC" w14:textId="64C77782" w:rsidR="00A70F8C" w:rsidRPr="00374CCA" w:rsidRDefault="00A70F8C" w:rsidP="00A70F8C">
            <w:pPr>
              <w:pStyle w:val="Tabletext"/>
            </w:pPr>
            <w:r w:rsidRPr="00374CCA">
              <w:t>57790 Heart valve clip</w:t>
            </w:r>
          </w:p>
        </w:tc>
      </w:tr>
      <w:tr w:rsidR="00A70F8C" w:rsidRPr="00374CCA" w14:paraId="44B31BBA" w14:textId="77777777" w:rsidTr="00320594">
        <w:trPr>
          <w:cantSplit/>
        </w:trPr>
        <w:tc>
          <w:tcPr>
            <w:tcW w:w="738" w:type="pct"/>
          </w:tcPr>
          <w:p w14:paraId="658AF5D5" w14:textId="77777777" w:rsidR="00A70F8C" w:rsidRPr="00374CCA" w:rsidRDefault="00A70F8C" w:rsidP="00A70F8C">
            <w:pPr>
              <w:pStyle w:val="Tabletext"/>
              <w:rPr>
                <w:b/>
                <w:bCs/>
              </w:rPr>
            </w:pPr>
            <w:r w:rsidRPr="00374CCA">
              <w:rPr>
                <w:b/>
                <w:bCs/>
              </w:rPr>
              <w:t xml:space="preserve">Category </w:t>
            </w:r>
          </w:p>
        </w:tc>
        <w:tc>
          <w:tcPr>
            <w:tcW w:w="2131" w:type="pct"/>
          </w:tcPr>
          <w:p w14:paraId="371B0FDB" w14:textId="0B79A1C8" w:rsidR="00A70F8C" w:rsidRPr="00374CCA" w:rsidRDefault="00A70F8C" w:rsidP="00A70F8C">
            <w:pPr>
              <w:pStyle w:val="Tabletext"/>
            </w:pPr>
            <w:r w:rsidRPr="00374CCA">
              <w:t>Medical Device Class III</w:t>
            </w:r>
          </w:p>
        </w:tc>
        <w:tc>
          <w:tcPr>
            <w:tcW w:w="2131" w:type="pct"/>
          </w:tcPr>
          <w:p w14:paraId="1F05D8CD" w14:textId="049EFC90" w:rsidR="00A70F8C" w:rsidRPr="00374CCA" w:rsidRDefault="00A70F8C" w:rsidP="00A70F8C">
            <w:pPr>
              <w:pStyle w:val="Tabletext"/>
            </w:pPr>
            <w:r w:rsidRPr="00374CCA">
              <w:t>Medical Device Class III</w:t>
            </w:r>
          </w:p>
        </w:tc>
      </w:tr>
      <w:tr w:rsidR="00A70F8C" w:rsidRPr="00374CCA" w14:paraId="3BA30A05" w14:textId="77777777" w:rsidTr="00320594">
        <w:trPr>
          <w:cantSplit/>
        </w:trPr>
        <w:tc>
          <w:tcPr>
            <w:tcW w:w="738" w:type="pct"/>
          </w:tcPr>
          <w:p w14:paraId="263B8CFB" w14:textId="77777777" w:rsidR="00A70F8C" w:rsidRPr="00374CCA" w:rsidRDefault="00A70F8C" w:rsidP="00A70F8C">
            <w:pPr>
              <w:pStyle w:val="Tabletext"/>
              <w:rPr>
                <w:b/>
                <w:bCs/>
              </w:rPr>
            </w:pPr>
            <w:r w:rsidRPr="00374CCA">
              <w:rPr>
                <w:b/>
                <w:bCs/>
              </w:rPr>
              <w:t>Effective Date</w:t>
            </w:r>
          </w:p>
        </w:tc>
        <w:tc>
          <w:tcPr>
            <w:tcW w:w="2131" w:type="pct"/>
          </w:tcPr>
          <w:p w14:paraId="6C552CE6" w14:textId="5E38B715" w:rsidR="00FA6E11" w:rsidRPr="00374CCA" w:rsidRDefault="00DB6D37" w:rsidP="00A70F8C">
            <w:pPr>
              <w:pStyle w:val="Tabletext"/>
            </w:pPr>
            <w:r w:rsidRPr="00374CCA">
              <w:t>8 July 2025</w:t>
            </w:r>
          </w:p>
        </w:tc>
        <w:tc>
          <w:tcPr>
            <w:tcW w:w="2131" w:type="pct"/>
          </w:tcPr>
          <w:p w14:paraId="559C4DED" w14:textId="07112DCB" w:rsidR="00A70F8C" w:rsidRPr="00374CCA" w:rsidRDefault="00A70F8C" w:rsidP="00A70F8C">
            <w:pPr>
              <w:pStyle w:val="Tabletext"/>
            </w:pPr>
            <w:r w:rsidRPr="00374CCA">
              <w:t>9 June 2023</w:t>
            </w:r>
          </w:p>
        </w:tc>
      </w:tr>
      <w:tr w:rsidR="00A616A7" w:rsidRPr="00374CCA" w14:paraId="18348CFD" w14:textId="77777777" w:rsidTr="00320594">
        <w:trPr>
          <w:cantSplit/>
        </w:trPr>
        <w:tc>
          <w:tcPr>
            <w:tcW w:w="738" w:type="pct"/>
          </w:tcPr>
          <w:p w14:paraId="68E61F71" w14:textId="49DB4809" w:rsidR="00A616A7" w:rsidRPr="00374CCA" w:rsidRDefault="00A616A7" w:rsidP="00A70F8C">
            <w:pPr>
              <w:pStyle w:val="Tabletext"/>
              <w:rPr>
                <w:b/>
                <w:bCs/>
              </w:rPr>
            </w:pPr>
            <w:r w:rsidRPr="00374CCA">
              <w:rPr>
                <w:b/>
                <w:bCs/>
              </w:rPr>
              <w:lastRenderedPageBreak/>
              <w:t>Functional description</w:t>
            </w:r>
          </w:p>
        </w:tc>
        <w:tc>
          <w:tcPr>
            <w:tcW w:w="2131" w:type="pct"/>
          </w:tcPr>
          <w:p w14:paraId="5C757693" w14:textId="77777777" w:rsidR="00FC14D4" w:rsidRPr="00374CCA" w:rsidRDefault="00DB6D37" w:rsidP="00DB6D37">
            <w:pPr>
              <w:pStyle w:val="Tabletext"/>
            </w:pPr>
            <w:r w:rsidRPr="00374CCA">
              <w:t>A sterile implantable device intended for the reconstruction of an insufficient tricuspid heart valve and reduction of valve regurgitation through the fixed approximation of the tricuspid valve leaflets. It is typically implanted using a percutaneous clip delivery system guided by echocardiographic and fluoroscopic imaging. It is typically made of implant grade metal alloys with a polyester fabric cover. The disposable clip delivery system is typically included with the tricuspid valve clip.</w:t>
            </w:r>
          </w:p>
          <w:p w14:paraId="5F510FEF" w14:textId="502EE374" w:rsidR="009E4FBA" w:rsidRPr="00374CCA" w:rsidRDefault="009E4FBA" w:rsidP="009E4FBA">
            <w:pPr>
              <w:pStyle w:val="Tabletext"/>
            </w:pPr>
            <w:r w:rsidRPr="00374CCA">
              <w:t>The TriClip G5 Steerable Guide Catheter's primary function is to access the right atrium, maneuver to the target location above the tricuspid valve and position the Delivery System.</w:t>
            </w:r>
          </w:p>
        </w:tc>
        <w:tc>
          <w:tcPr>
            <w:tcW w:w="2131" w:type="pct"/>
          </w:tcPr>
          <w:p w14:paraId="43DD3484" w14:textId="46EB43C4" w:rsidR="00A616A7" w:rsidRPr="00374CCA" w:rsidRDefault="00753DCF" w:rsidP="00A70F8C">
            <w:pPr>
              <w:pStyle w:val="Tabletext"/>
            </w:pPr>
            <w:r w:rsidRPr="00374CCA">
              <w:t>The PASCAL Precision System is comprised of the Implant System and Guide Sheath. The Implant System consists of the Loader, Steerable Catheter, Implant Catheter and Implant which comes in two sizes: 10 mm and 6 mm. The 10 mm Implant is referred to as PASCAL Implant and the 6 mm Implant is referred to as PASCAL Ace Implant. The Guide Sheath consists of the Guide Sheath, Introducer and an additional Loader for user convenience.</w:t>
            </w:r>
          </w:p>
        </w:tc>
      </w:tr>
      <w:tr w:rsidR="00A70F8C" w:rsidRPr="00374CCA" w14:paraId="4429D933" w14:textId="77777777" w:rsidTr="00320594">
        <w:trPr>
          <w:cantSplit/>
        </w:trPr>
        <w:tc>
          <w:tcPr>
            <w:tcW w:w="738" w:type="pct"/>
          </w:tcPr>
          <w:p w14:paraId="78C43CED" w14:textId="77777777" w:rsidR="00A70F8C" w:rsidRPr="00374CCA" w:rsidRDefault="00A70F8C" w:rsidP="00A70F8C">
            <w:pPr>
              <w:pStyle w:val="Tabletext"/>
              <w:rPr>
                <w:b/>
                <w:bCs/>
              </w:rPr>
            </w:pPr>
            <w:r w:rsidRPr="00374CCA">
              <w:rPr>
                <w:b/>
                <w:bCs/>
              </w:rPr>
              <w:t>Intended Purpose</w:t>
            </w:r>
          </w:p>
        </w:tc>
        <w:tc>
          <w:tcPr>
            <w:tcW w:w="2131" w:type="pct"/>
          </w:tcPr>
          <w:p w14:paraId="18C7AF18" w14:textId="16CAE74D" w:rsidR="00A70F8C" w:rsidRPr="00374CCA" w:rsidRDefault="00CA2301" w:rsidP="00CA2301">
            <w:pPr>
              <w:pStyle w:val="Tabletext"/>
            </w:pPr>
            <w:r w:rsidRPr="00374CCA">
              <w:t>The TriClip G5 System is intended for reconstruction of the insufficient tricuspid valve through tissue approximation. The TriClip G5 System is indicated for patients with severe, symptomatic tricuspid regurgitation.</w:t>
            </w:r>
          </w:p>
        </w:tc>
        <w:tc>
          <w:tcPr>
            <w:tcW w:w="2131" w:type="pct"/>
          </w:tcPr>
          <w:p w14:paraId="1B624B82" w14:textId="60C8460F" w:rsidR="00A70F8C" w:rsidRPr="00374CCA" w:rsidRDefault="00A70F8C" w:rsidP="00A70F8C">
            <w:pPr>
              <w:pStyle w:val="Tabletext"/>
            </w:pPr>
            <w:r w:rsidRPr="00374CCA">
              <w:t>The PASCAL Precision system is intended to repair an insufficient mitral and/or tricuspid valve via percutaneous reconstruction through tissue approximation. The PASCAL Precision system percutaneously delivers the implant to the valve via a femoral vein access using a transvenous, transseptal (mitral) and transvenous (tricuspid) approach.</w:t>
            </w:r>
          </w:p>
        </w:tc>
      </w:tr>
      <w:tr w:rsidR="00A70F8C" w:rsidRPr="00374CCA" w14:paraId="50E2A8C9" w14:textId="77777777" w:rsidTr="00320594">
        <w:trPr>
          <w:cantSplit/>
        </w:trPr>
        <w:tc>
          <w:tcPr>
            <w:tcW w:w="738" w:type="pct"/>
          </w:tcPr>
          <w:p w14:paraId="147E5205" w14:textId="021497CC" w:rsidR="00A70F8C" w:rsidRPr="00374CCA" w:rsidRDefault="00A70F8C" w:rsidP="00A70F8C">
            <w:pPr>
              <w:pStyle w:val="Tabletext"/>
              <w:rPr>
                <w:b/>
                <w:bCs/>
              </w:rPr>
            </w:pPr>
            <w:r w:rsidRPr="00374CCA">
              <w:rPr>
                <w:b/>
                <w:bCs/>
              </w:rPr>
              <w:t>Specific Conditions</w:t>
            </w:r>
          </w:p>
        </w:tc>
        <w:tc>
          <w:tcPr>
            <w:tcW w:w="2131" w:type="pct"/>
          </w:tcPr>
          <w:p w14:paraId="350C2EEF" w14:textId="4C5F34DF" w:rsidR="00A70F8C" w:rsidRPr="00374CCA" w:rsidRDefault="00A70F8C" w:rsidP="00A70F8C">
            <w:pPr>
              <w:pStyle w:val="Tabletext"/>
            </w:pPr>
            <w:r w:rsidRPr="00374CCA">
              <w:t>Final study reports of the 'TRILUMINATE Pivotal Study' and 'bRIGHT EU Post Approval Study' with a 5-year follow-up must be provided by 31st July 2028. The final study reports must be accompanied by the manufacturer's analysis of the data, with redlined changes made to the clinical evaluation report (CER) and risk management documents based on the final study results.</w:t>
            </w:r>
          </w:p>
        </w:tc>
        <w:tc>
          <w:tcPr>
            <w:tcW w:w="2131" w:type="pct"/>
          </w:tcPr>
          <w:p w14:paraId="4D1D5126" w14:textId="5C0BF057" w:rsidR="00A70F8C" w:rsidRPr="00374CCA" w:rsidRDefault="00A70F8C" w:rsidP="00A70F8C">
            <w:pPr>
              <w:pStyle w:val="Tabletext"/>
            </w:pPr>
            <w:r w:rsidRPr="00374CCA">
              <w:t>No specific conditions</w:t>
            </w:r>
          </w:p>
        </w:tc>
      </w:tr>
    </w:tbl>
    <w:p w14:paraId="22720BF3" w14:textId="5E05F239" w:rsidR="004E3D72" w:rsidRPr="00374CCA" w:rsidRDefault="004E3D72" w:rsidP="00F85337">
      <w:pPr>
        <w:pStyle w:val="Tablenotes"/>
        <w:contextualSpacing/>
      </w:pPr>
      <w:r w:rsidRPr="00374CCA">
        <w:t xml:space="preserve">Source: Australian Register of Therapeutic Goods, accessed </w:t>
      </w:r>
      <w:r w:rsidR="00631CDF" w:rsidRPr="00374CCA">
        <w:t xml:space="preserve">17 October </w:t>
      </w:r>
      <w:r w:rsidR="00217AF5" w:rsidRPr="00374CCA">
        <w:t>2025.</w:t>
      </w:r>
    </w:p>
    <w:p w14:paraId="3CD2DD6D" w14:textId="1E422C16" w:rsidR="004E3D72" w:rsidRPr="00374CCA" w:rsidRDefault="004E3D72" w:rsidP="0052496E">
      <w:pPr>
        <w:pStyle w:val="Tablenotes"/>
        <w:contextualSpacing/>
      </w:pPr>
      <w:r w:rsidRPr="00374CCA">
        <w:t xml:space="preserve">ARTG = Australian Register of Therapeutic Goods; GMDN = Global Medical Device Nomenclature; </w:t>
      </w:r>
      <w:r w:rsidR="00217AF5" w:rsidRPr="00374CCA">
        <w:t>T-TEER</w:t>
      </w:r>
      <w:r w:rsidRPr="00374CCA">
        <w:t xml:space="preserve"> = </w:t>
      </w:r>
      <w:r w:rsidR="00217AF5" w:rsidRPr="00374CCA">
        <w:t xml:space="preserve">tricuspid valve </w:t>
      </w:r>
      <w:r w:rsidRPr="00374CCA">
        <w:t xml:space="preserve">transcatheter </w:t>
      </w:r>
      <w:r w:rsidR="00491908" w:rsidRPr="00374CCA">
        <w:t>edge-to-edge repair</w:t>
      </w:r>
      <w:r w:rsidRPr="00374CCA">
        <w:t>.</w:t>
      </w:r>
    </w:p>
    <w:p w14:paraId="78544B5C" w14:textId="2E8302B9" w:rsidR="00D93B02" w:rsidRPr="00374CCA" w:rsidRDefault="00D93B02" w:rsidP="0052496E">
      <w:pPr>
        <w:pStyle w:val="Tablenotes"/>
        <w:contextualSpacing/>
      </w:pPr>
      <w:r w:rsidRPr="00D74818">
        <w:rPr>
          <w:vertAlign w:val="superscript"/>
        </w:rPr>
        <w:t>a</w:t>
      </w:r>
      <w:r w:rsidRPr="00374CCA">
        <w:t xml:space="preserve"> Predecessors </w:t>
      </w:r>
      <w:r w:rsidR="00EA054B" w:rsidRPr="00374CCA">
        <w:t xml:space="preserve">of the </w:t>
      </w:r>
      <w:r w:rsidR="00C87F0E" w:rsidRPr="00374CCA">
        <w:t>TriClip D</w:t>
      </w:r>
      <w:r w:rsidR="00EA054B" w:rsidRPr="00374CCA">
        <w:t xml:space="preserve">elivery </w:t>
      </w:r>
      <w:r w:rsidR="00C87F0E" w:rsidRPr="00374CCA">
        <w:t>S</w:t>
      </w:r>
      <w:r w:rsidR="00EA054B" w:rsidRPr="00374CCA">
        <w:t>ystem remain available on the ARTG (444061</w:t>
      </w:r>
      <w:r w:rsidR="00E609C7" w:rsidRPr="00374CCA">
        <w:t xml:space="preserve">, </w:t>
      </w:r>
      <w:r w:rsidR="00893EF7" w:rsidRPr="00374CCA">
        <w:t xml:space="preserve">401430, </w:t>
      </w:r>
      <w:r w:rsidR="00E609C7" w:rsidRPr="00374CCA">
        <w:t>373218</w:t>
      </w:r>
      <w:r w:rsidR="00EA054B" w:rsidRPr="00374CCA">
        <w:t>)</w:t>
      </w:r>
      <w:r w:rsidR="000A669F" w:rsidRPr="00374CCA">
        <w:t>.</w:t>
      </w:r>
    </w:p>
    <w:p w14:paraId="50E4C0DC" w14:textId="1B007FF6" w:rsidR="00B62EC8" w:rsidRPr="00374CCA" w:rsidRDefault="00F05A9E" w:rsidP="00C72494">
      <w:pPr>
        <w:pStyle w:val="Tablenotes"/>
        <w:spacing w:after="360"/>
        <w:contextualSpacing/>
      </w:pPr>
      <w:r w:rsidRPr="00D74818">
        <w:rPr>
          <w:vertAlign w:val="superscript"/>
        </w:rPr>
        <w:t>b</w:t>
      </w:r>
      <w:r w:rsidRPr="00374CCA">
        <w:t xml:space="preserve"> Predecessors of the </w:t>
      </w:r>
      <w:r w:rsidR="00C87F0E" w:rsidRPr="00374CCA">
        <w:t xml:space="preserve">TriClip </w:t>
      </w:r>
      <w:r w:rsidR="00C72494" w:rsidRPr="00374CCA">
        <w:t>Steerable Guide Catheter</w:t>
      </w:r>
      <w:r w:rsidRPr="00374CCA">
        <w:t xml:space="preserve"> remain available on the ARTG (</w:t>
      </w:r>
      <w:r w:rsidR="009F00C3" w:rsidRPr="00374CCA">
        <w:t xml:space="preserve">444062, </w:t>
      </w:r>
      <w:r w:rsidR="00A2680B" w:rsidRPr="00374CCA">
        <w:t xml:space="preserve">401431, </w:t>
      </w:r>
      <w:r w:rsidRPr="00374CCA">
        <w:t>373219).</w:t>
      </w:r>
    </w:p>
    <w:p w14:paraId="6C170ECB" w14:textId="195966F1" w:rsidR="003C6D6F" w:rsidRPr="00374CCA" w:rsidRDefault="003C6D6F" w:rsidP="003C6D6F">
      <w:r w:rsidRPr="00374CCA">
        <w:t>Regulatory approval of the Tri</w:t>
      </w:r>
      <w:r w:rsidR="00F95016" w:rsidRPr="00374CCA">
        <w:t>C</w:t>
      </w:r>
      <w:r w:rsidRPr="00374CCA">
        <w:t>lip system includes a condition requiring submission of final 5-year follow-up data from the TRILUMINATE Pivotal RCT and the bRIGHT EU Post Approval Study (</w:t>
      </w:r>
      <w:r w:rsidRPr="00374CCA">
        <w:fldChar w:fldCharType="begin"/>
      </w:r>
      <w:r w:rsidRPr="00374CCA">
        <w:instrText xml:space="preserve"> REF _Ref211774735 \h </w:instrText>
      </w:r>
      <w:r w:rsidRPr="00374CCA">
        <w:fldChar w:fldCharType="separate"/>
      </w:r>
      <w:r w:rsidR="005B2582" w:rsidRPr="00374CCA">
        <w:t>Table </w:t>
      </w:r>
      <w:r w:rsidR="005B2582" w:rsidRPr="004220F6">
        <w:t>2</w:t>
      </w:r>
      <w:r w:rsidRPr="00374CCA">
        <w:fldChar w:fldCharType="end"/>
      </w:r>
      <w:r w:rsidRPr="00374CCA">
        <w:t>). In contrast, the PASCAL Precision system was approved without specific conditions. Currently, there are no RCTs comparing PASCAL with OMT in the proposed population. However, the CLASP II TR trial</w:t>
      </w:r>
      <w:r w:rsidR="004C7FBC" w:rsidRPr="00374CCA">
        <w:t xml:space="preserve"> (</w:t>
      </w:r>
      <w:hyperlink r:id="rId17" w:tooltip="Hyperlink to CLASP II TR trial entry in ClinicalTrials.gov" w:history="1">
        <w:r w:rsidR="004C7FBC" w:rsidRPr="00374CCA">
          <w:rPr>
            <w:rStyle w:val="Hyperlink"/>
            <w:rFonts w:ascii="Calibri" w:hAnsi="Calibri"/>
          </w:rPr>
          <w:t>NCT04</w:t>
        </w:r>
        <w:r w:rsidR="000A334A" w:rsidRPr="00374CCA">
          <w:rPr>
            <w:rStyle w:val="Hyperlink"/>
            <w:rFonts w:ascii="Calibri" w:hAnsi="Calibri"/>
          </w:rPr>
          <w:t>097145</w:t>
        </w:r>
      </w:hyperlink>
      <w:r w:rsidR="000A334A" w:rsidRPr="00374CCA">
        <w:t>)</w:t>
      </w:r>
      <w:r w:rsidRPr="00374CCA">
        <w:t>, which compares T-TEER using the PASCAL system versus OMT alone in patients with symptomatic, severe TR, is underway with primary completion expected in December 2027.</w:t>
      </w:r>
    </w:p>
    <w:p w14:paraId="331F95FD" w14:textId="644BABA4" w:rsidR="00A754B8" w:rsidRPr="002B4B36" w:rsidRDefault="00F42D04" w:rsidP="00F42D04">
      <w:pPr>
        <w:pStyle w:val="Heading4"/>
        <w:rPr>
          <w:color w:val="0070C0"/>
        </w:rPr>
      </w:pPr>
      <w:r w:rsidRPr="002B4B36">
        <w:rPr>
          <w:color w:val="0070C0"/>
        </w:rPr>
        <w:t>Current funding of the procedure and device</w:t>
      </w:r>
    </w:p>
    <w:p w14:paraId="59B2C3DB" w14:textId="194FA9D6" w:rsidR="00045BA6" w:rsidRPr="00374CCA" w:rsidRDefault="005F27B8" w:rsidP="002E0952">
      <w:r w:rsidRPr="00374CCA">
        <w:t xml:space="preserve">T-TEER is not </w:t>
      </w:r>
      <w:r w:rsidR="00C26E6B" w:rsidRPr="00374CCA">
        <w:t>current</w:t>
      </w:r>
      <w:r w:rsidR="008177B3" w:rsidRPr="00374CCA">
        <w:t>l</w:t>
      </w:r>
      <w:r w:rsidR="00C26E6B" w:rsidRPr="00374CCA">
        <w:t xml:space="preserve">y </w:t>
      </w:r>
      <w:r w:rsidR="009E0156" w:rsidRPr="00374CCA">
        <w:t xml:space="preserve">funded </w:t>
      </w:r>
      <w:r w:rsidR="002E6F47" w:rsidRPr="00374CCA">
        <w:t xml:space="preserve">under any public reimbursement program </w:t>
      </w:r>
      <w:r w:rsidR="009E0156" w:rsidRPr="00374CCA">
        <w:t xml:space="preserve">in Australia. </w:t>
      </w:r>
      <w:r w:rsidR="00924632" w:rsidRPr="00374CCA">
        <w:t xml:space="preserve">Limited access is available in the private sector and in selected public hospitals through </w:t>
      </w:r>
      <w:r w:rsidR="00924632" w:rsidRPr="00D74818">
        <w:rPr>
          <w:i/>
        </w:rPr>
        <w:t>ex</w:t>
      </w:r>
      <w:r w:rsidR="004908D3">
        <w:rPr>
          <w:i/>
          <w:iCs/>
        </w:rPr>
        <w:t xml:space="preserve"> </w:t>
      </w:r>
      <w:r w:rsidR="00924632" w:rsidRPr="00D74818">
        <w:rPr>
          <w:i/>
        </w:rPr>
        <w:t>gratia</w:t>
      </w:r>
      <w:r w:rsidR="00924632" w:rsidRPr="00374CCA">
        <w:t xml:space="preserve"> funding arrangements supported by private health insurers and Abbott Medical for eligible patients.</w:t>
      </w:r>
    </w:p>
    <w:p w14:paraId="15D1BA7F" w14:textId="5F3FC44B" w:rsidR="00191CF4" w:rsidRPr="00374CCA" w:rsidRDefault="007F37EE" w:rsidP="002E0952">
      <w:r w:rsidRPr="00374CCA">
        <w:t>F</w:t>
      </w:r>
      <w:r w:rsidR="00B72508" w:rsidRPr="00374CCA">
        <w:t xml:space="preserve">ollowing submission of </w:t>
      </w:r>
      <w:r w:rsidR="00244209">
        <w:t>an</w:t>
      </w:r>
      <w:r w:rsidR="00B72508" w:rsidRPr="00374CCA">
        <w:t xml:space="preserve"> </w:t>
      </w:r>
      <w:r w:rsidR="007676CD" w:rsidRPr="00374CCA">
        <w:t>ADAR</w:t>
      </w:r>
      <w:r w:rsidR="00244209">
        <w:t xml:space="preserve"> to the MSAC</w:t>
      </w:r>
      <w:r w:rsidR="007676CD" w:rsidRPr="00374CCA">
        <w:t xml:space="preserve">, </w:t>
      </w:r>
      <w:r w:rsidRPr="00374CCA">
        <w:t>an</w:t>
      </w:r>
      <w:r w:rsidR="007676CD" w:rsidRPr="00374CCA">
        <w:t xml:space="preserve"> application will be lodged</w:t>
      </w:r>
      <w:r w:rsidR="00440FA2" w:rsidRPr="00374CCA">
        <w:t xml:space="preserve"> for listing the Tri</w:t>
      </w:r>
      <w:r w:rsidR="00F95016" w:rsidRPr="00374CCA">
        <w:t>C</w:t>
      </w:r>
      <w:r w:rsidR="00440FA2" w:rsidRPr="00374CCA">
        <w:t>lip device</w:t>
      </w:r>
      <w:r w:rsidR="006B0EF0" w:rsidRPr="00374CCA">
        <w:t xml:space="preserve"> on </w:t>
      </w:r>
      <w:r w:rsidRPr="00374CCA">
        <w:t xml:space="preserve">Part A of </w:t>
      </w:r>
      <w:r w:rsidR="006B0EF0" w:rsidRPr="00374CCA">
        <w:t>the Prescribed List of Medical Devices and Human Tissue Products (PL).</w:t>
      </w:r>
      <w:r w:rsidR="005F35B1" w:rsidRPr="00374CCA">
        <w:t xml:space="preserve"> According to the cost breakdown provided with the application, the </w:t>
      </w:r>
      <w:r w:rsidR="00A2756E" w:rsidRPr="00374CCA">
        <w:t xml:space="preserve">cost of the </w:t>
      </w:r>
      <w:r w:rsidR="005F35B1" w:rsidRPr="00374CCA">
        <w:t>Tri</w:t>
      </w:r>
      <w:r w:rsidR="00F95016" w:rsidRPr="00374CCA">
        <w:t>C</w:t>
      </w:r>
      <w:r w:rsidR="005F35B1" w:rsidRPr="00374CCA">
        <w:t xml:space="preserve">lip system </w:t>
      </w:r>
      <w:r w:rsidR="00EB75A6" w:rsidRPr="00374CCA">
        <w:t xml:space="preserve">is </w:t>
      </w:r>
      <w:r w:rsidR="005F35B1" w:rsidRPr="003E1E2C">
        <w:t>$</w:t>
      </w:r>
      <w:r w:rsidR="003E1E2C">
        <w:t>REDACTED.</w:t>
      </w:r>
    </w:p>
    <w:p w14:paraId="5C14E5EA" w14:textId="6AB945B4" w:rsidR="00253A9D" w:rsidRPr="00374CCA" w:rsidRDefault="006F7854" w:rsidP="002E0952">
      <w:r w:rsidRPr="00374CCA">
        <w:t>T</w:t>
      </w:r>
      <w:r w:rsidR="00253A9D" w:rsidRPr="00374CCA">
        <w:t>he PASCAL Precision System was listed on the PL in March 2025</w:t>
      </w:r>
      <w:r w:rsidR="009161FB" w:rsidRPr="00374CCA">
        <w:t>, with use res</w:t>
      </w:r>
      <w:r w:rsidR="0052121F" w:rsidRPr="00374CCA">
        <w:t>tr</w:t>
      </w:r>
      <w:r w:rsidR="009161FB" w:rsidRPr="00374CCA">
        <w:t>icted</w:t>
      </w:r>
      <w:r w:rsidR="00253A9D" w:rsidRPr="00374CCA">
        <w:t xml:space="preserve"> to transvenous mitral valve repair </w:t>
      </w:r>
      <w:r w:rsidR="009161FB" w:rsidRPr="00374CCA">
        <w:t>for</w:t>
      </w:r>
      <w:r w:rsidR="00E018A3" w:rsidRPr="00374CCA">
        <w:t xml:space="preserve"> degenerative </w:t>
      </w:r>
      <w:r w:rsidR="00B54F55" w:rsidRPr="00374CCA">
        <w:t xml:space="preserve">(primary) </w:t>
      </w:r>
      <w:r w:rsidR="008B6D84" w:rsidRPr="00374CCA">
        <w:t>MR</w:t>
      </w:r>
      <w:r w:rsidR="001039DB" w:rsidRPr="00374CCA">
        <w:t xml:space="preserve"> </w:t>
      </w:r>
      <w:r w:rsidR="00A70F8C" w:rsidRPr="00374CCA">
        <w:t xml:space="preserve">under </w:t>
      </w:r>
      <w:r w:rsidR="001039DB" w:rsidRPr="00374CCA">
        <w:t xml:space="preserve">MBS item </w:t>
      </w:r>
      <w:hyperlink r:id="rId18" w:history="1">
        <w:r w:rsidR="001039DB" w:rsidRPr="00972E92">
          <w:rPr>
            <w:rStyle w:val="Hyperlink"/>
            <w:rFonts w:ascii="Calibri" w:hAnsi="Calibri"/>
          </w:rPr>
          <w:t>38461</w:t>
        </w:r>
      </w:hyperlink>
      <w:r w:rsidR="00A70F8C" w:rsidRPr="00374CCA">
        <w:t>.</w:t>
      </w:r>
      <w:r w:rsidR="0092279C" w:rsidRPr="00374CCA">
        <w:t xml:space="preserve"> </w:t>
      </w:r>
      <w:r w:rsidR="00424BCB" w:rsidRPr="00374CCA">
        <w:fldChar w:fldCharType="begin"/>
      </w:r>
      <w:r w:rsidR="00424BCB" w:rsidRPr="00374CCA">
        <w:instrText xml:space="preserve"> REF _Ref206847369 \h </w:instrText>
      </w:r>
      <w:r w:rsidR="00424BCB" w:rsidRPr="00374CCA">
        <w:fldChar w:fldCharType="separate"/>
      </w:r>
      <w:r w:rsidR="005B2582" w:rsidRPr="00374CCA">
        <w:t>Table </w:t>
      </w:r>
      <w:r w:rsidR="005B2582" w:rsidRPr="004220F6">
        <w:t>3</w:t>
      </w:r>
      <w:r w:rsidR="00424BCB" w:rsidRPr="00374CCA">
        <w:fldChar w:fldCharType="end"/>
      </w:r>
      <w:r w:rsidR="00424BCB" w:rsidRPr="00374CCA">
        <w:t xml:space="preserve"> </w:t>
      </w:r>
      <w:r w:rsidR="00B25E01" w:rsidRPr="00374CCA">
        <w:t>outlines</w:t>
      </w:r>
      <w:r w:rsidR="00424BCB" w:rsidRPr="00374CCA">
        <w:t xml:space="preserve"> the </w:t>
      </w:r>
      <w:r w:rsidR="00C144C6" w:rsidRPr="00374CCA">
        <w:t xml:space="preserve">PL </w:t>
      </w:r>
      <w:r w:rsidR="00E35230" w:rsidRPr="00374CCA">
        <w:t>grouping</w:t>
      </w:r>
      <w:r w:rsidR="00424BCB" w:rsidRPr="00374CCA">
        <w:t xml:space="preserve"> for the PASCAL system</w:t>
      </w:r>
      <w:r w:rsidR="00E35230" w:rsidRPr="00374CCA">
        <w:t xml:space="preserve">, which </w:t>
      </w:r>
      <w:r w:rsidR="00B25E01" w:rsidRPr="00374CCA">
        <w:t>includes Mitra</w:t>
      </w:r>
      <w:r w:rsidR="00635195" w:rsidRPr="00374CCA">
        <w:t>C</w:t>
      </w:r>
      <w:r w:rsidR="00B25E01" w:rsidRPr="00374CCA">
        <w:t xml:space="preserve">lip, </w:t>
      </w:r>
      <w:r w:rsidR="00E35230" w:rsidRPr="00374CCA">
        <w:t xml:space="preserve">the only other </w:t>
      </w:r>
      <w:r w:rsidR="00A66508" w:rsidRPr="00374CCA">
        <w:t>TEER</w:t>
      </w:r>
      <w:r w:rsidR="00E35230" w:rsidRPr="00374CCA">
        <w:t xml:space="preserve"> device </w:t>
      </w:r>
      <w:r w:rsidR="00B25E01" w:rsidRPr="00374CCA">
        <w:t>currently listed on the PL</w:t>
      </w:r>
      <w:r w:rsidR="00424BCB" w:rsidRPr="00374CCA">
        <w:t>.</w:t>
      </w:r>
    </w:p>
    <w:p w14:paraId="42854BC3" w14:textId="3279E977" w:rsidR="004C605F" w:rsidRPr="004220F6" w:rsidRDefault="004C605F" w:rsidP="004C605F">
      <w:pPr>
        <w:pStyle w:val="Caption"/>
        <w:rPr>
          <w:lang w:val="en-AU"/>
        </w:rPr>
      </w:pPr>
      <w:bookmarkStart w:id="5" w:name="_Ref206847369"/>
      <w:r w:rsidRPr="004220F6">
        <w:rPr>
          <w:lang w:val="en-AU"/>
        </w:rPr>
        <w:lastRenderedPageBreak/>
        <w:t>Table </w:t>
      </w:r>
      <w:r w:rsidRPr="004220F6">
        <w:rPr>
          <w:lang w:val="en-AU"/>
        </w:rPr>
        <w:fldChar w:fldCharType="begin"/>
      </w:r>
      <w:r w:rsidRPr="004220F6">
        <w:rPr>
          <w:lang w:val="en-AU"/>
        </w:rPr>
        <w:instrText xml:space="preserve"> SEQ Table \* ARABIC </w:instrText>
      </w:r>
      <w:r w:rsidRPr="004220F6">
        <w:rPr>
          <w:lang w:val="en-AU"/>
        </w:rPr>
        <w:fldChar w:fldCharType="separate"/>
      </w:r>
      <w:r w:rsidR="005B2582" w:rsidRPr="004220F6">
        <w:rPr>
          <w:lang w:val="en-AU"/>
        </w:rPr>
        <w:t>3</w:t>
      </w:r>
      <w:r w:rsidRPr="004220F6">
        <w:rPr>
          <w:lang w:val="en-AU"/>
        </w:rPr>
        <w:fldChar w:fldCharType="end"/>
      </w:r>
      <w:bookmarkEnd w:id="5"/>
      <w:r w:rsidRPr="004220F6">
        <w:rPr>
          <w:lang w:val="en-AU"/>
        </w:rPr>
        <w:tab/>
      </w:r>
      <w:r w:rsidR="008C2121" w:rsidRPr="004220F6">
        <w:rPr>
          <w:lang w:val="en-AU"/>
        </w:rPr>
        <w:t>TEER</w:t>
      </w:r>
      <w:r w:rsidR="00A5366C" w:rsidRPr="004220F6">
        <w:rPr>
          <w:lang w:val="en-AU"/>
        </w:rPr>
        <w:t xml:space="preserve"> </w:t>
      </w:r>
      <w:r w:rsidR="008C2121" w:rsidRPr="004220F6">
        <w:rPr>
          <w:lang w:val="en-AU"/>
        </w:rPr>
        <w:t>systems</w:t>
      </w:r>
      <w:r w:rsidRPr="004220F6">
        <w:rPr>
          <w:lang w:val="en-AU"/>
        </w:rPr>
        <w:t xml:space="preserve"> on the PL</w:t>
      </w:r>
    </w:p>
    <w:tbl>
      <w:tblPr>
        <w:tblStyle w:val="TableGrid"/>
        <w:tblW w:w="5000" w:type="pct"/>
        <w:tblInd w:w="0" w:type="dxa"/>
        <w:tblLook w:val="04A0" w:firstRow="1" w:lastRow="0" w:firstColumn="1" w:lastColumn="0" w:noHBand="0" w:noVBand="1"/>
        <w:tblCaption w:val="TEER systems on the PL"/>
        <w:tblDescription w:val="This table lists the billing codes and benefits for all devices in the 08.17.02.01 subgroup on the PL."/>
      </w:tblPr>
      <w:tblGrid>
        <w:gridCol w:w="1555"/>
        <w:gridCol w:w="1134"/>
        <w:gridCol w:w="993"/>
        <w:gridCol w:w="995"/>
        <w:gridCol w:w="2978"/>
        <w:gridCol w:w="1916"/>
      </w:tblGrid>
      <w:tr w:rsidR="007F0A24" w:rsidRPr="00374CCA" w14:paraId="48908784" w14:textId="77777777" w:rsidTr="007F0A24">
        <w:trPr>
          <w:tblHeader/>
        </w:trPr>
        <w:tc>
          <w:tcPr>
            <w:tcW w:w="812" w:type="pct"/>
            <w:tcBorders>
              <w:bottom w:val="single" w:sz="4" w:space="0" w:color="auto"/>
            </w:tcBorders>
          </w:tcPr>
          <w:p w14:paraId="0EB844B8" w14:textId="77777777" w:rsidR="004C605F" w:rsidRPr="00374CCA" w:rsidRDefault="004C605F">
            <w:pPr>
              <w:pStyle w:val="TableHeading0"/>
            </w:pPr>
            <w:r w:rsidRPr="00374CCA">
              <w:t>Product Group</w:t>
            </w:r>
          </w:p>
        </w:tc>
        <w:tc>
          <w:tcPr>
            <w:tcW w:w="592" w:type="pct"/>
            <w:tcBorders>
              <w:bottom w:val="single" w:sz="4" w:space="0" w:color="auto"/>
            </w:tcBorders>
          </w:tcPr>
          <w:p w14:paraId="4E310841" w14:textId="77777777" w:rsidR="004C605F" w:rsidRPr="00374CCA" w:rsidRDefault="004C605F">
            <w:pPr>
              <w:pStyle w:val="TableHeading0"/>
            </w:pPr>
            <w:r w:rsidRPr="00374CCA">
              <w:t>Product Sub Group</w:t>
            </w:r>
          </w:p>
        </w:tc>
        <w:tc>
          <w:tcPr>
            <w:tcW w:w="519" w:type="pct"/>
          </w:tcPr>
          <w:p w14:paraId="4A169568" w14:textId="77777777" w:rsidR="004C605F" w:rsidRPr="00374CCA" w:rsidRDefault="004C605F">
            <w:pPr>
              <w:pStyle w:val="TableHeading0"/>
            </w:pPr>
            <w:r w:rsidRPr="00374CCA">
              <w:t>Billing Code</w:t>
            </w:r>
          </w:p>
        </w:tc>
        <w:tc>
          <w:tcPr>
            <w:tcW w:w="520" w:type="pct"/>
          </w:tcPr>
          <w:p w14:paraId="5F6E90EB" w14:textId="77777777" w:rsidR="004C605F" w:rsidRPr="00374CCA" w:rsidRDefault="004C605F">
            <w:pPr>
              <w:pStyle w:val="TableHeading0"/>
            </w:pPr>
            <w:r w:rsidRPr="00374CCA">
              <w:t>Benefit</w:t>
            </w:r>
          </w:p>
        </w:tc>
        <w:tc>
          <w:tcPr>
            <w:tcW w:w="1556" w:type="pct"/>
          </w:tcPr>
          <w:p w14:paraId="2FBA74EB" w14:textId="77777777" w:rsidR="004C605F" w:rsidRPr="00374CCA" w:rsidRDefault="004C605F">
            <w:pPr>
              <w:pStyle w:val="TableHeading0"/>
            </w:pPr>
            <w:r w:rsidRPr="00374CCA">
              <w:t>Product Name</w:t>
            </w:r>
          </w:p>
        </w:tc>
        <w:tc>
          <w:tcPr>
            <w:tcW w:w="1001" w:type="pct"/>
          </w:tcPr>
          <w:p w14:paraId="1F242447" w14:textId="77777777" w:rsidR="004C605F" w:rsidRPr="00374CCA" w:rsidRDefault="004C605F">
            <w:pPr>
              <w:pStyle w:val="TableHeading0"/>
            </w:pPr>
            <w:r w:rsidRPr="00374CCA">
              <w:t>Sponsor</w:t>
            </w:r>
          </w:p>
        </w:tc>
      </w:tr>
      <w:tr w:rsidR="007F0A24" w:rsidRPr="00374CCA" w14:paraId="76EBDC5F" w14:textId="77777777" w:rsidTr="007F0A24">
        <w:tc>
          <w:tcPr>
            <w:tcW w:w="812" w:type="pct"/>
            <w:tcBorders>
              <w:bottom w:val="nil"/>
            </w:tcBorders>
          </w:tcPr>
          <w:p w14:paraId="529837E4" w14:textId="77777777" w:rsidR="004C605F" w:rsidRPr="00374CCA" w:rsidRDefault="004C605F" w:rsidP="00BD317D">
            <w:pPr>
              <w:pStyle w:val="TableText0"/>
              <w:keepNext/>
            </w:pPr>
            <w:r w:rsidRPr="00374CCA">
              <w:t>08.17.02 – Mitral Valve Repair</w:t>
            </w:r>
          </w:p>
        </w:tc>
        <w:tc>
          <w:tcPr>
            <w:tcW w:w="592" w:type="pct"/>
            <w:tcBorders>
              <w:bottom w:val="nil"/>
            </w:tcBorders>
          </w:tcPr>
          <w:p w14:paraId="34A517A5" w14:textId="77777777" w:rsidR="004C605F" w:rsidRPr="00374CCA" w:rsidRDefault="004C605F" w:rsidP="00BD317D">
            <w:pPr>
              <w:pStyle w:val="TableText0"/>
              <w:keepNext/>
            </w:pPr>
            <w:r w:rsidRPr="00374CCA">
              <w:t>08.17.02.01 – Leaflet</w:t>
            </w:r>
          </w:p>
        </w:tc>
        <w:tc>
          <w:tcPr>
            <w:tcW w:w="519" w:type="pct"/>
          </w:tcPr>
          <w:p w14:paraId="3C88EB69" w14:textId="77777777" w:rsidR="004C605F" w:rsidRPr="00374CCA" w:rsidRDefault="004C605F" w:rsidP="00BD317D">
            <w:pPr>
              <w:pStyle w:val="TableText0"/>
              <w:keepNext/>
            </w:pPr>
            <w:r w:rsidRPr="00374CCA">
              <w:t>SJ453</w:t>
            </w:r>
          </w:p>
        </w:tc>
        <w:tc>
          <w:tcPr>
            <w:tcW w:w="520" w:type="pct"/>
          </w:tcPr>
          <w:p w14:paraId="6BBBE625" w14:textId="77777777" w:rsidR="004C605F" w:rsidRPr="00374CCA" w:rsidRDefault="004C605F" w:rsidP="00BD317D">
            <w:pPr>
              <w:pStyle w:val="TableText0"/>
              <w:keepNext/>
            </w:pPr>
            <w:r w:rsidRPr="00374CCA">
              <w:t>$26,386</w:t>
            </w:r>
          </w:p>
        </w:tc>
        <w:tc>
          <w:tcPr>
            <w:tcW w:w="1556" w:type="pct"/>
          </w:tcPr>
          <w:p w14:paraId="227912D4" w14:textId="77777777" w:rsidR="004C605F" w:rsidRPr="00374CCA" w:rsidRDefault="004C605F" w:rsidP="00BD317D">
            <w:pPr>
              <w:pStyle w:val="TableText0"/>
              <w:keepNext/>
            </w:pPr>
            <w:r w:rsidRPr="00374CCA">
              <w:t>MitraClip System</w:t>
            </w:r>
          </w:p>
        </w:tc>
        <w:tc>
          <w:tcPr>
            <w:tcW w:w="1001" w:type="pct"/>
          </w:tcPr>
          <w:p w14:paraId="19D40C62" w14:textId="77777777" w:rsidR="004C605F" w:rsidRPr="00374CCA" w:rsidRDefault="004C605F" w:rsidP="00BD317D">
            <w:pPr>
              <w:pStyle w:val="TableText0"/>
              <w:keepNext/>
            </w:pPr>
            <w:r w:rsidRPr="00374CCA">
              <w:t>Abbott Medical Australasia Pty Ltd.</w:t>
            </w:r>
          </w:p>
        </w:tc>
      </w:tr>
      <w:tr w:rsidR="007F0A24" w:rsidRPr="00374CCA" w14:paraId="069B25A2" w14:textId="77777777" w:rsidTr="007F0A24">
        <w:tc>
          <w:tcPr>
            <w:tcW w:w="812" w:type="pct"/>
            <w:tcBorders>
              <w:top w:val="nil"/>
              <w:bottom w:val="nil"/>
            </w:tcBorders>
          </w:tcPr>
          <w:p w14:paraId="5172215F" w14:textId="77777777" w:rsidR="004C605F" w:rsidRPr="00374CCA" w:rsidRDefault="004C605F" w:rsidP="00BD317D">
            <w:pPr>
              <w:pStyle w:val="TableText0"/>
              <w:keepNext/>
            </w:pPr>
          </w:p>
        </w:tc>
        <w:tc>
          <w:tcPr>
            <w:tcW w:w="592" w:type="pct"/>
            <w:tcBorders>
              <w:top w:val="nil"/>
              <w:bottom w:val="nil"/>
            </w:tcBorders>
          </w:tcPr>
          <w:p w14:paraId="227712E7" w14:textId="77777777" w:rsidR="004C605F" w:rsidRPr="00374CCA" w:rsidRDefault="004C605F" w:rsidP="00BD317D">
            <w:pPr>
              <w:pStyle w:val="TableText0"/>
              <w:keepNext/>
            </w:pPr>
          </w:p>
        </w:tc>
        <w:tc>
          <w:tcPr>
            <w:tcW w:w="519" w:type="pct"/>
          </w:tcPr>
          <w:p w14:paraId="4D1CF625" w14:textId="77777777" w:rsidR="004C605F" w:rsidRPr="00374CCA" w:rsidRDefault="004C605F" w:rsidP="00BD317D">
            <w:pPr>
              <w:pStyle w:val="TableText0"/>
              <w:keepNext/>
            </w:pPr>
            <w:r w:rsidRPr="00374CCA">
              <w:t>SJ460</w:t>
            </w:r>
          </w:p>
        </w:tc>
        <w:tc>
          <w:tcPr>
            <w:tcW w:w="520" w:type="pct"/>
          </w:tcPr>
          <w:p w14:paraId="6B1BB531" w14:textId="77777777" w:rsidR="004C605F" w:rsidRPr="00374CCA" w:rsidRDefault="004C605F" w:rsidP="00BD317D">
            <w:pPr>
              <w:pStyle w:val="TableText0"/>
              <w:keepNext/>
            </w:pPr>
            <w:r w:rsidRPr="00374CCA">
              <w:t>$26,386</w:t>
            </w:r>
          </w:p>
        </w:tc>
        <w:tc>
          <w:tcPr>
            <w:tcW w:w="1556" w:type="pct"/>
          </w:tcPr>
          <w:p w14:paraId="21030B25" w14:textId="77777777" w:rsidR="004C605F" w:rsidRPr="00374CCA" w:rsidRDefault="004C605F" w:rsidP="00BD317D">
            <w:pPr>
              <w:pStyle w:val="TableText0"/>
              <w:keepNext/>
            </w:pPr>
            <w:r w:rsidRPr="00374CCA">
              <w:t>MitraClip G4 System</w:t>
            </w:r>
          </w:p>
        </w:tc>
        <w:tc>
          <w:tcPr>
            <w:tcW w:w="1001" w:type="pct"/>
          </w:tcPr>
          <w:p w14:paraId="0CCF451D" w14:textId="77777777" w:rsidR="004C605F" w:rsidRPr="00374CCA" w:rsidRDefault="004C605F" w:rsidP="00BD317D">
            <w:pPr>
              <w:pStyle w:val="TableText0"/>
              <w:keepNext/>
            </w:pPr>
            <w:r w:rsidRPr="00374CCA">
              <w:t>Abbott Medical Australasia Pty Ltd.</w:t>
            </w:r>
          </w:p>
        </w:tc>
      </w:tr>
      <w:tr w:rsidR="007F0A24" w:rsidRPr="00374CCA" w14:paraId="772829CE" w14:textId="77777777" w:rsidTr="007F0A24">
        <w:tc>
          <w:tcPr>
            <w:tcW w:w="812" w:type="pct"/>
            <w:tcBorders>
              <w:top w:val="nil"/>
            </w:tcBorders>
          </w:tcPr>
          <w:p w14:paraId="08FF5EE5" w14:textId="77777777" w:rsidR="004C605F" w:rsidRPr="00374CCA" w:rsidRDefault="004C605F" w:rsidP="00BD317D">
            <w:pPr>
              <w:pStyle w:val="TableText0"/>
              <w:keepNext/>
            </w:pPr>
          </w:p>
        </w:tc>
        <w:tc>
          <w:tcPr>
            <w:tcW w:w="592" w:type="pct"/>
            <w:tcBorders>
              <w:top w:val="nil"/>
            </w:tcBorders>
          </w:tcPr>
          <w:p w14:paraId="47E81CA8" w14:textId="77777777" w:rsidR="004C605F" w:rsidRPr="00374CCA" w:rsidRDefault="004C605F" w:rsidP="00BD317D">
            <w:pPr>
              <w:pStyle w:val="TableText0"/>
              <w:keepNext/>
            </w:pPr>
          </w:p>
        </w:tc>
        <w:tc>
          <w:tcPr>
            <w:tcW w:w="519" w:type="pct"/>
          </w:tcPr>
          <w:p w14:paraId="2EA02BFA" w14:textId="77777777" w:rsidR="004C605F" w:rsidRPr="00374CCA" w:rsidRDefault="004C605F" w:rsidP="00BD317D">
            <w:pPr>
              <w:pStyle w:val="TableText0"/>
              <w:keepNext/>
            </w:pPr>
            <w:r w:rsidRPr="00374CCA">
              <w:t>EL069</w:t>
            </w:r>
            <w:r w:rsidRPr="00374CCA">
              <w:rPr>
                <w:vertAlign w:val="superscript"/>
              </w:rPr>
              <w:t>a</w:t>
            </w:r>
          </w:p>
        </w:tc>
        <w:tc>
          <w:tcPr>
            <w:tcW w:w="520" w:type="pct"/>
          </w:tcPr>
          <w:p w14:paraId="51C3F295" w14:textId="77777777" w:rsidR="004C605F" w:rsidRPr="00374CCA" w:rsidRDefault="004C605F" w:rsidP="00BD317D">
            <w:pPr>
              <w:pStyle w:val="TableText0"/>
              <w:keepNext/>
            </w:pPr>
            <w:r w:rsidRPr="00374CCA">
              <w:t>$23,104</w:t>
            </w:r>
          </w:p>
        </w:tc>
        <w:tc>
          <w:tcPr>
            <w:tcW w:w="1556" w:type="pct"/>
          </w:tcPr>
          <w:p w14:paraId="653E1305" w14:textId="4CA54804" w:rsidR="004C605F" w:rsidRPr="00374CCA" w:rsidRDefault="004C605F" w:rsidP="00BD317D">
            <w:pPr>
              <w:pStyle w:val="TableText0"/>
              <w:keepNext/>
            </w:pPr>
            <w:r w:rsidRPr="00374CCA">
              <w:t>PASCAL Precision System (PASCAL Implant and PASCAL ACE Implant)</w:t>
            </w:r>
          </w:p>
        </w:tc>
        <w:tc>
          <w:tcPr>
            <w:tcW w:w="1001" w:type="pct"/>
          </w:tcPr>
          <w:p w14:paraId="196C9F4E" w14:textId="77777777" w:rsidR="004C605F" w:rsidRPr="00374CCA" w:rsidRDefault="004C605F" w:rsidP="00BD317D">
            <w:pPr>
              <w:pStyle w:val="TableText0"/>
              <w:keepNext/>
            </w:pPr>
            <w:r w:rsidRPr="00374CCA">
              <w:t>Edwards Lifesciences Pty Limited</w:t>
            </w:r>
          </w:p>
        </w:tc>
      </w:tr>
    </w:tbl>
    <w:p w14:paraId="5AD8C60F" w14:textId="79A28887" w:rsidR="004C605F" w:rsidRPr="00374CCA" w:rsidRDefault="004C605F" w:rsidP="004C605F">
      <w:pPr>
        <w:pStyle w:val="Tablenotes0"/>
      </w:pPr>
      <w:r w:rsidRPr="00374CCA">
        <w:t>PL = Prescribed List of Medical Devices and Human Tissue Products</w:t>
      </w:r>
      <w:r w:rsidR="008C2121" w:rsidRPr="00374CCA">
        <w:t>; TEER = transcatheter edge-to-edge repair</w:t>
      </w:r>
      <w:r w:rsidRPr="00374CCA">
        <w:t>.</w:t>
      </w:r>
    </w:p>
    <w:p w14:paraId="493321F6" w14:textId="77777777" w:rsidR="004C605F" w:rsidRPr="00374CCA" w:rsidRDefault="004C605F" w:rsidP="004C605F">
      <w:pPr>
        <w:pStyle w:val="Tablenotes0"/>
      </w:pPr>
      <w:r w:rsidRPr="00374CCA">
        <w:t>a Suffix ‘DMR only’, where DMR is degenerative (primary) mitral valve regurgitation. This billing code also had a condition applied: PL reimbursement is restricted to the use of the devices in the procedure described under MBS item 38461, meaning transcatheter mitral valve repair (TMVr) in patients with DMR.</w:t>
      </w:r>
    </w:p>
    <w:p w14:paraId="49AAC584" w14:textId="411081D4" w:rsidR="004C605F" w:rsidRPr="00374CCA" w:rsidRDefault="004C605F" w:rsidP="008B58EC">
      <w:pPr>
        <w:pStyle w:val="Tablenotes0"/>
      </w:pPr>
      <w:r w:rsidRPr="00374CCA">
        <w:t xml:space="preserve">Source: </w:t>
      </w:r>
      <w:hyperlink r:id="rId19" w:tooltip="Hyperlink to current Prescribed List on Australian Government website" w:history="1">
        <w:r w:rsidRPr="00374CCA">
          <w:rPr>
            <w:rStyle w:val="Hyperlink"/>
            <w:rFonts w:ascii="Arial Narrow" w:hAnsi="Arial Narrow"/>
          </w:rPr>
          <w:t>Prescribed List</w:t>
        </w:r>
      </w:hyperlink>
      <w:r w:rsidRPr="00374CCA">
        <w:t xml:space="preserve">, effective from 1 </w:t>
      </w:r>
      <w:r w:rsidR="00F90A3B" w:rsidRPr="00374CCA">
        <w:t>November</w:t>
      </w:r>
      <w:r w:rsidRPr="00374CCA">
        <w:t xml:space="preserve"> 2025.</w:t>
      </w:r>
    </w:p>
    <w:p w14:paraId="12EB7F2E" w14:textId="0EA01CCB" w:rsidR="00B208F5" w:rsidRPr="003E3740" w:rsidRDefault="003A7E9D" w:rsidP="003E3740">
      <w:pPr>
        <w:rPr>
          <w:i/>
          <w:iCs/>
        </w:rPr>
      </w:pPr>
      <w:r w:rsidRPr="0026336B">
        <w:rPr>
          <w:i/>
          <w:iCs/>
        </w:rPr>
        <w:t xml:space="preserve">PASC noted that the proposed PL benefit for the TriClip system </w:t>
      </w:r>
      <w:r w:rsidRPr="00D8193A">
        <w:rPr>
          <w:i/>
          <w:iCs/>
        </w:rPr>
        <w:t>($</w:t>
      </w:r>
      <w:r w:rsidR="00D8193A">
        <w:rPr>
          <w:i/>
          <w:iCs/>
        </w:rPr>
        <w:t>REDACTED)</w:t>
      </w:r>
      <w:r w:rsidRPr="0026336B">
        <w:rPr>
          <w:i/>
          <w:iCs/>
        </w:rPr>
        <w:t xml:space="preserve"> is higher than for the MitraClip system (current PL benefit $26,386). PASC w</w:t>
      </w:r>
      <w:r w:rsidR="00FA4D25">
        <w:rPr>
          <w:i/>
          <w:iCs/>
        </w:rPr>
        <w:t>as</w:t>
      </w:r>
      <w:r w:rsidRPr="0026336B">
        <w:rPr>
          <w:i/>
          <w:iCs/>
        </w:rPr>
        <w:t xml:space="preserve"> advised that the higher benefit reflects the higher average number of clips required for each T-TEER procedure compared with mitral TEER (an average of 2.2 clips versus 1.5–1.6 clips). It also reflects the higher rate of single leaflet detachment occurring within 48 to 72 hours, which can lead to an additional procedure for re-clipping.</w:t>
      </w:r>
      <w:r w:rsidRPr="0026336B" w:rsidDel="003E1FB9">
        <w:rPr>
          <w:i/>
          <w:iCs/>
        </w:rPr>
        <w:t xml:space="preserve"> </w:t>
      </w:r>
      <w:r w:rsidRPr="0026336B">
        <w:rPr>
          <w:i/>
          <w:iCs/>
        </w:rPr>
        <w:t xml:space="preserve">Currently, for reclipping procedures performed with TriClip, any additional devices needed are fully covered </w:t>
      </w:r>
      <w:r w:rsidRPr="00D17B0F">
        <w:t>ex gratia</w:t>
      </w:r>
      <w:r w:rsidRPr="0026336B">
        <w:rPr>
          <w:i/>
          <w:iCs/>
        </w:rPr>
        <w:t xml:space="preserve"> by the sponsor. </w:t>
      </w:r>
    </w:p>
    <w:p w14:paraId="665B0675" w14:textId="5FDFCB88" w:rsidR="007A66C8" w:rsidRPr="00374CCA" w:rsidRDefault="007A66C8" w:rsidP="00713728">
      <w:pPr>
        <w:pStyle w:val="Heading3"/>
      </w:pPr>
      <w:r w:rsidRPr="00374CCA">
        <w:t>Comparator</w:t>
      </w:r>
      <w:r w:rsidR="007D6B83" w:rsidRPr="00374CCA">
        <w:t>(</w:t>
      </w:r>
      <w:r w:rsidR="008F1532" w:rsidRPr="00374CCA">
        <w:t>s</w:t>
      </w:r>
      <w:r w:rsidR="007D6B83" w:rsidRPr="00374CCA">
        <w:t>)</w:t>
      </w:r>
    </w:p>
    <w:p w14:paraId="17A4064F" w14:textId="77777777" w:rsidR="00564AA8" w:rsidRPr="00374CCA" w:rsidRDefault="0076281B" w:rsidP="00564AA8">
      <w:r w:rsidRPr="00374CCA">
        <w:t xml:space="preserve">The nominated comparator to T-TEER in the proposed population is continued OMT alone. </w:t>
      </w:r>
      <w:r w:rsidR="00564AA8" w:rsidRPr="00374CCA">
        <w:t>While surgical repair or replacement is included in international guidelines, it is rarely offered in practice due to the high operative risk associated with advanced age, multiple comorbidities, and late-stage presentation or referral (Latib et al. 2018).</w:t>
      </w:r>
    </w:p>
    <w:p w14:paraId="38F2B08E" w14:textId="12618217" w:rsidR="00564AA8" w:rsidRPr="00374CCA" w:rsidRDefault="00564AA8" w:rsidP="00564AA8">
      <w:r w:rsidRPr="00374CCA">
        <w:t>According to the ESC</w:t>
      </w:r>
      <w:r w:rsidR="00E371A4" w:rsidRPr="00374CCA">
        <w:t>/EACTS</w:t>
      </w:r>
      <w:r w:rsidRPr="00374CCA">
        <w:t xml:space="preserve"> and AHA</w:t>
      </w:r>
      <w:r w:rsidR="00E371A4" w:rsidRPr="00374CCA">
        <w:t>/ACC</w:t>
      </w:r>
      <w:r w:rsidRPr="00374CCA">
        <w:t xml:space="preserve"> guidelines, diuretics remain the cornerstone of medical management for patients with TR and right heart failure (</w:t>
      </w:r>
      <w:r w:rsidR="00981790">
        <w:t>Praz et al. 2025</w:t>
      </w:r>
      <w:r w:rsidRPr="00374CCA">
        <w:t xml:space="preserve">; Otto et al. 2021). Additional therapies are tailored to individual comorbidities. For example, patients with secondary TR may receive treatment </w:t>
      </w:r>
      <w:r w:rsidR="00596B2E" w:rsidRPr="00374CCA">
        <w:t>direct</w:t>
      </w:r>
      <w:r w:rsidR="00B44312" w:rsidRPr="00374CCA">
        <w:t>ed</w:t>
      </w:r>
      <w:r w:rsidR="00596B2E" w:rsidRPr="00374CCA">
        <w:t xml:space="preserve"> to</w:t>
      </w:r>
      <w:r w:rsidRPr="00374CCA">
        <w:t xml:space="preserve"> the underlying cause of heart failure, such as pulmonary vasodilators for elevated pulmonary pressures, guideline-directed therapy for heart failure with reduced ejection fraction, or rhythm control strategies for </w:t>
      </w:r>
      <w:r w:rsidR="008235BE" w:rsidRPr="00374CCA">
        <w:t>AF</w:t>
      </w:r>
      <w:r w:rsidRPr="00374CCA">
        <w:t>.</w:t>
      </w:r>
      <w:r w:rsidR="007C2790" w:rsidRPr="00374CCA">
        <w:t xml:space="preserve"> </w:t>
      </w:r>
      <w:r w:rsidR="00090790" w:rsidRPr="00374CCA">
        <w:t>A</w:t>
      </w:r>
      <w:r w:rsidRPr="00374CCA">
        <w:t xml:space="preserve">ldosterone antagonists may be </w:t>
      </w:r>
      <w:r w:rsidR="00840A3D" w:rsidRPr="00374CCA">
        <w:t xml:space="preserve">beneficial </w:t>
      </w:r>
      <w:r w:rsidR="00512EB9" w:rsidRPr="00374CCA">
        <w:t xml:space="preserve">in mitigating the effects </w:t>
      </w:r>
      <w:r w:rsidRPr="00374CCA">
        <w:t xml:space="preserve">of renin-angiotensin-aldosterone system </w:t>
      </w:r>
      <w:r w:rsidR="00512EB9" w:rsidRPr="00374CCA">
        <w:t>activation</w:t>
      </w:r>
      <w:r w:rsidR="00D51ABC" w:rsidRPr="00374CCA">
        <w:t>, particularly in the context of</w:t>
      </w:r>
      <w:r w:rsidRPr="00374CCA">
        <w:t xml:space="preserve"> hepatic congestion. </w:t>
      </w:r>
      <w:r w:rsidR="00090790" w:rsidRPr="00374CCA">
        <w:t xml:space="preserve">However, the effectiveness of medical therapy is limited in many patients due to comorbidities </w:t>
      </w:r>
      <w:r w:rsidR="00831C9F" w:rsidRPr="00374CCA">
        <w:t>such as</w:t>
      </w:r>
      <w:r w:rsidR="00090790" w:rsidRPr="00374CCA">
        <w:t xml:space="preserve"> impaired kidney function, which restrict the types and doses of medications that can be used. Importantly, while medical therapy can improve TR by adjusting volume status and promoting atrial/ventricular remodelling, it cannot directly reverse the condition and has no morbidity or mortality benefit in TR (Davidson et al. 2024; Messika-Zeitoun et al. 2020)</w:t>
      </w:r>
      <w:r w:rsidRPr="00374CCA">
        <w:t>.</w:t>
      </w:r>
    </w:p>
    <w:p w14:paraId="074D0D5B" w14:textId="231CBED5" w:rsidR="009F0BF4" w:rsidRDefault="000C72DC" w:rsidP="00564AA8">
      <w:r w:rsidRPr="00374CCA">
        <w:t>The application acknowledged that TTV</w:t>
      </w:r>
      <w:r w:rsidR="00BD7959" w:rsidRPr="00374CCA">
        <w:t xml:space="preserve"> replacement</w:t>
      </w:r>
      <w:r w:rsidRPr="00374CCA">
        <w:t xml:space="preserve"> </w:t>
      </w:r>
      <w:r w:rsidR="00C83B30" w:rsidRPr="00374CCA">
        <w:t>may represent a potential</w:t>
      </w:r>
      <w:r w:rsidRPr="00374CCA">
        <w:t xml:space="preserve"> near</w:t>
      </w:r>
      <w:r w:rsidR="00E63BD4" w:rsidRPr="00374CCA">
        <w:t>-</w:t>
      </w:r>
      <w:r w:rsidRPr="00374CCA">
        <w:t xml:space="preserve">market comparator to T-TEER. However, </w:t>
      </w:r>
      <w:r w:rsidR="009F0BF4" w:rsidRPr="00374CCA">
        <w:t xml:space="preserve">PASC previously </w:t>
      </w:r>
      <w:r w:rsidR="007A0A19" w:rsidRPr="00374CCA">
        <w:t xml:space="preserve">noted that </w:t>
      </w:r>
      <w:r w:rsidR="00734AD2" w:rsidRPr="00374CCA">
        <w:t>the anatom</w:t>
      </w:r>
      <w:r w:rsidR="00467FE3" w:rsidRPr="00374CCA">
        <w:t>ical</w:t>
      </w:r>
      <w:r w:rsidR="00734AD2" w:rsidRPr="00374CCA">
        <w:t xml:space="preserve"> and patholog</w:t>
      </w:r>
      <w:r w:rsidR="00467FE3" w:rsidRPr="00374CCA">
        <w:t xml:space="preserve">ical </w:t>
      </w:r>
      <w:r w:rsidR="009F1F8F" w:rsidRPr="00374CCA">
        <w:t>profiles</w:t>
      </w:r>
      <w:r w:rsidR="00734AD2" w:rsidRPr="00374CCA">
        <w:t xml:space="preserve"> of patients </w:t>
      </w:r>
      <w:r w:rsidR="00467FE3" w:rsidRPr="00374CCA">
        <w:t>suitable for</w:t>
      </w:r>
      <w:r w:rsidR="00734AD2" w:rsidRPr="00374CCA">
        <w:t xml:space="preserve"> TTV repair differ from those </w:t>
      </w:r>
      <w:r w:rsidR="009F1F8F" w:rsidRPr="00374CCA">
        <w:t>appropriate for</w:t>
      </w:r>
      <w:r w:rsidR="00734AD2" w:rsidRPr="00374CCA">
        <w:t xml:space="preserve"> TTV replacement</w:t>
      </w:r>
      <w:r w:rsidR="003B51D9" w:rsidRPr="00374CCA">
        <w:t xml:space="preserve"> (</w:t>
      </w:r>
      <w:r w:rsidR="00D12E61" w:rsidRPr="00374CCA">
        <w:t xml:space="preserve">PICO confirmation for </w:t>
      </w:r>
      <w:r w:rsidR="00BB3947" w:rsidRPr="00374CCA">
        <w:t>MSAC a</w:t>
      </w:r>
      <w:r w:rsidR="00D12E61" w:rsidRPr="00374CCA">
        <w:t>pplication 1799</w:t>
      </w:r>
      <w:r w:rsidR="003B51D9" w:rsidRPr="00374CCA">
        <w:t>)</w:t>
      </w:r>
      <w:r w:rsidR="00734AD2" w:rsidRPr="00374CCA">
        <w:t>.</w:t>
      </w:r>
      <w:r w:rsidR="00625A88" w:rsidRPr="00374CCA">
        <w:t xml:space="preserve"> </w:t>
      </w:r>
      <w:r w:rsidR="00B460F2" w:rsidRPr="00374CCA">
        <w:t>Furthermore</w:t>
      </w:r>
      <w:r w:rsidR="00D12E61" w:rsidRPr="00374CCA">
        <w:t xml:space="preserve">, </w:t>
      </w:r>
      <w:r w:rsidR="00C126BE" w:rsidRPr="00374CCA">
        <w:t>w</w:t>
      </w:r>
      <w:r w:rsidR="00F76AA7" w:rsidRPr="00374CCA">
        <w:t>ithin the clinical management algorithm for patients with severe, symptomatic TR, TTV replacement is generally considered only for those who are not suitable candidates for T-TEER.</w:t>
      </w:r>
      <w:r w:rsidR="00C309CF" w:rsidRPr="00374CCA">
        <w:t xml:space="preserve"> </w:t>
      </w:r>
    </w:p>
    <w:p w14:paraId="3041F2ED" w14:textId="1C15A213" w:rsidR="00892899" w:rsidRPr="00374CCA" w:rsidRDefault="00892899" w:rsidP="00564AA8">
      <w:r w:rsidRPr="00374CCA">
        <w:rPr>
          <w:rFonts w:asciiTheme="minorHAnsi" w:hAnsiTheme="minorHAnsi" w:cstheme="minorHAnsi"/>
          <w:i/>
          <w:iCs/>
        </w:rPr>
        <w:lastRenderedPageBreak/>
        <w:t>PASC considered that continued OMT alone as the nominated comparator is appropriate. While surgery is a potential comparator, it is associated with high complication and mortality rates and is rarely performed in Australia for isolated TR. TTV replacement was considered inappropriate as it targets a different patient population, and MSAC application 1799 for TTV replacement was withdrawn.</w:t>
      </w:r>
    </w:p>
    <w:p w14:paraId="29C1EA87" w14:textId="77777777" w:rsidR="007A66C8" w:rsidRPr="00374CCA" w:rsidRDefault="007A66C8" w:rsidP="00713728">
      <w:pPr>
        <w:pStyle w:val="Heading3"/>
      </w:pPr>
      <w:r w:rsidRPr="00374CCA">
        <w:t xml:space="preserve">Outcomes </w:t>
      </w:r>
    </w:p>
    <w:p w14:paraId="7DF5DD4A" w14:textId="1EAA0E0C" w:rsidR="002E0952" w:rsidRPr="00374CCA" w:rsidRDefault="00B03E63" w:rsidP="002E0952">
      <w:r w:rsidRPr="00374CCA">
        <w:t xml:space="preserve">The outcomes relevant to the assessment of T-TEER are summarised in </w:t>
      </w:r>
      <w:r w:rsidRPr="00374CCA">
        <w:fldChar w:fldCharType="begin"/>
      </w:r>
      <w:r w:rsidRPr="00374CCA">
        <w:instrText xml:space="preserve"> REF _Ref211851783 \h </w:instrText>
      </w:r>
      <w:r w:rsidR="00AA31CF" w:rsidRPr="00374CCA">
        <w:instrText xml:space="preserve"> \* MERGEFORMAT </w:instrText>
      </w:r>
      <w:r w:rsidRPr="00374CCA">
        <w:fldChar w:fldCharType="separate"/>
      </w:r>
      <w:r w:rsidR="005B2582" w:rsidRPr="00374CCA">
        <w:t>Table 4</w:t>
      </w:r>
      <w:r w:rsidRPr="00374CCA">
        <w:fldChar w:fldCharType="end"/>
      </w:r>
      <w:r w:rsidRPr="00374CCA">
        <w:t>.</w:t>
      </w:r>
      <w:r w:rsidR="002A6A41" w:rsidRPr="00374CCA">
        <w:t xml:space="preserve"> </w:t>
      </w:r>
      <w:r w:rsidR="00AA31CF" w:rsidRPr="00374CCA">
        <w:t xml:space="preserve">Procedural and late safety events should be captured in the analysis as both must be factored into clinical decision making, especially given the elderly, often anticoagulated patient population. </w:t>
      </w:r>
      <w:r w:rsidR="002A6A41" w:rsidRPr="00374CCA">
        <w:t>Patient-reported outcomes are important to demonstrate the effectiveness of T-TEER given that the optimisation of a patient’s health status (i.e. symptoms, functional status and quality of life) is a central goal in the treatment of severe TR.</w:t>
      </w:r>
    </w:p>
    <w:p w14:paraId="09E51204" w14:textId="186313EA" w:rsidR="00211980" w:rsidRPr="00C35F7C" w:rsidRDefault="00211980" w:rsidP="00211980">
      <w:pPr>
        <w:pStyle w:val="Caption"/>
        <w:rPr>
          <w:lang w:val="en-AU"/>
        </w:rPr>
      </w:pPr>
      <w:bookmarkStart w:id="6" w:name="_Ref211851783"/>
      <w:r w:rsidRPr="00C35F7C">
        <w:rPr>
          <w:lang w:val="en-AU"/>
        </w:rPr>
        <w:t>Table </w:t>
      </w:r>
      <w:r w:rsidRPr="00C35F7C">
        <w:rPr>
          <w:lang w:val="en-AU"/>
        </w:rPr>
        <w:fldChar w:fldCharType="begin"/>
      </w:r>
      <w:r w:rsidRPr="00C35F7C">
        <w:rPr>
          <w:lang w:val="en-AU"/>
        </w:rPr>
        <w:instrText xml:space="preserve"> SEQ Table \* ARABIC </w:instrText>
      </w:r>
      <w:r w:rsidRPr="00C35F7C">
        <w:rPr>
          <w:lang w:val="en-AU"/>
        </w:rPr>
        <w:fldChar w:fldCharType="separate"/>
      </w:r>
      <w:r w:rsidR="005B2582" w:rsidRPr="00C35F7C">
        <w:rPr>
          <w:lang w:val="en-AU"/>
        </w:rPr>
        <w:t>4</w:t>
      </w:r>
      <w:r w:rsidRPr="00C35F7C">
        <w:rPr>
          <w:lang w:val="en-AU"/>
        </w:rPr>
        <w:fldChar w:fldCharType="end"/>
      </w:r>
      <w:bookmarkEnd w:id="6"/>
      <w:r w:rsidRPr="00C35F7C">
        <w:rPr>
          <w:lang w:val="en-AU"/>
        </w:rPr>
        <w:tab/>
      </w:r>
      <w:r w:rsidR="00B61BA0" w:rsidRPr="00C35F7C">
        <w:rPr>
          <w:lang w:val="en-AU"/>
        </w:rPr>
        <w:t>Outcomes relevant to the assessment of T-TEER</w:t>
      </w:r>
    </w:p>
    <w:tbl>
      <w:tblPr>
        <w:tblStyle w:val="TableGrid"/>
        <w:tblW w:w="0" w:type="auto"/>
        <w:tblInd w:w="0" w:type="dxa"/>
        <w:tblLook w:val="04A0" w:firstRow="1" w:lastRow="0" w:firstColumn="1" w:lastColumn="0" w:noHBand="0" w:noVBand="1"/>
        <w:tblCaption w:val="Outcomes relevant to the assessment of T-TEER"/>
        <w:tblDescription w:val="The table lists outcomes in the following categories: safety, efficacy/effectiveness, healthcare resources, cost-effectiveness, total Australian government healthcare costs, and toal costs to private health insurers and hospitals."/>
      </w:tblPr>
      <w:tblGrid>
        <w:gridCol w:w="2405"/>
        <w:gridCol w:w="7166"/>
      </w:tblGrid>
      <w:tr w:rsidR="00AA14FB" w:rsidRPr="00374CCA" w14:paraId="470E98C7" w14:textId="77777777" w:rsidTr="00927705">
        <w:trPr>
          <w:tblHeader/>
        </w:trPr>
        <w:tc>
          <w:tcPr>
            <w:tcW w:w="2405" w:type="dxa"/>
          </w:tcPr>
          <w:p w14:paraId="01DFA5EB" w14:textId="77777777" w:rsidR="00AA14FB" w:rsidRPr="00374CCA" w:rsidRDefault="00AA14FB">
            <w:pPr>
              <w:pStyle w:val="TableHeading"/>
            </w:pPr>
            <w:r w:rsidRPr="00374CCA">
              <w:t>Outcome type</w:t>
            </w:r>
          </w:p>
        </w:tc>
        <w:tc>
          <w:tcPr>
            <w:tcW w:w="7166" w:type="dxa"/>
          </w:tcPr>
          <w:p w14:paraId="7BECD0AE" w14:textId="77777777" w:rsidR="00AA14FB" w:rsidRPr="00374CCA" w:rsidRDefault="00AA14FB">
            <w:pPr>
              <w:pStyle w:val="TableHeading"/>
            </w:pPr>
            <w:r w:rsidRPr="00374CCA">
              <w:t>Outcome</w:t>
            </w:r>
          </w:p>
        </w:tc>
      </w:tr>
      <w:tr w:rsidR="00AA14FB" w:rsidRPr="00374CCA" w14:paraId="4F3021B5" w14:textId="77777777" w:rsidTr="00927705">
        <w:tc>
          <w:tcPr>
            <w:tcW w:w="2405" w:type="dxa"/>
          </w:tcPr>
          <w:p w14:paraId="1607D48D" w14:textId="77777777" w:rsidR="00AA14FB" w:rsidRPr="00374CCA" w:rsidRDefault="00AA14FB">
            <w:pPr>
              <w:pStyle w:val="Tabletext"/>
            </w:pPr>
            <w:r w:rsidRPr="00374CCA">
              <w:t>Safety</w:t>
            </w:r>
          </w:p>
        </w:tc>
        <w:tc>
          <w:tcPr>
            <w:tcW w:w="7166" w:type="dxa"/>
          </w:tcPr>
          <w:p w14:paraId="4571D8EC" w14:textId="38C1BEB0" w:rsidR="00AA14FB" w:rsidRPr="00374CCA" w:rsidRDefault="00AA14FB">
            <w:pPr>
              <w:pStyle w:val="Tabletext"/>
            </w:pPr>
            <w:r w:rsidRPr="00374CCA">
              <w:t xml:space="preserve">Major </w:t>
            </w:r>
            <w:r w:rsidR="00775F7A" w:rsidRPr="00374CCA">
              <w:t>CV</w:t>
            </w:r>
            <w:r w:rsidRPr="00374CCA">
              <w:t xml:space="preserve"> events (MI, stroke, </w:t>
            </w:r>
            <w:r w:rsidR="00775F7A" w:rsidRPr="00374CCA">
              <w:t>CV</w:t>
            </w:r>
            <w:r w:rsidRPr="00374CCA">
              <w:t xml:space="preserve"> death)</w:t>
            </w:r>
          </w:p>
          <w:p w14:paraId="3B9BBC50" w14:textId="77777777" w:rsidR="00AA14FB" w:rsidRPr="00374CCA" w:rsidRDefault="00AA14FB">
            <w:pPr>
              <w:pStyle w:val="Tabletext"/>
            </w:pPr>
            <w:r w:rsidRPr="00374CCA">
              <w:t>Severe bleeding</w:t>
            </w:r>
          </w:p>
          <w:p w14:paraId="60941616" w14:textId="77777777" w:rsidR="00AA14FB" w:rsidRPr="00374CCA" w:rsidRDefault="00AA14FB">
            <w:pPr>
              <w:pStyle w:val="Tabletext"/>
            </w:pPr>
            <w:r w:rsidRPr="00374CCA">
              <w:t>Major access site and vascular complications</w:t>
            </w:r>
          </w:p>
          <w:p w14:paraId="2C203FB5" w14:textId="77777777" w:rsidR="00AA14FB" w:rsidRPr="00374CCA" w:rsidRDefault="00AA14FB">
            <w:pPr>
              <w:pStyle w:val="Tabletext"/>
            </w:pPr>
            <w:r w:rsidRPr="00374CCA">
              <w:t>Major cardiac structural complications (e.g. coronary structure perforation)</w:t>
            </w:r>
          </w:p>
          <w:p w14:paraId="5EC3E9E5" w14:textId="77777777" w:rsidR="001C2022" w:rsidRPr="00374CCA" w:rsidRDefault="001C2022" w:rsidP="001C2022">
            <w:pPr>
              <w:pStyle w:val="Tabletext"/>
            </w:pPr>
            <w:r w:rsidRPr="00374CCA">
              <w:t>Conversion to surgery</w:t>
            </w:r>
          </w:p>
          <w:p w14:paraId="6C38C3F0" w14:textId="274E74E7" w:rsidR="00AA14FB" w:rsidRPr="00374CCA" w:rsidRDefault="00A63A43">
            <w:pPr>
              <w:pStyle w:val="Tabletext"/>
            </w:pPr>
            <w:r w:rsidRPr="00374CCA">
              <w:t>New a</w:t>
            </w:r>
            <w:r w:rsidR="00AA14FB" w:rsidRPr="00374CCA">
              <w:t>rrhythmia or conduction disorder requiring permanent pacing</w:t>
            </w:r>
          </w:p>
          <w:p w14:paraId="58C1CF70" w14:textId="41A81E0A" w:rsidR="00AA14FB" w:rsidRPr="00374CCA" w:rsidRDefault="00AA14FB">
            <w:pPr>
              <w:pStyle w:val="Tabletext"/>
            </w:pPr>
            <w:r w:rsidRPr="00374CCA">
              <w:t xml:space="preserve">New </w:t>
            </w:r>
            <w:r w:rsidR="00A63A43" w:rsidRPr="00374CCA">
              <w:t>onset renal failure</w:t>
            </w:r>
          </w:p>
          <w:p w14:paraId="74B71249" w14:textId="77777777" w:rsidR="001C2022" w:rsidRPr="00374CCA" w:rsidRDefault="001C2022">
            <w:pPr>
              <w:pStyle w:val="Tabletext"/>
            </w:pPr>
            <w:r w:rsidRPr="00374CCA">
              <w:t>Endocarditis requiring surgery</w:t>
            </w:r>
          </w:p>
          <w:p w14:paraId="13D817BC" w14:textId="32C18696" w:rsidR="00AA14FB" w:rsidRPr="00374CCA" w:rsidRDefault="001C2022">
            <w:pPr>
              <w:pStyle w:val="Tabletext"/>
            </w:pPr>
            <w:r w:rsidRPr="00374CCA">
              <w:t>TV</w:t>
            </w:r>
            <w:r w:rsidR="00AA14FB" w:rsidRPr="00374CCA">
              <w:t xml:space="preserve"> reintervention (percutaneous or surgical)</w:t>
            </w:r>
            <w:r w:rsidR="001F12F9" w:rsidRPr="00374CCA">
              <w:t>; explant</w:t>
            </w:r>
          </w:p>
          <w:p w14:paraId="64133048" w14:textId="48D14BD7" w:rsidR="00AA14FB" w:rsidRPr="00374CCA" w:rsidRDefault="00B664A2">
            <w:pPr>
              <w:pStyle w:val="Tabletext"/>
            </w:pPr>
            <w:r w:rsidRPr="00374CCA">
              <w:t>Device-related events (e.g. detachment, embolisation, thrombosis)</w:t>
            </w:r>
          </w:p>
        </w:tc>
      </w:tr>
      <w:tr w:rsidR="00AA14FB" w:rsidRPr="00374CCA" w14:paraId="28CBAB30" w14:textId="77777777" w:rsidTr="00CB4416">
        <w:trPr>
          <w:cantSplit/>
        </w:trPr>
        <w:tc>
          <w:tcPr>
            <w:tcW w:w="2405" w:type="dxa"/>
          </w:tcPr>
          <w:p w14:paraId="0489F7A5" w14:textId="77777777" w:rsidR="00AA14FB" w:rsidRPr="00374CCA" w:rsidRDefault="00AA14FB">
            <w:pPr>
              <w:pStyle w:val="Tabletext"/>
            </w:pPr>
            <w:r w:rsidRPr="00374CCA">
              <w:t>Efficacy/effectiveness</w:t>
            </w:r>
          </w:p>
        </w:tc>
        <w:tc>
          <w:tcPr>
            <w:tcW w:w="7166" w:type="dxa"/>
          </w:tcPr>
          <w:p w14:paraId="3BEE3515" w14:textId="13E0C9BE" w:rsidR="00AA14FB" w:rsidRPr="00374CCA" w:rsidRDefault="00AA14FB">
            <w:pPr>
              <w:pStyle w:val="Tabletext"/>
            </w:pPr>
            <w:r w:rsidRPr="00374CCA">
              <w:t>Mortality (all</w:t>
            </w:r>
            <w:r w:rsidR="009844C6" w:rsidRPr="00374CCA">
              <w:t>-</w:t>
            </w:r>
            <w:r w:rsidRPr="00374CCA">
              <w:t xml:space="preserve">cause, </w:t>
            </w:r>
            <w:r w:rsidR="0003709D" w:rsidRPr="00374CCA">
              <w:t>CV</w:t>
            </w:r>
            <w:r w:rsidRPr="00374CCA">
              <w:t>)</w:t>
            </w:r>
          </w:p>
          <w:p w14:paraId="3C772CB0" w14:textId="77777777" w:rsidR="00AA14FB" w:rsidRPr="00374CCA" w:rsidRDefault="00AA14FB">
            <w:pPr>
              <w:pStyle w:val="Tabletext"/>
            </w:pPr>
            <w:r w:rsidRPr="00374CCA">
              <w:t>Hospitalisation for heart failure</w:t>
            </w:r>
          </w:p>
          <w:p w14:paraId="1E6AF56D" w14:textId="77777777" w:rsidR="0003709D" w:rsidRPr="00374CCA" w:rsidRDefault="0003709D" w:rsidP="0003709D">
            <w:pPr>
              <w:pStyle w:val="Tabletext"/>
            </w:pPr>
            <w:r w:rsidRPr="00374CCA">
              <w:t>Change in TR severity/grade</w:t>
            </w:r>
          </w:p>
          <w:p w14:paraId="0B14886B" w14:textId="03C197F4" w:rsidR="00AA14FB" w:rsidRPr="00374CCA" w:rsidRDefault="00F81445">
            <w:pPr>
              <w:pStyle w:val="Tabletext"/>
            </w:pPr>
            <w:r w:rsidRPr="00374CCA">
              <w:t>QoL</w:t>
            </w:r>
            <w:r w:rsidR="00AA14FB" w:rsidRPr="00374CCA">
              <w:t xml:space="preserve"> using disease-specific (</w:t>
            </w:r>
            <w:r w:rsidR="00E54F5A" w:rsidRPr="00374CCA">
              <w:t xml:space="preserve">e.g. </w:t>
            </w:r>
            <w:r w:rsidR="00AA14FB" w:rsidRPr="00374CCA">
              <w:t>KCCQ) and generic (e.g. SF-36)</w:t>
            </w:r>
            <w:r w:rsidR="001368B6" w:rsidRPr="00374CCA">
              <w:t xml:space="preserve"> tools</w:t>
            </w:r>
          </w:p>
          <w:p w14:paraId="2DC21F41" w14:textId="77777777" w:rsidR="00AA14FB" w:rsidRPr="00374CCA" w:rsidRDefault="00AA14FB">
            <w:pPr>
              <w:pStyle w:val="Tabletext"/>
            </w:pPr>
            <w:r w:rsidRPr="00374CCA">
              <w:t>Health status (NYHA functional class, 6MWT)</w:t>
            </w:r>
          </w:p>
          <w:p w14:paraId="0B35C4CD" w14:textId="77777777" w:rsidR="00AA14FB" w:rsidRPr="00374CCA" w:rsidRDefault="00AA14FB">
            <w:pPr>
              <w:pStyle w:val="Tabletext"/>
            </w:pPr>
            <w:r w:rsidRPr="00374CCA">
              <w:t>Change in medical therapy (dose, frequency, type)</w:t>
            </w:r>
          </w:p>
        </w:tc>
      </w:tr>
      <w:tr w:rsidR="00AA14FB" w:rsidRPr="00374CCA" w14:paraId="7512AE24" w14:textId="77777777" w:rsidTr="00927705">
        <w:tc>
          <w:tcPr>
            <w:tcW w:w="2405" w:type="dxa"/>
          </w:tcPr>
          <w:p w14:paraId="28732B8D" w14:textId="41EF2FDC" w:rsidR="00AA14FB" w:rsidRPr="00374CCA" w:rsidRDefault="00AA14FB">
            <w:pPr>
              <w:pStyle w:val="Tabletext"/>
            </w:pPr>
            <w:r w:rsidRPr="00374CCA">
              <w:t>Healthcare resources</w:t>
            </w:r>
            <w:r w:rsidR="00F776CD" w:rsidRPr="00374CCA">
              <w:t xml:space="preserve"> (including </w:t>
            </w:r>
            <w:r w:rsidR="006770BD" w:rsidRPr="00374CCA">
              <w:t>patient OOP costs)</w:t>
            </w:r>
          </w:p>
        </w:tc>
        <w:tc>
          <w:tcPr>
            <w:tcW w:w="7166" w:type="dxa"/>
          </w:tcPr>
          <w:p w14:paraId="655A9544" w14:textId="45DD1807" w:rsidR="00AA14FB" w:rsidRPr="00374CCA" w:rsidRDefault="00AA14FB">
            <w:pPr>
              <w:pStyle w:val="Tabletext"/>
            </w:pPr>
            <w:r w:rsidRPr="00374CCA">
              <w:t xml:space="preserve">Cost of </w:t>
            </w:r>
            <w:r w:rsidR="00AD1550" w:rsidRPr="00374CCA">
              <w:t>T-TEER</w:t>
            </w:r>
            <w:r w:rsidRPr="00374CCA">
              <w:t xml:space="preserve"> prosthesis and other consumables</w:t>
            </w:r>
          </w:p>
          <w:p w14:paraId="5F1D31C2" w14:textId="2AE18926" w:rsidR="00AA14FB" w:rsidRPr="00374CCA" w:rsidRDefault="00AA14FB">
            <w:pPr>
              <w:pStyle w:val="Tabletext"/>
            </w:pPr>
            <w:r w:rsidRPr="00374CCA">
              <w:t xml:space="preserve">Cost to deliver </w:t>
            </w:r>
            <w:r w:rsidR="00AD1550" w:rsidRPr="00374CCA">
              <w:t>T-TEER</w:t>
            </w:r>
            <w:r w:rsidRPr="00374CCA">
              <w:t xml:space="preserve"> intervention</w:t>
            </w:r>
          </w:p>
          <w:p w14:paraId="7E0ADA6E" w14:textId="77777777" w:rsidR="00AA14FB" w:rsidRPr="00374CCA" w:rsidRDefault="00AA14FB">
            <w:pPr>
              <w:pStyle w:val="Tabletext"/>
            </w:pPr>
            <w:r w:rsidRPr="00374CCA">
              <w:t>Cost associated with changes in clinical management (testing required before the procedure, length of hospital stay, post-discharge rehabilitation)</w:t>
            </w:r>
          </w:p>
          <w:p w14:paraId="016AB0F1" w14:textId="77777777" w:rsidR="00AA14FB" w:rsidRPr="00374CCA" w:rsidRDefault="00AA14FB">
            <w:pPr>
              <w:pStyle w:val="Tabletext"/>
            </w:pPr>
            <w:r w:rsidRPr="00374CCA">
              <w:t>Cost associated with management of complications (including reintervention)</w:t>
            </w:r>
          </w:p>
        </w:tc>
      </w:tr>
      <w:tr w:rsidR="00AA14FB" w:rsidRPr="00374CCA" w14:paraId="5CB56896" w14:textId="77777777" w:rsidTr="00927705">
        <w:tc>
          <w:tcPr>
            <w:tcW w:w="2405" w:type="dxa"/>
          </w:tcPr>
          <w:p w14:paraId="68AF9BCE" w14:textId="77777777" w:rsidR="00AA14FB" w:rsidRPr="00374CCA" w:rsidRDefault="00AA14FB">
            <w:pPr>
              <w:pStyle w:val="Tabletext"/>
            </w:pPr>
            <w:r w:rsidRPr="00374CCA">
              <w:t>Cost-effectiveness</w:t>
            </w:r>
          </w:p>
        </w:tc>
        <w:tc>
          <w:tcPr>
            <w:tcW w:w="7166" w:type="dxa"/>
          </w:tcPr>
          <w:p w14:paraId="33F91576" w14:textId="77777777" w:rsidR="00AA14FB" w:rsidRPr="00374CCA" w:rsidRDefault="00AA14FB">
            <w:pPr>
              <w:pStyle w:val="Tabletext"/>
            </w:pPr>
            <w:r w:rsidRPr="00374CCA">
              <w:t>Cost per life-year gained</w:t>
            </w:r>
          </w:p>
          <w:p w14:paraId="75B931B8" w14:textId="77777777" w:rsidR="00AA14FB" w:rsidRPr="00374CCA" w:rsidRDefault="00AA14FB">
            <w:pPr>
              <w:pStyle w:val="Tabletext"/>
            </w:pPr>
            <w:r w:rsidRPr="00374CCA">
              <w:t>Cost per QALY gained</w:t>
            </w:r>
          </w:p>
        </w:tc>
      </w:tr>
      <w:tr w:rsidR="00AA14FB" w:rsidRPr="00374CCA" w14:paraId="6878C4C3" w14:textId="77777777" w:rsidTr="00927705">
        <w:tc>
          <w:tcPr>
            <w:tcW w:w="2405" w:type="dxa"/>
          </w:tcPr>
          <w:p w14:paraId="367A2F5D" w14:textId="77777777" w:rsidR="00AA14FB" w:rsidRPr="00374CCA" w:rsidRDefault="00AA14FB">
            <w:pPr>
              <w:pStyle w:val="Tabletext"/>
            </w:pPr>
            <w:r w:rsidRPr="00374CCA">
              <w:t>Total Australian government healthcare costs</w:t>
            </w:r>
          </w:p>
        </w:tc>
        <w:tc>
          <w:tcPr>
            <w:tcW w:w="7166" w:type="dxa"/>
          </w:tcPr>
          <w:p w14:paraId="0877D9B5" w14:textId="77777777" w:rsidR="00AA14FB" w:rsidRPr="00374CCA" w:rsidRDefault="00AA14FB">
            <w:pPr>
              <w:pStyle w:val="Tabletext"/>
            </w:pPr>
            <w:r w:rsidRPr="00374CCA">
              <w:t>Total cost to the MBS</w:t>
            </w:r>
          </w:p>
          <w:p w14:paraId="78E79CD6" w14:textId="1A883D48" w:rsidR="00AA14FB" w:rsidRPr="00374CCA" w:rsidRDefault="00AA14FB">
            <w:pPr>
              <w:pStyle w:val="Tabletext"/>
            </w:pPr>
            <w:r w:rsidRPr="00374CCA">
              <w:t>Total cost to the PBS</w:t>
            </w:r>
          </w:p>
        </w:tc>
      </w:tr>
      <w:tr w:rsidR="005C2F39" w:rsidRPr="00374CCA" w14:paraId="062213B8" w14:textId="77777777" w:rsidTr="00927705">
        <w:tc>
          <w:tcPr>
            <w:tcW w:w="2405" w:type="dxa"/>
          </w:tcPr>
          <w:p w14:paraId="382C7D15" w14:textId="43CC3F42" w:rsidR="005C2F39" w:rsidRPr="00374CCA" w:rsidRDefault="004D108A">
            <w:pPr>
              <w:pStyle w:val="Tabletext"/>
            </w:pPr>
            <w:r w:rsidRPr="00374CCA">
              <w:t>Total cost to private health insurers and hospitals</w:t>
            </w:r>
          </w:p>
        </w:tc>
        <w:tc>
          <w:tcPr>
            <w:tcW w:w="7166" w:type="dxa"/>
          </w:tcPr>
          <w:p w14:paraId="736B09DC" w14:textId="78E3AFD4" w:rsidR="004D108A" w:rsidRPr="00374CCA" w:rsidRDefault="004D108A" w:rsidP="004D108A">
            <w:pPr>
              <w:pStyle w:val="Tabletext"/>
            </w:pPr>
            <w:r w:rsidRPr="00374CCA">
              <w:t>Total cost to the PL for T-TEER prosthesis and changes in use of other prostheses</w:t>
            </w:r>
          </w:p>
          <w:p w14:paraId="1DC7695F" w14:textId="644F53E5" w:rsidR="005C2F39" w:rsidRPr="00374CCA" w:rsidRDefault="00927705" w:rsidP="004D108A">
            <w:pPr>
              <w:pStyle w:val="Tabletext"/>
            </w:pPr>
            <w:r w:rsidRPr="00374CCA">
              <w:t>T</w:t>
            </w:r>
            <w:r w:rsidR="004D108A" w:rsidRPr="00374CCA">
              <w:t xml:space="preserve">otal cost of hospitalisation for T-TEER, </w:t>
            </w:r>
            <w:r w:rsidR="00DA6FD7" w:rsidRPr="00374CCA">
              <w:t xml:space="preserve">management of </w:t>
            </w:r>
            <w:r w:rsidR="004D108A" w:rsidRPr="00374CCA">
              <w:t>complications and reinterventions</w:t>
            </w:r>
          </w:p>
        </w:tc>
      </w:tr>
    </w:tbl>
    <w:p w14:paraId="6F02F5A6" w14:textId="0C5D3211" w:rsidR="00B61BA0" w:rsidRPr="00374CCA" w:rsidRDefault="00775F7A" w:rsidP="00927705">
      <w:pPr>
        <w:pStyle w:val="Tablenotes0"/>
      </w:pPr>
      <w:r w:rsidRPr="00374CCA">
        <w:t xml:space="preserve">CV = cardiovascular; </w:t>
      </w:r>
      <w:r w:rsidR="00F0530F" w:rsidRPr="00374CCA">
        <w:t>KCCQ = Kansas City Cardiomyopathy Questionnaire; NYHA = New York Heart Association; MBS = Medica</w:t>
      </w:r>
      <w:r w:rsidR="000420D0" w:rsidRPr="00374CCA">
        <w:t>re</w:t>
      </w:r>
      <w:r w:rsidR="00F0530F" w:rsidRPr="00374CCA">
        <w:t xml:space="preserve"> Benefits Schedule; MI = myocardial infarction; 6MWT = 6-minute walk test; </w:t>
      </w:r>
      <w:r w:rsidR="006770BD" w:rsidRPr="00374CCA">
        <w:t xml:space="preserve">OOP = out-of-pocket; </w:t>
      </w:r>
      <w:r w:rsidR="00F0530F" w:rsidRPr="00374CCA">
        <w:t xml:space="preserve">PBS = Pharmaceutical Benefits Scheme; </w:t>
      </w:r>
      <w:r w:rsidR="004D108A" w:rsidRPr="00374CCA">
        <w:t>PL = Prescribed List of Medical Devices and Human Tissue Products</w:t>
      </w:r>
      <w:r w:rsidR="00927705" w:rsidRPr="00374CCA">
        <w:t xml:space="preserve">; </w:t>
      </w:r>
      <w:r w:rsidR="00F0530F" w:rsidRPr="00374CCA">
        <w:t xml:space="preserve">QALY = quality-adjusted life year; </w:t>
      </w:r>
      <w:r w:rsidR="00586723" w:rsidRPr="00374CCA">
        <w:t xml:space="preserve">QoL = quality of life; </w:t>
      </w:r>
      <w:r w:rsidR="00F0530F" w:rsidRPr="00374CCA">
        <w:t xml:space="preserve">SF-36 = Medical Outcomes Study 36-item Short Form Health Survey; </w:t>
      </w:r>
      <w:r w:rsidR="00DE22CE" w:rsidRPr="00374CCA">
        <w:t>TR = tricuspid regurgitation</w:t>
      </w:r>
      <w:r w:rsidR="00E1627A" w:rsidRPr="00374CCA">
        <w:t xml:space="preserve">; </w:t>
      </w:r>
      <w:r w:rsidR="00F0530F" w:rsidRPr="00374CCA">
        <w:t>T</w:t>
      </w:r>
      <w:r w:rsidR="00287131" w:rsidRPr="00374CCA">
        <w:t>-TEER</w:t>
      </w:r>
      <w:r w:rsidR="00F0530F" w:rsidRPr="00374CCA">
        <w:t xml:space="preserve"> = tricuspid </w:t>
      </w:r>
      <w:r w:rsidR="00287131" w:rsidRPr="00374CCA">
        <w:t xml:space="preserve">valve transcutaneous </w:t>
      </w:r>
      <w:r w:rsidR="004D38FE" w:rsidRPr="00374CCA">
        <w:t>edge-to-edge repair</w:t>
      </w:r>
      <w:r w:rsidR="00F0530F" w:rsidRPr="00374CCA">
        <w:t xml:space="preserve">; </w:t>
      </w:r>
      <w:r w:rsidR="00B664A2" w:rsidRPr="00374CCA">
        <w:t>TV = tricuspid valve</w:t>
      </w:r>
      <w:r w:rsidR="00F0530F" w:rsidRPr="00374CCA">
        <w:t>.</w:t>
      </w:r>
    </w:p>
    <w:p w14:paraId="0605D732" w14:textId="1D9E64A0" w:rsidR="00B410CF" w:rsidRPr="00374CCA" w:rsidRDefault="006C1243" w:rsidP="006C1243">
      <w:r w:rsidRPr="00374CCA">
        <w:t>The key evidence cited in the application to support the clinical claims</w:t>
      </w:r>
      <w:r w:rsidR="00926356" w:rsidRPr="00374CCA">
        <w:t xml:space="preserve"> (</w:t>
      </w:r>
      <w:r w:rsidR="002538CE" w:rsidRPr="00374CCA">
        <w:t>listed</w:t>
      </w:r>
      <w:r w:rsidR="00926356" w:rsidRPr="00374CCA">
        <w:t xml:space="preserve"> </w:t>
      </w:r>
      <w:r w:rsidR="00835E87" w:rsidRPr="00374CCA">
        <w:t>in th</w:t>
      </w:r>
      <w:r w:rsidR="0035281B" w:rsidRPr="00374CCA">
        <w:t>e</w:t>
      </w:r>
      <w:r w:rsidR="00EE2D78" w:rsidRPr="00374CCA">
        <w:t xml:space="preserve"> Proposed economic evaluation</w:t>
      </w:r>
      <w:r w:rsidR="0035281B" w:rsidRPr="00374CCA">
        <w:t xml:space="preserve"> of this document</w:t>
      </w:r>
      <w:r w:rsidR="00BA0731" w:rsidRPr="00374CCA">
        <w:t>)</w:t>
      </w:r>
      <w:r w:rsidRPr="00374CCA">
        <w:t xml:space="preserve"> is the TRILUMINATE Pivotal RCT, in which 572 subjects were randomised 1:1 to T-TEER plus OMT or OMT alone. Study participants were followed for 1 year for the primary endpoint </w:t>
      </w:r>
      <w:r w:rsidRPr="00374CCA">
        <w:lastRenderedPageBreak/>
        <w:t xml:space="preserve">and 2 years for additional secondary endpoints, with planned follow-up annually to 5 years (study completion expected in April 2029). Following completion of the 12-month primary endpoint, crossover from the control arm to receive the </w:t>
      </w:r>
      <w:r w:rsidR="005402EB" w:rsidRPr="00374CCA">
        <w:t>T-TEER</w:t>
      </w:r>
      <w:r w:rsidRPr="00374CCA">
        <w:t xml:space="preserve"> was permitted. </w:t>
      </w:r>
    </w:p>
    <w:p w14:paraId="513E526E" w14:textId="15712387" w:rsidR="006C1243" w:rsidRPr="00374CCA" w:rsidRDefault="00E91271" w:rsidP="006C1243">
      <w:r w:rsidRPr="00374CCA">
        <w:t>The Tricuspid Valve Academic Research Consortium (TVARC) advise</w:t>
      </w:r>
      <w:r w:rsidR="00E16509">
        <w:t>d</w:t>
      </w:r>
      <w:r w:rsidRPr="00374CCA">
        <w:t xml:space="preserve"> that the duration of </w:t>
      </w:r>
      <w:r w:rsidR="001360D0" w:rsidRPr="00374CCA">
        <w:t xml:space="preserve">study </w:t>
      </w:r>
      <w:r w:rsidRPr="00374CCA">
        <w:t xml:space="preserve">follow up must be sufficient to ascertain whether device durability is acceptable for the intended patient population (Hahn et al. 2023). </w:t>
      </w:r>
      <w:r w:rsidR="006C1243" w:rsidRPr="00374CCA">
        <w:t>Published follow</w:t>
      </w:r>
      <w:r w:rsidR="00EB1867">
        <w:t>-</w:t>
      </w:r>
      <w:r w:rsidR="006C1243" w:rsidRPr="00374CCA">
        <w:t>up is currently to 2 years for the TRILUMINATE Pivotal RCT. Longer term follow</w:t>
      </w:r>
      <w:r w:rsidR="00EB1867">
        <w:t>-</w:t>
      </w:r>
      <w:r w:rsidR="006C1243" w:rsidRPr="00374CCA">
        <w:t xml:space="preserve">up is available from </w:t>
      </w:r>
      <w:r w:rsidR="004A70F7" w:rsidRPr="00374CCA">
        <w:t>the</w:t>
      </w:r>
      <w:r w:rsidR="006C1243" w:rsidRPr="00374CCA">
        <w:t xml:space="preserve"> TRILUMINATE single arm trial (N=98), which followed participants for up to 3 years.</w:t>
      </w:r>
    </w:p>
    <w:p w14:paraId="53D178E7" w14:textId="26A82B33" w:rsidR="00E73576" w:rsidRDefault="00E73576" w:rsidP="0045114D">
      <w:r w:rsidRPr="00374CCA">
        <w:t xml:space="preserve">All </w:t>
      </w:r>
      <w:r w:rsidR="00460ABF" w:rsidRPr="00374CCA">
        <w:t xml:space="preserve">individual </w:t>
      </w:r>
      <w:r w:rsidRPr="00374CCA">
        <w:t xml:space="preserve">safety and efficacy outcomes in </w:t>
      </w:r>
      <w:r w:rsidR="00CA0CE1" w:rsidRPr="00374CCA">
        <w:fldChar w:fldCharType="begin"/>
      </w:r>
      <w:r w:rsidR="00CA0CE1" w:rsidRPr="00374CCA">
        <w:instrText xml:space="preserve"> REF _Ref211851783 \h </w:instrText>
      </w:r>
      <w:r w:rsidR="006C1243" w:rsidRPr="00374CCA">
        <w:instrText xml:space="preserve"> \* MERGEFORMAT </w:instrText>
      </w:r>
      <w:r w:rsidR="00CA0CE1" w:rsidRPr="00374CCA">
        <w:fldChar w:fldCharType="separate"/>
      </w:r>
      <w:r w:rsidR="005B2582" w:rsidRPr="00374CCA">
        <w:t>Table 4</w:t>
      </w:r>
      <w:r w:rsidR="00CA0CE1" w:rsidRPr="00374CCA">
        <w:fldChar w:fldCharType="end"/>
      </w:r>
      <w:r w:rsidRPr="00374CCA">
        <w:t xml:space="preserve"> </w:t>
      </w:r>
      <w:r w:rsidR="00296BD3" w:rsidRPr="00374CCA">
        <w:t>appear to have been</w:t>
      </w:r>
      <w:r w:rsidRPr="00374CCA">
        <w:t xml:space="preserve"> captured in the </w:t>
      </w:r>
      <w:r w:rsidR="00CA0CE1" w:rsidRPr="00374CCA">
        <w:t xml:space="preserve">TRILUMINATE </w:t>
      </w:r>
      <w:r w:rsidRPr="00374CCA">
        <w:t xml:space="preserve">Pivotal </w:t>
      </w:r>
      <w:r w:rsidR="00CA0CE1" w:rsidRPr="00374CCA">
        <w:t>RCT</w:t>
      </w:r>
      <w:r w:rsidRPr="00374CCA">
        <w:t xml:space="preserve">. </w:t>
      </w:r>
      <w:r w:rsidR="0097348C" w:rsidRPr="00374CCA">
        <w:t xml:space="preserve">According to the </w:t>
      </w:r>
      <w:r w:rsidR="002E50C2" w:rsidRPr="00374CCA">
        <w:t xml:space="preserve">protocol (Sorajja et al. </w:t>
      </w:r>
      <w:r w:rsidR="00605BD6" w:rsidRPr="00374CCA">
        <w:t>2023</w:t>
      </w:r>
      <w:r w:rsidR="009515E7" w:rsidRPr="00374CCA">
        <w:t>, supplementary material</w:t>
      </w:r>
      <w:r w:rsidR="002E50C2" w:rsidRPr="00374CCA">
        <w:t>), t</w:t>
      </w:r>
      <w:r w:rsidRPr="00374CCA">
        <w:t xml:space="preserve">he primary outcome measure for </w:t>
      </w:r>
      <w:r w:rsidR="006C1243" w:rsidRPr="00374CCA">
        <w:t>TRILUMINATE Pivotal</w:t>
      </w:r>
      <w:r w:rsidRPr="00374CCA">
        <w:t xml:space="preserve"> was a hierarchical composite at 1 year </w:t>
      </w:r>
      <w:r w:rsidR="00C506E4" w:rsidRPr="00374CCA">
        <w:t>(</w:t>
      </w:r>
      <w:r w:rsidR="00986326" w:rsidRPr="00374CCA">
        <w:t xml:space="preserve">expressed </w:t>
      </w:r>
      <w:r w:rsidR="00D90C11" w:rsidRPr="00374CCA">
        <w:t xml:space="preserve">as </w:t>
      </w:r>
      <w:r w:rsidR="00986326" w:rsidRPr="00374CCA">
        <w:t xml:space="preserve">a win ratio) </w:t>
      </w:r>
      <w:r w:rsidRPr="00374CCA">
        <w:t>that included:</w:t>
      </w:r>
      <w:r w:rsidR="005B1769" w:rsidRPr="00374CCA">
        <w:t xml:space="preserve"> </w:t>
      </w:r>
      <w:r w:rsidR="009111E1" w:rsidRPr="00374CCA">
        <w:t xml:space="preserve">time to </w:t>
      </w:r>
      <w:r w:rsidRPr="00374CCA">
        <w:t xml:space="preserve">all-cause </w:t>
      </w:r>
      <w:r w:rsidR="009111E1" w:rsidRPr="00374CCA">
        <w:t>death or tricuspid valve surgery</w:t>
      </w:r>
      <w:r w:rsidR="005B1769" w:rsidRPr="00374CCA">
        <w:t xml:space="preserve">; </w:t>
      </w:r>
      <w:r w:rsidR="009111E1" w:rsidRPr="00374CCA">
        <w:t xml:space="preserve">number of </w:t>
      </w:r>
      <w:r w:rsidRPr="00374CCA">
        <w:t>heart failure hospitalisation</w:t>
      </w:r>
      <w:r w:rsidR="009111E1" w:rsidRPr="00374CCA">
        <w:t>s</w:t>
      </w:r>
      <w:r w:rsidR="005B1769" w:rsidRPr="00374CCA">
        <w:t xml:space="preserve">; </w:t>
      </w:r>
      <w:r w:rsidR="001D0655" w:rsidRPr="00374CCA">
        <w:t xml:space="preserve">an improvement of at least 15 points in </w:t>
      </w:r>
      <w:r w:rsidRPr="00374CCA">
        <w:t>Kansas City Cardiomyopathy Questionnaire overall summary (KCCQ-OS)</w:t>
      </w:r>
      <w:r w:rsidR="001D0655" w:rsidRPr="00374CCA">
        <w:t xml:space="preserve"> from baseline</w:t>
      </w:r>
      <w:r w:rsidR="00706351" w:rsidRPr="00374CCA">
        <w:t>.</w:t>
      </w:r>
      <w:r w:rsidR="005B1769" w:rsidRPr="00374CCA">
        <w:t xml:space="preserve"> </w:t>
      </w:r>
      <w:r w:rsidR="00126FCE" w:rsidRPr="00374CCA">
        <w:t>Powered secondary endpoints were</w:t>
      </w:r>
      <w:r w:rsidR="009E2623" w:rsidRPr="00374CCA">
        <w:t>:</w:t>
      </w:r>
      <w:r w:rsidR="00126FCE" w:rsidRPr="00374CCA">
        <w:t xml:space="preserve"> </w:t>
      </w:r>
      <w:r w:rsidR="00945E32" w:rsidRPr="00374CCA">
        <w:t>TR reduction to moderate or less at 30 days</w:t>
      </w:r>
      <w:r w:rsidR="009E2623" w:rsidRPr="00374CCA">
        <w:t>; freedom from major adverse events</w:t>
      </w:r>
      <w:r w:rsidR="003319CB" w:rsidRPr="00374CCA">
        <w:t xml:space="preserve"> (MAE)</w:t>
      </w:r>
      <w:r w:rsidR="009618BE" w:rsidRPr="00374CCA">
        <w:rPr>
          <w:rStyle w:val="FootnoteReference"/>
        </w:rPr>
        <w:footnoteReference w:id="5"/>
      </w:r>
      <w:r w:rsidR="00D36B11" w:rsidRPr="00374CCA">
        <w:t xml:space="preserve"> at 30 days; change in KCCQ at 12 months; change in </w:t>
      </w:r>
      <w:r w:rsidR="00BB67C6" w:rsidRPr="00374CCA">
        <w:t>Six-Minute Walk Test (6MWT) at 12 months.</w:t>
      </w:r>
    </w:p>
    <w:p w14:paraId="4D14FD84" w14:textId="4B385FF6" w:rsidR="00907EF0" w:rsidRPr="009F5793" w:rsidRDefault="00907EF0" w:rsidP="401EE2EC">
      <w:pPr>
        <w:rPr>
          <w:i/>
          <w:iCs/>
        </w:rPr>
      </w:pPr>
      <w:r w:rsidRPr="401EE2EC">
        <w:rPr>
          <w:i/>
          <w:iCs/>
        </w:rPr>
        <w:t xml:space="preserve">PASC noted that the proposed outcomes are consistent with those reported in the pivotal clinical trial and are appropriate for assessing the safety and effectiveness of this intervention. </w:t>
      </w:r>
    </w:p>
    <w:p w14:paraId="6069F0B5" w14:textId="77777777" w:rsidR="00D73332" w:rsidRPr="00374CCA" w:rsidRDefault="00D73332" w:rsidP="00713728">
      <w:pPr>
        <w:pStyle w:val="Heading2"/>
      </w:pPr>
      <w:r w:rsidRPr="00374CCA">
        <w:t>Clinical management algorithms</w:t>
      </w:r>
    </w:p>
    <w:p w14:paraId="19598372" w14:textId="3DE422DE" w:rsidR="00A43EE3" w:rsidRPr="00374CCA" w:rsidRDefault="0067202E" w:rsidP="00A43EE3">
      <w:r w:rsidRPr="00374CCA">
        <w:t>The current clinical management algorithm for patients with severe, symptomatic TR despite OMT is shown in</w:t>
      </w:r>
      <w:r w:rsidR="007F2654" w:rsidRPr="00374CCA">
        <w:t xml:space="preserve"> </w:t>
      </w:r>
      <w:r w:rsidR="007F2654" w:rsidRPr="00374CCA">
        <w:fldChar w:fldCharType="begin"/>
      </w:r>
      <w:r w:rsidR="007F2654" w:rsidRPr="00374CCA">
        <w:instrText xml:space="preserve"> REF _Ref190803230 \h </w:instrText>
      </w:r>
      <w:r w:rsidR="009A3612" w:rsidRPr="00374CCA">
        <w:instrText xml:space="preserve"> \* MERGEFORMAT </w:instrText>
      </w:r>
      <w:r w:rsidR="007F2654" w:rsidRPr="00374CCA">
        <w:fldChar w:fldCharType="separate"/>
      </w:r>
      <w:r w:rsidR="005B2582" w:rsidRPr="00374CCA">
        <w:t xml:space="preserve">Figure </w:t>
      </w:r>
      <w:r w:rsidR="005B2582" w:rsidRPr="00C35F7C">
        <w:t>1</w:t>
      </w:r>
      <w:r w:rsidR="007F2654" w:rsidRPr="00374CCA">
        <w:fldChar w:fldCharType="end"/>
      </w:r>
      <w:r w:rsidR="007F2654" w:rsidRPr="00374CCA">
        <w:t xml:space="preserve">. </w:t>
      </w:r>
      <w:r w:rsidR="000C05D1" w:rsidRPr="00374CCA">
        <w:t xml:space="preserve">Patients </w:t>
      </w:r>
      <w:r w:rsidR="00647EE5" w:rsidRPr="00374CCA">
        <w:t>undergo</w:t>
      </w:r>
      <w:r w:rsidR="000C05D1" w:rsidRPr="00374CCA">
        <w:t xml:space="preserve"> </w:t>
      </w:r>
      <w:r w:rsidR="00255485" w:rsidRPr="00374CCA">
        <w:t xml:space="preserve">a </w:t>
      </w:r>
      <w:r w:rsidR="0099704A" w:rsidRPr="00374CCA">
        <w:t>thorough assessment</w:t>
      </w:r>
      <w:r w:rsidR="00255485" w:rsidRPr="00374CCA">
        <w:t xml:space="preserve"> </w:t>
      </w:r>
      <w:r w:rsidR="000C05D1" w:rsidRPr="00374CCA">
        <w:t xml:space="preserve">to determine </w:t>
      </w:r>
      <w:r w:rsidR="00647EE5" w:rsidRPr="00374CCA">
        <w:t xml:space="preserve">eligibility </w:t>
      </w:r>
      <w:r w:rsidR="00D541F7" w:rsidRPr="00374CCA">
        <w:t>for</w:t>
      </w:r>
      <w:r w:rsidR="00647EE5" w:rsidRPr="00374CCA">
        <w:t xml:space="preserve"> TR intervention</w:t>
      </w:r>
      <w:r w:rsidR="009A3612" w:rsidRPr="00374CCA">
        <w:t>. This</w:t>
      </w:r>
      <w:r w:rsidR="00F6238E" w:rsidRPr="00374CCA">
        <w:t xml:space="preserve"> process</w:t>
      </w:r>
      <w:r w:rsidR="009A3612" w:rsidRPr="00374CCA">
        <w:t xml:space="preserve"> typically in</w:t>
      </w:r>
      <w:r w:rsidR="00F6238E" w:rsidRPr="00374CCA">
        <w:t>cludes</w:t>
      </w:r>
      <w:r w:rsidR="00A43EE3" w:rsidRPr="00374CCA">
        <w:t>:</w:t>
      </w:r>
    </w:p>
    <w:p w14:paraId="1EDCCF65" w14:textId="295F6907" w:rsidR="00A43EE3" w:rsidRPr="00374CCA" w:rsidRDefault="00A43EE3" w:rsidP="00CF6836">
      <w:pPr>
        <w:pStyle w:val="ListParagraph"/>
        <w:numPr>
          <w:ilvl w:val="0"/>
          <w:numId w:val="14"/>
        </w:numPr>
      </w:pPr>
      <w:r w:rsidRPr="00374CCA">
        <w:t>initial clinical evaluation</w:t>
      </w:r>
      <w:r w:rsidR="009A3612" w:rsidRPr="00374CCA">
        <w:t xml:space="preserve"> </w:t>
      </w:r>
      <w:r w:rsidR="00F6238E" w:rsidRPr="00374CCA">
        <w:t xml:space="preserve">conducted </w:t>
      </w:r>
      <w:r w:rsidR="00330CFD" w:rsidRPr="00374CCA">
        <w:t xml:space="preserve">by a GP, </w:t>
      </w:r>
      <w:r w:rsidR="00DF496F" w:rsidRPr="00374CCA">
        <w:t xml:space="preserve">involving </w:t>
      </w:r>
      <w:r w:rsidR="00330CFD" w:rsidRPr="00374CCA">
        <w:t>review</w:t>
      </w:r>
      <w:r w:rsidR="00DF496F" w:rsidRPr="00374CCA">
        <w:t xml:space="preserve"> of</w:t>
      </w:r>
      <w:r w:rsidR="00330CFD" w:rsidRPr="00374CCA">
        <w:t xml:space="preserve"> </w:t>
      </w:r>
      <w:r w:rsidR="00F9678F" w:rsidRPr="00374CCA">
        <w:t xml:space="preserve">the patient’s </w:t>
      </w:r>
      <w:r w:rsidRPr="00374CCA">
        <w:t xml:space="preserve">medical history for conditions </w:t>
      </w:r>
      <w:r w:rsidR="00F9678F" w:rsidRPr="00374CCA">
        <w:t xml:space="preserve">commonly </w:t>
      </w:r>
      <w:r w:rsidRPr="00374CCA">
        <w:t xml:space="preserve">associated with TR, </w:t>
      </w:r>
      <w:r w:rsidR="00330CFD" w:rsidRPr="00374CCA">
        <w:t>such as</w:t>
      </w:r>
      <w:r w:rsidRPr="00374CCA">
        <w:t xml:space="preserve"> heart failure and other comorbidities</w:t>
      </w:r>
    </w:p>
    <w:p w14:paraId="180D0A38" w14:textId="2B072900" w:rsidR="00A43EE3" w:rsidRPr="00374CCA" w:rsidRDefault="002C25CA" w:rsidP="00CF6836">
      <w:pPr>
        <w:pStyle w:val="ListParagraph"/>
        <w:numPr>
          <w:ilvl w:val="0"/>
          <w:numId w:val="14"/>
        </w:numPr>
      </w:pPr>
      <w:r w:rsidRPr="00374CCA">
        <w:t xml:space="preserve">a series of </w:t>
      </w:r>
      <w:r w:rsidR="00A43EE3" w:rsidRPr="00374CCA">
        <w:t>imaging</w:t>
      </w:r>
      <w:r w:rsidR="001B61F8" w:rsidRPr="00374CCA">
        <w:t xml:space="preserve"> studies to assess valve structure and TR severity</w:t>
      </w:r>
    </w:p>
    <w:p w14:paraId="474DC67B" w14:textId="15267237" w:rsidR="00A43EE3" w:rsidRPr="00374CCA" w:rsidRDefault="00A43EE3" w:rsidP="00CF6836">
      <w:pPr>
        <w:pStyle w:val="ListParagraph"/>
        <w:numPr>
          <w:ilvl w:val="1"/>
          <w:numId w:val="14"/>
        </w:numPr>
        <w:ind w:left="1134" w:hanging="425"/>
      </w:pPr>
      <w:r w:rsidRPr="00374CCA">
        <w:t xml:space="preserve">TTE </w:t>
      </w:r>
      <w:r w:rsidR="004036C2" w:rsidRPr="00374CCA">
        <w:t xml:space="preserve">is used as a </w:t>
      </w:r>
      <w:r w:rsidR="007875D2" w:rsidRPr="00374CCA">
        <w:t>screening</w:t>
      </w:r>
      <w:r w:rsidR="004036C2" w:rsidRPr="00374CCA">
        <w:t xml:space="preserve"> tool to </w:t>
      </w:r>
      <w:r w:rsidR="007875D2" w:rsidRPr="00374CCA">
        <w:t xml:space="preserve">evaluate valve </w:t>
      </w:r>
      <w:r w:rsidR="004036C2" w:rsidRPr="00374CCA">
        <w:t>anatomy</w:t>
      </w:r>
      <w:r w:rsidR="007875D2" w:rsidRPr="00374CCA">
        <w:t xml:space="preserve"> and</w:t>
      </w:r>
      <w:r w:rsidR="004036C2" w:rsidRPr="00374CCA">
        <w:t xml:space="preserve"> the degree of </w:t>
      </w:r>
      <w:r w:rsidR="00550785" w:rsidRPr="00374CCA">
        <w:t>regurgitation</w:t>
      </w:r>
    </w:p>
    <w:p w14:paraId="0DC4491C" w14:textId="32D9ED84" w:rsidR="00A43EE3" w:rsidRPr="00374CCA" w:rsidRDefault="00A43EE3" w:rsidP="00CF6836">
      <w:pPr>
        <w:pStyle w:val="ListParagraph"/>
        <w:numPr>
          <w:ilvl w:val="1"/>
          <w:numId w:val="14"/>
        </w:numPr>
        <w:ind w:left="1134" w:hanging="425"/>
      </w:pPr>
      <w:r w:rsidRPr="00374CCA">
        <w:t xml:space="preserve">TOE </w:t>
      </w:r>
      <w:r w:rsidR="0056292A" w:rsidRPr="00374CCA">
        <w:t>provides detailed imaging to</w:t>
      </w:r>
      <w:r w:rsidR="00105303" w:rsidRPr="00374CCA">
        <w:t xml:space="preserve"> confirm the diagnosis</w:t>
      </w:r>
      <w:r w:rsidR="0056292A" w:rsidRPr="00374CCA">
        <w:t>,</w:t>
      </w:r>
      <w:r w:rsidR="00105303" w:rsidRPr="00374CCA">
        <w:t xml:space="preserve"> </w:t>
      </w:r>
      <w:r w:rsidR="004D2858" w:rsidRPr="00374CCA">
        <w:t>especially</w:t>
      </w:r>
      <w:r w:rsidRPr="00374CCA">
        <w:t xml:space="preserve"> when TTE results are inconclusive</w:t>
      </w:r>
    </w:p>
    <w:p w14:paraId="152537B7" w14:textId="515DFB26" w:rsidR="00776191" w:rsidRPr="00374CCA" w:rsidRDefault="00776191" w:rsidP="00CF6836">
      <w:pPr>
        <w:pStyle w:val="ListParagraph"/>
        <w:numPr>
          <w:ilvl w:val="1"/>
          <w:numId w:val="14"/>
        </w:numPr>
        <w:ind w:left="1134" w:hanging="425"/>
      </w:pPr>
      <w:r w:rsidRPr="00374CCA">
        <w:t>CT</w:t>
      </w:r>
      <w:r w:rsidR="00165C34" w:rsidRPr="00374CCA">
        <w:t xml:space="preserve"> </w:t>
      </w:r>
      <w:r w:rsidR="004D2858" w:rsidRPr="00374CCA">
        <w:t>assesses anatomical</w:t>
      </w:r>
      <w:r w:rsidR="005C00A7" w:rsidRPr="00374CCA">
        <w:t xml:space="preserve"> su</w:t>
      </w:r>
      <w:r w:rsidR="00C06EF8" w:rsidRPr="00374CCA">
        <w:t>it</w:t>
      </w:r>
      <w:r w:rsidR="005C00A7" w:rsidRPr="00374CCA">
        <w:t xml:space="preserve">ability </w:t>
      </w:r>
      <w:r w:rsidR="005C00A7" w:rsidRPr="003767C5">
        <w:t xml:space="preserve">for </w:t>
      </w:r>
      <w:r w:rsidR="00E723C3">
        <w:t>interventions</w:t>
      </w:r>
      <w:r w:rsidR="004D2858" w:rsidRPr="00374CCA">
        <w:t>, if applicable</w:t>
      </w:r>
    </w:p>
    <w:p w14:paraId="4FFAAE81" w14:textId="09F2143B" w:rsidR="00A43EE3" w:rsidRPr="00374CCA" w:rsidRDefault="002959A4" w:rsidP="00CF6836">
      <w:pPr>
        <w:pStyle w:val="ListParagraph"/>
        <w:numPr>
          <w:ilvl w:val="0"/>
          <w:numId w:val="14"/>
        </w:numPr>
        <w:ind w:left="714" w:hanging="357"/>
      </w:pPr>
      <w:r w:rsidRPr="00374CCA">
        <w:t xml:space="preserve">collaborative </w:t>
      </w:r>
      <w:r w:rsidR="00813229" w:rsidRPr="00374CCA">
        <w:t>MDHT</w:t>
      </w:r>
      <w:r w:rsidR="00A43EE3" w:rsidRPr="00374CCA">
        <w:t xml:space="preserve"> assessment</w:t>
      </w:r>
      <w:r w:rsidR="009B4722" w:rsidRPr="00374CCA">
        <w:t xml:space="preserve"> to </w:t>
      </w:r>
      <w:r w:rsidRPr="00374CCA">
        <w:t>determine</w:t>
      </w:r>
      <w:r w:rsidR="00A43EE3" w:rsidRPr="00374CCA">
        <w:t xml:space="preserve"> the patient's overall risk, </w:t>
      </w:r>
      <w:r w:rsidR="003F31B0" w:rsidRPr="00374CCA">
        <w:t>anatomical considerations</w:t>
      </w:r>
      <w:r w:rsidR="00A43EE3" w:rsidRPr="00374CCA">
        <w:t xml:space="preserve">, and </w:t>
      </w:r>
      <w:r w:rsidR="003F31B0" w:rsidRPr="00374CCA">
        <w:t>appropriateness for</w:t>
      </w:r>
      <w:r w:rsidR="00A43EE3" w:rsidRPr="00374CCA">
        <w:t xml:space="preserve"> intervention.</w:t>
      </w:r>
    </w:p>
    <w:p w14:paraId="5F055F9B" w14:textId="3EAF2194" w:rsidR="00A43EE3" w:rsidRPr="00374CCA" w:rsidRDefault="001609F4" w:rsidP="00A43EE3">
      <w:r w:rsidRPr="00374CCA">
        <w:t xml:space="preserve">The MDHT </w:t>
      </w:r>
      <w:r w:rsidR="00F83536" w:rsidRPr="00374CCA">
        <w:t xml:space="preserve">may </w:t>
      </w:r>
      <w:r w:rsidRPr="00374CCA">
        <w:t xml:space="preserve">assess </w:t>
      </w:r>
      <w:r w:rsidR="00EC3B7E" w:rsidRPr="00374CCA">
        <w:t>a</w:t>
      </w:r>
      <w:r w:rsidRPr="00374CCA">
        <w:t xml:space="preserve"> patient</w:t>
      </w:r>
      <w:r w:rsidR="00EC3B7E" w:rsidRPr="00374CCA">
        <w:t>’s</w:t>
      </w:r>
      <w:r w:rsidRPr="00374CCA">
        <w:t xml:space="preserve"> surgical risk using one of </w:t>
      </w:r>
      <w:r w:rsidR="00F72ACB" w:rsidRPr="00374CCA">
        <w:t>various validated</w:t>
      </w:r>
      <w:r w:rsidRPr="00374CCA">
        <w:t xml:space="preserve"> tools</w:t>
      </w:r>
      <w:r w:rsidR="00F72ACB" w:rsidRPr="00374CCA">
        <w:t xml:space="preserve">, including </w:t>
      </w:r>
      <w:r w:rsidRPr="00374CCA">
        <w:t xml:space="preserve">the EuroSCORE, </w:t>
      </w:r>
      <w:r w:rsidR="00A43EE3" w:rsidRPr="00374CCA">
        <w:t>the Society of Thoracic Surgeons (STS) Risk Score, and the TRI-SCORE system.</w:t>
      </w:r>
      <w:r w:rsidR="00624DB2" w:rsidRPr="00374CCA">
        <w:t xml:space="preserve"> </w:t>
      </w:r>
      <w:r w:rsidR="00F83536" w:rsidRPr="00374CCA">
        <w:t xml:space="preserve">However, </w:t>
      </w:r>
      <w:r w:rsidR="00AB7243" w:rsidRPr="00374CCA">
        <w:t xml:space="preserve">as noted in the PICO confirmation for </w:t>
      </w:r>
      <w:r w:rsidR="00BB3947" w:rsidRPr="00374CCA">
        <w:t>MSAC a</w:t>
      </w:r>
      <w:r w:rsidR="00AB7243" w:rsidRPr="00374CCA">
        <w:t xml:space="preserve">pplication 1799, </w:t>
      </w:r>
      <w:r w:rsidR="009704B4" w:rsidRPr="00374CCA">
        <w:t xml:space="preserve">PASC </w:t>
      </w:r>
      <w:r w:rsidR="00F74AD7" w:rsidRPr="00374CCA">
        <w:t xml:space="preserve">has previously </w:t>
      </w:r>
      <w:r w:rsidR="00AB7243" w:rsidRPr="00374CCA">
        <w:t>raised</w:t>
      </w:r>
      <w:r w:rsidR="001B4075" w:rsidRPr="00374CCA">
        <w:t xml:space="preserve"> </w:t>
      </w:r>
      <w:r w:rsidR="009F6B86" w:rsidRPr="00374CCA">
        <w:t xml:space="preserve">concerns </w:t>
      </w:r>
      <w:r w:rsidR="00AB7243" w:rsidRPr="00374CCA">
        <w:t>regarding</w:t>
      </w:r>
      <w:r w:rsidR="009F6B86" w:rsidRPr="00374CCA">
        <w:t xml:space="preserve"> the reliability of </w:t>
      </w:r>
      <w:r w:rsidR="00552390" w:rsidRPr="00374CCA">
        <w:t>these</w:t>
      </w:r>
      <w:r w:rsidR="009F6B86" w:rsidRPr="00374CCA">
        <w:t xml:space="preserve"> tools in this </w:t>
      </w:r>
      <w:r w:rsidR="00552390" w:rsidRPr="00374CCA">
        <w:t xml:space="preserve">specific </w:t>
      </w:r>
      <w:r w:rsidR="009F6B86" w:rsidRPr="00374CCA">
        <w:t xml:space="preserve">patient cohort. </w:t>
      </w:r>
    </w:p>
    <w:p w14:paraId="569506AD" w14:textId="4271D7B9" w:rsidR="0044231E" w:rsidRPr="00374CCA" w:rsidRDefault="0044231E" w:rsidP="0044231E">
      <w:r w:rsidRPr="00374CCA">
        <w:t xml:space="preserve">Surgical intervention may be appropriate for a select group of patients with severe, symptomatic TR, particularly when concomitant cardiac conditions warrant open-heart surgery. Among those deemed </w:t>
      </w:r>
      <w:r w:rsidRPr="00374CCA">
        <w:lastRenderedPageBreak/>
        <w:t>suitable for surgery, a proportion may decline the procedure or not be offered it due to surgeon reluctance, given the high morbidity and mortality associated with isolated tricuspid valve surgery.</w:t>
      </w:r>
    </w:p>
    <w:p w14:paraId="789C76ED" w14:textId="52287DD7" w:rsidR="0044231E" w:rsidRPr="00374CCA" w:rsidRDefault="0049531F" w:rsidP="0044231E">
      <w:r>
        <w:t>P</w:t>
      </w:r>
      <w:r w:rsidRPr="00374CCA">
        <w:t>atients who are unsuitable for open-heart surgery or who decline it</w:t>
      </w:r>
      <w:r w:rsidR="00301CF2">
        <w:t>,</w:t>
      </w:r>
      <w:r>
        <w:t xml:space="preserve"> </w:t>
      </w:r>
      <w:r w:rsidR="00301CF2">
        <w:t>t</w:t>
      </w:r>
      <w:r w:rsidR="0044231E" w:rsidRPr="00374CCA">
        <w:t>he majority</w:t>
      </w:r>
      <w:r w:rsidR="00BA3C0E">
        <w:t xml:space="preserve"> </w:t>
      </w:r>
      <w:r w:rsidR="0044231E" w:rsidRPr="00374CCA">
        <w:t>continue on OMT</w:t>
      </w:r>
      <w:r w:rsidR="00F759D4">
        <w:t xml:space="preserve"> alone</w:t>
      </w:r>
      <w:r w:rsidR="0044231E" w:rsidRPr="00374CCA">
        <w:t>, supported by specialist care, but often experience suboptimal clinical outcomes and poor long-term prognosis. Patients managed with OMT require regular monitoring of weight, blood pressure, and symptoms, along with routine blood tests to assess renal function and electrolyte balance.</w:t>
      </w:r>
    </w:p>
    <w:p w14:paraId="0172EE75" w14:textId="4790885A" w:rsidR="00001C7E" w:rsidRPr="00374CCA" w:rsidRDefault="0044231E" w:rsidP="0044231E">
      <w:r w:rsidRPr="00374CCA">
        <w:t>For individuals with a life expectancy of less than one year or those with significant frailty, medical therapy remains the preferred approach, given the limited evidence supporting transcatheter interventions in this population (Rahgozar et al. 2021).</w:t>
      </w:r>
    </w:p>
    <w:p w14:paraId="5F6D51FD" w14:textId="315EA959" w:rsidR="00D96649" w:rsidRPr="00374CCA" w:rsidRDefault="00D96649" w:rsidP="00D96649">
      <w:pPr>
        <w:pStyle w:val="Caption"/>
        <w:rPr>
          <w:lang w:val="en-AU"/>
        </w:rPr>
      </w:pPr>
      <w:bookmarkStart w:id="7" w:name="_Ref190803230"/>
      <w:r w:rsidRPr="00374CCA">
        <w:rPr>
          <w:lang w:val="en-AU"/>
        </w:rPr>
        <w:t xml:space="preserve">Figure </w:t>
      </w:r>
      <w:r w:rsidRPr="00374CCA">
        <w:rPr>
          <w:lang w:val="en-AU"/>
        </w:rPr>
        <w:fldChar w:fldCharType="begin"/>
      </w:r>
      <w:r w:rsidRPr="00374CCA">
        <w:rPr>
          <w:lang w:val="en-AU"/>
        </w:rPr>
        <w:instrText xml:space="preserve"> SEQ Figure \* ARABIC </w:instrText>
      </w:r>
      <w:r w:rsidRPr="00374CCA">
        <w:rPr>
          <w:lang w:val="en-AU"/>
        </w:rPr>
        <w:fldChar w:fldCharType="separate"/>
      </w:r>
      <w:r w:rsidR="005B2582" w:rsidRPr="00C35F7C">
        <w:rPr>
          <w:lang w:val="en-AU"/>
        </w:rPr>
        <w:t>1</w:t>
      </w:r>
      <w:r w:rsidRPr="00374CCA">
        <w:rPr>
          <w:lang w:val="en-AU"/>
        </w:rPr>
        <w:fldChar w:fldCharType="end"/>
      </w:r>
      <w:bookmarkEnd w:id="7"/>
      <w:r w:rsidRPr="00374CCA">
        <w:rPr>
          <w:lang w:val="en-AU"/>
        </w:rPr>
        <w:tab/>
        <w:t xml:space="preserve">Clinical management algorithm for patients with severe TR: current practice without </w:t>
      </w:r>
      <w:r w:rsidR="003724AE" w:rsidRPr="00374CCA">
        <w:rPr>
          <w:lang w:val="en-AU"/>
        </w:rPr>
        <w:t>MBS</w:t>
      </w:r>
      <w:r w:rsidR="00D10DC5" w:rsidRPr="00374CCA">
        <w:rPr>
          <w:lang w:val="en-AU"/>
        </w:rPr>
        <w:t xml:space="preserve"> funding of</w:t>
      </w:r>
      <w:r w:rsidR="003724AE" w:rsidRPr="00374CCA">
        <w:rPr>
          <w:lang w:val="en-AU"/>
        </w:rPr>
        <w:t xml:space="preserve"> </w:t>
      </w:r>
      <w:r w:rsidRPr="00374CCA">
        <w:rPr>
          <w:lang w:val="en-AU"/>
        </w:rPr>
        <w:t>T-TEER</w:t>
      </w:r>
    </w:p>
    <w:p w14:paraId="4784E5D3" w14:textId="7BE872FD" w:rsidR="008F183E" w:rsidRPr="00374CCA" w:rsidRDefault="00B522DF" w:rsidP="00C44672">
      <w:pPr>
        <w:pBdr>
          <w:top w:val="single" w:sz="4" w:space="1" w:color="auto"/>
          <w:left w:val="single" w:sz="4" w:space="4" w:color="auto"/>
          <w:bottom w:val="single" w:sz="4" w:space="1" w:color="auto"/>
          <w:right w:val="single" w:sz="4" w:space="4" w:color="auto"/>
        </w:pBdr>
        <w:spacing w:after="80"/>
        <w:jc w:val="center"/>
      </w:pPr>
      <w:r>
        <w:rPr>
          <w:noProof/>
        </w:rPr>
        <w:drawing>
          <wp:inline distT="0" distB="0" distL="0" distR="0" wp14:anchorId="56B61402" wp14:editId="4B24E6DE">
            <wp:extent cx="3914775" cy="3035178"/>
            <wp:effectExtent l="0" t="0" r="0" b="0"/>
            <wp:docPr id="701181980" name="Picture 8" descr="Clinical management algorithm for patients with severe TR: current practice without MBS funding of T-TE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1181980" name="Picture 8" descr="Clinical management algorithm for patients with severe TR: current practice without MBS funding of T-TEE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922234" cy="3040961"/>
                    </a:xfrm>
                    <a:prstGeom prst="rect">
                      <a:avLst/>
                    </a:prstGeom>
                    <a:noFill/>
                  </pic:spPr>
                </pic:pic>
              </a:graphicData>
            </a:graphic>
          </wp:inline>
        </w:drawing>
      </w:r>
    </w:p>
    <w:p w14:paraId="21359D37" w14:textId="0983B03A" w:rsidR="00AA1524" w:rsidRPr="00374CCA" w:rsidRDefault="00AA1524" w:rsidP="00AA1524">
      <w:pPr>
        <w:pStyle w:val="Tablenotes0"/>
      </w:pPr>
      <w:r w:rsidRPr="00374CCA">
        <w:t xml:space="preserve">LVEF = left ventricular ejection fraction; </w:t>
      </w:r>
      <w:r w:rsidR="005A4A62" w:rsidRPr="00374CCA">
        <w:t>MBS</w:t>
      </w:r>
      <w:r w:rsidR="00B26F5F" w:rsidRPr="00374CCA">
        <w:t xml:space="preserve"> =</w:t>
      </w:r>
      <w:r w:rsidR="005A4A62" w:rsidRPr="00374CCA">
        <w:t xml:space="preserve"> Medicare Benefits Schedule; </w:t>
      </w:r>
      <w:r w:rsidRPr="00374CCA">
        <w:t>MDHT = multidisciplinary heart team; OMT = optimal medical therapy; sPAP = systolic pulmonary artery pressure; TR = tricuspid regurgitation; T-TEER = tricuspid valve transcatheter edge-to-edge repair.</w:t>
      </w:r>
    </w:p>
    <w:p w14:paraId="20DD18BB" w14:textId="2F5E36C2" w:rsidR="00AA1524" w:rsidRPr="00374CCA" w:rsidRDefault="00AA1524" w:rsidP="00AA1524">
      <w:pPr>
        <w:pStyle w:val="Tablenotes0"/>
      </w:pPr>
      <w:r w:rsidRPr="00374CCA">
        <w:t xml:space="preserve">Note: </w:t>
      </w:r>
      <w:r w:rsidR="002C1C8F">
        <w:t>U</w:t>
      </w:r>
      <w:r w:rsidRPr="00374CCA">
        <w:t xml:space="preserve">ptake of </w:t>
      </w:r>
      <w:r w:rsidR="002C1C8F">
        <w:t>T-TEER</w:t>
      </w:r>
      <w:r w:rsidR="0040584C">
        <w:t xml:space="preserve"> </w:t>
      </w:r>
      <w:r w:rsidRPr="00374CCA">
        <w:t>in the private setting</w:t>
      </w:r>
      <w:r w:rsidR="00787F45">
        <w:t xml:space="preserve"> is </w:t>
      </w:r>
      <w:r w:rsidR="00E502F4">
        <w:t xml:space="preserve">currently </w:t>
      </w:r>
      <w:r w:rsidR="00787F45">
        <w:t>limited</w:t>
      </w:r>
      <w:r w:rsidR="008F60D2">
        <w:t xml:space="preserve"> to </w:t>
      </w:r>
      <w:r w:rsidR="008F60D2" w:rsidRPr="00A22D1D">
        <w:rPr>
          <w:i/>
        </w:rPr>
        <w:t>ex</w:t>
      </w:r>
      <w:r w:rsidR="007A044A">
        <w:rPr>
          <w:i/>
          <w:iCs/>
        </w:rPr>
        <w:t xml:space="preserve"> </w:t>
      </w:r>
      <w:r w:rsidR="008F60D2" w:rsidRPr="00A22D1D">
        <w:rPr>
          <w:i/>
        </w:rPr>
        <w:t>gratia</w:t>
      </w:r>
      <w:r w:rsidR="008F60D2" w:rsidRPr="00374CCA">
        <w:t xml:space="preserve"> </w:t>
      </w:r>
      <w:r w:rsidR="006D513D">
        <w:t>support</w:t>
      </w:r>
      <w:r w:rsidR="008F60D2" w:rsidRPr="00374CCA">
        <w:t xml:space="preserve"> from private health insurers or </w:t>
      </w:r>
      <w:r w:rsidR="00A46322">
        <w:t xml:space="preserve">to </w:t>
      </w:r>
      <w:r w:rsidR="008F60D2" w:rsidRPr="00374CCA">
        <w:t>self-fund</w:t>
      </w:r>
      <w:r w:rsidR="00A46322">
        <w:t>ed patients</w:t>
      </w:r>
      <w:r w:rsidRPr="00374CCA">
        <w:t>.</w:t>
      </w:r>
    </w:p>
    <w:p w14:paraId="5D0A77ED" w14:textId="77777777" w:rsidR="00AA1524" w:rsidRPr="00374CCA" w:rsidRDefault="00AA1524" w:rsidP="00AA1524">
      <w:pPr>
        <w:pStyle w:val="Tablenotes0"/>
      </w:pPr>
      <w:r w:rsidRPr="00A22D1D">
        <w:rPr>
          <w:vertAlign w:val="superscript"/>
        </w:rPr>
        <w:t>a</w:t>
      </w:r>
      <w:r w:rsidRPr="00374CCA">
        <w:t xml:space="preserve"> Severity determined by echocardiography using American Society of Echocardiography grading.</w:t>
      </w:r>
    </w:p>
    <w:p w14:paraId="75A7AF90" w14:textId="77777777" w:rsidR="00AA1524" w:rsidRPr="00374CCA" w:rsidRDefault="00AA1524" w:rsidP="00AA1524">
      <w:pPr>
        <w:pStyle w:val="Tablenotes0"/>
      </w:pPr>
      <w:r w:rsidRPr="00A22D1D">
        <w:rPr>
          <w:vertAlign w:val="superscript"/>
        </w:rPr>
        <w:t>b</w:t>
      </w:r>
      <w:r w:rsidRPr="00374CCA">
        <w:t xml:space="preserve"> Symptomatic = NYHA functional class II, III or ambulatory IV.</w:t>
      </w:r>
    </w:p>
    <w:p w14:paraId="3D0719CE" w14:textId="4C01A676" w:rsidR="00AA1524" w:rsidRPr="00374CCA" w:rsidRDefault="00AA1524" w:rsidP="00AA1524">
      <w:pPr>
        <w:pStyle w:val="Tablenotes0"/>
      </w:pPr>
      <w:r w:rsidRPr="00A22D1D">
        <w:rPr>
          <w:vertAlign w:val="superscript"/>
        </w:rPr>
        <w:t>c</w:t>
      </w:r>
      <w:r w:rsidRPr="00374CCA">
        <w:t xml:space="preserve"> OMT refers to stable oral diuretic therapy</w:t>
      </w:r>
      <w:r w:rsidR="00352703" w:rsidRPr="00374CCA">
        <w:t xml:space="preserve"> at a minimum</w:t>
      </w:r>
      <w:r w:rsidRPr="00374CCA">
        <w:t>.</w:t>
      </w:r>
    </w:p>
    <w:p w14:paraId="58E796B7" w14:textId="58204859" w:rsidR="00CA5701" w:rsidRPr="00374CCA" w:rsidRDefault="00AA1524">
      <w:pPr>
        <w:pStyle w:val="Tablenotes0"/>
      </w:pPr>
      <w:r w:rsidRPr="00A22D1D">
        <w:rPr>
          <w:vertAlign w:val="superscript"/>
        </w:rPr>
        <w:t>d</w:t>
      </w:r>
      <w:r w:rsidRPr="00374CCA">
        <w:t xml:space="preserve"> Patients are considered for surgery by a</w:t>
      </w:r>
      <w:r w:rsidR="00BE3512">
        <w:t>n</w:t>
      </w:r>
      <w:r w:rsidRPr="00374CCA">
        <w:t xml:space="preserve"> MDHT, combining surgical risk assessment, frailty, major organ dysfunction and procedure-specific impediments.</w:t>
      </w:r>
    </w:p>
    <w:p w14:paraId="3834EB72" w14:textId="5F819836" w:rsidR="00675F31" w:rsidRPr="00374CCA" w:rsidRDefault="00675F31" w:rsidP="00675F31">
      <w:pPr>
        <w:autoSpaceDE w:val="0"/>
        <w:autoSpaceDN w:val="0"/>
        <w:adjustRightInd w:val="0"/>
      </w:pPr>
      <w:r w:rsidRPr="00374CCA">
        <w:t xml:space="preserve">The proposed clinical management algorithm </w:t>
      </w:r>
      <w:r w:rsidR="00093570" w:rsidRPr="00374CCA">
        <w:t>incorporating</w:t>
      </w:r>
      <w:r w:rsidRPr="00374CCA">
        <w:t xml:space="preserve"> MBS</w:t>
      </w:r>
      <w:r w:rsidR="00093570" w:rsidRPr="00374CCA">
        <w:t>-funded</w:t>
      </w:r>
      <w:r w:rsidRPr="00374CCA">
        <w:t xml:space="preserve"> T-TEER is </w:t>
      </w:r>
      <w:r w:rsidR="00CC64AA" w:rsidRPr="00374CCA">
        <w:t>illustrated</w:t>
      </w:r>
      <w:r w:rsidRPr="00374CCA">
        <w:t xml:space="preserve"> in </w:t>
      </w:r>
      <w:r w:rsidRPr="00374CCA">
        <w:fldChar w:fldCharType="begin"/>
      </w:r>
      <w:r w:rsidRPr="00374CCA">
        <w:instrText xml:space="preserve"> REF _Ref190803407 \h </w:instrText>
      </w:r>
      <w:r w:rsidRPr="00374CCA">
        <w:fldChar w:fldCharType="separate"/>
      </w:r>
      <w:r w:rsidR="005B2582" w:rsidRPr="00374CCA">
        <w:t xml:space="preserve">Figure </w:t>
      </w:r>
      <w:r w:rsidR="005B2582" w:rsidRPr="00C35F7C">
        <w:t>2</w:t>
      </w:r>
      <w:r w:rsidRPr="00374CCA">
        <w:fldChar w:fldCharType="end"/>
      </w:r>
      <w:r w:rsidRPr="00374CCA">
        <w:t>.</w:t>
      </w:r>
    </w:p>
    <w:p w14:paraId="639C8282" w14:textId="6B3C600C" w:rsidR="000F5382" w:rsidRPr="00374CCA" w:rsidRDefault="00FB087A" w:rsidP="00675F31">
      <w:pPr>
        <w:autoSpaceDE w:val="0"/>
        <w:autoSpaceDN w:val="0"/>
        <w:adjustRightInd w:val="0"/>
      </w:pPr>
      <w:r w:rsidRPr="00374CCA">
        <w:t>The introduction of MBS funding for T-TEER is expected to increase procedural uptake, which is currently limited across both public</w:t>
      </w:r>
      <w:r w:rsidR="003C05B0">
        <w:rPr>
          <w:rStyle w:val="FootnoteReference"/>
        </w:rPr>
        <w:footnoteReference w:id="6"/>
      </w:r>
      <w:r w:rsidRPr="00374CCA">
        <w:t xml:space="preserve"> and private healthcare settings in Australia. </w:t>
      </w:r>
      <w:r w:rsidR="000F5382">
        <w:t>T</w:t>
      </w:r>
      <w:r w:rsidR="000F5382" w:rsidRPr="00374CCA">
        <w:t xml:space="preserve">he </w:t>
      </w:r>
      <w:r w:rsidR="000F5382">
        <w:t xml:space="preserve">Ratified </w:t>
      </w:r>
      <w:r w:rsidR="000F5382" w:rsidRPr="00374CCA">
        <w:t>PICO confirmation for MSAC application 1799</w:t>
      </w:r>
      <w:r w:rsidR="000F5382">
        <w:t xml:space="preserve"> noted that there was some use of </w:t>
      </w:r>
      <w:r w:rsidR="000F5382" w:rsidRPr="00374CCA">
        <w:t>TTV repair</w:t>
      </w:r>
      <w:r w:rsidR="000F5382">
        <w:t xml:space="preserve"> devices (the PASCAL Precision System, the TriClip system)</w:t>
      </w:r>
      <w:r w:rsidR="000F5382" w:rsidRPr="00374CCA">
        <w:t xml:space="preserve"> in the public healthcare system in Australia and</w:t>
      </w:r>
      <w:r w:rsidR="000F5382">
        <w:t xml:space="preserve"> but</w:t>
      </w:r>
      <w:r w:rsidR="000F5382" w:rsidRPr="00374CCA">
        <w:t xml:space="preserve"> limited </w:t>
      </w:r>
      <w:r w:rsidR="000F5382">
        <w:t xml:space="preserve">use </w:t>
      </w:r>
      <w:r w:rsidR="000F5382" w:rsidRPr="00374CCA">
        <w:t>in the private s</w:t>
      </w:r>
      <w:r w:rsidR="000F5382">
        <w:t xml:space="preserve">etting. </w:t>
      </w:r>
    </w:p>
    <w:p w14:paraId="108DBA2E" w14:textId="401D4349" w:rsidR="00EA3EB0" w:rsidRPr="00374CCA" w:rsidRDefault="00EA3EB0" w:rsidP="00EA3EB0">
      <w:pPr>
        <w:autoSpaceDE w:val="0"/>
        <w:autoSpaceDN w:val="0"/>
        <w:adjustRightInd w:val="0"/>
      </w:pPr>
      <w:r w:rsidRPr="00374CCA">
        <w:lastRenderedPageBreak/>
        <w:t xml:space="preserve">Access to T-TEER is </w:t>
      </w:r>
      <w:r w:rsidR="00DD53FD">
        <w:t>proposed</w:t>
      </w:r>
      <w:r w:rsidR="00BC5C88">
        <w:t xml:space="preserve"> to be</w:t>
      </w:r>
      <w:r w:rsidRPr="00374CCA">
        <w:t xml:space="preserve"> restricted to patients who can attend accredited heart centres staffed by appropriately trained and credentialed specialists. Candidacy for T-TEER is </w:t>
      </w:r>
      <w:r w:rsidR="00454099">
        <w:t>considered by the MDHT</w:t>
      </w:r>
      <w:r w:rsidR="00B66E53">
        <w:t xml:space="preserve"> </w:t>
      </w:r>
      <w:r w:rsidR="00BE5436">
        <w:t xml:space="preserve">and </w:t>
      </w:r>
      <w:r w:rsidRPr="00374CCA">
        <w:t xml:space="preserve">determined by a combination of anatomical, functional, and clinical factors. The procedure is most appropriate for patients with preserved leaflet anatomy that permits secure leaflet grasping, particularly in cases of modest annular dilation, small coaptation gaps, and absence of interfering intracardiac leads (e.g. pacemaker or </w:t>
      </w:r>
      <w:r w:rsidR="00B913A1">
        <w:t>i</w:t>
      </w:r>
      <w:r w:rsidR="003B1A29">
        <w:t xml:space="preserve">mplantable </w:t>
      </w:r>
      <w:r w:rsidR="00B913A1">
        <w:t>c</w:t>
      </w:r>
      <w:r w:rsidR="003B1A29">
        <w:t>ardio</w:t>
      </w:r>
      <w:r w:rsidR="00614984">
        <w:t xml:space="preserve">verter </w:t>
      </w:r>
      <w:r w:rsidR="00B913A1">
        <w:t>d</w:t>
      </w:r>
      <w:r w:rsidR="00614984">
        <w:t>ef</w:t>
      </w:r>
      <w:r w:rsidR="005F1370">
        <w:t>ibrillator</w:t>
      </w:r>
      <w:r w:rsidRPr="00374CCA">
        <w:t>.</w:t>
      </w:r>
    </w:p>
    <w:p w14:paraId="282C27CA" w14:textId="25958FA4" w:rsidR="00EA3EB0" w:rsidRPr="00374CCA" w:rsidDel="00830A2E" w:rsidRDefault="005B60DF" w:rsidP="00531D5B">
      <w:r>
        <w:t>Privately</w:t>
      </w:r>
      <w:r w:rsidR="00EA3EB0" w:rsidRPr="00374CCA">
        <w:t xml:space="preserve"> funded</w:t>
      </w:r>
      <w:r w:rsidR="00CB054C">
        <w:t xml:space="preserve"> </w:t>
      </w:r>
      <w:r w:rsidR="00EA3EB0" w:rsidRPr="00374CCA">
        <w:t xml:space="preserve">TTV replacement may be </w:t>
      </w:r>
      <w:r w:rsidR="007B6141">
        <w:t xml:space="preserve">a </w:t>
      </w:r>
      <w:r w:rsidR="00FC02CF" w:rsidRPr="00374CCA">
        <w:t>viable</w:t>
      </w:r>
      <w:r w:rsidR="00EA3EB0" w:rsidRPr="00374CCA">
        <w:t xml:space="preserve"> option when leaflet morphology precludes </w:t>
      </w:r>
      <w:r w:rsidR="005B04DB">
        <w:t xml:space="preserve">TTV </w:t>
      </w:r>
      <w:r w:rsidR="00EA3EB0" w:rsidRPr="00374CCA">
        <w:t>repair</w:t>
      </w:r>
      <w:r w:rsidR="005E25BE">
        <w:t xml:space="preserve"> (such as using T-TEER)</w:t>
      </w:r>
      <w:r w:rsidR="00CB2C86" w:rsidRPr="00374CCA">
        <w:t xml:space="preserve">; </w:t>
      </w:r>
      <w:r w:rsidR="00EA3EB0" w:rsidRPr="00374CCA">
        <w:t>for example, in the presence of short, severely calcified, fibrotic, degenerated, or retracted leaflets. It is also considered when annular dilation is extreme or coaptation gaps are too large for repair devices to achieve effective leaflet approximation (Nagraj et al. 2022).</w:t>
      </w:r>
      <w:r w:rsidR="00EF7E30" w:rsidRPr="00374CCA">
        <w:t xml:space="preserve"> </w:t>
      </w:r>
      <w:r w:rsidR="00D605E0" w:rsidRPr="00374CCA">
        <w:t>Despite these indications</w:t>
      </w:r>
      <w:r w:rsidR="00EF7E30" w:rsidRPr="00374CCA">
        <w:t xml:space="preserve">, </w:t>
      </w:r>
      <w:r w:rsidR="00E03085" w:rsidRPr="00374CCA">
        <w:t xml:space="preserve">T-TEER </w:t>
      </w:r>
      <w:r w:rsidR="00D605E0" w:rsidRPr="00374CCA">
        <w:t>remains the</w:t>
      </w:r>
      <w:r w:rsidR="00E03085" w:rsidRPr="00374CCA">
        <w:t xml:space="preserve"> preferred </w:t>
      </w:r>
      <w:r w:rsidR="007E4939" w:rsidRPr="00374CCA">
        <w:t xml:space="preserve">approach due to </w:t>
      </w:r>
      <w:r w:rsidR="00433710" w:rsidRPr="00374CCA">
        <w:t xml:space="preserve">its </w:t>
      </w:r>
      <w:r w:rsidR="007E4939" w:rsidRPr="00374CCA">
        <w:t xml:space="preserve">more favourable </w:t>
      </w:r>
      <w:r w:rsidR="00433710" w:rsidRPr="00374CCA">
        <w:t>safety profile.</w:t>
      </w:r>
      <w:r w:rsidR="005B0DEF" w:rsidRPr="00374CCA">
        <w:t xml:space="preserve"> As previously noted, MSAC application 1799 was withdrawn before MSAC consideration. </w:t>
      </w:r>
    </w:p>
    <w:p w14:paraId="320A96BD" w14:textId="3DAB2FF8" w:rsidR="00EA3EB0" w:rsidRDefault="00EA3EB0" w:rsidP="00EA3EB0">
      <w:pPr>
        <w:autoSpaceDE w:val="0"/>
        <w:autoSpaceDN w:val="0"/>
        <w:adjustRightInd w:val="0"/>
      </w:pPr>
      <w:r w:rsidRPr="00374CCA">
        <w:t xml:space="preserve">Patients who are not suitable for </w:t>
      </w:r>
      <w:r w:rsidR="00970053">
        <w:t>T-</w:t>
      </w:r>
      <w:r w:rsidR="00636891">
        <w:t>TEER</w:t>
      </w:r>
      <w:r w:rsidRPr="00374CCA">
        <w:t xml:space="preserve"> continue on OMT</w:t>
      </w:r>
      <w:r w:rsidR="002D5162" w:rsidRPr="00374CCA">
        <w:t xml:space="preserve"> alone</w:t>
      </w:r>
      <w:r w:rsidRPr="00374CCA">
        <w:t>, though this approach is associated with suboptimal clinical outcomes and poor long-term prognosis.</w:t>
      </w:r>
    </w:p>
    <w:p w14:paraId="568CBB76" w14:textId="5881F4B9" w:rsidR="00D10DC5" w:rsidRPr="00374CCA" w:rsidRDefault="00D10DC5" w:rsidP="00D10DC5">
      <w:pPr>
        <w:pStyle w:val="Caption"/>
        <w:rPr>
          <w:lang w:val="en-AU"/>
        </w:rPr>
      </w:pPr>
      <w:bookmarkStart w:id="8" w:name="_Ref190803407"/>
      <w:r w:rsidRPr="00374CCA">
        <w:rPr>
          <w:lang w:val="en-AU"/>
        </w:rPr>
        <w:t xml:space="preserve">Figure </w:t>
      </w:r>
      <w:r w:rsidRPr="00374CCA">
        <w:rPr>
          <w:lang w:val="en-AU"/>
        </w:rPr>
        <w:fldChar w:fldCharType="begin"/>
      </w:r>
      <w:r w:rsidRPr="00374CCA">
        <w:rPr>
          <w:lang w:val="en-AU"/>
        </w:rPr>
        <w:instrText xml:space="preserve"> SEQ Figure \* ARABIC </w:instrText>
      </w:r>
      <w:r w:rsidRPr="00374CCA">
        <w:rPr>
          <w:lang w:val="en-AU"/>
        </w:rPr>
        <w:fldChar w:fldCharType="separate"/>
      </w:r>
      <w:r w:rsidR="005B2582" w:rsidRPr="00C35F7C">
        <w:rPr>
          <w:lang w:val="en-AU"/>
        </w:rPr>
        <w:t>2</w:t>
      </w:r>
      <w:r w:rsidRPr="00374CCA">
        <w:rPr>
          <w:lang w:val="en-AU"/>
        </w:rPr>
        <w:fldChar w:fldCharType="end"/>
      </w:r>
      <w:bookmarkEnd w:id="8"/>
      <w:r w:rsidRPr="00374CCA">
        <w:rPr>
          <w:lang w:val="en-AU"/>
        </w:rPr>
        <w:tab/>
        <w:t>Clinical management algorithm for patients with severe TR: proposed practice with MBS funding of T-TEER</w:t>
      </w:r>
    </w:p>
    <w:p w14:paraId="7F89C4D1" w14:textId="620EAED1" w:rsidR="00413DC8" w:rsidRPr="00374CCA" w:rsidRDefault="004C4C8A" w:rsidP="006946EA">
      <w:pPr>
        <w:pBdr>
          <w:top w:val="single" w:sz="4" w:space="1" w:color="auto"/>
          <w:left w:val="single" w:sz="4" w:space="4" w:color="auto"/>
          <w:bottom w:val="single" w:sz="4" w:space="1" w:color="auto"/>
          <w:right w:val="single" w:sz="4" w:space="4" w:color="auto"/>
        </w:pBdr>
        <w:spacing w:after="80"/>
        <w:jc w:val="center"/>
      </w:pPr>
      <w:r>
        <w:rPr>
          <w:noProof/>
        </w:rPr>
        <w:drawing>
          <wp:inline distT="0" distB="0" distL="0" distR="0" wp14:anchorId="27A8F8B7" wp14:editId="1AB45467">
            <wp:extent cx="4267200" cy="4209380"/>
            <wp:effectExtent l="0" t="0" r="0" b="1270"/>
            <wp:docPr id="1726256265" name="Picture 9" descr="Clinical management algorithm for patients with severe TR: proposed practice with MBS funding of T-TE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6256265" name="Picture 9" descr="Clinical management algorithm for patients with severe TR: proposed practice with MBS funding of T-TEE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273638" cy="4215731"/>
                    </a:xfrm>
                    <a:prstGeom prst="rect">
                      <a:avLst/>
                    </a:prstGeom>
                    <a:noFill/>
                  </pic:spPr>
                </pic:pic>
              </a:graphicData>
            </a:graphic>
          </wp:inline>
        </w:drawing>
      </w:r>
    </w:p>
    <w:p w14:paraId="71AA155B" w14:textId="5D59A9AE" w:rsidR="006946EA" w:rsidRPr="00374CCA" w:rsidRDefault="006946EA" w:rsidP="006946EA">
      <w:pPr>
        <w:pStyle w:val="Tablenotes0"/>
      </w:pPr>
      <w:r w:rsidRPr="00374CCA">
        <w:t xml:space="preserve">LVEF = left ventricular ejection fraction; </w:t>
      </w:r>
      <w:r w:rsidR="001F0609" w:rsidRPr="00374CCA">
        <w:t>MBS</w:t>
      </w:r>
      <w:r w:rsidR="00B26F5F" w:rsidRPr="00374CCA">
        <w:t xml:space="preserve"> =</w:t>
      </w:r>
      <w:r w:rsidR="001F0609" w:rsidRPr="00374CCA">
        <w:t xml:space="preserve"> Medica</w:t>
      </w:r>
      <w:r w:rsidR="007F76C3" w:rsidRPr="00374CCA">
        <w:t>re</w:t>
      </w:r>
      <w:r w:rsidR="001F0609" w:rsidRPr="00374CCA">
        <w:t xml:space="preserve"> Benefits Schedule; </w:t>
      </w:r>
      <w:r w:rsidRPr="00374CCA">
        <w:t>MDHT = multidisciplinary heart team; OMT = optimal medical therapy; sPAP = systolic pulmonary artery pressure; TR = tricuspid regurgitation; T-TEER = tricuspid valve transcatheter edge-to-edge repair.</w:t>
      </w:r>
    </w:p>
    <w:p w14:paraId="6357CC34" w14:textId="77777777" w:rsidR="006946EA" w:rsidRPr="00374CCA" w:rsidRDefault="006946EA" w:rsidP="006946EA">
      <w:pPr>
        <w:pStyle w:val="Tablenotes0"/>
      </w:pPr>
      <w:r w:rsidRPr="00FD7EA1">
        <w:rPr>
          <w:vertAlign w:val="superscript"/>
        </w:rPr>
        <w:t>a</w:t>
      </w:r>
      <w:r w:rsidRPr="00374CCA">
        <w:t xml:space="preserve"> Severity determined by echocardiography using American Society of Echocardiography grading.</w:t>
      </w:r>
    </w:p>
    <w:p w14:paraId="3A41E512" w14:textId="77777777" w:rsidR="006946EA" w:rsidRPr="00374CCA" w:rsidRDefault="006946EA" w:rsidP="006946EA">
      <w:pPr>
        <w:pStyle w:val="Tablenotes0"/>
      </w:pPr>
      <w:r w:rsidRPr="00FD7EA1">
        <w:rPr>
          <w:vertAlign w:val="superscript"/>
        </w:rPr>
        <w:t>b</w:t>
      </w:r>
      <w:r w:rsidRPr="00374CCA">
        <w:t xml:space="preserve"> Symptomatic = NYHA functional class II, III or ambulatory IV.</w:t>
      </w:r>
    </w:p>
    <w:p w14:paraId="0CFDB8E3" w14:textId="3E75CF40" w:rsidR="006946EA" w:rsidRPr="00374CCA" w:rsidRDefault="006946EA" w:rsidP="006946EA">
      <w:pPr>
        <w:pStyle w:val="Tablenotes0"/>
      </w:pPr>
      <w:r w:rsidRPr="00FD7EA1">
        <w:rPr>
          <w:vertAlign w:val="superscript"/>
        </w:rPr>
        <w:t>c</w:t>
      </w:r>
      <w:r w:rsidRPr="00374CCA">
        <w:t xml:space="preserve"> OMT refers to stable oral diuretic therapy</w:t>
      </w:r>
      <w:r w:rsidR="00352703" w:rsidRPr="00374CCA">
        <w:t xml:space="preserve"> at a minimum</w:t>
      </w:r>
      <w:r w:rsidRPr="00374CCA">
        <w:t>.</w:t>
      </w:r>
    </w:p>
    <w:p w14:paraId="7CAA8BAB" w14:textId="0B6B7A8F" w:rsidR="006946EA" w:rsidRPr="00374CCA" w:rsidRDefault="006946EA" w:rsidP="006946EA">
      <w:pPr>
        <w:pStyle w:val="Tablenotes0"/>
      </w:pPr>
      <w:r w:rsidRPr="00FD7EA1">
        <w:rPr>
          <w:vertAlign w:val="superscript"/>
        </w:rPr>
        <w:t>d</w:t>
      </w:r>
      <w:r w:rsidRPr="00374CCA">
        <w:t xml:space="preserve"> Patients are considered for surgery by a</w:t>
      </w:r>
      <w:r w:rsidR="00BE3512">
        <w:t>n</w:t>
      </w:r>
      <w:r w:rsidRPr="00374CCA">
        <w:t xml:space="preserve"> MDHT, combining surgical risk assessment, frailty, major organ dysfunction and procedure-specific impediments.</w:t>
      </w:r>
    </w:p>
    <w:p w14:paraId="29E30812" w14:textId="1A8600FC" w:rsidR="00413645" w:rsidRPr="00374CCA" w:rsidRDefault="006946EA" w:rsidP="006946EA">
      <w:pPr>
        <w:pStyle w:val="Tablenotes0"/>
      </w:pPr>
      <w:r w:rsidRPr="00FD7EA1">
        <w:rPr>
          <w:vertAlign w:val="superscript"/>
        </w:rPr>
        <w:t>e</w:t>
      </w:r>
      <w:r w:rsidRPr="00374CCA">
        <w:t xml:space="preserve"> Patients are considered for </w:t>
      </w:r>
      <w:r w:rsidR="000E3C9A">
        <w:t>T-TEER</w:t>
      </w:r>
      <w:r w:rsidRPr="00374CCA">
        <w:t xml:space="preserve"> by a</w:t>
      </w:r>
      <w:r w:rsidR="00BE3512">
        <w:t>n</w:t>
      </w:r>
      <w:r w:rsidRPr="00374CCA">
        <w:t xml:space="preserve"> MDHT based on a detailed assessment of comorbidities and expected benefits. </w:t>
      </w:r>
    </w:p>
    <w:p w14:paraId="06881BB4" w14:textId="77777777" w:rsidR="00162D40" w:rsidRDefault="00162D40" w:rsidP="00162D40">
      <w:pPr>
        <w:autoSpaceDE w:val="0"/>
        <w:autoSpaceDN w:val="0"/>
        <w:adjustRightInd w:val="0"/>
        <w:rPr>
          <w:rFonts w:asciiTheme="minorHAnsi" w:hAnsiTheme="minorHAnsi" w:cstheme="minorHAnsi"/>
          <w:i/>
          <w:iCs/>
        </w:rPr>
      </w:pPr>
      <w:r w:rsidRPr="00374CCA">
        <w:rPr>
          <w:rFonts w:asciiTheme="minorHAnsi" w:hAnsiTheme="minorHAnsi" w:cstheme="minorHAnsi"/>
          <w:i/>
          <w:iCs/>
        </w:rPr>
        <w:lastRenderedPageBreak/>
        <w:t xml:space="preserve">PASC considered that </w:t>
      </w:r>
      <w:r w:rsidRPr="00374CCA" w:rsidDel="00A40097">
        <w:rPr>
          <w:rFonts w:asciiTheme="minorHAnsi" w:hAnsiTheme="minorHAnsi" w:cstheme="minorHAnsi"/>
          <w:i/>
          <w:iCs/>
        </w:rPr>
        <w:t xml:space="preserve">although </w:t>
      </w:r>
      <w:r w:rsidRPr="00374CCA">
        <w:rPr>
          <w:rFonts w:asciiTheme="minorHAnsi" w:hAnsiTheme="minorHAnsi" w:cstheme="minorHAnsi"/>
          <w:i/>
          <w:iCs/>
        </w:rPr>
        <w:t>T-TEER may currently be used to a limited extent in the private setting</w:t>
      </w:r>
      <w:r>
        <w:rPr>
          <w:rFonts w:asciiTheme="minorHAnsi" w:hAnsiTheme="minorHAnsi" w:cstheme="minorHAnsi"/>
          <w:i/>
          <w:iCs/>
        </w:rPr>
        <w:t>,</w:t>
      </w:r>
      <w:r w:rsidRPr="00374CCA">
        <w:rPr>
          <w:rFonts w:asciiTheme="minorHAnsi" w:hAnsiTheme="minorHAnsi" w:cstheme="minorHAnsi"/>
          <w:i/>
          <w:iCs/>
        </w:rPr>
        <w:t xml:space="preserve"> it is not established practice </w:t>
      </w:r>
      <w:r w:rsidRPr="00374CCA" w:rsidDel="00C646EE">
        <w:rPr>
          <w:rFonts w:asciiTheme="minorHAnsi" w:hAnsiTheme="minorHAnsi" w:cstheme="minorHAnsi"/>
          <w:i/>
          <w:iCs/>
        </w:rPr>
        <w:t xml:space="preserve">and </w:t>
      </w:r>
      <w:r w:rsidRPr="00374CCA" w:rsidDel="002E00EE">
        <w:rPr>
          <w:rFonts w:asciiTheme="minorHAnsi" w:hAnsiTheme="minorHAnsi" w:cstheme="minorHAnsi"/>
          <w:i/>
          <w:iCs/>
        </w:rPr>
        <w:t>should</w:t>
      </w:r>
      <w:r w:rsidRPr="00374CCA">
        <w:rPr>
          <w:rFonts w:asciiTheme="minorHAnsi" w:hAnsiTheme="minorHAnsi" w:cstheme="minorHAnsi"/>
          <w:i/>
          <w:iCs/>
        </w:rPr>
        <w:t xml:space="preserve"> not be included in the current clinical management algorithm. Otherwise, PASC </w:t>
      </w:r>
      <w:r>
        <w:rPr>
          <w:rFonts w:asciiTheme="minorHAnsi" w:hAnsiTheme="minorHAnsi" w:cstheme="minorHAnsi"/>
          <w:i/>
          <w:iCs/>
        </w:rPr>
        <w:t>consider</w:t>
      </w:r>
      <w:r w:rsidRPr="00374CCA">
        <w:rPr>
          <w:rFonts w:asciiTheme="minorHAnsi" w:hAnsiTheme="minorHAnsi" w:cstheme="minorHAnsi"/>
          <w:i/>
          <w:iCs/>
        </w:rPr>
        <w:t xml:space="preserve">ed that the current clinical management algorithm is appropriate. </w:t>
      </w:r>
    </w:p>
    <w:p w14:paraId="3EBCDD76" w14:textId="77777777" w:rsidR="00162D40" w:rsidRDefault="00162D40" w:rsidP="00162D40">
      <w:pPr>
        <w:rPr>
          <w:rFonts w:asciiTheme="minorHAnsi" w:hAnsiTheme="minorHAnsi" w:cstheme="minorHAnsi"/>
          <w:i/>
          <w:iCs/>
        </w:rPr>
      </w:pPr>
      <w:r w:rsidRPr="00374CCA" w:rsidDel="00C30ACA">
        <w:rPr>
          <w:rFonts w:asciiTheme="minorHAnsi" w:hAnsiTheme="minorHAnsi" w:cstheme="minorHAnsi"/>
          <w:i/>
          <w:iCs/>
        </w:rPr>
        <w:t xml:space="preserve">PASC also </w:t>
      </w:r>
      <w:r w:rsidRPr="00374CCA">
        <w:rPr>
          <w:rFonts w:asciiTheme="minorHAnsi" w:hAnsiTheme="minorHAnsi" w:cstheme="minorHAnsi"/>
          <w:i/>
          <w:iCs/>
        </w:rPr>
        <w:t>considered</w:t>
      </w:r>
      <w:r w:rsidRPr="00374CCA" w:rsidDel="00C30ACA">
        <w:rPr>
          <w:rFonts w:asciiTheme="minorHAnsi" w:hAnsiTheme="minorHAnsi" w:cstheme="minorHAnsi"/>
          <w:i/>
          <w:iCs/>
        </w:rPr>
        <w:t xml:space="preserve"> that the proposed algorithm is suitable, </w:t>
      </w:r>
      <w:r w:rsidRPr="00374CCA" w:rsidDel="006A384C">
        <w:rPr>
          <w:rFonts w:asciiTheme="minorHAnsi" w:hAnsiTheme="minorHAnsi" w:cstheme="minorHAnsi"/>
          <w:i/>
          <w:iCs/>
        </w:rPr>
        <w:t>provided</w:t>
      </w:r>
      <w:r w:rsidRPr="00374CCA" w:rsidDel="00C30ACA">
        <w:rPr>
          <w:rFonts w:asciiTheme="minorHAnsi" w:hAnsiTheme="minorHAnsi" w:cstheme="minorHAnsi"/>
          <w:i/>
          <w:iCs/>
        </w:rPr>
        <w:t xml:space="preserve"> that TTV replacement</w:t>
      </w:r>
      <w:r>
        <w:rPr>
          <w:rFonts w:asciiTheme="minorHAnsi" w:hAnsiTheme="minorHAnsi" w:cstheme="minorHAnsi"/>
          <w:i/>
          <w:iCs/>
        </w:rPr>
        <w:t>, not being publicly funded,</w:t>
      </w:r>
      <w:r w:rsidRPr="00374CCA" w:rsidDel="00C30ACA">
        <w:rPr>
          <w:rFonts w:asciiTheme="minorHAnsi" w:hAnsiTheme="minorHAnsi" w:cstheme="minorHAnsi"/>
          <w:i/>
          <w:iCs/>
        </w:rPr>
        <w:t xml:space="preserve"> </w:t>
      </w:r>
      <w:r w:rsidRPr="00374CCA" w:rsidDel="00A31E2F">
        <w:rPr>
          <w:rFonts w:asciiTheme="minorHAnsi" w:hAnsiTheme="minorHAnsi" w:cstheme="minorHAnsi"/>
          <w:i/>
          <w:iCs/>
        </w:rPr>
        <w:t>is</w:t>
      </w:r>
      <w:r w:rsidRPr="00374CCA" w:rsidDel="00C30ACA">
        <w:rPr>
          <w:rFonts w:asciiTheme="minorHAnsi" w:hAnsiTheme="minorHAnsi" w:cstheme="minorHAnsi"/>
          <w:i/>
          <w:iCs/>
        </w:rPr>
        <w:t xml:space="preserve"> not included as </w:t>
      </w:r>
      <w:r w:rsidRPr="00374CCA" w:rsidDel="00523CE6">
        <w:rPr>
          <w:rFonts w:asciiTheme="minorHAnsi" w:hAnsiTheme="minorHAnsi" w:cstheme="minorHAnsi"/>
          <w:i/>
          <w:iCs/>
        </w:rPr>
        <w:t>a potential treatment option for the proposed population, as</w:t>
      </w:r>
      <w:r w:rsidRPr="00374CCA">
        <w:rPr>
          <w:rFonts w:asciiTheme="minorHAnsi" w:hAnsiTheme="minorHAnsi" w:cstheme="minorHAnsi"/>
          <w:i/>
          <w:iCs/>
        </w:rPr>
        <w:t xml:space="preserve"> </w:t>
      </w:r>
      <w:r w:rsidRPr="00374CCA" w:rsidDel="00C30ACA">
        <w:rPr>
          <w:rFonts w:asciiTheme="minorHAnsi" w:hAnsiTheme="minorHAnsi" w:cstheme="minorHAnsi"/>
          <w:i/>
          <w:iCs/>
        </w:rPr>
        <w:t>the related MSAC application has been withdrawn.</w:t>
      </w:r>
    </w:p>
    <w:p w14:paraId="70E15B95" w14:textId="7AA8F49B" w:rsidR="005B4261" w:rsidRPr="00374CCA" w:rsidRDefault="005B4261" w:rsidP="00162D40">
      <w:r w:rsidRPr="00374CCA">
        <w:t>The application state</w:t>
      </w:r>
      <w:r w:rsidR="00F323D2" w:rsidRPr="00374CCA">
        <w:t>d</w:t>
      </w:r>
      <w:r w:rsidRPr="00374CCA">
        <w:t xml:space="preserve"> that resource utilisation prior to T-TEER will remain consistent between the current and proposed clinical management pathways.</w:t>
      </w:r>
    </w:p>
    <w:p w14:paraId="7CFCB1DD" w14:textId="5BA2587C" w:rsidR="0038653B" w:rsidRPr="00374CCA" w:rsidRDefault="005B4261" w:rsidP="005B4261">
      <w:pPr>
        <w:autoSpaceDE w:val="0"/>
        <w:autoSpaceDN w:val="0"/>
        <w:adjustRightInd w:val="0"/>
      </w:pPr>
      <w:r w:rsidRPr="00374CCA">
        <w:t xml:space="preserve">Following T-TEER, patients will continue </w:t>
      </w:r>
      <w:r w:rsidR="0071592E" w:rsidRPr="00374CCA">
        <w:t>to receive</w:t>
      </w:r>
      <w:r w:rsidRPr="00374CCA">
        <w:t xml:space="preserve"> OMT, with medication regimens adjusted as needed by their treating physician. According to the application, the primary difference in healthcare resource utilisation between T-TEER and OMT alone is the requirement for follow-up TTE </w:t>
      </w:r>
      <w:r w:rsidR="00B66436" w:rsidRPr="00374CCA">
        <w:t>(</w:t>
      </w:r>
      <w:r w:rsidRPr="00374CCA">
        <w:t>prior to discharge, and ongoing imaging every 1 to 2 years post-procedure</w:t>
      </w:r>
      <w:r w:rsidR="00B66436" w:rsidRPr="00374CCA">
        <w:t>)</w:t>
      </w:r>
      <w:r w:rsidRPr="00374CCA">
        <w:t>.</w:t>
      </w:r>
    </w:p>
    <w:p w14:paraId="2BDE22B9" w14:textId="77777777" w:rsidR="00D73332" w:rsidRPr="00374CCA" w:rsidRDefault="00D73332" w:rsidP="00713728">
      <w:pPr>
        <w:pStyle w:val="Heading2"/>
      </w:pPr>
      <w:r w:rsidRPr="00374CCA">
        <w:t>Proposed economic evaluation</w:t>
      </w:r>
    </w:p>
    <w:p w14:paraId="4926CAF0" w14:textId="29BB663C" w:rsidR="002D4D8C" w:rsidRPr="00374CCA" w:rsidRDefault="002D4D8C" w:rsidP="002E0952">
      <w:pPr>
        <w:rPr>
          <w:iCs/>
        </w:rPr>
      </w:pPr>
      <w:r w:rsidRPr="00374CCA">
        <w:rPr>
          <w:iCs/>
        </w:rPr>
        <w:t xml:space="preserve">The clinical claim made in the application was that T-TEER using the TriClip System </w:t>
      </w:r>
      <w:r w:rsidR="00EE53B9" w:rsidRPr="00374CCA">
        <w:rPr>
          <w:iCs/>
        </w:rPr>
        <w:t xml:space="preserve">plus OMT </w:t>
      </w:r>
      <w:r w:rsidRPr="00374CCA">
        <w:rPr>
          <w:iCs/>
        </w:rPr>
        <w:t xml:space="preserve">is superior with respect to efficacy (mortality, hospitalisation for heart failure, TR severity, and quality of life) and inferior with respect to safety (procedural complications) </w:t>
      </w:r>
      <w:r w:rsidR="004442DD" w:rsidRPr="00374CCA">
        <w:rPr>
          <w:iCs/>
        </w:rPr>
        <w:t xml:space="preserve">when </w:t>
      </w:r>
      <w:r w:rsidRPr="00374CCA">
        <w:rPr>
          <w:iCs/>
        </w:rPr>
        <w:t>compared to OMT</w:t>
      </w:r>
      <w:r w:rsidR="00E24BE0" w:rsidRPr="00374CCA">
        <w:rPr>
          <w:iCs/>
        </w:rPr>
        <w:t xml:space="preserve"> alone</w:t>
      </w:r>
      <w:r w:rsidRPr="00374CCA">
        <w:rPr>
          <w:iCs/>
        </w:rPr>
        <w:t xml:space="preserve">. </w:t>
      </w:r>
    </w:p>
    <w:p w14:paraId="0009FD35" w14:textId="3DDC7090" w:rsidR="002E0952" w:rsidRPr="00374CCA" w:rsidRDefault="004E48EA" w:rsidP="002E0952">
      <w:r w:rsidRPr="00374CCA">
        <w:t xml:space="preserve">Based on the application’s clinical claims of </w:t>
      </w:r>
      <w:r w:rsidRPr="00374CCA">
        <w:rPr>
          <w:b/>
          <w:bCs/>
        </w:rPr>
        <w:t>superior efficacy</w:t>
      </w:r>
      <w:r w:rsidRPr="00374CCA">
        <w:t xml:space="preserve"> and </w:t>
      </w:r>
      <w:r w:rsidRPr="00374CCA">
        <w:rPr>
          <w:b/>
          <w:bCs/>
        </w:rPr>
        <w:t>inferior safety</w:t>
      </w:r>
      <w:r w:rsidRPr="00374CCA">
        <w:t xml:space="preserve">, a cost-utility analysis (CUA) is </w:t>
      </w:r>
      <w:r w:rsidR="003C0ABE" w:rsidRPr="00374CCA">
        <w:t xml:space="preserve">likely </w:t>
      </w:r>
      <w:r w:rsidRPr="00374CCA">
        <w:t>appropriate (</w:t>
      </w:r>
      <w:r w:rsidRPr="00374CCA">
        <w:fldChar w:fldCharType="begin"/>
      </w:r>
      <w:r w:rsidRPr="00374CCA">
        <w:instrText xml:space="preserve"> REF _Ref54260209 \h </w:instrText>
      </w:r>
      <w:r w:rsidRPr="00374CCA">
        <w:fldChar w:fldCharType="separate"/>
      </w:r>
      <w:r w:rsidR="005B2582" w:rsidRPr="00374CCA">
        <w:t>Table </w:t>
      </w:r>
      <w:r w:rsidR="005B2582" w:rsidRPr="00C35F7C">
        <w:t>5</w:t>
      </w:r>
      <w:r w:rsidRPr="00374CCA">
        <w:fldChar w:fldCharType="end"/>
      </w:r>
      <w:r w:rsidRPr="00374CCA">
        <w:t>).</w:t>
      </w:r>
    </w:p>
    <w:p w14:paraId="6DAB2DBD" w14:textId="32D449B6" w:rsidR="000939E0" w:rsidRPr="00C35F7C" w:rsidRDefault="000939E0" w:rsidP="00C40CC4">
      <w:pPr>
        <w:pStyle w:val="Caption"/>
        <w:rPr>
          <w:lang w:val="en-AU"/>
        </w:rPr>
      </w:pPr>
      <w:bookmarkStart w:id="9" w:name="_Ref54260209"/>
      <w:bookmarkStart w:id="10" w:name="_Toc423450289"/>
      <w:r w:rsidRPr="00C35F7C">
        <w:rPr>
          <w:lang w:val="en-AU"/>
        </w:rPr>
        <w:t>Table</w:t>
      </w:r>
      <w:r w:rsidR="00DE762F" w:rsidRPr="00C35F7C">
        <w:rPr>
          <w:lang w:val="en-AU"/>
        </w:rPr>
        <w:t> </w:t>
      </w:r>
      <w:r w:rsidRPr="00C35F7C">
        <w:rPr>
          <w:lang w:val="en-AU"/>
        </w:rPr>
        <w:fldChar w:fldCharType="begin"/>
      </w:r>
      <w:r w:rsidRPr="00C35F7C">
        <w:rPr>
          <w:lang w:val="en-AU"/>
        </w:rPr>
        <w:instrText xml:space="preserve"> SEQ Table \* ARABIC </w:instrText>
      </w:r>
      <w:r w:rsidRPr="00C35F7C">
        <w:rPr>
          <w:lang w:val="en-AU"/>
        </w:rPr>
        <w:fldChar w:fldCharType="separate"/>
      </w:r>
      <w:r w:rsidR="005B2582" w:rsidRPr="00C35F7C">
        <w:rPr>
          <w:lang w:val="en-AU"/>
        </w:rPr>
        <w:t>5</w:t>
      </w:r>
      <w:r w:rsidRPr="00C35F7C">
        <w:rPr>
          <w:lang w:val="en-AU"/>
        </w:rPr>
        <w:fldChar w:fldCharType="end"/>
      </w:r>
      <w:bookmarkEnd w:id="9"/>
      <w:r w:rsidR="001A5D2F" w:rsidRPr="00C35F7C">
        <w:rPr>
          <w:lang w:val="en-AU"/>
        </w:rPr>
        <w:tab/>
        <w:t>Classification of</w:t>
      </w:r>
      <w:r w:rsidRPr="00C35F7C">
        <w:rPr>
          <w:lang w:val="en-AU"/>
        </w:rPr>
        <w:t xml:space="preserve"> comparative effectiveness and safety of the proposed intervention</w:t>
      </w:r>
      <w:r w:rsidR="001A5D2F" w:rsidRPr="00C35F7C">
        <w:rPr>
          <w:lang w:val="en-AU"/>
        </w:rPr>
        <w:t>,</w:t>
      </w:r>
      <w:r w:rsidRPr="00C35F7C">
        <w:rPr>
          <w:lang w:val="en-AU"/>
        </w:rPr>
        <w:t xml:space="preserve"> compared with its main comparator</w:t>
      </w:r>
      <w:r w:rsidR="001A5D2F" w:rsidRPr="00C35F7C">
        <w:rPr>
          <w:lang w:val="en-AU"/>
        </w:rPr>
        <w:t>,</w:t>
      </w:r>
      <w:r w:rsidRPr="00C35F7C">
        <w:rPr>
          <w:lang w:val="en-AU"/>
        </w:rPr>
        <w:t xml:space="preserve"> and guide to the suitable type of economic evaluation</w:t>
      </w:r>
      <w:bookmarkEnd w:id="10"/>
    </w:p>
    <w:tbl>
      <w:tblPr>
        <w:tblW w:w="4872" w:type="pct"/>
        <w:tblInd w:w="115" w:type="dxa"/>
        <w:tblLayout w:type="fixed"/>
        <w:tblCellMar>
          <w:left w:w="115" w:type="dxa"/>
          <w:right w:w="115" w:type="dxa"/>
        </w:tblCellMar>
        <w:tblLook w:val="01E0" w:firstRow="1" w:lastRow="1" w:firstColumn="1" w:lastColumn="1" w:noHBand="0" w:noVBand="0"/>
        <w:tblCaption w:val="Classification of the comparative effectiveness and safety of the proposed therapeutic medical service compared with its main comparator and guide to the suitable type of economic evaluation"/>
        <w:tblDescription w:val="The table presents a matrix of comparative safety (inferior, uncertain, noninferior, superior) against comparative effectiveness (inferior, uncertain, noninferior, superior). Inferior comparative safety and superior comparative effectiveness has been selected resulting in a cost-utility analysis. The clinical claim is superior efficacy and inferior safety. In that case, the appropriate economic evaluation is likely a CUA."/>
      </w:tblPr>
      <w:tblGrid>
        <w:gridCol w:w="2012"/>
        <w:gridCol w:w="1905"/>
        <w:gridCol w:w="2227"/>
        <w:gridCol w:w="1748"/>
        <w:gridCol w:w="1434"/>
      </w:tblGrid>
      <w:tr w:rsidR="00686EED" w:rsidRPr="00374CCA" w14:paraId="5238F44C" w14:textId="77777777" w:rsidTr="003D0D5A">
        <w:trPr>
          <w:tblHeader/>
        </w:trPr>
        <w:tc>
          <w:tcPr>
            <w:tcW w:w="2012" w:type="dxa"/>
            <w:vMerge w:val="restart"/>
            <w:tcBorders>
              <w:top w:val="single" w:sz="4" w:space="0" w:color="auto"/>
              <w:left w:val="single" w:sz="4" w:space="0" w:color="auto"/>
              <w:right w:val="single" w:sz="4" w:space="0" w:color="auto"/>
            </w:tcBorders>
          </w:tcPr>
          <w:p w14:paraId="5B06A6EA" w14:textId="125A4EAB" w:rsidR="00686EED" w:rsidRPr="00374CCA" w:rsidRDefault="00686EED" w:rsidP="00C40CC4">
            <w:pPr>
              <w:pStyle w:val="TableHeading"/>
            </w:pPr>
            <w:bookmarkStart w:id="11" w:name="Title_Table2" w:colFirst="0" w:colLast="0"/>
            <w:r w:rsidRPr="00374CCA">
              <w:t>Comparative safety</w:t>
            </w:r>
          </w:p>
        </w:tc>
        <w:tc>
          <w:tcPr>
            <w:tcW w:w="1905" w:type="dxa"/>
            <w:tcBorders>
              <w:top w:val="single" w:sz="4" w:space="0" w:color="auto"/>
              <w:left w:val="single" w:sz="4" w:space="0" w:color="auto"/>
              <w:bottom w:val="single" w:sz="4" w:space="0" w:color="auto"/>
              <w:right w:val="nil"/>
            </w:tcBorders>
          </w:tcPr>
          <w:p w14:paraId="293E5792" w14:textId="77777777" w:rsidR="00686EED" w:rsidRPr="00374CCA" w:rsidRDefault="00686EED" w:rsidP="00C40CC4">
            <w:pPr>
              <w:pStyle w:val="TableHeading"/>
              <w:jc w:val="center"/>
            </w:pPr>
          </w:p>
        </w:tc>
        <w:tc>
          <w:tcPr>
            <w:tcW w:w="2227" w:type="dxa"/>
            <w:tcBorders>
              <w:top w:val="single" w:sz="4" w:space="0" w:color="auto"/>
              <w:left w:val="nil"/>
              <w:bottom w:val="single" w:sz="4" w:space="0" w:color="auto"/>
            </w:tcBorders>
          </w:tcPr>
          <w:p w14:paraId="57B2397B" w14:textId="77777777" w:rsidR="00686EED" w:rsidRPr="00374CCA" w:rsidRDefault="00686EED" w:rsidP="00C40CC4">
            <w:pPr>
              <w:pStyle w:val="TableHeading"/>
              <w:ind w:left="-75" w:right="-127"/>
              <w:jc w:val="center"/>
            </w:pPr>
            <w:r w:rsidRPr="00374CCA">
              <w:t>Comparative effectiveness</w:t>
            </w:r>
          </w:p>
        </w:tc>
        <w:tc>
          <w:tcPr>
            <w:tcW w:w="1748" w:type="dxa"/>
            <w:tcBorders>
              <w:top w:val="single" w:sz="4" w:space="0" w:color="auto"/>
              <w:left w:val="nil"/>
              <w:bottom w:val="single" w:sz="4" w:space="0" w:color="auto"/>
            </w:tcBorders>
          </w:tcPr>
          <w:p w14:paraId="6B53FB6C" w14:textId="77777777" w:rsidR="00686EED" w:rsidRPr="00374CCA" w:rsidRDefault="00686EED" w:rsidP="00C40CC4">
            <w:pPr>
              <w:pStyle w:val="TableHeading"/>
              <w:jc w:val="center"/>
            </w:pPr>
          </w:p>
        </w:tc>
        <w:tc>
          <w:tcPr>
            <w:tcW w:w="1434" w:type="dxa"/>
            <w:tcBorders>
              <w:top w:val="single" w:sz="4" w:space="0" w:color="auto"/>
              <w:left w:val="nil"/>
              <w:bottom w:val="single" w:sz="4" w:space="0" w:color="auto"/>
              <w:right w:val="single" w:sz="4" w:space="0" w:color="auto"/>
            </w:tcBorders>
          </w:tcPr>
          <w:p w14:paraId="0FE152FA" w14:textId="77777777" w:rsidR="00686EED" w:rsidRPr="00374CCA" w:rsidRDefault="00686EED" w:rsidP="00C40CC4">
            <w:pPr>
              <w:pStyle w:val="TableHeading"/>
              <w:jc w:val="center"/>
            </w:pPr>
          </w:p>
        </w:tc>
      </w:tr>
      <w:bookmarkEnd w:id="11"/>
      <w:tr w:rsidR="00686EED" w:rsidRPr="00374CCA" w14:paraId="78A8F3F1" w14:textId="77777777" w:rsidTr="003D0D5A">
        <w:trPr>
          <w:tblHeader/>
        </w:trPr>
        <w:tc>
          <w:tcPr>
            <w:tcW w:w="2012" w:type="dxa"/>
            <w:vMerge/>
            <w:tcBorders>
              <w:left w:val="single" w:sz="4" w:space="0" w:color="auto"/>
              <w:bottom w:val="single" w:sz="4" w:space="0" w:color="auto"/>
              <w:right w:val="single" w:sz="4" w:space="0" w:color="auto"/>
            </w:tcBorders>
          </w:tcPr>
          <w:p w14:paraId="6E00D947" w14:textId="57BEC7DE" w:rsidR="00686EED" w:rsidRPr="00374CCA" w:rsidRDefault="00686EED" w:rsidP="00C40CC4">
            <w:pPr>
              <w:pStyle w:val="TableHeading"/>
            </w:pPr>
          </w:p>
        </w:tc>
        <w:tc>
          <w:tcPr>
            <w:tcW w:w="1905" w:type="dxa"/>
            <w:tcBorders>
              <w:left w:val="single" w:sz="4" w:space="0" w:color="auto"/>
              <w:bottom w:val="single" w:sz="4" w:space="0" w:color="auto"/>
              <w:right w:val="single" w:sz="4" w:space="0" w:color="auto"/>
            </w:tcBorders>
          </w:tcPr>
          <w:p w14:paraId="319C788C" w14:textId="77777777" w:rsidR="00686EED" w:rsidRPr="00374CCA" w:rsidRDefault="00686EED" w:rsidP="00C40CC4">
            <w:pPr>
              <w:pStyle w:val="TableHeading"/>
              <w:jc w:val="center"/>
            </w:pPr>
            <w:r w:rsidRPr="00374CCA">
              <w:t>Inferior</w:t>
            </w:r>
          </w:p>
        </w:tc>
        <w:tc>
          <w:tcPr>
            <w:tcW w:w="2227" w:type="dxa"/>
            <w:tcBorders>
              <w:top w:val="single" w:sz="4" w:space="0" w:color="auto"/>
              <w:left w:val="single" w:sz="4" w:space="0" w:color="auto"/>
              <w:bottom w:val="single" w:sz="4" w:space="0" w:color="auto"/>
              <w:right w:val="single" w:sz="4" w:space="0" w:color="auto"/>
            </w:tcBorders>
          </w:tcPr>
          <w:p w14:paraId="5AC96128" w14:textId="77777777" w:rsidR="00686EED" w:rsidRPr="00374CCA" w:rsidRDefault="00686EED" w:rsidP="00C40CC4">
            <w:pPr>
              <w:pStyle w:val="TableHeading"/>
              <w:jc w:val="center"/>
            </w:pPr>
            <w:r w:rsidRPr="00374CCA">
              <w:t>Uncertain</w:t>
            </w:r>
            <w:r w:rsidRPr="00374CCA">
              <w:rPr>
                <w:vertAlign w:val="superscript"/>
              </w:rPr>
              <w:t>a</w:t>
            </w:r>
          </w:p>
        </w:tc>
        <w:tc>
          <w:tcPr>
            <w:tcW w:w="1748" w:type="dxa"/>
            <w:tcBorders>
              <w:top w:val="single" w:sz="4" w:space="0" w:color="auto"/>
              <w:left w:val="single" w:sz="4" w:space="0" w:color="auto"/>
              <w:bottom w:val="single" w:sz="4" w:space="0" w:color="auto"/>
              <w:right w:val="single" w:sz="4" w:space="0" w:color="auto"/>
            </w:tcBorders>
          </w:tcPr>
          <w:p w14:paraId="7AA1349D" w14:textId="4BA1ADFE" w:rsidR="00686EED" w:rsidRPr="00374CCA" w:rsidRDefault="00686EED" w:rsidP="00C40CC4">
            <w:pPr>
              <w:pStyle w:val="TableHeading"/>
              <w:jc w:val="center"/>
            </w:pPr>
            <w:r w:rsidRPr="00374CCA">
              <w:t>Noninferior</w:t>
            </w:r>
            <w:r w:rsidRPr="00374CCA">
              <w:rPr>
                <w:vertAlign w:val="superscript"/>
              </w:rPr>
              <w:t>b</w:t>
            </w:r>
          </w:p>
        </w:tc>
        <w:tc>
          <w:tcPr>
            <w:tcW w:w="1434" w:type="dxa"/>
            <w:tcBorders>
              <w:top w:val="single" w:sz="4" w:space="0" w:color="auto"/>
              <w:left w:val="single" w:sz="4" w:space="0" w:color="auto"/>
              <w:bottom w:val="single" w:sz="4" w:space="0" w:color="auto"/>
              <w:right w:val="single" w:sz="4" w:space="0" w:color="auto"/>
            </w:tcBorders>
          </w:tcPr>
          <w:p w14:paraId="156C5942" w14:textId="77777777" w:rsidR="00686EED" w:rsidRPr="00374CCA" w:rsidRDefault="00686EED" w:rsidP="00C40CC4">
            <w:pPr>
              <w:pStyle w:val="TableHeading"/>
              <w:jc w:val="center"/>
            </w:pPr>
            <w:r w:rsidRPr="00374CCA">
              <w:t>Superior</w:t>
            </w:r>
          </w:p>
        </w:tc>
      </w:tr>
      <w:tr w:rsidR="000939E0" w:rsidRPr="00374CCA" w14:paraId="1E111DC3" w14:textId="77777777" w:rsidTr="003D0D5A">
        <w:tc>
          <w:tcPr>
            <w:tcW w:w="2012" w:type="dxa"/>
            <w:tcBorders>
              <w:top w:val="single" w:sz="4" w:space="0" w:color="auto"/>
              <w:left w:val="single" w:sz="4" w:space="0" w:color="auto"/>
              <w:bottom w:val="single" w:sz="4" w:space="0" w:color="auto"/>
              <w:right w:val="single" w:sz="4" w:space="0" w:color="auto"/>
            </w:tcBorders>
            <w:vAlign w:val="center"/>
          </w:tcPr>
          <w:p w14:paraId="04A362E2" w14:textId="77777777" w:rsidR="000939E0" w:rsidRPr="00374CCA" w:rsidRDefault="000939E0" w:rsidP="00C40CC4">
            <w:pPr>
              <w:pStyle w:val="Tabletext"/>
              <w:keepNext/>
            </w:pPr>
            <w:r w:rsidRPr="00374CCA">
              <w:t>Inferior</w:t>
            </w:r>
          </w:p>
        </w:tc>
        <w:tc>
          <w:tcPr>
            <w:tcW w:w="1905" w:type="dxa"/>
            <w:tcBorders>
              <w:top w:val="single" w:sz="4" w:space="0" w:color="auto"/>
              <w:left w:val="single" w:sz="4" w:space="0" w:color="auto"/>
              <w:bottom w:val="single" w:sz="4" w:space="0" w:color="auto"/>
              <w:right w:val="single" w:sz="4" w:space="0" w:color="auto"/>
            </w:tcBorders>
            <w:vAlign w:val="center"/>
          </w:tcPr>
          <w:p w14:paraId="0B15352C" w14:textId="77777777" w:rsidR="000939E0" w:rsidRPr="00374CCA" w:rsidRDefault="000939E0" w:rsidP="00C40CC4">
            <w:pPr>
              <w:pStyle w:val="Tabletext"/>
              <w:keepNext/>
            </w:pPr>
            <w:r w:rsidRPr="00374CCA">
              <w:t>Health forgone: need other supportive factors</w:t>
            </w:r>
          </w:p>
        </w:tc>
        <w:tc>
          <w:tcPr>
            <w:tcW w:w="2227" w:type="dxa"/>
            <w:tcBorders>
              <w:top w:val="single" w:sz="4" w:space="0" w:color="auto"/>
              <w:left w:val="single" w:sz="4" w:space="0" w:color="auto"/>
              <w:bottom w:val="single" w:sz="4" w:space="0" w:color="auto"/>
              <w:right w:val="single" w:sz="4" w:space="0" w:color="auto"/>
            </w:tcBorders>
            <w:vAlign w:val="center"/>
          </w:tcPr>
          <w:p w14:paraId="47A58DE2" w14:textId="77777777" w:rsidR="000939E0" w:rsidRPr="00374CCA" w:rsidRDefault="000939E0" w:rsidP="00C40CC4">
            <w:pPr>
              <w:pStyle w:val="Tabletext"/>
              <w:keepNext/>
            </w:pPr>
            <w:r w:rsidRPr="00374CCA">
              <w:t>Health forgone possible: need other supportive factors</w:t>
            </w:r>
          </w:p>
        </w:tc>
        <w:tc>
          <w:tcPr>
            <w:tcW w:w="1748" w:type="dxa"/>
            <w:tcBorders>
              <w:top w:val="single" w:sz="4" w:space="0" w:color="auto"/>
              <w:left w:val="single" w:sz="4" w:space="0" w:color="auto"/>
              <w:bottom w:val="single" w:sz="4" w:space="0" w:color="auto"/>
              <w:right w:val="single" w:sz="4" w:space="0" w:color="auto"/>
            </w:tcBorders>
            <w:vAlign w:val="center"/>
          </w:tcPr>
          <w:p w14:paraId="3540FA15" w14:textId="77777777" w:rsidR="000939E0" w:rsidRPr="00374CCA" w:rsidRDefault="000939E0" w:rsidP="00C40CC4">
            <w:pPr>
              <w:pStyle w:val="Tabletext"/>
              <w:keepNext/>
            </w:pPr>
            <w:r w:rsidRPr="00374CCA">
              <w:t>Health forgone: need other supportive factors</w:t>
            </w:r>
          </w:p>
        </w:tc>
        <w:tc>
          <w:tcPr>
            <w:tcW w:w="14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8C6CF73" w14:textId="77777777" w:rsidR="000939E0" w:rsidRPr="00374CCA" w:rsidRDefault="000939E0" w:rsidP="00C40CC4">
            <w:pPr>
              <w:pStyle w:val="Tabletext"/>
              <w:keepNext/>
              <w:rPr>
                <w:b/>
                <w:bCs/>
              </w:rPr>
            </w:pPr>
            <w:r w:rsidRPr="00374CCA">
              <w:rPr>
                <w:b/>
                <w:bCs/>
              </w:rPr>
              <w:t>? Likely CUA</w:t>
            </w:r>
          </w:p>
        </w:tc>
      </w:tr>
      <w:tr w:rsidR="000939E0" w:rsidRPr="00374CCA" w14:paraId="463C2753" w14:textId="77777777" w:rsidTr="003D0D5A">
        <w:tc>
          <w:tcPr>
            <w:tcW w:w="2012" w:type="dxa"/>
            <w:tcBorders>
              <w:top w:val="single" w:sz="4" w:space="0" w:color="auto"/>
              <w:left w:val="single" w:sz="4" w:space="0" w:color="auto"/>
              <w:bottom w:val="single" w:sz="4" w:space="0" w:color="auto"/>
              <w:right w:val="single" w:sz="4" w:space="0" w:color="auto"/>
            </w:tcBorders>
            <w:vAlign w:val="center"/>
          </w:tcPr>
          <w:p w14:paraId="11AF710C" w14:textId="77777777" w:rsidR="000939E0" w:rsidRPr="00374CCA" w:rsidRDefault="000939E0" w:rsidP="00C40CC4">
            <w:pPr>
              <w:pStyle w:val="Tabletext"/>
              <w:keepNext/>
            </w:pPr>
            <w:r w:rsidRPr="00374CCA">
              <w:t>Uncertain</w:t>
            </w:r>
            <w:r w:rsidRPr="00374CCA">
              <w:rPr>
                <w:vertAlign w:val="superscript"/>
              </w:rPr>
              <w:t>a</w:t>
            </w:r>
          </w:p>
        </w:tc>
        <w:tc>
          <w:tcPr>
            <w:tcW w:w="1905" w:type="dxa"/>
            <w:tcBorders>
              <w:top w:val="single" w:sz="4" w:space="0" w:color="auto"/>
              <w:left w:val="single" w:sz="4" w:space="0" w:color="auto"/>
              <w:bottom w:val="single" w:sz="4" w:space="0" w:color="auto"/>
              <w:right w:val="single" w:sz="4" w:space="0" w:color="auto"/>
            </w:tcBorders>
            <w:vAlign w:val="center"/>
          </w:tcPr>
          <w:p w14:paraId="12909D79" w14:textId="77777777" w:rsidR="000939E0" w:rsidRPr="00374CCA" w:rsidRDefault="000939E0" w:rsidP="00C40CC4">
            <w:pPr>
              <w:pStyle w:val="Tabletext"/>
              <w:keepNext/>
            </w:pPr>
            <w:r w:rsidRPr="00374CCA">
              <w:t>Health forgone possible: need other supportive factors</w:t>
            </w:r>
          </w:p>
        </w:tc>
        <w:tc>
          <w:tcPr>
            <w:tcW w:w="2227" w:type="dxa"/>
            <w:tcBorders>
              <w:top w:val="single" w:sz="4" w:space="0" w:color="auto"/>
              <w:left w:val="single" w:sz="4" w:space="0" w:color="auto"/>
              <w:bottom w:val="single" w:sz="4" w:space="0" w:color="auto"/>
              <w:right w:val="single" w:sz="4" w:space="0" w:color="auto"/>
            </w:tcBorders>
            <w:vAlign w:val="center"/>
          </w:tcPr>
          <w:p w14:paraId="50F5E2B4" w14:textId="77777777" w:rsidR="000939E0" w:rsidRPr="00374CCA" w:rsidRDefault="000939E0" w:rsidP="00C40CC4">
            <w:pPr>
              <w:pStyle w:val="Tabletext"/>
              <w:keepNext/>
            </w:pPr>
            <w:r w:rsidRPr="00374CCA">
              <w:t>?</w:t>
            </w:r>
          </w:p>
        </w:tc>
        <w:tc>
          <w:tcPr>
            <w:tcW w:w="1748" w:type="dxa"/>
            <w:tcBorders>
              <w:top w:val="single" w:sz="4" w:space="0" w:color="auto"/>
              <w:left w:val="single" w:sz="4" w:space="0" w:color="auto"/>
              <w:bottom w:val="single" w:sz="4" w:space="0" w:color="auto"/>
              <w:right w:val="single" w:sz="4" w:space="0" w:color="auto"/>
            </w:tcBorders>
            <w:vAlign w:val="center"/>
          </w:tcPr>
          <w:p w14:paraId="0406F2A1" w14:textId="77777777" w:rsidR="000939E0" w:rsidRPr="00374CCA" w:rsidRDefault="000939E0" w:rsidP="00C40CC4">
            <w:pPr>
              <w:pStyle w:val="Tabletext"/>
              <w:keepNext/>
            </w:pPr>
            <w:r w:rsidRPr="00374CCA">
              <w:t>?</w:t>
            </w:r>
          </w:p>
        </w:tc>
        <w:tc>
          <w:tcPr>
            <w:tcW w:w="1434" w:type="dxa"/>
            <w:tcBorders>
              <w:top w:val="single" w:sz="4" w:space="0" w:color="auto"/>
              <w:left w:val="single" w:sz="4" w:space="0" w:color="auto"/>
              <w:bottom w:val="single" w:sz="4" w:space="0" w:color="auto"/>
              <w:right w:val="single" w:sz="4" w:space="0" w:color="auto"/>
            </w:tcBorders>
            <w:vAlign w:val="center"/>
          </w:tcPr>
          <w:p w14:paraId="1996B8CC" w14:textId="77777777" w:rsidR="000939E0" w:rsidRPr="00374CCA" w:rsidRDefault="000939E0" w:rsidP="00C40CC4">
            <w:pPr>
              <w:pStyle w:val="Tabletext"/>
              <w:keepNext/>
            </w:pPr>
            <w:r w:rsidRPr="00374CCA">
              <w:t>? Likely CEA/CUA</w:t>
            </w:r>
          </w:p>
        </w:tc>
      </w:tr>
      <w:tr w:rsidR="000939E0" w:rsidRPr="00374CCA" w14:paraId="47335FF9" w14:textId="77777777" w:rsidTr="003D0D5A">
        <w:tc>
          <w:tcPr>
            <w:tcW w:w="2012" w:type="dxa"/>
            <w:tcBorders>
              <w:top w:val="single" w:sz="4" w:space="0" w:color="auto"/>
              <w:left w:val="single" w:sz="4" w:space="0" w:color="auto"/>
              <w:bottom w:val="single" w:sz="4" w:space="0" w:color="auto"/>
              <w:right w:val="single" w:sz="4" w:space="0" w:color="auto"/>
            </w:tcBorders>
            <w:vAlign w:val="center"/>
          </w:tcPr>
          <w:p w14:paraId="0CBD845B" w14:textId="149CC18B" w:rsidR="000939E0" w:rsidRPr="00374CCA" w:rsidRDefault="000939E0" w:rsidP="00C40CC4">
            <w:pPr>
              <w:pStyle w:val="Tabletext"/>
              <w:keepNext/>
            </w:pPr>
            <w:r w:rsidRPr="00374CCA">
              <w:t>Noninferior</w:t>
            </w:r>
            <w:r w:rsidRPr="00374CCA">
              <w:rPr>
                <w:vertAlign w:val="superscript"/>
              </w:rPr>
              <w:t>b</w:t>
            </w:r>
          </w:p>
        </w:tc>
        <w:tc>
          <w:tcPr>
            <w:tcW w:w="1905" w:type="dxa"/>
            <w:tcBorders>
              <w:top w:val="single" w:sz="4" w:space="0" w:color="auto"/>
              <w:left w:val="single" w:sz="4" w:space="0" w:color="auto"/>
              <w:bottom w:val="single" w:sz="4" w:space="0" w:color="auto"/>
              <w:right w:val="single" w:sz="4" w:space="0" w:color="auto"/>
            </w:tcBorders>
            <w:vAlign w:val="center"/>
          </w:tcPr>
          <w:p w14:paraId="5D8B4B6F" w14:textId="77777777" w:rsidR="000939E0" w:rsidRPr="00374CCA" w:rsidRDefault="000939E0" w:rsidP="00C40CC4">
            <w:pPr>
              <w:pStyle w:val="Tabletext"/>
              <w:keepNext/>
            </w:pPr>
            <w:r w:rsidRPr="00374CCA">
              <w:t>Health forgone: need other supportive factors</w:t>
            </w:r>
          </w:p>
        </w:tc>
        <w:tc>
          <w:tcPr>
            <w:tcW w:w="2227" w:type="dxa"/>
            <w:tcBorders>
              <w:top w:val="single" w:sz="4" w:space="0" w:color="auto"/>
              <w:left w:val="single" w:sz="4" w:space="0" w:color="auto"/>
              <w:bottom w:val="single" w:sz="4" w:space="0" w:color="auto"/>
              <w:right w:val="single" w:sz="4" w:space="0" w:color="auto"/>
            </w:tcBorders>
            <w:vAlign w:val="center"/>
          </w:tcPr>
          <w:p w14:paraId="43D9B9E4" w14:textId="77777777" w:rsidR="000939E0" w:rsidRPr="00374CCA" w:rsidRDefault="000939E0" w:rsidP="00C40CC4">
            <w:pPr>
              <w:pStyle w:val="Tabletext"/>
              <w:keepNext/>
            </w:pPr>
            <w:r w:rsidRPr="00374CCA">
              <w:t>?</w:t>
            </w:r>
          </w:p>
        </w:tc>
        <w:tc>
          <w:tcPr>
            <w:tcW w:w="1748" w:type="dxa"/>
            <w:tcBorders>
              <w:top w:val="single" w:sz="4" w:space="0" w:color="auto"/>
              <w:left w:val="single" w:sz="4" w:space="0" w:color="auto"/>
              <w:bottom w:val="single" w:sz="4" w:space="0" w:color="auto"/>
              <w:right w:val="single" w:sz="4" w:space="0" w:color="auto"/>
            </w:tcBorders>
            <w:vAlign w:val="center"/>
          </w:tcPr>
          <w:p w14:paraId="12BD2E22" w14:textId="77777777" w:rsidR="000939E0" w:rsidRPr="00374CCA" w:rsidRDefault="000939E0" w:rsidP="00C40CC4">
            <w:pPr>
              <w:pStyle w:val="Tabletext"/>
              <w:keepNext/>
            </w:pPr>
            <w:r w:rsidRPr="00374CCA">
              <w:t>CMA</w:t>
            </w:r>
          </w:p>
        </w:tc>
        <w:tc>
          <w:tcPr>
            <w:tcW w:w="1434" w:type="dxa"/>
            <w:tcBorders>
              <w:top w:val="single" w:sz="4" w:space="0" w:color="auto"/>
              <w:left w:val="single" w:sz="4" w:space="0" w:color="auto"/>
              <w:bottom w:val="single" w:sz="4" w:space="0" w:color="auto"/>
              <w:right w:val="single" w:sz="4" w:space="0" w:color="auto"/>
            </w:tcBorders>
            <w:vAlign w:val="center"/>
          </w:tcPr>
          <w:p w14:paraId="7E9F7AB5" w14:textId="77777777" w:rsidR="000939E0" w:rsidRPr="00374CCA" w:rsidRDefault="000939E0" w:rsidP="00C40CC4">
            <w:pPr>
              <w:pStyle w:val="Tabletext"/>
              <w:keepNext/>
            </w:pPr>
            <w:r w:rsidRPr="00374CCA">
              <w:t>CEA/CUA</w:t>
            </w:r>
          </w:p>
        </w:tc>
      </w:tr>
      <w:tr w:rsidR="000939E0" w:rsidRPr="00374CCA" w14:paraId="41AB5715" w14:textId="77777777" w:rsidTr="003D0D5A">
        <w:tc>
          <w:tcPr>
            <w:tcW w:w="2012" w:type="dxa"/>
            <w:tcBorders>
              <w:top w:val="single" w:sz="4" w:space="0" w:color="auto"/>
              <w:left w:val="single" w:sz="4" w:space="0" w:color="auto"/>
              <w:bottom w:val="single" w:sz="4" w:space="0" w:color="auto"/>
              <w:right w:val="single" w:sz="4" w:space="0" w:color="auto"/>
            </w:tcBorders>
            <w:vAlign w:val="center"/>
          </w:tcPr>
          <w:p w14:paraId="18F5B4CB" w14:textId="77777777" w:rsidR="000939E0" w:rsidRPr="00374CCA" w:rsidRDefault="000939E0" w:rsidP="00C40CC4">
            <w:pPr>
              <w:pStyle w:val="Tabletext"/>
              <w:keepNext/>
            </w:pPr>
            <w:r w:rsidRPr="00374CCA">
              <w:t>Superior</w:t>
            </w:r>
          </w:p>
        </w:tc>
        <w:tc>
          <w:tcPr>
            <w:tcW w:w="1905" w:type="dxa"/>
            <w:tcBorders>
              <w:top w:val="single" w:sz="4" w:space="0" w:color="auto"/>
              <w:left w:val="single" w:sz="4" w:space="0" w:color="auto"/>
              <w:bottom w:val="single" w:sz="4" w:space="0" w:color="auto"/>
              <w:right w:val="single" w:sz="4" w:space="0" w:color="auto"/>
            </w:tcBorders>
            <w:vAlign w:val="center"/>
          </w:tcPr>
          <w:p w14:paraId="2525815A" w14:textId="77777777" w:rsidR="000939E0" w:rsidRPr="00374CCA" w:rsidRDefault="000939E0" w:rsidP="00C40CC4">
            <w:pPr>
              <w:pStyle w:val="Tabletext"/>
              <w:keepNext/>
            </w:pPr>
            <w:r w:rsidRPr="00374CCA">
              <w:t>? Likely CUA</w:t>
            </w:r>
          </w:p>
        </w:tc>
        <w:tc>
          <w:tcPr>
            <w:tcW w:w="2227" w:type="dxa"/>
            <w:tcBorders>
              <w:top w:val="single" w:sz="4" w:space="0" w:color="auto"/>
              <w:left w:val="single" w:sz="4" w:space="0" w:color="auto"/>
              <w:bottom w:val="single" w:sz="4" w:space="0" w:color="auto"/>
              <w:right w:val="single" w:sz="4" w:space="0" w:color="auto"/>
            </w:tcBorders>
            <w:vAlign w:val="center"/>
          </w:tcPr>
          <w:p w14:paraId="2AE0169D" w14:textId="77777777" w:rsidR="000939E0" w:rsidRPr="00374CCA" w:rsidRDefault="000939E0" w:rsidP="00C40CC4">
            <w:pPr>
              <w:pStyle w:val="Tabletext"/>
              <w:keepNext/>
            </w:pPr>
            <w:r w:rsidRPr="00374CCA">
              <w:t>? Likely CEA/CUA</w:t>
            </w:r>
          </w:p>
        </w:tc>
        <w:tc>
          <w:tcPr>
            <w:tcW w:w="1748" w:type="dxa"/>
            <w:tcBorders>
              <w:top w:val="single" w:sz="4" w:space="0" w:color="auto"/>
              <w:left w:val="single" w:sz="4" w:space="0" w:color="auto"/>
              <w:bottom w:val="single" w:sz="4" w:space="0" w:color="auto"/>
              <w:right w:val="single" w:sz="4" w:space="0" w:color="auto"/>
            </w:tcBorders>
            <w:vAlign w:val="center"/>
          </w:tcPr>
          <w:p w14:paraId="71D0525C" w14:textId="77777777" w:rsidR="000939E0" w:rsidRPr="00374CCA" w:rsidRDefault="000939E0" w:rsidP="00C40CC4">
            <w:pPr>
              <w:pStyle w:val="Tabletext"/>
              <w:keepNext/>
            </w:pPr>
            <w:r w:rsidRPr="00374CCA">
              <w:t>CEA/CUA</w:t>
            </w:r>
          </w:p>
        </w:tc>
        <w:tc>
          <w:tcPr>
            <w:tcW w:w="1434" w:type="dxa"/>
            <w:tcBorders>
              <w:top w:val="single" w:sz="4" w:space="0" w:color="auto"/>
              <w:left w:val="single" w:sz="4" w:space="0" w:color="auto"/>
              <w:bottom w:val="single" w:sz="4" w:space="0" w:color="auto"/>
              <w:right w:val="single" w:sz="4" w:space="0" w:color="auto"/>
            </w:tcBorders>
            <w:vAlign w:val="center"/>
          </w:tcPr>
          <w:p w14:paraId="5FF47EA5" w14:textId="77777777" w:rsidR="000939E0" w:rsidRPr="00374CCA" w:rsidRDefault="000939E0" w:rsidP="00C40CC4">
            <w:pPr>
              <w:pStyle w:val="Tabletext"/>
              <w:keepNext/>
            </w:pPr>
            <w:r w:rsidRPr="00374CCA">
              <w:t>CEA/CUA</w:t>
            </w:r>
          </w:p>
        </w:tc>
      </w:tr>
    </w:tbl>
    <w:p w14:paraId="6538A3FB" w14:textId="62C6C52A" w:rsidR="000939E0" w:rsidRPr="00374CCA" w:rsidRDefault="000939E0" w:rsidP="00C40CC4">
      <w:pPr>
        <w:pStyle w:val="Tablenotes"/>
        <w:keepNext/>
        <w:spacing w:before="120"/>
        <w:contextualSpacing/>
        <w:rPr>
          <w:szCs w:val="18"/>
        </w:rPr>
      </w:pPr>
      <w:r w:rsidRPr="00374CCA">
        <w:rPr>
          <w:szCs w:val="18"/>
        </w:rPr>
        <w:t>CEA=cost-effectiveness analysis; CMA=cost-minimisation analysis; CUA=cost-utility analysis</w:t>
      </w:r>
      <w:r w:rsidR="00AC4D8F" w:rsidRPr="00374CCA">
        <w:rPr>
          <w:szCs w:val="18"/>
        </w:rPr>
        <w:t>.</w:t>
      </w:r>
    </w:p>
    <w:p w14:paraId="48F7CED7" w14:textId="1520BF6C" w:rsidR="000939E0" w:rsidRPr="00374CCA" w:rsidRDefault="000939E0" w:rsidP="00C40CC4">
      <w:pPr>
        <w:pStyle w:val="Tablenotes"/>
        <w:keepNext/>
        <w:contextualSpacing/>
        <w:rPr>
          <w:b/>
          <w:szCs w:val="18"/>
        </w:rPr>
      </w:pPr>
      <w:r w:rsidRPr="00374CCA">
        <w:rPr>
          <w:szCs w:val="18"/>
        </w:rPr>
        <w:t>? = reflect uncertainties and any identified health trade-offs in the economic evaluation, as a minimum in a cost-consequences analysis</w:t>
      </w:r>
      <w:r w:rsidR="00AC4D8F" w:rsidRPr="00374CCA">
        <w:rPr>
          <w:szCs w:val="18"/>
        </w:rPr>
        <w:t>.</w:t>
      </w:r>
    </w:p>
    <w:p w14:paraId="65C6F534" w14:textId="5229DF7F" w:rsidR="000939E0" w:rsidRPr="00374CCA" w:rsidRDefault="000939E0" w:rsidP="00C40CC4">
      <w:pPr>
        <w:pStyle w:val="Tablenotes"/>
        <w:keepNext/>
        <w:contextualSpacing/>
        <w:rPr>
          <w:b/>
          <w:szCs w:val="18"/>
        </w:rPr>
      </w:pPr>
      <w:r w:rsidRPr="00374CCA">
        <w:rPr>
          <w:szCs w:val="18"/>
        </w:rPr>
        <w:t>a</w:t>
      </w:r>
      <w:r w:rsidR="007A076D" w:rsidRPr="00374CCA">
        <w:rPr>
          <w:szCs w:val="18"/>
        </w:rPr>
        <w:t xml:space="preserve">. </w:t>
      </w:r>
      <w:r w:rsidRPr="00374CCA">
        <w:rPr>
          <w:szCs w:val="18"/>
        </w:rPr>
        <w:t>Uncertainty’ covers concepts such as inadequate minimisation of important sources of bias, lack of statistical significance in an underpowered trial, detecting clinically unimportant therapeutic differences, inconsistent results across trials, and trade-offs within the comparative effectiveness and/or the comparative safety considerations</w:t>
      </w:r>
      <w:r w:rsidR="00AC4D8F" w:rsidRPr="00374CCA">
        <w:rPr>
          <w:szCs w:val="18"/>
        </w:rPr>
        <w:t>.</w:t>
      </w:r>
    </w:p>
    <w:p w14:paraId="1CB9C9B3" w14:textId="638F10B5" w:rsidR="000939E0" w:rsidRPr="00374CCA" w:rsidRDefault="007A076D" w:rsidP="001A559C">
      <w:pPr>
        <w:pStyle w:val="Tablenotes"/>
        <w:spacing w:after="360"/>
        <w:contextualSpacing/>
        <w:rPr>
          <w:szCs w:val="18"/>
        </w:rPr>
      </w:pPr>
      <w:r w:rsidRPr="00374CCA">
        <w:rPr>
          <w:szCs w:val="18"/>
        </w:rPr>
        <w:t xml:space="preserve">b. </w:t>
      </w:r>
      <w:r w:rsidR="000939E0" w:rsidRPr="00374CCA">
        <w:rPr>
          <w:szCs w:val="18"/>
        </w:rPr>
        <w:t>An adequate assessment of ‘noninferiority’ is the preferred basis for demonstrating equivalence</w:t>
      </w:r>
      <w:r w:rsidR="00AC4D8F" w:rsidRPr="00374CCA">
        <w:rPr>
          <w:szCs w:val="18"/>
        </w:rPr>
        <w:t>.</w:t>
      </w:r>
    </w:p>
    <w:p w14:paraId="0DFE8DE9" w14:textId="6C03353D" w:rsidR="00AC4D8F" w:rsidRPr="00374CCA" w:rsidRDefault="00C656AE" w:rsidP="00AC4D8F">
      <w:r w:rsidRPr="00374CCA">
        <w:t xml:space="preserve">By definition, </w:t>
      </w:r>
      <w:r w:rsidR="000D447B" w:rsidRPr="00374CCA">
        <w:t>T-</w:t>
      </w:r>
      <w:r w:rsidRPr="00374CCA">
        <w:t xml:space="preserve">TEER </w:t>
      </w:r>
      <w:r w:rsidR="000D447B" w:rsidRPr="00374CCA">
        <w:t xml:space="preserve">plus OMT </w:t>
      </w:r>
      <w:r w:rsidRPr="00374CCA">
        <w:t xml:space="preserve">will be associated with additional costs relative to the </w:t>
      </w:r>
      <w:r w:rsidR="00336760">
        <w:t xml:space="preserve">nominated </w:t>
      </w:r>
      <w:r w:rsidRPr="00374CCA">
        <w:t xml:space="preserve">comparator of OMT alone. Additional costs include the costs of the </w:t>
      </w:r>
      <w:r w:rsidR="000D447B" w:rsidRPr="00374CCA">
        <w:t>T-</w:t>
      </w:r>
      <w:r w:rsidRPr="00374CCA">
        <w:t>TEER prosthesis, procedural</w:t>
      </w:r>
      <w:r w:rsidR="00694517" w:rsidRPr="00374CCA">
        <w:t>-</w:t>
      </w:r>
      <w:r w:rsidRPr="00374CCA">
        <w:t>based implantation costs including the cost of operating rooms and surgical staff, and post-implantation hospitalisation costs.</w:t>
      </w:r>
    </w:p>
    <w:p w14:paraId="07911674" w14:textId="366AB821" w:rsidR="002974EA" w:rsidRPr="00374CCA" w:rsidRDefault="002974EA" w:rsidP="00BC2FC2">
      <w:pPr>
        <w:keepNext/>
        <w:keepLines/>
        <w:spacing w:after="120"/>
      </w:pPr>
      <w:r w:rsidRPr="00374CCA">
        <w:lastRenderedPageBreak/>
        <w:t xml:space="preserve">The </w:t>
      </w:r>
      <w:r w:rsidR="007A25F8" w:rsidRPr="00374CCA">
        <w:t xml:space="preserve">cost breakdown accompanying the </w:t>
      </w:r>
      <w:r w:rsidRPr="00374CCA">
        <w:t xml:space="preserve">application stated that the overall cost per patient of </w:t>
      </w:r>
      <w:r w:rsidR="000456FF" w:rsidRPr="00374CCA">
        <w:t xml:space="preserve">providing </w:t>
      </w:r>
      <w:r w:rsidRPr="00374CCA">
        <w:t xml:space="preserve">T-TEER using the </w:t>
      </w:r>
      <w:r w:rsidR="00AD1D30" w:rsidRPr="00374CCA">
        <w:t>Tri</w:t>
      </w:r>
      <w:r w:rsidR="00E36531" w:rsidRPr="00374CCA">
        <w:t>C</w:t>
      </w:r>
      <w:r w:rsidR="00AD1D30" w:rsidRPr="00374CCA">
        <w:t xml:space="preserve">lip system </w:t>
      </w:r>
      <w:r w:rsidR="004F16FC">
        <w:t>wa</w:t>
      </w:r>
      <w:r w:rsidR="00AD1D30" w:rsidRPr="00374CCA">
        <w:t xml:space="preserve">s approximately </w:t>
      </w:r>
      <w:r w:rsidR="00AD1D30" w:rsidRPr="00D8193A">
        <w:t>$</w:t>
      </w:r>
      <w:r w:rsidR="00D8193A">
        <w:t>REDACTED:</w:t>
      </w:r>
    </w:p>
    <w:p w14:paraId="5477A39C" w14:textId="45F2DC66" w:rsidR="00AD1D30" w:rsidRPr="00374CCA" w:rsidRDefault="00B64AA5" w:rsidP="00BC2FC2">
      <w:pPr>
        <w:pStyle w:val="ListParagraph"/>
        <w:keepNext/>
        <w:keepLines/>
        <w:numPr>
          <w:ilvl w:val="0"/>
          <w:numId w:val="11"/>
        </w:numPr>
      </w:pPr>
      <w:r w:rsidRPr="00374CCA">
        <w:t>d</w:t>
      </w:r>
      <w:r w:rsidR="008723F7" w:rsidRPr="00374CCA">
        <w:t xml:space="preserve">evice cost </w:t>
      </w:r>
      <w:r w:rsidRPr="00D8193A">
        <w:t>$</w:t>
      </w:r>
      <w:r w:rsidR="00D8193A">
        <w:t>REDACTED</w:t>
      </w:r>
    </w:p>
    <w:p w14:paraId="74B2AD29" w14:textId="36A31267" w:rsidR="00B64AA5" w:rsidRPr="00374CCA" w:rsidRDefault="00B64AA5" w:rsidP="00BC2FC2">
      <w:pPr>
        <w:pStyle w:val="ListParagraph"/>
        <w:keepNext/>
        <w:keepLines/>
        <w:numPr>
          <w:ilvl w:val="0"/>
          <w:numId w:val="11"/>
        </w:numPr>
      </w:pPr>
      <w:r w:rsidRPr="00374CCA">
        <w:t xml:space="preserve">MBS fees </w:t>
      </w:r>
      <w:r w:rsidR="00D27164" w:rsidRPr="00374CCA">
        <w:t>$2,90</w:t>
      </w:r>
      <w:r w:rsidR="00F400CA" w:rsidRPr="00374CCA">
        <w:t>3</w:t>
      </w:r>
      <w:r w:rsidR="006D101F" w:rsidRPr="00374CCA">
        <w:t xml:space="preserve"> (</w:t>
      </w:r>
      <w:r w:rsidR="00ED6CC4" w:rsidRPr="00374CCA">
        <w:t>pre-procedural, intraoperative and post-procedural</w:t>
      </w:r>
      <w:r w:rsidR="00EE4894" w:rsidRPr="00374CCA">
        <w:t xml:space="preserve">, </w:t>
      </w:r>
      <w:r w:rsidR="006D101F" w:rsidRPr="00374CCA">
        <w:t xml:space="preserve">including </w:t>
      </w:r>
      <w:r w:rsidR="00B11ECD" w:rsidRPr="00374CCA">
        <w:t>anaesthesia</w:t>
      </w:r>
      <w:r w:rsidR="00CC5A82" w:rsidRPr="00374CCA">
        <w:t xml:space="preserve"> and </w:t>
      </w:r>
      <w:r w:rsidR="006D101F" w:rsidRPr="00374CCA">
        <w:t>imaging)</w:t>
      </w:r>
    </w:p>
    <w:p w14:paraId="4D585565" w14:textId="6EA4B682" w:rsidR="003E58EC" w:rsidRDefault="00FB0EBD" w:rsidP="00BC2FC2">
      <w:pPr>
        <w:pStyle w:val="ListParagraph"/>
        <w:keepNext/>
        <w:keepLines/>
        <w:numPr>
          <w:ilvl w:val="0"/>
          <w:numId w:val="11"/>
        </w:numPr>
      </w:pPr>
      <w:r w:rsidRPr="00374CCA">
        <w:t>h</w:t>
      </w:r>
      <w:r w:rsidR="003E58EC" w:rsidRPr="00374CCA">
        <w:t>ospital</w:t>
      </w:r>
      <w:r w:rsidRPr="00374CCA">
        <w:t>-associated costs $14,624.</w:t>
      </w:r>
    </w:p>
    <w:p w14:paraId="6B6F8581" w14:textId="77777777" w:rsidR="00347534" w:rsidRPr="00374CCA" w:rsidRDefault="00347534" w:rsidP="006C5910">
      <w:pPr>
        <w:autoSpaceDE w:val="0"/>
        <w:autoSpaceDN w:val="0"/>
        <w:adjustRightInd w:val="0"/>
        <w:rPr>
          <w:rFonts w:asciiTheme="minorHAnsi" w:hAnsiTheme="minorHAnsi" w:cstheme="minorHAnsi"/>
          <w:i/>
          <w:iCs/>
        </w:rPr>
      </w:pPr>
      <w:r w:rsidRPr="00374CCA">
        <w:rPr>
          <w:rFonts w:asciiTheme="minorHAnsi" w:hAnsiTheme="minorHAnsi" w:cstheme="minorHAnsi"/>
          <w:i/>
          <w:iCs/>
        </w:rPr>
        <w:t>PASC agreed that a cost-utility analysis is appropriate, as the applicant is claiming superior efficacy but inferior safety.</w:t>
      </w:r>
    </w:p>
    <w:p w14:paraId="30619E6D" w14:textId="77777777" w:rsidR="00347534" w:rsidRPr="00374CCA" w:rsidRDefault="00347534" w:rsidP="006C5910">
      <w:pPr>
        <w:autoSpaceDE w:val="0"/>
        <w:autoSpaceDN w:val="0"/>
        <w:adjustRightInd w:val="0"/>
        <w:rPr>
          <w:rFonts w:asciiTheme="minorHAnsi" w:hAnsiTheme="minorHAnsi" w:cstheme="minorHAnsi"/>
          <w:i/>
          <w:iCs/>
        </w:rPr>
      </w:pPr>
      <w:r w:rsidRPr="00374CCA">
        <w:rPr>
          <w:rFonts w:asciiTheme="minorHAnsi" w:hAnsiTheme="minorHAnsi" w:cstheme="minorHAnsi"/>
          <w:i/>
          <w:iCs/>
        </w:rPr>
        <w:t>PASC advised that the economic outcomes will be critical in the assessment, particularly the need to capture downstream costs such as reintervention and the requirement for additional devices.</w:t>
      </w:r>
    </w:p>
    <w:p w14:paraId="78374646" w14:textId="62A08C21" w:rsidR="00347534" w:rsidRPr="00374CCA" w:rsidRDefault="00347534" w:rsidP="00347534">
      <w:r w:rsidRPr="00374CCA">
        <w:rPr>
          <w:rFonts w:asciiTheme="minorHAnsi" w:hAnsiTheme="minorHAnsi" w:cstheme="minorHAnsi"/>
          <w:i/>
          <w:iCs/>
        </w:rPr>
        <w:t xml:space="preserve">PASC considered that the proposed device </w:t>
      </w:r>
      <w:r w:rsidR="0076781C">
        <w:rPr>
          <w:rFonts w:asciiTheme="minorHAnsi" w:hAnsiTheme="minorHAnsi" w:cstheme="minorHAnsi"/>
          <w:i/>
          <w:iCs/>
        </w:rPr>
        <w:t>benefit</w:t>
      </w:r>
      <w:r w:rsidR="0076781C" w:rsidRPr="00374CCA">
        <w:rPr>
          <w:rFonts w:asciiTheme="minorHAnsi" w:hAnsiTheme="minorHAnsi" w:cstheme="minorHAnsi"/>
          <w:i/>
          <w:iCs/>
        </w:rPr>
        <w:t xml:space="preserve"> </w:t>
      </w:r>
      <w:r w:rsidRPr="00374CCA">
        <w:rPr>
          <w:rFonts w:asciiTheme="minorHAnsi" w:hAnsiTheme="minorHAnsi" w:cstheme="minorHAnsi"/>
          <w:i/>
          <w:iCs/>
        </w:rPr>
        <w:t xml:space="preserve">of </w:t>
      </w:r>
      <w:r w:rsidRPr="00D8193A">
        <w:rPr>
          <w:rFonts w:asciiTheme="minorHAnsi" w:hAnsiTheme="minorHAnsi" w:cstheme="minorHAnsi"/>
          <w:i/>
          <w:iCs/>
        </w:rPr>
        <w:t>$</w:t>
      </w:r>
      <w:r w:rsidR="00D8193A">
        <w:rPr>
          <w:rFonts w:asciiTheme="minorHAnsi" w:hAnsiTheme="minorHAnsi" w:cstheme="minorHAnsi"/>
          <w:i/>
          <w:iCs/>
        </w:rPr>
        <w:t>REDACTED</w:t>
      </w:r>
      <w:r w:rsidRPr="00374CCA">
        <w:rPr>
          <w:rFonts w:asciiTheme="minorHAnsi" w:hAnsiTheme="minorHAnsi" w:cstheme="minorHAnsi"/>
          <w:i/>
          <w:iCs/>
        </w:rPr>
        <w:t xml:space="preserve"> on the PL </w:t>
      </w:r>
      <w:r w:rsidRPr="00374CCA" w:rsidDel="00615A51">
        <w:rPr>
          <w:rFonts w:asciiTheme="minorHAnsi" w:hAnsiTheme="minorHAnsi" w:cstheme="minorHAnsi"/>
          <w:i/>
          <w:iCs/>
        </w:rPr>
        <w:t xml:space="preserve">should </w:t>
      </w:r>
      <w:r w:rsidRPr="00374CCA">
        <w:rPr>
          <w:rFonts w:asciiTheme="minorHAnsi" w:hAnsiTheme="minorHAnsi" w:cstheme="minorHAnsi"/>
          <w:i/>
          <w:iCs/>
        </w:rPr>
        <w:t>apply to the procedure as a whole, regardless of the number of clips used, consistent with pricing for other structural heart interventions.</w:t>
      </w:r>
    </w:p>
    <w:p w14:paraId="047E4738" w14:textId="1D501EE9" w:rsidR="00D73332" w:rsidRPr="00374CCA" w:rsidRDefault="00D73332" w:rsidP="00DE762F">
      <w:pPr>
        <w:pStyle w:val="Heading2"/>
      </w:pPr>
      <w:r w:rsidRPr="00374CCA">
        <w:t>Propos</w:t>
      </w:r>
      <w:r w:rsidR="000D1FCF" w:rsidRPr="00374CCA">
        <w:t>al for public funding</w:t>
      </w:r>
    </w:p>
    <w:p w14:paraId="6AF2CE94" w14:textId="77777777" w:rsidR="007C557B" w:rsidRPr="00374CCA" w:rsidRDefault="007C557B" w:rsidP="007C557B">
      <w:pPr>
        <w:pStyle w:val="Heading3"/>
      </w:pPr>
      <w:r w:rsidRPr="00374CCA">
        <w:t>MBS service</w:t>
      </w:r>
    </w:p>
    <w:p w14:paraId="0EFCF217" w14:textId="02158E66" w:rsidR="002E0952" w:rsidRPr="00374CCA" w:rsidRDefault="00F72204" w:rsidP="00BF41D8">
      <w:r w:rsidRPr="00374CCA">
        <w:t>The application proposed the creation of a new MBS item for isolated T-TEER performed using the Tri</w:t>
      </w:r>
      <w:r w:rsidR="00E36531" w:rsidRPr="00374CCA">
        <w:t>C</w:t>
      </w:r>
      <w:r w:rsidRPr="00374CCA">
        <w:t>lip system (</w:t>
      </w:r>
      <w:r w:rsidRPr="00374CCA">
        <w:fldChar w:fldCharType="begin"/>
      </w:r>
      <w:r w:rsidRPr="00374CCA">
        <w:instrText xml:space="preserve"> REF _Ref192242008 \h </w:instrText>
      </w:r>
      <w:r w:rsidRPr="00374CCA">
        <w:fldChar w:fldCharType="separate"/>
      </w:r>
      <w:r w:rsidR="005B2582" w:rsidRPr="00374CCA">
        <w:t xml:space="preserve">Box </w:t>
      </w:r>
      <w:r w:rsidR="005B2582" w:rsidRPr="00C35F7C">
        <w:t>1</w:t>
      </w:r>
      <w:r w:rsidRPr="00374CCA">
        <w:fldChar w:fldCharType="end"/>
      </w:r>
      <w:r w:rsidRPr="00374CCA">
        <w:t>).</w:t>
      </w:r>
      <w:r w:rsidR="00AD4683" w:rsidRPr="00374CCA">
        <w:t xml:space="preserve"> </w:t>
      </w:r>
      <w:r w:rsidR="0095636C" w:rsidRPr="00374CCA">
        <w:t xml:space="preserve">The proposed descriptor specifies </w:t>
      </w:r>
      <w:r w:rsidR="00805B80">
        <w:t xml:space="preserve">using </w:t>
      </w:r>
      <w:r w:rsidR="0095636C" w:rsidRPr="00374CCA">
        <w:t>the TriClip system on the basis that it is currently the only T-TEER device supported by RCT evidence comparing its use to OMT alone. In contrast, the CLASP II TR RCT evaluating the PASCAL system against OMT is not expected to reach primary completion until December 2027.</w:t>
      </w:r>
    </w:p>
    <w:p w14:paraId="74507F98" w14:textId="114A0E74" w:rsidR="002C19A4" w:rsidRPr="00374CCA" w:rsidRDefault="00DC7123" w:rsidP="00DC7123">
      <w:r w:rsidRPr="00374CCA">
        <w:t xml:space="preserve">The patient population outlined in the proposed item descriptor is broadly consistent with that of the TRILUMINATE Pivotal trial, which evaluated the TriClip system. However, the descriptor omits several key eligibility criteria </w:t>
      </w:r>
      <w:r w:rsidR="000B2800" w:rsidRPr="00374CCA">
        <w:t>used in</w:t>
      </w:r>
      <w:r w:rsidRPr="00374CCA">
        <w:t xml:space="preserve"> the trial, including: age 18 years</w:t>
      </w:r>
      <w:r w:rsidR="00B464D1" w:rsidRPr="00374CCA">
        <w:t xml:space="preserve"> or older</w:t>
      </w:r>
      <w:r w:rsidRPr="00374CCA">
        <w:t>, absence of severe uncontrolled hypertension, intermediate or greater estimated surgical risk for tricuspid valve intervention, and a reasonable likelihood of achieving moderate or less residual TR following T-TEER.</w:t>
      </w:r>
      <w:r w:rsidR="00872D2D" w:rsidRPr="00374CCA">
        <w:t xml:space="preserve"> </w:t>
      </w:r>
      <w:r w:rsidR="002A0187" w:rsidRPr="00374CCA">
        <w:t>Additionally, the descriptor</w:t>
      </w:r>
      <w:r w:rsidRPr="00374CCA">
        <w:t xml:space="preserve"> does not define OMT</w:t>
      </w:r>
      <w:r w:rsidR="001279DB" w:rsidRPr="00374CCA">
        <w:t xml:space="preserve"> </w:t>
      </w:r>
      <w:r w:rsidRPr="00374CCA">
        <w:t xml:space="preserve">or </w:t>
      </w:r>
      <w:r w:rsidR="00781365" w:rsidRPr="00374CCA">
        <w:t>specify</w:t>
      </w:r>
      <w:r w:rsidRPr="00374CCA">
        <w:t xml:space="preserve"> the required duration of stable OMT prior to intervention. Nonetheless, the application state</w:t>
      </w:r>
      <w:r w:rsidR="00E9393B">
        <w:t>d</w:t>
      </w:r>
      <w:r w:rsidRPr="00374CCA">
        <w:t xml:space="preserve"> that </w:t>
      </w:r>
      <w:r w:rsidR="001279DB" w:rsidRPr="00374CCA">
        <w:t>a</w:t>
      </w:r>
      <w:r w:rsidR="004E681E">
        <w:t>n</w:t>
      </w:r>
      <w:r w:rsidR="001279DB" w:rsidRPr="00374CCA">
        <w:t xml:space="preserve"> </w:t>
      </w:r>
      <w:r w:rsidRPr="00374CCA">
        <w:t>MDHT</w:t>
      </w:r>
      <w:r w:rsidR="001279DB" w:rsidRPr="00374CCA">
        <w:t xml:space="preserve"> </w:t>
      </w:r>
      <w:r w:rsidRPr="00374CCA">
        <w:t>would be responsible for assessing each patient’s overall risk profile, anatomical suitability, and candidacy for T-TEER.</w:t>
      </w:r>
    </w:p>
    <w:p w14:paraId="7D26827F" w14:textId="0179D2A3" w:rsidR="00666B7D" w:rsidRPr="00374CCA" w:rsidRDefault="00BB5825" w:rsidP="00666B7D">
      <w:r w:rsidRPr="00374CCA">
        <w:t>The application advised that the MDHT should include</w:t>
      </w:r>
      <w:r w:rsidR="00415374" w:rsidRPr="00374CCA">
        <w:t>, at a minimum,</w:t>
      </w:r>
      <w:r w:rsidRPr="00374CCA">
        <w:t xml:space="preserve"> an interventional cardiologist or cardiothoracic surgeon, </w:t>
      </w:r>
      <w:r w:rsidR="00581C74" w:rsidRPr="00374CCA">
        <w:t>along with</w:t>
      </w:r>
      <w:r w:rsidR="00805716" w:rsidRPr="00374CCA">
        <w:t xml:space="preserve"> a specialist or consultant physician who is not the proceduralist</w:t>
      </w:r>
      <w:r w:rsidRPr="00374CCA">
        <w:t xml:space="preserve">. </w:t>
      </w:r>
      <w:r w:rsidR="004646D6" w:rsidRPr="00374CCA">
        <w:t xml:space="preserve">The applicant’s clinical expert </w:t>
      </w:r>
      <w:r w:rsidR="008E73B9" w:rsidRPr="00374CCA">
        <w:t>noted that while the involvement of</w:t>
      </w:r>
      <w:r w:rsidR="004646D6" w:rsidRPr="00374CCA">
        <w:t xml:space="preserve"> a </w:t>
      </w:r>
      <w:r w:rsidR="0083750C" w:rsidRPr="00374CCA">
        <w:t>cardiovascular</w:t>
      </w:r>
      <w:r w:rsidR="004646D6" w:rsidRPr="00374CCA">
        <w:t xml:space="preserve"> imaging specialist is </w:t>
      </w:r>
      <w:r w:rsidR="008E73B9" w:rsidRPr="00374CCA">
        <w:t>beneficial,</w:t>
      </w:r>
      <w:r w:rsidR="004646D6" w:rsidRPr="00374CCA">
        <w:t xml:space="preserve"> </w:t>
      </w:r>
      <w:r w:rsidR="008E73B9" w:rsidRPr="00374CCA">
        <w:t>it</w:t>
      </w:r>
      <w:r w:rsidR="004646D6" w:rsidRPr="00374CCA">
        <w:t xml:space="preserve"> should </w:t>
      </w:r>
      <w:r w:rsidR="00EE19C4" w:rsidRPr="00374CCA">
        <w:t>be considered desirable rather than</w:t>
      </w:r>
      <w:r w:rsidR="004646D6" w:rsidRPr="00374CCA">
        <w:t xml:space="preserve"> mandatory. </w:t>
      </w:r>
      <w:r w:rsidR="00B30591" w:rsidRPr="00374CCA">
        <w:t>Two</w:t>
      </w:r>
      <w:r w:rsidR="00666B7D" w:rsidRPr="00374CCA">
        <w:t xml:space="preserve"> new MBS items </w:t>
      </w:r>
      <w:r w:rsidR="00B30591" w:rsidRPr="00374CCA">
        <w:t xml:space="preserve">have been proposed </w:t>
      </w:r>
      <w:r w:rsidR="00666B7D" w:rsidRPr="00374CCA">
        <w:t>for attendance at T-TEER case conferences (</w:t>
      </w:r>
      <w:r w:rsidR="00666B7D" w:rsidRPr="00374CCA">
        <w:fldChar w:fldCharType="begin"/>
      </w:r>
      <w:r w:rsidR="00666B7D" w:rsidRPr="00374CCA">
        <w:instrText xml:space="preserve"> REF _Ref192250292 \h  \* MERGEFORMAT </w:instrText>
      </w:r>
      <w:r w:rsidR="00666B7D" w:rsidRPr="00374CCA">
        <w:fldChar w:fldCharType="separate"/>
      </w:r>
      <w:r w:rsidR="005B2582" w:rsidRPr="00374CCA">
        <w:t xml:space="preserve">Box </w:t>
      </w:r>
      <w:r w:rsidR="005B2582" w:rsidRPr="00C35F7C">
        <w:t>2</w:t>
      </w:r>
      <w:r w:rsidR="00666B7D" w:rsidRPr="00374CCA">
        <w:fldChar w:fldCharType="end"/>
      </w:r>
      <w:r w:rsidR="00666B7D" w:rsidRPr="00374CCA">
        <w:t xml:space="preserve">), based on MBS items </w:t>
      </w:r>
      <w:hyperlink r:id="rId22" w:history="1">
        <w:r w:rsidR="00666B7D" w:rsidRPr="008E3907">
          <w:rPr>
            <w:rStyle w:val="Hyperlink"/>
            <w:rFonts w:ascii="Calibri" w:hAnsi="Calibri"/>
          </w:rPr>
          <w:t>6082</w:t>
        </w:r>
      </w:hyperlink>
      <w:r w:rsidR="00666B7D" w:rsidRPr="00374CCA">
        <w:t xml:space="preserve"> and </w:t>
      </w:r>
      <w:hyperlink r:id="rId23" w:history="1">
        <w:r w:rsidR="00666B7D" w:rsidRPr="007E519F">
          <w:rPr>
            <w:rStyle w:val="Hyperlink"/>
            <w:rFonts w:ascii="Calibri" w:hAnsi="Calibri"/>
          </w:rPr>
          <w:t>6084</w:t>
        </w:r>
      </w:hyperlink>
      <w:r w:rsidR="00666B7D" w:rsidRPr="00374CCA">
        <w:t xml:space="preserve"> for attendance at </w:t>
      </w:r>
      <w:r w:rsidR="00B30591" w:rsidRPr="00374CCA">
        <w:t>transcutaneous mitral valve repair (</w:t>
      </w:r>
      <w:r w:rsidR="00666B7D" w:rsidRPr="00374CCA">
        <w:t>TMVr</w:t>
      </w:r>
      <w:r w:rsidR="00B30591" w:rsidRPr="00374CCA">
        <w:t>)</w:t>
      </w:r>
      <w:r w:rsidR="00666B7D" w:rsidRPr="00374CCA">
        <w:t xml:space="preserve"> case conferences.</w:t>
      </w:r>
    </w:p>
    <w:p w14:paraId="0BDD35C9" w14:textId="1D5ED8BF" w:rsidR="008F13B0" w:rsidRPr="00374CCA" w:rsidRDefault="00F6463D" w:rsidP="008F13B0">
      <w:r w:rsidRPr="00374CCA">
        <w:t xml:space="preserve">The application proposed formal accreditation of the centre where </w:t>
      </w:r>
      <w:r w:rsidR="00C13394" w:rsidRPr="00374CCA">
        <w:t>T-TEER</w:t>
      </w:r>
      <w:r w:rsidRPr="00374CCA">
        <w:t xml:space="preserve"> is performed and the heart specialists who perform the procedure, comparable to the accreditation requirements for TAVI and TMVr.</w:t>
      </w:r>
      <w:r w:rsidR="008F13B0" w:rsidRPr="00374CCA">
        <w:t xml:space="preserve"> </w:t>
      </w:r>
    </w:p>
    <w:p w14:paraId="187A1486" w14:textId="47A7112F" w:rsidR="00F378DB" w:rsidRPr="00374CCA" w:rsidRDefault="00BE7758" w:rsidP="00BE7758">
      <w:r w:rsidRPr="00374CCA">
        <w:t xml:space="preserve">Similar to the </w:t>
      </w:r>
      <w:r w:rsidR="00D71BA2" w:rsidRPr="00374CCA">
        <w:t xml:space="preserve">existing </w:t>
      </w:r>
      <w:r w:rsidRPr="00374CCA">
        <w:t>MBS items for TMVr</w:t>
      </w:r>
      <w:r w:rsidR="00B30591" w:rsidRPr="00374CCA">
        <w:t xml:space="preserve"> (</w:t>
      </w:r>
      <w:r w:rsidRPr="00374CCA">
        <w:t xml:space="preserve">MBS items </w:t>
      </w:r>
      <w:hyperlink r:id="rId24" w:history="1">
        <w:r w:rsidRPr="00C40BDF">
          <w:rPr>
            <w:rStyle w:val="Hyperlink"/>
            <w:rFonts w:ascii="Calibri" w:hAnsi="Calibri"/>
          </w:rPr>
          <w:t>38461</w:t>
        </w:r>
      </w:hyperlink>
      <w:r w:rsidRPr="00374CCA">
        <w:t xml:space="preserve"> and </w:t>
      </w:r>
      <w:hyperlink r:id="rId25" w:history="1">
        <w:r w:rsidRPr="00EA7B29">
          <w:rPr>
            <w:rStyle w:val="Hyperlink"/>
            <w:rFonts w:ascii="Calibri" w:hAnsi="Calibri"/>
          </w:rPr>
          <w:t>38463</w:t>
        </w:r>
      </w:hyperlink>
      <w:r w:rsidRPr="00374CCA">
        <w:t xml:space="preserve">), the proposed descriptor for the new T-TEER item includes intraoperative diagnostic imaging to cover </w:t>
      </w:r>
      <w:r w:rsidR="00D71BA2" w:rsidRPr="00374CCA">
        <w:t xml:space="preserve">both </w:t>
      </w:r>
      <w:r w:rsidRPr="00374CCA">
        <w:t>fluoroscopy and TOE</w:t>
      </w:r>
      <w:r w:rsidR="00D71BA2" w:rsidRPr="00374CCA">
        <w:t xml:space="preserve">. These </w:t>
      </w:r>
      <w:r w:rsidR="00D71BA2" w:rsidRPr="00374CCA">
        <w:lastRenderedPageBreak/>
        <w:t>modalities are</w:t>
      </w:r>
      <w:r w:rsidRPr="00374CCA">
        <w:t xml:space="preserve"> used throughout the procedure to guide implantation</w:t>
      </w:r>
      <w:r w:rsidR="00F378DB" w:rsidRPr="00374CCA">
        <w:t xml:space="preserve"> and to</w:t>
      </w:r>
      <w:r w:rsidRPr="00374CCA">
        <w:t xml:space="preserve"> confirm </w:t>
      </w:r>
      <w:r w:rsidR="00F378DB" w:rsidRPr="00374CCA">
        <w:t>appropriate</w:t>
      </w:r>
      <w:r w:rsidRPr="00374CCA">
        <w:t xml:space="preserve"> positioning and function of the implant(s).</w:t>
      </w:r>
      <w:r w:rsidR="00CF19E2" w:rsidRPr="00374CCA">
        <w:t xml:space="preserve"> </w:t>
      </w:r>
    </w:p>
    <w:p w14:paraId="0D35B6FB" w14:textId="77777777" w:rsidR="00A66455" w:rsidRPr="00374CCA" w:rsidRDefault="00A66455" w:rsidP="00A66455">
      <w:r w:rsidRPr="00374CCA">
        <w:t>Current MBS items for TOE do not reflect the complexity or specialised expertise required for structural heart interventions such as T-TEER. Broader consideration may be warranted for the development of new MBS items that better align with the procedural demands and training requirements of these advanced imaging roles.</w:t>
      </w:r>
    </w:p>
    <w:p w14:paraId="75F94E8C" w14:textId="65509417" w:rsidR="00BE7758" w:rsidRPr="00374CCA" w:rsidRDefault="00A66455" w:rsidP="00A66455">
      <w:r w:rsidRPr="00374CCA">
        <w:t xml:space="preserve">In addition, ICE is increasingly being adopted </w:t>
      </w:r>
      <w:r w:rsidR="00DE7F4E" w:rsidRPr="00374CCA">
        <w:t xml:space="preserve">internationally </w:t>
      </w:r>
      <w:r w:rsidRPr="00374CCA">
        <w:t>as the preferred imaging modality for T-TEER and similar procedures, particularly in cases where TOE is contraindicated or suboptimal. At present, no dedicated funding model exists for ICE, but this may need to be considered as utilisation of the technology expands.</w:t>
      </w:r>
    </w:p>
    <w:p w14:paraId="5C92CF9F" w14:textId="47A6E641" w:rsidR="007B72E8" w:rsidRPr="00374CCA" w:rsidRDefault="00C26AAF" w:rsidP="00BF41D8">
      <w:r w:rsidRPr="00374CCA">
        <w:t xml:space="preserve">The proposed item descriptor for T-TEER does not specify a limit on the number of services per patient. This contrasts with the existing TMVr items (MBS 38461 and 38463), which restrict access to one procedure every 5 years. However, clinical experience </w:t>
      </w:r>
      <w:r w:rsidR="002A6B10" w:rsidRPr="00374CCA">
        <w:t>indicates</w:t>
      </w:r>
      <w:r w:rsidRPr="00374CCA">
        <w:t xml:space="preserve"> that some patients may require repeat interventions within a shorter timeframe due to progressive underlying disease, even when leaflet anatomy is not the limiting factor. In the mitral space, the 5-year restriction has posed challenges for patients who would benefit from re-intervention, typically within 2 to 3 years. </w:t>
      </w:r>
      <w:r w:rsidR="00FC2724" w:rsidRPr="00374CCA">
        <w:t>The applicant’s clinical expert advised that</w:t>
      </w:r>
      <w:r w:rsidR="00294D85" w:rsidRPr="00374CCA">
        <w:t>,</w:t>
      </w:r>
      <w:r w:rsidR="00FC2724" w:rsidRPr="00374CCA">
        <w:t xml:space="preserve"> i</w:t>
      </w:r>
      <w:r w:rsidRPr="00374CCA">
        <w:t xml:space="preserve">f a </w:t>
      </w:r>
      <w:r w:rsidR="00294D85" w:rsidRPr="00374CCA">
        <w:t xml:space="preserve">time-based restriction </w:t>
      </w:r>
      <w:r w:rsidRPr="00374CCA">
        <w:t xml:space="preserve">were to be considered, a </w:t>
      </w:r>
      <w:r w:rsidR="000C62E4" w:rsidRPr="00374CCA">
        <w:t>2</w:t>
      </w:r>
      <w:r w:rsidRPr="00374CCA">
        <w:t>-year interval would be more clinically appropriate.</w:t>
      </w:r>
    </w:p>
    <w:p w14:paraId="2B45DD74" w14:textId="55295DED" w:rsidR="00DA3889" w:rsidRDefault="00F270D2" w:rsidP="00BF41D8">
      <w:r w:rsidRPr="00374CCA">
        <w:t>In addition to disease progression, reintervention may also be required in cases of clip detachment, which typically occurs within the first 24 hours post-procedure while the patient is still hospitalised. In such cases, the procedure is repeated to reclip the valve leaflets. The applicant has indicated that, where reintervention occurs within the same episode of care, the reclipping device and procedure are not charged separately. However, this is a discretionary policy and may not apply in all circumstances. It is therefore important to recognise that the proposed MBS item may be used more than once per patient, and funding arrangements should account for the possibility of repeat procedures</w:t>
      </w:r>
      <w:r w:rsidR="00E049D6" w:rsidRPr="00374CCA">
        <w:t xml:space="preserve">, </w:t>
      </w:r>
      <w:r w:rsidRPr="00374CCA">
        <w:t>particularly in the early post-operative period.</w:t>
      </w:r>
    </w:p>
    <w:p w14:paraId="55471FD0" w14:textId="20B22E19" w:rsidR="00D61D16" w:rsidRPr="008942E0" w:rsidRDefault="00D61D16" w:rsidP="008942E0">
      <w:pPr>
        <w:rPr>
          <w:i/>
          <w:iCs/>
        </w:rPr>
      </w:pPr>
      <w:r w:rsidRPr="008942E0">
        <w:rPr>
          <w:i/>
          <w:iCs/>
        </w:rPr>
        <w:t xml:space="preserve">PASC noted that the applicant’s proposed </w:t>
      </w:r>
      <w:r w:rsidR="00E61354">
        <w:rPr>
          <w:i/>
          <w:iCs/>
        </w:rPr>
        <w:t xml:space="preserve">MBS </w:t>
      </w:r>
      <w:r w:rsidR="007A1912">
        <w:rPr>
          <w:i/>
          <w:iCs/>
        </w:rPr>
        <w:t xml:space="preserve">item </w:t>
      </w:r>
      <w:r w:rsidRPr="008942E0">
        <w:rPr>
          <w:i/>
          <w:iCs/>
        </w:rPr>
        <w:t xml:space="preserve">descriptor was device-specific. The applicant explained that they are currently the only company with robust clinical evidence for T-TEER and highlighted parallels with the initial TMVr application, where MSAC previously adopted a brand-specific descriptor. However, PASC noted that clinicians generally prefer a device-agnostic listing, as other TEER technologies are expected to </w:t>
      </w:r>
      <w:r w:rsidR="00C86863" w:rsidRPr="008942E0">
        <w:rPr>
          <w:i/>
          <w:iCs/>
        </w:rPr>
        <w:t>emerge,</w:t>
      </w:r>
      <w:r w:rsidRPr="008942E0">
        <w:rPr>
          <w:i/>
          <w:iCs/>
        </w:rPr>
        <w:t xml:space="preserve"> and a broader approach would provide greater flexibility and future-proofing. PASC advised the applicant to present the available evidence – recognising that their device is the only one with RCT data at present – to justify a device-specific listing, while noting that MSAC will ultimately determine whether this is appropriate.</w:t>
      </w:r>
    </w:p>
    <w:p w14:paraId="249C5298" w14:textId="3F6DFA59" w:rsidR="00D61D16" w:rsidRPr="008942E0" w:rsidRDefault="00D61D16" w:rsidP="008942E0">
      <w:pPr>
        <w:rPr>
          <w:i/>
          <w:iCs/>
        </w:rPr>
      </w:pPr>
      <w:r w:rsidRPr="008942E0">
        <w:rPr>
          <w:i/>
          <w:iCs/>
        </w:rPr>
        <w:t xml:space="preserve">PASC considered whether the components of OMT should be specified in the item descriptor and advised </w:t>
      </w:r>
      <w:r w:rsidR="00E3272E">
        <w:rPr>
          <w:i/>
          <w:iCs/>
        </w:rPr>
        <w:t xml:space="preserve">that </w:t>
      </w:r>
      <w:r w:rsidRPr="008942E0">
        <w:rPr>
          <w:i/>
          <w:iCs/>
        </w:rPr>
        <w:t>this was unnecessary. PASC noted that OMT primarily consists of diuretics, and there is little evidence that other therapies significantly impact outcomes. It can be assumed that clinicians have provided appropriate medical management before T-TEER is considered.</w:t>
      </w:r>
    </w:p>
    <w:p w14:paraId="1C195781" w14:textId="77777777" w:rsidR="00D61D16" w:rsidRPr="008942E0" w:rsidRDefault="00D61D16" w:rsidP="008942E0">
      <w:pPr>
        <w:rPr>
          <w:i/>
          <w:iCs/>
        </w:rPr>
      </w:pPr>
      <w:r w:rsidRPr="008942E0">
        <w:rPr>
          <w:i/>
          <w:iCs/>
        </w:rPr>
        <w:t xml:space="preserve">PASC discussed whether a time restriction is needed for repeat T-TEER procedures, noting the high mortality in this population (17% at 2 years and 27% at 3 years in the pivotal trial). While the TMVr item currently has a 5-year exclusion period, PASC noted advice from the applicant’s clinical expert that a small subset of patients may deteriorate earlier due to underlying disease, and that reintervention in these cases </w:t>
      </w:r>
      <w:r w:rsidRPr="008942E0">
        <w:rPr>
          <w:i/>
          <w:iCs/>
        </w:rPr>
        <w:lastRenderedPageBreak/>
        <w:t>could provide repeated clinical benefit. PASC noted that early reintervention for single leaflet detachment within 48–72 hours is a separate issue from repeat T-TEER months or years later. PASC was unaware of evidence demonstrating clinical benefit from repeat procedures in this elderly, high-mortality population and advised that such evidence would be necessary to justify a shorter exclusion period. Without this, patients may face the cost and risks without clear benefit. PASC advised that the restriction should remain at 5 years – consistent with TMVr – unless clinical and economic evidence supports reducing it to 2 years.</w:t>
      </w:r>
    </w:p>
    <w:p w14:paraId="39F9623B" w14:textId="51E385BE" w:rsidR="008942E0" w:rsidRPr="008942E0" w:rsidRDefault="008942E0" w:rsidP="008942E0">
      <w:pPr>
        <w:rPr>
          <w:i/>
          <w:iCs/>
        </w:rPr>
      </w:pPr>
      <w:r w:rsidRPr="008942E0">
        <w:rPr>
          <w:i/>
          <w:iCs/>
        </w:rPr>
        <w:t xml:space="preserve">PASC heard from the applicant’s clinical experts that removing the term ‘isolated’ from the proposed descriptor would allow patients requiring both tricuspid and mitral valve repair to undergo both procedures during a single admission. The experts stated that performing the procedures concurrently is more efficient and avoids </w:t>
      </w:r>
      <w:r w:rsidRPr="008942E0" w:rsidDel="00492A50">
        <w:rPr>
          <w:i/>
          <w:iCs/>
        </w:rPr>
        <w:t>a second</w:t>
      </w:r>
      <w:r w:rsidRPr="008942E0">
        <w:rPr>
          <w:i/>
          <w:iCs/>
        </w:rPr>
        <w:t>, subsequent</w:t>
      </w:r>
      <w:r w:rsidRPr="008942E0" w:rsidDel="00492A50">
        <w:rPr>
          <w:i/>
          <w:iCs/>
        </w:rPr>
        <w:t xml:space="preserve"> hospital stay, anaesthetic, </w:t>
      </w:r>
      <w:r w:rsidRPr="008942E0">
        <w:rPr>
          <w:i/>
          <w:iCs/>
        </w:rPr>
        <w:t>and other</w:t>
      </w:r>
      <w:r w:rsidRPr="008942E0" w:rsidDel="00492A50">
        <w:rPr>
          <w:i/>
          <w:iCs/>
        </w:rPr>
        <w:t xml:space="preserve"> </w:t>
      </w:r>
      <w:r w:rsidRPr="008942E0">
        <w:rPr>
          <w:i/>
          <w:iCs/>
        </w:rPr>
        <w:t>additional risks and costs associated with 2 separate procedures. The experts claimed that 20–30% of patients present with disease affecting both valves, and around 25% of current T-TEER procedures are performed as part of combined interventions. These patients are often older and frail, making two separate procedures a significant burden. Performing both at once typically adds only 20–30 minutes to the procedure time compared with repeating the entire process later.</w:t>
      </w:r>
    </w:p>
    <w:p w14:paraId="2F3A47AD" w14:textId="4386ABA6" w:rsidR="008942E0" w:rsidRPr="008942E0" w:rsidRDefault="008942E0" w:rsidP="401EE2EC">
      <w:pPr>
        <w:rPr>
          <w:i/>
          <w:iCs/>
        </w:rPr>
      </w:pPr>
      <w:r w:rsidRPr="401EE2EC">
        <w:rPr>
          <w:i/>
          <w:iCs/>
        </w:rPr>
        <w:t xml:space="preserve">PASC </w:t>
      </w:r>
      <w:r w:rsidR="5220C8A3" w:rsidRPr="401EE2EC">
        <w:rPr>
          <w:i/>
          <w:iCs/>
        </w:rPr>
        <w:t xml:space="preserve">acknowledged this separate but related </w:t>
      </w:r>
      <w:r w:rsidR="007C0281" w:rsidRPr="401EE2EC">
        <w:rPr>
          <w:i/>
          <w:iCs/>
        </w:rPr>
        <w:t>issue and</w:t>
      </w:r>
      <w:r w:rsidR="5220C8A3" w:rsidRPr="401EE2EC">
        <w:rPr>
          <w:i/>
          <w:iCs/>
        </w:rPr>
        <w:t xml:space="preserve"> </w:t>
      </w:r>
      <w:r w:rsidRPr="401EE2EC">
        <w:rPr>
          <w:i/>
          <w:iCs/>
        </w:rPr>
        <w:t xml:space="preserve">advised that patients requiring repair of both valves represent a distinct population and </w:t>
      </w:r>
      <w:r w:rsidR="4ACC237D" w:rsidRPr="401EE2EC">
        <w:rPr>
          <w:i/>
          <w:iCs/>
        </w:rPr>
        <w:t xml:space="preserve">therefore </w:t>
      </w:r>
      <w:r w:rsidRPr="401EE2EC">
        <w:rPr>
          <w:i/>
          <w:iCs/>
        </w:rPr>
        <w:t>would need a separate PICO set, with supporting evidence and an appropriate fee. This population could be considered in a future application; however, the current application should remain limited to isolated tricuspid valve repair, consistent with the key clinical trial.</w:t>
      </w:r>
    </w:p>
    <w:p w14:paraId="6548E5B3" w14:textId="2FAC14FF" w:rsidR="00D61D16" w:rsidRPr="00374CCA" w:rsidRDefault="008942E0" w:rsidP="00BF41D8">
      <w:r w:rsidRPr="008942E0">
        <w:rPr>
          <w:i/>
          <w:iCs/>
        </w:rPr>
        <w:t xml:space="preserve">PASC considered a policy question on whether tricuspid valve repair and valve replacement should be combined into a single item. PASC advised that this issue is not relevant at present, as MSAC application 1799 for TTV replacement has been withdrawn. Furthermore, the procedures are technically </w:t>
      </w:r>
      <w:r w:rsidR="007C0281" w:rsidRPr="008942E0">
        <w:rPr>
          <w:i/>
          <w:iCs/>
        </w:rPr>
        <w:t>distinct,</w:t>
      </w:r>
      <w:r w:rsidRPr="008942E0">
        <w:rPr>
          <w:i/>
          <w:iCs/>
        </w:rPr>
        <w:t xml:space="preserve"> and the patient populations differ anatomically; therefore, they should be considered separately.</w:t>
      </w:r>
    </w:p>
    <w:p w14:paraId="69047620" w14:textId="30DB936D" w:rsidR="006F1912" w:rsidRDefault="006F1912" w:rsidP="00BF41D8">
      <w:r w:rsidRPr="00374CCA">
        <w:t xml:space="preserve">The </w:t>
      </w:r>
      <w:r w:rsidR="003067F6" w:rsidRPr="00374CCA">
        <w:t xml:space="preserve">proposed </w:t>
      </w:r>
      <w:r w:rsidRPr="00374CCA">
        <w:t xml:space="preserve">fee </w:t>
      </w:r>
      <w:r w:rsidR="003067F6" w:rsidRPr="00374CCA">
        <w:t xml:space="preserve">for the T-TEER service is </w:t>
      </w:r>
      <w:r w:rsidR="00A401C0" w:rsidRPr="00374CCA">
        <w:t>the same as</w:t>
      </w:r>
      <w:r w:rsidR="003067F6" w:rsidRPr="00374CCA">
        <w:t xml:space="preserve"> </w:t>
      </w:r>
      <w:r w:rsidR="00E33111" w:rsidRPr="00374CCA">
        <w:t xml:space="preserve">that </w:t>
      </w:r>
      <w:r w:rsidR="0014266C" w:rsidRPr="00374CCA">
        <w:t xml:space="preserve">for </w:t>
      </w:r>
      <w:r w:rsidR="00C77404" w:rsidRPr="00374CCA">
        <w:t xml:space="preserve">TMVr </w:t>
      </w:r>
      <w:r w:rsidR="00E4273E" w:rsidRPr="00374CCA">
        <w:t xml:space="preserve">using </w:t>
      </w:r>
      <w:r w:rsidR="00FC76A7" w:rsidRPr="00374CCA">
        <w:t xml:space="preserve">the </w:t>
      </w:r>
      <w:r w:rsidR="00E4273E" w:rsidRPr="00374CCA">
        <w:t>Mitra</w:t>
      </w:r>
      <w:r w:rsidR="00635195" w:rsidRPr="00374CCA">
        <w:t>C</w:t>
      </w:r>
      <w:r w:rsidR="00E4273E" w:rsidRPr="00374CCA">
        <w:t xml:space="preserve">lip </w:t>
      </w:r>
      <w:r w:rsidR="00FC76A7" w:rsidRPr="00374CCA">
        <w:t>system</w:t>
      </w:r>
      <w:r w:rsidR="00E4273E" w:rsidRPr="00374CCA">
        <w:t xml:space="preserve"> (MBS item 3846</w:t>
      </w:r>
      <w:r w:rsidR="00FC76A7" w:rsidRPr="00374CCA">
        <w:t>3</w:t>
      </w:r>
      <w:r w:rsidR="00E4273E" w:rsidRPr="00374CCA">
        <w:t>)</w:t>
      </w:r>
      <w:r w:rsidR="00227931" w:rsidRPr="00374CCA">
        <w:t xml:space="preserve">. The </w:t>
      </w:r>
      <w:r w:rsidR="00A401C0" w:rsidRPr="00374CCA">
        <w:t xml:space="preserve">application </w:t>
      </w:r>
      <w:r w:rsidR="0014266C" w:rsidRPr="00374CCA">
        <w:t>asserts</w:t>
      </w:r>
      <w:r w:rsidR="00A401C0" w:rsidRPr="00374CCA">
        <w:t xml:space="preserve"> that </w:t>
      </w:r>
      <w:r w:rsidR="0014266C" w:rsidRPr="00374CCA">
        <w:t>both</w:t>
      </w:r>
      <w:r w:rsidR="00C77404" w:rsidRPr="00374CCA">
        <w:t xml:space="preserve"> </w:t>
      </w:r>
      <w:r w:rsidR="00E4273E" w:rsidRPr="00374CCA">
        <w:t xml:space="preserve">procedures are </w:t>
      </w:r>
      <w:r w:rsidR="0014266C" w:rsidRPr="00374CCA">
        <w:t>comparable</w:t>
      </w:r>
      <w:r w:rsidR="00E4273E" w:rsidRPr="00374CCA">
        <w:t xml:space="preserve"> in terms of complexity, duration and resource utilisation</w:t>
      </w:r>
      <w:r w:rsidR="008223B6" w:rsidRPr="00374CCA">
        <w:t xml:space="preserve">. </w:t>
      </w:r>
      <w:r w:rsidR="00871E03" w:rsidRPr="00374CCA">
        <w:t xml:space="preserve">However, </w:t>
      </w:r>
      <w:r w:rsidR="00201727" w:rsidRPr="00374CCA">
        <w:t>while</w:t>
      </w:r>
      <w:r w:rsidR="00572B1D" w:rsidRPr="00374CCA">
        <w:t xml:space="preserve"> t</w:t>
      </w:r>
      <w:r w:rsidR="00F52942" w:rsidRPr="00374CCA">
        <w:t xml:space="preserve">he TriClip procedure avoids transseptal puncture, </w:t>
      </w:r>
      <w:r w:rsidR="00201727" w:rsidRPr="00374CCA">
        <w:t xml:space="preserve">it presents greater technical challenges in terms of </w:t>
      </w:r>
      <w:r w:rsidR="008B4329" w:rsidRPr="00374CCA">
        <w:t xml:space="preserve">device </w:t>
      </w:r>
      <w:r w:rsidR="00F52942" w:rsidRPr="00374CCA">
        <w:t>steering and imaging</w:t>
      </w:r>
      <w:r w:rsidR="008B4329" w:rsidRPr="00374CCA">
        <w:t>.</w:t>
      </w:r>
      <w:r w:rsidR="00F52942" w:rsidRPr="00374CCA">
        <w:t xml:space="preserve"> </w:t>
      </w:r>
      <w:r w:rsidR="008B4329" w:rsidRPr="00374CCA">
        <w:t xml:space="preserve">Additionally, T-TEER </w:t>
      </w:r>
      <w:r w:rsidR="00AA3E55" w:rsidRPr="00374CCA">
        <w:t>often requires the placement of more clips than</w:t>
      </w:r>
      <w:r w:rsidR="00F52942" w:rsidRPr="00374CCA">
        <w:t xml:space="preserve"> </w:t>
      </w:r>
      <w:r w:rsidR="00AA3E55" w:rsidRPr="00374CCA">
        <w:t>TMVr</w:t>
      </w:r>
      <w:r w:rsidR="00F52942" w:rsidRPr="00374CCA">
        <w:t xml:space="preserve">. </w:t>
      </w:r>
      <w:r w:rsidR="00871E03" w:rsidRPr="00374CCA">
        <w:t xml:space="preserve">As </w:t>
      </w:r>
      <w:r w:rsidR="00AA3E55" w:rsidRPr="00374CCA">
        <w:t>a result</w:t>
      </w:r>
      <w:r w:rsidR="00871E03" w:rsidRPr="00374CCA">
        <w:t xml:space="preserve">, T-TEER is </w:t>
      </w:r>
      <w:r w:rsidR="00AA3E55" w:rsidRPr="00374CCA">
        <w:t xml:space="preserve">generally </w:t>
      </w:r>
      <w:r w:rsidR="00871E03" w:rsidRPr="00374CCA">
        <w:t>more technically demanding</w:t>
      </w:r>
      <w:r w:rsidR="007649FC" w:rsidRPr="00374CCA">
        <w:t>, takes</w:t>
      </w:r>
      <w:r w:rsidR="009C0882" w:rsidRPr="00374CCA">
        <w:t xml:space="preserve"> </w:t>
      </w:r>
      <w:r w:rsidR="007649FC" w:rsidRPr="00374CCA">
        <w:t xml:space="preserve">longer </w:t>
      </w:r>
      <w:r w:rsidR="00052780" w:rsidRPr="00374CCA">
        <w:t>to perform, and requires a higher level of procedural expertise. Consequently, o</w:t>
      </w:r>
      <w:r w:rsidR="00D346CE" w:rsidRPr="00374CCA">
        <w:t xml:space="preserve">nly a subset of TMVr operators </w:t>
      </w:r>
      <w:r w:rsidR="001F6542">
        <w:t>is</w:t>
      </w:r>
      <w:r w:rsidR="00052780" w:rsidRPr="00374CCA">
        <w:t xml:space="preserve"> expected to </w:t>
      </w:r>
      <w:r w:rsidR="00D346CE" w:rsidRPr="00374CCA">
        <w:t>perform T-TEER.</w:t>
      </w:r>
    </w:p>
    <w:p w14:paraId="15A27E29" w14:textId="77777777" w:rsidR="009A6B02" w:rsidRPr="009A6B02" w:rsidRDefault="009A6B02" w:rsidP="009A6B02">
      <w:pPr>
        <w:rPr>
          <w:i/>
          <w:iCs/>
        </w:rPr>
      </w:pPr>
      <w:r w:rsidRPr="009A6B02">
        <w:rPr>
          <w:i/>
          <w:iCs/>
        </w:rPr>
        <w:t>PASC discussed the proposed MBS item fee for the T-TEER procedure and advised that it should remain the same as for TMVr. While T-TEER generally takes longer and procedure times vary considerably, PASC noted the advantages of maintaining consistency with established precedents, including MSAC application 1799 for TTV replacement before it was withdrawn, where the proposed fee was in line with TMVr despite that procedure being more complex than T-TEER and TMVr.</w:t>
      </w:r>
    </w:p>
    <w:p w14:paraId="1B13DA37" w14:textId="15CEB1DB" w:rsidR="009A6B02" w:rsidRPr="009A6B02" w:rsidRDefault="009A6B02" w:rsidP="009A6B02">
      <w:pPr>
        <w:rPr>
          <w:i/>
          <w:iCs/>
        </w:rPr>
      </w:pPr>
      <w:r w:rsidRPr="009A6B02">
        <w:rPr>
          <w:i/>
          <w:iCs/>
        </w:rPr>
        <w:t xml:space="preserve">PASC discussed whether current reimbursement adequately reflects the complexity of real-time structural imaging such as interventional TOE, which </w:t>
      </w:r>
      <w:r w:rsidRPr="009A6B02" w:rsidDel="00077831">
        <w:rPr>
          <w:i/>
          <w:iCs/>
        </w:rPr>
        <w:t xml:space="preserve">is </w:t>
      </w:r>
      <w:r w:rsidRPr="009A6B02">
        <w:rPr>
          <w:i/>
          <w:iCs/>
        </w:rPr>
        <w:t xml:space="preserve">an integral component of the procedure. This type of TOE is significantly more time-consuming and requires a higher level of skill and training than </w:t>
      </w:r>
      <w:r w:rsidRPr="009A6B02" w:rsidDel="000E4EE1">
        <w:rPr>
          <w:i/>
          <w:iCs/>
        </w:rPr>
        <w:t xml:space="preserve">standard </w:t>
      </w:r>
      <w:r w:rsidRPr="009A6B02">
        <w:rPr>
          <w:i/>
          <w:iCs/>
        </w:rPr>
        <w:t xml:space="preserve">intraprocedural or diagnostic TOE. PASC was advised that relevant professional societies are advocating for a dedicated MBS item for structural interventional TOE, specifically for echocardiologists and anaesthetists trained to perform it. Any new item would need to account for local variations in practice. The applicant’s clinical experts highlighted an existing inequity: anaesthetists can charge on a time basis for the 2–3 hour procedure, whereas echocardiologists can only claim the standard TOE fee intended for a much shorter </w:t>
      </w:r>
      <w:r w:rsidRPr="009A6B02">
        <w:rPr>
          <w:i/>
          <w:iCs/>
        </w:rPr>
        <w:lastRenderedPageBreak/>
        <w:t>procedure such as left atrial appendage closure (typically 20–40 minutes). PASC acknowledged this as an important issue but noted it falls outside the remit of the current application.</w:t>
      </w:r>
    </w:p>
    <w:p w14:paraId="503874C3" w14:textId="1F0DE519" w:rsidR="009005BB" w:rsidRPr="00C35F7C" w:rsidRDefault="009005BB" w:rsidP="009005BB">
      <w:pPr>
        <w:pStyle w:val="Caption"/>
        <w:rPr>
          <w:lang w:val="en-AU"/>
        </w:rPr>
      </w:pPr>
      <w:bookmarkStart w:id="12" w:name="_Ref192242008"/>
      <w:r w:rsidRPr="00C35F7C">
        <w:rPr>
          <w:lang w:val="en-AU"/>
        </w:rPr>
        <w:t xml:space="preserve">Box </w:t>
      </w:r>
      <w:r w:rsidRPr="00C35F7C">
        <w:rPr>
          <w:lang w:val="en-AU"/>
        </w:rPr>
        <w:fldChar w:fldCharType="begin"/>
      </w:r>
      <w:r w:rsidRPr="00C35F7C">
        <w:rPr>
          <w:lang w:val="en-AU"/>
        </w:rPr>
        <w:instrText xml:space="preserve"> SEQ Box \* ARABIC </w:instrText>
      </w:r>
      <w:r w:rsidRPr="00C35F7C">
        <w:rPr>
          <w:lang w:val="en-AU"/>
        </w:rPr>
        <w:fldChar w:fldCharType="separate"/>
      </w:r>
      <w:r w:rsidR="005B2582" w:rsidRPr="00C35F7C">
        <w:rPr>
          <w:lang w:val="en-AU"/>
        </w:rPr>
        <w:t>1</w:t>
      </w:r>
      <w:r w:rsidRPr="00C35F7C">
        <w:rPr>
          <w:lang w:val="en-AU"/>
        </w:rPr>
        <w:fldChar w:fldCharType="end"/>
      </w:r>
      <w:bookmarkEnd w:id="12"/>
      <w:r w:rsidRPr="00C35F7C">
        <w:rPr>
          <w:lang w:val="en-AU"/>
        </w:rPr>
        <w:tab/>
        <w:t>New MBS item descriptor proposed in the application</w:t>
      </w:r>
    </w:p>
    <w:tbl>
      <w:tblPr>
        <w:tblStyle w:val="TableGrid"/>
        <w:tblW w:w="5000" w:type="pct"/>
        <w:tblInd w:w="0" w:type="dxa"/>
        <w:tblLook w:val="04A0" w:firstRow="1" w:lastRow="0" w:firstColumn="1" w:lastColumn="0" w:noHBand="0" w:noVBand="1"/>
        <w:tblCaption w:val="New MBS item descriptor proposed in the application"/>
        <w:tblDescription w:val="The table shows that the proposed item is in Category 3. The patient population is specified. The proposed fee is $1,670.80.&#10;"/>
      </w:tblPr>
      <w:tblGrid>
        <w:gridCol w:w="9571"/>
      </w:tblGrid>
      <w:tr w:rsidR="009005BB" w:rsidRPr="00374CCA" w14:paraId="6F46150B" w14:textId="77777777" w:rsidTr="00F6668F">
        <w:trPr>
          <w:cantSplit/>
          <w:tblHeader/>
        </w:trPr>
        <w:tc>
          <w:tcPr>
            <w:tcW w:w="5000" w:type="pct"/>
            <w:tcBorders>
              <w:top w:val="single" w:sz="4" w:space="0" w:color="auto"/>
              <w:left w:val="single" w:sz="4" w:space="0" w:color="auto"/>
              <w:bottom w:val="single" w:sz="4" w:space="0" w:color="auto"/>
              <w:right w:val="single" w:sz="4" w:space="0" w:color="auto"/>
            </w:tcBorders>
            <w:hideMark/>
          </w:tcPr>
          <w:p w14:paraId="20E43EB3" w14:textId="77777777" w:rsidR="009005BB" w:rsidRPr="00374CCA" w:rsidRDefault="009005BB">
            <w:pPr>
              <w:spacing w:before="40" w:after="40" w:line="240" w:lineRule="auto"/>
              <w:rPr>
                <w:rFonts w:ascii="Arial Narrow" w:hAnsi="Arial Narrow"/>
                <w:sz w:val="20"/>
                <w:szCs w:val="20"/>
              </w:rPr>
            </w:pPr>
            <w:r w:rsidRPr="00374CCA">
              <w:rPr>
                <w:rFonts w:ascii="Arial Narrow" w:hAnsi="Arial Narrow"/>
                <w:sz w:val="20"/>
                <w:szCs w:val="20"/>
              </w:rPr>
              <w:t>Category 3 – THERAPEUTIC PROCEDURES</w:t>
            </w:r>
          </w:p>
        </w:tc>
      </w:tr>
      <w:tr w:rsidR="009005BB" w:rsidRPr="00374CCA" w14:paraId="26ED40E6" w14:textId="77777777" w:rsidTr="00F6668F">
        <w:trPr>
          <w:cantSplit/>
          <w:tblHeader/>
        </w:trPr>
        <w:tc>
          <w:tcPr>
            <w:tcW w:w="5000" w:type="pct"/>
            <w:tcBorders>
              <w:top w:val="single" w:sz="4" w:space="0" w:color="auto"/>
              <w:left w:val="single" w:sz="4" w:space="0" w:color="auto"/>
              <w:bottom w:val="dotted" w:sz="4" w:space="0" w:color="auto"/>
              <w:right w:val="single" w:sz="4" w:space="0" w:color="auto"/>
            </w:tcBorders>
          </w:tcPr>
          <w:p w14:paraId="24852F98" w14:textId="0E4BBAB1" w:rsidR="00D07F09" w:rsidRPr="00374CCA" w:rsidRDefault="00D07F09" w:rsidP="00D07F09">
            <w:pPr>
              <w:spacing w:before="120" w:after="120" w:line="240" w:lineRule="auto"/>
              <w:rPr>
                <w:rFonts w:ascii="Arial Narrow" w:hAnsi="Arial Narrow"/>
                <w:sz w:val="20"/>
                <w:szCs w:val="20"/>
              </w:rPr>
            </w:pPr>
            <w:r w:rsidRPr="00374CCA">
              <w:rPr>
                <w:rFonts w:ascii="Arial Narrow" w:hAnsi="Arial Narrow"/>
                <w:sz w:val="20"/>
                <w:szCs w:val="20"/>
              </w:rPr>
              <w:t>Transcatheter edge to edge repair (TEER), by transvenous techniques, for permanent coaptation of tricuspid valve leaflets using one or more Tri</w:t>
            </w:r>
            <w:r w:rsidR="00F95016" w:rsidRPr="00374CCA">
              <w:rPr>
                <w:rFonts w:ascii="Arial Narrow" w:hAnsi="Arial Narrow"/>
                <w:sz w:val="20"/>
                <w:szCs w:val="20"/>
              </w:rPr>
              <w:t>C</w:t>
            </w:r>
            <w:r w:rsidRPr="00374CCA">
              <w:rPr>
                <w:rFonts w:ascii="Arial Narrow" w:hAnsi="Arial Narrow"/>
                <w:sz w:val="20"/>
                <w:szCs w:val="20"/>
              </w:rPr>
              <w:t xml:space="preserve">lips™ </w:t>
            </w:r>
            <w:r w:rsidRPr="00374CCA">
              <w:rPr>
                <w:rFonts w:ascii="Arial Narrow" w:hAnsi="Arial Narrow"/>
                <w:i/>
                <w:iCs/>
                <w:color w:val="0070C0"/>
                <w:sz w:val="20"/>
                <w:szCs w:val="20"/>
              </w:rPr>
              <w:t>[generic alternative</w:t>
            </w:r>
            <w:r w:rsidR="00CD1087" w:rsidRPr="00374CCA">
              <w:rPr>
                <w:rFonts w:ascii="Arial Narrow" w:hAnsi="Arial Narrow"/>
                <w:i/>
                <w:iCs/>
                <w:color w:val="0070C0"/>
                <w:sz w:val="20"/>
                <w:szCs w:val="20"/>
              </w:rPr>
              <w:t>:</w:t>
            </w:r>
            <w:r w:rsidRPr="00374CCA">
              <w:rPr>
                <w:rFonts w:ascii="Arial Narrow" w:hAnsi="Arial Narrow"/>
                <w:i/>
                <w:iCs/>
                <w:color w:val="0070C0"/>
                <w:sz w:val="20"/>
                <w:szCs w:val="20"/>
              </w:rPr>
              <w:t xml:space="preserve"> </w:t>
            </w:r>
            <w:r w:rsidR="0052523C" w:rsidRPr="00374CCA">
              <w:rPr>
                <w:rFonts w:ascii="Arial Narrow" w:hAnsi="Arial Narrow"/>
                <w:i/>
                <w:iCs/>
                <w:color w:val="0070C0"/>
                <w:sz w:val="20"/>
                <w:szCs w:val="20"/>
              </w:rPr>
              <w:t>‘</w:t>
            </w:r>
            <w:r w:rsidRPr="00374CCA">
              <w:rPr>
                <w:rFonts w:ascii="Arial Narrow" w:hAnsi="Arial Narrow"/>
                <w:i/>
                <w:iCs/>
                <w:color w:val="0070C0"/>
                <w:sz w:val="20"/>
                <w:szCs w:val="20"/>
              </w:rPr>
              <w:t>tissue approximation implants</w:t>
            </w:r>
            <w:r w:rsidR="0052523C" w:rsidRPr="00374CCA">
              <w:rPr>
                <w:rFonts w:ascii="Arial Narrow" w:hAnsi="Arial Narrow"/>
                <w:i/>
                <w:iCs/>
                <w:color w:val="0070C0"/>
                <w:sz w:val="20"/>
                <w:szCs w:val="20"/>
              </w:rPr>
              <w:t>’</w:t>
            </w:r>
            <w:r w:rsidRPr="00374CCA">
              <w:rPr>
                <w:rFonts w:ascii="Arial Narrow" w:hAnsi="Arial Narrow"/>
                <w:i/>
                <w:iCs/>
                <w:color w:val="0070C0"/>
                <w:sz w:val="20"/>
                <w:szCs w:val="20"/>
              </w:rPr>
              <w:t>]</w:t>
            </w:r>
            <w:r w:rsidRPr="00374CCA">
              <w:rPr>
                <w:rFonts w:ascii="Arial Narrow" w:hAnsi="Arial Narrow"/>
                <w:sz w:val="20"/>
                <w:szCs w:val="20"/>
              </w:rPr>
              <w:t xml:space="preserve"> including intraoperative diagnostic imaging if: </w:t>
            </w:r>
          </w:p>
          <w:p w14:paraId="247FA2FA" w14:textId="77777777" w:rsidR="00D07F09" w:rsidRPr="00374CCA" w:rsidRDefault="00D07F09" w:rsidP="00D07F09">
            <w:pPr>
              <w:spacing w:before="120" w:after="120" w:line="240" w:lineRule="auto"/>
              <w:rPr>
                <w:rFonts w:ascii="Arial Narrow" w:hAnsi="Arial Narrow"/>
                <w:sz w:val="20"/>
                <w:szCs w:val="20"/>
              </w:rPr>
            </w:pPr>
            <w:r w:rsidRPr="00374CCA">
              <w:rPr>
                <w:rFonts w:ascii="Arial Narrow" w:hAnsi="Arial Narrow"/>
                <w:sz w:val="20"/>
                <w:szCs w:val="20"/>
              </w:rPr>
              <w:t>(a) the patient has:</w:t>
            </w:r>
          </w:p>
          <w:p w14:paraId="4F9C129B" w14:textId="24A08C8C" w:rsidR="00D07F09" w:rsidRPr="00374CCA" w:rsidRDefault="00D07F09" w:rsidP="00FF18A8">
            <w:pPr>
              <w:spacing w:before="120" w:after="120" w:line="240" w:lineRule="auto"/>
              <w:ind w:firstLine="306"/>
              <w:rPr>
                <w:rFonts w:ascii="Arial Narrow" w:hAnsi="Arial Narrow"/>
                <w:sz w:val="20"/>
                <w:szCs w:val="20"/>
              </w:rPr>
            </w:pPr>
            <w:r w:rsidRPr="00374CCA">
              <w:rPr>
                <w:rFonts w:ascii="Arial Narrow" w:hAnsi="Arial Narrow"/>
                <w:sz w:val="20"/>
                <w:szCs w:val="20"/>
              </w:rPr>
              <w:t xml:space="preserve">(i) severe or greater tricuspid regurgitation, as determined by echocardiography; </w:t>
            </w:r>
            <w:r w:rsidRPr="00374CCA">
              <w:rPr>
                <w:rFonts w:ascii="Arial Narrow" w:hAnsi="Arial Narrow"/>
                <w:i/>
                <w:iCs/>
                <w:color w:val="0070C0"/>
                <w:sz w:val="20"/>
                <w:szCs w:val="20"/>
              </w:rPr>
              <w:t>and</w:t>
            </w:r>
          </w:p>
          <w:p w14:paraId="3182B095" w14:textId="77777777" w:rsidR="00D07F09" w:rsidRPr="00374CCA" w:rsidRDefault="00D07F09" w:rsidP="00FF18A8">
            <w:pPr>
              <w:spacing w:before="120" w:after="120" w:line="240" w:lineRule="auto"/>
              <w:ind w:left="317" w:hanging="11"/>
              <w:rPr>
                <w:rFonts w:ascii="Arial Narrow" w:hAnsi="Arial Narrow"/>
                <w:sz w:val="20"/>
                <w:szCs w:val="20"/>
              </w:rPr>
            </w:pPr>
            <w:r w:rsidRPr="00374CCA">
              <w:rPr>
                <w:rFonts w:ascii="Arial Narrow" w:hAnsi="Arial Narrow"/>
                <w:sz w:val="20"/>
                <w:szCs w:val="20"/>
              </w:rPr>
              <w:t xml:space="preserve">(ii) symptoms (New York Heart Association functional class II </w:t>
            </w:r>
            <w:r w:rsidRPr="00374CCA">
              <w:rPr>
                <w:rFonts w:ascii="Arial Narrow" w:hAnsi="Arial Narrow"/>
                <w:strike/>
                <w:sz w:val="20"/>
                <w:szCs w:val="20"/>
              </w:rPr>
              <w:t>or greater</w:t>
            </w:r>
            <w:r w:rsidRPr="00374CCA">
              <w:rPr>
                <w:rFonts w:ascii="Arial Narrow" w:hAnsi="Arial Narrow"/>
                <w:i/>
                <w:iCs/>
                <w:color w:val="0070C0"/>
                <w:sz w:val="20"/>
                <w:szCs w:val="20"/>
              </w:rPr>
              <w:t>, III or ambulatory IV</w:t>
            </w:r>
            <w:r w:rsidRPr="00374CCA">
              <w:rPr>
                <w:rFonts w:ascii="Arial Narrow" w:hAnsi="Arial Narrow"/>
                <w:sz w:val="20"/>
                <w:szCs w:val="20"/>
              </w:rPr>
              <w:t xml:space="preserve">) despite optimal medical therapy; </w:t>
            </w:r>
            <w:r w:rsidRPr="00374CCA">
              <w:rPr>
                <w:rFonts w:ascii="Arial Narrow" w:hAnsi="Arial Narrow"/>
                <w:i/>
                <w:iCs/>
                <w:color w:val="0070C0"/>
                <w:sz w:val="20"/>
                <w:szCs w:val="20"/>
              </w:rPr>
              <w:t>and</w:t>
            </w:r>
          </w:p>
          <w:p w14:paraId="7DBD09A9" w14:textId="2E3ABD69" w:rsidR="00D07F09" w:rsidRPr="00374CCA" w:rsidRDefault="00D07F09" w:rsidP="00FF18A8">
            <w:pPr>
              <w:spacing w:before="120" w:after="120" w:line="240" w:lineRule="auto"/>
              <w:ind w:firstLine="306"/>
              <w:rPr>
                <w:rFonts w:ascii="Arial Narrow" w:hAnsi="Arial Narrow"/>
                <w:sz w:val="20"/>
                <w:szCs w:val="20"/>
              </w:rPr>
            </w:pPr>
            <w:r w:rsidRPr="00374CCA">
              <w:rPr>
                <w:rFonts w:ascii="Arial Narrow" w:hAnsi="Arial Narrow"/>
                <w:sz w:val="20"/>
                <w:szCs w:val="20"/>
              </w:rPr>
              <w:t xml:space="preserve">(ii) left ventricular ejection fraction of </w:t>
            </w:r>
            <w:r w:rsidR="00484B5A" w:rsidRPr="00374CCA">
              <w:rPr>
                <w:rFonts w:ascii="Arial Narrow" w:hAnsi="Arial Narrow"/>
                <w:i/>
                <w:iCs/>
                <w:color w:val="0070C0"/>
                <w:sz w:val="20"/>
                <w:szCs w:val="20"/>
              </w:rPr>
              <w:t>more than</w:t>
            </w:r>
            <w:r w:rsidR="00484B5A" w:rsidRPr="00374CCA">
              <w:rPr>
                <w:rFonts w:ascii="Arial Narrow" w:hAnsi="Arial Narrow"/>
                <w:sz w:val="20"/>
                <w:szCs w:val="20"/>
              </w:rPr>
              <w:t xml:space="preserve"> </w:t>
            </w:r>
            <w:r w:rsidRPr="00374CCA">
              <w:rPr>
                <w:rFonts w:ascii="Arial Narrow" w:hAnsi="Arial Narrow"/>
                <w:sz w:val="20"/>
                <w:szCs w:val="20"/>
              </w:rPr>
              <w:t>20%</w:t>
            </w:r>
            <w:r w:rsidR="00484B5A" w:rsidRPr="00374CCA">
              <w:rPr>
                <w:rFonts w:ascii="Arial Narrow" w:hAnsi="Arial Narrow"/>
                <w:sz w:val="20"/>
                <w:szCs w:val="20"/>
              </w:rPr>
              <w:t xml:space="preserve"> </w:t>
            </w:r>
            <w:r w:rsidR="00484B5A" w:rsidRPr="00374CCA">
              <w:rPr>
                <w:rFonts w:ascii="Arial Narrow" w:hAnsi="Arial Narrow"/>
                <w:strike/>
                <w:sz w:val="20"/>
                <w:szCs w:val="20"/>
              </w:rPr>
              <w:t>or more</w:t>
            </w:r>
            <w:r w:rsidRPr="00374CCA">
              <w:rPr>
                <w:rFonts w:ascii="Arial Narrow" w:hAnsi="Arial Narrow"/>
                <w:sz w:val="20"/>
                <w:szCs w:val="20"/>
              </w:rPr>
              <w:t xml:space="preserve">; </w:t>
            </w:r>
            <w:r w:rsidRPr="00374CCA">
              <w:rPr>
                <w:rFonts w:ascii="Arial Narrow" w:hAnsi="Arial Narrow"/>
                <w:i/>
                <w:iCs/>
                <w:color w:val="0070C0"/>
                <w:sz w:val="20"/>
                <w:szCs w:val="20"/>
              </w:rPr>
              <w:t>and</w:t>
            </w:r>
          </w:p>
          <w:p w14:paraId="582887D0" w14:textId="28AFDC2D" w:rsidR="00D07F09" w:rsidRPr="00374CCA" w:rsidRDefault="00D07F09" w:rsidP="00D07F09">
            <w:pPr>
              <w:spacing w:before="120" w:after="120" w:line="240" w:lineRule="auto"/>
              <w:ind w:firstLine="306"/>
              <w:rPr>
                <w:rFonts w:ascii="Arial Narrow" w:hAnsi="Arial Narrow"/>
                <w:sz w:val="20"/>
                <w:szCs w:val="20"/>
              </w:rPr>
            </w:pPr>
            <w:r w:rsidRPr="00374CCA">
              <w:rPr>
                <w:rFonts w:ascii="Arial Narrow" w:hAnsi="Arial Narrow"/>
                <w:sz w:val="20"/>
                <w:szCs w:val="20"/>
              </w:rPr>
              <w:t xml:space="preserve">(iii) systolic pulmonary artery pressure </w:t>
            </w:r>
            <w:r w:rsidRPr="00374CCA">
              <w:rPr>
                <w:rFonts w:ascii="Arial Narrow" w:hAnsi="Arial Narrow"/>
                <w:strike/>
                <w:sz w:val="20"/>
                <w:szCs w:val="20"/>
              </w:rPr>
              <w:t>of less than</w:t>
            </w:r>
            <w:r w:rsidRPr="00374CCA">
              <w:rPr>
                <w:rFonts w:ascii="Arial Narrow" w:hAnsi="Arial Narrow"/>
                <w:sz w:val="20"/>
                <w:szCs w:val="20"/>
              </w:rPr>
              <w:t xml:space="preserve"> </w:t>
            </w:r>
            <w:r w:rsidR="005913FD" w:rsidRPr="00374CCA">
              <w:rPr>
                <w:rFonts w:ascii="Arial Narrow" w:hAnsi="Arial Narrow"/>
                <w:i/>
                <w:iCs/>
                <w:color w:val="0070C0"/>
                <w:sz w:val="20"/>
                <w:szCs w:val="20"/>
              </w:rPr>
              <w:t>no higher than</w:t>
            </w:r>
            <w:r w:rsidR="005913FD" w:rsidRPr="00374CCA">
              <w:rPr>
                <w:rFonts w:ascii="Arial Narrow" w:hAnsi="Arial Narrow"/>
                <w:sz w:val="20"/>
                <w:szCs w:val="20"/>
              </w:rPr>
              <w:t xml:space="preserve"> </w:t>
            </w:r>
            <w:r w:rsidRPr="00374CCA">
              <w:rPr>
                <w:rFonts w:ascii="Arial Narrow" w:hAnsi="Arial Narrow"/>
                <w:sz w:val="20"/>
                <w:szCs w:val="20"/>
              </w:rPr>
              <w:t>70mmHg, and</w:t>
            </w:r>
          </w:p>
          <w:p w14:paraId="25EF144D" w14:textId="77777777" w:rsidR="00D07F09" w:rsidRPr="00374CCA" w:rsidRDefault="00D07F09" w:rsidP="00D07F09">
            <w:pPr>
              <w:spacing w:before="120" w:after="120" w:line="240" w:lineRule="auto"/>
              <w:rPr>
                <w:rFonts w:ascii="Arial Narrow" w:hAnsi="Arial Narrow"/>
                <w:sz w:val="20"/>
                <w:szCs w:val="20"/>
              </w:rPr>
            </w:pPr>
            <w:r w:rsidRPr="00374CCA">
              <w:rPr>
                <w:rFonts w:ascii="Arial Narrow" w:hAnsi="Arial Narrow"/>
                <w:sz w:val="20"/>
                <w:szCs w:val="20"/>
              </w:rPr>
              <w:t xml:space="preserve">(b) the patient is deemed suitable for </w:t>
            </w:r>
            <w:r w:rsidRPr="00374CCA">
              <w:rPr>
                <w:rFonts w:ascii="Arial Narrow" w:hAnsi="Arial Narrow"/>
                <w:i/>
                <w:iCs/>
                <w:color w:val="0070C0"/>
                <w:sz w:val="20"/>
                <w:szCs w:val="20"/>
              </w:rPr>
              <w:t>isolated T-</w:t>
            </w:r>
            <w:r w:rsidRPr="00374CCA">
              <w:rPr>
                <w:rFonts w:ascii="Arial Narrow" w:hAnsi="Arial Narrow"/>
                <w:sz w:val="20"/>
                <w:szCs w:val="20"/>
              </w:rPr>
              <w:t>TEER by a qualified multidisciplinary heart team, following a detailed assessment of comorbidities and expected benefits; and</w:t>
            </w:r>
          </w:p>
          <w:p w14:paraId="5FEA8A5D" w14:textId="77777777" w:rsidR="00D07F09" w:rsidRPr="00374CCA" w:rsidRDefault="00D07F09" w:rsidP="00D07F09">
            <w:pPr>
              <w:spacing w:before="120" w:after="120" w:line="240" w:lineRule="auto"/>
              <w:rPr>
                <w:rFonts w:ascii="Arial Narrow" w:hAnsi="Arial Narrow"/>
                <w:sz w:val="20"/>
                <w:szCs w:val="20"/>
              </w:rPr>
            </w:pPr>
            <w:r w:rsidRPr="00374CCA">
              <w:rPr>
                <w:rFonts w:ascii="Arial Narrow" w:hAnsi="Arial Narrow"/>
                <w:sz w:val="20"/>
                <w:szCs w:val="20"/>
              </w:rPr>
              <w:t>(c) the service is performed:</w:t>
            </w:r>
          </w:p>
          <w:p w14:paraId="43CAFB0F" w14:textId="77777777" w:rsidR="00D07F09" w:rsidRPr="00374CCA" w:rsidRDefault="00D07F09" w:rsidP="00FF18A8">
            <w:pPr>
              <w:spacing w:before="120" w:after="120" w:line="240" w:lineRule="auto"/>
              <w:ind w:left="306"/>
              <w:rPr>
                <w:rFonts w:ascii="Arial Narrow" w:hAnsi="Arial Narrow"/>
                <w:sz w:val="20"/>
                <w:szCs w:val="20"/>
              </w:rPr>
            </w:pPr>
            <w:r w:rsidRPr="00374CCA">
              <w:rPr>
                <w:rFonts w:ascii="Arial Narrow" w:hAnsi="Arial Narrow"/>
                <w:sz w:val="20"/>
                <w:szCs w:val="20"/>
              </w:rPr>
              <w:t xml:space="preserve">(i) by an accredited interventional cardiologist or cardiothoracic surgeon trained and certified by the </w:t>
            </w:r>
            <w:r w:rsidRPr="00374CCA">
              <w:rPr>
                <w:rFonts w:ascii="Arial Narrow" w:hAnsi="Arial Narrow"/>
                <w:i/>
                <w:iCs/>
                <w:color w:val="0070C0"/>
                <w:sz w:val="20"/>
                <w:szCs w:val="20"/>
              </w:rPr>
              <w:t>T-</w:t>
            </w:r>
            <w:r w:rsidRPr="00374CCA">
              <w:rPr>
                <w:rFonts w:ascii="Arial Narrow" w:hAnsi="Arial Narrow"/>
                <w:sz w:val="20"/>
                <w:szCs w:val="20"/>
              </w:rPr>
              <w:t>TEER accreditation committee;</w:t>
            </w:r>
          </w:p>
          <w:p w14:paraId="5D0E5027" w14:textId="77777777" w:rsidR="00D07F09" w:rsidRPr="00374CCA" w:rsidRDefault="00D07F09" w:rsidP="00D07F09">
            <w:pPr>
              <w:spacing w:before="120" w:after="120" w:line="240" w:lineRule="auto"/>
              <w:ind w:left="306"/>
              <w:rPr>
                <w:rFonts w:ascii="Arial Narrow" w:hAnsi="Arial Narrow"/>
                <w:sz w:val="20"/>
                <w:szCs w:val="20"/>
              </w:rPr>
            </w:pPr>
            <w:r w:rsidRPr="00374CCA">
              <w:rPr>
                <w:rFonts w:ascii="Arial Narrow" w:hAnsi="Arial Narrow"/>
                <w:sz w:val="20"/>
                <w:szCs w:val="20"/>
              </w:rPr>
              <w:t xml:space="preserve">(ii) in a hospital accredited by the </w:t>
            </w:r>
            <w:r w:rsidRPr="00374CCA">
              <w:rPr>
                <w:rFonts w:ascii="Arial Narrow" w:hAnsi="Arial Narrow"/>
                <w:i/>
                <w:iCs/>
                <w:color w:val="0070C0"/>
                <w:sz w:val="20"/>
                <w:szCs w:val="20"/>
              </w:rPr>
              <w:t>T-</w:t>
            </w:r>
            <w:r w:rsidRPr="00374CCA">
              <w:rPr>
                <w:rFonts w:ascii="Arial Narrow" w:hAnsi="Arial Narrow"/>
                <w:sz w:val="20"/>
                <w:szCs w:val="20"/>
              </w:rPr>
              <w:t>TEER accreditation committee to ensure appropriate facilities, personnel, and postoperative care; and</w:t>
            </w:r>
          </w:p>
          <w:p w14:paraId="0925E2FB" w14:textId="0CD06C46" w:rsidR="00D07F09" w:rsidRPr="00374CCA" w:rsidRDefault="00D07F09" w:rsidP="00D07F09">
            <w:pPr>
              <w:spacing w:before="120" w:after="120" w:line="240" w:lineRule="auto"/>
              <w:rPr>
                <w:rFonts w:ascii="Arial Narrow" w:hAnsi="Arial Narrow"/>
                <w:sz w:val="20"/>
                <w:szCs w:val="20"/>
              </w:rPr>
            </w:pPr>
            <w:r w:rsidRPr="00374CCA">
              <w:rPr>
                <w:rFonts w:ascii="Arial Narrow" w:hAnsi="Arial Narrow"/>
                <w:sz w:val="20"/>
                <w:szCs w:val="20"/>
              </w:rPr>
              <w:t>(d) the service is not associated with a service to which item 38516, 38517 applies</w:t>
            </w:r>
            <w:r w:rsidRPr="00374CCA">
              <w:rPr>
                <w:rFonts w:ascii="Arial Narrow" w:hAnsi="Arial Narrow"/>
                <w:i/>
                <w:iCs/>
                <w:color w:val="0070C0"/>
                <w:sz w:val="20"/>
                <w:szCs w:val="20"/>
              </w:rPr>
              <w:t xml:space="preserve">, and has not been provided to the patient in the previous </w:t>
            </w:r>
            <w:r w:rsidR="00956928" w:rsidRPr="00374CCA">
              <w:rPr>
                <w:rFonts w:ascii="Arial Narrow" w:hAnsi="Arial Narrow"/>
                <w:i/>
                <w:iCs/>
                <w:color w:val="0070C0"/>
                <w:sz w:val="20"/>
                <w:szCs w:val="20"/>
              </w:rPr>
              <w:t xml:space="preserve">5 </w:t>
            </w:r>
            <w:r w:rsidRPr="00374CCA">
              <w:rPr>
                <w:rFonts w:ascii="Arial Narrow" w:hAnsi="Arial Narrow"/>
                <w:i/>
                <w:iCs/>
                <w:color w:val="0070C0"/>
                <w:sz w:val="20"/>
                <w:szCs w:val="20"/>
              </w:rPr>
              <w:t>years</w:t>
            </w:r>
          </w:p>
          <w:p w14:paraId="0D815F80" w14:textId="77777777" w:rsidR="00D07F09" w:rsidRPr="00374CCA" w:rsidRDefault="00D07F09" w:rsidP="00D07F09">
            <w:pPr>
              <w:spacing w:before="120" w:after="120" w:line="240" w:lineRule="auto"/>
              <w:rPr>
                <w:rFonts w:ascii="Arial Narrow" w:hAnsi="Arial Narrow"/>
                <w:sz w:val="20"/>
                <w:szCs w:val="20"/>
              </w:rPr>
            </w:pPr>
            <w:r w:rsidRPr="00374CCA">
              <w:rPr>
                <w:rFonts w:ascii="Arial Narrow" w:hAnsi="Arial Narrow"/>
                <w:sz w:val="20"/>
                <w:szCs w:val="20"/>
              </w:rPr>
              <w:t>(H)</w:t>
            </w:r>
          </w:p>
          <w:p w14:paraId="37395A56" w14:textId="77777777" w:rsidR="00D07F09" w:rsidRPr="00374CCA" w:rsidRDefault="00D07F09" w:rsidP="00D07F09">
            <w:pPr>
              <w:spacing w:before="120" w:after="120" w:line="240" w:lineRule="auto"/>
              <w:rPr>
                <w:rFonts w:ascii="Arial Narrow" w:hAnsi="Arial Narrow"/>
                <w:sz w:val="20"/>
                <w:szCs w:val="20"/>
              </w:rPr>
            </w:pPr>
            <w:r w:rsidRPr="00374CCA">
              <w:rPr>
                <w:rFonts w:ascii="Arial Narrow" w:hAnsi="Arial Narrow"/>
                <w:sz w:val="20"/>
                <w:szCs w:val="20"/>
              </w:rPr>
              <w:t>Multiple Operation Rule</w:t>
            </w:r>
          </w:p>
          <w:p w14:paraId="6D851E6E" w14:textId="2E4B6EDC" w:rsidR="009005BB" w:rsidRPr="00374CCA" w:rsidRDefault="00D07F09" w:rsidP="00D07F09">
            <w:pPr>
              <w:spacing w:before="120" w:after="120" w:line="240" w:lineRule="auto"/>
              <w:rPr>
                <w:rFonts w:ascii="Arial Narrow" w:hAnsi="Arial Narrow"/>
                <w:sz w:val="20"/>
                <w:szCs w:val="20"/>
                <w:highlight w:val="yellow"/>
              </w:rPr>
            </w:pPr>
            <w:r w:rsidRPr="00374CCA">
              <w:rPr>
                <w:rFonts w:ascii="Arial Narrow" w:hAnsi="Arial Narrow"/>
                <w:sz w:val="20"/>
                <w:szCs w:val="20"/>
              </w:rPr>
              <w:t>(Anaes.) (Assist.)</w:t>
            </w:r>
          </w:p>
        </w:tc>
      </w:tr>
      <w:tr w:rsidR="009005BB" w:rsidRPr="00374CCA" w14:paraId="74E8DA44" w14:textId="77777777" w:rsidTr="00F6668F">
        <w:trPr>
          <w:cantSplit/>
          <w:tblHeader/>
        </w:trPr>
        <w:tc>
          <w:tcPr>
            <w:tcW w:w="5000" w:type="pct"/>
            <w:tcBorders>
              <w:top w:val="dotted" w:sz="4" w:space="0" w:color="auto"/>
              <w:left w:val="single" w:sz="4" w:space="0" w:color="auto"/>
              <w:bottom w:val="single" w:sz="4" w:space="0" w:color="auto"/>
              <w:right w:val="single" w:sz="4" w:space="0" w:color="auto"/>
            </w:tcBorders>
            <w:vAlign w:val="center"/>
          </w:tcPr>
          <w:p w14:paraId="76DF706C" w14:textId="0FFE45FA" w:rsidR="009005BB" w:rsidRPr="00374CCA" w:rsidRDefault="00BD421B">
            <w:pPr>
              <w:spacing w:before="40" w:after="40" w:line="240" w:lineRule="auto"/>
              <w:rPr>
                <w:rFonts w:ascii="Arial Narrow" w:hAnsi="Arial Narrow"/>
                <w:sz w:val="20"/>
                <w:szCs w:val="20"/>
                <w:highlight w:val="yellow"/>
              </w:rPr>
            </w:pPr>
            <w:r w:rsidRPr="00374CCA">
              <w:rPr>
                <w:rFonts w:ascii="Arial Narrow" w:hAnsi="Arial Narrow"/>
                <w:b/>
                <w:bCs/>
                <w:sz w:val="20"/>
                <w:szCs w:val="20"/>
              </w:rPr>
              <w:t>Fee</w:t>
            </w:r>
            <w:r w:rsidRPr="00374CCA">
              <w:rPr>
                <w:rFonts w:ascii="Arial Narrow" w:hAnsi="Arial Narrow"/>
                <w:sz w:val="20"/>
                <w:szCs w:val="20"/>
              </w:rPr>
              <w:t xml:space="preserve">: </w:t>
            </w:r>
            <w:r w:rsidR="0044472C" w:rsidRPr="00374CCA">
              <w:rPr>
                <w:rFonts w:ascii="Arial Narrow" w:hAnsi="Arial Narrow"/>
                <w:i/>
                <w:iCs/>
                <w:color w:val="0070C0"/>
                <w:sz w:val="20"/>
                <w:szCs w:val="20"/>
              </w:rPr>
              <w:t>[</w:t>
            </w:r>
            <w:r w:rsidR="0052523C" w:rsidRPr="00374CCA">
              <w:rPr>
                <w:rFonts w:ascii="Arial Narrow" w:hAnsi="Arial Narrow"/>
                <w:i/>
                <w:iCs/>
                <w:color w:val="0070C0"/>
                <w:sz w:val="20"/>
                <w:szCs w:val="20"/>
              </w:rPr>
              <w:t>no</w:t>
            </w:r>
            <w:r w:rsidR="00AB6233" w:rsidRPr="00374CCA">
              <w:rPr>
                <w:rFonts w:ascii="Arial Narrow" w:hAnsi="Arial Narrow"/>
                <w:i/>
                <w:iCs/>
                <w:color w:val="0070C0"/>
                <w:sz w:val="20"/>
                <w:szCs w:val="20"/>
              </w:rPr>
              <w:t>t</w:t>
            </w:r>
            <w:r w:rsidR="0052523C" w:rsidRPr="00374CCA">
              <w:rPr>
                <w:rFonts w:ascii="Arial Narrow" w:hAnsi="Arial Narrow"/>
                <w:i/>
                <w:iCs/>
                <w:color w:val="0070C0"/>
                <w:sz w:val="20"/>
                <w:szCs w:val="20"/>
              </w:rPr>
              <w:t xml:space="preserve"> less than</w:t>
            </w:r>
            <w:r w:rsidR="0044472C" w:rsidRPr="00374CCA">
              <w:rPr>
                <w:rFonts w:ascii="Arial Narrow" w:hAnsi="Arial Narrow"/>
                <w:i/>
                <w:iCs/>
                <w:color w:val="0070C0"/>
                <w:sz w:val="20"/>
                <w:szCs w:val="20"/>
              </w:rPr>
              <w:t xml:space="preserve">] </w:t>
            </w:r>
            <w:r w:rsidRPr="00374CCA">
              <w:rPr>
                <w:rFonts w:ascii="Arial Narrow" w:hAnsi="Arial Narrow"/>
                <w:sz w:val="20"/>
                <w:szCs w:val="20"/>
              </w:rPr>
              <w:t xml:space="preserve">$1,670.80 </w:t>
            </w:r>
            <w:r w:rsidRPr="00374CCA">
              <w:rPr>
                <w:rFonts w:ascii="Arial Narrow" w:hAnsi="Arial Narrow"/>
                <w:b/>
                <w:bCs/>
                <w:sz w:val="20"/>
                <w:szCs w:val="20"/>
              </w:rPr>
              <w:t>Benefit</w:t>
            </w:r>
            <w:r w:rsidRPr="00374CCA">
              <w:rPr>
                <w:rFonts w:ascii="Arial Narrow" w:hAnsi="Arial Narrow"/>
                <w:sz w:val="20"/>
                <w:szCs w:val="20"/>
              </w:rPr>
              <w:t>: 75% = $1,253.10</w:t>
            </w:r>
          </w:p>
        </w:tc>
      </w:tr>
    </w:tbl>
    <w:p w14:paraId="48514107" w14:textId="687AFCA0" w:rsidR="00F86D1F" w:rsidRPr="00374CCA" w:rsidRDefault="00F86D1F" w:rsidP="00F86D1F">
      <w:pPr>
        <w:pStyle w:val="Tablenotes"/>
        <w:contextualSpacing/>
      </w:pPr>
      <w:r w:rsidRPr="00374CCA">
        <w:t>Fees are based on MBS item</w:t>
      </w:r>
      <w:r w:rsidR="005828C7" w:rsidRPr="00374CCA">
        <w:t xml:space="preserve">s </w:t>
      </w:r>
      <w:hyperlink r:id="rId26" w:history="1">
        <w:r w:rsidR="005828C7" w:rsidRPr="00C40BDF">
          <w:rPr>
            <w:rStyle w:val="Hyperlink"/>
            <w:rFonts w:ascii="Arial Narrow" w:hAnsi="Arial Narrow" w:cs="Arial"/>
          </w:rPr>
          <w:t>38461</w:t>
        </w:r>
      </w:hyperlink>
      <w:r w:rsidR="005828C7" w:rsidRPr="00374CCA">
        <w:t xml:space="preserve"> and </w:t>
      </w:r>
      <w:hyperlink r:id="rId27" w:history="1">
        <w:r w:rsidR="005828C7" w:rsidRPr="00EA7B29">
          <w:rPr>
            <w:rStyle w:val="Hyperlink"/>
            <w:rFonts w:ascii="Arial Narrow" w:hAnsi="Arial Narrow" w:cs="Arial"/>
          </w:rPr>
          <w:t>38463</w:t>
        </w:r>
      </w:hyperlink>
      <w:r w:rsidRPr="00374CCA">
        <w:t xml:space="preserve"> </w:t>
      </w:r>
      <w:r w:rsidR="005828C7" w:rsidRPr="00374CCA">
        <w:t>for T</w:t>
      </w:r>
      <w:r w:rsidR="005A2D11">
        <w:t>M</w:t>
      </w:r>
      <w:r w:rsidR="005828C7" w:rsidRPr="00374CCA">
        <w:t>Vr</w:t>
      </w:r>
      <w:r w:rsidR="00F06269" w:rsidRPr="00374CCA">
        <w:t xml:space="preserve">, effective </w:t>
      </w:r>
      <w:r w:rsidRPr="00374CCA">
        <w:t xml:space="preserve">1 </w:t>
      </w:r>
      <w:r w:rsidR="00125542" w:rsidRPr="00374CCA">
        <w:t>November</w:t>
      </w:r>
      <w:r w:rsidRPr="00374CCA">
        <w:t xml:space="preserve"> 2025.</w:t>
      </w:r>
    </w:p>
    <w:p w14:paraId="240A466F" w14:textId="7D43F800" w:rsidR="009005BB" w:rsidRPr="00374CCA" w:rsidRDefault="008D2CB5" w:rsidP="00F86D1F">
      <w:pPr>
        <w:pStyle w:val="Tablenotes"/>
        <w:spacing w:after="360"/>
        <w:contextualSpacing/>
      </w:pPr>
      <w:bookmarkStart w:id="13" w:name="_Hlk218767954"/>
      <w:r w:rsidRPr="00374CCA">
        <w:t xml:space="preserve">Suggested amendments from </w:t>
      </w:r>
      <w:r w:rsidR="009136BE">
        <w:t>PASC</w:t>
      </w:r>
      <w:r w:rsidRPr="00374CCA">
        <w:t xml:space="preserve"> are shown in </w:t>
      </w:r>
      <w:r w:rsidRPr="00C70B83">
        <w:rPr>
          <w:strike/>
        </w:rPr>
        <w:t>strikethrough</w:t>
      </w:r>
      <w:r w:rsidRPr="00374CCA">
        <w:t xml:space="preserve"> and </w:t>
      </w:r>
      <w:r w:rsidR="00893315">
        <w:rPr>
          <w:i/>
          <w:iCs/>
          <w:color w:val="0070C0"/>
        </w:rPr>
        <w:t>blue</w:t>
      </w:r>
      <w:r w:rsidRPr="00374CCA">
        <w:t xml:space="preserve"> </w:t>
      </w:r>
      <w:r w:rsidRPr="00C70B83">
        <w:rPr>
          <w:i/>
          <w:color w:val="0070C0"/>
        </w:rPr>
        <w:t>italics</w:t>
      </w:r>
      <w:r w:rsidRPr="00374CCA">
        <w:t>.</w:t>
      </w:r>
    </w:p>
    <w:p w14:paraId="1E358F95" w14:textId="4869D5C3" w:rsidR="005D2AF1" w:rsidRPr="009136BE" w:rsidRDefault="005D2AF1" w:rsidP="005D2AF1">
      <w:pPr>
        <w:pStyle w:val="Caption"/>
        <w:rPr>
          <w:lang w:val="en-AU"/>
        </w:rPr>
      </w:pPr>
      <w:bookmarkStart w:id="14" w:name="_Ref192250292"/>
      <w:bookmarkEnd w:id="13"/>
      <w:r w:rsidRPr="009136BE">
        <w:rPr>
          <w:lang w:val="en-AU"/>
        </w:rPr>
        <w:lastRenderedPageBreak/>
        <w:t xml:space="preserve">Box </w:t>
      </w:r>
      <w:r w:rsidRPr="009136BE">
        <w:rPr>
          <w:lang w:val="en-AU"/>
        </w:rPr>
        <w:fldChar w:fldCharType="begin"/>
      </w:r>
      <w:r w:rsidRPr="009136BE">
        <w:rPr>
          <w:lang w:val="en-AU"/>
        </w:rPr>
        <w:instrText xml:space="preserve"> SEQ Box \* ARABIC </w:instrText>
      </w:r>
      <w:r w:rsidRPr="009136BE">
        <w:rPr>
          <w:lang w:val="en-AU"/>
        </w:rPr>
        <w:fldChar w:fldCharType="separate"/>
      </w:r>
      <w:r w:rsidR="005B2582" w:rsidRPr="009136BE">
        <w:rPr>
          <w:lang w:val="en-AU"/>
        </w:rPr>
        <w:t>2</w:t>
      </w:r>
      <w:r w:rsidRPr="009136BE">
        <w:rPr>
          <w:lang w:val="en-AU"/>
        </w:rPr>
        <w:fldChar w:fldCharType="end"/>
      </w:r>
      <w:bookmarkEnd w:id="14"/>
      <w:r w:rsidRPr="009136BE">
        <w:rPr>
          <w:lang w:val="en-AU"/>
        </w:rPr>
        <w:tab/>
        <w:t>New MBS item descriptors proposed in the application for T-TEER case conferences</w:t>
      </w:r>
    </w:p>
    <w:tbl>
      <w:tblPr>
        <w:tblStyle w:val="TableGrid"/>
        <w:tblW w:w="5000" w:type="pct"/>
        <w:tblInd w:w="0" w:type="dxa"/>
        <w:tblLook w:val="04A0" w:firstRow="1" w:lastRow="0" w:firstColumn="1" w:lastColumn="0" w:noHBand="0" w:noVBand="1"/>
        <w:tblCaption w:val="New MBS item descriptor for case conferences"/>
        <w:tblDescription w:val="The box shows that the proposed services belong to Category 1 - Professional Attendances. There are 2 proposed items. The proposed wording and fee for both items are similar to case conference items for TMVr."/>
      </w:tblPr>
      <w:tblGrid>
        <w:gridCol w:w="9571"/>
      </w:tblGrid>
      <w:tr w:rsidR="005D2AF1" w:rsidRPr="00374CCA" w14:paraId="1E5C946A" w14:textId="77777777" w:rsidTr="00F6668F">
        <w:trPr>
          <w:cantSplit/>
          <w:tblHeader/>
        </w:trPr>
        <w:tc>
          <w:tcPr>
            <w:tcW w:w="5000" w:type="pct"/>
            <w:tcBorders>
              <w:top w:val="single" w:sz="4" w:space="0" w:color="auto"/>
              <w:left w:val="single" w:sz="4" w:space="0" w:color="auto"/>
              <w:bottom w:val="single" w:sz="4" w:space="0" w:color="auto"/>
              <w:right w:val="single" w:sz="4" w:space="0" w:color="auto"/>
            </w:tcBorders>
            <w:hideMark/>
          </w:tcPr>
          <w:p w14:paraId="07D20027" w14:textId="77777777" w:rsidR="005D2AF1" w:rsidRPr="00374CCA" w:rsidRDefault="005D2AF1">
            <w:pPr>
              <w:spacing w:before="40" w:after="40" w:line="240" w:lineRule="auto"/>
              <w:rPr>
                <w:rFonts w:ascii="Arial Narrow" w:hAnsi="Arial Narrow"/>
                <w:sz w:val="20"/>
                <w:szCs w:val="20"/>
              </w:rPr>
            </w:pPr>
            <w:r w:rsidRPr="00374CCA">
              <w:rPr>
                <w:rFonts w:ascii="Arial Narrow" w:hAnsi="Arial Narrow"/>
                <w:sz w:val="20"/>
                <w:szCs w:val="20"/>
              </w:rPr>
              <w:t>Category 1 – PROFESSIONAL ATTENDANCES</w:t>
            </w:r>
          </w:p>
        </w:tc>
      </w:tr>
      <w:tr w:rsidR="005D2AF1" w:rsidRPr="00374CCA" w14:paraId="1D878D82" w14:textId="77777777" w:rsidTr="00F6668F">
        <w:trPr>
          <w:cantSplit/>
          <w:tblHeader/>
        </w:trPr>
        <w:tc>
          <w:tcPr>
            <w:tcW w:w="5000" w:type="pct"/>
            <w:tcBorders>
              <w:top w:val="single" w:sz="4" w:space="0" w:color="auto"/>
              <w:left w:val="single" w:sz="4" w:space="0" w:color="auto"/>
              <w:bottom w:val="dotted" w:sz="4" w:space="0" w:color="auto"/>
              <w:right w:val="single" w:sz="4" w:space="0" w:color="auto"/>
            </w:tcBorders>
          </w:tcPr>
          <w:p w14:paraId="60B65B7B" w14:textId="77777777" w:rsidR="005D2AF1" w:rsidRPr="00374CCA" w:rsidRDefault="005D2AF1">
            <w:pPr>
              <w:spacing w:before="120" w:after="120" w:line="240" w:lineRule="auto"/>
              <w:rPr>
                <w:rFonts w:ascii="Arial Narrow" w:hAnsi="Arial Narrow"/>
                <w:sz w:val="20"/>
                <w:szCs w:val="20"/>
              </w:rPr>
            </w:pPr>
            <w:r w:rsidRPr="00374CCA">
              <w:rPr>
                <w:rFonts w:ascii="Arial Narrow" w:hAnsi="Arial Narrow"/>
                <w:sz w:val="20"/>
                <w:szCs w:val="20"/>
              </w:rPr>
              <w:t>MBS item YYYY</w:t>
            </w:r>
          </w:p>
          <w:p w14:paraId="4EE067A2" w14:textId="384CC8B9" w:rsidR="005D2AF1" w:rsidRPr="00374CCA" w:rsidRDefault="005D2AF1">
            <w:pPr>
              <w:spacing w:before="120" w:after="120" w:line="240" w:lineRule="auto"/>
              <w:rPr>
                <w:rFonts w:ascii="Arial Narrow" w:hAnsi="Arial Narrow"/>
                <w:sz w:val="20"/>
                <w:szCs w:val="20"/>
              </w:rPr>
            </w:pPr>
            <w:r w:rsidRPr="00374CCA">
              <w:rPr>
                <w:rFonts w:ascii="Arial Narrow" w:hAnsi="Arial Narrow"/>
                <w:sz w:val="20"/>
                <w:szCs w:val="20"/>
              </w:rPr>
              <w:t xml:space="preserve">Attendance at a </w:t>
            </w:r>
            <w:r w:rsidR="00850E39" w:rsidRPr="00374CCA">
              <w:rPr>
                <w:rFonts w:ascii="Arial Narrow" w:hAnsi="Arial Narrow"/>
                <w:sz w:val="20"/>
                <w:szCs w:val="20"/>
              </w:rPr>
              <w:t>T-TEER</w:t>
            </w:r>
            <w:r w:rsidRPr="00374CCA">
              <w:rPr>
                <w:rFonts w:ascii="Arial Narrow" w:hAnsi="Arial Narrow"/>
                <w:sz w:val="20"/>
                <w:szCs w:val="20"/>
              </w:rPr>
              <w:t xml:space="preserve"> suitability case conference, by a cardiothoracic surgeon or an interventional cardiologist, to coordinate the conference, if:</w:t>
            </w:r>
          </w:p>
          <w:p w14:paraId="11F4858D" w14:textId="77777777" w:rsidR="005D2AF1" w:rsidRPr="00374CCA" w:rsidRDefault="005D2AF1">
            <w:pPr>
              <w:spacing w:before="120" w:after="120" w:line="240" w:lineRule="auto"/>
              <w:rPr>
                <w:rFonts w:ascii="Arial Narrow" w:hAnsi="Arial Narrow"/>
                <w:sz w:val="20"/>
                <w:szCs w:val="20"/>
              </w:rPr>
            </w:pPr>
            <w:r w:rsidRPr="00374CCA">
              <w:rPr>
                <w:rFonts w:ascii="Arial Narrow" w:hAnsi="Arial Narrow"/>
                <w:sz w:val="20"/>
                <w:szCs w:val="20"/>
              </w:rPr>
              <w:t>(a) the attendance lasts at least 10 minutes; and</w:t>
            </w:r>
          </w:p>
          <w:p w14:paraId="6CB42193" w14:textId="61CF2673" w:rsidR="005D2AF1" w:rsidRPr="00374CCA" w:rsidRDefault="005D2AF1">
            <w:pPr>
              <w:spacing w:before="120" w:after="120" w:line="240" w:lineRule="auto"/>
              <w:rPr>
                <w:rFonts w:ascii="Arial Narrow" w:hAnsi="Arial Narrow"/>
                <w:sz w:val="20"/>
                <w:szCs w:val="20"/>
              </w:rPr>
            </w:pPr>
            <w:r w:rsidRPr="00374CCA">
              <w:rPr>
                <w:rFonts w:ascii="Arial Narrow" w:hAnsi="Arial Narrow"/>
                <w:sz w:val="20"/>
                <w:szCs w:val="20"/>
              </w:rPr>
              <w:t>(b) the surgeon or cardiologist is accredited by the T</w:t>
            </w:r>
            <w:r w:rsidR="00565746" w:rsidRPr="00374CCA">
              <w:rPr>
                <w:rFonts w:ascii="Arial Narrow" w:hAnsi="Arial Narrow"/>
                <w:sz w:val="20"/>
                <w:szCs w:val="20"/>
              </w:rPr>
              <w:t>-TEER</w:t>
            </w:r>
            <w:r w:rsidRPr="00374CCA">
              <w:rPr>
                <w:rFonts w:ascii="Arial Narrow" w:hAnsi="Arial Narrow"/>
                <w:sz w:val="20"/>
                <w:szCs w:val="20"/>
              </w:rPr>
              <w:t xml:space="preserve"> accreditation committee to perform the service</w:t>
            </w:r>
          </w:p>
          <w:p w14:paraId="5578FCD0" w14:textId="77777777" w:rsidR="005D2AF1" w:rsidRPr="00374CCA" w:rsidRDefault="005D2AF1">
            <w:pPr>
              <w:spacing w:before="120" w:after="120" w:line="240" w:lineRule="auto"/>
              <w:rPr>
                <w:rFonts w:ascii="Arial Narrow" w:hAnsi="Arial Narrow"/>
                <w:sz w:val="20"/>
                <w:szCs w:val="20"/>
              </w:rPr>
            </w:pPr>
            <w:r w:rsidRPr="00374CCA">
              <w:rPr>
                <w:rFonts w:ascii="Arial Narrow" w:hAnsi="Arial Narrow"/>
                <w:sz w:val="20"/>
                <w:szCs w:val="20"/>
              </w:rPr>
              <w:t>Applicable once per patient per lifetime</w:t>
            </w:r>
          </w:p>
        </w:tc>
      </w:tr>
      <w:tr w:rsidR="005D2AF1" w:rsidRPr="00374CCA" w14:paraId="53D04024" w14:textId="77777777" w:rsidTr="00F6668F">
        <w:trPr>
          <w:cantSplit/>
          <w:tblHeader/>
        </w:trPr>
        <w:tc>
          <w:tcPr>
            <w:tcW w:w="5000" w:type="pct"/>
            <w:tcBorders>
              <w:top w:val="dotted" w:sz="4" w:space="0" w:color="auto"/>
              <w:left w:val="single" w:sz="4" w:space="0" w:color="auto"/>
              <w:bottom w:val="single" w:sz="4" w:space="0" w:color="auto"/>
              <w:right w:val="single" w:sz="4" w:space="0" w:color="auto"/>
            </w:tcBorders>
            <w:vAlign w:val="center"/>
          </w:tcPr>
          <w:p w14:paraId="744C74D0" w14:textId="718BBF4A" w:rsidR="005D2AF1" w:rsidRPr="00374CCA" w:rsidRDefault="005D2AF1">
            <w:pPr>
              <w:spacing w:before="40" w:after="40" w:line="240" w:lineRule="auto"/>
              <w:rPr>
                <w:rFonts w:ascii="Arial Narrow" w:hAnsi="Arial Narrow"/>
                <w:sz w:val="20"/>
                <w:szCs w:val="20"/>
              </w:rPr>
            </w:pPr>
            <w:r w:rsidRPr="00374CCA">
              <w:rPr>
                <w:rFonts w:ascii="Arial Narrow" w:hAnsi="Arial Narrow"/>
                <w:b/>
                <w:bCs/>
                <w:sz w:val="20"/>
                <w:szCs w:val="20"/>
              </w:rPr>
              <w:t>Fee</w:t>
            </w:r>
            <w:r w:rsidRPr="00374CCA">
              <w:rPr>
                <w:rFonts w:ascii="Arial Narrow" w:hAnsi="Arial Narrow"/>
                <w:sz w:val="20"/>
                <w:szCs w:val="20"/>
              </w:rPr>
              <w:t>: $</w:t>
            </w:r>
            <w:r w:rsidR="00900E70" w:rsidRPr="00374CCA">
              <w:rPr>
                <w:rFonts w:ascii="Arial Narrow" w:hAnsi="Arial Narrow"/>
                <w:sz w:val="20"/>
                <w:szCs w:val="20"/>
              </w:rPr>
              <w:t>59.40</w:t>
            </w:r>
            <w:r w:rsidRPr="00374CCA">
              <w:rPr>
                <w:rFonts w:ascii="Arial Narrow" w:hAnsi="Arial Narrow"/>
                <w:sz w:val="20"/>
                <w:szCs w:val="20"/>
              </w:rPr>
              <w:t xml:space="preserve"> </w:t>
            </w:r>
            <w:r w:rsidRPr="00374CCA">
              <w:rPr>
                <w:rFonts w:ascii="Arial Narrow" w:hAnsi="Arial Narrow"/>
                <w:b/>
                <w:bCs/>
                <w:sz w:val="20"/>
                <w:szCs w:val="20"/>
              </w:rPr>
              <w:t>Benefit</w:t>
            </w:r>
            <w:r w:rsidRPr="00374CCA">
              <w:rPr>
                <w:rFonts w:ascii="Arial Narrow" w:hAnsi="Arial Narrow"/>
                <w:sz w:val="20"/>
                <w:szCs w:val="20"/>
              </w:rPr>
              <w:t>: 75% = $</w:t>
            </w:r>
            <w:r w:rsidR="00900E70" w:rsidRPr="00374CCA">
              <w:rPr>
                <w:rFonts w:ascii="Arial Narrow" w:hAnsi="Arial Narrow"/>
                <w:sz w:val="20"/>
                <w:szCs w:val="20"/>
              </w:rPr>
              <w:t>44.55</w:t>
            </w:r>
            <w:r w:rsidRPr="00374CCA">
              <w:rPr>
                <w:rFonts w:ascii="Arial Narrow" w:hAnsi="Arial Narrow"/>
                <w:sz w:val="20"/>
                <w:szCs w:val="20"/>
              </w:rPr>
              <w:t xml:space="preserve"> 85% = $</w:t>
            </w:r>
            <w:r w:rsidR="00900E70" w:rsidRPr="00374CCA">
              <w:rPr>
                <w:rFonts w:ascii="Arial Narrow" w:hAnsi="Arial Narrow"/>
                <w:sz w:val="20"/>
                <w:szCs w:val="20"/>
              </w:rPr>
              <w:t>50.50</w:t>
            </w:r>
          </w:p>
          <w:p w14:paraId="342A3F6E" w14:textId="28FBE773" w:rsidR="005D2AF1" w:rsidRPr="00374CCA" w:rsidRDefault="005D2AF1">
            <w:pPr>
              <w:spacing w:before="40" w:after="40" w:line="240" w:lineRule="auto"/>
              <w:rPr>
                <w:rFonts w:ascii="Arial Narrow" w:hAnsi="Arial Narrow"/>
                <w:sz w:val="20"/>
                <w:szCs w:val="20"/>
              </w:rPr>
            </w:pPr>
            <w:hyperlink r:id="rId28" w:tooltip="Hyperlink to Medicare Safety Net Arrangements on the MBS Online website" w:history="1">
              <w:r w:rsidRPr="00374CCA">
                <w:rPr>
                  <w:rStyle w:val="Hyperlink"/>
                  <w:rFonts w:ascii="Arial Narrow" w:hAnsi="Arial Narrow"/>
                  <w:sz w:val="20"/>
                  <w:szCs w:val="20"/>
                </w:rPr>
                <w:t>Extended Medicare Safety Net Cap</w:t>
              </w:r>
            </w:hyperlink>
            <w:r w:rsidRPr="00374CCA">
              <w:rPr>
                <w:rFonts w:ascii="Arial Narrow" w:hAnsi="Arial Narrow"/>
                <w:sz w:val="20"/>
                <w:szCs w:val="20"/>
              </w:rPr>
              <w:t>: $</w:t>
            </w:r>
            <w:r w:rsidR="00900E70" w:rsidRPr="00374CCA">
              <w:rPr>
                <w:rFonts w:ascii="Arial Narrow" w:hAnsi="Arial Narrow"/>
                <w:sz w:val="20"/>
                <w:szCs w:val="20"/>
              </w:rPr>
              <w:t>178</w:t>
            </w:r>
            <w:r w:rsidR="00896181" w:rsidRPr="00374CCA">
              <w:rPr>
                <w:rFonts w:ascii="Arial Narrow" w:hAnsi="Arial Narrow"/>
                <w:sz w:val="20"/>
                <w:szCs w:val="20"/>
              </w:rPr>
              <w:t>.20</w:t>
            </w:r>
          </w:p>
        </w:tc>
      </w:tr>
      <w:tr w:rsidR="005D2AF1" w:rsidRPr="00374CCA" w14:paraId="15E27B2C" w14:textId="77777777" w:rsidTr="00F6668F">
        <w:trPr>
          <w:cantSplit/>
          <w:tblHeader/>
        </w:trPr>
        <w:tc>
          <w:tcPr>
            <w:tcW w:w="5000" w:type="pct"/>
            <w:tcBorders>
              <w:top w:val="single" w:sz="4" w:space="0" w:color="auto"/>
              <w:left w:val="single" w:sz="4" w:space="0" w:color="auto"/>
              <w:bottom w:val="dotted" w:sz="4" w:space="0" w:color="auto"/>
              <w:right w:val="single" w:sz="4" w:space="0" w:color="auto"/>
            </w:tcBorders>
            <w:vAlign w:val="center"/>
          </w:tcPr>
          <w:p w14:paraId="77399578" w14:textId="33264860" w:rsidR="005D2AF1" w:rsidRPr="00374CCA" w:rsidRDefault="00335DC2">
            <w:pPr>
              <w:spacing w:before="120" w:after="120" w:line="240" w:lineRule="auto"/>
              <w:rPr>
                <w:rFonts w:ascii="Arial Narrow" w:hAnsi="Arial Narrow"/>
                <w:sz w:val="20"/>
                <w:szCs w:val="20"/>
              </w:rPr>
            </w:pPr>
            <w:r w:rsidRPr="00374CCA">
              <w:rPr>
                <w:rFonts w:ascii="Arial Narrow" w:hAnsi="Arial Narrow"/>
                <w:sz w:val="20"/>
                <w:szCs w:val="20"/>
              </w:rPr>
              <w:t xml:space="preserve"> </w:t>
            </w:r>
            <w:r w:rsidR="005D2AF1" w:rsidRPr="00374CCA">
              <w:rPr>
                <w:rFonts w:ascii="Arial Narrow" w:hAnsi="Arial Narrow"/>
                <w:sz w:val="20"/>
                <w:szCs w:val="20"/>
              </w:rPr>
              <w:t>MBS item ZZZZ</w:t>
            </w:r>
          </w:p>
          <w:p w14:paraId="7728081D" w14:textId="1C9DBF9E" w:rsidR="005D2AF1" w:rsidRPr="00374CCA" w:rsidRDefault="005D2AF1">
            <w:pPr>
              <w:spacing w:before="40" w:after="40" w:line="240" w:lineRule="auto"/>
              <w:rPr>
                <w:rFonts w:ascii="Arial Narrow" w:hAnsi="Arial Narrow"/>
                <w:sz w:val="20"/>
                <w:szCs w:val="20"/>
              </w:rPr>
            </w:pPr>
            <w:r w:rsidRPr="00374CCA">
              <w:rPr>
                <w:rFonts w:ascii="Arial Narrow" w:hAnsi="Arial Narrow"/>
                <w:sz w:val="20"/>
                <w:szCs w:val="20"/>
              </w:rPr>
              <w:t xml:space="preserve">Attendance at a </w:t>
            </w:r>
            <w:r w:rsidR="00DB48C1" w:rsidRPr="00374CCA">
              <w:rPr>
                <w:rFonts w:ascii="Arial Narrow" w:hAnsi="Arial Narrow"/>
                <w:sz w:val="20"/>
                <w:szCs w:val="20"/>
              </w:rPr>
              <w:t>T-TEER</w:t>
            </w:r>
            <w:r w:rsidRPr="00374CCA">
              <w:rPr>
                <w:rFonts w:ascii="Arial Narrow" w:hAnsi="Arial Narrow"/>
                <w:sz w:val="20"/>
                <w:szCs w:val="20"/>
              </w:rPr>
              <w:t xml:space="preserve"> suitability case conference, by a specialist or consultant physician, other than to coordinate the conference, if the attendance lasts at least 10 minutes</w:t>
            </w:r>
          </w:p>
          <w:p w14:paraId="55CC338D" w14:textId="77777777" w:rsidR="005D2AF1" w:rsidRPr="00374CCA" w:rsidRDefault="005D2AF1">
            <w:pPr>
              <w:spacing w:before="120" w:after="120" w:line="240" w:lineRule="auto"/>
              <w:rPr>
                <w:rFonts w:ascii="Arial Narrow" w:hAnsi="Arial Narrow"/>
                <w:sz w:val="20"/>
                <w:szCs w:val="20"/>
              </w:rPr>
            </w:pPr>
            <w:r w:rsidRPr="00374CCA">
              <w:rPr>
                <w:rFonts w:ascii="Arial Narrow" w:hAnsi="Arial Narrow"/>
                <w:sz w:val="20"/>
                <w:szCs w:val="20"/>
              </w:rPr>
              <w:t>Applicable once per patient per lifetime</w:t>
            </w:r>
          </w:p>
        </w:tc>
      </w:tr>
      <w:tr w:rsidR="005D2AF1" w:rsidRPr="00374CCA" w14:paraId="7CF97341" w14:textId="77777777" w:rsidTr="00F6668F">
        <w:trPr>
          <w:cantSplit/>
          <w:tblHeader/>
        </w:trPr>
        <w:tc>
          <w:tcPr>
            <w:tcW w:w="5000" w:type="pct"/>
            <w:tcBorders>
              <w:top w:val="dotted" w:sz="4" w:space="0" w:color="auto"/>
              <w:left w:val="single" w:sz="4" w:space="0" w:color="auto"/>
              <w:bottom w:val="single" w:sz="4" w:space="0" w:color="auto"/>
              <w:right w:val="single" w:sz="4" w:space="0" w:color="auto"/>
            </w:tcBorders>
            <w:vAlign w:val="center"/>
          </w:tcPr>
          <w:p w14:paraId="2C9BFD62" w14:textId="44955581" w:rsidR="005D2AF1" w:rsidRPr="00374CCA" w:rsidRDefault="005D2AF1">
            <w:pPr>
              <w:spacing w:before="40" w:after="40" w:line="240" w:lineRule="auto"/>
              <w:rPr>
                <w:rFonts w:ascii="Arial Narrow" w:hAnsi="Arial Narrow"/>
                <w:sz w:val="20"/>
                <w:szCs w:val="20"/>
              </w:rPr>
            </w:pPr>
            <w:r w:rsidRPr="00374CCA">
              <w:rPr>
                <w:rFonts w:ascii="Arial Narrow" w:hAnsi="Arial Narrow"/>
                <w:b/>
                <w:bCs/>
                <w:sz w:val="20"/>
                <w:szCs w:val="20"/>
              </w:rPr>
              <w:t>Fee</w:t>
            </w:r>
            <w:r w:rsidRPr="00374CCA">
              <w:rPr>
                <w:rFonts w:ascii="Arial Narrow" w:hAnsi="Arial Narrow"/>
                <w:sz w:val="20"/>
                <w:szCs w:val="20"/>
              </w:rPr>
              <w:t>: $</w:t>
            </w:r>
            <w:r w:rsidR="00896181" w:rsidRPr="00374CCA">
              <w:rPr>
                <w:rFonts w:ascii="Arial Narrow" w:hAnsi="Arial Narrow"/>
                <w:sz w:val="20"/>
                <w:szCs w:val="20"/>
              </w:rPr>
              <w:t>44.30</w:t>
            </w:r>
            <w:r w:rsidRPr="00374CCA">
              <w:rPr>
                <w:rFonts w:ascii="Arial Narrow" w:hAnsi="Arial Narrow"/>
                <w:sz w:val="20"/>
                <w:szCs w:val="20"/>
              </w:rPr>
              <w:t xml:space="preserve"> </w:t>
            </w:r>
            <w:r w:rsidRPr="00374CCA">
              <w:rPr>
                <w:rFonts w:ascii="Arial Narrow" w:hAnsi="Arial Narrow"/>
                <w:b/>
                <w:bCs/>
                <w:sz w:val="20"/>
                <w:szCs w:val="20"/>
              </w:rPr>
              <w:t>Benefit:</w:t>
            </w:r>
            <w:r w:rsidRPr="00374CCA">
              <w:rPr>
                <w:rFonts w:ascii="Arial Narrow" w:hAnsi="Arial Narrow"/>
                <w:sz w:val="20"/>
                <w:szCs w:val="20"/>
              </w:rPr>
              <w:t xml:space="preserve"> 75% = $</w:t>
            </w:r>
            <w:r w:rsidR="00896181" w:rsidRPr="00374CCA">
              <w:rPr>
                <w:rFonts w:ascii="Arial Narrow" w:hAnsi="Arial Narrow"/>
                <w:sz w:val="20"/>
                <w:szCs w:val="20"/>
              </w:rPr>
              <w:t>33.25</w:t>
            </w:r>
            <w:r w:rsidRPr="00374CCA">
              <w:rPr>
                <w:rFonts w:ascii="Arial Narrow" w:hAnsi="Arial Narrow"/>
                <w:sz w:val="20"/>
                <w:szCs w:val="20"/>
              </w:rPr>
              <w:t xml:space="preserve"> 85% = $</w:t>
            </w:r>
            <w:r w:rsidR="00896181" w:rsidRPr="00374CCA">
              <w:rPr>
                <w:rFonts w:ascii="Arial Narrow" w:hAnsi="Arial Narrow"/>
                <w:sz w:val="20"/>
                <w:szCs w:val="20"/>
              </w:rPr>
              <w:t>37.70</w:t>
            </w:r>
          </w:p>
          <w:p w14:paraId="77546D7E" w14:textId="678D03BB" w:rsidR="005D2AF1" w:rsidRPr="00374CCA" w:rsidRDefault="005D2AF1">
            <w:pPr>
              <w:spacing w:before="40" w:after="40" w:line="240" w:lineRule="auto"/>
              <w:rPr>
                <w:rFonts w:ascii="Arial Narrow" w:hAnsi="Arial Narrow"/>
                <w:sz w:val="20"/>
                <w:szCs w:val="20"/>
              </w:rPr>
            </w:pPr>
            <w:hyperlink r:id="rId29" w:tooltip="Hyperlink to Medicare Safety Net Arrangements on the MBS Online website" w:history="1">
              <w:r w:rsidRPr="00374CCA">
                <w:rPr>
                  <w:rStyle w:val="Hyperlink"/>
                  <w:rFonts w:ascii="Arial Narrow" w:hAnsi="Arial Narrow"/>
                  <w:sz w:val="20"/>
                  <w:szCs w:val="20"/>
                </w:rPr>
                <w:t>Extended Medicare Safety Net Cap</w:t>
              </w:r>
            </w:hyperlink>
            <w:r w:rsidRPr="00374CCA">
              <w:rPr>
                <w:rFonts w:ascii="Arial Narrow" w:hAnsi="Arial Narrow"/>
                <w:sz w:val="20"/>
                <w:szCs w:val="20"/>
              </w:rPr>
              <w:t>: $</w:t>
            </w:r>
            <w:r w:rsidR="00896181" w:rsidRPr="00374CCA">
              <w:rPr>
                <w:rFonts w:ascii="Arial Narrow" w:hAnsi="Arial Narrow"/>
                <w:sz w:val="20"/>
                <w:szCs w:val="20"/>
              </w:rPr>
              <w:t>132.90</w:t>
            </w:r>
          </w:p>
        </w:tc>
      </w:tr>
    </w:tbl>
    <w:p w14:paraId="1EE987DC" w14:textId="2B8A617C" w:rsidR="005D2AF1" w:rsidRPr="00374CCA" w:rsidRDefault="00E607C9" w:rsidP="00F86D1F">
      <w:pPr>
        <w:pStyle w:val="Tablenotes"/>
        <w:spacing w:after="360"/>
      </w:pPr>
      <w:r w:rsidRPr="00374CCA">
        <w:t xml:space="preserve">Fees are based on MBS items </w:t>
      </w:r>
      <w:hyperlink r:id="rId30" w:history="1">
        <w:r w:rsidRPr="008E3907">
          <w:rPr>
            <w:rStyle w:val="Hyperlink"/>
            <w:rFonts w:ascii="Arial Narrow" w:hAnsi="Arial Narrow" w:cs="Arial"/>
          </w:rPr>
          <w:t>6082</w:t>
        </w:r>
      </w:hyperlink>
      <w:r w:rsidRPr="00374CCA">
        <w:t xml:space="preserve"> and </w:t>
      </w:r>
      <w:hyperlink r:id="rId31" w:history="1">
        <w:r w:rsidRPr="007E519F">
          <w:rPr>
            <w:rStyle w:val="Hyperlink"/>
            <w:rFonts w:ascii="Arial Narrow" w:hAnsi="Arial Narrow" w:cs="Arial"/>
          </w:rPr>
          <w:t>6084</w:t>
        </w:r>
      </w:hyperlink>
      <w:r w:rsidRPr="00374CCA">
        <w:t xml:space="preserve"> for TMVr suitability case conferences</w:t>
      </w:r>
      <w:r w:rsidR="00F06269" w:rsidRPr="00374CCA">
        <w:t xml:space="preserve">, effective </w:t>
      </w:r>
      <w:r w:rsidRPr="00374CCA">
        <w:t xml:space="preserve">1 </w:t>
      </w:r>
      <w:r w:rsidR="00AF38CE" w:rsidRPr="00374CCA">
        <w:t>November</w:t>
      </w:r>
      <w:r w:rsidRPr="00374CCA">
        <w:t xml:space="preserve"> 2025.</w:t>
      </w:r>
    </w:p>
    <w:p w14:paraId="577639C3" w14:textId="6F8B586B" w:rsidR="003F2A8A" w:rsidRPr="00374CCA" w:rsidRDefault="002C79A1" w:rsidP="002C79A1">
      <w:pPr>
        <w:pStyle w:val="Heading3"/>
      </w:pPr>
      <w:r w:rsidRPr="00374CCA">
        <w:t>Medical device</w:t>
      </w:r>
    </w:p>
    <w:p w14:paraId="137FC649" w14:textId="66EAFBC4" w:rsidR="00773469" w:rsidRPr="00374CCA" w:rsidRDefault="005070DB" w:rsidP="002C79A1">
      <w:r w:rsidRPr="00374CCA">
        <w:t xml:space="preserve">The proposed cost of the </w:t>
      </w:r>
      <w:r w:rsidR="003225F4" w:rsidRPr="00374CCA">
        <w:t>Tri</w:t>
      </w:r>
      <w:r w:rsidR="002A67E0" w:rsidRPr="00374CCA">
        <w:t>C</w:t>
      </w:r>
      <w:r w:rsidR="003225F4" w:rsidRPr="00374CCA">
        <w:t>lip</w:t>
      </w:r>
      <w:r w:rsidRPr="00374CCA">
        <w:t xml:space="preserve"> system </w:t>
      </w:r>
      <w:r w:rsidRPr="00D8193A">
        <w:t>($</w:t>
      </w:r>
      <w:r w:rsidR="00D8193A">
        <w:t>REDACTED)</w:t>
      </w:r>
      <w:r w:rsidRPr="00374CCA">
        <w:t xml:space="preserve"> is </w:t>
      </w:r>
      <w:r w:rsidR="00935B77" w:rsidRPr="00374CCA">
        <w:t xml:space="preserve">approximately </w:t>
      </w:r>
      <w:r w:rsidR="00D8193A" w:rsidRPr="00D8193A">
        <w:t>REDACTED</w:t>
      </w:r>
      <w:r w:rsidR="00935B77" w:rsidRPr="00D8193A">
        <w:t>%</w:t>
      </w:r>
      <w:r w:rsidR="00935B77" w:rsidRPr="00374CCA">
        <w:t xml:space="preserve"> higher</w:t>
      </w:r>
      <w:r w:rsidR="005C12EE" w:rsidRPr="00374CCA">
        <w:t xml:space="preserve"> than the PL benefit for </w:t>
      </w:r>
      <w:r w:rsidR="00B82BA9" w:rsidRPr="00374CCA">
        <w:t>the Mitra</w:t>
      </w:r>
      <w:r w:rsidR="00635195" w:rsidRPr="00374CCA">
        <w:t>C</w:t>
      </w:r>
      <w:r w:rsidR="00B82BA9" w:rsidRPr="00374CCA">
        <w:t xml:space="preserve">lip system </w:t>
      </w:r>
      <w:r w:rsidR="00982F1B" w:rsidRPr="00374CCA">
        <w:t>(</w:t>
      </w:r>
      <w:r w:rsidR="00130C7D" w:rsidRPr="00374CCA">
        <w:t xml:space="preserve">see </w:t>
      </w:r>
      <w:r w:rsidR="00130C7D" w:rsidRPr="00374CCA">
        <w:fldChar w:fldCharType="begin"/>
      </w:r>
      <w:r w:rsidR="00130C7D" w:rsidRPr="00374CCA">
        <w:instrText xml:space="preserve"> REF _Ref206847369 \h </w:instrText>
      </w:r>
      <w:r w:rsidR="00130C7D" w:rsidRPr="00374CCA">
        <w:fldChar w:fldCharType="separate"/>
      </w:r>
      <w:r w:rsidR="005B2582" w:rsidRPr="00374CCA">
        <w:t>Table </w:t>
      </w:r>
      <w:r w:rsidR="005B2582" w:rsidRPr="00DF1FA6">
        <w:t>3</w:t>
      </w:r>
      <w:r w:rsidR="00130C7D" w:rsidRPr="00374CCA">
        <w:fldChar w:fldCharType="end"/>
      </w:r>
      <w:r w:rsidR="00982F1B" w:rsidRPr="00374CCA">
        <w:t>)</w:t>
      </w:r>
      <w:r w:rsidRPr="00374CCA">
        <w:t>.</w:t>
      </w:r>
      <w:r w:rsidR="00773469" w:rsidRPr="00374CCA">
        <w:t xml:space="preserve"> </w:t>
      </w:r>
    </w:p>
    <w:p w14:paraId="556B77E1" w14:textId="27D0BA3D" w:rsidR="003225F4" w:rsidRPr="00374CCA" w:rsidRDefault="00773469" w:rsidP="002C79A1">
      <w:r w:rsidRPr="00374CCA">
        <w:t>The applicant confirmed that this cost remains fixed regardless of the number of clips used during the procedure</w:t>
      </w:r>
      <w:r w:rsidR="00CF5B58" w:rsidRPr="00374CCA">
        <w:t xml:space="preserve">, which is </w:t>
      </w:r>
      <w:r w:rsidR="00AF4B87" w:rsidRPr="00374CCA">
        <w:t xml:space="preserve">consistent with </w:t>
      </w:r>
      <w:r w:rsidR="00CF5B58" w:rsidRPr="00374CCA">
        <w:t xml:space="preserve">the pricing model for </w:t>
      </w:r>
      <w:r w:rsidR="00AF4B87" w:rsidRPr="00374CCA">
        <w:t>MitraClip.</w:t>
      </w:r>
    </w:p>
    <w:p w14:paraId="13C0E7CB" w14:textId="703E3820" w:rsidR="007C19D1" w:rsidRPr="00374CCA" w:rsidRDefault="003225F4" w:rsidP="002C79A1">
      <w:r w:rsidRPr="00374CCA">
        <w:t xml:space="preserve">Inclusion of T-TEER systems on the PL would require the creation of a new </w:t>
      </w:r>
      <w:r w:rsidR="00120ACF" w:rsidRPr="00374CCA">
        <w:t>G</w:t>
      </w:r>
      <w:r w:rsidRPr="00374CCA">
        <w:t>roup</w:t>
      </w:r>
      <w:r w:rsidR="00181D94" w:rsidRPr="00374CCA">
        <w:t xml:space="preserve"> for </w:t>
      </w:r>
      <w:r w:rsidR="001F107F" w:rsidRPr="00374CCA">
        <w:t>tricuspid valve repair within Sub</w:t>
      </w:r>
      <w:r w:rsidR="0087571A" w:rsidRPr="00374CCA">
        <w:t>c</w:t>
      </w:r>
      <w:r w:rsidR="001F107F" w:rsidRPr="00374CCA">
        <w:t xml:space="preserve">ategory </w:t>
      </w:r>
      <w:r w:rsidR="00414BFB" w:rsidRPr="00374CCA">
        <w:t xml:space="preserve">08.17 – </w:t>
      </w:r>
      <w:r w:rsidR="001F107F" w:rsidRPr="00374CCA">
        <w:t>Catheter Delivery</w:t>
      </w:r>
      <w:r w:rsidR="005A1770" w:rsidRPr="00374CCA">
        <w:t xml:space="preserve"> </w:t>
      </w:r>
      <w:r w:rsidR="00B51B6E" w:rsidRPr="00374CCA">
        <w:t xml:space="preserve">– </w:t>
      </w:r>
      <w:r w:rsidR="005A1770" w:rsidRPr="00374CCA">
        <w:t>of the Cardiac Category</w:t>
      </w:r>
      <w:r w:rsidRPr="00374CCA">
        <w:t>.</w:t>
      </w:r>
    </w:p>
    <w:p w14:paraId="62338695" w14:textId="2230E530" w:rsidR="00D37A3F" w:rsidRPr="00374CCA" w:rsidRDefault="003F0A39" w:rsidP="00713728">
      <w:pPr>
        <w:pStyle w:val="Heading2"/>
      </w:pPr>
      <w:r w:rsidRPr="00374CCA">
        <w:t xml:space="preserve">Summary of public consultation </w:t>
      </w:r>
      <w:r w:rsidR="00E470B0" w:rsidRPr="00374CCA">
        <w:t>input</w:t>
      </w:r>
    </w:p>
    <w:p w14:paraId="29A033B3" w14:textId="6BCFF932" w:rsidR="00894EB4" w:rsidRPr="00DF1FA6" w:rsidRDefault="0E26CCF3">
      <w:pPr>
        <w:rPr>
          <w:rFonts w:cs="Calibri"/>
          <w:i/>
          <w:iCs/>
        </w:rPr>
      </w:pPr>
      <w:r w:rsidRPr="00DF1FA6">
        <w:rPr>
          <w:rFonts w:cs="Calibri"/>
          <w:i/>
          <w:iCs/>
        </w:rPr>
        <w:t>PASC noted and welcomed consultation input from 7 organisations and 1 individual medical professional. The 7 organisations that submitted input were:</w:t>
      </w:r>
    </w:p>
    <w:p w14:paraId="47C2E12C" w14:textId="1CADB519" w:rsidR="00894EB4" w:rsidRPr="00DF1FA6" w:rsidRDefault="0E26CCF3" w:rsidP="0029042F">
      <w:pPr>
        <w:pStyle w:val="ListParagraph"/>
        <w:numPr>
          <w:ilvl w:val="0"/>
          <w:numId w:val="16"/>
        </w:numPr>
        <w:ind w:hanging="357"/>
        <w:rPr>
          <w:rFonts w:cs="Calibri"/>
        </w:rPr>
      </w:pPr>
      <w:r w:rsidRPr="00DF1FA6">
        <w:rPr>
          <w:rFonts w:cs="Calibri"/>
        </w:rPr>
        <w:t>Hearts4heart</w:t>
      </w:r>
    </w:p>
    <w:p w14:paraId="59E78BEE" w14:textId="2380C9A8" w:rsidR="00894EB4" w:rsidRPr="00DF1FA6" w:rsidRDefault="0E26CCF3" w:rsidP="0029042F">
      <w:pPr>
        <w:pStyle w:val="ListParagraph"/>
        <w:numPr>
          <w:ilvl w:val="0"/>
          <w:numId w:val="16"/>
        </w:numPr>
        <w:ind w:hanging="357"/>
        <w:rPr>
          <w:rFonts w:cs="Calibri"/>
        </w:rPr>
      </w:pPr>
      <w:r w:rsidRPr="00DF1FA6">
        <w:rPr>
          <w:rFonts w:cs="Calibri"/>
        </w:rPr>
        <w:t>Heart Support Australia</w:t>
      </w:r>
    </w:p>
    <w:p w14:paraId="12345F75" w14:textId="4C7E3AA8" w:rsidR="00894EB4" w:rsidRPr="00DF1FA6" w:rsidRDefault="0E26CCF3" w:rsidP="0029042F">
      <w:pPr>
        <w:pStyle w:val="ListParagraph"/>
        <w:numPr>
          <w:ilvl w:val="0"/>
          <w:numId w:val="16"/>
        </w:numPr>
        <w:ind w:hanging="357"/>
        <w:rPr>
          <w:rFonts w:cs="Calibri"/>
        </w:rPr>
      </w:pPr>
      <w:r w:rsidRPr="00DF1FA6">
        <w:rPr>
          <w:rFonts w:cs="Calibri"/>
        </w:rPr>
        <w:t>Medtronic Australasia Pty Ltd (Medtronic)</w:t>
      </w:r>
    </w:p>
    <w:p w14:paraId="1C2554D4" w14:textId="493ACFC1" w:rsidR="00894EB4" w:rsidRPr="00DF1FA6" w:rsidRDefault="0E26CCF3" w:rsidP="0029042F">
      <w:pPr>
        <w:pStyle w:val="ListParagraph"/>
        <w:numPr>
          <w:ilvl w:val="0"/>
          <w:numId w:val="16"/>
        </w:numPr>
        <w:ind w:hanging="357"/>
        <w:rPr>
          <w:rFonts w:cs="Calibri"/>
        </w:rPr>
      </w:pPr>
      <w:r w:rsidRPr="00DF1FA6">
        <w:rPr>
          <w:rFonts w:cs="Calibri"/>
        </w:rPr>
        <w:t>Edwards Lifesciences Pty Ltd (Edwards)</w:t>
      </w:r>
    </w:p>
    <w:p w14:paraId="072C50A6" w14:textId="79DF904C" w:rsidR="00894EB4" w:rsidRPr="00DF1FA6" w:rsidRDefault="0E26CCF3" w:rsidP="0029042F">
      <w:pPr>
        <w:pStyle w:val="ListParagraph"/>
        <w:numPr>
          <w:ilvl w:val="0"/>
          <w:numId w:val="16"/>
        </w:numPr>
        <w:ind w:hanging="357"/>
        <w:rPr>
          <w:rFonts w:cs="Calibri"/>
        </w:rPr>
      </w:pPr>
      <w:r w:rsidRPr="00DF1FA6">
        <w:rPr>
          <w:rFonts w:cs="Calibri"/>
        </w:rPr>
        <w:t>Private Healthcare Australia (PHA)</w:t>
      </w:r>
    </w:p>
    <w:p w14:paraId="0DD058BD" w14:textId="1EC439CA" w:rsidR="00894EB4" w:rsidRPr="00DF1FA6" w:rsidRDefault="0E26CCF3" w:rsidP="0029042F">
      <w:pPr>
        <w:pStyle w:val="ListParagraph"/>
        <w:numPr>
          <w:ilvl w:val="0"/>
          <w:numId w:val="16"/>
        </w:numPr>
        <w:ind w:hanging="357"/>
        <w:rPr>
          <w:rFonts w:cs="Calibri"/>
        </w:rPr>
      </w:pPr>
      <w:r w:rsidRPr="00DF1FA6">
        <w:rPr>
          <w:rFonts w:cs="Calibri"/>
        </w:rPr>
        <w:t>The Cardiac Society of Australia and New Zealand (CSANZ)</w:t>
      </w:r>
    </w:p>
    <w:p w14:paraId="31779E2B" w14:textId="4833840A" w:rsidR="00894EB4" w:rsidRPr="00DF1FA6" w:rsidRDefault="0E26CCF3" w:rsidP="0082129A">
      <w:pPr>
        <w:pStyle w:val="ListParagraph"/>
        <w:numPr>
          <w:ilvl w:val="0"/>
          <w:numId w:val="16"/>
        </w:numPr>
        <w:ind w:hanging="357"/>
        <w:contextualSpacing w:val="0"/>
        <w:rPr>
          <w:rFonts w:cs="Calibri"/>
        </w:rPr>
      </w:pPr>
      <w:r w:rsidRPr="00DF1FA6">
        <w:rPr>
          <w:rFonts w:cs="Calibri"/>
        </w:rPr>
        <w:t>Australasian Society of Medical Perfusionists (ASMP)</w:t>
      </w:r>
    </w:p>
    <w:p w14:paraId="4A77BD4C" w14:textId="68FD14C0" w:rsidR="00894EB4" w:rsidRPr="00DF1FA6" w:rsidRDefault="0E26CCF3" w:rsidP="00DF1FA6">
      <w:r w:rsidRPr="00DF1FA6">
        <w:t>Consultation input was largely supportive of public funding for TEER for the treatment of severe TR using</w:t>
      </w:r>
      <w:r w:rsidR="000C7500" w:rsidRPr="00DF1FA6">
        <w:t xml:space="preserve"> </w:t>
      </w:r>
      <w:r w:rsidRPr="00DF1FA6">
        <w:t>the TriClip device. Some submissions raised concerns, predominantly in relation to the device-specific</w:t>
      </w:r>
      <w:r w:rsidR="000C7500" w:rsidRPr="00DF1FA6">
        <w:t xml:space="preserve"> </w:t>
      </w:r>
      <w:r w:rsidRPr="00DF1FA6">
        <w:t>nature of the proposed MBS item descriptor and the potential financial impact on the health system.</w:t>
      </w:r>
    </w:p>
    <w:p w14:paraId="5878C9E4" w14:textId="5F6B1961" w:rsidR="00894EB4" w:rsidRPr="00374CCA" w:rsidRDefault="0E26CCF3" w:rsidP="00DF1FA6">
      <w:pPr>
        <w:pStyle w:val="Heading3"/>
      </w:pPr>
      <w:r w:rsidRPr="00374CCA">
        <w:lastRenderedPageBreak/>
        <w:t>Consumer Experience</w:t>
      </w:r>
    </w:p>
    <w:p w14:paraId="1C8C1CE9" w14:textId="480E0625" w:rsidR="00894EB4" w:rsidRPr="00DF1FA6" w:rsidRDefault="0E26CCF3">
      <w:pPr>
        <w:rPr>
          <w:rFonts w:cs="Calibri"/>
        </w:rPr>
      </w:pPr>
      <w:r w:rsidRPr="00DF1FA6">
        <w:rPr>
          <w:rFonts w:cs="Calibri"/>
        </w:rPr>
        <w:t xml:space="preserve">Consumer input, particularly from Hearts4heart and Heart Support Australia, strongly emphasised the significant burden that severe </w:t>
      </w:r>
      <w:r w:rsidR="00562EB7">
        <w:rPr>
          <w:rFonts w:cs="Calibri"/>
        </w:rPr>
        <w:t>TR</w:t>
      </w:r>
      <w:r w:rsidRPr="00DF1FA6">
        <w:rPr>
          <w:rFonts w:cs="Calibri"/>
        </w:rPr>
        <w:t xml:space="preserve"> places on individuals and their families. Consumers described symptoms such as extreme fatigue, breathlessness, and reduced ability to participate in daily activities, which can lead to social isolation and diminished mental health. Both organisations highlighted that current medical management options are limited and often ineffective for this patient group.</w:t>
      </w:r>
    </w:p>
    <w:p w14:paraId="68C53824" w14:textId="0C22FD46" w:rsidR="0E26CCF3" w:rsidRPr="00DF1FA6" w:rsidRDefault="0E26CCF3" w:rsidP="6C1F1BFD">
      <w:pPr>
        <w:rPr>
          <w:rFonts w:cs="Calibri"/>
        </w:rPr>
      </w:pPr>
      <w:r w:rsidRPr="00DF1FA6">
        <w:rPr>
          <w:rFonts w:cs="Calibri"/>
        </w:rPr>
        <w:t>Consumers reported that access to TEER using the TriClip device offers substantial improvements in quality of life, including increased independence, reduced hospitalisations, and the ability to resume normal activities. Personal stories shared by patients illustrated rapid recovery and meaningful improvements in daily functioning following the procedure. Consumer groups advocated for public funding to access this minimally invasive therapy, noting its potential to address a significant unmet clinical need and improve long-term outcomes for Australians living with severe TR.</w:t>
      </w:r>
    </w:p>
    <w:p w14:paraId="5FA87D8C" w14:textId="7869B8D4" w:rsidR="00894EB4" w:rsidRPr="00374CCA" w:rsidRDefault="0E26CCF3" w:rsidP="00DF1FA6">
      <w:pPr>
        <w:pStyle w:val="Heading3"/>
      </w:pPr>
      <w:r w:rsidRPr="00374CCA">
        <w:t>Benefits and Disadvantages</w:t>
      </w:r>
    </w:p>
    <w:p w14:paraId="61BAB330" w14:textId="0DC7E544" w:rsidR="00894EB4" w:rsidRPr="00DF1FA6" w:rsidRDefault="0E26CCF3">
      <w:pPr>
        <w:rPr>
          <w:rFonts w:cs="Calibri"/>
        </w:rPr>
      </w:pPr>
      <w:r w:rsidRPr="00DF1FA6">
        <w:rPr>
          <w:rFonts w:cs="Calibri"/>
        </w:rPr>
        <w:t>The consultation input identified several important benefits associated with public funding for TEER using the TriClip device. Stakeholders emphasized that TEER provides a minimally invasive treatment option for patients with severe TR who are at high risk for surgery and have limited alternatives. This was seen as addressing a significant unmet clinical need. Professional and industry input described improvements in quality of life, independence, and reduced hospitalisations following TEER, with patients able to resume normal activities and experience rapid recovery. Professional and industry stakeholders also noted that public funding would align Australia with international best practice and ensure equitable access to advanced therapies.</w:t>
      </w:r>
    </w:p>
    <w:p w14:paraId="3CBFE786" w14:textId="13D03BD9" w:rsidR="00894EB4" w:rsidRPr="00DF1FA6" w:rsidRDefault="0E26CCF3">
      <w:pPr>
        <w:rPr>
          <w:rFonts w:cs="Calibri"/>
        </w:rPr>
      </w:pPr>
      <w:r w:rsidRPr="00DF1FA6">
        <w:rPr>
          <w:rFonts w:cs="Calibri"/>
        </w:rPr>
        <w:t>However, some disadvantages and concerns were raised. PHA expressed apprehension about the potential for underestimated costs and higher-than-anticipated utilisation, which could have a significant financial impact on both the health system and private health insurers. PHA noted that while short-term benefits are clear, the long-term survivorship and comparative effectiveness of TEER versus OMT remain to be fully established. Medtronic, Edwards, and CSANZ raised concerns about the proposed MBS item descriptor being limited to a single device (TriClip), advocating instead for a device-agnostic approach to ensure clinical flexibility, foster competition, and avoid inequities in patient access.</w:t>
      </w:r>
    </w:p>
    <w:p w14:paraId="02834A4D" w14:textId="1C3AD9A8" w:rsidR="00894EB4" w:rsidRPr="00374CCA" w:rsidRDefault="0E26CCF3" w:rsidP="00DF1FA6">
      <w:pPr>
        <w:pStyle w:val="Heading3"/>
      </w:pPr>
      <w:r w:rsidRPr="00374CCA">
        <w:t>Population, Comparator (current management), and Delivery</w:t>
      </w:r>
    </w:p>
    <w:p w14:paraId="4AF2D597" w14:textId="57930D2C" w:rsidR="00894EB4" w:rsidRPr="00DF1FA6" w:rsidRDefault="0E26CCF3">
      <w:pPr>
        <w:rPr>
          <w:rFonts w:cs="Calibri"/>
        </w:rPr>
      </w:pPr>
      <w:r w:rsidRPr="00DF1FA6">
        <w:rPr>
          <w:rFonts w:cs="Calibri"/>
        </w:rPr>
        <w:t>Consultation input was supportive of the proposed population, with most organisations agreeing that the target group—patients with severe TR who are symptomatic despite treatment with OMT—is appropriate and consistent with clinical guidelines. Consumer groups and professional bodies highlighted the significant unmet need for this population and endorsed the inclusion criteria outlined in the application.</w:t>
      </w:r>
    </w:p>
    <w:p w14:paraId="10DE4635" w14:textId="009CA7CB" w:rsidR="00894EB4" w:rsidRPr="00DF1FA6" w:rsidRDefault="0E26CCF3">
      <w:pPr>
        <w:rPr>
          <w:rFonts w:cs="Calibri"/>
        </w:rPr>
      </w:pPr>
      <w:r w:rsidRPr="00DF1FA6">
        <w:rPr>
          <w:rFonts w:cs="Calibri"/>
        </w:rPr>
        <w:t xml:space="preserve">Consultation input also agreed with the proposed comparator of OMT, noting that current management options are limited and often ineffective for this patient group. </w:t>
      </w:r>
    </w:p>
    <w:p w14:paraId="32B474F5" w14:textId="3694AE80" w:rsidR="00894EB4" w:rsidRPr="00DF1FA6" w:rsidRDefault="0E26CCF3">
      <w:pPr>
        <w:rPr>
          <w:rFonts w:cs="Calibri"/>
        </w:rPr>
      </w:pPr>
      <w:r w:rsidRPr="00DF1FA6">
        <w:rPr>
          <w:rFonts w:cs="Calibri"/>
        </w:rPr>
        <w:t xml:space="preserve">Regarding delivery, consultation input supported the proposed approach, emphasising the importance of </w:t>
      </w:r>
      <w:r w:rsidR="009975A4">
        <w:rPr>
          <w:rFonts w:cs="Calibri"/>
        </w:rPr>
        <w:t>MDHT</w:t>
      </w:r>
      <w:r w:rsidRPr="00DF1FA6">
        <w:rPr>
          <w:rFonts w:cs="Calibri"/>
        </w:rPr>
        <w:t xml:space="preserve"> assessment and the need for accredited facilities and trained operators. </w:t>
      </w:r>
    </w:p>
    <w:p w14:paraId="3E1407B6" w14:textId="7233F98C" w:rsidR="00894EB4" w:rsidRPr="00374CCA" w:rsidRDefault="0E26CCF3" w:rsidP="00DF1FA6">
      <w:pPr>
        <w:pStyle w:val="Heading3"/>
      </w:pPr>
      <w:r w:rsidRPr="00374CCA">
        <w:lastRenderedPageBreak/>
        <w:t>MBS Item Descriptor and Fee</w:t>
      </w:r>
    </w:p>
    <w:p w14:paraId="7B904DF9" w14:textId="00F746F6" w:rsidR="00894EB4" w:rsidRPr="00DF1FA6" w:rsidRDefault="0E26CCF3">
      <w:pPr>
        <w:rPr>
          <w:rFonts w:cs="Calibri"/>
        </w:rPr>
      </w:pPr>
      <w:r w:rsidRPr="00DF1FA6">
        <w:rPr>
          <w:rFonts w:cs="Calibri"/>
        </w:rPr>
        <w:t>Medtronic, Edwards, and CSANZ strongly disagreed with the item descriptor being limited to a single device (TriClip). These stakeholders advocated for a device-agnostic descriptor, arguing that this approach would maintain clinical flexibility, foster competition, and ensure equitable access to all TGA-approved TEER technologies. They noted that international best practice and recent MSAC precedents support device-neutral item descriptors for similar interventions.</w:t>
      </w:r>
    </w:p>
    <w:p w14:paraId="31028EB0" w14:textId="2969F268" w:rsidR="00894EB4" w:rsidRDefault="0E26CCF3" w:rsidP="00894EB4">
      <w:r w:rsidRPr="00DF1FA6">
        <w:rPr>
          <w:rFonts w:cs="Calibri"/>
        </w:rPr>
        <w:t>Regarding the proposed fee, most professional and industry inputs considered it appropriate, noting that it aligns with the existing fee for transcatheter mitral valve repair procedures. PHA highlighted concerns about the accuracy of cost projections in the application, referencing previous cardiac interventions where actual expenditure significantly exceeded initial estimates. They urged MSAC and the department to closely monitor real-world outcomes and financial impacts if TEER is publicly funded.</w:t>
      </w:r>
    </w:p>
    <w:p w14:paraId="46F83F6C" w14:textId="6FBBC86F" w:rsidR="00C15F64" w:rsidRPr="00374CCA" w:rsidRDefault="00C15F64" w:rsidP="00894EB4">
      <w:pPr>
        <w:rPr>
          <w:i/>
          <w:iCs/>
        </w:rPr>
      </w:pPr>
      <w:r w:rsidRPr="00374CCA">
        <w:rPr>
          <w:rFonts w:asciiTheme="minorHAnsi" w:hAnsiTheme="minorHAnsi" w:cstheme="minorHAnsi"/>
          <w:i/>
          <w:iCs/>
        </w:rPr>
        <w:t>PASC noted that public consultation feedback from individual clinical professionals was limited but feedback from the 7 organisations was uniformly supportive of an MBS listing for T-TEER. The most common theme was a preference for an MBS listing that is device-agnostic. Consumer organisations also highlighted that this is an area of significant unmet need and expressed strong support for its approval.</w:t>
      </w:r>
    </w:p>
    <w:p w14:paraId="4E68667F" w14:textId="77777777" w:rsidR="00D37A3F" w:rsidRPr="00374CCA" w:rsidRDefault="00D37A3F" w:rsidP="00713728">
      <w:pPr>
        <w:pStyle w:val="Heading2"/>
      </w:pPr>
      <w:r w:rsidRPr="00374CCA">
        <w:t>Next steps</w:t>
      </w:r>
    </w:p>
    <w:p w14:paraId="2AC8FC48" w14:textId="33F8B159" w:rsidR="44EC13CD" w:rsidRDefault="44EC13CD" w:rsidP="77F76BCF">
      <w:pPr>
        <w:rPr>
          <w:i/>
          <w:iCs/>
        </w:rPr>
      </w:pPr>
      <w:r w:rsidRPr="77F76BCF">
        <w:rPr>
          <w:rFonts w:asciiTheme="minorHAnsi" w:hAnsiTheme="minorHAnsi" w:cstheme="minorBidi"/>
          <w:i/>
          <w:iCs/>
        </w:rPr>
        <w:t>The applicant confirmed that an applicant-developed assessment report (ADAR) will be submitted.</w:t>
      </w:r>
    </w:p>
    <w:p w14:paraId="2B9E262F" w14:textId="53667746" w:rsidR="7533D1A1" w:rsidRDefault="7533D1A1" w:rsidP="77F76BCF">
      <w:pPr>
        <w:pStyle w:val="Heading2"/>
        <w:rPr>
          <w:rFonts w:eastAsia="Franklin Gothic Medium" w:cs="Franklin Gothic Medium"/>
          <w:szCs w:val="32"/>
        </w:rPr>
      </w:pPr>
      <w:r w:rsidRPr="77F76BCF">
        <w:rPr>
          <w:rFonts w:eastAsia="Franklin Gothic Medium" w:cs="Franklin Gothic Medium"/>
          <w:szCs w:val="32"/>
        </w:rPr>
        <w:t>Applicant Comments on Ratified PICO</w:t>
      </w:r>
    </w:p>
    <w:p w14:paraId="4A341F52" w14:textId="5E28EB06" w:rsidR="77F76BCF" w:rsidRPr="008E2D6E" w:rsidRDefault="008E2D6E" w:rsidP="77F76BCF">
      <w:pPr>
        <w:rPr>
          <w:rFonts w:cs="Calibri"/>
        </w:rPr>
      </w:pPr>
      <w:r w:rsidRPr="008E2D6E">
        <w:rPr>
          <w:rFonts w:cs="Calibri"/>
        </w:rPr>
        <w:t>The applicant had no comment.</w:t>
      </w:r>
    </w:p>
    <w:p w14:paraId="59F08F28" w14:textId="33B0D561" w:rsidR="77F76BCF" w:rsidRDefault="77F76BCF" w:rsidP="77F76BCF">
      <w:pPr>
        <w:rPr>
          <w:rFonts w:asciiTheme="minorHAnsi" w:hAnsiTheme="minorHAnsi" w:cstheme="minorBidi"/>
          <w:i/>
          <w:iCs/>
        </w:rPr>
      </w:pPr>
    </w:p>
    <w:p w14:paraId="30FF926F" w14:textId="77777777" w:rsidR="0038444F" w:rsidRPr="00374CCA" w:rsidRDefault="0038444F">
      <w:pPr>
        <w:spacing w:after="160" w:line="259" w:lineRule="auto"/>
        <w:rPr>
          <w:rFonts w:ascii="Franklin Gothic Medium" w:eastAsiaTheme="majorEastAsia" w:hAnsi="Franklin Gothic Medium" w:cstheme="majorBidi"/>
          <w:color w:val="000000" w:themeColor="text1"/>
          <w:sz w:val="32"/>
          <w:szCs w:val="26"/>
        </w:rPr>
      </w:pPr>
      <w:r w:rsidRPr="00374CCA">
        <w:br w:type="page"/>
      </w:r>
    </w:p>
    <w:p w14:paraId="73A2A9C9" w14:textId="5947C28D" w:rsidR="006478E7" w:rsidRPr="00374CCA" w:rsidRDefault="00A33126" w:rsidP="00713728">
      <w:pPr>
        <w:pStyle w:val="Heading2"/>
      </w:pPr>
      <w:r w:rsidRPr="00374CCA">
        <w:lastRenderedPageBreak/>
        <w:t>References</w:t>
      </w:r>
    </w:p>
    <w:p w14:paraId="1B86933D" w14:textId="5F5251DA" w:rsidR="008C68B7" w:rsidRPr="00374CCA" w:rsidRDefault="008C68B7" w:rsidP="0031799E">
      <w:pPr>
        <w:ind w:left="720" w:hanging="720"/>
      </w:pPr>
      <w:r w:rsidRPr="00374CCA">
        <w:t xml:space="preserve">Chorin E, Rozenbaum Z, Topilsky Y, Konigstein M, Ziv-Baran T, Richert E, Keren G and Banai S (2020) ‘Tricuspid regurgitation and long-term clinical outcomes’, </w:t>
      </w:r>
      <w:r w:rsidRPr="00374CCA">
        <w:rPr>
          <w:i/>
          <w:iCs/>
        </w:rPr>
        <w:t>Eur Heart J Cardiovasc Imaging</w:t>
      </w:r>
      <w:r w:rsidRPr="00374CCA">
        <w:t>, 21(2):157-165, doi:10.1093/ehjci/jez216.</w:t>
      </w:r>
    </w:p>
    <w:p w14:paraId="1482C4F6" w14:textId="2807B864" w:rsidR="002520F9" w:rsidRPr="00374CCA" w:rsidRDefault="002520F9" w:rsidP="0031799E">
      <w:pPr>
        <w:ind w:left="720" w:hanging="720"/>
      </w:pPr>
      <w:r w:rsidRPr="00374CCA">
        <w:t xml:space="preserve">Davidson LJ, Tang GHL, Ho EC, Fudim M, Frisoli T, Camaj A, Bowers MT, Masri SC, Atluri P, Chikwe J, Mason PJ, Kovacic JC, Dangas GD; American Heart Association Interventional Committee of the Council on Clinical Cardiology; Council on Cardiopulmonary, Critical Care, Perioperative and Resuscitation; Council on Cardiovascular Surgery and Anesthesia; and Council on Cardiovascular and Stroke Nursing (2024) ‘The tricuspid valve: A review of pathology, imaging, and current treatment options: A Scientific Statement from the American Heart Association’, </w:t>
      </w:r>
      <w:r w:rsidRPr="00374CCA">
        <w:rPr>
          <w:i/>
          <w:iCs/>
        </w:rPr>
        <w:t>Circulation</w:t>
      </w:r>
      <w:r w:rsidRPr="00374CCA">
        <w:t>, 149(22):e1223-e1238, doi:10.1161/CIR.0000000000001232.</w:t>
      </w:r>
    </w:p>
    <w:p w14:paraId="63435AB9" w14:textId="2146AE5F" w:rsidR="004E03AD" w:rsidRPr="00374CCA" w:rsidRDefault="004E03AD" w:rsidP="0031799E">
      <w:pPr>
        <w:ind w:left="720" w:hanging="720"/>
      </w:pPr>
      <w:r w:rsidRPr="00374CCA">
        <w:t xml:space="preserve">Fujisawa T, Kimura T, Ikemura N, Miyama H, Katsumata Y, Ueda I, Tanimoto K, Kanki H, Fukuda K, Kohsaka S and Takatsuki S (2022) ‘Effect of tricuspid regurgitation on the reported quality of life and subsequent outcomes in patients with atrial fibrillation’, </w:t>
      </w:r>
      <w:r w:rsidRPr="00374CCA">
        <w:rPr>
          <w:i/>
          <w:iCs/>
        </w:rPr>
        <w:t>J Am Heart Assoc</w:t>
      </w:r>
      <w:r w:rsidRPr="00374CCA">
        <w:t>, 11(8):e022713, doi:10.1161/JAHA.121.022713.</w:t>
      </w:r>
    </w:p>
    <w:p w14:paraId="75AFD3A8" w14:textId="1E7F8B8F" w:rsidR="00162725" w:rsidRPr="00374CCA" w:rsidRDefault="00162725" w:rsidP="0031799E">
      <w:pPr>
        <w:ind w:left="720" w:hanging="720"/>
      </w:pPr>
      <w:r w:rsidRPr="00374CCA">
        <w:t xml:space="preserve">Hahn RT, Lawlor MK, Davidson CJ, Badhwar V, Sannino A, Spitzer E, Lurz P, Lindman BR, Topilsky Y, Baron SJ, Chadderdon S, Khalique OK, Tang GHL, Taramasso M, Grayburn PA, Badano L, Leipsic J, Lindenfeld J, Windecker S, Vemulapalli S, Redfors B, Alu MC, Cohen DJ, Rodés-Cabau J, Ailawadi G, Mack M, Ben-Yehuda O, Leon MB and Hausleiter J (2023) ‘Tricuspid Valve Academic Research Consortium definitions for tricuspid regurgitation and trial endpoints’, </w:t>
      </w:r>
      <w:r w:rsidRPr="00374CCA">
        <w:rPr>
          <w:i/>
          <w:iCs/>
        </w:rPr>
        <w:t>Eur Heart J</w:t>
      </w:r>
      <w:r w:rsidRPr="00374CCA">
        <w:t>, 44(43):4508-4532, doi:10.1093/eurheartj/ehad653.</w:t>
      </w:r>
    </w:p>
    <w:p w14:paraId="4BCA5352" w14:textId="082C7A49" w:rsidR="000227F5" w:rsidRPr="00374CCA" w:rsidRDefault="000227F5" w:rsidP="0031799E">
      <w:pPr>
        <w:ind w:left="720" w:hanging="720"/>
      </w:pPr>
      <w:r w:rsidRPr="00374CCA">
        <w:t xml:space="preserve">Kar S, Makkar RR, Whisenant BK, Hamid N, Naik H, Tadros P, Price MJ, Singh G, Schwartz JG, Kapadia S, Alli O, Horr S, Seshiah P, Batchelor W, Jones BM, Ahmed MI, Benza R, Jorde U, Thourani VH, Ghobrial AA, Tang GHL, Trusty PM, Huang D, Hahn RT, Adams DH, Sorajja P; TRILUMINATE Pivotal Investigators (2025) ‘Two-year outcomes of transcatheter edge-to-edge repair for severe tricuspid regurgitation: The TRILUMINATE Pivotal randomized controlled trial’, </w:t>
      </w:r>
      <w:r w:rsidRPr="00374CCA">
        <w:rPr>
          <w:i/>
          <w:iCs/>
        </w:rPr>
        <w:t>Circulation</w:t>
      </w:r>
      <w:r w:rsidRPr="00374CCA">
        <w:t>, 151(23):1630-1638, doi: 10.1161/CIRCULATIONAHA.125.074536.</w:t>
      </w:r>
    </w:p>
    <w:p w14:paraId="62A839E7" w14:textId="2BDCAC4A" w:rsidR="00196719" w:rsidRPr="00374CCA" w:rsidRDefault="00196719" w:rsidP="0031799E">
      <w:pPr>
        <w:ind w:left="720" w:hanging="720"/>
      </w:pPr>
      <w:r w:rsidRPr="00374CCA">
        <w:t xml:space="preserve">Latib A, Grigioni F and Hahn RT (2018) ‘Tricuspid regurgitation: what is the real clinical impact and how often should it be treated?’, </w:t>
      </w:r>
      <w:r w:rsidRPr="00374CCA">
        <w:rPr>
          <w:i/>
          <w:iCs/>
        </w:rPr>
        <w:t>EuroIntervention</w:t>
      </w:r>
      <w:r w:rsidRPr="00374CCA">
        <w:t>, 14(AB):AB101-AB111, doi:10.4244/EIJ-D-18-00533.</w:t>
      </w:r>
    </w:p>
    <w:p w14:paraId="336E20FB" w14:textId="60ABCF04" w:rsidR="00A4199E" w:rsidRPr="00374CCA" w:rsidRDefault="00A4199E" w:rsidP="0031799E">
      <w:pPr>
        <w:ind w:left="720" w:hanging="720"/>
      </w:pPr>
      <w:r w:rsidRPr="00374CCA">
        <w:t xml:space="preserve">Messika-Zeitoun D, Verta P, Gregson J, Pocock SJ, Boero I, Feldman TE, Abraham WT, Lindenfeld J, Bax J, Leon M and Enriquez-Sarano M (2020) ‘Impact of tricuspid regurgitation on survival in patients with heart failure: a large electronic health record patient-level database analysis’, </w:t>
      </w:r>
      <w:r w:rsidRPr="00374CCA">
        <w:rPr>
          <w:i/>
          <w:iCs/>
        </w:rPr>
        <w:t>Eur J Heart Fail</w:t>
      </w:r>
      <w:r w:rsidRPr="00374CCA">
        <w:t>, 22(10):1803-1813, doi:10.1002/ejhf.1830.</w:t>
      </w:r>
    </w:p>
    <w:p w14:paraId="06D16C78" w14:textId="531D8F53" w:rsidR="004932CB" w:rsidRPr="00374CCA" w:rsidRDefault="004932CB" w:rsidP="0031799E">
      <w:pPr>
        <w:ind w:left="720" w:hanging="720"/>
      </w:pPr>
      <w:r w:rsidRPr="00374CCA">
        <w:t xml:space="preserve">Nagraj S, Goldberg YH, Scotti A, Ho E, Assafin M, Chau M and Latib A (2022) ‘Transcatheter tricuspid valve replacement: A feasible solution to a real-world problem’, </w:t>
      </w:r>
      <w:r w:rsidRPr="00374CCA">
        <w:rPr>
          <w:i/>
          <w:iCs/>
        </w:rPr>
        <w:t>Rev Cardiovasc Med</w:t>
      </w:r>
      <w:r w:rsidRPr="00374CCA">
        <w:t>, 23(5):163, doi:10.31083/j.rcm2305163.</w:t>
      </w:r>
    </w:p>
    <w:p w14:paraId="48E868F4" w14:textId="1276B029" w:rsidR="000733DA" w:rsidRPr="00374CCA" w:rsidRDefault="000733DA" w:rsidP="0031799E">
      <w:pPr>
        <w:ind w:left="720" w:hanging="720"/>
      </w:pPr>
      <w:r w:rsidRPr="00374CCA">
        <w:t>Nickenig G, Weber M, Lurz P, von Bardeleben RS, Sitges M, Sorajja P, Hausleiter J, Denti P, Trochu JN, Näbauer M, Dahou A and Hahn RT (2019) ‘Transcatheter edge-to-edge repair for reduction of tricuspid regurgitation: 6-month outcomes of the TRILUMINATE single-arm study</w:t>
      </w:r>
      <w:r w:rsidR="008C4DFA" w:rsidRPr="00374CCA">
        <w:t>’,</w:t>
      </w:r>
      <w:r w:rsidRPr="00374CCA">
        <w:t xml:space="preserve"> </w:t>
      </w:r>
      <w:r w:rsidRPr="00374CCA">
        <w:rPr>
          <w:i/>
          <w:iCs/>
        </w:rPr>
        <w:t>Lancet</w:t>
      </w:r>
      <w:r w:rsidR="008C4DFA" w:rsidRPr="00374CCA">
        <w:t>,</w:t>
      </w:r>
      <w:r w:rsidRPr="00374CCA">
        <w:t xml:space="preserve"> 394(10213):2002-2011</w:t>
      </w:r>
      <w:r w:rsidR="008C4DFA" w:rsidRPr="00374CCA">
        <w:t>,</w:t>
      </w:r>
      <w:r w:rsidRPr="00374CCA">
        <w:t xml:space="preserve"> doi: 10.1016/S0140-6736(19)32600-5.</w:t>
      </w:r>
    </w:p>
    <w:p w14:paraId="77970FB1" w14:textId="6E839497" w:rsidR="00434533" w:rsidRPr="00374CCA" w:rsidRDefault="00434533" w:rsidP="0031799E">
      <w:pPr>
        <w:ind w:left="720" w:hanging="720"/>
      </w:pPr>
      <w:r w:rsidRPr="00374CCA">
        <w:lastRenderedPageBreak/>
        <w:t xml:space="preserve">Offen S, Playford D, Strange G, Stewart S and Celermajer DS (2022) ‘Adverse prognostic impact of even mild or moderate tricuspid regurgitation: Insights from the National Echocardiography Database of Australia’, </w:t>
      </w:r>
      <w:r w:rsidRPr="00374CCA">
        <w:rPr>
          <w:i/>
          <w:iCs/>
        </w:rPr>
        <w:t>J Am Soc Echocardiogr</w:t>
      </w:r>
      <w:r w:rsidRPr="00374CCA">
        <w:t>, 35(8):810-817, doi:10.1016/j.echo.2022.04.003.</w:t>
      </w:r>
    </w:p>
    <w:p w14:paraId="7941FFDE" w14:textId="2A24DCE0" w:rsidR="00434533" w:rsidRDefault="00434533" w:rsidP="0031799E">
      <w:pPr>
        <w:ind w:left="720" w:hanging="720"/>
      </w:pPr>
      <w:r w:rsidRPr="00374CCA">
        <w:t xml:space="preserve">Otto CM, Nishimura RA, Bonow RO, Carabello BA, Erwin JP 3rd, Gentile F, Jneid H, Krieger EV, Mack M, McLeod C, O'Gara PT, Rigolin VH, Sundt TM 3rd, Thompson A and Toly C (2021) ‘2020 ACC/AHA Guideline for the management of patients with valvular heart disease: Executive Summary: A report of the American College of Cardiology/American Heart Association Joint Committee on Clinical Practice Guidelines’, </w:t>
      </w:r>
      <w:r w:rsidRPr="00374CCA">
        <w:rPr>
          <w:i/>
          <w:iCs/>
        </w:rPr>
        <w:t>Circulation</w:t>
      </w:r>
      <w:r w:rsidRPr="00374CCA">
        <w:t xml:space="preserve">, 143(5):e35-e71. doi:10.1161/CIR.0000000000000932. Erratum in: (2021) </w:t>
      </w:r>
      <w:r w:rsidRPr="00374CCA">
        <w:rPr>
          <w:i/>
          <w:iCs/>
        </w:rPr>
        <w:t>Circulation</w:t>
      </w:r>
      <w:r w:rsidRPr="00374CCA">
        <w:t xml:space="preserve">, 143(5):e228, doi: 10.1161/CIR.0000000000000960. Erratum in: (2021) </w:t>
      </w:r>
      <w:r w:rsidRPr="00374CCA">
        <w:rPr>
          <w:i/>
          <w:iCs/>
        </w:rPr>
        <w:t>Circulation</w:t>
      </w:r>
      <w:r w:rsidRPr="00374CCA">
        <w:t>, 143(10):e784, doi:10.1161/CIR.0000000000000966.</w:t>
      </w:r>
    </w:p>
    <w:p w14:paraId="04721E76" w14:textId="0A6A7619" w:rsidR="00C12A77" w:rsidRPr="00374CCA" w:rsidRDefault="00F949F9" w:rsidP="0031799E">
      <w:pPr>
        <w:ind w:left="720" w:hanging="720"/>
      </w:pPr>
      <w:r w:rsidRPr="00F949F9">
        <w:t>Praz F, Borger MA, Lanz J, Marin-Cuartas M, Abreu A, Adamo M, Ajmone Marsan N, Barili F, Bonaros N, Cosyns B, De Paulis R, Gamra H, Jahangiri M, Jeppsson A, Klautz RJM, Mores B, Pérez-David E, Pöss J, Prendergast BD, Rocca B, Rossello X, Suzuki M, Thiele H, Tribouilloy CM, Wojakowski W; ESC/EACTS Scientific Document Group</w:t>
      </w:r>
      <w:r>
        <w:t xml:space="preserve"> </w:t>
      </w:r>
      <w:r w:rsidR="009B5321">
        <w:t>(2025)</w:t>
      </w:r>
      <w:r w:rsidRPr="00F949F9">
        <w:t xml:space="preserve"> </w:t>
      </w:r>
      <w:r w:rsidR="009B5321">
        <w:t>‘</w:t>
      </w:r>
      <w:r w:rsidRPr="00F949F9">
        <w:t>2025 ESC/EACTS Guidelines for the management of valvular heart disease</w:t>
      </w:r>
      <w:r w:rsidR="009B5321">
        <w:t>’,</w:t>
      </w:r>
      <w:r w:rsidRPr="00F949F9">
        <w:t xml:space="preserve"> </w:t>
      </w:r>
      <w:r w:rsidRPr="009B5321">
        <w:rPr>
          <w:i/>
          <w:iCs/>
        </w:rPr>
        <w:t>Eur Heart J</w:t>
      </w:r>
      <w:r w:rsidR="009B5321">
        <w:t>,</w:t>
      </w:r>
      <w:r w:rsidRPr="00F949F9">
        <w:t xml:space="preserve"> 46(44):4635-4736</w:t>
      </w:r>
      <w:r w:rsidR="009B5321">
        <w:t>,</w:t>
      </w:r>
      <w:r w:rsidRPr="00F949F9">
        <w:t xml:space="preserve"> doi:10.1093/eurheartj/ehaf194.</w:t>
      </w:r>
    </w:p>
    <w:p w14:paraId="07AFF5F2" w14:textId="010A3FB8" w:rsidR="00744BC9" w:rsidRPr="00374CCA" w:rsidRDefault="00744BC9" w:rsidP="0031799E">
      <w:pPr>
        <w:ind w:left="720" w:hanging="720"/>
      </w:pPr>
      <w:r w:rsidRPr="00374CCA">
        <w:t>Prihadi EA, Delgado V, Leon MB, Enriquez-Sarano M, Topilsky Y and Bax JJ (</w:t>
      </w:r>
      <w:r w:rsidR="00C065C3" w:rsidRPr="00374CCA">
        <w:t>2019)</w:t>
      </w:r>
      <w:r w:rsidRPr="00374CCA">
        <w:t xml:space="preserve"> </w:t>
      </w:r>
      <w:r w:rsidR="00C065C3" w:rsidRPr="00374CCA">
        <w:t>‘</w:t>
      </w:r>
      <w:r w:rsidRPr="00374CCA">
        <w:t xml:space="preserve">Morphologic </w:t>
      </w:r>
      <w:r w:rsidR="00C065C3" w:rsidRPr="00374CCA">
        <w:t>t</w:t>
      </w:r>
      <w:r w:rsidRPr="00374CCA">
        <w:t xml:space="preserve">ypes of </w:t>
      </w:r>
      <w:r w:rsidR="00C065C3" w:rsidRPr="00374CCA">
        <w:t>t</w:t>
      </w:r>
      <w:r w:rsidRPr="00374CCA">
        <w:t xml:space="preserve">ricuspid </w:t>
      </w:r>
      <w:r w:rsidR="00C065C3" w:rsidRPr="00374CCA">
        <w:t>r</w:t>
      </w:r>
      <w:r w:rsidRPr="00374CCA">
        <w:t xml:space="preserve">egurgitation: Characteristics and </w:t>
      </w:r>
      <w:r w:rsidR="00C065C3" w:rsidRPr="00374CCA">
        <w:t>p</w:t>
      </w:r>
      <w:r w:rsidRPr="00374CCA">
        <w:t xml:space="preserve">rognostic </w:t>
      </w:r>
      <w:r w:rsidR="00C065C3" w:rsidRPr="00374CCA">
        <w:t>i</w:t>
      </w:r>
      <w:r w:rsidRPr="00374CCA">
        <w:t>mplications</w:t>
      </w:r>
      <w:r w:rsidR="00C065C3" w:rsidRPr="00374CCA">
        <w:t>’,</w:t>
      </w:r>
      <w:r w:rsidRPr="00374CCA">
        <w:t xml:space="preserve"> </w:t>
      </w:r>
      <w:r w:rsidRPr="00374CCA">
        <w:rPr>
          <w:i/>
          <w:iCs/>
        </w:rPr>
        <w:t>JACC Cardiovasc Imaging</w:t>
      </w:r>
      <w:r w:rsidR="00C065C3" w:rsidRPr="00374CCA">
        <w:t>,</w:t>
      </w:r>
      <w:r w:rsidRPr="00374CCA">
        <w:t xml:space="preserve"> 12(3):491-499</w:t>
      </w:r>
      <w:r w:rsidR="00C065C3" w:rsidRPr="00374CCA">
        <w:t>,</w:t>
      </w:r>
      <w:r w:rsidRPr="00374CCA">
        <w:t xml:space="preserve"> doi:10.1016/j.jcmg.2018.09.027.</w:t>
      </w:r>
    </w:p>
    <w:p w14:paraId="1A4E5C9C" w14:textId="1ABE0AC5" w:rsidR="00A60280" w:rsidRPr="00374CCA" w:rsidRDefault="00A60280" w:rsidP="0031799E">
      <w:pPr>
        <w:ind w:left="720" w:hanging="720"/>
      </w:pPr>
      <w:r w:rsidRPr="00374CCA">
        <w:t xml:space="preserve">Rahgozar K, Bruoha S, Ho E, Goldberg Y, Chau M and Latib A (2021) ‘Rediscovered and unforgotten: Transcatheter interventions for the treatment of severe tricuspid valve regurgitation’, </w:t>
      </w:r>
      <w:r w:rsidRPr="00374CCA">
        <w:rPr>
          <w:i/>
          <w:iCs/>
        </w:rPr>
        <w:t>US Cardiol</w:t>
      </w:r>
      <w:r w:rsidRPr="00374CCA">
        <w:t>, 15:e22, doi:10.15420/usc.2021.06.</w:t>
      </w:r>
    </w:p>
    <w:p w14:paraId="3923ED2A" w14:textId="2BD4C085" w:rsidR="005A0C40" w:rsidRPr="00374CCA" w:rsidRDefault="009E6E8D" w:rsidP="0031799E">
      <w:pPr>
        <w:pStyle w:val="Instructionaltext"/>
        <w:ind w:left="720" w:hanging="720"/>
        <w:rPr>
          <w:color w:val="auto"/>
        </w:rPr>
      </w:pPr>
      <w:r w:rsidRPr="00374CCA">
        <w:rPr>
          <w:color w:val="auto"/>
        </w:rPr>
        <w:t>Sorajja P, Whisenant B, Hamid N, Naik H, Makkar R, Tadros P, Price MJ, Singh G, Fam N, Kar S, Schwartz JG, Mehta S, Bae R, Sekaran N, Warner T, Makar M, Zorn G, Spinner EM, Trusty PM, Benza R, Jorde U, McCarthy P, Thourani V, Tang GHL, Hahn RT, Adams DH</w:t>
      </w:r>
      <w:r w:rsidR="000C6B64" w:rsidRPr="00374CCA">
        <w:rPr>
          <w:color w:val="auto"/>
        </w:rPr>
        <w:t xml:space="preserve"> and</w:t>
      </w:r>
      <w:r w:rsidRPr="00374CCA">
        <w:rPr>
          <w:color w:val="auto"/>
        </w:rPr>
        <w:t xml:space="preserve"> TRILUMINATE Pivotal Investigators</w:t>
      </w:r>
      <w:r w:rsidR="00227F2B" w:rsidRPr="00374CCA">
        <w:rPr>
          <w:color w:val="auto"/>
        </w:rPr>
        <w:t xml:space="preserve"> (</w:t>
      </w:r>
      <w:r w:rsidR="000230E2" w:rsidRPr="00374CCA">
        <w:rPr>
          <w:color w:val="auto"/>
        </w:rPr>
        <w:t>2023)</w:t>
      </w:r>
      <w:r w:rsidRPr="00374CCA">
        <w:rPr>
          <w:color w:val="auto"/>
        </w:rPr>
        <w:t xml:space="preserve"> </w:t>
      </w:r>
      <w:r w:rsidR="000230E2" w:rsidRPr="00374CCA">
        <w:rPr>
          <w:color w:val="auto"/>
        </w:rPr>
        <w:t>‘</w:t>
      </w:r>
      <w:r w:rsidRPr="00374CCA">
        <w:rPr>
          <w:color w:val="auto"/>
        </w:rPr>
        <w:t xml:space="preserve">Transcatheter </w:t>
      </w:r>
      <w:r w:rsidR="000230E2" w:rsidRPr="00374CCA">
        <w:rPr>
          <w:color w:val="auto"/>
        </w:rPr>
        <w:t>r</w:t>
      </w:r>
      <w:r w:rsidRPr="00374CCA">
        <w:rPr>
          <w:color w:val="auto"/>
        </w:rPr>
        <w:t xml:space="preserve">epair for </w:t>
      </w:r>
      <w:r w:rsidR="000230E2" w:rsidRPr="00374CCA">
        <w:rPr>
          <w:color w:val="auto"/>
        </w:rPr>
        <w:t>p</w:t>
      </w:r>
      <w:r w:rsidRPr="00374CCA">
        <w:rPr>
          <w:color w:val="auto"/>
        </w:rPr>
        <w:t xml:space="preserve">atients with </w:t>
      </w:r>
      <w:r w:rsidR="000230E2" w:rsidRPr="00374CCA">
        <w:rPr>
          <w:color w:val="auto"/>
        </w:rPr>
        <w:t>t</w:t>
      </w:r>
      <w:r w:rsidRPr="00374CCA">
        <w:rPr>
          <w:color w:val="auto"/>
        </w:rPr>
        <w:t xml:space="preserve">ricuspid </w:t>
      </w:r>
      <w:r w:rsidR="000230E2" w:rsidRPr="00374CCA">
        <w:rPr>
          <w:color w:val="auto"/>
        </w:rPr>
        <w:t>r</w:t>
      </w:r>
      <w:r w:rsidRPr="00374CCA">
        <w:rPr>
          <w:color w:val="auto"/>
        </w:rPr>
        <w:t>egurgitation</w:t>
      </w:r>
      <w:r w:rsidR="000230E2" w:rsidRPr="00374CCA">
        <w:rPr>
          <w:color w:val="auto"/>
        </w:rPr>
        <w:t>’,</w:t>
      </w:r>
      <w:r w:rsidRPr="00374CCA">
        <w:rPr>
          <w:color w:val="auto"/>
        </w:rPr>
        <w:t xml:space="preserve"> </w:t>
      </w:r>
      <w:r w:rsidRPr="00374CCA">
        <w:rPr>
          <w:i/>
          <w:iCs/>
          <w:color w:val="auto"/>
        </w:rPr>
        <w:t>N Engl J Med</w:t>
      </w:r>
      <w:r w:rsidR="000230E2" w:rsidRPr="00374CCA">
        <w:rPr>
          <w:color w:val="auto"/>
        </w:rPr>
        <w:t>,</w:t>
      </w:r>
      <w:r w:rsidRPr="00374CCA">
        <w:rPr>
          <w:color w:val="auto"/>
        </w:rPr>
        <w:t xml:space="preserve"> 388(20):1833-1842</w:t>
      </w:r>
      <w:r w:rsidR="000230E2" w:rsidRPr="00374CCA">
        <w:rPr>
          <w:color w:val="auto"/>
        </w:rPr>
        <w:t>,</w:t>
      </w:r>
      <w:r w:rsidRPr="00374CCA">
        <w:rPr>
          <w:color w:val="auto"/>
        </w:rPr>
        <w:t xml:space="preserve"> doi:10.1056/NEJMoa2300525.</w:t>
      </w:r>
    </w:p>
    <w:p w14:paraId="1FF7133A" w14:textId="57C3EC71" w:rsidR="00B2105F" w:rsidRPr="00374CCA" w:rsidRDefault="00B2105F" w:rsidP="0031799E">
      <w:pPr>
        <w:pStyle w:val="Instructionaltext"/>
        <w:ind w:left="720" w:hanging="720"/>
        <w:rPr>
          <w:color w:val="auto"/>
        </w:rPr>
      </w:pPr>
      <w:r w:rsidRPr="00374CCA">
        <w:rPr>
          <w:color w:val="auto"/>
        </w:rPr>
        <w:t>Topilsky Y, Nkomo VT, Vatury O, Michelena HI, Letourneau T, Suri RM, Pislaru S, Park S, Mahoney DW, Biner S and Enriquez-Sarano M (</w:t>
      </w:r>
      <w:r w:rsidR="00A71C0C" w:rsidRPr="00374CCA">
        <w:rPr>
          <w:color w:val="auto"/>
        </w:rPr>
        <w:t>2014)</w:t>
      </w:r>
      <w:r w:rsidRPr="00374CCA">
        <w:rPr>
          <w:color w:val="auto"/>
        </w:rPr>
        <w:t xml:space="preserve"> </w:t>
      </w:r>
      <w:r w:rsidR="00A71C0C" w:rsidRPr="00374CCA">
        <w:rPr>
          <w:color w:val="auto"/>
        </w:rPr>
        <w:t>‘</w:t>
      </w:r>
      <w:r w:rsidRPr="00374CCA">
        <w:rPr>
          <w:color w:val="auto"/>
        </w:rPr>
        <w:t>Clinical outcome of isolated tricuspid regurgitation</w:t>
      </w:r>
      <w:r w:rsidR="00A71C0C" w:rsidRPr="00374CCA">
        <w:rPr>
          <w:color w:val="auto"/>
        </w:rPr>
        <w:t>’,</w:t>
      </w:r>
      <w:r w:rsidRPr="00374CCA">
        <w:rPr>
          <w:color w:val="auto"/>
        </w:rPr>
        <w:t xml:space="preserve"> </w:t>
      </w:r>
      <w:r w:rsidRPr="00374CCA">
        <w:rPr>
          <w:i/>
          <w:iCs/>
          <w:color w:val="auto"/>
        </w:rPr>
        <w:t>JACC Cardiovasc Imaging</w:t>
      </w:r>
      <w:r w:rsidR="00A71C0C" w:rsidRPr="00374CCA">
        <w:rPr>
          <w:color w:val="auto"/>
        </w:rPr>
        <w:t>,</w:t>
      </w:r>
      <w:r w:rsidRPr="00374CCA">
        <w:rPr>
          <w:color w:val="auto"/>
        </w:rPr>
        <w:t xml:space="preserve"> 7(12):1185-94</w:t>
      </w:r>
      <w:r w:rsidR="00A71C0C" w:rsidRPr="00374CCA">
        <w:rPr>
          <w:color w:val="auto"/>
        </w:rPr>
        <w:t>,</w:t>
      </w:r>
      <w:r w:rsidRPr="00374CCA">
        <w:rPr>
          <w:color w:val="auto"/>
        </w:rPr>
        <w:t xml:space="preserve"> doi:10.1016/j.jcmg.2014.07.018.</w:t>
      </w:r>
    </w:p>
    <w:p w14:paraId="33FA9F16" w14:textId="73BD1148" w:rsidR="00D476AA" w:rsidRPr="00894EB4" w:rsidRDefault="00D476AA" w:rsidP="0031799E">
      <w:pPr>
        <w:ind w:left="720" w:hanging="720"/>
      </w:pPr>
      <w:r w:rsidRPr="00374CCA">
        <w:t xml:space="preserve">Zoghbi WA, Adams D, Bonow RO, Enriquez-Sarano M, Foster E, Grayburn PA, Hahn RT, Han Y, Hung J, Lang RM, Little SH, Shah DJ, Shernan S, Thavendiranathan P, Thomas JD and Weissman NJ (2017) ‘Recommendations for noninvasive evaluation of native valvular regurgitation: A report from the American Society of Echocardiography developed in collaboration with the Society for Cardiovascular Magnetic Resonance’, </w:t>
      </w:r>
      <w:r w:rsidRPr="00374CCA">
        <w:rPr>
          <w:i/>
          <w:iCs/>
        </w:rPr>
        <w:t>J Am Soc Echocardiogr</w:t>
      </w:r>
      <w:r w:rsidRPr="00374CCA">
        <w:t>, 30(4):303-371, doi:10.1016/j.echo.2017.01.007.</w:t>
      </w:r>
    </w:p>
    <w:sectPr w:rsidR="00D476AA" w:rsidRPr="00894EB4" w:rsidSect="00C03912">
      <w:headerReference w:type="even" r:id="rId32"/>
      <w:headerReference w:type="default" r:id="rId33"/>
      <w:footerReference w:type="even" r:id="rId34"/>
      <w:footerReference w:type="default" r:id="rId35"/>
      <w:headerReference w:type="first" r:id="rId36"/>
      <w:footerReference w:type="first" r:id="rId37"/>
      <w:pgSz w:w="11906" w:h="16838"/>
      <w:pgMar w:top="682" w:right="1134" w:bottom="1021" w:left="1191"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6B39A8" w14:textId="77777777" w:rsidR="004E0D9F" w:rsidRPr="00374CCA" w:rsidRDefault="004E0D9F" w:rsidP="0016315C">
      <w:pPr>
        <w:spacing w:after="0" w:line="240" w:lineRule="auto"/>
      </w:pPr>
      <w:r w:rsidRPr="00374CCA">
        <w:separator/>
      </w:r>
    </w:p>
  </w:endnote>
  <w:endnote w:type="continuationSeparator" w:id="0">
    <w:p w14:paraId="05394476" w14:textId="77777777" w:rsidR="004E0D9F" w:rsidRPr="00374CCA" w:rsidRDefault="004E0D9F" w:rsidP="0016315C">
      <w:pPr>
        <w:spacing w:after="0" w:line="240" w:lineRule="auto"/>
      </w:pPr>
      <w:r w:rsidRPr="00374CCA">
        <w:continuationSeparator/>
      </w:r>
    </w:p>
  </w:endnote>
  <w:endnote w:type="continuationNotice" w:id="1">
    <w:p w14:paraId="15B195F2" w14:textId="77777777" w:rsidR="004E0D9F" w:rsidRPr="00374CCA" w:rsidRDefault="004E0D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21ABE" w14:textId="064027D2" w:rsidR="004B0CCA" w:rsidRDefault="00BA55CF">
    <w:pPr>
      <w:pStyle w:val="Footer"/>
    </w:pPr>
    <w:r>
      <w:rPr>
        <w:noProof/>
      </w:rPr>
      <mc:AlternateContent>
        <mc:Choice Requires="wps">
          <w:drawing>
            <wp:anchor distT="0" distB="0" distL="0" distR="0" simplePos="0" relativeHeight="251668480" behindDoc="0" locked="0" layoutInCell="1" allowOverlap="1" wp14:anchorId="6644691F" wp14:editId="73C7C2DA">
              <wp:simplePos x="635" y="635"/>
              <wp:positionH relativeFrom="page">
                <wp:align>center</wp:align>
              </wp:positionH>
              <wp:positionV relativeFrom="page">
                <wp:align>bottom</wp:align>
              </wp:positionV>
              <wp:extent cx="622300" cy="404495"/>
              <wp:effectExtent l="0" t="0" r="6350" b="0"/>
              <wp:wrapNone/>
              <wp:docPr id="778765276"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2F2AB7FA" w14:textId="14E0CF1C" w:rsidR="00BA55CF" w:rsidRPr="00BA55CF" w:rsidRDefault="00BA55CF" w:rsidP="00BA55CF">
                          <w:pPr>
                            <w:spacing w:after="0"/>
                            <w:rPr>
                              <w:rFonts w:ascii="Aptos" w:eastAsia="Aptos" w:hAnsi="Aptos" w:cs="Aptos"/>
                              <w:noProof/>
                              <w:color w:val="FF0000"/>
                              <w:sz w:val="24"/>
                              <w:szCs w:val="24"/>
                            </w:rPr>
                          </w:pPr>
                          <w:r w:rsidRPr="00BA55CF">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644691F" id="_x0000_t202" coordsize="21600,21600" o:spt="202" path="m,l,21600r21600,l21600,xe">
              <v:stroke joinstyle="miter"/>
              <v:path gradientshapeok="t" o:connecttype="rect"/>
            </v:shapetype>
            <v:shape id="Text Box 11" o:spid="_x0000_s1028" type="#_x0000_t202" alt="OFFICIAL" style="position:absolute;margin-left:0;margin-top:0;width:49pt;height:31.85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" filled="f" stroked="f">
              <v:fill o:detectmouseclick="t"/>
              <v:textbox style="mso-fit-shape-to-text:t" inset="0,0,0,15pt">
                <w:txbxContent>
                  <w:p w14:paraId="2F2AB7FA" w14:textId="14E0CF1C" w:rsidR="00BA55CF" w:rsidRPr="00BA55CF" w:rsidRDefault="00BA55CF" w:rsidP="00BA55CF">
                    <w:pPr>
                      <w:spacing w:after="0"/>
                      <w:rPr>
                        <w:rFonts w:ascii="Aptos" w:eastAsia="Aptos" w:hAnsi="Aptos" w:cs="Aptos"/>
                        <w:noProof/>
                        <w:color w:val="FF0000"/>
                        <w:sz w:val="24"/>
                        <w:szCs w:val="24"/>
                      </w:rPr>
                    </w:pPr>
                    <w:r w:rsidRPr="00BA55CF">
                      <w:rPr>
                        <w:rFonts w:ascii="Aptos" w:eastAsia="Aptos" w:hAnsi="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3F036" w14:textId="2B719934" w:rsidR="004335E7" w:rsidRDefault="00C4325D">
    <w:pPr>
      <w:pStyle w:val="Footer"/>
      <w:jc w:val="right"/>
    </w:pPr>
    <w:sdt>
      <w:sdtPr>
        <w:id w:val="2101685970"/>
        <w:docPartObj>
          <w:docPartGallery w:val="Page Numbers (Bottom of Page)"/>
          <w:docPartUnique/>
        </w:docPartObj>
      </w:sdtPr>
      <w:sdtEndPr/>
      <w:sdtContent>
        <w:r w:rsidR="004335E7">
          <w:fldChar w:fldCharType="begin"/>
        </w:r>
        <w:r w:rsidR="004335E7">
          <w:instrText>PAGE   \* MERGEFORMAT</w:instrText>
        </w:r>
        <w:r w:rsidR="004335E7">
          <w:fldChar w:fldCharType="separate"/>
        </w:r>
        <w:r w:rsidR="004335E7">
          <w:rPr>
            <w:lang w:val="en-GB"/>
          </w:rPr>
          <w:t>2</w:t>
        </w:r>
        <w:r w:rsidR="004335E7">
          <w:fldChar w:fldCharType="end"/>
        </w:r>
      </w:sdtContent>
    </w:sdt>
  </w:p>
  <w:p w14:paraId="1C518210" w14:textId="468CF282" w:rsidR="00BC673E" w:rsidRDefault="00FB64B3" w:rsidP="00FB64B3">
    <w:pPr>
      <w:pStyle w:val="Footer"/>
      <w:jc w:val="center"/>
    </w:pPr>
    <w:r>
      <w:t xml:space="preserve">Ratified </w:t>
    </w:r>
    <w:r w:rsidR="00502A54" w:rsidRPr="00502A54">
      <w:t>PICO Confirmation – December 2025 PASC Meeting </w:t>
    </w:r>
    <w:r w:rsidR="00502A54" w:rsidRPr="00502A54">
      <w:br/>
      <w:t>Application 1812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5F1AE" w14:textId="1FBE0010" w:rsidR="004B0CCA" w:rsidRDefault="00BA55CF">
    <w:pPr>
      <w:pStyle w:val="Footer"/>
    </w:pPr>
    <w:r>
      <w:rPr>
        <w:noProof/>
      </w:rPr>
      <mc:AlternateContent>
        <mc:Choice Requires="wps">
          <w:drawing>
            <wp:anchor distT="0" distB="0" distL="0" distR="0" simplePos="0" relativeHeight="251667456" behindDoc="0" locked="0" layoutInCell="1" allowOverlap="1" wp14:anchorId="5715299F" wp14:editId="44B970A7">
              <wp:simplePos x="635" y="635"/>
              <wp:positionH relativeFrom="page">
                <wp:align>center</wp:align>
              </wp:positionH>
              <wp:positionV relativeFrom="page">
                <wp:align>bottom</wp:align>
              </wp:positionV>
              <wp:extent cx="622300" cy="404495"/>
              <wp:effectExtent l="0" t="0" r="6350" b="0"/>
              <wp:wrapNone/>
              <wp:docPr id="379470469"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013D3625" w14:textId="2452D640" w:rsidR="00BA55CF" w:rsidRPr="00BA55CF" w:rsidRDefault="00BA55CF" w:rsidP="00BA55CF">
                          <w:pPr>
                            <w:spacing w:after="0"/>
                            <w:rPr>
                              <w:rFonts w:ascii="Aptos" w:eastAsia="Aptos" w:hAnsi="Aptos" w:cs="Aptos"/>
                              <w:noProof/>
                              <w:color w:val="FF0000"/>
                              <w:sz w:val="24"/>
                              <w:szCs w:val="24"/>
                            </w:rPr>
                          </w:pPr>
                          <w:r w:rsidRPr="00BA55CF">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715299F" id="_x0000_t202" coordsize="21600,21600" o:spt="202" path="m,l,21600r21600,l21600,xe">
              <v:stroke joinstyle="miter"/>
              <v:path gradientshapeok="t" o:connecttype="rect"/>
            </v:shapetype>
            <v:shape id="Text Box 10" o:spid="_x0000_s1031" type="#_x0000_t202" alt="OFFICIAL" style="position:absolute;margin-left:0;margin-top:0;width:49pt;height:31.85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" filled="f" stroked="f">
              <v:fill o:detectmouseclick="t"/>
              <v:textbox style="mso-fit-shape-to-text:t" inset="0,0,0,15pt">
                <w:txbxContent>
                  <w:p w14:paraId="013D3625" w14:textId="2452D640" w:rsidR="00BA55CF" w:rsidRPr="00BA55CF" w:rsidRDefault="00BA55CF" w:rsidP="00BA55CF">
                    <w:pPr>
                      <w:spacing w:after="0"/>
                      <w:rPr>
                        <w:rFonts w:ascii="Aptos" w:eastAsia="Aptos" w:hAnsi="Aptos" w:cs="Aptos"/>
                        <w:noProof/>
                        <w:color w:val="FF0000"/>
                        <w:sz w:val="24"/>
                        <w:szCs w:val="24"/>
                      </w:rPr>
                    </w:pPr>
                    <w:r w:rsidRPr="00BA55CF">
                      <w:rPr>
                        <w:rFonts w:ascii="Aptos" w:eastAsia="Aptos" w:hAnsi="Aptos" w:cs="Aptos"/>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87CBA6" w14:textId="77777777" w:rsidR="004E0D9F" w:rsidRPr="00374CCA" w:rsidRDefault="004E0D9F" w:rsidP="0016315C">
      <w:pPr>
        <w:spacing w:after="0" w:line="240" w:lineRule="auto"/>
      </w:pPr>
      <w:r w:rsidRPr="00374CCA">
        <w:separator/>
      </w:r>
    </w:p>
  </w:footnote>
  <w:footnote w:type="continuationSeparator" w:id="0">
    <w:p w14:paraId="062AB7BC" w14:textId="77777777" w:rsidR="004E0D9F" w:rsidRPr="00374CCA" w:rsidRDefault="004E0D9F" w:rsidP="0016315C">
      <w:pPr>
        <w:spacing w:after="0" w:line="240" w:lineRule="auto"/>
      </w:pPr>
      <w:r w:rsidRPr="00374CCA">
        <w:continuationSeparator/>
      </w:r>
    </w:p>
  </w:footnote>
  <w:footnote w:type="continuationNotice" w:id="1">
    <w:p w14:paraId="74352A6D" w14:textId="77777777" w:rsidR="004E0D9F" w:rsidRPr="00374CCA" w:rsidRDefault="004E0D9F">
      <w:pPr>
        <w:spacing w:after="0" w:line="240" w:lineRule="auto"/>
      </w:pPr>
    </w:p>
  </w:footnote>
  <w:footnote w:id="2">
    <w:p w14:paraId="43F3613D" w14:textId="743E7825" w:rsidR="00CC366D" w:rsidRPr="00374CCA" w:rsidRDefault="00CC366D">
      <w:pPr>
        <w:pStyle w:val="FootnoteText"/>
      </w:pPr>
      <w:r w:rsidRPr="00374CCA">
        <w:rPr>
          <w:rStyle w:val="FootnoteReference"/>
        </w:rPr>
        <w:footnoteRef/>
      </w:r>
      <w:r w:rsidRPr="00374CCA">
        <w:t xml:space="preserve"> </w:t>
      </w:r>
      <w:r w:rsidR="000F3B0D" w:rsidRPr="00374CCA">
        <w:t>Suggested standardised terminology for tricuspid valve transcatheter edge-to-edge repair from the Tricuspid Valve Academic Research Consortium (TVARC) (Hahn et al. 2023).</w:t>
      </w:r>
    </w:p>
  </w:footnote>
  <w:footnote w:id="3">
    <w:p w14:paraId="383A3215" w14:textId="5FA7C044" w:rsidR="00130E43" w:rsidRPr="00374CCA" w:rsidRDefault="00130E43" w:rsidP="00130E43">
      <w:pPr>
        <w:pStyle w:val="FootnoteText"/>
      </w:pPr>
      <w:r w:rsidRPr="00374CCA">
        <w:rPr>
          <w:rStyle w:val="FootnoteReference"/>
        </w:rPr>
        <w:footnoteRef/>
      </w:r>
      <w:r w:rsidRPr="00374CCA">
        <w:t xml:space="preserve"> </w:t>
      </w:r>
      <w:r w:rsidR="002478B2" w:rsidRPr="00374CCA">
        <w:t>The a</w:t>
      </w:r>
      <w:r w:rsidRPr="00374CCA">
        <w:t xml:space="preserve">pplication </w:t>
      </w:r>
      <w:r w:rsidR="002478B2" w:rsidRPr="00374CCA">
        <w:t>specified</w:t>
      </w:r>
      <w:r w:rsidRPr="00374CCA">
        <w:t xml:space="preserve"> LVEF </w:t>
      </w:r>
      <w:r w:rsidR="002478B2" w:rsidRPr="00374CCA">
        <w:rPr>
          <w:rFonts w:cs="Calibri"/>
        </w:rPr>
        <w:t>≥</w:t>
      </w:r>
      <w:r w:rsidRPr="00374CCA">
        <w:t xml:space="preserve">20% and sPAP </w:t>
      </w:r>
      <w:r w:rsidR="002478B2" w:rsidRPr="00374CCA">
        <w:t>&lt;</w:t>
      </w:r>
      <w:r w:rsidRPr="00374CCA">
        <w:t>70 mmHg</w:t>
      </w:r>
      <w:r w:rsidR="002478B2" w:rsidRPr="00374CCA">
        <w:t xml:space="preserve"> </w:t>
      </w:r>
      <w:r w:rsidR="003B7965" w:rsidRPr="00374CCA">
        <w:t xml:space="preserve">as </w:t>
      </w:r>
      <w:r w:rsidR="00D36B0F" w:rsidRPr="00374CCA">
        <w:t>eligibil</w:t>
      </w:r>
      <w:r w:rsidR="00692900" w:rsidRPr="00374CCA">
        <w:t>ity</w:t>
      </w:r>
      <w:r w:rsidR="003B7965" w:rsidRPr="00374CCA">
        <w:t xml:space="preserve"> criteria. T</w:t>
      </w:r>
      <w:r w:rsidR="009E4DD2" w:rsidRPr="00374CCA">
        <w:t xml:space="preserve">he assessment group </w:t>
      </w:r>
      <w:r w:rsidR="00551066" w:rsidRPr="00374CCA">
        <w:t xml:space="preserve">amended </w:t>
      </w:r>
      <w:r w:rsidR="002478B2" w:rsidRPr="00374CCA">
        <w:t>th</w:t>
      </w:r>
      <w:r w:rsidR="00EC565E" w:rsidRPr="00374CCA">
        <w:t>ese</w:t>
      </w:r>
      <w:r w:rsidR="00093083" w:rsidRPr="00374CCA">
        <w:t xml:space="preserve"> to</w:t>
      </w:r>
      <w:r w:rsidR="005D613E" w:rsidRPr="00374CCA">
        <w:t xml:space="preserve"> </w:t>
      </w:r>
      <w:r w:rsidR="00093083" w:rsidRPr="00374CCA">
        <w:t xml:space="preserve">LVEF &gt;20% and sPAP </w:t>
      </w:r>
      <w:r w:rsidR="00093083" w:rsidRPr="00374CCA">
        <w:rPr>
          <w:rFonts w:cs="Calibri"/>
        </w:rPr>
        <w:t>≤</w:t>
      </w:r>
      <w:r w:rsidR="00093083" w:rsidRPr="00374CCA">
        <w:t>70</w:t>
      </w:r>
      <w:r w:rsidR="005D613E" w:rsidRPr="00374CCA">
        <w:t xml:space="preserve"> </w:t>
      </w:r>
      <w:r w:rsidR="00551066" w:rsidRPr="00374CCA">
        <w:t>during</w:t>
      </w:r>
      <w:r w:rsidR="005D613E" w:rsidRPr="00374CCA">
        <w:t xml:space="preserve"> </w:t>
      </w:r>
      <w:r w:rsidR="00AC4D27" w:rsidRPr="00374CCA">
        <w:t>PICO Confirmation</w:t>
      </w:r>
      <w:r w:rsidR="00F2078E" w:rsidRPr="00374CCA">
        <w:t xml:space="preserve"> development</w:t>
      </w:r>
      <w:r w:rsidR="008F0D0C" w:rsidRPr="00374CCA">
        <w:t xml:space="preserve">, such that the </w:t>
      </w:r>
      <w:r w:rsidR="00794890" w:rsidRPr="00374CCA">
        <w:t>eligibility</w:t>
      </w:r>
      <w:r w:rsidR="008F0D0C" w:rsidRPr="00374CCA">
        <w:t xml:space="preserve"> criteria </w:t>
      </w:r>
      <w:r w:rsidR="00794890" w:rsidRPr="00374CCA">
        <w:t>would</w:t>
      </w:r>
      <w:r w:rsidR="008F0D0C" w:rsidRPr="00374CCA">
        <w:t xml:space="preserve"> not </w:t>
      </w:r>
      <w:r w:rsidR="007067EA" w:rsidRPr="00374CCA">
        <w:t>be</w:t>
      </w:r>
      <w:r w:rsidR="00434C2C" w:rsidRPr="00374CCA">
        <w:t xml:space="preserve"> </w:t>
      </w:r>
      <w:r w:rsidR="00935B2D" w:rsidRPr="00374CCA">
        <w:t>in</w:t>
      </w:r>
      <w:r w:rsidR="002478B2" w:rsidRPr="00374CCA">
        <w:t xml:space="preserve">consistent with </w:t>
      </w:r>
      <w:r w:rsidR="0000479C" w:rsidRPr="00374CCA">
        <w:t>TRILUMINATE Pivotal exclusion criteria</w:t>
      </w:r>
      <w:r w:rsidRPr="00374CCA">
        <w:t>.</w:t>
      </w:r>
    </w:p>
  </w:footnote>
  <w:footnote w:id="4">
    <w:p w14:paraId="5D6839D0" w14:textId="77777777" w:rsidR="008C2D1A" w:rsidRDefault="008C2D1A" w:rsidP="008C2D1A">
      <w:pPr>
        <w:pStyle w:val="FootnoteText"/>
      </w:pPr>
      <w:r>
        <w:rPr>
          <w:rStyle w:val="FootnoteReference"/>
        </w:rPr>
        <w:footnoteRef/>
      </w:r>
      <w:r>
        <w:t xml:space="preserve"> </w:t>
      </w:r>
      <w:r w:rsidRPr="00F17816">
        <w:t>Cardiac Accreditation Services Limited (CASL) oversees the accreditation of suitably qualified practitioners to perform cardiac procedures including Transcatheter Aortic Valve Implantation (TAVI) and Transcatheter Mitral Valve Repair (TMVr)</w:t>
      </w:r>
      <w:r>
        <w:t xml:space="preserve"> [</w:t>
      </w:r>
      <w:r w:rsidRPr="00525CE7">
        <w:t>https://cardiacaccreditation.org.au/about</w:t>
      </w:r>
      <w:r>
        <w:t>].</w:t>
      </w:r>
    </w:p>
  </w:footnote>
  <w:footnote w:id="5">
    <w:p w14:paraId="258D3A5F" w14:textId="734DB6C1" w:rsidR="009618BE" w:rsidRDefault="009618BE">
      <w:pPr>
        <w:pStyle w:val="FootnoteText"/>
      </w:pPr>
      <w:r w:rsidRPr="00374CCA">
        <w:rPr>
          <w:rStyle w:val="FootnoteReference"/>
        </w:rPr>
        <w:footnoteRef/>
      </w:r>
      <w:r w:rsidRPr="00374CCA">
        <w:t xml:space="preserve"> </w:t>
      </w:r>
      <w:r w:rsidR="00310A0E" w:rsidRPr="00374CCA">
        <w:t>Components of the MAE were: CV mortality; new onset renal failure; endocarditis requiring surgery</w:t>
      </w:r>
      <w:r w:rsidR="003319CB" w:rsidRPr="00374CCA">
        <w:t xml:space="preserve">; non-elective CV surgery for device-related </w:t>
      </w:r>
      <w:r w:rsidR="00976C31" w:rsidRPr="00374CCA">
        <w:t>adverse events post index procedure.</w:t>
      </w:r>
    </w:p>
  </w:footnote>
  <w:footnote w:id="6">
    <w:p w14:paraId="6D720388" w14:textId="15168D2B" w:rsidR="003C05B0" w:rsidRDefault="003C05B0" w:rsidP="003C05B0">
      <w:pPr>
        <w:pStyle w:val="FootnoteText"/>
      </w:pPr>
      <w:r>
        <w:rPr>
          <w:rStyle w:val="FootnoteReference"/>
        </w:rPr>
        <w:footnoteRef/>
      </w:r>
      <w:r>
        <w:t xml:space="preserve"> P</w:t>
      </w:r>
      <w:r w:rsidRPr="007437A4">
        <w:t>atients admitted to a public hospital can elect to be treated as a private patient. Therefore, there c</w:t>
      </w:r>
      <w:r w:rsidR="0083590F">
        <w:t>an</w:t>
      </w:r>
      <w:r w:rsidRPr="007437A4">
        <w:t xml:space="preserve"> be private billing of T-TEER in public hospitals certified to deliver this procedure. T-TEER is not included in the current clinical management algorithm as only a small number of patients may receive the intervention through </w:t>
      </w:r>
      <w:r w:rsidRPr="005860DD">
        <w:rPr>
          <w:i/>
          <w:iCs/>
        </w:rPr>
        <w:t>ex gratia</w:t>
      </w:r>
      <w:r w:rsidRPr="007437A4">
        <w:t xml:space="preserve"> funding from private health insurers or via self-funding</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4E92F" w14:textId="49C1F187" w:rsidR="004B0CCA" w:rsidRDefault="00BA55CF">
    <w:pPr>
      <w:pStyle w:val="Header"/>
    </w:pPr>
    <w:r>
      <w:rPr>
        <w:noProof/>
      </w:rPr>
      <mc:AlternateContent>
        <mc:Choice Requires="wps">
          <w:drawing>
            <wp:anchor distT="0" distB="0" distL="0" distR="0" simplePos="0" relativeHeight="251665408" behindDoc="0" locked="0" layoutInCell="1" allowOverlap="1" wp14:anchorId="305BB12B" wp14:editId="76578102">
              <wp:simplePos x="635" y="635"/>
              <wp:positionH relativeFrom="page">
                <wp:align>center</wp:align>
              </wp:positionH>
              <wp:positionV relativeFrom="page">
                <wp:align>top</wp:align>
              </wp:positionV>
              <wp:extent cx="622300" cy="404495"/>
              <wp:effectExtent l="0" t="0" r="6350" b="14605"/>
              <wp:wrapNone/>
              <wp:docPr id="1977036163"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0604E305" w14:textId="0485DE62" w:rsidR="00BA55CF" w:rsidRPr="00BA55CF" w:rsidRDefault="00BA55CF" w:rsidP="00BA55CF">
                          <w:pPr>
                            <w:spacing w:after="0"/>
                            <w:rPr>
                              <w:rFonts w:ascii="Aptos" w:eastAsia="Aptos" w:hAnsi="Aptos" w:cs="Aptos"/>
                              <w:noProof/>
                              <w:color w:val="FF0000"/>
                              <w:sz w:val="24"/>
                              <w:szCs w:val="24"/>
                            </w:rPr>
                          </w:pPr>
                          <w:r w:rsidRPr="00BA55CF">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05BB12B" id="_x0000_t202" coordsize="21600,21600" o:spt="202" path="m,l,21600r21600,l21600,xe">
              <v:stroke joinstyle="miter"/>
              <v:path gradientshapeok="t" o:connecttype="rect"/>
            </v:shapetype>
            <v:shape id="Text Box 8" o:spid="_x0000_s1026" type="#_x0000_t202" alt="OFFICIAL" style="position:absolute;margin-left:0;margin-top:0;width:49pt;height:31.85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" filled="f" stroked="f">
              <v:fill o:detectmouseclick="t"/>
              <v:textbox style="mso-fit-shape-to-text:t" inset="0,15pt,0,0">
                <w:txbxContent>
                  <w:p w14:paraId="0604E305" w14:textId="0485DE62" w:rsidR="00BA55CF" w:rsidRPr="00BA55CF" w:rsidRDefault="00BA55CF" w:rsidP="00BA55CF">
                    <w:pPr>
                      <w:spacing w:after="0"/>
                      <w:rPr>
                        <w:rFonts w:ascii="Aptos" w:eastAsia="Aptos" w:hAnsi="Aptos" w:cs="Aptos"/>
                        <w:noProof/>
                        <w:color w:val="FF0000"/>
                        <w:sz w:val="24"/>
                        <w:szCs w:val="24"/>
                      </w:rPr>
                    </w:pPr>
                    <w:r w:rsidRPr="00BA55CF">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C89AC" w14:textId="2B52ABD0" w:rsidR="004B0CCA" w:rsidRDefault="00BA55CF">
    <w:pPr>
      <w:pStyle w:val="Header"/>
    </w:pPr>
    <w:r>
      <w:rPr>
        <w:noProof/>
      </w:rPr>
      <mc:AlternateContent>
        <mc:Choice Requires="wps">
          <w:drawing>
            <wp:anchor distT="0" distB="0" distL="0" distR="0" simplePos="0" relativeHeight="251666432" behindDoc="0" locked="0" layoutInCell="1" allowOverlap="1" wp14:anchorId="1D962394" wp14:editId="084679BE">
              <wp:simplePos x="755374" y="453224"/>
              <wp:positionH relativeFrom="page">
                <wp:align>center</wp:align>
              </wp:positionH>
              <wp:positionV relativeFrom="page">
                <wp:align>top</wp:align>
              </wp:positionV>
              <wp:extent cx="622300" cy="404495"/>
              <wp:effectExtent l="0" t="0" r="6350" b="14605"/>
              <wp:wrapNone/>
              <wp:docPr id="1037806730"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58699FF2" w14:textId="0E1214B4" w:rsidR="00BA55CF" w:rsidRPr="00BA55CF" w:rsidRDefault="00BA55CF" w:rsidP="00BA55CF">
                          <w:pPr>
                            <w:spacing w:after="0"/>
                            <w:rPr>
                              <w:rFonts w:ascii="Aptos" w:eastAsia="Aptos" w:hAnsi="Aptos" w:cs="Aptos"/>
                              <w:noProof/>
                              <w:color w:val="FF0000"/>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D962394" id="_x0000_t202" coordsize="21600,21600" o:spt="202" path="m,l,21600r21600,l21600,xe">
              <v:stroke joinstyle="miter"/>
              <v:path gradientshapeok="t" o:connecttype="rect"/>
            </v:shapetype>
            <v:shape id="Text Box 9" o:spid="_x0000_s1027" type="#_x0000_t202" alt="OFFICIAL" style="position:absolute;margin-left:0;margin-top:0;width:49pt;height:31.85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" filled="f" stroked="f">
              <v:textbox style="mso-fit-shape-to-text:t" inset="0,15pt,0,0">
                <w:txbxContent>
                  <w:p w14:paraId="58699FF2" w14:textId="0E1214B4" w:rsidR="00BA55CF" w:rsidRPr="00BA55CF" w:rsidRDefault="00BA55CF" w:rsidP="00BA55CF">
                    <w:pPr>
                      <w:spacing w:after="0"/>
                      <w:rPr>
                        <w:rFonts w:ascii="Aptos" w:eastAsia="Aptos" w:hAnsi="Aptos" w:cs="Aptos"/>
                        <w:noProof/>
                        <w:color w:val="FF0000"/>
                        <w:sz w:val="24"/>
                        <w:szCs w:val="24"/>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94F15" w14:textId="4E36004D" w:rsidR="004B0CCA" w:rsidRDefault="00BA55CF">
    <w:pPr>
      <w:pStyle w:val="Header"/>
    </w:pPr>
    <w:r>
      <w:rPr>
        <w:noProof/>
      </w:rPr>
      <mc:AlternateContent>
        <mc:Choice Requires="wps">
          <w:drawing>
            <wp:anchor distT="0" distB="0" distL="0" distR="0" simplePos="0" relativeHeight="251664384" behindDoc="0" locked="0" layoutInCell="1" allowOverlap="1" wp14:anchorId="08B6597A" wp14:editId="618FE7BD">
              <wp:simplePos x="635" y="635"/>
              <wp:positionH relativeFrom="page">
                <wp:align>center</wp:align>
              </wp:positionH>
              <wp:positionV relativeFrom="page">
                <wp:align>top</wp:align>
              </wp:positionV>
              <wp:extent cx="622300" cy="404495"/>
              <wp:effectExtent l="0" t="0" r="6350" b="14605"/>
              <wp:wrapNone/>
              <wp:docPr id="2091925505"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6AF46646" w14:textId="3D0472AE" w:rsidR="00BA55CF" w:rsidRPr="00BA55CF" w:rsidRDefault="00BA55CF" w:rsidP="00BA55CF">
                          <w:pPr>
                            <w:spacing w:after="0"/>
                            <w:rPr>
                              <w:rFonts w:ascii="Aptos" w:eastAsia="Aptos" w:hAnsi="Aptos" w:cs="Aptos"/>
                              <w:noProof/>
                              <w:color w:val="FF0000"/>
                              <w:sz w:val="24"/>
                              <w:szCs w:val="24"/>
                            </w:rPr>
                          </w:pPr>
                          <w:r w:rsidRPr="00BA55CF">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8B6597A" id="_x0000_t202" coordsize="21600,21600" o:spt="202" path="m,l,21600r21600,l21600,xe">
              <v:stroke joinstyle="miter"/>
              <v:path gradientshapeok="t" o:connecttype="rect"/>
            </v:shapetype>
            <v:shape id="Text Box 7" o:spid="_x0000_s1030" type="#_x0000_t202" alt="OFFICIAL" style="position:absolute;margin-left:0;margin-top:0;width:49pt;height:31.8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" filled="f" stroked="f">
              <v:fill o:detectmouseclick="t"/>
              <v:textbox style="mso-fit-shape-to-text:t" inset="0,15pt,0,0">
                <w:txbxContent>
                  <w:p w14:paraId="6AF46646" w14:textId="3D0472AE" w:rsidR="00BA55CF" w:rsidRPr="00BA55CF" w:rsidRDefault="00BA55CF" w:rsidP="00BA55CF">
                    <w:pPr>
                      <w:spacing w:after="0"/>
                      <w:rPr>
                        <w:rFonts w:ascii="Aptos" w:eastAsia="Aptos" w:hAnsi="Aptos" w:cs="Aptos"/>
                        <w:noProof/>
                        <w:color w:val="FF0000"/>
                        <w:sz w:val="24"/>
                        <w:szCs w:val="24"/>
                      </w:rPr>
                    </w:pPr>
                    <w:r w:rsidRPr="00BA55CF">
                      <w:rPr>
                        <w:rFonts w:ascii="Aptos" w:eastAsia="Aptos" w:hAnsi="Aptos" w:cs="Aptos"/>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70072"/>
    <w:multiLevelType w:val="hybridMultilevel"/>
    <w:tmpl w:val="881880FE"/>
    <w:lvl w:ilvl="0" w:tplc="56486DFE">
      <w:start w:val="1"/>
      <w:numFmt w:val="bullet"/>
      <w:lvlText w:val=""/>
      <w:lvlJc w:val="left"/>
      <w:pPr>
        <w:ind w:left="720" w:hanging="360"/>
      </w:pPr>
      <w:rPr>
        <w:rFonts w:ascii="Symbol" w:hAnsi="Symbol" w:hint="default"/>
      </w:rPr>
    </w:lvl>
    <w:lvl w:ilvl="1" w:tplc="2984F55A" w:tentative="1">
      <w:start w:val="1"/>
      <w:numFmt w:val="bullet"/>
      <w:lvlText w:val="o"/>
      <w:lvlJc w:val="left"/>
      <w:pPr>
        <w:ind w:left="1440" w:hanging="360"/>
      </w:pPr>
      <w:rPr>
        <w:rFonts w:ascii="Courier New" w:hAnsi="Courier New" w:hint="default"/>
      </w:rPr>
    </w:lvl>
    <w:lvl w:ilvl="2" w:tplc="3A7AEAB8" w:tentative="1">
      <w:start w:val="1"/>
      <w:numFmt w:val="bullet"/>
      <w:lvlText w:val=""/>
      <w:lvlJc w:val="left"/>
      <w:pPr>
        <w:ind w:left="2160" w:hanging="360"/>
      </w:pPr>
      <w:rPr>
        <w:rFonts w:ascii="Wingdings" w:hAnsi="Wingdings" w:hint="default"/>
      </w:rPr>
    </w:lvl>
    <w:lvl w:ilvl="3" w:tplc="230E58CC" w:tentative="1">
      <w:start w:val="1"/>
      <w:numFmt w:val="bullet"/>
      <w:lvlText w:val=""/>
      <w:lvlJc w:val="left"/>
      <w:pPr>
        <w:ind w:left="2880" w:hanging="360"/>
      </w:pPr>
      <w:rPr>
        <w:rFonts w:ascii="Symbol" w:hAnsi="Symbol" w:hint="default"/>
      </w:rPr>
    </w:lvl>
    <w:lvl w:ilvl="4" w:tplc="14F8F356" w:tentative="1">
      <w:start w:val="1"/>
      <w:numFmt w:val="bullet"/>
      <w:lvlText w:val="o"/>
      <w:lvlJc w:val="left"/>
      <w:pPr>
        <w:ind w:left="3600" w:hanging="360"/>
      </w:pPr>
      <w:rPr>
        <w:rFonts w:ascii="Courier New" w:hAnsi="Courier New" w:hint="default"/>
      </w:rPr>
    </w:lvl>
    <w:lvl w:ilvl="5" w:tplc="B75CCCD2" w:tentative="1">
      <w:start w:val="1"/>
      <w:numFmt w:val="bullet"/>
      <w:lvlText w:val=""/>
      <w:lvlJc w:val="left"/>
      <w:pPr>
        <w:ind w:left="4320" w:hanging="360"/>
      </w:pPr>
      <w:rPr>
        <w:rFonts w:ascii="Wingdings" w:hAnsi="Wingdings" w:hint="default"/>
      </w:rPr>
    </w:lvl>
    <w:lvl w:ilvl="6" w:tplc="1728C944" w:tentative="1">
      <w:start w:val="1"/>
      <w:numFmt w:val="bullet"/>
      <w:lvlText w:val=""/>
      <w:lvlJc w:val="left"/>
      <w:pPr>
        <w:ind w:left="5040" w:hanging="360"/>
      </w:pPr>
      <w:rPr>
        <w:rFonts w:ascii="Symbol" w:hAnsi="Symbol" w:hint="default"/>
      </w:rPr>
    </w:lvl>
    <w:lvl w:ilvl="7" w:tplc="AA0C0178" w:tentative="1">
      <w:start w:val="1"/>
      <w:numFmt w:val="bullet"/>
      <w:lvlText w:val="o"/>
      <w:lvlJc w:val="left"/>
      <w:pPr>
        <w:ind w:left="5760" w:hanging="360"/>
      </w:pPr>
      <w:rPr>
        <w:rFonts w:ascii="Courier New" w:hAnsi="Courier New" w:hint="default"/>
      </w:rPr>
    </w:lvl>
    <w:lvl w:ilvl="8" w:tplc="973098CA" w:tentative="1">
      <w:start w:val="1"/>
      <w:numFmt w:val="bullet"/>
      <w:lvlText w:val=""/>
      <w:lvlJc w:val="left"/>
      <w:pPr>
        <w:ind w:left="6480" w:hanging="360"/>
      </w:pPr>
      <w:rPr>
        <w:rFonts w:ascii="Wingdings" w:hAnsi="Wingdings" w:hint="default"/>
      </w:rPr>
    </w:lvl>
  </w:abstractNum>
  <w:abstractNum w:abstractNumId="1" w15:restartNumberingAfterBreak="0">
    <w:nsid w:val="082B0D9E"/>
    <w:multiLevelType w:val="hybridMultilevel"/>
    <w:tmpl w:val="FFFFFFFF"/>
    <w:lvl w:ilvl="0" w:tplc="82600060">
      <w:start w:val="1"/>
      <w:numFmt w:val="bullet"/>
      <w:lvlText w:val="·"/>
      <w:lvlJc w:val="left"/>
      <w:pPr>
        <w:ind w:left="720" w:hanging="360"/>
      </w:pPr>
      <w:rPr>
        <w:rFonts w:ascii="Symbol" w:hAnsi="Symbol" w:hint="default"/>
      </w:rPr>
    </w:lvl>
    <w:lvl w:ilvl="1" w:tplc="BFF487E2">
      <w:start w:val="1"/>
      <w:numFmt w:val="bullet"/>
      <w:lvlText w:val="o"/>
      <w:lvlJc w:val="left"/>
      <w:pPr>
        <w:ind w:left="1440" w:hanging="360"/>
      </w:pPr>
      <w:rPr>
        <w:rFonts w:ascii="Courier New" w:hAnsi="Courier New" w:hint="default"/>
      </w:rPr>
    </w:lvl>
    <w:lvl w:ilvl="2" w:tplc="89063172">
      <w:start w:val="1"/>
      <w:numFmt w:val="bullet"/>
      <w:lvlText w:val=""/>
      <w:lvlJc w:val="left"/>
      <w:pPr>
        <w:ind w:left="2160" w:hanging="360"/>
      </w:pPr>
      <w:rPr>
        <w:rFonts w:ascii="Wingdings" w:hAnsi="Wingdings" w:hint="default"/>
      </w:rPr>
    </w:lvl>
    <w:lvl w:ilvl="3" w:tplc="58088710">
      <w:start w:val="1"/>
      <w:numFmt w:val="bullet"/>
      <w:lvlText w:val=""/>
      <w:lvlJc w:val="left"/>
      <w:pPr>
        <w:ind w:left="2880" w:hanging="360"/>
      </w:pPr>
      <w:rPr>
        <w:rFonts w:ascii="Symbol" w:hAnsi="Symbol" w:hint="default"/>
      </w:rPr>
    </w:lvl>
    <w:lvl w:ilvl="4" w:tplc="E380490C">
      <w:start w:val="1"/>
      <w:numFmt w:val="bullet"/>
      <w:lvlText w:val="o"/>
      <w:lvlJc w:val="left"/>
      <w:pPr>
        <w:ind w:left="3600" w:hanging="360"/>
      </w:pPr>
      <w:rPr>
        <w:rFonts w:ascii="Courier New" w:hAnsi="Courier New" w:hint="default"/>
      </w:rPr>
    </w:lvl>
    <w:lvl w:ilvl="5" w:tplc="E2241D1E">
      <w:start w:val="1"/>
      <w:numFmt w:val="bullet"/>
      <w:lvlText w:val=""/>
      <w:lvlJc w:val="left"/>
      <w:pPr>
        <w:ind w:left="4320" w:hanging="360"/>
      </w:pPr>
      <w:rPr>
        <w:rFonts w:ascii="Wingdings" w:hAnsi="Wingdings" w:hint="default"/>
      </w:rPr>
    </w:lvl>
    <w:lvl w:ilvl="6" w:tplc="5C7683AA">
      <w:start w:val="1"/>
      <w:numFmt w:val="bullet"/>
      <w:lvlText w:val=""/>
      <w:lvlJc w:val="left"/>
      <w:pPr>
        <w:ind w:left="5040" w:hanging="360"/>
      </w:pPr>
      <w:rPr>
        <w:rFonts w:ascii="Symbol" w:hAnsi="Symbol" w:hint="default"/>
      </w:rPr>
    </w:lvl>
    <w:lvl w:ilvl="7" w:tplc="ABDCBEB8">
      <w:start w:val="1"/>
      <w:numFmt w:val="bullet"/>
      <w:lvlText w:val="o"/>
      <w:lvlJc w:val="left"/>
      <w:pPr>
        <w:ind w:left="5760" w:hanging="360"/>
      </w:pPr>
      <w:rPr>
        <w:rFonts w:ascii="Courier New" w:hAnsi="Courier New" w:hint="default"/>
      </w:rPr>
    </w:lvl>
    <w:lvl w:ilvl="8" w:tplc="4C945FE6">
      <w:start w:val="1"/>
      <w:numFmt w:val="bullet"/>
      <w:lvlText w:val=""/>
      <w:lvlJc w:val="left"/>
      <w:pPr>
        <w:ind w:left="6480" w:hanging="360"/>
      </w:pPr>
      <w:rPr>
        <w:rFonts w:ascii="Wingdings" w:hAnsi="Wingdings" w:hint="default"/>
      </w:rPr>
    </w:lvl>
  </w:abstractNum>
  <w:abstractNum w:abstractNumId="2" w15:restartNumberingAfterBreak="0">
    <w:nsid w:val="09D84FEA"/>
    <w:multiLevelType w:val="hybridMultilevel"/>
    <w:tmpl w:val="CB1A527E"/>
    <w:lvl w:ilvl="0" w:tplc="C5ACE532">
      <w:start w:val="1"/>
      <w:numFmt w:val="bullet"/>
      <w:lvlText w:val=""/>
      <w:lvlJc w:val="left"/>
      <w:pPr>
        <w:ind w:left="720" w:hanging="360"/>
      </w:pPr>
      <w:rPr>
        <w:rFonts w:ascii="Symbol" w:hAnsi="Symbol" w:hint="default"/>
      </w:rPr>
    </w:lvl>
    <w:lvl w:ilvl="1" w:tplc="2C7013BE">
      <w:start w:val="1"/>
      <w:numFmt w:val="bullet"/>
      <w:lvlText w:val="o"/>
      <w:lvlJc w:val="left"/>
      <w:pPr>
        <w:ind w:left="1440" w:hanging="360"/>
      </w:pPr>
      <w:rPr>
        <w:rFonts w:ascii="Courier New" w:hAnsi="Courier New" w:hint="default"/>
      </w:rPr>
    </w:lvl>
    <w:lvl w:ilvl="2" w:tplc="E1A4ED16" w:tentative="1">
      <w:start w:val="1"/>
      <w:numFmt w:val="bullet"/>
      <w:lvlText w:val=""/>
      <w:lvlJc w:val="left"/>
      <w:pPr>
        <w:ind w:left="2160" w:hanging="360"/>
      </w:pPr>
      <w:rPr>
        <w:rFonts w:ascii="Wingdings" w:hAnsi="Wingdings" w:hint="default"/>
      </w:rPr>
    </w:lvl>
    <w:lvl w:ilvl="3" w:tplc="1E8AE1FA" w:tentative="1">
      <w:start w:val="1"/>
      <w:numFmt w:val="bullet"/>
      <w:lvlText w:val=""/>
      <w:lvlJc w:val="left"/>
      <w:pPr>
        <w:ind w:left="2880" w:hanging="360"/>
      </w:pPr>
      <w:rPr>
        <w:rFonts w:ascii="Symbol" w:hAnsi="Symbol" w:hint="default"/>
      </w:rPr>
    </w:lvl>
    <w:lvl w:ilvl="4" w:tplc="ECEE055A" w:tentative="1">
      <w:start w:val="1"/>
      <w:numFmt w:val="bullet"/>
      <w:lvlText w:val="o"/>
      <w:lvlJc w:val="left"/>
      <w:pPr>
        <w:ind w:left="3600" w:hanging="360"/>
      </w:pPr>
      <w:rPr>
        <w:rFonts w:ascii="Courier New" w:hAnsi="Courier New" w:hint="default"/>
      </w:rPr>
    </w:lvl>
    <w:lvl w:ilvl="5" w:tplc="B6DCA740" w:tentative="1">
      <w:start w:val="1"/>
      <w:numFmt w:val="bullet"/>
      <w:lvlText w:val=""/>
      <w:lvlJc w:val="left"/>
      <w:pPr>
        <w:ind w:left="4320" w:hanging="360"/>
      </w:pPr>
      <w:rPr>
        <w:rFonts w:ascii="Wingdings" w:hAnsi="Wingdings" w:hint="default"/>
      </w:rPr>
    </w:lvl>
    <w:lvl w:ilvl="6" w:tplc="E7FC4DAE" w:tentative="1">
      <w:start w:val="1"/>
      <w:numFmt w:val="bullet"/>
      <w:lvlText w:val=""/>
      <w:lvlJc w:val="left"/>
      <w:pPr>
        <w:ind w:left="5040" w:hanging="360"/>
      </w:pPr>
      <w:rPr>
        <w:rFonts w:ascii="Symbol" w:hAnsi="Symbol" w:hint="default"/>
      </w:rPr>
    </w:lvl>
    <w:lvl w:ilvl="7" w:tplc="85AA65E4" w:tentative="1">
      <w:start w:val="1"/>
      <w:numFmt w:val="bullet"/>
      <w:lvlText w:val="o"/>
      <w:lvlJc w:val="left"/>
      <w:pPr>
        <w:ind w:left="5760" w:hanging="360"/>
      </w:pPr>
      <w:rPr>
        <w:rFonts w:ascii="Courier New" w:hAnsi="Courier New" w:hint="default"/>
      </w:rPr>
    </w:lvl>
    <w:lvl w:ilvl="8" w:tplc="3AEE2BA4" w:tentative="1">
      <w:start w:val="1"/>
      <w:numFmt w:val="bullet"/>
      <w:lvlText w:val=""/>
      <w:lvlJc w:val="left"/>
      <w:pPr>
        <w:ind w:left="6480" w:hanging="360"/>
      </w:pPr>
      <w:rPr>
        <w:rFonts w:ascii="Wingdings" w:hAnsi="Wingdings" w:hint="default"/>
      </w:rPr>
    </w:lvl>
  </w:abstractNum>
  <w:abstractNum w:abstractNumId="3" w15:restartNumberingAfterBreak="0">
    <w:nsid w:val="0C41420E"/>
    <w:multiLevelType w:val="hybridMultilevel"/>
    <w:tmpl w:val="B2EC73AA"/>
    <w:lvl w:ilvl="0" w:tplc="900CB8F6">
      <w:start w:val="1"/>
      <w:numFmt w:val="bullet"/>
      <w:lvlText w:val=""/>
      <w:lvlJc w:val="left"/>
      <w:pPr>
        <w:ind w:left="360" w:hanging="360"/>
      </w:pPr>
      <w:rPr>
        <w:rFonts w:ascii="Symbol" w:hAnsi="Symbol" w:hint="default"/>
      </w:rPr>
    </w:lvl>
    <w:lvl w:ilvl="1" w:tplc="6B2E247E">
      <w:start w:val="1"/>
      <w:numFmt w:val="bullet"/>
      <w:lvlText w:val="o"/>
      <w:lvlJc w:val="left"/>
      <w:pPr>
        <w:ind w:left="1080" w:hanging="360"/>
      </w:pPr>
      <w:rPr>
        <w:rFonts w:ascii="Courier New" w:hAnsi="Courier New" w:hint="default"/>
      </w:rPr>
    </w:lvl>
    <w:lvl w:ilvl="2" w:tplc="69CE721C">
      <w:start w:val="1"/>
      <w:numFmt w:val="bullet"/>
      <w:lvlText w:val=""/>
      <w:lvlJc w:val="left"/>
      <w:pPr>
        <w:ind w:left="1800" w:hanging="360"/>
      </w:pPr>
      <w:rPr>
        <w:rFonts w:ascii="Wingdings" w:hAnsi="Wingdings" w:hint="default"/>
      </w:rPr>
    </w:lvl>
    <w:lvl w:ilvl="3" w:tplc="294A8836">
      <w:start w:val="1"/>
      <w:numFmt w:val="bullet"/>
      <w:lvlText w:val=""/>
      <w:lvlJc w:val="left"/>
      <w:pPr>
        <w:ind w:left="2520" w:hanging="360"/>
      </w:pPr>
      <w:rPr>
        <w:rFonts w:ascii="Symbol" w:hAnsi="Symbol" w:hint="default"/>
      </w:rPr>
    </w:lvl>
    <w:lvl w:ilvl="4" w:tplc="054C7540">
      <w:start w:val="1"/>
      <w:numFmt w:val="bullet"/>
      <w:lvlText w:val="o"/>
      <w:lvlJc w:val="left"/>
      <w:pPr>
        <w:ind w:left="3240" w:hanging="360"/>
      </w:pPr>
      <w:rPr>
        <w:rFonts w:ascii="Courier New" w:hAnsi="Courier New" w:hint="default"/>
      </w:rPr>
    </w:lvl>
    <w:lvl w:ilvl="5" w:tplc="7F403E9C">
      <w:start w:val="1"/>
      <w:numFmt w:val="bullet"/>
      <w:lvlText w:val=""/>
      <w:lvlJc w:val="left"/>
      <w:pPr>
        <w:ind w:left="3960" w:hanging="360"/>
      </w:pPr>
      <w:rPr>
        <w:rFonts w:ascii="Wingdings" w:hAnsi="Wingdings" w:hint="default"/>
      </w:rPr>
    </w:lvl>
    <w:lvl w:ilvl="6" w:tplc="64B27FA0">
      <w:start w:val="1"/>
      <w:numFmt w:val="bullet"/>
      <w:lvlText w:val=""/>
      <w:lvlJc w:val="left"/>
      <w:pPr>
        <w:ind w:left="4680" w:hanging="360"/>
      </w:pPr>
      <w:rPr>
        <w:rFonts w:ascii="Symbol" w:hAnsi="Symbol" w:hint="default"/>
      </w:rPr>
    </w:lvl>
    <w:lvl w:ilvl="7" w:tplc="B9B4E500">
      <w:start w:val="1"/>
      <w:numFmt w:val="bullet"/>
      <w:lvlText w:val="o"/>
      <w:lvlJc w:val="left"/>
      <w:pPr>
        <w:ind w:left="5400" w:hanging="360"/>
      </w:pPr>
      <w:rPr>
        <w:rFonts w:ascii="Courier New" w:hAnsi="Courier New" w:hint="default"/>
      </w:rPr>
    </w:lvl>
    <w:lvl w:ilvl="8" w:tplc="D7986012">
      <w:start w:val="1"/>
      <w:numFmt w:val="bullet"/>
      <w:lvlText w:val=""/>
      <w:lvlJc w:val="left"/>
      <w:pPr>
        <w:ind w:left="6120" w:hanging="360"/>
      </w:pPr>
      <w:rPr>
        <w:rFonts w:ascii="Wingdings" w:hAnsi="Wingdings" w:hint="default"/>
      </w:rPr>
    </w:lvl>
  </w:abstractNum>
  <w:abstractNum w:abstractNumId="4" w15:restartNumberingAfterBreak="0">
    <w:nsid w:val="0DC85E16"/>
    <w:multiLevelType w:val="hybridMultilevel"/>
    <w:tmpl w:val="E12A8DFC"/>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29A62DF"/>
    <w:multiLevelType w:val="hybridMultilevel"/>
    <w:tmpl w:val="9AFAED7E"/>
    <w:lvl w:ilvl="0" w:tplc="2918D5A6">
      <w:start w:val="1"/>
      <w:numFmt w:val="bullet"/>
      <w:lvlText w:val=""/>
      <w:lvlJc w:val="left"/>
      <w:pPr>
        <w:ind w:left="720" w:hanging="360"/>
      </w:pPr>
      <w:rPr>
        <w:rFonts w:ascii="Symbol" w:hAnsi="Symbol" w:hint="default"/>
      </w:rPr>
    </w:lvl>
    <w:lvl w:ilvl="1" w:tplc="F8AA1624" w:tentative="1">
      <w:start w:val="1"/>
      <w:numFmt w:val="bullet"/>
      <w:lvlText w:val="o"/>
      <w:lvlJc w:val="left"/>
      <w:pPr>
        <w:ind w:left="1440" w:hanging="360"/>
      </w:pPr>
      <w:rPr>
        <w:rFonts w:ascii="Courier New" w:hAnsi="Courier New" w:hint="default"/>
      </w:rPr>
    </w:lvl>
    <w:lvl w:ilvl="2" w:tplc="AD180344" w:tentative="1">
      <w:start w:val="1"/>
      <w:numFmt w:val="bullet"/>
      <w:lvlText w:val=""/>
      <w:lvlJc w:val="left"/>
      <w:pPr>
        <w:ind w:left="2160" w:hanging="360"/>
      </w:pPr>
      <w:rPr>
        <w:rFonts w:ascii="Wingdings" w:hAnsi="Wingdings" w:hint="default"/>
      </w:rPr>
    </w:lvl>
    <w:lvl w:ilvl="3" w:tplc="CA060462" w:tentative="1">
      <w:start w:val="1"/>
      <w:numFmt w:val="bullet"/>
      <w:lvlText w:val=""/>
      <w:lvlJc w:val="left"/>
      <w:pPr>
        <w:ind w:left="2880" w:hanging="360"/>
      </w:pPr>
      <w:rPr>
        <w:rFonts w:ascii="Symbol" w:hAnsi="Symbol" w:hint="default"/>
      </w:rPr>
    </w:lvl>
    <w:lvl w:ilvl="4" w:tplc="82CEBA36" w:tentative="1">
      <w:start w:val="1"/>
      <w:numFmt w:val="bullet"/>
      <w:lvlText w:val="o"/>
      <w:lvlJc w:val="left"/>
      <w:pPr>
        <w:ind w:left="3600" w:hanging="360"/>
      </w:pPr>
      <w:rPr>
        <w:rFonts w:ascii="Courier New" w:hAnsi="Courier New" w:hint="default"/>
      </w:rPr>
    </w:lvl>
    <w:lvl w:ilvl="5" w:tplc="352073CE" w:tentative="1">
      <w:start w:val="1"/>
      <w:numFmt w:val="bullet"/>
      <w:lvlText w:val=""/>
      <w:lvlJc w:val="left"/>
      <w:pPr>
        <w:ind w:left="4320" w:hanging="360"/>
      </w:pPr>
      <w:rPr>
        <w:rFonts w:ascii="Wingdings" w:hAnsi="Wingdings" w:hint="default"/>
      </w:rPr>
    </w:lvl>
    <w:lvl w:ilvl="6" w:tplc="0FF44292" w:tentative="1">
      <w:start w:val="1"/>
      <w:numFmt w:val="bullet"/>
      <w:lvlText w:val=""/>
      <w:lvlJc w:val="left"/>
      <w:pPr>
        <w:ind w:left="5040" w:hanging="360"/>
      </w:pPr>
      <w:rPr>
        <w:rFonts w:ascii="Symbol" w:hAnsi="Symbol" w:hint="default"/>
      </w:rPr>
    </w:lvl>
    <w:lvl w:ilvl="7" w:tplc="7010AA1A" w:tentative="1">
      <w:start w:val="1"/>
      <w:numFmt w:val="bullet"/>
      <w:lvlText w:val="o"/>
      <w:lvlJc w:val="left"/>
      <w:pPr>
        <w:ind w:left="5760" w:hanging="360"/>
      </w:pPr>
      <w:rPr>
        <w:rFonts w:ascii="Courier New" w:hAnsi="Courier New" w:hint="default"/>
      </w:rPr>
    </w:lvl>
    <w:lvl w:ilvl="8" w:tplc="22AA2372" w:tentative="1">
      <w:start w:val="1"/>
      <w:numFmt w:val="bullet"/>
      <w:lvlText w:val=""/>
      <w:lvlJc w:val="left"/>
      <w:pPr>
        <w:ind w:left="6480" w:hanging="360"/>
      </w:pPr>
      <w:rPr>
        <w:rFonts w:ascii="Wingdings" w:hAnsi="Wingdings" w:hint="default"/>
      </w:rPr>
    </w:lvl>
  </w:abstractNum>
  <w:abstractNum w:abstractNumId="6" w15:restartNumberingAfterBreak="0">
    <w:nsid w:val="1EC4707D"/>
    <w:multiLevelType w:val="hybridMultilevel"/>
    <w:tmpl w:val="8E7C97BE"/>
    <w:lvl w:ilvl="0" w:tplc="548ACE3C">
      <w:start w:val="1"/>
      <w:numFmt w:val="bullet"/>
      <w:lvlText w:val=""/>
      <w:lvlJc w:val="left"/>
      <w:pPr>
        <w:ind w:left="720" w:hanging="360"/>
      </w:pPr>
      <w:rPr>
        <w:rFonts w:ascii="Symbol" w:hAnsi="Symbol" w:hint="default"/>
      </w:rPr>
    </w:lvl>
    <w:lvl w:ilvl="1" w:tplc="60ECCEC4" w:tentative="1">
      <w:start w:val="1"/>
      <w:numFmt w:val="bullet"/>
      <w:lvlText w:val="o"/>
      <w:lvlJc w:val="left"/>
      <w:pPr>
        <w:ind w:left="1440" w:hanging="360"/>
      </w:pPr>
      <w:rPr>
        <w:rFonts w:ascii="Courier New" w:hAnsi="Courier New" w:hint="default"/>
      </w:rPr>
    </w:lvl>
    <w:lvl w:ilvl="2" w:tplc="B49AF92E" w:tentative="1">
      <w:start w:val="1"/>
      <w:numFmt w:val="bullet"/>
      <w:lvlText w:val=""/>
      <w:lvlJc w:val="left"/>
      <w:pPr>
        <w:ind w:left="2160" w:hanging="360"/>
      </w:pPr>
      <w:rPr>
        <w:rFonts w:ascii="Wingdings" w:hAnsi="Wingdings" w:hint="default"/>
      </w:rPr>
    </w:lvl>
    <w:lvl w:ilvl="3" w:tplc="0D362E9C" w:tentative="1">
      <w:start w:val="1"/>
      <w:numFmt w:val="bullet"/>
      <w:lvlText w:val=""/>
      <w:lvlJc w:val="left"/>
      <w:pPr>
        <w:ind w:left="2880" w:hanging="360"/>
      </w:pPr>
      <w:rPr>
        <w:rFonts w:ascii="Symbol" w:hAnsi="Symbol" w:hint="default"/>
      </w:rPr>
    </w:lvl>
    <w:lvl w:ilvl="4" w:tplc="7446277A" w:tentative="1">
      <w:start w:val="1"/>
      <w:numFmt w:val="bullet"/>
      <w:lvlText w:val="o"/>
      <w:lvlJc w:val="left"/>
      <w:pPr>
        <w:ind w:left="3600" w:hanging="360"/>
      </w:pPr>
      <w:rPr>
        <w:rFonts w:ascii="Courier New" w:hAnsi="Courier New" w:hint="default"/>
      </w:rPr>
    </w:lvl>
    <w:lvl w:ilvl="5" w:tplc="FA82041C" w:tentative="1">
      <w:start w:val="1"/>
      <w:numFmt w:val="bullet"/>
      <w:lvlText w:val=""/>
      <w:lvlJc w:val="left"/>
      <w:pPr>
        <w:ind w:left="4320" w:hanging="360"/>
      </w:pPr>
      <w:rPr>
        <w:rFonts w:ascii="Wingdings" w:hAnsi="Wingdings" w:hint="default"/>
      </w:rPr>
    </w:lvl>
    <w:lvl w:ilvl="6" w:tplc="EE54C134" w:tentative="1">
      <w:start w:val="1"/>
      <w:numFmt w:val="bullet"/>
      <w:lvlText w:val=""/>
      <w:lvlJc w:val="left"/>
      <w:pPr>
        <w:ind w:left="5040" w:hanging="360"/>
      </w:pPr>
      <w:rPr>
        <w:rFonts w:ascii="Symbol" w:hAnsi="Symbol" w:hint="default"/>
      </w:rPr>
    </w:lvl>
    <w:lvl w:ilvl="7" w:tplc="7D1E7524" w:tentative="1">
      <w:start w:val="1"/>
      <w:numFmt w:val="bullet"/>
      <w:lvlText w:val="o"/>
      <w:lvlJc w:val="left"/>
      <w:pPr>
        <w:ind w:left="5760" w:hanging="360"/>
      </w:pPr>
      <w:rPr>
        <w:rFonts w:ascii="Courier New" w:hAnsi="Courier New" w:hint="default"/>
      </w:rPr>
    </w:lvl>
    <w:lvl w:ilvl="8" w:tplc="8A267DEA" w:tentative="1">
      <w:start w:val="1"/>
      <w:numFmt w:val="bullet"/>
      <w:lvlText w:val=""/>
      <w:lvlJc w:val="left"/>
      <w:pPr>
        <w:ind w:left="6480" w:hanging="360"/>
      </w:pPr>
      <w:rPr>
        <w:rFonts w:ascii="Wingdings" w:hAnsi="Wingdings" w:hint="default"/>
      </w:rPr>
    </w:lvl>
  </w:abstractNum>
  <w:abstractNum w:abstractNumId="7" w15:restartNumberingAfterBreak="0">
    <w:nsid w:val="3971768F"/>
    <w:multiLevelType w:val="hybridMultilevel"/>
    <w:tmpl w:val="F044EC06"/>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D360ED2"/>
    <w:multiLevelType w:val="hybridMultilevel"/>
    <w:tmpl w:val="9320BF5E"/>
    <w:lvl w:ilvl="0" w:tplc="361E6A14">
      <w:start w:val="1"/>
      <w:numFmt w:val="bullet"/>
      <w:lvlText w:val=""/>
      <w:lvlJc w:val="left"/>
      <w:pPr>
        <w:ind w:left="720" w:hanging="360"/>
      </w:pPr>
      <w:rPr>
        <w:rFonts w:ascii="Symbol" w:hAnsi="Symbol" w:hint="default"/>
      </w:rPr>
    </w:lvl>
    <w:lvl w:ilvl="1" w:tplc="0E6A3D26" w:tentative="1">
      <w:start w:val="1"/>
      <w:numFmt w:val="bullet"/>
      <w:lvlText w:val="o"/>
      <w:lvlJc w:val="left"/>
      <w:pPr>
        <w:ind w:left="1440" w:hanging="360"/>
      </w:pPr>
      <w:rPr>
        <w:rFonts w:ascii="Courier New" w:hAnsi="Courier New" w:hint="default"/>
      </w:rPr>
    </w:lvl>
    <w:lvl w:ilvl="2" w:tplc="36F48F4A" w:tentative="1">
      <w:start w:val="1"/>
      <w:numFmt w:val="bullet"/>
      <w:lvlText w:val=""/>
      <w:lvlJc w:val="left"/>
      <w:pPr>
        <w:ind w:left="2160" w:hanging="360"/>
      </w:pPr>
      <w:rPr>
        <w:rFonts w:ascii="Wingdings" w:hAnsi="Wingdings" w:hint="default"/>
      </w:rPr>
    </w:lvl>
    <w:lvl w:ilvl="3" w:tplc="913045AE" w:tentative="1">
      <w:start w:val="1"/>
      <w:numFmt w:val="bullet"/>
      <w:lvlText w:val=""/>
      <w:lvlJc w:val="left"/>
      <w:pPr>
        <w:ind w:left="2880" w:hanging="360"/>
      </w:pPr>
      <w:rPr>
        <w:rFonts w:ascii="Symbol" w:hAnsi="Symbol" w:hint="default"/>
      </w:rPr>
    </w:lvl>
    <w:lvl w:ilvl="4" w:tplc="BB20546A" w:tentative="1">
      <w:start w:val="1"/>
      <w:numFmt w:val="bullet"/>
      <w:lvlText w:val="o"/>
      <w:lvlJc w:val="left"/>
      <w:pPr>
        <w:ind w:left="3600" w:hanging="360"/>
      </w:pPr>
      <w:rPr>
        <w:rFonts w:ascii="Courier New" w:hAnsi="Courier New" w:hint="default"/>
      </w:rPr>
    </w:lvl>
    <w:lvl w:ilvl="5" w:tplc="B66859AC" w:tentative="1">
      <w:start w:val="1"/>
      <w:numFmt w:val="bullet"/>
      <w:lvlText w:val=""/>
      <w:lvlJc w:val="left"/>
      <w:pPr>
        <w:ind w:left="4320" w:hanging="360"/>
      </w:pPr>
      <w:rPr>
        <w:rFonts w:ascii="Wingdings" w:hAnsi="Wingdings" w:hint="default"/>
      </w:rPr>
    </w:lvl>
    <w:lvl w:ilvl="6" w:tplc="A6DA933C" w:tentative="1">
      <w:start w:val="1"/>
      <w:numFmt w:val="bullet"/>
      <w:lvlText w:val=""/>
      <w:lvlJc w:val="left"/>
      <w:pPr>
        <w:ind w:left="5040" w:hanging="360"/>
      </w:pPr>
      <w:rPr>
        <w:rFonts w:ascii="Symbol" w:hAnsi="Symbol" w:hint="default"/>
      </w:rPr>
    </w:lvl>
    <w:lvl w:ilvl="7" w:tplc="DC3CACBE" w:tentative="1">
      <w:start w:val="1"/>
      <w:numFmt w:val="bullet"/>
      <w:lvlText w:val="o"/>
      <w:lvlJc w:val="left"/>
      <w:pPr>
        <w:ind w:left="5760" w:hanging="360"/>
      </w:pPr>
      <w:rPr>
        <w:rFonts w:ascii="Courier New" w:hAnsi="Courier New" w:hint="default"/>
      </w:rPr>
    </w:lvl>
    <w:lvl w:ilvl="8" w:tplc="607E2196" w:tentative="1">
      <w:start w:val="1"/>
      <w:numFmt w:val="bullet"/>
      <w:lvlText w:val=""/>
      <w:lvlJc w:val="left"/>
      <w:pPr>
        <w:ind w:left="6480" w:hanging="360"/>
      </w:pPr>
      <w:rPr>
        <w:rFonts w:ascii="Wingdings" w:hAnsi="Wingdings" w:hint="default"/>
      </w:rPr>
    </w:lvl>
  </w:abstractNum>
  <w:abstractNum w:abstractNumId="9" w15:restartNumberingAfterBreak="0">
    <w:nsid w:val="405F4939"/>
    <w:multiLevelType w:val="hybridMultilevel"/>
    <w:tmpl w:val="EB6AE88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1192EAB"/>
    <w:multiLevelType w:val="hybridMultilevel"/>
    <w:tmpl w:val="25C43F82"/>
    <w:lvl w:ilvl="0" w:tplc="F94C9C62">
      <w:start w:val="1"/>
      <w:numFmt w:val="bullet"/>
      <w:lvlText w:val=""/>
      <w:lvlJc w:val="left"/>
      <w:pPr>
        <w:ind w:left="720" w:hanging="360"/>
      </w:pPr>
      <w:rPr>
        <w:rFonts w:ascii="Symbol" w:hAnsi="Symbol" w:hint="default"/>
      </w:rPr>
    </w:lvl>
    <w:lvl w:ilvl="1" w:tplc="0326410A" w:tentative="1">
      <w:start w:val="1"/>
      <w:numFmt w:val="bullet"/>
      <w:lvlText w:val="o"/>
      <w:lvlJc w:val="left"/>
      <w:pPr>
        <w:ind w:left="1440" w:hanging="360"/>
      </w:pPr>
      <w:rPr>
        <w:rFonts w:ascii="Courier New" w:hAnsi="Courier New" w:hint="default"/>
      </w:rPr>
    </w:lvl>
    <w:lvl w:ilvl="2" w:tplc="750856A2" w:tentative="1">
      <w:start w:val="1"/>
      <w:numFmt w:val="bullet"/>
      <w:lvlText w:val=""/>
      <w:lvlJc w:val="left"/>
      <w:pPr>
        <w:ind w:left="2160" w:hanging="360"/>
      </w:pPr>
      <w:rPr>
        <w:rFonts w:ascii="Wingdings" w:hAnsi="Wingdings" w:hint="default"/>
      </w:rPr>
    </w:lvl>
    <w:lvl w:ilvl="3" w:tplc="D5662A4A" w:tentative="1">
      <w:start w:val="1"/>
      <w:numFmt w:val="bullet"/>
      <w:lvlText w:val=""/>
      <w:lvlJc w:val="left"/>
      <w:pPr>
        <w:ind w:left="2880" w:hanging="360"/>
      </w:pPr>
      <w:rPr>
        <w:rFonts w:ascii="Symbol" w:hAnsi="Symbol" w:hint="default"/>
      </w:rPr>
    </w:lvl>
    <w:lvl w:ilvl="4" w:tplc="E1867DA6" w:tentative="1">
      <w:start w:val="1"/>
      <w:numFmt w:val="bullet"/>
      <w:lvlText w:val="o"/>
      <w:lvlJc w:val="left"/>
      <w:pPr>
        <w:ind w:left="3600" w:hanging="360"/>
      </w:pPr>
      <w:rPr>
        <w:rFonts w:ascii="Courier New" w:hAnsi="Courier New" w:hint="default"/>
      </w:rPr>
    </w:lvl>
    <w:lvl w:ilvl="5" w:tplc="DB2473AE" w:tentative="1">
      <w:start w:val="1"/>
      <w:numFmt w:val="bullet"/>
      <w:lvlText w:val=""/>
      <w:lvlJc w:val="left"/>
      <w:pPr>
        <w:ind w:left="4320" w:hanging="360"/>
      </w:pPr>
      <w:rPr>
        <w:rFonts w:ascii="Wingdings" w:hAnsi="Wingdings" w:hint="default"/>
      </w:rPr>
    </w:lvl>
    <w:lvl w:ilvl="6" w:tplc="75C2065E" w:tentative="1">
      <w:start w:val="1"/>
      <w:numFmt w:val="bullet"/>
      <w:lvlText w:val=""/>
      <w:lvlJc w:val="left"/>
      <w:pPr>
        <w:ind w:left="5040" w:hanging="360"/>
      </w:pPr>
      <w:rPr>
        <w:rFonts w:ascii="Symbol" w:hAnsi="Symbol" w:hint="default"/>
      </w:rPr>
    </w:lvl>
    <w:lvl w:ilvl="7" w:tplc="AFA6219E" w:tentative="1">
      <w:start w:val="1"/>
      <w:numFmt w:val="bullet"/>
      <w:lvlText w:val="o"/>
      <w:lvlJc w:val="left"/>
      <w:pPr>
        <w:ind w:left="5760" w:hanging="360"/>
      </w:pPr>
      <w:rPr>
        <w:rFonts w:ascii="Courier New" w:hAnsi="Courier New" w:hint="default"/>
      </w:rPr>
    </w:lvl>
    <w:lvl w:ilvl="8" w:tplc="2BBA010A" w:tentative="1">
      <w:start w:val="1"/>
      <w:numFmt w:val="bullet"/>
      <w:lvlText w:val=""/>
      <w:lvlJc w:val="left"/>
      <w:pPr>
        <w:ind w:left="6480" w:hanging="360"/>
      </w:pPr>
      <w:rPr>
        <w:rFonts w:ascii="Wingdings" w:hAnsi="Wingdings" w:hint="default"/>
      </w:rPr>
    </w:lvl>
  </w:abstractNum>
  <w:abstractNum w:abstractNumId="11" w15:restartNumberingAfterBreak="0">
    <w:nsid w:val="47095746"/>
    <w:multiLevelType w:val="hybridMultilevel"/>
    <w:tmpl w:val="28BC0FCE"/>
    <w:lvl w:ilvl="0" w:tplc="2EC0FF82">
      <w:start w:val="1"/>
      <w:numFmt w:val="bullet"/>
      <w:lvlText w:val=""/>
      <w:lvlJc w:val="left"/>
      <w:pPr>
        <w:ind w:left="720" w:hanging="360"/>
      </w:pPr>
      <w:rPr>
        <w:rFonts w:ascii="Symbol" w:hAnsi="Symbol" w:hint="default"/>
      </w:rPr>
    </w:lvl>
    <w:lvl w:ilvl="1" w:tplc="B73C1328" w:tentative="1">
      <w:start w:val="1"/>
      <w:numFmt w:val="bullet"/>
      <w:lvlText w:val="o"/>
      <w:lvlJc w:val="left"/>
      <w:pPr>
        <w:ind w:left="1440" w:hanging="360"/>
      </w:pPr>
      <w:rPr>
        <w:rFonts w:ascii="Courier New" w:hAnsi="Courier New" w:hint="default"/>
      </w:rPr>
    </w:lvl>
    <w:lvl w:ilvl="2" w:tplc="6414EBF4" w:tentative="1">
      <w:start w:val="1"/>
      <w:numFmt w:val="bullet"/>
      <w:lvlText w:val=""/>
      <w:lvlJc w:val="left"/>
      <w:pPr>
        <w:ind w:left="2160" w:hanging="360"/>
      </w:pPr>
      <w:rPr>
        <w:rFonts w:ascii="Wingdings" w:hAnsi="Wingdings" w:hint="default"/>
      </w:rPr>
    </w:lvl>
    <w:lvl w:ilvl="3" w:tplc="B4DA8354" w:tentative="1">
      <w:start w:val="1"/>
      <w:numFmt w:val="bullet"/>
      <w:lvlText w:val=""/>
      <w:lvlJc w:val="left"/>
      <w:pPr>
        <w:ind w:left="2880" w:hanging="360"/>
      </w:pPr>
      <w:rPr>
        <w:rFonts w:ascii="Symbol" w:hAnsi="Symbol" w:hint="default"/>
      </w:rPr>
    </w:lvl>
    <w:lvl w:ilvl="4" w:tplc="A1C476F2" w:tentative="1">
      <w:start w:val="1"/>
      <w:numFmt w:val="bullet"/>
      <w:lvlText w:val="o"/>
      <w:lvlJc w:val="left"/>
      <w:pPr>
        <w:ind w:left="3600" w:hanging="360"/>
      </w:pPr>
      <w:rPr>
        <w:rFonts w:ascii="Courier New" w:hAnsi="Courier New" w:hint="default"/>
      </w:rPr>
    </w:lvl>
    <w:lvl w:ilvl="5" w:tplc="B29E04A4" w:tentative="1">
      <w:start w:val="1"/>
      <w:numFmt w:val="bullet"/>
      <w:lvlText w:val=""/>
      <w:lvlJc w:val="left"/>
      <w:pPr>
        <w:ind w:left="4320" w:hanging="360"/>
      </w:pPr>
      <w:rPr>
        <w:rFonts w:ascii="Wingdings" w:hAnsi="Wingdings" w:hint="default"/>
      </w:rPr>
    </w:lvl>
    <w:lvl w:ilvl="6" w:tplc="5F70A260" w:tentative="1">
      <w:start w:val="1"/>
      <w:numFmt w:val="bullet"/>
      <w:lvlText w:val=""/>
      <w:lvlJc w:val="left"/>
      <w:pPr>
        <w:ind w:left="5040" w:hanging="360"/>
      </w:pPr>
      <w:rPr>
        <w:rFonts w:ascii="Symbol" w:hAnsi="Symbol" w:hint="default"/>
      </w:rPr>
    </w:lvl>
    <w:lvl w:ilvl="7" w:tplc="E46E0E28" w:tentative="1">
      <w:start w:val="1"/>
      <w:numFmt w:val="bullet"/>
      <w:lvlText w:val="o"/>
      <w:lvlJc w:val="left"/>
      <w:pPr>
        <w:ind w:left="5760" w:hanging="360"/>
      </w:pPr>
      <w:rPr>
        <w:rFonts w:ascii="Courier New" w:hAnsi="Courier New" w:hint="default"/>
      </w:rPr>
    </w:lvl>
    <w:lvl w:ilvl="8" w:tplc="7C4ABB66" w:tentative="1">
      <w:start w:val="1"/>
      <w:numFmt w:val="bullet"/>
      <w:lvlText w:val=""/>
      <w:lvlJc w:val="left"/>
      <w:pPr>
        <w:ind w:left="6480" w:hanging="360"/>
      </w:pPr>
      <w:rPr>
        <w:rFonts w:ascii="Wingdings" w:hAnsi="Wingdings" w:hint="default"/>
      </w:rPr>
    </w:lvl>
  </w:abstractNum>
  <w:abstractNum w:abstractNumId="12" w15:restartNumberingAfterBreak="0">
    <w:nsid w:val="54FF0110"/>
    <w:multiLevelType w:val="hybridMultilevel"/>
    <w:tmpl w:val="DBA873F8"/>
    <w:lvl w:ilvl="0" w:tplc="D090BC58">
      <w:start w:val="1"/>
      <w:numFmt w:val="bullet"/>
      <w:pStyle w:val="Instructionaltext-bullet"/>
      <w:lvlText w:val=""/>
      <w:lvlJc w:val="left"/>
      <w:pPr>
        <w:ind w:left="1077" w:hanging="360"/>
      </w:pPr>
      <w:rPr>
        <w:rFonts w:ascii="Symbol" w:hAnsi="Symbol" w:hint="default"/>
      </w:rPr>
    </w:lvl>
    <w:lvl w:ilvl="1" w:tplc="FD2AC634" w:tentative="1">
      <w:start w:val="1"/>
      <w:numFmt w:val="bullet"/>
      <w:lvlText w:val="o"/>
      <w:lvlJc w:val="left"/>
      <w:pPr>
        <w:ind w:left="1797" w:hanging="360"/>
      </w:pPr>
      <w:rPr>
        <w:rFonts w:ascii="Courier New" w:hAnsi="Courier New" w:hint="default"/>
      </w:rPr>
    </w:lvl>
    <w:lvl w:ilvl="2" w:tplc="3DFE8ECE" w:tentative="1">
      <w:start w:val="1"/>
      <w:numFmt w:val="bullet"/>
      <w:lvlText w:val=""/>
      <w:lvlJc w:val="left"/>
      <w:pPr>
        <w:ind w:left="2517" w:hanging="360"/>
      </w:pPr>
      <w:rPr>
        <w:rFonts w:ascii="Wingdings" w:hAnsi="Wingdings" w:hint="default"/>
      </w:rPr>
    </w:lvl>
    <w:lvl w:ilvl="3" w:tplc="027C8BFE" w:tentative="1">
      <w:start w:val="1"/>
      <w:numFmt w:val="bullet"/>
      <w:lvlText w:val=""/>
      <w:lvlJc w:val="left"/>
      <w:pPr>
        <w:ind w:left="3237" w:hanging="360"/>
      </w:pPr>
      <w:rPr>
        <w:rFonts w:ascii="Symbol" w:hAnsi="Symbol" w:hint="default"/>
      </w:rPr>
    </w:lvl>
    <w:lvl w:ilvl="4" w:tplc="21D8B300" w:tentative="1">
      <w:start w:val="1"/>
      <w:numFmt w:val="bullet"/>
      <w:lvlText w:val="o"/>
      <w:lvlJc w:val="left"/>
      <w:pPr>
        <w:ind w:left="3957" w:hanging="360"/>
      </w:pPr>
      <w:rPr>
        <w:rFonts w:ascii="Courier New" w:hAnsi="Courier New" w:hint="default"/>
      </w:rPr>
    </w:lvl>
    <w:lvl w:ilvl="5" w:tplc="8BBC1F8A" w:tentative="1">
      <w:start w:val="1"/>
      <w:numFmt w:val="bullet"/>
      <w:lvlText w:val=""/>
      <w:lvlJc w:val="left"/>
      <w:pPr>
        <w:ind w:left="4677" w:hanging="360"/>
      </w:pPr>
      <w:rPr>
        <w:rFonts w:ascii="Wingdings" w:hAnsi="Wingdings" w:hint="default"/>
      </w:rPr>
    </w:lvl>
    <w:lvl w:ilvl="6" w:tplc="365A9A22" w:tentative="1">
      <w:start w:val="1"/>
      <w:numFmt w:val="bullet"/>
      <w:lvlText w:val=""/>
      <w:lvlJc w:val="left"/>
      <w:pPr>
        <w:ind w:left="5397" w:hanging="360"/>
      </w:pPr>
      <w:rPr>
        <w:rFonts w:ascii="Symbol" w:hAnsi="Symbol" w:hint="default"/>
      </w:rPr>
    </w:lvl>
    <w:lvl w:ilvl="7" w:tplc="900464FA" w:tentative="1">
      <w:start w:val="1"/>
      <w:numFmt w:val="bullet"/>
      <w:lvlText w:val="o"/>
      <w:lvlJc w:val="left"/>
      <w:pPr>
        <w:ind w:left="6117" w:hanging="360"/>
      </w:pPr>
      <w:rPr>
        <w:rFonts w:ascii="Courier New" w:hAnsi="Courier New" w:hint="default"/>
      </w:rPr>
    </w:lvl>
    <w:lvl w:ilvl="8" w:tplc="585C53B2" w:tentative="1">
      <w:start w:val="1"/>
      <w:numFmt w:val="bullet"/>
      <w:lvlText w:val=""/>
      <w:lvlJc w:val="left"/>
      <w:pPr>
        <w:ind w:left="6837" w:hanging="360"/>
      </w:pPr>
      <w:rPr>
        <w:rFonts w:ascii="Wingdings" w:hAnsi="Wingdings" w:hint="default"/>
      </w:rPr>
    </w:lvl>
  </w:abstractNum>
  <w:abstractNum w:abstractNumId="13" w15:restartNumberingAfterBreak="0">
    <w:nsid w:val="580D2CE2"/>
    <w:multiLevelType w:val="hybridMultilevel"/>
    <w:tmpl w:val="313E7236"/>
    <w:lvl w:ilvl="0" w:tplc="F05EFEF4">
      <w:start w:val="1"/>
      <w:numFmt w:val="bullet"/>
      <w:lvlText w:val=""/>
      <w:lvlJc w:val="left"/>
      <w:pPr>
        <w:ind w:left="720" w:hanging="360"/>
      </w:pPr>
      <w:rPr>
        <w:rFonts w:ascii="Symbol" w:hAnsi="Symbol" w:hint="default"/>
      </w:rPr>
    </w:lvl>
    <w:lvl w:ilvl="1" w:tplc="9260D914" w:tentative="1">
      <w:start w:val="1"/>
      <w:numFmt w:val="bullet"/>
      <w:lvlText w:val="o"/>
      <w:lvlJc w:val="left"/>
      <w:pPr>
        <w:ind w:left="1440" w:hanging="360"/>
      </w:pPr>
      <w:rPr>
        <w:rFonts w:ascii="Courier New" w:hAnsi="Courier New" w:hint="default"/>
      </w:rPr>
    </w:lvl>
    <w:lvl w:ilvl="2" w:tplc="905222E4" w:tentative="1">
      <w:start w:val="1"/>
      <w:numFmt w:val="bullet"/>
      <w:lvlText w:val=""/>
      <w:lvlJc w:val="left"/>
      <w:pPr>
        <w:ind w:left="2160" w:hanging="360"/>
      </w:pPr>
      <w:rPr>
        <w:rFonts w:ascii="Wingdings" w:hAnsi="Wingdings" w:hint="default"/>
      </w:rPr>
    </w:lvl>
    <w:lvl w:ilvl="3" w:tplc="DDE0783A" w:tentative="1">
      <w:start w:val="1"/>
      <w:numFmt w:val="bullet"/>
      <w:lvlText w:val=""/>
      <w:lvlJc w:val="left"/>
      <w:pPr>
        <w:ind w:left="2880" w:hanging="360"/>
      </w:pPr>
      <w:rPr>
        <w:rFonts w:ascii="Symbol" w:hAnsi="Symbol" w:hint="default"/>
      </w:rPr>
    </w:lvl>
    <w:lvl w:ilvl="4" w:tplc="CDF23602" w:tentative="1">
      <w:start w:val="1"/>
      <w:numFmt w:val="bullet"/>
      <w:lvlText w:val="o"/>
      <w:lvlJc w:val="left"/>
      <w:pPr>
        <w:ind w:left="3600" w:hanging="360"/>
      </w:pPr>
      <w:rPr>
        <w:rFonts w:ascii="Courier New" w:hAnsi="Courier New" w:hint="default"/>
      </w:rPr>
    </w:lvl>
    <w:lvl w:ilvl="5" w:tplc="525020D2" w:tentative="1">
      <w:start w:val="1"/>
      <w:numFmt w:val="bullet"/>
      <w:lvlText w:val=""/>
      <w:lvlJc w:val="left"/>
      <w:pPr>
        <w:ind w:left="4320" w:hanging="360"/>
      </w:pPr>
      <w:rPr>
        <w:rFonts w:ascii="Wingdings" w:hAnsi="Wingdings" w:hint="default"/>
      </w:rPr>
    </w:lvl>
    <w:lvl w:ilvl="6" w:tplc="901610CC" w:tentative="1">
      <w:start w:val="1"/>
      <w:numFmt w:val="bullet"/>
      <w:lvlText w:val=""/>
      <w:lvlJc w:val="left"/>
      <w:pPr>
        <w:ind w:left="5040" w:hanging="360"/>
      </w:pPr>
      <w:rPr>
        <w:rFonts w:ascii="Symbol" w:hAnsi="Symbol" w:hint="default"/>
      </w:rPr>
    </w:lvl>
    <w:lvl w:ilvl="7" w:tplc="C2FCF512" w:tentative="1">
      <w:start w:val="1"/>
      <w:numFmt w:val="bullet"/>
      <w:lvlText w:val="o"/>
      <w:lvlJc w:val="left"/>
      <w:pPr>
        <w:ind w:left="5760" w:hanging="360"/>
      </w:pPr>
      <w:rPr>
        <w:rFonts w:ascii="Courier New" w:hAnsi="Courier New" w:hint="default"/>
      </w:rPr>
    </w:lvl>
    <w:lvl w:ilvl="8" w:tplc="79A2CAF4" w:tentative="1">
      <w:start w:val="1"/>
      <w:numFmt w:val="bullet"/>
      <w:lvlText w:val=""/>
      <w:lvlJc w:val="left"/>
      <w:pPr>
        <w:ind w:left="6480" w:hanging="360"/>
      </w:pPr>
      <w:rPr>
        <w:rFonts w:ascii="Wingdings" w:hAnsi="Wingdings" w:hint="default"/>
      </w:rPr>
    </w:lvl>
  </w:abstractNum>
  <w:abstractNum w:abstractNumId="14" w15:restartNumberingAfterBreak="0">
    <w:nsid w:val="60C95369"/>
    <w:multiLevelType w:val="hybridMultilevel"/>
    <w:tmpl w:val="5540EFD4"/>
    <w:lvl w:ilvl="0" w:tplc="BFA23FF0">
      <w:start w:val="1"/>
      <w:numFmt w:val="bullet"/>
      <w:lvlText w:val=""/>
      <w:lvlJc w:val="left"/>
      <w:pPr>
        <w:ind w:left="720" w:hanging="360"/>
      </w:pPr>
      <w:rPr>
        <w:rFonts w:ascii="Symbol" w:hAnsi="Symbol" w:hint="default"/>
      </w:rPr>
    </w:lvl>
    <w:lvl w:ilvl="1" w:tplc="2EC0062C" w:tentative="1">
      <w:start w:val="1"/>
      <w:numFmt w:val="bullet"/>
      <w:lvlText w:val="o"/>
      <w:lvlJc w:val="left"/>
      <w:pPr>
        <w:ind w:left="1440" w:hanging="360"/>
      </w:pPr>
      <w:rPr>
        <w:rFonts w:ascii="Courier New" w:hAnsi="Courier New" w:hint="default"/>
      </w:rPr>
    </w:lvl>
    <w:lvl w:ilvl="2" w:tplc="1D7A3CAE" w:tentative="1">
      <w:start w:val="1"/>
      <w:numFmt w:val="bullet"/>
      <w:lvlText w:val=""/>
      <w:lvlJc w:val="left"/>
      <w:pPr>
        <w:ind w:left="2160" w:hanging="360"/>
      </w:pPr>
      <w:rPr>
        <w:rFonts w:ascii="Wingdings" w:hAnsi="Wingdings" w:hint="default"/>
      </w:rPr>
    </w:lvl>
    <w:lvl w:ilvl="3" w:tplc="46162948" w:tentative="1">
      <w:start w:val="1"/>
      <w:numFmt w:val="bullet"/>
      <w:lvlText w:val=""/>
      <w:lvlJc w:val="left"/>
      <w:pPr>
        <w:ind w:left="2880" w:hanging="360"/>
      </w:pPr>
      <w:rPr>
        <w:rFonts w:ascii="Symbol" w:hAnsi="Symbol" w:hint="default"/>
      </w:rPr>
    </w:lvl>
    <w:lvl w:ilvl="4" w:tplc="06D45E94" w:tentative="1">
      <w:start w:val="1"/>
      <w:numFmt w:val="bullet"/>
      <w:lvlText w:val="o"/>
      <w:lvlJc w:val="left"/>
      <w:pPr>
        <w:ind w:left="3600" w:hanging="360"/>
      </w:pPr>
      <w:rPr>
        <w:rFonts w:ascii="Courier New" w:hAnsi="Courier New" w:hint="default"/>
      </w:rPr>
    </w:lvl>
    <w:lvl w:ilvl="5" w:tplc="DB0C1202" w:tentative="1">
      <w:start w:val="1"/>
      <w:numFmt w:val="bullet"/>
      <w:lvlText w:val=""/>
      <w:lvlJc w:val="left"/>
      <w:pPr>
        <w:ind w:left="4320" w:hanging="360"/>
      </w:pPr>
      <w:rPr>
        <w:rFonts w:ascii="Wingdings" w:hAnsi="Wingdings" w:hint="default"/>
      </w:rPr>
    </w:lvl>
    <w:lvl w:ilvl="6" w:tplc="52285700" w:tentative="1">
      <w:start w:val="1"/>
      <w:numFmt w:val="bullet"/>
      <w:lvlText w:val=""/>
      <w:lvlJc w:val="left"/>
      <w:pPr>
        <w:ind w:left="5040" w:hanging="360"/>
      </w:pPr>
      <w:rPr>
        <w:rFonts w:ascii="Symbol" w:hAnsi="Symbol" w:hint="default"/>
      </w:rPr>
    </w:lvl>
    <w:lvl w:ilvl="7" w:tplc="0264312A" w:tentative="1">
      <w:start w:val="1"/>
      <w:numFmt w:val="bullet"/>
      <w:lvlText w:val="o"/>
      <w:lvlJc w:val="left"/>
      <w:pPr>
        <w:ind w:left="5760" w:hanging="360"/>
      </w:pPr>
      <w:rPr>
        <w:rFonts w:ascii="Courier New" w:hAnsi="Courier New" w:hint="default"/>
      </w:rPr>
    </w:lvl>
    <w:lvl w:ilvl="8" w:tplc="9C005024" w:tentative="1">
      <w:start w:val="1"/>
      <w:numFmt w:val="bullet"/>
      <w:lvlText w:val=""/>
      <w:lvlJc w:val="left"/>
      <w:pPr>
        <w:ind w:left="6480" w:hanging="360"/>
      </w:pPr>
      <w:rPr>
        <w:rFonts w:ascii="Wingdings" w:hAnsi="Wingdings" w:hint="default"/>
      </w:rPr>
    </w:lvl>
  </w:abstractNum>
  <w:abstractNum w:abstractNumId="15" w15:restartNumberingAfterBreak="0">
    <w:nsid w:val="64211382"/>
    <w:multiLevelType w:val="hybridMultilevel"/>
    <w:tmpl w:val="3DA2D576"/>
    <w:lvl w:ilvl="0" w:tplc="6A885E5A">
      <w:start w:val="1"/>
      <w:numFmt w:val="bullet"/>
      <w:lvlText w:val=""/>
      <w:lvlJc w:val="left"/>
      <w:pPr>
        <w:ind w:left="720" w:hanging="360"/>
      </w:pPr>
      <w:rPr>
        <w:rFonts w:ascii="Symbol" w:hAnsi="Symbol" w:hint="default"/>
      </w:rPr>
    </w:lvl>
    <w:lvl w:ilvl="1" w:tplc="3D00B666" w:tentative="1">
      <w:start w:val="1"/>
      <w:numFmt w:val="bullet"/>
      <w:lvlText w:val="o"/>
      <w:lvlJc w:val="left"/>
      <w:pPr>
        <w:ind w:left="1440" w:hanging="360"/>
      </w:pPr>
      <w:rPr>
        <w:rFonts w:ascii="Courier New" w:hAnsi="Courier New" w:hint="default"/>
      </w:rPr>
    </w:lvl>
    <w:lvl w:ilvl="2" w:tplc="E2D003C6" w:tentative="1">
      <w:start w:val="1"/>
      <w:numFmt w:val="bullet"/>
      <w:lvlText w:val=""/>
      <w:lvlJc w:val="left"/>
      <w:pPr>
        <w:ind w:left="2160" w:hanging="360"/>
      </w:pPr>
      <w:rPr>
        <w:rFonts w:ascii="Wingdings" w:hAnsi="Wingdings" w:hint="default"/>
      </w:rPr>
    </w:lvl>
    <w:lvl w:ilvl="3" w:tplc="0882D0E8" w:tentative="1">
      <w:start w:val="1"/>
      <w:numFmt w:val="bullet"/>
      <w:lvlText w:val=""/>
      <w:lvlJc w:val="left"/>
      <w:pPr>
        <w:ind w:left="2880" w:hanging="360"/>
      </w:pPr>
      <w:rPr>
        <w:rFonts w:ascii="Symbol" w:hAnsi="Symbol" w:hint="default"/>
      </w:rPr>
    </w:lvl>
    <w:lvl w:ilvl="4" w:tplc="F6FE1010" w:tentative="1">
      <w:start w:val="1"/>
      <w:numFmt w:val="bullet"/>
      <w:lvlText w:val="o"/>
      <w:lvlJc w:val="left"/>
      <w:pPr>
        <w:ind w:left="3600" w:hanging="360"/>
      </w:pPr>
      <w:rPr>
        <w:rFonts w:ascii="Courier New" w:hAnsi="Courier New" w:hint="default"/>
      </w:rPr>
    </w:lvl>
    <w:lvl w:ilvl="5" w:tplc="9F3A241A" w:tentative="1">
      <w:start w:val="1"/>
      <w:numFmt w:val="bullet"/>
      <w:lvlText w:val=""/>
      <w:lvlJc w:val="left"/>
      <w:pPr>
        <w:ind w:left="4320" w:hanging="360"/>
      </w:pPr>
      <w:rPr>
        <w:rFonts w:ascii="Wingdings" w:hAnsi="Wingdings" w:hint="default"/>
      </w:rPr>
    </w:lvl>
    <w:lvl w:ilvl="6" w:tplc="453C8940" w:tentative="1">
      <w:start w:val="1"/>
      <w:numFmt w:val="bullet"/>
      <w:lvlText w:val=""/>
      <w:lvlJc w:val="left"/>
      <w:pPr>
        <w:ind w:left="5040" w:hanging="360"/>
      </w:pPr>
      <w:rPr>
        <w:rFonts w:ascii="Symbol" w:hAnsi="Symbol" w:hint="default"/>
      </w:rPr>
    </w:lvl>
    <w:lvl w:ilvl="7" w:tplc="EF567F1A" w:tentative="1">
      <w:start w:val="1"/>
      <w:numFmt w:val="bullet"/>
      <w:lvlText w:val="o"/>
      <w:lvlJc w:val="left"/>
      <w:pPr>
        <w:ind w:left="5760" w:hanging="360"/>
      </w:pPr>
      <w:rPr>
        <w:rFonts w:ascii="Courier New" w:hAnsi="Courier New" w:hint="default"/>
      </w:rPr>
    </w:lvl>
    <w:lvl w:ilvl="8" w:tplc="793EDCD6" w:tentative="1">
      <w:start w:val="1"/>
      <w:numFmt w:val="bullet"/>
      <w:lvlText w:val=""/>
      <w:lvlJc w:val="left"/>
      <w:pPr>
        <w:ind w:left="6480" w:hanging="360"/>
      </w:pPr>
      <w:rPr>
        <w:rFonts w:ascii="Wingdings" w:hAnsi="Wingdings" w:hint="default"/>
      </w:rPr>
    </w:lvl>
  </w:abstractNum>
  <w:num w:numId="1" w16cid:durableId="1772583400">
    <w:abstractNumId w:val="3"/>
  </w:num>
  <w:num w:numId="2" w16cid:durableId="1024792184">
    <w:abstractNumId w:val="13"/>
  </w:num>
  <w:num w:numId="3" w16cid:durableId="2098093375">
    <w:abstractNumId w:val="12"/>
  </w:num>
  <w:num w:numId="4" w16cid:durableId="1911186006">
    <w:abstractNumId w:val="6"/>
  </w:num>
  <w:num w:numId="5" w16cid:durableId="929508997">
    <w:abstractNumId w:val="14"/>
  </w:num>
  <w:num w:numId="6" w16cid:durableId="823394897">
    <w:abstractNumId w:val="11"/>
  </w:num>
  <w:num w:numId="7" w16cid:durableId="1985043683">
    <w:abstractNumId w:val="7"/>
  </w:num>
  <w:num w:numId="8" w16cid:durableId="1138887236">
    <w:abstractNumId w:val="9"/>
  </w:num>
  <w:num w:numId="9" w16cid:durableId="2089647999">
    <w:abstractNumId w:val="4"/>
  </w:num>
  <w:num w:numId="10" w16cid:durableId="480389712">
    <w:abstractNumId w:val="0"/>
  </w:num>
  <w:num w:numId="11" w16cid:durableId="1825703888">
    <w:abstractNumId w:val="15"/>
  </w:num>
  <w:num w:numId="12" w16cid:durableId="957763346">
    <w:abstractNumId w:val="8"/>
  </w:num>
  <w:num w:numId="13" w16cid:durableId="2091851292">
    <w:abstractNumId w:val="10"/>
  </w:num>
  <w:num w:numId="14" w16cid:durableId="1620793323">
    <w:abstractNumId w:val="2"/>
  </w:num>
  <w:num w:numId="15" w16cid:durableId="582301416">
    <w:abstractNumId w:val="5"/>
  </w:num>
  <w:num w:numId="16" w16cid:durableId="13113290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5F9C"/>
    <w:rsid w:val="000008EF"/>
    <w:rsid w:val="00000978"/>
    <w:rsid w:val="00000AAD"/>
    <w:rsid w:val="00000D1B"/>
    <w:rsid w:val="00001B6F"/>
    <w:rsid w:val="00001C7E"/>
    <w:rsid w:val="0000230D"/>
    <w:rsid w:val="0000255D"/>
    <w:rsid w:val="00002CCC"/>
    <w:rsid w:val="00002E5D"/>
    <w:rsid w:val="000030B9"/>
    <w:rsid w:val="000037F8"/>
    <w:rsid w:val="0000479C"/>
    <w:rsid w:val="00004DEB"/>
    <w:rsid w:val="00005440"/>
    <w:rsid w:val="00005D13"/>
    <w:rsid w:val="000060D0"/>
    <w:rsid w:val="00006555"/>
    <w:rsid w:val="00007037"/>
    <w:rsid w:val="000073AA"/>
    <w:rsid w:val="00007C5E"/>
    <w:rsid w:val="00010488"/>
    <w:rsid w:val="0001093D"/>
    <w:rsid w:val="00010EF3"/>
    <w:rsid w:val="000116BB"/>
    <w:rsid w:val="00012BC7"/>
    <w:rsid w:val="00012D70"/>
    <w:rsid w:val="0001355D"/>
    <w:rsid w:val="00013AF2"/>
    <w:rsid w:val="00014333"/>
    <w:rsid w:val="00014A9A"/>
    <w:rsid w:val="00015832"/>
    <w:rsid w:val="00015EF3"/>
    <w:rsid w:val="00015F6B"/>
    <w:rsid w:val="00015F76"/>
    <w:rsid w:val="000162DE"/>
    <w:rsid w:val="000164B0"/>
    <w:rsid w:val="00017062"/>
    <w:rsid w:val="00017564"/>
    <w:rsid w:val="00017907"/>
    <w:rsid w:val="00020402"/>
    <w:rsid w:val="00020965"/>
    <w:rsid w:val="00020A27"/>
    <w:rsid w:val="00020ED1"/>
    <w:rsid w:val="00021080"/>
    <w:rsid w:val="00021126"/>
    <w:rsid w:val="00021A82"/>
    <w:rsid w:val="00021C98"/>
    <w:rsid w:val="000227F5"/>
    <w:rsid w:val="00023031"/>
    <w:rsid w:val="000230E2"/>
    <w:rsid w:val="00023158"/>
    <w:rsid w:val="0002340C"/>
    <w:rsid w:val="00023C65"/>
    <w:rsid w:val="0002469A"/>
    <w:rsid w:val="00024978"/>
    <w:rsid w:val="00024F65"/>
    <w:rsid w:val="00025121"/>
    <w:rsid w:val="00025124"/>
    <w:rsid w:val="0002542E"/>
    <w:rsid w:val="000254F1"/>
    <w:rsid w:val="00025F45"/>
    <w:rsid w:val="00026287"/>
    <w:rsid w:val="000268D2"/>
    <w:rsid w:val="00026D5C"/>
    <w:rsid w:val="00026DC8"/>
    <w:rsid w:val="00027106"/>
    <w:rsid w:val="000277F3"/>
    <w:rsid w:val="000278D6"/>
    <w:rsid w:val="0003008A"/>
    <w:rsid w:val="0003113B"/>
    <w:rsid w:val="000319D2"/>
    <w:rsid w:val="00031E66"/>
    <w:rsid w:val="00031FF8"/>
    <w:rsid w:val="00032932"/>
    <w:rsid w:val="0003316C"/>
    <w:rsid w:val="00033AF2"/>
    <w:rsid w:val="00034B9E"/>
    <w:rsid w:val="000350B9"/>
    <w:rsid w:val="00035F6F"/>
    <w:rsid w:val="00035F86"/>
    <w:rsid w:val="00036498"/>
    <w:rsid w:val="000367B5"/>
    <w:rsid w:val="00036DA0"/>
    <w:rsid w:val="0003709D"/>
    <w:rsid w:val="000378E0"/>
    <w:rsid w:val="00040736"/>
    <w:rsid w:val="00040968"/>
    <w:rsid w:val="00041195"/>
    <w:rsid w:val="0004140A"/>
    <w:rsid w:val="00041972"/>
    <w:rsid w:val="00041B2D"/>
    <w:rsid w:val="000420D0"/>
    <w:rsid w:val="00042616"/>
    <w:rsid w:val="00042E06"/>
    <w:rsid w:val="000433DB"/>
    <w:rsid w:val="000444C5"/>
    <w:rsid w:val="00044628"/>
    <w:rsid w:val="000456FF"/>
    <w:rsid w:val="00045BA6"/>
    <w:rsid w:val="000461FD"/>
    <w:rsid w:val="000463D3"/>
    <w:rsid w:val="00046CA9"/>
    <w:rsid w:val="000513D2"/>
    <w:rsid w:val="00051435"/>
    <w:rsid w:val="00051BF2"/>
    <w:rsid w:val="0005250C"/>
    <w:rsid w:val="00052562"/>
    <w:rsid w:val="00052780"/>
    <w:rsid w:val="000528D3"/>
    <w:rsid w:val="00052EB1"/>
    <w:rsid w:val="000533B7"/>
    <w:rsid w:val="00053853"/>
    <w:rsid w:val="00053953"/>
    <w:rsid w:val="00053A88"/>
    <w:rsid w:val="00054A13"/>
    <w:rsid w:val="00055272"/>
    <w:rsid w:val="0005527D"/>
    <w:rsid w:val="000553F6"/>
    <w:rsid w:val="00055408"/>
    <w:rsid w:val="000557EA"/>
    <w:rsid w:val="00055A91"/>
    <w:rsid w:val="00055B29"/>
    <w:rsid w:val="00055EF5"/>
    <w:rsid w:val="00056440"/>
    <w:rsid w:val="00057511"/>
    <w:rsid w:val="000576A6"/>
    <w:rsid w:val="0005770E"/>
    <w:rsid w:val="00057FC9"/>
    <w:rsid w:val="00060326"/>
    <w:rsid w:val="00060424"/>
    <w:rsid w:val="000607BD"/>
    <w:rsid w:val="00060A6A"/>
    <w:rsid w:val="00061511"/>
    <w:rsid w:val="00061F56"/>
    <w:rsid w:val="00062652"/>
    <w:rsid w:val="000626A0"/>
    <w:rsid w:val="00062778"/>
    <w:rsid w:val="00063004"/>
    <w:rsid w:val="000639EC"/>
    <w:rsid w:val="00063DCD"/>
    <w:rsid w:val="0006465D"/>
    <w:rsid w:val="00064BB5"/>
    <w:rsid w:val="000650FB"/>
    <w:rsid w:val="0006532C"/>
    <w:rsid w:val="000653A1"/>
    <w:rsid w:val="0006626D"/>
    <w:rsid w:val="000662EF"/>
    <w:rsid w:val="0006685E"/>
    <w:rsid w:val="00066EC0"/>
    <w:rsid w:val="00067778"/>
    <w:rsid w:val="00067BDA"/>
    <w:rsid w:val="00067F1E"/>
    <w:rsid w:val="000704F8"/>
    <w:rsid w:val="000706B8"/>
    <w:rsid w:val="00070B71"/>
    <w:rsid w:val="00070DAE"/>
    <w:rsid w:val="00070DCA"/>
    <w:rsid w:val="00071066"/>
    <w:rsid w:val="0007159B"/>
    <w:rsid w:val="000733DA"/>
    <w:rsid w:val="00073B51"/>
    <w:rsid w:val="0007472D"/>
    <w:rsid w:val="00074801"/>
    <w:rsid w:val="00075461"/>
    <w:rsid w:val="00075B50"/>
    <w:rsid w:val="0007615D"/>
    <w:rsid w:val="00077395"/>
    <w:rsid w:val="00077414"/>
    <w:rsid w:val="000774E9"/>
    <w:rsid w:val="00077831"/>
    <w:rsid w:val="00077A0F"/>
    <w:rsid w:val="000800C8"/>
    <w:rsid w:val="0008023B"/>
    <w:rsid w:val="000805EF"/>
    <w:rsid w:val="00081AA9"/>
    <w:rsid w:val="0008284F"/>
    <w:rsid w:val="00082CD0"/>
    <w:rsid w:val="00082FCA"/>
    <w:rsid w:val="00083057"/>
    <w:rsid w:val="000832F3"/>
    <w:rsid w:val="000836F6"/>
    <w:rsid w:val="00083F40"/>
    <w:rsid w:val="000840B6"/>
    <w:rsid w:val="000843C3"/>
    <w:rsid w:val="000846D3"/>
    <w:rsid w:val="0008487F"/>
    <w:rsid w:val="00085A81"/>
    <w:rsid w:val="00085FD7"/>
    <w:rsid w:val="000864C6"/>
    <w:rsid w:val="00086BC9"/>
    <w:rsid w:val="000872DB"/>
    <w:rsid w:val="00087402"/>
    <w:rsid w:val="000877DF"/>
    <w:rsid w:val="000879AB"/>
    <w:rsid w:val="00087A29"/>
    <w:rsid w:val="00090625"/>
    <w:rsid w:val="00090790"/>
    <w:rsid w:val="00091025"/>
    <w:rsid w:val="0009170D"/>
    <w:rsid w:val="00091A3B"/>
    <w:rsid w:val="00092EF5"/>
    <w:rsid w:val="00092FE1"/>
    <w:rsid w:val="00093083"/>
    <w:rsid w:val="00093570"/>
    <w:rsid w:val="000939E0"/>
    <w:rsid w:val="00093F13"/>
    <w:rsid w:val="000942A6"/>
    <w:rsid w:val="00094522"/>
    <w:rsid w:val="00094762"/>
    <w:rsid w:val="00094C21"/>
    <w:rsid w:val="0009506A"/>
    <w:rsid w:val="00095B6E"/>
    <w:rsid w:val="00096241"/>
    <w:rsid w:val="000963E9"/>
    <w:rsid w:val="0009641E"/>
    <w:rsid w:val="00096822"/>
    <w:rsid w:val="00097238"/>
    <w:rsid w:val="00097843"/>
    <w:rsid w:val="00097CC0"/>
    <w:rsid w:val="000A05FD"/>
    <w:rsid w:val="000A08AD"/>
    <w:rsid w:val="000A08E8"/>
    <w:rsid w:val="000A1A5A"/>
    <w:rsid w:val="000A29C3"/>
    <w:rsid w:val="000A314A"/>
    <w:rsid w:val="000A3242"/>
    <w:rsid w:val="000A3300"/>
    <w:rsid w:val="000A334A"/>
    <w:rsid w:val="000A37DC"/>
    <w:rsid w:val="000A4630"/>
    <w:rsid w:val="000A47B3"/>
    <w:rsid w:val="000A60D9"/>
    <w:rsid w:val="000A669F"/>
    <w:rsid w:val="000A6E4A"/>
    <w:rsid w:val="000B0955"/>
    <w:rsid w:val="000B17B3"/>
    <w:rsid w:val="000B19B4"/>
    <w:rsid w:val="000B20BE"/>
    <w:rsid w:val="000B25F0"/>
    <w:rsid w:val="000B2800"/>
    <w:rsid w:val="000B2B61"/>
    <w:rsid w:val="000B2C7E"/>
    <w:rsid w:val="000B3A31"/>
    <w:rsid w:val="000B4046"/>
    <w:rsid w:val="000B466E"/>
    <w:rsid w:val="000B470A"/>
    <w:rsid w:val="000B533D"/>
    <w:rsid w:val="000B5C14"/>
    <w:rsid w:val="000B6184"/>
    <w:rsid w:val="000B6E6F"/>
    <w:rsid w:val="000B71A1"/>
    <w:rsid w:val="000B73B1"/>
    <w:rsid w:val="000B75AD"/>
    <w:rsid w:val="000B78FC"/>
    <w:rsid w:val="000C05D1"/>
    <w:rsid w:val="000C2D3A"/>
    <w:rsid w:val="000C3B27"/>
    <w:rsid w:val="000C4248"/>
    <w:rsid w:val="000C4E5D"/>
    <w:rsid w:val="000C50A1"/>
    <w:rsid w:val="000C5133"/>
    <w:rsid w:val="000C5391"/>
    <w:rsid w:val="000C5811"/>
    <w:rsid w:val="000C62A6"/>
    <w:rsid w:val="000C62E4"/>
    <w:rsid w:val="000C6428"/>
    <w:rsid w:val="000C6B64"/>
    <w:rsid w:val="000C6C23"/>
    <w:rsid w:val="000C72DC"/>
    <w:rsid w:val="000C7500"/>
    <w:rsid w:val="000C7D29"/>
    <w:rsid w:val="000C7F60"/>
    <w:rsid w:val="000D00F0"/>
    <w:rsid w:val="000D09F2"/>
    <w:rsid w:val="000D1208"/>
    <w:rsid w:val="000D1293"/>
    <w:rsid w:val="000D15D7"/>
    <w:rsid w:val="000D1C09"/>
    <w:rsid w:val="000D1FCF"/>
    <w:rsid w:val="000D2BAD"/>
    <w:rsid w:val="000D2C52"/>
    <w:rsid w:val="000D2CDA"/>
    <w:rsid w:val="000D2CE7"/>
    <w:rsid w:val="000D33AF"/>
    <w:rsid w:val="000D33D6"/>
    <w:rsid w:val="000D34FB"/>
    <w:rsid w:val="000D3633"/>
    <w:rsid w:val="000D36AF"/>
    <w:rsid w:val="000D3BD5"/>
    <w:rsid w:val="000D3D31"/>
    <w:rsid w:val="000D447B"/>
    <w:rsid w:val="000D4D73"/>
    <w:rsid w:val="000D5037"/>
    <w:rsid w:val="000D6734"/>
    <w:rsid w:val="000D6FA5"/>
    <w:rsid w:val="000D7059"/>
    <w:rsid w:val="000E1030"/>
    <w:rsid w:val="000E12F1"/>
    <w:rsid w:val="000E17B4"/>
    <w:rsid w:val="000E2A0A"/>
    <w:rsid w:val="000E2C04"/>
    <w:rsid w:val="000E2E9D"/>
    <w:rsid w:val="000E30B0"/>
    <w:rsid w:val="000E3347"/>
    <w:rsid w:val="000E34D7"/>
    <w:rsid w:val="000E35C5"/>
    <w:rsid w:val="000E363E"/>
    <w:rsid w:val="000E3C9A"/>
    <w:rsid w:val="000E4EE1"/>
    <w:rsid w:val="000E55C7"/>
    <w:rsid w:val="000E55E2"/>
    <w:rsid w:val="000E593E"/>
    <w:rsid w:val="000E5F37"/>
    <w:rsid w:val="000E60FB"/>
    <w:rsid w:val="000E6139"/>
    <w:rsid w:val="000E623D"/>
    <w:rsid w:val="000E6D0E"/>
    <w:rsid w:val="000E701F"/>
    <w:rsid w:val="000E7197"/>
    <w:rsid w:val="000E798A"/>
    <w:rsid w:val="000E7A2F"/>
    <w:rsid w:val="000F1214"/>
    <w:rsid w:val="000F1ECA"/>
    <w:rsid w:val="000F2DA9"/>
    <w:rsid w:val="000F2F70"/>
    <w:rsid w:val="000F3272"/>
    <w:rsid w:val="000F365A"/>
    <w:rsid w:val="000F3B0D"/>
    <w:rsid w:val="000F409A"/>
    <w:rsid w:val="000F455A"/>
    <w:rsid w:val="000F4575"/>
    <w:rsid w:val="000F475F"/>
    <w:rsid w:val="000F4856"/>
    <w:rsid w:val="000F5382"/>
    <w:rsid w:val="000F61BB"/>
    <w:rsid w:val="000F61E5"/>
    <w:rsid w:val="000F63AD"/>
    <w:rsid w:val="000F64CE"/>
    <w:rsid w:val="000F6D5B"/>
    <w:rsid w:val="000F6F39"/>
    <w:rsid w:val="000F7183"/>
    <w:rsid w:val="000F77EC"/>
    <w:rsid w:val="000F7C35"/>
    <w:rsid w:val="000F7C66"/>
    <w:rsid w:val="00100428"/>
    <w:rsid w:val="00101391"/>
    <w:rsid w:val="00101CB8"/>
    <w:rsid w:val="0010211F"/>
    <w:rsid w:val="0010221A"/>
    <w:rsid w:val="0010247F"/>
    <w:rsid w:val="00102F94"/>
    <w:rsid w:val="001039DB"/>
    <w:rsid w:val="00103AC9"/>
    <w:rsid w:val="00103FB2"/>
    <w:rsid w:val="0010527D"/>
    <w:rsid w:val="00105294"/>
    <w:rsid w:val="001052E8"/>
    <w:rsid w:val="00105303"/>
    <w:rsid w:val="00105966"/>
    <w:rsid w:val="00105A50"/>
    <w:rsid w:val="00106C98"/>
    <w:rsid w:val="00106EDE"/>
    <w:rsid w:val="00107024"/>
    <w:rsid w:val="0010722E"/>
    <w:rsid w:val="00110916"/>
    <w:rsid w:val="00110B5D"/>
    <w:rsid w:val="00111750"/>
    <w:rsid w:val="0011218E"/>
    <w:rsid w:val="001123DD"/>
    <w:rsid w:val="00112B63"/>
    <w:rsid w:val="001135EF"/>
    <w:rsid w:val="00113B00"/>
    <w:rsid w:val="00114543"/>
    <w:rsid w:val="00114B49"/>
    <w:rsid w:val="00114C1A"/>
    <w:rsid w:val="0011579C"/>
    <w:rsid w:val="00115F39"/>
    <w:rsid w:val="00116C77"/>
    <w:rsid w:val="00116E76"/>
    <w:rsid w:val="001172BA"/>
    <w:rsid w:val="00120479"/>
    <w:rsid w:val="0012071E"/>
    <w:rsid w:val="00120ACF"/>
    <w:rsid w:val="00120BD2"/>
    <w:rsid w:val="00120F8A"/>
    <w:rsid w:val="001210FC"/>
    <w:rsid w:val="001213B4"/>
    <w:rsid w:val="00121422"/>
    <w:rsid w:val="001218C1"/>
    <w:rsid w:val="0012243A"/>
    <w:rsid w:val="00122938"/>
    <w:rsid w:val="001229D4"/>
    <w:rsid w:val="00122A24"/>
    <w:rsid w:val="00122D6C"/>
    <w:rsid w:val="00123FF4"/>
    <w:rsid w:val="00125542"/>
    <w:rsid w:val="001259BC"/>
    <w:rsid w:val="00125AC8"/>
    <w:rsid w:val="00126668"/>
    <w:rsid w:val="00126FCE"/>
    <w:rsid w:val="001279DB"/>
    <w:rsid w:val="00130C7D"/>
    <w:rsid w:val="00130E43"/>
    <w:rsid w:val="00130E4F"/>
    <w:rsid w:val="001315C6"/>
    <w:rsid w:val="00131679"/>
    <w:rsid w:val="001323BF"/>
    <w:rsid w:val="00133872"/>
    <w:rsid w:val="00133EE6"/>
    <w:rsid w:val="00133FCC"/>
    <w:rsid w:val="00135106"/>
    <w:rsid w:val="00135D6A"/>
    <w:rsid w:val="00135FD7"/>
    <w:rsid w:val="00136071"/>
    <w:rsid w:val="001360D0"/>
    <w:rsid w:val="001362E7"/>
    <w:rsid w:val="001368B6"/>
    <w:rsid w:val="0014014B"/>
    <w:rsid w:val="00140DB4"/>
    <w:rsid w:val="00141771"/>
    <w:rsid w:val="0014266C"/>
    <w:rsid w:val="00142C9E"/>
    <w:rsid w:val="00143391"/>
    <w:rsid w:val="001435CA"/>
    <w:rsid w:val="001439F5"/>
    <w:rsid w:val="0014446C"/>
    <w:rsid w:val="001460D5"/>
    <w:rsid w:val="0014626B"/>
    <w:rsid w:val="00146662"/>
    <w:rsid w:val="00146C47"/>
    <w:rsid w:val="00147452"/>
    <w:rsid w:val="00147595"/>
    <w:rsid w:val="001478CB"/>
    <w:rsid w:val="0015351D"/>
    <w:rsid w:val="00153689"/>
    <w:rsid w:val="00153751"/>
    <w:rsid w:val="001538AB"/>
    <w:rsid w:val="00153A0C"/>
    <w:rsid w:val="0015610D"/>
    <w:rsid w:val="00156C91"/>
    <w:rsid w:val="00157456"/>
    <w:rsid w:val="00157EB6"/>
    <w:rsid w:val="0016041B"/>
    <w:rsid w:val="001609F4"/>
    <w:rsid w:val="00161109"/>
    <w:rsid w:val="00161727"/>
    <w:rsid w:val="00161858"/>
    <w:rsid w:val="001619F6"/>
    <w:rsid w:val="00161B98"/>
    <w:rsid w:val="00161C49"/>
    <w:rsid w:val="0016260D"/>
    <w:rsid w:val="00162725"/>
    <w:rsid w:val="00162D40"/>
    <w:rsid w:val="00162DF7"/>
    <w:rsid w:val="0016315C"/>
    <w:rsid w:val="00163271"/>
    <w:rsid w:val="001638E4"/>
    <w:rsid w:val="00163A4B"/>
    <w:rsid w:val="00163C8F"/>
    <w:rsid w:val="00164197"/>
    <w:rsid w:val="001647C4"/>
    <w:rsid w:val="001648D9"/>
    <w:rsid w:val="00164AB2"/>
    <w:rsid w:val="00164F70"/>
    <w:rsid w:val="00165A3B"/>
    <w:rsid w:val="00165C34"/>
    <w:rsid w:val="00166069"/>
    <w:rsid w:val="00166E42"/>
    <w:rsid w:val="00167E57"/>
    <w:rsid w:val="00170376"/>
    <w:rsid w:val="001705EC"/>
    <w:rsid w:val="00171369"/>
    <w:rsid w:val="00171ECA"/>
    <w:rsid w:val="00172056"/>
    <w:rsid w:val="001728B4"/>
    <w:rsid w:val="00172B9F"/>
    <w:rsid w:val="00172EDC"/>
    <w:rsid w:val="00173763"/>
    <w:rsid w:val="00173850"/>
    <w:rsid w:val="00173B63"/>
    <w:rsid w:val="00175437"/>
    <w:rsid w:val="00175652"/>
    <w:rsid w:val="0017616F"/>
    <w:rsid w:val="001761C4"/>
    <w:rsid w:val="001764F9"/>
    <w:rsid w:val="0017665E"/>
    <w:rsid w:val="00176949"/>
    <w:rsid w:val="001769B5"/>
    <w:rsid w:val="00177282"/>
    <w:rsid w:val="001803A9"/>
    <w:rsid w:val="00180F91"/>
    <w:rsid w:val="00181490"/>
    <w:rsid w:val="00181D94"/>
    <w:rsid w:val="00181DF1"/>
    <w:rsid w:val="00182871"/>
    <w:rsid w:val="00182A3D"/>
    <w:rsid w:val="0018306B"/>
    <w:rsid w:val="001838ED"/>
    <w:rsid w:val="001849C1"/>
    <w:rsid w:val="001855CE"/>
    <w:rsid w:val="001859ED"/>
    <w:rsid w:val="00185D37"/>
    <w:rsid w:val="00185E54"/>
    <w:rsid w:val="0018617C"/>
    <w:rsid w:val="00186DB3"/>
    <w:rsid w:val="001872E3"/>
    <w:rsid w:val="00187353"/>
    <w:rsid w:val="00187E1F"/>
    <w:rsid w:val="001907FF"/>
    <w:rsid w:val="001914CB"/>
    <w:rsid w:val="001916BF"/>
    <w:rsid w:val="00191743"/>
    <w:rsid w:val="00191AAF"/>
    <w:rsid w:val="00191CF4"/>
    <w:rsid w:val="001929B8"/>
    <w:rsid w:val="00192A70"/>
    <w:rsid w:val="00192C8C"/>
    <w:rsid w:val="0019301F"/>
    <w:rsid w:val="001937F3"/>
    <w:rsid w:val="00193887"/>
    <w:rsid w:val="00193BFC"/>
    <w:rsid w:val="00193E9C"/>
    <w:rsid w:val="00194AF6"/>
    <w:rsid w:val="001953E7"/>
    <w:rsid w:val="001954B1"/>
    <w:rsid w:val="001964A1"/>
    <w:rsid w:val="001966FC"/>
    <w:rsid w:val="00196719"/>
    <w:rsid w:val="001A0309"/>
    <w:rsid w:val="001A03C6"/>
    <w:rsid w:val="001A155D"/>
    <w:rsid w:val="001A1E1B"/>
    <w:rsid w:val="001A236B"/>
    <w:rsid w:val="001A26A9"/>
    <w:rsid w:val="001A318F"/>
    <w:rsid w:val="001A325B"/>
    <w:rsid w:val="001A3263"/>
    <w:rsid w:val="001A33D8"/>
    <w:rsid w:val="001A3B78"/>
    <w:rsid w:val="001A3EE0"/>
    <w:rsid w:val="001A430A"/>
    <w:rsid w:val="001A45E1"/>
    <w:rsid w:val="001A4F62"/>
    <w:rsid w:val="001A5313"/>
    <w:rsid w:val="001A559C"/>
    <w:rsid w:val="001A5D2F"/>
    <w:rsid w:val="001A5FB1"/>
    <w:rsid w:val="001A6555"/>
    <w:rsid w:val="001A6651"/>
    <w:rsid w:val="001A6887"/>
    <w:rsid w:val="001A74BD"/>
    <w:rsid w:val="001A771E"/>
    <w:rsid w:val="001B01C8"/>
    <w:rsid w:val="001B19DD"/>
    <w:rsid w:val="001B2141"/>
    <w:rsid w:val="001B38F2"/>
    <w:rsid w:val="001B3B22"/>
    <w:rsid w:val="001B4075"/>
    <w:rsid w:val="001B490C"/>
    <w:rsid w:val="001B516D"/>
    <w:rsid w:val="001B54E9"/>
    <w:rsid w:val="001B5DA4"/>
    <w:rsid w:val="001B5DD8"/>
    <w:rsid w:val="001B5DF9"/>
    <w:rsid w:val="001B61F8"/>
    <w:rsid w:val="001B62FC"/>
    <w:rsid w:val="001B6499"/>
    <w:rsid w:val="001B668F"/>
    <w:rsid w:val="001B6A07"/>
    <w:rsid w:val="001B741A"/>
    <w:rsid w:val="001C04E7"/>
    <w:rsid w:val="001C178D"/>
    <w:rsid w:val="001C1A69"/>
    <w:rsid w:val="001C2022"/>
    <w:rsid w:val="001C307E"/>
    <w:rsid w:val="001C4CD2"/>
    <w:rsid w:val="001C6709"/>
    <w:rsid w:val="001C6906"/>
    <w:rsid w:val="001C6F82"/>
    <w:rsid w:val="001C7FEA"/>
    <w:rsid w:val="001D0655"/>
    <w:rsid w:val="001D0D05"/>
    <w:rsid w:val="001D1B13"/>
    <w:rsid w:val="001D247E"/>
    <w:rsid w:val="001D26A6"/>
    <w:rsid w:val="001D284A"/>
    <w:rsid w:val="001D2BE2"/>
    <w:rsid w:val="001D3295"/>
    <w:rsid w:val="001D3F26"/>
    <w:rsid w:val="001D443C"/>
    <w:rsid w:val="001D515E"/>
    <w:rsid w:val="001D57A5"/>
    <w:rsid w:val="001D5833"/>
    <w:rsid w:val="001D5898"/>
    <w:rsid w:val="001D58DB"/>
    <w:rsid w:val="001D6323"/>
    <w:rsid w:val="001D67BD"/>
    <w:rsid w:val="001D6E1D"/>
    <w:rsid w:val="001D734D"/>
    <w:rsid w:val="001D74C8"/>
    <w:rsid w:val="001D7CFA"/>
    <w:rsid w:val="001E0654"/>
    <w:rsid w:val="001E097C"/>
    <w:rsid w:val="001E0A33"/>
    <w:rsid w:val="001E0D1D"/>
    <w:rsid w:val="001E115E"/>
    <w:rsid w:val="001E1473"/>
    <w:rsid w:val="001E1712"/>
    <w:rsid w:val="001E1AFD"/>
    <w:rsid w:val="001E1DC4"/>
    <w:rsid w:val="001E2766"/>
    <w:rsid w:val="001E45CB"/>
    <w:rsid w:val="001E4621"/>
    <w:rsid w:val="001E4BE5"/>
    <w:rsid w:val="001E4C6F"/>
    <w:rsid w:val="001E501A"/>
    <w:rsid w:val="001E52FF"/>
    <w:rsid w:val="001E54DC"/>
    <w:rsid w:val="001E563E"/>
    <w:rsid w:val="001E596F"/>
    <w:rsid w:val="001E5B69"/>
    <w:rsid w:val="001E5C47"/>
    <w:rsid w:val="001E5F9C"/>
    <w:rsid w:val="001E65C2"/>
    <w:rsid w:val="001E68A4"/>
    <w:rsid w:val="001E6A1F"/>
    <w:rsid w:val="001F0609"/>
    <w:rsid w:val="001F0AB1"/>
    <w:rsid w:val="001F107F"/>
    <w:rsid w:val="001F12F9"/>
    <w:rsid w:val="001F18B6"/>
    <w:rsid w:val="001F2B60"/>
    <w:rsid w:val="001F2B94"/>
    <w:rsid w:val="001F41BA"/>
    <w:rsid w:val="001F5B56"/>
    <w:rsid w:val="001F64EC"/>
    <w:rsid w:val="001F6542"/>
    <w:rsid w:val="001F73FB"/>
    <w:rsid w:val="001F77D4"/>
    <w:rsid w:val="001F7DA6"/>
    <w:rsid w:val="00201727"/>
    <w:rsid w:val="00202788"/>
    <w:rsid w:val="0020400E"/>
    <w:rsid w:val="002040B9"/>
    <w:rsid w:val="00204D96"/>
    <w:rsid w:val="0020568E"/>
    <w:rsid w:val="0020631B"/>
    <w:rsid w:val="00206790"/>
    <w:rsid w:val="00206EA6"/>
    <w:rsid w:val="0020734F"/>
    <w:rsid w:val="0020781E"/>
    <w:rsid w:val="002107C7"/>
    <w:rsid w:val="00210BF1"/>
    <w:rsid w:val="002113D2"/>
    <w:rsid w:val="00211980"/>
    <w:rsid w:val="00211B19"/>
    <w:rsid w:val="00211FE9"/>
    <w:rsid w:val="00212280"/>
    <w:rsid w:val="00212646"/>
    <w:rsid w:val="00212C27"/>
    <w:rsid w:val="00213B0A"/>
    <w:rsid w:val="00213FDD"/>
    <w:rsid w:val="0021447B"/>
    <w:rsid w:val="0021457D"/>
    <w:rsid w:val="00214623"/>
    <w:rsid w:val="00214711"/>
    <w:rsid w:val="002149EE"/>
    <w:rsid w:val="0021514E"/>
    <w:rsid w:val="00215333"/>
    <w:rsid w:val="002155B1"/>
    <w:rsid w:val="00215A89"/>
    <w:rsid w:val="0021646F"/>
    <w:rsid w:val="00216A5A"/>
    <w:rsid w:val="0021727B"/>
    <w:rsid w:val="0021798D"/>
    <w:rsid w:val="00217AF5"/>
    <w:rsid w:val="00217DF2"/>
    <w:rsid w:val="0022086E"/>
    <w:rsid w:val="00221BDD"/>
    <w:rsid w:val="002223FE"/>
    <w:rsid w:val="0022253E"/>
    <w:rsid w:val="00222ED7"/>
    <w:rsid w:val="0022302B"/>
    <w:rsid w:val="002239B7"/>
    <w:rsid w:val="00223F54"/>
    <w:rsid w:val="002241FF"/>
    <w:rsid w:val="00224302"/>
    <w:rsid w:val="00224B5D"/>
    <w:rsid w:val="00224CF2"/>
    <w:rsid w:val="00224FF8"/>
    <w:rsid w:val="00225213"/>
    <w:rsid w:val="00225467"/>
    <w:rsid w:val="002257B7"/>
    <w:rsid w:val="00225C28"/>
    <w:rsid w:val="002262DD"/>
    <w:rsid w:val="00226DC4"/>
    <w:rsid w:val="0022721A"/>
    <w:rsid w:val="00227931"/>
    <w:rsid w:val="00227ED7"/>
    <w:rsid w:val="00227F2B"/>
    <w:rsid w:val="00230018"/>
    <w:rsid w:val="00230599"/>
    <w:rsid w:val="00230763"/>
    <w:rsid w:val="00230929"/>
    <w:rsid w:val="00230C72"/>
    <w:rsid w:val="00230D9E"/>
    <w:rsid w:val="0023178A"/>
    <w:rsid w:val="00231CF0"/>
    <w:rsid w:val="00231DD0"/>
    <w:rsid w:val="002326C6"/>
    <w:rsid w:val="00232C10"/>
    <w:rsid w:val="00232C4A"/>
    <w:rsid w:val="00232D41"/>
    <w:rsid w:val="002341C7"/>
    <w:rsid w:val="002343A9"/>
    <w:rsid w:val="00234512"/>
    <w:rsid w:val="00234B30"/>
    <w:rsid w:val="00234F69"/>
    <w:rsid w:val="0023521B"/>
    <w:rsid w:val="00235B21"/>
    <w:rsid w:val="002360BD"/>
    <w:rsid w:val="002365FC"/>
    <w:rsid w:val="00236A61"/>
    <w:rsid w:val="00240B15"/>
    <w:rsid w:val="0024201B"/>
    <w:rsid w:val="00243895"/>
    <w:rsid w:val="00244183"/>
    <w:rsid w:val="00244209"/>
    <w:rsid w:val="00244D43"/>
    <w:rsid w:val="002454E9"/>
    <w:rsid w:val="00245BCC"/>
    <w:rsid w:val="00245EE3"/>
    <w:rsid w:val="002473B8"/>
    <w:rsid w:val="002478B2"/>
    <w:rsid w:val="00247942"/>
    <w:rsid w:val="00247B69"/>
    <w:rsid w:val="00247B9A"/>
    <w:rsid w:val="002500C8"/>
    <w:rsid w:val="002500ED"/>
    <w:rsid w:val="002512A6"/>
    <w:rsid w:val="00251650"/>
    <w:rsid w:val="002520F9"/>
    <w:rsid w:val="0025225F"/>
    <w:rsid w:val="00252543"/>
    <w:rsid w:val="00252747"/>
    <w:rsid w:val="00252BB0"/>
    <w:rsid w:val="00252C12"/>
    <w:rsid w:val="002533C3"/>
    <w:rsid w:val="002538CE"/>
    <w:rsid w:val="00253A9D"/>
    <w:rsid w:val="00253B96"/>
    <w:rsid w:val="0025500D"/>
    <w:rsid w:val="002553D1"/>
    <w:rsid w:val="002553F9"/>
    <w:rsid w:val="00255485"/>
    <w:rsid w:val="002554E2"/>
    <w:rsid w:val="00255BAF"/>
    <w:rsid w:val="002578F9"/>
    <w:rsid w:val="002611F4"/>
    <w:rsid w:val="0026165A"/>
    <w:rsid w:val="002617FC"/>
    <w:rsid w:val="0026336B"/>
    <w:rsid w:val="002645A3"/>
    <w:rsid w:val="002646A7"/>
    <w:rsid w:val="00265DBD"/>
    <w:rsid w:val="00265E4E"/>
    <w:rsid w:val="002662A6"/>
    <w:rsid w:val="002664AC"/>
    <w:rsid w:val="00266539"/>
    <w:rsid w:val="002668FE"/>
    <w:rsid w:val="00266950"/>
    <w:rsid w:val="00266A85"/>
    <w:rsid w:val="00266FF0"/>
    <w:rsid w:val="002670FF"/>
    <w:rsid w:val="00267135"/>
    <w:rsid w:val="00267952"/>
    <w:rsid w:val="00267F5A"/>
    <w:rsid w:val="0027170F"/>
    <w:rsid w:val="00271819"/>
    <w:rsid w:val="00271A8D"/>
    <w:rsid w:val="00271D4C"/>
    <w:rsid w:val="00271FF5"/>
    <w:rsid w:val="0027283F"/>
    <w:rsid w:val="00272D76"/>
    <w:rsid w:val="002740B2"/>
    <w:rsid w:val="00274F5B"/>
    <w:rsid w:val="00275283"/>
    <w:rsid w:val="0028027A"/>
    <w:rsid w:val="0028132F"/>
    <w:rsid w:val="00281439"/>
    <w:rsid w:val="00281573"/>
    <w:rsid w:val="002818D6"/>
    <w:rsid w:val="00281C95"/>
    <w:rsid w:val="00281DDF"/>
    <w:rsid w:val="002822D5"/>
    <w:rsid w:val="00282335"/>
    <w:rsid w:val="00282CB4"/>
    <w:rsid w:val="00282D25"/>
    <w:rsid w:val="00283035"/>
    <w:rsid w:val="0028309C"/>
    <w:rsid w:val="00283A21"/>
    <w:rsid w:val="00284A9C"/>
    <w:rsid w:val="002851A9"/>
    <w:rsid w:val="00285882"/>
    <w:rsid w:val="00285ECB"/>
    <w:rsid w:val="00286058"/>
    <w:rsid w:val="0028613E"/>
    <w:rsid w:val="0028657D"/>
    <w:rsid w:val="002865A5"/>
    <w:rsid w:val="002868C7"/>
    <w:rsid w:val="00286FF6"/>
    <w:rsid w:val="00287131"/>
    <w:rsid w:val="002872F1"/>
    <w:rsid w:val="00287643"/>
    <w:rsid w:val="00287A00"/>
    <w:rsid w:val="00290113"/>
    <w:rsid w:val="0029042F"/>
    <w:rsid w:val="00290EEE"/>
    <w:rsid w:val="00291F00"/>
    <w:rsid w:val="00292043"/>
    <w:rsid w:val="00292A04"/>
    <w:rsid w:val="00292CDF"/>
    <w:rsid w:val="00293912"/>
    <w:rsid w:val="00293FF1"/>
    <w:rsid w:val="00294880"/>
    <w:rsid w:val="00294D85"/>
    <w:rsid w:val="00295049"/>
    <w:rsid w:val="0029578F"/>
    <w:rsid w:val="0029587B"/>
    <w:rsid w:val="002959A4"/>
    <w:rsid w:val="00295A1A"/>
    <w:rsid w:val="00296056"/>
    <w:rsid w:val="00296BB0"/>
    <w:rsid w:val="00296BD3"/>
    <w:rsid w:val="00296E3F"/>
    <w:rsid w:val="00296EBC"/>
    <w:rsid w:val="00296F66"/>
    <w:rsid w:val="00297087"/>
    <w:rsid w:val="00297115"/>
    <w:rsid w:val="002974EA"/>
    <w:rsid w:val="00297A4D"/>
    <w:rsid w:val="00297B14"/>
    <w:rsid w:val="002A0128"/>
    <w:rsid w:val="002A0187"/>
    <w:rsid w:val="002A01C2"/>
    <w:rsid w:val="002A06CE"/>
    <w:rsid w:val="002A0B33"/>
    <w:rsid w:val="002A1A72"/>
    <w:rsid w:val="002A2106"/>
    <w:rsid w:val="002A2BB5"/>
    <w:rsid w:val="002A3150"/>
    <w:rsid w:val="002A3623"/>
    <w:rsid w:val="002A36E5"/>
    <w:rsid w:val="002A3C6A"/>
    <w:rsid w:val="002A495D"/>
    <w:rsid w:val="002A5383"/>
    <w:rsid w:val="002A597D"/>
    <w:rsid w:val="002A5A8A"/>
    <w:rsid w:val="002A5E2E"/>
    <w:rsid w:val="002A61DC"/>
    <w:rsid w:val="002A67E0"/>
    <w:rsid w:val="002A67F1"/>
    <w:rsid w:val="002A68B1"/>
    <w:rsid w:val="002A6A41"/>
    <w:rsid w:val="002A6B10"/>
    <w:rsid w:val="002A6FA9"/>
    <w:rsid w:val="002A711B"/>
    <w:rsid w:val="002B0139"/>
    <w:rsid w:val="002B02B2"/>
    <w:rsid w:val="002B06B0"/>
    <w:rsid w:val="002B0885"/>
    <w:rsid w:val="002B0DE0"/>
    <w:rsid w:val="002B103E"/>
    <w:rsid w:val="002B1197"/>
    <w:rsid w:val="002B137F"/>
    <w:rsid w:val="002B1697"/>
    <w:rsid w:val="002B169A"/>
    <w:rsid w:val="002B1892"/>
    <w:rsid w:val="002B192A"/>
    <w:rsid w:val="002B2AEB"/>
    <w:rsid w:val="002B3547"/>
    <w:rsid w:val="002B4A65"/>
    <w:rsid w:val="002B4B36"/>
    <w:rsid w:val="002B5ABD"/>
    <w:rsid w:val="002B5EAF"/>
    <w:rsid w:val="002B68E8"/>
    <w:rsid w:val="002C08B0"/>
    <w:rsid w:val="002C0A9E"/>
    <w:rsid w:val="002C0DC7"/>
    <w:rsid w:val="002C11C3"/>
    <w:rsid w:val="002C133B"/>
    <w:rsid w:val="002C19A4"/>
    <w:rsid w:val="002C1C8F"/>
    <w:rsid w:val="002C25CA"/>
    <w:rsid w:val="002C2BED"/>
    <w:rsid w:val="002C2F67"/>
    <w:rsid w:val="002C36B2"/>
    <w:rsid w:val="002C3832"/>
    <w:rsid w:val="002C3D44"/>
    <w:rsid w:val="002C4442"/>
    <w:rsid w:val="002C4560"/>
    <w:rsid w:val="002C48E8"/>
    <w:rsid w:val="002C4EF9"/>
    <w:rsid w:val="002C5478"/>
    <w:rsid w:val="002C5AF8"/>
    <w:rsid w:val="002C60E2"/>
    <w:rsid w:val="002C77DC"/>
    <w:rsid w:val="002C79A1"/>
    <w:rsid w:val="002C7BB4"/>
    <w:rsid w:val="002D0970"/>
    <w:rsid w:val="002D0B95"/>
    <w:rsid w:val="002D0F62"/>
    <w:rsid w:val="002D0FE3"/>
    <w:rsid w:val="002D1137"/>
    <w:rsid w:val="002D12BF"/>
    <w:rsid w:val="002D16F8"/>
    <w:rsid w:val="002D372E"/>
    <w:rsid w:val="002D4153"/>
    <w:rsid w:val="002D4D8C"/>
    <w:rsid w:val="002D4ED9"/>
    <w:rsid w:val="002D5162"/>
    <w:rsid w:val="002D5D59"/>
    <w:rsid w:val="002D6810"/>
    <w:rsid w:val="002D789D"/>
    <w:rsid w:val="002E0052"/>
    <w:rsid w:val="002E00EE"/>
    <w:rsid w:val="002E0584"/>
    <w:rsid w:val="002E08A3"/>
    <w:rsid w:val="002E0952"/>
    <w:rsid w:val="002E1146"/>
    <w:rsid w:val="002E150B"/>
    <w:rsid w:val="002E3445"/>
    <w:rsid w:val="002E3463"/>
    <w:rsid w:val="002E3E64"/>
    <w:rsid w:val="002E421E"/>
    <w:rsid w:val="002E4CAE"/>
    <w:rsid w:val="002E508B"/>
    <w:rsid w:val="002E50C2"/>
    <w:rsid w:val="002E5163"/>
    <w:rsid w:val="002E52B3"/>
    <w:rsid w:val="002E58C6"/>
    <w:rsid w:val="002E6EC3"/>
    <w:rsid w:val="002E6F47"/>
    <w:rsid w:val="002E77E2"/>
    <w:rsid w:val="002E7815"/>
    <w:rsid w:val="002E7EBB"/>
    <w:rsid w:val="002F078D"/>
    <w:rsid w:val="002F0E0B"/>
    <w:rsid w:val="002F166E"/>
    <w:rsid w:val="002F1F1A"/>
    <w:rsid w:val="002F1F20"/>
    <w:rsid w:val="002F200A"/>
    <w:rsid w:val="002F2D00"/>
    <w:rsid w:val="002F2E8E"/>
    <w:rsid w:val="002F3768"/>
    <w:rsid w:val="002F3E40"/>
    <w:rsid w:val="002F417B"/>
    <w:rsid w:val="002F4697"/>
    <w:rsid w:val="002F47DC"/>
    <w:rsid w:val="002F5D1F"/>
    <w:rsid w:val="002F66E4"/>
    <w:rsid w:val="00300965"/>
    <w:rsid w:val="00300A71"/>
    <w:rsid w:val="00301397"/>
    <w:rsid w:val="003013F6"/>
    <w:rsid w:val="0030189E"/>
    <w:rsid w:val="00301CED"/>
    <w:rsid w:val="00301CF2"/>
    <w:rsid w:val="00301D31"/>
    <w:rsid w:val="003025A6"/>
    <w:rsid w:val="00302801"/>
    <w:rsid w:val="00302927"/>
    <w:rsid w:val="003029AC"/>
    <w:rsid w:val="0030303F"/>
    <w:rsid w:val="0030310E"/>
    <w:rsid w:val="003033FF"/>
    <w:rsid w:val="00303A18"/>
    <w:rsid w:val="00304035"/>
    <w:rsid w:val="0030455B"/>
    <w:rsid w:val="00304589"/>
    <w:rsid w:val="00305835"/>
    <w:rsid w:val="0030651D"/>
    <w:rsid w:val="003067F6"/>
    <w:rsid w:val="003069E3"/>
    <w:rsid w:val="00306EDC"/>
    <w:rsid w:val="00307E31"/>
    <w:rsid w:val="0031046E"/>
    <w:rsid w:val="00310A0E"/>
    <w:rsid w:val="00310BED"/>
    <w:rsid w:val="003114A9"/>
    <w:rsid w:val="00311B88"/>
    <w:rsid w:val="00311C79"/>
    <w:rsid w:val="003125F5"/>
    <w:rsid w:val="0031276B"/>
    <w:rsid w:val="003128D5"/>
    <w:rsid w:val="00312BB7"/>
    <w:rsid w:val="00312FCC"/>
    <w:rsid w:val="00313AAA"/>
    <w:rsid w:val="00313CED"/>
    <w:rsid w:val="003146B0"/>
    <w:rsid w:val="00314E0E"/>
    <w:rsid w:val="003154D9"/>
    <w:rsid w:val="003157B7"/>
    <w:rsid w:val="00315BC6"/>
    <w:rsid w:val="0031622A"/>
    <w:rsid w:val="00316D17"/>
    <w:rsid w:val="0031799E"/>
    <w:rsid w:val="003202A3"/>
    <w:rsid w:val="00320594"/>
    <w:rsid w:val="00320AC0"/>
    <w:rsid w:val="00320E69"/>
    <w:rsid w:val="00321102"/>
    <w:rsid w:val="00321BAD"/>
    <w:rsid w:val="0032246D"/>
    <w:rsid w:val="003225F4"/>
    <w:rsid w:val="00322F19"/>
    <w:rsid w:val="003232F0"/>
    <w:rsid w:val="0032344D"/>
    <w:rsid w:val="00323967"/>
    <w:rsid w:val="003243FD"/>
    <w:rsid w:val="0032477C"/>
    <w:rsid w:val="00324A4C"/>
    <w:rsid w:val="00324C09"/>
    <w:rsid w:val="00324EF8"/>
    <w:rsid w:val="00325DB3"/>
    <w:rsid w:val="003262D1"/>
    <w:rsid w:val="00326DC5"/>
    <w:rsid w:val="00326F05"/>
    <w:rsid w:val="003272A2"/>
    <w:rsid w:val="0032733A"/>
    <w:rsid w:val="00327434"/>
    <w:rsid w:val="003274A8"/>
    <w:rsid w:val="00327571"/>
    <w:rsid w:val="00327F3E"/>
    <w:rsid w:val="003306BE"/>
    <w:rsid w:val="00330CA2"/>
    <w:rsid w:val="00330CFD"/>
    <w:rsid w:val="003319CB"/>
    <w:rsid w:val="00331F89"/>
    <w:rsid w:val="0033214D"/>
    <w:rsid w:val="00332842"/>
    <w:rsid w:val="00332B92"/>
    <w:rsid w:val="00332CC3"/>
    <w:rsid w:val="00332E03"/>
    <w:rsid w:val="003339BB"/>
    <w:rsid w:val="00333BC9"/>
    <w:rsid w:val="00333D34"/>
    <w:rsid w:val="00334136"/>
    <w:rsid w:val="00334174"/>
    <w:rsid w:val="003342DD"/>
    <w:rsid w:val="00335381"/>
    <w:rsid w:val="00335C03"/>
    <w:rsid w:val="00335DC2"/>
    <w:rsid w:val="00335FE3"/>
    <w:rsid w:val="0033672C"/>
    <w:rsid w:val="00336760"/>
    <w:rsid w:val="00336FCC"/>
    <w:rsid w:val="00337D1E"/>
    <w:rsid w:val="00340C8B"/>
    <w:rsid w:val="00342FE9"/>
    <w:rsid w:val="003430B8"/>
    <w:rsid w:val="00343102"/>
    <w:rsid w:val="00343838"/>
    <w:rsid w:val="00343996"/>
    <w:rsid w:val="00343B40"/>
    <w:rsid w:val="00345430"/>
    <w:rsid w:val="0034630B"/>
    <w:rsid w:val="003463A4"/>
    <w:rsid w:val="0034704A"/>
    <w:rsid w:val="00347534"/>
    <w:rsid w:val="00347CE0"/>
    <w:rsid w:val="00351379"/>
    <w:rsid w:val="0035143D"/>
    <w:rsid w:val="00351C91"/>
    <w:rsid w:val="003522D0"/>
    <w:rsid w:val="00352703"/>
    <w:rsid w:val="0035281B"/>
    <w:rsid w:val="00352868"/>
    <w:rsid w:val="003539FA"/>
    <w:rsid w:val="00353AE6"/>
    <w:rsid w:val="00353BBA"/>
    <w:rsid w:val="00353ED7"/>
    <w:rsid w:val="0035531C"/>
    <w:rsid w:val="0035547A"/>
    <w:rsid w:val="0035572A"/>
    <w:rsid w:val="00356A92"/>
    <w:rsid w:val="00356AF1"/>
    <w:rsid w:val="00356EFF"/>
    <w:rsid w:val="003575EB"/>
    <w:rsid w:val="00360AF6"/>
    <w:rsid w:val="00362D87"/>
    <w:rsid w:val="00363A60"/>
    <w:rsid w:val="00363A9F"/>
    <w:rsid w:val="003644BF"/>
    <w:rsid w:val="00365441"/>
    <w:rsid w:val="003657B5"/>
    <w:rsid w:val="00365B64"/>
    <w:rsid w:val="00365D85"/>
    <w:rsid w:val="0036602C"/>
    <w:rsid w:val="00366315"/>
    <w:rsid w:val="0036757D"/>
    <w:rsid w:val="00367FD0"/>
    <w:rsid w:val="003706B0"/>
    <w:rsid w:val="00370794"/>
    <w:rsid w:val="00370915"/>
    <w:rsid w:val="00370C31"/>
    <w:rsid w:val="00371C08"/>
    <w:rsid w:val="00372199"/>
    <w:rsid w:val="0037220D"/>
    <w:rsid w:val="003724AE"/>
    <w:rsid w:val="0037284A"/>
    <w:rsid w:val="00372923"/>
    <w:rsid w:val="003732F2"/>
    <w:rsid w:val="003733AF"/>
    <w:rsid w:val="00373ABC"/>
    <w:rsid w:val="00373D90"/>
    <w:rsid w:val="003749BB"/>
    <w:rsid w:val="00374AFD"/>
    <w:rsid w:val="00374B39"/>
    <w:rsid w:val="00374CCA"/>
    <w:rsid w:val="0037579B"/>
    <w:rsid w:val="00376183"/>
    <w:rsid w:val="003767C5"/>
    <w:rsid w:val="0037738C"/>
    <w:rsid w:val="0038054D"/>
    <w:rsid w:val="0038097C"/>
    <w:rsid w:val="00380DAD"/>
    <w:rsid w:val="00381320"/>
    <w:rsid w:val="0038160E"/>
    <w:rsid w:val="00382844"/>
    <w:rsid w:val="0038444F"/>
    <w:rsid w:val="003850FD"/>
    <w:rsid w:val="0038517C"/>
    <w:rsid w:val="00385202"/>
    <w:rsid w:val="00385700"/>
    <w:rsid w:val="003862D1"/>
    <w:rsid w:val="0038653B"/>
    <w:rsid w:val="00386924"/>
    <w:rsid w:val="00386A6A"/>
    <w:rsid w:val="00386AB8"/>
    <w:rsid w:val="00387489"/>
    <w:rsid w:val="0038757A"/>
    <w:rsid w:val="00387A94"/>
    <w:rsid w:val="00391452"/>
    <w:rsid w:val="003921E6"/>
    <w:rsid w:val="00392A06"/>
    <w:rsid w:val="00393019"/>
    <w:rsid w:val="0039359F"/>
    <w:rsid w:val="00394239"/>
    <w:rsid w:val="003944D5"/>
    <w:rsid w:val="003949BE"/>
    <w:rsid w:val="00395313"/>
    <w:rsid w:val="00395BA4"/>
    <w:rsid w:val="00395DF7"/>
    <w:rsid w:val="00396BE3"/>
    <w:rsid w:val="00396CA4"/>
    <w:rsid w:val="00396DAA"/>
    <w:rsid w:val="003A060B"/>
    <w:rsid w:val="003A0B50"/>
    <w:rsid w:val="003A1E02"/>
    <w:rsid w:val="003A21E6"/>
    <w:rsid w:val="003A297F"/>
    <w:rsid w:val="003A2E5D"/>
    <w:rsid w:val="003A38AA"/>
    <w:rsid w:val="003A473B"/>
    <w:rsid w:val="003A4906"/>
    <w:rsid w:val="003A498E"/>
    <w:rsid w:val="003A4B5D"/>
    <w:rsid w:val="003A4CA7"/>
    <w:rsid w:val="003A55CA"/>
    <w:rsid w:val="003A57AB"/>
    <w:rsid w:val="003A624E"/>
    <w:rsid w:val="003A633C"/>
    <w:rsid w:val="003A668C"/>
    <w:rsid w:val="003A6B84"/>
    <w:rsid w:val="003A751F"/>
    <w:rsid w:val="003A760F"/>
    <w:rsid w:val="003A7E9D"/>
    <w:rsid w:val="003A7EA1"/>
    <w:rsid w:val="003B0105"/>
    <w:rsid w:val="003B1A29"/>
    <w:rsid w:val="003B22AA"/>
    <w:rsid w:val="003B250E"/>
    <w:rsid w:val="003B2BD9"/>
    <w:rsid w:val="003B2C0F"/>
    <w:rsid w:val="003B375E"/>
    <w:rsid w:val="003B392E"/>
    <w:rsid w:val="003B398C"/>
    <w:rsid w:val="003B4151"/>
    <w:rsid w:val="003B4807"/>
    <w:rsid w:val="003B4BBC"/>
    <w:rsid w:val="003B51D9"/>
    <w:rsid w:val="003B5563"/>
    <w:rsid w:val="003B5721"/>
    <w:rsid w:val="003B622D"/>
    <w:rsid w:val="003B66BA"/>
    <w:rsid w:val="003B6C0F"/>
    <w:rsid w:val="003B6C53"/>
    <w:rsid w:val="003B6D1F"/>
    <w:rsid w:val="003B6F02"/>
    <w:rsid w:val="003B71A6"/>
    <w:rsid w:val="003B7965"/>
    <w:rsid w:val="003B7C65"/>
    <w:rsid w:val="003B7D38"/>
    <w:rsid w:val="003B7E61"/>
    <w:rsid w:val="003B7EA6"/>
    <w:rsid w:val="003C04BF"/>
    <w:rsid w:val="003C05B0"/>
    <w:rsid w:val="003C090E"/>
    <w:rsid w:val="003C0A1E"/>
    <w:rsid w:val="003C0ABE"/>
    <w:rsid w:val="003C0EFB"/>
    <w:rsid w:val="003C2475"/>
    <w:rsid w:val="003C258F"/>
    <w:rsid w:val="003C2AD5"/>
    <w:rsid w:val="003C2C9E"/>
    <w:rsid w:val="003C340B"/>
    <w:rsid w:val="003C3827"/>
    <w:rsid w:val="003C494D"/>
    <w:rsid w:val="003C542E"/>
    <w:rsid w:val="003C5466"/>
    <w:rsid w:val="003C6007"/>
    <w:rsid w:val="003C6558"/>
    <w:rsid w:val="003C66AA"/>
    <w:rsid w:val="003C6D6F"/>
    <w:rsid w:val="003C7015"/>
    <w:rsid w:val="003C77DE"/>
    <w:rsid w:val="003C77FD"/>
    <w:rsid w:val="003C799D"/>
    <w:rsid w:val="003C7AA3"/>
    <w:rsid w:val="003C7BD4"/>
    <w:rsid w:val="003D08AD"/>
    <w:rsid w:val="003D0D5A"/>
    <w:rsid w:val="003D0FEB"/>
    <w:rsid w:val="003D1633"/>
    <w:rsid w:val="003D1CA5"/>
    <w:rsid w:val="003D2967"/>
    <w:rsid w:val="003D2B67"/>
    <w:rsid w:val="003D3899"/>
    <w:rsid w:val="003D3CCA"/>
    <w:rsid w:val="003D3F00"/>
    <w:rsid w:val="003D4A6B"/>
    <w:rsid w:val="003D50B3"/>
    <w:rsid w:val="003D553D"/>
    <w:rsid w:val="003D5CD3"/>
    <w:rsid w:val="003D6AA5"/>
    <w:rsid w:val="003D777B"/>
    <w:rsid w:val="003D7ADE"/>
    <w:rsid w:val="003E0D2E"/>
    <w:rsid w:val="003E1E2C"/>
    <w:rsid w:val="003E1FB9"/>
    <w:rsid w:val="003E20C1"/>
    <w:rsid w:val="003E2A61"/>
    <w:rsid w:val="003E3740"/>
    <w:rsid w:val="003E3800"/>
    <w:rsid w:val="003E43E1"/>
    <w:rsid w:val="003E459A"/>
    <w:rsid w:val="003E4D0D"/>
    <w:rsid w:val="003E4E4B"/>
    <w:rsid w:val="003E58EC"/>
    <w:rsid w:val="003E5911"/>
    <w:rsid w:val="003E5DF4"/>
    <w:rsid w:val="003E5E7F"/>
    <w:rsid w:val="003E60D8"/>
    <w:rsid w:val="003E7037"/>
    <w:rsid w:val="003E73D3"/>
    <w:rsid w:val="003E7511"/>
    <w:rsid w:val="003E7DE6"/>
    <w:rsid w:val="003F0561"/>
    <w:rsid w:val="003F0926"/>
    <w:rsid w:val="003F0A39"/>
    <w:rsid w:val="003F0E9E"/>
    <w:rsid w:val="003F100A"/>
    <w:rsid w:val="003F11F3"/>
    <w:rsid w:val="003F199F"/>
    <w:rsid w:val="003F1E4F"/>
    <w:rsid w:val="003F1E79"/>
    <w:rsid w:val="003F20FB"/>
    <w:rsid w:val="003F25D4"/>
    <w:rsid w:val="003F279D"/>
    <w:rsid w:val="003F28FD"/>
    <w:rsid w:val="003F2A8A"/>
    <w:rsid w:val="003F31B0"/>
    <w:rsid w:val="003F359E"/>
    <w:rsid w:val="003F3646"/>
    <w:rsid w:val="003F3A67"/>
    <w:rsid w:val="003F4A5D"/>
    <w:rsid w:val="003F4C2D"/>
    <w:rsid w:val="003F527A"/>
    <w:rsid w:val="003F5537"/>
    <w:rsid w:val="003F593A"/>
    <w:rsid w:val="003F614C"/>
    <w:rsid w:val="003F6370"/>
    <w:rsid w:val="003F6D52"/>
    <w:rsid w:val="003F76FA"/>
    <w:rsid w:val="00400901"/>
    <w:rsid w:val="00402DAA"/>
    <w:rsid w:val="00403540"/>
    <w:rsid w:val="004036C2"/>
    <w:rsid w:val="00403CA3"/>
    <w:rsid w:val="00404575"/>
    <w:rsid w:val="00404642"/>
    <w:rsid w:val="00404B59"/>
    <w:rsid w:val="0040584C"/>
    <w:rsid w:val="00405FEF"/>
    <w:rsid w:val="004062BC"/>
    <w:rsid w:val="004069D3"/>
    <w:rsid w:val="00406B70"/>
    <w:rsid w:val="00406EE8"/>
    <w:rsid w:val="00407B5F"/>
    <w:rsid w:val="00407EEA"/>
    <w:rsid w:val="0041057F"/>
    <w:rsid w:val="0041064D"/>
    <w:rsid w:val="004109EE"/>
    <w:rsid w:val="0041107E"/>
    <w:rsid w:val="0041120E"/>
    <w:rsid w:val="004113EB"/>
    <w:rsid w:val="00411431"/>
    <w:rsid w:val="00411DEA"/>
    <w:rsid w:val="0041267D"/>
    <w:rsid w:val="004126B3"/>
    <w:rsid w:val="0041296E"/>
    <w:rsid w:val="004132A2"/>
    <w:rsid w:val="00413645"/>
    <w:rsid w:val="00413DC8"/>
    <w:rsid w:val="00414BFB"/>
    <w:rsid w:val="00415104"/>
    <w:rsid w:val="00415126"/>
    <w:rsid w:val="004152BA"/>
    <w:rsid w:val="00415374"/>
    <w:rsid w:val="004167E2"/>
    <w:rsid w:val="004172B7"/>
    <w:rsid w:val="0041730F"/>
    <w:rsid w:val="0041747F"/>
    <w:rsid w:val="00417ADD"/>
    <w:rsid w:val="00420618"/>
    <w:rsid w:val="00421C34"/>
    <w:rsid w:val="004220F6"/>
    <w:rsid w:val="00422D9D"/>
    <w:rsid w:val="00422E0C"/>
    <w:rsid w:val="004233FA"/>
    <w:rsid w:val="004233FC"/>
    <w:rsid w:val="00423DC5"/>
    <w:rsid w:val="00424839"/>
    <w:rsid w:val="00424BCB"/>
    <w:rsid w:val="00424C59"/>
    <w:rsid w:val="004253EF"/>
    <w:rsid w:val="00426076"/>
    <w:rsid w:val="004265C2"/>
    <w:rsid w:val="004265FE"/>
    <w:rsid w:val="004267A5"/>
    <w:rsid w:val="004268E8"/>
    <w:rsid w:val="00426962"/>
    <w:rsid w:val="00426B9D"/>
    <w:rsid w:val="00426D1F"/>
    <w:rsid w:val="00427771"/>
    <w:rsid w:val="00427A67"/>
    <w:rsid w:val="00427C33"/>
    <w:rsid w:val="0043073B"/>
    <w:rsid w:val="00431666"/>
    <w:rsid w:val="00431D6B"/>
    <w:rsid w:val="00432199"/>
    <w:rsid w:val="0043286B"/>
    <w:rsid w:val="004328D5"/>
    <w:rsid w:val="004330B1"/>
    <w:rsid w:val="0043335B"/>
    <w:rsid w:val="004335E7"/>
    <w:rsid w:val="00433710"/>
    <w:rsid w:val="004337C4"/>
    <w:rsid w:val="00434533"/>
    <w:rsid w:val="00434C2C"/>
    <w:rsid w:val="00434DD2"/>
    <w:rsid w:val="0043558A"/>
    <w:rsid w:val="00436243"/>
    <w:rsid w:val="0043646E"/>
    <w:rsid w:val="004366EF"/>
    <w:rsid w:val="00437F78"/>
    <w:rsid w:val="00440AFE"/>
    <w:rsid w:val="00440FA2"/>
    <w:rsid w:val="0044231E"/>
    <w:rsid w:val="004426E5"/>
    <w:rsid w:val="004427D8"/>
    <w:rsid w:val="00442B95"/>
    <w:rsid w:val="00442D07"/>
    <w:rsid w:val="00443961"/>
    <w:rsid w:val="00443C89"/>
    <w:rsid w:val="00443F56"/>
    <w:rsid w:val="004442DD"/>
    <w:rsid w:val="0044472C"/>
    <w:rsid w:val="0044493B"/>
    <w:rsid w:val="0044550A"/>
    <w:rsid w:val="004455C9"/>
    <w:rsid w:val="004464B9"/>
    <w:rsid w:val="00447224"/>
    <w:rsid w:val="004473C0"/>
    <w:rsid w:val="00447881"/>
    <w:rsid w:val="00447F6D"/>
    <w:rsid w:val="00450285"/>
    <w:rsid w:val="004502D5"/>
    <w:rsid w:val="00450435"/>
    <w:rsid w:val="00450664"/>
    <w:rsid w:val="004508C3"/>
    <w:rsid w:val="0045114D"/>
    <w:rsid w:val="00452032"/>
    <w:rsid w:val="004521EE"/>
    <w:rsid w:val="004522CF"/>
    <w:rsid w:val="00452B27"/>
    <w:rsid w:val="00452E06"/>
    <w:rsid w:val="00452FFF"/>
    <w:rsid w:val="004535B9"/>
    <w:rsid w:val="00454099"/>
    <w:rsid w:val="00454624"/>
    <w:rsid w:val="004553AA"/>
    <w:rsid w:val="00456394"/>
    <w:rsid w:val="0045729D"/>
    <w:rsid w:val="00457BEA"/>
    <w:rsid w:val="004600BB"/>
    <w:rsid w:val="00460ABF"/>
    <w:rsid w:val="00461C34"/>
    <w:rsid w:val="00461C9C"/>
    <w:rsid w:val="0046224C"/>
    <w:rsid w:val="0046233B"/>
    <w:rsid w:val="004627DD"/>
    <w:rsid w:val="004634D5"/>
    <w:rsid w:val="0046359C"/>
    <w:rsid w:val="00463F97"/>
    <w:rsid w:val="004640EE"/>
    <w:rsid w:val="00464277"/>
    <w:rsid w:val="004642A9"/>
    <w:rsid w:val="004646D6"/>
    <w:rsid w:val="004648D1"/>
    <w:rsid w:val="004649A2"/>
    <w:rsid w:val="00464DD0"/>
    <w:rsid w:val="00464E15"/>
    <w:rsid w:val="00465EF4"/>
    <w:rsid w:val="0046634E"/>
    <w:rsid w:val="00466A10"/>
    <w:rsid w:val="00466F06"/>
    <w:rsid w:val="00467639"/>
    <w:rsid w:val="00467977"/>
    <w:rsid w:val="00467981"/>
    <w:rsid w:val="00467FE3"/>
    <w:rsid w:val="00471B63"/>
    <w:rsid w:val="00471C74"/>
    <w:rsid w:val="0047363F"/>
    <w:rsid w:val="004737F0"/>
    <w:rsid w:val="00473D71"/>
    <w:rsid w:val="00475499"/>
    <w:rsid w:val="00475541"/>
    <w:rsid w:val="00475B48"/>
    <w:rsid w:val="00476B4A"/>
    <w:rsid w:val="0047709A"/>
    <w:rsid w:val="00477618"/>
    <w:rsid w:val="0047784D"/>
    <w:rsid w:val="00477B6A"/>
    <w:rsid w:val="00477EE1"/>
    <w:rsid w:val="004804A9"/>
    <w:rsid w:val="00480721"/>
    <w:rsid w:val="00480B2B"/>
    <w:rsid w:val="00481AF6"/>
    <w:rsid w:val="00481B36"/>
    <w:rsid w:val="004823EF"/>
    <w:rsid w:val="00482ADD"/>
    <w:rsid w:val="00482E6E"/>
    <w:rsid w:val="00482FCF"/>
    <w:rsid w:val="004834BC"/>
    <w:rsid w:val="004849AB"/>
    <w:rsid w:val="00484B5A"/>
    <w:rsid w:val="00484BF5"/>
    <w:rsid w:val="004851AB"/>
    <w:rsid w:val="00485728"/>
    <w:rsid w:val="0048573F"/>
    <w:rsid w:val="004862F2"/>
    <w:rsid w:val="00486BA8"/>
    <w:rsid w:val="00486DE8"/>
    <w:rsid w:val="00487310"/>
    <w:rsid w:val="004873A8"/>
    <w:rsid w:val="0048793B"/>
    <w:rsid w:val="004900AA"/>
    <w:rsid w:val="0049031C"/>
    <w:rsid w:val="004908D3"/>
    <w:rsid w:val="00490FBB"/>
    <w:rsid w:val="00491439"/>
    <w:rsid w:val="00491908"/>
    <w:rsid w:val="00491C62"/>
    <w:rsid w:val="00491E90"/>
    <w:rsid w:val="00492A50"/>
    <w:rsid w:val="00492C09"/>
    <w:rsid w:val="004932CB"/>
    <w:rsid w:val="004933C6"/>
    <w:rsid w:val="004939AD"/>
    <w:rsid w:val="00493E6F"/>
    <w:rsid w:val="004944C5"/>
    <w:rsid w:val="00494BC5"/>
    <w:rsid w:val="0049531F"/>
    <w:rsid w:val="00495B97"/>
    <w:rsid w:val="00496609"/>
    <w:rsid w:val="004969BB"/>
    <w:rsid w:val="00496F52"/>
    <w:rsid w:val="00497516"/>
    <w:rsid w:val="00497760"/>
    <w:rsid w:val="0049787E"/>
    <w:rsid w:val="004A05BC"/>
    <w:rsid w:val="004A0802"/>
    <w:rsid w:val="004A09CF"/>
    <w:rsid w:val="004A0F81"/>
    <w:rsid w:val="004A10C6"/>
    <w:rsid w:val="004A12D3"/>
    <w:rsid w:val="004A1F6D"/>
    <w:rsid w:val="004A3340"/>
    <w:rsid w:val="004A3870"/>
    <w:rsid w:val="004A3C3E"/>
    <w:rsid w:val="004A3E0F"/>
    <w:rsid w:val="004A41F5"/>
    <w:rsid w:val="004A48B3"/>
    <w:rsid w:val="004A4E51"/>
    <w:rsid w:val="004A50D5"/>
    <w:rsid w:val="004A5458"/>
    <w:rsid w:val="004A5690"/>
    <w:rsid w:val="004A5D96"/>
    <w:rsid w:val="004A5F3F"/>
    <w:rsid w:val="004A68F5"/>
    <w:rsid w:val="004A70F7"/>
    <w:rsid w:val="004A7B6B"/>
    <w:rsid w:val="004B0CCA"/>
    <w:rsid w:val="004B1C79"/>
    <w:rsid w:val="004B2025"/>
    <w:rsid w:val="004B214C"/>
    <w:rsid w:val="004B2618"/>
    <w:rsid w:val="004B2740"/>
    <w:rsid w:val="004B317E"/>
    <w:rsid w:val="004B3886"/>
    <w:rsid w:val="004B38C3"/>
    <w:rsid w:val="004B3EE9"/>
    <w:rsid w:val="004B48BB"/>
    <w:rsid w:val="004B4CE0"/>
    <w:rsid w:val="004B5F68"/>
    <w:rsid w:val="004B6047"/>
    <w:rsid w:val="004B66FF"/>
    <w:rsid w:val="004B67ED"/>
    <w:rsid w:val="004B6EA5"/>
    <w:rsid w:val="004B72C8"/>
    <w:rsid w:val="004B790D"/>
    <w:rsid w:val="004B7BF9"/>
    <w:rsid w:val="004C0A82"/>
    <w:rsid w:val="004C10F0"/>
    <w:rsid w:val="004C2C5E"/>
    <w:rsid w:val="004C37E0"/>
    <w:rsid w:val="004C39AB"/>
    <w:rsid w:val="004C3CAD"/>
    <w:rsid w:val="004C3D82"/>
    <w:rsid w:val="004C3F60"/>
    <w:rsid w:val="004C42B9"/>
    <w:rsid w:val="004C4736"/>
    <w:rsid w:val="004C4A65"/>
    <w:rsid w:val="004C4C8A"/>
    <w:rsid w:val="004C550B"/>
    <w:rsid w:val="004C5A59"/>
    <w:rsid w:val="004C605F"/>
    <w:rsid w:val="004C72B7"/>
    <w:rsid w:val="004C7458"/>
    <w:rsid w:val="004C7A10"/>
    <w:rsid w:val="004C7FBC"/>
    <w:rsid w:val="004D036E"/>
    <w:rsid w:val="004D0F91"/>
    <w:rsid w:val="004D108A"/>
    <w:rsid w:val="004D2858"/>
    <w:rsid w:val="004D2A65"/>
    <w:rsid w:val="004D2FDE"/>
    <w:rsid w:val="004D3068"/>
    <w:rsid w:val="004D363C"/>
    <w:rsid w:val="004D38FE"/>
    <w:rsid w:val="004D44BB"/>
    <w:rsid w:val="004D6524"/>
    <w:rsid w:val="004D66CC"/>
    <w:rsid w:val="004D7829"/>
    <w:rsid w:val="004D79ED"/>
    <w:rsid w:val="004D7BB4"/>
    <w:rsid w:val="004D7C3F"/>
    <w:rsid w:val="004E03AD"/>
    <w:rsid w:val="004E04AE"/>
    <w:rsid w:val="004E0D9F"/>
    <w:rsid w:val="004E29E2"/>
    <w:rsid w:val="004E2F58"/>
    <w:rsid w:val="004E2F64"/>
    <w:rsid w:val="004E3436"/>
    <w:rsid w:val="004E3478"/>
    <w:rsid w:val="004E34A7"/>
    <w:rsid w:val="004E366A"/>
    <w:rsid w:val="004E3ABF"/>
    <w:rsid w:val="004E3D72"/>
    <w:rsid w:val="004E3E6E"/>
    <w:rsid w:val="004E3E84"/>
    <w:rsid w:val="004E45EC"/>
    <w:rsid w:val="004E48E3"/>
    <w:rsid w:val="004E48EA"/>
    <w:rsid w:val="004E4E3E"/>
    <w:rsid w:val="004E4E71"/>
    <w:rsid w:val="004E51AF"/>
    <w:rsid w:val="004E56EA"/>
    <w:rsid w:val="004E681E"/>
    <w:rsid w:val="004E7024"/>
    <w:rsid w:val="004E7322"/>
    <w:rsid w:val="004E79CF"/>
    <w:rsid w:val="004F05AA"/>
    <w:rsid w:val="004F14B3"/>
    <w:rsid w:val="004F16FC"/>
    <w:rsid w:val="004F251C"/>
    <w:rsid w:val="004F2BF8"/>
    <w:rsid w:val="004F2DA5"/>
    <w:rsid w:val="004F2E15"/>
    <w:rsid w:val="004F2EC9"/>
    <w:rsid w:val="004F347C"/>
    <w:rsid w:val="004F397F"/>
    <w:rsid w:val="004F4866"/>
    <w:rsid w:val="004F5FDE"/>
    <w:rsid w:val="004F61EE"/>
    <w:rsid w:val="004F7870"/>
    <w:rsid w:val="0050060C"/>
    <w:rsid w:val="00500788"/>
    <w:rsid w:val="00500ABC"/>
    <w:rsid w:val="00500BBE"/>
    <w:rsid w:val="005013A8"/>
    <w:rsid w:val="00501BAD"/>
    <w:rsid w:val="00501CBC"/>
    <w:rsid w:val="005020E4"/>
    <w:rsid w:val="00502314"/>
    <w:rsid w:val="00502432"/>
    <w:rsid w:val="00502A54"/>
    <w:rsid w:val="005033BF"/>
    <w:rsid w:val="00505EE8"/>
    <w:rsid w:val="00506CD6"/>
    <w:rsid w:val="005070DB"/>
    <w:rsid w:val="005072F6"/>
    <w:rsid w:val="00507B17"/>
    <w:rsid w:val="005100B4"/>
    <w:rsid w:val="005115FF"/>
    <w:rsid w:val="00511A0B"/>
    <w:rsid w:val="00512220"/>
    <w:rsid w:val="00512EB9"/>
    <w:rsid w:val="00513349"/>
    <w:rsid w:val="00513FFD"/>
    <w:rsid w:val="005145F0"/>
    <w:rsid w:val="0051512D"/>
    <w:rsid w:val="00515237"/>
    <w:rsid w:val="005155E7"/>
    <w:rsid w:val="005158A5"/>
    <w:rsid w:val="00515A51"/>
    <w:rsid w:val="00515AA4"/>
    <w:rsid w:val="00515EA2"/>
    <w:rsid w:val="00517BB8"/>
    <w:rsid w:val="00517DDF"/>
    <w:rsid w:val="00520D9A"/>
    <w:rsid w:val="0052121F"/>
    <w:rsid w:val="00521A46"/>
    <w:rsid w:val="0052239B"/>
    <w:rsid w:val="0052273B"/>
    <w:rsid w:val="00522D51"/>
    <w:rsid w:val="0052335D"/>
    <w:rsid w:val="00523619"/>
    <w:rsid w:val="00523CE6"/>
    <w:rsid w:val="005244A2"/>
    <w:rsid w:val="005248D9"/>
    <w:rsid w:val="0052496E"/>
    <w:rsid w:val="00525015"/>
    <w:rsid w:val="0052523C"/>
    <w:rsid w:val="00525CB6"/>
    <w:rsid w:val="00525CE7"/>
    <w:rsid w:val="00525E08"/>
    <w:rsid w:val="00525F14"/>
    <w:rsid w:val="00526801"/>
    <w:rsid w:val="00526809"/>
    <w:rsid w:val="00526CE0"/>
    <w:rsid w:val="005276AF"/>
    <w:rsid w:val="00527927"/>
    <w:rsid w:val="00527B14"/>
    <w:rsid w:val="00527E22"/>
    <w:rsid w:val="005308B2"/>
    <w:rsid w:val="005317E9"/>
    <w:rsid w:val="0053188F"/>
    <w:rsid w:val="0053192E"/>
    <w:rsid w:val="00531D5B"/>
    <w:rsid w:val="00531E25"/>
    <w:rsid w:val="00532360"/>
    <w:rsid w:val="00532732"/>
    <w:rsid w:val="00533890"/>
    <w:rsid w:val="00534F8F"/>
    <w:rsid w:val="005353D0"/>
    <w:rsid w:val="00535E91"/>
    <w:rsid w:val="0053661E"/>
    <w:rsid w:val="0053683A"/>
    <w:rsid w:val="00536E16"/>
    <w:rsid w:val="00536EFD"/>
    <w:rsid w:val="005402EB"/>
    <w:rsid w:val="00540302"/>
    <w:rsid w:val="0054091F"/>
    <w:rsid w:val="00540B7D"/>
    <w:rsid w:val="00540BBC"/>
    <w:rsid w:val="00540C6F"/>
    <w:rsid w:val="00540FC8"/>
    <w:rsid w:val="00541376"/>
    <w:rsid w:val="005414AF"/>
    <w:rsid w:val="00541CD2"/>
    <w:rsid w:val="005423FA"/>
    <w:rsid w:val="00542BAA"/>
    <w:rsid w:val="005434D8"/>
    <w:rsid w:val="0054355F"/>
    <w:rsid w:val="00543EA4"/>
    <w:rsid w:val="005440AE"/>
    <w:rsid w:val="005441C9"/>
    <w:rsid w:val="00544961"/>
    <w:rsid w:val="00544FDB"/>
    <w:rsid w:val="005469DA"/>
    <w:rsid w:val="00546B5D"/>
    <w:rsid w:val="00547B83"/>
    <w:rsid w:val="0055033A"/>
    <w:rsid w:val="00550785"/>
    <w:rsid w:val="00551066"/>
    <w:rsid w:val="005515BA"/>
    <w:rsid w:val="00552390"/>
    <w:rsid w:val="00552A0F"/>
    <w:rsid w:val="00556119"/>
    <w:rsid w:val="0055651E"/>
    <w:rsid w:val="00556637"/>
    <w:rsid w:val="00556A5D"/>
    <w:rsid w:val="00556DF8"/>
    <w:rsid w:val="005601C7"/>
    <w:rsid w:val="0056292A"/>
    <w:rsid w:val="00562A6F"/>
    <w:rsid w:val="00562EB7"/>
    <w:rsid w:val="005631DB"/>
    <w:rsid w:val="005636BF"/>
    <w:rsid w:val="0056454F"/>
    <w:rsid w:val="00564AA8"/>
    <w:rsid w:val="0056550B"/>
    <w:rsid w:val="00565746"/>
    <w:rsid w:val="00566107"/>
    <w:rsid w:val="00566685"/>
    <w:rsid w:val="005668B9"/>
    <w:rsid w:val="00567186"/>
    <w:rsid w:val="005672AE"/>
    <w:rsid w:val="00567EB9"/>
    <w:rsid w:val="00570556"/>
    <w:rsid w:val="0057060F"/>
    <w:rsid w:val="005716BD"/>
    <w:rsid w:val="00571CB3"/>
    <w:rsid w:val="00572562"/>
    <w:rsid w:val="00572B1D"/>
    <w:rsid w:val="005754F3"/>
    <w:rsid w:val="00575B05"/>
    <w:rsid w:val="00575B9F"/>
    <w:rsid w:val="00576162"/>
    <w:rsid w:val="005766E5"/>
    <w:rsid w:val="00576A53"/>
    <w:rsid w:val="00576BEA"/>
    <w:rsid w:val="005770C4"/>
    <w:rsid w:val="00577182"/>
    <w:rsid w:val="005771DC"/>
    <w:rsid w:val="00577363"/>
    <w:rsid w:val="005773CF"/>
    <w:rsid w:val="00577B7E"/>
    <w:rsid w:val="00581628"/>
    <w:rsid w:val="005817D6"/>
    <w:rsid w:val="00581C74"/>
    <w:rsid w:val="005828C7"/>
    <w:rsid w:val="005828DE"/>
    <w:rsid w:val="00582F9E"/>
    <w:rsid w:val="00584004"/>
    <w:rsid w:val="00584C89"/>
    <w:rsid w:val="00585910"/>
    <w:rsid w:val="00585914"/>
    <w:rsid w:val="00586723"/>
    <w:rsid w:val="00586A38"/>
    <w:rsid w:val="00587066"/>
    <w:rsid w:val="005871F4"/>
    <w:rsid w:val="0058799F"/>
    <w:rsid w:val="0059058F"/>
    <w:rsid w:val="005909C5"/>
    <w:rsid w:val="00590B79"/>
    <w:rsid w:val="00591097"/>
    <w:rsid w:val="005913FD"/>
    <w:rsid w:val="005918D7"/>
    <w:rsid w:val="00591E5A"/>
    <w:rsid w:val="00592719"/>
    <w:rsid w:val="00592849"/>
    <w:rsid w:val="0059335E"/>
    <w:rsid w:val="005935FB"/>
    <w:rsid w:val="00593646"/>
    <w:rsid w:val="00593DB7"/>
    <w:rsid w:val="00595658"/>
    <w:rsid w:val="005968BF"/>
    <w:rsid w:val="00596B2E"/>
    <w:rsid w:val="00596DC5"/>
    <w:rsid w:val="005A02FC"/>
    <w:rsid w:val="005A0C40"/>
    <w:rsid w:val="005A139D"/>
    <w:rsid w:val="005A148B"/>
    <w:rsid w:val="005A15D6"/>
    <w:rsid w:val="005A1770"/>
    <w:rsid w:val="005A1C14"/>
    <w:rsid w:val="005A1F82"/>
    <w:rsid w:val="005A2013"/>
    <w:rsid w:val="005A259C"/>
    <w:rsid w:val="005A29F9"/>
    <w:rsid w:val="005A2D11"/>
    <w:rsid w:val="005A2F93"/>
    <w:rsid w:val="005A2FC4"/>
    <w:rsid w:val="005A3009"/>
    <w:rsid w:val="005A35B6"/>
    <w:rsid w:val="005A38B1"/>
    <w:rsid w:val="005A3F4B"/>
    <w:rsid w:val="005A4A62"/>
    <w:rsid w:val="005A52C2"/>
    <w:rsid w:val="005A5361"/>
    <w:rsid w:val="005A53A8"/>
    <w:rsid w:val="005A53C4"/>
    <w:rsid w:val="005A5818"/>
    <w:rsid w:val="005A58CD"/>
    <w:rsid w:val="005A6114"/>
    <w:rsid w:val="005A6E47"/>
    <w:rsid w:val="005A763E"/>
    <w:rsid w:val="005A7BBB"/>
    <w:rsid w:val="005A7D4F"/>
    <w:rsid w:val="005A7EF0"/>
    <w:rsid w:val="005B04DB"/>
    <w:rsid w:val="005B05FA"/>
    <w:rsid w:val="005B08AE"/>
    <w:rsid w:val="005B0DEF"/>
    <w:rsid w:val="005B0FD3"/>
    <w:rsid w:val="005B1769"/>
    <w:rsid w:val="005B1BF2"/>
    <w:rsid w:val="005B1F28"/>
    <w:rsid w:val="005B2582"/>
    <w:rsid w:val="005B27F1"/>
    <w:rsid w:val="005B2824"/>
    <w:rsid w:val="005B2C8D"/>
    <w:rsid w:val="005B31F6"/>
    <w:rsid w:val="005B4141"/>
    <w:rsid w:val="005B423D"/>
    <w:rsid w:val="005B4261"/>
    <w:rsid w:val="005B485D"/>
    <w:rsid w:val="005B497B"/>
    <w:rsid w:val="005B5126"/>
    <w:rsid w:val="005B5799"/>
    <w:rsid w:val="005B5B9B"/>
    <w:rsid w:val="005B5C71"/>
    <w:rsid w:val="005B5DF0"/>
    <w:rsid w:val="005B60DF"/>
    <w:rsid w:val="005B618F"/>
    <w:rsid w:val="005B77AB"/>
    <w:rsid w:val="005B7D15"/>
    <w:rsid w:val="005C00A7"/>
    <w:rsid w:val="005C0420"/>
    <w:rsid w:val="005C097B"/>
    <w:rsid w:val="005C12EE"/>
    <w:rsid w:val="005C18FE"/>
    <w:rsid w:val="005C1E1F"/>
    <w:rsid w:val="005C1F64"/>
    <w:rsid w:val="005C254C"/>
    <w:rsid w:val="005C2F39"/>
    <w:rsid w:val="005C306A"/>
    <w:rsid w:val="005C348B"/>
    <w:rsid w:val="005C3B78"/>
    <w:rsid w:val="005C3E3B"/>
    <w:rsid w:val="005C3FB2"/>
    <w:rsid w:val="005C4147"/>
    <w:rsid w:val="005C458A"/>
    <w:rsid w:val="005C4954"/>
    <w:rsid w:val="005C52D3"/>
    <w:rsid w:val="005C5856"/>
    <w:rsid w:val="005C5D1D"/>
    <w:rsid w:val="005C5E91"/>
    <w:rsid w:val="005C7495"/>
    <w:rsid w:val="005C75E5"/>
    <w:rsid w:val="005D0189"/>
    <w:rsid w:val="005D02D5"/>
    <w:rsid w:val="005D0630"/>
    <w:rsid w:val="005D0AFB"/>
    <w:rsid w:val="005D0B1E"/>
    <w:rsid w:val="005D0F47"/>
    <w:rsid w:val="005D0F75"/>
    <w:rsid w:val="005D286C"/>
    <w:rsid w:val="005D291E"/>
    <w:rsid w:val="005D2AF1"/>
    <w:rsid w:val="005D2F3E"/>
    <w:rsid w:val="005D358D"/>
    <w:rsid w:val="005D35F8"/>
    <w:rsid w:val="005D3805"/>
    <w:rsid w:val="005D3847"/>
    <w:rsid w:val="005D3B62"/>
    <w:rsid w:val="005D3B8C"/>
    <w:rsid w:val="005D3E6D"/>
    <w:rsid w:val="005D4493"/>
    <w:rsid w:val="005D4D01"/>
    <w:rsid w:val="005D4D86"/>
    <w:rsid w:val="005D4DD6"/>
    <w:rsid w:val="005D560F"/>
    <w:rsid w:val="005D5F0E"/>
    <w:rsid w:val="005D6026"/>
    <w:rsid w:val="005D613E"/>
    <w:rsid w:val="005D6230"/>
    <w:rsid w:val="005D6851"/>
    <w:rsid w:val="005D6AA0"/>
    <w:rsid w:val="005D71AB"/>
    <w:rsid w:val="005D7F68"/>
    <w:rsid w:val="005E001C"/>
    <w:rsid w:val="005E0AE1"/>
    <w:rsid w:val="005E0B20"/>
    <w:rsid w:val="005E0F65"/>
    <w:rsid w:val="005E11DE"/>
    <w:rsid w:val="005E1273"/>
    <w:rsid w:val="005E140D"/>
    <w:rsid w:val="005E15D1"/>
    <w:rsid w:val="005E1838"/>
    <w:rsid w:val="005E1921"/>
    <w:rsid w:val="005E1AC4"/>
    <w:rsid w:val="005E226E"/>
    <w:rsid w:val="005E25BE"/>
    <w:rsid w:val="005E25E4"/>
    <w:rsid w:val="005E2BE3"/>
    <w:rsid w:val="005E2EFD"/>
    <w:rsid w:val="005E47CA"/>
    <w:rsid w:val="005E56A6"/>
    <w:rsid w:val="005E5847"/>
    <w:rsid w:val="005E6063"/>
    <w:rsid w:val="005E62CD"/>
    <w:rsid w:val="005E7235"/>
    <w:rsid w:val="005E743C"/>
    <w:rsid w:val="005E746F"/>
    <w:rsid w:val="005E7483"/>
    <w:rsid w:val="005E7A14"/>
    <w:rsid w:val="005E7A8F"/>
    <w:rsid w:val="005E7F31"/>
    <w:rsid w:val="005F0E82"/>
    <w:rsid w:val="005F1370"/>
    <w:rsid w:val="005F19EA"/>
    <w:rsid w:val="005F2567"/>
    <w:rsid w:val="005F27B8"/>
    <w:rsid w:val="005F2DC3"/>
    <w:rsid w:val="005F35B1"/>
    <w:rsid w:val="005F363D"/>
    <w:rsid w:val="005F3AD4"/>
    <w:rsid w:val="005F3E6B"/>
    <w:rsid w:val="005F4518"/>
    <w:rsid w:val="005F5020"/>
    <w:rsid w:val="005F5090"/>
    <w:rsid w:val="005F5126"/>
    <w:rsid w:val="005F6593"/>
    <w:rsid w:val="005F65A9"/>
    <w:rsid w:val="00601AA2"/>
    <w:rsid w:val="00601E16"/>
    <w:rsid w:val="006025AE"/>
    <w:rsid w:val="00602AC4"/>
    <w:rsid w:val="00602F2A"/>
    <w:rsid w:val="00603157"/>
    <w:rsid w:val="00604E62"/>
    <w:rsid w:val="00605BD6"/>
    <w:rsid w:val="00605CF8"/>
    <w:rsid w:val="006065AF"/>
    <w:rsid w:val="00606C9F"/>
    <w:rsid w:val="00607302"/>
    <w:rsid w:val="00607551"/>
    <w:rsid w:val="00607CEE"/>
    <w:rsid w:val="0061062A"/>
    <w:rsid w:val="0061094A"/>
    <w:rsid w:val="00610A0A"/>
    <w:rsid w:val="0061153B"/>
    <w:rsid w:val="0061153D"/>
    <w:rsid w:val="00611938"/>
    <w:rsid w:val="00612947"/>
    <w:rsid w:val="00613256"/>
    <w:rsid w:val="00613F7C"/>
    <w:rsid w:val="00614377"/>
    <w:rsid w:val="0061476C"/>
    <w:rsid w:val="00614984"/>
    <w:rsid w:val="00614A05"/>
    <w:rsid w:val="00614A30"/>
    <w:rsid w:val="00615268"/>
    <w:rsid w:val="00615A51"/>
    <w:rsid w:val="0061619E"/>
    <w:rsid w:val="00616472"/>
    <w:rsid w:val="0061696D"/>
    <w:rsid w:val="00617999"/>
    <w:rsid w:val="00620F51"/>
    <w:rsid w:val="00621240"/>
    <w:rsid w:val="006218EF"/>
    <w:rsid w:val="00621DDF"/>
    <w:rsid w:val="0062207B"/>
    <w:rsid w:val="00622E5B"/>
    <w:rsid w:val="006238B3"/>
    <w:rsid w:val="00623981"/>
    <w:rsid w:val="00624AB3"/>
    <w:rsid w:val="00624DB2"/>
    <w:rsid w:val="00625A88"/>
    <w:rsid w:val="00626355"/>
    <w:rsid w:val="00626E40"/>
    <w:rsid w:val="0062725E"/>
    <w:rsid w:val="006272B7"/>
    <w:rsid w:val="00627E94"/>
    <w:rsid w:val="00627F21"/>
    <w:rsid w:val="006314A4"/>
    <w:rsid w:val="00631CDF"/>
    <w:rsid w:val="00631FB5"/>
    <w:rsid w:val="00632515"/>
    <w:rsid w:val="00632B45"/>
    <w:rsid w:val="00633397"/>
    <w:rsid w:val="00633399"/>
    <w:rsid w:val="006334D9"/>
    <w:rsid w:val="006340CD"/>
    <w:rsid w:val="00635195"/>
    <w:rsid w:val="0063552C"/>
    <w:rsid w:val="0063574D"/>
    <w:rsid w:val="00635758"/>
    <w:rsid w:val="00635CDA"/>
    <w:rsid w:val="006361FB"/>
    <w:rsid w:val="006365A3"/>
    <w:rsid w:val="006367A4"/>
    <w:rsid w:val="00636891"/>
    <w:rsid w:val="00637622"/>
    <w:rsid w:val="0063795F"/>
    <w:rsid w:val="0064158B"/>
    <w:rsid w:val="00641758"/>
    <w:rsid w:val="00641A76"/>
    <w:rsid w:val="0064201B"/>
    <w:rsid w:val="006428B8"/>
    <w:rsid w:val="006429AF"/>
    <w:rsid w:val="00642CC2"/>
    <w:rsid w:val="00642EFC"/>
    <w:rsid w:val="006452C0"/>
    <w:rsid w:val="0064622F"/>
    <w:rsid w:val="00646FFF"/>
    <w:rsid w:val="00647378"/>
    <w:rsid w:val="006478E7"/>
    <w:rsid w:val="00647D7E"/>
    <w:rsid w:val="00647EE5"/>
    <w:rsid w:val="00650460"/>
    <w:rsid w:val="00650766"/>
    <w:rsid w:val="00650E6E"/>
    <w:rsid w:val="0065131B"/>
    <w:rsid w:val="0065205D"/>
    <w:rsid w:val="0065238A"/>
    <w:rsid w:val="006525BA"/>
    <w:rsid w:val="00652BE3"/>
    <w:rsid w:val="00653C21"/>
    <w:rsid w:val="00653D1B"/>
    <w:rsid w:val="006540CA"/>
    <w:rsid w:val="00654266"/>
    <w:rsid w:val="00654524"/>
    <w:rsid w:val="006547F9"/>
    <w:rsid w:val="00655E4B"/>
    <w:rsid w:val="00655F34"/>
    <w:rsid w:val="00656413"/>
    <w:rsid w:val="006565E5"/>
    <w:rsid w:val="00656AB9"/>
    <w:rsid w:val="00656FB3"/>
    <w:rsid w:val="0065705B"/>
    <w:rsid w:val="00657A53"/>
    <w:rsid w:val="006604FC"/>
    <w:rsid w:val="00660678"/>
    <w:rsid w:val="0066074B"/>
    <w:rsid w:val="00660AEC"/>
    <w:rsid w:val="00660C6A"/>
    <w:rsid w:val="00660E18"/>
    <w:rsid w:val="006614A4"/>
    <w:rsid w:val="00661AE4"/>
    <w:rsid w:val="006623C0"/>
    <w:rsid w:val="0066354E"/>
    <w:rsid w:val="00664585"/>
    <w:rsid w:val="00664900"/>
    <w:rsid w:val="00664AF4"/>
    <w:rsid w:val="00664F80"/>
    <w:rsid w:val="0066550C"/>
    <w:rsid w:val="006658D5"/>
    <w:rsid w:val="00666B7D"/>
    <w:rsid w:val="006678FB"/>
    <w:rsid w:val="0066792E"/>
    <w:rsid w:val="0066796B"/>
    <w:rsid w:val="00667ECD"/>
    <w:rsid w:val="00667F61"/>
    <w:rsid w:val="006705F6"/>
    <w:rsid w:val="00670CB3"/>
    <w:rsid w:val="00671C63"/>
    <w:rsid w:val="0067202E"/>
    <w:rsid w:val="00672B25"/>
    <w:rsid w:val="00673551"/>
    <w:rsid w:val="00673BDC"/>
    <w:rsid w:val="00674DBD"/>
    <w:rsid w:val="00674EEF"/>
    <w:rsid w:val="00675F31"/>
    <w:rsid w:val="006768F2"/>
    <w:rsid w:val="00676962"/>
    <w:rsid w:val="00676BCA"/>
    <w:rsid w:val="006770BD"/>
    <w:rsid w:val="00677129"/>
    <w:rsid w:val="0067755D"/>
    <w:rsid w:val="00677753"/>
    <w:rsid w:val="0067796D"/>
    <w:rsid w:val="00677AE3"/>
    <w:rsid w:val="00680337"/>
    <w:rsid w:val="00680456"/>
    <w:rsid w:val="0068062A"/>
    <w:rsid w:val="00680887"/>
    <w:rsid w:val="006818FB"/>
    <w:rsid w:val="00681956"/>
    <w:rsid w:val="00683119"/>
    <w:rsid w:val="0068336D"/>
    <w:rsid w:val="006834C8"/>
    <w:rsid w:val="006835EF"/>
    <w:rsid w:val="006837AF"/>
    <w:rsid w:val="0068383B"/>
    <w:rsid w:val="00683F06"/>
    <w:rsid w:val="00684817"/>
    <w:rsid w:val="00685355"/>
    <w:rsid w:val="0068582D"/>
    <w:rsid w:val="00685953"/>
    <w:rsid w:val="00685CAB"/>
    <w:rsid w:val="0068680A"/>
    <w:rsid w:val="00686EED"/>
    <w:rsid w:val="006871D2"/>
    <w:rsid w:val="00690A5E"/>
    <w:rsid w:val="006912E3"/>
    <w:rsid w:val="00691788"/>
    <w:rsid w:val="0069234B"/>
    <w:rsid w:val="006927F0"/>
    <w:rsid w:val="0069289A"/>
    <w:rsid w:val="00692900"/>
    <w:rsid w:val="00692A0F"/>
    <w:rsid w:val="00692B09"/>
    <w:rsid w:val="00692E1C"/>
    <w:rsid w:val="006932FA"/>
    <w:rsid w:val="00693640"/>
    <w:rsid w:val="00693988"/>
    <w:rsid w:val="006943F2"/>
    <w:rsid w:val="00694517"/>
    <w:rsid w:val="006946B1"/>
    <w:rsid w:val="006946EA"/>
    <w:rsid w:val="00694DC3"/>
    <w:rsid w:val="00694EB1"/>
    <w:rsid w:val="00695525"/>
    <w:rsid w:val="006957EA"/>
    <w:rsid w:val="00695B4F"/>
    <w:rsid w:val="006973DB"/>
    <w:rsid w:val="0069758E"/>
    <w:rsid w:val="006A042D"/>
    <w:rsid w:val="006A052A"/>
    <w:rsid w:val="006A0590"/>
    <w:rsid w:val="006A0A08"/>
    <w:rsid w:val="006A0CFA"/>
    <w:rsid w:val="006A2AB4"/>
    <w:rsid w:val="006A2DB8"/>
    <w:rsid w:val="006A30FC"/>
    <w:rsid w:val="006A384C"/>
    <w:rsid w:val="006A3C0D"/>
    <w:rsid w:val="006A3E4C"/>
    <w:rsid w:val="006A4145"/>
    <w:rsid w:val="006A44DB"/>
    <w:rsid w:val="006A467F"/>
    <w:rsid w:val="006A46B2"/>
    <w:rsid w:val="006A5444"/>
    <w:rsid w:val="006A5578"/>
    <w:rsid w:val="006A578D"/>
    <w:rsid w:val="006A5D31"/>
    <w:rsid w:val="006A5F49"/>
    <w:rsid w:val="006A60F7"/>
    <w:rsid w:val="006A6988"/>
    <w:rsid w:val="006A7557"/>
    <w:rsid w:val="006A7625"/>
    <w:rsid w:val="006B0874"/>
    <w:rsid w:val="006B0EA8"/>
    <w:rsid w:val="006B0EF0"/>
    <w:rsid w:val="006B114C"/>
    <w:rsid w:val="006B12CC"/>
    <w:rsid w:val="006B136C"/>
    <w:rsid w:val="006B1878"/>
    <w:rsid w:val="006B1CC1"/>
    <w:rsid w:val="006B2A5B"/>
    <w:rsid w:val="006B2AC9"/>
    <w:rsid w:val="006B34E9"/>
    <w:rsid w:val="006B3631"/>
    <w:rsid w:val="006B41AB"/>
    <w:rsid w:val="006B445D"/>
    <w:rsid w:val="006B5A66"/>
    <w:rsid w:val="006B6A52"/>
    <w:rsid w:val="006B6C45"/>
    <w:rsid w:val="006B6FE4"/>
    <w:rsid w:val="006B7433"/>
    <w:rsid w:val="006B789B"/>
    <w:rsid w:val="006B7E13"/>
    <w:rsid w:val="006B7E55"/>
    <w:rsid w:val="006C035D"/>
    <w:rsid w:val="006C03C1"/>
    <w:rsid w:val="006C123C"/>
    <w:rsid w:val="006C1243"/>
    <w:rsid w:val="006C1D04"/>
    <w:rsid w:val="006C1EE2"/>
    <w:rsid w:val="006C1F1C"/>
    <w:rsid w:val="006C2895"/>
    <w:rsid w:val="006C34BE"/>
    <w:rsid w:val="006C4102"/>
    <w:rsid w:val="006C415C"/>
    <w:rsid w:val="006C4C2B"/>
    <w:rsid w:val="006C5910"/>
    <w:rsid w:val="006C5DE1"/>
    <w:rsid w:val="006C6FBD"/>
    <w:rsid w:val="006C751E"/>
    <w:rsid w:val="006C76CD"/>
    <w:rsid w:val="006D0E00"/>
    <w:rsid w:val="006D101F"/>
    <w:rsid w:val="006D136D"/>
    <w:rsid w:val="006D1D79"/>
    <w:rsid w:val="006D1DBA"/>
    <w:rsid w:val="006D2452"/>
    <w:rsid w:val="006D28BC"/>
    <w:rsid w:val="006D2B22"/>
    <w:rsid w:val="006D3B72"/>
    <w:rsid w:val="006D43F6"/>
    <w:rsid w:val="006D49AB"/>
    <w:rsid w:val="006D50B1"/>
    <w:rsid w:val="006D513D"/>
    <w:rsid w:val="006D5206"/>
    <w:rsid w:val="006D5351"/>
    <w:rsid w:val="006D5472"/>
    <w:rsid w:val="006D5691"/>
    <w:rsid w:val="006D5C44"/>
    <w:rsid w:val="006D6406"/>
    <w:rsid w:val="006D706C"/>
    <w:rsid w:val="006D7CD7"/>
    <w:rsid w:val="006D7EDF"/>
    <w:rsid w:val="006E0123"/>
    <w:rsid w:val="006E0345"/>
    <w:rsid w:val="006E0786"/>
    <w:rsid w:val="006E082E"/>
    <w:rsid w:val="006E0E30"/>
    <w:rsid w:val="006E2250"/>
    <w:rsid w:val="006E2853"/>
    <w:rsid w:val="006E29FE"/>
    <w:rsid w:val="006E45B2"/>
    <w:rsid w:val="006E4918"/>
    <w:rsid w:val="006E4950"/>
    <w:rsid w:val="006E53EF"/>
    <w:rsid w:val="006E577D"/>
    <w:rsid w:val="006E578E"/>
    <w:rsid w:val="006E5E6E"/>
    <w:rsid w:val="006E5FEA"/>
    <w:rsid w:val="006E6F3C"/>
    <w:rsid w:val="006E7262"/>
    <w:rsid w:val="006E7FA5"/>
    <w:rsid w:val="006F01C4"/>
    <w:rsid w:val="006F08F0"/>
    <w:rsid w:val="006F0F7A"/>
    <w:rsid w:val="006F1912"/>
    <w:rsid w:val="006F1C81"/>
    <w:rsid w:val="006F2CBC"/>
    <w:rsid w:val="006F2CC7"/>
    <w:rsid w:val="006F3674"/>
    <w:rsid w:val="006F3F46"/>
    <w:rsid w:val="006F4940"/>
    <w:rsid w:val="006F50B2"/>
    <w:rsid w:val="006F5147"/>
    <w:rsid w:val="006F59CA"/>
    <w:rsid w:val="006F5B5B"/>
    <w:rsid w:val="006F6B9A"/>
    <w:rsid w:val="006F6E65"/>
    <w:rsid w:val="006F71CB"/>
    <w:rsid w:val="006F71D5"/>
    <w:rsid w:val="006F758F"/>
    <w:rsid w:val="006F7854"/>
    <w:rsid w:val="007000EC"/>
    <w:rsid w:val="00700392"/>
    <w:rsid w:val="0070058A"/>
    <w:rsid w:val="00700A20"/>
    <w:rsid w:val="00700E61"/>
    <w:rsid w:val="007011EB"/>
    <w:rsid w:val="0070125A"/>
    <w:rsid w:val="00702389"/>
    <w:rsid w:val="00702513"/>
    <w:rsid w:val="0070264D"/>
    <w:rsid w:val="0070274F"/>
    <w:rsid w:val="00702843"/>
    <w:rsid w:val="0070291B"/>
    <w:rsid w:val="00702EB5"/>
    <w:rsid w:val="007038CF"/>
    <w:rsid w:val="00703E76"/>
    <w:rsid w:val="00705358"/>
    <w:rsid w:val="007053DF"/>
    <w:rsid w:val="00705B15"/>
    <w:rsid w:val="00705BE6"/>
    <w:rsid w:val="00706351"/>
    <w:rsid w:val="0070660A"/>
    <w:rsid w:val="007067EA"/>
    <w:rsid w:val="00706CA5"/>
    <w:rsid w:val="007072F6"/>
    <w:rsid w:val="007078F1"/>
    <w:rsid w:val="00707D26"/>
    <w:rsid w:val="00707E0F"/>
    <w:rsid w:val="00710551"/>
    <w:rsid w:val="00710552"/>
    <w:rsid w:val="00710994"/>
    <w:rsid w:val="007129E5"/>
    <w:rsid w:val="00713373"/>
    <w:rsid w:val="007135BC"/>
    <w:rsid w:val="007136AC"/>
    <w:rsid w:val="00713728"/>
    <w:rsid w:val="007139D8"/>
    <w:rsid w:val="00713DBC"/>
    <w:rsid w:val="00713FBF"/>
    <w:rsid w:val="00714639"/>
    <w:rsid w:val="00714A0C"/>
    <w:rsid w:val="00714B07"/>
    <w:rsid w:val="0071592E"/>
    <w:rsid w:val="00715B08"/>
    <w:rsid w:val="007160ED"/>
    <w:rsid w:val="007161A5"/>
    <w:rsid w:val="00716221"/>
    <w:rsid w:val="0071671D"/>
    <w:rsid w:val="00717443"/>
    <w:rsid w:val="00717A93"/>
    <w:rsid w:val="007200F8"/>
    <w:rsid w:val="007202FF"/>
    <w:rsid w:val="0072054E"/>
    <w:rsid w:val="007209BD"/>
    <w:rsid w:val="0072162B"/>
    <w:rsid w:val="00721A99"/>
    <w:rsid w:val="00721C73"/>
    <w:rsid w:val="00721C9C"/>
    <w:rsid w:val="00722448"/>
    <w:rsid w:val="00723449"/>
    <w:rsid w:val="00723655"/>
    <w:rsid w:val="007241D1"/>
    <w:rsid w:val="00724296"/>
    <w:rsid w:val="00726357"/>
    <w:rsid w:val="00727730"/>
    <w:rsid w:val="00727CE2"/>
    <w:rsid w:val="00730743"/>
    <w:rsid w:val="00730882"/>
    <w:rsid w:val="00730F50"/>
    <w:rsid w:val="00731EA1"/>
    <w:rsid w:val="007324B9"/>
    <w:rsid w:val="00732B57"/>
    <w:rsid w:val="00733071"/>
    <w:rsid w:val="0073325F"/>
    <w:rsid w:val="0073365E"/>
    <w:rsid w:val="00733690"/>
    <w:rsid w:val="00733D2F"/>
    <w:rsid w:val="00733E6E"/>
    <w:rsid w:val="0073436F"/>
    <w:rsid w:val="00734378"/>
    <w:rsid w:val="0073444D"/>
    <w:rsid w:val="007345D4"/>
    <w:rsid w:val="00734AD2"/>
    <w:rsid w:val="00734CF0"/>
    <w:rsid w:val="00734F9E"/>
    <w:rsid w:val="0073536E"/>
    <w:rsid w:val="007355CF"/>
    <w:rsid w:val="00735823"/>
    <w:rsid w:val="00735E25"/>
    <w:rsid w:val="00735F2E"/>
    <w:rsid w:val="007360CD"/>
    <w:rsid w:val="00736C3F"/>
    <w:rsid w:val="00736D53"/>
    <w:rsid w:val="00736ED8"/>
    <w:rsid w:val="00737C2C"/>
    <w:rsid w:val="00740216"/>
    <w:rsid w:val="007407AB"/>
    <w:rsid w:val="00740F69"/>
    <w:rsid w:val="00740FA7"/>
    <w:rsid w:val="00741D8B"/>
    <w:rsid w:val="0074261D"/>
    <w:rsid w:val="00742ADA"/>
    <w:rsid w:val="00742C87"/>
    <w:rsid w:val="00742D17"/>
    <w:rsid w:val="007437A4"/>
    <w:rsid w:val="00743B2C"/>
    <w:rsid w:val="00744BC9"/>
    <w:rsid w:val="00744F08"/>
    <w:rsid w:val="007458F8"/>
    <w:rsid w:val="00745CA0"/>
    <w:rsid w:val="007461FC"/>
    <w:rsid w:val="007474BA"/>
    <w:rsid w:val="0074770E"/>
    <w:rsid w:val="007477F1"/>
    <w:rsid w:val="0074799E"/>
    <w:rsid w:val="00747CE0"/>
    <w:rsid w:val="00747CFF"/>
    <w:rsid w:val="00750771"/>
    <w:rsid w:val="007508CF"/>
    <w:rsid w:val="007516C8"/>
    <w:rsid w:val="00751E49"/>
    <w:rsid w:val="00751EB2"/>
    <w:rsid w:val="007521D7"/>
    <w:rsid w:val="00752BA6"/>
    <w:rsid w:val="00752EB9"/>
    <w:rsid w:val="007537CA"/>
    <w:rsid w:val="00753A3B"/>
    <w:rsid w:val="00753B4E"/>
    <w:rsid w:val="00753DCF"/>
    <w:rsid w:val="00754784"/>
    <w:rsid w:val="00754BF8"/>
    <w:rsid w:val="00755901"/>
    <w:rsid w:val="00756374"/>
    <w:rsid w:val="00756457"/>
    <w:rsid w:val="0075727E"/>
    <w:rsid w:val="00757E3B"/>
    <w:rsid w:val="007600E2"/>
    <w:rsid w:val="0076141C"/>
    <w:rsid w:val="00761DF3"/>
    <w:rsid w:val="0076281B"/>
    <w:rsid w:val="00762E27"/>
    <w:rsid w:val="007634D1"/>
    <w:rsid w:val="00763C01"/>
    <w:rsid w:val="00763CA9"/>
    <w:rsid w:val="007649FC"/>
    <w:rsid w:val="00765D0E"/>
    <w:rsid w:val="00766F45"/>
    <w:rsid w:val="0076740E"/>
    <w:rsid w:val="007676CD"/>
    <w:rsid w:val="0076781C"/>
    <w:rsid w:val="00770495"/>
    <w:rsid w:val="007704FD"/>
    <w:rsid w:val="00770D3A"/>
    <w:rsid w:val="007711C0"/>
    <w:rsid w:val="0077254B"/>
    <w:rsid w:val="00772CE7"/>
    <w:rsid w:val="00772DF6"/>
    <w:rsid w:val="00773469"/>
    <w:rsid w:val="00773C4D"/>
    <w:rsid w:val="00773E81"/>
    <w:rsid w:val="0077407F"/>
    <w:rsid w:val="007741F6"/>
    <w:rsid w:val="00774228"/>
    <w:rsid w:val="007747A1"/>
    <w:rsid w:val="00775F7A"/>
    <w:rsid w:val="0077606D"/>
    <w:rsid w:val="00776191"/>
    <w:rsid w:val="007766FF"/>
    <w:rsid w:val="00776B75"/>
    <w:rsid w:val="00776CAE"/>
    <w:rsid w:val="00777261"/>
    <w:rsid w:val="00777399"/>
    <w:rsid w:val="007778B5"/>
    <w:rsid w:val="00780812"/>
    <w:rsid w:val="007811EB"/>
    <w:rsid w:val="00781365"/>
    <w:rsid w:val="00781E9E"/>
    <w:rsid w:val="00782050"/>
    <w:rsid w:val="00782163"/>
    <w:rsid w:val="00783174"/>
    <w:rsid w:val="00783640"/>
    <w:rsid w:val="00783C68"/>
    <w:rsid w:val="00784190"/>
    <w:rsid w:val="007846D8"/>
    <w:rsid w:val="00784A8B"/>
    <w:rsid w:val="007851B8"/>
    <w:rsid w:val="00785272"/>
    <w:rsid w:val="007857D5"/>
    <w:rsid w:val="00785D85"/>
    <w:rsid w:val="00785FCE"/>
    <w:rsid w:val="0078615B"/>
    <w:rsid w:val="00786397"/>
    <w:rsid w:val="0078639F"/>
    <w:rsid w:val="007875D2"/>
    <w:rsid w:val="00787676"/>
    <w:rsid w:val="00787855"/>
    <w:rsid w:val="00787CBC"/>
    <w:rsid w:val="00787F45"/>
    <w:rsid w:val="0079079F"/>
    <w:rsid w:val="00792B33"/>
    <w:rsid w:val="00794056"/>
    <w:rsid w:val="0079442E"/>
    <w:rsid w:val="00794890"/>
    <w:rsid w:val="00794F39"/>
    <w:rsid w:val="007958FD"/>
    <w:rsid w:val="00795AD4"/>
    <w:rsid w:val="00795F0F"/>
    <w:rsid w:val="00796F2E"/>
    <w:rsid w:val="00797470"/>
    <w:rsid w:val="007977F9"/>
    <w:rsid w:val="007A044A"/>
    <w:rsid w:val="007A06C7"/>
    <w:rsid w:val="007A076D"/>
    <w:rsid w:val="007A0A19"/>
    <w:rsid w:val="007A0C53"/>
    <w:rsid w:val="007A0E40"/>
    <w:rsid w:val="007A1912"/>
    <w:rsid w:val="007A255E"/>
    <w:rsid w:val="007A25F8"/>
    <w:rsid w:val="007A3CCE"/>
    <w:rsid w:val="007A3DA2"/>
    <w:rsid w:val="007A3E06"/>
    <w:rsid w:val="007A4215"/>
    <w:rsid w:val="007A4935"/>
    <w:rsid w:val="007A535B"/>
    <w:rsid w:val="007A58FE"/>
    <w:rsid w:val="007A5FE4"/>
    <w:rsid w:val="007A66C8"/>
    <w:rsid w:val="007A6882"/>
    <w:rsid w:val="007A6954"/>
    <w:rsid w:val="007A6F2F"/>
    <w:rsid w:val="007A6FA4"/>
    <w:rsid w:val="007A74E8"/>
    <w:rsid w:val="007A7637"/>
    <w:rsid w:val="007A7D78"/>
    <w:rsid w:val="007B0335"/>
    <w:rsid w:val="007B07EE"/>
    <w:rsid w:val="007B0AFA"/>
    <w:rsid w:val="007B0BCA"/>
    <w:rsid w:val="007B1E63"/>
    <w:rsid w:val="007B2D20"/>
    <w:rsid w:val="007B33C3"/>
    <w:rsid w:val="007B38FD"/>
    <w:rsid w:val="007B4404"/>
    <w:rsid w:val="007B50DD"/>
    <w:rsid w:val="007B52DD"/>
    <w:rsid w:val="007B5785"/>
    <w:rsid w:val="007B6141"/>
    <w:rsid w:val="007B641F"/>
    <w:rsid w:val="007B68FF"/>
    <w:rsid w:val="007B6C0F"/>
    <w:rsid w:val="007B6CB3"/>
    <w:rsid w:val="007B72E8"/>
    <w:rsid w:val="007B7567"/>
    <w:rsid w:val="007B7A7B"/>
    <w:rsid w:val="007B7C61"/>
    <w:rsid w:val="007B7DD3"/>
    <w:rsid w:val="007C0281"/>
    <w:rsid w:val="007C06D3"/>
    <w:rsid w:val="007C0830"/>
    <w:rsid w:val="007C1374"/>
    <w:rsid w:val="007C1883"/>
    <w:rsid w:val="007C19D1"/>
    <w:rsid w:val="007C1B50"/>
    <w:rsid w:val="007C2555"/>
    <w:rsid w:val="007C2720"/>
    <w:rsid w:val="007C2790"/>
    <w:rsid w:val="007C2EBB"/>
    <w:rsid w:val="007C41A4"/>
    <w:rsid w:val="007C4F88"/>
    <w:rsid w:val="007C50C6"/>
    <w:rsid w:val="007C5230"/>
    <w:rsid w:val="007C53FD"/>
    <w:rsid w:val="007C557B"/>
    <w:rsid w:val="007C5B89"/>
    <w:rsid w:val="007C6A66"/>
    <w:rsid w:val="007C6D4A"/>
    <w:rsid w:val="007C6EDA"/>
    <w:rsid w:val="007C6EFF"/>
    <w:rsid w:val="007C7876"/>
    <w:rsid w:val="007C7B94"/>
    <w:rsid w:val="007D029A"/>
    <w:rsid w:val="007D02D0"/>
    <w:rsid w:val="007D1686"/>
    <w:rsid w:val="007D2F08"/>
    <w:rsid w:val="007D2F90"/>
    <w:rsid w:val="007D2FFB"/>
    <w:rsid w:val="007D313B"/>
    <w:rsid w:val="007D37BE"/>
    <w:rsid w:val="007D4145"/>
    <w:rsid w:val="007D426E"/>
    <w:rsid w:val="007D469C"/>
    <w:rsid w:val="007D4866"/>
    <w:rsid w:val="007D4931"/>
    <w:rsid w:val="007D4E29"/>
    <w:rsid w:val="007D4E87"/>
    <w:rsid w:val="007D54D7"/>
    <w:rsid w:val="007D5577"/>
    <w:rsid w:val="007D55D1"/>
    <w:rsid w:val="007D5906"/>
    <w:rsid w:val="007D64CF"/>
    <w:rsid w:val="007D665A"/>
    <w:rsid w:val="007D6B83"/>
    <w:rsid w:val="007D7A50"/>
    <w:rsid w:val="007D7BA6"/>
    <w:rsid w:val="007D7D0E"/>
    <w:rsid w:val="007E0296"/>
    <w:rsid w:val="007E067C"/>
    <w:rsid w:val="007E0A7D"/>
    <w:rsid w:val="007E0EFC"/>
    <w:rsid w:val="007E17F7"/>
    <w:rsid w:val="007E31F2"/>
    <w:rsid w:val="007E35D0"/>
    <w:rsid w:val="007E3856"/>
    <w:rsid w:val="007E39D7"/>
    <w:rsid w:val="007E3B99"/>
    <w:rsid w:val="007E433B"/>
    <w:rsid w:val="007E48EC"/>
    <w:rsid w:val="007E4939"/>
    <w:rsid w:val="007E4C1A"/>
    <w:rsid w:val="007E4DEA"/>
    <w:rsid w:val="007E519F"/>
    <w:rsid w:val="007E5A84"/>
    <w:rsid w:val="007E5DC3"/>
    <w:rsid w:val="007E68A1"/>
    <w:rsid w:val="007E6F74"/>
    <w:rsid w:val="007E7199"/>
    <w:rsid w:val="007E761D"/>
    <w:rsid w:val="007E76F9"/>
    <w:rsid w:val="007F0306"/>
    <w:rsid w:val="007F055F"/>
    <w:rsid w:val="007F0A24"/>
    <w:rsid w:val="007F0C7B"/>
    <w:rsid w:val="007F1A6F"/>
    <w:rsid w:val="007F2654"/>
    <w:rsid w:val="007F2B2E"/>
    <w:rsid w:val="007F2B8E"/>
    <w:rsid w:val="007F35EC"/>
    <w:rsid w:val="007F37EE"/>
    <w:rsid w:val="007F3B18"/>
    <w:rsid w:val="007F3F40"/>
    <w:rsid w:val="007F422A"/>
    <w:rsid w:val="007F4B44"/>
    <w:rsid w:val="007F4C57"/>
    <w:rsid w:val="007F4DB4"/>
    <w:rsid w:val="007F4F85"/>
    <w:rsid w:val="007F593B"/>
    <w:rsid w:val="007F5EA5"/>
    <w:rsid w:val="007F6C72"/>
    <w:rsid w:val="007F76C3"/>
    <w:rsid w:val="007F79AB"/>
    <w:rsid w:val="007F79FC"/>
    <w:rsid w:val="00800887"/>
    <w:rsid w:val="008009F6"/>
    <w:rsid w:val="008014EC"/>
    <w:rsid w:val="00801C8A"/>
    <w:rsid w:val="008020FD"/>
    <w:rsid w:val="00802A7B"/>
    <w:rsid w:val="008035E5"/>
    <w:rsid w:val="00803684"/>
    <w:rsid w:val="00803AD8"/>
    <w:rsid w:val="00803C0F"/>
    <w:rsid w:val="00804872"/>
    <w:rsid w:val="00804BE6"/>
    <w:rsid w:val="00804D6E"/>
    <w:rsid w:val="00805716"/>
    <w:rsid w:val="00805B0B"/>
    <w:rsid w:val="00805B80"/>
    <w:rsid w:val="00805F9A"/>
    <w:rsid w:val="00806240"/>
    <w:rsid w:val="0080629F"/>
    <w:rsid w:val="00806423"/>
    <w:rsid w:val="00806CB7"/>
    <w:rsid w:val="008076DB"/>
    <w:rsid w:val="00807730"/>
    <w:rsid w:val="00807ED0"/>
    <w:rsid w:val="00807FA1"/>
    <w:rsid w:val="0081180E"/>
    <w:rsid w:val="00812094"/>
    <w:rsid w:val="008120A7"/>
    <w:rsid w:val="00813027"/>
    <w:rsid w:val="00813229"/>
    <w:rsid w:val="008133F3"/>
    <w:rsid w:val="0081392F"/>
    <w:rsid w:val="008140F6"/>
    <w:rsid w:val="008147F4"/>
    <w:rsid w:val="00814C18"/>
    <w:rsid w:val="00815C18"/>
    <w:rsid w:val="0081622C"/>
    <w:rsid w:val="008163AE"/>
    <w:rsid w:val="008173EA"/>
    <w:rsid w:val="00817482"/>
    <w:rsid w:val="00817788"/>
    <w:rsid w:val="008177B3"/>
    <w:rsid w:val="00817C60"/>
    <w:rsid w:val="00820617"/>
    <w:rsid w:val="00820656"/>
    <w:rsid w:val="00820753"/>
    <w:rsid w:val="00821193"/>
    <w:rsid w:val="0082129A"/>
    <w:rsid w:val="0082171D"/>
    <w:rsid w:val="00821B00"/>
    <w:rsid w:val="00821BA8"/>
    <w:rsid w:val="008223B6"/>
    <w:rsid w:val="008229E9"/>
    <w:rsid w:val="008235BE"/>
    <w:rsid w:val="00825612"/>
    <w:rsid w:val="0082649F"/>
    <w:rsid w:val="008274BA"/>
    <w:rsid w:val="00827567"/>
    <w:rsid w:val="0082756D"/>
    <w:rsid w:val="00830A2E"/>
    <w:rsid w:val="00830FCF"/>
    <w:rsid w:val="008316E2"/>
    <w:rsid w:val="0083186B"/>
    <w:rsid w:val="00831C9F"/>
    <w:rsid w:val="008322FD"/>
    <w:rsid w:val="00832A15"/>
    <w:rsid w:val="008330C3"/>
    <w:rsid w:val="0083354C"/>
    <w:rsid w:val="00833FA3"/>
    <w:rsid w:val="00833FE8"/>
    <w:rsid w:val="00834BAA"/>
    <w:rsid w:val="00834EE8"/>
    <w:rsid w:val="0083590F"/>
    <w:rsid w:val="00835B8B"/>
    <w:rsid w:val="00835E87"/>
    <w:rsid w:val="00835F0D"/>
    <w:rsid w:val="00836485"/>
    <w:rsid w:val="00836D2E"/>
    <w:rsid w:val="00837502"/>
    <w:rsid w:val="0083750C"/>
    <w:rsid w:val="00837886"/>
    <w:rsid w:val="00840A3D"/>
    <w:rsid w:val="0084110C"/>
    <w:rsid w:val="0084135E"/>
    <w:rsid w:val="00841B1B"/>
    <w:rsid w:val="0084205D"/>
    <w:rsid w:val="008422F1"/>
    <w:rsid w:val="0084256E"/>
    <w:rsid w:val="00842974"/>
    <w:rsid w:val="00842CC0"/>
    <w:rsid w:val="0084328A"/>
    <w:rsid w:val="00843FCC"/>
    <w:rsid w:val="008445D3"/>
    <w:rsid w:val="008473E6"/>
    <w:rsid w:val="00847B56"/>
    <w:rsid w:val="008507B3"/>
    <w:rsid w:val="008508D7"/>
    <w:rsid w:val="008509B6"/>
    <w:rsid w:val="00850AAD"/>
    <w:rsid w:val="00850E39"/>
    <w:rsid w:val="0085133F"/>
    <w:rsid w:val="008526AC"/>
    <w:rsid w:val="0085291F"/>
    <w:rsid w:val="008536E8"/>
    <w:rsid w:val="00853EF9"/>
    <w:rsid w:val="0085567A"/>
    <w:rsid w:val="00856F9B"/>
    <w:rsid w:val="00857715"/>
    <w:rsid w:val="00860170"/>
    <w:rsid w:val="008601C7"/>
    <w:rsid w:val="008607D0"/>
    <w:rsid w:val="00861511"/>
    <w:rsid w:val="0086194D"/>
    <w:rsid w:val="00861E03"/>
    <w:rsid w:val="00861ED8"/>
    <w:rsid w:val="00861F51"/>
    <w:rsid w:val="00862233"/>
    <w:rsid w:val="00862486"/>
    <w:rsid w:val="008627CB"/>
    <w:rsid w:val="00862BFC"/>
    <w:rsid w:val="008637A2"/>
    <w:rsid w:val="00863BDD"/>
    <w:rsid w:val="00864047"/>
    <w:rsid w:val="0086488B"/>
    <w:rsid w:val="008652B4"/>
    <w:rsid w:val="008654ED"/>
    <w:rsid w:val="0086575D"/>
    <w:rsid w:val="00865F6D"/>
    <w:rsid w:val="00866560"/>
    <w:rsid w:val="00866B32"/>
    <w:rsid w:val="008676F6"/>
    <w:rsid w:val="00870011"/>
    <w:rsid w:val="00870539"/>
    <w:rsid w:val="00870A86"/>
    <w:rsid w:val="008711B6"/>
    <w:rsid w:val="00871D02"/>
    <w:rsid w:val="00871E03"/>
    <w:rsid w:val="00872071"/>
    <w:rsid w:val="00872229"/>
    <w:rsid w:val="008723F7"/>
    <w:rsid w:val="008727B7"/>
    <w:rsid w:val="00872D2D"/>
    <w:rsid w:val="00873372"/>
    <w:rsid w:val="00873A51"/>
    <w:rsid w:val="00873D45"/>
    <w:rsid w:val="00873DF5"/>
    <w:rsid w:val="0087468D"/>
    <w:rsid w:val="00874E86"/>
    <w:rsid w:val="008756E1"/>
    <w:rsid w:val="0087571A"/>
    <w:rsid w:val="00875A1F"/>
    <w:rsid w:val="00875FC8"/>
    <w:rsid w:val="0087687C"/>
    <w:rsid w:val="00876A3C"/>
    <w:rsid w:val="00877125"/>
    <w:rsid w:val="00877375"/>
    <w:rsid w:val="00877669"/>
    <w:rsid w:val="00877798"/>
    <w:rsid w:val="0088039C"/>
    <w:rsid w:val="008807F6"/>
    <w:rsid w:val="00880A07"/>
    <w:rsid w:val="008810B8"/>
    <w:rsid w:val="008813AF"/>
    <w:rsid w:val="0088158E"/>
    <w:rsid w:val="00881C8D"/>
    <w:rsid w:val="00882CBF"/>
    <w:rsid w:val="00882E4A"/>
    <w:rsid w:val="008831A1"/>
    <w:rsid w:val="00883F86"/>
    <w:rsid w:val="00884596"/>
    <w:rsid w:val="00885447"/>
    <w:rsid w:val="0088590E"/>
    <w:rsid w:val="00885CDE"/>
    <w:rsid w:val="00885F77"/>
    <w:rsid w:val="00885FE5"/>
    <w:rsid w:val="0088695B"/>
    <w:rsid w:val="00886ADA"/>
    <w:rsid w:val="00886DAF"/>
    <w:rsid w:val="00887EEB"/>
    <w:rsid w:val="00890283"/>
    <w:rsid w:val="00891488"/>
    <w:rsid w:val="0089161C"/>
    <w:rsid w:val="00892612"/>
    <w:rsid w:val="00892899"/>
    <w:rsid w:val="00892A86"/>
    <w:rsid w:val="00892C18"/>
    <w:rsid w:val="00893127"/>
    <w:rsid w:val="00893315"/>
    <w:rsid w:val="008937FB"/>
    <w:rsid w:val="00893EF7"/>
    <w:rsid w:val="008942E0"/>
    <w:rsid w:val="008944D6"/>
    <w:rsid w:val="00894EB4"/>
    <w:rsid w:val="00895519"/>
    <w:rsid w:val="00895B71"/>
    <w:rsid w:val="00895F58"/>
    <w:rsid w:val="00896181"/>
    <w:rsid w:val="00896363"/>
    <w:rsid w:val="008966E0"/>
    <w:rsid w:val="00896A40"/>
    <w:rsid w:val="00897F8C"/>
    <w:rsid w:val="008A07CE"/>
    <w:rsid w:val="008A0956"/>
    <w:rsid w:val="008A0AF5"/>
    <w:rsid w:val="008A0D6C"/>
    <w:rsid w:val="008A0F2E"/>
    <w:rsid w:val="008A16AC"/>
    <w:rsid w:val="008A1E5A"/>
    <w:rsid w:val="008A244F"/>
    <w:rsid w:val="008A2AFB"/>
    <w:rsid w:val="008A4959"/>
    <w:rsid w:val="008A4D54"/>
    <w:rsid w:val="008A4F61"/>
    <w:rsid w:val="008A54AC"/>
    <w:rsid w:val="008A5A4B"/>
    <w:rsid w:val="008A646B"/>
    <w:rsid w:val="008A66C5"/>
    <w:rsid w:val="008A68CD"/>
    <w:rsid w:val="008A69D4"/>
    <w:rsid w:val="008A6AB0"/>
    <w:rsid w:val="008A6BFC"/>
    <w:rsid w:val="008A7EC9"/>
    <w:rsid w:val="008B0820"/>
    <w:rsid w:val="008B138B"/>
    <w:rsid w:val="008B1DB4"/>
    <w:rsid w:val="008B1E2F"/>
    <w:rsid w:val="008B206D"/>
    <w:rsid w:val="008B220F"/>
    <w:rsid w:val="008B37C8"/>
    <w:rsid w:val="008B3D92"/>
    <w:rsid w:val="008B4329"/>
    <w:rsid w:val="008B48E8"/>
    <w:rsid w:val="008B4F48"/>
    <w:rsid w:val="008B546D"/>
    <w:rsid w:val="008B58EC"/>
    <w:rsid w:val="008B5D17"/>
    <w:rsid w:val="008B6D84"/>
    <w:rsid w:val="008C02EE"/>
    <w:rsid w:val="008C0FC5"/>
    <w:rsid w:val="008C14F6"/>
    <w:rsid w:val="008C16A0"/>
    <w:rsid w:val="008C1C29"/>
    <w:rsid w:val="008C1DEC"/>
    <w:rsid w:val="008C1E6F"/>
    <w:rsid w:val="008C2121"/>
    <w:rsid w:val="008C2267"/>
    <w:rsid w:val="008C2689"/>
    <w:rsid w:val="008C2729"/>
    <w:rsid w:val="008C2D1A"/>
    <w:rsid w:val="008C32F1"/>
    <w:rsid w:val="008C3759"/>
    <w:rsid w:val="008C3A87"/>
    <w:rsid w:val="008C3E4D"/>
    <w:rsid w:val="008C4B3C"/>
    <w:rsid w:val="008C4DFA"/>
    <w:rsid w:val="008C532C"/>
    <w:rsid w:val="008C55D3"/>
    <w:rsid w:val="008C59F7"/>
    <w:rsid w:val="008C5F37"/>
    <w:rsid w:val="008C6127"/>
    <w:rsid w:val="008C61F9"/>
    <w:rsid w:val="008C6351"/>
    <w:rsid w:val="008C68B7"/>
    <w:rsid w:val="008C6BC7"/>
    <w:rsid w:val="008C6E7F"/>
    <w:rsid w:val="008C6F17"/>
    <w:rsid w:val="008C75EC"/>
    <w:rsid w:val="008C7780"/>
    <w:rsid w:val="008C7E62"/>
    <w:rsid w:val="008D057C"/>
    <w:rsid w:val="008D06EC"/>
    <w:rsid w:val="008D0E42"/>
    <w:rsid w:val="008D17E4"/>
    <w:rsid w:val="008D19AD"/>
    <w:rsid w:val="008D22C5"/>
    <w:rsid w:val="008D2404"/>
    <w:rsid w:val="008D24AF"/>
    <w:rsid w:val="008D2C0C"/>
    <w:rsid w:val="008D2CB5"/>
    <w:rsid w:val="008D3C9E"/>
    <w:rsid w:val="008D4419"/>
    <w:rsid w:val="008D68C6"/>
    <w:rsid w:val="008D7A74"/>
    <w:rsid w:val="008E08FA"/>
    <w:rsid w:val="008E0D81"/>
    <w:rsid w:val="008E0D96"/>
    <w:rsid w:val="008E162C"/>
    <w:rsid w:val="008E2077"/>
    <w:rsid w:val="008E27B8"/>
    <w:rsid w:val="008E2869"/>
    <w:rsid w:val="008E2D6E"/>
    <w:rsid w:val="008E3907"/>
    <w:rsid w:val="008E44FF"/>
    <w:rsid w:val="008E52AE"/>
    <w:rsid w:val="008E552F"/>
    <w:rsid w:val="008E5B07"/>
    <w:rsid w:val="008E5DB1"/>
    <w:rsid w:val="008E606C"/>
    <w:rsid w:val="008E6220"/>
    <w:rsid w:val="008E73B9"/>
    <w:rsid w:val="008E7531"/>
    <w:rsid w:val="008E79DC"/>
    <w:rsid w:val="008E7B75"/>
    <w:rsid w:val="008E7C89"/>
    <w:rsid w:val="008F001C"/>
    <w:rsid w:val="008F0163"/>
    <w:rsid w:val="008F0D0C"/>
    <w:rsid w:val="008F13B0"/>
    <w:rsid w:val="008F14A6"/>
    <w:rsid w:val="008F1532"/>
    <w:rsid w:val="008F167A"/>
    <w:rsid w:val="008F17B6"/>
    <w:rsid w:val="008F183E"/>
    <w:rsid w:val="008F18C7"/>
    <w:rsid w:val="008F206D"/>
    <w:rsid w:val="008F260F"/>
    <w:rsid w:val="008F3788"/>
    <w:rsid w:val="008F3E9E"/>
    <w:rsid w:val="008F3F28"/>
    <w:rsid w:val="008F3FBC"/>
    <w:rsid w:val="008F51B4"/>
    <w:rsid w:val="008F5451"/>
    <w:rsid w:val="008F5D36"/>
    <w:rsid w:val="008F5E23"/>
    <w:rsid w:val="008F60D2"/>
    <w:rsid w:val="008F6AEF"/>
    <w:rsid w:val="008F6C8B"/>
    <w:rsid w:val="008F766E"/>
    <w:rsid w:val="008F7DEE"/>
    <w:rsid w:val="009005BB"/>
    <w:rsid w:val="00900E70"/>
    <w:rsid w:val="00901AB6"/>
    <w:rsid w:val="00902559"/>
    <w:rsid w:val="0090261E"/>
    <w:rsid w:val="00902F13"/>
    <w:rsid w:val="00903414"/>
    <w:rsid w:val="009038BB"/>
    <w:rsid w:val="00903A5D"/>
    <w:rsid w:val="00903F28"/>
    <w:rsid w:val="009046B8"/>
    <w:rsid w:val="00904F00"/>
    <w:rsid w:val="00905679"/>
    <w:rsid w:val="00905860"/>
    <w:rsid w:val="009058BA"/>
    <w:rsid w:val="009059A7"/>
    <w:rsid w:val="009061C8"/>
    <w:rsid w:val="009062A7"/>
    <w:rsid w:val="0090661A"/>
    <w:rsid w:val="00906A6A"/>
    <w:rsid w:val="00906DF7"/>
    <w:rsid w:val="0090750D"/>
    <w:rsid w:val="00907EF0"/>
    <w:rsid w:val="009100EE"/>
    <w:rsid w:val="0091026F"/>
    <w:rsid w:val="009111E1"/>
    <w:rsid w:val="00911CA9"/>
    <w:rsid w:val="00911FF8"/>
    <w:rsid w:val="00912660"/>
    <w:rsid w:val="009136BE"/>
    <w:rsid w:val="00914093"/>
    <w:rsid w:val="00914516"/>
    <w:rsid w:val="00914C05"/>
    <w:rsid w:val="009156F8"/>
    <w:rsid w:val="00915CB1"/>
    <w:rsid w:val="009161FB"/>
    <w:rsid w:val="0091631F"/>
    <w:rsid w:val="00916959"/>
    <w:rsid w:val="0091748E"/>
    <w:rsid w:val="0091773D"/>
    <w:rsid w:val="0092024D"/>
    <w:rsid w:val="00920628"/>
    <w:rsid w:val="00920BC0"/>
    <w:rsid w:val="00921051"/>
    <w:rsid w:val="0092182C"/>
    <w:rsid w:val="00921EB4"/>
    <w:rsid w:val="0092263F"/>
    <w:rsid w:val="0092279C"/>
    <w:rsid w:val="00922E93"/>
    <w:rsid w:val="009230AD"/>
    <w:rsid w:val="00923381"/>
    <w:rsid w:val="00924632"/>
    <w:rsid w:val="00924642"/>
    <w:rsid w:val="00924672"/>
    <w:rsid w:val="00924F8B"/>
    <w:rsid w:val="00925214"/>
    <w:rsid w:val="00925757"/>
    <w:rsid w:val="00925B6F"/>
    <w:rsid w:val="00925DEF"/>
    <w:rsid w:val="009262A8"/>
    <w:rsid w:val="00926356"/>
    <w:rsid w:val="00926B78"/>
    <w:rsid w:val="00926BE3"/>
    <w:rsid w:val="00926D02"/>
    <w:rsid w:val="00926D18"/>
    <w:rsid w:val="00927705"/>
    <w:rsid w:val="00927C19"/>
    <w:rsid w:val="00927DB4"/>
    <w:rsid w:val="00930771"/>
    <w:rsid w:val="00930AA4"/>
    <w:rsid w:val="00930AED"/>
    <w:rsid w:val="00930BEF"/>
    <w:rsid w:val="00930EB2"/>
    <w:rsid w:val="00931380"/>
    <w:rsid w:val="00931F9D"/>
    <w:rsid w:val="00932AC1"/>
    <w:rsid w:val="00933470"/>
    <w:rsid w:val="00933860"/>
    <w:rsid w:val="00933B8D"/>
    <w:rsid w:val="00935245"/>
    <w:rsid w:val="00935502"/>
    <w:rsid w:val="00935A11"/>
    <w:rsid w:val="00935AFB"/>
    <w:rsid w:val="00935B2D"/>
    <w:rsid w:val="00935B77"/>
    <w:rsid w:val="0093674F"/>
    <w:rsid w:val="00936B3B"/>
    <w:rsid w:val="00936DE6"/>
    <w:rsid w:val="00937A50"/>
    <w:rsid w:val="00937B1B"/>
    <w:rsid w:val="00937B3F"/>
    <w:rsid w:val="00940822"/>
    <w:rsid w:val="00940953"/>
    <w:rsid w:val="00940D70"/>
    <w:rsid w:val="00940E59"/>
    <w:rsid w:val="009410C1"/>
    <w:rsid w:val="0094110A"/>
    <w:rsid w:val="009412A0"/>
    <w:rsid w:val="00941955"/>
    <w:rsid w:val="009423E6"/>
    <w:rsid w:val="00942404"/>
    <w:rsid w:val="009425B8"/>
    <w:rsid w:val="00943132"/>
    <w:rsid w:val="00943251"/>
    <w:rsid w:val="0094348D"/>
    <w:rsid w:val="00943D49"/>
    <w:rsid w:val="00944311"/>
    <w:rsid w:val="00944600"/>
    <w:rsid w:val="0094557E"/>
    <w:rsid w:val="00945783"/>
    <w:rsid w:val="00945AF5"/>
    <w:rsid w:val="00945E32"/>
    <w:rsid w:val="00946898"/>
    <w:rsid w:val="00946B3F"/>
    <w:rsid w:val="00946BA1"/>
    <w:rsid w:val="00946D6C"/>
    <w:rsid w:val="00947147"/>
    <w:rsid w:val="0094794D"/>
    <w:rsid w:val="0094797D"/>
    <w:rsid w:val="00947F5A"/>
    <w:rsid w:val="0095090C"/>
    <w:rsid w:val="009515E7"/>
    <w:rsid w:val="0095176F"/>
    <w:rsid w:val="00951916"/>
    <w:rsid w:val="00952AC3"/>
    <w:rsid w:val="00952D34"/>
    <w:rsid w:val="00952F9B"/>
    <w:rsid w:val="009534CF"/>
    <w:rsid w:val="00954075"/>
    <w:rsid w:val="0095419C"/>
    <w:rsid w:val="00954548"/>
    <w:rsid w:val="00954924"/>
    <w:rsid w:val="00954A5A"/>
    <w:rsid w:val="00954E2D"/>
    <w:rsid w:val="0095636C"/>
    <w:rsid w:val="0095648D"/>
    <w:rsid w:val="00956928"/>
    <w:rsid w:val="00956B43"/>
    <w:rsid w:val="0095759D"/>
    <w:rsid w:val="0096000F"/>
    <w:rsid w:val="009607D5"/>
    <w:rsid w:val="00960C04"/>
    <w:rsid w:val="009618BE"/>
    <w:rsid w:val="00963446"/>
    <w:rsid w:val="00963A7F"/>
    <w:rsid w:val="00964D92"/>
    <w:rsid w:val="009652B1"/>
    <w:rsid w:val="009652C9"/>
    <w:rsid w:val="00965FBF"/>
    <w:rsid w:val="00966449"/>
    <w:rsid w:val="0096670B"/>
    <w:rsid w:val="009669D9"/>
    <w:rsid w:val="009676D7"/>
    <w:rsid w:val="00967DB3"/>
    <w:rsid w:val="00967E90"/>
    <w:rsid w:val="0097002E"/>
    <w:rsid w:val="00970053"/>
    <w:rsid w:val="00970370"/>
    <w:rsid w:val="0097049F"/>
    <w:rsid w:val="009704B4"/>
    <w:rsid w:val="00970754"/>
    <w:rsid w:val="00970E54"/>
    <w:rsid w:val="00971218"/>
    <w:rsid w:val="0097136C"/>
    <w:rsid w:val="0097248B"/>
    <w:rsid w:val="00972752"/>
    <w:rsid w:val="00972E92"/>
    <w:rsid w:val="0097305F"/>
    <w:rsid w:val="0097348C"/>
    <w:rsid w:val="00974180"/>
    <w:rsid w:val="0097495D"/>
    <w:rsid w:val="00975632"/>
    <w:rsid w:val="009756A3"/>
    <w:rsid w:val="00975830"/>
    <w:rsid w:val="00975D3E"/>
    <w:rsid w:val="00976453"/>
    <w:rsid w:val="00976C31"/>
    <w:rsid w:val="009774E8"/>
    <w:rsid w:val="00977B3D"/>
    <w:rsid w:val="00977E05"/>
    <w:rsid w:val="009800B9"/>
    <w:rsid w:val="0098019E"/>
    <w:rsid w:val="00980B72"/>
    <w:rsid w:val="00981790"/>
    <w:rsid w:val="00981E8E"/>
    <w:rsid w:val="009821CA"/>
    <w:rsid w:val="00982BB8"/>
    <w:rsid w:val="00982DB7"/>
    <w:rsid w:val="00982E0D"/>
    <w:rsid w:val="00982F1B"/>
    <w:rsid w:val="00983142"/>
    <w:rsid w:val="00983465"/>
    <w:rsid w:val="0098351F"/>
    <w:rsid w:val="0098406B"/>
    <w:rsid w:val="00984225"/>
    <w:rsid w:val="009844C6"/>
    <w:rsid w:val="00984B83"/>
    <w:rsid w:val="00985316"/>
    <w:rsid w:val="0098543F"/>
    <w:rsid w:val="0098555D"/>
    <w:rsid w:val="00985710"/>
    <w:rsid w:val="00985AAB"/>
    <w:rsid w:val="00985AE2"/>
    <w:rsid w:val="00986212"/>
    <w:rsid w:val="00986326"/>
    <w:rsid w:val="009865F7"/>
    <w:rsid w:val="0098697C"/>
    <w:rsid w:val="00986A10"/>
    <w:rsid w:val="00986B7F"/>
    <w:rsid w:val="00987406"/>
    <w:rsid w:val="00987443"/>
    <w:rsid w:val="00987D84"/>
    <w:rsid w:val="00990361"/>
    <w:rsid w:val="0099045B"/>
    <w:rsid w:val="00990EA2"/>
    <w:rsid w:val="009916CE"/>
    <w:rsid w:val="00992AC1"/>
    <w:rsid w:val="00993506"/>
    <w:rsid w:val="00993538"/>
    <w:rsid w:val="0099359D"/>
    <w:rsid w:val="00993AFC"/>
    <w:rsid w:val="009946BF"/>
    <w:rsid w:val="00994D3A"/>
    <w:rsid w:val="00994F49"/>
    <w:rsid w:val="009962E7"/>
    <w:rsid w:val="00996384"/>
    <w:rsid w:val="00996901"/>
    <w:rsid w:val="00996CA2"/>
    <w:rsid w:val="0099704A"/>
    <w:rsid w:val="009975A4"/>
    <w:rsid w:val="00997884"/>
    <w:rsid w:val="009978BD"/>
    <w:rsid w:val="009978E4"/>
    <w:rsid w:val="009A04BC"/>
    <w:rsid w:val="009A0575"/>
    <w:rsid w:val="009A06E0"/>
    <w:rsid w:val="009A072F"/>
    <w:rsid w:val="009A07B4"/>
    <w:rsid w:val="009A0F75"/>
    <w:rsid w:val="009A1B52"/>
    <w:rsid w:val="009A1E22"/>
    <w:rsid w:val="009A30DC"/>
    <w:rsid w:val="009A3612"/>
    <w:rsid w:val="009A3FD9"/>
    <w:rsid w:val="009A4E12"/>
    <w:rsid w:val="009A4FFB"/>
    <w:rsid w:val="009A5957"/>
    <w:rsid w:val="009A59A1"/>
    <w:rsid w:val="009A6594"/>
    <w:rsid w:val="009A68A9"/>
    <w:rsid w:val="009A6B02"/>
    <w:rsid w:val="009A6B4D"/>
    <w:rsid w:val="009A6F34"/>
    <w:rsid w:val="009A71D1"/>
    <w:rsid w:val="009A7379"/>
    <w:rsid w:val="009B01EA"/>
    <w:rsid w:val="009B05B4"/>
    <w:rsid w:val="009B09C6"/>
    <w:rsid w:val="009B09F2"/>
    <w:rsid w:val="009B0A83"/>
    <w:rsid w:val="009B14D6"/>
    <w:rsid w:val="009B1949"/>
    <w:rsid w:val="009B31CC"/>
    <w:rsid w:val="009B3214"/>
    <w:rsid w:val="009B349E"/>
    <w:rsid w:val="009B36EC"/>
    <w:rsid w:val="009B3996"/>
    <w:rsid w:val="009B4722"/>
    <w:rsid w:val="009B501A"/>
    <w:rsid w:val="009B5321"/>
    <w:rsid w:val="009B5523"/>
    <w:rsid w:val="009B5A50"/>
    <w:rsid w:val="009B64B7"/>
    <w:rsid w:val="009B6AFE"/>
    <w:rsid w:val="009B747A"/>
    <w:rsid w:val="009B7B4E"/>
    <w:rsid w:val="009C0882"/>
    <w:rsid w:val="009C25E5"/>
    <w:rsid w:val="009C2D07"/>
    <w:rsid w:val="009C2D21"/>
    <w:rsid w:val="009C4AF2"/>
    <w:rsid w:val="009C5531"/>
    <w:rsid w:val="009C576A"/>
    <w:rsid w:val="009C585E"/>
    <w:rsid w:val="009C5A72"/>
    <w:rsid w:val="009C5BA9"/>
    <w:rsid w:val="009C5D75"/>
    <w:rsid w:val="009C61CF"/>
    <w:rsid w:val="009C65AA"/>
    <w:rsid w:val="009D004C"/>
    <w:rsid w:val="009D077B"/>
    <w:rsid w:val="009D0910"/>
    <w:rsid w:val="009D204C"/>
    <w:rsid w:val="009D2AD0"/>
    <w:rsid w:val="009D3BEE"/>
    <w:rsid w:val="009D3CBC"/>
    <w:rsid w:val="009D4A10"/>
    <w:rsid w:val="009D584C"/>
    <w:rsid w:val="009D58EC"/>
    <w:rsid w:val="009D66C5"/>
    <w:rsid w:val="009D70A3"/>
    <w:rsid w:val="009D7274"/>
    <w:rsid w:val="009D771A"/>
    <w:rsid w:val="009D7C38"/>
    <w:rsid w:val="009E0156"/>
    <w:rsid w:val="009E02E1"/>
    <w:rsid w:val="009E05E1"/>
    <w:rsid w:val="009E1991"/>
    <w:rsid w:val="009E1D76"/>
    <w:rsid w:val="009E2623"/>
    <w:rsid w:val="009E2A56"/>
    <w:rsid w:val="009E2AEA"/>
    <w:rsid w:val="009E2F40"/>
    <w:rsid w:val="009E336F"/>
    <w:rsid w:val="009E33DE"/>
    <w:rsid w:val="009E44CB"/>
    <w:rsid w:val="009E4503"/>
    <w:rsid w:val="009E4A4B"/>
    <w:rsid w:val="009E4CEE"/>
    <w:rsid w:val="009E4DD2"/>
    <w:rsid w:val="009E4FBA"/>
    <w:rsid w:val="009E5A8E"/>
    <w:rsid w:val="009E6662"/>
    <w:rsid w:val="009E6E8D"/>
    <w:rsid w:val="009E7140"/>
    <w:rsid w:val="009E73E8"/>
    <w:rsid w:val="009F00C3"/>
    <w:rsid w:val="009F02E2"/>
    <w:rsid w:val="009F033B"/>
    <w:rsid w:val="009F0B24"/>
    <w:rsid w:val="009F0BF4"/>
    <w:rsid w:val="009F0FB3"/>
    <w:rsid w:val="009F1F8F"/>
    <w:rsid w:val="009F23A0"/>
    <w:rsid w:val="009F2B1D"/>
    <w:rsid w:val="009F31CC"/>
    <w:rsid w:val="009F3F99"/>
    <w:rsid w:val="009F5793"/>
    <w:rsid w:val="009F6123"/>
    <w:rsid w:val="009F6481"/>
    <w:rsid w:val="009F6644"/>
    <w:rsid w:val="009F6742"/>
    <w:rsid w:val="009F6B86"/>
    <w:rsid w:val="009F70ED"/>
    <w:rsid w:val="00A0043B"/>
    <w:rsid w:val="00A0094B"/>
    <w:rsid w:val="00A01A2E"/>
    <w:rsid w:val="00A02708"/>
    <w:rsid w:val="00A02A52"/>
    <w:rsid w:val="00A02C6E"/>
    <w:rsid w:val="00A03D38"/>
    <w:rsid w:val="00A03D49"/>
    <w:rsid w:val="00A04135"/>
    <w:rsid w:val="00A042BC"/>
    <w:rsid w:val="00A04A41"/>
    <w:rsid w:val="00A0616E"/>
    <w:rsid w:val="00A061CD"/>
    <w:rsid w:val="00A06D7B"/>
    <w:rsid w:val="00A071E9"/>
    <w:rsid w:val="00A0772B"/>
    <w:rsid w:val="00A0788F"/>
    <w:rsid w:val="00A07967"/>
    <w:rsid w:val="00A07B0C"/>
    <w:rsid w:val="00A10456"/>
    <w:rsid w:val="00A10517"/>
    <w:rsid w:val="00A1159D"/>
    <w:rsid w:val="00A1297C"/>
    <w:rsid w:val="00A12B69"/>
    <w:rsid w:val="00A12C4D"/>
    <w:rsid w:val="00A14E73"/>
    <w:rsid w:val="00A1505B"/>
    <w:rsid w:val="00A15771"/>
    <w:rsid w:val="00A16320"/>
    <w:rsid w:val="00A165F1"/>
    <w:rsid w:val="00A20C4F"/>
    <w:rsid w:val="00A20CF9"/>
    <w:rsid w:val="00A20DCF"/>
    <w:rsid w:val="00A216D5"/>
    <w:rsid w:val="00A21871"/>
    <w:rsid w:val="00A21BC0"/>
    <w:rsid w:val="00A22D1D"/>
    <w:rsid w:val="00A2366B"/>
    <w:rsid w:val="00A236AF"/>
    <w:rsid w:val="00A23A41"/>
    <w:rsid w:val="00A23C2C"/>
    <w:rsid w:val="00A24D8A"/>
    <w:rsid w:val="00A25D89"/>
    <w:rsid w:val="00A25D99"/>
    <w:rsid w:val="00A2601E"/>
    <w:rsid w:val="00A26579"/>
    <w:rsid w:val="00A2680B"/>
    <w:rsid w:val="00A26CE0"/>
    <w:rsid w:val="00A2756E"/>
    <w:rsid w:val="00A27CE3"/>
    <w:rsid w:val="00A27D8F"/>
    <w:rsid w:val="00A3085A"/>
    <w:rsid w:val="00A30F5F"/>
    <w:rsid w:val="00A30F89"/>
    <w:rsid w:val="00A31E2F"/>
    <w:rsid w:val="00A32030"/>
    <w:rsid w:val="00A32197"/>
    <w:rsid w:val="00A32E7C"/>
    <w:rsid w:val="00A33126"/>
    <w:rsid w:val="00A33469"/>
    <w:rsid w:val="00A34791"/>
    <w:rsid w:val="00A352E7"/>
    <w:rsid w:val="00A35313"/>
    <w:rsid w:val="00A35511"/>
    <w:rsid w:val="00A35755"/>
    <w:rsid w:val="00A35836"/>
    <w:rsid w:val="00A35ED1"/>
    <w:rsid w:val="00A36029"/>
    <w:rsid w:val="00A36346"/>
    <w:rsid w:val="00A3739E"/>
    <w:rsid w:val="00A37573"/>
    <w:rsid w:val="00A40037"/>
    <w:rsid w:val="00A40097"/>
    <w:rsid w:val="00A401C0"/>
    <w:rsid w:val="00A40B1A"/>
    <w:rsid w:val="00A40DB0"/>
    <w:rsid w:val="00A40E05"/>
    <w:rsid w:val="00A40E1F"/>
    <w:rsid w:val="00A41363"/>
    <w:rsid w:val="00A4199E"/>
    <w:rsid w:val="00A41A66"/>
    <w:rsid w:val="00A423E1"/>
    <w:rsid w:val="00A4276A"/>
    <w:rsid w:val="00A427BA"/>
    <w:rsid w:val="00A42871"/>
    <w:rsid w:val="00A42C48"/>
    <w:rsid w:val="00A43271"/>
    <w:rsid w:val="00A43EE3"/>
    <w:rsid w:val="00A44049"/>
    <w:rsid w:val="00A44101"/>
    <w:rsid w:val="00A443BE"/>
    <w:rsid w:val="00A4462C"/>
    <w:rsid w:val="00A44C5B"/>
    <w:rsid w:val="00A44D29"/>
    <w:rsid w:val="00A44DEE"/>
    <w:rsid w:val="00A44E11"/>
    <w:rsid w:val="00A453F5"/>
    <w:rsid w:val="00A45A02"/>
    <w:rsid w:val="00A45B28"/>
    <w:rsid w:val="00A46110"/>
    <w:rsid w:val="00A46179"/>
    <w:rsid w:val="00A46322"/>
    <w:rsid w:val="00A470D2"/>
    <w:rsid w:val="00A505A0"/>
    <w:rsid w:val="00A5081B"/>
    <w:rsid w:val="00A5136E"/>
    <w:rsid w:val="00A51855"/>
    <w:rsid w:val="00A520DB"/>
    <w:rsid w:val="00A521B0"/>
    <w:rsid w:val="00A5220E"/>
    <w:rsid w:val="00A528D2"/>
    <w:rsid w:val="00A52A4B"/>
    <w:rsid w:val="00A5366C"/>
    <w:rsid w:val="00A536E4"/>
    <w:rsid w:val="00A54026"/>
    <w:rsid w:val="00A5464D"/>
    <w:rsid w:val="00A54B82"/>
    <w:rsid w:val="00A55344"/>
    <w:rsid w:val="00A5564B"/>
    <w:rsid w:val="00A56492"/>
    <w:rsid w:val="00A56C09"/>
    <w:rsid w:val="00A570AE"/>
    <w:rsid w:val="00A5727A"/>
    <w:rsid w:val="00A60280"/>
    <w:rsid w:val="00A61064"/>
    <w:rsid w:val="00A61207"/>
    <w:rsid w:val="00A616A7"/>
    <w:rsid w:val="00A618FA"/>
    <w:rsid w:val="00A62163"/>
    <w:rsid w:val="00A626DF"/>
    <w:rsid w:val="00A62857"/>
    <w:rsid w:val="00A629CC"/>
    <w:rsid w:val="00A635D1"/>
    <w:rsid w:val="00A6375E"/>
    <w:rsid w:val="00A63A43"/>
    <w:rsid w:val="00A643CD"/>
    <w:rsid w:val="00A6488E"/>
    <w:rsid w:val="00A64C40"/>
    <w:rsid w:val="00A651DC"/>
    <w:rsid w:val="00A653DF"/>
    <w:rsid w:val="00A657F7"/>
    <w:rsid w:val="00A6591C"/>
    <w:rsid w:val="00A65A33"/>
    <w:rsid w:val="00A65B04"/>
    <w:rsid w:val="00A660B1"/>
    <w:rsid w:val="00A66455"/>
    <w:rsid w:val="00A66508"/>
    <w:rsid w:val="00A669ED"/>
    <w:rsid w:val="00A66A31"/>
    <w:rsid w:val="00A708E7"/>
    <w:rsid w:val="00A708F8"/>
    <w:rsid w:val="00A70F8C"/>
    <w:rsid w:val="00A711CB"/>
    <w:rsid w:val="00A71A9F"/>
    <w:rsid w:val="00A71C0C"/>
    <w:rsid w:val="00A71C1A"/>
    <w:rsid w:val="00A71F1C"/>
    <w:rsid w:val="00A72150"/>
    <w:rsid w:val="00A72542"/>
    <w:rsid w:val="00A72D6D"/>
    <w:rsid w:val="00A7373C"/>
    <w:rsid w:val="00A7395A"/>
    <w:rsid w:val="00A73EC1"/>
    <w:rsid w:val="00A7403F"/>
    <w:rsid w:val="00A741B0"/>
    <w:rsid w:val="00A754B8"/>
    <w:rsid w:val="00A757FE"/>
    <w:rsid w:val="00A75F8E"/>
    <w:rsid w:val="00A76355"/>
    <w:rsid w:val="00A7649D"/>
    <w:rsid w:val="00A80593"/>
    <w:rsid w:val="00A8089A"/>
    <w:rsid w:val="00A80C14"/>
    <w:rsid w:val="00A811C2"/>
    <w:rsid w:val="00A813F2"/>
    <w:rsid w:val="00A81DF0"/>
    <w:rsid w:val="00A82859"/>
    <w:rsid w:val="00A82950"/>
    <w:rsid w:val="00A829B0"/>
    <w:rsid w:val="00A82F66"/>
    <w:rsid w:val="00A83034"/>
    <w:rsid w:val="00A835C5"/>
    <w:rsid w:val="00A84AF9"/>
    <w:rsid w:val="00A85FA9"/>
    <w:rsid w:val="00A8662B"/>
    <w:rsid w:val="00A87696"/>
    <w:rsid w:val="00A902D5"/>
    <w:rsid w:val="00A90508"/>
    <w:rsid w:val="00A90656"/>
    <w:rsid w:val="00A907CD"/>
    <w:rsid w:val="00A90DE1"/>
    <w:rsid w:val="00A90EC4"/>
    <w:rsid w:val="00A91132"/>
    <w:rsid w:val="00A91D09"/>
    <w:rsid w:val="00A92B8B"/>
    <w:rsid w:val="00A93AEE"/>
    <w:rsid w:val="00A93DAF"/>
    <w:rsid w:val="00A93DD4"/>
    <w:rsid w:val="00A95BC9"/>
    <w:rsid w:val="00A96735"/>
    <w:rsid w:val="00A9681E"/>
    <w:rsid w:val="00A96FA9"/>
    <w:rsid w:val="00A97804"/>
    <w:rsid w:val="00AA08FE"/>
    <w:rsid w:val="00AA1083"/>
    <w:rsid w:val="00AA1096"/>
    <w:rsid w:val="00AA1319"/>
    <w:rsid w:val="00AA14FB"/>
    <w:rsid w:val="00AA1524"/>
    <w:rsid w:val="00AA182A"/>
    <w:rsid w:val="00AA1C15"/>
    <w:rsid w:val="00AA1EE0"/>
    <w:rsid w:val="00AA2267"/>
    <w:rsid w:val="00AA31CF"/>
    <w:rsid w:val="00AA32C8"/>
    <w:rsid w:val="00AA34FA"/>
    <w:rsid w:val="00AA395C"/>
    <w:rsid w:val="00AA3BD7"/>
    <w:rsid w:val="00AA3E55"/>
    <w:rsid w:val="00AA3FD0"/>
    <w:rsid w:val="00AA427D"/>
    <w:rsid w:val="00AA43FC"/>
    <w:rsid w:val="00AA4832"/>
    <w:rsid w:val="00AA59CD"/>
    <w:rsid w:val="00AA5A37"/>
    <w:rsid w:val="00AA7C29"/>
    <w:rsid w:val="00AA7C9B"/>
    <w:rsid w:val="00AA7FD6"/>
    <w:rsid w:val="00AB0BB2"/>
    <w:rsid w:val="00AB0CE5"/>
    <w:rsid w:val="00AB1050"/>
    <w:rsid w:val="00AB1A18"/>
    <w:rsid w:val="00AB2128"/>
    <w:rsid w:val="00AB2978"/>
    <w:rsid w:val="00AB3D97"/>
    <w:rsid w:val="00AB4FBB"/>
    <w:rsid w:val="00AB5095"/>
    <w:rsid w:val="00AB5A4B"/>
    <w:rsid w:val="00AB6233"/>
    <w:rsid w:val="00AB6892"/>
    <w:rsid w:val="00AB6F5B"/>
    <w:rsid w:val="00AB7243"/>
    <w:rsid w:val="00AB7CB8"/>
    <w:rsid w:val="00AC0063"/>
    <w:rsid w:val="00AC08DD"/>
    <w:rsid w:val="00AC0D3D"/>
    <w:rsid w:val="00AC0DE4"/>
    <w:rsid w:val="00AC0EF3"/>
    <w:rsid w:val="00AC0F99"/>
    <w:rsid w:val="00AC17DB"/>
    <w:rsid w:val="00AC1ECC"/>
    <w:rsid w:val="00AC25B3"/>
    <w:rsid w:val="00AC2697"/>
    <w:rsid w:val="00AC2A30"/>
    <w:rsid w:val="00AC2D03"/>
    <w:rsid w:val="00AC30BB"/>
    <w:rsid w:val="00AC4AC6"/>
    <w:rsid w:val="00AC4D27"/>
    <w:rsid w:val="00AC4D8F"/>
    <w:rsid w:val="00AC4F97"/>
    <w:rsid w:val="00AC5070"/>
    <w:rsid w:val="00AC53B2"/>
    <w:rsid w:val="00AC5408"/>
    <w:rsid w:val="00AC5654"/>
    <w:rsid w:val="00AC567A"/>
    <w:rsid w:val="00AC67FE"/>
    <w:rsid w:val="00AC7B42"/>
    <w:rsid w:val="00AD0A65"/>
    <w:rsid w:val="00AD0C83"/>
    <w:rsid w:val="00AD1550"/>
    <w:rsid w:val="00AD17C0"/>
    <w:rsid w:val="00AD1D30"/>
    <w:rsid w:val="00AD24B7"/>
    <w:rsid w:val="00AD2E5B"/>
    <w:rsid w:val="00AD2FD2"/>
    <w:rsid w:val="00AD4151"/>
    <w:rsid w:val="00AD4683"/>
    <w:rsid w:val="00AD474E"/>
    <w:rsid w:val="00AD539D"/>
    <w:rsid w:val="00AD57C7"/>
    <w:rsid w:val="00AD593A"/>
    <w:rsid w:val="00AD5AA5"/>
    <w:rsid w:val="00AE0511"/>
    <w:rsid w:val="00AE139B"/>
    <w:rsid w:val="00AE17B0"/>
    <w:rsid w:val="00AE1E68"/>
    <w:rsid w:val="00AE2363"/>
    <w:rsid w:val="00AE2A6A"/>
    <w:rsid w:val="00AE2E6A"/>
    <w:rsid w:val="00AE34EA"/>
    <w:rsid w:val="00AE376D"/>
    <w:rsid w:val="00AE39B3"/>
    <w:rsid w:val="00AE3A6C"/>
    <w:rsid w:val="00AE3A8B"/>
    <w:rsid w:val="00AE4107"/>
    <w:rsid w:val="00AE4198"/>
    <w:rsid w:val="00AE43C5"/>
    <w:rsid w:val="00AE4922"/>
    <w:rsid w:val="00AE4F8E"/>
    <w:rsid w:val="00AE54C6"/>
    <w:rsid w:val="00AE57A7"/>
    <w:rsid w:val="00AE5CFA"/>
    <w:rsid w:val="00AE69EA"/>
    <w:rsid w:val="00AE6FE0"/>
    <w:rsid w:val="00AE7027"/>
    <w:rsid w:val="00AE72A0"/>
    <w:rsid w:val="00AE7646"/>
    <w:rsid w:val="00AE7CA6"/>
    <w:rsid w:val="00AF0265"/>
    <w:rsid w:val="00AF02F0"/>
    <w:rsid w:val="00AF0F8E"/>
    <w:rsid w:val="00AF1C2A"/>
    <w:rsid w:val="00AF20AE"/>
    <w:rsid w:val="00AF2597"/>
    <w:rsid w:val="00AF25C5"/>
    <w:rsid w:val="00AF2737"/>
    <w:rsid w:val="00AF3307"/>
    <w:rsid w:val="00AF3343"/>
    <w:rsid w:val="00AF38CE"/>
    <w:rsid w:val="00AF4049"/>
    <w:rsid w:val="00AF4772"/>
    <w:rsid w:val="00AF4B87"/>
    <w:rsid w:val="00AF5069"/>
    <w:rsid w:val="00AF5411"/>
    <w:rsid w:val="00AF5AE9"/>
    <w:rsid w:val="00AF61E3"/>
    <w:rsid w:val="00AF6211"/>
    <w:rsid w:val="00AF68BC"/>
    <w:rsid w:val="00AF790A"/>
    <w:rsid w:val="00B0073E"/>
    <w:rsid w:val="00B007AD"/>
    <w:rsid w:val="00B00E79"/>
    <w:rsid w:val="00B00ED9"/>
    <w:rsid w:val="00B013B7"/>
    <w:rsid w:val="00B02101"/>
    <w:rsid w:val="00B03E63"/>
    <w:rsid w:val="00B03EA6"/>
    <w:rsid w:val="00B0414A"/>
    <w:rsid w:val="00B0533F"/>
    <w:rsid w:val="00B0726D"/>
    <w:rsid w:val="00B0731D"/>
    <w:rsid w:val="00B07547"/>
    <w:rsid w:val="00B0774B"/>
    <w:rsid w:val="00B07A5C"/>
    <w:rsid w:val="00B07BFD"/>
    <w:rsid w:val="00B1022B"/>
    <w:rsid w:val="00B109AF"/>
    <w:rsid w:val="00B113B8"/>
    <w:rsid w:val="00B11D3A"/>
    <w:rsid w:val="00B11ECD"/>
    <w:rsid w:val="00B11FB4"/>
    <w:rsid w:val="00B14C47"/>
    <w:rsid w:val="00B153C1"/>
    <w:rsid w:val="00B1634B"/>
    <w:rsid w:val="00B1670F"/>
    <w:rsid w:val="00B167FD"/>
    <w:rsid w:val="00B1684D"/>
    <w:rsid w:val="00B16884"/>
    <w:rsid w:val="00B16DD7"/>
    <w:rsid w:val="00B17404"/>
    <w:rsid w:val="00B17B75"/>
    <w:rsid w:val="00B2025E"/>
    <w:rsid w:val="00B208F5"/>
    <w:rsid w:val="00B20CFB"/>
    <w:rsid w:val="00B2105F"/>
    <w:rsid w:val="00B2185C"/>
    <w:rsid w:val="00B21938"/>
    <w:rsid w:val="00B21F81"/>
    <w:rsid w:val="00B22383"/>
    <w:rsid w:val="00B2280B"/>
    <w:rsid w:val="00B22B6D"/>
    <w:rsid w:val="00B234EF"/>
    <w:rsid w:val="00B2367F"/>
    <w:rsid w:val="00B24426"/>
    <w:rsid w:val="00B25675"/>
    <w:rsid w:val="00B25E01"/>
    <w:rsid w:val="00B2638E"/>
    <w:rsid w:val="00B26F5B"/>
    <w:rsid w:val="00B26F5F"/>
    <w:rsid w:val="00B27144"/>
    <w:rsid w:val="00B272E5"/>
    <w:rsid w:val="00B276A9"/>
    <w:rsid w:val="00B277F4"/>
    <w:rsid w:val="00B302B5"/>
    <w:rsid w:val="00B30591"/>
    <w:rsid w:val="00B30806"/>
    <w:rsid w:val="00B30DBA"/>
    <w:rsid w:val="00B317A4"/>
    <w:rsid w:val="00B319F7"/>
    <w:rsid w:val="00B32212"/>
    <w:rsid w:val="00B330BB"/>
    <w:rsid w:val="00B3353B"/>
    <w:rsid w:val="00B34177"/>
    <w:rsid w:val="00B3456A"/>
    <w:rsid w:val="00B34CAF"/>
    <w:rsid w:val="00B34CFF"/>
    <w:rsid w:val="00B34D23"/>
    <w:rsid w:val="00B356BF"/>
    <w:rsid w:val="00B357BA"/>
    <w:rsid w:val="00B35A09"/>
    <w:rsid w:val="00B373A2"/>
    <w:rsid w:val="00B3749E"/>
    <w:rsid w:val="00B37806"/>
    <w:rsid w:val="00B37863"/>
    <w:rsid w:val="00B404C6"/>
    <w:rsid w:val="00B40946"/>
    <w:rsid w:val="00B40A1F"/>
    <w:rsid w:val="00B410CF"/>
    <w:rsid w:val="00B4142A"/>
    <w:rsid w:val="00B41493"/>
    <w:rsid w:val="00B41E75"/>
    <w:rsid w:val="00B433CB"/>
    <w:rsid w:val="00B43A50"/>
    <w:rsid w:val="00B43F95"/>
    <w:rsid w:val="00B4400B"/>
    <w:rsid w:val="00B44305"/>
    <w:rsid w:val="00B44312"/>
    <w:rsid w:val="00B458A3"/>
    <w:rsid w:val="00B460F2"/>
    <w:rsid w:val="00B464D1"/>
    <w:rsid w:val="00B46893"/>
    <w:rsid w:val="00B46CE2"/>
    <w:rsid w:val="00B46DFA"/>
    <w:rsid w:val="00B47A30"/>
    <w:rsid w:val="00B505FB"/>
    <w:rsid w:val="00B5066A"/>
    <w:rsid w:val="00B50683"/>
    <w:rsid w:val="00B51088"/>
    <w:rsid w:val="00B51843"/>
    <w:rsid w:val="00B51A32"/>
    <w:rsid w:val="00B51B6E"/>
    <w:rsid w:val="00B51C1B"/>
    <w:rsid w:val="00B51EAA"/>
    <w:rsid w:val="00B522D3"/>
    <w:rsid w:val="00B522DF"/>
    <w:rsid w:val="00B5257D"/>
    <w:rsid w:val="00B528E4"/>
    <w:rsid w:val="00B52B55"/>
    <w:rsid w:val="00B533B5"/>
    <w:rsid w:val="00B53749"/>
    <w:rsid w:val="00B545C0"/>
    <w:rsid w:val="00B5489F"/>
    <w:rsid w:val="00B54C5C"/>
    <w:rsid w:val="00B54CA4"/>
    <w:rsid w:val="00B54F55"/>
    <w:rsid w:val="00B5718D"/>
    <w:rsid w:val="00B573A0"/>
    <w:rsid w:val="00B57822"/>
    <w:rsid w:val="00B57B04"/>
    <w:rsid w:val="00B57F43"/>
    <w:rsid w:val="00B603E5"/>
    <w:rsid w:val="00B61BA0"/>
    <w:rsid w:val="00B620A0"/>
    <w:rsid w:val="00B626E8"/>
    <w:rsid w:val="00B6285D"/>
    <w:rsid w:val="00B62A15"/>
    <w:rsid w:val="00B62D57"/>
    <w:rsid w:val="00B62EC8"/>
    <w:rsid w:val="00B63177"/>
    <w:rsid w:val="00B638ED"/>
    <w:rsid w:val="00B63DFA"/>
    <w:rsid w:val="00B63E9A"/>
    <w:rsid w:val="00B64105"/>
    <w:rsid w:val="00B64AA5"/>
    <w:rsid w:val="00B64DEB"/>
    <w:rsid w:val="00B65249"/>
    <w:rsid w:val="00B65806"/>
    <w:rsid w:val="00B659B7"/>
    <w:rsid w:val="00B6636A"/>
    <w:rsid w:val="00B66436"/>
    <w:rsid w:val="00B664A2"/>
    <w:rsid w:val="00B669D2"/>
    <w:rsid w:val="00B66BDC"/>
    <w:rsid w:val="00B66E53"/>
    <w:rsid w:val="00B67239"/>
    <w:rsid w:val="00B67A7E"/>
    <w:rsid w:val="00B70E11"/>
    <w:rsid w:val="00B711E5"/>
    <w:rsid w:val="00B7122E"/>
    <w:rsid w:val="00B71589"/>
    <w:rsid w:val="00B71A61"/>
    <w:rsid w:val="00B71AD6"/>
    <w:rsid w:val="00B72508"/>
    <w:rsid w:val="00B72828"/>
    <w:rsid w:val="00B72E56"/>
    <w:rsid w:val="00B73CF9"/>
    <w:rsid w:val="00B73E91"/>
    <w:rsid w:val="00B7478A"/>
    <w:rsid w:val="00B7480F"/>
    <w:rsid w:val="00B74D0B"/>
    <w:rsid w:val="00B74DCC"/>
    <w:rsid w:val="00B7526D"/>
    <w:rsid w:val="00B75606"/>
    <w:rsid w:val="00B75DC0"/>
    <w:rsid w:val="00B7665E"/>
    <w:rsid w:val="00B76C61"/>
    <w:rsid w:val="00B771C8"/>
    <w:rsid w:val="00B77583"/>
    <w:rsid w:val="00B778D3"/>
    <w:rsid w:val="00B77B79"/>
    <w:rsid w:val="00B80622"/>
    <w:rsid w:val="00B8198F"/>
    <w:rsid w:val="00B821B3"/>
    <w:rsid w:val="00B8251D"/>
    <w:rsid w:val="00B8258F"/>
    <w:rsid w:val="00B82A03"/>
    <w:rsid w:val="00B82BA9"/>
    <w:rsid w:val="00B832C3"/>
    <w:rsid w:val="00B833D9"/>
    <w:rsid w:val="00B839D2"/>
    <w:rsid w:val="00B83A99"/>
    <w:rsid w:val="00B8532C"/>
    <w:rsid w:val="00B85A02"/>
    <w:rsid w:val="00B85E44"/>
    <w:rsid w:val="00B860DC"/>
    <w:rsid w:val="00B8629D"/>
    <w:rsid w:val="00B86684"/>
    <w:rsid w:val="00B87ECA"/>
    <w:rsid w:val="00B908B1"/>
    <w:rsid w:val="00B90BD1"/>
    <w:rsid w:val="00B9102F"/>
    <w:rsid w:val="00B913A1"/>
    <w:rsid w:val="00B913F2"/>
    <w:rsid w:val="00B91588"/>
    <w:rsid w:val="00B91701"/>
    <w:rsid w:val="00B91AD6"/>
    <w:rsid w:val="00B925FB"/>
    <w:rsid w:val="00B928E7"/>
    <w:rsid w:val="00B92AEC"/>
    <w:rsid w:val="00B92BE9"/>
    <w:rsid w:val="00B938CF"/>
    <w:rsid w:val="00B9407E"/>
    <w:rsid w:val="00B9470C"/>
    <w:rsid w:val="00B94B9E"/>
    <w:rsid w:val="00B94D27"/>
    <w:rsid w:val="00B94FDC"/>
    <w:rsid w:val="00B95C26"/>
    <w:rsid w:val="00B9639F"/>
    <w:rsid w:val="00B96614"/>
    <w:rsid w:val="00B96909"/>
    <w:rsid w:val="00B97C4E"/>
    <w:rsid w:val="00B97CA0"/>
    <w:rsid w:val="00BA0731"/>
    <w:rsid w:val="00BA0967"/>
    <w:rsid w:val="00BA13EF"/>
    <w:rsid w:val="00BA1C39"/>
    <w:rsid w:val="00BA1D45"/>
    <w:rsid w:val="00BA27DA"/>
    <w:rsid w:val="00BA29BA"/>
    <w:rsid w:val="00BA2B61"/>
    <w:rsid w:val="00BA3275"/>
    <w:rsid w:val="00BA3C0E"/>
    <w:rsid w:val="00BA3D02"/>
    <w:rsid w:val="00BA421B"/>
    <w:rsid w:val="00BA4328"/>
    <w:rsid w:val="00BA455E"/>
    <w:rsid w:val="00BA45FC"/>
    <w:rsid w:val="00BA47E9"/>
    <w:rsid w:val="00BA51AA"/>
    <w:rsid w:val="00BA5223"/>
    <w:rsid w:val="00BA541E"/>
    <w:rsid w:val="00BA55A5"/>
    <w:rsid w:val="00BA55CF"/>
    <w:rsid w:val="00BA60EC"/>
    <w:rsid w:val="00BA68C8"/>
    <w:rsid w:val="00BA6CF8"/>
    <w:rsid w:val="00BA73D6"/>
    <w:rsid w:val="00BA7D06"/>
    <w:rsid w:val="00BA7DA7"/>
    <w:rsid w:val="00BA7F1F"/>
    <w:rsid w:val="00BB0E26"/>
    <w:rsid w:val="00BB0FFB"/>
    <w:rsid w:val="00BB1698"/>
    <w:rsid w:val="00BB1F12"/>
    <w:rsid w:val="00BB21C6"/>
    <w:rsid w:val="00BB2311"/>
    <w:rsid w:val="00BB30BF"/>
    <w:rsid w:val="00BB3207"/>
    <w:rsid w:val="00BB3817"/>
    <w:rsid w:val="00BB3947"/>
    <w:rsid w:val="00BB3AD5"/>
    <w:rsid w:val="00BB3EE3"/>
    <w:rsid w:val="00BB43A1"/>
    <w:rsid w:val="00BB43E7"/>
    <w:rsid w:val="00BB4645"/>
    <w:rsid w:val="00BB4733"/>
    <w:rsid w:val="00BB5056"/>
    <w:rsid w:val="00BB5825"/>
    <w:rsid w:val="00BB5C2D"/>
    <w:rsid w:val="00BB6081"/>
    <w:rsid w:val="00BB66A0"/>
    <w:rsid w:val="00BB67C4"/>
    <w:rsid w:val="00BB67C6"/>
    <w:rsid w:val="00BB6E1E"/>
    <w:rsid w:val="00BB792E"/>
    <w:rsid w:val="00BC07FD"/>
    <w:rsid w:val="00BC094F"/>
    <w:rsid w:val="00BC0A24"/>
    <w:rsid w:val="00BC282D"/>
    <w:rsid w:val="00BC2B43"/>
    <w:rsid w:val="00BC2CE0"/>
    <w:rsid w:val="00BC2D4B"/>
    <w:rsid w:val="00BC2FC2"/>
    <w:rsid w:val="00BC3250"/>
    <w:rsid w:val="00BC40C4"/>
    <w:rsid w:val="00BC430A"/>
    <w:rsid w:val="00BC4908"/>
    <w:rsid w:val="00BC4C7D"/>
    <w:rsid w:val="00BC5C88"/>
    <w:rsid w:val="00BC673E"/>
    <w:rsid w:val="00BC6B95"/>
    <w:rsid w:val="00BC6BDC"/>
    <w:rsid w:val="00BC7DD4"/>
    <w:rsid w:val="00BC7E8A"/>
    <w:rsid w:val="00BC7EC8"/>
    <w:rsid w:val="00BD030B"/>
    <w:rsid w:val="00BD09C3"/>
    <w:rsid w:val="00BD0B32"/>
    <w:rsid w:val="00BD15D8"/>
    <w:rsid w:val="00BD1B8D"/>
    <w:rsid w:val="00BD24AA"/>
    <w:rsid w:val="00BD289C"/>
    <w:rsid w:val="00BD2F8B"/>
    <w:rsid w:val="00BD317D"/>
    <w:rsid w:val="00BD3663"/>
    <w:rsid w:val="00BD3FF3"/>
    <w:rsid w:val="00BD421B"/>
    <w:rsid w:val="00BD4AC2"/>
    <w:rsid w:val="00BD5AE0"/>
    <w:rsid w:val="00BD6F66"/>
    <w:rsid w:val="00BD73B1"/>
    <w:rsid w:val="00BD7959"/>
    <w:rsid w:val="00BD7F99"/>
    <w:rsid w:val="00BE0105"/>
    <w:rsid w:val="00BE0615"/>
    <w:rsid w:val="00BE33D4"/>
    <w:rsid w:val="00BE34F1"/>
    <w:rsid w:val="00BE3512"/>
    <w:rsid w:val="00BE3C02"/>
    <w:rsid w:val="00BE4062"/>
    <w:rsid w:val="00BE43B4"/>
    <w:rsid w:val="00BE4594"/>
    <w:rsid w:val="00BE49FE"/>
    <w:rsid w:val="00BE4DB3"/>
    <w:rsid w:val="00BE5436"/>
    <w:rsid w:val="00BE5B01"/>
    <w:rsid w:val="00BE602D"/>
    <w:rsid w:val="00BE60EB"/>
    <w:rsid w:val="00BE6129"/>
    <w:rsid w:val="00BE6848"/>
    <w:rsid w:val="00BE68EB"/>
    <w:rsid w:val="00BE6999"/>
    <w:rsid w:val="00BE72F4"/>
    <w:rsid w:val="00BE7758"/>
    <w:rsid w:val="00BE77FC"/>
    <w:rsid w:val="00BF0588"/>
    <w:rsid w:val="00BF0BDD"/>
    <w:rsid w:val="00BF1BEF"/>
    <w:rsid w:val="00BF214E"/>
    <w:rsid w:val="00BF24C8"/>
    <w:rsid w:val="00BF2864"/>
    <w:rsid w:val="00BF340E"/>
    <w:rsid w:val="00BF3473"/>
    <w:rsid w:val="00BF37C8"/>
    <w:rsid w:val="00BF3A18"/>
    <w:rsid w:val="00BF41D8"/>
    <w:rsid w:val="00BF4235"/>
    <w:rsid w:val="00BF4FFE"/>
    <w:rsid w:val="00BF6DBB"/>
    <w:rsid w:val="00C010FE"/>
    <w:rsid w:val="00C01655"/>
    <w:rsid w:val="00C0186D"/>
    <w:rsid w:val="00C01888"/>
    <w:rsid w:val="00C01937"/>
    <w:rsid w:val="00C02956"/>
    <w:rsid w:val="00C0350A"/>
    <w:rsid w:val="00C0353A"/>
    <w:rsid w:val="00C03912"/>
    <w:rsid w:val="00C03D9F"/>
    <w:rsid w:val="00C044A8"/>
    <w:rsid w:val="00C045B3"/>
    <w:rsid w:val="00C0531B"/>
    <w:rsid w:val="00C05D72"/>
    <w:rsid w:val="00C065C3"/>
    <w:rsid w:val="00C06EF8"/>
    <w:rsid w:val="00C109A6"/>
    <w:rsid w:val="00C110A0"/>
    <w:rsid w:val="00C1142F"/>
    <w:rsid w:val="00C1152A"/>
    <w:rsid w:val="00C12033"/>
    <w:rsid w:val="00C1207D"/>
    <w:rsid w:val="00C126BE"/>
    <w:rsid w:val="00C12A77"/>
    <w:rsid w:val="00C13326"/>
    <w:rsid w:val="00C13394"/>
    <w:rsid w:val="00C136F1"/>
    <w:rsid w:val="00C14022"/>
    <w:rsid w:val="00C144C6"/>
    <w:rsid w:val="00C1499F"/>
    <w:rsid w:val="00C149C4"/>
    <w:rsid w:val="00C14B39"/>
    <w:rsid w:val="00C14DD8"/>
    <w:rsid w:val="00C15CB8"/>
    <w:rsid w:val="00C15F64"/>
    <w:rsid w:val="00C162AC"/>
    <w:rsid w:val="00C16604"/>
    <w:rsid w:val="00C167E5"/>
    <w:rsid w:val="00C16CA4"/>
    <w:rsid w:val="00C17307"/>
    <w:rsid w:val="00C17437"/>
    <w:rsid w:val="00C177B7"/>
    <w:rsid w:val="00C17A12"/>
    <w:rsid w:val="00C20037"/>
    <w:rsid w:val="00C206E8"/>
    <w:rsid w:val="00C20C72"/>
    <w:rsid w:val="00C21D8F"/>
    <w:rsid w:val="00C22093"/>
    <w:rsid w:val="00C22431"/>
    <w:rsid w:val="00C22C25"/>
    <w:rsid w:val="00C23B3E"/>
    <w:rsid w:val="00C23C90"/>
    <w:rsid w:val="00C24BC6"/>
    <w:rsid w:val="00C24E44"/>
    <w:rsid w:val="00C2628E"/>
    <w:rsid w:val="00C26738"/>
    <w:rsid w:val="00C26AAF"/>
    <w:rsid w:val="00C26E6B"/>
    <w:rsid w:val="00C277F7"/>
    <w:rsid w:val="00C27C3B"/>
    <w:rsid w:val="00C30758"/>
    <w:rsid w:val="00C309CF"/>
    <w:rsid w:val="00C30ACA"/>
    <w:rsid w:val="00C31AD9"/>
    <w:rsid w:val="00C32155"/>
    <w:rsid w:val="00C32DEA"/>
    <w:rsid w:val="00C33660"/>
    <w:rsid w:val="00C33836"/>
    <w:rsid w:val="00C338EC"/>
    <w:rsid w:val="00C34674"/>
    <w:rsid w:val="00C35F7C"/>
    <w:rsid w:val="00C361E2"/>
    <w:rsid w:val="00C366A1"/>
    <w:rsid w:val="00C36C3F"/>
    <w:rsid w:val="00C379DF"/>
    <w:rsid w:val="00C37DF4"/>
    <w:rsid w:val="00C37E97"/>
    <w:rsid w:val="00C40988"/>
    <w:rsid w:val="00C409B0"/>
    <w:rsid w:val="00C40BDF"/>
    <w:rsid w:val="00C40CC4"/>
    <w:rsid w:val="00C415CD"/>
    <w:rsid w:val="00C418F5"/>
    <w:rsid w:val="00C42188"/>
    <w:rsid w:val="00C42273"/>
    <w:rsid w:val="00C42574"/>
    <w:rsid w:val="00C42BDB"/>
    <w:rsid w:val="00C4325D"/>
    <w:rsid w:val="00C43796"/>
    <w:rsid w:val="00C43C7C"/>
    <w:rsid w:val="00C44672"/>
    <w:rsid w:val="00C449C1"/>
    <w:rsid w:val="00C449E8"/>
    <w:rsid w:val="00C44B22"/>
    <w:rsid w:val="00C44C24"/>
    <w:rsid w:val="00C450B8"/>
    <w:rsid w:val="00C45740"/>
    <w:rsid w:val="00C45A0A"/>
    <w:rsid w:val="00C45DB5"/>
    <w:rsid w:val="00C45E91"/>
    <w:rsid w:val="00C4618A"/>
    <w:rsid w:val="00C467FF"/>
    <w:rsid w:val="00C46BC6"/>
    <w:rsid w:val="00C46DDB"/>
    <w:rsid w:val="00C46E31"/>
    <w:rsid w:val="00C472BD"/>
    <w:rsid w:val="00C4787E"/>
    <w:rsid w:val="00C506E4"/>
    <w:rsid w:val="00C508A3"/>
    <w:rsid w:val="00C50A23"/>
    <w:rsid w:val="00C51374"/>
    <w:rsid w:val="00C5203F"/>
    <w:rsid w:val="00C523BC"/>
    <w:rsid w:val="00C53153"/>
    <w:rsid w:val="00C533E6"/>
    <w:rsid w:val="00C53522"/>
    <w:rsid w:val="00C535F3"/>
    <w:rsid w:val="00C53A0A"/>
    <w:rsid w:val="00C542A0"/>
    <w:rsid w:val="00C54349"/>
    <w:rsid w:val="00C54780"/>
    <w:rsid w:val="00C54874"/>
    <w:rsid w:val="00C54A17"/>
    <w:rsid w:val="00C54B00"/>
    <w:rsid w:val="00C54E60"/>
    <w:rsid w:val="00C550EA"/>
    <w:rsid w:val="00C55584"/>
    <w:rsid w:val="00C56451"/>
    <w:rsid w:val="00C568EC"/>
    <w:rsid w:val="00C56ECE"/>
    <w:rsid w:val="00C57340"/>
    <w:rsid w:val="00C574FF"/>
    <w:rsid w:val="00C57677"/>
    <w:rsid w:val="00C578C3"/>
    <w:rsid w:val="00C57A9D"/>
    <w:rsid w:val="00C57FA6"/>
    <w:rsid w:val="00C609A8"/>
    <w:rsid w:val="00C60D46"/>
    <w:rsid w:val="00C614DF"/>
    <w:rsid w:val="00C61D4A"/>
    <w:rsid w:val="00C62547"/>
    <w:rsid w:val="00C62551"/>
    <w:rsid w:val="00C62A4D"/>
    <w:rsid w:val="00C62C99"/>
    <w:rsid w:val="00C64074"/>
    <w:rsid w:val="00C64307"/>
    <w:rsid w:val="00C64564"/>
    <w:rsid w:val="00C646EE"/>
    <w:rsid w:val="00C64764"/>
    <w:rsid w:val="00C64CB1"/>
    <w:rsid w:val="00C64DB8"/>
    <w:rsid w:val="00C64F94"/>
    <w:rsid w:val="00C64F9E"/>
    <w:rsid w:val="00C64FA8"/>
    <w:rsid w:val="00C65311"/>
    <w:rsid w:val="00C656AE"/>
    <w:rsid w:val="00C66117"/>
    <w:rsid w:val="00C663E6"/>
    <w:rsid w:val="00C665DF"/>
    <w:rsid w:val="00C66B3D"/>
    <w:rsid w:val="00C67270"/>
    <w:rsid w:val="00C674BD"/>
    <w:rsid w:val="00C67F13"/>
    <w:rsid w:val="00C7041D"/>
    <w:rsid w:val="00C709BF"/>
    <w:rsid w:val="00C70B83"/>
    <w:rsid w:val="00C70DC2"/>
    <w:rsid w:val="00C711EA"/>
    <w:rsid w:val="00C71CF1"/>
    <w:rsid w:val="00C72011"/>
    <w:rsid w:val="00C72494"/>
    <w:rsid w:val="00C7261D"/>
    <w:rsid w:val="00C7284A"/>
    <w:rsid w:val="00C72A0D"/>
    <w:rsid w:val="00C72B2E"/>
    <w:rsid w:val="00C73C2E"/>
    <w:rsid w:val="00C74926"/>
    <w:rsid w:val="00C7512F"/>
    <w:rsid w:val="00C7536E"/>
    <w:rsid w:val="00C758CD"/>
    <w:rsid w:val="00C75D60"/>
    <w:rsid w:val="00C7639D"/>
    <w:rsid w:val="00C766B5"/>
    <w:rsid w:val="00C77404"/>
    <w:rsid w:val="00C77E86"/>
    <w:rsid w:val="00C8029C"/>
    <w:rsid w:val="00C8052C"/>
    <w:rsid w:val="00C816DC"/>
    <w:rsid w:val="00C81EE4"/>
    <w:rsid w:val="00C82960"/>
    <w:rsid w:val="00C82D75"/>
    <w:rsid w:val="00C83B30"/>
    <w:rsid w:val="00C83BFE"/>
    <w:rsid w:val="00C84E1A"/>
    <w:rsid w:val="00C851F0"/>
    <w:rsid w:val="00C8555A"/>
    <w:rsid w:val="00C85AB9"/>
    <w:rsid w:val="00C86863"/>
    <w:rsid w:val="00C86F7A"/>
    <w:rsid w:val="00C8734A"/>
    <w:rsid w:val="00C8754F"/>
    <w:rsid w:val="00C87F0E"/>
    <w:rsid w:val="00C90136"/>
    <w:rsid w:val="00C91C25"/>
    <w:rsid w:val="00C92779"/>
    <w:rsid w:val="00C92812"/>
    <w:rsid w:val="00C93777"/>
    <w:rsid w:val="00C939E5"/>
    <w:rsid w:val="00C93BD3"/>
    <w:rsid w:val="00C941DC"/>
    <w:rsid w:val="00C947B4"/>
    <w:rsid w:val="00C9497D"/>
    <w:rsid w:val="00C94E99"/>
    <w:rsid w:val="00C94EC4"/>
    <w:rsid w:val="00C954A0"/>
    <w:rsid w:val="00C95C03"/>
    <w:rsid w:val="00C95FA5"/>
    <w:rsid w:val="00C963AE"/>
    <w:rsid w:val="00C96630"/>
    <w:rsid w:val="00C96DAF"/>
    <w:rsid w:val="00C97FDF"/>
    <w:rsid w:val="00C97FF5"/>
    <w:rsid w:val="00CA0037"/>
    <w:rsid w:val="00CA0CE1"/>
    <w:rsid w:val="00CA12C9"/>
    <w:rsid w:val="00CA18A3"/>
    <w:rsid w:val="00CA219A"/>
    <w:rsid w:val="00CA2301"/>
    <w:rsid w:val="00CA2D32"/>
    <w:rsid w:val="00CA2F28"/>
    <w:rsid w:val="00CA3734"/>
    <w:rsid w:val="00CA3DE9"/>
    <w:rsid w:val="00CA4021"/>
    <w:rsid w:val="00CA4257"/>
    <w:rsid w:val="00CA4B25"/>
    <w:rsid w:val="00CA4EB7"/>
    <w:rsid w:val="00CA51DA"/>
    <w:rsid w:val="00CA5372"/>
    <w:rsid w:val="00CA56A9"/>
    <w:rsid w:val="00CA5701"/>
    <w:rsid w:val="00CA583C"/>
    <w:rsid w:val="00CA6CA2"/>
    <w:rsid w:val="00CA72B0"/>
    <w:rsid w:val="00CA7B52"/>
    <w:rsid w:val="00CB054C"/>
    <w:rsid w:val="00CB0929"/>
    <w:rsid w:val="00CB09A2"/>
    <w:rsid w:val="00CB0A4B"/>
    <w:rsid w:val="00CB0EAA"/>
    <w:rsid w:val="00CB1753"/>
    <w:rsid w:val="00CB1C10"/>
    <w:rsid w:val="00CB1F6A"/>
    <w:rsid w:val="00CB2384"/>
    <w:rsid w:val="00CB257E"/>
    <w:rsid w:val="00CB287F"/>
    <w:rsid w:val="00CB2C86"/>
    <w:rsid w:val="00CB2D2A"/>
    <w:rsid w:val="00CB2E4B"/>
    <w:rsid w:val="00CB31D4"/>
    <w:rsid w:val="00CB4416"/>
    <w:rsid w:val="00CB5A5F"/>
    <w:rsid w:val="00CB635C"/>
    <w:rsid w:val="00CB6647"/>
    <w:rsid w:val="00CB6870"/>
    <w:rsid w:val="00CB6A96"/>
    <w:rsid w:val="00CB712F"/>
    <w:rsid w:val="00CB7334"/>
    <w:rsid w:val="00CB770F"/>
    <w:rsid w:val="00CB7727"/>
    <w:rsid w:val="00CB7E31"/>
    <w:rsid w:val="00CB7F3C"/>
    <w:rsid w:val="00CC10DE"/>
    <w:rsid w:val="00CC2A7F"/>
    <w:rsid w:val="00CC2EC4"/>
    <w:rsid w:val="00CC366D"/>
    <w:rsid w:val="00CC39B6"/>
    <w:rsid w:val="00CC4236"/>
    <w:rsid w:val="00CC4F98"/>
    <w:rsid w:val="00CC50FC"/>
    <w:rsid w:val="00CC5584"/>
    <w:rsid w:val="00CC5A82"/>
    <w:rsid w:val="00CC5C14"/>
    <w:rsid w:val="00CC64AA"/>
    <w:rsid w:val="00CC7180"/>
    <w:rsid w:val="00CC7650"/>
    <w:rsid w:val="00CC7801"/>
    <w:rsid w:val="00CC7A24"/>
    <w:rsid w:val="00CD00AC"/>
    <w:rsid w:val="00CD0C81"/>
    <w:rsid w:val="00CD1087"/>
    <w:rsid w:val="00CD15DD"/>
    <w:rsid w:val="00CD1B1B"/>
    <w:rsid w:val="00CD1E0D"/>
    <w:rsid w:val="00CD2697"/>
    <w:rsid w:val="00CD292A"/>
    <w:rsid w:val="00CD30A3"/>
    <w:rsid w:val="00CD37E1"/>
    <w:rsid w:val="00CD3CAB"/>
    <w:rsid w:val="00CD3F6C"/>
    <w:rsid w:val="00CD4654"/>
    <w:rsid w:val="00CD48D6"/>
    <w:rsid w:val="00CD5BCD"/>
    <w:rsid w:val="00CD655F"/>
    <w:rsid w:val="00CD6C1A"/>
    <w:rsid w:val="00CD76AE"/>
    <w:rsid w:val="00CD7D6F"/>
    <w:rsid w:val="00CD7F9B"/>
    <w:rsid w:val="00CE0269"/>
    <w:rsid w:val="00CE0DF7"/>
    <w:rsid w:val="00CE114D"/>
    <w:rsid w:val="00CE1A70"/>
    <w:rsid w:val="00CE1A8A"/>
    <w:rsid w:val="00CE1B13"/>
    <w:rsid w:val="00CE22BE"/>
    <w:rsid w:val="00CE2C1F"/>
    <w:rsid w:val="00CE2C4C"/>
    <w:rsid w:val="00CE3595"/>
    <w:rsid w:val="00CE3CE5"/>
    <w:rsid w:val="00CE4505"/>
    <w:rsid w:val="00CE4C79"/>
    <w:rsid w:val="00CE4E36"/>
    <w:rsid w:val="00CE54EC"/>
    <w:rsid w:val="00CE58B4"/>
    <w:rsid w:val="00CE6785"/>
    <w:rsid w:val="00CE6F81"/>
    <w:rsid w:val="00CE7208"/>
    <w:rsid w:val="00CE74BB"/>
    <w:rsid w:val="00CE7E23"/>
    <w:rsid w:val="00CF0D04"/>
    <w:rsid w:val="00CF19E2"/>
    <w:rsid w:val="00CF1A17"/>
    <w:rsid w:val="00CF2060"/>
    <w:rsid w:val="00CF28E1"/>
    <w:rsid w:val="00CF2A7A"/>
    <w:rsid w:val="00CF3030"/>
    <w:rsid w:val="00CF48A4"/>
    <w:rsid w:val="00CF4932"/>
    <w:rsid w:val="00CF4EF8"/>
    <w:rsid w:val="00CF5155"/>
    <w:rsid w:val="00CF5903"/>
    <w:rsid w:val="00CF5B58"/>
    <w:rsid w:val="00CF6093"/>
    <w:rsid w:val="00CF6574"/>
    <w:rsid w:val="00CF6836"/>
    <w:rsid w:val="00CF6FAF"/>
    <w:rsid w:val="00CF702F"/>
    <w:rsid w:val="00CF76B2"/>
    <w:rsid w:val="00D00641"/>
    <w:rsid w:val="00D00D40"/>
    <w:rsid w:val="00D00D6A"/>
    <w:rsid w:val="00D011C5"/>
    <w:rsid w:val="00D0152C"/>
    <w:rsid w:val="00D0165B"/>
    <w:rsid w:val="00D02027"/>
    <w:rsid w:val="00D02726"/>
    <w:rsid w:val="00D03F02"/>
    <w:rsid w:val="00D0417D"/>
    <w:rsid w:val="00D04405"/>
    <w:rsid w:val="00D048E7"/>
    <w:rsid w:val="00D04B21"/>
    <w:rsid w:val="00D05369"/>
    <w:rsid w:val="00D05375"/>
    <w:rsid w:val="00D057DF"/>
    <w:rsid w:val="00D05B3C"/>
    <w:rsid w:val="00D061DF"/>
    <w:rsid w:val="00D06A01"/>
    <w:rsid w:val="00D06B54"/>
    <w:rsid w:val="00D071DB"/>
    <w:rsid w:val="00D0736C"/>
    <w:rsid w:val="00D07416"/>
    <w:rsid w:val="00D0757C"/>
    <w:rsid w:val="00D07791"/>
    <w:rsid w:val="00D07B5A"/>
    <w:rsid w:val="00D07F09"/>
    <w:rsid w:val="00D106B5"/>
    <w:rsid w:val="00D10A8F"/>
    <w:rsid w:val="00D10DC5"/>
    <w:rsid w:val="00D1113A"/>
    <w:rsid w:val="00D111FA"/>
    <w:rsid w:val="00D11867"/>
    <w:rsid w:val="00D11C34"/>
    <w:rsid w:val="00D11F58"/>
    <w:rsid w:val="00D12075"/>
    <w:rsid w:val="00D12802"/>
    <w:rsid w:val="00D12840"/>
    <w:rsid w:val="00D12C9D"/>
    <w:rsid w:val="00D12DFB"/>
    <w:rsid w:val="00D12E61"/>
    <w:rsid w:val="00D134A4"/>
    <w:rsid w:val="00D135D9"/>
    <w:rsid w:val="00D14D8F"/>
    <w:rsid w:val="00D15AA0"/>
    <w:rsid w:val="00D15E52"/>
    <w:rsid w:val="00D165B3"/>
    <w:rsid w:val="00D17B0F"/>
    <w:rsid w:val="00D17D75"/>
    <w:rsid w:val="00D20539"/>
    <w:rsid w:val="00D20A25"/>
    <w:rsid w:val="00D21371"/>
    <w:rsid w:val="00D21AB4"/>
    <w:rsid w:val="00D2200D"/>
    <w:rsid w:val="00D220AB"/>
    <w:rsid w:val="00D2214B"/>
    <w:rsid w:val="00D22156"/>
    <w:rsid w:val="00D22E96"/>
    <w:rsid w:val="00D24B05"/>
    <w:rsid w:val="00D24B9D"/>
    <w:rsid w:val="00D25D11"/>
    <w:rsid w:val="00D25E4F"/>
    <w:rsid w:val="00D26156"/>
    <w:rsid w:val="00D26264"/>
    <w:rsid w:val="00D26540"/>
    <w:rsid w:val="00D2670B"/>
    <w:rsid w:val="00D26C2E"/>
    <w:rsid w:val="00D26DF2"/>
    <w:rsid w:val="00D27164"/>
    <w:rsid w:val="00D274C5"/>
    <w:rsid w:val="00D300A4"/>
    <w:rsid w:val="00D314AB"/>
    <w:rsid w:val="00D31CC7"/>
    <w:rsid w:val="00D31F6A"/>
    <w:rsid w:val="00D31FFA"/>
    <w:rsid w:val="00D32CCD"/>
    <w:rsid w:val="00D32E9D"/>
    <w:rsid w:val="00D32FFD"/>
    <w:rsid w:val="00D330D9"/>
    <w:rsid w:val="00D333F3"/>
    <w:rsid w:val="00D33C56"/>
    <w:rsid w:val="00D346CE"/>
    <w:rsid w:val="00D3522A"/>
    <w:rsid w:val="00D36010"/>
    <w:rsid w:val="00D362C1"/>
    <w:rsid w:val="00D36B0F"/>
    <w:rsid w:val="00D36B11"/>
    <w:rsid w:val="00D36C8A"/>
    <w:rsid w:val="00D370EA"/>
    <w:rsid w:val="00D37396"/>
    <w:rsid w:val="00D37A3F"/>
    <w:rsid w:val="00D40110"/>
    <w:rsid w:val="00D406F2"/>
    <w:rsid w:val="00D40C35"/>
    <w:rsid w:val="00D41DF2"/>
    <w:rsid w:val="00D41F2F"/>
    <w:rsid w:val="00D42557"/>
    <w:rsid w:val="00D4352D"/>
    <w:rsid w:val="00D43785"/>
    <w:rsid w:val="00D44160"/>
    <w:rsid w:val="00D441CC"/>
    <w:rsid w:val="00D44306"/>
    <w:rsid w:val="00D443BB"/>
    <w:rsid w:val="00D44F58"/>
    <w:rsid w:val="00D4507A"/>
    <w:rsid w:val="00D45E92"/>
    <w:rsid w:val="00D45FA2"/>
    <w:rsid w:val="00D462BE"/>
    <w:rsid w:val="00D46A74"/>
    <w:rsid w:val="00D46AA2"/>
    <w:rsid w:val="00D47388"/>
    <w:rsid w:val="00D476AA"/>
    <w:rsid w:val="00D47A92"/>
    <w:rsid w:val="00D47F16"/>
    <w:rsid w:val="00D50137"/>
    <w:rsid w:val="00D5023D"/>
    <w:rsid w:val="00D5025E"/>
    <w:rsid w:val="00D50380"/>
    <w:rsid w:val="00D50DB7"/>
    <w:rsid w:val="00D51369"/>
    <w:rsid w:val="00D51ABC"/>
    <w:rsid w:val="00D51C77"/>
    <w:rsid w:val="00D5251A"/>
    <w:rsid w:val="00D52956"/>
    <w:rsid w:val="00D52D7D"/>
    <w:rsid w:val="00D52F95"/>
    <w:rsid w:val="00D5314E"/>
    <w:rsid w:val="00D53393"/>
    <w:rsid w:val="00D53484"/>
    <w:rsid w:val="00D534CD"/>
    <w:rsid w:val="00D53C71"/>
    <w:rsid w:val="00D541F7"/>
    <w:rsid w:val="00D55AED"/>
    <w:rsid w:val="00D5638A"/>
    <w:rsid w:val="00D56488"/>
    <w:rsid w:val="00D56A24"/>
    <w:rsid w:val="00D56AB3"/>
    <w:rsid w:val="00D56B66"/>
    <w:rsid w:val="00D57001"/>
    <w:rsid w:val="00D57256"/>
    <w:rsid w:val="00D57530"/>
    <w:rsid w:val="00D575AD"/>
    <w:rsid w:val="00D57F00"/>
    <w:rsid w:val="00D601F8"/>
    <w:rsid w:val="00D60523"/>
    <w:rsid w:val="00D605E0"/>
    <w:rsid w:val="00D60CFF"/>
    <w:rsid w:val="00D60D44"/>
    <w:rsid w:val="00D61609"/>
    <w:rsid w:val="00D61905"/>
    <w:rsid w:val="00D61D16"/>
    <w:rsid w:val="00D6315B"/>
    <w:rsid w:val="00D63843"/>
    <w:rsid w:val="00D639F2"/>
    <w:rsid w:val="00D644D4"/>
    <w:rsid w:val="00D64A28"/>
    <w:rsid w:val="00D64DED"/>
    <w:rsid w:val="00D64FB7"/>
    <w:rsid w:val="00D65961"/>
    <w:rsid w:val="00D65D3F"/>
    <w:rsid w:val="00D661B9"/>
    <w:rsid w:val="00D66359"/>
    <w:rsid w:val="00D6639F"/>
    <w:rsid w:val="00D66A81"/>
    <w:rsid w:val="00D67680"/>
    <w:rsid w:val="00D67B24"/>
    <w:rsid w:val="00D707DF"/>
    <w:rsid w:val="00D71BA2"/>
    <w:rsid w:val="00D71D9F"/>
    <w:rsid w:val="00D71E0B"/>
    <w:rsid w:val="00D72262"/>
    <w:rsid w:val="00D725C2"/>
    <w:rsid w:val="00D72F94"/>
    <w:rsid w:val="00D732D1"/>
    <w:rsid w:val="00D73332"/>
    <w:rsid w:val="00D7365C"/>
    <w:rsid w:val="00D7389F"/>
    <w:rsid w:val="00D747AF"/>
    <w:rsid w:val="00D74818"/>
    <w:rsid w:val="00D748E8"/>
    <w:rsid w:val="00D754FE"/>
    <w:rsid w:val="00D75A60"/>
    <w:rsid w:val="00D75C78"/>
    <w:rsid w:val="00D760B3"/>
    <w:rsid w:val="00D76951"/>
    <w:rsid w:val="00D76F80"/>
    <w:rsid w:val="00D77379"/>
    <w:rsid w:val="00D773C3"/>
    <w:rsid w:val="00D77A3B"/>
    <w:rsid w:val="00D77C65"/>
    <w:rsid w:val="00D80467"/>
    <w:rsid w:val="00D806C2"/>
    <w:rsid w:val="00D8104C"/>
    <w:rsid w:val="00D8105A"/>
    <w:rsid w:val="00D81914"/>
    <w:rsid w:val="00D8193A"/>
    <w:rsid w:val="00D81EA1"/>
    <w:rsid w:val="00D82478"/>
    <w:rsid w:val="00D82DDA"/>
    <w:rsid w:val="00D83062"/>
    <w:rsid w:val="00D838B2"/>
    <w:rsid w:val="00D84B15"/>
    <w:rsid w:val="00D84E12"/>
    <w:rsid w:val="00D850AF"/>
    <w:rsid w:val="00D85150"/>
    <w:rsid w:val="00D854E7"/>
    <w:rsid w:val="00D85899"/>
    <w:rsid w:val="00D859B1"/>
    <w:rsid w:val="00D85A6D"/>
    <w:rsid w:val="00D867D5"/>
    <w:rsid w:val="00D87177"/>
    <w:rsid w:val="00D9019A"/>
    <w:rsid w:val="00D90C11"/>
    <w:rsid w:val="00D90FF1"/>
    <w:rsid w:val="00D9163F"/>
    <w:rsid w:val="00D91A0D"/>
    <w:rsid w:val="00D91A3C"/>
    <w:rsid w:val="00D93B02"/>
    <w:rsid w:val="00D93E8F"/>
    <w:rsid w:val="00D940D6"/>
    <w:rsid w:val="00D94415"/>
    <w:rsid w:val="00D945C1"/>
    <w:rsid w:val="00D952F4"/>
    <w:rsid w:val="00D95360"/>
    <w:rsid w:val="00D958D7"/>
    <w:rsid w:val="00D95CDE"/>
    <w:rsid w:val="00D963AC"/>
    <w:rsid w:val="00D965DC"/>
    <w:rsid w:val="00D96649"/>
    <w:rsid w:val="00D968E2"/>
    <w:rsid w:val="00D971A7"/>
    <w:rsid w:val="00D974AF"/>
    <w:rsid w:val="00D97AB4"/>
    <w:rsid w:val="00D97C8C"/>
    <w:rsid w:val="00D97CAC"/>
    <w:rsid w:val="00DA0186"/>
    <w:rsid w:val="00DA10BB"/>
    <w:rsid w:val="00DA20E2"/>
    <w:rsid w:val="00DA21C6"/>
    <w:rsid w:val="00DA2811"/>
    <w:rsid w:val="00DA3096"/>
    <w:rsid w:val="00DA3889"/>
    <w:rsid w:val="00DA3980"/>
    <w:rsid w:val="00DA3B2E"/>
    <w:rsid w:val="00DA4141"/>
    <w:rsid w:val="00DA46A7"/>
    <w:rsid w:val="00DA5CFC"/>
    <w:rsid w:val="00DA5F63"/>
    <w:rsid w:val="00DA625B"/>
    <w:rsid w:val="00DA62F3"/>
    <w:rsid w:val="00DA6FD7"/>
    <w:rsid w:val="00DA730A"/>
    <w:rsid w:val="00DA74D3"/>
    <w:rsid w:val="00DA76A3"/>
    <w:rsid w:val="00DB04A1"/>
    <w:rsid w:val="00DB0A1D"/>
    <w:rsid w:val="00DB0A56"/>
    <w:rsid w:val="00DB0E86"/>
    <w:rsid w:val="00DB154A"/>
    <w:rsid w:val="00DB183F"/>
    <w:rsid w:val="00DB1C96"/>
    <w:rsid w:val="00DB3493"/>
    <w:rsid w:val="00DB3639"/>
    <w:rsid w:val="00DB3FEF"/>
    <w:rsid w:val="00DB40B3"/>
    <w:rsid w:val="00DB48C1"/>
    <w:rsid w:val="00DB5A35"/>
    <w:rsid w:val="00DB5B8F"/>
    <w:rsid w:val="00DB6058"/>
    <w:rsid w:val="00DB63F3"/>
    <w:rsid w:val="00DB6481"/>
    <w:rsid w:val="00DB6B33"/>
    <w:rsid w:val="00DB6BB4"/>
    <w:rsid w:val="00DB6BCF"/>
    <w:rsid w:val="00DB6D37"/>
    <w:rsid w:val="00DB742E"/>
    <w:rsid w:val="00DB76A5"/>
    <w:rsid w:val="00DC1188"/>
    <w:rsid w:val="00DC1BEC"/>
    <w:rsid w:val="00DC1EAA"/>
    <w:rsid w:val="00DC3582"/>
    <w:rsid w:val="00DC3DD3"/>
    <w:rsid w:val="00DC5163"/>
    <w:rsid w:val="00DC55AB"/>
    <w:rsid w:val="00DC5BF1"/>
    <w:rsid w:val="00DC616A"/>
    <w:rsid w:val="00DC62E9"/>
    <w:rsid w:val="00DC653F"/>
    <w:rsid w:val="00DC7123"/>
    <w:rsid w:val="00DC735C"/>
    <w:rsid w:val="00DC746C"/>
    <w:rsid w:val="00DC74C7"/>
    <w:rsid w:val="00DC7804"/>
    <w:rsid w:val="00DC7F13"/>
    <w:rsid w:val="00DD1887"/>
    <w:rsid w:val="00DD1DBE"/>
    <w:rsid w:val="00DD23ED"/>
    <w:rsid w:val="00DD2994"/>
    <w:rsid w:val="00DD312F"/>
    <w:rsid w:val="00DD33A5"/>
    <w:rsid w:val="00DD34A9"/>
    <w:rsid w:val="00DD4F84"/>
    <w:rsid w:val="00DD53FD"/>
    <w:rsid w:val="00DD5436"/>
    <w:rsid w:val="00DD5447"/>
    <w:rsid w:val="00DD5A02"/>
    <w:rsid w:val="00DD6125"/>
    <w:rsid w:val="00DD7935"/>
    <w:rsid w:val="00DE0272"/>
    <w:rsid w:val="00DE1A88"/>
    <w:rsid w:val="00DE1B8B"/>
    <w:rsid w:val="00DE22CE"/>
    <w:rsid w:val="00DE2560"/>
    <w:rsid w:val="00DE3480"/>
    <w:rsid w:val="00DE37F7"/>
    <w:rsid w:val="00DE3B12"/>
    <w:rsid w:val="00DE4A13"/>
    <w:rsid w:val="00DE5118"/>
    <w:rsid w:val="00DE549E"/>
    <w:rsid w:val="00DE5829"/>
    <w:rsid w:val="00DE6490"/>
    <w:rsid w:val="00DE6571"/>
    <w:rsid w:val="00DE6D51"/>
    <w:rsid w:val="00DE762F"/>
    <w:rsid w:val="00DE76AC"/>
    <w:rsid w:val="00DE7B1F"/>
    <w:rsid w:val="00DE7F4E"/>
    <w:rsid w:val="00DF067A"/>
    <w:rsid w:val="00DF1296"/>
    <w:rsid w:val="00DF1EB8"/>
    <w:rsid w:val="00DF1FA6"/>
    <w:rsid w:val="00DF20C3"/>
    <w:rsid w:val="00DF224E"/>
    <w:rsid w:val="00DF247C"/>
    <w:rsid w:val="00DF2E61"/>
    <w:rsid w:val="00DF323E"/>
    <w:rsid w:val="00DF3B75"/>
    <w:rsid w:val="00DF406D"/>
    <w:rsid w:val="00DF40CD"/>
    <w:rsid w:val="00DF41B5"/>
    <w:rsid w:val="00DF4283"/>
    <w:rsid w:val="00DF455D"/>
    <w:rsid w:val="00DF496F"/>
    <w:rsid w:val="00DF4B27"/>
    <w:rsid w:val="00DF4B2B"/>
    <w:rsid w:val="00DF4E0F"/>
    <w:rsid w:val="00DF5256"/>
    <w:rsid w:val="00DF55A0"/>
    <w:rsid w:val="00DF60A8"/>
    <w:rsid w:val="00DF6FAB"/>
    <w:rsid w:val="00DF7784"/>
    <w:rsid w:val="00DF7B77"/>
    <w:rsid w:val="00E003EE"/>
    <w:rsid w:val="00E007FD"/>
    <w:rsid w:val="00E0089A"/>
    <w:rsid w:val="00E00CEB"/>
    <w:rsid w:val="00E01349"/>
    <w:rsid w:val="00E018A3"/>
    <w:rsid w:val="00E0190F"/>
    <w:rsid w:val="00E019D7"/>
    <w:rsid w:val="00E01CCA"/>
    <w:rsid w:val="00E01D8A"/>
    <w:rsid w:val="00E0225D"/>
    <w:rsid w:val="00E024FE"/>
    <w:rsid w:val="00E028DE"/>
    <w:rsid w:val="00E02A56"/>
    <w:rsid w:val="00E03037"/>
    <w:rsid w:val="00E03083"/>
    <w:rsid w:val="00E03085"/>
    <w:rsid w:val="00E03222"/>
    <w:rsid w:val="00E03395"/>
    <w:rsid w:val="00E038E8"/>
    <w:rsid w:val="00E03982"/>
    <w:rsid w:val="00E03E3A"/>
    <w:rsid w:val="00E049D6"/>
    <w:rsid w:val="00E0551E"/>
    <w:rsid w:val="00E059F9"/>
    <w:rsid w:val="00E06306"/>
    <w:rsid w:val="00E06713"/>
    <w:rsid w:val="00E073D7"/>
    <w:rsid w:val="00E0747A"/>
    <w:rsid w:val="00E10136"/>
    <w:rsid w:val="00E10B6A"/>
    <w:rsid w:val="00E118C6"/>
    <w:rsid w:val="00E123CC"/>
    <w:rsid w:val="00E13114"/>
    <w:rsid w:val="00E14A74"/>
    <w:rsid w:val="00E1627A"/>
    <w:rsid w:val="00E16509"/>
    <w:rsid w:val="00E16604"/>
    <w:rsid w:val="00E169E0"/>
    <w:rsid w:val="00E17907"/>
    <w:rsid w:val="00E20087"/>
    <w:rsid w:val="00E201DE"/>
    <w:rsid w:val="00E2197B"/>
    <w:rsid w:val="00E21A55"/>
    <w:rsid w:val="00E21AD8"/>
    <w:rsid w:val="00E2296E"/>
    <w:rsid w:val="00E22B86"/>
    <w:rsid w:val="00E22CFB"/>
    <w:rsid w:val="00E22F0D"/>
    <w:rsid w:val="00E23100"/>
    <w:rsid w:val="00E233AB"/>
    <w:rsid w:val="00E234FD"/>
    <w:rsid w:val="00E24150"/>
    <w:rsid w:val="00E24BE0"/>
    <w:rsid w:val="00E2513C"/>
    <w:rsid w:val="00E2538A"/>
    <w:rsid w:val="00E25AA3"/>
    <w:rsid w:val="00E25E41"/>
    <w:rsid w:val="00E25E5C"/>
    <w:rsid w:val="00E26236"/>
    <w:rsid w:val="00E26D13"/>
    <w:rsid w:val="00E26E18"/>
    <w:rsid w:val="00E27905"/>
    <w:rsid w:val="00E301CE"/>
    <w:rsid w:val="00E3031F"/>
    <w:rsid w:val="00E308E9"/>
    <w:rsid w:val="00E31C44"/>
    <w:rsid w:val="00E31D1B"/>
    <w:rsid w:val="00E320C3"/>
    <w:rsid w:val="00E3222B"/>
    <w:rsid w:val="00E323FE"/>
    <w:rsid w:val="00E323FF"/>
    <w:rsid w:val="00E324B8"/>
    <w:rsid w:val="00E3272E"/>
    <w:rsid w:val="00E32959"/>
    <w:rsid w:val="00E32AA7"/>
    <w:rsid w:val="00E33111"/>
    <w:rsid w:val="00E3350E"/>
    <w:rsid w:val="00E340E6"/>
    <w:rsid w:val="00E34DCA"/>
    <w:rsid w:val="00E35230"/>
    <w:rsid w:val="00E35809"/>
    <w:rsid w:val="00E35A44"/>
    <w:rsid w:val="00E3616E"/>
    <w:rsid w:val="00E36531"/>
    <w:rsid w:val="00E3666B"/>
    <w:rsid w:val="00E36697"/>
    <w:rsid w:val="00E3680B"/>
    <w:rsid w:val="00E36B85"/>
    <w:rsid w:val="00E36E8E"/>
    <w:rsid w:val="00E371A4"/>
    <w:rsid w:val="00E3744E"/>
    <w:rsid w:val="00E37E65"/>
    <w:rsid w:val="00E40096"/>
    <w:rsid w:val="00E4090C"/>
    <w:rsid w:val="00E40A7E"/>
    <w:rsid w:val="00E40DC5"/>
    <w:rsid w:val="00E420B9"/>
    <w:rsid w:val="00E426DC"/>
    <w:rsid w:val="00E4273E"/>
    <w:rsid w:val="00E42E46"/>
    <w:rsid w:val="00E438C4"/>
    <w:rsid w:val="00E439C0"/>
    <w:rsid w:val="00E43D59"/>
    <w:rsid w:val="00E43D83"/>
    <w:rsid w:val="00E440FE"/>
    <w:rsid w:val="00E4438E"/>
    <w:rsid w:val="00E445C5"/>
    <w:rsid w:val="00E45784"/>
    <w:rsid w:val="00E46489"/>
    <w:rsid w:val="00E46BC1"/>
    <w:rsid w:val="00E470B0"/>
    <w:rsid w:val="00E47176"/>
    <w:rsid w:val="00E47FA9"/>
    <w:rsid w:val="00E502F4"/>
    <w:rsid w:val="00E504D7"/>
    <w:rsid w:val="00E51187"/>
    <w:rsid w:val="00E51301"/>
    <w:rsid w:val="00E5163C"/>
    <w:rsid w:val="00E51F63"/>
    <w:rsid w:val="00E52189"/>
    <w:rsid w:val="00E529C7"/>
    <w:rsid w:val="00E542D2"/>
    <w:rsid w:val="00E54326"/>
    <w:rsid w:val="00E545D5"/>
    <w:rsid w:val="00E54F5A"/>
    <w:rsid w:val="00E56491"/>
    <w:rsid w:val="00E56644"/>
    <w:rsid w:val="00E56993"/>
    <w:rsid w:val="00E569EF"/>
    <w:rsid w:val="00E570B5"/>
    <w:rsid w:val="00E57713"/>
    <w:rsid w:val="00E5783A"/>
    <w:rsid w:val="00E57939"/>
    <w:rsid w:val="00E60051"/>
    <w:rsid w:val="00E6024F"/>
    <w:rsid w:val="00E607C9"/>
    <w:rsid w:val="00E607F3"/>
    <w:rsid w:val="00E609C7"/>
    <w:rsid w:val="00E60A5E"/>
    <w:rsid w:val="00E60D2C"/>
    <w:rsid w:val="00E60E21"/>
    <w:rsid w:val="00E60F88"/>
    <w:rsid w:val="00E61354"/>
    <w:rsid w:val="00E615C2"/>
    <w:rsid w:val="00E62EFD"/>
    <w:rsid w:val="00E63377"/>
    <w:rsid w:val="00E63BD4"/>
    <w:rsid w:val="00E63CF2"/>
    <w:rsid w:val="00E6404A"/>
    <w:rsid w:val="00E64416"/>
    <w:rsid w:val="00E6483E"/>
    <w:rsid w:val="00E64C7F"/>
    <w:rsid w:val="00E65236"/>
    <w:rsid w:val="00E65741"/>
    <w:rsid w:val="00E65D61"/>
    <w:rsid w:val="00E666C4"/>
    <w:rsid w:val="00E669C1"/>
    <w:rsid w:val="00E66FE8"/>
    <w:rsid w:val="00E67388"/>
    <w:rsid w:val="00E679A1"/>
    <w:rsid w:val="00E67C5F"/>
    <w:rsid w:val="00E7027C"/>
    <w:rsid w:val="00E70293"/>
    <w:rsid w:val="00E705D8"/>
    <w:rsid w:val="00E706FF"/>
    <w:rsid w:val="00E70794"/>
    <w:rsid w:val="00E7122B"/>
    <w:rsid w:val="00E71BB1"/>
    <w:rsid w:val="00E723C3"/>
    <w:rsid w:val="00E72C4E"/>
    <w:rsid w:val="00E73062"/>
    <w:rsid w:val="00E730E5"/>
    <w:rsid w:val="00E73576"/>
    <w:rsid w:val="00E7372D"/>
    <w:rsid w:val="00E73953"/>
    <w:rsid w:val="00E743B4"/>
    <w:rsid w:val="00E74689"/>
    <w:rsid w:val="00E74C89"/>
    <w:rsid w:val="00E75839"/>
    <w:rsid w:val="00E759AA"/>
    <w:rsid w:val="00E75AFA"/>
    <w:rsid w:val="00E762E8"/>
    <w:rsid w:val="00E7653D"/>
    <w:rsid w:val="00E76910"/>
    <w:rsid w:val="00E76C1C"/>
    <w:rsid w:val="00E7773D"/>
    <w:rsid w:val="00E77852"/>
    <w:rsid w:val="00E77E91"/>
    <w:rsid w:val="00E809A4"/>
    <w:rsid w:val="00E80F09"/>
    <w:rsid w:val="00E8129E"/>
    <w:rsid w:val="00E81302"/>
    <w:rsid w:val="00E81699"/>
    <w:rsid w:val="00E81CF9"/>
    <w:rsid w:val="00E822C6"/>
    <w:rsid w:val="00E829B5"/>
    <w:rsid w:val="00E82CB8"/>
    <w:rsid w:val="00E83E6A"/>
    <w:rsid w:val="00E845C3"/>
    <w:rsid w:val="00E849FA"/>
    <w:rsid w:val="00E84DA3"/>
    <w:rsid w:val="00E84DD0"/>
    <w:rsid w:val="00E84DF1"/>
    <w:rsid w:val="00E85252"/>
    <w:rsid w:val="00E858FB"/>
    <w:rsid w:val="00E85B25"/>
    <w:rsid w:val="00E85D3D"/>
    <w:rsid w:val="00E85E5A"/>
    <w:rsid w:val="00E861DA"/>
    <w:rsid w:val="00E86C43"/>
    <w:rsid w:val="00E870F5"/>
    <w:rsid w:val="00E87C6C"/>
    <w:rsid w:val="00E87D92"/>
    <w:rsid w:val="00E9094D"/>
    <w:rsid w:val="00E91271"/>
    <w:rsid w:val="00E92229"/>
    <w:rsid w:val="00E92430"/>
    <w:rsid w:val="00E927A8"/>
    <w:rsid w:val="00E92A73"/>
    <w:rsid w:val="00E92AEF"/>
    <w:rsid w:val="00E92B7A"/>
    <w:rsid w:val="00E936BE"/>
    <w:rsid w:val="00E936C8"/>
    <w:rsid w:val="00E93726"/>
    <w:rsid w:val="00E9393B"/>
    <w:rsid w:val="00E93BD5"/>
    <w:rsid w:val="00E948AD"/>
    <w:rsid w:val="00E95773"/>
    <w:rsid w:val="00E9613A"/>
    <w:rsid w:val="00E968ED"/>
    <w:rsid w:val="00E97CFA"/>
    <w:rsid w:val="00E97FEC"/>
    <w:rsid w:val="00EA054B"/>
    <w:rsid w:val="00EA0B1D"/>
    <w:rsid w:val="00EA10C6"/>
    <w:rsid w:val="00EA123B"/>
    <w:rsid w:val="00EA167C"/>
    <w:rsid w:val="00EA1730"/>
    <w:rsid w:val="00EA1B2C"/>
    <w:rsid w:val="00EA1CAE"/>
    <w:rsid w:val="00EA1DF9"/>
    <w:rsid w:val="00EA2D13"/>
    <w:rsid w:val="00EA302F"/>
    <w:rsid w:val="00EA3591"/>
    <w:rsid w:val="00EA3EB0"/>
    <w:rsid w:val="00EA3F59"/>
    <w:rsid w:val="00EA4517"/>
    <w:rsid w:val="00EA4970"/>
    <w:rsid w:val="00EA5742"/>
    <w:rsid w:val="00EA6034"/>
    <w:rsid w:val="00EA62FA"/>
    <w:rsid w:val="00EA6BC8"/>
    <w:rsid w:val="00EA6C4C"/>
    <w:rsid w:val="00EA79D1"/>
    <w:rsid w:val="00EA7A39"/>
    <w:rsid w:val="00EA7A6E"/>
    <w:rsid w:val="00EA7B29"/>
    <w:rsid w:val="00EB02A1"/>
    <w:rsid w:val="00EB0808"/>
    <w:rsid w:val="00EB0A02"/>
    <w:rsid w:val="00EB0CBB"/>
    <w:rsid w:val="00EB1867"/>
    <w:rsid w:val="00EB1C85"/>
    <w:rsid w:val="00EB1C89"/>
    <w:rsid w:val="00EB1C95"/>
    <w:rsid w:val="00EB2021"/>
    <w:rsid w:val="00EB236F"/>
    <w:rsid w:val="00EB2492"/>
    <w:rsid w:val="00EB319F"/>
    <w:rsid w:val="00EB35AD"/>
    <w:rsid w:val="00EB3829"/>
    <w:rsid w:val="00EB413A"/>
    <w:rsid w:val="00EB4574"/>
    <w:rsid w:val="00EB4A59"/>
    <w:rsid w:val="00EB4CD7"/>
    <w:rsid w:val="00EB4E8E"/>
    <w:rsid w:val="00EB566D"/>
    <w:rsid w:val="00EB598A"/>
    <w:rsid w:val="00EB615A"/>
    <w:rsid w:val="00EB62E7"/>
    <w:rsid w:val="00EB674E"/>
    <w:rsid w:val="00EB70BF"/>
    <w:rsid w:val="00EB75A6"/>
    <w:rsid w:val="00EB7888"/>
    <w:rsid w:val="00EB7D3A"/>
    <w:rsid w:val="00EC0DB1"/>
    <w:rsid w:val="00EC0FD1"/>
    <w:rsid w:val="00EC1563"/>
    <w:rsid w:val="00EC18E9"/>
    <w:rsid w:val="00EC1FC3"/>
    <w:rsid w:val="00EC27EC"/>
    <w:rsid w:val="00EC2956"/>
    <w:rsid w:val="00EC2A80"/>
    <w:rsid w:val="00EC2C9C"/>
    <w:rsid w:val="00EC3600"/>
    <w:rsid w:val="00EC3889"/>
    <w:rsid w:val="00EC3B7E"/>
    <w:rsid w:val="00EC3C20"/>
    <w:rsid w:val="00EC4A4E"/>
    <w:rsid w:val="00EC4E09"/>
    <w:rsid w:val="00EC565E"/>
    <w:rsid w:val="00EC57E7"/>
    <w:rsid w:val="00EC6629"/>
    <w:rsid w:val="00EC66B8"/>
    <w:rsid w:val="00EC6795"/>
    <w:rsid w:val="00EC6FB7"/>
    <w:rsid w:val="00EC7354"/>
    <w:rsid w:val="00EC7B9F"/>
    <w:rsid w:val="00EC7CE5"/>
    <w:rsid w:val="00ED0164"/>
    <w:rsid w:val="00ED0678"/>
    <w:rsid w:val="00ED07EB"/>
    <w:rsid w:val="00ED0822"/>
    <w:rsid w:val="00ED0A37"/>
    <w:rsid w:val="00ED0FFD"/>
    <w:rsid w:val="00ED1788"/>
    <w:rsid w:val="00ED18EF"/>
    <w:rsid w:val="00ED1A72"/>
    <w:rsid w:val="00ED20C1"/>
    <w:rsid w:val="00ED2373"/>
    <w:rsid w:val="00ED28A9"/>
    <w:rsid w:val="00ED2ED8"/>
    <w:rsid w:val="00ED309C"/>
    <w:rsid w:val="00ED30F4"/>
    <w:rsid w:val="00ED3AFB"/>
    <w:rsid w:val="00ED4946"/>
    <w:rsid w:val="00ED49DD"/>
    <w:rsid w:val="00ED537F"/>
    <w:rsid w:val="00ED5CB3"/>
    <w:rsid w:val="00ED5D0D"/>
    <w:rsid w:val="00ED61EB"/>
    <w:rsid w:val="00ED6CC4"/>
    <w:rsid w:val="00ED753D"/>
    <w:rsid w:val="00ED7556"/>
    <w:rsid w:val="00ED75A2"/>
    <w:rsid w:val="00EE07DC"/>
    <w:rsid w:val="00EE0D7A"/>
    <w:rsid w:val="00EE1548"/>
    <w:rsid w:val="00EE19C4"/>
    <w:rsid w:val="00EE1A47"/>
    <w:rsid w:val="00EE2C8D"/>
    <w:rsid w:val="00EE2CC4"/>
    <w:rsid w:val="00EE2D78"/>
    <w:rsid w:val="00EE2DB2"/>
    <w:rsid w:val="00EE2DC9"/>
    <w:rsid w:val="00EE2E34"/>
    <w:rsid w:val="00EE309B"/>
    <w:rsid w:val="00EE33B6"/>
    <w:rsid w:val="00EE3519"/>
    <w:rsid w:val="00EE372D"/>
    <w:rsid w:val="00EE3A7C"/>
    <w:rsid w:val="00EE3F53"/>
    <w:rsid w:val="00EE4894"/>
    <w:rsid w:val="00EE4B04"/>
    <w:rsid w:val="00EE52A5"/>
    <w:rsid w:val="00EE53B9"/>
    <w:rsid w:val="00EE53BC"/>
    <w:rsid w:val="00EE59FD"/>
    <w:rsid w:val="00EE69A3"/>
    <w:rsid w:val="00EE6D5A"/>
    <w:rsid w:val="00EE6EBC"/>
    <w:rsid w:val="00EE781F"/>
    <w:rsid w:val="00EE7F02"/>
    <w:rsid w:val="00EF0290"/>
    <w:rsid w:val="00EF0833"/>
    <w:rsid w:val="00EF0C9C"/>
    <w:rsid w:val="00EF1B69"/>
    <w:rsid w:val="00EF2FE1"/>
    <w:rsid w:val="00EF330A"/>
    <w:rsid w:val="00EF3EBE"/>
    <w:rsid w:val="00EF4170"/>
    <w:rsid w:val="00EF4197"/>
    <w:rsid w:val="00EF4234"/>
    <w:rsid w:val="00EF4515"/>
    <w:rsid w:val="00EF471C"/>
    <w:rsid w:val="00EF47EE"/>
    <w:rsid w:val="00EF4C9B"/>
    <w:rsid w:val="00EF4E43"/>
    <w:rsid w:val="00EF63CA"/>
    <w:rsid w:val="00EF6B55"/>
    <w:rsid w:val="00EF6C03"/>
    <w:rsid w:val="00EF6F92"/>
    <w:rsid w:val="00EF78B7"/>
    <w:rsid w:val="00EF7E30"/>
    <w:rsid w:val="00F0110C"/>
    <w:rsid w:val="00F0203C"/>
    <w:rsid w:val="00F02AD4"/>
    <w:rsid w:val="00F02E30"/>
    <w:rsid w:val="00F03C20"/>
    <w:rsid w:val="00F03CAF"/>
    <w:rsid w:val="00F04B52"/>
    <w:rsid w:val="00F0530F"/>
    <w:rsid w:val="00F0553F"/>
    <w:rsid w:val="00F05A9E"/>
    <w:rsid w:val="00F06269"/>
    <w:rsid w:val="00F067A0"/>
    <w:rsid w:val="00F06AF8"/>
    <w:rsid w:val="00F07654"/>
    <w:rsid w:val="00F076DD"/>
    <w:rsid w:val="00F07778"/>
    <w:rsid w:val="00F10A92"/>
    <w:rsid w:val="00F10CA2"/>
    <w:rsid w:val="00F10DCE"/>
    <w:rsid w:val="00F11322"/>
    <w:rsid w:val="00F11746"/>
    <w:rsid w:val="00F11BF7"/>
    <w:rsid w:val="00F11F2B"/>
    <w:rsid w:val="00F11F8E"/>
    <w:rsid w:val="00F12F91"/>
    <w:rsid w:val="00F1381C"/>
    <w:rsid w:val="00F13BF6"/>
    <w:rsid w:val="00F14151"/>
    <w:rsid w:val="00F14320"/>
    <w:rsid w:val="00F15286"/>
    <w:rsid w:val="00F1569C"/>
    <w:rsid w:val="00F15898"/>
    <w:rsid w:val="00F15A84"/>
    <w:rsid w:val="00F15E66"/>
    <w:rsid w:val="00F15ED0"/>
    <w:rsid w:val="00F1673B"/>
    <w:rsid w:val="00F16DDA"/>
    <w:rsid w:val="00F16E2E"/>
    <w:rsid w:val="00F16F6C"/>
    <w:rsid w:val="00F1758F"/>
    <w:rsid w:val="00F17816"/>
    <w:rsid w:val="00F1781F"/>
    <w:rsid w:val="00F2073A"/>
    <w:rsid w:val="00F2078E"/>
    <w:rsid w:val="00F20854"/>
    <w:rsid w:val="00F20B21"/>
    <w:rsid w:val="00F214FD"/>
    <w:rsid w:val="00F2198E"/>
    <w:rsid w:val="00F21C0D"/>
    <w:rsid w:val="00F220F4"/>
    <w:rsid w:val="00F23D29"/>
    <w:rsid w:val="00F240FA"/>
    <w:rsid w:val="00F246F5"/>
    <w:rsid w:val="00F249CD"/>
    <w:rsid w:val="00F24A2A"/>
    <w:rsid w:val="00F24DD0"/>
    <w:rsid w:val="00F24FA1"/>
    <w:rsid w:val="00F24FFB"/>
    <w:rsid w:val="00F260F5"/>
    <w:rsid w:val="00F260FA"/>
    <w:rsid w:val="00F26129"/>
    <w:rsid w:val="00F270D2"/>
    <w:rsid w:val="00F271E0"/>
    <w:rsid w:val="00F27391"/>
    <w:rsid w:val="00F27793"/>
    <w:rsid w:val="00F278AE"/>
    <w:rsid w:val="00F27907"/>
    <w:rsid w:val="00F30008"/>
    <w:rsid w:val="00F3008F"/>
    <w:rsid w:val="00F30742"/>
    <w:rsid w:val="00F3100C"/>
    <w:rsid w:val="00F31196"/>
    <w:rsid w:val="00F31575"/>
    <w:rsid w:val="00F316D0"/>
    <w:rsid w:val="00F321F5"/>
    <w:rsid w:val="00F323A6"/>
    <w:rsid w:val="00F323D2"/>
    <w:rsid w:val="00F3285D"/>
    <w:rsid w:val="00F32DE7"/>
    <w:rsid w:val="00F33006"/>
    <w:rsid w:val="00F33786"/>
    <w:rsid w:val="00F33886"/>
    <w:rsid w:val="00F338F0"/>
    <w:rsid w:val="00F344C0"/>
    <w:rsid w:val="00F34883"/>
    <w:rsid w:val="00F353EA"/>
    <w:rsid w:val="00F355B9"/>
    <w:rsid w:val="00F356F9"/>
    <w:rsid w:val="00F35FDA"/>
    <w:rsid w:val="00F3641E"/>
    <w:rsid w:val="00F3648D"/>
    <w:rsid w:val="00F368FF"/>
    <w:rsid w:val="00F36C43"/>
    <w:rsid w:val="00F378DB"/>
    <w:rsid w:val="00F37E95"/>
    <w:rsid w:val="00F400CA"/>
    <w:rsid w:val="00F4141F"/>
    <w:rsid w:val="00F41A46"/>
    <w:rsid w:val="00F4234C"/>
    <w:rsid w:val="00F42A8D"/>
    <w:rsid w:val="00F42D04"/>
    <w:rsid w:val="00F42F5F"/>
    <w:rsid w:val="00F4321E"/>
    <w:rsid w:val="00F43527"/>
    <w:rsid w:val="00F43665"/>
    <w:rsid w:val="00F436EB"/>
    <w:rsid w:val="00F44988"/>
    <w:rsid w:val="00F44B02"/>
    <w:rsid w:val="00F44D92"/>
    <w:rsid w:val="00F452C3"/>
    <w:rsid w:val="00F45511"/>
    <w:rsid w:val="00F455FF"/>
    <w:rsid w:val="00F457DF"/>
    <w:rsid w:val="00F45D9B"/>
    <w:rsid w:val="00F463A2"/>
    <w:rsid w:val="00F46AFD"/>
    <w:rsid w:val="00F46BAB"/>
    <w:rsid w:val="00F46C59"/>
    <w:rsid w:val="00F46DD0"/>
    <w:rsid w:val="00F4716A"/>
    <w:rsid w:val="00F479FC"/>
    <w:rsid w:val="00F5012A"/>
    <w:rsid w:val="00F50562"/>
    <w:rsid w:val="00F50905"/>
    <w:rsid w:val="00F50EB1"/>
    <w:rsid w:val="00F51E73"/>
    <w:rsid w:val="00F528EA"/>
    <w:rsid w:val="00F52942"/>
    <w:rsid w:val="00F52D1C"/>
    <w:rsid w:val="00F53301"/>
    <w:rsid w:val="00F534E6"/>
    <w:rsid w:val="00F5420F"/>
    <w:rsid w:val="00F558F6"/>
    <w:rsid w:val="00F56632"/>
    <w:rsid w:val="00F56BF7"/>
    <w:rsid w:val="00F56F77"/>
    <w:rsid w:val="00F57726"/>
    <w:rsid w:val="00F57C81"/>
    <w:rsid w:val="00F57D5A"/>
    <w:rsid w:val="00F6002D"/>
    <w:rsid w:val="00F60717"/>
    <w:rsid w:val="00F60759"/>
    <w:rsid w:val="00F6076E"/>
    <w:rsid w:val="00F61A71"/>
    <w:rsid w:val="00F6238E"/>
    <w:rsid w:val="00F62740"/>
    <w:rsid w:val="00F634F7"/>
    <w:rsid w:val="00F6370F"/>
    <w:rsid w:val="00F63BD7"/>
    <w:rsid w:val="00F63FDF"/>
    <w:rsid w:val="00F6428C"/>
    <w:rsid w:val="00F6463D"/>
    <w:rsid w:val="00F6528F"/>
    <w:rsid w:val="00F65BDB"/>
    <w:rsid w:val="00F660E8"/>
    <w:rsid w:val="00F6668F"/>
    <w:rsid w:val="00F66A71"/>
    <w:rsid w:val="00F66C30"/>
    <w:rsid w:val="00F66D08"/>
    <w:rsid w:val="00F675C0"/>
    <w:rsid w:val="00F7069F"/>
    <w:rsid w:val="00F70808"/>
    <w:rsid w:val="00F7086C"/>
    <w:rsid w:val="00F70AC6"/>
    <w:rsid w:val="00F70BBC"/>
    <w:rsid w:val="00F71A24"/>
    <w:rsid w:val="00F71C75"/>
    <w:rsid w:val="00F71FD5"/>
    <w:rsid w:val="00F71FFA"/>
    <w:rsid w:val="00F72204"/>
    <w:rsid w:val="00F7243B"/>
    <w:rsid w:val="00F725B6"/>
    <w:rsid w:val="00F72920"/>
    <w:rsid w:val="00F72A62"/>
    <w:rsid w:val="00F72ACB"/>
    <w:rsid w:val="00F72C94"/>
    <w:rsid w:val="00F7346C"/>
    <w:rsid w:val="00F737AC"/>
    <w:rsid w:val="00F74249"/>
    <w:rsid w:val="00F74AD7"/>
    <w:rsid w:val="00F755EB"/>
    <w:rsid w:val="00F759D4"/>
    <w:rsid w:val="00F759F6"/>
    <w:rsid w:val="00F76567"/>
    <w:rsid w:val="00F76AA7"/>
    <w:rsid w:val="00F76B62"/>
    <w:rsid w:val="00F76DA6"/>
    <w:rsid w:val="00F776CD"/>
    <w:rsid w:val="00F7777F"/>
    <w:rsid w:val="00F779E9"/>
    <w:rsid w:val="00F77C2F"/>
    <w:rsid w:val="00F8037F"/>
    <w:rsid w:val="00F809D2"/>
    <w:rsid w:val="00F80CBC"/>
    <w:rsid w:val="00F81445"/>
    <w:rsid w:val="00F819CC"/>
    <w:rsid w:val="00F81B5E"/>
    <w:rsid w:val="00F820C1"/>
    <w:rsid w:val="00F8234B"/>
    <w:rsid w:val="00F8287B"/>
    <w:rsid w:val="00F82CCA"/>
    <w:rsid w:val="00F82E05"/>
    <w:rsid w:val="00F83129"/>
    <w:rsid w:val="00F831FC"/>
    <w:rsid w:val="00F83536"/>
    <w:rsid w:val="00F83C5B"/>
    <w:rsid w:val="00F83F0A"/>
    <w:rsid w:val="00F84AB5"/>
    <w:rsid w:val="00F8523F"/>
    <w:rsid w:val="00F85337"/>
    <w:rsid w:val="00F85442"/>
    <w:rsid w:val="00F85501"/>
    <w:rsid w:val="00F85EE0"/>
    <w:rsid w:val="00F85FA9"/>
    <w:rsid w:val="00F86D1F"/>
    <w:rsid w:val="00F87881"/>
    <w:rsid w:val="00F9004E"/>
    <w:rsid w:val="00F90A3B"/>
    <w:rsid w:val="00F9122B"/>
    <w:rsid w:val="00F91C14"/>
    <w:rsid w:val="00F925B9"/>
    <w:rsid w:val="00F92B37"/>
    <w:rsid w:val="00F9374D"/>
    <w:rsid w:val="00F937BD"/>
    <w:rsid w:val="00F94573"/>
    <w:rsid w:val="00F949F9"/>
    <w:rsid w:val="00F94B62"/>
    <w:rsid w:val="00F95016"/>
    <w:rsid w:val="00F965C3"/>
    <w:rsid w:val="00F9678F"/>
    <w:rsid w:val="00F96857"/>
    <w:rsid w:val="00F96B85"/>
    <w:rsid w:val="00F97C6E"/>
    <w:rsid w:val="00FA0A87"/>
    <w:rsid w:val="00FA0AD1"/>
    <w:rsid w:val="00FA0F4F"/>
    <w:rsid w:val="00FA11DA"/>
    <w:rsid w:val="00FA1D6E"/>
    <w:rsid w:val="00FA24E1"/>
    <w:rsid w:val="00FA2AB1"/>
    <w:rsid w:val="00FA2ADB"/>
    <w:rsid w:val="00FA2C65"/>
    <w:rsid w:val="00FA2D31"/>
    <w:rsid w:val="00FA4631"/>
    <w:rsid w:val="00FA4D25"/>
    <w:rsid w:val="00FA52C7"/>
    <w:rsid w:val="00FA66D0"/>
    <w:rsid w:val="00FA6E11"/>
    <w:rsid w:val="00FA76EB"/>
    <w:rsid w:val="00FA79A8"/>
    <w:rsid w:val="00FA7DFA"/>
    <w:rsid w:val="00FA7EBD"/>
    <w:rsid w:val="00FB087A"/>
    <w:rsid w:val="00FB0EBD"/>
    <w:rsid w:val="00FB190E"/>
    <w:rsid w:val="00FB1CD6"/>
    <w:rsid w:val="00FB2650"/>
    <w:rsid w:val="00FB2DEE"/>
    <w:rsid w:val="00FB30B4"/>
    <w:rsid w:val="00FB349C"/>
    <w:rsid w:val="00FB364F"/>
    <w:rsid w:val="00FB3C56"/>
    <w:rsid w:val="00FB5B74"/>
    <w:rsid w:val="00FB5EF2"/>
    <w:rsid w:val="00FB6103"/>
    <w:rsid w:val="00FB64B3"/>
    <w:rsid w:val="00FB65AB"/>
    <w:rsid w:val="00FB7952"/>
    <w:rsid w:val="00FC022A"/>
    <w:rsid w:val="00FC02CF"/>
    <w:rsid w:val="00FC0958"/>
    <w:rsid w:val="00FC0E5E"/>
    <w:rsid w:val="00FC11E0"/>
    <w:rsid w:val="00FC1483"/>
    <w:rsid w:val="00FC14D4"/>
    <w:rsid w:val="00FC163C"/>
    <w:rsid w:val="00FC2347"/>
    <w:rsid w:val="00FC26F1"/>
    <w:rsid w:val="00FC2724"/>
    <w:rsid w:val="00FC282B"/>
    <w:rsid w:val="00FC29D9"/>
    <w:rsid w:val="00FC2A35"/>
    <w:rsid w:val="00FC2A71"/>
    <w:rsid w:val="00FC32DA"/>
    <w:rsid w:val="00FC3921"/>
    <w:rsid w:val="00FC3F7D"/>
    <w:rsid w:val="00FC4FBF"/>
    <w:rsid w:val="00FC56DF"/>
    <w:rsid w:val="00FC57DE"/>
    <w:rsid w:val="00FC68AE"/>
    <w:rsid w:val="00FC723D"/>
    <w:rsid w:val="00FC736A"/>
    <w:rsid w:val="00FC76A7"/>
    <w:rsid w:val="00FD0723"/>
    <w:rsid w:val="00FD162F"/>
    <w:rsid w:val="00FD2D5A"/>
    <w:rsid w:val="00FD2F76"/>
    <w:rsid w:val="00FD36B8"/>
    <w:rsid w:val="00FD4203"/>
    <w:rsid w:val="00FD4C65"/>
    <w:rsid w:val="00FD4C99"/>
    <w:rsid w:val="00FD4DF3"/>
    <w:rsid w:val="00FD4E33"/>
    <w:rsid w:val="00FD4FEE"/>
    <w:rsid w:val="00FD564C"/>
    <w:rsid w:val="00FD5B11"/>
    <w:rsid w:val="00FD5D03"/>
    <w:rsid w:val="00FD5E92"/>
    <w:rsid w:val="00FD5EC5"/>
    <w:rsid w:val="00FD6657"/>
    <w:rsid w:val="00FD6AB9"/>
    <w:rsid w:val="00FD6B29"/>
    <w:rsid w:val="00FD6C72"/>
    <w:rsid w:val="00FD7A4B"/>
    <w:rsid w:val="00FD7D73"/>
    <w:rsid w:val="00FD7EA1"/>
    <w:rsid w:val="00FE0229"/>
    <w:rsid w:val="00FE131A"/>
    <w:rsid w:val="00FE1527"/>
    <w:rsid w:val="00FE1AE5"/>
    <w:rsid w:val="00FE1BD7"/>
    <w:rsid w:val="00FE2409"/>
    <w:rsid w:val="00FE2798"/>
    <w:rsid w:val="00FE391A"/>
    <w:rsid w:val="00FE4120"/>
    <w:rsid w:val="00FE458F"/>
    <w:rsid w:val="00FE49B3"/>
    <w:rsid w:val="00FE50A6"/>
    <w:rsid w:val="00FE52E7"/>
    <w:rsid w:val="00FE5896"/>
    <w:rsid w:val="00FE5A08"/>
    <w:rsid w:val="00FE6FE9"/>
    <w:rsid w:val="00FE7656"/>
    <w:rsid w:val="00FE7EBF"/>
    <w:rsid w:val="00FF00A5"/>
    <w:rsid w:val="00FF0E98"/>
    <w:rsid w:val="00FF1276"/>
    <w:rsid w:val="00FF1585"/>
    <w:rsid w:val="00FF185A"/>
    <w:rsid w:val="00FF18A8"/>
    <w:rsid w:val="00FF1D60"/>
    <w:rsid w:val="00FF1EB9"/>
    <w:rsid w:val="00FF2413"/>
    <w:rsid w:val="00FF2C24"/>
    <w:rsid w:val="00FF2E2E"/>
    <w:rsid w:val="00FF3198"/>
    <w:rsid w:val="00FF33FE"/>
    <w:rsid w:val="00FF3500"/>
    <w:rsid w:val="00FF3B19"/>
    <w:rsid w:val="00FF4189"/>
    <w:rsid w:val="00FF4359"/>
    <w:rsid w:val="00FF4C3E"/>
    <w:rsid w:val="00FF5C5B"/>
    <w:rsid w:val="00FF6EF3"/>
    <w:rsid w:val="0147F668"/>
    <w:rsid w:val="01E09DFA"/>
    <w:rsid w:val="02021C0E"/>
    <w:rsid w:val="025F4703"/>
    <w:rsid w:val="0281E732"/>
    <w:rsid w:val="03899D91"/>
    <w:rsid w:val="03910908"/>
    <w:rsid w:val="03B8ED74"/>
    <w:rsid w:val="04E6693C"/>
    <w:rsid w:val="05AEEC21"/>
    <w:rsid w:val="05F80DC4"/>
    <w:rsid w:val="06C81A83"/>
    <w:rsid w:val="085DD773"/>
    <w:rsid w:val="0970B293"/>
    <w:rsid w:val="0A0D2DF3"/>
    <w:rsid w:val="0B4B2915"/>
    <w:rsid w:val="0B8AD50B"/>
    <w:rsid w:val="0BEAE9CD"/>
    <w:rsid w:val="0D1521A8"/>
    <w:rsid w:val="0D4CBC3B"/>
    <w:rsid w:val="0E26CCF3"/>
    <w:rsid w:val="0E3891A8"/>
    <w:rsid w:val="0EE09F16"/>
    <w:rsid w:val="0FB43E9C"/>
    <w:rsid w:val="0FCB65EC"/>
    <w:rsid w:val="100B7348"/>
    <w:rsid w:val="142DCC2B"/>
    <w:rsid w:val="1479BE48"/>
    <w:rsid w:val="14C6B26D"/>
    <w:rsid w:val="15BCF084"/>
    <w:rsid w:val="164ADC06"/>
    <w:rsid w:val="164B52A0"/>
    <w:rsid w:val="16720132"/>
    <w:rsid w:val="180E877C"/>
    <w:rsid w:val="18F758A9"/>
    <w:rsid w:val="199EAC6C"/>
    <w:rsid w:val="1A2B3F43"/>
    <w:rsid w:val="1AACD280"/>
    <w:rsid w:val="1AD675D2"/>
    <w:rsid w:val="1AEE9E77"/>
    <w:rsid w:val="1AF108EC"/>
    <w:rsid w:val="1C56EF7C"/>
    <w:rsid w:val="1C8226D5"/>
    <w:rsid w:val="1D26218D"/>
    <w:rsid w:val="1D62E005"/>
    <w:rsid w:val="1DAE2095"/>
    <w:rsid w:val="1DB5B33D"/>
    <w:rsid w:val="20149EE1"/>
    <w:rsid w:val="204BF793"/>
    <w:rsid w:val="20538985"/>
    <w:rsid w:val="209A80C7"/>
    <w:rsid w:val="2117FC15"/>
    <w:rsid w:val="220DB905"/>
    <w:rsid w:val="237DBD59"/>
    <w:rsid w:val="25E8A718"/>
    <w:rsid w:val="26EB0899"/>
    <w:rsid w:val="27A61757"/>
    <w:rsid w:val="2883F009"/>
    <w:rsid w:val="28E95AAB"/>
    <w:rsid w:val="298E99A6"/>
    <w:rsid w:val="29A13E36"/>
    <w:rsid w:val="2A3FF28B"/>
    <w:rsid w:val="2A6E0CAA"/>
    <w:rsid w:val="2AA214F2"/>
    <w:rsid w:val="2B1BFDA3"/>
    <w:rsid w:val="2B25A02D"/>
    <w:rsid w:val="2BAA9B49"/>
    <w:rsid w:val="2BC6EEDD"/>
    <w:rsid w:val="2C70201F"/>
    <w:rsid w:val="2F0DA970"/>
    <w:rsid w:val="2FC5DF04"/>
    <w:rsid w:val="30884155"/>
    <w:rsid w:val="318B3F27"/>
    <w:rsid w:val="330DE72B"/>
    <w:rsid w:val="33AE0F6F"/>
    <w:rsid w:val="348B5BC3"/>
    <w:rsid w:val="34C2DFE9"/>
    <w:rsid w:val="381F81B1"/>
    <w:rsid w:val="39A9A1F6"/>
    <w:rsid w:val="3C87BE05"/>
    <w:rsid w:val="3CD4ADBF"/>
    <w:rsid w:val="3D842C09"/>
    <w:rsid w:val="3ECEE734"/>
    <w:rsid w:val="401EE2EC"/>
    <w:rsid w:val="40391B1C"/>
    <w:rsid w:val="41312D1E"/>
    <w:rsid w:val="41A18F0A"/>
    <w:rsid w:val="43482A1F"/>
    <w:rsid w:val="43597FA3"/>
    <w:rsid w:val="43949730"/>
    <w:rsid w:val="4490F3AC"/>
    <w:rsid w:val="44EC13CD"/>
    <w:rsid w:val="4526752D"/>
    <w:rsid w:val="45917C89"/>
    <w:rsid w:val="48C8F751"/>
    <w:rsid w:val="491B9BB6"/>
    <w:rsid w:val="49D8CBA2"/>
    <w:rsid w:val="4A4AC2BA"/>
    <w:rsid w:val="4A9ED03D"/>
    <w:rsid w:val="4ABAD126"/>
    <w:rsid w:val="4ACC237D"/>
    <w:rsid w:val="4B10F0C8"/>
    <w:rsid w:val="4BA1C5F2"/>
    <w:rsid w:val="4C6CCBB7"/>
    <w:rsid w:val="4D258857"/>
    <w:rsid w:val="4D288C01"/>
    <w:rsid w:val="4D6DF681"/>
    <w:rsid w:val="4DBCDA64"/>
    <w:rsid w:val="50E6BEB6"/>
    <w:rsid w:val="5164C67E"/>
    <w:rsid w:val="5197EE95"/>
    <w:rsid w:val="519D6923"/>
    <w:rsid w:val="520A8A86"/>
    <w:rsid w:val="5220C8A3"/>
    <w:rsid w:val="5248304B"/>
    <w:rsid w:val="52AF8DAF"/>
    <w:rsid w:val="53806072"/>
    <w:rsid w:val="5465B4A1"/>
    <w:rsid w:val="54BC07E6"/>
    <w:rsid w:val="564D6F34"/>
    <w:rsid w:val="569DA82C"/>
    <w:rsid w:val="56B02D7B"/>
    <w:rsid w:val="5716C081"/>
    <w:rsid w:val="57697833"/>
    <w:rsid w:val="576C3BD5"/>
    <w:rsid w:val="5897F5C7"/>
    <w:rsid w:val="58ABFF0A"/>
    <w:rsid w:val="5A845D93"/>
    <w:rsid w:val="5AB31E67"/>
    <w:rsid w:val="5B2DD5F4"/>
    <w:rsid w:val="5BDECDE6"/>
    <w:rsid w:val="5BE0FFAC"/>
    <w:rsid w:val="5C7305D9"/>
    <w:rsid w:val="5C88639F"/>
    <w:rsid w:val="5D41BE53"/>
    <w:rsid w:val="5D734513"/>
    <w:rsid w:val="5E8EF8A4"/>
    <w:rsid w:val="5F5F1012"/>
    <w:rsid w:val="5FD1FBD2"/>
    <w:rsid w:val="60009B8A"/>
    <w:rsid w:val="6047C271"/>
    <w:rsid w:val="6059BACE"/>
    <w:rsid w:val="62165510"/>
    <w:rsid w:val="6230812A"/>
    <w:rsid w:val="628F6C62"/>
    <w:rsid w:val="62970A44"/>
    <w:rsid w:val="62C5CFF6"/>
    <w:rsid w:val="630E7CFE"/>
    <w:rsid w:val="65A2D43D"/>
    <w:rsid w:val="65C71C07"/>
    <w:rsid w:val="65D39EF3"/>
    <w:rsid w:val="660C6C65"/>
    <w:rsid w:val="674E2254"/>
    <w:rsid w:val="6793EBD8"/>
    <w:rsid w:val="68462367"/>
    <w:rsid w:val="692EB376"/>
    <w:rsid w:val="69AB3101"/>
    <w:rsid w:val="6B756279"/>
    <w:rsid w:val="6BCA76F5"/>
    <w:rsid w:val="6C1F1BFD"/>
    <w:rsid w:val="6E937BD0"/>
    <w:rsid w:val="6F571264"/>
    <w:rsid w:val="6F8484B6"/>
    <w:rsid w:val="70042664"/>
    <w:rsid w:val="717407F5"/>
    <w:rsid w:val="71B7CAFF"/>
    <w:rsid w:val="73A0F101"/>
    <w:rsid w:val="73BD9BFD"/>
    <w:rsid w:val="73C659D0"/>
    <w:rsid w:val="73F9CC31"/>
    <w:rsid w:val="7533D1A1"/>
    <w:rsid w:val="763A3E6C"/>
    <w:rsid w:val="76C63C17"/>
    <w:rsid w:val="77F76BCF"/>
    <w:rsid w:val="7855C644"/>
    <w:rsid w:val="7855CF91"/>
    <w:rsid w:val="78FF7DE9"/>
    <w:rsid w:val="796B48AD"/>
    <w:rsid w:val="7AB1AA09"/>
    <w:rsid w:val="7BCE73D3"/>
    <w:rsid w:val="7BF13286"/>
    <w:rsid w:val="7C5FC8FC"/>
    <w:rsid w:val="7CBD027B"/>
    <w:rsid w:val="7E1B5BA8"/>
    <w:rsid w:val="7E78D00D"/>
    <w:rsid w:val="7EE04788"/>
    <w:rsid w:val="7FB87CB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9435B3"/>
  <w15:chartTrackingRefBased/>
  <w15:docId w15:val="{77A3071B-1288-421B-97CF-6F0E4D2AB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6B02"/>
    <w:pPr>
      <w:spacing w:after="200" w:line="276" w:lineRule="auto"/>
    </w:pPr>
    <w:rPr>
      <w:rFonts w:ascii="Calibri" w:eastAsia="Calibri" w:hAnsi="Calibri" w:cs="Times New Roman"/>
    </w:rPr>
  </w:style>
  <w:style w:type="paragraph" w:styleId="Heading1">
    <w:name w:val="heading 1"/>
    <w:basedOn w:val="Heading10"/>
    <w:next w:val="Normal"/>
    <w:link w:val="Heading1Char"/>
    <w:uiPriority w:val="9"/>
    <w:qFormat/>
    <w:rsid w:val="008C4B3C"/>
    <w:pPr>
      <w:spacing w:before="1000"/>
      <w:jc w:val="center"/>
      <w:outlineLvl w:val="0"/>
    </w:pPr>
    <w:rPr>
      <w:sz w:val="72"/>
      <w:szCs w:val="72"/>
    </w:rPr>
  </w:style>
  <w:style w:type="paragraph" w:styleId="Heading2">
    <w:name w:val="heading 2"/>
    <w:basedOn w:val="Normal"/>
    <w:next w:val="Normal"/>
    <w:link w:val="Heading2Char"/>
    <w:uiPriority w:val="9"/>
    <w:unhideWhenUsed/>
    <w:qFormat/>
    <w:rsid w:val="004C7458"/>
    <w:pPr>
      <w:keepNext/>
      <w:keepLines/>
      <w:tabs>
        <w:tab w:val="left" w:pos="1701"/>
      </w:tabs>
      <w:spacing w:before="360" w:after="120" w:line="240" w:lineRule="auto"/>
      <w:outlineLvl w:val="1"/>
    </w:pPr>
    <w:rPr>
      <w:rFonts w:ascii="Franklin Gothic Medium" w:eastAsiaTheme="majorEastAsia" w:hAnsi="Franklin Gothic Medium" w:cstheme="majorBidi"/>
      <w:color w:val="000000" w:themeColor="text1"/>
      <w:sz w:val="32"/>
      <w:szCs w:val="26"/>
    </w:rPr>
  </w:style>
  <w:style w:type="paragraph" w:styleId="Heading3">
    <w:name w:val="heading 3"/>
    <w:basedOn w:val="Heading2"/>
    <w:next w:val="Normal"/>
    <w:link w:val="Heading3Char"/>
    <w:uiPriority w:val="9"/>
    <w:unhideWhenUsed/>
    <w:qFormat/>
    <w:rsid w:val="00713728"/>
    <w:pPr>
      <w:tabs>
        <w:tab w:val="clear" w:pos="1701"/>
      </w:tabs>
      <w:spacing w:line="276" w:lineRule="auto"/>
      <w:outlineLvl w:val="2"/>
    </w:pPr>
    <w:rPr>
      <w:rFonts w:ascii="Calibri" w:eastAsia="MS Gothic" w:hAnsi="Calibri" w:cs="Times New Roman"/>
      <w:b/>
      <w:bCs/>
      <w:i/>
      <w:color w:val="auto"/>
      <w:sz w:val="24"/>
      <w:szCs w:val="24"/>
    </w:rPr>
  </w:style>
  <w:style w:type="paragraph" w:styleId="Heading4">
    <w:name w:val="heading 4"/>
    <w:basedOn w:val="Normal"/>
    <w:next w:val="Normal"/>
    <w:link w:val="Heading4Char"/>
    <w:uiPriority w:val="9"/>
    <w:unhideWhenUsed/>
    <w:qFormat/>
    <w:rsid w:val="00045BA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478E7"/>
    <w:rPr>
      <w:rFonts w:ascii="Times New Roman" w:hAnsi="Times New Roman" w:cs="Times New Roman" w:hint="default"/>
      <w:color w:val="0000FF"/>
      <w:u w:val="single"/>
    </w:rPr>
  </w:style>
  <w:style w:type="paragraph" w:customStyle="1" w:styleId="Heading10">
    <w:name w:val="Heading1"/>
    <w:rsid w:val="006478E7"/>
    <w:pPr>
      <w:spacing w:after="200" w:line="240" w:lineRule="auto"/>
    </w:pPr>
    <w:rPr>
      <w:rFonts w:ascii="Calibri" w:eastAsia="Calibri" w:hAnsi="Calibri" w:cs="Calibri"/>
      <w:b/>
      <w:bCs/>
      <w:color w:val="000000"/>
      <w:sz w:val="36"/>
      <w:szCs w:val="36"/>
      <w:u w:color="000000"/>
      <w:lang w:val="en-US" w:eastAsia="en-AU"/>
    </w:rPr>
  </w:style>
  <w:style w:type="character" w:customStyle="1" w:styleId="Heading2Char">
    <w:name w:val="Heading 2 Char"/>
    <w:basedOn w:val="DefaultParagraphFont"/>
    <w:link w:val="Heading2"/>
    <w:uiPriority w:val="9"/>
    <w:rsid w:val="004C7458"/>
    <w:rPr>
      <w:rFonts w:ascii="Franklin Gothic Medium" w:eastAsiaTheme="majorEastAsia" w:hAnsi="Franklin Gothic Medium" w:cstheme="majorBidi"/>
      <w:color w:val="000000" w:themeColor="text1"/>
      <w:sz w:val="32"/>
      <w:szCs w:val="26"/>
    </w:rPr>
  </w:style>
  <w:style w:type="table" w:customStyle="1" w:styleId="TableGrid1">
    <w:name w:val="Table Grid1"/>
    <w:basedOn w:val="TableNormal"/>
    <w:uiPriority w:val="59"/>
    <w:rsid w:val="006478E7"/>
    <w:pPr>
      <w:spacing w:after="240" w:line="240" w:lineRule="auto"/>
      <w:ind w:left="720"/>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6478E7"/>
    <w:pPr>
      <w:ind w:left="720"/>
      <w:contextualSpacing/>
    </w:pPr>
  </w:style>
  <w:style w:type="table" w:styleId="TableGrid">
    <w:name w:val="Table Grid"/>
    <w:aliases w:val="Summary box,Table Gridbeth,RTI AMCP Table,new style,ASD Table,HealthConsult"/>
    <w:basedOn w:val="TableNormal"/>
    <w:uiPriority w:val="59"/>
    <w:rsid w:val="002F3E40"/>
    <w:pPr>
      <w:spacing w:after="0" w:line="240" w:lineRule="auto"/>
    </w:pPr>
    <w:rPr>
      <w:rFonts w:ascii="Times New Roman" w:hAnsi="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Caption Char2 Char,Caption Char Char Char2,Caption Char1 Char Char Char1,Caption Char2 Char Char Char1 Char1,Caption Char Char1 Char Char Char1 Char1,Caption Char1 Char Char Char Char Char Char,Caption Char Char1,Caption Char2,Caption Char1"/>
    <w:basedOn w:val="Normal"/>
    <w:next w:val="Normal"/>
    <w:link w:val="CaptionChar"/>
    <w:qFormat/>
    <w:rsid w:val="00E01349"/>
    <w:pPr>
      <w:keepNext/>
      <w:spacing w:before="360" w:after="120" w:line="240" w:lineRule="auto"/>
      <w:ind w:left="709" w:hanging="709"/>
    </w:pPr>
    <w:rPr>
      <w:rFonts w:ascii="Arial Narrow" w:eastAsia="Times New Roman" w:hAnsi="Arial Narrow" w:cs="Tahoma"/>
      <w:b/>
      <w:sz w:val="20"/>
      <w:szCs w:val="20"/>
      <w:lang w:val="en-GB" w:eastAsia="ja-JP"/>
    </w:rPr>
  </w:style>
  <w:style w:type="paragraph" w:customStyle="1" w:styleId="TableHeading">
    <w:name w:val="TableHeading"/>
    <w:basedOn w:val="Normal"/>
    <w:link w:val="TableHeadingChar"/>
    <w:qFormat/>
    <w:rsid w:val="000939E0"/>
    <w:pPr>
      <w:keepNext/>
      <w:spacing w:before="40" w:after="40" w:line="240" w:lineRule="auto"/>
    </w:pPr>
    <w:rPr>
      <w:rFonts w:ascii="Arial Narrow" w:eastAsia="Times New Roman" w:hAnsi="Arial Narrow" w:cs="Tahoma"/>
      <w:b/>
      <w:sz w:val="20"/>
      <w:szCs w:val="20"/>
      <w:lang w:eastAsia="en-AU"/>
    </w:rPr>
  </w:style>
  <w:style w:type="character" w:customStyle="1" w:styleId="TableHeadingChar">
    <w:name w:val="TableHeading Char"/>
    <w:link w:val="TableHeading"/>
    <w:rsid w:val="000939E0"/>
    <w:rPr>
      <w:rFonts w:ascii="Arial Narrow" w:eastAsia="Times New Roman" w:hAnsi="Arial Narrow" w:cs="Tahoma"/>
      <w:b/>
      <w:sz w:val="20"/>
      <w:szCs w:val="20"/>
      <w:lang w:eastAsia="en-AU"/>
    </w:rPr>
  </w:style>
  <w:style w:type="paragraph" w:customStyle="1" w:styleId="Tabletext">
    <w:name w:val="Table text"/>
    <w:basedOn w:val="Normal"/>
    <w:link w:val="TabletextChar"/>
    <w:qFormat/>
    <w:rsid w:val="000939E0"/>
    <w:pPr>
      <w:spacing w:before="40" w:after="40" w:line="240" w:lineRule="auto"/>
    </w:pPr>
    <w:rPr>
      <w:rFonts w:ascii="Arial Narrow" w:eastAsia="Times New Roman" w:hAnsi="Arial Narrow" w:cs="Tahoma"/>
      <w:sz w:val="20"/>
      <w:szCs w:val="20"/>
      <w:lang w:eastAsia="en-AU"/>
    </w:rPr>
  </w:style>
  <w:style w:type="character" w:customStyle="1" w:styleId="TabletextChar">
    <w:name w:val="Table text Char"/>
    <w:link w:val="Tabletext"/>
    <w:rsid w:val="000939E0"/>
    <w:rPr>
      <w:rFonts w:ascii="Arial Narrow" w:eastAsia="Times New Roman" w:hAnsi="Arial Narrow" w:cs="Tahoma"/>
      <w:sz w:val="20"/>
      <w:szCs w:val="20"/>
      <w:lang w:eastAsia="en-AU"/>
    </w:rPr>
  </w:style>
  <w:style w:type="paragraph" w:customStyle="1" w:styleId="Tablenotes">
    <w:name w:val="Tablenotes"/>
    <w:basedOn w:val="Normal"/>
    <w:link w:val="TablenotesChar"/>
    <w:qFormat/>
    <w:rsid w:val="000939E0"/>
    <w:pPr>
      <w:widowControl w:val="0"/>
      <w:spacing w:after="120" w:line="240" w:lineRule="auto"/>
      <w:jc w:val="both"/>
    </w:pPr>
    <w:rPr>
      <w:rFonts w:ascii="Arial Narrow" w:eastAsia="Times New Roman" w:hAnsi="Arial Narrow" w:cs="Arial"/>
      <w:snapToGrid w:val="0"/>
      <w:sz w:val="18"/>
      <w:szCs w:val="20"/>
    </w:rPr>
  </w:style>
  <w:style w:type="character" w:customStyle="1" w:styleId="TablenotesChar">
    <w:name w:val="Tablenotes Char"/>
    <w:basedOn w:val="DefaultParagraphFont"/>
    <w:link w:val="Tablenotes"/>
    <w:rsid w:val="000939E0"/>
    <w:rPr>
      <w:rFonts w:ascii="Arial Narrow" w:eastAsia="Times New Roman" w:hAnsi="Arial Narrow" w:cs="Arial"/>
      <w:snapToGrid w:val="0"/>
      <w:sz w:val="18"/>
      <w:szCs w:val="20"/>
    </w:rPr>
  </w:style>
  <w:style w:type="paragraph" w:customStyle="1" w:styleId="TableName">
    <w:name w:val="TableName"/>
    <w:basedOn w:val="Normal"/>
    <w:qFormat/>
    <w:rsid w:val="00891488"/>
    <w:pPr>
      <w:keepNext/>
      <w:spacing w:after="240" w:line="240" w:lineRule="auto"/>
      <w:ind w:left="1134" w:hanging="1134"/>
    </w:pPr>
    <w:rPr>
      <w:rFonts w:ascii="Franklin Gothic Medium" w:eastAsiaTheme="minorHAnsi" w:hAnsi="Franklin Gothic Medium" w:cstheme="minorBidi"/>
    </w:rPr>
  </w:style>
  <w:style w:type="character" w:customStyle="1" w:styleId="ListParagraphChar">
    <w:name w:val="List Paragraph Char"/>
    <w:basedOn w:val="DefaultParagraphFont"/>
    <w:link w:val="ListParagraph"/>
    <w:uiPriority w:val="34"/>
    <w:rsid w:val="00D867D5"/>
    <w:rPr>
      <w:rFonts w:ascii="Calibri" w:eastAsia="Calibri" w:hAnsi="Calibri" w:cs="Times New Roman"/>
    </w:rPr>
  </w:style>
  <w:style w:type="paragraph" w:styleId="Header">
    <w:name w:val="header"/>
    <w:basedOn w:val="Normal"/>
    <w:link w:val="HeaderChar"/>
    <w:uiPriority w:val="99"/>
    <w:unhideWhenUsed/>
    <w:rsid w:val="001631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315C"/>
    <w:rPr>
      <w:rFonts w:ascii="Calibri" w:eastAsia="Calibri" w:hAnsi="Calibri" w:cs="Times New Roman"/>
    </w:rPr>
  </w:style>
  <w:style w:type="paragraph" w:styleId="Footer">
    <w:name w:val="footer"/>
    <w:basedOn w:val="Normal"/>
    <w:link w:val="FooterChar"/>
    <w:uiPriority w:val="99"/>
    <w:unhideWhenUsed/>
    <w:rsid w:val="001631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315C"/>
    <w:rPr>
      <w:rFonts w:ascii="Calibri" w:eastAsia="Calibri" w:hAnsi="Calibri" w:cs="Times New Roman"/>
    </w:rPr>
  </w:style>
  <w:style w:type="paragraph" w:styleId="Subtitle">
    <w:name w:val="Subtitle"/>
    <w:basedOn w:val="Normal"/>
    <w:next w:val="Normal"/>
    <w:link w:val="SubtitleChar"/>
    <w:uiPriority w:val="11"/>
    <w:qFormat/>
    <w:rsid w:val="006F01C4"/>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6F01C4"/>
    <w:rPr>
      <w:rFonts w:eastAsiaTheme="minorEastAsia"/>
      <w:color w:val="5A5A5A" w:themeColor="text1" w:themeTint="A5"/>
      <w:spacing w:val="15"/>
    </w:rPr>
  </w:style>
  <w:style w:type="paragraph" w:styleId="BalloonText">
    <w:name w:val="Balloon Text"/>
    <w:basedOn w:val="Normal"/>
    <w:link w:val="BalloonTextChar"/>
    <w:uiPriority w:val="99"/>
    <w:semiHidden/>
    <w:unhideWhenUsed/>
    <w:rsid w:val="00A331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3126"/>
    <w:rPr>
      <w:rFonts w:ascii="Segoe UI" w:eastAsia="Calibri" w:hAnsi="Segoe UI" w:cs="Segoe UI"/>
      <w:sz w:val="18"/>
      <w:szCs w:val="18"/>
    </w:rPr>
  </w:style>
  <w:style w:type="character" w:styleId="CommentReference">
    <w:name w:val="annotation reference"/>
    <w:aliases w:val="Table Title"/>
    <w:basedOn w:val="DefaultParagraphFont"/>
    <w:uiPriority w:val="99"/>
    <w:unhideWhenUsed/>
    <w:qFormat/>
    <w:rsid w:val="00D84E12"/>
    <w:rPr>
      <w:sz w:val="16"/>
      <w:szCs w:val="16"/>
    </w:rPr>
  </w:style>
  <w:style w:type="paragraph" w:styleId="CommentText">
    <w:name w:val="annotation text"/>
    <w:basedOn w:val="Normal"/>
    <w:link w:val="CommentTextChar"/>
    <w:uiPriority w:val="99"/>
    <w:unhideWhenUsed/>
    <w:rsid w:val="00D84E12"/>
    <w:pPr>
      <w:spacing w:line="240" w:lineRule="auto"/>
    </w:pPr>
    <w:rPr>
      <w:sz w:val="20"/>
      <w:szCs w:val="20"/>
    </w:rPr>
  </w:style>
  <w:style w:type="character" w:customStyle="1" w:styleId="CommentTextChar">
    <w:name w:val="Comment Text Char"/>
    <w:basedOn w:val="DefaultParagraphFont"/>
    <w:link w:val="CommentText"/>
    <w:uiPriority w:val="99"/>
    <w:rsid w:val="00D84E12"/>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84E12"/>
    <w:rPr>
      <w:b/>
      <w:bCs/>
    </w:rPr>
  </w:style>
  <w:style w:type="character" w:customStyle="1" w:styleId="CommentSubjectChar">
    <w:name w:val="Comment Subject Char"/>
    <w:basedOn w:val="CommentTextChar"/>
    <w:link w:val="CommentSubject"/>
    <w:uiPriority w:val="99"/>
    <w:semiHidden/>
    <w:rsid w:val="00D84E12"/>
    <w:rPr>
      <w:rFonts w:ascii="Calibri" w:eastAsia="Calibri" w:hAnsi="Calibri" w:cs="Times New Roman"/>
      <w:b/>
      <w:bCs/>
      <w:sz w:val="20"/>
      <w:szCs w:val="20"/>
    </w:rPr>
  </w:style>
  <w:style w:type="character" w:styleId="FollowedHyperlink">
    <w:name w:val="FollowedHyperlink"/>
    <w:basedOn w:val="DefaultParagraphFont"/>
    <w:uiPriority w:val="99"/>
    <w:semiHidden/>
    <w:unhideWhenUsed/>
    <w:rsid w:val="008C4B3C"/>
    <w:rPr>
      <w:color w:val="954F72" w:themeColor="followedHyperlink"/>
      <w:u w:val="single"/>
    </w:rPr>
  </w:style>
  <w:style w:type="character" w:customStyle="1" w:styleId="Heading1Char">
    <w:name w:val="Heading 1 Char"/>
    <w:basedOn w:val="DefaultParagraphFont"/>
    <w:link w:val="Heading1"/>
    <w:uiPriority w:val="9"/>
    <w:rsid w:val="008C4B3C"/>
    <w:rPr>
      <w:rFonts w:ascii="Calibri" w:eastAsia="Calibri" w:hAnsi="Calibri" w:cs="Calibri"/>
      <w:b/>
      <w:bCs/>
      <w:color w:val="000000"/>
      <w:sz w:val="72"/>
      <w:szCs w:val="72"/>
      <w:u w:color="000000"/>
      <w:lang w:val="en-US" w:eastAsia="en-AU"/>
    </w:rPr>
  </w:style>
  <w:style w:type="paragraph" w:customStyle="1" w:styleId="Instructionaltext">
    <w:name w:val="Instructional text"/>
    <w:basedOn w:val="Normal"/>
    <w:link w:val="InstructionaltextChar"/>
    <w:qFormat/>
    <w:rsid w:val="006A467F"/>
    <w:pPr>
      <w:spacing w:before="120" w:after="160" w:line="259" w:lineRule="auto"/>
    </w:pPr>
    <w:rPr>
      <w:rFonts w:eastAsiaTheme="minorHAnsi" w:cstheme="minorBidi"/>
      <w:color w:val="258221"/>
    </w:rPr>
  </w:style>
  <w:style w:type="character" w:customStyle="1" w:styleId="InstructionaltextChar">
    <w:name w:val="Instructional text Char"/>
    <w:basedOn w:val="DefaultParagraphFont"/>
    <w:link w:val="Instructionaltext"/>
    <w:rsid w:val="006A467F"/>
    <w:rPr>
      <w:rFonts w:ascii="Calibri" w:hAnsi="Calibri"/>
      <w:color w:val="258221"/>
    </w:rPr>
  </w:style>
  <w:style w:type="character" w:customStyle="1" w:styleId="Heading3Char">
    <w:name w:val="Heading 3 Char"/>
    <w:basedOn w:val="DefaultParagraphFont"/>
    <w:link w:val="Heading3"/>
    <w:uiPriority w:val="9"/>
    <w:rsid w:val="00713728"/>
    <w:rPr>
      <w:rFonts w:ascii="Calibri" w:eastAsia="MS Gothic" w:hAnsi="Calibri" w:cs="Times New Roman"/>
      <w:b/>
      <w:bCs/>
      <w:i/>
      <w:sz w:val="24"/>
      <w:szCs w:val="24"/>
    </w:rPr>
  </w:style>
  <w:style w:type="paragraph" w:customStyle="1" w:styleId="Instructionaltext-bullet">
    <w:name w:val="Instructional text - bullet"/>
    <w:basedOn w:val="Instructionaltext"/>
    <w:qFormat/>
    <w:rsid w:val="006A467F"/>
    <w:pPr>
      <w:numPr>
        <w:numId w:val="3"/>
      </w:numPr>
      <w:spacing w:before="0" w:after="0"/>
    </w:pPr>
  </w:style>
  <w:style w:type="paragraph" w:customStyle="1" w:styleId="Guidelinescross-ref">
    <w:name w:val="Guidelines cross-ref"/>
    <w:basedOn w:val="Normal"/>
    <w:qFormat/>
    <w:rsid w:val="00E01349"/>
    <w:pPr>
      <w:keepNext/>
      <w:spacing w:before="240" w:after="240" w:line="259" w:lineRule="auto"/>
    </w:pPr>
    <w:rPr>
      <w:rFonts w:eastAsiaTheme="minorHAnsi" w:cstheme="minorBidi"/>
      <w:b/>
      <w:color w:val="0070C0"/>
      <w:sz w:val="24"/>
    </w:rPr>
  </w:style>
  <w:style w:type="paragraph" w:customStyle="1" w:styleId="Instructionaltext-afterfiguretable">
    <w:name w:val="Instructional text - after figure/table"/>
    <w:basedOn w:val="Instructionaltext"/>
    <w:qFormat/>
    <w:rsid w:val="00E01349"/>
    <w:pPr>
      <w:spacing w:before="360"/>
    </w:pPr>
  </w:style>
  <w:style w:type="paragraph" w:styleId="Revision">
    <w:name w:val="Revision"/>
    <w:hidden/>
    <w:uiPriority w:val="99"/>
    <w:semiHidden/>
    <w:rsid w:val="004E3ABF"/>
    <w:pPr>
      <w:spacing w:after="0" w:line="240" w:lineRule="auto"/>
    </w:pPr>
    <w:rPr>
      <w:rFonts w:ascii="Calibri" w:eastAsia="Calibri" w:hAnsi="Calibri" w:cs="Times New Roman"/>
    </w:rPr>
  </w:style>
  <w:style w:type="paragraph" w:customStyle="1" w:styleId="TableText0">
    <w:name w:val="Table Text"/>
    <w:basedOn w:val="Normal"/>
    <w:link w:val="TableTextChar0"/>
    <w:qFormat/>
    <w:rsid w:val="000D1FCF"/>
    <w:pPr>
      <w:spacing w:before="40" w:after="40" w:line="240" w:lineRule="auto"/>
    </w:pPr>
    <w:rPr>
      <w:rFonts w:ascii="Arial Narrow" w:eastAsiaTheme="minorHAnsi" w:hAnsi="Arial Narrow" w:cstheme="minorBidi"/>
      <w:sz w:val="20"/>
    </w:rPr>
  </w:style>
  <w:style w:type="character" w:customStyle="1" w:styleId="TableTextChar0">
    <w:name w:val="Table Text Char"/>
    <w:basedOn w:val="DefaultParagraphFont"/>
    <w:link w:val="TableText0"/>
    <w:rsid w:val="000D1FCF"/>
    <w:rPr>
      <w:rFonts w:ascii="Arial Narrow" w:hAnsi="Arial Narrow"/>
      <w:sz w:val="20"/>
    </w:rPr>
  </w:style>
  <w:style w:type="character" w:styleId="PageNumber">
    <w:name w:val="page number"/>
    <w:basedOn w:val="DefaultParagraphFont"/>
    <w:uiPriority w:val="99"/>
    <w:semiHidden/>
    <w:unhideWhenUsed/>
    <w:rsid w:val="00685355"/>
  </w:style>
  <w:style w:type="character" w:styleId="UnresolvedMention">
    <w:name w:val="Unresolved Mention"/>
    <w:basedOn w:val="DefaultParagraphFont"/>
    <w:uiPriority w:val="99"/>
    <w:unhideWhenUsed/>
    <w:rsid w:val="00BB0FFB"/>
    <w:rPr>
      <w:color w:val="605E5C"/>
      <w:shd w:val="clear" w:color="auto" w:fill="E1DFDD"/>
    </w:rPr>
  </w:style>
  <w:style w:type="table" w:customStyle="1" w:styleId="TableGrid11">
    <w:name w:val="Table Grid11"/>
    <w:basedOn w:val="TableNormal"/>
    <w:uiPriority w:val="59"/>
    <w:rsid w:val="00E03083"/>
    <w:pPr>
      <w:spacing w:after="240" w:line="240" w:lineRule="auto"/>
      <w:ind w:left="720" w:hanging="360"/>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807730"/>
    <w:rPr>
      <w:color w:val="2B579A"/>
      <w:shd w:val="clear" w:color="auto" w:fill="E1DFDD"/>
    </w:rPr>
  </w:style>
  <w:style w:type="character" w:customStyle="1" w:styleId="Heading4Char">
    <w:name w:val="Heading 4 Char"/>
    <w:basedOn w:val="DefaultParagraphFont"/>
    <w:link w:val="Heading4"/>
    <w:uiPriority w:val="9"/>
    <w:rsid w:val="00045BA6"/>
    <w:rPr>
      <w:rFonts w:asciiTheme="majorHAnsi" w:eastAsiaTheme="majorEastAsia" w:hAnsiTheme="majorHAnsi" w:cstheme="majorBidi"/>
      <w:i/>
      <w:iCs/>
      <w:color w:val="2E74B5" w:themeColor="accent1" w:themeShade="BF"/>
    </w:rPr>
  </w:style>
  <w:style w:type="paragraph" w:styleId="FootnoteText">
    <w:name w:val="footnote text"/>
    <w:basedOn w:val="Normal"/>
    <w:link w:val="FootnoteTextChar"/>
    <w:uiPriority w:val="99"/>
    <w:unhideWhenUsed/>
    <w:rsid w:val="004E3D72"/>
    <w:pPr>
      <w:spacing w:after="0" w:line="240" w:lineRule="auto"/>
    </w:pPr>
    <w:rPr>
      <w:sz w:val="20"/>
      <w:szCs w:val="20"/>
    </w:rPr>
  </w:style>
  <w:style w:type="character" w:customStyle="1" w:styleId="FootnoteTextChar">
    <w:name w:val="Footnote Text Char"/>
    <w:basedOn w:val="DefaultParagraphFont"/>
    <w:link w:val="FootnoteText"/>
    <w:uiPriority w:val="99"/>
    <w:rsid w:val="004E3D72"/>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4E3D72"/>
    <w:rPr>
      <w:vertAlign w:val="superscript"/>
    </w:rPr>
  </w:style>
  <w:style w:type="character" w:customStyle="1" w:styleId="CaptionChar">
    <w:name w:val="Caption Char"/>
    <w:aliases w:val="Caption Char2 Char Char,Caption Char Char Char2 Char,Caption Char1 Char Char Char1 Char,Caption Char2 Char Char Char1 Char1 Char,Caption Char Char1 Char Char Char1 Char1 Char,Caption Char1 Char Char Char Char Char Char Char"/>
    <w:basedOn w:val="DefaultParagraphFont"/>
    <w:link w:val="Caption"/>
    <w:rsid w:val="00D72262"/>
    <w:rPr>
      <w:rFonts w:ascii="Arial Narrow" w:eastAsia="Times New Roman" w:hAnsi="Arial Narrow" w:cs="Tahoma"/>
      <w:b/>
      <w:sz w:val="20"/>
      <w:szCs w:val="20"/>
      <w:lang w:val="en-GB" w:eastAsia="ja-JP"/>
    </w:rPr>
  </w:style>
  <w:style w:type="paragraph" w:customStyle="1" w:styleId="TableHeading0">
    <w:name w:val="Table Heading"/>
    <w:basedOn w:val="Normal"/>
    <w:qFormat/>
    <w:rsid w:val="00D72262"/>
    <w:pPr>
      <w:spacing w:before="120" w:after="60" w:line="240" w:lineRule="auto"/>
    </w:pPr>
    <w:rPr>
      <w:rFonts w:ascii="Arial Narrow" w:eastAsiaTheme="minorHAnsi" w:hAnsi="Arial Narrow" w:cstheme="minorBidi"/>
      <w:b/>
      <w:sz w:val="20"/>
    </w:rPr>
  </w:style>
  <w:style w:type="paragraph" w:customStyle="1" w:styleId="Tablenotes0">
    <w:name w:val="Table notes"/>
    <w:basedOn w:val="Normal"/>
    <w:link w:val="TablenotesChar0"/>
    <w:qFormat/>
    <w:rsid w:val="003A7E9D"/>
    <w:pPr>
      <w:spacing w:before="60" w:after="360" w:line="259" w:lineRule="auto"/>
      <w:contextualSpacing/>
      <w:jc w:val="both"/>
    </w:pPr>
    <w:rPr>
      <w:rFonts w:ascii="Arial Narrow" w:eastAsiaTheme="minorHAnsi" w:hAnsi="Arial Narrow" w:cs="Arial"/>
      <w:sz w:val="18"/>
    </w:rPr>
  </w:style>
  <w:style w:type="character" w:customStyle="1" w:styleId="TablenotesChar0">
    <w:name w:val="Table notes Char"/>
    <w:basedOn w:val="DefaultParagraphFont"/>
    <w:link w:val="Tablenotes0"/>
    <w:rsid w:val="003A7E9D"/>
    <w:rPr>
      <w:rFonts w:ascii="Arial Narrow" w:hAnsi="Arial Narrow" w:cs="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00520">
      <w:bodyDiv w:val="1"/>
      <w:marLeft w:val="0"/>
      <w:marRight w:val="0"/>
      <w:marTop w:val="0"/>
      <w:marBottom w:val="0"/>
      <w:divBdr>
        <w:top w:val="none" w:sz="0" w:space="0" w:color="auto"/>
        <w:left w:val="none" w:sz="0" w:space="0" w:color="auto"/>
        <w:bottom w:val="none" w:sz="0" w:space="0" w:color="auto"/>
        <w:right w:val="none" w:sz="0" w:space="0" w:color="auto"/>
      </w:divBdr>
    </w:div>
    <w:div w:id="116920213">
      <w:bodyDiv w:val="1"/>
      <w:marLeft w:val="0"/>
      <w:marRight w:val="0"/>
      <w:marTop w:val="0"/>
      <w:marBottom w:val="0"/>
      <w:divBdr>
        <w:top w:val="none" w:sz="0" w:space="0" w:color="auto"/>
        <w:left w:val="none" w:sz="0" w:space="0" w:color="auto"/>
        <w:bottom w:val="none" w:sz="0" w:space="0" w:color="auto"/>
        <w:right w:val="none" w:sz="0" w:space="0" w:color="auto"/>
      </w:divBdr>
    </w:div>
    <w:div w:id="378169523">
      <w:bodyDiv w:val="1"/>
      <w:marLeft w:val="0"/>
      <w:marRight w:val="0"/>
      <w:marTop w:val="0"/>
      <w:marBottom w:val="0"/>
      <w:divBdr>
        <w:top w:val="none" w:sz="0" w:space="0" w:color="auto"/>
        <w:left w:val="none" w:sz="0" w:space="0" w:color="auto"/>
        <w:bottom w:val="none" w:sz="0" w:space="0" w:color="auto"/>
        <w:right w:val="none" w:sz="0" w:space="0" w:color="auto"/>
      </w:divBdr>
    </w:div>
    <w:div w:id="402030214">
      <w:bodyDiv w:val="1"/>
      <w:marLeft w:val="0"/>
      <w:marRight w:val="0"/>
      <w:marTop w:val="0"/>
      <w:marBottom w:val="0"/>
      <w:divBdr>
        <w:top w:val="none" w:sz="0" w:space="0" w:color="auto"/>
        <w:left w:val="none" w:sz="0" w:space="0" w:color="auto"/>
        <w:bottom w:val="none" w:sz="0" w:space="0" w:color="auto"/>
        <w:right w:val="none" w:sz="0" w:space="0" w:color="auto"/>
      </w:divBdr>
    </w:div>
    <w:div w:id="510267069">
      <w:bodyDiv w:val="1"/>
      <w:marLeft w:val="0"/>
      <w:marRight w:val="0"/>
      <w:marTop w:val="0"/>
      <w:marBottom w:val="0"/>
      <w:divBdr>
        <w:top w:val="none" w:sz="0" w:space="0" w:color="auto"/>
        <w:left w:val="none" w:sz="0" w:space="0" w:color="auto"/>
        <w:bottom w:val="none" w:sz="0" w:space="0" w:color="auto"/>
        <w:right w:val="none" w:sz="0" w:space="0" w:color="auto"/>
      </w:divBdr>
    </w:div>
    <w:div w:id="557087695">
      <w:bodyDiv w:val="1"/>
      <w:marLeft w:val="0"/>
      <w:marRight w:val="0"/>
      <w:marTop w:val="0"/>
      <w:marBottom w:val="0"/>
      <w:divBdr>
        <w:top w:val="none" w:sz="0" w:space="0" w:color="auto"/>
        <w:left w:val="none" w:sz="0" w:space="0" w:color="auto"/>
        <w:bottom w:val="none" w:sz="0" w:space="0" w:color="auto"/>
        <w:right w:val="none" w:sz="0" w:space="0" w:color="auto"/>
      </w:divBdr>
    </w:div>
    <w:div w:id="688532201">
      <w:bodyDiv w:val="1"/>
      <w:marLeft w:val="0"/>
      <w:marRight w:val="0"/>
      <w:marTop w:val="0"/>
      <w:marBottom w:val="0"/>
      <w:divBdr>
        <w:top w:val="none" w:sz="0" w:space="0" w:color="auto"/>
        <w:left w:val="none" w:sz="0" w:space="0" w:color="auto"/>
        <w:bottom w:val="none" w:sz="0" w:space="0" w:color="auto"/>
        <w:right w:val="none" w:sz="0" w:space="0" w:color="auto"/>
      </w:divBdr>
    </w:div>
    <w:div w:id="1023242140">
      <w:bodyDiv w:val="1"/>
      <w:marLeft w:val="0"/>
      <w:marRight w:val="0"/>
      <w:marTop w:val="0"/>
      <w:marBottom w:val="0"/>
      <w:divBdr>
        <w:top w:val="none" w:sz="0" w:space="0" w:color="auto"/>
        <w:left w:val="none" w:sz="0" w:space="0" w:color="auto"/>
        <w:bottom w:val="none" w:sz="0" w:space="0" w:color="auto"/>
        <w:right w:val="none" w:sz="0" w:space="0" w:color="auto"/>
      </w:divBdr>
    </w:div>
    <w:div w:id="1258444929">
      <w:bodyDiv w:val="1"/>
      <w:marLeft w:val="0"/>
      <w:marRight w:val="0"/>
      <w:marTop w:val="0"/>
      <w:marBottom w:val="0"/>
      <w:divBdr>
        <w:top w:val="none" w:sz="0" w:space="0" w:color="auto"/>
        <w:left w:val="none" w:sz="0" w:space="0" w:color="auto"/>
        <w:bottom w:val="none" w:sz="0" w:space="0" w:color="auto"/>
        <w:right w:val="none" w:sz="0" w:space="0" w:color="auto"/>
      </w:divBdr>
    </w:div>
    <w:div w:id="1511987132">
      <w:bodyDiv w:val="1"/>
      <w:marLeft w:val="0"/>
      <w:marRight w:val="0"/>
      <w:marTop w:val="0"/>
      <w:marBottom w:val="0"/>
      <w:divBdr>
        <w:top w:val="none" w:sz="0" w:space="0" w:color="auto"/>
        <w:left w:val="none" w:sz="0" w:space="0" w:color="auto"/>
        <w:bottom w:val="none" w:sz="0" w:space="0" w:color="auto"/>
        <w:right w:val="none" w:sz="0" w:space="0" w:color="auto"/>
      </w:divBdr>
    </w:div>
    <w:div w:id="1559246317">
      <w:bodyDiv w:val="1"/>
      <w:marLeft w:val="0"/>
      <w:marRight w:val="0"/>
      <w:marTop w:val="0"/>
      <w:marBottom w:val="0"/>
      <w:divBdr>
        <w:top w:val="none" w:sz="0" w:space="0" w:color="auto"/>
        <w:left w:val="none" w:sz="0" w:space="0" w:color="auto"/>
        <w:bottom w:val="none" w:sz="0" w:space="0" w:color="auto"/>
        <w:right w:val="none" w:sz="0" w:space="0" w:color="auto"/>
      </w:divBdr>
    </w:div>
    <w:div w:id="1689982625">
      <w:bodyDiv w:val="1"/>
      <w:marLeft w:val="0"/>
      <w:marRight w:val="0"/>
      <w:marTop w:val="0"/>
      <w:marBottom w:val="0"/>
      <w:divBdr>
        <w:top w:val="none" w:sz="0" w:space="0" w:color="auto"/>
        <w:left w:val="none" w:sz="0" w:space="0" w:color="auto"/>
        <w:bottom w:val="none" w:sz="0" w:space="0" w:color="auto"/>
        <w:right w:val="none" w:sz="0" w:space="0" w:color="auto"/>
      </w:divBdr>
    </w:div>
    <w:div w:id="1776095209">
      <w:bodyDiv w:val="1"/>
      <w:marLeft w:val="0"/>
      <w:marRight w:val="0"/>
      <w:marTop w:val="0"/>
      <w:marBottom w:val="0"/>
      <w:divBdr>
        <w:top w:val="none" w:sz="0" w:space="0" w:color="auto"/>
        <w:left w:val="none" w:sz="0" w:space="0" w:color="auto"/>
        <w:bottom w:val="none" w:sz="0" w:space="0" w:color="auto"/>
        <w:right w:val="none" w:sz="0" w:space="0" w:color="auto"/>
      </w:divBdr>
    </w:div>
    <w:div w:id="2032880099">
      <w:bodyDiv w:val="1"/>
      <w:marLeft w:val="0"/>
      <w:marRight w:val="0"/>
      <w:marTop w:val="0"/>
      <w:marBottom w:val="0"/>
      <w:divBdr>
        <w:top w:val="none" w:sz="0" w:space="0" w:color="auto"/>
        <w:left w:val="none" w:sz="0" w:space="0" w:color="auto"/>
        <w:bottom w:val="none" w:sz="0" w:space="0" w:color="auto"/>
        <w:right w:val="none" w:sz="0" w:space="0" w:color="auto"/>
      </w:divBdr>
    </w:div>
    <w:div w:id="2049913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ga.gov.au/resources/artg/498646" TargetMode="External"/><Relationship Id="rId18" Type="http://schemas.openxmlformats.org/officeDocument/2006/relationships/hyperlink" Target="https://www9.health.gov.au/mbs/search.cfm?q=38461&amp;Submit=&amp;sopt=I" TargetMode="External"/><Relationship Id="rId26" Type="http://schemas.openxmlformats.org/officeDocument/2006/relationships/hyperlink" Target="https://www9.health.gov.au/mbs/search.cfm?q=38461&amp;Submit=&amp;sopt=S" TargetMode="External"/><Relationship Id="rId39" Type="http://schemas.openxmlformats.org/officeDocument/2006/relationships/theme" Target="theme/theme1.xml"/><Relationship Id="rId21" Type="http://schemas.openxmlformats.org/officeDocument/2006/relationships/image" Target="media/image2.png"/><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tga.gov.au/resources/artg/498645" TargetMode="External"/><Relationship Id="rId17" Type="http://schemas.openxmlformats.org/officeDocument/2006/relationships/hyperlink" Target="https://www.clinicaltrials.gov/study/NCT04097145" TargetMode="External"/><Relationship Id="rId25" Type="http://schemas.openxmlformats.org/officeDocument/2006/relationships/hyperlink" Target="https://www9.health.gov.au/mbs/search.cfm?q=38463&amp;sopt=I"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tga.gov.au/resources/artg/410290" TargetMode="External"/><Relationship Id="rId20" Type="http://schemas.openxmlformats.org/officeDocument/2006/relationships/image" Target="media/image1.png"/><Relationship Id="rId29" Type="http://schemas.openxmlformats.org/officeDocument/2006/relationships/hyperlink" Target="https://www.mbsonline.gov.au/internet/mbsonline/publishing.nsf/Content/Factsheet-EMSN-1Jan202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linicaltrials.gov/study/NCT04097145" TargetMode="External"/><Relationship Id="rId24" Type="http://schemas.openxmlformats.org/officeDocument/2006/relationships/hyperlink" Target="https://www9.health.gov.au/mbs/search.cfm?q=38461&amp;Submit=&amp;sopt=S"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tga.gov.au/resources/artg/410288" TargetMode="External"/><Relationship Id="rId23" Type="http://schemas.openxmlformats.org/officeDocument/2006/relationships/hyperlink" Target="https://www9.health.gov.au/mbs/search.cfm?q=6084&amp;sopt=S" TargetMode="External"/><Relationship Id="rId28" Type="http://schemas.openxmlformats.org/officeDocument/2006/relationships/hyperlink" Target="https://www.mbsonline.gov.au/internet/mbsonline/publishing.nsf/Content/Factsheet-EMSN-1Jan2024" TargetMode="External"/><Relationship Id="rId36" Type="http://schemas.openxmlformats.org/officeDocument/2006/relationships/header" Target="header3.xml"/><Relationship Id="rId10" Type="http://schemas.openxmlformats.org/officeDocument/2006/relationships/hyperlink" Target="https://www.msac.gov.au/applications/1799" TargetMode="External"/><Relationship Id="rId19" Type="http://schemas.openxmlformats.org/officeDocument/2006/relationships/hyperlink" Target="https://www.health.gov.au/resources/publications/prescribed-list-of-medical-devices-and-human-tissue-products?language=en" TargetMode="External"/><Relationship Id="rId31" Type="http://schemas.openxmlformats.org/officeDocument/2006/relationships/hyperlink" Target="https://www9.health.gov.au/mbs/search.cfm?q=6084&amp;sopt=S" TargetMode="External"/><Relationship Id="rId4" Type="http://schemas.openxmlformats.org/officeDocument/2006/relationships/settings" Target="settings.xml"/><Relationship Id="rId9" Type="http://schemas.openxmlformats.org/officeDocument/2006/relationships/hyperlink" Target="https://www.msac.gov.au/applications/1799" TargetMode="External"/><Relationship Id="rId14" Type="http://schemas.openxmlformats.org/officeDocument/2006/relationships/hyperlink" Target="https://www.tga.gov.au/resources/artg/410289" TargetMode="External"/><Relationship Id="rId22" Type="http://schemas.openxmlformats.org/officeDocument/2006/relationships/hyperlink" Target="https://www9.health.gov.au/mbs/search.cfm?q=6082&amp;Submit=&amp;sopt=S" TargetMode="External"/><Relationship Id="rId27" Type="http://schemas.openxmlformats.org/officeDocument/2006/relationships/hyperlink" Target="https://www9.health.gov.au/mbs/search.cfm?q=38463&amp;sopt=I" TargetMode="External"/><Relationship Id="rId30" Type="http://schemas.openxmlformats.org/officeDocument/2006/relationships/hyperlink" Target="https://www9.health.gov.au/mbs/search.cfm?q=6082&amp;Submit=&amp;sopt=S" TargetMode="External"/><Relationship Id="rId35" Type="http://schemas.openxmlformats.org/officeDocument/2006/relationships/footer" Target="footer2.xml"/><Relationship Id="rId8" Type="http://schemas.openxmlformats.org/officeDocument/2006/relationships/hyperlink" Target="https://clinicaltrials.gov/study/NCT03904147"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971311-46DB-494A-82B7-FD7A34E415EA}">
  <ds:schemaRefs>
    <ds:schemaRef ds:uri="http://schemas.openxmlformats.org/officeDocument/2006/bibliography"/>
  </ds:schemaRefs>
</ds:datastoreItem>
</file>

<file path=docMetadata/LabelInfo.xml><?xml version="1.0" encoding="utf-8"?>
<clbl:labelList xmlns:clbl="http://schemas.microsoft.com/office/2020/mipLabelMetadata">
  <clbl:label id="{5b268d57-2a6f-4e04-b0de-6938583d5ebc}" enabled="0" method="" siteId="{5b268d57-2a6f-4e04-b0de-6938583d5ebc}"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25</Pages>
  <Words>11274</Words>
  <Characters>65959</Characters>
  <Application>Microsoft Office Word</Application>
  <DocSecurity>0</DocSecurity>
  <Lines>1221</Lines>
  <Paragraphs>572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76661</CharactersWithSpaces>
  <SharedDoc>false</SharedDoc>
  <HLinks>
    <vt:vector size="132" baseType="variant">
      <vt:variant>
        <vt:i4>2555950</vt:i4>
      </vt:variant>
      <vt:variant>
        <vt:i4>120</vt:i4>
      </vt:variant>
      <vt:variant>
        <vt:i4>0</vt:i4>
      </vt:variant>
      <vt:variant>
        <vt:i4>5</vt:i4>
      </vt:variant>
      <vt:variant>
        <vt:lpwstr>https://www9.health.gov.au/mbs/search.cfm?q=6084&amp;sopt=S</vt:lpwstr>
      </vt:variant>
      <vt:variant>
        <vt:lpwstr/>
      </vt:variant>
      <vt:variant>
        <vt:i4>6553700</vt:i4>
      </vt:variant>
      <vt:variant>
        <vt:i4>117</vt:i4>
      </vt:variant>
      <vt:variant>
        <vt:i4>0</vt:i4>
      </vt:variant>
      <vt:variant>
        <vt:i4>5</vt:i4>
      </vt:variant>
      <vt:variant>
        <vt:lpwstr>https://www9.health.gov.au/mbs/search.cfm?q=6082&amp;Submit=&amp;sopt=S</vt:lpwstr>
      </vt:variant>
      <vt:variant>
        <vt:lpwstr/>
      </vt:variant>
      <vt:variant>
        <vt:i4>7602237</vt:i4>
      </vt:variant>
      <vt:variant>
        <vt:i4>114</vt:i4>
      </vt:variant>
      <vt:variant>
        <vt:i4>0</vt:i4>
      </vt:variant>
      <vt:variant>
        <vt:i4>5</vt:i4>
      </vt:variant>
      <vt:variant>
        <vt:lpwstr>https://www.mbsonline.gov.au/internet/mbsonline/publishing.nsf/Content/Factsheet-EMSN-1Jan2024</vt:lpwstr>
      </vt:variant>
      <vt:variant>
        <vt:lpwstr/>
      </vt:variant>
      <vt:variant>
        <vt:i4>7602237</vt:i4>
      </vt:variant>
      <vt:variant>
        <vt:i4>111</vt:i4>
      </vt:variant>
      <vt:variant>
        <vt:i4>0</vt:i4>
      </vt:variant>
      <vt:variant>
        <vt:i4>5</vt:i4>
      </vt:variant>
      <vt:variant>
        <vt:lpwstr>https://www.mbsonline.gov.au/internet/mbsonline/publishing.nsf/Content/Factsheet-EMSN-1Jan2024</vt:lpwstr>
      </vt:variant>
      <vt:variant>
        <vt:lpwstr/>
      </vt:variant>
      <vt:variant>
        <vt:i4>4653079</vt:i4>
      </vt:variant>
      <vt:variant>
        <vt:i4>105</vt:i4>
      </vt:variant>
      <vt:variant>
        <vt:i4>0</vt:i4>
      </vt:variant>
      <vt:variant>
        <vt:i4>5</vt:i4>
      </vt:variant>
      <vt:variant>
        <vt:lpwstr>https://www9.health.gov.au/mbs/search.cfm?q=38463&amp;sopt=I</vt:lpwstr>
      </vt:variant>
      <vt:variant>
        <vt:lpwstr/>
      </vt:variant>
      <vt:variant>
        <vt:i4>1507408</vt:i4>
      </vt:variant>
      <vt:variant>
        <vt:i4>102</vt:i4>
      </vt:variant>
      <vt:variant>
        <vt:i4>0</vt:i4>
      </vt:variant>
      <vt:variant>
        <vt:i4>5</vt:i4>
      </vt:variant>
      <vt:variant>
        <vt:lpwstr>https://www9.health.gov.au/mbs/search.cfm?q=38461&amp;Submit=&amp;sopt=S</vt:lpwstr>
      </vt:variant>
      <vt:variant>
        <vt:lpwstr/>
      </vt:variant>
      <vt:variant>
        <vt:i4>4653079</vt:i4>
      </vt:variant>
      <vt:variant>
        <vt:i4>96</vt:i4>
      </vt:variant>
      <vt:variant>
        <vt:i4>0</vt:i4>
      </vt:variant>
      <vt:variant>
        <vt:i4>5</vt:i4>
      </vt:variant>
      <vt:variant>
        <vt:lpwstr>https://www9.health.gov.au/mbs/search.cfm?q=38463&amp;sopt=I</vt:lpwstr>
      </vt:variant>
      <vt:variant>
        <vt:lpwstr/>
      </vt:variant>
      <vt:variant>
        <vt:i4>1507408</vt:i4>
      </vt:variant>
      <vt:variant>
        <vt:i4>93</vt:i4>
      </vt:variant>
      <vt:variant>
        <vt:i4>0</vt:i4>
      </vt:variant>
      <vt:variant>
        <vt:i4>5</vt:i4>
      </vt:variant>
      <vt:variant>
        <vt:lpwstr>https://www9.health.gov.au/mbs/search.cfm?q=38461&amp;Submit=&amp;sopt=S</vt:lpwstr>
      </vt:variant>
      <vt:variant>
        <vt:lpwstr/>
      </vt:variant>
      <vt:variant>
        <vt:i4>2555950</vt:i4>
      </vt:variant>
      <vt:variant>
        <vt:i4>90</vt:i4>
      </vt:variant>
      <vt:variant>
        <vt:i4>0</vt:i4>
      </vt:variant>
      <vt:variant>
        <vt:i4>5</vt:i4>
      </vt:variant>
      <vt:variant>
        <vt:lpwstr>https://www9.health.gov.au/mbs/search.cfm?q=6084&amp;sopt=S</vt:lpwstr>
      </vt:variant>
      <vt:variant>
        <vt:lpwstr/>
      </vt:variant>
      <vt:variant>
        <vt:i4>6553700</vt:i4>
      </vt:variant>
      <vt:variant>
        <vt:i4>87</vt:i4>
      </vt:variant>
      <vt:variant>
        <vt:i4>0</vt:i4>
      </vt:variant>
      <vt:variant>
        <vt:i4>5</vt:i4>
      </vt:variant>
      <vt:variant>
        <vt:lpwstr>https://www9.health.gov.au/mbs/search.cfm?q=6082&amp;Submit=&amp;sopt=S</vt:lpwstr>
      </vt:variant>
      <vt:variant>
        <vt:lpwstr/>
      </vt:variant>
      <vt:variant>
        <vt:i4>1638478</vt:i4>
      </vt:variant>
      <vt:variant>
        <vt:i4>51</vt:i4>
      </vt:variant>
      <vt:variant>
        <vt:i4>0</vt:i4>
      </vt:variant>
      <vt:variant>
        <vt:i4>5</vt:i4>
      </vt:variant>
      <vt:variant>
        <vt:lpwstr>https://www.health.gov.au/resources/publications/prescribed-list-of-medical-devices-and-human-tissue-products?language=en</vt:lpwstr>
      </vt:variant>
      <vt:variant>
        <vt:lpwstr/>
      </vt:variant>
      <vt:variant>
        <vt:i4>852048</vt:i4>
      </vt:variant>
      <vt:variant>
        <vt:i4>42</vt:i4>
      </vt:variant>
      <vt:variant>
        <vt:i4>0</vt:i4>
      </vt:variant>
      <vt:variant>
        <vt:i4>5</vt:i4>
      </vt:variant>
      <vt:variant>
        <vt:lpwstr>https://www9.health.gov.au/mbs/search.cfm?q=38461&amp;Submit=&amp;sopt=I</vt:lpwstr>
      </vt:variant>
      <vt:variant>
        <vt:lpwstr/>
      </vt:variant>
      <vt:variant>
        <vt:i4>5767170</vt:i4>
      </vt:variant>
      <vt:variant>
        <vt:i4>39</vt:i4>
      </vt:variant>
      <vt:variant>
        <vt:i4>0</vt:i4>
      </vt:variant>
      <vt:variant>
        <vt:i4>5</vt:i4>
      </vt:variant>
      <vt:variant>
        <vt:lpwstr>https://www.clinicaltrials.gov/study/NCT04097145</vt:lpwstr>
      </vt:variant>
      <vt:variant>
        <vt:lpwstr/>
      </vt:variant>
      <vt:variant>
        <vt:i4>5767184</vt:i4>
      </vt:variant>
      <vt:variant>
        <vt:i4>33</vt:i4>
      </vt:variant>
      <vt:variant>
        <vt:i4>0</vt:i4>
      </vt:variant>
      <vt:variant>
        <vt:i4>5</vt:i4>
      </vt:variant>
      <vt:variant>
        <vt:lpwstr>https://www.tga.gov.au/resources/artg/410290</vt:lpwstr>
      </vt:variant>
      <vt:variant>
        <vt:lpwstr/>
      </vt:variant>
      <vt:variant>
        <vt:i4>5242897</vt:i4>
      </vt:variant>
      <vt:variant>
        <vt:i4>30</vt:i4>
      </vt:variant>
      <vt:variant>
        <vt:i4>0</vt:i4>
      </vt:variant>
      <vt:variant>
        <vt:i4>5</vt:i4>
      </vt:variant>
      <vt:variant>
        <vt:lpwstr>https://www.tga.gov.au/resources/artg/410288</vt:lpwstr>
      </vt:variant>
      <vt:variant>
        <vt:lpwstr/>
      </vt:variant>
      <vt:variant>
        <vt:i4>5308433</vt:i4>
      </vt:variant>
      <vt:variant>
        <vt:i4>27</vt:i4>
      </vt:variant>
      <vt:variant>
        <vt:i4>0</vt:i4>
      </vt:variant>
      <vt:variant>
        <vt:i4>5</vt:i4>
      </vt:variant>
      <vt:variant>
        <vt:lpwstr>https://www.tga.gov.au/resources/artg/410289</vt:lpwstr>
      </vt:variant>
      <vt:variant>
        <vt:lpwstr/>
      </vt:variant>
      <vt:variant>
        <vt:i4>5373973</vt:i4>
      </vt:variant>
      <vt:variant>
        <vt:i4>24</vt:i4>
      </vt:variant>
      <vt:variant>
        <vt:i4>0</vt:i4>
      </vt:variant>
      <vt:variant>
        <vt:i4>5</vt:i4>
      </vt:variant>
      <vt:variant>
        <vt:lpwstr>https://www.tga.gov.au/resources/artg/498646</vt:lpwstr>
      </vt:variant>
      <vt:variant>
        <vt:lpwstr/>
      </vt:variant>
      <vt:variant>
        <vt:i4>5308437</vt:i4>
      </vt:variant>
      <vt:variant>
        <vt:i4>21</vt:i4>
      </vt:variant>
      <vt:variant>
        <vt:i4>0</vt:i4>
      </vt:variant>
      <vt:variant>
        <vt:i4>5</vt:i4>
      </vt:variant>
      <vt:variant>
        <vt:lpwstr>https://www.tga.gov.au/resources/artg/498645</vt:lpwstr>
      </vt:variant>
      <vt:variant>
        <vt:lpwstr/>
      </vt:variant>
      <vt:variant>
        <vt:i4>5767170</vt:i4>
      </vt:variant>
      <vt:variant>
        <vt:i4>12</vt:i4>
      </vt:variant>
      <vt:variant>
        <vt:i4>0</vt:i4>
      </vt:variant>
      <vt:variant>
        <vt:i4>5</vt:i4>
      </vt:variant>
      <vt:variant>
        <vt:lpwstr>https://www.clinicaltrials.gov/study/NCT04097145</vt:lpwstr>
      </vt:variant>
      <vt:variant>
        <vt:lpwstr/>
      </vt:variant>
      <vt:variant>
        <vt:i4>1572944</vt:i4>
      </vt:variant>
      <vt:variant>
        <vt:i4>9</vt:i4>
      </vt:variant>
      <vt:variant>
        <vt:i4>0</vt:i4>
      </vt:variant>
      <vt:variant>
        <vt:i4>5</vt:i4>
      </vt:variant>
      <vt:variant>
        <vt:lpwstr>https://www.msac.gov.au/applications/1799</vt:lpwstr>
      </vt:variant>
      <vt:variant>
        <vt:lpwstr/>
      </vt:variant>
      <vt:variant>
        <vt:i4>1572944</vt:i4>
      </vt:variant>
      <vt:variant>
        <vt:i4>6</vt:i4>
      </vt:variant>
      <vt:variant>
        <vt:i4>0</vt:i4>
      </vt:variant>
      <vt:variant>
        <vt:i4>5</vt:i4>
      </vt:variant>
      <vt:variant>
        <vt:lpwstr>https://www.msac.gov.au/applications/1799</vt:lpwstr>
      </vt:variant>
      <vt:variant>
        <vt:lpwstr/>
      </vt:variant>
      <vt:variant>
        <vt:i4>851976</vt:i4>
      </vt:variant>
      <vt:variant>
        <vt:i4>3</vt:i4>
      </vt:variant>
      <vt:variant>
        <vt:i4>0</vt:i4>
      </vt:variant>
      <vt:variant>
        <vt:i4>5</vt:i4>
      </vt:variant>
      <vt:variant>
        <vt:lpwstr>https://clinicaltrials.gov/study/NCT03904147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SODHI, Anika</cp:lastModifiedBy>
  <cp:revision>3</cp:revision>
  <dcterms:created xsi:type="dcterms:W3CDTF">2026-01-29T03:10:00Z</dcterms:created>
  <dcterms:modified xsi:type="dcterms:W3CDTF">2026-03-03T03:32:00Z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7cb04001,75d72d83,3ddbac8a</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169e4285,2e6b03dc,35895c92</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2026-01-29T03:10:57Z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6f4c590c-e4b5-46a4-8fc1-c2d263a78204</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