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2077D" w14:textId="29F75040" w:rsidR="00133449" w:rsidRDefault="00917DB4" w:rsidP="00133449">
      <w:pPr>
        <w:pStyle w:val="Title"/>
        <w:spacing w:before="960" w:after="240"/>
        <w:jc w:val="center"/>
        <w:rPr>
          <w:rFonts w:ascii="Segoe UI" w:eastAsiaTheme="minorHAnsi" w:hAnsi="Segoe UI" w:cs="Segoe UI"/>
          <w:b/>
          <w:bCs/>
          <w:lang w:eastAsia="en-US"/>
        </w:rPr>
      </w:pPr>
      <w:bookmarkStart w:id="0" w:name="_Hlk181277161"/>
      <w:r>
        <w:rPr>
          <w:rFonts w:ascii="Segoe UI" w:eastAsiaTheme="minorHAnsi" w:hAnsi="Segoe UI" w:cs="Segoe UI"/>
          <w:b/>
          <w:bCs/>
          <w:lang w:eastAsia="en-US"/>
        </w:rPr>
        <w:t>MSAC</w:t>
      </w:r>
      <w:r w:rsidR="00133449" w:rsidRPr="0065027C">
        <w:rPr>
          <w:rFonts w:ascii="Segoe UI" w:eastAsiaTheme="minorHAnsi" w:hAnsi="Segoe UI" w:cs="Segoe UI"/>
          <w:b/>
          <w:bCs/>
          <w:lang w:eastAsia="en-US"/>
        </w:rPr>
        <w:t xml:space="preserve"> </w:t>
      </w:r>
      <w:r w:rsidR="00B36B2A">
        <w:rPr>
          <w:rFonts w:ascii="Segoe UI" w:eastAsiaTheme="minorHAnsi" w:hAnsi="Segoe UI" w:cs="Segoe UI"/>
          <w:b/>
          <w:bCs/>
          <w:lang w:eastAsia="en-US"/>
        </w:rPr>
        <w:t>A</w:t>
      </w:r>
      <w:r w:rsidR="00133449" w:rsidRPr="0065027C">
        <w:rPr>
          <w:rFonts w:ascii="Segoe UI" w:eastAsiaTheme="minorHAnsi" w:hAnsi="Segoe UI" w:cs="Segoe UI"/>
          <w:b/>
          <w:bCs/>
          <w:lang w:eastAsia="en-US"/>
        </w:rPr>
        <w:t xml:space="preserve">pplication </w:t>
      </w:r>
      <w:r>
        <w:rPr>
          <w:rFonts w:ascii="Segoe UI" w:eastAsiaTheme="minorHAnsi" w:hAnsi="Segoe UI" w:cs="Segoe UI"/>
          <w:b/>
          <w:bCs/>
          <w:lang w:eastAsia="en-US"/>
        </w:rPr>
        <w:t>1823</w:t>
      </w:r>
    </w:p>
    <w:p w14:paraId="371EEE11" w14:textId="77777777" w:rsidR="00917DB4" w:rsidRDefault="00917DB4" w:rsidP="00917DB4">
      <w:pPr>
        <w:rPr>
          <w:lang w:eastAsia="en-US"/>
        </w:rPr>
      </w:pPr>
    </w:p>
    <w:p w14:paraId="66A6042F" w14:textId="77777777" w:rsidR="00917DB4" w:rsidRPr="00917DB4" w:rsidRDefault="00917DB4" w:rsidP="00917DB4">
      <w:pPr>
        <w:rPr>
          <w:lang w:eastAsia="en-US"/>
        </w:rPr>
      </w:pPr>
    </w:p>
    <w:p w14:paraId="3223F505" w14:textId="31A9E9B7" w:rsidR="00FF36BA" w:rsidRPr="00FF36BA" w:rsidRDefault="00FF36BA" w:rsidP="00FF36BA">
      <w:pPr>
        <w:pStyle w:val="Heading1"/>
        <w:rPr>
          <w:sz w:val="48"/>
          <w:szCs w:val="48"/>
        </w:rPr>
      </w:pPr>
      <w:r w:rsidRPr="00BA6A86">
        <w:rPr>
          <w:sz w:val="48"/>
          <w:szCs w:val="48"/>
          <w:vertAlign w:val="superscript"/>
        </w:rPr>
        <w:t>177</w:t>
      </w:r>
      <w:r w:rsidRPr="00FF36BA">
        <w:rPr>
          <w:sz w:val="48"/>
          <w:szCs w:val="48"/>
        </w:rPr>
        <w:t>Lutetium PSMA-617 for prostate specific membrane antigen (PSMA)-positive, taxane-naïve patients with metastatic castrate resistant prostate cancer (mCRPC)</w:t>
      </w:r>
    </w:p>
    <w:p w14:paraId="08D98030" w14:textId="77777777" w:rsidR="00133449" w:rsidRPr="0010048D" w:rsidRDefault="00133449" w:rsidP="00133449">
      <w:pPr>
        <w:rPr>
          <w:rFonts w:ascii="Segoe UI" w:eastAsia="Segoe UI" w:hAnsi="Segoe UI" w:cs="Segoe UI"/>
          <w:b/>
          <w:color w:val="000000"/>
          <w:sz w:val="32"/>
        </w:rPr>
      </w:pPr>
      <w:r w:rsidRPr="0010048D">
        <w:rPr>
          <w:rFonts w:ascii="Segoe UI" w:hAnsi="Segoe UI" w:cs="Segoe UI"/>
        </w:rPr>
        <w:br w:type="page"/>
      </w:r>
    </w:p>
    <w:p w14:paraId="1B176AAF" w14:textId="77777777" w:rsidR="00133449" w:rsidRPr="0010048D" w:rsidRDefault="00133449" w:rsidP="00133449">
      <w:pPr>
        <w:pStyle w:val="Heading1"/>
        <w:rPr>
          <w:rFonts w:cs="Segoe UI"/>
        </w:rPr>
      </w:pPr>
      <w:r w:rsidRPr="0010048D">
        <w:rPr>
          <w:rFonts w:cs="Segoe UI"/>
        </w:rPr>
        <w:lastRenderedPageBreak/>
        <w:t>Application for MBS eligible service or health technology</w:t>
      </w:r>
    </w:p>
    <w:p w14:paraId="6877642E" w14:textId="7EB29383" w:rsidR="00133449" w:rsidRPr="005B57C1" w:rsidRDefault="00133449" w:rsidP="00133449">
      <w:pPr>
        <w:rPr>
          <w:rFonts w:ascii="Segoe UI" w:eastAsia="Segoe UI" w:hAnsi="Segoe UI" w:cs="Segoe UI"/>
          <w:color w:val="000000"/>
        </w:rPr>
      </w:pPr>
      <w:r w:rsidRPr="0010048D">
        <w:rPr>
          <w:rFonts w:ascii="Segoe UI" w:eastAsia="Segoe UI" w:hAnsi="Segoe UI" w:cs="Segoe UI"/>
          <w:b/>
          <w:color w:val="000000"/>
        </w:rPr>
        <w:t>HPP Application number:</w:t>
      </w:r>
      <w:r w:rsidR="00CA6E33">
        <w:rPr>
          <w:rFonts w:ascii="Segoe UI" w:eastAsia="Segoe UI" w:hAnsi="Segoe UI" w:cs="Segoe UI"/>
          <w:b/>
          <w:color w:val="000000"/>
        </w:rPr>
        <w:br/>
      </w:r>
      <w:r w:rsidRPr="005B57C1">
        <w:rPr>
          <w:rFonts w:ascii="Segoe UI" w:eastAsia="Segoe UI" w:hAnsi="Segoe UI" w:cs="Segoe UI"/>
          <w:color w:val="000000"/>
        </w:rPr>
        <w:t>HPP200410</w:t>
      </w:r>
    </w:p>
    <w:p w14:paraId="28AE5EE5" w14:textId="4ACACF87" w:rsidR="00133449" w:rsidRPr="005B57C1" w:rsidRDefault="00133449" w:rsidP="00133449">
      <w:pPr>
        <w:rPr>
          <w:rFonts w:ascii="Segoe UI" w:eastAsia="Segoe UI" w:hAnsi="Segoe UI" w:cs="Segoe UI"/>
          <w:color w:val="000000"/>
        </w:rPr>
      </w:pPr>
      <w:r w:rsidRPr="0010048D">
        <w:rPr>
          <w:rFonts w:ascii="Segoe UI" w:eastAsia="Segoe UI" w:hAnsi="Segoe UI" w:cs="Segoe UI"/>
          <w:b/>
          <w:color w:val="000000"/>
        </w:rPr>
        <w:t>Application title:</w:t>
      </w:r>
      <w:r w:rsidR="00CA6E33">
        <w:rPr>
          <w:rFonts w:ascii="Segoe UI" w:eastAsia="Segoe UI" w:hAnsi="Segoe UI" w:cs="Segoe UI"/>
          <w:b/>
          <w:color w:val="000000"/>
        </w:rPr>
        <w:br/>
      </w:r>
      <w:r w:rsidRPr="005B57C1">
        <w:rPr>
          <w:rFonts w:ascii="Segoe UI" w:eastAsia="Segoe UI" w:hAnsi="Segoe UI" w:cs="Segoe UI"/>
          <w:color w:val="000000"/>
        </w:rPr>
        <w:t xml:space="preserve">Lutetium-177 </w:t>
      </w:r>
      <w:proofErr w:type="spellStart"/>
      <w:r w:rsidRPr="005B57C1">
        <w:rPr>
          <w:rFonts w:ascii="Segoe UI" w:eastAsia="Segoe UI" w:hAnsi="Segoe UI" w:cs="Segoe UI"/>
          <w:color w:val="000000"/>
        </w:rPr>
        <w:t>vipivotide</w:t>
      </w:r>
      <w:proofErr w:type="spellEnd"/>
      <w:r w:rsidRPr="005B57C1">
        <w:rPr>
          <w:rFonts w:ascii="Segoe UI" w:eastAsia="Segoe UI" w:hAnsi="Segoe UI" w:cs="Segoe UI"/>
          <w:color w:val="000000"/>
        </w:rPr>
        <w:t xml:space="preserve"> tetraxetan (177Lu-PSMA-617) for prostate specific membrane antigen (PSMA)-positive, taxane-naïve patients with metastatic castrate resistant prostate cancer (mCRPC)</w:t>
      </w:r>
    </w:p>
    <w:p w14:paraId="44826F65" w14:textId="420FB3BC" w:rsidR="00133449" w:rsidRPr="0010048D" w:rsidRDefault="00133449" w:rsidP="00133449">
      <w:pPr>
        <w:rPr>
          <w:rFonts w:ascii="Segoe UI" w:hAnsi="Segoe UI" w:cs="Segoe UI"/>
        </w:rPr>
      </w:pPr>
      <w:r w:rsidRPr="0010048D">
        <w:rPr>
          <w:rFonts w:ascii="Segoe UI" w:eastAsia="Segoe UI" w:hAnsi="Segoe UI" w:cs="Segoe UI"/>
          <w:b/>
          <w:color w:val="000000"/>
        </w:rPr>
        <w:t xml:space="preserve">Submitting organisation: </w:t>
      </w:r>
      <w:r w:rsidR="00CA6E33">
        <w:rPr>
          <w:rFonts w:ascii="Segoe UI" w:hAnsi="Segoe UI" w:cs="Segoe UI"/>
        </w:rPr>
        <w:br/>
      </w:r>
      <w:r>
        <w:rPr>
          <w:rFonts w:ascii="Segoe UI" w:eastAsia="Segoe UI" w:hAnsi="Segoe UI" w:cs="Segoe UI"/>
          <w:color w:val="000000"/>
        </w:rPr>
        <w:t>NOVARTIS PHARMACEUTICALS AUSTRALIA PTY LIMITED</w:t>
      </w:r>
    </w:p>
    <w:p w14:paraId="04FE4FD7" w14:textId="10BCBBE2" w:rsidR="00133449" w:rsidRPr="0010048D" w:rsidRDefault="00133449" w:rsidP="00133449">
      <w:pPr>
        <w:rPr>
          <w:rFonts w:ascii="Segoe UI" w:hAnsi="Segoe UI" w:cs="Segoe UI"/>
        </w:rPr>
      </w:pPr>
      <w:r w:rsidRPr="0010048D">
        <w:rPr>
          <w:rFonts w:ascii="Segoe UI" w:eastAsia="Segoe UI" w:hAnsi="Segoe UI" w:cs="Segoe UI"/>
          <w:b/>
          <w:color w:val="000000"/>
        </w:rPr>
        <w:t>Submitting organisation ABN:</w:t>
      </w:r>
      <w:r w:rsidR="00CA6E33">
        <w:rPr>
          <w:rFonts w:ascii="Segoe UI" w:eastAsia="Segoe UI" w:hAnsi="Segoe UI" w:cs="Segoe UI"/>
          <w:b/>
          <w:color w:val="000000"/>
        </w:rPr>
        <w:br/>
      </w:r>
      <w:r>
        <w:rPr>
          <w:rFonts w:ascii="Segoe UI" w:hAnsi="Segoe UI" w:cs="Segoe UI"/>
        </w:rPr>
        <w:t>18004244160</w:t>
      </w:r>
    </w:p>
    <w:p w14:paraId="2B498BDA" w14:textId="77777777" w:rsidR="00133449" w:rsidRPr="0010048D" w:rsidRDefault="00133449" w:rsidP="00133449">
      <w:pPr>
        <w:pStyle w:val="Heading1"/>
        <w:rPr>
          <w:rFonts w:cs="Segoe UI"/>
        </w:rPr>
      </w:pPr>
      <w:r w:rsidRPr="0010048D">
        <w:rPr>
          <w:rFonts w:cs="Segoe UI"/>
        </w:rPr>
        <w:t>Application description</w:t>
      </w:r>
    </w:p>
    <w:p w14:paraId="361DA832" w14:textId="65D6E828" w:rsidR="00133449" w:rsidRPr="00DA3592" w:rsidRDefault="00133449" w:rsidP="00133449">
      <w:pPr>
        <w:rPr>
          <w:rFonts w:ascii="Segoe UI" w:hAnsi="Segoe UI" w:cs="Segoe UI"/>
        </w:rPr>
      </w:pPr>
      <w:r w:rsidRPr="0010048D">
        <w:rPr>
          <w:rFonts w:ascii="Segoe UI" w:eastAsia="Segoe UI" w:hAnsi="Segoe UI" w:cs="Segoe UI"/>
          <w:b/>
          <w:color w:val="000000"/>
        </w:rPr>
        <w:t>Succinct description of the medical condition/s:</w:t>
      </w:r>
      <w:r w:rsidR="00CA6E33">
        <w:rPr>
          <w:rFonts w:ascii="Segoe UI" w:eastAsia="Segoe UI" w:hAnsi="Segoe UI" w:cs="Segoe UI"/>
          <w:b/>
          <w:color w:val="000000"/>
        </w:rPr>
        <w:br/>
      </w:r>
      <w:r w:rsidRPr="00DA3592">
        <w:rPr>
          <w:rFonts w:ascii="Segoe UI" w:eastAsia="Segoe UI" w:hAnsi="Segoe UI" w:cs="Segoe UI"/>
          <w:color w:val="000000"/>
        </w:rPr>
        <w:t>The proposed population are adult patients with metastatic castration-resistant prostate cancer (mCRPC), who are confirmed prostate-specific membrane antigen (PSMA</w:t>
      </w:r>
      <w:r w:rsidR="00307F3A">
        <w:rPr>
          <w:rFonts w:ascii="Segoe UI" w:eastAsia="Segoe UI" w:hAnsi="Segoe UI" w:cs="Segoe UI"/>
          <w:color w:val="000000"/>
        </w:rPr>
        <w:t>)</w:t>
      </w:r>
      <w:r w:rsidRPr="00DA3592">
        <w:rPr>
          <w:rFonts w:ascii="Segoe UI" w:eastAsia="Segoe UI" w:hAnsi="Segoe UI" w:cs="Segoe UI"/>
          <w:color w:val="000000"/>
        </w:rPr>
        <w:t>-positive, have progressive disease following treatment with an androgen receptor inhibitor pathway inhibitor (ARPI) and are untreated with taxane-based chemotherapy in the hormone-sensitive or castration-resistant setting.  Approximately 1 in 6 men will be diagnosed with prostate cancer in their lifetime. Prostate cancer is the most common cancer in Australian men. Most men are diagnosed and treated in earlier stages of disease. Despite treatment, some men will develop mCRPC. mCRPC is generally associated with the poorest prognosis, with real-world studies reporting median survival of between 3 and 4 years.</w:t>
      </w:r>
    </w:p>
    <w:p w14:paraId="324A6718" w14:textId="77C7C2FC" w:rsidR="00133449" w:rsidRPr="00CA6E33" w:rsidRDefault="00133449" w:rsidP="00133449">
      <w:pPr>
        <w:rPr>
          <w:rFonts w:ascii="Segoe UI" w:hAnsi="Segoe UI" w:cs="Segoe UI"/>
        </w:rPr>
      </w:pPr>
      <w:r w:rsidRPr="0010048D">
        <w:rPr>
          <w:rFonts w:ascii="Segoe UI" w:eastAsia="Segoe UI" w:hAnsi="Segoe UI" w:cs="Segoe UI"/>
          <w:b/>
          <w:color w:val="000000"/>
        </w:rPr>
        <w:t>Succinct description of the service or health technology:</w:t>
      </w:r>
      <w:r w:rsidR="00CA6E33">
        <w:rPr>
          <w:rFonts w:ascii="Segoe UI" w:hAnsi="Segoe UI" w:cs="Segoe UI"/>
        </w:rPr>
        <w:br/>
      </w:r>
      <w:r w:rsidRPr="00DA3592">
        <w:rPr>
          <w:rFonts w:ascii="Segoe UI" w:eastAsia="Segoe UI" w:hAnsi="Segoe UI" w:cs="Segoe UI"/>
          <w:color w:val="000000"/>
        </w:rPr>
        <w:t>177Lu-PSMA-617 is a novel radioligand therapy (RLT) consisting of a PSMA-targeting vector that binds with high affinity and specificity to PSMA which is often highly expressed in mCRPC. 177Lu-PSMA-617 is the only Therapeutic Goods Administration approved RLT for mCRPC. The MSAC has previously assessed and recommended 177Lu-PSMA-617 for patients with PSMA-positive mCRPC who have previously been treated with ARPI and docetaxel. A PSMA PET scan is used to determine the level of PSMA expression and assess suitability for intravenous treatment with 177Lu-PSMA-</w:t>
      </w:r>
      <w:r w:rsidRPr="00DA3592">
        <w:rPr>
          <w:rFonts w:ascii="Segoe UI" w:eastAsia="Segoe UI" w:hAnsi="Segoe UI" w:cs="Segoe UI"/>
          <w:color w:val="000000"/>
        </w:rPr>
        <w:lastRenderedPageBreak/>
        <w:t>617. The pivotal clinical trial in the proposed population demonstrates improved treatment response, pain control and quality of life, as well as low toxicity compared to standard of care.</w:t>
      </w:r>
    </w:p>
    <w:p w14:paraId="6B61DA55" w14:textId="77777777" w:rsidR="00133449" w:rsidRPr="0010048D" w:rsidRDefault="00133449" w:rsidP="00133449">
      <w:pPr>
        <w:pStyle w:val="Heading1"/>
        <w:rPr>
          <w:rFonts w:cs="Segoe UI"/>
        </w:rPr>
      </w:pPr>
      <w:r w:rsidRPr="0010048D">
        <w:rPr>
          <w:rFonts w:cs="Segoe UI"/>
        </w:rPr>
        <w:t>Application contact details</w:t>
      </w:r>
    </w:p>
    <w:p w14:paraId="273CAE8C" w14:textId="77777777" w:rsidR="00133449" w:rsidRPr="0010048D" w:rsidRDefault="00133449" w:rsidP="00133449">
      <w:pPr>
        <w:rPr>
          <w:rFonts w:ascii="Segoe UI" w:hAnsi="Segoe UI" w:cs="Segoe UI"/>
        </w:rPr>
      </w:pPr>
      <w:r w:rsidRPr="0010048D">
        <w:rPr>
          <w:rFonts w:ascii="Segoe UI" w:eastAsia="Segoe UI" w:hAnsi="Segoe UI" w:cs="Segoe UI"/>
          <w:b/>
          <w:color w:val="000000"/>
        </w:rPr>
        <w:t>Are you applying on behalf of an organisation, or as an individual?</w:t>
      </w:r>
    </w:p>
    <w:p w14:paraId="5E00F69E" w14:textId="77777777" w:rsidR="00133449" w:rsidRDefault="00133449" w:rsidP="00133449">
      <w:pPr>
        <w:rPr>
          <w:rFonts w:ascii="Segoe UI" w:eastAsia="Segoe UI" w:hAnsi="Segoe UI" w:cs="Segoe UI"/>
          <w:color w:val="000000"/>
        </w:rPr>
      </w:pPr>
      <w:r w:rsidRPr="00DA3592">
        <w:rPr>
          <w:rFonts w:ascii="Segoe UI" w:eastAsia="Segoe UI" w:hAnsi="Segoe UI" w:cs="Segoe UI"/>
          <w:color w:val="000000"/>
        </w:rPr>
        <w:t>Organisation</w:t>
      </w:r>
    </w:p>
    <w:p w14:paraId="7DF286D6" w14:textId="77777777" w:rsidR="00887431" w:rsidRPr="00FB3833" w:rsidRDefault="00887431" w:rsidP="00887431">
      <w:pPr>
        <w:rPr>
          <w:rFonts w:ascii="Segoe UI" w:hAnsi="Segoe UI" w:cs="Segoe UI"/>
        </w:rPr>
      </w:pPr>
      <w:r w:rsidRPr="00FB3833">
        <w:rPr>
          <w:rFonts w:ascii="Segoe UI" w:eastAsia="Segoe UI" w:hAnsi="Segoe UI" w:cs="Segoe UI"/>
          <w:b/>
          <w:color w:val="000000"/>
        </w:rPr>
        <w:t>Is the applicant organisation the organisation you are representing in the HPP today?</w:t>
      </w:r>
    </w:p>
    <w:p w14:paraId="62A563CC" w14:textId="16CE2DD9" w:rsidR="00887431" w:rsidRPr="00DA3592" w:rsidRDefault="00887431" w:rsidP="00133449">
      <w:pPr>
        <w:rPr>
          <w:rFonts w:ascii="Segoe UI" w:hAnsi="Segoe UI" w:cs="Segoe UI"/>
        </w:rPr>
      </w:pPr>
      <w:r>
        <w:rPr>
          <w:rFonts w:ascii="Segoe UI" w:eastAsia="Segoe UI" w:hAnsi="Segoe UI" w:cs="Segoe UI"/>
          <w:color w:val="000000"/>
        </w:rPr>
        <w:t>Yes</w:t>
      </w:r>
    </w:p>
    <w:p w14:paraId="6601E95B" w14:textId="77777777" w:rsidR="00133449" w:rsidRPr="0010048D" w:rsidRDefault="00133449" w:rsidP="00133449">
      <w:pPr>
        <w:rPr>
          <w:rFonts w:ascii="Segoe UI" w:hAnsi="Segoe UI" w:cs="Segoe UI"/>
        </w:rPr>
      </w:pPr>
      <w:r w:rsidRPr="0010048D">
        <w:rPr>
          <w:rFonts w:ascii="Segoe UI" w:eastAsia="Segoe UI" w:hAnsi="Segoe UI" w:cs="Segoe UI"/>
          <w:b/>
          <w:color w:val="000000"/>
        </w:rPr>
        <w:t>Applicant organisation name:</w:t>
      </w:r>
    </w:p>
    <w:p w14:paraId="72623FB7" w14:textId="77777777" w:rsidR="00133449" w:rsidRPr="00DA3592" w:rsidRDefault="00133449" w:rsidP="00133449">
      <w:pPr>
        <w:rPr>
          <w:rFonts w:ascii="Segoe UI" w:eastAsia="Segoe UI" w:hAnsi="Segoe UI" w:cs="Segoe UI"/>
          <w:color w:val="000000"/>
        </w:rPr>
      </w:pPr>
      <w:r w:rsidRPr="00DA3592">
        <w:rPr>
          <w:rFonts w:ascii="Segoe UI" w:eastAsia="Segoe UI" w:hAnsi="Segoe UI" w:cs="Segoe UI"/>
          <w:color w:val="000000"/>
        </w:rPr>
        <w:t>NOVARTIS PHARMACEUTICALS AUSTRALIA PTY LIMITED</w:t>
      </w:r>
    </w:p>
    <w:p w14:paraId="3E3352C1" w14:textId="77777777" w:rsidR="00133449" w:rsidRDefault="00133449" w:rsidP="00133449">
      <w:pPr>
        <w:pStyle w:val="Heading1"/>
        <w:rPr>
          <w:rFonts w:cs="Segoe UI"/>
        </w:rPr>
      </w:pPr>
      <w:r w:rsidRPr="00E448F0">
        <w:rPr>
          <w:rFonts w:cs="Segoe UI"/>
          <w:color w:val="153D63" w:themeColor="text2" w:themeTint="E6"/>
        </w:rPr>
        <w:t>Application</w:t>
      </w:r>
      <w:r w:rsidRPr="0010048D">
        <w:rPr>
          <w:rFonts w:cs="Segoe UI"/>
        </w:rPr>
        <w:t xml:space="preserve"> details</w:t>
      </w:r>
    </w:p>
    <w:p w14:paraId="63369A78" w14:textId="77777777" w:rsidR="00D932B0" w:rsidRPr="00FB3833" w:rsidRDefault="00D932B0" w:rsidP="00D932B0">
      <w:pPr>
        <w:rPr>
          <w:rFonts w:ascii="Segoe UI" w:hAnsi="Segoe UI" w:cs="Segoe UI"/>
          <w:b/>
          <w:bCs/>
        </w:rPr>
      </w:pPr>
      <w:r w:rsidRPr="00FB3833">
        <w:rPr>
          <w:rFonts w:ascii="Segoe UI" w:hAnsi="Segoe UI" w:cs="Segoe UI"/>
          <w:b/>
          <w:bCs/>
        </w:rPr>
        <w:t>Please select the program through which the health technology would be funded:</w:t>
      </w:r>
    </w:p>
    <w:p w14:paraId="40D0E6E7" w14:textId="42BDFDBF" w:rsidR="00D932B0" w:rsidRPr="00FB3833" w:rsidRDefault="00D932B0" w:rsidP="00D932B0">
      <w:pPr>
        <w:rPr>
          <w:rFonts w:ascii="Segoe UI" w:hAnsi="Segoe UI" w:cs="Segoe UI"/>
        </w:rPr>
      </w:pPr>
      <w:r>
        <w:rPr>
          <w:rFonts w:ascii="Segoe UI" w:hAnsi="Segoe UI" w:cs="Segoe UI"/>
        </w:rPr>
        <w:t>Other</w:t>
      </w:r>
    </w:p>
    <w:p w14:paraId="293708AE" w14:textId="09FB7910" w:rsidR="00D932B0" w:rsidRPr="00FB3833" w:rsidRDefault="00D932B0" w:rsidP="00D932B0">
      <w:pPr>
        <w:rPr>
          <w:rFonts w:ascii="Segoe UI" w:hAnsi="Segoe UI" w:cs="Segoe UI"/>
        </w:rPr>
      </w:pPr>
      <w:r w:rsidRPr="00FB3833">
        <w:rPr>
          <w:rFonts w:ascii="Segoe UI" w:hAnsi="Segoe UI" w:cs="Segoe UI"/>
          <w:b/>
          <w:bCs/>
        </w:rPr>
        <w:t>Specify the funding program:</w:t>
      </w:r>
      <w:r w:rsidRPr="00FB3833">
        <w:rPr>
          <w:rFonts w:ascii="Segoe UI" w:hAnsi="Segoe UI" w:cs="Segoe UI"/>
        </w:rPr>
        <w:t xml:space="preserve"> </w:t>
      </w:r>
    </w:p>
    <w:p w14:paraId="3F54D01B" w14:textId="2BE3989A" w:rsidR="00D932B0" w:rsidRPr="00FB3833" w:rsidRDefault="00456396" w:rsidP="00D932B0">
      <w:pPr>
        <w:rPr>
          <w:rFonts w:ascii="Segoe UI" w:hAnsi="Segoe UI" w:cs="Segoe UI"/>
        </w:rPr>
      </w:pPr>
      <w:r w:rsidRPr="00456396">
        <w:rPr>
          <w:rFonts w:ascii="Segoe UI" w:eastAsia="Segoe UI" w:hAnsi="Segoe UI" w:cs="Segoe UI"/>
          <w:color w:val="000000"/>
        </w:rPr>
        <w:t>Medicare Benefits Schedule and the broader Medicare program</w:t>
      </w:r>
    </w:p>
    <w:p w14:paraId="33C06DEE" w14:textId="77777777" w:rsidR="00D932B0" w:rsidRPr="00FB3833" w:rsidRDefault="00D932B0" w:rsidP="00D932B0">
      <w:pPr>
        <w:rPr>
          <w:rFonts w:ascii="Segoe UI" w:hAnsi="Segoe UI" w:cs="Segoe UI"/>
          <w:b/>
          <w:bCs/>
        </w:rPr>
      </w:pPr>
      <w:r w:rsidRPr="00FB3833">
        <w:rPr>
          <w:rFonts w:ascii="Segoe UI" w:hAnsi="Segoe UI" w:cs="Segoe UI"/>
          <w:b/>
          <w:bCs/>
        </w:rPr>
        <w:t>Please provide justification for selecting the above program:</w:t>
      </w:r>
    </w:p>
    <w:p w14:paraId="3F5EB633" w14:textId="77777777" w:rsidR="00456396" w:rsidRPr="00456396" w:rsidRDefault="00456396" w:rsidP="00456396">
      <w:pPr>
        <w:rPr>
          <w:rFonts w:ascii="Segoe UI" w:eastAsia="Segoe UI" w:hAnsi="Segoe UI" w:cs="Segoe UI"/>
          <w:color w:val="000000"/>
        </w:rPr>
      </w:pPr>
      <w:r w:rsidRPr="00456396">
        <w:rPr>
          <w:rFonts w:ascii="Segoe UI" w:eastAsia="Segoe UI" w:hAnsi="Segoe UI" w:cs="Segoe UI"/>
          <w:color w:val="000000"/>
        </w:rPr>
        <w:t>Reimbursement for radioligand therapy with 177Lu‑PSMA‑617 is proposed through the broader Medicare program.</w:t>
      </w:r>
    </w:p>
    <w:p w14:paraId="752AB019" w14:textId="5F2FE5B9" w:rsidR="00D932B0" w:rsidRPr="00FB3833" w:rsidRDefault="00456396" w:rsidP="00456396">
      <w:pPr>
        <w:rPr>
          <w:rFonts w:ascii="Segoe UI" w:hAnsi="Segoe UI" w:cs="Segoe UI"/>
        </w:rPr>
      </w:pPr>
      <w:r w:rsidRPr="00456396">
        <w:rPr>
          <w:rFonts w:ascii="Segoe UI" w:eastAsia="Segoe UI" w:hAnsi="Segoe UI" w:cs="Segoe UI"/>
          <w:color w:val="000000"/>
        </w:rPr>
        <w:t>The application also seeks to amend MBS item 61528 to expand the eligible patient population for determining access to 177Lu‑PSMA‑617 treatment</w:t>
      </w:r>
      <w:r w:rsidR="00D932B0">
        <w:rPr>
          <w:rFonts w:ascii="Segoe UI" w:eastAsia="Segoe UI" w:hAnsi="Segoe UI" w:cs="Segoe UI"/>
          <w:color w:val="000000"/>
        </w:rPr>
        <w:t>.</w:t>
      </w:r>
    </w:p>
    <w:p w14:paraId="01B2B5F5" w14:textId="77777777" w:rsidR="00D932B0" w:rsidRPr="00FB3833" w:rsidRDefault="00D932B0" w:rsidP="00D932B0">
      <w:pPr>
        <w:rPr>
          <w:rFonts w:ascii="Segoe UI" w:hAnsi="Segoe UI" w:cs="Segoe UI"/>
          <w:b/>
          <w:bCs/>
        </w:rPr>
      </w:pPr>
      <w:r w:rsidRPr="00FB3833">
        <w:rPr>
          <w:rFonts w:ascii="Segoe UI" w:hAnsi="Segoe UI" w:cs="Segoe UI"/>
          <w:b/>
          <w:bCs/>
        </w:rPr>
        <w:t xml:space="preserve">What is the type of service or health technology? </w:t>
      </w:r>
    </w:p>
    <w:p w14:paraId="2686730F" w14:textId="5A893E81" w:rsidR="00133449" w:rsidRPr="00473295" w:rsidRDefault="00473295" w:rsidP="00473295">
      <w:pPr>
        <w:rPr>
          <w:rFonts w:ascii="Segoe UI" w:hAnsi="Segoe UI" w:cs="Segoe UI"/>
        </w:rPr>
      </w:pPr>
      <w:r>
        <w:rPr>
          <w:rFonts w:ascii="Segoe UI" w:eastAsia="Segoe UI" w:hAnsi="Segoe UI" w:cs="Segoe UI"/>
          <w:color w:val="000000"/>
        </w:rPr>
        <w:t>Therapeutic</w:t>
      </w:r>
    </w:p>
    <w:p w14:paraId="4ED9B790" w14:textId="77777777" w:rsidR="00456396" w:rsidRDefault="00456396">
      <w:pPr>
        <w:rPr>
          <w:rFonts w:ascii="Segoe UI" w:eastAsia="Segoe UI" w:hAnsi="Segoe UI" w:cs="Segoe UI"/>
          <w:b/>
          <w:color w:val="213E60"/>
          <w:kern w:val="0"/>
          <w:sz w:val="32"/>
          <w:szCs w:val="20"/>
          <w14:ligatures w14:val="none"/>
        </w:rPr>
      </w:pPr>
      <w:r>
        <w:rPr>
          <w:rFonts w:cs="Segoe UI"/>
        </w:rPr>
        <w:br w:type="page"/>
      </w:r>
    </w:p>
    <w:p w14:paraId="16E68CEB" w14:textId="71D68C85" w:rsidR="00133449" w:rsidRPr="0010048D" w:rsidRDefault="00133449" w:rsidP="00133449">
      <w:pPr>
        <w:pStyle w:val="Heading1"/>
        <w:rPr>
          <w:rFonts w:cs="Segoe UI"/>
        </w:rPr>
      </w:pPr>
      <w:r w:rsidRPr="0010048D">
        <w:rPr>
          <w:rFonts w:cs="Segoe UI"/>
        </w:rPr>
        <w:t>PICO sets</w:t>
      </w:r>
    </w:p>
    <w:p w14:paraId="25B8C5A6" w14:textId="77777777" w:rsidR="00133449" w:rsidRPr="0010048D" w:rsidRDefault="00133449" w:rsidP="00133449">
      <w:pPr>
        <w:rPr>
          <w:rFonts w:ascii="Segoe UI" w:hAnsi="Segoe UI" w:cs="Segoe UI"/>
          <w:b/>
          <w:bCs/>
        </w:rPr>
      </w:pPr>
      <w:r w:rsidRPr="0010048D">
        <w:rPr>
          <w:rFonts w:ascii="Segoe UI" w:hAnsi="Segoe UI" w:cs="Segoe UI"/>
          <w:b/>
          <w:bCs/>
        </w:rPr>
        <w:t>Application PICO sets:</w:t>
      </w:r>
    </w:p>
    <w:tbl>
      <w:tblPr>
        <w:tblStyle w:val="TableGrid"/>
        <w:tblW w:w="0" w:type="auto"/>
        <w:tblLook w:val="0620" w:firstRow="1" w:lastRow="0" w:firstColumn="0" w:lastColumn="0" w:noHBand="1" w:noVBand="1"/>
      </w:tblPr>
      <w:tblGrid>
        <w:gridCol w:w="8926"/>
      </w:tblGrid>
      <w:tr w:rsidR="00133449" w:rsidRPr="0010048D" w14:paraId="13374401" w14:textId="77777777" w:rsidTr="00917DB4">
        <w:trPr>
          <w:tblHeader/>
        </w:trPr>
        <w:tc>
          <w:tcPr>
            <w:tcW w:w="8926" w:type="dxa"/>
            <w:tcMar>
              <w:top w:w="113" w:type="dxa"/>
              <w:bottom w:w="113" w:type="dxa"/>
            </w:tcMar>
          </w:tcPr>
          <w:p w14:paraId="3C834693" w14:textId="77777777" w:rsidR="00133449" w:rsidRPr="0010048D" w:rsidRDefault="00133449" w:rsidP="0065027C">
            <w:pPr>
              <w:rPr>
                <w:rFonts w:ascii="Segoe UI" w:hAnsi="Segoe UI" w:cs="Segoe UI"/>
                <w:b/>
              </w:rPr>
            </w:pPr>
            <w:r w:rsidRPr="0010048D">
              <w:rPr>
                <w:rFonts w:ascii="Segoe UI" w:hAnsi="Segoe UI" w:cs="Segoe UI"/>
                <w:b/>
              </w:rPr>
              <w:t>PICO set name</w:t>
            </w:r>
          </w:p>
        </w:tc>
      </w:tr>
      <w:tr w:rsidR="00133449" w:rsidRPr="0010048D" w14:paraId="79C27EF3" w14:textId="77777777" w:rsidTr="00917DB4">
        <w:tc>
          <w:tcPr>
            <w:tcW w:w="8926" w:type="dxa"/>
            <w:tcMar>
              <w:top w:w="113" w:type="dxa"/>
              <w:bottom w:w="113" w:type="dxa"/>
            </w:tcMar>
          </w:tcPr>
          <w:p w14:paraId="4A38A298" w14:textId="77777777" w:rsidR="00133449" w:rsidRPr="0010048D" w:rsidRDefault="00133449" w:rsidP="0065027C">
            <w:pPr>
              <w:rPr>
                <w:rFonts w:ascii="Segoe UI" w:hAnsi="Segoe UI" w:cs="Segoe UI"/>
                <w:bCs/>
              </w:rPr>
            </w:pPr>
            <w:r>
              <w:rPr>
                <w:rFonts w:ascii="Segoe UI" w:hAnsi="Segoe UI" w:cs="Segoe UI"/>
                <w:bCs/>
              </w:rPr>
              <w:t xml:space="preserve">Lutetium-177 </w:t>
            </w:r>
            <w:proofErr w:type="spellStart"/>
            <w:r>
              <w:rPr>
                <w:rFonts w:ascii="Segoe UI" w:hAnsi="Segoe UI" w:cs="Segoe UI"/>
                <w:bCs/>
              </w:rPr>
              <w:t>vipivotide</w:t>
            </w:r>
            <w:proofErr w:type="spellEnd"/>
            <w:r>
              <w:rPr>
                <w:rFonts w:ascii="Segoe UI" w:hAnsi="Segoe UI" w:cs="Segoe UI"/>
                <w:bCs/>
              </w:rPr>
              <w:t xml:space="preserve"> tetraxetan (177Lu-PSMA-617) for prostate specific membrane antigen (PSMA)-positive, taxane-naïve patients with metastatic castrate resistant prostate cancer (mCRPC)</w:t>
            </w:r>
          </w:p>
        </w:tc>
      </w:tr>
    </w:tbl>
    <w:p w14:paraId="358D3966" w14:textId="77777777" w:rsidR="00133449" w:rsidRDefault="00133449" w:rsidP="00133449">
      <w:pPr>
        <w:rPr>
          <w:rFonts w:ascii="Segoe UI" w:hAnsi="Segoe UI" w:cs="Segoe UI"/>
        </w:rPr>
      </w:pPr>
    </w:p>
    <w:p w14:paraId="684F1163" w14:textId="77777777" w:rsidR="00917DB4" w:rsidRPr="0010048D" w:rsidRDefault="00917DB4" w:rsidP="00917DB4">
      <w:pPr>
        <w:pStyle w:val="Heading1"/>
      </w:pPr>
      <w:r w:rsidRPr="0010048D">
        <w:t>Population</w:t>
      </w:r>
    </w:p>
    <w:p w14:paraId="3C5B044B" w14:textId="77777777" w:rsidR="00917DB4" w:rsidRPr="0010048D" w:rsidRDefault="00917DB4" w:rsidP="00917DB4">
      <w:pPr>
        <w:rPr>
          <w:rFonts w:ascii="Segoe UI" w:hAnsi="Segoe UI" w:cs="Segoe UI"/>
          <w:b/>
          <w:bCs/>
        </w:rPr>
      </w:pPr>
      <w:r w:rsidRPr="0010048D">
        <w:rPr>
          <w:rFonts w:ascii="Segoe UI" w:hAnsi="Segoe UI" w:cs="Segoe UI"/>
          <w:b/>
          <w:bCs/>
        </w:rPr>
        <w:t>Describe the population in which the proposed health technology is intended to be used:</w:t>
      </w:r>
    </w:p>
    <w:p w14:paraId="0AC0785B" w14:textId="4B8CDF3F" w:rsidR="00917DB4" w:rsidRPr="00EA413F" w:rsidRDefault="00917DB4" w:rsidP="00917DB4">
      <w:pPr>
        <w:rPr>
          <w:rFonts w:ascii="Segoe UI" w:hAnsi="Segoe UI" w:cs="Segoe UI"/>
        </w:rPr>
      </w:pPr>
      <w:r>
        <w:rPr>
          <w:rFonts w:ascii="Segoe UI" w:eastAsia="Segoe UI" w:hAnsi="Segoe UI" w:cs="Segoe UI"/>
          <w:color w:val="000000"/>
        </w:rPr>
        <w:t>The proposed population are adult patients with metastatic castration-resistant prostate cancer (mCRPC), who are confirmed prostate specific membrane antigen (PSMA)-positive, have progressive disease following treatment with an androgen receptor inhibitor pathway inhibitor (ARPI) and are untreated with taxane-based chemotherapy in the hormone-sensitive or castration-resistant setting.</w:t>
      </w:r>
      <w:r>
        <w:rPr>
          <w:rFonts w:ascii="Segoe UI" w:eastAsia="Segoe UI" w:hAnsi="Segoe UI" w:cs="Segoe UI"/>
          <w:color w:val="000000"/>
        </w:rPr>
        <w:br/>
        <w:t>Prostate cancer is the most diagnosed cancer in Australia, accounting for approximately 30% of all male cancer diagnoses in 2025. Approximately 1 in 6 men will be diagnosed with prostate cancer in their lifetime (ACP, 2026). Most men (82%) will be diagnosed in the early stages of disease (i.e., Stage I and II) where prognosis is generally good (AIHW, 2025). Despite treatment, approximately 10% to 20% will progress to castration-resistant disease and studies suggest that most of these patients will have metastases at the time of developing castration resistant disease (i.e., mCRPC) (Kirby et al., 2011). Approximately 60% of non-metastatic castration-resistant disease will develop mCRPC (Malone et al., 2022). Only a small proportion (4.2%) of men will be diagnosed with de novo metastatic disease (AIHW, 2025).</w:t>
      </w:r>
      <w:r>
        <w:rPr>
          <w:rFonts w:ascii="Segoe UI" w:eastAsia="Segoe UI" w:hAnsi="Segoe UI" w:cs="Segoe UI"/>
          <w:color w:val="000000"/>
        </w:rPr>
        <w:br/>
        <w:t xml:space="preserve">mCRPC is generally associated with the poorest prognosis, with real-world studies reporting median survival of less than 4 years and Australian data reporting median survival of 3 years (Francini 2019, Chowdhury 2020, </w:t>
      </w:r>
      <w:proofErr w:type="spellStart"/>
      <w:r>
        <w:rPr>
          <w:rFonts w:ascii="Segoe UI" w:eastAsia="Segoe UI" w:hAnsi="Segoe UI" w:cs="Segoe UI"/>
          <w:color w:val="000000"/>
        </w:rPr>
        <w:t>Westgeest</w:t>
      </w:r>
      <w:proofErr w:type="spellEnd"/>
      <w:r>
        <w:rPr>
          <w:rFonts w:ascii="Segoe UI" w:eastAsia="Segoe UI" w:hAnsi="Segoe UI" w:cs="Segoe UI"/>
          <w:color w:val="000000"/>
        </w:rPr>
        <w:t xml:space="preserve"> 2021; Williams et al., 2025). mCRPC significantly affects patient wellbeing due to persistent symptoms and impairment from both cancer and treatments. Australian men with mCRPC experience lower quality of life, greater severity of symptoms, more psychological distress, increased suicide risk, and greater unmet care needs than those with localised disease (Chambers et al., 2018; Holmstrom et al., 2019).</w:t>
      </w:r>
    </w:p>
    <w:p w14:paraId="14D5FD00" w14:textId="77777777" w:rsidR="00917DB4" w:rsidRPr="0010048D" w:rsidRDefault="00917DB4" w:rsidP="00917DB4">
      <w:pPr>
        <w:rPr>
          <w:rFonts w:ascii="Segoe UI" w:hAnsi="Segoe UI" w:cs="Segoe UI"/>
          <w:b/>
          <w:bCs/>
        </w:rPr>
      </w:pPr>
      <w:r w:rsidRPr="0010048D">
        <w:rPr>
          <w:rFonts w:ascii="Segoe UI" w:hAnsi="Segoe UI" w:cs="Segoe UI"/>
          <w:b/>
          <w:bCs/>
        </w:rPr>
        <w:t xml:space="preserve">Select the most applicable </w:t>
      </w:r>
      <w:proofErr w:type="gramStart"/>
      <w:r w:rsidRPr="0010048D">
        <w:rPr>
          <w:rFonts w:ascii="Segoe UI" w:hAnsi="Segoe UI" w:cs="Segoe UI"/>
          <w:b/>
          <w:bCs/>
        </w:rPr>
        <w:t>Medical</w:t>
      </w:r>
      <w:proofErr w:type="gramEnd"/>
      <w:r w:rsidRPr="0010048D">
        <w:rPr>
          <w:rFonts w:ascii="Segoe UI" w:hAnsi="Segoe UI" w:cs="Segoe UI"/>
          <w:b/>
          <w:bCs/>
        </w:rPr>
        <w:t xml:space="preserve"> condition terminology (SNOMED CT):</w:t>
      </w:r>
    </w:p>
    <w:p w14:paraId="7057967B" w14:textId="77777777" w:rsidR="00917DB4" w:rsidRPr="0010048D" w:rsidRDefault="00917DB4" w:rsidP="00917DB4">
      <w:pPr>
        <w:rPr>
          <w:rFonts w:ascii="Segoe UI" w:eastAsia="Segoe UI" w:hAnsi="Segoe UI" w:cs="Segoe UI"/>
          <w:color w:val="000000"/>
        </w:rPr>
      </w:pPr>
      <w:r>
        <w:rPr>
          <w:rFonts w:ascii="Segoe UI" w:eastAsia="Segoe UI" w:hAnsi="Segoe UI" w:cs="Segoe UI"/>
          <w:color w:val="000000"/>
        </w:rPr>
        <w:t>Hormone refractory prostate cancer</w:t>
      </w:r>
    </w:p>
    <w:p w14:paraId="6B34D056" w14:textId="77777777" w:rsidR="00917DB4" w:rsidRPr="0010048D" w:rsidRDefault="00917DB4" w:rsidP="00917DB4">
      <w:pPr>
        <w:pStyle w:val="Heading1"/>
      </w:pPr>
      <w:r w:rsidRPr="0010048D">
        <w:t>Intervention</w:t>
      </w:r>
    </w:p>
    <w:p w14:paraId="6429638F" w14:textId="77777777" w:rsidR="00917DB4" w:rsidRPr="0010048D" w:rsidRDefault="00917DB4" w:rsidP="00917DB4">
      <w:pPr>
        <w:rPr>
          <w:rFonts w:ascii="Segoe UI" w:hAnsi="Segoe UI" w:cs="Segoe UI"/>
          <w:b/>
          <w:bCs/>
        </w:rPr>
      </w:pPr>
      <w:r w:rsidRPr="0010048D">
        <w:rPr>
          <w:rFonts w:ascii="Segoe UI" w:hAnsi="Segoe UI" w:cs="Segoe UI"/>
          <w:b/>
          <w:bCs/>
        </w:rPr>
        <w:t>Name of the proposed health technology:</w:t>
      </w:r>
    </w:p>
    <w:p w14:paraId="22DD4994" w14:textId="77777777" w:rsidR="00917DB4" w:rsidRDefault="00917DB4" w:rsidP="00917DB4">
      <w:pPr>
        <w:rPr>
          <w:rFonts w:ascii="Segoe UI" w:eastAsia="Segoe UI" w:hAnsi="Segoe UI" w:cs="Segoe UI"/>
          <w:color w:val="000000"/>
        </w:rPr>
      </w:pPr>
      <w:r>
        <w:rPr>
          <w:rFonts w:ascii="Segoe UI" w:eastAsia="Segoe UI" w:hAnsi="Segoe UI" w:cs="Segoe UI"/>
          <w:color w:val="000000"/>
        </w:rPr>
        <w:t xml:space="preserve">Lutetium-177 </w:t>
      </w:r>
      <w:proofErr w:type="spellStart"/>
      <w:r>
        <w:rPr>
          <w:rFonts w:ascii="Segoe UI" w:eastAsia="Segoe UI" w:hAnsi="Segoe UI" w:cs="Segoe UI"/>
          <w:color w:val="000000"/>
        </w:rPr>
        <w:t>vipivotide</w:t>
      </w:r>
      <w:proofErr w:type="spellEnd"/>
      <w:r>
        <w:rPr>
          <w:rFonts w:ascii="Segoe UI" w:eastAsia="Segoe UI" w:hAnsi="Segoe UI" w:cs="Segoe UI"/>
          <w:color w:val="000000"/>
        </w:rPr>
        <w:t xml:space="preserve"> tetraxetan (177Lu-PSMA-617) (</w:t>
      </w:r>
      <w:proofErr w:type="spellStart"/>
      <w:r>
        <w:rPr>
          <w:rFonts w:ascii="Segoe UI" w:eastAsia="Segoe UI" w:hAnsi="Segoe UI" w:cs="Segoe UI"/>
          <w:color w:val="000000"/>
        </w:rPr>
        <w:t>Pluvicto</w:t>
      </w:r>
      <w:proofErr w:type="spellEnd"/>
      <w:r>
        <w:rPr>
          <w:rFonts w:ascii="Segoe UI" w:eastAsia="Segoe UI" w:hAnsi="Segoe UI" w:cs="Segoe UI"/>
          <w:color w:val="000000"/>
        </w:rPr>
        <w:t>®)</w:t>
      </w:r>
    </w:p>
    <w:p w14:paraId="01F1C75F" w14:textId="77777777" w:rsidR="00917DB4" w:rsidRPr="0010048D" w:rsidRDefault="00917DB4" w:rsidP="00917DB4">
      <w:pPr>
        <w:pStyle w:val="Heading1"/>
      </w:pPr>
      <w:r w:rsidRPr="0010048D">
        <w:t>Comparator</w:t>
      </w:r>
    </w:p>
    <w:p w14:paraId="337A3478" w14:textId="77777777" w:rsidR="00917DB4" w:rsidRPr="0010048D" w:rsidRDefault="00917DB4" w:rsidP="00917DB4">
      <w:pPr>
        <w:rPr>
          <w:rFonts w:ascii="Segoe UI" w:hAnsi="Segoe UI" w:cs="Segoe UI"/>
          <w:b/>
          <w:bCs/>
        </w:rPr>
      </w:pPr>
      <w:r w:rsidRPr="0010048D">
        <w:rPr>
          <w:rFonts w:ascii="Segoe UI" w:hAnsi="Segoe UI" w:cs="Segoe UI"/>
          <w:b/>
          <w:bCs/>
        </w:rPr>
        <w:t>Nominate the appropriate comparator(s) for the proposed medical service (i.e. how is the proposed population currently managed in the absence of the proposed medical service being available in the Australian health care system). This includes identifying health care resources that are needed to be delivered at the same time as the comparator service:</w:t>
      </w:r>
    </w:p>
    <w:p w14:paraId="723BB8D5" w14:textId="1CFD635E" w:rsidR="00917DB4" w:rsidRPr="0010048D" w:rsidRDefault="00917DB4" w:rsidP="00917DB4">
      <w:pPr>
        <w:rPr>
          <w:rFonts w:ascii="Segoe UI" w:eastAsia="Segoe UI" w:hAnsi="Segoe UI" w:cs="Segoe UI"/>
          <w:color w:val="000000"/>
        </w:rPr>
      </w:pPr>
      <w:r>
        <w:rPr>
          <w:rFonts w:ascii="Segoe UI" w:eastAsia="Segoe UI" w:hAnsi="Segoe UI" w:cs="Segoe UI"/>
          <w:color w:val="000000"/>
        </w:rPr>
        <w:t>Docetaxel or palliative care are the current standard of care for taxane-naïve mCRPC patients that progress following ARPI, making them the most appropriate comparators. 177Lu-PSMA is currently subsidised for patients that have had at least one ARPI and one taxane-based chemotherapy. Patients eligible for this treatment are later line and more progressed patients and are therefore not the same population as the proposed patient population in this application. As such, 177Lu-PSMA therapy is not an appropriate comparator.</w:t>
      </w:r>
      <w:r>
        <w:rPr>
          <w:rFonts w:ascii="Segoe UI" w:eastAsia="Segoe UI" w:hAnsi="Segoe UI" w:cs="Segoe UI"/>
          <w:color w:val="000000"/>
        </w:rPr>
        <w:br/>
        <w:t>In Australia, treatment with ARPIs is restricted to once per lifetime under the PBS criteria. Subsequently, treatment options for mCRPC patients who progress following an ARPI and are taxane-naive are limited to either docetaxel or palliative care. There are no head-to-head trials comparing the effectiveness of 177Lu-PSMA-617 to docetaxel or palliative care in the proposed patient population. Based on analysis</w:t>
      </w:r>
      <w:r w:rsidR="00B6543A">
        <w:rPr>
          <w:rFonts w:ascii="Segoe UI" w:eastAsia="Segoe UI" w:hAnsi="Segoe UI" w:cs="Segoe UI"/>
          <w:color w:val="000000"/>
        </w:rPr>
        <w:t xml:space="preserve"> by the Drug Utilisation Subcommittee (DUSC) of PBAC</w:t>
      </w:r>
      <w:r>
        <w:rPr>
          <w:rFonts w:ascii="Segoe UI" w:eastAsia="Segoe UI" w:hAnsi="Segoe UI" w:cs="Segoe UI"/>
          <w:color w:val="000000"/>
        </w:rPr>
        <w:t xml:space="preserve">, most patients (71%) do not receive any subsequent treatment in the 18-24 months following novel hormone therapy. Therefore, in the absence of direct evidence comparing the proposed treatment to standard of care in the proposed population, the comparator arm of </w:t>
      </w:r>
      <w:r w:rsidR="00B6543A">
        <w:rPr>
          <w:rFonts w:ascii="Segoe UI" w:eastAsia="Segoe UI" w:hAnsi="Segoe UI" w:cs="Segoe UI"/>
          <w:color w:val="000000"/>
        </w:rPr>
        <w:t xml:space="preserve">the study </w:t>
      </w:r>
      <w:proofErr w:type="spellStart"/>
      <w:r>
        <w:rPr>
          <w:rFonts w:ascii="Segoe UI" w:eastAsia="Segoe UI" w:hAnsi="Segoe UI" w:cs="Segoe UI"/>
          <w:color w:val="000000"/>
        </w:rPr>
        <w:t>PSMAfore</w:t>
      </w:r>
      <w:proofErr w:type="spellEnd"/>
      <w:r>
        <w:rPr>
          <w:rFonts w:ascii="Segoe UI" w:eastAsia="Segoe UI" w:hAnsi="Segoe UI" w:cs="Segoe UI"/>
          <w:color w:val="000000"/>
        </w:rPr>
        <w:t xml:space="preserve"> will be presented as a proxy for standard of care.</w:t>
      </w:r>
    </w:p>
    <w:p w14:paraId="3E020883" w14:textId="77777777" w:rsidR="00B6543A" w:rsidRDefault="00B6543A">
      <w:pPr>
        <w:rPr>
          <w:rFonts w:ascii="Segoe UI" w:eastAsia="Segoe UI" w:hAnsi="Segoe UI" w:cs="Times New Roman"/>
          <w:b/>
          <w:color w:val="213E60"/>
          <w:kern w:val="0"/>
          <w:sz w:val="32"/>
          <w:szCs w:val="20"/>
          <w14:ligatures w14:val="none"/>
        </w:rPr>
      </w:pPr>
      <w:r>
        <w:br w:type="page"/>
      </w:r>
    </w:p>
    <w:p w14:paraId="782EC108" w14:textId="5663640C" w:rsidR="00917DB4" w:rsidRPr="0010048D" w:rsidRDefault="00917DB4" w:rsidP="00917DB4">
      <w:pPr>
        <w:pStyle w:val="Heading1"/>
      </w:pPr>
      <w:r w:rsidRPr="0010048D">
        <w:t>Outcomes</w:t>
      </w:r>
    </w:p>
    <w:p w14:paraId="34B04146" w14:textId="77777777" w:rsidR="00917DB4" w:rsidRPr="0010048D" w:rsidRDefault="00917DB4" w:rsidP="00917DB4">
      <w:pPr>
        <w:rPr>
          <w:rFonts w:ascii="Segoe UI" w:hAnsi="Segoe UI" w:cs="Segoe UI"/>
          <w:b/>
          <w:bCs/>
        </w:rPr>
      </w:pPr>
      <w:r w:rsidRPr="0010048D">
        <w:rPr>
          <w:rFonts w:ascii="Segoe UI" w:hAnsi="Segoe UI" w:cs="Segoe UI"/>
          <w:b/>
          <w:bCs/>
        </w:rPr>
        <w:t xml:space="preserve">Outcome description – please include information about whether a change in patient management, or prognosis, occurs </w:t>
      </w:r>
      <w:proofErr w:type="gramStart"/>
      <w:r w:rsidRPr="0010048D">
        <w:rPr>
          <w:rFonts w:ascii="Segoe UI" w:hAnsi="Segoe UI" w:cs="Segoe UI"/>
          <w:b/>
          <w:bCs/>
        </w:rPr>
        <w:t>as a result of</w:t>
      </w:r>
      <w:proofErr w:type="gramEnd"/>
      <w:r w:rsidRPr="0010048D">
        <w:rPr>
          <w:rFonts w:ascii="Segoe UI" w:hAnsi="Segoe UI" w:cs="Segoe UI"/>
          <w:b/>
          <w:bCs/>
        </w:rPr>
        <w:t xml:space="preserve"> the test information:</w:t>
      </w:r>
    </w:p>
    <w:p w14:paraId="68C4ED86" w14:textId="77777777" w:rsidR="00917DB4" w:rsidRPr="0010048D" w:rsidRDefault="00917DB4" w:rsidP="00917DB4">
      <w:pPr>
        <w:rPr>
          <w:rFonts w:ascii="Segoe UI" w:eastAsia="Segoe UI" w:hAnsi="Segoe UI" w:cs="Segoe UI"/>
          <w:color w:val="000000"/>
        </w:rPr>
      </w:pPr>
      <w:r>
        <w:rPr>
          <w:rFonts w:ascii="Segoe UI" w:eastAsia="Segoe UI" w:hAnsi="Segoe UI" w:cs="Segoe UI"/>
          <w:color w:val="000000"/>
        </w:rPr>
        <w:t>The clinical claim will be assessed on radiographic progression-free survival as the primary outcome for effectiveness, and adverse events for safety. Additional secondary and exploratory outcomes for effectiveness include overall survival, progression-free survival, PSA50 response, time to symptomatic skeletal events, time to soft tissue progression, time to chemotherapy, and patient-related outcomes.</w:t>
      </w:r>
      <w:r>
        <w:rPr>
          <w:rFonts w:ascii="Segoe UI" w:eastAsia="Segoe UI" w:hAnsi="Segoe UI" w:cs="Segoe UI"/>
          <w:color w:val="000000"/>
        </w:rPr>
        <w:br/>
        <w:t>The diagnostic test PSMA PET has been assessed and considered clinically superior and cost-effective by MSAC. As such, effectiveness outcomes for the test (e.g., diagnostic accuracy) are not relevant.</w:t>
      </w:r>
      <w:r>
        <w:rPr>
          <w:rFonts w:ascii="Segoe UI" w:eastAsia="Segoe UI" w:hAnsi="Segoe UI" w:cs="Segoe UI"/>
          <w:color w:val="000000"/>
        </w:rPr>
        <w:br/>
        <w:t>mCRPC is an incurable disease associated with high morbidity and mortality. Natural progression often involves worsening symptoms such as fatigue and bone pain which can have negative impacts on quality of life. Improving survival and preserving quality of life are key treatment goals for patients living with mCRPC. Treatment decisions can be impacted by various factors. Up to 90% of patients develop bone metastases leading to severe bone pain from skeletal events like fractures and spinal cord compression. Studies have found that controlling or reducing bone pain is an important factor for mCRPC patients when considering their treatment options.</w:t>
      </w:r>
      <w:r>
        <w:rPr>
          <w:rFonts w:ascii="Segoe UI" w:eastAsia="Segoe UI" w:hAnsi="Segoe UI" w:cs="Segoe UI"/>
          <w:color w:val="000000"/>
        </w:rPr>
        <w:br/>
        <w:t xml:space="preserve">In Australia, current treatment options for the proposed </w:t>
      </w:r>
      <w:proofErr w:type="spellStart"/>
      <w:r>
        <w:rPr>
          <w:rFonts w:ascii="Segoe UI" w:eastAsia="Segoe UI" w:hAnsi="Segoe UI" w:cs="Segoe UI"/>
          <w:color w:val="000000"/>
        </w:rPr>
        <w:t>mCRCP</w:t>
      </w:r>
      <w:proofErr w:type="spellEnd"/>
      <w:r>
        <w:rPr>
          <w:rFonts w:ascii="Segoe UI" w:eastAsia="Segoe UI" w:hAnsi="Segoe UI" w:cs="Segoe UI"/>
          <w:color w:val="000000"/>
        </w:rPr>
        <w:t xml:space="preserve"> patient population are docetaxel or palliative care. Taxane-based chemotherapy may be deferred or avoided due to concerns from either the patient or physician about severe side effects that reduce quality of life, an assessment that the therapeutic benefits do not outweigh the risk, or because the patient's health makes taxanes unsuitable. This is supported by DUSC data that indicates only 14% of patients receive docetaxel in the 18-24 months following treatment with an ARPI.</w:t>
      </w:r>
      <w:r>
        <w:rPr>
          <w:rFonts w:ascii="Segoe UI" w:eastAsia="Segoe UI" w:hAnsi="Segoe UI" w:cs="Segoe UI"/>
          <w:color w:val="000000"/>
        </w:rPr>
        <w:br/>
        <w:t xml:space="preserve">Overall, </w:t>
      </w:r>
      <w:proofErr w:type="spellStart"/>
      <w:r>
        <w:rPr>
          <w:rFonts w:ascii="Segoe UI" w:eastAsia="Segoe UI" w:hAnsi="Segoe UI" w:cs="Segoe UI"/>
          <w:color w:val="000000"/>
        </w:rPr>
        <w:t>PSMAfore</w:t>
      </w:r>
      <w:proofErr w:type="spellEnd"/>
      <w:r>
        <w:rPr>
          <w:rFonts w:ascii="Segoe UI" w:eastAsia="Segoe UI" w:hAnsi="Segoe UI" w:cs="Segoe UI"/>
          <w:color w:val="000000"/>
        </w:rPr>
        <w:t xml:space="preserve"> demonstrates improved outcomes for taxane naïve mCRPC patients who have been treated with an ARPI compared to current standard of care. The results show that patients treated with 177Lu-PSMA-617 may experience improved survival through a significantly reduced risk of radiographic progression compared to standard of care. In addition, patients treated with 177Lu-PSMA-617 may experience better quality of life while on treatment due to delayed worsening and longer time to deterioration compared to current standard of care.</w:t>
      </w:r>
      <w:r>
        <w:rPr>
          <w:rFonts w:ascii="Segoe UI" w:eastAsia="Segoe UI" w:hAnsi="Segoe UI" w:cs="Segoe UI"/>
          <w:color w:val="000000"/>
        </w:rPr>
        <w:br/>
        <w:t xml:space="preserve">Prolonging time to progression and symptomatic skeletal event while maintaining quality of life are important considerations for mCRPC patients. 177Lu-PSMA-617 provides clinicians and patients with an alternative effective and safe treatment option to docetaxel or palliative care in the first line </w:t>
      </w:r>
      <w:proofErr w:type="spellStart"/>
      <w:r>
        <w:rPr>
          <w:rFonts w:ascii="Segoe UI" w:eastAsia="Segoe UI" w:hAnsi="Segoe UI" w:cs="Segoe UI"/>
          <w:color w:val="000000"/>
        </w:rPr>
        <w:t>mCPRC</w:t>
      </w:r>
      <w:proofErr w:type="spellEnd"/>
      <w:r>
        <w:rPr>
          <w:rFonts w:ascii="Segoe UI" w:eastAsia="Segoe UI" w:hAnsi="Segoe UI" w:cs="Segoe UI"/>
          <w:color w:val="000000"/>
        </w:rPr>
        <w:t xml:space="preserve"> setting following treatment with an ARPI.</w:t>
      </w:r>
    </w:p>
    <w:p w14:paraId="29A7CD54" w14:textId="77777777" w:rsidR="00B6543A" w:rsidRPr="00917DB4" w:rsidRDefault="00B6543A" w:rsidP="00B6543A">
      <w:pPr>
        <w:pStyle w:val="Heading1"/>
      </w:pPr>
      <w:r w:rsidRPr="00FB3833">
        <w:t>Specified restrictions for funding</w:t>
      </w:r>
    </w:p>
    <w:tbl>
      <w:tblPr>
        <w:tblStyle w:val="TableGrid"/>
        <w:tblW w:w="0" w:type="auto"/>
        <w:tblLook w:val="04A0" w:firstRow="1" w:lastRow="0" w:firstColumn="1" w:lastColumn="0" w:noHBand="0" w:noVBand="1"/>
      </w:tblPr>
      <w:tblGrid>
        <w:gridCol w:w="9015"/>
      </w:tblGrid>
      <w:tr w:rsidR="00B6543A" w14:paraId="1F82F700" w14:textId="77777777" w:rsidTr="008520D4">
        <w:tc>
          <w:tcPr>
            <w:tcW w:w="9628" w:type="dxa"/>
          </w:tcPr>
          <w:p w14:paraId="257CC6E4" w14:textId="77777777" w:rsidR="00B6543A" w:rsidRPr="00EE4B08" w:rsidRDefault="00B6543A" w:rsidP="008520D4">
            <w:pPr>
              <w:spacing w:after="160"/>
              <w:rPr>
                <w:rFonts w:ascii="Segoe UI" w:hAnsi="Segoe UI" w:cs="Segoe UI"/>
                <w:sz w:val="24"/>
                <w:szCs w:val="24"/>
              </w:rPr>
            </w:pPr>
            <w:r w:rsidRPr="00EE4B08">
              <w:rPr>
                <w:rFonts w:ascii="Segoe UI" w:hAnsi="Segoe UI" w:cs="Segoe UI"/>
                <w:b/>
                <w:bCs/>
                <w:sz w:val="24"/>
                <w:szCs w:val="24"/>
              </w:rPr>
              <w:t xml:space="preserve">Proposed item: </w:t>
            </w:r>
            <w:r>
              <w:rPr>
                <w:rFonts w:ascii="Segoe UI" w:hAnsi="Segoe UI" w:cs="Segoe UI"/>
                <w:sz w:val="24"/>
                <w:szCs w:val="24"/>
              </w:rPr>
              <w:t>AAAAA</w:t>
            </w:r>
          </w:p>
          <w:p w14:paraId="3EE6D539" w14:textId="77777777" w:rsidR="00B6543A" w:rsidRPr="00EE4B08" w:rsidRDefault="00B6543A" w:rsidP="008520D4">
            <w:pPr>
              <w:spacing w:after="160"/>
              <w:rPr>
                <w:rFonts w:ascii="Segoe UI" w:hAnsi="Segoe UI" w:cs="Segoe UI"/>
                <w:b/>
                <w:bCs/>
                <w:sz w:val="24"/>
                <w:szCs w:val="24"/>
              </w:rPr>
            </w:pPr>
            <w:r w:rsidRPr="00EE4B08">
              <w:rPr>
                <w:rFonts w:ascii="Segoe UI" w:hAnsi="Segoe UI" w:cs="Segoe UI"/>
                <w:b/>
                <w:bCs/>
                <w:sz w:val="24"/>
                <w:szCs w:val="24"/>
              </w:rPr>
              <w:t xml:space="preserve">Is the proposed item restricted? </w:t>
            </w:r>
          </w:p>
          <w:p w14:paraId="388EAE9E" w14:textId="77777777" w:rsidR="00B6543A" w:rsidRPr="00EE4B08" w:rsidRDefault="00B6543A" w:rsidP="008520D4">
            <w:pPr>
              <w:spacing w:after="160"/>
              <w:rPr>
                <w:rFonts w:ascii="Segoe UI" w:hAnsi="Segoe UI" w:cs="Segoe UI"/>
                <w:sz w:val="24"/>
                <w:szCs w:val="24"/>
              </w:rPr>
            </w:pPr>
            <w:r>
              <w:rPr>
                <w:rFonts w:ascii="Segoe UI" w:hAnsi="Segoe UI" w:cs="Segoe UI"/>
                <w:sz w:val="24"/>
                <w:szCs w:val="24"/>
              </w:rPr>
              <w:t>Yes - restricted</w:t>
            </w:r>
          </w:p>
          <w:p w14:paraId="54CDC51B" w14:textId="77777777" w:rsidR="00B6543A" w:rsidRPr="00EE4B08" w:rsidRDefault="00B6543A" w:rsidP="008520D4">
            <w:pPr>
              <w:spacing w:after="160"/>
              <w:rPr>
                <w:rFonts w:ascii="Segoe UI" w:hAnsi="Segoe UI" w:cs="Segoe UI"/>
                <w:b/>
                <w:bCs/>
                <w:sz w:val="24"/>
                <w:szCs w:val="24"/>
              </w:rPr>
            </w:pPr>
            <w:r w:rsidRPr="00EE4B08">
              <w:rPr>
                <w:rFonts w:ascii="Segoe UI" w:hAnsi="Segoe UI" w:cs="Segoe UI"/>
                <w:b/>
                <w:bCs/>
                <w:sz w:val="24"/>
                <w:szCs w:val="24"/>
              </w:rPr>
              <w:t xml:space="preserve">Provide a short description of the restriction: </w:t>
            </w:r>
          </w:p>
          <w:p w14:paraId="750F7140" w14:textId="77777777" w:rsidR="00B6543A" w:rsidRPr="00EE4B08" w:rsidRDefault="00B6543A" w:rsidP="008520D4">
            <w:pPr>
              <w:spacing w:after="160"/>
              <w:rPr>
                <w:rFonts w:ascii="Segoe UI" w:eastAsia="Segoe UI" w:hAnsi="Segoe UI" w:cs="Segoe UI"/>
                <w:color w:val="000000"/>
                <w:sz w:val="24"/>
                <w:szCs w:val="24"/>
              </w:rPr>
            </w:pPr>
            <w:r>
              <w:rPr>
                <w:rFonts w:ascii="Segoe UI" w:eastAsia="Segoe UI" w:hAnsi="Segoe UI" w:cs="Segoe UI"/>
                <w:color w:val="000000"/>
                <w:sz w:val="24"/>
                <w:szCs w:val="24"/>
              </w:rPr>
              <w:t>Proposed funding for 177Lu-PSMA-617 (</w:t>
            </w:r>
            <w:proofErr w:type="spellStart"/>
            <w:r>
              <w:rPr>
                <w:rFonts w:ascii="Segoe UI" w:eastAsia="Segoe UI" w:hAnsi="Segoe UI" w:cs="Segoe UI"/>
                <w:color w:val="000000"/>
                <w:sz w:val="24"/>
                <w:szCs w:val="24"/>
              </w:rPr>
              <w:t>Pluvicto</w:t>
            </w:r>
            <w:proofErr w:type="spellEnd"/>
            <w:r>
              <w:rPr>
                <w:rFonts w:ascii="Segoe UI" w:eastAsia="Segoe UI" w:hAnsi="Segoe UI" w:cs="Segoe UI"/>
                <w:color w:val="000000"/>
                <w:sz w:val="24"/>
                <w:szCs w:val="24"/>
              </w:rPr>
              <w:t>®)</w:t>
            </w:r>
          </w:p>
          <w:p w14:paraId="6C789949" w14:textId="77777777" w:rsidR="00B6543A" w:rsidRPr="00EE4B08" w:rsidRDefault="00B6543A" w:rsidP="008520D4">
            <w:pPr>
              <w:spacing w:after="160"/>
              <w:rPr>
                <w:rFonts w:ascii="Segoe UI" w:hAnsi="Segoe UI" w:cs="Segoe UI"/>
                <w:b/>
                <w:bCs/>
                <w:sz w:val="24"/>
                <w:szCs w:val="24"/>
              </w:rPr>
            </w:pPr>
            <w:r w:rsidRPr="00EE4B08">
              <w:rPr>
                <w:rFonts w:ascii="Segoe UI" w:hAnsi="Segoe UI" w:cs="Segoe UI"/>
                <w:b/>
                <w:bCs/>
                <w:sz w:val="24"/>
                <w:szCs w:val="24"/>
              </w:rPr>
              <w:t xml:space="preserve">Please draft a proposed restriction to define the population and health technology usage characteristics that would define eligibility for funding: </w:t>
            </w:r>
          </w:p>
          <w:p w14:paraId="699D7B3B" w14:textId="77777777" w:rsidR="00B6543A" w:rsidRPr="00EE4B08" w:rsidRDefault="00B6543A" w:rsidP="008520D4">
            <w:pPr>
              <w:spacing w:after="160"/>
              <w:rPr>
                <w:rFonts w:ascii="Segoe UI" w:eastAsia="Segoe UI" w:hAnsi="Segoe UI" w:cs="Segoe UI"/>
                <w:color w:val="000000"/>
                <w:sz w:val="24"/>
                <w:szCs w:val="24"/>
              </w:rPr>
            </w:pPr>
            <w:r>
              <w:rPr>
                <w:rFonts w:ascii="Segoe UI" w:eastAsia="Segoe UI" w:hAnsi="Segoe UI" w:cs="Segoe UI"/>
                <w:color w:val="000000"/>
                <w:sz w:val="24"/>
                <w:szCs w:val="24"/>
              </w:rPr>
              <w:t>Patient must have confirmed metastatic castration-resistant prostate cancer.</w:t>
            </w:r>
            <w:r>
              <w:rPr>
                <w:rFonts w:ascii="Segoe UI" w:eastAsia="Segoe UI" w:hAnsi="Segoe UI" w:cs="Segoe UI"/>
                <w:color w:val="000000"/>
                <w:sz w:val="24"/>
                <w:szCs w:val="24"/>
              </w:rPr>
              <w:br/>
              <w:t xml:space="preserve">Patient must be confirmed prostate-specific membrane antigen (PSMA)-positive based on PSMA PET scan (defined as </w:t>
            </w:r>
            <w:proofErr w:type="spellStart"/>
            <w:r>
              <w:rPr>
                <w:rFonts w:ascii="Segoe UI" w:eastAsia="Segoe UI" w:hAnsi="Segoe UI" w:cs="Segoe UI"/>
                <w:color w:val="000000"/>
                <w:sz w:val="24"/>
                <w:szCs w:val="24"/>
              </w:rPr>
              <w:t>SUVmax</w:t>
            </w:r>
            <w:proofErr w:type="spellEnd"/>
            <w:r>
              <w:rPr>
                <w:rFonts w:ascii="Segoe UI" w:eastAsia="Segoe UI" w:hAnsi="Segoe UI" w:cs="Segoe UI"/>
                <w:color w:val="000000"/>
                <w:sz w:val="24"/>
                <w:szCs w:val="24"/>
              </w:rPr>
              <w:t xml:space="preserve"> &gt;15 at a single site of disease and </w:t>
            </w:r>
            <w:proofErr w:type="spellStart"/>
            <w:r>
              <w:rPr>
                <w:rFonts w:ascii="Segoe UI" w:eastAsia="Segoe UI" w:hAnsi="Segoe UI" w:cs="Segoe UI"/>
                <w:color w:val="000000"/>
                <w:sz w:val="24"/>
                <w:szCs w:val="24"/>
              </w:rPr>
              <w:t>SUVmax</w:t>
            </w:r>
            <w:proofErr w:type="spellEnd"/>
            <w:r>
              <w:rPr>
                <w:rFonts w:ascii="Segoe UI" w:eastAsia="Segoe UI" w:hAnsi="Segoe UI" w:cs="Segoe UI"/>
                <w:color w:val="000000"/>
                <w:sz w:val="24"/>
                <w:szCs w:val="24"/>
              </w:rPr>
              <w:t xml:space="preserve"> &gt;10 at all sites of measurable disease).</w:t>
            </w:r>
            <w:r>
              <w:rPr>
                <w:rFonts w:ascii="Segoe UI" w:eastAsia="Segoe UI" w:hAnsi="Segoe UI" w:cs="Segoe UI"/>
                <w:color w:val="000000"/>
                <w:sz w:val="24"/>
                <w:szCs w:val="24"/>
              </w:rPr>
              <w:br/>
              <w:t>Patient must have progressive disease following a) treatment with at least one ARPI, and b) have not been exposed to taxane-based chemotherapy in the hormone-sensitive or castration-resistant setting.</w:t>
            </w:r>
            <w:r>
              <w:rPr>
                <w:rFonts w:ascii="Segoe UI" w:eastAsia="Segoe UI" w:hAnsi="Segoe UI" w:cs="Segoe UI"/>
                <w:color w:val="000000"/>
                <w:sz w:val="24"/>
                <w:szCs w:val="24"/>
              </w:rPr>
              <w:br/>
              <w:t>Patient must not have received treatment with 177Lu-PSMA-617 for prostate cancer.</w:t>
            </w:r>
            <w:r>
              <w:rPr>
                <w:rFonts w:ascii="Segoe UI" w:eastAsia="Segoe UI" w:hAnsi="Segoe UI" w:cs="Segoe UI"/>
                <w:color w:val="000000"/>
                <w:sz w:val="24"/>
                <w:szCs w:val="24"/>
              </w:rPr>
              <w:br/>
              <w:t xml:space="preserve">Treatment is applicable once per cycle and must not be subsidised beyond whichever comes first: </w:t>
            </w:r>
            <w:proofErr w:type="spellStart"/>
            <w:r>
              <w:rPr>
                <w:rFonts w:ascii="Segoe UI" w:eastAsia="Segoe UI" w:hAnsi="Segoe UI" w:cs="Segoe UI"/>
                <w:color w:val="000000"/>
                <w:sz w:val="24"/>
                <w:szCs w:val="24"/>
              </w:rPr>
              <w:t>i</w:t>
            </w:r>
            <w:proofErr w:type="spellEnd"/>
            <w:r>
              <w:rPr>
                <w:rFonts w:ascii="Segoe UI" w:eastAsia="Segoe UI" w:hAnsi="Segoe UI" w:cs="Segoe UI"/>
                <w:color w:val="000000"/>
                <w:sz w:val="24"/>
                <w:szCs w:val="24"/>
              </w:rPr>
              <w:t>) up to a maximum of 6 cycles, ii) disease recurrence/progression.</w:t>
            </w:r>
          </w:p>
          <w:p w14:paraId="598D6E0F" w14:textId="77777777" w:rsidR="00B6543A" w:rsidRPr="00EE4B08" w:rsidRDefault="00B6543A" w:rsidP="008520D4">
            <w:pPr>
              <w:spacing w:after="160"/>
              <w:rPr>
                <w:rFonts w:ascii="Segoe UI" w:hAnsi="Segoe UI" w:cs="Segoe UI"/>
                <w:b/>
                <w:bCs/>
                <w:sz w:val="24"/>
                <w:szCs w:val="24"/>
              </w:rPr>
            </w:pPr>
            <w:r w:rsidRPr="00EE4B08">
              <w:rPr>
                <w:rFonts w:ascii="Segoe UI" w:hAnsi="Segoe UI" w:cs="Segoe UI"/>
                <w:b/>
                <w:bCs/>
                <w:sz w:val="24"/>
                <w:szCs w:val="24"/>
              </w:rPr>
              <w:t xml:space="preserve">Proposed price of supply: </w:t>
            </w:r>
          </w:p>
          <w:p w14:paraId="21C4174F" w14:textId="562FA4CA" w:rsidR="00B6543A" w:rsidRPr="00EE4B08" w:rsidRDefault="00B6543A" w:rsidP="008520D4">
            <w:pPr>
              <w:spacing w:after="160"/>
              <w:rPr>
                <w:rFonts w:ascii="Segoe UI" w:eastAsia="Segoe UI" w:hAnsi="Segoe UI" w:cs="Segoe UI"/>
                <w:color w:val="000000"/>
                <w:sz w:val="24"/>
                <w:szCs w:val="24"/>
              </w:rPr>
            </w:pPr>
            <w:r>
              <w:rPr>
                <w:rFonts w:ascii="Segoe UI" w:eastAsia="Segoe UI" w:hAnsi="Segoe UI" w:cs="Segoe UI"/>
                <w:color w:val="000000"/>
                <w:sz w:val="24"/>
                <w:szCs w:val="24"/>
              </w:rPr>
              <w:t>TBC</w:t>
            </w:r>
          </w:p>
          <w:p w14:paraId="7ABEEDB7" w14:textId="77777777" w:rsidR="00B6543A" w:rsidRPr="00EE4B08" w:rsidRDefault="00B6543A" w:rsidP="008520D4">
            <w:pPr>
              <w:spacing w:after="160"/>
              <w:rPr>
                <w:rFonts w:ascii="Segoe UI" w:hAnsi="Segoe UI" w:cs="Segoe UI"/>
                <w:b/>
                <w:bCs/>
                <w:sz w:val="24"/>
                <w:szCs w:val="24"/>
              </w:rPr>
            </w:pPr>
            <w:r w:rsidRPr="00EE4B08">
              <w:rPr>
                <w:rFonts w:ascii="Segoe UI" w:hAnsi="Segoe UI" w:cs="Segoe UI"/>
                <w:b/>
                <w:bCs/>
                <w:sz w:val="24"/>
                <w:szCs w:val="24"/>
              </w:rPr>
              <w:t xml:space="preserve">Indicate the overall cost per patient of providing the proposed health technology: </w:t>
            </w:r>
          </w:p>
          <w:p w14:paraId="0C226B81" w14:textId="01CEFDB5" w:rsidR="00B6543A" w:rsidRDefault="00B6543A" w:rsidP="00B6543A">
            <w:pPr>
              <w:spacing w:after="160"/>
              <w:rPr>
                <w:rFonts w:ascii="Segoe UI" w:hAnsi="Segoe UI" w:cs="Segoe UI"/>
              </w:rPr>
            </w:pPr>
            <w:r>
              <w:rPr>
                <w:rFonts w:ascii="Segoe UI" w:eastAsia="Segoe UI" w:hAnsi="Segoe UI" w:cs="Segoe UI"/>
                <w:color w:val="000000"/>
                <w:sz w:val="24"/>
                <w:szCs w:val="24"/>
              </w:rPr>
              <w:t>TBC</w:t>
            </w:r>
          </w:p>
        </w:tc>
      </w:tr>
    </w:tbl>
    <w:p w14:paraId="7E4A8B3F" w14:textId="77777777" w:rsidR="00B6543A" w:rsidRPr="00FB3833" w:rsidRDefault="00B6543A" w:rsidP="00B6543A">
      <w:pPr>
        <w:rPr>
          <w:rFonts w:ascii="Segoe UI" w:hAnsi="Segoe UI" w:cs="Segoe UI"/>
        </w:rPr>
      </w:pPr>
    </w:p>
    <w:p w14:paraId="0CCCDE56" w14:textId="77777777" w:rsidR="00B6543A" w:rsidRPr="00FB3833" w:rsidRDefault="00B6543A" w:rsidP="00B6543A">
      <w:pPr>
        <w:rPr>
          <w:rFonts w:ascii="Segoe UI" w:hAnsi="Segoe UI" w:cs="Segoe UI"/>
          <w:b/>
          <w:bCs/>
        </w:rPr>
      </w:pPr>
      <w:r w:rsidRPr="00FB3833">
        <w:rPr>
          <w:rFonts w:ascii="Segoe UI" w:hAnsi="Segoe UI" w:cs="Segoe UI"/>
          <w:b/>
          <w:bCs/>
        </w:rPr>
        <w:t>How is the technology / service funded at present? (For example: research funding; State-based funding; self-funded by patients; no funding or payments):</w:t>
      </w:r>
    </w:p>
    <w:p w14:paraId="2A7A32D4" w14:textId="72E37C9B" w:rsidR="00B6543A" w:rsidRPr="0010048D" w:rsidRDefault="00B6543A" w:rsidP="00B6543A">
      <w:pPr>
        <w:rPr>
          <w:rFonts w:ascii="Segoe UI" w:eastAsia="Segoe UI" w:hAnsi="Segoe UI" w:cs="Segoe UI"/>
          <w:color w:val="000000"/>
        </w:rPr>
      </w:pPr>
      <w:r>
        <w:rPr>
          <w:rFonts w:ascii="Segoe UI" w:eastAsia="Segoe UI" w:hAnsi="Segoe UI" w:cs="Segoe UI"/>
          <w:color w:val="000000"/>
        </w:rPr>
        <w:t>177Lu-PSMA-617 is not currently funded for patients with mCRPC who are taxane naïve. 177Lu-PSMA-617 is currently subsidised on the MBS for patients with mCRPC who have progressive disease following treatment with at least one AR</w:t>
      </w:r>
      <w:r w:rsidR="00CA6E33">
        <w:rPr>
          <w:rFonts w:ascii="Segoe UI" w:eastAsia="Segoe UI" w:hAnsi="Segoe UI" w:cs="Segoe UI"/>
          <w:color w:val="000000"/>
        </w:rPr>
        <w:t>R</w:t>
      </w:r>
      <w:r>
        <w:rPr>
          <w:rFonts w:ascii="Segoe UI" w:eastAsia="Segoe UI" w:hAnsi="Segoe UI" w:cs="Segoe UI"/>
          <w:color w:val="000000"/>
        </w:rPr>
        <w:t>I and at least once taxane-based therapy.</w:t>
      </w:r>
    </w:p>
    <w:p w14:paraId="65D91860" w14:textId="6F0D4F7F" w:rsidR="00917DB4" w:rsidRPr="0010048D" w:rsidRDefault="00917DB4" w:rsidP="00917DB4">
      <w:pPr>
        <w:pStyle w:val="Heading1"/>
      </w:pPr>
      <w:r w:rsidRPr="0010048D">
        <w:t>Claims</w:t>
      </w:r>
    </w:p>
    <w:p w14:paraId="54890DE4" w14:textId="77777777" w:rsidR="00917DB4" w:rsidRPr="0010048D" w:rsidRDefault="00917DB4" w:rsidP="00917DB4">
      <w:pPr>
        <w:rPr>
          <w:rFonts w:ascii="Segoe UI" w:eastAsia="Segoe UI" w:hAnsi="Segoe UI" w:cs="Segoe UI"/>
          <w:b/>
          <w:color w:val="000000"/>
        </w:rPr>
      </w:pPr>
      <w:r w:rsidRPr="0010048D">
        <w:rPr>
          <w:rFonts w:ascii="Segoe UI" w:eastAsia="Segoe UI" w:hAnsi="Segoe UI" w:cs="Segoe UI"/>
          <w:b/>
          <w:color w:val="000000"/>
        </w:rPr>
        <w:t>In terms of health outcomes (comparative benefits and harms), is the proposed technology claimed to be superior, non-inferior or inferior to the comparator(s)?</w:t>
      </w:r>
    </w:p>
    <w:p w14:paraId="28E6B6B3" w14:textId="77777777" w:rsidR="00917DB4" w:rsidRPr="0010048D" w:rsidRDefault="00917DB4" w:rsidP="00917DB4">
      <w:pPr>
        <w:rPr>
          <w:rFonts w:ascii="Segoe UI" w:eastAsia="Segoe UI" w:hAnsi="Segoe UI" w:cs="Segoe UI"/>
          <w:color w:val="000000"/>
        </w:rPr>
      </w:pPr>
      <w:r>
        <w:rPr>
          <w:rFonts w:ascii="Segoe UI" w:eastAsia="Segoe UI" w:hAnsi="Segoe UI" w:cs="Segoe UI"/>
          <w:color w:val="000000"/>
        </w:rPr>
        <w:t>Superior</w:t>
      </w:r>
    </w:p>
    <w:p w14:paraId="35FBC6D2" w14:textId="77777777" w:rsidR="00917DB4" w:rsidRPr="0010048D" w:rsidRDefault="00917DB4" w:rsidP="00917DB4">
      <w:pPr>
        <w:rPr>
          <w:rFonts w:ascii="Segoe UI" w:eastAsia="Segoe UI" w:hAnsi="Segoe UI" w:cs="Segoe UI"/>
          <w:b/>
          <w:color w:val="000000"/>
        </w:rPr>
      </w:pPr>
      <w:r w:rsidRPr="0010048D">
        <w:rPr>
          <w:rFonts w:ascii="Segoe UI" w:eastAsia="Segoe UI" w:hAnsi="Segoe UI" w:cs="Segoe UI"/>
          <w:b/>
          <w:color w:val="000000"/>
        </w:rPr>
        <w:t>Please state what the overall claim is, and provide a rationale:</w:t>
      </w:r>
    </w:p>
    <w:p w14:paraId="17073F4F" w14:textId="77777777" w:rsidR="00917DB4" w:rsidRPr="0010048D" w:rsidRDefault="00917DB4" w:rsidP="00917DB4">
      <w:pPr>
        <w:rPr>
          <w:rFonts w:ascii="Segoe UI" w:eastAsia="Segoe UI" w:hAnsi="Segoe UI" w:cs="Segoe UI"/>
          <w:color w:val="000000"/>
        </w:rPr>
      </w:pPr>
      <w:r>
        <w:rPr>
          <w:rFonts w:ascii="Segoe UI" w:eastAsia="Segoe UI" w:hAnsi="Segoe UI" w:cs="Segoe UI"/>
          <w:color w:val="000000"/>
        </w:rPr>
        <w:t xml:space="preserve">The therapeutic conclusion is that 177Lu-PSMA-617 is superior to current standard of care in terms of clinical efficacy, and non-inferior in terms of safety. Currently, patients with mCRPC who have progressed following treatment with an ARPI and are taxane-naïve have limited treatment options, highlighting an unmet need for this population. The pivotal trial, </w:t>
      </w:r>
      <w:proofErr w:type="spellStart"/>
      <w:r>
        <w:rPr>
          <w:rFonts w:ascii="Segoe UI" w:eastAsia="Segoe UI" w:hAnsi="Segoe UI" w:cs="Segoe UI"/>
          <w:color w:val="000000"/>
        </w:rPr>
        <w:t>PSMAfore</w:t>
      </w:r>
      <w:proofErr w:type="spellEnd"/>
      <w:r>
        <w:rPr>
          <w:rFonts w:ascii="Segoe UI" w:eastAsia="Segoe UI" w:hAnsi="Segoe UI" w:cs="Segoe UI"/>
          <w:color w:val="000000"/>
        </w:rPr>
        <w:t xml:space="preserve">, assessed the efficacy of 177Lu-PSMA-617 compared to ARPI. In Australia, PBS criteria restrict treatment with an ARPI to once per lifetime, leaving docetaxel or palliative care as the only available treatment options for patients (i.e., current standard of care). There are no head-to-head studies comparing 177Lu-PSMA-617 to docetaxel or palliative care. Data indicates that most patients (71%) do not receive any subsequent treatment following an ARPI. Given this, the clinical data from the </w:t>
      </w:r>
      <w:proofErr w:type="spellStart"/>
      <w:r>
        <w:rPr>
          <w:rFonts w:ascii="Segoe UI" w:eastAsia="Segoe UI" w:hAnsi="Segoe UI" w:cs="Segoe UI"/>
          <w:color w:val="000000"/>
        </w:rPr>
        <w:t>PSMAfore</w:t>
      </w:r>
      <w:proofErr w:type="spellEnd"/>
      <w:r>
        <w:rPr>
          <w:rFonts w:ascii="Segoe UI" w:eastAsia="Segoe UI" w:hAnsi="Segoe UI" w:cs="Segoe UI"/>
          <w:color w:val="000000"/>
        </w:rPr>
        <w:t xml:space="preserve"> ARPI arm is used as a proxy for current standard of care.</w:t>
      </w:r>
      <w:r>
        <w:rPr>
          <w:rFonts w:ascii="Segoe UI" w:eastAsia="Segoe UI" w:hAnsi="Segoe UI" w:cs="Segoe UI"/>
          <w:color w:val="000000"/>
        </w:rPr>
        <w:br/>
        <w:t xml:space="preserve">The clinical claim is based on </w:t>
      </w:r>
      <w:proofErr w:type="spellStart"/>
      <w:r>
        <w:rPr>
          <w:rFonts w:ascii="Segoe UI" w:eastAsia="Segoe UI" w:hAnsi="Segoe UI" w:cs="Segoe UI"/>
          <w:color w:val="000000"/>
        </w:rPr>
        <w:t>rPFS</w:t>
      </w:r>
      <w:proofErr w:type="spellEnd"/>
      <w:r>
        <w:rPr>
          <w:rFonts w:ascii="Segoe UI" w:eastAsia="Segoe UI" w:hAnsi="Segoe UI" w:cs="Segoe UI"/>
          <w:color w:val="000000"/>
        </w:rPr>
        <w:t xml:space="preserve">, the primary outcome of </w:t>
      </w:r>
      <w:proofErr w:type="spellStart"/>
      <w:r>
        <w:rPr>
          <w:rFonts w:ascii="Segoe UI" w:eastAsia="Segoe UI" w:hAnsi="Segoe UI" w:cs="Segoe UI"/>
          <w:color w:val="000000"/>
        </w:rPr>
        <w:t>PSMAfore</w:t>
      </w:r>
      <w:proofErr w:type="spellEnd"/>
      <w:r>
        <w:rPr>
          <w:rFonts w:ascii="Segoe UI" w:eastAsia="Segoe UI" w:hAnsi="Segoe UI" w:cs="Segoe UI"/>
          <w:color w:val="000000"/>
        </w:rPr>
        <w:t>, supported by secondary outcomes and adverse events. The clinical data demonstrates that 177Lu-PSMA-617 improves outcomes for taxane naïve mCRPC patients who have been treated with an ARPI compared to current standard of care:</w:t>
      </w:r>
      <w:r>
        <w:rPr>
          <w:rFonts w:ascii="Segoe UI" w:eastAsia="Segoe UI" w:hAnsi="Segoe UI" w:cs="Segoe UI"/>
          <w:color w:val="000000"/>
        </w:rPr>
        <w:br/>
        <w:t>- Statistically significant 59% reduced risk of radiographic progression or death.</w:t>
      </w:r>
      <w:r>
        <w:rPr>
          <w:rFonts w:ascii="Segoe UI" w:eastAsia="Segoe UI" w:hAnsi="Segoe UI" w:cs="Segoe UI"/>
          <w:color w:val="000000"/>
        </w:rPr>
        <w:br/>
        <w:t>- 59% risk reduction of symptomatic skeletal events or death.</w:t>
      </w:r>
      <w:r>
        <w:rPr>
          <w:rFonts w:ascii="Segoe UI" w:eastAsia="Segoe UI" w:hAnsi="Segoe UI" w:cs="Segoe UI"/>
          <w:color w:val="000000"/>
        </w:rPr>
        <w:br/>
        <w:t>- While on-treatment, patients treated with 177Lu-PSMA-617 appeared to be more stable with less pain compared to ARPI. Time to worsening of pain was delayed in the 177Lu-PSMA-617 arm.</w:t>
      </w:r>
      <w:r>
        <w:rPr>
          <w:rFonts w:ascii="Segoe UI" w:eastAsia="Segoe UI" w:hAnsi="Segoe UI" w:cs="Segoe UI"/>
          <w:color w:val="000000"/>
        </w:rPr>
        <w:br/>
        <w:t>- While on-treatment, patients treated with 177Lu-PSMA-617 experienced a higher quality of life and delayed time to deterioration.</w:t>
      </w:r>
      <w:r>
        <w:rPr>
          <w:rFonts w:ascii="Segoe UI" w:eastAsia="Segoe UI" w:hAnsi="Segoe UI" w:cs="Segoe UI"/>
          <w:color w:val="000000"/>
        </w:rPr>
        <w:br/>
        <w:t>The results show that patients treated with 177Lu-PSMA-617 may experience improved survival through significantly reduced risk of radiographic progression and a reduced risk of experiencing SSEs compared to standard of care, and better quality of life while on treatment.</w:t>
      </w:r>
    </w:p>
    <w:p w14:paraId="0C146516" w14:textId="77777777" w:rsidR="00917DB4" w:rsidRPr="0010048D" w:rsidRDefault="00917DB4" w:rsidP="00917DB4">
      <w:pPr>
        <w:pStyle w:val="Heading1"/>
      </w:pPr>
      <w:r w:rsidRPr="0010048D">
        <w:t>Estimated utilisation</w:t>
      </w:r>
    </w:p>
    <w:p w14:paraId="0576B6FE" w14:textId="77777777" w:rsidR="00917DB4" w:rsidRPr="0010048D" w:rsidRDefault="00917DB4" w:rsidP="00917DB4">
      <w:pPr>
        <w:rPr>
          <w:rFonts w:ascii="Segoe UI" w:eastAsia="Segoe UI" w:hAnsi="Segoe UI" w:cs="Segoe UI"/>
          <w:b/>
          <w:color w:val="000000"/>
        </w:rPr>
      </w:pPr>
      <w:r w:rsidRPr="0010048D">
        <w:rPr>
          <w:rFonts w:ascii="Segoe UI" w:eastAsia="Segoe UI" w:hAnsi="Segoe UI" w:cs="Segoe UI"/>
          <w:b/>
          <w:color w:val="000000"/>
        </w:rPr>
        <w:t>Estimate the prevalence and/or incidence of the proposed population:</w:t>
      </w:r>
    </w:p>
    <w:p w14:paraId="3656D204" w14:textId="77777777" w:rsidR="00917DB4" w:rsidRPr="0010048D" w:rsidRDefault="00917DB4" w:rsidP="00917DB4">
      <w:pPr>
        <w:rPr>
          <w:rFonts w:ascii="Segoe UI" w:eastAsia="Segoe UI" w:hAnsi="Segoe UI" w:cs="Segoe UI"/>
          <w:color w:val="000000"/>
        </w:rPr>
      </w:pPr>
      <w:r>
        <w:rPr>
          <w:rFonts w:ascii="Segoe UI" w:eastAsia="Segoe UI" w:hAnsi="Segoe UI" w:cs="Segoe UI"/>
          <w:color w:val="000000"/>
        </w:rPr>
        <w:t>There is limited data on the incidence and prevalence of mCRPC in Australia. Most patients will be diagnosed in the earlier stages of disease but data on the progression of disease is limited. Data indicates that 20% of patients will progress to castration-resistant disease and studies suggest that most of these patients will have metastases (i.e., mCRPC). Among those with non-metastatic castration-resistant disease, approximately 60% develop mCRPC. Given this, estimates are likely underestimated. Based on current available data, approximately 4,000 men have mCRPC.</w:t>
      </w:r>
    </w:p>
    <w:p w14:paraId="3BC3AF95" w14:textId="77777777" w:rsidR="00917DB4" w:rsidRPr="0010048D" w:rsidRDefault="00917DB4" w:rsidP="00917DB4">
      <w:pPr>
        <w:rPr>
          <w:rFonts w:ascii="Segoe UI" w:eastAsia="Segoe UI" w:hAnsi="Segoe UI" w:cs="Segoe UI"/>
          <w:b/>
          <w:color w:val="000000"/>
        </w:rPr>
      </w:pPr>
      <w:r w:rsidRPr="0010048D">
        <w:rPr>
          <w:rFonts w:ascii="Segoe UI" w:eastAsia="Segoe UI" w:hAnsi="Segoe UI" w:cs="Segoe UI"/>
          <w:b/>
          <w:color w:val="000000"/>
        </w:rPr>
        <w:t>Provide the percentage uptake of the proposed health technology by the proposed population:</w:t>
      </w:r>
    </w:p>
    <w:p w14:paraId="5D33AF95" w14:textId="77777777" w:rsidR="00917DB4" w:rsidRPr="0010048D" w:rsidRDefault="00917DB4" w:rsidP="00917DB4">
      <w:pPr>
        <w:rPr>
          <w:rFonts w:ascii="Segoe UI" w:eastAsia="Segoe UI" w:hAnsi="Segoe UI" w:cs="Segoe UI"/>
          <w:b/>
          <w:color w:val="000000"/>
        </w:rPr>
      </w:pPr>
      <w:r w:rsidRPr="0010048D">
        <w:rPr>
          <w:rFonts w:ascii="Segoe UI" w:eastAsia="Segoe UI" w:hAnsi="Segoe UI" w:cs="Segoe UI"/>
          <w:b/>
          <w:color w:val="000000"/>
        </w:rPr>
        <w:t xml:space="preserve">Year 1 estimated uptake (%): </w:t>
      </w:r>
    </w:p>
    <w:p w14:paraId="22E3D9C5" w14:textId="77777777" w:rsidR="00917DB4" w:rsidRPr="0010048D" w:rsidRDefault="00917DB4" w:rsidP="00917DB4">
      <w:pPr>
        <w:rPr>
          <w:rFonts w:ascii="Segoe UI" w:eastAsia="Segoe UI" w:hAnsi="Segoe UI" w:cs="Segoe UI"/>
          <w:color w:val="000000"/>
        </w:rPr>
      </w:pPr>
      <w:r>
        <w:rPr>
          <w:rFonts w:ascii="Segoe UI" w:eastAsia="Segoe UI" w:hAnsi="Segoe UI" w:cs="Segoe UI"/>
          <w:color w:val="000000"/>
        </w:rPr>
        <w:t>30%</w:t>
      </w:r>
    </w:p>
    <w:p w14:paraId="1A2630F6" w14:textId="77777777" w:rsidR="00917DB4" w:rsidRPr="0010048D" w:rsidRDefault="00917DB4" w:rsidP="00917DB4">
      <w:pPr>
        <w:rPr>
          <w:rFonts w:ascii="Segoe UI" w:eastAsia="Segoe UI" w:hAnsi="Segoe UI" w:cs="Segoe UI"/>
          <w:b/>
          <w:color w:val="000000"/>
        </w:rPr>
      </w:pPr>
      <w:r w:rsidRPr="0010048D">
        <w:rPr>
          <w:rFonts w:ascii="Segoe UI" w:eastAsia="Segoe UI" w:hAnsi="Segoe UI" w:cs="Segoe UI"/>
          <w:b/>
          <w:color w:val="000000"/>
        </w:rPr>
        <w:t xml:space="preserve">Year 2 estimated uptake (%): </w:t>
      </w:r>
    </w:p>
    <w:p w14:paraId="46311167" w14:textId="77777777" w:rsidR="00917DB4" w:rsidRPr="0010048D" w:rsidRDefault="00917DB4" w:rsidP="00917DB4">
      <w:pPr>
        <w:rPr>
          <w:rFonts w:ascii="Segoe UI" w:eastAsia="Segoe UI" w:hAnsi="Segoe UI" w:cs="Segoe UI"/>
          <w:color w:val="000000"/>
        </w:rPr>
      </w:pPr>
      <w:r>
        <w:rPr>
          <w:rFonts w:ascii="Segoe UI" w:eastAsia="Segoe UI" w:hAnsi="Segoe UI" w:cs="Segoe UI"/>
          <w:color w:val="000000"/>
        </w:rPr>
        <w:t>10%</w:t>
      </w:r>
    </w:p>
    <w:p w14:paraId="6375738F" w14:textId="77777777" w:rsidR="00917DB4" w:rsidRPr="0010048D" w:rsidRDefault="00917DB4" w:rsidP="00917DB4">
      <w:pPr>
        <w:rPr>
          <w:rFonts w:ascii="Segoe UI" w:eastAsia="Segoe UI" w:hAnsi="Segoe UI" w:cs="Segoe UI"/>
          <w:b/>
          <w:color w:val="000000"/>
        </w:rPr>
      </w:pPr>
      <w:r w:rsidRPr="0010048D">
        <w:rPr>
          <w:rFonts w:ascii="Segoe UI" w:eastAsia="Segoe UI" w:hAnsi="Segoe UI" w:cs="Segoe UI"/>
          <w:b/>
          <w:color w:val="000000"/>
        </w:rPr>
        <w:t xml:space="preserve">Year 3 estimated uptake (%): </w:t>
      </w:r>
    </w:p>
    <w:p w14:paraId="2BDF184E" w14:textId="77777777" w:rsidR="00917DB4" w:rsidRPr="0010048D" w:rsidRDefault="00917DB4" w:rsidP="00917DB4">
      <w:pPr>
        <w:rPr>
          <w:rFonts w:ascii="Segoe UI" w:eastAsia="Segoe UI" w:hAnsi="Segoe UI" w:cs="Segoe UI"/>
          <w:color w:val="000000"/>
        </w:rPr>
      </w:pPr>
      <w:r>
        <w:rPr>
          <w:rFonts w:ascii="Segoe UI" w:eastAsia="Segoe UI" w:hAnsi="Segoe UI" w:cs="Segoe UI"/>
          <w:color w:val="000000"/>
        </w:rPr>
        <w:t>10%</w:t>
      </w:r>
    </w:p>
    <w:p w14:paraId="28B43CA2" w14:textId="77777777" w:rsidR="00917DB4" w:rsidRPr="0010048D" w:rsidRDefault="00917DB4" w:rsidP="00917DB4">
      <w:pPr>
        <w:rPr>
          <w:rFonts w:ascii="Segoe UI" w:eastAsia="Segoe UI" w:hAnsi="Segoe UI" w:cs="Segoe UI"/>
          <w:b/>
          <w:color w:val="000000"/>
        </w:rPr>
      </w:pPr>
      <w:r w:rsidRPr="0010048D">
        <w:rPr>
          <w:rFonts w:ascii="Segoe UI" w:eastAsia="Segoe UI" w:hAnsi="Segoe UI" w:cs="Segoe UI"/>
          <w:b/>
          <w:color w:val="000000"/>
        </w:rPr>
        <w:t xml:space="preserve">Year 4 estimated uptake (%): </w:t>
      </w:r>
    </w:p>
    <w:p w14:paraId="2586D397" w14:textId="77777777" w:rsidR="00917DB4" w:rsidRPr="0010048D" w:rsidRDefault="00917DB4" w:rsidP="00917DB4">
      <w:pPr>
        <w:rPr>
          <w:rFonts w:ascii="Segoe UI" w:eastAsia="Segoe UI" w:hAnsi="Segoe UI" w:cs="Segoe UI"/>
          <w:color w:val="000000"/>
        </w:rPr>
      </w:pPr>
      <w:r>
        <w:rPr>
          <w:rFonts w:ascii="Segoe UI" w:eastAsia="Segoe UI" w:hAnsi="Segoe UI" w:cs="Segoe UI"/>
          <w:color w:val="000000"/>
        </w:rPr>
        <w:t>10%</w:t>
      </w:r>
    </w:p>
    <w:p w14:paraId="40701F4C" w14:textId="77777777" w:rsidR="00917DB4" w:rsidRPr="0010048D" w:rsidRDefault="00917DB4" w:rsidP="00917DB4">
      <w:pPr>
        <w:rPr>
          <w:rFonts w:ascii="Segoe UI" w:eastAsia="Segoe UI" w:hAnsi="Segoe UI" w:cs="Segoe UI"/>
          <w:b/>
          <w:color w:val="000000"/>
        </w:rPr>
      </w:pPr>
      <w:r w:rsidRPr="0010048D">
        <w:rPr>
          <w:rFonts w:ascii="Segoe UI" w:eastAsia="Segoe UI" w:hAnsi="Segoe UI" w:cs="Segoe UI"/>
          <w:b/>
          <w:color w:val="000000"/>
        </w:rPr>
        <w:t xml:space="preserve">Estimate the number of patients who will utilise the proposed technology for the first full year: </w:t>
      </w:r>
    </w:p>
    <w:p w14:paraId="66DCED96" w14:textId="278AB4A9" w:rsidR="00917DB4" w:rsidRPr="0010048D" w:rsidRDefault="00917DB4" w:rsidP="00917DB4">
      <w:pPr>
        <w:rPr>
          <w:rFonts w:ascii="Segoe UI" w:eastAsia="Segoe UI" w:hAnsi="Segoe UI" w:cs="Segoe UI"/>
          <w:color w:val="000000"/>
        </w:rPr>
      </w:pPr>
      <w:r>
        <w:rPr>
          <w:rFonts w:ascii="Segoe UI" w:eastAsia="Segoe UI" w:hAnsi="Segoe UI" w:cs="Segoe UI"/>
          <w:color w:val="000000"/>
        </w:rPr>
        <w:t>1,200</w:t>
      </w:r>
    </w:p>
    <w:p w14:paraId="44938336" w14:textId="77777777" w:rsidR="00917DB4" w:rsidRPr="0010048D" w:rsidRDefault="00917DB4" w:rsidP="00917DB4">
      <w:pPr>
        <w:rPr>
          <w:rFonts w:ascii="Segoe UI" w:eastAsia="Segoe UI" w:hAnsi="Segoe UI" w:cs="Segoe UI"/>
          <w:b/>
          <w:color w:val="000000"/>
        </w:rPr>
      </w:pPr>
      <w:r w:rsidRPr="0010048D">
        <w:rPr>
          <w:rFonts w:ascii="Segoe UI" w:eastAsia="Segoe UI" w:hAnsi="Segoe UI" w:cs="Segoe UI"/>
          <w:b/>
          <w:color w:val="000000"/>
        </w:rPr>
        <w:t xml:space="preserve">Will the technology be needed more than once per patient? </w:t>
      </w:r>
    </w:p>
    <w:p w14:paraId="6A1D81C9" w14:textId="77777777" w:rsidR="00917DB4" w:rsidRPr="0010048D" w:rsidRDefault="00917DB4" w:rsidP="00917DB4">
      <w:pPr>
        <w:rPr>
          <w:rFonts w:ascii="Segoe UI" w:eastAsia="Segoe UI" w:hAnsi="Segoe UI" w:cs="Segoe UI"/>
          <w:color w:val="000000"/>
        </w:rPr>
      </w:pPr>
      <w:r>
        <w:rPr>
          <w:rFonts w:ascii="Segoe UI" w:eastAsia="Segoe UI" w:hAnsi="Segoe UI" w:cs="Segoe UI"/>
          <w:color w:val="000000"/>
        </w:rPr>
        <w:t>Yes, multiple times</w:t>
      </w:r>
    </w:p>
    <w:p w14:paraId="0908EDB0" w14:textId="77777777" w:rsidR="00917DB4" w:rsidRPr="0010048D" w:rsidRDefault="00917DB4" w:rsidP="00917DB4">
      <w:pPr>
        <w:rPr>
          <w:rFonts w:ascii="Segoe UI" w:eastAsia="Segoe UI" w:hAnsi="Segoe UI" w:cs="Segoe UI"/>
          <w:b/>
          <w:color w:val="000000"/>
        </w:rPr>
      </w:pPr>
      <w:r w:rsidRPr="0010048D">
        <w:rPr>
          <w:rFonts w:ascii="Segoe UI" w:eastAsia="Segoe UI" w:hAnsi="Segoe UI" w:cs="Segoe UI"/>
          <w:b/>
          <w:color w:val="000000"/>
        </w:rPr>
        <w:t xml:space="preserve">Over what duration will the health technology or service be provided for a patient? (preferably </w:t>
      </w:r>
      <w:proofErr w:type="gramStart"/>
      <w:r w:rsidRPr="0010048D">
        <w:rPr>
          <w:rFonts w:ascii="Segoe UI" w:eastAsia="Segoe UI" w:hAnsi="Segoe UI" w:cs="Segoe UI"/>
          <w:b/>
          <w:color w:val="000000"/>
        </w:rPr>
        <w:t>a number of</w:t>
      </w:r>
      <w:proofErr w:type="gramEnd"/>
      <w:r w:rsidRPr="0010048D">
        <w:rPr>
          <w:rFonts w:ascii="Segoe UI" w:eastAsia="Segoe UI" w:hAnsi="Segoe UI" w:cs="Segoe UI"/>
          <w:b/>
          <w:color w:val="000000"/>
        </w:rPr>
        <w:t xml:space="preserve"> years): </w:t>
      </w:r>
    </w:p>
    <w:p w14:paraId="36934178" w14:textId="77777777" w:rsidR="00917DB4" w:rsidRPr="0010048D" w:rsidRDefault="00917DB4" w:rsidP="00917DB4">
      <w:pPr>
        <w:rPr>
          <w:rFonts w:ascii="Segoe UI" w:eastAsia="Segoe UI" w:hAnsi="Segoe UI" w:cs="Segoe UI"/>
          <w:color w:val="000000"/>
        </w:rPr>
      </w:pPr>
      <w:r>
        <w:rPr>
          <w:rFonts w:ascii="Segoe UI" w:eastAsia="Segoe UI" w:hAnsi="Segoe UI" w:cs="Segoe UI"/>
          <w:color w:val="000000"/>
        </w:rPr>
        <w:t>Typically, within 1 year</w:t>
      </w:r>
    </w:p>
    <w:p w14:paraId="4BB88690" w14:textId="77777777" w:rsidR="00B6543A" w:rsidRDefault="00B6543A">
      <w:pPr>
        <w:rPr>
          <w:rFonts w:ascii="Segoe UI" w:eastAsia="Segoe UI" w:hAnsi="Segoe UI" w:cs="Segoe UI"/>
          <w:b/>
          <w:color w:val="000000"/>
        </w:rPr>
      </w:pPr>
      <w:r>
        <w:rPr>
          <w:rFonts w:ascii="Segoe UI" w:eastAsia="Segoe UI" w:hAnsi="Segoe UI" w:cs="Segoe UI"/>
          <w:b/>
          <w:color w:val="000000"/>
        </w:rPr>
        <w:br w:type="page"/>
      </w:r>
    </w:p>
    <w:p w14:paraId="4A436BD7" w14:textId="6246A86F" w:rsidR="00917DB4" w:rsidRPr="0010048D" w:rsidRDefault="00917DB4" w:rsidP="00917DB4">
      <w:pPr>
        <w:rPr>
          <w:rFonts w:ascii="Segoe UI" w:eastAsia="Segoe UI" w:hAnsi="Segoe UI" w:cs="Segoe UI"/>
          <w:b/>
          <w:color w:val="000000"/>
        </w:rPr>
      </w:pPr>
      <w:r w:rsidRPr="0010048D">
        <w:rPr>
          <w:rFonts w:ascii="Segoe UI" w:eastAsia="Segoe UI" w:hAnsi="Segoe UI" w:cs="Segoe UI"/>
          <w:b/>
          <w:color w:val="000000"/>
        </w:rPr>
        <w:t xml:space="preserve">Optionally, provide details: </w:t>
      </w:r>
    </w:p>
    <w:p w14:paraId="178CE961" w14:textId="77777777" w:rsidR="00917DB4" w:rsidRPr="0010048D" w:rsidRDefault="00917DB4" w:rsidP="00917DB4">
      <w:pPr>
        <w:rPr>
          <w:rFonts w:ascii="Segoe UI" w:eastAsia="Segoe UI" w:hAnsi="Segoe UI" w:cs="Segoe UI"/>
          <w:color w:val="000000"/>
        </w:rPr>
      </w:pPr>
      <w:r>
        <w:rPr>
          <w:rFonts w:ascii="Segoe UI" w:eastAsia="Segoe UI" w:hAnsi="Segoe UI" w:cs="Segoe UI"/>
          <w:color w:val="000000"/>
        </w:rPr>
        <w:t>Up to a maximum of 6 doses of 177Lu-PSMA-617 will be delivered to each patient. One dose is recommended every six weeks. The maximum doses of treatment are generally delivered within the course of one year.</w:t>
      </w:r>
    </w:p>
    <w:p w14:paraId="13E1F2A7" w14:textId="77777777" w:rsidR="00917DB4" w:rsidRPr="0010048D" w:rsidRDefault="00917DB4" w:rsidP="00917DB4">
      <w:pPr>
        <w:rPr>
          <w:rFonts w:ascii="Segoe UI" w:eastAsia="Segoe UI" w:hAnsi="Segoe UI" w:cs="Segoe UI"/>
          <w:b/>
          <w:color w:val="000000"/>
        </w:rPr>
      </w:pPr>
      <w:r w:rsidRPr="0010048D">
        <w:rPr>
          <w:rFonts w:ascii="Segoe UI" w:eastAsia="Segoe UI" w:hAnsi="Segoe UI" w:cs="Segoe UI"/>
          <w:b/>
          <w:color w:val="000000"/>
        </w:rPr>
        <w:t xml:space="preserve">What frequency will the health technology or service be required by the patient over the duration? (range, preferably on an annual basis): </w:t>
      </w:r>
    </w:p>
    <w:p w14:paraId="360C7CE4" w14:textId="6D2F52D4" w:rsidR="00917DB4" w:rsidRPr="00917DB4" w:rsidRDefault="00917DB4" w:rsidP="00133449">
      <w:pPr>
        <w:rPr>
          <w:rFonts w:ascii="Segoe UI" w:eastAsia="Segoe UI" w:hAnsi="Segoe UI" w:cs="Segoe UI"/>
          <w:color w:val="000000"/>
        </w:rPr>
      </w:pPr>
      <w:r>
        <w:rPr>
          <w:rFonts w:ascii="Segoe UI" w:eastAsia="Segoe UI" w:hAnsi="Segoe UI" w:cs="Segoe UI"/>
          <w:color w:val="000000"/>
        </w:rPr>
        <w:t>Up to a maximum of 6 doses.</w:t>
      </w:r>
    </w:p>
    <w:p w14:paraId="05DFC11F" w14:textId="77777777" w:rsidR="00133449" w:rsidRPr="0010048D" w:rsidRDefault="00133449" w:rsidP="00133449">
      <w:pPr>
        <w:pStyle w:val="Heading1"/>
        <w:rPr>
          <w:rFonts w:cs="Segoe UI"/>
        </w:rPr>
      </w:pPr>
      <w:r w:rsidRPr="0010048D">
        <w:rPr>
          <w:rFonts w:cs="Segoe UI"/>
        </w:rPr>
        <w:t>Consultation</w:t>
      </w:r>
    </w:p>
    <w:p w14:paraId="7400652D" w14:textId="77777777" w:rsidR="00133449" w:rsidRDefault="00133449" w:rsidP="00133449">
      <w:pPr>
        <w:rPr>
          <w:rFonts w:ascii="Segoe UI" w:hAnsi="Segoe UI" w:cs="Segoe UI"/>
          <w:b/>
        </w:rPr>
      </w:pPr>
      <w:r w:rsidRPr="0065027C">
        <w:rPr>
          <w:rFonts w:ascii="Segoe UI" w:hAnsi="Segoe UI" w:cs="Segoe UI"/>
          <w:b/>
        </w:rPr>
        <w:t xml:space="preserve">List all entities that are relevant to the proposed service / health technology. The list can </w:t>
      </w:r>
      <w:r w:rsidRPr="00F370D9">
        <w:rPr>
          <w:rFonts w:ascii="Segoe UI" w:hAnsi="Segoe UI" w:cs="Segoe UI"/>
          <w:b/>
        </w:rPr>
        <w:t>include</w:t>
      </w:r>
      <w:r w:rsidRPr="0065027C">
        <w:rPr>
          <w:rFonts w:ascii="Segoe UI" w:hAnsi="Segoe UI" w:cs="Segoe UI"/>
          <w:b/>
        </w:rPr>
        <w:t xml:space="preserve"> professional bodies / organisations who provide, request, may be impacted by the service/health technology; sponsor(s) and / or manufacturer(s) who produce similar products; patient and consumer advocacy organisations or individuals relevant to the proposed service/health technology.</w:t>
      </w:r>
    </w:p>
    <w:p w14:paraId="312B42E3" w14:textId="63B1D0E3" w:rsidR="00917DB4" w:rsidRDefault="00917DB4" w:rsidP="00133449">
      <w:pPr>
        <w:rPr>
          <w:rFonts w:ascii="Segoe UI" w:hAnsi="Segoe UI" w:cs="Segoe UI"/>
          <w:b/>
        </w:rPr>
      </w:pPr>
      <w:r w:rsidRPr="00917DB4">
        <w:rPr>
          <w:rFonts w:ascii="Segoe UI" w:hAnsi="Segoe UI" w:cs="Segoe UI"/>
          <w:b/>
        </w:rPr>
        <w:t>Entity who provides the health technology/service</w:t>
      </w:r>
    </w:p>
    <w:p w14:paraId="0E22698C" w14:textId="77777777" w:rsidR="000D6228" w:rsidRDefault="000D6228" w:rsidP="000D6228">
      <w:pPr>
        <w:rPr>
          <w:rFonts w:ascii="Segoe UI" w:hAnsi="Segoe UI" w:cs="Segoe UI"/>
          <w:bCs/>
        </w:rPr>
      </w:pPr>
      <w:r>
        <w:rPr>
          <w:rFonts w:ascii="Segoe UI" w:hAnsi="Segoe UI" w:cs="Segoe UI"/>
          <w:bCs/>
        </w:rPr>
        <w:t>Australian and New Zealand Society of Nuclear Medicine</w:t>
      </w:r>
    </w:p>
    <w:p w14:paraId="5937E6E4" w14:textId="77777777" w:rsidR="000D6228" w:rsidRDefault="000D6228" w:rsidP="000D6228">
      <w:pPr>
        <w:rPr>
          <w:rFonts w:ascii="Segoe UI" w:hAnsi="Segoe UI" w:cs="Segoe UI"/>
          <w:bCs/>
        </w:rPr>
      </w:pPr>
      <w:r>
        <w:rPr>
          <w:rFonts w:ascii="Segoe UI" w:hAnsi="Segoe UI" w:cs="Segoe UI"/>
          <w:bCs/>
        </w:rPr>
        <w:t>The Australian and New Zealand Urogenital and Prostate Cancer Trials Group</w:t>
      </w:r>
    </w:p>
    <w:p w14:paraId="50A19A29" w14:textId="77777777" w:rsidR="000D6228" w:rsidRDefault="000D6228" w:rsidP="000D6228">
      <w:pPr>
        <w:rPr>
          <w:rFonts w:ascii="Segoe UI" w:hAnsi="Segoe UI" w:cs="Segoe UI"/>
          <w:bCs/>
        </w:rPr>
      </w:pPr>
      <w:proofErr w:type="spellStart"/>
      <w:r>
        <w:rPr>
          <w:rFonts w:ascii="Segoe UI" w:hAnsi="Segoe UI" w:cs="Segoe UI"/>
          <w:bCs/>
        </w:rPr>
        <w:t>GenesisCare</w:t>
      </w:r>
      <w:proofErr w:type="spellEnd"/>
    </w:p>
    <w:p w14:paraId="3C8324AA" w14:textId="460F5134" w:rsidR="000D6228" w:rsidRPr="000D6228" w:rsidRDefault="000D6228" w:rsidP="00133449">
      <w:pPr>
        <w:rPr>
          <w:rFonts w:ascii="Segoe UI" w:hAnsi="Segoe UI" w:cs="Segoe UI"/>
          <w:bCs/>
        </w:rPr>
      </w:pPr>
      <w:r>
        <w:rPr>
          <w:rFonts w:ascii="Segoe UI" w:hAnsi="Segoe UI" w:cs="Segoe UI"/>
          <w:bCs/>
        </w:rPr>
        <w:t>Australasian Association of Nuclear Medicine Specialists</w:t>
      </w:r>
    </w:p>
    <w:p w14:paraId="562B6C33" w14:textId="5E667806" w:rsidR="00917DB4" w:rsidRDefault="00917DB4" w:rsidP="00917DB4">
      <w:pPr>
        <w:rPr>
          <w:rFonts w:ascii="Segoe UI" w:hAnsi="Segoe UI" w:cs="Segoe UI"/>
          <w:b/>
        </w:rPr>
      </w:pPr>
      <w:r w:rsidRPr="00917DB4">
        <w:rPr>
          <w:rFonts w:ascii="Segoe UI" w:hAnsi="Segoe UI" w:cs="Segoe UI"/>
          <w:b/>
        </w:rPr>
        <w:t>Patient and consumer advocacy organisations relevant to the proposed service/health technology</w:t>
      </w:r>
    </w:p>
    <w:p w14:paraId="2278A52B" w14:textId="77777777" w:rsidR="00917DB4" w:rsidRDefault="00917DB4" w:rsidP="00917DB4">
      <w:pPr>
        <w:rPr>
          <w:rFonts w:ascii="Segoe UI" w:hAnsi="Segoe UI" w:cs="Segoe UI"/>
          <w:bCs/>
        </w:rPr>
      </w:pPr>
      <w:r>
        <w:rPr>
          <w:rFonts w:ascii="Segoe UI" w:hAnsi="Segoe UI" w:cs="Segoe UI"/>
          <w:bCs/>
        </w:rPr>
        <w:t>Prostate Cancer Foundation Australia</w:t>
      </w:r>
    </w:p>
    <w:p w14:paraId="598F2664" w14:textId="77777777" w:rsidR="00917DB4" w:rsidRDefault="00917DB4" w:rsidP="00917DB4">
      <w:pPr>
        <w:rPr>
          <w:rFonts w:ascii="Segoe UI" w:hAnsi="Segoe UI" w:cs="Segoe UI"/>
          <w:bCs/>
        </w:rPr>
      </w:pPr>
      <w:r>
        <w:rPr>
          <w:rFonts w:ascii="Segoe UI" w:hAnsi="Segoe UI" w:cs="Segoe UI"/>
          <w:bCs/>
        </w:rPr>
        <w:t>ANZUP Cancer Trials Group consumer panel</w:t>
      </w:r>
    </w:p>
    <w:p w14:paraId="7B9D43D9" w14:textId="77777777" w:rsidR="00917DB4" w:rsidRDefault="00917DB4" w:rsidP="00917DB4">
      <w:pPr>
        <w:rPr>
          <w:rFonts w:ascii="Segoe UI" w:hAnsi="Segoe UI" w:cs="Segoe UI"/>
          <w:bCs/>
        </w:rPr>
      </w:pPr>
      <w:proofErr w:type="spellStart"/>
      <w:r>
        <w:rPr>
          <w:rFonts w:ascii="Segoe UI" w:hAnsi="Segoe UI" w:cs="Segoe UI"/>
          <w:bCs/>
        </w:rPr>
        <w:t>Movember</w:t>
      </w:r>
      <w:proofErr w:type="spellEnd"/>
      <w:r>
        <w:rPr>
          <w:rFonts w:ascii="Segoe UI" w:hAnsi="Segoe UI" w:cs="Segoe UI"/>
          <w:bCs/>
        </w:rPr>
        <w:t xml:space="preserve"> Foundation</w:t>
      </w:r>
    </w:p>
    <w:p w14:paraId="094EB25F" w14:textId="77777777" w:rsidR="00917DB4" w:rsidRDefault="00917DB4" w:rsidP="00917DB4">
      <w:pPr>
        <w:rPr>
          <w:rFonts w:ascii="Segoe UI" w:hAnsi="Segoe UI" w:cs="Segoe UI"/>
          <w:bCs/>
        </w:rPr>
      </w:pPr>
      <w:r>
        <w:rPr>
          <w:rFonts w:ascii="Segoe UI" w:hAnsi="Segoe UI" w:cs="Segoe UI"/>
          <w:bCs/>
        </w:rPr>
        <w:t>Parliamentarians for prostate cancer</w:t>
      </w:r>
    </w:p>
    <w:p w14:paraId="43C893B8" w14:textId="77777777" w:rsidR="00B6543A" w:rsidRDefault="00B6543A" w:rsidP="00B6543A">
      <w:pPr>
        <w:rPr>
          <w:rFonts w:ascii="Segoe UI" w:hAnsi="Segoe UI" w:cs="Segoe UI"/>
          <w:b/>
        </w:rPr>
      </w:pPr>
      <w:r>
        <w:rPr>
          <w:rFonts w:ascii="Segoe UI" w:hAnsi="Segoe UI" w:cs="Segoe UI"/>
          <w:b/>
        </w:rPr>
        <w:t>R</w:t>
      </w:r>
      <w:r w:rsidRPr="00B6543A">
        <w:rPr>
          <w:rFonts w:ascii="Segoe UI" w:hAnsi="Segoe UI" w:cs="Segoe UI"/>
          <w:b/>
        </w:rPr>
        <w:t>elevant sponsor(s) and / or manufacturer(s) who produce similar products relevant to the proposed service or health technology:</w:t>
      </w:r>
    </w:p>
    <w:p w14:paraId="68B95E8F" w14:textId="5CE12155" w:rsidR="00B6543A" w:rsidRDefault="00B6543A" w:rsidP="00B6543A">
      <w:pPr>
        <w:rPr>
          <w:rFonts w:ascii="Segoe UI" w:hAnsi="Segoe UI" w:cs="Segoe UI"/>
          <w:bCs/>
        </w:rPr>
      </w:pPr>
      <w:r>
        <w:rPr>
          <w:rFonts w:ascii="Segoe UI" w:hAnsi="Segoe UI" w:cs="Segoe UI"/>
          <w:bCs/>
        </w:rPr>
        <w:t>Sponsors of current taxane-based chemotherapy</w:t>
      </w:r>
    </w:p>
    <w:p w14:paraId="0D801243" w14:textId="77777777" w:rsidR="00B6543A" w:rsidRDefault="00B6543A" w:rsidP="00917DB4">
      <w:pPr>
        <w:rPr>
          <w:rFonts w:ascii="Segoe UI" w:hAnsi="Segoe UI" w:cs="Segoe UI"/>
          <w:bCs/>
        </w:rPr>
      </w:pPr>
    </w:p>
    <w:p w14:paraId="0028A095" w14:textId="77777777" w:rsidR="00917DB4" w:rsidRDefault="00917DB4" w:rsidP="00917DB4">
      <w:pPr>
        <w:rPr>
          <w:rFonts w:ascii="Segoe UI" w:hAnsi="Segoe UI" w:cs="Segoe UI"/>
          <w:bCs/>
        </w:rPr>
      </w:pPr>
    </w:p>
    <w:p w14:paraId="05BE94C6" w14:textId="77777777" w:rsidR="00133449" w:rsidRPr="0010048D" w:rsidRDefault="00133449" w:rsidP="00133449">
      <w:pPr>
        <w:pStyle w:val="Heading1"/>
        <w:rPr>
          <w:rFonts w:cs="Segoe UI"/>
        </w:rPr>
      </w:pPr>
      <w:r w:rsidRPr="0010048D">
        <w:rPr>
          <w:rFonts w:cs="Segoe UI"/>
        </w:rPr>
        <w:t>Regulatory information</w:t>
      </w:r>
    </w:p>
    <w:p w14:paraId="7B5E1A7C" w14:textId="77777777" w:rsidR="00133449" w:rsidRPr="0010048D" w:rsidRDefault="00133449" w:rsidP="00133449">
      <w:pPr>
        <w:rPr>
          <w:rFonts w:ascii="Segoe UI" w:hAnsi="Segoe UI" w:cs="Segoe UI"/>
        </w:rPr>
      </w:pPr>
      <w:r w:rsidRPr="0010048D">
        <w:rPr>
          <w:rFonts w:ascii="Segoe UI" w:eastAsia="Segoe UI" w:hAnsi="Segoe UI" w:cs="Segoe UI"/>
          <w:b/>
          <w:color w:val="000000"/>
        </w:rPr>
        <w:t>Would the proposed health technology involve the use of a medical device, in-vitro diagnostic test, radioactive tracer or any other type of therapeutic good?</w:t>
      </w:r>
    </w:p>
    <w:p w14:paraId="642B0DD7" w14:textId="77777777" w:rsidR="00133449" w:rsidRPr="0010048D" w:rsidRDefault="00133449" w:rsidP="00133449">
      <w:pPr>
        <w:rPr>
          <w:rFonts w:ascii="Segoe UI" w:eastAsia="Segoe UI" w:hAnsi="Segoe UI" w:cs="Segoe UI"/>
          <w:color w:val="000000"/>
        </w:rPr>
      </w:pPr>
      <w:r w:rsidRPr="00646B43">
        <w:rPr>
          <w:rFonts w:ascii="Segoe UI" w:eastAsia="Segoe UI" w:hAnsi="Segoe UI" w:cs="Segoe UI"/>
          <w:color w:val="000000"/>
        </w:rPr>
        <w:t>Yes</w:t>
      </w:r>
    </w:p>
    <w:p w14:paraId="62BEE89D" w14:textId="579C6E60" w:rsidR="00133449" w:rsidRPr="0010048D" w:rsidRDefault="00133449" w:rsidP="00133449">
      <w:pPr>
        <w:rPr>
          <w:rFonts w:ascii="Segoe UI" w:hAnsi="Segoe UI" w:cs="Segoe UI"/>
        </w:rPr>
      </w:pPr>
      <w:r w:rsidRPr="0010048D">
        <w:rPr>
          <w:rFonts w:ascii="Segoe UI" w:eastAsia="Segoe UI" w:hAnsi="Segoe UI" w:cs="Segoe UI"/>
          <w:b/>
          <w:color w:val="000000"/>
        </w:rPr>
        <w:t>Has it been listed or registered or included in the Australian Register of Therapeutic Goods (ARTG) by the Therapeutic Goods Administration (TGA)?</w:t>
      </w:r>
    </w:p>
    <w:p w14:paraId="50EEC45F" w14:textId="77777777" w:rsidR="00133449" w:rsidRPr="007C5FA4" w:rsidRDefault="00133449" w:rsidP="00133449">
      <w:pPr>
        <w:rPr>
          <w:rFonts w:ascii="Segoe UI" w:hAnsi="Segoe UI" w:cs="Segoe UI"/>
        </w:rPr>
      </w:pPr>
      <w:r w:rsidRPr="007C5FA4">
        <w:rPr>
          <w:rFonts w:ascii="Segoe UI" w:eastAsia="Segoe UI" w:hAnsi="Segoe UI" w:cs="Segoe UI"/>
          <w:color w:val="000000"/>
        </w:rPr>
        <w:t>Yes</w:t>
      </w:r>
    </w:p>
    <w:p w14:paraId="72F05B95" w14:textId="77777777" w:rsidR="00133449" w:rsidRPr="0010048D" w:rsidRDefault="00133449" w:rsidP="00133449">
      <w:pPr>
        <w:rPr>
          <w:rFonts w:ascii="Segoe UI" w:hAnsi="Segoe UI" w:cs="Segoe UI"/>
        </w:rPr>
      </w:pPr>
      <w:r w:rsidRPr="0010048D">
        <w:rPr>
          <w:rFonts w:ascii="Segoe UI" w:eastAsia="Segoe UI" w:hAnsi="Segoe UI" w:cs="Segoe UI"/>
          <w:b/>
          <w:color w:val="000000"/>
        </w:rPr>
        <w:t>Is the therapeutic good classified by the TGA as either a Class III or Active Implantable Medical Device (AIMD) against the TGA regulatory scheme for devices?</w:t>
      </w:r>
    </w:p>
    <w:p w14:paraId="09F652A0" w14:textId="77777777" w:rsidR="00133449" w:rsidRPr="007C5FA4" w:rsidRDefault="00133449" w:rsidP="00133449">
      <w:pPr>
        <w:rPr>
          <w:rFonts w:ascii="Segoe UI" w:hAnsi="Segoe UI" w:cs="Segoe UI"/>
        </w:rPr>
      </w:pPr>
      <w:r w:rsidRPr="007C5FA4">
        <w:rPr>
          <w:rFonts w:ascii="Segoe UI" w:eastAsia="Segoe UI" w:hAnsi="Segoe UI" w:cs="Segoe UI"/>
          <w:color w:val="000000"/>
        </w:rPr>
        <w:t>No</w:t>
      </w:r>
    </w:p>
    <w:p w14:paraId="49CC8264" w14:textId="77777777" w:rsidR="00133449" w:rsidRPr="0010048D" w:rsidRDefault="00133449" w:rsidP="00133449">
      <w:pPr>
        <w:rPr>
          <w:rFonts w:ascii="Segoe UI" w:eastAsia="Segoe UI" w:hAnsi="Segoe UI" w:cs="Segoe UI"/>
          <w:b/>
          <w:bCs/>
          <w:color w:val="000000"/>
        </w:rPr>
      </w:pPr>
      <w:r w:rsidRPr="0010048D">
        <w:rPr>
          <w:rFonts w:ascii="Segoe UI" w:eastAsia="Segoe UI" w:hAnsi="Segoe UI" w:cs="Segoe UI"/>
          <w:b/>
          <w:bCs/>
          <w:color w:val="000000"/>
        </w:rPr>
        <w:t>Please enter all relevant ARTG IDs:</w:t>
      </w:r>
    </w:p>
    <w:tbl>
      <w:tblPr>
        <w:tblStyle w:val="TableGrid"/>
        <w:tblW w:w="0" w:type="auto"/>
        <w:tblLook w:val="0620" w:firstRow="1" w:lastRow="0" w:firstColumn="0" w:lastColumn="0" w:noHBand="1" w:noVBand="1"/>
      </w:tblPr>
      <w:tblGrid>
        <w:gridCol w:w="1696"/>
        <w:gridCol w:w="7319"/>
      </w:tblGrid>
      <w:tr w:rsidR="00133449" w:rsidRPr="0010048D" w14:paraId="2B76FECF" w14:textId="77777777" w:rsidTr="00B6543A">
        <w:trPr>
          <w:cantSplit/>
          <w:tblHeader/>
        </w:trPr>
        <w:tc>
          <w:tcPr>
            <w:tcW w:w="1696" w:type="dxa"/>
            <w:tcMar>
              <w:top w:w="113" w:type="dxa"/>
              <w:bottom w:w="113" w:type="dxa"/>
            </w:tcMar>
          </w:tcPr>
          <w:p w14:paraId="45B30DFF" w14:textId="77777777" w:rsidR="00133449" w:rsidRPr="0010048D" w:rsidRDefault="00133449" w:rsidP="0065027C">
            <w:pPr>
              <w:rPr>
                <w:rFonts w:ascii="Segoe UI" w:hAnsi="Segoe UI" w:cs="Segoe UI"/>
                <w:b/>
              </w:rPr>
            </w:pPr>
            <w:r w:rsidRPr="0010048D">
              <w:rPr>
                <w:rFonts w:ascii="Segoe UI" w:hAnsi="Segoe UI" w:cs="Segoe UI"/>
                <w:b/>
              </w:rPr>
              <w:t>ARTG ID</w:t>
            </w:r>
          </w:p>
        </w:tc>
        <w:tc>
          <w:tcPr>
            <w:tcW w:w="7319" w:type="dxa"/>
            <w:tcMar>
              <w:top w:w="113" w:type="dxa"/>
              <w:bottom w:w="113" w:type="dxa"/>
            </w:tcMar>
          </w:tcPr>
          <w:p w14:paraId="012CB70C" w14:textId="77777777" w:rsidR="00133449" w:rsidRPr="0010048D" w:rsidRDefault="00133449" w:rsidP="0065027C">
            <w:pPr>
              <w:rPr>
                <w:rFonts w:ascii="Segoe UI" w:hAnsi="Segoe UI" w:cs="Segoe UI"/>
                <w:b/>
              </w:rPr>
            </w:pPr>
            <w:r w:rsidRPr="0010048D">
              <w:rPr>
                <w:rFonts w:ascii="Segoe UI" w:hAnsi="Segoe UI" w:cs="Segoe UI"/>
                <w:b/>
              </w:rPr>
              <w:t>ARTG name</w:t>
            </w:r>
          </w:p>
        </w:tc>
      </w:tr>
      <w:tr w:rsidR="00133449" w:rsidRPr="0010048D" w14:paraId="1A5F28AD" w14:textId="77777777" w:rsidTr="00B6543A">
        <w:tc>
          <w:tcPr>
            <w:tcW w:w="1696" w:type="dxa"/>
            <w:tcMar>
              <w:top w:w="113" w:type="dxa"/>
              <w:bottom w:w="113" w:type="dxa"/>
            </w:tcMar>
          </w:tcPr>
          <w:p w14:paraId="0F1A0E90" w14:textId="77777777" w:rsidR="00133449" w:rsidRPr="0010048D" w:rsidRDefault="00133449" w:rsidP="0065027C">
            <w:pPr>
              <w:rPr>
                <w:rFonts w:ascii="Segoe UI" w:hAnsi="Segoe UI" w:cs="Segoe UI"/>
                <w:bCs/>
              </w:rPr>
            </w:pPr>
            <w:r>
              <w:rPr>
                <w:rFonts w:ascii="Segoe UI" w:hAnsi="Segoe UI" w:cs="Segoe UI"/>
                <w:bCs/>
              </w:rPr>
              <w:t>410282</w:t>
            </w:r>
          </w:p>
        </w:tc>
        <w:tc>
          <w:tcPr>
            <w:tcW w:w="7319" w:type="dxa"/>
            <w:tcMar>
              <w:top w:w="113" w:type="dxa"/>
              <w:bottom w:w="113" w:type="dxa"/>
            </w:tcMar>
          </w:tcPr>
          <w:p w14:paraId="75AD749A" w14:textId="77777777" w:rsidR="00133449" w:rsidRPr="0010048D" w:rsidRDefault="00133449" w:rsidP="0065027C">
            <w:pPr>
              <w:rPr>
                <w:rFonts w:ascii="Segoe UI" w:hAnsi="Segoe UI" w:cs="Segoe UI"/>
                <w:bCs/>
              </w:rPr>
            </w:pPr>
            <w:r>
              <w:rPr>
                <w:rFonts w:ascii="Segoe UI" w:hAnsi="Segoe UI" w:cs="Segoe UI"/>
                <w:bCs/>
              </w:rPr>
              <w:t xml:space="preserve">PLUVICTO lutetium (177Lu) </w:t>
            </w:r>
            <w:proofErr w:type="spellStart"/>
            <w:r>
              <w:rPr>
                <w:rFonts w:ascii="Segoe UI" w:hAnsi="Segoe UI" w:cs="Segoe UI"/>
                <w:bCs/>
              </w:rPr>
              <w:t>vipivotide</w:t>
            </w:r>
            <w:proofErr w:type="spellEnd"/>
            <w:r>
              <w:rPr>
                <w:rFonts w:ascii="Segoe UI" w:hAnsi="Segoe UI" w:cs="Segoe UI"/>
                <w:bCs/>
              </w:rPr>
              <w:t xml:space="preserve"> tetraxetan 1000 MBq/mL solution for injection vial</w:t>
            </w:r>
          </w:p>
        </w:tc>
      </w:tr>
    </w:tbl>
    <w:p w14:paraId="4FA8464B" w14:textId="77777777" w:rsidR="00133449" w:rsidRDefault="00133449" w:rsidP="00133449">
      <w:pPr>
        <w:spacing w:before="240"/>
        <w:rPr>
          <w:rFonts w:ascii="Segoe UI" w:eastAsia="Segoe UI" w:hAnsi="Segoe UI" w:cs="Segoe UI"/>
          <w:b/>
          <w:color w:val="000000"/>
        </w:rPr>
      </w:pPr>
      <w:r w:rsidRPr="0010048D">
        <w:rPr>
          <w:rFonts w:ascii="Segoe UI" w:eastAsia="Segoe UI" w:hAnsi="Segoe UI" w:cs="Segoe UI"/>
          <w:b/>
          <w:color w:val="000000"/>
        </w:rPr>
        <w:t>Is the intended purpose in this application the same as the intended purpose of the ARTG listing(s)?</w:t>
      </w:r>
    </w:p>
    <w:p w14:paraId="4D79A792" w14:textId="57858629" w:rsidR="000D6228" w:rsidRPr="000D6228" w:rsidRDefault="000D6228" w:rsidP="00133449">
      <w:pPr>
        <w:spacing w:before="240"/>
        <w:rPr>
          <w:rFonts w:ascii="Segoe UI" w:eastAsia="Segoe UI" w:hAnsi="Segoe UI" w:cs="Segoe UI"/>
          <w:bCs/>
          <w:color w:val="000000"/>
        </w:rPr>
      </w:pPr>
      <w:r>
        <w:rPr>
          <w:rFonts w:ascii="Segoe UI" w:eastAsia="Segoe UI" w:hAnsi="Segoe UI" w:cs="Segoe UI"/>
          <w:bCs/>
          <w:color w:val="000000"/>
        </w:rPr>
        <w:t>No</w:t>
      </w:r>
    </w:p>
    <w:p w14:paraId="0993F150" w14:textId="1447556E" w:rsidR="00133449" w:rsidRPr="0010048D" w:rsidRDefault="00133449" w:rsidP="00133449">
      <w:pPr>
        <w:spacing w:before="240"/>
        <w:rPr>
          <w:rFonts w:ascii="Segoe UI" w:eastAsia="Segoe UI" w:hAnsi="Segoe UI" w:cs="Segoe UI"/>
          <w:b/>
          <w:color w:val="000000"/>
        </w:rPr>
      </w:pPr>
      <w:r w:rsidRPr="0010048D">
        <w:rPr>
          <w:rFonts w:ascii="Segoe UI" w:eastAsia="Segoe UI" w:hAnsi="Segoe UI" w:cs="Segoe UI"/>
          <w:b/>
          <w:color w:val="000000"/>
        </w:rPr>
        <w:t>Provide details:</w:t>
      </w:r>
      <w:r w:rsidRPr="0010048D">
        <w:rPr>
          <w:rFonts w:ascii="Segoe UI" w:eastAsia="Segoe UI" w:hAnsi="Segoe UI" w:cs="Segoe UI"/>
          <w:bCs/>
          <w:i/>
          <w:iCs/>
          <w:color w:val="000000"/>
        </w:rPr>
        <w:t xml:space="preserve"> </w:t>
      </w:r>
    </w:p>
    <w:p w14:paraId="0B9D2E55" w14:textId="757AF909" w:rsidR="00133449" w:rsidRPr="007C5FA4" w:rsidRDefault="00133449" w:rsidP="00133449">
      <w:pPr>
        <w:rPr>
          <w:rFonts w:ascii="Segoe UI" w:eastAsia="Segoe UI" w:hAnsi="Segoe UI" w:cs="Segoe UI"/>
          <w:bCs/>
          <w:color w:val="000000"/>
          <w:sz w:val="22"/>
        </w:rPr>
      </w:pPr>
      <w:r w:rsidRPr="007C5FA4">
        <w:rPr>
          <w:rFonts w:ascii="Segoe UI" w:eastAsia="Segoe UI" w:hAnsi="Segoe UI" w:cs="Segoe UI"/>
          <w:bCs/>
          <w:color w:val="000000"/>
          <w:sz w:val="22"/>
        </w:rPr>
        <w:t>The TGA are currently considering 177Lu-PSMA-617 for the treatment of adult patients with prostate-specific membrane antigen (PSMA)-positive metastatic castration-resistant prostate cancer (mCRPC) who have been treated with androgen receptor pathway inhibition (ARPI) therapy. 177Lu-PSMA-617 is already TGA approved for the treatment of adult patients with prostate-specific membrane antigen (PSMA)-positive metastatic castration-resistant prostate cancer (mCRPC) who have been treated with androgen receptor pathway inhibition (ARPI) and taxane-based chemotherapy.</w:t>
      </w:r>
    </w:p>
    <w:p w14:paraId="7B8DA621" w14:textId="77777777" w:rsidR="00133449" w:rsidRPr="0010048D" w:rsidRDefault="00133449" w:rsidP="00133449">
      <w:pPr>
        <w:rPr>
          <w:rFonts w:ascii="Segoe UI" w:hAnsi="Segoe UI" w:cs="Segoe UI"/>
        </w:rPr>
      </w:pPr>
      <w:r w:rsidRPr="0010048D">
        <w:rPr>
          <w:rFonts w:ascii="Segoe UI" w:eastAsia="Segoe UI" w:hAnsi="Segoe UI" w:cs="Segoe UI"/>
          <w:b/>
          <w:color w:val="000000"/>
        </w:rPr>
        <w:t>Is the therapeutic good classified by the TGA as for Research Use Only (RUO)?</w:t>
      </w:r>
    </w:p>
    <w:p w14:paraId="118D91EB" w14:textId="65E0AF38" w:rsidR="001B376D" w:rsidRDefault="00133449">
      <w:r w:rsidRPr="007C5FA4">
        <w:rPr>
          <w:rFonts w:ascii="Segoe UI" w:eastAsia="Segoe UI" w:hAnsi="Segoe UI" w:cs="Segoe UI"/>
          <w:color w:val="000000"/>
        </w:rPr>
        <w:t>No</w:t>
      </w:r>
      <w:bookmarkEnd w:id="0"/>
    </w:p>
    <w:sectPr w:rsidR="001B376D" w:rsidSect="00133449">
      <w:headerReference w:type="even" r:id="rId6"/>
      <w:headerReference w:type="default" r:id="rId7"/>
      <w:footerReference w:type="even" r:id="rId8"/>
      <w:footerReference w:type="default" r:id="rId9"/>
      <w:pgSz w:w="11905" w:h="16837"/>
      <w:pgMar w:top="1440" w:right="1440" w:bottom="1440" w:left="1440" w:header="0" w:footer="213"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894F9" w14:textId="77777777" w:rsidR="00713B00" w:rsidRDefault="00713B00">
      <w:pPr>
        <w:spacing w:after="0" w:line="240" w:lineRule="auto"/>
      </w:pPr>
      <w:r>
        <w:separator/>
      </w:r>
    </w:p>
  </w:endnote>
  <w:endnote w:type="continuationSeparator" w:id="0">
    <w:p w14:paraId="5A8FB7E7" w14:textId="77777777" w:rsidR="00713B00" w:rsidRDefault="00713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3CEC6" w14:textId="5CB981EC" w:rsidR="00917DB4" w:rsidRDefault="002375A5">
    <w:pPr>
      <w:pStyle w:val="Footer"/>
    </w:pPr>
    <w:r>
      <w:rPr>
        <w:noProof/>
      </w:rPr>
      <mc:AlternateContent>
        <mc:Choice Requires="wps">
          <w:drawing>
            <wp:anchor distT="0" distB="0" distL="0" distR="0" simplePos="0" relativeHeight="251667456" behindDoc="0" locked="0" layoutInCell="1" allowOverlap="1" wp14:anchorId="53BA29A1" wp14:editId="29BB0CAE">
              <wp:simplePos x="635" y="635"/>
              <wp:positionH relativeFrom="page">
                <wp:align>center</wp:align>
              </wp:positionH>
              <wp:positionV relativeFrom="page">
                <wp:align>bottom</wp:align>
              </wp:positionV>
              <wp:extent cx="622300" cy="405765"/>
              <wp:effectExtent l="0" t="0" r="6350" b="0"/>
              <wp:wrapNone/>
              <wp:docPr id="175776602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0F407FE3" w14:textId="3876D4A6" w:rsidR="002375A5" w:rsidRPr="002375A5" w:rsidRDefault="002375A5" w:rsidP="002375A5">
                          <w:pPr>
                            <w:spacing w:after="0"/>
                            <w:rPr>
                              <w:rFonts w:ascii="Aptos" w:eastAsia="Aptos" w:hAnsi="Aptos" w:cs="Aptos"/>
                              <w:noProof/>
                              <w:color w:val="FF0000"/>
                            </w:rPr>
                          </w:pPr>
                          <w:r w:rsidRPr="002375A5">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BA29A1" id="_x0000_t202" coordsize="21600,21600" o:spt="202" path="m,l,21600r21600,l21600,xe">
              <v:stroke joinstyle="miter"/>
              <v:path gradientshapeok="t" o:connecttype="rect"/>
            </v:shapetype>
            <v:shape id="Text Box 5" o:spid="_x0000_s1027" type="#_x0000_t202" alt="OFFICIAL" style="position:absolute;margin-left:0;margin-top:0;width:49pt;height:31.9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" filled="f" stroked="f">
              <v:fill o:detectmouseclick="t"/>
              <v:textbox style="mso-fit-shape-to-text:t" inset="0,0,0,15pt">
                <w:txbxContent>
                  <w:p w14:paraId="0F407FE3" w14:textId="3876D4A6" w:rsidR="002375A5" w:rsidRPr="002375A5" w:rsidRDefault="002375A5" w:rsidP="002375A5">
                    <w:pPr>
                      <w:spacing w:after="0"/>
                      <w:rPr>
                        <w:rFonts w:ascii="Aptos" w:eastAsia="Aptos" w:hAnsi="Aptos" w:cs="Aptos"/>
                        <w:noProof/>
                        <w:color w:val="FF0000"/>
                      </w:rPr>
                    </w:pPr>
                    <w:r w:rsidRPr="002375A5">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32080" w14:textId="00509886" w:rsidR="001B376D" w:rsidRDefault="00CA6E33">
    <w:pPr>
      <w:pStyle w:val="Footer"/>
      <w:jc w:val="right"/>
    </w:pPr>
    <w:sdt>
      <w:sdtPr>
        <w:id w:val="1288928947"/>
        <w:docPartObj>
          <w:docPartGallery w:val="Page Numbers (Bottom of Page)"/>
          <w:docPartUnique/>
        </w:docPartObj>
      </w:sdtPr>
      <w:sdtEndPr>
        <w:rPr>
          <w:noProof/>
        </w:rPr>
      </w:sdtEndPr>
      <w:sdtContent>
        <w:r w:rsidR="00917DB4">
          <w:fldChar w:fldCharType="begin"/>
        </w:r>
        <w:r w:rsidR="00917DB4">
          <w:instrText xml:space="preserve"> PAGE   \* MERGEFORMAT </w:instrText>
        </w:r>
        <w:r w:rsidR="00917DB4">
          <w:fldChar w:fldCharType="separate"/>
        </w:r>
        <w:r w:rsidR="00917DB4">
          <w:rPr>
            <w:noProof/>
          </w:rPr>
          <w:t>2</w:t>
        </w:r>
        <w:r w:rsidR="00917DB4">
          <w:rPr>
            <w:noProof/>
          </w:rPr>
          <w:fldChar w:fldCharType="end"/>
        </w:r>
      </w:sdtContent>
    </w:sdt>
  </w:p>
  <w:p w14:paraId="6552B54D" w14:textId="77777777" w:rsidR="001B376D" w:rsidRDefault="001B376D">
    <w:pPr>
      <w:pStyle w:val="EmptyCellLayoutStyle"/>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D84EA" w14:textId="77777777" w:rsidR="00713B00" w:rsidRDefault="00713B00">
      <w:pPr>
        <w:spacing w:after="0" w:line="240" w:lineRule="auto"/>
      </w:pPr>
      <w:r>
        <w:separator/>
      </w:r>
    </w:p>
  </w:footnote>
  <w:footnote w:type="continuationSeparator" w:id="0">
    <w:p w14:paraId="6D941547" w14:textId="77777777" w:rsidR="00713B00" w:rsidRDefault="00713B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FDCA4" w14:textId="036A6296" w:rsidR="00917DB4" w:rsidRDefault="002375A5">
    <w:pPr>
      <w:pStyle w:val="Header"/>
    </w:pPr>
    <w:r>
      <w:rPr>
        <w:noProof/>
      </w:rPr>
      <mc:AlternateContent>
        <mc:Choice Requires="wps">
          <w:drawing>
            <wp:anchor distT="0" distB="0" distL="0" distR="0" simplePos="0" relativeHeight="251664384" behindDoc="0" locked="0" layoutInCell="1" allowOverlap="1" wp14:anchorId="2354C7D2" wp14:editId="0913058C">
              <wp:simplePos x="635" y="635"/>
              <wp:positionH relativeFrom="page">
                <wp:align>center</wp:align>
              </wp:positionH>
              <wp:positionV relativeFrom="page">
                <wp:align>top</wp:align>
              </wp:positionV>
              <wp:extent cx="622300" cy="405765"/>
              <wp:effectExtent l="0" t="0" r="6350" b="13335"/>
              <wp:wrapNone/>
              <wp:docPr id="169197044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2DDE430A" w14:textId="42BEA96E" w:rsidR="002375A5" w:rsidRPr="002375A5" w:rsidRDefault="002375A5" w:rsidP="002375A5">
                          <w:pPr>
                            <w:spacing w:after="0"/>
                            <w:rPr>
                              <w:rFonts w:ascii="Aptos" w:eastAsia="Aptos" w:hAnsi="Aptos" w:cs="Aptos"/>
                              <w:noProof/>
                              <w:color w:val="FF0000"/>
                            </w:rPr>
                          </w:pPr>
                          <w:r w:rsidRPr="002375A5">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54C7D2" id="_x0000_t202" coordsize="21600,21600" o:spt="202" path="m,l,21600r21600,l21600,xe">
              <v:stroke joinstyle="miter"/>
              <v:path gradientshapeok="t" o:connecttype="rect"/>
            </v:shapetype>
            <v:shape id="Text Box 2" o:spid="_x0000_s1026" type="#_x0000_t202" alt="OFFICIAL" style="position:absolute;margin-left:0;margin-top:0;width:49pt;height:31.9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" filled="f" stroked="f">
              <v:fill o:detectmouseclick="t"/>
              <v:textbox style="mso-fit-shape-to-text:t" inset="0,15pt,0,0">
                <w:txbxContent>
                  <w:p w14:paraId="2DDE430A" w14:textId="42BEA96E" w:rsidR="002375A5" w:rsidRPr="002375A5" w:rsidRDefault="002375A5" w:rsidP="002375A5">
                    <w:pPr>
                      <w:spacing w:after="0"/>
                      <w:rPr>
                        <w:rFonts w:ascii="Aptos" w:eastAsia="Aptos" w:hAnsi="Aptos" w:cs="Aptos"/>
                        <w:noProof/>
                        <w:color w:val="FF0000"/>
                      </w:rPr>
                    </w:pPr>
                    <w:r w:rsidRPr="002375A5">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8861E" w14:textId="44796626" w:rsidR="001B376D" w:rsidRDefault="00917DB4">
    <w:r>
      <w:c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449"/>
    <w:rsid w:val="00041BDD"/>
    <w:rsid w:val="00051822"/>
    <w:rsid w:val="000D6228"/>
    <w:rsid w:val="00133449"/>
    <w:rsid w:val="00191DB0"/>
    <w:rsid w:val="001B376D"/>
    <w:rsid w:val="002375A5"/>
    <w:rsid w:val="00307F3A"/>
    <w:rsid w:val="003B5502"/>
    <w:rsid w:val="00456396"/>
    <w:rsid w:val="00473295"/>
    <w:rsid w:val="004B73FC"/>
    <w:rsid w:val="00543A4A"/>
    <w:rsid w:val="00713B00"/>
    <w:rsid w:val="008212D8"/>
    <w:rsid w:val="008229BD"/>
    <w:rsid w:val="00887431"/>
    <w:rsid w:val="00917DB4"/>
    <w:rsid w:val="00961603"/>
    <w:rsid w:val="00A51977"/>
    <w:rsid w:val="00AD1FAF"/>
    <w:rsid w:val="00B36B2A"/>
    <w:rsid w:val="00B6543A"/>
    <w:rsid w:val="00B776D3"/>
    <w:rsid w:val="00BA6A86"/>
    <w:rsid w:val="00CA6E33"/>
    <w:rsid w:val="00CF44CD"/>
    <w:rsid w:val="00D932B0"/>
    <w:rsid w:val="00F76A9B"/>
    <w:rsid w:val="00FF36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831C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3449"/>
    <w:pPr>
      <w:spacing w:before="240" w:after="240" w:line="259" w:lineRule="auto"/>
      <w:outlineLvl w:val="0"/>
    </w:pPr>
    <w:rPr>
      <w:rFonts w:ascii="Segoe UI" w:eastAsia="Segoe UI" w:hAnsi="Segoe UI" w:cs="Times New Roman"/>
      <w:b/>
      <w:color w:val="213E60"/>
      <w:kern w:val="0"/>
      <w:sz w:val="32"/>
      <w:szCs w:val="20"/>
      <w14:ligatures w14:val="none"/>
    </w:rPr>
  </w:style>
  <w:style w:type="paragraph" w:styleId="Heading2">
    <w:name w:val="heading 2"/>
    <w:basedOn w:val="Normal"/>
    <w:next w:val="Normal"/>
    <w:link w:val="Heading2Char"/>
    <w:uiPriority w:val="9"/>
    <w:semiHidden/>
    <w:unhideWhenUsed/>
    <w:qFormat/>
    <w:rsid w:val="00917DB4"/>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3449"/>
    <w:rPr>
      <w:rFonts w:ascii="Segoe UI" w:eastAsia="Segoe UI" w:hAnsi="Segoe UI" w:cs="Times New Roman"/>
      <w:b/>
      <w:color w:val="213E60"/>
      <w:kern w:val="0"/>
      <w:sz w:val="32"/>
      <w:szCs w:val="20"/>
      <w14:ligatures w14:val="none"/>
    </w:rPr>
  </w:style>
  <w:style w:type="paragraph" w:customStyle="1" w:styleId="EmptyCellLayoutStyle">
    <w:name w:val="EmptyCellLayoutStyle"/>
    <w:rsid w:val="00133449"/>
    <w:pPr>
      <w:spacing w:line="259" w:lineRule="auto"/>
    </w:pPr>
    <w:rPr>
      <w:rFonts w:ascii="Times New Roman" w:eastAsia="Times New Roman" w:hAnsi="Times New Roman" w:cs="Times New Roman"/>
      <w:kern w:val="0"/>
      <w:sz w:val="2"/>
      <w:szCs w:val="20"/>
      <w14:ligatures w14:val="none"/>
    </w:rPr>
  </w:style>
  <w:style w:type="paragraph" w:styleId="Title">
    <w:name w:val="Title"/>
    <w:basedOn w:val="Normal"/>
    <w:next w:val="Normal"/>
    <w:link w:val="TitleChar"/>
    <w:uiPriority w:val="10"/>
    <w:qFormat/>
    <w:rsid w:val="00133449"/>
    <w:pPr>
      <w:spacing w:after="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133449"/>
    <w:rPr>
      <w:rFonts w:asciiTheme="majorHAnsi" w:eastAsiaTheme="majorEastAsia" w:hAnsiTheme="majorHAnsi" w:cstheme="majorBidi"/>
      <w:spacing w:val="-10"/>
      <w:kern w:val="28"/>
      <w:sz w:val="56"/>
      <w:szCs w:val="56"/>
      <w14:ligatures w14:val="none"/>
    </w:rPr>
  </w:style>
  <w:style w:type="table" w:styleId="TableGrid">
    <w:name w:val="Table Grid"/>
    <w:basedOn w:val="TableNormal"/>
    <w:uiPriority w:val="39"/>
    <w:rsid w:val="00133449"/>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133449"/>
    <w:pPr>
      <w:numPr>
        <w:ilvl w:val="1"/>
      </w:numPr>
    </w:pPr>
    <w:rPr>
      <w:color w:val="5A5A5A" w:themeColor="text1" w:themeTint="A5"/>
      <w:spacing w:val="15"/>
      <w:sz w:val="22"/>
      <w:szCs w:val="22"/>
    </w:rPr>
  </w:style>
  <w:style w:type="character" w:customStyle="1" w:styleId="SubtitleChar">
    <w:name w:val="Subtitle Char"/>
    <w:basedOn w:val="DefaultParagraphFont"/>
    <w:link w:val="Subtitle"/>
    <w:uiPriority w:val="11"/>
    <w:rsid w:val="00133449"/>
    <w:rPr>
      <w:color w:val="5A5A5A" w:themeColor="text1" w:themeTint="A5"/>
      <w:spacing w:val="15"/>
      <w:sz w:val="22"/>
      <w:szCs w:val="22"/>
    </w:rPr>
  </w:style>
  <w:style w:type="paragraph" w:styleId="Footer">
    <w:name w:val="footer"/>
    <w:basedOn w:val="Normal"/>
    <w:link w:val="FooterChar"/>
    <w:uiPriority w:val="99"/>
    <w:unhideWhenUsed/>
    <w:rsid w:val="001334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3449"/>
  </w:style>
  <w:style w:type="character" w:styleId="PlaceholderText">
    <w:name w:val="Placeholder Text"/>
    <w:basedOn w:val="DefaultParagraphFont"/>
    <w:uiPriority w:val="99"/>
    <w:semiHidden/>
    <w:rsid w:val="00887431"/>
    <w:rPr>
      <w:color w:val="666666"/>
    </w:rPr>
  </w:style>
  <w:style w:type="paragraph" w:styleId="Header">
    <w:name w:val="header"/>
    <w:basedOn w:val="Normal"/>
    <w:link w:val="HeaderChar"/>
    <w:uiPriority w:val="99"/>
    <w:unhideWhenUsed/>
    <w:rsid w:val="00917D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7DB4"/>
  </w:style>
  <w:style w:type="character" w:customStyle="1" w:styleId="Heading2Char">
    <w:name w:val="Heading 2 Char"/>
    <w:basedOn w:val="DefaultParagraphFont"/>
    <w:link w:val="Heading2"/>
    <w:uiPriority w:val="9"/>
    <w:semiHidden/>
    <w:rsid w:val="00917DB4"/>
    <w:rPr>
      <w:rFonts w:asciiTheme="majorHAnsi" w:eastAsiaTheme="majorEastAsia" w:hAnsiTheme="majorHAnsi" w:cstheme="majorBidi"/>
      <w:color w:val="0F4761" w:themeColor="accent1" w:themeShade="BF"/>
      <w:sz w:val="26"/>
      <w:szCs w:val="26"/>
    </w:rPr>
  </w:style>
  <w:style w:type="character" w:styleId="CommentReference">
    <w:name w:val="annotation reference"/>
    <w:basedOn w:val="DefaultParagraphFont"/>
    <w:uiPriority w:val="99"/>
    <w:semiHidden/>
    <w:unhideWhenUsed/>
    <w:rsid w:val="00307F3A"/>
    <w:rPr>
      <w:sz w:val="16"/>
      <w:szCs w:val="16"/>
    </w:rPr>
  </w:style>
  <w:style w:type="paragraph" w:styleId="CommentText">
    <w:name w:val="annotation text"/>
    <w:basedOn w:val="Normal"/>
    <w:link w:val="CommentTextChar"/>
    <w:uiPriority w:val="99"/>
    <w:unhideWhenUsed/>
    <w:rsid w:val="00307F3A"/>
    <w:pPr>
      <w:spacing w:line="240" w:lineRule="auto"/>
    </w:pPr>
    <w:rPr>
      <w:sz w:val="20"/>
      <w:szCs w:val="20"/>
    </w:rPr>
  </w:style>
  <w:style w:type="character" w:customStyle="1" w:styleId="CommentTextChar">
    <w:name w:val="Comment Text Char"/>
    <w:basedOn w:val="DefaultParagraphFont"/>
    <w:link w:val="CommentText"/>
    <w:uiPriority w:val="99"/>
    <w:rsid w:val="00307F3A"/>
    <w:rPr>
      <w:sz w:val="20"/>
      <w:szCs w:val="20"/>
    </w:rPr>
  </w:style>
  <w:style w:type="paragraph" w:styleId="CommentSubject">
    <w:name w:val="annotation subject"/>
    <w:basedOn w:val="CommentText"/>
    <w:next w:val="CommentText"/>
    <w:link w:val="CommentSubjectChar"/>
    <w:uiPriority w:val="99"/>
    <w:semiHidden/>
    <w:unhideWhenUsed/>
    <w:rsid w:val="00307F3A"/>
    <w:rPr>
      <w:b/>
      <w:bCs/>
    </w:rPr>
  </w:style>
  <w:style w:type="character" w:customStyle="1" w:styleId="CommentSubjectChar">
    <w:name w:val="Comment Subject Char"/>
    <w:basedOn w:val="CommentTextChar"/>
    <w:link w:val="CommentSubject"/>
    <w:uiPriority w:val="99"/>
    <w:semiHidden/>
    <w:rsid w:val="00307F3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2561</Words>
  <Characters>15423</Characters>
  <Application>Microsoft Office Word</Application>
  <DocSecurity>0</DocSecurity>
  <Lines>321</Lines>
  <Paragraphs>143</Paragraphs>
  <ScaleCrop>false</ScaleCrop>
  <Company/>
  <LinksUpToDate>false</LinksUpToDate>
  <CharactersWithSpaces>17841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2026-05-12T04:26:00Z</dcterms:created>
  <dcterms:modified xsi:type="dcterms:W3CDTF">2026-05-12T04:32:00Z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6f8c9cde,64d96b89,12dad79b</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3e231d85,68c56184,23fa7b3b</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2026-05-12T04:26:54Z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a97f48c4-2601-44d6-bb52-07cc94af4c62</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