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0E48C" w14:textId="77777777" w:rsidR="00247389" w:rsidRDefault="00247389" w:rsidP="0092241E"/>
    <w:p w14:paraId="717BC05B" w14:textId="77777777" w:rsidR="00247389" w:rsidRDefault="00247389" w:rsidP="002662E5">
      <w:pPr>
        <w:pStyle w:val="Title"/>
        <w:jc w:val="center"/>
        <w:rPr>
          <w:rFonts w:ascii="Segoe UI" w:hAnsi="Segoe UI" w:cs="Segoe UI"/>
          <w:b/>
          <w:bCs/>
        </w:rPr>
      </w:pPr>
    </w:p>
    <w:p w14:paraId="4D9E5A09" w14:textId="77777777" w:rsidR="002E4760" w:rsidRDefault="002E4760" w:rsidP="002E4760">
      <w:pPr>
        <w:pStyle w:val="Title"/>
        <w:jc w:val="center"/>
        <w:rPr>
          <w:rFonts w:ascii="Segoe UI" w:hAnsi="Segoe UI" w:cs="Segoe UI"/>
          <w:b/>
          <w:bCs/>
        </w:rPr>
      </w:pPr>
      <w:r w:rsidRPr="00222820">
        <w:rPr>
          <w:rFonts w:ascii="Segoe UI" w:hAnsi="Segoe UI" w:cs="Segoe UI"/>
          <w:b/>
          <w:bCs/>
        </w:rPr>
        <w:t>MSAC Application</w:t>
      </w:r>
      <w:r>
        <w:rPr>
          <w:rFonts w:ascii="Segoe UI" w:hAnsi="Segoe UI" w:cs="Segoe UI"/>
          <w:b/>
          <w:bCs/>
        </w:rPr>
        <w:t xml:space="preserve"> 1738.1</w:t>
      </w:r>
    </w:p>
    <w:p w14:paraId="4EF0DDFD" w14:textId="77777777" w:rsidR="002E4760" w:rsidRPr="00247389" w:rsidRDefault="002E4760" w:rsidP="002E4760"/>
    <w:p w14:paraId="09812122" w14:textId="77777777" w:rsidR="002E4760" w:rsidRDefault="002E4760" w:rsidP="002E4760">
      <w:pPr>
        <w:pStyle w:val="Subtitle"/>
        <w:jc w:val="center"/>
        <w:rPr>
          <w:rFonts w:ascii="Segoe UI" w:eastAsiaTheme="minorHAnsi" w:hAnsi="Segoe UI" w:cs="Segoe UI"/>
          <w:i/>
          <w:iCs/>
          <w:color w:val="538135" w:themeColor="accent6" w:themeShade="BF"/>
          <w:spacing w:val="0"/>
          <w:szCs w:val="24"/>
        </w:rPr>
      </w:pPr>
      <w:r w:rsidRPr="000824E9">
        <w:rPr>
          <w:rFonts w:ascii="Segoe UI" w:hAnsi="Segoe UI" w:cs="Segoe UI"/>
          <w:b/>
          <w:bCs/>
          <w:color w:val="002060"/>
          <w:sz w:val="48"/>
          <w:szCs w:val="48"/>
        </w:rPr>
        <w:t xml:space="preserve">Investigations to support the use of PBS subsidised </w:t>
      </w:r>
      <w:proofErr w:type="spellStart"/>
      <w:r w:rsidRPr="000824E9">
        <w:rPr>
          <w:rFonts w:ascii="Segoe UI" w:hAnsi="Segoe UI" w:cs="Segoe UI"/>
          <w:b/>
          <w:bCs/>
          <w:color w:val="002060"/>
          <w:sz w:val="48"/>
          <w:szCs w:val="48"/>
        </w:rPr>
        <w:t>lecanemab</w:t>
      </w:r>
      <w:proofErr w:type="spellEnd"/>
      <w:r w:rsidRPr="000824E9">
        <w:rPr>
          <w:rFonts w:ascii="Segoe UI" w:hAnsi="Segoe UI" w:cs="Segoe UI"/>
          <w:b/>
          <w:bCs/>
          <w:color w:val="002060"/>
          <w:sz w:val="48"/>
          <w:szCs w:val="48"/>
        </w:rPr>
        <w:t xml:space="preserve"> in people with mild cognitive impairment and mild dementia due to Alzheimer’s disease.</w:t>
      </w:r>
      <w:r w:rsidRPr="003F4E49">
        <w:rPr>
          <w:color w:val="0070C0"/>
        </w:rPr>
        <w:br/>
      </w:r>
    </w:p>
    <w:p w14:paraId="2CED87DE" w14:textId="4B170818" w:rsidR="00EA0AA0" w:rsidRDefault="009139B7" w:rsidP="002662E5">
      <w:pPr>
        <w:pStyle w:val="Subtitle"/>
        <w:jc w:val="center"/>
        <w:rPr>
          <w:rFonts w:ascii="Segoe UI" w:eastAsiaTheme="minorHAnsi" w:hAnsi="Segoe UI" w:cs="Segoe UI"/>
          <w:i/>
          <w:iCs/>
          <w:color w:val="538135" w:themeColor="accent6" w:themeShade="BF"/>
          <w:spacing w:val="0"/>
          <w:szCs w:val="24"/>
        </w:rPr>
      </w:pPr>
      <w:r w:rsidRPr="003F4E49">
        <w:rPr>
          <w:color w:val="0070C0"/>
        </w:rPr>
        <w:br/>
      </w:r>
    </w:p>
    <w:p w14:paraId="3DB046D5" w14:textId="77777777" w:rsidR="00247389" w:rsidRPr="00247389" w:rsidRDefault="00247389" w:rsidP="00247389"/>
    <w:p w14:paraId="41F4C9E1" w14:textId="69A53305" w:rsidR="00EA0AA0" w:rsidRPr="00222820" w:rsidRDefault="00EA0AA0" w:rsidP="002662E5">
      <w:pPr>
        <w:pStyle w:val="Subtitle"/>
        <w:jc w:val="center"/>
        <w:rPr>
          <w:rFonts w:ascii="Segoe UI" w:hAnsi="Segoe UI" w:cs="Segoe UI"/>
          <w:b/>
          <w:bCs/>
          <w:color w:val="002060"/>
          <w:sz w:val="48"/>
          <w:szCs w:val="48"/>
        </w:rPr>
      </w:pPr>
      <w:r w:rsidRPr="00222820">
        <w:rPr>
          <w:rFonts w:ascii="Segoe UI" w:hAnsi="Segoe UI" w:cs="Segoe UI"/>
          <w:b/>
          <w:bCs/>
          <w:color w:val="002060"/>
          <w:sz w:val="48"/>
          <w:szCs w:val="48"/>
        </w:rPr>
        <w:t>PICO Set</w:t>
      </w:r>
    </w:p>
    <w:p w14:paraId="36D3A1E8" w14:textId="77777777" w:rsidR="009139B7" w:rsidRPr="003F4E49" w:rsidRDefault="009139B7" w:rsidP="002662E5">
      <w:pPr>
        <w:spacing w:after="160" w:line="259" w:lineRule="auto"/>
        <w:jc w:val="center"/>
        <w:rPr>
          <w:b/>
          <w:bCs/>
          <w:color w:val="0070C0"/>
          <w:sz w:val="32"/>
          <w:szCs w:val="32"/>
        </w:rPr>
      </w:pPr>
      <w:r w:rsidRPr="003F4E49">
        <w:br w:type="page"/>
      </w:r>
    </w:p>
    <w:p w14:paraId="5BEAFFDE" w14:textId="63EDDA11" w:rsidR="00051843" w:rsidRPr="00A84BCA" w:rsidRDefault="00051843" w:rsidP="00EA0AA0">
      <w:pPr>
        <w:pStyle w:val="Heading1"/>
        <w:rPr>
          <w:color w:val="002060"/>
        </w:rPr>
      </w:pPr>
      <w:r w:rsidRPr="00A84BCA">
        <w:rPr>
          <w:color w:val="002060"/>
        </w:rPr>
        <w:lastRenderedPageBreak/>
        <w:t>Population</w:t>
      </w:r>
    </w:p>
    <w:p w14:paraId="403BD183" w14:textId="738A72BE" w:rsidR="00051843" w:rsidRPr="006C5DE1" w:rsidRDefault="00051843" w:rsidP="006C5DE1">
      <w:pPr>
        <w:rPr>
          <w:b/>
          <w:bCs/>
          <w:lang w:eastAsia="en-AU"/>
        </w:rPr>
      </w:pPr>
      <w:r w:rsidRPr="006C5DE1">
        <w:rPr>
          <w:b/>
          <w:bCs/>
          <w:lang w:eastAsia="en-AU"/>
        </w:rPr>
        <w:t>Describe the population in which the proposed health technology is intended to be used:</w:t>
      </w:r>
    </w:p>
    <w:p w14:paraId="74D2835B" w14:textId="1AFBB5D1" w:rsidR="00B407CD" w:rsidRDefault="00EA2CE8" w:rsidP="00577BB2">
      <w:pPr>
        <w:rPr>
          <w:szCs w:val="24"/>
        </w:rPr>
      </w:pPr>
      <w:r>
        <w:rPr>
          <w:szCs w:val="24"/>
        </w:rPr>
        <w:t>T</w:t>
      </w:r>
      <w:r w:rsidR="00567C96">
        <w:rPr>
          <w:szCs w:val="24"/>
        </w:rPr>
        <w:t xml:space="preserve">his </w:t>
      </w:r>
      <w:r w:rsidR="004E75E9">
        <w:rPr>
          <w:szCs w:val="24"/>
        </w:rPr>
        <w:t xml:space="preserve">is a co-dependent technology </w:t>
      </w:r>
      <w:r w:rsidR="005F5952">
        <w:rPr>
          <w:szCs w:val="24"/>
        </w:rPr>
        <w:t>application</w:t>
      </w:r>
      <w:r w:rsidR="00083AA9">
        <w:rPr>
          <w:szCs w:val="24"/>
        </w:rPr>
        <w:t xml:space="preserve"> </w:t>
      </w:r>
      <w:r w:rsidR="004E75E9">
        <w:rPr>
          <w:szCs w:val="24"/>
        </w:rPr>
        <w:t>where</w:t>
      </w:r>
      <w:r w:rsidR="00083AA9">
        <w:rPr>
          <w:szCs w:val="24"/>
        </w:rPr>
        <w:t xml:space="preserve"> biomarker testing </w:t>
      </w:r>
      <w:r w:rsidR="00CF4D39">
        <w:rPr>
          <w:szCs w:val="24"/>
        </w:rPr>
        <w:t xml:space="preserve">is used to inform eligibility </w:t>
      </w:r>
      <w:r w:rsidR="0090562A">
        <w:rPr>
          <w:szCs w:val="24"/>
        </w:rPr>
        <w:t xml:space="preserve">to access </w:t>
      </w:r>
      <w:proofErr w:type="spellStart"/>
      <w:r w:rsidR="0090562A">
        <w:rPr>
          <w:szCs w:val="24"/>
        </w:rPr>
        <w:t>lecanemab</w:t>
      </w:r>
      <w:proofErr w:type="spellEnd"/>
      <w:r w:rsidR="0090562A">
        <w:rPr>
          <w:szCs w:val="24"/>
        </w:rPr>
        <w:t xml:space="preserve"> through the PBS.</w:t>
      </w:r>
      <w:r w:rsidR="00520AAA">
        <w:rPr>
          <w:szCs w:val="24"/>
        </w:rPr>
        <w:t xml:space="preserve"> </w:t>
      </w:r>
      <w:r w:rsidR="00385331">
        <w:rPr>
          <w:szCs w:val="24"/>
        </w:rPr>
        <w:t>The b</w:t>
      </w:r>
      <w:r w:rsidR="00B407CD">
        <w:rPr>
          <w:szCs w:val="24"/>
        </w:rPr>
        <w:t>iomarkers</w:t>
      </w:r>
      <w:r w:rsidR="002237C2">
        <w:rPr>
          <w:szCs w:val="24"/>
        </w:rPr>
        <w:t xml:space="preserve"> </w:t>
      </w:r>
      <w:r w:rsidR="004B300B">
        <w:rPr>
          <w:szCs w:val="24"/>
        </w:rPr>
        <w:t xml:space="preserve">that </w:t>
      </w:r>
      <w:r w:rsidR="002237C2">
        <w:rPr>
          <w:szCs w:val="24"/>
        </w:rPr>
        <w:t xml:space="preserve">need to be assessed are </w:t>
      </w:r>
      <w:r w:rsidR="00C30A74">
        <w:rPr>
          <w:szCs w:val="24"/>
        </w:rPr>
        <w:t xml:space="preserve">amyloid </w:t>
      </w:r>
      <w:r w:rsidR="00BA69B9">
        <w:rPr>
          <w:szCs w:val="24"/>
        </w:rPr>
        <w:t xml:space="preserve">beta (Aβ) pathology </w:t>
      </w:r>
      <w:r w:rsidR="00DF6D87">
        <w:rPr>
          <w:szCs w:val="24"/>
        </w:rPr>
        <w:t xml:space="preserve">and </w:t>
      </w:r>
      <w:proofErr w:type="spellStart"/>
      <w:r w:rsidR="00DF6D87">
        <w:rPr>
          <w:szCs w:val="24"/>
        </w:rPr>
        <w:t>apoliprotein</w:t>
      </w:r>
      <w:proofErr w:type="spellEnd"/>
      <w:r w:rsidR="00DF6D87">
        <w:rPr>
          <w:szCs w:val="24"/>
        </w:rPr>
        <w:t xml:space="preserve"> E ε4</w:t>
      </w:r>
      <w:r w:rsidR="00252429">
        <w:rPr>
          <w:szCs w:val="24"/>
        </w:rPr>
        <w:t xml:space="preserve"> (</w:t>
      </w:r>
      <w:proofErr w:type="spellStart"/>
      <w:r w:rsidR="00252429">
        <w:rPr>
          <w:szCs w:val="24"/>
        </w:rPr>
        <w:t>ApoE</w:t>
      </w:r>
      <w:proofErr w:type="spellEnd"/>
      <w:r w:rsidR="00252429">
        <w:rPr>
          <w:szCs w:val="24"/>
        </w:rPr>
        <w:t xml:space="preserve"> </w:t>
      </w:r>
      <w:r w:rsidR="00F1571D">
        <w:rPr>
          <w:szCs w:val="24"/>
        </w:rPr>
        <w:t>ε4) genotype.</w:t>
      </w:r>
    </w:p>
    <w:p w14:paraId="4D033191" w14:textId="7D237EC8" w:rsidR="00051843" w:rsidRDefault="004B300B" w:rsidP="00482E35">
      <w:pPr>
        <w:rPr>
          <w:szCs w:val="24"/>
        </w:rPr>
      </w:pPr>
      <w:r>
        <w:rPr>
          <w:szCs w:val="24"/>
        </w:rPr>
        <w:t>T</w:t>
      </w:r>
      <w:r w:rsidR="00482E35">
        <w:rPr>
          <w:szCs w:val="24"/>
        </w:rPr>
        <w:t>he outcome of biomarker testing determine</w:t>
      </w:r>
      <w:r>
        <w:rPr>
          <w:szCs w:val="24"/>
        </w:rPr>
        <w:t>s</w:t>
      </w:r>
      <w:r w:rsidR="00781A1C">
        <w:rPr>
          <w:szCs w:val="24"/>
        </w:rPr>
        <w:t xml:space="preserve"> </w:t>
      </w:r>
      <w:r w:rsidR="00482E35">
        <w:rPr>
          <w:szCs w:val="24"/>
        </w:rPr>
        <w:t>eligibility to access</w:t>
      </w:r>
      <w:r w:rsidR="006033B9">
        <w:rPr>
          <w:szCs w:val="24"/>
        </w:rPr>
        <w:t xml:space="preserve"> </w:t>
      </w:r>
      <w:proofErr w:type="spellStart"/>
      <w:r w:rsidR="00482E35">
        <w:rPr>
          <w:szCs w:val="24"/>
        </w:rPr>
        <w:t>lecanemab</w:t>
      </w:r>
      <w:proofErr w:type="spellEnd"/>
      <w:r>
        <w:rPr>
          <w:szCs w:val="24"/>
        </w:rPr>
        <w:t>. Thus,</w:t>
      </w:r>
      <w:r w:rsidR="00482E35">
        <w:rPr>
          <w:szCs w:val="24"/>
        </w:rPr>
        <w:t xml:space="preserve"> </w:t>
      </w:r>
      <w:r w:rsidR="002070E7">
        <w:rPr>
          <w:szCs w:val="24"/>
        </w:rPr>
        <w:t xml:space="preserve">the proposed health technologies are intended to be used in two </w:t>
      </w:r>
      <w:r w:rsidR="00E51684">
        <w:rPr>
          <w:szCs w:val="24"/>
        </w:rPr>
        <w:t>distinct populations:</w:t>
      </w:r>
    </w:p>
    <w:p w14:paraId="3D9CE2BA" w14:textId="04C4B9B6" w:rsidR="00E51684" w:rsidRDefault="00AD3961" w:rsidP="00E51684">
      <w:pPr>
        <w:pStyle w:val="ListParagraph"/>
        <w:numPr>
          <w:ilvl w:val="0"/>
          <w:numId w:val="1"/>
        </w:numPr>
        <w:rPr>
          <w:szCs w:val="24"/>
        </w:rPr>
      </w:pPr>
      <w:r w:rsidRPr="00A247DB">
        <w:rPr>
          <w:b/>
          <w:bCs/>
          <w:szCs w:val="24"/>
        </w:rPr>
        <w:t>Biomarker t</w:t>
      </w:r>
      <w:r w:rsidR="00E51684" w:rsidRPr="00A247DB">
        <w:rPr>
          <w:b/>
          <w:bCs/>
          <w:szCs w:val="24"/>
        </w:rPr>
        <w:t>est</w:t>
      </w:r>
      <w:r w:rsidR="00CD0C3E">
        <w:rPr>
          <w:b/>
          <w:bCs/>
          <w:szCs w:val="24"/>
        </w:rPr>
        <w:t>ing</w:t>
      </w:r>
      <w:r w:rsidR="00E51684" w:rsidRPr="00A247DB">
        <w:rPr>
          <w:b/>
          <w:bCs/>
          <w:szCs w:val="24"/>
        </w:rPr>
        <w:t>:</w:t>
      </w:r>
      <w:r w:rsidR="00E51684">
        <w:rPr>
          <w:szCs w:val="24"/>
        </w:rPr>
        <w:t xml:space="preserve"> </w:t>
      </w:r>
      <w:r w:rsidR="00781A1C">
        <w:rPr>
          <w:szCs w:val="24"/>
        </w:rPr>
        <w:t>people</w:t>
      </w:r>
      <w:r>
        <w:rPr>
          <w:szCs w:val="24"/>
        </w:rPr>
        <w:t xml:space="preserve"> </w:t>
      </w:r>
      <w:r w:rsidR="00E95F1B">
        <w:rPr>
          <w:szCs w:val="24"/>
        </w:rPr>
        <w:t xml:space="preserve">with mild cognitive impairment </w:t>
      </w:r>
      <w:r w:rsidR="008A75DF">
        <w:rPr>
          <w:szCs w:val="24"/>
        </w:rPr>
        <w:t xml:space="preserve">and mild dementia due to Alzheimer’s </w:t>
      </w:r>
      <w:r w:rsidR="00FC7C61">
        <w:rPr>
          <w:szCs w:val="24"/>
        </w:rPr>
        <w:t>disease</w:t>
      </w:r>
    </w:p>
    <w:p w14:paraId="7808319C" w14:textId="67F7B343" w:rsidR="008A75DF" w:rsidRDefault="008A75DF" w:rsidP="00E51684">
      <w:pPr>
        <w:pStyle w:val="ListParagraph"/>
        <w:numPr>
          <w:ilvl w:val="0"/>
          <w:numId w:val="1"/>
        </w:numPr>
        <w:rPr>
          <w:szCs w:val="24"/>
        </w:rPr>
      </w:pPr>
      <w:proofErr w:type="spellStart"/>
      <w:r w:rsidRPr="00A247DB">
        <w:rPr>
          <w:b/>
          <w:bCs/>
          <w:szCs w:val="24"/>
        </w:rPr>
        <w:t>Lecanemab</w:t>
      </w:r>
      <w:proofErr w:type="spellEnd"/>
      <w:r w:rsidRPr="00A247DB">
        <w:rPr>
          <w:b/>
          <w:bCs/>
          <w:szCs w:val="24"/>
        </w:rPr>
        <w:t xml:space="preserve"> treatment:</w:t>
      </w:r>
      <w:r>
        <w:rPr>
          <w:szCs w:val="24"/>
        </w:rPr>
        <w:t xml:space="preserve"> </w:t>
      </w:r>
      <w:r w:rsidR="00781A1C">
        <w:rPr>
          <w:szCs w:val="24"/>
        </w:rPr>
        <w:t>people</w:t>
      </w:r>
      <w:r>
        <w:rPr>
          <w:szCs w:val="24"/>
        </w:rPr>
        <w:t xml:space="preserve"> with mild cognitive impairment and mild dementia due to Alzheimer’s disease</w:t>
      </w:r>
      <w:r w:rsidR="008E318C">
        <w:rPr>
          <w:szCs w:val="24"/>
        </w:rPr>
        <w:t xml:space="preserve"> with evidence of Aβ pathology </w:t>
      </w:r>
      <w:r w:rsidR="0091510A">
        <w:rPr>
          <w:szCs w:val="24"/>
        </w:rPr>
        <w:t xml:space="preserve">that are </w:t>
      </w:r>
      <w:proofErr w:type="spellStart"/>
      <w:r w:rsidR="0091510A">
        <w:rPr>
          <w:szCs w:val="24"/>
        </w:rPr>
        <w:t>ApoE</w:t>
      </w:r>
      <w:proofErr w:type="spellEnd"/>
      <w:r w:rsidR="0091510A">
        <w:rPr>
          <w:szCs w:val="24"/>
        </w:rPr>
        <w:t xml:space="preserve"> ε4 non-carriers or heterozygous</w:t>
      </w:r>
    </w:p>
    <w:p w14:paraId="177CF167" w14:textId="108928EA" w:rsidR="001B701E" w:rsidRDefault="00EB144F" w:rsidP="001B701E">
      <w:pPr>
        <w:rPr>
          <w:szCs w:val="24"/>
        </w:rPr>
      </w:pPr>
      <w:r>
        <w:rPr>
          <w:szCs w:val="24"/>
        </w:rPr>
        <w:t>T</w:t>
      </w:r>
      <w:r w:rsidR="00D01B1B">
        <w:rPr>
          <w:szCs w:val="24"/>
        </w:rPr>
        <w:t xml:space="preserve">he </w:t>
      </w:r>
      <w:proofErr w:type="spellStart"/>
      <w:r>
        <w:rPr>
          <w:szCs w:val="24"/>
        </w:rPr>
        <w:t>lecanemab</w:t>
      </w:r>
      <w:proofErr w:type="spellEnd"/>
      <w:r>
        <w:rPr>
          <w:szCs w:val="24"/>
        </w:rPr>
        <w:t xml:space="preserve"> </w:t>
      </w:r>
      <w:r w:rsidR="00D01B1B">
        <w:rPr>
          <w:szCs w:val="24"/>
        </w:rPr>
        <w:t>TGA Product Information</w:t>
      </w:r>
      <w:r>
        <w:rPr>
          <w:szCs w:val="24"/>
        </w:rPr>
        <w:t xml:space="preserve"> outlines that</w:t>
      </w:r>
      <w:r w:rsidR="002958E4">
        <w:rPr>
          <w:szCs w:val="24"/>
        </w:rPr>
        <w:t xml:space="preserve"> a recent (within 6 months) </w:t>
      </w:r>
      <w:r w:rsidR="00550AB9">
        <w:rPr>
          <w:szCs w:val="24"/>
        </w:rPr>
        <w:t>magnetic resonance im</w:t>
      </w:r>
      <w:r w:rsidR="00A642D9">
        <w:rPr>
          <w:szCs w:val="24"/>
        </w:rPr>
        <w:t>aging (</w:t>
      </w:r>
      <w:r w:rsidR="002958E4">
        <w:rPr>
          <w:szCs w:val="24"/>
        </w:rPr>
        <w:t>MRI</w:t>
      </w:r>
      <w:r w:rsidR="00A642D9">
        <w:rPr>
          <w:szCs w:val="24"/>
        </w:rPr>
        <w:t>) scan</w:t>
      </w:r>
      <w:r w:rsidR="002958E4">
        <w:rPr>
          <w:szCs w:val="24"/>
        </w:rPr>
        <w:t xml:space="preserve"> of the brain should be available </w:t>
      </w:r>
      <w:r w:rsidR="006F538B">
        <w:rPr>
          <w:szCs w:val="24"/>
        </w:rPr>
        <w:t xml:space="preserve">prior to initiating </w:t>
      </w:r>
      <w:proofErr w:type="spellStart"/>
      <w:r w:rsidR="006F538B">
        <w:rPr>
          <w:szCs w:val="24"/>
        </w:rPr>
        <w:t>lecanemab</w:t>
      </w:r>
      <w:proofErr w:type="spellEnd"/>
      <w:r w:rsidR="00BA694F">
        <w:rPr>
          <w:szCs w:val="24"/>
        </w:rPr>
        <w:t xml:space="preserve"> treatment</w:t>
      </w:r>
      <w:r w:rsidR="00A642D9">
        <w:rPr>
          <w:szCs w:val="24"/>
        </w:rPr>
        <w:t xml:space="preserve">. Follow-up MRI scans are also recommended </w:t>
      </w:r>
      <w:r w:rsidR="00CC2F8C">
        <w:rPr>
          <w:szCs w:val="24"/>
        </w:rPr>
        <w:t xml:space="preserve">before the </w:t>
      </w:r>
      <w:r w:rsidR="00CC2F8C" w:rsidRPr="005A73FA">
        <w:rPr>
          <w:szCs w:val="24"/>
        </w:rPr>
        <w:t>3</w:t>
      </w:r>
      <w:proofErr w:type="gramStart"/>
      <w:r w:rsidR="00CC2F8C" w:rsidRPr="005A73FA">
        <w:rPr>
          <w:szCs w:val="24"/>
        </w:rPr>
        <w:t>rd</w:t>
      </w:r>
      <w:r w:rsidR="005A73FA">
        <w:rPr>
          <w:szCs w:val="24"/>
        </w:rPr>
        <w:t xml:space="preserve"> </w:t>
      </w:r>
      <w:r w:rsidR="00CC2F8C" w:rsidRPr="005A73FA">
        <w:rPr>
          <w:szCs w:val="24"/>
        </w:rPr>
        <w:t>,</w:t>
      </w:r>
      <w:proofErr w:type="gramEnd"/>
      <w:r w:rsidR="00CC2F8C" w:rsidRPr="005A73FA">
        <w:rPr>
          <w:szCs w:val="24"/>
        </w:rPr>
        <w:t xml:space="preserve"> 5th, 7th and 14th infusions of </w:t>
      </w:r>
      <w:proofErr w:type="spellStart"/>
      <w:r w:rsidR="00CC2F8C" w:rsidRPr="005A73FA">
        <w:rPr>
          <w:szCs w:val="24"/>
        </w:rPr>
        <w:t>lecanemab</w:t>
      </w:r>
      <w:proofErr w:type="spellEnd"/>
      <w:r w:rsidR="00CC2F8C" w:rsidRPr="005A73FA">
        <w:rPr>
          <w:szCs w:val="24"/>
        </w:rPr>
        <w:t xml:space="preserve">. </w:t>
      </w:r>
      <w:r w:rsidR="00380D4C">
        <w:rPr>
          <w:szCs w:val="24"/>
        </w:rPr>
        <w:t>The</w:t>
      </w:r>
      <w:r w:rsidR="003D5800">
        <w:rPr>
          <w:szCs w:val="24"/>
        </w:rPr>
        <w:t xml:space="preserve">se </w:t>
      </w:r>
      <w:r w:rsidR="00380D4C">
        <w:rPr>
          <w:szCs w:val="24"/>
        </w:rPr>
        <w:t>MRI scan</w:t>
      </w:r>
      <w:r w:rsidR="00A72DBD">
        <w:rPr>
          <w:szCs w:val="24"/>
        </w:rPr>
        <w:t xml:space="preserve">s investigate for the presence </w:t>
      </w:r>
      <w:r w:rsidR="00380D4C">
        <w:rPr>
          <w:szCs w:val="24"/>
        </w:rPr>
        <w:t xml:space="preserve">amyloid-related imaging abnormalities (ARIA) </w:t>
      </w:r>
      <w:r w:rsidR="003D5800">
        <w:rPr>
          <w:szCs w:val="24"/>
        </w:rPr>
        <w:t xml:space="preserve">and other </w:t>
      </w:r>
      <w:r w:rsidR="00EA533C">
        <w:rPr>
          <w:szCs w:val="24"/>
        </w:rPr>
        <w:t>pathologies</w:t>
      </w:r>
      <w:r w:rsidR="003D5800">
        <w:rPr>
          <w:szCs w:val="24"/>
        </w:rPr>
        <w:t xml:space="preserve"> </w:t>
      </w:r>
      <w:r w:rsidR="00A42567">
        <w:rPr>
          <w:szCs w:val="24"/>
        </w:rPr>
        <w:t xml:space="preserve">that would </w:t>
      </w:r>
      <w:r w:rsidR="001B701E">
        <w:rPr>
          <w:szCs w:val="24"/>
        </w:rPr>
        <w:t>contraindicate</w:t>
      </w:r>
      <w:r w:rsidR="00A42567">
        <w:rPr>
          <w:szCs w:val="24"/>
        </w:rPr>
        <w:t xml:space="preserve"> </w:t>
      </w:r>
      <w:proofErr w:type="spellStart"/>
      <w:r w:rsidR="00A42567" w:rsidRPr="00A42567">
        <w:rPr>
          <w:szCs w:val="24"/>
        </w:rPr>
        <w:t>lecanemab</w:t>
      </w:r>
      <w:proofErr w:type="spellEnd"/>
      <w:r w:rsidR="00A42567" w:rsidRPr="00A42567">
        <w:rPr>
          <w:szCs w:val="24"/>
        </w:rPr>
        <w:t xml:space="preserve"> treatment</w:t>
      </w:r>
      <w:r w:rsidR="001B701E">
        <w:rPr>
          <w:szCs w:val="24"/>
        </w:rPr>
        <w:t>.</w:t>
      </w:r>
    </w:p>
    <w:p w14:paraId="6F193B19" w14:textId="3637EAD9" w:rsidR="00B12305" w:rsidRPr="00B12305" w:rsidRDefault="00B12305" w:rsidP="00B12305">
      <w:pPr>
        <w:rPr>
          <w:szCs w:val="24"/>
        </w:rPr>
      </w:pPr>
      <w:r>
        <w:rPr>
          <w:szCs w:val="24"/>
        </w:rPr>
        <w:t xml:space="preserve">This application </w:t>
      </w:r>
      <w:r w:rsidR="00BA703A">
        <w:rPr>
          <w:szCs w:val="24"/>
        </w:rPr>
        <w:t xml:space="preserve">also </w:t>
      </w:r>
      <w:r>
        <w:rPr>
          <w:szCs w:val="24"/>
        </w:rPr>
        <w:t xml:space="preserve">requests </w:t>
      </w:r>
      <w:r w:rsidR="00BA703A">
        <w:rPr>
          <w:szCs w:val="24"/>
        </w:rPr>
        <w:t xml:space="preserve">the creation of </w:t>
      </w:r>
      <w:r w:rsidR="00AC097A">
        <w:rPr>
          <w:szCs w:val="24"/>
        </w:rPr>
        <w:t xml:space="preserve">MBS </w:t>
      </w:r>
      <w:r w:rsidR="00BA703A">
        <w:rPr>
          <w:szCs w:val="24"/>
        </w:rPr>
        <w:t xml:space="preserve">items supporting </w:t>
      </w:r>
      <w:r w:rsidR="00AC097A">
        <w:rPr>
          <w:szCs w:val="24"/>
        </w:rPr>
        <w:t xml:space="preserve">MRI scans of the brain </w:t>
      </w:r>
      <w:r w:rsidR="00D61036">
        <w:rPr>
          <w:szCs w:val="24"/>
        </w:rPr>
        <w:t xml:space="preserve">in </w:t>
      </w:r>
      <w:r w:rsidR="00781A1C">
        <w:rPr>
          <w:szCs w:val="24"/>
        </w:rPr>
        <w:t>people</w:t>
      </w:r>
      <w:r w:rsidR="00D61036">
        <w:rPr>
          <w:szCs w:val="24"/>
        </w:rPr>
        <w:t xml:space="preserve"> </w:t>
      </w:r>
      <w:r w:rsidR="004F7E74">
        <w:rPr>
          <w:szCs w:val="24"/>
        </w:rPr>
        <w:t>intended</w:t>
      </w:r>
      <w:r w:rsidR="00AE0C4B">
        <w:rPr>
          <w:szCs w:val="24"/>
        </w:rPr>
        <w:t xml:space="preserve"> </w:t>
      </w:r>
      <w:r w:rsidR="0041508B">
        <w:rPr>
          <w:szCs w:val="24"/>
        </w:rPr>
        <w:t xml:space="preserve">to be treated with </w:t>
      </w:r>
      <w:proofErr w:type="spellStart"/>
      <w:r w:rsidR="0041508B">
        <w:rPr>
          <w:szCs w:val="24"/>
        </w:rPr>
        <w:t>lecanemab</w:t>
      </w:r>
      <w:proofErr w:type="spellEnd"/>
      <w:r w:rsidR="008F0D94">
        <w:rPr>
          <w:szCs w:val="24"/>
        </w:rPr>
        <w:t xml:space="preserve"> and for </w:t>
      </w:r>
      <w:r w:rsidR="0041508B">
        <w:rPr>
          <w:szCs w:val="24"/>
        </w:rPr>
        <w:t>monitor</w:t>
      </w:r>
      <w:r w:rsidR="008F0D94">
        <w:rPr>
          <w:szCs w:val="24"/>
        </w:rPr>
        <w:t>ing</w:t>
      </w:r>
      <w:r w:rsidR="0041508B">
        <w:rPr>
          <w:szCs w:val="24"/>
        </w:rPr>
        <w:t xml:space="preserve"> p</w:t>
      </w:r>
      <w:r w:rsidR="00781A1C">
        <w:rPr>
          <w:szCs w:val="24"/>
        </w:rPr>
        <w:t xml:space="preserve">eople </w:t>
      </w:r>
      <w:r w:rsidR="004F7E74">
        <w:rPr>
          <w:szCs w:val="24"/>
        </w:rPr>
        <w:t>during the early stages of</w:t>
      </w:r>
      <w:r w:rsidR="00FF242B">
        <w:rPr>
          <w:szCs w:val="24"/>
        </w:rPr>
        <w:t xml:space="preserve"> </w:t>
      </w:r>
      <w:r w:rsidR="004F7E74">
        <w:rPr>
          <w:szCs w:val="24"/>
        </w:rPr>
        <w:t>treatment.</w:t>
      </w:r>
    </w:p>
    <w:p w14:paraId="7B7089F3" w14:textId="5C993C84" w:rsidR="00051843" w:rsidRPr="006C5DE1" w:rsidRDefault="00051843" w:rsidP="006C5DE1">
      <w:pPr>
        <w:rPr>
          <w:b/>
          <w:bCs/>
          <w:lang w:eastAsia="en-AU"/>
        </w:rPr>
      </w:pPr>
      <w:r w:rsidRPr="006C5DE1">
        <w:rPr>
          <w:b/>
          <w:bCs/>
          <w:lang w:eastAsia="en-AU"/>
        </w:rPr>
        <w:t>Specify any characteristics of patients with</w:t>
      </w:r>
      <w:r w:rsidR="00197915" w:rsidRPr="006C5DE1">
        <w:rPr>
          <w:b/>
          <w:bCs/>
          <w:lang w:eastAsia="en-AU"/>
        </w:rPr>
        <w:t>, or suspected of having,</w:t>
      </w:r>
      <w:r w:rsidRPr="006C5DE1">
        <w:rPr>
          <w:b/>
          <w:bCs/>
          <w:lang w:eastAsia="en-AU"/>
        </w:rPr>
        <w:t xml:space="preserve">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0635F721" w14:textId="0AFD4EEC" w:rsidR="00051843" w:rsidRPr="00BA5044" w:rsidRDefault="00BA5044" w:rsidP="00577BB2">
      <w:pPr>
        <w:rPr>
          <w:rFonts w:eastAsia="Segoe UI"/>
          <w:b/>
          <w:bCs/>
          <w:color w:val="000000"/>
          <w:szCs w:val="24"/>
        </w:rPr>
      </w:pPr>
      <w:r w:rsidRPr="00BA5044">
        <w:rPr>
          <w:b/>
          <w:bCs/>
          <w:szCs w:val="24"/>
        </w:rPr>
        <w:t>Biomarker test</w:t>
      </w:r>
      <w:r w:rsidR="00D93ABD">
        <w:rPr>
          <w:b/>
          <w:bCs/>
          <w:szCs w:val="24"/>
        </w:rPr>
        <w:t>ing</w:t>
      </w:r>
    </w:p>
    <w:p w14:paraId="6F0F2886" w14:textId="18043C63" w:rsidR="00BA5044" w:rsidRDefault="00BE7E86" w:rsidP="00940A7E">
      <w:pPr>
        <w:rPr>
          <w:szCs w:val="24"/>
        </w:rPr>
      </w:pPr>
      <w:r w:rsidRPr="00BE7E86">
        <w:rPr>
          <w:szCs w:val="24"/>
        </w:rPr>
        <w:t>It is proposed that</w:t>
      </w:r>
      <w:r>
        <w:rPr>
          <w:szCs w:val="24"/>
        </w:rPr>
        <w:t xml:space="preserve"> </w:t>
      </w:r>
      <w:r w:rsidR="00F80DD4">
        <w:rPr>
          <w:szCs w:val="24"/>
        </w:rPr>
        <w:t>people</w:t>
      </w:r>
      <w:r>
        <w:rPr>
          <w:szCs w:val="24"/>
        </w:rPr>
        <w:t xml:space="preserve"> </w:t>
      </w:r>
      <w:r w:rsidR="00FC7C61">
        <w:rPr>
          <w:szCs w:val="24"/>
        </w:rPr>
        <w:t>with mild cognitive impairment and mild dementia due to Alzheimer’s disease</w:t>
      </w:r>
      <w:r w:rsidR="001A6298">
        <w:rPr>
          <w:szCs w:val="24"/>
        </w:rPr>
        <w:t xml:space="preserve"> would be eligible to undergo biomarker testing associated with </w:t>
      </w:r>
      <w:r w:rsidR="000F45DC">
        <w:rPr>
          <w:szCs w:val="24"/>
        </w:rPr>
        <w:t xml:space="preserve">determining eligibility to access </w:t>
      </w:r>
      <w:proofErr w:type="spellStart"/>
      <w:r w:rsidR="000F45DC">
        <w:rPr>
          <w:szCs w:val="24"/>
        </w:rPr>
        <w:t>lecanemab</w:t>
      </w:r>
      <w:proofErr w:type="spellEnd"/>
      <w:r w:rsidR="000F45DC">
        <w:rPr>
          <w:szCs w:val="24"/>
        </w:rPr>
        <w:t xml:space="preserve"> through the PBS</w:t>
      </w:r>
      <w:r w:rsidR="008A18DC">
        <w:rPr>
          <w:szCs w:val="24"/>
        </w:rPr>
        <w:t>.</w:t>
      </w:r>
    </w:p>
    <w:p w14:paraId="35CF68FB" w14:textId="55ABAC09" w:rsidR="003B3646" w:rsidRDefault="00C45CB0" w:rsidP="00940A7E">
      <w:pPr>
        <w:rPr>
          <w:szCs w:val="24"/>
        </w:rPr>
      </w:pPr>
      <w:r>
        <w:rPr>
          <w:szCs w:val="24"/>
        </w:rPr>
        <w:t xml:space="preserve">Principles of care and </w:t>
      </w:r>
      <w:r w:rsidR="008373C1">
        <w:rPr>
          <w:szCs w:val="24"/>
        </w:rPr>
        <w:t xml:space="preserve">investigations </w:t>
      </w:r>
      <w:r w:rsidR="005970C1">
        <w:rPr>
          <w:szCs w:val="24"/>
        </w:rPr>
        <w:t xml:space="preserve">associated with establishing </w:t>
      </w:r>
      <w:r w:rsidR="00023000">
        <w:rPr>
          <w:szCs w:val="24"/>
        </w:rPr>
        <w:t>a diagnosis of mild cognitive impairment and mild dementia due to Alzheimer’s disease</w:t>
      </w:r>
      <w:r w:rsidR="00F30277">
        <w:rPr>
          <w:szCs w:val="24"/>
        </w:rPr>
        <w:t xml:space="preserve"> in Australia are outlined in ‘Clinical Practice Guidelines and Principles of Care for Peo</w:t>
      </w:r>
      <w:r w:rsidR="006F3761">
        <w:rPr>
          <w:szCs w:val="24"/>
        </w:rPr>
        <w:t xml:space="preserve">ple with Dementia’ </w:t>
      </w:r>
      <w:r w:rsidR="00881F00">
        <w:rPr>
          <w:noProof/>
          <w:szCs w:val="24"/>
        </w:rPr>
        <w:t>(Guideline Adaption Committee 2016)</w:t>
      </w:r>
      <w:r w:rsidR="008622D0">
        <w:rPr>
          <w:szCs w:val="24"/>
        </w:rPr>
        <w:t>.</w:t>
      </w:r>
    </w:p>
    <w:p w14:paraId="028BA1D4" w14:textId="77777777" w:rsidR="00613468" w:rsidRDefault="0050265E" w:rsidP="00940A7E">
      <w:pPr>
        <w:rPr>
          <w:szCs w:val="24"/>
        </w:rPr>
      </w:pPr>
      <w:r>
        <w:rPr>
          <w:szCs w:val="24"/>
        </w:rPr>
        <w:t>This document</w:t>
      </w:r>
      <w:r w:rsidR="003B6B65">
        <w:rPr>
          <w:szCs w:val="24"/>
        </w:rPr>
        <w:t xml:space="preserve"> outlines th</w:t>
      </w:r>
      <w:r w:rsidR="00D316F3">
        <w:rPr>
          <w:szCs w:val="24"/>
        </w:rPr>
        <w:t>at a diagnosis of dementia should b</w:t>
      </w:r>
      <w:r w:rsidR="003B6B65">
        <w:rPr>
          <w:szCs w:val="24"/>
        </w:rPr>
        <w:t xml:space="preserve">e </w:t>
      </w:r>
      <w:r w:rsidR="00D316F3">
        <w:rPr>
          <w:szCs w:val="24"/>
        </w:rPr>
        <w:t xml:space="preserve">made </w:t>
      </w:r>
      <w:r w:rsidR="00A96A55">
        <w:rPr>
          <w:szCs w:val="24"/>
        </w:rPr>
        <w:t>after a comprehensive assessment of</w:t>
      </w:r>
      <w:r w:rsidR="00613468">
        <w:rPr>
          <w:szCs w:val="24"/>
        </w:rPr>
        <w:t>:</w:t>
      </w:r>
    </w:p>
    <w:p w14:paraId="49FFE427" w14:textId="32F88ACB" w:rsidR="00613468" w:rsidRDefault="00613468" w:rsidP="00613468">
      <w:pPr>
        <w:pStyle w:val="ListParagraph"/>
        <w:numPr>
          <w:ilvl w:val="0"/>
          <w:numId w:val="2"/>
        </w:numPr>
        <w:rPr>
          <w:szCs w:val="24"/>
        </w:rPr>
      </w:pPr>
      <w:r>
        <w:rPr>
          <w:szCs w:val="24"/>
        </w:rPr>
        <w:t>History taking from the person</w:t>
      </w:r>
    </w:p>
    <w:p w14:paraId="5BDE1CAB" w14:textId="3B006F57" w:rsidR="00613468" w:rsidRDefault="00613468" w:rsidP="00613468">
      <w:pPr>
        <w:pStyle w:val="ListParagraph"/>
        <w:numPr>
          <w:ilvl w:val="0"/>
          <w:numId w:val="2"/>
        </w:numPr>
        <w:rPr>
          <w:szCs w:val="24"/>
        </w:rPr>
      </w:pPr>
      <w:r>
        <w:rPr>
          <w:szCs w:val="24"/>
        </w:rPr>
        <w:t>History taking from a person</w:t>
      </w:r>
      <w:r w:rsidR="00C03280">
        <w:rPr>
          <w:szCs w:val="24"/>
        </w:rPr>
        <w:t xml:space="preserve"> who knows the person well, if possible</w:t>
      </w:r>
    </w:p>
    <w:p w14:paraId="3F879BD9" w14:textId="78AB83C3" w:rsidR="00C03280" w:rsidRDefault="00C03280" w:rsidP="00613468">
      <w:pPr>
        <w:pStyle w:val="ListParagraph"/>
        <w:numPr>
          <w:ilvl w:val="0"/>
          <w:numId w:val="2"/>
        </w:numPr>
        <w:rPr>
          <w:szCs w:val="24"/>
        </w:rPr>
      </w:pPr>
      <w:r>
        <w:rPr>
          <w:szCs w:val="24"/>
        </w:rPr>
        <w:t>Cognitive and mental state examination with a validated instrument</w:t>
      </w:r>
    </w:p>
    <w:p w14:paraId="55E92E06" w14:textId="27FB2253" w:rsidR="00C03280" w:rsidRDefault="007711EB" w:rsidP="00613468">
      <w:pPr>
        <w:pStyle w:val="ListParagraph"/>
        <w:numPr>
          <w:ilvl w:val="0"/>
          <w:numId w:val="2"/>
        </w:numPr>
        <w:rPr>
          <w:szCs w:val="24"/>
        </w:rPr>
      </w:pPr>
      <w:r>
        <w:rPr>
          <w:szCs w:val="24"/>
        </w:rPr>
        <w:lastRenderedPageBreak/>
        <w:t>Physical examination</w:t>
      </w:r>
    </w:p>
    <w:p w14:paraId="5DF05F69" w14:textId="7CEB7D94" w:rsidR="007711EB" w:rsidRDefault="007711EB" w:rsidP="00613468">
      <w:pPr>
        <w:pStyle w:val="ListParagraph"/>
        <w:numPr>
          <w:ilvl w:val="0"/>
          <w:numId w:val="2"/>
        </w:numPr>
        <w:rPr>
          <w:szCs w:val="24"/>
        </w:rPr>
      </w:pPr>
      <w:r>
        <w:rPr>
          <w:szCs w:val="24"/>
        </w:rPr>
        <w:t>A review of medicat</w:t>
      </w:r>
      <w:r w:rsidR="00D6217A">
        <w:rPr>
          <w:szCs w:val="24"/>
        </w:rPr>
        <w:t xml:space="preserve">ion </w:t>
      </w:r>
      <w:proofErr w:type="gramStart"/>
      <w:r w:rsidR="00D6217A">
        <w:rPr>
          <w:szCs w:val="24"/>
        </w:rPr>
        <w:t>in order to</w:t>
      </w:r>
      <w:proofErr w:type="gramEnd"/>
      <w:r w:rsidR="00D6217A">
        <w:rPr>
          <w:szCs w:val="24"/>
        </w:rPr>
        <w:t xml:space="preserve"> identify and minimise use of medications, including over-the-counter products, th</w:t>
      </w:r>
      <w:r w:rsidR="005D7DAD">
        <w:rPr>
          <w:szCs w:val="24"/>
        </w:rPr>
        <w:t>at may adversely affect cognitive functioning and to simplify medication dosing</w:t>
      </w:r>
    </w:p>
    <w:p w14:paraId="648D45FA" w14:textId="53FAFC74" w:rsidR="005D7DAD" w:rsidRDefault="005D7DAD" w:rsidP="00613468">
      <w:pPr>
        <w:pStyle w:val="ListParagraph"/>
        <w:numPr>
          <w:ilvl w:val="0"/>
          <w:numId w:val="2"/>
        </w:numPr>
        <w:rPr>
          <w:szCs w:val="24"/>
        </w:rPr>
      </w:pPr>
      <w:r>
        <w:rPr>
          <w:szCs w:val="24"/>
        </w:rPr>
        <w:t xml:space="preserve">Consideration of other causes (including delirium </w:t>
      </w:r>
      <w:r w:rsidR="00CC7C22">
        <w:rPr>
          <w:szCs w:val="24"/>
        </w:rPr>
        <w:t>or depression)</w:t>
      </w:r>
    </w:p>
    <w:p w14:paraId="3458FF58" w14:textId="3B73CFFB" w:rsidR="00CC7C22" w:rsidRDefault="00CC7C22" w:rsidP="00CC7C22">
      <w:pPr>
        <w:rPr>
          <w:szCs w:val="24"/>
        </w:rPr>
      </w:pPr>
      <w:r>
        <w:rPr>
          <w:szCs w:val="24"/>
        </w:rPr>
        <w:t xml:space="preserve">These assessments can take place </w:t>
      </w:r>
      <w:r w:rsidR="00D922DB">
        <w:rPr>
          <w:szCs w:val="24"/>
        </w:rPr>
        <w:t>as part of consultation(s) with a general practitioner</w:t>
      </w:r>
      <w:r w:rsidR="00535B4B">
        <w:rPr>
          <w:szCs w:val="24"/>
        </w:rPr>
        <w:t xml:space="preserve"> or specialist </w:t>
      </w:r>
      <w:r w:rsidR="001623B4">
        <w:rPr>
          <w:szCs w:val="24"/>
        </w:rPr>
        <w:t xml:space="preserve">(e.g. neurologist, </w:t>
      </w:r>
      <w:r w:rsidR="004A3B09">
        <w:rPr>
          <w:szCs w:val="24"/>
        </w:rPr>
        <w:t>geriatrician or psychiatrist</w:t>
      </w:r>
      <w:r w:rsidR="00B2712C">
        <w:rPr>
          <w:szCs w:val="24"/>
        </w:rPr>
        <w:t>).</w:t>
      </w:r>
    </w:p>
    <w:p w14:paraId="7BE30BBC" w14:textId="64068DBB" w:rsidR="00B2712C" w:rsidRDefault="003B28C5" w:rsidP="00940A7E">
      <w:pPr>
        <w:rPr>
          <w:szCs w:val="24"/>
        </w:rPr>
      </w:pPr>
      <w:r>
        <w:rPr>
          <w:szCs w:val="24"/>
        </w:rPr>
        <w:t>The following blood tests are r</w:t>
      </w:r>
      <w:r w:rsidR="00B7388B">
        <w:rPr>
          <w:szCs w:val="24"/>
        </w:rPr>
        <w:t>ecommended as part of a basic dementia screen</w:t>
      </w:r>
      <w:r w:rsidR="007D6726">
        <w:rPr>
          <w:szCs w:val="24"/>
        </w:rPr>
        <w:t>:</w:t>
      </w:r>
    </w:p>
    <w:p w14:paraId="20718687" w14:textId="60B5647E" w:rsidR="007D6726" w:rsidRDefault="007D6726" w:rsidP="007D6726">
      <w:pPr>
        <w:pStyle w:val="ListParagraph"/>
        <w:numPr>
          <w:ilvl w:val="0"/>
          <w:numId w:val="2"/>
        </w:numPr>
        <w:rPr>
          <w:szCs w:val="24"/>
        </w:rPr>
      </w:pPr>
      <w:r>
        <w:rPr>
          <w:szCs w:val="24"/>
        </w:rPr>
        <w:t>Routine haematology</w:t>
      </w:r>
    </w:p>
    <w:p w14:paraId="239DE9D3" w14:textId="1448CFDB" w:rsidR="007D6726" w:rsidRDefault="007D6726" w:rsidP="007D6726">
      <w:pPr>
        <w:pStyle w:val="ListParagraph"/>
        <w:numPr>
          <w:ilvl w:val="0"/>
          <w:numId w:val="2"/>
        </w:numPr>
        <w:rPr>
          <w:szCs w:val="24"/>
        </w:rPr>
      </w:pPr>
      <w:r>
        <w:rPr>
          <w:szCs w:val="24"/>
        </w:rPr>
        <w:t xml:space="preserve">Biochemistry tests (including </w:t>
      </w:r>
      <w:r w:rsidR="0073103D">
        <w:rPr>
          <w:szCs w:val="24"/>
        </w:rPr>
        <w:t>electrolytes</w:t>
      </w:r>
      <w:r>
        <w:rPr>
          <w:szCs w:val="24"/>
        </w:rPr>
        <w:t>, calcium, glucose</w:t>
      </w:r>
      <w:r w:rsidR="009F7C1D">
        <w:rPr>
          <w:szCs w:val="24"/>
        </w:rPr>
        <w:t>, renal and liver function)</w:t>
      </w:r>
    </w:p>
    <w:p w14:paraId="5CC271CE" w14:textId="4BA5BACF" w:rsidR="009F7C1D" w:rsidRDefault="009F7C1D" w:rsidP="007D6726">
      <w:pPr>
        <w:pStyle w:val="ListParagraph"/>
        <w:numPr>
          <w:ilvl w:val="0"/>
          <w:numId w:val="2"/>
        </w:numPr>
        <w:rPr>
          <w:szCs w:val="24"/>
        </w:rPr>
      </w:pPr>
      <w:r>
        <w:rPr>
          <w:szCs w:val="24"/>
        </w:rPr>
        <w:t>Thyroid function tests</w:t>
      </w:r>
    </w:p>
    <w:p w14:paraId="02781F16" w14:textId="78DD9466" w:rsidR="009F7C1D" w:rsidRDefault="009F7C1D" w:rsidP="007D6726">
      <w:pPr>
        <w:pStyle w:val="ListParagraph"/>
        <w:numPr>
          <w:ilvl w:val="0"/>
          <w:numId w:val="2"/>
        </w:numPr>
        <w:rPr>
          <w:szCs w:val="24"/>
        </w:rPr>
      </w:pPr>
      <w:r>
        <w:rPr>
          <w:szCs w:val="24"/>
        </w:rPr>
        <w:t>Serum vitamin B12 and folate levels</w:t>
      </w:r>
    </w:p>
    <w:p w14:paraId="05CA77F3" w14:textId="3E8EE9AE" w:rsidR="006A0512" w:rsidRDefault="00763912" w:rsidP="004E5C19">
      <w:pPr>
        <w:rPr>
          <w:szCs w:val="24"/>
        </w:rPr>
      </w:pPr>
      <w:r>
        <w:rPr>
          <w:szCs w:val="24"/>
        </w:rPr>
        <w:t xml:space="preserve">A request for </w:t>
      </w:r>
      <w:r w:rsidR="00E14483">
        <w:rPr>
          <w:szCs w:val="24"/>
        </w:rPr>
        <w:t xml:space="preserve">blood testing </w:t>
      </w:r>
      <w:r w:rsidR="004E5C19">
        <w:rPr>
          <w:szCs w:val="24"/>
        </w:rPr>
        <w:t xml:space="preserve">can be </w:t>
      </w:r>
      <w:r w:rsidR="009760F5">
        <w:rPr>
          <w:szCs w:val="24"/>
        </w:rPr>
        <w:t xml:space="preserve">made by the medical practitioner </w:t>
      </w:r>
      <w:r w:rsidR="00FC609B">
        <w:rPr>
          <w:szCs w:val="24"/>
        </w:rPr>
        <w:t xml:space="preserve">during the consultation(s) where </w:t>
      </w:r>
      <w:r w:rsidR="002B62CD">
        <w:rPr>
          <w:szCs w:val="24"/>
        </w:rPr>
        <w:t xml:space="preserve">clinical history and </w:t>
      </w:r>
      <w:r w:rsidR="001C3A65">
        <w:rPr>
          <w:szCs w:val="24"/>
        </w:rPr>
        <w:t xml:space="preserve">other assessments are performed. Testing would be performed </w:t>
      </w:r>
      <w:r w:rsidR="006A0512">
        <w:rPr>
          <w:szCs w:val="24"/>
        </w:rPr>
        <w:t xml:space="preserve">in a pathology laboratory </w:t>
      </w:r>
      <w:r w:rsidR="001C3A65">
        <w:rPr>
          <w:szCs w:val="24"/>
        </w:rPr>
        <w:t xml:space="preserve">on plasma samples collected from the </w:t>
      </w:r>
      <w:r w:rsidR="00A4025C">
        <w:rPr>
          <w:szCs w:val="24"/>
        </w:rPr>
        <w:t>person with suspected dementia</w:t>
      </w:r>
      <w:r w:rsidR="006A0512">
        <w:rPr>
          <w:szCs w:val="24"/>
        </w:rPr>
        <w:t>.</w:t>
      </w:r>
    </w:p>
    <w:p w14:paraId="01244F3B" w14:textId="37F90C04" w:rsidR="00E30772" w:rsidRDefault="00784645" w:rsidP="00AA4BFE">
      <w:pPr>
        <w:rPr>
          <w:szCs w:val="24"/>
        </w:rPr>
      </w:pPr>
      <w:r>
        <w:rPr>
          <w:szCs w:val="24"/>
        </w:rPr>
        <w:t xml:space="preserve">Structural imaging </w:t>
      </w:r>
      <w:r w:rsidR="00B4231F">
        <w:rPr>
          <w:szCs w:val="24"/>
        </w:rPr>
        <w:t xml:space="preserve">with </w:t>
      </w:r>
      <w:r w:rsidR="00F52E3A">
        <w:rPr>
          <w:szCs w:val="24"/>
        </w:rPr>
        <w:t>CT</w:t>
      </w:r>
      <w:r w:rsidR="00B4231F">
        <w:rPr>
          <w:szCs w:val="24"/>
        </w:rPr>
        <w:t xml:space="preserve"> or MRI </w:t>
      </w:r>
      <w:r w:rsidR="00D92497">
        <w:rPr>
          <w:szCs w:val="24"/>
        </w:rPr>
        <w:t xml:space="preserve">is also described as part of the assessment of </w:t>
      </w:r>
      <w:r w:rsidR="00A4025C">
        <w:rPr>
          <w:szCs w:val="24"/>
        </w:rPr>
        <w:t xml:space="preserve">people </w:t>
      </w:r>
      <w:r w:rsidR="00CF2987">
        <w:rPr>
          <w:szCs w:val="24"/>
        </w:rPr>
        <w:t>with dementia</w:t>
      </w:r>
      <w:r w:rsidR="00F203B5">
        <w:rPr>
          <w:szCs w:val="24"/>
        </w:rPr>
        <w:t xml:space="preserve"> to exclude other cerebral pathologies</w:t>
      </w:r>
      <w:r w:rsidR="00CF2987">
        <w:rPr>
          <w:szCs w:val="24"/>
        </w:rPr>
        <w:t xml:space="preserve"> </w:t>
      </w:r>
      <w:r w:rsidR="00881F00">
        <w:rPr>
          <w:noProof/>
          <w:szCs w:val="24"/>
        </w:rPr>
        <w:t>(Guideline Adaption Committee 2016)</w:t>
      </w:r>
      <w:r w:rsidR="00CF2987">
        <w:rPr>
          <w:szCs w:val="24"/>
        </w:rPr>
        <w:t>.</w:t>
      </w:r>
      <w:r w:rsidR="00302DA1">
        <w:rPr>
          <w:szCs w:val="24"/>
        </w:rPr>
        <w:t xml:space="preserve"> A request for imaging can be made by the medical practitioner during the consultation(s) where clinical history and other assessments are performed. </w:t>
      </w:r>
      <w:r w:rsidR="002B77E1">
        <w:rPr>
          <w:szCs w:val="24"/>
        </w:rPr>
        <w:t xml:space="preserve">Imaging would </w:t>
      </w:r>
      <w:r w:rsidR="00302DA1">
        <w:rPr>
          <w:szCs w:val="24"/>
        </w:rPr>
        <w:t xml:space="preserve">be performed </w:t>
      </w:r>
      <w:r w:rsidR="002B77E1">
        <w:rPr>
          <w:szCs w:val="24"/>
        </w:rPr>
        <w:t xml:space="preserve">at a </w:t>
      </w:r>
      <w:r w:rsidR="005141A5">
        <w:rPr>
          <w:szCs w:val="24"/>
        </w:rPr>
        <w:t>radiology clinic</w:t>
      </w:r>
      <w:r w:rsidR="00AA4BFE">
        <w:rPr>
          <w:szCs w:val="24"/>
        </w:rPr>
        <w:t>.</w:t>
      </w:r>
    </w:p>
    <w:p w14:paraId="56187FC9" w14:textId="7521CB49" w:rsidR="007B7285" w:rsidRPr="00BA5044" w:rsidRDefault="007B7285" w:rsidP="007B7285">
      <w:pPr>
        <w:rPr>
          <w:rFonts w:eastAsia="Segoe UI"/>
          <w:b/>
          <w:bCs/>
          <w:color w:val="000000"/>
          <w:szCs w:val="24"/>
        </w:rPr>
      </w:pPr>
      <w:proofErr w:type="spellStart"/>
      <w:r>
        <w:rPr>
          <w:b/>
          <w:bCs/>
          <w:szCs w:val="24"/>
        </w:rPr>
        <w:t>Lecanemab</w:t>
      </w:r>
      <w:proofErr w:type="spellEnd"/>
      <w:r>
        <w:rPr>
          <w:b/>
          <w:bCs/>
          <w:szCs w:val="24"/>
        </w:rPr>
        <w:t xml:space="preserve"> treatment</w:t>
      </w:r>
    </w:p>
    <w:p w14:paraId="12A8731E" w14:textId="576894B2" w:rsidR="009F5835" w:rsidRDefault="009F5835" w:rsidP="009F5835">
      <w:pPr>
        <w:rPr>
          <w:szCs w:val="24"/>
        </w:rPr>
      </w:pPr>
      <w:r w:rsidRPr="00BE7E86">
        <w:rPr>
          <w:szCs w:val="24"/>
        </w:rPr>
        <w:t>It is proposed that</w:t>
      </w:r>
      <w:r>
        <w:rPr>
          <w:szCs w:val="24"/>
        </w:rPr>
        <w:t xml:space="preserve"> </w:t>
      </w:r>
      <w:r w:rsidR="0058724F">
        <w:rPr>
          <w:szCs w:val="24"/>
        </w:rPr>
        <w:t xml:space="preserve">people </w:t>
      </w:r>
      <w:r>
        <w:rPr>
          <w:szCs w:val="24"/>
        </w:rPr>
        <w:t xml:space="preserve">with mild cognitive impairment and mild dementia due to Alzheimer’s disease with evidence of Aβ pathology that are </w:t>
      </w:r>
      <w:proofErr w:type="spellStart"/>
      <w:r>
        <w:rPr>
          <w:szCs w:val="24"/>
        </w:rPr>
        <w:t>ApoE</w:t>
      </w:r>
      <w:proofErr w:type="spellEnd"/>
      <w:r>
        <w:rPr>
          <w:szCs w:val="24"/>
        </w:rPr>
        <w:t xml:space="preserve"> ε4 non-carriers or heterozygous</w:t>
      </w:r>
      <w:r w:rsidR="009C653C">
        <w:rPr>
          <w:szCs w:val="24"/>
        </w:rPr>
        <w:t xml:space="preserve"> would be eligible to </w:t>
      </w:r>
      <w:r>
        <w:rPr>
          <w:szCs w:val="24"/>
        </w:rPr>
        <w:t xml:space="preserve">access </w:t>
      </w:r>
      <w:proofErr w:type="spellStart"/>
      <w:r>
        <w:rPr>
          <w:szCs w:val="24"/>
        </w:rPr>
        <w:t>lecanemab</w:t>
      </w:r>
      <w:proofErr w:type="spellEnd"/>
      <w:r>
        <w:rPr>
          <w:szCs w:val="24"/>
        </w:rPr>
        <w:t xml:space="preserve"> through the PBS.</w:t>
      </w:r>
    </w:p>
    <w:p w14:paraId="14964221" w14:textId="6E3B1D13" w:rsidR="00C42F98" w:rsidRDefault="00186269" w:rsidP="009F5835">
      <w:pPr>
        <w:rPr>
          <w:szCs w:val="24"/>
        </w:rPr>
      </w:pPr>
      <w:r>
        <w:rPr>
          <w:szCs w:val="24"/>
        </w:rPr>
        <w:t>This is a subgroup of the population eligible</w:t>
      </w:r>
      <w:r w:rsidR="00C42E62">
        <w:rPr>
          <w:szCs w:val="24"/>
        </w:rPr>
        <w:t xml:space="preserve"> for biomarker testing</w:t>
      </w:r>
      <w:r w:rsidR="00E55C6E">
        <w:rPr>
          <w:szCs w:val="24"/>
        </w:rPr>
        <w:t xml:space="preserve"> that would be</w:t>
      </w:r>
      <w:r w:rsidR="0087558F">
        <w:rPr>
          <w:szCs w:val="24"/>
        </w:rPr>
        <w:t xml:space="preserve"> identified </w:t>
      </w:r>
      <w:r w:rsidR="0073292E">
        <w:rPr>
          <w:szCs w:val="24"/>
        </w:rPr>
        <w:t xml:space="preserve">based on </w:t>
      </w:r>
      <w:r w:rsidR="0087558F">
        <w:rPr>
          <w:szCs w:val="24"/>
        </w:rPr>
        <w:t xml:space="preserve">results of </w:t>
      </w:r>
      <w:r w:rsidR="00FC11D3">
        <w:rPr>
          <w:szCs w:val="24"/>
        </w:rPr>
        <w:t xml:space="preserve">Aβ pathology </w:t>
      </w:r>
      <w:r w:rsidR="008B176B">
        <w:rPr>
          <w:szCs w:val="24"/>
        </w:rPr>
        <w:t xml:space="preserve">testing </w:t>
      </w:r>
      <w:r w:rsidR="00FC11D3">
        <w:rPr>
          <w:szCs w:val="24"/>
        </w:rPr>
        <w:t xml:space="preserve">(Aβ </w:t>
      </w:r>
      <w:r w:rsidR="00FB2770">
        <w:rPr>
          <w:szCs w:val="24"/>
        </w:rPr>
        <w:t xml:space="preserve">positive) and </w:t>
      </w:r>
      <w:proofErr w:type="spellStart"/>
      <w:r w:rsidR="00FB2770">
        <w:rPr>
          <w:szCs w:val="24"/>
        </w:rPr>
        <w:t>ApoE</w:t>
      </w:r>
      <w:proofErr w:type="spellEnd"/>
      <w:r w:rsidR="00FB2770">
        <w:rPr>
          <w:szCs w:val="24"/>
        </w:rPr>
        <w:t xml:space="preserve"> ε4 </w:t>
      </w:r>
      <w:r w:rsidR="008B176B">
        <w:rPr>
          <w:szCs w:val="24"/>
        </w:rPr>
        <w:t xml:space="preserve">genotype </w:t>
      </w:r>
      <w:r w:rsidR="00FB2770">
        <w:rPr>
          <w:szCs w:val="24"/>
        </w:rPr>
        <w:t>testing (non-carriers or heterozygous).</w:t>
      </w:r>
    </w:p>
    <w:p w14:paraId="0EB432EF" w14:textId="45342101" w:rsidR="00051843" w:rsidRPr="00940A7E" w:rsidRDefault="00051843" w:rsidP="00940A7E">
      <w:pPr>
        <w:rPr>
          <w:b/>
          <w:bCs/>
          <w:szCs w:val="24"/>
        </w:rPr>
      </w:pPr>
      <w:r w:rsidRPr="00940A7E">
        <w:rPr>
          <w:b/>
          <w:bCs/>
          <w:szCs w:val="24"/>
        </w:rPr>
        <w:t>Provide a rationale for the specifics of the eligible population:</w:t>
      </w:r>
    </w:p>
    <w:p w14:paraId="1195F312" w14:textId="4790C164" w:rsidR="00051843" w:rsidRDefault="009D13BE" w:rsidP="00577BB2">
      <w:pPr>
        <w:rPr>
          <w:szCs w:val="24"/>
        </w:rPr>
      </w:pPr>
      <w:r>
        <w:rPr>
          <w:szCs w:val="24"/>
        </w:rPr>
        <w:t xml:space="preserve">The </w:t>
      </w:r>
      <w:r w:rsidR="00096C1E">
        <w:rPr>
          <w:szCs w:val="24"/>
        </w:rPr>
        <w:t xml:space="preserve">therapeutic indication for </w:t>
      </w:r>
      <w:proofErr w:type="spellStart"/>
      <w:r w:rsidR="00096C1E">
        <w:rPr>
          <w:szCs w:val="24"/>
        </w:rPr>
        <w:t>lecanemab</w:t>
      </w:r>
      <w:proofErr w:type="spellEnd"/>
      <w:r w:rsidR="00096C1E">
        <w:rPr>
          <w:szCs w:val="24"/>
        </w:rPr>
        <w:t xml:space="preserve"> approved by the TGA </w:t>
      </w:r>
      <w:r w:rsidR="00611B11">
        <w:rPr>
          <w:szCs w:val="24"/>
        </w:rPr>
        <w:t>is provided below.</w:t>
      </w:r>
    </w:p>
    <w:p w14:paraId="65C6D643" w14:textId="77777777" w:rsidR="00C42F98" w:rsidRPr="00F50D4E" w:rsidRDefault="00C42F98" w:rsidP="00C42F98">
      <w:pPr>
        <w:pBdr>
          <w:top w:val="single" w:sz="4" w:space="1" w:color="auto"/>
          <w:left w:val="single" w:sz="4" w:space="4" w:color="auto"/>
          <w:bottom w:val="single" w:sz="4" w:space="1" w:color="auto"/>
          <w:right w:val="single" w:sz="4" w:space="4" w:color="auto"/>
        </w:pBdr>
        <w:rPr>
          <w:szCs w:val="24"/>
        </w:rPr>
      </w:pPr>
      <w:r w:rsidRPr="00F50D4E">
        <w:rPr>
          <w:szCs w:val="24"/>
        </w:rPr>
        <w:t>LEQEMBI [</w:t>
      </w:r>
      <w:proofErr w:type="spellStart"/>
      <w:r w:rsidRPr="00F50D4E">
        <w:rPr>
          <w:szCs w:val="24"/>
        </w:rPr>
        <w:t>lecanemab</w:t>
      </w:r>
      <w:proofErr w:type="spellEnd"/>
      <w:r w:rsidRPr="00F50D4E">
        <w:rPr>
          <w:szCs w:val="24"/>
        </w:rPr>
        <w:t>] is indicated in adult patients with a diagnosis of mild cognitive impairment and mild dementia due to Alzheimer’s disease (Early Alzheimer’s disease) that are apolipoprotein E ε4 (</w:t>
      </w:r>
      <w:proofErr w:type="spellStart"/>
      <w:r w:rsidRPr="00F50D4E">
        <w:rPr>
          <w:szCs w:val="24"/>
        </w:rPr>
        <w:t>ApoE</w:t>
      </w:r>
      <w:proofErr w:type="spellEnd"/>
      <w:r w:rsidRPr="00F50D4E">
        <w:rPr>
          <w:szCs w:val="24"/>
        </w:rPr>
        <w:t xml:space="preserve"> ε4) non-carriers or heterozygotes.</w:t>
      </w:r>
    </w:p>
    <w:p w14:paraId="2693CDB7" w14:textId="1816A388" w:rsidR="00611B11" w:rsidRPr="00F50D4E" w:rsidRDefault="00C42F98" w:rsidP="00C42F98">
      <w:pPr>
        <w:pBdr>
          <w:top w:val="single" w:sz="4" w:space="1" w:color="auto"/>
          <w:left w:val="single" w:sz="4" w:space="4" w:color="auto"/>
          <w:bottom w:val="single" w:sz="4" w:space="1" w:color="auto"/>
          <w:right w:val="single" w:sz="4" w:space="4" w:color="auto"/>
        </w:pBdr>
        <w:rPr>
          <w:rFonts w:eastAsia="Segoe UI"/>
          <w:color w:val="000000"/>
          <w:szCs w:val="24"/>
        </w:rPr>
      </w:pPr>
      <w:r w:rsidRPr="00F50D4E">
        <w:rPr>
          <w:szCs w:val="24"/>
        </w:rPr>
        <w:t>Beta amyloid evidence consistent with Alzheimer’s disease (AD) should be confirmed using a validated test prior to initiating treatment.</w:t>
      </w:r>
    </w:p>
    <w:p w14:paraId="5F504B04" w14:textId="77777777" w:rsidR="00D93ABD" w:rsidRDefault="009615D5" w:rsidP="00C42F98">
      <w:pPr>
        <w:rPr>
          <w:b/>
          <w:bCs/>
        </w:rPr>
      </w:pPr>
      <w:r w:rsidRPr="009615D5">
        <w:rPr>
          <w:b/>
          <w:bCs/>
        </w:rPr>
        <w:t>Biomarker test</w:t>
      </w:r>
      <w:r w:rsidR="00D93ABD">
        <w:rPr>
          <w:b/>
          <w:bCs/>
        </w:rPr>
        <w:t>ing</w:t>
      </w:r>
    </w:p>
    <w:p w14:paraId="3E2318C2" w14:textId="38581534" w:rsidR="00C42F98" w:rsidRDefault="00126C94" w:rsidP="00C42F98">
      <w:pPr>
        <w:rPr>
          <w:szCs w:val="24"/>
        </w:rPr>
      </w:pPr>
      <w:r>
        <w:t xml:space="preserve">The population </w:t>
      </w:r>
      <w:r w:rsidR="004006E4">
        <w:t xml:space="preserve">proposed to be </w:t>
      </w:r>
      <w:r>
        <w:t xml:space="preserve">eligible for biomarker testing </w:t>
      </w:r>
      <w:r w:rsidR="00F80DD4">
        <w:t xml:space="preserve">is </w:t>
      </w:r>
      <w:r w:rsidR="00F80DD4">
        <w:rPr>
          <w:szCs w:val="24"/>
        </w:rPr>
        <w:t>people with mild cognitive impairment and mild dementia due to Alzheimer’s disease</w:t>
      </w:r>
      <w:r w:rsidR="005E6BBF">
        <w:rPr>
          <w:szCs w:val="24"/>
        </w:rPr>
        <w:t xml:space="preserve">. This </w:t>
      </w:r>
      <w:r w:rsidR="00936CCB">
        <w:rPr>
          <w:szCs w:val="24"/>
        </w:rPr>
        <w:t xml:space="preserve">population aligns with the </w:t>
      </w:r>
      <w:r w:rsidR="00936CCB">
        <w:rPr>
          <w:szCs w:val="24"/>
        </w:rPr>
        <w:lastRenderedPageBreak/>
        <w:t xml:space="preserve">clinical diagnosis of people </w:t>
      </w:r>
      <w:r w:rsidR="00A318EA">
        <w:rPr>
          <w:szCs w:val="24"/>
        </w:rPr>
        <w:t>potentially</w:t>
      </w:r>
      <w:r w:rsidR="00936CCB">
        <w:rPr>
          <w:szCs w:val="24"/>
        </w:rPr>
        <w:t xml:space="preserve"> eligible for </w:t>
      </w:r>
      <w:proofErr w:type="spellStart"/>
      <w:r w:rsidR="00F62CDA" w:rsidRPr="00F62CDA">
        <w:rPr>
          <w:szCs w:val="24"/>
        </w:rPr>
        <w:t>lecanemab</w:t>
      </w:r>
      <w:proofErr w:type="spellEnd"/>
      <w:r w:rsidR="00F62CDA" w:rsidRPr="00F62CDA">
        <w:rPr>
          <w:szCs w:val="24"/>
        </w:rPr>
        <w:t xml:space="preserve"> treatment</w:t>
      </w:r>
      <w:r w:rsidR="00E66E36">
        <w:rPr>
          <w:szCs w:val="24"/>
        </w:rPr>
        <w:t xml:space="preserve"> </w:t>
      </w:r>
      <w:r w:rsidR="00F62CDA">
        <w:rPr>
          <w:szCs w:val="24"/>
        </w:rPr>
        <w:t xml:space="preserve">as per </w:t>
      </w:r>
      <w:r w:rsidR="00995C6E">
        <w:rPr>
          <w:szCs w:val="24"/>
        </w:rPr>
        <w:t xml:space="preserve">the </w:t>
      </w:r>
      <w:r w:rsidR="00E66E36">
        <w:rPr>
          <w:szCs w:val="24"/>
        </w:rPr>
        <w:t>therapeutic indication</w:t>
      </w:r>
      <w:r w:rsidR="00995C6E">
        <w:rPr>
          <w:szCs w:val="24"/>
        </w:rPr>
        <w:t xml:space="preserve"> approved by the TGA</w:t>
      </w:r>
      <w:r w:rsidR="0058724F">
        <w:rPr>
          <w:szCs w:val="24"/>
        </w:rPr>
        <w:t>.</w:t>
      </w:r>
    </w:p>
    <w:p w14:paraId="672A7580" w14:textId="77777777" w:rsidR="00D93ABD" w:rsidRDefault="009615D5" w:rsidP="00734AF4">
      <w:pPr>
        <w:rPr>
          <w:b/>
          <w:bCs/>
          <w:szCs w:val="24"/>
        </w:rPr>
      </w:pPr>
      <w:proofErr w:type="spellStart"/>
      <w:r w:rsidRPr="009615D5">
        <w:rPr>
          <w:b/>
          <w:bCs/>
          <w:szCs w:val="24"/>
        </w:rPr>
        <w:t>Lecanemab</w:t>
      </w:r>
      <w:proofErr w:type="spellEnd"/>
      <w:r w:rsidRPr="009615D5">
        <w:rPr>
          <w:b/>
          <w:bCs/>
          <w:szCs w:val="24"/>
        </w:rPr>
        <w:t xml:space="preserve"> treatment</w:t>
      </w:r>
    </w:p>
    <w:p w14:paraId="7BCD0453" w14:textId="33E0268A" w:rsidR="00734AF4" w:rsidRDefault="0058724F" w:rsidP="00734AF4">
      <w:pPr>
        <w:rPr>
          <w:szCs w:val="24"/>
        </w:rPr>
      </w:pPr>
      <w:r>
        <w:rPr>
          <w:szCs w:val="24"/>
        </w:rPr>
        <w:t xml:space="preserve">The population proposed to be eligible for </w:t>
      </w:r>
      <w:proofErr w:type="spellStart"/>
      <w:r>
        <w:rPr>
          <w:szCs w:val="24"/>
        </w:rPr>
        <w:t>lecanemab</w:t>
      </w:r>
      <w:proofErr w:type="spellEnd"/>
      <w:r>
        <w:rPr>
          <w:szCs w:val="24"/>
        </w:rPr>
        <w:t xml:space="preserve"> treatment </w:t>
      </w:r>
      <w:r w:rsidR="006F595C">
        <w:rPr>
          <w:szCs w:val="24"/>
        </w:rPr>
        <w:t xml:space="preserve">is </w:t>
      </w:r>
      <w:r>
        <w:rPr>
          <w:szCs w:val="24"/>
        </w:rPr>
        <w:t xml:space="preserve">people with mild cognitive impairment and mild dementia due to Alzheimer’s disease with evidence of Aβ pathology that are </w:t>
      </w:r>
      <w:proofErr w:type="spellStart"/>
      <w:r>
        <w:rPr>
          <w:szCs w:val="24"/>
        </w:rPr>
        <w:t>ApoE</w:t>
      </w:r>
      <w:proofErr w:type="spellEnd"/>
      <w:r>
        <w:rPr>
          <w:szCs w:val="24"/>
        </w:rPr>
        <w:t xml:space="preserve"> ε4 non-carriers or heterozygous</w:t>
      </w:r>
      <w:r w:rsidR="004006E4">
        <w:rPr>
          <w:szCs w:val="24"/>
        </w:rPr>
        <w:t xml:space="preserve">. </w:t>
      </w:r>
      <w:r w:rsidR="00E66E36">
        <w:rPr>
          <w:szCs w:val="24"/>
        </w:rPr>
        <w:t xml:space="preserve">This </w:t>
      </w:r>
      <w:r w:rsidR="00EA281F">
        <w:rPr>
          <w:szCs w:val="24"/>
        </w:rPr>
        <w:t xml:space="preserve">is consistent with the </w:t>
      </w:r>
      <w:r w:rsidR="00734AF4">
        <w:rPr>
          <w:szCs w:val="24"/>
        </w:rPr>
        <w:t xml:space="preserve">population </w:t>
      </w:r>
      <w:r w:rsidR="00F62CDA">
        <w:rPr>
          <w:szCs w:val="24"/>
        </w:rPr>
        <w:t>eligible</w:t>
      </w:r>
      <w:r w:rsidR="00734AF4">
        <w:rPr>
          <w:szCs w:val="24"/>
        </w:rPr>
        <w:t xml:space="preserve"> for </w:t>
      </w:r>
      <w:proofErr w:type="spellStart"/>
      <w:r w:rsidR="00734AF4">
        <w:rPr>
          <w:szCs w:val="24"/>
        </w:rPr>
        <w:t>lecanemab</w:t>
      </w:r>
      <w:proofErr w:type="spellEnd"/>
      <w:r w:rsidR="00734AF4">
        <w:rPr>
          <w:szCs w:val="24"/>
        </w:rPr>
        <w:t xml:space="preserve"> </w:t>
      </w:r>
      <w:r w:rsidR="00995C6E">
        <w:rPr>
          <w:szCs w:val="24"/>
        </w:rPr>
        <w:t xml:space="preserve">through the </w:t>
      </w:r>
      <w:r w:rsidR="00734AF4">
        <w:rPr>
          <w:szCs w:val="24"/>
        </w:rPr>
        <w:t>therapeutic indication</w:t>
      </w:r>
      <w:r w:rsidR="00995C6E">
        <w:rPr>
          <w:szCs w:val="24"/>
        </w:rPr>
        <w:t xml:space="preserve"> approved by the TGA</w:t>
      </w:r>
      <w:r w:rsidR="00734AF4">
        <w:rPr>
          <w:szCs w:val="24"/>
        </w:rPr>
        <w:t>.</w:t>
      </w:r>
    </w:p>
    <w:p w14:paraId="125D89FA" w14:textId="0D6F64DC" w:rsidR="004A3919" w:rsidRDefault="00FE1007" w:rsidP="00734AF4">
      <w:pPr>
        <w:rPr>
          <w:szCs w:val="24"/>
        </w:rPr>
      </w:pPr>
      <w:r>
        <w:rPr>
          <w:szCs w:val="24"/>
        </w:rPr>
        <w:t xml:space="preserve">The rationale for </w:t>
      </w:r>
      <w:proofErr w:type="spellStart"/>
      <w:r>
        <w:rPr>
          <w:szCs w:val="24"/>
        </w:rPr>
        <w:t>lecanemab</w:t>
      </w:r>
      <w:proofErr w:type="spellEnd"/>
      <w:r>
        <w:rPr>
          <w:szCs w:val="24"/>
        </w:rPr>
        <w:t xml:space="preserve"> to be used in people with evidence of Aβ pathology </w:t>
      </w:r>
      <w:r w:rsidR="00BC3C79">
        <w:rPr>
          <w:szCs w:val="24"/>
        </w:rPr>
        <w:t xml:space="preserve">reflects its mechanism of action. </w:t>
      </w:r>
      <w:proofErr w:type="spellStart"/>
      <w:r w:rsidR="006726E9" w:rsidRPr="00E80BE3">
        <w:rPr>
          <w:szCs w:val="24"/>
        </w:rPr>
        <w:t>Lecanemab</w:t>
      </w:r>
      <w:proofErr w:type="spellEnd"/>
      <w:r w:rsidR="006726E9" w:rsidRPr="00E80BE3">
        <w:rPr>
          <w:szCs w:val="24"/>
        </w:rPr>
        <w:t xml:space="preserve"> is a monoclonal antibody which targets amyloid protofibrils and plaques</w:t>
      </w:r>
      <w:r w:rsidR="005F474B">
        <w:rPr>
          <w:szCs w:val="24"/>
        </w:rPr>
        <w:t xml:space="preserve"> (anti-amyloid </w:t>
      </w:r>
      <w:r w:rsidR="002C0F84">
        <w:rPr>
          <w:szCs w:val="24"/>
        </w:rPr>
        <w:t>therapy)</w:t>
      </w:r>
      <w:r w:rsidR="006726E9" w:rsidRPr="00E80BE3">
        <w:rPr>
          <w:szCs w:val="24"/>
        </w:rPr>
        <w:t>. Accumulation of amyloid plaques in the brain is a pathophysiological feature of Alzheimer’s disease</w:t>
      </w:r>
      <w:r w:rsidR="00256433">
        <w:rPr>
          <w:szCs w:val="24"/>
        </w:rPr>
        <w:t xml:space="preserve"> </w:t>
      </w:r>
      <w:r w:rsidR="00881F00">
        <w:rPr>
          <w:noProof/>
          <w:szCs w:val="24"/>
        </w:rPr>
        <w:t>(Jack et al. 2024)</w:t>
      </w:r>
      <w:r w:rsidR="00E80BE3">
        <w:rPr>
          <w:szCs w:val="24"/>
        </w:rPr>
        <w:t xml:space="preserve">. </w:t>
      </w:r>
      <w:r w:rsidR="00FC2A01">
        <w:rPr>
          <w:szCs w:val="24"/>
        </w:rPr>
        <w:t>Establishing that a person h</w:t>
      </w:r>
      <w:r w:rsidR="001F06F9">
        <w:rPr>
          <w:szCs w:val="24"/>
        </w:rPr>
        <w:t xml:space="preserve">as evidence of amyloid pathology </w:t>
      </w:r>
      <w:r w:rsidR="002C0F84">
        <w:rPr>
          <w:szCs w:val="24"/>
        </w:rPr>
        <w:t>is essential</w:t>
      </w:r>
      <w:r w:rsidR="00602A7A">
        <w:rPr>
          <w:szCs w:val="24"/>
        </w:rPr>
        <w:t xml:space="preserve">. </w:t>
      </w:r>
      <w:r w:rsidR="00602A7A" w:rsidRPr="00602A7A">
        <w:rPr>
          <w:szCs w:val="24"/>
        </w:rPr>
        <w:t xml:space="preserve">If </w:t>
      </w:r>
      <w:r w:rsidR="00602A7A">
        <w:rPr>
          <w:szCs w:val="24"/>
        </w:rPr>
        <w:t xml:space="preserve">amyloid </w:t>
      </w:r>
      <w:r w:rsidR="00602A7A" w:rsidRPr="00602A7A">
        <w:rPr>
          <w:szCs w:val="24"/>
        </w:rPr>
        <w:t>plaques are</w:t>
      </w:r>
      <w:r w:rsidR="00602A7A">
        <w:rPr>
          <w:szCs w:val="24"/>
        </w:rPr>
        <w:t xml:space="preserve"> </w:t>
      </w:r>
      <w:r w:rsidR="00602A7A" w:rsidRPr="00602A7A">
        <w:rPr>
          <w:szCs w:val="24"/>
        </w:rPr>
        <w:t>n</w:t>
      </w:r>
      <w:r w:rsidR="00602A7A">
        <w:rPr>
          <w:szCs w:val="24"/>
        </w:rPr>
        <w:t>o</w:t>
      </w:r>
      <w:r w:rsidR="00602A7A" w:rsidRPr="00602A7A">
        <w:rPr>
          <w:szCs w:val="24"/>
        </w:rPr>
        <w:t>t present</w:t>
      </w:r>
      <w:r w:rsidR="003B4DBF">
        <w:rPr>
          <w:szCs w:val="24"/>
        </w:rPr>
        <w:t xml:space="preserve"> </w:t>
      </w:r>
      <w:proofErr w:type="spellStart"/>
      <w:r w:rsidR="00A83C44">
        <w:rPr>
          <w:szCs w:val="24"/>
        </w:rPr>
        <w:t>lecanemab</w:t>
      </w:r>
      <w:proofErr w:type="spellEnd"/>
      <w:r w:rsidR="00A83C44">
        <w:rPr>
          <w:szCs w:val="24"/>
        </w:rPr>
        <w:t xml:space="preserve"> </w:t>
      </w:r>
      <w:r w:rsidR="00602A7A" w:rsidRPr="00602A7A">
        <w:rPr>
          <w:szCs w:val="24"/>
        </w:rPr>
        <w:t xml:space="preserve">has no biological target and no </w:t>
      </w:r>
      <w:r w:rsidR="00A83C44">
        <w:rPr>
          <w:szCs w:val="24"/>
        </w:rPr>
        <w:t xml:space="preserve">therapeutic benefit is </w:t>
      </w:r>
      <w:r w:rsidR="00602A7A" w:rsidRPr="00602A7A">
        <w:rPr>
          <w:szCs w:val="24"/>
        </w:rPr>
        <w:t>expected.</w:t>
      </w:r>
    </w:p>
    <w:p w14:paraId="3770C2F4" w14:textId="57B99C20" w:rsidR="00995C6E" w:rsidRDefault="00C506F7" w:rsidP="00734AF4">
      <w:pPr>
        <w:rPr>
          <w:szCs w:val="24"/>
        </w:rPr>
      </w:pPr>
      <w:r>
        <w:rPr>
          <w:szCs w:val="24"/>
        </w:rPr>
        <w:t xml:space="preserve">People were required to undergo </w:t>
      </w:r>
      <w:r w:rsidR="00DA1113">
        <w:rPr>
          <w:szCs w:val="24"/>
        </w:rPr>
        <w:t>Aβ</w:t>
      </w:r>
      <w:r>
        <w:rPr>
          <w:szCs w:val="24"/>
        </w:rPr>
        <w:t xml:space="preserve"> pathology testing as part of the screening </w:t>
      </w:r>
      <w:r w:rsidR="005E384E">
        <w:rPr>
          <w:szCs w:val="24"/>
        </w:rPr>
        <w:t xml:space="preserve">for enrolment in the clinical trial supporting TGA approval of </w:t>
      </w:r>
      <w:proofErr w:type="spellStart"/>
      <w:r w:rsidR="005E384E">
        <w:rPr>
          <w:szCs w:val="24"/>
        </w:rPr>
        <w:t>lecanemab</w:t>
      </w:r>
      <w:proofErr w:type="spellEnd"/>
      <w:r w:rsidR="005E384E">
        <w:rPr>
          <w:szCs w:val="24"/>
        </w:rPr>
        <w:t xml:space="preserve"> (CLARITY AD).</w:t>
      </w:r>
      <w:r w:rsidR="00AA0768">
        <w:rPr>
          <w:szCs w:val="24"/>
        </w:rPr>
        <w:t xml:space="preserve"> A positive biomarker </w:t>
      </w:r>
      <w:r w:rsidR="00BA06A5">
        <w:rPr>
          <w:szCs w:val="24"/>
        </w:rPr>
        <w:t xml:space="preserve">for Aβ pathology was an inclusion criteria </w:t>
      </w:r>
      <w:r w:rsidR="004C1FDF">
        <w:rPr>
          <w:szCs w:val="24"/>
        </w:rPr>
        <w:t xml:space="preserve">establishing eligibility to </w:t>
      </w:r>
      <w:r w:rsidR="00A1163A">
        <w:rPr>
          <w:szCs w:val="24"/>
        </w:rPr>
        <w:t>enrol</w:t>
      </w:r>
      <w:r w:rsidR="00BA06A5">
        <w:rPr>
          <w:szCs w:val="24"/>
        </w:rPr>
        <w:t xml:space="preserve"> in CLARITY AD</w:t>
      </w:r>
      <w:r w:rsidR="004C1FDF">
        <w:rPr>
          <w:szCs w:val="24"/>
        </w:rPr>
        <w:t xml:space="preserve">. Therefore, </w:t>
      </w:r>
      <w:r w:rsidR="00BA06A5">
        <w:rPr>
          <w:szCs w:val="24"/>
        </w:rPr>
        <w:t xml:space="preserve">the safety and efficacy of </w:t>
      </w:r>
      <w:proofErr w:type="spellStart"/>
      <w:r w:rsidR="00BA06A5">
        <w:rPr>
          <w:szCs w:val="24"/>
        </w:rPr>
        <w:t>lecanemab</w:t>
      </w:r>
      <w:proofErr w:type="spellEnd"/>
      <w:r w:rsidR="00BA06A5">
        <w:rPr>
          <w:szCs w:val="24"/>
        </w:rPr>
        <w:t xml:space="preserve"> </w:t>
      </w:r>
      <w:proofErr w:type="gramStart"/>
      <w:r w:rsidR="00BA06A5">
        <w:rPr>
          <w:szCs w:val="24"/>
        </w:rPr>
        <w:t>ha</w:t>
      </w:r>
      <w:r w:rsidR="003B4DBF">
        <w:rPr>
          <w:szCs w:val="24"/>
        </w:rPr>
        <w:t>s</w:t>
      </w:r>
      <w:proofErr w:type="gramEnd"/>
      <w:r w:rsidR="00BA06A5">
        <w:rPr>
          <w:szCs w:val="24"/>
        </w:rPr>
        <w:t xml:space="preserve"> been</w:t>
      </w:r>
      <w:r w:rsidR="00104389">
        <w:rPr>
          <w:szCs w:val="24"/>
        </w:rPr>
        <w:t xml:space="preserve"> assessed in an Aβ pathology positive population</w:t>
      </w:r>
      <w:r w:rsidR="003B4DBF">
        <w:rPr>
          <w:szCs w:val="24"/>
        </w:rPr>
        <w:t xml:space="preserve"> only</w:t>
      </w:r>
      <w:r w:rsidR="00104389">
        <w:rPr>
          <w:szCs w:val="24"/>
        </w:rPr>
        <w:t>.</w:t>
      </w:r>
    </w:p>
    <w:p w14:paraId="311DBF4A" w14:textId="63BB2934" w:rsidR="00A83C44" w:rsidRDefault="00CC1FFE" w:rsidP="00734AF4">
      <w:pPr>
        <w:rPr>
          <w:szCs w:val="24"/>
        </w:rPr>
      </w:pPr>
      <w:r>
        <w:rPr>
          <w:szCs w:val="24"/>
        </w:rPr>
        <w:t xml:space="preserve">The rationale for </w:t>
      </w:r>
      <w:proofErr w:type="spellStart"/>
      <w:r>
        <w:rPr>
          <w:szCs w:val="24"/>
        </w:rPr>
        <w:t>lecanemab</w:t>
      </w:r>
      <w:proofErr w:type="spellEnd"/>
      <w:r>
        <w:rPr>
          <w:szCs w:val="24"/>
        </w:rPr>
        <w:t xml:space="preserve"> to be used </w:t>
      </w:r>
      <w:r w:rsidR="00ED7B5A">
        <w:rPr>
          <w:szCs w:val="24"/>
        </w:rPr>
        <w:t xml:space="preserve">in people that are </w:t>
      </w:r>
      <w:proofErr w:type="spellStart"/>
      <w:r w:rsidR="00ED7B5A">
        <w:rPr>
          <w:szCs w:val="24"/>
        </w:rPr>
        <w:t>ApoE</w:t>
      </w:r>
      <w:proofErr w:type="spellEnd"/>
      <w:r w:rsidR="00ED7B5A">
        <w:rPr>
          <w:szCs w:val="24"/>
        </w:rPr>
        <w:t xml:space="preserve"> ε4 non-carriers or heterozygous</w:t>
      </w:r>
      <w:r w:rsidR="00607702">
        <w:rPr>
          <w:szCs w:val="24"/>
        </w:rPr>
        <w:t xml:space="preserve"> reflects the lower risk of ARIA</w:t>
      </w:r>
      <w:r w:rsidR="00363275">
        <w:rPr>
          <w:szCs w:val="24"/>
        </w:rPr>
        <w:t xml:space="preserve"> for this subgroup.</w:t>
      </w:r>
    </w:p>
    <w:p w14:paraId="44F4289E" w14:textId="53450BAB" w:rsidR="00DB0EBE" w:rsidRDefault="006D1C13" w:rsidP="006D1C13">
      <w:pPr>
        <w:rPr>
          <w:szCs w:val="24"/>
        </w:rPr>
      </w:pPr>
      <w:r>
        <w:rPr>
          <w:szCs w:val="24"/>
        </w:rPr>
        <w:t xml:space="preserve">People were required to undergo </w:t>
      </w:r>
      <w:proofErr w:type="spellStart"/>
      <w:r>
        <w:rPr>
          <w:szCs w:val="24"/>
        </w:rPr>
        <w:t>ApoE</w:t>
      </w:r>
      <w:proofErr w:type="spellEnd"/>
      <w:r>
        <w:rPr>
          <w:szCs w:val="24"/>
        </w:rPr>
        <w:t xml:space="preserve"> ε4 genotyping </w:t>
      </w:r>
      <w:r w:rsidR="0094587B">
        <w:rPr>
          <w:szCs w:val="24"/>
        </w:rPr>
        <w:t>as part of the CLARITY AD trial</w:t>
      </w:r>
      <w:r w:rsidR="005D3B95">
        <w:rPr>
          <w:szCs w:val="24"/>
        </w:rPr>
        <w:t xml:space="preserve">, however </w:t>
      </w:r>
      <w:r w:rsidR="00E70B7E">
        <w:rPr>
          <w:szCs w:val="24"/>
        </w:rPr>
        <w:t xml:space="preserve">people </w:t>
      </w:r>
      <w:r w:rsidR="005D3B95">
        <w:rPr>
          <w:szCs w:val="24"/>
        </w:rPr>
        <w:t xml:space="preserve">were eligible to enrol regardless of </w:t>
      </w:r>
      <w:proofErr w:type="spellStart"/>
      <w:r w:rsidR="005D3B95">
        <w:rPr>
          <w:szCs w:val="24"/>
        </w:rPr>
        <w:t>ApoE</w:t>
      </w:r>
      <w:proofErr w:type="spellEnd"/>
      <w:r w:rsidR="005D3B95">
        <w:rPr>
          <w:szCs w:val="24"/>
        </w:rPr>
        <w:t xml:space="preserve"> ε4 genotyp</w:t>
      </w:r>
      <w:r w:rsidR="00E70B7E">
        <w:rPr>
          <w:szCs w:val="24"/>
        </w:rPr>
        <w:t>e.</w:t>
      </w:r>
      <w:r w:rsidR="00312170">
        <w:rPr>
          <w:szCs w:val="24"/>
        </w:rPr>
        <w:t xml:space="preserve"> </w:t>
      </w:r>
      <w:r w:rsidR="00BC3EF5">
        <w:rPr>
          <w:szCs w:val="24"/>
        </w:rPr>
        <w:t xml:space="preserve">In the CLARITY AD </w:t>
      </w:r>
      <w:r w:rsidR="00DB0EBE">
        <w:rPr>
          <w:szCs w:val="24"/>
        </w:rPr>
        <w:t xml:space="preserve">trial approximately 84% of people enrolled were </w:t>
      </w:r>
      <w:proofErr w:type="spellStart"/>
      <w:r w:rsidR="00DB0EBE">
        <w:rPr>
          <w:szCs w:val="24"/>
        </w:rPr>
        <w:t>ApoE</w:t>
      </w:r>
      <w:proofErr w:type="spellEnd"/>
      <w:r w:rsidR="00DB0EBE">
        <w:rPr>
          <w:szCs w:val="24"/>
        </w:rPr>
        <w:t xml:space="preserve"> ε4 non-carriers or heterozygous</w:t>
      </w:r>
      <w:r w:rsidR="000E6451">
        <w:rPr>
          <w:szCs w:val="24"/>
        </w:rPr>
        <w:t>.</w:t>
      </w:r>
    </w:p>
    <w:p w14:paraId="486D7995" w14:textId="6A0E3885" w:rsidR="006D1C13" w:rsidRDefault="00E812E6" w:rsidP="006D1C13">
      <w:pPr>
        <w:rPr>
          <w:szCs w:val="24"/>
        </w:rPr>
      </w:pPr>
      <w:r>
        <w:rPr>
          <w:szCs w:val="24"/>
        </w:rPr>
        <w:t>Details of ARIA events reported</w:t>
      </w:r>
      <w:r w:rsidR="000E6451">
        <w:rPr>
          <w:szCs w:val="24"/>
        </w:rPr>
        <w:t xml:space="preserve"> in the </w:t>
      </w:r>
      <w:proofErr w:type="spellStart"/>
      <w:r w:rsidR="000E6451">
        <w:rPr>
          <w:szCs w:val="24"/>
        </w:rPr>
        <w:t>lecanemab</w:t>
      </w:r>
      <w:proofErr w:type="spellEnd"/>
      <w:r w:rsidR="000E6451">
        <w:rPr>
          <w:szCs w:val="24"/>
        </w:rPr>
        <w:t xml:space="preserve"> arm</w:t>
      </w:r>
      <w:r>
        <w:rPr>
          <w:szCs w:val="24"/>
        </w:rPr>
        <w:t xml:space="preserve"> by </w:t>
      </w:r>
      <w:proofErr w:type="spellStart"/>
      <w:r>
        <w:rPr>
          <w:szCs w:val="24"/>
        </w:rPr>
        <w:t>ApoE</w:t>
      </w:r>
      <w:proofErr w:type="spellEnd"/>
      <w:r>
        <w:rPr>
          <w:szCs w:val="24"/>
        </w:rPr>
        <w:t xml:space="preserve"> ε4 genotype </w:t>
      </w:r>
      <w:r w:rsidR="009715E1">
        <w:rPr>
          <w:szCs w:val="24"/>
        </w:rPr>
        <w:t>at the primary analysis of CLARITY AD are outlined in</w:t>
      </w:r>
      <w:r w:rsidR="00707CD6">
        <w:rPr>
          <w:szCs w:val="24"/>
        </w:rPr>
        <w:t xml:space="preserve"> </w:t>
      </w:r>
      <w:r w:rsidR="00102E6D">
        <w:rPr>
          <w:szCs w:val="24"/>
        </w:rPr>
        <w:fldChar w:fldCharType="begin"/>
      </w:r>
      <w:r w:rsidR="00102E6D">
        <w:rPr>
          <w:szCs w:val="24"/>
        </w:rPr>
        <w:instrText xml:space="preserve"> REF _Ref223530307 \h </w:instrText>
      </w:r>
      <w:r w:rsidR="00102E6D">
        <w:rPr>
          <w:szCs w:val="24"/>
        </w:rPr>
      </w:r>
      <w:r w:rsidR="00102E6D">
        <w:rPr>
          <w:szCs w:val="24"/>
        </w:rPr>
        <w:fldChar w:fldCharType="separate"/>
      </w:r>
      <w:r w:rsidR="001C5350">
        <w:t xml:space="preserve">Table </w:t>
      </w:r>
      <w:r w:rsidR="001C5350">
        <w:rPr>
          <w:noProof/>
        </w:rPr>
        <w:t>1</w:t>
      </w:r>
      <w:r w:rsidR="00102E6D">
        <w:rPr>
          <w:szCs w:val="24"/>
        </w:rPr>
        <w:fldChar w:fldCharType="end"/>
      </w:r>
      <w:r w:rsidR="009715E1">
        <w:rPr>
          <w:szCs w:val="24"/>
        </w:rPr>
        <w:t>.</w:t>
      </w:r>
    </w:p>
    <w:p w14:paraId="0597304B" w14:textId="45813B4A" w:rsidR="009715E1" w:rsidRPr="00707CD6" w:rsidRDefault="003B43B0" w:rsidP="003F3CC6">
      <w:pPr>
        <w:pStyle w:val="Caption"/>
        <w:keepNext/>
        <w:keepLines/>
      </w:pPr>
      <w:bookmarkStart w:id="0" w:name="_Ref223530307"/>
      <w:r>
        <w:t xml:space="preserve">Table </w:t>
      </w:r>
      <w:r w:rsidR="001C5350">
        <w:fldChar w:fldCharType="begin"/>
      </w:r>
      <w:r w:rsidR="001C5350">
        <w:instrText xml:space="preserve"> SEQ Table \* ARABIC </w:instrText>
      </w:r>
      <w:r w:rsidR="001C5350">
        <w:fldChar w:fldCharType="separate"/>
      </w:r>
      <w:r w:rsidR="001C5350">
        <w:rPr>
          <w:noProof/>
        </w:rPr>
        <w:t>1</w:t>
      </w:r>
      <w:r w:rsidR="001C5350">
        <w:rPr>
          <w:noProof/>
        </w:rPr>
        <w:fldChar w:fldCharType="end"/>
      </w:r>
      <w:bookmarkEnd w:id="0"/>
      <w:r>
        <w:t>: A</w:t>
      </w:r>
      <w:r w:rsidR="00707CD6">
        <w:t xml:space="preserve">RIA events by </w:t>
      </w:r>
      <w:proofErr w:type="spellStart"/>
      <w:r w:rsidR="00707CD6" w:rsidRPr="00707CD6">
        <w:t>ApoE</w:t>
      </w:r>
      <w:proofErr w:type="spellEnd"/>
      <w:r w:rsidR="00707CD6" w:rsidRPr="00707CD6">
        <w:t xml:space="preserve"> ε4 genotype reported at primary analysis of CLARITY AD: safety population</w:t>
      </w:r>
    </w:p>
    <w:tbl>
      <w:tblPr>
        <w:tblStyle w:val="TableGrid"/>
        <w:tblW w:w="5000" w:type="pct"/>
        <w:tblLook w:val="04A0" w:firstRow="1" w:lastRow="0" w:firstColumn="1" w:lastColumn="0" w:noHBand="0" w:noVBand="1"/>
      </w:tblPr>
      <w:tblGrid>
        <w:gridCol w:w="2242"/>
        <w:gridCol w:w="2237"/>
        <w:gridCol w:w="2558"/>
        <w:gridCol w:w="2450"/>
      </w:tblGrid>
      <w:tr w:rsidR="003B43B0" w14:paraId="125EBF24" w14:textId="573F1E8A" w:rsidTr="00D6604E">
        <w:tc>
          <w:tcPr>
            <w:tcW w:w="1182" w:type="pct"/>
            <w:shd w:val="clear" w:color="auto" w:fill="BFBFBF" w:themeFill="background1" w:themeFillShade="BF"/>
          </w:tcPr>
          <w:p w14:paraId="588FD9B6" w14:textId="77777777" w:rsidR="003B43B0" w:rsidRPr="003B43B0" w:rsidRDefault="003B43B0" w:rsidP="003F3CC6">
            <w:pPr>
              <w:keepNext/>
              <w:keepLines/>
              <w:rPr>
                <w:b/>
                <w:bCs/>
                <w:szCs w:val="24"/>
              </w:rPr>
            </w:pPr>
          </w:p>
        </w:tc>
        <w:tc>
          <w:tcPr>
            <w:tcW w:w="3818" w:type="pct"/>
            <w:gridSpan w:val="3"/>
            <w:shd w:val="clear" w:color="auto" w:fill="BFBFBF" w:themeFill="background1" w:themeFillShade="BF"/>
          </w:tcPr>
          <w:p w14:paraId="335A03C7" w14:textId="39416206" w:rsidR="003B43B0" w:rsidRPr="003B43B0" w:rsidRDefault="003B43B0" w:rsidP="00D6604E">
            <w:pPr>
              <w:keepNext/>
              <w:keepLines/>
              <w:jc w:val="center"/>
              <w:rPr>
                <w:b/>
                <w:bCs/>
                <w:szCs w:val="24"/>
              </w:rPr>
            </w:pPr>
            <w:proofErr w:type="spellStart"/>
            <w:r w:rsidRPr="003B43B0">
              <w:rPr>
                <w:b/>
                <w:bCs/>
                <w:szCs w:val="24"/>
              </w:rPr>
              <w:t>Lecanemab</w:t>
            </w:r>
            <w:proofErr w:type="spellEnd"/>
            <w:r w:rsidRPr="003B43B0">
              <w:rPr>
                <w:b/>
                <w:bCs/>
                <w:szCs w:val="24"/>
              </w:rPr>
              <w:t xml:space="preserve"> (N=898)</w:t>
            </w:r>
          </w:p>
        </w:tc>
      </w:tr>
      <w:tr w:rsidR="000D39CD" w14:paraId="20BCE194" w14:textId="1E06906F" w:rsidTr="003B43B0">
        <w:tc>
          <w:tcPr>
            <w:tcW w:w="1182" w:type="pct"/>
            <w:shd w:val="clear" w:color="auto" w:fill="BFBFBF" w:themeFill="background1" w:themeFillShade="BF"/>
          </w:tcPr>
          <w:p w14:paraId="57D77436" w14:textId="4806CC53" w:rsidR="000D39CD" w:rsidRPr="003B43B0" w:rsidRDefault="000D39CD" w:rsidP="003F3CC6">
            <w:pPr>
              <w:keepNext/>
              <w:keepLines/>
              <w:rPr>
                <w:b/>
                <w:bCs/>
                <w:szCs w:val="24"/>
              </w:rPr>
            </w:pPr>
          </w:p>
        </w:tc>
        <w:tc>
          <w:tcPr>
            <w:tcW w:w="1179" w:type="pct"/>
            <w:shd w:val="clear" w:color="auto" w:fill="BFBFBF" w:themeFill="background1" w:themeFillShade="BF"/>
          </w:tcPr>
          <w:p w14:paraId="7F9214EE" w14:textId="1FA59A9E" w:rsidR="000D39CD" w:rsidRPr="003B43B0" w:rsidRDefault="000D39CD" w:rsidP="003F3CC6">
            <w:pPr>
              <w:keepNext/>
              <w:keepLines/>
              <w:rPr>
                <w:b/>
                <w:bCs/>
                <w:szCs w:val="24"/>
              </w:rPr>
            </w:pPr>
            <w:proofErr w:type="spellStart"/>
            <w:r w:rsidRPr="003B43B0">
              <w:rPr>
                <w:b/>
                <w:bCs/>
                <w:szCs w:val="24"/>
              </w:rPr>
              <w:t>ApoE</w:t>
            </w:r>
            <w:proofErr w:type="spellEnd"/>
            <w:r w:rsidRPr="003B43B0">
              <w:rPr>
                <w:b/>
                <w:bCs/>
                <w:szCs w:val="24"/>
              </w:rPr>
              <w:t xml:space="preserve"> ε4 non</w:t>
            </w:r>
            <w:r w:rsidR="00504B7C">
              <w:rPr>
                <w:b/>
                <w:bCs/>
                <w:szCs w:val="24"/>
              </w:rPr>
              <w:t>-</w:t>
            </w:r>
            <w:r w:rsidRPr="003B43B0">
              <w:rPr>
                <w:b/>
                <w:bCs/>
                <w:szCs w:val="24"/>
              </w:rPr>
              <w:t>carrier</w:t>
            </w:r>
          </w:p>
        </w:tc>
        <w:tc>
          <w:tcPr>
            <w:tcW w:w="1348" w:type="pct"/>
            <w:shd w:val="clear" w:color="auto" w:fill="BFBFBF" w:themeFill="background1" w:themeFillShade="BF"/>
          </w:tcPr>
          <w:p w14:paraId="73525444" w14:textId="199D3BF5" w:rsidR="000D39CD" w:rsidRPr="003B43B0" w:rsidRDefault="000D39CD" w:rsidP="003F3CC6">
            <w:pPr>
              <w:keepNext/>
              <w:keepLines/>
              <w:rPr>
                <w:b/>
                <w:bCs/>
                <w:szCs w:val="24"/>
              </w:rPr>
            </w:pPr>
            <w:proofErr w:type="spellStart"/>
            <w:r w:rsidRPr="003B43B0">
              <w:rPr>
                <w:b/>
                <w:bCs/>
                <w:szCs w:val="24"/>
              </w:rPr>
              <w:t>ApoE</w:t>
            </w:r>
            <w:proofErr w:type="spellEnd"/>
            <w:r w:rsidRPr="003B43B0">
              <w:rPr>
                <w:b/>
                <w:bCs/>
                <w:szCs w:val="24"/>
              </w:rPr>
              <w:t xml:space="preserve"> ε4 heterozygote</w:t>
            </w:r>
          </w:p>
        </w:tc>
        <w:tc>
          <w:tcPr>
            <w:tcW w:w="1291" w:type="pct"/>
            <w:shd w:val="clear" w:color="auto" w:fill="BFBFBF" w:themeFill="background1" w:themeFillShade="BF"/>
          </w:tcPr>
          <w:p w14:paraId="46AA94C7" w14:textId="6F2B5C2D" w:rsidR="000D39CD" w:rsidRPr="003B43B0" w:rsidRDefault="000D39CD" w:rsidP="003F3CC6">
            <w:pPr>
              <w:keepNext/>
              <w:keepLines/>
              <w:rPr>
                <w:b/>
                <w:bCs/>
                <w:szCs w:val="24"/>
              </w:rPr>
            </w:pPr>
            <w:proofErr w:type="spellStart"/>
            <w:r w:rsidRPr="003B43B0">
              <w:rPr>
                <w:b/>
                <w:bCs/>
                <w:szCs w:val="24"/>
              </w:rPr>
              <w:t>ApoE</w:t>
            </w:r>
            <w:proofErr w:type="spellEnd"/>
            <w:r w:rsidRPr="003B43B0">
              <w:rPr>
                <w:b/>
                <w:bCs/>
                <w:szCs w:val="24"/>
              </w:rPr>
              <w:t xml:space="preserve"> ε4 homozygote</w:t>
            </w:r>
          </w:p>
        </w:tc>
      </w:tr>
      <w:tr w:rsidR="000D39CD" w14:paraId="5D5EC6F5" w14:textId="56E0B875" w:rsidTr="00CD7C57">
        <w:tc>
          <w:tcPr>
            <w:tcW w:w="1182" w:type="pct"/>
          </w:tcPr>
          <w:p w14:paraId="0926BD57" w14:textId="24B6ED19" w:rsidR="000D39CD" w:rsidRDefault="000D39CD" w:rsidP="003F3CC6">
            <w:pPr>
              <w:keepNext/>
              <w:keepLines/>
              <w:rPr>
                <w:szCs w:val="24"/>
              </w:rPr>
            </w:pPr>
            <w:r>
              <w:rPr>
                <w:szCs w:val="24"/>
              </w:rPr>
              <w:t>Patients in safety population, n (%)</w:t>
            </w:r>
          </w:p>
        </w:tc>
        <w:tc>
          <w:tcPr>
            <w:tcW w:w="1179" w:type="pct"/>
          </w:tcPr>
          <w:p w14:paraId="2E3A6C87" w14:textId="5C1D8F15" w:rsidR="000D39CD" w:rsidRDefault="000D39CD" w:rsidP="003F3CC6">
            <w:pPr>
              <w:keepNext/>
              <w:keepLines/>
              <w:rPr>
                <w:szCs w:val="24"/>
              </w:rPr>
            </w:pPr>
            <w:r>
              <w:rPr>
                <w:szCs w:val="24"/>
              </w:rPr>
              <w:t>278 (31%)</w:t>
            </w:r>
          </w:p>
        </w:tc>
        <w:tc>
          <w:tcPr>
            <w:tcW w:w="1348" w:type="pct"/>
          </w:tcPr>
          <w:p w14:paraId="70A06F9B" w14:textId="6DFA07A4" w:rsidR="000D39CD" w:rsidRDefault="000D39CD" w:rsidP="003F3CC6">
            <w:pPr>
              <w:keepNext/>
              <w:keepLines/>
              <w:rPr>
                <w:szCs w:val="24"/>
              </w:rPr>
            </w:pPr>
            <w:r>
              <w:rPr>
                <w:szCs w:val="24"/>
              </w:rPr>
              <w:t>479 (53%)</w:t>
            </w:r>
          </w:p>
        </w:tc>
        <w:tc>
          <w:tcPr>
            <w:tcW w:w="1291" w:type="pct"/>
          </w:tcPr>
          <w:p w14:paraId="29BD0FA8" w14:textId="718796E8" w:rsidR="000D39CD" w:rsidRDefault="000D39CD" w:rsidP="003F3CC6">
            <w:pPr>
              <w:keepNext/>
              <w:keepLines/>
              <w:rPr>
                <w:szCs w:val="24"/>
              </w:rPr>
            </w:pPr>
            <w:r>
              <w:rPr>
                <w:szCs w:val="24"/>
              </w:rPr>
              <w:t>141 (16%)</w:t>
            </w:r>
          </w:p>
        </w:tc>
      </w:tr>
      <w:tr w:rsidR="000D39CD" w14:paraId="40599D94" w14:textId="371618D5" w:rsidTr="00CD7C57">
        <w:tc>
          <w:tcPr>
            <w:tcW w:w="1182" w:type="pct"/>
          </w:tcPr>
          <w:p w14:paraId="18039373" w14:textId="013D823F" w:rsidR="000D39CD" w:rsidRDefault="00E85E2E" w:rsidP="003F3CC6">
            <w:pPr>
              <w:keepNext/>
              <w:keepLines/>
              <w:rPr>
                <w:szCs w:val="24"/>
              </w:rPr>
            </w:pPr>
            <w:r>
              <w:rPr>
                <w:szCs w:val="24"/>
              </w:rPr>
              <w:t>ARIA-E</w:t>
            </w:r>
            <w:r w:rsidR="002B4514">
              <w:rPr>
                <w:szCs w:val="24"/>
              </w:rPr>
              <w:t>, n (%)</w:t>
            </w:r>
          </w:p>
        </w:tc>
        <w:tc>
          <w:tcPr>
            <w:tcW w:w="1179" w:type="pct"/>
          </w:tcPr>
          <w:p w14:paraId="5C3C7293" w14:textId="5166EA9D" w:rsidR="000D39CD" w:rsidRDefault="002B4514" w:rsidP="003F3CC6">
            <w:pPr>
              <w:keepNext/>
              <w:keepLines/>
              <w:rPr>
                <w:szCs w:val="24"/>
              </w:rPr>
            </w:pPr>
            <w:r>
              <w:rPr>
                <w:szCs w:val="24"/>
              </w:rPr>
              <w:t>15 (5%)</w:t>
            </w:r>
          </w:p>
        </w:tc>
        <w:tc>
          <w:tcPr>
            <w:tcW w:w="1348" w:type="pct"/>
          </w:tcPr>
          <w:p w14:paraId="7A0DC437" w14:textId="2981D9D2" w:rsidR="000D39CD" w:rsidRDefault="00ED5D8C" w:rsidP="003F3CC6">
            <w:pPr>
              <w:keepNext/>
              <w:keepLines/>
              <w:rPr>
                <w:szCs w:val="24"/>
              </w:rPr>
            </w:pPr>
            <w:r>
              <w:rPr>
                <w:szCs w:val="24"/>
              </w:rPr>
              <w:t>52 (11%)</w:t>
            </w:r>
          </w:p>
        </w:tc>
        <w:tc>
          <w:tcPr>
            <w:tcW w:w="1291" w:type="pct"/>
          </w:tcPr>
          <w:p w14:paraId="133D431D" w14:textId="257DBB99" w:rsidR="000D39CD" w:rsidRDefault="00ED5D8C" w:rsidP="003F3CC6">
            <w:pPr>
              <w:keepNext/>
              <w:keepLines/>
              <w:rPr>
                <w:szCs w:val="24"/>
              </w:rPr>
            </w:pPr>
            <w:r>
              <w:rPr>
                <w:szCs w:val="24"/>
              </w:rPr>
              <w:t>46 (33%)</w:t>
            </w:r>
          </w:p>
        </w:tc>
      </w:tr>
      <w:tr w:rsidR="000D39CD" w14:paraId="0C34FEFB" w14:textId="0C658117" w:rsidTr="00CD7C57">
        <w:tc>
          <w:tcPr>
            <w:tcW w:w="1182" w:type="pct"/>
          </w:tcPr>
          <w:p w14:paraId="48FF1F84" w14:textId="33D7370B" w:rsidR="000D39CD" w:rsidRDefault="00ED5D8C" w:rsidP="003F3CC6">
            <w:pPr>
              <w:keepNext/>
              <w:keepLines/>
              <w:rPr>
                <w:szCs w:val="24"/>
              </w:rPr>
            </w:pPr>
            <w:r>
              <w:rPr>
                <w:szCs w:val="24"/>
              </w:rPr>
              <w:t>ARIA-H, n (%)</w:t>
            </w:r>
          </w:p>
        </w:tc>
        <w:tc>
          <w:tcPr>
            <w:tcW w:w="1179" w:type="pct"/>
          </w:tcPr>
          <w:p w14:paraId="7E68E23E" w14:textId="13E95157" w:rsidR="000D39CD" w:rsidRDefault="00B7104A" w:rsidP="003F3CC6">
            <w:pPr>
              <w:keepNext/>
              <w:keepLines/>
              <w:rPr>
                <w:szCs w:val="24"/>
              </w:rPr>
            </w:pPr>
            <w:r>
              <w:rPr>
                <w:szCs w:val="24"/>
              </w:rPr>
              <w:t>33 (12%)</w:t>
            </w:r>
          </w:p>
        </w:tc>
        <w:tc>
          <w:tcPr>
            <w:tcW w:w="1348" w:type="pct"/>
          </w:tcPr>
          <w:p w14:paraId="4CBE313F" w14:textId="77FBB3F3" w:rsidR="000D39CD" w:rsidRDefault="00CD7C57" w:rsidP="003F3CC6">
            <w:pPr>
              <w:keepNext/>
              <w:keepLines/>
              <w:rPr>
                <w:szCs w:val="24"/>
              </w:rPr>
            </w:pPr>
            <w:r>
              <w:rPr>
                <w:szCs w:val="24"/>
              </w:rPr>
              <w:t>67 (14%)</w:t>
            </w:r>
          </w:p>
        </w:tc>
        <w:tc>
          <w:tcPr>
            <w:tcW w:w="1291" w:type="pct"/>
          </w:tcPr>
          <w:p w14:paraId="24D88C78" w14:textId="4239E4E1" w:rsidR="000D39CD" w:rsidRDefault="00CD7C57" w:rsidP="003F3CC6">
            <w:pPr>
              <w:keepNext/>
              <w:keepLines/>
              <w:rPr>
                <w:szCs w:val="24"/>
              </w:rPr>
            </w:pPr>
            <w:r>
              <w:rPr>
                <w:szCs w:val="24"/>
              </w:rPr>
              <w:t>55 (39%)</w:t>
            </w:r>
          </w:p>
        </w:tc>
      </w:tr>
    </w:tbl>
    <w:p w14:paraId="500A48A0" w14:textId="44FE1603" w:rsidR="009715E1" w:rsidRPr="00B73BB7" w:rsidRDefault="00102E6D" w:rsidP="006D1C13">
      <w:pPr>
        <w:rPr>
          <w:sz w:val="20"/>
          <w:szCs w:val="20"/>
        </w:rPr>
      </w:pPr>
      <w:r w:rsidRPr="00B73BB7">
        <w:rPr>
          <w:sz w:val="20"/>
          <w:szCs w:val="20"/>
        </w:rPr>
        <w:t>Source: Adapted from Table 3 (pp. 18</w:t>
      </w:r>
      <w:r w:rsidR="00D60258" w:rsidRPr="00B73BB7">
        <w:rPr>
          <w:sz w:val="20"/>
          <w:szCs w:val="20"/>
        </w:rPr>
        <w:t xml:space="preserve">-19) of </w:t>
      </w:r>
      <w:r w:rsidR="00881F00" w:rsidRPr="00B73BB7">
        <w:rPr>
          <w:noProof/>
          <w:sz w:val="20"/>
          <w:szCs w:val="20"/>
        </w:rPr>
        <w:t>(Van Dyck et al. 2023)</w:t>
      </w:r>
    </w:p>
    <w:p w14:paraId="410710EC" w14:textId="36136F17" w:rsidR="008076C4" w:rsidRPr="00B73BB7" w:rsidRDefault="008076C4" w:rsidP="006D1C13">
      <w:pPr>
        <w:rPr>
          <w:sz w:val="20"/>
          <w:szCs w:val="20"/>
        </w:rPr>
      </w:pPr>
      <w:r w:rsidRPr="00B73BB7">
        <w:rPr>
          <w:sz w:val="20"/>
          <w:szCs w:val="20"/>
        </w:rPr>
        <w:t>Abbreviations: ARIA-E=</w:t>
      </w:r>
      <w:r w:rsidR="002B5473" w:rsidRPr="00B73BB7">
        <w:rPr>
          <w:sz w:val="20"/>
          <w:szCs w:val="20"/>
        </w:rPr>
        <w:t xml:space="preserve">Amyloid-related imaging abnormalities with </w:t>
      </w:r>
      <w:proofErr w:type="spellStart"/>
      <w:r w:rsidR="002B5473" w:rsidRPr="00B73BB7">
        <w:rPr>
          <w:sz w:val="20"/>
          <w:szCs w:val="20"/>
        </w:rPr>
        <w:t>edema</w:t>
      </w:r>
      <w:proofErr w:type="spellEnd"/>
      <w:r w:rsidR="002B5473" w:rsidRPr="00B73BB7">
        <w:rPr>
          <w:sz w:val="20"/>
          <w:szCs w:val="20"/>
        </w:rPr>
        <w:t xml:space="preserve"> or effusions; ARIA-E=Amyloid-related imaging abnormalities with </w:t>
      </w:r>
      <w:r w:rsidR="00660E83" w:rsidRPr="00B73BB7">
        <w:rPr>
          <w:sz w:val="20"/>
          <w:szCs w:val="20"/>
        </w:rPr>
        <w:t>hemosiderin deposits</w:t>
      </w:r>
    </w:p>
    <w:p w14:paraId="7DB9E8C7" w14:textId="592EF429" w:rsidR="0094587B" w:rsidRDefault="00B860C5" w:rsidP="0062230F">
      <w:r w:rsidRPr="0062230F">
        <w:t xml:space="preserve">As seen from the data presented in </w:t>
      </w:r>
      <w:r w:rsidRPr="0062230F">
        <w:fldChar w:fldCharType="begin"/>
      </w:r>
      <w:r w:rsidRPr="0062230F">
        <w:instrText xml:space="preserve"> REF _Ref223530307 \h </w:instrText>
      </w:r>
      <w:r w:rsidRPr="0062230F">
        <w:fldChar w:fldCharType="separate"/>
      </w:r>
      <w:r w:rsidR="001C5350">
        <w:t xml:space="preserve">Table </w:t>
      </w:r>
      <w:r w:rsidR="001C5350">
        <w:rPr>
          <w:noProof/>
        </w:rPr>
        <w:t>1</w:t>
      </w:r>
      <w:r w:rsidRPr="0062230F">
        <w:fldChar w:fldCharType="end"/>
      </w:r>
      <w:r w:rsidRPr="0062230F">
        <w:t xml:space="preserve"> ARIA events were reported in a higher proportion of </w:t>
      </w:r>
      <w:proofErr w:type="spellStart"/>
      <w:r w:rsidRPr="0062230F">
        <w:t>ApoE</w:t>
      </w:r>
      <w:proofErr w:type="spellEnd"/>
      <w:r w:rsidRPr="0062230F">
        <w:t xml:space="preserve"> ε4 homozygotes than non-carriers or heterozygous.</w:t>
      </w:r>
      <w:r w:rsidR="005A51F9" w:rsidRPr="0062230F">
        <w:t xml:space="preserve"> In consideration </w:t>
      </w:r>
      <w:r w:rsidR="005A51F9" w:rsidRPr="0062230F">
        <w:lastRenderedPageBreak/>
        <w:t>of this</w:t>
      </w:r>
      <w:r w:rsidR="00CA06CB" w:rsidRPr="0062230F">
        <w:t xml:space="preserve">, and the potential for ARIA events to be fatal in a small number of </w:t>
      </w:r>
      <w:r w:rsidR="00DF4425" w:rsidRPr="0062230F">
        <w:t>people</w:t>
      </w:r>
      <w:r w:rsidR="00CA06CB" w:rsidRPr="0062230F">
        <w:t>,</w:t>
      </w:r>
      <w:r w:rsidR="005A51F9" w:rsidRPr="0062230F">
        <w:t xml:space="preserve"> the therapeutic indication for </w:t>
      </w:r>
      <w:proofErr w:type="spellStart"/>
      <w:r w:rsidR="005A51F9" w:rsidRPr="0062230F">
        <w:t>lecanemab</w:t>
      </w:r>
      <w:proofErr w:type="spellEnd"/>
      <w:r w:rsidR="005A51F9" w:rsidRPr="0062230F">
        <w:t xml:space="preserve"> approved by the TGA is restricted to people that</w:t>
      </w:r>
      <w:r w:rsidR="00D6635B" w:rsidRPr="0062230F">
        <w:t xml:space="preserve"> are</w:t>
      </w:r>
      <w:r w:rsidR="005A51F9" w:rsidRPr="0062230F">
        <w:t xml:space="preserve"> </w:t>
      </w:r>
      <w:proofErr w:type="spellStart"/>
      <w:r w:rsidR="00D6635B" w:rsidRPr="0062230F">
        <w:t>ApoE</w:t>
      </w:r>
      <w:proofErr w:type="spellEnd"/>
      <w:r w:rsidR="00D6635B" w:rsidRPr="0062230F">
        <w:t xml:space="preserve"> ε4 non-carriers or heterozygous.</w:t>
      </w:r>
      <w:r w:rsidR="00E0766A" w:rsidRPr="0062230F">
        <w:t xml:space="preserve"> This restriction enhances the overall safety profile of </w:t>
      </w:r>
      <w:proofErr w:type="spellStart"/>
      <w:r w:rsidR="00E0766A" w:rsidRPr="0062230F">
        <w:t>lecanemab</w:t>
      </w:r>
      <w:proofErr w:type="spellEnd"/>
      <w:r w:rsidR="00E0766A" w:rsidRPr="0062230F">
        <w:t>.</w:t>
      </w:r>
    </w:p>
    <w:p w14:paraId="15C2A346" w14:textId="162456E4" w:rsidR="00E22FE3" w:rsidRDefault="00B931D0" w:rsidP="0062230F">
      <w:r>
        <w:t xml:space="preserve">It is foreshadowed that the PBS restriction for </w:t>
      </w:r>
      <w:proofErr w:type="spellStart"/>
      <w:r>
        <w:t>lecanemab</w:t>
      </w:r>
      <w:proofErr w:type="spellEnd"/>
      <w:r>
        <w:t xml:space="preserve"> will </w:t>
      </w:r>
      <w:r w:rsidR="00187480">
        <w:t xml:space="preserve">specifying that a person </w:t>
      </w:r>
      <w:r w:rsidR="00E14800">
        <w:t xml:space="preserve">must meet </w:t>
      </w:r>
      <w:r w:rsidR="008312DA">
        <w:t xml:space="preserve">specific </w:t>
      </w:r>
      <w:r w:rsidR="005A2360">
        <w:t xml:space="preserve">criteria </w:t>
      </w:r>
      <w:r w:rsidR="0064281D">
        <w:t>regarding</w:t>
      </w:r>
      <w:r w:rsidR="001B157B">
        <w:t xml:space="preserve"> episodic impairment assessed using the Wechsler </w:t>
      </w:r>
      <w:r w:rsidR="00D055FE">
        <w:t>Memory Scale-IV Logical Memory (subscale) II instrument</w:t>
      </w:r>
      <w:r w:rsidR="00E56232">
        <w:t>, Clinical Dementia Rating score and Clinical Dementia Rating Memory Box score</w:t>
      </w:r>
      <w:r w:rsidR="005376DD">
        <w:t xml:space="preserve"> (</w:t>
      </w:r>
      <w:r w:rsidR="00DF5C8D">
        <w:fldChar w:fldCharType="begin"/>
      </w:r>
      <w:r w:rsidR="00DF5C8D">
        <w:instrText xml:space="preserve"> REF _Ref225073146 \h </w:instrText>
      </w:r>
      <w:r w:rsidR="00DF5C8D">
        <w:fldChar w:fldCharType="separate"/>
      </w:r>
      <w:r w:rsidR="001C5350">
        <w:t xml:space="preserve">Table </w:t>
      </w:r>
      <w:r w:rsidR="001C5350">
        <w:rPr>
          <w:noProof/>
        </w:rPr>
        <w:t>2</w:t>
      </w:r>
      <w:r w:rsidR="00DF5C8D">
        <w:fldChar w:fldCharType="end"/>
      </w:r>
      <w:r w:rsidR="005376DD">
        <w:t xml:space="preserve">). </w:t>
      </w:r>
      <w:r w:rsidR="00DC0743">
        <w:t xml:space="preserve">These </w:t>
      </w:r>
      <w:r w:rsidR="00B27A42">
        <w:t xml:space="preserve">criteria </w:t>
      </w:r>
      <w:r w:rsidR="00DC0743">
        <w:t xml:space="preserve">were </w:t>
      </w:r>
      <w:r w:rsidR="00B27A42">
        <w:t xml:space="preserve">applied </w:t>
      </w:r>
      <w:proofErr w:type="gramStart"/>
      <w:r w:rsidR="00B27A42">
        <w:t xml:space="preserve">to </w:t>
      </w:r>
      <w:r w:rsidR="00FD3F6B">
        <w:t xml:space="preserve"> determine</w:t>
      </w:r>
      <w:proofErr w:type="gramEnd"/>
      <w:r w:rsidR="00FD3F6B">
        <w:t xml:space="preserve"> eligibility to enrol in the CLARITY AD</w:t>
      </w:r>
      <w:r w:rsidR="00DE6F36">
        <w:t xml:space="preserve"> trial and</w:t>
      </w:r>
      <w:r w:rsidR="00A0314F">
        <w:t xml:space="preserve"> are being </w:t>
      </w:r>
      <w:r w:rsidR="00DE6F36">
        <w:t xml:space="preserve">proposed to ensure alignment </w:t>
      </w:r>
      <w:r w:rsidR="00A0314F">
        <w:t xml:space="preserve">between </w:t>
      </w:r>
      <w:r w:rsidR="00E22FE3">
        <w:t xml:space="preserve">the clinical trial population and the population eligible for </w:t>
      </w:r>
      <w:proofErr w:type="spellStart"/>
      <w:r w:rsidR="00E22FE3">
        <w:t>lecanemab</w:t>
      </w:r>
      <w:proofErr w:type="spellEnd"/>
      <w:r w:rsidR="00E22FE3">
        <w:t xml:space="preserve"> treatment through the PBS.</w:t>
      </w:r>
    </w:p>
    <w:p w14:paraId="4D1DD053" w14:textId="0E042EC4" w:rsidR="00E22FE3" w:rsidRDefault="00BE215A" w:rsidP="00BE215A">
      <w:pPr>
        <w:pStyle w:val="Caption"/>
      </w:pPr>
      <w:bookmarkStart w:id="1" w:name="_Ref225073146"/>
      <w:r>
        <w:t xml:space="preserve">Table </w:t>
      </w:r>
      <w:r w:rsidR="001C5350">
        <w:fldChar w:fldCharType="begin"/>
      </w:r>
      <w:r w:rsidR="001C5350">
        <w:instrText xml:space="preserve"> SEQ Table \* ARABIC </w:instrText>
      </w:r>
      <w:r w:rsidR="001C5350">
        <w:fldChar w:fldCharType="separate"/>
      </w:r>
      <w:r w:rsidR="001C5350">
        <w:rPr>
          <w:noProof/>
        </w:rPr>
        <w:t>2</w:t>
      </w:r>
      <w:r w:rsidR="001C5350">
        <w:rPr>
          <w:noProof/>
        </w:rPr>
        <w:fldChar w:fldCharType="end"/>
      </w:r>
      <w:bookmarkEnd w:id="1"/>
      <w:r w:rsidR="00062F62">
        <w:t>: For</w:t>
      </w:r>
      <w:r w:rsidR="00D61B13">
        <w:t>eshadowed c</w:t>
      </w:r>
      <w:r w:rsidR="00062F62">
        <w:t xml:space="preserve">linical criteria </w:t>
      </w:r>
      <w:r w:rsidR="00D61B13">
        <w:t xml:space="preserve">establishing </w:t>
      </w:r>
      <w:r w:rsidR="004B1FA6">
        <w:t xml:space="preserve">eligibility for </w:t>
      </w:r>
      <w:proofErr w:type="spellStart"/>
      <w:r w:rsidR="004B1FA6">
        <w:t>lecanemab</w:t>
      </w:r>
      <w:proofErr w:type="spellEnd"/>
      <w:r w:rsidR="004B1FA6">
        <w:t xml:space="preserve"> through the PBS</w:t>
      </w:r>
    </w:p>
    <w:tbl>
      <w:tblPr>
        <w:tblStyle w:val="TableGrid"/>
        <w:tblW w:w="0" w:type="auto"/>
        <w:tblLook w:val="04A0" w:firstRow="1" w:lastRow="0" w:firstColumn="1" w:lastColumn="0" w:noHBand="0" w:noVBand="1"/>
      </w:tblPr>
      <w:tblGrid>
        <w:gridCol w:w="1444"/>
        <w:gridCol w:w="8043"/>
      </w:tblGrid>
      <w:tr w:rsidR="00122C8A" w14:paraId="532DE8B4" w14:textId="77777777" w:rsidTr="00967A95">
        <w:tc>
          <w:tcPr>
            <w:tcW w:w="0" w:type="auto"/>
          </w:tcPr>
          <w:p w14:paraId="3C31E065" w14:textId="10B1088F" w:rsidR="00122C8A" w:rsidRDefault="00122C8A" w:rsidP="00967A95">
            <w:r w:rsidRPr="003E0AF7">
              <w:t>Clinical criteria:</w:t>
            </w:r>
          </w:p>
        </w:tc>
        <w:tc>
          <w:tcPr>
            <w:tcW w:w="0" w:type="auto"/>
          </w:tcPr>
          <w:p w14:paraId="30A6D70A" w14:textId="77777777" w:rsidR="00122C8A" w:rsidRDefault="00122C8A" w:rsidP="00967A95">
            <w:pPr>
              <w:rPr>
                <w:rFonts w:cs="Arial"/>
                <w:szCs w:val="20"/>
              </w:rPr>
            </w:pPr>
            <w:r>
              <w:rPr>
                <w:rFonts w:cs="Arial"/>
                <w:szCs w:val="20"/>
              </w:rPr>
              <w:t xml:space="preserve">Patient must have objective impairment in episodic memory as indicated by at least 1 standard deviation below age-adjusted mean in the </w:t>
            </w:r>
            <w:r w:rsidRPr="000B3798">
              <w:rPr>
                <w:rFonts w:cs="Arial"/>
                <w:szCs w:val="20"/>
              </w:rPr>
              <w:t>Wechsler Memory Scale-IV Logical Memory (subscale) II</w:t>
            </w:r>
            <w:r>
              <w:rPr>
                <w:rFonts w:cs="Arial"/>
                <w:szCs w:val="20"/>
              </w:rPr>
              <w:t>, as follows:</w:t>
            </w:r>
          </w:p>
          <w:p w14:paraId="0B947467" w14:textId="77777777" w:rsidR="00122C8A" w:rsidRPr="00967A95" w:rsidRDefault="00122C8A" w:rsidP="00967A95">
            <w:pPr>
              <w:pStyle w:val="ListParagraph"/>
              <w:numPr>
                <w:ilvl w:val="0"/>
                <w:numId w:val="18"/>
              </w:numPr>
              <w:rPr>
                <w:rFonts w:cs="Arial"/>
                <w:szCs w:val="20"/>
              </w:rPr>
            </w:pPr>
            <w:r w:rsidRPr="00967A95">
              <w:rPr>
                <w:rFonts w:cs="Arial"/>
                <w:szCs w:val="20"/>
              </w:rPr>
              <w:t>≤15 for age 50 to 64 years</w:t>
            </w:r>
          </w:p>
          <w:p w14:paraId="594237C2" w14:textId="77777777" w:rsidR="00122C8A" w:rsidRPr="00967A95" w:rsidRDefault="00122C8A" w:rsidP="00967A95">
            <w:pPr>
              <w:pStyle w:val="ListParagraph"/>
              <w:numPr>
                <w:ilvl w:val="0"/>
                <w:numId w:val="18"/>
              </w:numPr>
              <w:rPr>
                <w:rFonts w:cs="Arial"/>
                <w:szCs w:val="20"/>
              </w:rPr>
            </w:pPr>
            <w:r w:rsidRPr="00967A95">
              <w:rPr>
                <w:rFonts w:cs="Arial"/>
                <w:szCs w:val="20"/>
              </w:rPr>
              <w:t>≤12 for age 65 to 69 years</w:t>
            </w:r>
          </w:p>
          <w:p w14:paraId="5C61EAFC" w14:textId="77777777" w:rsidR="00122C8A" w:rsidRPr="00967A95" w:rsidRDefault="00122C8A" w:rsidP="00967A95">
            <w:pPr>
              <w:pStyle w:val="ListParagraph"/>
              <w:numPr>
                <w:ilvl w:val="0"/>
                <w:numId w:val="18"/>
              </w:numPr>
              <w:rPr>
                <w:rFonts w:cs="Arial"/>
                <w:szCs w:val="20"/>
              </w:rPr>
            </w:pPr>
            <w:r w:rsidRPr="00967A95">
              <w:rPr>
                <w:rFonts w:cs="Arial"/>
                <w:szCs w:val="20"/>
              </w:rPr>
              <w:t>≤11 for age 70 to 74 years</w:t>
            </w:r>
          </w:p>
          <w:p w14:paraId="3380B9C3" w14:textId="77777777" w:rsidR="00122C8A" w:rsidRPr="00967A95" w:rsidRDefault="00122C8A" w:rsidP="00967A95">
            <w:pPr>
              <w:pStyle w:val="ListParagraph"/>
              <w:numPr>
                <w:ilvl w:val="0"/>
                <w:numId w:val="18"/>
              </w:numPr>
              <w:rPr>
                <w:rFonts w:cs="Arial"/>
                <w:szCs w:val="20"/>
              </w:rPr>
            </w:pPr>
            <w:r w:rsidRPr="00967A95">
              <w:rPr>
                <w:rFonts w:cs="Arial"/>
                <w:szCs w:val="20"/>
              </w:rPr>
              <w:t>≤9 for age 75 to 79 years</w:t>
            </w:r>
          </w:p>
          <w:p w14:paraId="6C633D1D" w14:textId="77777777" w:rsidR="00122C8A" w:rsidRPr="00967A95" w:rsidRDefault="00122C8A" w:rsidP="00967A95">
            <w:pPr>
              <w:pStyle w:val="ListParagraph"/>
              <w:numPr>
                <w:ilvl w:val="0"/>
                <w:numId w:val="18"/>
              </w:numPr>
              <w:rPr>
                <w:rFonts w:cs="Arial"/>
                <w:szCs w:val="20"/>
              </w:rPr>
            </w:pPr>
            <w:r w:rsidRPr="00967A95">
              <w:rPr>
                <w:rFonts w:cs="Arial"/>
                <w:szCs w:val="20"/>
              </w:rPr>
              <w:t>≤7 for age 80 to 90 years</w:t>
            </w:r>
          </w:p>
          <w:p w14:paraId="362C621E" w14:textId="77777777" w:rsidR="00122C8A" w:rsidRDefault="00122C8A" w:rsidP="00967A95">
            <w:pPr>
              <w:rPr>
                <w:rFonts w:cs="Arial"/>
                <w:szCs w:val="20"/>
              </w:rPr>
            </w:pPr>
            <w:r>
              <w:rPr>
                <w:rFonts w:cs="Arial"/>
                <w:szCs w:val="20"/>
              </w:rPr>
              <w:t>AND</w:t>
            </w:r>
          </w:p>
          <w:p w14:paraId="5FBCF7FB" w14:textId="77777777" w:rsidR="00122C8A" w:rsidRDefault="00122C8A" w:rsidP="00967A95">
            <w:pPr>
              <w:rPr>
                <w:rFonts w:cs="Arial"/>
                <w:szCs w:val="20"/>
              </w:rPr>
            </w:pPr>
            <w:r>
              <w:rPr>
                <w:rFonts w:cs="Arial"/>
                <w:szCs w:val="20"/>
              </w:rPr>
              <w:t>Patient must have mild cognitive impairment due to Alzheimer’s disease-intermediate likelihood, as follows:</w:t>
            </w:r>
          </w:p>
          <w:p w14:paraId="6F824547" w14:textId="77777777" w:rsidR="00122C8A" w:rsidRPr="00967A95" w:rsidRDefault="00122C8A" w:rsidP="00967A95">
            <w:pPr>
              <w:pStyle w:val="ListParagraph"/>
              <w:numPr>
                <w:ilvl w:val="0"/>
                <w:numId w:val="19"/>
              </w:numPr>
              <w:rPr>
                <w:rFonts w:cs="Arial"/>
                <w:szCs w:val="20"/>
              </w:rPr>
            </w:pPr>
            <w:r w:rsidRPr="00967A95">
              <w:rPr>
                <w:rFonts w:cs="Arial"/>
                <w:szCs w:val="20"/>
              </w:rPr>
              <w:t>Meet the National Institute of Aging-Alzheimer’s Association core clinical criteria for mild cognitive impairment due to Alzheimer’s disease-intermediate likelihood</w:t>
            </w:r>
          </w:p>
          <w:p w14:paraId="73A8A09D" w14:textId="77777777" w:rsidR="00122C8A" w:rsidRPr="00967A95" w:rsidRDefault="00122C8A" w:rsidP="00967A95">
            <w:pPr>
              <w:pStyle w:val="ListParagraph"/>
              <w:numPr>
                <w:ilvl w:val="0"/>
                <w:numId w:val="19"/>
              </w:numPr>
              <w:rPr>
                <w:rFonts w:cs="Arial"/>
                <w:szCs w:val="20"/>
              </w:rPr>
            </w:pPr>
            <w:r w:rsidRPr="00967A95">
              <w:rPr>
                <w:rFonts w:cs="Arial"/>
                <w:szCs w:val="20"/>
              </w:rPr>
              <w:t>Have a global Clinical Dementia Rating score of 0.5 and a Clinical Dementia Rating Memory Box score of ≥0.5</w:t>
            </w:r>
          </w:p>
          <w:p w14:paraId="27268F90" w14:textId="77777777" w:rsidR="00122C8A" w:rsidRDefault="00122C8A" w:rsidP="00967A95">
            <w:pPr>
              <w:rPr>
                <w:rFonts w:cs="Arial"/>
                <w:szCs w:val="20"/>
              </w:rPr>
            </w:pPr>
            <w:r>
              <w:rPr>
                <w:rFonts w:cs="Arial"/>
                <w:szCs w:val="20"/>
              </w:rPr>
              <w:t>OR</w:t>
            </w:r>
          </w:p>
          <w:p w14:paraId="0D5E49C7" w14:textId="77777777" w:rsidR="00122C8A" w:rsidRDefault="00122C8A" w:rsidP="00967A95">
            <w:pPr>
              <w:rPr>
                <w:rFonts w:cs="Arial"/>
                <w:szCs w:val="20"/>
              </w:rPr>
            </w:pPr>
            <w:r>
              <w:rPr>
                <w:rFonts w:cs="Arial"/>
                <w:szCs w:val="20"/>
              </w:rPr>
              <w:t>Patient must have mild Alzheimer’s disease dementia, as follows:</w:t>
            </w:r>
          </w:p>
          <w:p w14:paraId="75410F30" w14:textId="77777777" w:rsidR="00122C8A" w:rsidRPr="00967A95" w:rsidRDefault="00122C8A" w:rsidP="00967A95">
            <w:pPr>
              <w:pStyle w:val="ListParagraph"/>
              <w:numPr>
                <w:ilvl w:val="0"/>
                <w:numId w:val="20"/>
              </w:numPr>
              <w:rPr>
                <w:rFonts w:cs="Arial"/>
                <w:szCs w:val="20"/>
              </w:rPr>
            </w:pPr>
            <w:r w:rsidRPr="00967A95">
              <w:rPr>
                <w:rFonts w:cs="Arial"/>
                <w:szCs w:val="20"/>
              </w:rPr>
              <w:t>Meet the National Institute of Aging-Alzheimer’s Association core clinical criteria for probable Alzheimer’s disease dementia</w:t>
            </w:r>
          </w:p>
          <w:p w14:paraId="5BF0919B" w14:textId="77777777" w:rsidR="00122C8A" w:rsidRPr="00967A95" w:rsidRDefault="00122C8A" w:rsidP="00967A95">
            <w:pPr>
              <w:pStyle w:val="ListParagraph"/>
              <w:numPr>
                <w:ilvl w:val="0"/>
                <w:numId w:val="20"/>
              </w:numPr>
              <w:rPr>
                <w:rFonts w:cs="Arial"/>
                <w:szCs w:val="20"/>
              </w:rPr>
            </w:pPr>
            <w:r w:rsidRPr="00967A95">
              <w:rPr>
                <w:rFonts w:cs="Arial"/>
                <w:szCs w:val="20"/>
              </w:rPr>
              <w:t>Have a global Clinical Dementia Rating score of 0.5 to 1.0 and a Clinical Dementia Rating Memory Box score of ≥0.5</w:t>
            </w:r>
          </w:p>
          <w:p w14:paraId="370EDA2D" w14:textId="77777777" w:rsidR="00122C8A" w:rsidRDefault="00122C8A" w:rsidP="00967A95">
            <w:r>
              <w:t>AND</w:t>
            </w:r>
          </w:p>
          <w:p w14:paraId="4FD4B548" w14:textId="77777777" w:rsidR="00122C8A" w:rsidRDefault="00122C8A" w:rsidP="00967A95">
            <w:pPr>
              <w:rPr>
                <w:rFonts w:cs="Arial"/>
                <w:szCs w:val="20"/>
              </w:rPr>
            </w:pPr>
            <w:r>
              <w:t>Patient must be apolipoprotein E ε4 (APOE ε4) non-carrier or heterozygote</w:t>
            </w:r>
          </w:p>
          <w:p w14:paraId="2E3B6931" w14:textId="77777777" w:rsidR="00122C8A" w:rsidRDefault="00122C8A" w:rsidP="00967A95">
            <w:pPr>
              <w:rPr>
                <w:rFonts w:cs="Arial"/>
                <w:szCs w:val="20"/>
              </w:rPr>
            </w:pPr>
            <w:r>
              <w:rPr>
                <w:rFonts w:cs="Arial"/>
                <w:szCs w:val="20"/>
              </w:rPr>
              <w:t>AND</w:t>
            </w:r>
          </w:p>
          <w:p w14:paraId="383F5511" w14:textId="77777777" w:rsidR="00122C8A" w:rsidRDefault="00122C8A" w:rsidP="00967A95">
            <w:pPr>
              <w:rPr>
                <w:rFonts w:cs="Arial"/>
                <w:szCs w:val="20"/>
              </w:rPr>
            </w:pPr>
            <w:r>
              <w:rPr>
                <w:rFonts w:cs="Arial"/>
                <w:szCs w:val="20"/>
              </w:rPr>
              <w:lastRenderedPageBreak/>
              <w:t>The condition must be positive for brain amyloid pathology as indicated by a validated test</w:t>
            </w:r>
          </w:p>
          <w:p w14:paraId="70AF45F7" w14:textId="77777777" w:rsidR="00122C8A" w:rsidRDefault="00122C8A" w:rsidP="00967A95">
            <w:pPr>
              <w:rPr>
                <w:rFonts w:cs="Arial"/>
                <w:szCs w:val="20"/>
              </w:rPr>
            </w:pPr>
            <w:r>
              <w:rPr>
                <w:rFonts w:cs="Arial"/>
                <w:szCs w:val="20"/>
              </w:rPr>
              <w:t>AND</w:t>
            </w:r>
          </w:p>
          <w:p w14:paraId="0F1BF7F0" w14:textId="77777777" w:rsidR="00122C8A" w:rsidRDefault="00122C8A" w:rsidP="00967A95">
            <w:pPr>
              <w:rPr>
                <w:rFonts w:cs="Arial"/>
                <w:szCs w:val="20"/>
              </w:rPr>
            </w:pPr>
            <w:r>
              <w:rPr>
                <w:rFonts w:cs="Arial"/>
                <w:szCs w:val="20"/>
              </w:rPr>
              <w:t xml:space="preserve">Patient must not be contraindicated to treatment </w:t>
            </w:r>
            <w:proofErr w:type="gramStart"/>
            <w:r>
              <w:rPr>
                <w:rFonts w:cs="Arial"/>
                <w:szCs w:val="20"/>
              </w:rPr>
              <w:t>on the basis of</w:t>
            </w:r>
            <w:proofErr w:type="gramEnd"/>
            <w:r>
              <w:rPr>
                <w:rFonts w:cs="Arial"/>
                <w:szCs w:val="20"/>
              </w:rPr>
              <w:t xml:space="preserve"> magnetic resonance imaging scanning, as follows:</w:t>
            </w:r>
          </w:p>
          <w:p w14:paraId="3F03788C" w14:textId="77777777" w:rsidR="00122C8A" w:rsidRPr="00A55A3A" w:rsidRDefault="00122C8A" w:rsidP="00A55A3A">
            <w:pPr>
              <w:pStyle w:val="ListParagraph"/>
              <w:numPr>
                <w:ilvl w:val="0"/>
                <w:numId w:val="21"/>
              </w:numPr>
              <w:rPr>
                <w:rFonts w:cs="Arial"/>
                <w:szCs w:val="20"/>
              </w:rPr>
            </w:pPr>
            <w:r w:rsidRPr="00A55A3A">
              <w:rPr>
                <w:rFonts w:cs="Arial"/>
                <w:szCs w:val="20"/>
              </w:rPr>
              <w:t>Evidence of clinically significant lesions on the brain at screening that could indicate a dementia diagnosis other than Alzheimer’s disease</w:t>
            </w:r>
          </w:p>
          <w:p w14:paraId="607A697E" w14:textId="564FD11E" w:rsidR="00122C8A" w:rsidRPr="00A55A3A" w:rsidRDefault="00122C8A" w:rsidP="00A55A3A">
            <w:pPr>
              <w:pStyle w:val="ListParagraph"/>
              <w:numPr>
                <w:ilvl w:val="0"/>
                <w:numId w:val="21"/>
              </w:numPr>
              <w:rPr>
                <w:rFonts w:cs="Arial"/>
                <w:szCs w:val="20"/>
              </w:rPr>
            </w:pPr>
            <w:r w:rsidRPr="00A55A3A">
              <w:rPr>
                <w:rFonts w:cs="Arial"/>
                <w:szCs w:val="20"/>
              </w:rPr>
              <w:t>Significant pathological findings on the brain at screening</w:t>
            </w:r>
          </w:p>
        </w:tc>
      </w:tr>
      <w:tr w:rsidR="00967A95" w14:paraId="6B8BCB81" w14:textId="77777777" w:rsidTr="00967A95">
        <w:tc>
          <w:tcPr>
            <w:tcW w:w="0" w:type="auto"/>
          </w:tcPr>
          <w:p w14:paraId="49079742" w14:textId="6C305D2F" w:rsidR="00967A95" w:rsidRPr="00967A95" w:rsidRDefault="00967A95" w:rsidP="00967A95">
            <w:pPr>
              <w:rPr>
                <w:bCs/>
              </w:rPr>
            </w:pPr>
            <w:r w:rsidRPr="00967A95">
              <w:rPr>
                <w:rFonts w:cs="Arial"/>
                <w:bCs/>
                <w:szCs w:val="20"/>
              </w:rPr>
              <w:lastRenderedPageBreak/>
              <w:t>Definitions</w:t>
            </w:r>
          </w:p>
        </w:tc>
        <w:tc>
          <w:tcPr>
            <w:tcW w:w="0" w:type="auto"/>
          </w:tcPr>
          <w:p w14:paraId="43428F99" w14:textId="1673C3A5" w:rsidR="00967A95" w:rsidRDefault="00967A95" w:rsidP="00967A95">
            <w:r w:rsidRPr="00DE2389">
              <w:rPr>
                <w:rFonts w:cs="Arial"/>
                <w:szCs w:val="20"/>
              </w:rPr>
              <w:t>Significant pathological findings on the brain at screening include but are not limited to: more than 4 microhemorrhages (defined as 10 mm or less at the greatest diameter); a single microhaemorrhage greater than 10 mm at greatest diameter; an area of superficial siderosis; evidence of vasogenic oedema; evidence of cerebral contusion, encephalomalacia, aneurysms, vascular malformations</w:t>
            </w:r>
            <w:r>
              <w:rPr>
                <w:rFonts w:cs="Arial"/>
                <w:szCs w:val="20"/>
              </w:rPr>
              <w:t xml:space="preserve"> or</w:t>
            </w:r>
            <w:r w:rsidRPr="00DE2389">
              <w:rPr>
                <w:rFonts w:cs="Arial"/>
                <w:szCs w:val="20"/>
              </w:rPr>
              <w:t xml:space="preserve"> infective lesions; evidence of multiple lacunar infarcts or stroke involving a major vascular territory, severe small vessel</w:t>
            </w:r>
            <w:r>
              <w:rPr>
                <w:rFonts w:cs="Arial"/>
                <w:szCs w:val="20"/>
              </w:rPr>
              <w:t xml:space="preserve"> or</w:t>
            </w:r>
            <w:r w:rsidRPr="00DE2389">
              <w:rPr>
                <w:rFonts w:cs="Arial"/>
                <w:szCs w:val="20"/>
              </w:rPr>
              <w:t xml:space="preserve"> white matter disease; space occupying lesions; or brain tumours (however, lesions diagnosed as meningiomas or arachnoid cysts and less than 1 cm at their greatest diameter need not be exclusionary</w:t>
            </w:r>
            <w:r>
              <w:rPr>
                <w:rFonts w:cs="Arial"/>
                <w:szCs w:val="20"/>
              </w:rPr>
              <w:t>).</w:t>
            </w:r>
          </w:p>
        </w:tc>
      </w:tr>
    </w:tbl>
    <w:p w14:paraId="18CBC483" w14:textId="77777777" w:rsidR="004B1FA6" w:rsidRPr="004B1FA6" w:rsidRDefault="004B1FA6" w:rsidP="004B1FA6"/>
    <w:p w14:paraId="409AB389" w14:textId="0868F8F2" w:rsidR="00051843" w:rsidRPr="00940A7E" w:rsidRDefault="00051843" w:rsidP="00940A7E">
      <w:pPr>
        <w:rPr>
          <w:b/>
          <w:bCs/>
          <w:szCs w:val="24"/>
        </w:rPr>
      </w:pPr>
      <w:r w:rsidRPr="00940A7E">
        <w:rPr>
          <w:b/>
          <w:bCs/>
          <w:szCs w:val="24"/>
        </w:rPr>
        <w:t>Are there any prerequisite tests?</w:t>
      </w:r>
    </w:p>
    <w:p w14:paraId="64EC5580" w14:textId="415024A9" w:rsidR="00051843" w:rsidRDefault="00051843" w:rsidP="00577BB2">
      <w:pPr>
        <w:rPr>
          <w:szCs w:val="24"/>
        </w:rPr>
      </w:pPr>
      <w:r w:rsidRPr="00D361BB">
        <w:rPr>
          <w:szCs w:val="24"/>
        </w:rPr>
        <w:t>Yes</w:t>
      </w:r>
    </w:p>
    <w:p w14:paraId="4DBCC917" w14:textId="77777777" w:rsidR="00F908C0" w:rsidRDefault="00996B71" w:rsidP="00577BB2">
      <w:pPr>
        <w:rPr>
          <w:b/>
          <w:bCs/>
        </w:rPr>
      </w:pPr>
      <w:r w:rsidRPr="009615D5">
        <w:rPr>
          <w:b/>
          <w:bCs/>
        </w:rPr>
        <w:t>Biomarker test</w:t>
      </w:r>
      <w:r w:rsidR="00F908C0">
        <w:rPr>
          <w:b/>
          <w:bCs/>
        </w:rPr>
        <w:t>ing</w:t>
      </w:r>
    </w:p>
    <w:p w14:paraId="6EF1E5AF" w14:textId="5E7B4AC0" w:rsidR="00DD4886" w:rsidRDefault="00EE220F" w:rsidP="00577BB2">
      <w:pPr>
        <w:rPr>
          <w:szCs w:val="24"/>
        </w:rPr>
      </w:pPr>
      <w:r w:rsidRPr="00C46271">
        <w:t xml:space="preserve">Blood tests and </w:t>
      </w:r>
      <w:r w:rsidR="00466D2B" w:rsidRPr="00C46271">
        <w:t xml:space="preserve">structural imaging are </w:t>
      </w:r>
      <w:r w:rsidR="00E817BA" w:rsidRPr="00C46271">
        <w:t xml:space="preserve">required as part of the investigations supporting a diagnosis of </w:t>
      </w:r>
      <w:r w:rsidR="004738C8" w:rsidRPr="00C46271">
        <w:rPr>
          <w:szCs w:val="24"/>
        </w:rPr>
        <w:t>mild cognitive impairment and mild dementia due to Alzheimer’s disease</w:t>
      </w:r>
      <w:r w:rsidR="001465D6">
        <w:rPr>
          <w:szCs w:val="24"/>
        </w:rPr>
        <w:t>.</w:t>
      </w:r>
    </w:p>
    <w:p w14:paraId="123FA48A" w14:textId="77777777" w:rsidR="00F908C0" w:rsidRDefault="00A71511" w:rsidP="00577BB2">
      <w:pPr>
        <w:rPr>
          <w:b/>
          <w:bCs/>
          <w:szCs w:val="24"/>
        </w:rPr>
      </w:pPr>
      <w:proofErr w:type="spellStart"/>
      <w:r w:rsidRPr="00C46271">
        <w:rPr>
          <w:b/>
          <w:bCs/>
          <w:szCs w:val="24"/>
        </w:rPr>
        <w:t>Lecanemab</w:t>
      </w:r>
      <w:proofErr w:type="spellEnd"/>
      <w:r w:rsidRPr="00C46271">
        <w:rPr>
          <w:b/>
          <w:bCs/>
          <w:szCs w:val="24"/>
        </w:rPr>
        <w:t xml:space="preserve"> treatment</w:t>
      </w:r>
    </w:p>
    <w:p w14:paraId="15C09D8F" w14:textId="64333307" w:rsidR="003D10FB" w:rsidRPr="00230F1D" w:rsidRDefault="00A71511" w:rsidP="00577BB2">
      <w:pPr>
        <w:rPr>
          <w:szCs w:val="24"/>
        </w:rPr>
      </w:pPr>
      <w:r>
        <w:rPr>
          <w:szCs w:val="24"/>
        </w:rPr>
        <w:t xml:space="preserve">Aβ </w:t>
      </w:r>
      <w:r w:rsidR="00AA3F72">
        <w:rPr>
          <w:szCs w:val="24"/>
        </w:rPr>
        <w:t xml:space="preserve">pathology </w:t>
      </w:r>
      <w:r>
        <w:rPr>
          <w:szCs w:val="24"/>
        </w:rPr>
        <w:t xml:space="preserve">and </w:t>
      </w:r>
      <w:proofErr w:type="spellStart"/>
      <w:r>
        <w:rPr>
          <w:szCs w:val="24"/>
        </w:rPr>
        <w:t>ApoE</w:t>
      </w:r>
      <w:proofErr w:type="spellEnd"/>
      <w:r>
        <w:rPr>
          <w:szCs w:val="24"/>
        </w:rPr>
        <w:t xml:space="preserve"> ε4 genotyp</w:t>
      </w:r>
      <w:r w:rsidR="007E1ED2">
        <w:rPr>
          <w:szCs w:val="24"/>
        </w:rPr>
        <w:t xml:space="preserve">e testing </w:t>
      </w:r>
      <w:r w:rsidR="00AA3F72">
        <w:rPr>
          <w:szCs w:val="24"/>
        </w:rPr>
        <w:t xml:space="preserve">are required </w:t>
      </w:r>
      <w:r w:rsidR="00C46271">
        <w:rPr>
          <w:szCs w:val="24"/>
        </w:rPr>
        <w:t xml:space="preserve">to establish </w:t>
      </w:r>
      <w:r w:rsidR="0073103D">
        <w:rPr>
          <w:szCs w:val="24"/>
        </w:rPr>
        <w:t>eligibility</w:t>
      </w:r>
      <w:r w:rsidR="00C46271">
        <w:rPr>
          <w:szCs w:val="24"/>
        </w:rPr>
        <w:t xml:space="preserve"> for </w:t>
      </w:r>
      <w:proofErr w:type="spellStart"/>
      <w:r w:rsidR="00C46271">
        <w:rPr>
          <w:szCs w:val="24"/>
        </w:rPr>
        <w:t>lecanemab</w:t>
      </w:r>
      <w:proofErr w:type="spellEnd"/>
      <w:r w:rsidR="00D02E3F">
        <w:rPr>
          <w:szCs w:val="24"/>
        </w:rPr>
        <w:t>.</w:t>
      </w:r>
      <w:r w:rsidR="006152BD">
        <w:rPr>
          <w:szCs w:val="24"/>
        </w:rPr>
        <w:t xml:space="preserve"> </w:t>
      </w:r>
      <w:r w:rsidR="003D10FB">
        <w:rPr>
          <w:szCs w:val="24"/>
        </w:rPr>
        <w:t xml:space="preserve">A recent (within 6 months) MRI scan of the brain should be available prior to initiating treatment with </w:t>
      </w:r>
      <w:proofErr w:type="spellStart"/>
      <w:r w:rsidR="003D10FB">
        <w:rPr>
          <w:szCs w:val="24"/>
        </w:rPr>
        <w:t>lecanemab</w:t>
      </w:r>
      <w:proofErr w:type="spellEnd"/>
      <w:r w:rsidR="003D10FB">
        <w:rPr>
          <w:szCs w:val="24"/>
        </w:rPr>
        <w:t>.</w:t>
      </w:r>
      <w:r w:rsidR="00BD7BDD">
        <w:rPr>
          <w:szCs w:val="24"/>
        </w:rPr>
        <w:t xml:space="preserve"> Most </w:t>
      </w:r>
      <w:r w:rsidR="00743C09">
        <w:rPr>
          <w:szCs w:val="24"/>
        </w:rPr>
        <w:t>people</w:t>
      </w:r>
      <w:r w:rsidR="00BD7BDD">
        <w:rPr>
          <w:szCs w:val="24"/>
        </w:rPr>
        <w:t xml:space="preserve"> would receive this MRI scan as part of the investigations </w:t>
      </w:r>
      <w:r w:rsidR="00BD7BDD" w:rsidRPr="00C46271">
        <w:t xml:space="preserve">supporting a diagnosis of </w:t>
      </w:r>
      <w:r w:rsidR="00BD7BDD" w:rsidRPr="00C46271">
        <w:rPr>
          <w:szCs w:val="24"/>
        </w:rPr>
        <w:t>mild cognitive impairment and mild dementia due to Alzheimer’s disease</w:t>
      </w:r>
      <w:r w:rsidR="009C0C8B">
        <w:rPr>
          <w:szCs w:val="24"/>
        </w:rPr>
        <w:t>. If a recent MRI scan of the brain was</w:t>
      </w:r>
      <w:r w:rsidR="00B5636E">
        <w:rPr>
          <w:szCs w:val="24"/>
        </w:rPr>
        <w:t xml:space="preserve"> not available this would be </w:t>
      </w:r>
      <w:r w:rsidR="00307050">
        <w:rPr>
          <w:szCs w:val="24"/>
        </w:rPr>
        <w:t xml:space="preserve">a prerequisite test </w:t>
      </w:r>
      <w:r w:rsidR="006152BD">
        <w:rPr>
          <w:szCs w:val="24"/>
        </w:rPr>
        <w:t xml:space="preserve">to establish the </w:t>
      </w:r>
      <w:proofErr w:type="spellStart"/>
      <w:r w:rsidR="006152BD">
        <w:rPr>
          <w:szCs w:val="24"/>
        </w:rPr>
        <w:t>lecanemab</w:t>
      </w:r>
      <w:proofErr w:type="spellEnd"/>
      <w:r w:rsidR="006152BD">
        <w:rPr>
          <w:szCs w:val="24"/>
        </w:rPr>
        <w:t xml:space="preserve"> treatment population.</w:t>
      </w:r>
      <w:r w:rsidR="00B5636E">
        <w:rPr>
          <w:szCs w:val="24"/>
        </w:rPr>
        <w:t xml:space="preserve"> </w:t>
      </w:r>
      <w:r w:rsidR="00BD7BDD">
        <w:rPr>
          <w:szCs w:val="24"/>
        </w:rPr>
        <w:t xml:space="preserve"> </w:t>
      </w:r>
    </w:p>
    <w:p w14:paraId="5998FE51" w14:textId="7B048AA9" w:rsidR="00051843" w:rsidRPr="00940A7E" w:rsidRDefault="00051843" w:rsidP="00940A7E">
      <w:pPr>
        <w:rPr>
          <w:b/>
          <w:bCs/>
          <w:szCs w:val="24"/>
        </w:rPr>
      </w:pPr>
      <w:r w:rsidRPr="00940A7E">
        <w:rPr>
          <w:b/>
          <w:bCs/>
          <w:szCs w:val="24"/>
        </w:rPr>
        <w:t>Are the prerequisite tests MBS funded?</w:t>
      </w:r>
    </w:p>
    <w:p w14:paraId="7B15CE91" w14:textId="32A03674" w:rsidR="00051843" w:rsidRPr="00A00D08" w:rsidRDefault="00D361BB" w:rsidP="00577BB2">
      <w:pPr>
        <w:rPr>
          <w:szCs w:val="24"/>
        </w:rPr>
      </w:pPr>
      <w:r w:rsidRPr="00A00D08">
        <w:rPr>
          <w:b/>
          <w:bCs/>
          <w:szCs w:val="24"/>
        </w:rPr>
        <w:t>Biomarker test</w:t>
      </w:r>
      <w:r w:rsidR="00230D1F">
        <w:rPr>
          <w:b/>
          <w:bCs/>
          <w:szCs w:val="24"/>
        </w:rPr>
        <w:t>ing</w:t>
      </w:r>
      <w:r w:rsidRPr="00A00D08">
        <w:rPr>
          <w:b/>
          <w:bCs/>
          <w:szCs w:val="24"/>
        </w:rPr>
        <w:t>:</w:t>
      </w:r>
      <w:r w:rsidRPr="00A00D08">
        <w:rPr>
          <w:szCs w:val="24"/>
        </w:rPr>
        <w:t xml:space="preserve"> </w:t>
      </w:r>
      <w:r w:rsidR="00051843" w:rsidRPr="00A00D08">
        <w:rPr>
          <w:szCs w:val="24"/>
        </w:rPr>
        <w:t>Yes</w:t>
      </w:r>
    </w:p>
    <w:p w14:paraId="038F710D" w14:textId="4755E093" w:rsidR="00D361BB" w:rsidRDefault="00D361BB" w:rsidP="00577BB2">
      <w:pPr>
        <w:rPr>
          <w:b/>
          <w:bCs/>
          <w:szCs w:val="24"/>
        </w:rPr>
      </w:pPr>
      <w:proofErr w:type="spellStart"/>
      <w:r w:rsidRPr="00A00D08">
        <w:rPr>
          <w:b/>
          <w:bCs/>
          <w:szCs w:val="24"/>
        </w:rPr>
        <w:t>Lecanemab</w:t>
      </w:r>
      <w:proofErr w:type="spellEnd"/>
      <w:r w:rsidRPr="00A00D08">
        <w:rPr>
          <w:b/>
          <w:bCs/>
          <w:szCs w:val="24"/>
        </w:rPr>
        <w:t xml:space="preserve"> treatment</w:t>
      </w:r>
      <w:r w:rsidR="00A00D08" w:rsidRPr="00A00D08">
        <w:rPr>
          <w:b/>
          <w:bCs/>
          <w:szCs w:val="24"/>
        </w:rPr>
        <w:t>:</w:t>
      </w:r>
    </w:p>
    <w:p w14:paraId="14C3DCDE" w14:textId="01A75DF6" w:rsidR="00A00D08" w:rsidRPr="00F27B0A" w:rsidRDefault="00F27B0A" w:rsidP="00F27B0A">
      <w:pPr>
        <w:pStyle w:val="ListParagraph"/>
        <w:numPr>
          <w:ilvl w:val="0"/>
          <w:numId w:val="2"/>
        </w:numPr>
        <w:rPr>
          <w:b/>
          <w:bCs/>
          <w:szCs w:val="24"/>
        </w:rPr>
      </w:pPr>
      <w:r>
        <w:rPr>
          <w:szCs w:val="24"/>
        </w:rPr>
        <w:t>Aβ pathology testing: No</w:t>
      </w:r>
    </w:p>
    <w:p w14:paraId="17F595C1" w14:textId="68722C6E" w:rsidR="00F27B0A" w:rsidRPr="00F27B0A" w:rsidRDefault="00F27B0A" w:rsidP="00F27B0A">
      <w:pPr>
        <w:pStyle w:val="ListParagraph"/>
        <w:numPr>
          <w:ilvl w:val="0"/>
          <w:numId w:val="2"/>
        </w:numPr>
        <w:rPr>
          <w:b/>
          <w:bCs/>
          <w:szCs w:val="24"/>
        </w:rPr>
      </w:pPr>
      <w:proofErr w:type="spellStart"/>
      <w:r>
        <w:rPr>
          <w:szCs w:val="24"/>
        </w:rPr>
        <w:t>ApoE</w:t>
      </w:r>
      <w:proofErr w:type="spellEnd"/>
      <w:r>
        <w:rPr>
          <w:szCs w:val="24"/>
        </w:rPr>
        <w:t xml:space="preserve"> ε4 genotype testing: No</w:t>
      </w:r>
    </w:p>
    <w:p w14:paraId="71246509" w14:textId="5A0AF369" w:rsidR="00F27B0A" w:rsidRPr="00F27B0A" w:rsidRDefault="00F27B0A" w:rsidP="00F27B0A">
      <w:pPr>
        <w:pStyle w:val="ListParagraph"/>
        <w:numPr>
          <w:ilvl w:val="0"/>
          <w:numId w:val="2"/>
        </w:numPr>
        <w:rPr>
          <w:b/>
          <w:bCs/>
          <w:szCs w:val="24"/>
        </w:rPr>
      </w:pPr>
      <w:r>
        <w:rPr>
          <w:szCs w:val="24"/>
        </w:rPr>
        <w:t xml:space="preserve">MRI scan of </w:t>
      </w:r>
      <w:r w:rsidR="001D04F1">
        <w:rPr>
          <w:szCs w:val="24"/>
        </w:rPr>
        <w:t>the brain (if not performed as part of diagnostic work-up): Yes</w:t>
      </w:r>
    </w:p>
    <w:p w14:paraId="3C1B590A" w14:textId="77777777" w:rsidR="0079617D" w:rsidRDefault="0079617D">
      <w:pPr>
        <w:spacing w:after="160" w:line="259" w:lineRule="auto"/>
        <w:jc w:val="left"/>
        <w:rPr>
          <w:b/>
          <w:bCs/>
          <w:szCs w:val="24"/>
        </w:rPr>
      </w:pPr>
      <w:r>
        <w:rPr>
          <w:b/>
          <w:bCs/>
          <w:szCs w:val="24"/>
        </w:rPr>
        <w:br w:type="page"/>
      </w:r>
    </w:p>
    <w:p w14:paraId="0A585F0C" w14:textId="53E966D8" w:rsidR="00051843" w:rsidRPr="00940A7E" w:rsidRDefault="00EA0AA0" w:rsidP="00940A7E">
      <w:pPr>
        <w:rPr>
          <w:b/>
          <w:bCs/>
          <w:szCs w:val="24"/>
        </w:rPr>
      </w:pPr>
      <w:r w:rsidRPr="00940A7E">
        <w:rPr>
          <w:b/>
          <w:bCs/>
          <w:szCs w:val="24"/>
        </w:rPr>
        <w:lastRenderedPageBreak/>
        <w:t>P</w:t>
      </w:r>
      <w:r w:rsidR="00051843" w:rsidRPr="00940A7E">
        <w:rPr>
          <w:b/>
          <w:bCs/>
          <w:szCs w:val="24"/>
        </w:rPr>
        <w:t>rovide details to fund the prerequisite tests:</w:t>
      </w:r>
    </w:p>
    <w:p w14:paraId="025DC1AF" w14:textId="77777777" w:rsidR="00B20918" w:rsidRPr="00CD39E6" w:rsidRDefault="004E73C3" w:rsidP="00577BB2">
      <w:pPr>
        <w:rPr>
          <w:szCs w:val="24"/>
        </w:rPr>
      </w:pPr>
      <w:r w:rsidRPr="00CD39E6">
        <w:rPr>
          <w:szCs w:val="24"/>
        </w:rPr>
        <w:t>This application</w:t>
      </w:r>
      <w:r w:rsidR="000F6EB9" w:rsidRPr="00CD39E6">
        <w:rPr>
          <w:szCs w:val="24"/>
        </w:rPr>
        <w:t xml:space="preserve"> seeks that funding of prerequi</w:t>
      </w:r>
      <w:r w:rsidR="00F13800" w:rsidRPr="00CD39E6">
        <w:rPr>
          <w:szCs w:val="24"/>
        </w:rPr>
        <w:t xml:space="preserve">site tests establishing the </w:t>
      </w:r>
      <w:proofErr w:type="spellStart"/>
      <w:r w:rsidR="00F13800" w:rsidRPr="00CD39E6">
        <w:rPr>
          <w:szCs w:val="24"/>
        </w:rPr>
        <w:t>lecanemab</w:t>
      </w:r>
      <w:proofErr w:type="spellEnd"/>
      <w:r w:rsidR="00F13800" w:rsidRPr="00CD39E6">
        <w:rPr>
          <w:szCs w:val="24"/>
        </w:rPr>
        <w:t xml:space="preserve"> treatment population be funded through the MBS</w:t>
      </w:r>
      <w:r w:rsidR="00B20918" w:rsidRPr="00CD39E6">
        <w:rPr>
          <w:szCs w:val="24"/>
        </w:rPr>
        <w:t>, specifically:</w:t>
      </w:r>
    </w:p>
    <w:p w14:paraId="42E5ACDA" w14:textId="77777777" w:rsidR="00884DAD" w:rsidRPr="00CD39E6" w:rsidRDefault="00B20918" w:rsidP="00B20918">
      <w:pPr>
        <w:pStyle w:val="ListParagraph"/>
        <w:numPr>
          <w:ilvl w:val="0"/>
          <w:numId w:val="2"/>
        </w:numPr>
        <w:rPr>
          <w:rFonts w:eastAsia="Segoe UI"/>
          <w:color w:val="000000"/>
          <w:szCs w:val="24"/>
        </w:rPr>
      </w:pPr>
      <w:r w:rsidRPr="00CD39E6">
        <w:rPr>
          <w:szCs w:val="24"/>
        </w:rPr>
        <w:t xml:space="preserve">Aβ pathology testing </w:t>
      </w:r>
      <w:r w:rsidR="00884DAD" w:rsidRPr="00CD39E6">
        <w:rPr>
          <w:szCs w:val="24"/>
        </w:rPr>
        <w:t>using any of the following methodologies</w:t>
      </w:r>
    </w:p>
    <w:p w14:paraId="74149CD2" w14:textId="77777777" w:rsidR="00AC79DA" w:rsidRPr="00CD39E6" w:rsidRDefault="00884DAD" w:rsidP="00884DAD">
      <w:pPr>
        <w:pStyle w:val="ListParagraph"/>
        <w:numPr>
          <w:ilvl w:val="1"/>
          <w:numId w:val="2"/>
        </w:numPr>
        <w:rPr>
          <w:rFonts w:eastAsia="Segoe UI"/>
          <w:color w:val="000000"/>
          <w:szCs w:val="24"/>
        </w:rPr>
      </w:pPr>
      <w:r w:rsidRPr="00CD39E6">
        <w:rPr>
          <w:szCs w:val="24"/>
        </w:rPr>
        <w:t>Amyloid Posit</w:t>
      </w:r>
      <w:r w:rsidR="00AC79DA" w:rsidRPr="00CD39E6">
        <w:rPr>
          <w:szCs w:val="24"/>
        </w:rPr>
        <w:t>ron Emission Tomography (amyloid PET) of the brain</w:t>
      </w:r>
    </w:p>
    <w:p w14:paraId="4DC5EF7C" w14:textId="77777777" w:rsidR="007401A9" w:rsidRPr="00CD39E6" w:rsidRDefault="00DB6C2A" w:rsidP="00F01FE5">
      <w:pPr>
        <w:pStyle w:val="ListParagraph"/>
        <w:numPr>
          <w:ilvl w:val="1"/>
          <w:numId w:val="2"/>
        </w:numPr>
        <w:rPr>
          <w:rFonts w:eastAsia="Segoe UI"/>
          <w:color w:val="000000"/>
          <w:szCs w:val="24"/>
        </w:rPr>
      </w:pPr>
      <w:r w:rsidRPr="00CD39E6">
        <w:rPr>
          <w:rFonts w:eastAsia="Segoe UI"/>
          <w:color w:val="000000"/>
          <w:szCs w:val="24"/>
        </w:rPr>
        <w:t>Immunoassay a</w:t>
      </w:r>
      <w:r w:rsidR="00DA36EA" w:rsidRPr="00CD39E6">
        <w:rPr>
          <w:rFonts w:eastAsia="Segoe UI"/>
          <w:color w:val="000000"/>
          <w:szCs w:val="24"/>
        </w:rPr>
        <w:t xml:space="preserve">ssessment of </w:t>
      </w:r>
      <w:r w:rsidR="007401A9" w:rsidRPr="00CD39E6">
        <w:rPr>
          <w:szCs w:val="24"/>
        </w:rPr>
        <w:t>t-tau/A</w:t>
      </w:r>
      <w:proofErr w:type="gramStart"/>
      <w:r w:rsidR="007401A9" w:rsidRPr="00CD39E6">
        <w:rPr>
          <w:szCs w:val="24"/>
        </w:rPr>
        <w:t>β[</w:t>
      </w:r>
      <w:proofErr w:type="gramEnd"/>
      <w:r w:rsidR="007401A9" w:rsidRPr="00CD39E6">
        <w:rPr>
          <w:szCs w:val="24"/>
        </w:rPr>
        <w:t>1-42] in c</w:t>
      </w:r>
      <w:r w:rsidR="008829C1" w:rsidRPr="00CD39E6">
        <w:rPr>
          <w:rFonts w:eastAsia="Segoe UI"/>
          <w:color w:val="000000"/>
          <w:szCs w:val="24"/>
        </w:rPr>
        <w:t>erebrospinal fluid (CSF)</w:t>
      </w:r>
    </w:p>
    <w:p w14:paraId="58FB847B" w14:textId="6F32A362" w:rsidR="00D32DD1" w:rsidRPr="00CD39E6" w:rsidRDefault="007401A9" w:rsidP="00F01FE5">
      <w:pPr>
        <w:pStyle w:val="ListParagraph"/>
        <w:numPr>
          <w:ilvl w:val="1"/>
          <w:numId w:val="2"/>
        </w:numPr>
        <w:rPr>
          <w:rFonts w:eastAsia="Segoe UI"/>
          <w:color w:val="000000"/>
          <w:szCs w:val="24"/>
        </w:rPr>
      </w:pPr>
      <w:r w:rsidRPr="00CD39E6">
        <w:rPr>
          <w:rFonts w:eastAsia="Segoe UI"/>
          <w:color w:val="000000"/>
          <w:szCs w:val="24"/>
        </w:rPr>
        <w:t>Immun</w:t>
      </w:r>
      <w:r w:rsidR="003D4E3C" w:rsidRPr="00CD39E6">
        <w:rPr>
          <w:rFonts w:eastAsia="Segoe UI"/>
          <w:color w:val="000000"/>
          <w:szCs w:val="24"/>
        </w:rPr>
        <w:t xml:space="preserve">oassay assessment of </w:t>
      </w:r>
      <w:r w:rsidR="00465E2F" w:rsidRPr="00CD39E6">
        <w:rPr>
          <w:rFonts w:eastAsia="Segoe UI"/>
          <w:color w:val="000000"/>
          <w:szCs w:val="24"/>
        </w:rPr>
        <w:t>pT</w:t>
      </w:r>
      <w:r w:rsidR="008A4025" w:rsidRPr="00CD39E6">
        <w:rPr>
          <w:rFonts w:eastAsia="Segoe UI"/>
          <w:color w:val="000000"/>
          <w:szCs w:val="24"/>
        </w:rPr>
        <w:t>au217 in plasma</w:t>
      </w:r>
    </w:p>
    <w:p w14:paraId="41F26FA2" w14:textId="6557C2D4" w:rsidR="00294EC0" w:rsidRPr="00E00F03" w:rsidRDefault="00294EC0" w:rsidP="00294EC0">
      <w:pPr>
        <w:pStyle w:val="ListParagraph"/>
        <w:numPr>
          <w:ilvl w:val="0"/>
          <w:numId w:val="2"/>
        </w:numPr>
        <w:rPr>
          <w:rFonts w:eastAsia="Segoe UI"/>
          <w:color w:val="000000"/>
          <w:szCs w:val="24"/>
        </w:rPr>
      </w:pPr>
      <w:proofErr w:type="spellStart"/>
      <w:r w:rsidRPr="00CD39E6">
        <w:rPr>
          <w:szCs w:val="24"/>
        </w:rPr>
        <w:t>ApoE</w:t>
      </w:r>
      <w:proofErr w:type="spellEnd"/>
      <w:r w:rsidRPr="00CD39E6">
        <w:rPr>
          <w:szCs w:val="24"/>
        </w:rPr>
        <w:t xml:space="preserve"> ε4 genotype testing by </w:t>
      </w:r>
      <w:r w:rsidR="003F304F" w:rsidRPr="00CD39E6">
        <w:rPr>
          <w:szCs w:val="24"/>
        </w:rPr>
        <w:t xml:space="preserve">assessment of DNA </w:t>
      </w:r>
      <w:r w:rsidR="00CD39E6" w:rsidRPr="00CD39E6">
        <w:rPr>
          <w:szCs w:val="24"/>
        </w:rPr>
        <w:t>isolated from plasma</w:t>
      </w:r>
    </w:p>
    <w:p w14:paraId="2C0BC5ED" w14:textId="69E233FE" w:rsidR="000B144F" w:rsidRDefault="00E00F03" w:rsidP="00E00F03">
      <w:pPr>
        <w:rPr>
          <w:rFonts w:eastAsia="Segoe UI"/>
          <w:color w:val="000000"/>
          <w:szCs w:val="24"/>
        </w:rPr>
      </w:pPr>
      <w:r>
        <w:rPr>
          <w:rFonts w:eastAsia="Segoe UI"/>
          <w:color w:val="000000"/>
          <w:szCs w:val="24"/>
        </w:rPr>
        <w:t>Th</w:t>
      </w:r>
      <w:r w:rsidR="00594F2A">
        <w:rPr>
          <w:rFonts w:eastAsia="Segoe UI"/>
          <w:color w:val="000000"/>
          <w:szCs w:val="24"/>
        </w:rPr>
        <w:t>is</w:t>
      </w:r>
      <w:r>
        <w:rPr>
          <w:rFonts w:eastAsia="Segoe UI"/>
          <w:color w:val="000000"/>
          <w:szCs w:val="24"/>
        </w:rPr>
        <w:t xml:space="preserve"> application </w:t>
      </w:r>
      <w:r w:rsidR="00594F2A">
        <w:rPr>
          <w:rFonts w:eastAsia="Segoe UI"/>
          <w:color w:val="000000"/>
          <w:szCs w:val="24"/>
        </w:rPr>
        <w:t>requests</w:t>
      </w:r>
      <w:r>
        <w:rPr>
          <w:rFonts w:eastAsia="Segoe UI"/>
          <w:color w:val="000000"/>
          <w:szCs w:val="24"/>
        </w:rPr>
        <w:t xml:space="preserve"> the creation of</w:t>
      </w:r>
      <w:r w:rsidR="00A613FA">
        <w:rPr>
          <w:rFonts w:eastAsia="Segoe UI"/>
          <w:color w:val="000000"/>
          <w:szCs w:val="24"/>
        </w:rPr>
        <w:t xml:space="preserve"> new</w:t>
      </w:r>
      <w:r>
        <w:rPr>
          <w:rFonts w:eastAsia="Segoe UI"/>
          <w:color w:val="000000"/>
          <w:szCs w:val="24"/>
        </w:rPr>
        <w:t xml:space="preserve"> MBS items </w:t>
      </w:r>
      <w:r w:rsidR="00385F54">
        <w:rPr>
          <w:rFonts w:eastAsia="Segoe UI"/>
          <w:color w:val="000000"/>
          <w:szCs w:val="24"/>
        </w:rPr>
        <w:t>supporting MRI scan</w:t>
      </w:r>
      <w:r w:rsidR="009E3B89">
        <w:rPr>
          <w:rFonts w:eastAsia="Segoe UI"/>
          <w:color w:val="000000"/>
          <w:szCs w:val="24"/>
        </w:rPr>
        <w:t xml:space="preserve">s of the brain </w:t>
      </w:r>
      <w:r w:rsidR="00336698">
        <w:rPr>
          <w:rFonts w:eastAsia="Segoe UI"/>
          <w:color w:val="000000"/>
          <w:szCs w:val="24"/>
        </w:rPr>
        <w:t xml:space="preserve">associated with </w:t>
      </w:r>
      <w:proofErr w:type="spellStart"/>
      <w:r w:rsidR="00336698">
        <w:rPr>
          <w:rFonts w:eastAsia="Segoe UI"/>
          <w:color w:val="000000"/>
          <w:szCs w:val="24"/>
        </w:rPr>
        <w:t>lecanemab</w:t>
      </w:r>
      <w:proofErr w:type="spellEnd"/>
      <w:r w:rsidR="00336698">
        <w:rPr>
          <w:rFonts w:eastAsia="Segoe UI"/>
          <w:color w:val="000000"/>
          <w:szCs w:val="24"/>
        </w:rPr>
        <w:t xml:space="preserve"> treatment.</w:t>
      </w:r>
      <w:r w:rsidR="00BB6F85">
        <w:rPr>
          <w:rFonts w:eastAsia="Segoe UI"/>
          <w:color w:val="000000"/>
          <w:szCs w:val="24"/>
        </w:rPr>
        <w:t xml:space="preserve"> Eisai Australia Pty Ltd </w:t>
      </w:r>
      <w:r w:rsidR="00D22D78">
        <w:rPr>
          <w:rFonts w:eastAsia="Segoe UI"/>
          <w:color w:val="000000"/>
          <w:szCs w:val="24"/>
        </w:rPr>
        <w:t xml:space="preserve">considers that </w:t>
      </w:r>
      <w:r w:rsidR="00BB6F85">
        <w:rPr>
          <w:rFonts w:eastAsia="Segoe UI"/>
          <w:color w:val="000000"/>
          <w:szCs w:val="24"/>
        </w:rPr>
        <w:t>MRI scans of the brain</w:t>
      </w:r>
      <w:r w:rsidR="00981B3B">
        <w:rPr>
          <w:rFonts w:eastAsia="Segoe UI"/>
          <w:color w:val="000000"/>
          <w:szCs w:val="24"/>
        </w:rPr>
        <w:t xml:space="preserve"> at baseline and for ARIA monitoring</w:t>
      </w:r>
      <w:r w:rsidR="00BB6F85">
        <w:rPr>
          <w:rFonts w:eastAsia="Segoe UI"/>
          <w:color w:val="000000"/>
          <w:szCs w:val="24"/>
        </w:rPr>
        <w:t xml:space="preserve"> </w:t>
      </w:r>
      <w:r w:rsidR="00A613FA">
        <w:rPr>
          <w:rFonts w:eastAsia="Segoe UI"/>
          <w:color w:val="000000"/>
          <w:szCs w:val="24"/>
        </w:rPr>
        <w:t>would be</w:t>
      </w:r>
      <w:r w:rsidR="00BB6F85">
        <w:rPr>
          <w:rFonts w:eastAsia="Segoe UI"/>
          <w:color w:val="000000"/>
          <w:szCs w:val="24"/>
        </w:rPr>
        <w:t xml:space="preserve"> supported through </w:t>
      </w:r>
      <w:r w:rsidR="00D22D78">
        <w:rPr>
          <w:rFonts w:eastAsia="Segoe UI"/>
          <w:color w:val="000000"/>
          <w:szCs w:val="24"/>
        </w:rPr>
        <w:t xml:space="preserve">the </w:t>
      </w:r>
      <w:r w:rsidR="00BB6F85">
        <w:rPr>
          <w:rFonts w:eastAsia="Segoe UI"/>
          <w:color w:val="000000"/>
          <w:szCs w:val="24"/>
        </w:rPr>
        <w:t xml:space="preserve">existing MBS item </w:t>
      </w:r>
      <w:r w:rsidR="00352C45">
        <w:rPr>
          <w:rFonts w:eastAsia="Segoe UI"/>
          <w:color w:val="000000"/>
          <w:szCs w:val="24"/>
        </w:rPr>
        <w:t>63004.</w:t>
      </w:r>
      <w:r w:rsidR="00DC307D">
        <w:rPr>
          <w:rFonts w:eastAsia="Segoe UI"/>
          <w:color w:val="000000"/>
          <w:szCs w:val="24"/>
        </w:rPr>
        <w:t xml:space="preserve"> </w:t>
      </w:r>
      <w:r w:rsidR="00D22D78">
        <w:rPr>
          <w:rFonts w:eastAsia="Segoe UI"/>
          <w:color w:val="000000"/>
          <w:szCs w:val="24"/>
        </w:rPr>
        <w:t xml:space="preserve">However, </w:t>
      </w:r>
      <w:r w:rsidR="008F2F92">
        <w:rPr>
          <w:rFonts w:eastAsia="Segoe UI"/>
          <w:color w:val="000000"/>
          <w:szCs w:val="24"/>
        </w:rPr>
        <w:t xml:space="preserve">the Public Summary Document </w:t>
      </w:r>
      <w:r w:rsidR="00AE1BF2">
        <w:rPr>
          <w:rFonts w:eastAsia="Segoe UI"/>
          <w:color w:val="000000"/>
          <w:szCs w:val="24"/>
        </w:rPr>
        <w:t>for MSAC’s assessment of MSAC Application 1784 (don</w:t>
      </w:r>
      <w:r w:rsidR="00241FEA">
        <w:rPr>
          <w:rFonts w:eastAsia="Segoe UI"/>
          <w:color w:val="000000"/>
          <w:szCs w:val="24"/>
        </w:rPr>
        <w:t>anemab) outlines that the Department</w:t>
      </w:r>
      <w:r w:rsidR="00406D8F">
        <w:rPr>
          <w:rFonts w:eastAsia="Segoe UI"/>
          <w:color w:val="000000"/>
          <w:szCs w:val="24"/>
        </w:rPr>
        <w:t xml:space="preserve"> proposed </w:t>
      </w:r>
      <w:r w:rsidR="00DA6CD3">
        <w:rPr>
          <w:rFonts w:eastAsia="Segoe UI"/>
          <w:color w:val="000000"/>
          <w:szCs w:val="24"/>
        </w:rPr>
        <w:t xml:space="preserve">that MRI items specific to baseline scanning and ARIA monitoring are required (p. </w:t>
      </w:r>
      <w:r w:rsidR="004C1C79">
        <w:rPr>
          <w:rFonts w:eastAsia="Segoe UI"/>
          <w:color w:val="000000"/>
          <w:szCs w:val="24"/>
        </w:rPr>
        <w:t>14).</w:t>
      </w:r>
      <w:r w:rsidR="00A613FA">
        <w:rPr>
          <w:rFonts w:eastAsia="Segoe UI"/>
          <w:color w:val="000000"/>
          <w:szCs w:val="24"/>
        </w:rPr>
        <w:t xml:space="preserve"> The request for new MBS items </w:t>
      </w:r>
      <w:r w:rsidR="00B61C1D">
        <w:rPr>
          <w:rFonts w:eastAsia="Segoe UI"/>
          <w:color w:val="000000"/>
          <w:szCs w:val="24"/>
        </w:rPr>
        <w:t xml:space="preserve">for MRI scanning </w:t>
      </w:r>
      <w:r w:rsidR="003439AC">
        <w:rPr>
          <w:rFonts w:eastAsia="Segoe UI"/>
          <w:color w:val="000000"/>
          <w:szCs w:val="24"/>
        </w:rPr>
        <w:t>reflects the p</w:t>
      </w:r>
      <w:r w:rsidR="00C00C7D">
        <w:rPr>
          <w:rFonts w:eastAsia="Segoe UI"/>
          <w:color w:val="000000"/>
          <w:szCs w:val="24"/>
        </w:rPr>
        <w:t xml:space="preserve">roposal </w:t>
      </w:r>
      <w:r w:rsidR="00F80C51">
        <w:rPr>
          <w:rFonts w:eastAsia="Segoe UI"/>
          <w:color w:val="000000"/>
          <w:szCs w:val="24"/>
        </w:rPr>
        <w:t xml:space="preserve">from </w:t>
      </w:r>
      <w:r w:rsidR="003439AC">
        <w:rPr>
          <w:rFonts w:eastAsia="Segoe UI"/>
          <w:color w:val="000000"/>
          <w:szCs w:val="24"/>
        </w:rPr>
        <w:t>the Department on this matter.</w:t>
      </w:r>
    </w:p>
    <w:p w14:paraId="730114B1" w14:textId="17224D17" w:rsidR="00280050" w:rsidRPr="00A84BCA" w:rsidRDefault="00051843" w:rsidP="00EA0AA0">
      <w:pPr>
        <w:pStyle w:val="Heading1"/>
        <w:rPr>
          <w:color w:val="002060"/>
        </w:rPr>
      </w:pPr>
      <w:r w:rsidRPr="00A84BCA">
        <w:rPr>
          <w:color w:val="002060"/>
        </w:rPr>
        <w:t>Intervention</w:t>
      </w:r>
    </w:p>
    <w:p w14:paraId="4EE4D8C5" w14:textId="72F78505" w:rsidR="00665487" w:rsidRPr="00940A7E" w:rsidRDefault="00665487" w:rsidP="00940A7E">
      <w:pPr>
        <w:rPr>
          <w:b/>
          <w:bCs/>
          <w:szCs w:val="24"/>
        </w:rPr>
      </w:pPr>
      <w:r w:rsidRPr="00940A7E">
        <w:rPr>
          <w:b/>
          <w:bCs/>
          <w:szCs w:val="24"/>
        </w:rPr>
        <w:t>Name of the proposed health technology:</w:t>
      </w:r>
    </w:p>
    <w:p w14:paraId="661E51AD" w14:textId="0F2B0F76" w:rsidR="00BE6B22" w:rsidRPr="00E55539" w:rsidRDefault="00EE36CC" w:rsidP="00BC0C43">
      <w:pPr>
        <w:rPr>
          <w:b/>
          <w:bCs/>
          <w:szCs w:val="24"/>
        </w:rPr>
      </w:pPr>
      <w:r w:rsidRPr="00E55539">
        <w:rPr>
          <w:b/>
          <w:bCs/>
          <w:szCs w:val="24"/>
        </w:rPr>
        <w:t>Biomarker testing</w:t>
      </w:r>
    </w:p>
    <w:p w14:paraId="3D12BFC2" w14:textId="77777777" w:rsidR="00862225" w:rsidRPr="0031640F" w:rsidRDefault="00862225" w:rsidP="0031640F">
      <w:pPr>
        <w:rPr>
          <w:rFonts w:eastAsia="Segoe UI"/>
          <w:color w:val="000000"/>
          <w:szCs w:val="24"/>
        </w:rPr>
      </w:pPr>
      <w:r w:rsidRPr="0031640F">
        <w:rPr>
          <w:szCs w:val="24"/>
        </w:rPr>
        <w:t>Aβ pathology testing using any of the following methodologies</w:t>
      </w:r>
    </w:p>
    <w:p w14:paraId="13535803" w14:textId="184250A8" w:rsidR="00862225" w:rsidRPr="00CD39E6" w:rsidRDefault="00862225" w:rsidP="00CD2F78">
      <w:pPr>
        <w:pStyle w:val="ListParagraph"/>
        <w:numPr>
          <w:ilvl w:val="0"/>
          <w:numId w:val="2"/>
        </w:numPr>
        <w:rPr>
          <w:rFonts w:eastAsia="Segoe UI"/>
          <w:color w:val="000000"/>
          <w:szCs w:val="24"/>
        </w:rPr>
      </w:pPr>
      <w:r w:rsidRPr="00CD39E6">
        <w:rPr>
          <w:szCs w:val="24"/>
        </w:rPr>
        <w:t>Amyloid PET</w:t>
      </w:r>
      <w:r w:rsidR="00ED1C7E">
        <w:rPr>
          <w:szCs w:val="24"/>
        </w:rPr>
        <w:t xml:space="preserve"> </w:t>
      </w:r>
      <w:r w:rsidRPr="00CD39E6">
        <w:rPr>
          <w:szCs w:val="24"/>
        </w:rPr>
        <w:t>of the brain</w:t>
      </w:r>
    </w:p>
    <w:p w14:paraId="7F641918" w14:textId="24F09DD4" w:rsidR="00862225" w:rsidRPr="00CD39E6" w:rsidRDefault="00862225" w:rsidP="00CD2F78">
      <w:pPr>
        <w:pStyle w:val="ListParagraph"/>
        <w:numPr>
          <w:ilvl w:val="0"/>
          <w:numId w:val="2"/>
        </w:numPr>
        <w:rPr>
          <w:rFonts w:eastAsia="Segoe UI"/>
          <w:color w:val="000000"/>
          <w:szCs w:val="24"/>
        </w:rPr>
      </w:pPr>
      <w:r w:rsidRPr="00CD39E6">
        <w:rPr>
          <w:rFonts w:eastAsia="Segoe UI"/>
          <w:color w:val="000000"/>
          <w:szCs w:val="24"/>
        </w:rPr>
        <w:t xml:space="preserve">Immunoassay assessment of </w:t>
      </w:r>
      <w:r w:rsidRPr="00CD39E6">
        <w:rPr>
          <w:szCs w:val="24"/>
        </w:rPr>
        <w:t>t-tau/A</w:t>
      </w:r>
      <w:proofErr w:type="gramStart"/>
      <w:r w:rsidRPr="00CD39E6">
        <w:rPr>
          <w:szCs w:val="24"/>
        </w:rPr>
        <w:t>β[</w:t>
      </w:r>
      <w:proofErr w:type="gramEnd"/>
      <w:r w:rsidRPr="00CD39E6">
        <w:rPr>
          <w:szCs w:val="24"/>
        </w:rPr>
        <w:t xml:space="preserve">1-42] in </w:t>
      </w:r>
      <w:r w:rsidR="00ED1C7E">
        <w:rPr>
          <w:szCs w:val="24"/>
        </w:rPr>
        <w:t>CSF</w:t>
      </w:r>
    </w:p>
    <w:p w14:paraId="3E239BCA" w14:textId="77777777" w:rsidR="00862225" w:rsidRPr="00CD39E6" w:rsidRDefault="00862225" w:rsidP="00CD2F78">
      <w:pPr>
        <w:pStyle w:val="ListParagraph"/>
        <w:numPr>
          <w:ilvl w:val="0"/>
          <w:numId w:val="2"/>
        </w:numPr>
        <w:rPr>
          <w:rFonts w:eastAsia="Segoe UI"/>
          <w:color w:val="000000"/>
          <w:szCs w:val="24"/>
        </w:rPr>
      </w:pPr>
      <w:r w:rsidRPr="00CD39E6">
        <w:rPr>
          <w:rFonts w:eastAsia="Segoe UI"/>
          <w:color w:val="000000"/>
          <w:szCs w:val="24"/>
        </w:rPr>
        <w:t>Immunoassay assessment of pTau217 in plasma</w:t>
      </w:r>
    </w:p>
    <w:p w14:paraId="771C67C6" w14:textId="5B333ADD" w:rsidR="00862225" w:rsidRPr="0031640F" w:rsidRDefault="00862225" w:rsidP="0031640F">
      <w:pPr>
        <w:rPr>
          <w:rFonts w:eastAsia="Segoe UI"/>
          <w:color w:val="000000"/>
          <w:szCs w:val="24"/>
        </w:rPr>
      </w:pPr>
      <w:proofErr w:type="spellStart"/>
      <w:r w:rsidRPr="0031640F">
        <w:rPr>
          <w:szCs w:val="24"/>
        </w:rPr>
        <w:t>ApoE</w:t>
      </w:r>
      <w:proofErr w:type="spellEnd"/>
      <w:r w:rsidRPr="0031640F">
        <w:rPr>
          <w:szCs w:val="24"/>
        </w:rPr>
        <w:t xml:space="preserve"> ε4 genotype testing by assessment of DNA isolated from plasma</w:t>
      </w:r>
    </w:p>
    <w:p w14:paraId="17987CDA" w14:textId="0F736C01" w:rsidR="00ED1C7E" w:rsidRDefault="009E6032" w:rsidP="00BC0C43">
      <w:pPr>
        <w:rPr>
          <w:b/>
          <w:bCs/>
          <w:szCs w:val="24"/>
        </w:rPr>
      </w:pPr>
      <w:proofErr w:type="spellStart"/>
      <w:r>
        <w:rPr>
          <w:b/>
          <w:bCs/>
          <w:szCs w:val="24"/>
        </w:rPr>
        <w:t>L</w:t>
      </w:r>
      <w:r w:rsidR="00CD2F78">
        <w:rPr>
          <w:b/>
          <w:bCs/>
          <w:szCs w:val="24"/>
        </w:rPr>
        <w:t>ecanemab</w:t>
      </w:r>
      <w:proofErr w:type="spellEnd"/>
      <w:r w:rsidR="00CD2F78">
        <w:rPr>
          <w:b/>
          <w:bCs/>
          <w:szCs w:val="24"/>
        </w:rPr>
        <w:t xml:space="preserve"> treatment</w:t>
      </w:r>
    </w:p>
    <w:p w14:paraId="1981F9B6" w14:textId="2C56B821" w:rsidR="00CD2F78" w:rsidRPr="00CD2F78" w:rsidRDefault="00CD2F78" w:rsidP="00BC0C43">
      <w:pPr>
        <w:rPr>
          <w:szCs w:val="24"/>
        </w:rPr>
      </w:pPr>
      <w:proofErr w:type="spellStart"/>
      <w:r w:rsidRPr="00CD2F78">
        <w:rPr>
          <w:szCs w:val="24"/>
        </w:rPr>
        <w:t>Lecanemab</w:t>
      </w:r>
      <w:proofErr w:type="spellEnd"/>
      <w:r w:rsidRPr="00CD2F78">
        <w:rPr>
          <w:szCs w:val="24"/>
        </w:rPr>
        <w:t xml:space="preserve"> (</w:t>
      </w:r>
      <w:proofErr w:type="spellStart"/>
      <w:r w:rsidRPr="00CD2F78">
        <w:rPr>
          <w:szCs w:val="24"/>
        </w:rPr>
        <w:t>Leqemb</w:t>
      </w:r>
      <w:r w:rsidR="0073103D">
        <w:rPr>
          <w:szCs w:val="24"/>
        </w:rPr>
        <w:t>i</w:t>
      </w:r>
      <w:proofErr w:type="spellEnd"/>
      <w:r w:rsidRPr="00CD2F78">
        <w:rPr>
          <w:szCs w:val="24"/>
        </w:rPr>
        <w:t>®)</w:t>
      </w:r>
    </w:p>
    <w:p w14:paraId="61D4A875" w14:textId="26578BDD" w:rsidR="00BE6B22" w:rsidRDefault="00665487" w:rsidP="00940A7E">
      <w:pPr>
        <w:rPr>
          <w:b/>
          <w:bCs/>
          <w:szCs w:val="24"/>
        </w:rPr>
      </w:pPr>
      <w:r w:rsidRPr="00940A7E">
        <w:rPr>
          <w:b/>
          <w:bCs/>
          <w:szCs w:val="24"/>
        </w:rPr>
        <w:t>Describe the key components and clinical steps involved in delivering the proposed health technology</w:t>
      </w:r>
      <w:r w:rsidR="00BE6B22" w:rsidRPr="00940A7E">
        <w:rPr>
          <w:b/>
          <w:bCs/>
          <w:szCs w:val="24"/>
        </w:rPr>
        <w:t>:</w:t>
      </w:r>
    </w:p>
    <w:p w14:paraId="0DA89095" w14:textId="3D379C4C" w:rsidR="009E6032" w:rsidRPr="009E6032" w:rsidRDefault="009E6032" w:rsidP="00940A7E">
      <w:pPr>
        <w:rPr>
          <w:b/>
          <w:bCs/>
          <w:szCs w:val="24"/>
        </w:rPr>
      </w:pPr>
      <w:r w:rsidRPr="009E6032">
        <w:rPr>
          <w:b/>
          <w:bCs/>
          <w:szCs w:val="24"/>
        </w:rPr>
        <w:t>Biomarker testing</w:t>
      </w:r>
    </w:p>
    <w:p w14:paraId="456E2888" w14:textId="69207FF1" w:rsidR="009E6032" w:rsidRPr="000C3D91" w:rsidRDefault="007E231A" w:rsidP="000C3D91">
      <w:pPr>
        <w:rPr>
          <w:rFonts w:eastAsia="Segoe UI"/>
          <w:color w:val="000000"/>
          <w:szCs w:val="24"/>
        </w:rPr>
      </w:pPr>
      <w:r w:rsidRPr="000C3D91">
        <w:rPr>
          <w:rFonts w:eastAsia="Segoe UI"/>
          <w:color w:val="000000"/>
          <w:szCs w:val="24"/>
        </w:rPr>
        <w:t>A</w:t>
      </w:r>
      <w:r w:rsidR="00272911" w:rsidRPr="000C3D91">
        <w:rPr>
          <w:rFonts w:eastAsia="Segoe UI"/>
          <w:color w:val="000000"/>
          <w:szCs w:val="24"/>
        </w:rPr>
        <w:t>myloid PET of the brain</w:t>
      </w:r>
      <w:r w:rsidRPr="000C3D91">
        <w:rPr>
          <w:rFonts w:eastAsia="Segoe UI"/>
          <w:color w:val="000000"/>
          <w:szCs w:val="24"/>
        </w:rPr>
        <w:t xml:space="preserve"> </w:t>
      </w:r>
      <w:r w:rsidR="00AA5A0F" w:rsidRPr="000C3D91">
        <w:rPr>
          <w:rFonts w:eastAsia="Segoe UI"/>
          <w:color w:val="000000"/>
          <w:szCs w:val="24"/>
        </w:rPr>
        <w:t xml:space="preserve">is performed </w:t>
      </w:r>
      <w:r w:rsidR="0002752D" w:rsidRPr="000C3D91">
        <w:rPr>
          <w:rFonts w:eastAsia="Segoe UI"/>
          <w:color w:val="000000"/>
          <w:szCs w:val="24"/>
        </w:rPr>
        <w:t xml:space="preserve">in a </w:t>
      </w:r>
      <w:r w:rsidR="00821BA4" w:rsidRPr="000C3D91">
        <w:rPr>
          <w:rFonts w:eastAsia="Segoe UI"/>
          <w:color w:val="000000"/>
          <w:szCs w:val="24"/>
        </w:rPr>
        <w:t xml:space="preserve">radiology clinic. The process </w:t>
      </w:r>
      <w:r w:rsidR="00246E99" w:rsidRPr="000C3D91">
        <w:rPr>
          <w:rFonts w:eastAsia="Segoe UI"/>
          <w:color w:val="000000"/>
          <w:szCs w:val="24"/>
        </w:rPr>
        <w:t>involves a short preparation period, tracer injection and a</w:t>
      </w:r>
      <w:r w:rsidR="009D0F39">
        <w:rPr>
          <w:rFonts w:eastAsia="Segoe UI"/>
          <w:color w:val="000000"/>
          <w:szCs w:val="24"/>
        </w:rPr>
        <w:t xml:space="preserve">n </w:t>
      </w:r>
      <w:r w:rsidR="00246E99" w:rsidRPr="000C3D91">
        <w:rPr>
          <w:rFonts w:eastAsia="Segoe UI"/>
          <w:color w:val="000000"/>
          <w:szCs w:val="24"/>
        </w:rPr>
        <w:t>imaging session. A</w:t>
      </w:r>
      <w:r w:rsidR="009D0F39">
        <w:rPr>
          <w:rFonts w:eastAsia="Segoe UI"/>
          <w:color w:val="000000"/>
          <w:szCs w:val="24"/>
        </w:rPr>
        <w:t xml:space="preserve">n </w:t>
      </w:r>
      <w:r w:rsidR="00821BA4" w:rsidRPr="000C3D91">
        <w:rPr>
          <w:rFonts w:eastAsia="Segoe UI"/>
          <w:color w:val="000000"/>
          <w:szCs w:val="24"/>
        </w:rPr>
        <w:t xml:space="preserve">intravenous line </w:t>
      </w:r>
      <w:r w:rsidR="00246E99" w:rsidRPr="000C3D91">
        <w:rPr>
          <w:rFonts w:eastAsia="Segoe UI"/>
          <w:color w:val="000000"/>
          <w:szCs w:val="24"/>
        </w:rPr>
        <w:t>is placed</w:t>
      </w:r>
      <w:r w:rsidR="00AF4404" w:rsidRPr="000C3D91">
        <w:rPr>
          <w:rFonts w:eastAsia="Segoe UI"/>
          <w:color w:val="000000"/>
          <w:szCs w:val="24"/>
        </w:rPr>
        <w:t xml:space="preserve"> to administer </w:t>
      </w:r>
      <w:r w:rsidR="00246E99" w:rsidRPr="000C3D91">
        <w:rPr>
          <w:rFonts w:eastAsia="Segoe UI"/>
          <w:color w:val="000000"/>
          <w:szCs w:val="24"/>
        </w:rPr>
        <w:t xml:space="preserve">a tiny amount </w:t>
      </w:r>
      <w:r w:rsidR="00BF381D" w:rsidRPr="000C3D91">
        <w:rPr>
          <w:rFonts w:eastAsia="Segoe UI"/>
          <w:color w:val="000000"/>
          <w:szCs w:val="24"/>
        </w:rPr>
        <w:t xml:space="preserve">of radioactive </w:t>
      </w:r>
      <w:r w:rsidR="00246E99" w:rsidRPr="000C3D91">
        <w:rPr>
          <w:rFonts w:eastAsia="Segoe UI"/>
          <w:color w:val="000000"/>
          <w:szCs w:val="24"/>
        </w:rPr>
        <w:t xml:space="preserve">tracer </w:t>
      </w:r>
      <w:r w:rsidR="00BF381D" w:rsidRPr="000C3D91">
        <w:rPr>
          <w:rFonts w:eastAsia="Segoe UI"/>
          <w:color w:val="000000"/>
          <w:szCs w:val="24"/>
        </w:rPr>
        <w:t xml:space="preserve">that </w:t>
      </w:r>
      <w:r w:rsidR="00246E99" w:rsidRPr="000C3D91">
        <w:rPr>
          <w:rFonts w:eastAsia="Segoe UI"/>
          <w:color w:val="000000"/>
          <w:szCs w:val="24"/>
        </w:rPr>
        <w:t xml:space="preserve">binds to amyloid plaques in the brain. </w:t>
      </w:r>
      <w:r w:rsidR="00AF4404" w:rsidRPr="000C3D91">
        <w:rPr>
          <w:rFonts w:eastAsia="Segoe UI"/>
          <w:color w:val="000000"/>
          <w:szCs w:val="24"/>
        </w:rPr>
        <w:t xml:space="preserve">People </w:t>
      </w:r>
      <w:r w:rsidR="00246E99" w:rsidRPr="000C3D91">
        <w:rPr>
          <w:rFonts w:eastAsia="Segoe UI"/>
          <w:color w:val="000000"/>
          <w:szCs w:val="24"/>
        </w:rPr>
        <w:t xml:space="preserve">rest quietly for 20–60 minutes while the tracer circulates and attaches to any amyloid deposits. Once ready, </w:t>
      </w:r>
      <w:r w:rsidR="00AF4404" w:rsidRPr="000C3D91">
        <w:rPr>
          <w:rFonts w:eastAsia="Segoe UI"/>
          <w:color w:val="000000"/>
          <w:szCs w:val="24"/>
        </w:rPr>
        <w:t xml:space="preserve">people </w:t>
      </w:r>
      <w:r w:rsidR="00246E99" w:rsidRPr="000C3D91">
        <w:rPr>
          <w:rFonts w:eastAsia="Segoe UI"/>
          <w:color w:val="000000"/>
          <w:szCs w:val="24"/>
        </w:rPr>
        <w:t xml:space="preserve">lie on a padded table that moves slowly into the PET scanner. </w:t>
      </w:r>
      <w:r w:rsidR="00C3072C" w:rsidRPr="000C3D91">
        <w:rPr>
          <w:rFonts w:eastAsia="Segoe UI"/>
          <w:color w:val="000000"/>
          <w:szCs w:val="24"/>
        </w:rPr>
        <w:t xml:space="preserve">Images are </w:t>
      </w:r>
      <w:r w:rsidR="004A59DD" w:rsidRPr="000C3D91">
        <w:rPr>
          <w:rFonts w:eastAsia="Segoe UI"/>
          <w:color w:val="000000"/>
          <w:szCs w:val="24"/>
        </w:rPr>
        <w:t xml:space="preserve">collected over </w:t>
      </w:r>
      <w:proofErr w:type="gramStart"/>
      <w:r w:rsidR="004A59DD" w:rsidRPr="000C3D91">
        <w:rPr>
          <w:rFonts w:eastAsia="Segoe UI"/>
          <w:color w:val="000000"/>
          <w:szCs w:val="24"/>
        </w:rPr>
        <w:t>a time period</w:t>
      </w:r>
      <w:proofErr w:type="gramEnd"/>
      <w:r w:rsidR="004A59DD" w:rsidRPr="000C3D91">
        <w:rPr>
          <w:rFonts w:eastAsia="Segoe UI"/>
          <w:color w:val="000000"/>
          <w:szCs w:val="24"/>
        </w:rPr>
        <w:t xml:space="preserve"> of </w:t>
      </w:r>
      <w:r w:rsidR="00246E99" w:rsidRPr="000C3D91">
        <w:rPr>
          <w:rFonts w:eastAsia="Segoe UI"/>
          <w:color w:val="000000"/>
          <w:szCs w:val="24"/>
        </w:rPr>
        <w:t>10</w:t>
      </w:r>
      <w:r w:rsidR="004A59DD" w:rsidRPr="000C3D91">
        <w:rPr>
          <w:rFonts w:eastAsia="Segoe UI"/>
          <w:color w:val="000000"/>
          <w:szCs w:val="24"/>
        </w:rPr>
        <w:t xml:space="preserve"> - </w:t>
      </w:r>
      <w:r w:rsidR="00246E99" w:rsidRPr="000C3D91">
        <w:rPr>
          <w:rFonts w:eastAsia="Segoe UI"/>
          <w:color w:val="000000"/>
          <w:szCs w:val="24"/>
        </w:rPr>
        <w:t>20 minutes</w:t>
      </w:r>
      <w:r w:rsidR="00C806AD" w:rsidRPr="000C3D91">
        <w:rPr>
          <w:rFonts w:eastAsia="Segoe UI"/>
          <w:color w:val="000000"/>
          <w:szCs w:val="24"/>
        </w:rPr>
        <w:t>.</w:t>
      </w:r>
      <w:r w:rsidR="003A0BBE">
        <w:rPr>
          <w:rFonts w:eastAsia="Segoe UI"/>
          <w:color w:val="000000"/>
          <w:szCs w:val="24"/>
        </w:rPr>
        <w:t xml:space="preserve"> </w:t>
      </w:r>
      <w:r w:rsidR="00726444" w:rsidRPr="000C3D91">
        <w:rPr>
          <w:rFonts w:eastAsia="Segoe UI"/>
          <w:color w:val="000000"/>
          <w:szCs w:val="24"/>
        </w:rPr>
        <w:t xml:space="preserve">Results of the </w:t>
      </w:r>
      <w:r w:rsidR="00DE5B17" w:rsidRPr="000C3D91">
        <w:rPr>
          <w:rFonts w:eastAsia="Segoe UI"/>
          <w:color w:val="000000"/>
          <w:szCs w:val="24"/>
        </w:rPr>
        <w:t xml:space="preserve">amyloid PET scan are interpreted by the imaging </w:t>
      </w:r>
      <w:r w:rsidR="003D554B" w:rsidRPr="000C3D91">
        <w:rPr>
          <w:rFonts w:eastAsia="Segoe UI"/>
          <w:color w:val="000000"/>
          <w:szCs w:val="24"/>
        </w:rPr>
        <w:t>physician</w:t>
      </w:r>
      <w:r w:rsidR="00DE5B17" w:rsidRPr="000C3D91">
        <w:rPr>
          <w:rFonts w:eastAsia="Segoe UI"/>
          <w:color w:val="000000"/>
          <w:szCs w:val="24"/>
        </w:rPr>
        <w:t xml:space="preserve"> </w:t>
      </w:r>
      <w:r w:rsidR="003D554B" w:rsidRPr="000C3D91">
        <w:rPr>
          <w:rFonts w:eastAsia="Segoe UI"/>
          <w:color w:val="000000"/>
          <w:szCs w:val="24"/>
        </w:rPr>
        <w:t>and communicated to the referring practitioner.</w:t>
      </w:r>
    </w:p>
    <w:p w14:paraId="1E5574B2" w14:textId="2BA8746F" w:rsidR="00227F36" w:rsidRPr="000C3D91" w:rsidRDefault="00F64468" w:rsidP="000C3D91">
      <w:pPr>
        <w:rPr>
          <w:rFonts w:eastAsia="Segoe UI"/>
          <w:color w:val="000000"/>
          <w:szCs w:val="24"/>
        </w:rPr>
      </w:pPr>
      <w:r w:rsidRPr="000C3D91">
        <w:rPr>
          <w:rFonts w:eastAsia="Segoe UI"/>
          <w:color w:val="000000"/>
          <w:szCs w:val="24"/>
        </w:rPr>
        <w:t>Immunoassay assessment of t-tau/A</w:t>
      </w:r>
      <w:proofErr w:type="gramStart"/>
      <w:r w:rsidRPr="000C3D91">
        <w:rPr>
          <w:rFonts w:eastAsia="Segoe UI"/>
          <w:color w:val="000000"/>
          <w:szCs w:val="24"/>
        </w:rPr>
        <w:t>β[</w:t>
      </w:r>
      <w:proofErr w:type="gramEnd"/>
      <w:r w:rsidRPr="000C3D91">
        <w:rPr>
          <w:rFonts w:eastAsia="Segoe UI"/>
          <w:color w:val="000000"/>
          <w:szCs w:val="24"/>
        </w:rPr>
        <w:t xml:space="preserve">1-42] </w:t>
      </w:r>
      <w:r w:rsidR="009F5C16" w:rsidRPr="000C3D91">
        <w:rPr>
          <w:rFonts w:eastAsia="Segoe UI"/>
          <w:color w:val="000000"/>
          <w:szCs w:val="24"/>
        </w:rPr>
        <w:t xml:space="preserve">is performed in a pathology laboratory. </w:t>
      </w:r>
      <w:r w:rsidR="00690CA7" w:rsidRPr="000C3D91">
        <w:rPr>
          <w:rFonts w:eastAsia="Segoe UI"/>
          <w:color w:val="000000"/>
          <w:szCs w:val="24"/>
        </w:rPr>
        <w:t xml:space="preserve">A </w:t>
      </w:r>
      <w:r w:rsidR="000939EB" w:rsidRPr="000C3D91">
        <w:rPr>
          <w:rFonts w:eastAsia="Segoe UI"/>
          <w:color w:val="000000"/>
          <w:szCs w:val="24"/>
        </w:rPr>
        <w:t xml:space="preserve">sample of CSF is obtained from a person by lumbar puncture. </w:t>
      </w:r>
      <w:r w:rsidR="00C03CAC" w:rsidRPr="000C3D91">
        <w:rPr>
          <w:rFonts w:eastAsia="Segoe UI"/>
          <w:color w:val="000000"/>
          <w:szCs w:val="24"/>
        </w:rPr>
        <w:t xml:space="preserve">A person </w:t>
      </w:r>
      <w:r w:rsidR="000939EB" w:rsidRPr="000C3D91">
        <w:rPr>
          <w:rFonts w:eastAsia="Segoe UI"/>
          <w:color w:val="000000"/>
          <w:szCs w:val="24"/>
        </w:rPr>
        <w:t xml:space="preserve">may </w:t>
      </w:r>
      <w:r w:rsidR="00771329" w:rsidRPr="000C3D91">
        <w:rPr>
          <w:rFonts w:eastAsia="Segoe UI"/>
          <w:color w:val="000000"/>
          <w:szCs w:val="24"/>
        </w:rPr>
        <w:t>choose to</w:t>
      </w:r>
      <w:r w:rsidR="000939EB" w:rsidRPr="000C3D91">
        <w:rPr>
          <w:rFonts w:eastAsia="Segoe UI"/>
          <w:color w:val="000000"/>
          <w:szCs w:val="24"/>
        </w:rPr>
        <w:t xml:space="preserve"> </w:t>
      </w:r>
      <w:r w:rsidR="00F84E1C" w:rsidRPr="000C3D91">
        <w:rPr>
          <w:rFonts w:eastAsia="Segoe UI"/>
          <w:color w:val="000000"/>
          <w:szCs w:val="24"/>
        </w:rPr>
        <w:lastRenderedPageBreak/>
        <w:t xml:space="preserve">receive </w:t>
      </w:r>
      <w:r w:rsidR="00C03CAC" w:rsidRPr="000C3D91">
        <w:rPr>
          <w:rFonts w:eastAsia="Segoe UI"/>
          <w:color w:val="000000"/>
          <w:szCs w:val="24"/>
        </w:rPr>
        <w:t xml:space="preserve">local </w:t>
      </w:r>
      <w:r w:rsidR="00FE3CE0" w:rsidRPr="000C3D91">
        <w:rPr>
          <w:rFonts w:eastAsia="Segoe UI"/>
          <w:color w:val="000000"/>
          <w:szCs w:val="24"/>
        </w:rPr>
        <w:t>anaesthesia</w:t>
      </w:r>
      <w:r w:rsidR="000939EB" w:rsidRPr="000C3D91">
        <w:rPr>
          <w:rFonts w:eastAsia="Segoe UI"/>
          <w:color w:val="000000"/>
          <w:szCs w:val="24"/>
        </w:rPr>
        <w:t xml:space="preserve"> or</w:t>
      </w:r>
      <w:r w:rsidR="00C03CAC" w:rsidRPr="000C3D91">
        <w:rPr>
          <w:rFonts w:eastAsia="Segoe UI"/>
          <w:color w:val="000000"/>
          <w:szCs w:val="24"/>
        </w:rPr>
        <w:t xml:space="preserve"> </w:t>
      </w:r>
      <w:r w:rsidR="000939EB" w:rsidRPr="000C3D91">
        <w:rPr>
          <w:rFonts w:eastAsia="Segoe UI"/>
          <w:color w:val="000000"/>
          <w:szCs w:val="24"/>
        </w:rPr>
        <w:t>sedation</w:t>
      </w:r>
      <w:r w:rsidR="00F84E1C" w:rsidRPr="000C3D91">
        <w:rPr>
          <w:rFonts w:eastAsia="Segoe UI"/>
          <w:color w:val="000000"/>
          <w:szCs w:val="24"/>
        </w:rPr>
        <w:t xml:space="preserve"> during the lumbar puncture procedure. </w:t>
      </w:r>
      <w:r w:rsidR="0087418D" w:rsidRPr="000C3D91">
        <w:rPr>
          <w:rFonts w:eastAsia="Segoe UI"/>
          <w:color w:val="000000"/>
          <w:szCs w:val="24"/>
        </w:rPr>
        <w:t xml:space="preserve">The CSF sample is collected </w:t>
      </w:r>
      <w:r w:rsidR="009D7056" w:rsidRPr="000C3D91">
        <w:rPr>
          <w:rFonts w:eastAsia="Segoe UI"/>
          <w:color w:val="000000"/>
          <w:szCs w:val="24"/>
        </w:rPr>
        <w:t xml:space="preserve">in low bind sample collection tubes and sent to a pathology laboratory for analysis. </w:t>
      </w:r>
      <w:r w:rsidR="00227F36" w:rsidRPr="000C3D91">
        <w:rPr>
          <w:rFonts w:eastAsia="Segoe UI"/>
          <w:color w:val="000000"/>
          <w:szCs w:val="24"/>
        </w:rPr>
        <w:t>In the laboratory</w:t>
      </w:r>
      <w:r w:rsidR="00CB683D" w:rsidRPr="000C3D91">
        <w:rPr>
          <w:rFonts w:eastAsia="Segoe UI"/>
          <w:color w:val="000000"/>
          <w:szCs w:val="24"/>
        </w:rPr>
        <w:t xml:space="preserve"> the CSF sample is analysed </w:t>
      </w:r>
      <w:r w:rsidR="00B57A56" w:rsidRPr="000C3D91">
        <w:rPr>
          <w:rFonts w:eastAsia="Segoe UI"/>
          <w:color w:val="000000"/>
          <w:szCs w:val="24"/>
        </w:rPr>
        <w:t xml:space="preserve">using an </w:t>
      </w:r>
      <w:r w:rsidR="00227F36" w:rsidRPr="000C3D91">
        <w:rPr>
          <w:rFonts w:eastAsia="Segoe UI"/>
          <w:color w:val="000000"/>
          <w:szCs w:val="24"/>
        </w:rPr>
        <w:t>immunoassay</w:t>
      </w:r>
      <w:r w:rsidR="006347AE">
        <w:rPr>
          <w:rFonts w:eastAsia="Segoe UI"/>
          <w:color w:val="000000"/>
          <w:szCs w:val="24"/>
        </w:rPr>
        <w:t xml:space="preserve"> platform </w:t>
      </w:r>
      <w:r w:rsidR="00227F36" w:rsidRPr="000C3D91">
        <w:rPr>
          <w:rFonts w:eastAsia="Segoe UI"/>
          <w:color w:val="000000"/>
          <w:szCs w:val="24"/>
        </w:rPr>
        <w:t>quantify</w:t>
      </w:r>
      <w:r w:rsidR="00B57A56" w:rsidRPr="000C3D91">
        <w:rPr>
          <w:rFonts w:eastAsia="Segoe UI"/>
          <w:color w:val="000000"/>
          <w:szCs w:val="24"/>
        </w:rPr>
        <w:t>ing</w:t>
      </w:r>
      <w:r w:rsidR="00FE3CE0">
        <w:rPr>
          <w:rFonts w:eastAsia="Segoe UI"/>
          <w:color w:val="000000"/>
          <w:szCs w:val="24"/>
        </w:rPr>
        <w:t xml:space="preserve"> the concentration of </w:t>
      </w:r>
      <w:r w:rsidR="003772E6" w:rsidRPr="000C3D91">
        <w:rPr>
          <w:rFonts w:eastAsia="Segoe UI"/>
          <w:color w:val="000000"/>
          <w:szCs w:val="24"/>
        </w:rPr>
        <w:t>total tau (t-tau) and</w:t>
      </w:r>
      <w:r w:rsidR="00227F36" w:rsidRPr="000C3D91">
        <w:rPr>
          <w:rFonts w:eastAsia="Segoe UI"/>
          <w:color w:val="000000"/>
          <w:szCs w:val="24"/>
        </w:rPr>
        <w:t xml:space="preserve"> A</w:t>
      </w:r>
      <w:proofErr w:type="gramStart"/>
      <w:r w:rsidR="00227F36" w:rsidRPr="000C3D91">
        <w:rPr>
          <w:rFonts w:eastAsia="Segoe UI"/>
          <w:color w:val="000000"/>
          <w:szCs w:val="24"/>
        </w:rPr>
        <w:t>β</w:t>
      </w:r>
      <w:r w:rsidR="003772E6" w:rsidRPr="000C3D91">
        <w:rPr>
          <w:rFonts w:eastAsia="Segoe UI"/>
          <w:color w:val="000000"/>
          <w:szCs w:val="24"/>
        </w:rPr>
        <w:t>[</w:t>
      </w:r>
      <w:proofErr w:type="gramEnd"/>
      <w:r w:rsidR="003772E6" w:rsidRPr="000C3D91">
        <w:rPr>
          <w:rFonts w:eastAsia="Segoe UI"/>
          <w:color w:val="000000"/>
          <w:szCs w:val="24"/>
        </w:rPr>
        <w:t>1-42</w:t>
      </w:r>
      <w:r w:rsidR="00F50458" w:rsidRPr="000C3D91">
        <w:rPr>
          <w:rFonts w:eastAsia="Segoe UI"/>
          <w:color w:val="000000"/>
          <w:szCs w:val="24"/>
        </w:rPr>
        <w:t xml:space="preserve">]. </w:t>
      </w:r>
      <w:r w:rsidR="00654CE6">
        <w:rPr>
          <w:rFonts w:eastAsia="Segoe UI"/>
          <w:color w:val="000000"/>
          <w:szCs w:val="24"/>
        </w:rPr>
        <w:t>Analysis of t</w:t>
      </w:r>
      <w:r w:rsidR="00F50458" w:rsidRPr="000C3D91">
        <w:rPr>
          <w:rFonts w:eastAsia="Segoe UI"/>
          <w:color w:val="000000"/>
          <w:szCs w:val="24"/>
        </w:rPr>
        <w:t>he</w:t>
      </w:r>
      <w:r w:rsidR="00654CE6">
        <w:rPr>
          <w:rFonts w:eastAsia="Segoe UI"/>
          <w:color w:val="000000"/>
          <w:szCs w:val="24"/>
        </w:rPr>
        <w:t>se</w:t>
      </w:r>
      <w:r w:rsidR="00F50458" w:rsidRPr="000C3D91">
        <w:rPr>
          <w:rFonts w:eastAsia="Segoe UI"/>
          <w:color w:val="000000"/>
          <w:szCs w:val="24"/>
        </w:rPr>
        <w:t xml:space="preserve"> concentrations </w:t>
      </w:r>
      <w:r w:rsidR="00654CE6">
        <w:rPr>
          <w:rFonts w:eastAsia="Segoe UI"/>
          <w:color w:val="000000"/>
          <w:szCs w:val="24"/>
        </w:rPr>
        <w:t xml:space="preserve">are typically </w:t>
      </w:r>
      <w:r w:rsidR="00227F36" w:rsidRPr="000C3D91">
        <w:rPr>
          <w:rFonts w:eastAsia="Segoe UI"/>
          <w:color w:val="000000"/>
          <w:szCs w:val="24"/>
        </w:rPr>
        <w:t>expressed as a t</w:t>
      </w:r>
      <w:r w:rsidR="00227F36" w:rsidRPr="000C3D91">
        <w:rPr>
          <w:rFonts w:eastAsia="Segoe UI"/>
          <w:color w:val="000000"/>
          <w:szCs w:val="24"/>
        </w:rPr>
        <w:noBreakHyphen/>
        <w:t>tau/Aβ₁₋₄₂ ratio</w:t>
      </w:r>
      <w:r w:rsidR="00CF05B8" w:rsidRPr="000C3D91">
        <w:rPr>
          <w:rFonts w:eastAsia="Segoe UI"/>
          <w:color w:val="000000"/>
          <w:szCs w:val="24"/>
        </w:rPr>
        <w:t xml:space="preserve">. Results of the </w:t>
      </w:r>
      <w:r w:rsidR="000C3D91" w:rsidRPr="000C3D91">
        <w:rPr>
          <w:rFonts w:eastAsia="Segoe UI"/>
          <w:color w:val="000000"/>
          <w:szCs w:val="24"/>
        </w:rPr>
        <w:t>assessment of t-tau/A</w:t>
      </w:r>
      <w:proofErr w:type="gramStart"/>
      <w:r w:rsidR="000C3D91" w:rsidRPr="000C3D91">
        <w:rPr>
          <w:rFonts w:eastAsia="Segoe UI"/>
          <w:color w:val="000000"/>
          <w:szCs w:val="24"/>
        </w:rPr>
        <w:t>β[</w:t>
      </w:r>
      <w:proofErr w:type="gramEnd"/>
      <w:r w:rsidR="000C3D91" w:rsidRPr="000C3D91">
        <w:rPr>
          <w:rFonts w:eastAsia="Segoe UI"/>
          <w:color w:val="000000"/>
          <w:szCs w:val="24"/>
        </w:rPr>
        <w:t>1-42] are interpreted by a pathologist and communicated to the referring practitioner.</w:t>
      </w:r>
    </w:p>
    <w:p w14:paraId="0267F26C" w14:textId="1FE05DE1" w:rsidR="00224B80" w:rsidRDefault="00224B80" w:rsidP="00224B80">
      <w:pPr>
        <w:rPr>
          <w:rFonts w:eastAsia="Segoe UI"/>
          <w:color w:val="000000"/>
          <w:szCs w:val="24"/>
        </w:rPr>
      </w:pPr>
      <w:r w:rsidRPr="00224B80">
        <w:rPr>
          <w:rFonts w:eastAsia="Segoe UI"/>
          <w:color w:val="000000"/>
          <w:szCs w:val="24"/>
        </w:rPr>
        <w:t>Immunoassay assessment of pTau217 in plasma</w:t>
      </w:r>
      <w:r>
        <w:rPr>
          <w:rFonts w:eastAsia="Segoe UI"/>
          <w:color w:val="000000"/>
          <w:szCs w:val="24"/>
        </w:rPr>
        <w:t xml:space="preserve"> is performed in a pathology laboratory. </w:t>
      </w:r>
      <w:r w:rsidR="00B42787">
        <w:rPr>
          <w:rFonts w:eastAsia="Segoe UI"/>
          <w:color w:val="000000"/>
          <w:szCs w:val="24"/>
        </w:rPr>
        <w:t>A sample of plas</w:t>
      </w:r>
      <w:r w:rsidR="0036126B">
        <w:rPr>
          <w:rFonts w:eastAsia="Segoe UI"/>
          <w:color w:val="000000"/>
          <w:szCs w:val="24"/>
        </w:rPr>
        <w:t>ma is obtained from a person through routine blood draw</w:t>
      </w:r>
      <w:r w:rsidR="005D430B">
        <w:rPr>
          <w:rFonts w:eastAsia="Segoe UI"/>
          <w:color w:val="000000"/>
          <w:szCs w:val="24"/>
        </w:rPr>
        <w:t xml:space="preserve">. The sample is </w:t>
      </w:r>
      <w:r w:rsidR="00B42787" w:rsidRPr="00B42787">
        <w:rPr>
          <w:rFonts w:eastAsia="Segoe UI"/>
          <w:color w:val="000000"/>
          <w:szCs w:val="24"/>
        </w:rPr>
        <w:t xml:space="preserve">usually </w:t>
      </w:r>
      <w:r w:rsidR="00EA2DB9">
        <w:rPr>
          <w:rFonts w:eastAsia="Segoe UI"/>
          <w:color w:val="000000"/>
          <w:szCs w:val="24"/>
        </w:rPr>
        <w:t xml:space="preserve">collected in </w:t>
      </w:r>
      <w:r w:rsidR="00B42787" w:rsidRPr="00B42787">
        <w:rPr>
          <w:rFonts w:eastAsia="Segoe UI"/>
          <w:color w:val="000000"/>
          <w:szCs w:val="24"/>
        </w:rPr>
        <w:t>an EDTA (lavender</w:t>
      </w:r>
      <w:r w:rsidR="007D3178">
        <w:rPr>
          <w:rFonts w:eastAsia="Segoe UI"/>
          <w:color w:val="000000"/>
          <w:szCs w:val="24"/>
        </w:rPr>
        <w:t xml:space="preserve"> </w:t>
      </w:r>
      <w:r w:rsidR="00B42787" w:rsidRPr="00B42787">
        <w:rPr>
          <w:rFonts w:eastAsia="Segoe UI"/>
          <w:color w:val="000000"/>
          <w:szCs w:val="24"/>
        </w:rPr>
        <w:t xml:space="preserve">top) </w:t>
      </w:r>
      <w:r w:rsidR="00EA2DB9">
        <w:rPr>
          <w:rFonts w:eastAsia="Segoe UI"/>
          <w:color w:val="000000"/>
          <w:szCs w:val="24"/>
        </w:rPr>
        <w:t xml:space="preserve">sample collection </w:t>
      </w:r>
      <w:r w:rsidR="00B42787" w:rsidRPr="00B42787">
        <w:rPr>
          <w:rFonts w:eastAsia="Segoe UI"/>
          <w:color w:val="000000"/>
          <w:szCs w:val="24"/>
        </w:rPr>
        <w:t>tube</w:t>
      </w:r>
      <w:r w:rsidR="00E5794E">
        <w:rPr>
          <w:rFonts w:eastAsia="Segoe UI"/>
          <w:color w:val="000000"/>
          <w:szCs w:val="24"/>
        </w:rPr>
        <w:t xml:space="preserve"> and sent to a laboratory for analysis. </w:t>
      </w:r>
      <w:r w:rsidR="00B42787" w:rsidRPr="00B42787">
        <w:rPr>
          <w:rFonts w:eastAsia="Segoe UI"/>
          <w:color w:val="000000"/>
          <w:szCs w:val="24"/>
        </w:rPr>
        <w:t>In the laboratory, pTau217 concentration is measured using a</w:t>
      </w:r>
      <w:r w:rsidR="0069100E">
        <w:rPr>
          <w:rFonts w:eastAsia="Segoe UI"/>
          <w:color w:val="000000"/>
          <w:szCs w:val="24"/>
        </w:rPr>
        <w:t>n immunoassay plat</w:t>
      </w:r>
      <w:r w:rsidR="0007764E">
        <w:rPr>
          <w:rFonts w:eastAsia="Segoe UI"/>
          <w:color w:val="000000"/>
          <w:szCs w:val="24"/>
        </w:rPr>
        <w:t>f</w:t>
      </w:r>
      <w:r w:rsidR="0069100E">
        <w:rPr>
          <w:rFonts w:eastAsia="Segoe UI"/>
          <w:color w:val="000000"/>
          <w:szCs w:val="24"/>
        </w:rPr>
        <w:t>orm</w:t>
      </w:r>
      <w:r w:rsidR="00BB29BF">
        <w:rPr>
          <w:rFonts w:eastAsia="Segoe UI"/>
          <w:color w:val="000000"/>
          <w:szCs w:val="24"/>
        </w:rPr>
        <w:t xml:space="preserve">. The </w:t>
      </w:r>
      <w:r w:rsidR="00497624">
        <w:rPr>
          <w:rFonts w:eastAsia="Segoe UI"/>
          <w:color w:val="000000"/>
          <w:szCs w:val="24"/>
        </w:rPr>
        <w:t xml:space="preserve">pTau217 assay uses </w:t>
      </w:r>
      <w:r w:rsidR="00B42787" w:rsidRPr="00B42787">
        <w:rPr>
          <w:rFonts w:eastAsia="Segoe UI"/>
          <w:color w:val="000000"/>
          <w:szCs w:val="24"/>
        </w:rPr>
        <w:t>antibodies specific to</w:t>
      </w:r>
      <w:r w:rsidR="00925310">
        <w:rPr>
          <w:rFonts w:eastAsia="Segoe UI"/>
          <w:color w:val="000000"/>
          <w:szCs w:val="24"/>
        </w:rPr>
        <w:t xml:space="preserve"> the</w:t>
      </w:r>
      <w:r w:rsidR="00B42787" w:rsidRPr="00B42787">
        <w:rPr>
          <w:rFonts w:eastAsia="Segoe UI"/>
          <w:color w:val="000000"/>
          <w:szCs w:val="24"/>
        </w:rPr>
        <w:t xml:space="preserve"> phosphorylated tau</w:t>
      </w:r>
      <w:r w:rsidR="00B42787" w:rsidRPr="00B42787">
        <w:rPr>
          <w:rFonts w:eastAsia="Segoe UI"/>
          <w:color w:val="000000"/>
          <w:szCs w:val="24"/>
        </w:rPr>
        <w:noBreakHyphen/>
        <w:t>217 protein. Calibrators and control</w:t>
      </w:r>
      <w:r w:rsidR="00775C53">
        <w:rPr>
          <w:rFonts w:eastAsia="Segoe UI"/>
          <w:color w:val="000000"/>
          <w:szCs w:val="24"/>
        </w:rPr>
        <w:t xml:space="preserve"> samples </w:t>
      </w:r>
      <w:r w:rsidR="00B42787" w:rsidRPr="00B42787">
        <w:rPr>
          <w:rFonts w:eastAsia="Segoe UI"/>
          <w:color w:val="000000"/>
          <w:szCs w:val="24"/>
        </w:rPr>
        <w:t xml:space="preserve">are run in parallel to ensure assay </w:t>
      </w:r>
      <w:r w:rsidR="00775C53">
        <w:rPr>
          <w:rFonts w:eastAsia="Segoe UI"/>
          <w:color w:val="000000"/>
          <w:szCs w:val="24"/>
        </w:rPr>
        <w:t>performance</w:t>
      </w:r>
      <w:r w:rsidR="00B42787" w:rsidRPr="00B42787">
        <w:rPr>
          <w:rFonts w:eastAsia="Segoe UI"/>
          <w:color w:val="000000"/>
          <w:szCs w:val="24"/>
        </w:rPr>
        <w:t xml:space="preserve">. </w:t>
      </w:r>
      <w:r w:rsidR="002E6D37">
        <w:rPr>
          <w:rFonts w:eastAsia="Segoe UI"/>
          <w:color w:val="000000"/>
          <w:szCs w:val="24"/>
        </w:rPr>
        <w:t xml:space="preserve">Results of the assessment of </w:t>
      </w:r>
      <w:r w:rsidR="00B42787" w:rsidRPr="00B42787">
        <w:rPr>
          <w:rFonts w:eastAsia="Segoe UI"/>
          <w:color w:val="000000"/>
          <w:szCs w:val="24"/>
        </w:rPr>
        <w:t xml:space="preserve">pTau217 value </w:t>
      </w:r>
      <w:r w:rsidR="00791B3D">
        <w:rPr>
          <w:rFonts w:eastAsia="Segoe UI"/>
          <w:color w:val="000000"/>
          <w:szCs w:val="24"/>
        </w:rPr>
        <w:t xml:space="preserve">from the persons sample </w:t>
      </w:r>
      <w:r w:rsidR="00CD2A92">
        <w:rPr>
          <w:rFonts w:eastAsia="Segoe UI"/>
          <w:color w:val="000000"/>
          <w:szCs w:val="24"/>
        </w:rPr>
        <w:t>are interpreted by a pathologist and communicated to the referring practitioner.</w:t>
      </w:r>
    </w:p>
    <w:p w14:paraId="714D423A" w14:textId="1CA215C8" w:rsidR="002C5C63" w:rsidRDefault="00B87846" w:rsidP="002C5C63">
      <w:pPr>
        <w:rPr>
          <w:rFonts w:eastAsia="Segoe UI"/>
          <w:color w:val="000000"/>
          <w:szCs w:val="24"/>
        </w:rPr>
      </w:pPr>
      <w:proofErr w:type="spellStart"/>
      <w:r w:rsidRPr="0031640F">
        <w:rPr>
          <w:szCs w:val="24"/>
        </w:rPr>
        <w:t>ApoE</w:t>
      </w:r>
      <w:proofErr w:type="spellEnd"/>
      <w:r w:rsidRPr="0031640F">
        <w:rPr>
          <w:szCs w:val="24"/>
        </w:rPr>
        <w:t xml:space="preserve"> ε4 genotype testing</w:t>
      </w:r>
      <w:r>
        <w:rPr>
          <w:szCs w:val="24"/>
        </w:rPr>
        <w:t xml:space="preserve"> is performed in a pathology laboratory</w:t>
      </w:r>
      <w:r w:rsidR="007534F7">
        <w:rPr>
          <w:szCs w:val="24"/>
        </w:rPr>
        <w:t xml:space="preserve">. </w:t>
      </w:r>
      <w:r w:rsidR="007534F7">
        <w:rPr>
          <w:rFonts w:eastAsia="Segoe UI"/>
          <w:color w:val="000000"/>
          <w:szCs w:val="24"/>
        </w:rPr>
        <w:t xml:space="preserve">A sample of plasma is obtained from a person through routine blood draw. The sample is </w:t>
      </w:r>
      <w:r w:rsidR="007534F7" w:rsidRPr="00B42787">
        <w:rPr>
          <w:rFonts w:eastAsia="Segoe UI"/>
          <w:color w:val="000000"/>
          <w:szCs w:val="24"/>
        </w:rPr>
        <w:t xml:space="preserve">usually </w:t>
      </w:r>
      <w:r w:rsidR="007534F7">
        <w:rPr>
          <w:rFonts w:eastAsia="Segoe UI"/>
          <w:color w:val="000000"/>
          <w:szCs w:val="24"/>
        </w:rPr>
        <w:t xml:space="preserve">collected in </w:t>
      </w:r>
      <w:r w:rsidR="007534F7" w:rsidRPr="00B42787">
        <w:rPr>
          <w:rFonts w:eastAsia="Segoe UI"/>
          <w:color w:val="000000"/>
          <w:szCs w:val="24"/>
        </w:rPr>
        <w:t xml:space="preserve">an EDTA </w:t>
      </w:r>
      <w:r w:rsidR="00D1742E">
        <w:rPr>
          <w:rFonts w:eastAsia="Segoe UI"/>
          <w:color w:val="000000"/>
          <w:szCs w:val="24"/>
        </w:rPr>
        <w:t>(lave</w:t>
      </w:r>
      <w:r w:rsidR="007D3178">
        <w:rPr>
          <w:rFonts w:eastAsia="Segoe UI"/>
          <w:color w:val="000000"/>
          <w:szCs w:val="24"/>
        </w:rPr>
        <w:t xml:space="preserve">nder top) </w:t>
      </w:r>
      <w:r w:rsidR="007534F7">
        <w:rPr>
          <w:rFonts w:eastAsia="Segoe UI"/>
          <w:color w:val="000000"/>
          <w:szCs w:val="24"/>
        </w:rPr>
        <w:t xml:space="preserve">sample collection </w:t>
      </w:r>
      <w:r w:rsidR="007534F7" w:rsidRPr="00B42787">
        <w:rPr>
          <w:rFonts w:eastAsia="Segoe UI"/>
          <w:color w:val="000000"/>
          <w:szCs w:val="24"/>
        </w:rPr>
        <w:t>tube</w:t>
      </w:r>
      <w:r w:rsidR="007534F7">
        <w:rPr>
          <w:rFonts w:eastAsia="Segoe UI"/>
          <w:color w:val="000000"/>
          <w:szCs w:val="24"/>
        </w:rPr>
        <w:t xml:space="preserve"> and sent to a laboratory for analysis. In the laboratory DNA is extracted </w:t>
      </w:r>
      <w:r w:rsidR="009A48A9">
        <w:rPr>
          <w:rFonts w:eastAsia="Segoe UI"/>
          <w:color w:val="000000"/>
          <w:szCs w:val="24"/>
        </w:rPr>
        <w:t xml:space="preserve">from cells in the sample. </w:t>
      </w:r>
      <w:r w:rsidR="006F2B50">
        <w:rPr>
          <w:rFonts w:eastAsia="Segoe UI"/>
          <w:color w:val="000000"/>
          <w:szCs w:val="24"/>
        </w:rPr>
        <w:t xml:space="preserve">Isolated DNA is analysed, typically using </w:t>
      </w:r>
      <w:r w:rsidR="007F534A" w:rsidRPr="007F534A">
        <w:rPr>
          <w:rFonts w:eastAsia="Segoe UI"/>
          <w:color w:val="000000"/>
          <w:szCs w:val="24"/>
        </w:rPr>
        <w:t>PCR-based or SNP</w:t>
      </w:r>
      <w:r w:rsidR="007F534A" w:rsidRPr="007F534A">
        <w:rPr>
          <w:rFonts w:eastAsia="Segoe UI"/>
          <w:color w:val="000000"/>
          <w:szCs w:val="24"/>
        </w:rPr>
        <w:noBreakHyphen/>
      </w:r>
      <w:r w:rsidR="00040137">
        <w:rPr>
          <w:rFonts w:eastAsia="Segoe UI"/>
          <w:color w:val="000000"/>
          <w:szCs w:val="24"/>
        </w:rPr>
        <w:t>array assays</w:t>
      </w:r>
      <w:r w:rsidR="00B632F2">
        <w:rPr>
          <w:rFonts w:eastAsia="Segoe UI"/>
          <w:color w:val="000000"/>
          <w:szCs w:val="24"/>
        </w:rPr>
        <w:t xml:space="preserve"> </w:t>
      </w:r>
      <w:r w:rsidR="007F534A" w:rsidRPr="007F534A">
        <w:rPr>
          <w:rFonts w:eastAsia="Segoe UI"/>
          <w:color w:val="000000"/>
          <w:szCs w:val="24"/>
        </w:rPr>
        <w:t xml:space="preserve">to identify which APOE alleles (ε2, ε3, ε4) are present. </w:t>
      </w:r>
      <w:r w:rsidR="0012109C">
        <w:rPr>
          <w:rFonts w:eastAsia="Segoe UI"/>
          <w:color w:val="000000"/>
          <w:szCs w:val="24"/>
        </w:rPr>
        <w:t>C</w:t>
      </w:r>
      <w:r w:rsidR="007F534A" w:rsidRPr="007F534A">
        <w:rPr>
          <w:rFonts w:eastAsia="Segoe UI"/>
          <w:color w:val="000000"/>
          <w:szCs w:val="24"/>
        </w:rPr>
        <w:t xml:space="preserve">ontrols </w:t>
      </w:r>
      <w:r w:rsidR="0012109C">
        <w:rPr>
          <w:rFonts w:eastAsia="Segoe UI"/>
          <w:color w:val="000000"/>
          <w:szCs w:val="24"/>
        </w:rPr>
        <w:t xml:space="preserve">samples </w:t>
      </w:r>
      <w:r w:rsidR="007F534A" w:rsidRPr="007F534A">
        <w:rPr>
          <w:rFonts w:eastAsia="Segoe UI"/>
          <w:color w:val="000000"/>
          <w:szCs w:val="24"/>
        </w:rPr>
        <w:t xml:space="preserve">are run alongside the </w:t>
      </w:r>
      <w:r w:rsidR="0012109C">
        <w:rPr>
          <w:rFonts w:eastAsia="Segoe UI"/>
          <w:color w:val="000000"/>
          <w:szCs w:val="24"/>
        </w:rPr>
        <w:t xml:space="preserve">persons </w:t>
      </w:r>
      <w:r w:rsidR="007F534A" w:rsidRPr="007F534A">
        <w:rPr>
          <w:rFonts w:eastAsia="Segoe UI"/>
          <w:color w:val="000000"/>
          <w:szCs w:val="24"/>
        </w:rPr>
        <w:t xml:space="preserve">sample to ensure </w:t>
      </w:r>
      <w:r w:rsidR="000F04F1">
        <w:rPr>
          <w:rFonts w:eastAsia="Segoe UI"/>
          <w:color w:val="000000"/>
          <w:szCs w:val="24"/>
        </w:rPr>
        <w:t>assay performance</w:t>
      </w:r>
      <w:r w:rsidR="007F534A" w:rsidRPr="007F534A">
        <w:rPr>
          <w:rFonts w:eastAsia="Segoe UI"/>
          <w:color w:val="000000"/>
          <w:szCs w:val="24"/>
        </w:rPr>
        <w:t>. The resulting genotype is reported as a pair of alleles inherited from each parent, such as ε3/ε3 or ε3/ε4</w:t>
      </w:r>
      <w:r w:rsidR="006C56E8">
        <w:rPr>
          <w:rFonts w:eastAsia="Segoe UI"/>
          <w:color w:val="000000"/>
          <w:szCs w:val="24"/>
        </w:rPr>
        <w:t>.</w:t>
      </w:r>
      <w:r w:rsidR="002C5C63">
        <w:rPr>
          <w:rFonts w:eastAsia="Segoe UI"/>
          <w:color w:val="000000"/>
          <w:szCs w:val="24"/>
        </w:rPr>
        <w:t xml:space="preserve"> Results of the assessment of </w:t>
      </w:r>
      <w:proofErr w:type="spellStart"/>
      <w:r w:rsidR="004B38EB">
        <w:rPr>
          <w:rFonts w:eastAsia="Segoe UI"/>
          <w:color w:val="000000"/>
          <w:szCs w:val="24"/>
        </w:rPr>
        <w:t>ApoE</w:t>
      </w:r>
      <w:proofErr w:type="spellEnd"/>
      <w:r w:rsidR="004B38EB">
        <w:rPr>
          <w:rFonts w:eastAsia="Segoe UI"/>
          <w:color w:val="000000"/>
          <w:szCs w:val="24"/>
        </w:rPr>
        <w:t xml:space="preserve"> </w:t>
      </w:r>
      <w:r w:rsidR="004B38EB" w:rsidRPr="0031640F">
        <w:rPr>
          <w:szCs w:val="24"/>
        </w:rPr>
        <w:t>ε4 genotype testing</w:t>
      </w:r>
      <w:r w:rsidR="004B38EB">
        <w:rPr>
          <w:szCs w:val="24"/>
        </w:rPr>
        <w:t xml:space="preserve"> </w:t>
      </w:r>
      <w:r w:rsidR="002C5C63">
        <w:rPr>
          <w:rFonts w:eastAsia="Segoe UI"/>
          <w:color w:val="000000"/>
          <w:szCs w:val="24"/>
        </w:rPr>
        <w:t>from the persons sample are interpreted by a pathologist and communicated to the referring practitioner.</w:t>
      </w:r>
    </w:p>
    <w:p w14:paraId="61D070A7" w14:textId="4C831CC3" w:rsidR="000C3D91" w:rsidRPr="000F04F1" w:rsidRDefault="000F04F1" w:rsidP="00227F36">
      <w:pPr>
        <w:rPr>
          <w:b/>
          <w:bCs/>
          <w:szCs w:val="24"/>
        </w:rPr>
      </w:pPr>
      <w:proofErr w:type="spellStart"/>
      <w:r w:rsidRPr="000F04F1">
        <w:rPr>
          <w:b/>
          <w:bCs/>
          <w:szCs w:val="24"/>
        </w:rPr>
        <w:t>Lecanemab</w:t>
      </w:r>
      <w:proofErr w:type="spellEnd"/>
      <w:r w:rsidRPr="000F04F1">
        <w:rPr>
          <w:b/>
          <w:bCs/>
          <w:szCs w:val="24"/>
        </w:rPr>
        <w:t xml:space="preserve"> treatment</w:t>
      </w:r>
    </w:p>
    <w:p w14:paraId="345786AF" w14:textId="318E0662" w:rsidR="003D554B" w:rsidRDefault="00451805" w:rsidP="00260B62">
      <w:pPr>
        <w:rPr>
          <w:szCs w:val="24"/>
        </w:rPr>
      </w:pPr>
      <w:r>
        <w:rPr>
          <w:szCs w:val="24"/>
        </w:rPr>
        <w:t>P</w:t>
      </w:r>
      <w:r w:rsidR="0069737A">
        <w:rPr>
          <w:szCs w:val="24"/>
        </w:rPr>
        <w:t>eople</w:t>
      </w:r>
      <w:r w:rsidR="007F7880">
        <w:rPr>
          <w:szCs w:val="24"/>
        </w:rPr>
        <w:t xml:space="preserve"> must be assessed as being eligible for </w:t>
      </w:r>
      <w:proofErr w:type="spellStart"/>
      <w:r w:rsidR="00FA3CD6">
        <w:rPr>
          <w:szCs w:val="24"/>
        </w:rPr>
        <w:t>lecanemab</w:t>
      </w:r>
      <w:proofErr w:type="spellEnd"/>
      <w:r w:rsidR="00FA3CD6">
        <w:rPr>
          <w:szCs w:val="24"/>
        </w:rPr>
        <w:t xml:space="preserve"> treatment</w:t>
      </w:r>
      <w:r>
        <w:rPr>
          <w:szCs w:val="24"/>
        </w:rPr>
        <w:t xml:space="preserve"> prior to initiating treatment. This </w:t>
      </w:r>
      <w:r w:rsidR="00260B62">
        <w:rPr>
          <w:szCs w:val="24"/>
        </w:rPr>
        <w:t xml:space="preserve">requires the use of Aβ pathology testing and </w:t>
      </w:r>
      <w:proofErr w:type="spellStart"/>
      <w:r w:rsidR="00260B62" w:rsidRPr="0031640F">
        <w:rPr>
          <w:szCs w:val="24"/>
        </w:rPr>
        <w:t>ApoE</w:t>
      </w:r>
      <w:proofErr w:type="spellEnd"/>
      <w:r w:rsidR="00260B62" w:rsidRPr="0031640F">
        <w:rPr>
          <w:szCs w:val="24"/>
        </w:rPr>
        <w:t xml:space="preserve"> ε4 genotype testing</w:t>
      </w:r>
      <w:r w:rsidR="00260B62">
        <w:rPr>
          <w:szCs w:val="24"/>
        </w:rPr>
        <w:t xml:space="preserve">. Only </w:t>
      </w:r>
      <w:r w:rsidR="0069737A">
        <w:rPr>
          <w:szCs w:val="24"/>
        </w:rPr>
        <w:t xml:space="preserve">people assessed has having </w:t>
      </w:r>
      <w:r w:rsidR="005F7F3B">
        <w:rPr>
          <w:szCs w:val="24"/>
        </w:rPr>
        <w:t xml:space="preserve">positive Aβ pathology test and </w:t>
      </w:r>
      <w:proofErr w:type="spellStart"/>
      <w:r w:rsidR="005F7F3B" w:rsidRPr="0031640F">
        <w:rPr>
          <w:szCs w:val="24"/>
        </w:rPr>
        <w:t>ApoE</w:t>
      </w:r>
      <w:proofErr w:type="spellEnd"/>
      <w:r w:rsidR="005F7F3B" w:rsidRPr="0031640F">
        <w:rPr>
          <w:szCs w:val="24"/>
        </w:rPr>
        <w:t xml:space="preserve"> ε4 </w:t>
      </w:r>
      <w:r w:rsidR="005F7F3B">
        <w:rPr>
          <w:szCs w:val="24"/>
        </w:rPr>
        <w:t xml:space="preserve">non-carrier or heterozygous </w:t>
      </w:r>
      <w:r w:rsidR="00F86690">
        <w:rPr>
          <w:szCs w:val="24"/>
        </w:rPr>
        <w:t xml:space="preserve">are indicated for </w:t>
      </w:r>
      <w:proofErr w:type="spellStart"/>
      <w:r w:rsidR="00F86690">
        <w:rPr>
          <w:szCs w:val="24"/>
        </w:rPr>
        <w:t>lecanemab</w:t>
      </w:r>
      <w:proofErr w:type="spellEnd"/>
      <w:r w:rsidR="00F86690">
        <w:rPr>
          <w:szCs w:val="24"/>
        </w:rPr>
        <w:t xml:space="preserve"> treatment.</w:t>
      </w:r>
    </w:p>
    <w:p w14:paraId="0079AD7C" w14:textId="71369A1B" w:rsidR="00F86690" w:rsidRDefault="00F86690" w:rsidP="00260B62">
      <w:pPr>
        <w:rPr>
          <w:szCs w:val="24"/>
        </w:rPr>
      </w:pPr>
      <w:r>
        <w:rPr>
          <w:szCs w:val="24"/>
        </w:rPr>
        <w:t xml:space="preserve">People should also have </w:t>
      </w:r>
      <w:r w:rsidR="00EB2995">
        <w:rPr>
          <w:szCs w:val="24"/>
        </w:rPr>
        <w:t xml:space="preserve">no evidence of </w:t>
      </w:r>
      <w:r w:rsidR="00BC584B">
        <w:rPr>
          <w:szCs w:val="24"/>
        </w:rPr>
        <w:t xml:space="preserve">clinically significant lesions </w:t>
      </w:r>
      <w:r w:rsidR="00094757">
        <w:rPr>
          <w:szCs w:val="24"/>
        </w:rPr>
        <w:t>based on an MRI scan of the brain performed within 6 months of ini</w:t>
      </w:r>
      <w:r w:rsidR="008E7708">
        <w:rPr>
          <w:szCs w:val="24"/>
        </w:rPr>
        <w:t xml:space="preserve">tiating </w:t>
      </w:r>
      <w:proofErr w:type="spellStart"/>
      <w:r w:rsidR="008E7708">
        <w:rPr>
          <w:szCs w:val="24"/>
        </w:rPr>
        <w:t>lecanemab</w:t>
      </w:r>
      <w:proofErr w:type="spellEnd"/>
      <w:r w:rsidR="008E7708">
        <w:rPr>
          <w:szCs w:val="24"/>
        </w:rPr>
        <w:t xml:space="preserve"> treatment.</w:t>
      </w:r>
    </w:p>
    <w:p w14:paraId="330BF3F2" w14:textId="62A7844F" w:rsidR="00516DD7" w:rsidRDefault="00314B03" w:rsidP="00260B62">
      <w:pPr>
        <w:rPr>
          <w:szCs w:val="24"/>
        </w:rPr>
      </w:pPr>
      <w:r>
        <w:rPr>
          <w:szCs w:val="24"/>
        </w:rPr>
        <w:t>T</w:t>
      </w:r>
      <w:r w:rsidR="00F104F2">
        <w:rPr>
          <w:szCs w:val="24"/>
        </w:rPr>
        <w:t xml:space="preserve">reatment </w:t>
      </w:r>
      <w:r>
        <w:rPr>
          <w:szCs w:val="24"/>
        </w:rPr>
        <w:t xml:space="preserve">with </w:t>
      </w:r>
      <w:proofErr w:type="spellStart"/>
      <w:r>
        <w:rPr>
          <w:szCs w:val="24"/>
        </w:rPr>
        <w:t>lecanemab</w:t>
      </w:r>
      <w:proofErr w:type="spellEnd"/>
      <w:r>
        <w:rPr>
          <w:szCs w:val="24"/>
        </w:rPr>
        <w:t xml:space="preserve"> </w:t>
      </w:r>
      <w:r w:rsidR="00F104F2">
        <w:rPr>
          <w:szCs w:val="24"/>
        </w:rPr>
        <w:t xml:space="preserve">should be provided in </w:t>
      </w:r>
      <w:r w:rsidR="00516DD7">
        <w:rPr>
          <w:szCs w:val="24"/>
        </w:rPr>
        <w:t xml:space="preserve">specialist centres under </w:t>
      </w:r>
      <w:r w:rsidR="00AB0657">
        <w:rPr>
          <w:szCs w:val="24"/>
        </w:rPr>
        <w:t>the supervision of a multidisciplinary team trained in the detection, monitoring and management of ARIA</w:t>
      </w:r>
      <w:r w:rsidR="00D7632E">
        <w:rPr>
          <w:szCs w:val="24"/>
        </w:rPr>
        <w:t xml:space="preserve"> and infusion related reactions.</w:t>
      </w:r>
    </w:p>
    <w:p w14:paraId="39728E91" w14:textId="02E17ACB" w:rsidR="00F242AD" w:rsidRPr="00D7632E" w:rsidRDefault="00CD25A6" w:rsidP="00260B62">
      <w:pPr>
        <w:rPr>
          <w:szCs w:val="24"/>
        </w:rPr>
      </w:pPr>
      <w:r>
        <w:rPr>
          <w:szCs w:val="24"/>
        </w:rPr>
        <w:t xml:space="preserve">After a person </w:t>
      </w:r>
      <w:r w:rsidR="00DE504E">
        <w:rPr>
          <w:szCs w:val="24"/>
        </w:rPr>
        <w:t>initiates</w:t>
      </w:r>
      <w:r w:rsidR="00737A2F">
        <w:rPr>
          <w:szCs w:val="24"/>
        </w:rPr>
        <w:t xml:space="preserve"> </w:t>
      </w:r>
      <w:proofErr w:type="spellStart"/>
      <w:r w:rsidR="00737A2F">
        <w:rPr>
          <w:szCs w:val="24"/>
        </w:rPr>
        <w:t>lecanemab</w:t>
      </w:r>
      <w:proofErr w:type="spellEnd"/>
      <w:r>
        <w:rPr>
          <w:szCs w:val="24"/>
        </w:rPr>
        <w:t xml:space="preserve"> they are monitored </w:t>
      </w:r>
      <w:r w:rsidR="008774FB">
        <w:rPr>
          <w:szCs w:val="24"/>
        </w:rPr>
        <w:t>for ARIA</w:t>
      </w:r>
      <w:r w:rsidR="00AD54E0">
        <w:rPr>
          <w:szCs w:val="24"/>
        </w:rPr>
        <w:t xml:space="preserve"> </w:t>
      </w:r>
      <w:r w:rsidR="00BE7D36">
        <w:rPr>
          <w:szCs w:val="24"/>
        </w:rPr>
        <w:t xml:space="preserve">in the early phases of treatment </w:t>
      </w:r>
      <w:r w:rsidR="00AD54E0">
        <w:rPr>
          <w:szCs w:val="24"/>
        </w:rPr>
        <w:t>by MRI scan of the brain</w:t>
      </w:r>
      <w:r w:rsidR="00A5177F">
        <w:rPr>
          <w:szCs w:val="24"/>
        </w:rPr>
        <w:t xml:space="preserve">. The </w:t>
      </w:r>
      <w:proofErr w:type="spellStart"/>
      <w:r w:rsidR="0071775C">
        <w:rPr>
          <w:szCs w:val="24"/>
        </w:rPr>
        <w:t>lecanemab</w:t>
      </w:r>
      <w:proofErr w:type="spellEnd"/>
      <w:r w:rsidR="00A5177F">
        <w:rPr>
          <w:szCs w:val="24"/>
        </w:rPr>
        <w:t xml:space="preserve"> Product Information outlines that monitoring for ARIA </w:t>
      </w:r>
      <w:r w:rsidR="0056776F">
        <w:rPr>
          <w:szCs w:val="24"/>
        </w:rPr>
        <w:t xml:space="preserve">should be performed </w:t>
      </w:r>
      <w:r w:rsidR="00DE504E" w:rsidRPr="00D7632E">
        <w:rPr>
          <w:szCs w:val="24"/>
        </w:rPr>
        <w:t xml:space="preserve">prior to 3rd, 5th, 7th and 14th infusion </w:t>
      </w:r>
      <w:r w:rsidR="000B0C96">
        <w:rPr>
          <w:szCs w:val="24"/>
        </w:rPr>
        <w:t xml:space="preserve">of </w:t>
      </w:r>
      <w:proofErr w:type="spellStart"/>
      <w:r w:rsidR="000B0C96">
        <w:rPr>
          <w:szCs w:val="24"/>
        </w:rPr>
        <w:t>lecanemab</w:t>
      </w:r>
      <w:proofErr w:type="spellEnd"/>
      <w:r w:rsidR="000B0C96">
        <w:rPr>
          <w:szCs w:val="24"/>
        </w:rPr>
        <w:t xml:space="preserve"> </w:t>
      </w:r>
      <w:r w:rsidR="00DE504E" w:rsidRPr="00D7632E">
        <w:rPr>
          <w:szCs w:val="24"/>
        </w:rPr>
        <w:t>(Months 1, 2, 3 and 6).</w:t>
      </w:r>
      <w:r w:rsidR="00823550">
        <w:rPr>
          <w:szCs w:val="24"/>
        </w:rPr>
        <w:t xml:space="preserve"> </w:t>
      </w:r>
      <w:r w:rsidR="0008251E">
        <w:rPr>
          <w:szCs w:val="24"/>
        </w:rPr>
        <w:t>Recommendations for t</w:t>
      </w:r>
      <w:r w:rsidR="00E27FE8">
        <w:rPr>
          <w:szCs w:val="24"/>
        </w:rPr>
        <w:t xml:space="preserve">reatment suspension </w:t>
      </w:r>
      <w:r w:rsidR="0008251E">
        <w:rPr>
          <w:szCs w:val="24"/>
        </w:rPr>
        <w:t xml:space="preserve">in people </w:t>
      </w:r>
      <w:r w:rsidR="00892C12">
        <w:rPr>
          <w:szCs w:val="24"/>
        </w:rPr>
        <w:t xml:space="preserve">that develop an </w:t>
      </w:r>
      <w:r w:rsidR="00753560">
        <w:rPr>
          <w:szCs w:val="24"/>
        </w:rPr>
        <w:t xml:space="preserve">ARIA </w:t>
      </w:r>
      <w:r w:rsidR="00892C12">
        <w:rPr>
          <w:szCs w:val="24"/>
        </w:rPr>
        <w:t xml:space="preserve">while </w:t>
      </w:r>
      <w:r w:rsidR="00A32ECE">
        <w:rPr>
          <w:szCs w:val="24"/>
        </w:rPr>
        <w:t xml:space="preserve">receiving </w:t>
      </w:r>
      <w:proofErr w:type="spellStart"/>
      <w:r w:rsidR="00A32ECE">
        <w:rPr>
          <w:szCs w:val="24"/>
        </w:rPr>
        <w:t>lecanemab</w:t>
      </w:r>
      <w:proofErr w:type="spellEnd"/>
      <w:r w:rsidR="00A32ECE">
        <w:rPr>
          <w:szCs w:val="24"/>
        </w:rPr>
        <w:t xml:space="preserve"> </w:t>
      </w:r>
      <w:r w:rsidR="00753560">
        <w:rPr>
          <w:szCs w:val="24"/>
        </w:rPr>
        <w:t xml:space="preserve">are </w:t>
      </w:r>
      <w:r w:rsidR="00A32ECE">
        <w:rPr>
          <w:szCs w:val="24"/>
        </w:rPr>
        <w:t>described</w:t>
      </w:r>
      <w:r w:rsidR="00753560">
        <w:rPr>
          <w:szCs w:val="24"/>
        </w:rPr>
        <w:t xml:space="preserve"> in the </w:t>
      </w:r>
      <w:proofErr w:type="spellStart"/>
      <w:r w:rsidR="00753560">
        <w:rPr>
          <w:szCs w:val="24"/>
        </w:rPr>
        <w:t>lecanemab</w:t>
      </w:r>
      <w:proofErr w:type="spellEnd"/>
      <w:r w:rsidR="00753560">
        <w:rPr>
          <w:szCs w:val="24"/>
        </w:rPr>
        <w:t xml:space="preserve"> Product Information (pp. 3-4).</w:t>
      </w:r>
    </w:p>
    <w:p w14:paraId="0D2085DA" w14:textId="03295FE9" w:rsidR="009E6032" w:rsidRPr="00940A7E" w:rsidRDefault="00DE504E" w:rsidP="00940A7E">
      <w:pPr>
        <w:rPr>
          <w:b/>
          <w:bCs/>
          <w:szCs w:val="24"/>
        </w:rPr>
      </w:pPr>
      <w:r>
        <w:rPr>
          <w:szCs w:val="24"/>
        </w:rPr>
        <w:t xml:space="preserve">People receiving treatment with </w:t>
      </w:r>
      <w:proofErr w:type="spellStart"/>
      <w:r>
        <w:rPr>
          <w:szCs w:val="24"/>
        </w:rPr>
        <w:t>lecanemab</w:t>
      </w:r>
      <w:proofErr w:type="spellEnd"/>
      <w:r>
        <w:rPr>
          <w:szCs w:val="24"/>
        </w:rPr>
        <w:t xml:space="preserve"> are monitored for </w:t>
      </w:r>
      <w:r w:rsidR="00AB238B">
        <w:rPr>
          <w:szCs w:val="24"/>
        </w:rPr>
        <w:t>Alzheimer's disease symptoms</w:t>
      </w:r>
      <w:r w:rsidR="003C063E">
        <w:rPr>
          <w:szCs w:val="24"/>
        </w:rPr>
        <w:t xml:space="preserve"> and adverse events. T</w:t>
      </w:r>
      <w:r w:rsidR="00EC6B73">
        <w:rPr>
          <w:szCs w:val="24"/>
        </w:rPr>
        <w:t>he benefit-risk of continued treatment</w:t>
      </w:r>
      <w:r w:rsidR="00D67E09">
        <w:rPr>
          <w:szCs w:val="24"/>
        </w:rPr>
        <w:t xml:space="preserve"> </w:t>
      </w:r>
      <w:r w:rsidR="00441EDA">
        <w:rPr>
          <w:szCs w:val="24"/>
        </w:rPr>
        <w:t xml:space="preserve">is </w:t>
      </w:r>
      <w:r w:rsidR="00D67E09">
        <w:rPr>
          <w:szCs w:val="24"/>
        </w:rPr>
        <w:t xml:space="preserve">re-assessed </w:t>
      </w:r>
      <w:r w:rsidR="00216339">
        <w:rPr>
          <w:szCs w:val="24"/>
        </w:rPr>
        <w:t xml:space="preserve">by </w:t>
      </w:r>
      <w:r w:rsidR="00216339">
        <w:rPr>
          <w:szCs w:val="24"/>
        </w:rPr>
        <w:lastRenderedPageBreak/>
        <w:t xml:space="preserve">the managing </w:t>
      </w:r>
      <w:r w:rsidR="00614B34">
        <w:rPr>
          <w:szCs w:val="24"/>
        </w:rPr>
        <w:t xml:space="preserve">clinician </w:t>
      </w:r>
      <w:r w:rsidR="00D67E09">
        <w:rPr>
          <w:szCs w:val="24"/>
        </w:rPr>
        <w:t>at regular intervals</w:t>
      </w:r>
      <w:r w:rsidR="00216339">
        <w:rPr>
          <w:szCs w:val="24"/>
        </w:rPr>
        <w:t>.</w:t>
      </w:r>
      <w:r w:rsidR="00A54E00">
        <w:rPr>
          <w:szCs w:val="24"/>
        </w:rPr>
        <w:t xml:space="preserve"> If a person is assessed as having </w:t>
      </w:r>
      <w:r w:rsidR="00457CD9">
        <w:rPr>
          <w:szCs w:val="24"/>
        </w:rPr>
        <w:t xml:space="preserve">progressed to moderate Alzheimer’s disease while on treatment they should discontinue </w:t>
      </w:r>
      <w:proofErr w:type="spellStart"/>
      <w:r w:rsidR="00B901B5">
        <w:rPr>
          <w:szCs w:val="24"/>
        </w:rPr>
        <w:t>lecanemab</w:t>
      </w:r>
      <w:proofErr w:type="spellEnd"/>
      <w:r w:rsidR="00457CD9">
        <w:rPr>
          <w:szCs w:val="24"/>
        </w:rPr>
        <w:t>.</w:t>
      </w:r>
      <w:r w:rsidR="001546E5">
        <w:rPr>
          <w:szCs w:val="24"/>
        </w:rPr>
        <w:t xml:space="preserve"> </w:t>
      </w:r>
      <w:r w:rsidR="008D3DF2">
        <w:rPr>
          <w:szCs w:val="24"/>
        </w:rPr>
        <w:t xml:space="preserve">If a person has not progressed to moderate Alzheimer's disease and the </w:t>
      </w:r>
      <w:r w:rsidR="00AA4C11">
        <w:rPr>
          <w:szCs w:val="24"/>
        </w:rPr>
        <w:t xml:space="preserve">benefit-risk of continued treatment is favourable than people would continue to receive </w:t>
      </w:r>
      <w:proofErr w:type="spellStart"/>
      <w:r w:rsidR="0026309E">
        <w:rPr>
          <w:szCs w:val="24"/>
        </w:rPr>
        <w:t>lecanemab</w:t>
      </w:r>
      <w:proofErr w:type="spellEnd"/>
      <w:r w:rsidR="0026309E">
        <w:rPr>
          <w:szCs w:val="24"/>
        </w:rPr>
        <w:t>.</w:t>
      </w:r>
    </w:p>
    <w:p w14:paraId="496F861E" w14:textId="3E8041DE" w:rsidR="00BE6B22" w:rsidRPr="008522C1" w:rsidRDefault="00DF2636" w:rsidP="00940A7E">
      <w:pPr>
        <w:rPr>
          <w:b/>
          <w:bCs/>
          <w:szCs w:val="24"/>
        </w:rPr>
      </w:pPr>
      <w:r>
        <w:rPr>
          <w:b/>
          <w:bCs/>
          <w:szCs w:val="24"/>
        </w:rPr>
        <w:t>I</w:t>
      </w:r>
      <w:r w:rsidR="00665487" w:rsidRPr="008522C1">
        <w:rPr>
          <w:b/>
          <w:bCs/>
          <w:szCs w:val="24"/>
        </w:rPr>
        <w:t>dentify how the proposed technology achieves the intended patient outcomes</w:t>
      </w:r>
      <w:r w:rsidR="00BE6B22" w:rsidRPr="008522C1">
        <w:rPr>
          <w:b/>
          <w:bCs/>
          <w:szCs w:val="24"/>
        </w:rPr>
        <w:t>:</w:t>
      </w:r>
    </w:p>
    <w:p w14:paraId="079CB58E" w14:textId="01AFCD3F" w:rsidR="00BA3586" w:rsidRDefault="008E6C32" w:rsidP="00BC0C43">
      <w:pPr>
        <w:rPr>
          <w:szCs w:val="24"/>
        </w:rPr>
      </w:pPr>
      <w:r>
        <w:rPr>
          <w:szCs w:val="24"/>
        </w:rPr>
        <w:t>A</w:t>
      </w:r>
      <w:r w:rsidR="006C64F4">
        <w:rPr>
          <w:szCs w:val="24"/>
        </w:rPr>
        <w:t xml:space="preserve">β pathology testing and </w:t>
      </w:r>
      <w:proofErr w:type="spellStart"/>
      <w:r w:rsidR="006C64F4" w:rsidRPr="0031640F">
        <w:rPr>
          <w:szCs w:val="24"/>
        </w:rPr>
        <w:t>ApoE</w:t>
      </w:r>
      <w:proofErr w:type="spellEnd"/>
      <w:r w:rsidR="006C64F4" w:rsidRPr="0031640F">
        <w:rPr>
          <w:szCs w:val="24"/>
        </w:rPr>
        <w:t xml:space="preserve"> ε4 genotyp</w:t>
      </w:r>
      <w:r w:rsidR="006C64F4">
        <w:rPr>
          <w:szCs w:val="24"/>
        </w:rPr>
        <w:t>ing</w:t>
      </w:r>
      <w:r w:rsidR="00B80DF6">
        <w:rPr>
          <w:szCs w:val="24"/>
        </w:rPr>
        <w:t xml:space="preserve"> play an indirect </w:t>
      </w:r>
      <w:r w:rsidR="0097268A">
        <w:rPr>
          <w:szCs w:val="24"/>
        </w:rPr>
        <w:t>role in improving health outcomes</w:t>
      </w:r>
      <w:r w:rsidR="006C64F4">
        <w:rPr>
          <w:szCs w:val="24"/>
        </w:rPr>
        <w:t xml:space="preserve"> by</w:t>
      </w:r>
      <w:r w:rsidR="003F250E">
        <w:rPr>
          <w:szCs w:val="24"/>
        </w:rPr>
        <w:t xml:space="preserve"> identifying people for whom treatment with </w:t>
      </w:r>
      <w:proofErr w:type="spellStart"/>
      <w:r w:rsidR="003F250E">
        <w:rPr>
          <w:szCs w:val="24"/>
        </w:rPr>
        <w:t>lecanemab</w:t>
      </w:r>
      <w:proofErr w:type="spellEnd"/>
      <w:r w:rsidR="003F250E">
        <w:rPr>
          <w:szCs w:val="24"/>
        </w:rPr>
        <w:t xml:space="preserve"> is indicated</w:t>
      </w:r>
      <w:r w:rsidR="0097268A">
        <w:rPr>
          <w:szCs w:val="24"/>
        </w:rPr>
        <w:t>.</w:t>
      </w:r>
    </w:p>
    <w:p w14:paraId="3FD5DF66" w14:textId="77777777" w:rsidR="0002380D" w:rsidRDefault="00F03596" w:rsidP="00940A7E">
      <w:pPr>
        <w:rPr>
          <w:szCs w:val="24"/>
        </w:rPr>
      </w:pPr>
      <w:proofErr w:type="spellStart"/>
      <w:r w:rsidRPr="00E80BE3">
        <w:rPr>
          <w:szCs w:val="24"/>
        </w:rPr>
        <w:t>Lecanemab</w:t>
      </w:r>
      <w:proofErr w:type="spellEnd"/>
      <w:r w:rsidRPr="00E80BE3">
        <w:rPr>
          <w:szCs w:val="24"/>
        </w:rPr>
        <w:t xml:space="preserve"> is a monoclonal antibody which targets amyloid protofibrils and plaques</w:t>
      </w:r>
      <w:r>
        <w:rPr>
          <w:szCs w:val="24"/>
        </w:rPr>
        <w:t xml:space="preserve">. </w:t>
      </w:r>
      <w:r w:rsidRPr="00E80BE3">
        <w:rPr>
          <w:szCs w:val="24"/>
        </w:rPr>
        <w:t>Accumulation of amyloid plaques in the brain is a pathophysiological feature of Alzheimer’s disease</w:t>
      </w:r>
      <w:r w:rsidR="00A93911">
        <w:rPr>
          <w:szCs w:val="24"/>
        </w:rPr>
        <w:t>.</w:t>
      </w:r>
    </w:p>
    <w:p w14:paraId="4BF43C02" w14:textId="0AE82A51" w:rsidR="00F03596" w:rsidRDefault="008F3E5D" w:rsidP="00940A7E">
      <w:pPr>
        <w:rPr>
          <w:szCs w:val="24"/>
        </w:rPr>
      </w:pPr>
      <w:r>
        <w:rPr>
          <w:szCs w:val="24"/>
        </w:rPr>
        <w:t xml:space="preserve">By </w:t>
      </w:r>
      <w:r w:rsidR="00C14CCA">
        <w:rPr>
          <w:szCs w:val="24"/>
        </w:rPr>
        <w:t xml:space="preserve">clearing amyloid </w:t>
      </w:r>
      <w:r w:rsidR="00686A90">
        <w:rPr>
          <w:szCs w:val="24"/>
        </w:rPr>
        <w:t>plaques</w:t>
      </w:r>
      <w:r w:rsidR="00BA0F6F">
        <w:rPr>
          <w:szCs w:val="24"/>
        </w:rPr>
        <w:t xml:space="preserve"> in the brain and slowing the formation of new amyloid deposits </w:t>
      </w:r>
      <w:proofErr w:type="spellStart"/>
      <w:r w:rsidR="00BA0F6F">
        <w:rPr>
          <w:szCs w:val="24"/>
        </w:rPr>
        <w:t>lecanemab</w:t>
      </w:r>
      <w:proofErr w:type="spellEnd"/>
      <w:r w:rsidR="00BA0F6F">
        <w:rPr>
          <w:szCs w:val="24"/>
        </w:rPr>
        <w:t xml:space="preserve"> </w:t>
      </w:r>
      <w:r w:rsidR="00302450">
        <w:rPr>
          <w:szCs w:val="24"/>
        </w:rPr>
        <w:t>may slow the rate of symptom progression for p</w:t>
      </w:r>
      <w:r w:rsidR="00BE7B9F">
        <w:rPr>
          <w:szCs w:val="24"/>
        </w:rPr>
        <w:t>eople with mild cognitive impairment and mild dementia due to Alzheimer’s disease with evidence of Aβ pathology</w:t>
      </w:r>
      <w:r w:rsidR="0002380D">
        <w:rPr>
          <w:szCs w:val="24"/>
        </w:rPr>
        <w:t>.</w:t>
      </w:r>
    </w:p>
    <w:p w14:paraId="0F9D3230" w14:textId="73AEF363" w:rsidR="00BE6B22" w:rsidRPr="008522C1" w:rsidRDefault="00665487" w:rsidP="00940A7E">
      <w:pPr>
        <w:rPr>
          <w:b/>
          <w:bCs/>
          <w:szCs w:val="24"/>
        </w:rPr>
      </w:pPr>
      <w:r w:rsidRPr="008522C1">
        <w:rPr>
          <w:b/>
          <w:bCs/>
          <w:szCs w:val="24"/>
        </w:rPr>
        <w:t>Does the proposed health technology include a registered trademark component with characteristics that distinguishes it from other similar health components</w:t>
      </w:r>
      <w:r w:rsidR="00BE6B22" w:rsidRPr="008522C1">
        <w:rPr>
          <w:b/>
          <w:bCs/>
          <w:szCs w:val="24"/>
        </w:rPr>
        <w:t>?</w:t>
      </w:r>
    </w:p>
    <w:p w14:paraId="65838104" w14:textId="77777777" w:rsidR="00C00F72" w:rsidRDefault="009016D3" w:rsidP="00BC0C43">
      <w:pPr>
        <w:rPr>
          <w:szCs w:val="24"/>
        </w:rPr>
      </w:pPr>
      <w:r w:rsidRPr="00584700">
        <w:rPr>
          <w:b/>
          <w:bCs/>
          <w:szCs w:val="24"/>
        </w:rPr>
        <w:t>Bio</w:t>
      </w:r>
      <w:r w:rsidR="00584700" w:rsidRPr="00584700">
        <w:rPr>
          <w:b/>
          <w:bCs/>
          <w:szCs w:val="24"/>
        </w:rPr>
        <w:t>marker testing:</w:t>
      </w:r>
      <w:r w:rsidR="00584700" w:rsidRPr="00584700">
        <w:rPr>
          <w:szCs w:val="24"/>
        </w:rPr>
        <w:t xml:space="preserve"> </w:t>
      </w:r>
      <w:r w:rsidR="00BE6B22" w:rsidRPr="00584700">
        <w:rPr>
          <w:szCs w:val="24"/>
        </w:rPr>
        <w:t>No</w:t>
      </w:r>
    </w:p>
    <w:p w14:paraId="6F3B5B06" w14:textId="4781A777" w:rsidR="00BE6B22" w:rsidRPr="00584700" w:rsidRDefault="00A46CE2" w:rsidP="00BC0C43">
      <w:pPr>
        <w:rPr>
          <w:szCs w:val="24"/>
        </w:rPr>
      </w:pPr>
      <w:r>
        <w:rPr>
          <w:szCs w:val="24"/>
        </w:rPr>
        <w:t xml:space="preserve">The application is not requesting that Aβ pathology testing or </w:t>
      </w:r>
      <w:proofErr w:type="spellStart"/>
      <w:r w:rsidR="00232CB4" w:rsidRPr="0031640F">
        <w:rPr>
          <w:szCs w:val="24"/>
        </w:rPr>
        <w:t>ApoE</w:t>
      </w:r>
      <w:proofErr w:type="spellEnd"/>
      <w:r w:rsidR="00232CB4" w:rsidRPr="0031640F">
        <w:rPr>
          <w:szCs w:val="24"/>
        </w:rPr>
        <w:t xml:space="preserve"> ε4 genotype testing</w:t>
      </w:r>
      <w:r w:rsidR="00232CB4">
        <w:rPr>
          <w:szCs w:val="24"/>
        </w:rPr>
        <w:t xml:space="preserve"> be </w:t>
      </w:r>
      <w:r w:rsidR="00301385">
        <w:rPr>
          <w:szCs w:val="24"/>
        </w:rPr>
        <w:t xml:space="preserve">performed </w:t>
      </w:r>
      <w:r w:rsidR="00144D92">
        <w:rPr>
          <w:szCs w:val="24"/>
        </w:rPr>
        <w:t>using a PET tracer o</w:t>
      </w:r>
      <w:r w:rsidR="00FB496D">
        <w:rPr>
          <w:szCs w:val="24"/>
        </w:rPr>
        <w:t>r</w:t>
      </w:r>
      <w:r w:rsidR="00144D92">
        <w:rPr>
          <w:szCs w:val="24"/>
        </w:rPr>
        <w:t xml:space="preserve"> biomarker assay </w:t>
      </w:r>
      <w:r w:rsidR="00EF6A56">
        <w:rPr>
          <w:szCs w:val="24"/>
        </w:rPr>
        <w:t xml:space="preserve">with </w:t>
      </w:r>
      <w:r w:rsidR="00301385">
        <w:rPr>
          <w:szCs w:val="24"/>
        </w:rPr>
        <w:t>a specific trademark.</w:t>
      </w:r>
    </w:p>
    <w:p w14:paraId="7FB7F30D" w14:textId="77777777" w:rsidR="00C00F72" w:rsidRDefault="00584700" w:rsidP="00BC0C43">
      <w:pPr>
        <w:rPr>
          <w:szCs w:val="24"/>
        </w:rPr>
      </w:pPr>
      <w:proofErr w:type="spellStart"/>
      <w:r w:rsidRPr="00A46CE2">
        <w:rPr>
          <w:b/>
          <w:bCs/>
          <w:szCs w:val="24"/>
        </w:rPr>
        <w:t>Lecanemab</w:t>
      </w:r>
      <w:proofErr w:type="spellEnd"/>
      <w:r w:rsidRPr="00A46CE2">
        <w:rPr>
          <w:b/>
          <w:bCs/>
          <w:szCs w:val="24"/>
        </w:rPr>
        <w:t xml:space="preserve"> treatment:</w:t>
      </w:r>
      <w:r w:rsidRPr="00584700">
        <w:rPr>
          <w:szCs w:val="24"/>
        </w:rPr>
        <w:t xml:space="preserve"> Yes</w:t>
      </w:r>
    </w:p>
    <w:p w14:paraId="692D22F6" w14:textId="3BD89AD0" w:rsidR="00584700" w:rsidRPr="00172602" w:rsidRDefault="00A26D9E" w:rsidP="00BC0C43">
      <w:pPr>
        <w:rPr>
          <w:szCs w:val="24"/>
        </w:rPr>
      </w:pPr>
      <w:proofErr w:type="spellStart"/>
      <w:r>
        <w:rPr>
          <w:szCs w:val="24"/>
        </w:rPr>
        <w:t>Lecanemab</w:t>
      </w:r>
      <w:proofErr w:type="spellEnd"/>
      <w:r>
        <w:rPr>
          <w:szCs w:val="24"/>
        </w:rPr>
        <w:t xml:space="preserve"> is </w:t>
      </w:r>
      <w:r w:rsidR="00E63352">
        <w:rPr>
          <w:szCs w:val="24"/>
        </w:rPr>
        <w:t xml:space="preserve">also referred to as </w:t>
      </w:r>
      <w:r w:rsidR="00C7249D">
        <w:rPr>
          <w:szCs w:val="24"/>
        </w:rPr>
        <w:t xml:space="preserve">the brand name </w:t>
      </w:r>
      <w:proofErr w:type="spellStart"/>
      <w:r w:rsidR="00E63352">
        <w:rPr>
          <w:szCs w:val="24"/>
        </w:rPr>
        <w:t>Leqembi</w:t>
      </w:r>
      <w:proofErr w:type="spellEnd"/>
      <w:r w:rsidR="00E63352">
        <w:rPr>
          <w:szCs w:val="24"/>
        </w:rPr>
        <w:t>®</w:t>
      </w:r>
      <w:r w:rsidR="00AC7BD1">
        <w:rPr>
          <w:szCs w:val="24"/>
        </w:rPr>
        <w:t>, a registered trademark</w:t>
      </w:r>
      <w:r w:rsidR="008C16CC">
        <w:rPr>
          <w:szCs w:val="24"/>
        </w:rPr>
        <w:t xml:space="preserve"> owned by Eisai R&amp;D Management Co., Ltd</w:t>
      </w:r>
      <w:r w:rsidR="00C7249D">
        <w:rPr>
          <w:szCs w:val="24"/>
        </w:rPr>
        <w:t>.</w:t>
      </w:r>
      <w:r w:rsidR="008C16CC">
        <w:rPr>
          <w:szCs w:val="24"/>
        </w:rPr>
        <w:t xml:space="preserve"> </w:t>
      </w:r>
    </w:p>
    <w:p w14:paraId="6FE677F6" w14:textId="53A28694" w:rsidR="00B759D1" w:rsidRPr="008522C1" w:rsidRDefault="00665487" w:rsidP="008522C1">
      <w:pPr>
        <w:rPr>
          <w:b/>
          <w:bCs/>
          <w:szCs w:val="24"/>
        </w:rPr>
      </w:pPr>
      <w:r w:rsidRPr="008522C1">
        <w:rPr>
          <w:b/>
          <w:bCs/>
          <w:szCs w:val="24"/>
        </w:rPr>
        <w:t>Explain whether it is essential to have this trademark component or whether there would be other components that would be suitable</w:t>
      </w:r>
      <w:r w:rsidR="00B759D1" w:rsidRPr="008522C1">
        <w:rPr>
          <w:b/>
          <w:bCs/>
          <w:szCs w:val="24"/>
        </w:rPr>
        <w:t>:</w:t>
      </w:r>
    </w:p>
    <w:p w14:paraId="31FEEF63" w14:textId="77777777" w:rsidR="00C00F72" w:rsidRDefault="0045638E" w:rsidP="008522C1">
      <w:pPr>
        <w:rPr>
          <w:b/>
          <w:bCs/>
          <w:szCs w:val="24"/>
        </w:rPr>
      </w:pPr>
      <w:proofErr w:type="spellStart"/>
      <w:r w:rsidRPr="0045638E">
        <w:rPr>
          <w:b/>
          <w:bCs/>
          <w:szCs w:val="24"/>
        </w:rPr>
        <w:t>Lecanemab</w:t>
      </w:r>
      <w:proofErr w:type="spellEnd"/>
      <w:r w:rsidRPr="0045638E">
        <w:rPr>
          <w:b/>
          <w:bCs/>
          <w:szCs w:val="24"/>
        </w:rPr>
        <w:t xml:space="preserve"> treatment</w:t>
      </w:r>
    </w:p>
    <w:p w14:paraId="4A4E2B0D" w14:textId="54025D4A" w:rsidR="00A24A9F" w:rsidRDefault="003409B2" w:rsidP="008522C1">
      <w:pPr>
        <w:rPr>
          <w:szCs w:val="24"/>
        </w:rPr>
      </w:pPr>
      <w:r w:rsidRPr="003409B2">
        <w:rPr>
          <w:szCs w:val="24"/>
        </w:rPr>
        <w:t>Donanemab is a</w:t>
      </w:r>
      <w:r w:rsidR="0061513F" w:rsidRPr="003409B2">
        <w:rPr>
          <w:szCs w:val="24"/>
        </w:rPr>
        <w:t>n alternate ant</w:t>
      </w:r>
      <w:r w:rsidRPr="003409B2">
        <w:rPr>
          <w:szCs w:val="24"/>
        </w:rPr>
        <w:t>i-amyloid treatment that has been approved by the TGA.</w:t>
      </w:r>
      <w:r>
        <w:rPr>
          <w:szCs w:val="24"/>
        </w:rPr>
        <w:t xml:space="preserve"> The</w:t>
      </w:r>
      <w:r w:rsidR="00DD205C">
        <w:rPr>
          <w:szCs w:val="24"/>
        </w:rPr>
        <w:t>re</w:t>
      </w:r>
      <w:r>
        <w:rPr>
          <w:szCs w:val="24"/>
        </w:rPr>
        <w:t xml:space="preserve"> is </w:t>
      </w:r>
      <w:r w:rsidR="002807A3">
        <w:rPr>
          <w:szCs w:val="24"/>
        </w:rPr>
        <w:t xml:space="preserve">consistency between the therapeutic indications of </w:t>
      </w:r>
      <w:proofErr w:type="spellStart"/>
      <w:r w:rsidR="002807A3">
        <w:rPr>
          <w:szCs w:val="24"/>
        </w:rPr>
        <w:t>lecanemab</w:t>
      </w:r>
      <w:proofErr w:type="spellEnd"/>
      <w:r w:rsidR="002807A3">
        <w:rPr>
          <w:szCs w:val="24"/>
        </w:rPr>
        <w:t xml:space="preserve"> and don</w:t>
      </w:r>
      <w:r w:rsidR="0017451B">
        <w:rPr>
          <w:szCs w:val="24"/>
        </w:rPr>
        <w:t>anemab approved by the TGA.</w:t>
      </w:r>
      <w:r w:rsidR="000A45A4">
        <w:rPr>
          <w:szCs w:val="24"/>
        </w:rPr>
        <w:t xml:space="preserve"> Thus, donanemab may also be suitable for the treatment of people with mild cognitive impairment and mild dementia due to Alzheimer’s disease with evidence of Aβ pathology that are </w:t>
      </w:r>
      <w:proofErr w:type="spellStart"/>
      <w:r w:rsidR="000A45A4">
        <w:rPr>
          <w:szCs w:val="24"/>
        </w:rPr>
        <w:t>ApoE</w:t>
      </w:r>
      <w:proofErr w:type="spellEnd"/>
      <w:r w:rsidR="000A45A4">
        <w:rPr>
          <w:szCs w:val="24"/>
        </w:rPr>
        <w:t xml:space="preserve"> ε4 non-carriers or heterozygous.</w:t>
      </w:r>
    </w:p>
    <w:p w14:paraId="0466E0A5" w14:textId="466F5AF5" w:rsidR="00470352" w:rsidRDefault="00A24A9F" w:rsidP="008522C1">
      <w:pPr>
        <w:rPr>
          <w:szCs w:val="24"/>
        </w:rPr>
      </w:pPr>
      <w:proofErr w:type="spellStart"/>
      <w:r>
        <w:rPr>
          <w:szCs w:val="24"/>
        </w:rPr>
        <w:t>Lecanemab</w:t>
      </w:r>
      <w:proofErr w:type="spellEnd"/>
      <w:r>
        <w:rPr>
          <w:szCs w:val="24"/>
        </w:rPr>
        <w:t xml:space="preserve"> and donanemab have </w:t>
      </w:r>
      <w:r w:rsidR="00426A80">
        <w:rPr>
          <w:szCs w:val="24"/>
        </w:rPr>
        <w:t>distinct structural properties</w:t>
      </w:r>
      <w:r w:rsidR="00621847">
        <w:rPr>
          <w:szCs w:val="24"/>
        </w:rPr>
        <w:t xml:space="preserve">. Further, </w:t>
      </w:r>
      <w:r w:rsidR="00975487">
        <w:rPr>
          <w:szCs w:val="24"/>
        </w:rPr>
        <w:t xml:space="preserve">these </w:t>
      </w:r>
      <w:r w:rsidR="00621847">
        <w:rPr>
          <w:szCs w:val="24"/>
        </w:rPr>
        <w:t>medication</w:t>
      </w:r>
      <w:r w:rsidR="00975487">
        <w:rPr>
          <w:szCs w:val="24"/>
        </w:rPr>
        <w:t xml:space="preserve">s have different </w:t>
      </w:r>
      <w:r w:rsidR="007619B6">
        <w:rPr>
          <w:szCs w:val="24"/>
        </w:rPr>
        <w:t>dos</w:t>
      </w:r>
      <w:r w:rsidR="004570D6">
        <w:rPr>
          <w:szCs w:val="24"/>
        </w:rPr>
        <w:t>ing and treatment frequenc</w:t>
      </w:r>
      <w:r w:rsidR="00975487">
        <w:rPr>
          <w:szCs w:val="24"/>
        </w:rPr>
        <w:t>ies</w:t>
      </w:r>
      <w:r w:rsidR="004570D6">
        <w:rPr>
          <w:szCs w:val="24"/>
        </w:rPr>
        <w:t xml:space="preserve">. As such, donanemab </w:t>
      </w:r>
      <w:r w:rsidR="00621847">
        <w:rPr>
          <w:szCs w:val="24"/>
        </w:rPr>
        <w:t xml:space="preserve">and </w:t>
      </w:r>
      <w:proofErr w:type="spellStart"/>
      <w:r w:rsidR="00621847">
        <w:rPr>
          <w:szCs w:val="24"/>
        </w:rPr>
        <w:t>lecanemab</w:t>
      </w:r>
      <w:proofErr w:type="spellEnd"/>
      <w:r w:rsidR="00621847">
        <w:rPr>
          <w:szCs w:val="24"/>
        </w:rPr>
        <w:t xml:space="preserve"> are not directly interchangeable.</w:t>
      </w:r>
      <w:r w:rsidR="00350A45">
        <w:rPr>
          <w:szCs w:val="24"/>
        </w:rPr>
        <w:t xml:space="preserve"> </w:t>
      </w:r>
    </w:p>
    <w:p w14:paraId="46AD8179" w14:textId="74EE7642" w:rsidR="00665487" w:rsidRPr="008522C1" w:rsidRDefault="00EA7B42" w:rsidP="008522C1">
      <w:pPr>
        <w:rPr>
          <w:b/>
          <w:bCs/>
          <w:szCs w:val="24"/>
        </w:rPr>
      </w:pPr>
      <w:r w:rsidRPr="008522C1">
        <w:rPr>
          <w:b/>
          <w:bCs/>
          <w:szCs w:val="24"/>
        </w:rPr>
        <w:t>Are there any proposed limitations on the provision of the proposed health technology delivered to the patient (For example: accessibility, dosage, quantity, duration or frequency):</w:t>
      </w:r>
    </w:p>
    <w:p w14:paraId="669B5F75" w14:textId="52828A53" w:rsidR="00665487" w:rsidRPr="008C442B" w:rsidRDefault="00725616" w:rsidP="00BC0C43">
      <w:pPr>
        <w:rPr>
          <w:szCs w:val="24"/>
        </w:rPr>
      </w:pPr>
      <w:r w:rsidRPr="008C442B">
        <w:rPr>
          <w:b/>
          <w:bCs/>
          <w:szCs w:val="24"/>
        </w:rPr>
        <w:t>Bioma</w:t>
      </w:r>
      <w:r w:rsidR="009723A6" w:rsidRPr="008C442B">
        <w:rPr>
          <w:b/>
          <w:bCs/>
          <w:szCs w:val="24"/>
        </w:rPr>
        <w:t>rker testing:</w:t>
      </w:r>
      <w:r w:rsidR="009723A6" w:rsidRPr="008C442B">
        <w:rPr>
          <w:szCs w:val="24"/>
        </w:rPr>
        <w:t xml:space="preserve"> </w:t>
      </w:r>
      <w:r w:rsidR="00665487" w:rsidRPr="008C442B">
        <w:rPr>
          <w:szCs w:val="24"/>
        </w:rPr>
        <w:t>Yes</w:t>
      </w:r>
    </w:p>
    <w:p w14:paraId="2898DFDC" w14:textId="1EA1F258" w:rsidR="009723A6" w:rsidRPr="00172602" w:rsidRDefault="009723A6" w:rsidP="00BC0C43">
      <w:pPr>
        <w:rPr>
          <w:szCs w:val="24"/>
        </w:rPr>
      </w:pPr>
      <w:proofErr w:type="spellStart"/>
      <w:r w:rsidRPr="008C442B">
        <w:rPr>
          <w:b/>
          <w:bCs/>
          <w:szCs w:val="24"/>
        </w:rPr>
        <w:t>Lecanemab</w:t>
      </w:r>
      <w:proofErr w:type="spellEnd"/>
      <w:r w:rsidRPr="008C442B">
        <w:rPr>
          <w:b/>
          <w:bCs/>
          <w:szCs w:val="24"/>
        </w:rPr>
        <w:t xml:space="preserve"> treatment:</w:t>
      </w:r>
      <w:r w:rsidRPr="008C442B">
        <w:rPr>
          <w:szCs w:val="24"/>
        </w:rPr>
        <w:t xml:space="preserve"> Yes</w:t>
      </w:r>
    </w:p>
    <w:p w14:paraId="207973FE" w14:textId="0108C50B" w:rsidR="00665487" w:rsidRPr="008522C1" w:rsidRDefault="00EA7B42" w:rsidP="008522C1">
      <w:pPr>
        <w:rPr>
          <w:b/>
          <w:bCs/>
          <w:szCs w:val="24"/>
        </w:rPr>
      </w:pPr>
      <w:r w:rsidRPr="008522C1">
        <w:rPr>
          <w:b/>
          <w:bCs/>
          <w:szCs w:val="24"/>
        </w:rPr>
        <w:lastRenderedPageBreak/>
        <w:t>Provide details and explain</w:t>
      </w:r>
      <w:r w:rsidR="00665487" w:rsidRPr="008522C1">
        <w:rPr>
          <w:b/>
          <w:bCs/>
          <w:szCs w:val="24"/>
        </w:rPr>
        <w:t>:</w:t>
      </w:r>
    </w:p>
    <w:p w14:paraId="7EDC963E" w14:textId="4B30CEAA" w:rsidR="00665487" w:rsidRPr="00172602" w:rsidRDefault="00051843" w:rsidP="00BC0C43">
      <w:pPr>
        <w:rPr>
          <w:rFonts w:eastAsia="Segoe UI"/>
          <w:color w:val="000000"/>
          <w:szCs w:val="24"/>
        </w:rPr>
      </w:pPr>
      <w:r w:rsidRPr="00172602">
        <w:rPr>
          <w:szCs w:val="24"/>
        </w:rPr>
        <w:fldChar w:fldCharType="begin">
          <w:ffData>
            <w:name w:val=""/>
            <w:enabled/>
            <w:calcOnExit w:val="0"/>
            <w:textInput>
              <w:default w:val="Provide a response if you answered 'No' to the question above"/>
            </w:textInput>
          </w:ffData>
        </w:fldChar>
      </w:r>
      <w:r w:rsidRPr="00172602">
        <w:rPr>
          <w:szCs w:val="24"/>
        </w:rPr>
        <w:instrText xml:space="preserve"> FORMTEXT </w:instrText>
      </w:r>
      <w:r w:rsidRPr="00172602">
        <w:rPr>
          <w:szCs w:val="24"/>
        </w:rPr>
      </w:r>
      <w:r w:rsidRPr="00172602">
        <w:rPr>
          <w:szCs w:val="24"/>
        </w:rPr>
        <w:fldChar w:fldCharType="separate"/>
      </w:r>
      <w:r w:rsidR="001C5350">
        <w:rPr>
          <w:noProof/>
          <w:szCs w:val="24"/>
        </w:rPr>
        <w:t>Provide a response if you answered 'No' to the question above</w:t>
      </w:r>
      <w:r w:rsidRPr="00172602">
        <w:rPr>
          <w:szCs w:val="24"/>
        </w:rPr>
        <w:fldChar w:fldCharType="end"/>
      </w:r>
    </w:p>
    <w:p w14:paraId="2F90F356" w14:textId="56BF0008" w:rsidR="006227EF" w:rsidRPr="008522C1" w:rsidRDefault="006227EF" w:rsidP="008522C1">
      <w:pPr>
        <w:rPr>
          <w:b/>
          <w:bCs/>
          <w:szCs w:val="24"/>
        </w:rPr>
      </w:pPr>
      <w:r w:rsidRPr="008522C1">
        <w:rPr>
          <w:b/>
          <w:bCs/>
          <w:szCs w:val="24"/>
        </w:rPr>
        <w:t>If applicable, advise which health professionals will be needed to provide the proposed health technology:</w:t>
      </w:r>
    </w:p>
    <w:p w14:paraId="6BC4ECCB" w14:textId="4AC62695" w:rsidR="006227EF" w:rsidRDefault="005329BF" w:rsidP="00BC0C43">
      <w:pPr>
        <w:rPr>
          <w:b/>
          <w:bCs/>
          <w:szCs w:val="24"/>
        </w:rPr>
      </w:pPr>
      <w:r w:rsidRPr="005329BF">
        <w:rPr>
          <w:b/>
          <w:bCs/>
          <w:szCs w:val="24"/>
        </w:rPr>
        <w:t>Biomarker testing</w:t>
      </w:r>
    </w:p>
    <w:p w14:paraId="097CE871" w14:textId="54EB5594" w:rsidR="0098372A" w:rsidRDefault="000B1231" w:rsidP="00BC0C43">
      <w:pPr>
        <w:rPr>
          <w:szCs w:val="24"/>
        </w:rPr>
      </w:pPr>
      <w:r w:rsidRPr="000B1231">
        <w:rPr>
          <w:szCs w:val="24"/>
        </w:rPr>
        <w:t>Amyloid PET</w:t>
      </w:r>
      <w:r>
        <w:rPr>
          <w:szCs w:val="24"/>
        </w:rPr>
        <w:t xml:space="preserve"> would be performed under the supervision of </w:t>
      </w:r>
      <w:r w:rsidR="00C20E3D">
        <w:rPr>
          <w:szCs w:val="24"/>
        </w:rPr>
        <w:t>a</w:t>
      </w:r>
      <w:r w:rsidR="004B796E">
        <w:rPr>
          <w:szCs w:val="24"/>
        </w:rPr>
        <w:t xml:space="preserve"> specialist </w:t>
      </w:r>
      <w:r w:rsidR="00737065">
        <w:rPr>
          <w:szCs w:val="24"/>
        </w:rPr>
        <w:t>with training in nuclear medicine.</w:t>
      </w:r>
    </w:p>
    <w:p w14:paraId="255FFC97" w14:textId="5DC2C604" w:rsidR="00FC3FDE" w:rsidRDefault="007A38E5" w:rsidP="007A38E5">
      <w:pPr>
        <w:rPr>
          <w:szCs w:val="24"/>
        </w:rPr>
      </w:pPr>
      <w:r w:rsidRPr="007A38E5">
        <w:rPr>
          <w:rFonts w:eastAsia="Segoe UI"/>
          <w:color w:val="000000"/>
          <w:szCs w:val="24"/>
        </w:rPr>
        <w:t>A</w:t>
      </w:r>
      <w:r w:rsidR="00FC3FDE" w:rsidRPr="007A38E5">
        <w:rPr>
          <w:rFonts w:eastAsia="Segoe UI"/>
          <w:color w:val="000000"/>
          <w:szCs w:val="24"/>
        </w:rPr>
        <w:t xml:space="preserve">ssessment of </w:t>
      </w:r>
      <w:r w:rsidR="00FC3FDE" w:rsidRPr="007A38E5">
        <w:rPr>
          <w:szCs w:val="24"/>
        </w:rPr>
        <w:t>t-tau/A</w:t>
      </w:r>
      <w:proofErr w:type="gramStart"/>
      <w:r w:rsidR="00FC3FDE" w:rsidRPr="007A38E5">
        <w:rPr>
          <w:szCs w:val="24"/>
        </w:rPr>
        <w:t>β[</w:t>
      </w:r>
      <w:proofErr w:type="gramEnd"/>
      <w:r w:rsidR="00FC3FDE" w:rsidRPr="007A38E5">
        <w:rPr>
          <w:szCs w:val="24"/>
        </w:rPr>
        <w:t>1-42] in CSF</w:t>
      </w:r>
      <w:r>
        <w:rPr>
          <w:szCs w:val="24"/>
        </w:rPr>
        <w:t>,</w:t>
      </w:r>
      <w:r w:rsidRPr="007A38E5">
        <w:rPr>
          <w:szCs w:val="24"/>
        </w:rPr>
        <w:t xml:space="preserve"> </w:t>
      </w:r>
      <w:r w:rsidR="00FC3FDE" w:rsidRPr="007A38E5">
        <w:rPr>
          <w:rFonts w:eastAsia="Segoe UI"/>
          <w:color w:val="000000"/>
          <w:szCs w:val="24"/>
        </w:rPr>
        <w:t>pTau217 in plasma</w:t>
      </w:r>
      <w:r>
        <w:rPr>
          <w:rFonts w:eastAsia="Segoe UI"/>
          <w:color w:val="000000"/>
          <w:szCs w:val="24"/>
        </w:rPr>
        <w:t xml:space="preserve"> and </w:t>
      </w:r>
      <w:proofErr w:type="spellStart"/>
      <w:r w:rsidRPr="0031640F">
        <w:rPr>
          <w:szCs w:val="24"/>
        </w:rPr>
        <w:t>ApoE</w:t>
      </w:r>
      <w:proofErr w:type="spellEnd"/>
      <w:r w:rsidRPr="0031640F">
        <w:rPr>
          <w:szCs w:val="24"/>
        </w:rPr>
        <w:t xml:space="preserve"> ε4 genotype testing</w:t>
      </w:r>
      <w:r w:rsidR="00934371">
        <w:rPr>
          <w:szCs w:val="24"/>
        </w:rPr>
        <w:t xml:space="preserve"> would be performed under</w:t>
      </w:r>
      <w:r w:rsidR="00ED10C5">
        <w:rPr>
          <w:szCs w:val="24"/>
        </w:rPr>
        <w:t xml:space="preserve"> the supervision of a specialist with training in pathology. </w:t>
      </w:r>
      <w:r w:rsidR="00F37412">
        <w:rPr>
          <w:szCs w:val="24"/>
        </w:rPr>
        <w:t xml:space="preserve">The collection of blood samples for </w:t>
      </w:r>
      <w:r w:rsidR="00F37412" w:rsidRPr="007A38E5">
        <w:rPr>
          <w:rFonts w:eastAsia="Segoe UI"/>
          <w:color w:val="000000"/>
          <w:szCs w:val="24"/>
        </w:rPr>
        <w:t>pTau217 in plasma</w:t>
      </w:r>
      <w:r w:rsidR="00F37412">
        <w:rPr>
          <w:rFonts w:eastAsia="Segoe UI"/>
          <w:color w:val="000000"/>
          <w:szCs w:val="24"/>
        </w:rPr>
        <w:t xml:space="preserve"> and </w:t>
      </w:r>
      <w:proofErr w:type="spellStart"/>
      <w:r w:rsidR="00F37412" w:rsidRPr="0031640F">
        <w:rPr>
          <w:szCs w:val="24"/>
        </w:rPr>
        <w:t>ApoE</w:t>
      </w:r>
      <w:proofErr w:type="spellEnd"/>
      <w:r w:rsidR="00F37412" w:rsidRPr="0031640F">
        <w:rPr>
          <w:szCs w:val="24"/>
        </w:rPr>
        <w:t xml:space="preserve"> ε4 genotype testing</w:t>
      </w:r>
      <w:r w:rsidR="00A30F09">
        <w:rPr>
          <w:szCs w:val="24"/>
        </w:rPr>
        <w:t xml:space="preserve"> can be performed by a medical practitioner or </w:t>
      </w:r>
      <w:r w:rsidR="000138FC">
        <w:rPr>
          <w:szCs w:val="24"/>
        </w:rPr>
        <w:t>other healthcare worker</w:t>
      </w:r>
      <w:r w:rsidR="0038197A">
        <w:rPr>
          <w:szCs w:val="24"/>
        </w:rPr>
        <w:t>s</w:t>
      </w:r>
      <w:r w:rsidR="000138FC">
        <w:rPr>
          <w:szCs w:val="24"/>
        </w:rPr>
        <w:t xml:space="preserve"> </w:t>
      </w:r>
      <w:r w:rsidR="00B1262E">
        <w:rPr>
          <w:szCs w:val="24"/>
        </w:rPr>
        <w:t>trained</w:t>
      </w:r>
      <w:r w:rsidR="003876BC">
        <w:rPr>
          <w:szCs w:val="24"/>
        </w:rPr>
        <w:t xml:space="preserve"> in </w:t>
      </w:r>
      <w:r w:rsidR="0038197A">
        <w:rPr>
          <w:szCs w:val="24"/>
        </w:rPr>
        <w:t xml:space="preserve">blood sample collection procedures. </w:t>
      </w:r>
      <w:r w:rsidR="003B52C4">
        <w:rPr>
          <w:szCs w:val="24"/>
        </w:rPr>
        <w:t xml:space="preserve">The collection of </w:t>
      </w:r>
      <w:r w:rsidR="007F5C97">
        <w:rPr>
          <w:szCs w:val="24"/>
        </w:rPr>
        <w:t>CSF</w:t>
      </w:r>
      <w:r w:rsidR="005206CC">
        <w:rPr>
          <w:szCs w:val="24"/>
        </w:rPr>
        <w:t xml:space="preserve"> samples for </w:t>
      </w:r>
      <w:r w:rsidR="005206CC" w:rsidRPr="007A38E5">
        <w:rPr>
          <w:szCs w:val="24"/>
        </w:rPr>
        <w:t>t-tau/A</w:t>
      </w:r>
      <w:proofErr w:type="gramStart"/>
      <w:r w:rsidR="005206CC" w:rsidRPr="007A38E5">
        <w:rPr>
          <w:szCs w:val="24"/>
        </w:rPr>
        <w:t>β[</w:t>
      </w:r>
      <w:proofErr w:type="gramEnd"/>
      <w:r w:rsidR="005206CC" w:rsidRPr="007A38E5">
        <w:rPr>
          <w:szCs w:val="24"/>
        </w:rPr>
        <w:t>1-42]</w:t>
      </w:r>
      <w:r w:rsidR="003B52C4">
        <w:rPr>
          <w:szCs w:val="24"/>
        </w:rPr>
        <w:t xml:space="preserve"> testing</w:t>
      </w:r>
      <w:r w:rsidR="000E0C06">
        <w:rPr>
          <w:szCs w:val="24"/>
        </w:rPr>
        <w:t xml:space="preserve"> through lumbar puncture can be performed by a medical practitioner or </w:t>
      </w:r>
      <w:r w:rsidR="00B1262E">
        <w:rPr>
          <w:szCs w:val="24"/>
        </w:rPr>
        <w:t>nurse</w:t>
      </w:r>
      <w:r w:rsidR="0087314B">
        <w:rPr>
          <w:szCs w:val="24"/>
        </w:rPr>
        <w:t>.</w:t>
      </w:r>
    </w:p>
    <w:p w14:paraId="682D90E1" w14:textId="52A21D14" w:rsidR="0087314B" w:rsidRDefault="0087314B" w:rsidP="007A38E5">
      <w:pPr>
        <w:rPr>
          <w:b/>
          <w:bCs/>
          <w:szCs w:val="24"/>
        </w:rPr>
      </w:pPr>
      <w:proofErr w:type="spellStart"/>
      <w:r w:rsidRPr="0087314B">
        <w:rPr>
          <w:b/>
          <w:bCs/>
          <w:szCs w:val="24"/>
        </w:rPr>
        <w:t>Lecanemab</w:t>
      </w:r>
      <w:proofErr w:type="spellEnd"/>
      <w:r w:rsidRPr="0087314B">
        <w:rPr>
          <w:b/>
          <w:bCs/>
          <w:szCs w:val="24"/>
        </w:rPr>
        <w:t xml:space="preserve"> treatment</w:t>
      </w:r>
    </w:p>
    <w:p w14:paraId="3EFCA6A3" w14:textId="59B7B024" w:rsidR="00DA3CAE" w:rsidRDefault="00D2287C" w:rsidP="007A38E5">
      <w:pPr>
        <w:rPr>
          <w:szCs w:val="24"/>
        </w:rPr>
      </w:pPr>
      <w:r w:rsidRPr="00412331">
        <w:rPr>
          <w:szCs w:val="24"/>
        </w:rPr>
        <w:t xml:space="preserve">It is </w:t>
      </w:r>
      <w:r w:rsidR="00B17539">
        <w:rPr>
          <w:szCs w:val="24"/>
        </w:rPr>
        <w:t>foreshadowed</w:t>
      </w:r>
      <w:r w:rsidR="00A06D41">
        <w:rPr>
          <w:szCs w:val="24"/>
        </w:rPr>
        <w:t xml:space="preserve"> </w:t>
      </w:r>
      <w:r w:rsidRPr="00412331">
        <w:rPr>
          <w:szCs w:val="24"/>
        </w:rPr>
        <w:t xml:space="preserve">that </w:t>
      </w:r>
      <w:proofErr w:type="spellStart"/>
      <w:r w:rsidRPr="00412331">
        <w:rPr>
          <w:szCs w:val="24"/>
        </w:rPr>
        <w:t>lecanemab</w:t>
      </w:r>
      <w:proofErr w:type="spellEnd"/>
      <w:r w:rsidRPr="00412331">
        <w:rPr>
          <w:szCs w:val="24"/>
        </w:rPr>
        <w:t xml:space="preserve"> would be</w:t>
      </w:r>
      <w:r w:rsidR="00136D2E" w:rsidRPr="00412331">
        <w:rPr>
          <w:szCs w:val="24"/>
        </w:rPr>
        <w:t xml:space="preserve"> subsidised through the PBS through the Section 100 Highly Specialised Drugs Program.</w:t>
      </w:r>
      <w:r w:rsidR="003D779C" w:rsidRPr="00412331">
        <w:rPr>
          <w:szCs w:val="24"/>
        </w:rPr>
        <w:t xml:space="preserve"> </w:t>
      </w:r>
      <w:r w:rsidR="00B17539">
        <w:rPr>
          <w:szCs w:val="24"/>
        </w:rPr>
        <w:t xml:space="preserve">It is also foreshadowed that there will be a </w:t>
      </w:r>
      <w:r w:rsidR="0075497F" w:rsidRPr="00412331">
        <w:rPr>
          <w:szCs w:val="24"/>
        </w:rPr>
        <w:t xml:space="preserve">criteria </w:t>
      </w:r>
      <w:r w:rsidR="00BF19D6">
        <w:rPr>
          <w:szCs w:val="24"/>
        </w:rPr>
        <w:t xml:space="preserve">specifying that </w:t>
      </w:r>
      <w:r w:rsidR="0075497F" w:rsidRPr="00412331">
        <w:rPr>
          <w:szCs w:val="24"/>
        </w:rPr>
        <w:t xml:space="preserve">a person must be treated by a neurologist, geriatrician or </w:t>
      </w:r>
      <w:r w:rsidR="003D6AC9" w:rsidRPr="00412331">
        <w:rPr>
          <w:szCs w:val="24"/>
        </w:rPr>
        <w:t>psychiatrist</w:t>
      </w:r>
      <w:r w:rsidR="00412331" w:rsidRPr="00412331">
        <w:rPr>
          <w:szCs w:val="24"/>
        </w:rPr>
        <w:t xml:space="preserve"> to be eligible for </w:t>
      </w:r>
      <w:proofErr w:type="spellStart"/>
      <w:r w:rsidR="00412331" w:rsidRPr="00412331">
        <w:rPr>
          <w:szCs w:val="24"/>
        </w:rPr>
        <w:t>lecanemab</w:t>
      </w:r>
      <w:proofErr w:type="spellEnd"/>
      <w:r w:rsidR="00412331" w:rsidRPr="00412331">
        <w:rPr>
          <w:szCs w:val="24"/>
        </w:rPr>
        <w:t xml:space="preserve"> </w:t>
      </w:r>
      <w:r w:rsidR="00DA3CAE">
        <w:rPr>
          <w:szCs w:val="24"/>
        </w:rPr>
        <w:t>funded through the PBS</w:t>
      </w:r>
      <w:r w:rsidR="00412331" w:rsidRPr="00412331">
        <w:rPr>
          <w:szCs w:val="24"/>
        </w:rPr>
        <w:t>.</w:t>
      </w:r>
      <w:r w:rsidR="00FF2BB4">
        <w:rPr>
          <w:szCs w:val="24"/>
        </w:rPr>
        <w:t xml:space="preserve"> These practitioners would be responsible for prescribing </w:t>
      </w:r>
      <w:proofErr w:type="spellStart"/>
      <w:r w:rsidR="00FF2BB4">
        <w:rPr>
          <w:szCs w:val="24"/>
        </w:rPr>
        <w:t>lecanemab</w:t>
      </w:r>
      <w:proofErr w:type="spellEnd"/>
      <w:r w:rsidR="00FF2BB4">
        <w:rPr>
          <w:szCs w:val="24"/>
        </w:rPr>
        <w:t xml:space="preserve"> and</w:t>
      </w:r>
      <w:r w:rsidR="00BB7E7A">
        <w:rPr>
          <w:szCs w:val="24"/>
        </w:rPr>
        <w:t xml:space="preserve"> </w:t>
      </w:r>
      <w:r w:rsidR="005D1C92">
        <w:rPr>
          <w:szCs w:val="24"/>
        </w:rPr>
        <w:t xml:space="preserve">making ongoing assessments of the </w:t>
      </w:r>
      <w:r w:rsidR="00BB7E7A">
        <w:rPr>
          <w:szCs w:val="24"/>
        </w:rPr>
        <w:t>benefit-risk of continued treatment</w:t>
      </w:r>
      <w:r w:rsidR="00B35DE6">
        <w:rPr>
          <w:szCs w:val="24"/>
        </w:rPr>
        <w:t>.</w:t>
      </w:r>
    </w:p>
    <w:p w14:paraId="255EE2D2" w14:textId="054CF754" w:rsidR="00450746" w:rsidRDefault="00450746" w:rsidP="00450746">
      <w:pPr>
        <w:rPr>
          <w:szCs w:val="24"/>
        </w:rPr>
      </w:pPr>
      <w:r>
        <w:rPr>
          <w:szCs w:val="24"/>
        </w:rPr>
        <w:t xml:space="preserve">The current presentations of </w:t>
      </w:r>
      <w:proofErr w:type="spellStart"/>
      <w:r>
        <w:rPr>
          <w:szCs w:val="24"/>
        </w:rPr>
        <w:t>l</w:t>
      </w:r>
      <w:r w:rsidRPr="002450B3">
        <w:rPr>
          <w:szCs w:val="24"/>
        </w:rPr>
        <w:t>ecanemab</w:t>
      </w:r>
      <w:proofErr w:type="spellEnd"/>
      <w:r w:rsidRPr="002450B3">
        <w:rPr>
          <w:szCs w:val="24"/>
        </w:rPr>
        <w:t xml:space="preserve"> </w:t>
      </w:r>
      <w:r>
        <w:rPr>
          <w:szCs w:val="24"/>
        </w:rPr>
        <w:t xml:space="preserve">(500 mg/5 mL and 200 mg/2 mL vials) are </w:t>
      </w:r>
      <w:r w:rsidRPr="002450B3">
        <w:rPr>
          <w:szCs w:val="24"/>
        </w:rPr>
        <w:t xml:space="preserve">administered by intravenous infusion. This is expected to </w:t>
      </w:r>
      <w:r>
        <w:rPr>
          <w:szCs w:val="24"/>
        </w:rPr>
        <w:t>be performed by a nurse working under the supervision of medical practitioners in a hospital or infusion clinic</w:t>
      </w:r>
      <w:r w:rsidR="00806A3A">
        <w:rPr>
          <w:szCs w:val="24"/>
        </w:rPr>
        <w:t>.</w:t>
      </w:r>
    </w:p>
    <w:p w14:paraId="7C2AE974" w14:textId="08E9A310" w:rsidR="0087314B" w:rsidRPr="00412331" w:rsidRDefault="00492DDB" w:rsidP="007A38E5">
      <w:pPr>
        <w:rPr>
          <w:szCs w:val="24"/>
        </w:rPr>
      </w:pPr>
      <w:r>
        <w:rPr>
          <w:szCs w:val="24"/>
        </w:rPr>
        <w:t xml:space="preserve">The </w:t>
      </w:r>
      <w:r w:rsidR="00DA3CAE">
        <w:rPr>
          <w:szCs w:val="24"/>
        </w:rPr>
        <w:t xml:space="preserve">MRI </w:t>
      </w:r>
      <w:r w:rsidR="00210EEF">
        <w:rPr>
          <w:szCs w:val="24"/>
        </w:rPr>
        <w:t xml:space="preserve">scanning </w:t>
      </w:r>
      <w:r>
        <w:rPr>
          <w:szCs w:val="24"/>
        </w:rPr>
        <w:t xml:space="preserve">of the brain indicated prior to initiating treatment with </w:t>
      </w:r>
      <w:proofErr w:type="spellStart"/>
      <w:r>
        <w:rPr>
          <w:szCs w:val="24"/>
        </w:rPr>
        <w:t>lecanemab</w:t>
      </w:r>
      <w:proofErr w:type="spellEnd"/>
      <w:r>
        <w:rPr>
          <w:szCs w:val="24"/>
        </w:rPr>
        <w:t xml:space="preserve"> and for the monitoring or ARIA </w:t>
      </w:r>
      <w:r w:rsidR="00AC6C0A">
        <w:rPr>
          <w:szCs w:val="24"/>
        </w:rPr>
        <w:t xml:space="preserve">early </w:t>
      </w:r>
      <w:proofErr w:type="gramStart"/>
      <w:r w:rsidR="00AC6C0A">
        <w:rPr>
          <w:szCs w:val="24"/>
        </w:rPr>
        <w:t>in the course of</w:t>
      </w:r>
      <w:proofErr w:type="gramEnd"/>
      <w:r w:rsidR="00AC6C0A">
        <w:rPr>
          <w:szCs w:val="24"/>
        </w:rPr>
        <w:t xml:space="preserve"> treatment would be performed un</w:t>
      </w:r>
      <w:r w:rsidR="001112B3">
        <w:rPr>
          <w:szCs w:val="24"/>
        </w:rPr>
        <w:t>der</w:t>
      </w:r>
      <w:r w:rsidR="00AC6C0A">
        <w:rPr>
          <w:szCs w:val="24"/>
        </w:rPr>
        <w:t xml:space="preserve"> the </w:t>
      </w:r>
      <w:r w:rsidR="003D6AC9">
        <w:rPr>
          <w:szCs w:val="24"/>
        </w:rPr>
        <w:t>supervision</w:t>
      </w:r>
      <w:r w:rsidR="00AC6C0A">
        <w:rPr>
          <w:szCs w:val="24"/>
        </w:rPr>
        <w:t xml:space="preserve"> of a specialist with</w:t>
      </w:r>
      <w:r w:rsidR="00BF3583">
        <w:rPr>
          <w:szCs w:val="24"/>
        </w:rPr>
        <w:t xml:space="preserve"> training in radiolo</w:t>
      </w:r>
      <w:r w:rsidR="003D6AC9">
        <w:rPr>
          <w:szCs w:val="24"/>
        </w:rPr>
        <w:t>gy.</w:t>
      </w:r>
    </w:p>
    <w:p w14:paraId="46150CA8" w14:textId="2602760A" w:rsidR="006227EF" w:rsidRPr="008522C1" w:rsidRDefault="006227EF" w:rsidP="008522C1">
      <w:pPr>
        <w:rPr>
          <w:b/>
          <w:bCs/>
          <w:szCs w:val="24"/>
        </w:rPr>
      </w:pPr>
      <w:r w:rsidRPr="008522C1">
        <w:rPr>
          <w:b/>
          <w:bCs/>
          <w:szCs w:val="24"/>
        </w:rPr>
        <w:t xml:space="preserve">If applicable, advise </w:t>
      </w:r>
      <w:r w:rsidR="00BE0612" w:rsidRPr="008522C1">
        <w:rPr>
          <w:b/>
          <w:bCs/>
          <w:szCs w:val="24"/>
        </w:rPr>
        <w:t>whether delivery of the proposed health technology can be delegated to another</w:t>
      </w:r>
      <w:r w:rsidRPr="008522C1">
        <w:rPr>
          <w:b/>
          <w:bCs/>
          <w:szCs w:val="24"/>
        </w:rPr>
        <w:t xml:space="preserve"> health professional:</w:t>
      </w:r>
    </w:p>
    <w:p w14:paraId="5A95FA3B" w14:textId="1B5B6480" w:rsidR="00665487" w:rsidRPr="00172602" w:rsidRDefault="00E540B4" w:rsidP="00BC0C43">
      <w:pPr>
        <w:rPr>
          <w:rFonts w:eastAsia="Segoe UI"/>
          <w:color w:val="000000"/>
          <w:szCs w:val="24"/>
        </w:rPr>
      </w:pPr>
      <w:r>
        <w:rPr>
          <w:szCs w:val="24"/>
        </w:rPr>
        <w:t>Not applicable</w:t>
      </w:r>
    </w:p>
    <w:p w14:paraId="414D5196" w14:textId="42D4776C" w:rsidR="006227EF" w:rsidRPr="008522C1" w:rsidRDefault="006227EF" w:rsidP="008522C1">
      <w:pPr>
        <w:rPr>
          <w:b/>
          <w:bCs/>
          <w:szCs w:val="24"/>
        </w:rPr>
      </w:pPr>
      <w:r w:rsidRPr="008522C1">
        <w:rPr>
          <w:b/>
          <w:bCs/>
          <w:szCs w:val="24"/>
        </w:rPr>
        <w:t xml:space="preserve">If applicable, advise </w:t>
      </w:r>
      <w:r w:rsidR="00BE0612" w:rsidRPr="008522C1">
        <w:rPr>
          <w:b/>
          <w:bCs/>
          <w:szCs w:val="24"/>
        </w:rPr>
        <w:t>if there are any limitations on which health professionals might provide a referral for</w:t>
      </w:r>
      <w:r w:rsidRPr="008522C1">
        <w:rPr>
          <w:b/>
          <w:bCs/>
          <w:szCs w:val="24"/>
        </w:rPr>
        <w:t xml:space="preserve"> the proposed health technology:</w:t>
      </w:r>
    </w:p>
    <w:p w14:paraId="706BE3F5" w14:textId="314D2232" w:rsidR="0007345A" w:rsidRPr="0007345A" w:rsidRDefault="0007345A" w:rsidP="00BC0C43">
      <w:pPr>
        <w:rPr>
          <w:b/>
          <w:bCs/>
          <w:szCs w:val="24"/>
        </w:rPr>
      </w:pPr>
      <w:r w:rsidRPr="0007345A">
        <w:rPr>
          <w:b/>
          <w:bCs/>
          <w:szCs w:val="24"/>
        </w:rPr>
        <w:t>Biomarker testing</w:t>
      </w:r>
    </w:p>
    <w:p w14:paraId="18D420F0" w14:textId="65206180" w:rsidR="00BA4349" w:rsidRDefault="000A0A7D" w:rsidP="00BC0C43">
      <w:pPr>
        <w:rPr>
          <w:szCs w:val="24"/>
        </w:rPr>
      </w:pPr>
      <w:r w:rsidRPr="00BA4349">
        <w:rPr>
          <w:szCs w:val="24"/>
        </w:rPr>
        <w:t xml:space="preserve">The </w:t>
      </w:r>
      <w:r w:rsidR="00B472AF" w:rsidRPr="00BA4349">
        <w:rPr>
          <w:szCs w:val="24"/>
        </w:rPr>
        <w:t>proposed MBS item descriptors would limit</w:t>
      </w:r>
      <w:r w:rsidR="00EE1025" w:rsidRPr="00BA4349">
        <w:rPr>
          <w:szCs w:val="24"/>
        </w:rPr>
        <w:t xml:space="preserve"> request</w:t>
      </w:r>
      <w:r w:rsidR="00BA4349">
        <w:rPr>
          <w:szCs w:val="24"/>
        </w:rPr>
        <w:t>ing</w:t>
      </w:r>
      <w:r w:rsidR="00EE1025" w:rsidRPr="00BA4349">
        <w:rPr>
          <w:szCs w:val="24"/>
        </w:rPr>
        <w:t xml:space="preserve"> of Aβ pathology </w:t>
      </w:r>
      <w:r w:rsidR="00EF2514" w:rsidRPr="00BA4349">
        <w:rPr>
          <w:szCs w:val="24"/>
        </w:rPr>
        <w:t xml:space="preserve">and </w:t>
      </w:r>
      <w:proofErr w:type="spellStart"/>
      <w:r w:rsidR="00EF2514" w:rsidRPr="0031640F">
        <w:rPr>
          <w:szCs w:val="24"/>
        </w:rPr>
        <w:t>ApoE</w:t>
      </w:r>
      <w:proofErr w:type="spellEnd"/>
      <w:r w:rsidR="00EF2514" w:rsidRPr="0031640F">
        <w:rPr>
          <w:szCs w:val="24"/>
        </w:rPr>
        <w:t xml:space="preserve"> ε4 genotype</w:t>
      </w:r>
      <w:r w:rsidR="00EF2514" w:rsidRPr="00BA4349">
        <w:rPr>
          <w:szCs w:val="24"/>
        </w:rPr>
        <w:t xml:space="preserve"> </w:t>
      </w:r>
      <w:r w:rsidR="00EE1025" w:rsidRPr="00BA4349">
        <w:rPr>
          <w:szCs w:val="24"/>
        </w:rPr>
        <w:t>testing</w:t>
      </w:r>
      <w:r w:rsidR="00EF2514" w:rsidRPr="00BA4349">
        <w:rPr>
          <w:szCs w:val="24"/>
        </w:rPr>
        <w:t xml:space="preserve"> to</w:t>
      </w:r>
      <w:r w:rsidR="00BA4349" w:rsidRPr="00BA4349">
        <w:rPr>
          <w:szCs w:val="24"/>
        </w:rPr>
        <w:t xml:space="preserve"> specialists or consulting physicians.</w:t>
      </w:r>
    </w:p>
    <w:p w14:paraId="6565E4DA" w14:textId="7CC5F1E6" w:rsidR="00054BE8" w:rsidRPr="00054BE8" w:rsidRDefault="00054BE8" w:rsidP="00BC0C43">
      <w:pPr>
        <w:rPr>
          <w:b/>
          <w:bCs/>
          <w:szCs w:val="24"/>
        </w:rPr>
      </w:pPr>
      <w:proofErr w:type="spellStart"/>
      <w:r w:rsidRPr="00054BE8">
        <w:rPr>
          <w:b/>
          <w:bCs/>
          <w:szCs w:val="24"/>
        </w:rPr>
        <w:t>Lecanemab</w:t>
      </w:r>
      <w:proofErr w:type="spellEnd"/>
      <w:r w:rsidRPr="00054BE8">
        <w:rPr>
          <w:b/>
          <w:bCs/>
          <w:szCs w:val="24"/>
        </w:rPr>
        <w:t xml:space="preserve"> treatment</w:t>
      </w:r>
    </w:p>
    <w:p w14:paraId="56CC36BF" w14:textId="1EB83DF7" w:rsidR="00994F22" w:rsidRDefault="00152F59" w:rsidP="00BC0C43">
      <w:pPr>
        <w:rPr>
          <w:rFonts w:eastAsia="Segoe UI"/>
          <w:b/>
          <w:bCs/>
          <w:color w:val="000000"/>
          <w:szCs w:val="24"/>
        </w:rPr>
      </w:pPr>
      <w:r>
        <w:rPr>
          <w:szCs w:val="24"/>
        </w:rPr>
        <w:t xml:space="preserve">It is </w:t>
      </w:r>
      <w:r w:rsidR="006503B4">
        <w:rPr>
          <w:szCs w:val="24"/>
        </w:rPr>
        <w:t xml:space="preserve">foreshadowed </w:t>
      </w:r>
      <w:r w:rsidR="00071E5E">
        <w:rPr>
          <w:szCs w:val="24"/>
        </w:rPr>
        <w:t xml:space="preserve">that a </w:t>
      </w:r>
      <w:proofErr w:type="gramStart"/>
      <w:r w:rsidR="00071E5E">
        <w:rPr>
          <w:szCs w:val="24"/>
        </w:rPr>
        <w:t>criteria</w:t>
      </w:r>
      <w:proofErr w:type="gramEnd"/>
      <w:r w:rsidR="00071E5E">
        <w:rPr>
          <w:szCs w:val="24"/>
        </w:rPr>
        <w:t xml:space="preserve"> in the PBS restriction will </w:t>
      </w:r>
      <w:r w:rsidR="006503B4">
        <w:rPr>
          <w:szCs w:val="24"/>
        </w:rPr>
        <w:t xml:space="preserve">specify </w:t>
      </w:r>
      <w:r w:rsidR="00054BE8" w:rsidRPr="00412331">
        <w:rPr>
          <w:szCs w:val="24"/>
        </w:rPr>
        <w:t xml:space="preserve">that a person must be treated by a neurologist, geriatrician or psychiatrist to be eligible for </w:t>
      </w:r>
      <w:proofErr w:type="spellStart"/>
      <w:r w:rsidR="00054BE8" w:rsidRPr="00412331">
        <w:rPr>
          <w:szCs w:val="24"/>
        </w:rPr>
        <w:t>lecanemab</w:t>
      </w:r>
      <w:proofErr w:type="spellEnd"/>
      <w:r w:rsidR="00054BE8" w:rsidRPr="00412331">
        <w:rPr>
          <w:szCs w:val="24"/>
        </w:rPr>
        <w:t xml:space="preserve"> </w:t>
      </w:r>
      <w:r w:rsidR="00054BE8">
        <w:rPr>
          <w:szCs w:val="24"/>
        </w:rPr>
        <w:t>funded through the PBS</w:t>
      </w:r>
      <w:r w:rsidR="00054BE8" w:rsidRPr="00412331">
        <w:rPr>
          <w:szCs w:val="24"/>
        </w:rPr>
        <w:t>.</w:t>
      </w:r>
    </w:p>
    <w:p w14:paraId="30AC00A8" w14:textId="634D8B2C" w:rsidR="00380C41" w:rsidRPr="00D163F8" w:rsidRDefault="00380C41" w:rsidP="00D163F8">
      <w:pPr>
        <w:rPr>
          <w:b/>
          <w:bCs/>
          <w:szCs w:val="24"/>
        </w:rPr>
      </w:pPr>
      <w:proofErr w:type="gramStart"/>
      <w:r w:rsidRPr="00D163F8">
        <w:rPr>
          <w:b/>
          <w:bCs/>
          <w:szCs w:val="24"/>
        </w:rPr>
        <w:lastRenderedPageBreak/>
        <w:t>Is</w:t>
      </w:r>
      <w:proofErr w:type="gramEnd"/>
      <w:r w:rsidRPr="00D163F8">
        <w:rPr>
          <w:b/>
          <w:bCs/>
          <w:szCs w:val="24"/>
        </w:rPr>
        <w:t xml:space="preserve"> there specific training or qualifications required to provide or deliver the proposed service, and/or any accreditation requirements to support delivery of the health technology? </w:t>
      </w:r>
    </w:p>
    <w:p w14:paraId="4E1F9F81" w14:textId="715AEE13" w:rsidR="00380C41" w:rsidRPr="00172602" w:rsidRDefault="00380C41" w:rsidP="00BC0C43">
      <w:pPr>
        <w:rPr>
          <w:szCs w:val="24"/>
        </w:rPr>
      </w:pPr>
      <w:r w:rsidRPr="00864CE4">
        <w:rPr>
          <w:szCs w:val="24"/>
        </w:rPr>
        <w:t>Yes</w:t>
      </w:r>
    </w:p>
    <w:p w14:paraId="0E842550" w14:textId="4EA98943" w:rsidR="00380C41" w:rsidRPr="00D163F8" w:rsidRDefault="00380C41" w:rsidP="00D163F8">
      <w:pPr>
        <w:rPr>
          <w:b/>
          <w:bCs/>
          <w:szCs w:val="24"/>
        </w:rPr>
      </w:pPr>
      <w:r w:rsidRPr="00D163F8">
        <w:rPr>
          <w:b/>
          <w:bCs/>
          <w:szCs w:val="24"/>
        </w:rPr>
        <w:t>Provide details and explain:</w:t>
      </w:r>
    </w:p>
    <w:p w14:paraId="27BC5D12" w14:textId="77777777" w:rsidR="00FC674C" w:rsidRDefault="00F733D3" w:rsidP="00EA0AA0">
      <w:pPr>
        <w:rPr>
          <w:szCs w:val="24"/>
        </w:rPr>
      </w:pPr>
      <w:r w:rsidRPr="00F733D3">
        <w:rPr>
          <w:b/>
          <w:bCs/>
          <w:szCs w:val="24"/>
        </w:rPr>
        <w:t>Biomarker testing</w:t>
      </w:r>
    </w:p>
    <w:p w14:paraId="22D71D63" w14:textId="06E234DA" w:rsidR="00020375" w:rsidRDefault="0002352D" w:rsidP="00EA0AA0">
      <w:pPr>
        <w:rPr>
          <w:rFonts w:eastAsia="Segoe UI"/>
          <w:color w:val="000000"/>
          <w:szCs w:val="24"/>
        </w:rPr>
      </w:pPr>
      <w:r w:rsidRPr="003F6C95">
        <w:rPr>
          <w:b/>
          <w:bCs/>
          <w:szCs w:val="24"/>
        </w:rPr>
        <w:t>Pathology tests:</w:t>
      </w:r>
      <w:r>
        <w:rPr>
          <w:szCs w:val="24"/>
        </w:rPr>
        <w:t xml:space="preserve"> </w:t>
      </w:r>
      <w:r w:rsidR="00D03256">
        <w:rPr>
          <w:szCs w:val="24"/>
        </w:rPr>
        <w:t>The existing</w:t>
      </w:r>
      <w:r w:rsidR="000F6C2F">
        <w:rPr>
          <w:szCs w:val="24"/>
        </w:rPr>
        <w:t xml:space="preserve"> </w:t>
      </w:r>
      <w:r w:rsidR="005B6F0C">
        <w:rPr>
          <w:szCs w:val="24"/>
        </w:rPr>
        <w:t>qualification</w:t>
      </w:r>
      <w:r w:rsidR="00331603">
        <w:rPr>
          <w:szCs w:val="24"/>
        </w:rPr>
        <w:t xml:space="preserve"> </w:t>
      </w:r>
      <w:r w:rsidR="005B6F0C">
        <w:rPr>
          <w:szCs w:val="24"/>
        </w:rPr>
        <w:t>and accreditation requirements</w:t>
      </w:r>
      <w:r w:rsidR="00331603">
        <w:rPr>
          <w:szCs w:val="24"/>
        </w:rPr>
        <w:t xml:space="preserve"> applicable </w:t>
      </w:r>
      <w:r w:rsidR="00D208F6">
        <w:rPr>
          <w:szCs w:val="24"/>
        </w:rPr>
        <w:t xml:space="preserve">to </w:t>
      </w:r>
      <w:r w:rsidR="000733D5">
        <w:rPr>
          <w:szCs w:val="24"/>
        </w:rPr>
        <w:t>receiv</w:t>
      </w:r>
      <w:r w:rsidR="00220453">
        <w:rPr>
          <w:szCs w:val="24"/>
        </w:rPr>
        <w:t xml:space="preserve">ing </w:t>
      </w:r>
      <w:r w:rsidR="000733D5">
        <w:rPr>
          <w:szCs w:val="24"/>
        </w:rPr>
        <w:t xml:space="preserve">Medicare benefits for pathology services </w:t>
      </w:r>
      <w:r w:rsidR="0028500F">
        <w:rPr>
          <w:szCs w:val="24"/>
        </w:rPr>
        <w:t xml:space="preserve">would </w:t>
      </w:r>
      <w:r w:rsidR="00DD384D">
        <w:rPr>
          <w:szCs w:val="24"/>
        </w:rPr>
        <w:t>a</w:t>
      </w:r>
      <w:r w:rsidR="000733D5">
        <w:rPr>
          <w:szCs w:val="24"/>
        </w:rPr>
        <w:t>pply</w:t>
      </w:r>
      <w:r w:rsidR="00F67C50">
        <w:rPr>
          <w:szCs w:val="24"/>
        </w:rPr>
        <w:t>.</w:t>
      </w:r>
    </w:p>
    <w:p w14:paraId="5B4D1385" w14:textId="356E61E6" w:rsidR="00F733D3" w:rsidRDefault="00500C34" w:rsidP="00EA0AA0">
      <w:pPr>
        <w:rPr>
          <w:rFonts w:eastAsia="Segoe UI"/>
          <w:color w:val="000000"/>
          <w:szCs w:val="24"/>
        </w:rPr>
      </w:pPr>
      <w:r>
        <w:rPr>
          <w:rFonts w:eastAsia="Segoe UI"/>
          <w:color w:val="000000"/>
          <w:szCs w:val="24"/>
        </w:rPr>
        <w:t>T</w:t>
      </w:r>
      <w:r w:rsidR="00E4434D">
        <w:rPr>
          <w:rFonts w:eastAsia="Segoe UI"/>
          <w:color w:val="000000"/>
          <w:szCs w:val="24"/>
        </w:rPr>
        <w:t xml:space="preserve">esting must be performed by, or </w:t>
      </w:r>
      <w:r w:rsidR="00CD0FFC">
        <w:rPr>
          <w:rFonts w:eastAsia="Segoe UI"/>
          <w:color w:val="000000"/>
          <w:szCs w:val="24"/>
        </w:rPr>
        <w:t xml:space="preserve">under supervision </w:t>
      </w:r>
      <w:r w:rsidR="00E4434D">
        <w:rPr>
          <w:rFonts w:eastAsia="Segoe UI"/>
          <w:color w:val="000000"/>
          <w:szCs w:val="24"/>
        </w:rPr>
        <w:t>of, an Approved Pathology Prac</w:t>
      </w:r>
      <w:r w:rsidR="00CD0FFC">
        <w:rPr>
          <w:rFonts w:eastAsia="Segoe UI"/>
          <w:color w:val="000000"/>
          <w:szCs w:val="24"/>
        </w:rPr>
        <w:t xml:space="preserve">titioners. </w:t>
      </w:r>
      <w:r w:rsidR="006D27B3">
        <w:rPr>
          <w:rFonts w:eastAsia="Segoe UI"/>
          <w:color w:val="000000"/>
          <w:szCs w:val="24"/>
        </w:rPr>
        <w:t xml:space="preserve">An Approved Pathology Practitioner </w:t>
      </w:r>
      <w:r w:rsidR="00530301">
        <w:rPr>
          <w:rFonts w:eastAsia="Segoe UI"/>
          <w:color w:val="000000"/>
          <w:szCs w:val="24"/>
        </w:rPr>
        <w:t>would be a medical practitioner</w:t>
      </w:r>
      <w:r w:rsidR="00A3594B">
        <w:rPr>
          <w:rFonts w:eastAsia="Segoe UI"/>
          <w:color w:val="000000"/>
          <w:szCs w:val="24"/>
        </w:rPr>
        <w:t xml:space="preserve"> registered with the Australian Health Practitioner Regulation Agency</w:t>
      </w:r>
      <w:r w:rsidR="0024149A">
        <w:rPr>
          <w:rFonts w:eastAsia="Segoe UI"/>
          <w:color w:val="000000"/>
          <w:szCs w:val="24"/>
        </w:rPr>
        <w:t>, typically a Fellow of the Royal College of Pathologists of Australasia</w:t>
      </w:r>
      <w:r w:rsidR="002C06F4">
        <w:rPr>
          <w:rFonts w:eastAsia="Segoe UI"/>
          <w:color w:val="000000"/>
          <w:szCs w:val="24"/>
        </w:rPr>
        <w:t>.</w:t>
      </w:r>
    </w:p>
    <w:p w14:paraId="5FAADA5F" w14:textId="5C2AA04B" w:rsidR="00FC674C" w:rsidRDefault="00FC674C" w:rsidP="00EA0AA0">
      <w:pPr>
        <w:rPr>
          <w:rFonts w:eastAsia="Segoe UI"/>
          <w:color w:val="000000"/>
          <w:szCs w:val="24"/>
        </w:rPr>
      </w:pPr>
      <w:r>
        <w:rPr>
          <w:rFonts w:eastAsia="Segoe UI"/>
          <w:color w:val="000000"/>
          <w:szCs w:val="24"/>
        </w:rPr>
        <w:t xml:space="preserve">Biomarker testing must </w:t>
      </w:r>
      <w:r w:rsidR="00323715">
        <w:rPr>
          <w:rFonts w:eastAsia="Segoe UI"/>
          <w:color w:val="000000"/>
          <w:szCs w:val="24"/>
        </w:rPr>
        <w:t>be performed in an Acc</w:t>
      </w:r>
      <w:r w:rsidR="006208E6">
        <w:rPr>
          <w:rFonts w:eastAsia="Segoe UI"/>
          <w:color w:val="000000"/>
          <w:szCs w:val="24"/>
        </w:rPr>
        <w:t>redited Pathology Laboratory.</w:t>
      </w:r>
      <w:r w:rsidR="00340BA6">
        <w:rPr>
          <w:rFonts w:eastAsia="Segoe UI"/>
          <w:color w:val="000000"/>
          <w:szCs w:val="24"/>
        </w:rPr>
        <w:t xml:space="preserve"> </w:t>
      </w:r>
      <w:r w:rsidR="004127EB">
        <w:rPr>
          <w:rFonts w:eastAsia="Segoe UI"/>
          <w:color w:val="000000"/>
          <w:szCs w:val="24"/>
        </w:rPr>
        <w:t>Inspection of the l</w:t>
      </w:r>
      <w:r w:rsidR="00340BA6">
        <w:rPr>
          <w:rFonts w:eastAsia="Segoe UI"/>
          <w:color w:val="000000"/>
          <w:szCs w:val="24"/>
        </w:rPr>
        <w:t>abor</w:t>
      </w:r>
      <w:r w:rsidR="00BE4E3F">
        <w:rPr>
          <w:rFonts w:eastAsia="Segoe UI"/>
          <w:color w:val="000000"/>
          <w:szCs w:val="24"/>
        </w:rPr>
        <w:t>atory</w:t>
      </w:r>
      <w:r w:rsidR="004127EB">
        <w:rPr>
          <w:rFonts w:eastAsia="Segoe UI"/>
          <w:color w:val="000000"/>
          <w:szCs w:val="24"/>
        </w:rPr>
        <w:t xml:space="preserve"> by an approved agency such as the National Association of Testing Authorities (NATA)</w:t>
      </w:r>
      <w:r w:rsidR="00E14937">
        <w:rPr>
          <w:rFonts w:eastAsia="Segoe UI"/>
          <w:color w:val="000000"/>
          <w:szCs w:val="24"/>
        </w:rPr>
        <w:t xml:space="preserve"> is a key step to becoming an Accredited Pathology Laboratory.</w:t>
      </w:r>
    </w:p>
    <w:p w14:paraId="42D61DCD" w14:textId="5F8BACD1" w:rsidR="005C213B" w:rsidRDefault="00F67C50" w:rsidP="005C213B">
      <w:pPr>
        <w:rPr>
          <w:szCs w:val="24"/>
        </w:rPr>
      </w:pPr>
      <w:r>
        <w:rPr>
          <w:szCs w:val="24"/>
        </w:rPr>
        <w:t>The</w:t>
      </w:r>
      <w:r w:rsidR="00B67F79">
        <w:rPr>
          <w:szCs w:val="24"/>
        </w:rPr>
        <w:t>se</w:t>
      </w:r>
      <w:r w:rsidR="00AD65C1">
        <w:rPr>
          <w:szCs w:val="24"/>
        </w:rPr>
        <w:t xml:space="preserve"> qualification and accreditation requirements</w:t>
      </w:r>
      <w:r w:rsidR="00B67F79">
        <w:rPr>
          <w:szCs w:val="24"/>
        </w:rPr>
        <w:t xml:space="preserve"> apply for all pathology </w:t>
      </w:r>
      <w:r w:rsidR="005D5EE9">
        <w:rPr>
          <w:szCs w:val="24"/>
        </w:rPr>
        <w:t>services funded through the MBS</w:t>
      </w:r>
      <w:r w:rsidR="005B45F9">
        <w:rPr>
          <w:szCs w:val="24"/>
        </w:rPr>
        <w:t>.</w:t>
      </w:r>
      <w:r w:rsidR="00094EA9">
        <w:rPr>
          <w:szCs w:val="24"/>
        </w:rPr>
        <w:t xml:space="preserve"> They are not unique to </w:t>
      </w:r>
      <w:proofErr w:type="spellStart"/>
      <w:r w:rsidRPr="0031640F">
        <w:rPr>
          <w:szCs w:val="24"/>
        </w:rPr>
        <w:t>ApoE</w:t>
      </w:r>
      <w:proofErr w:type="spellEnd"/>
      <w:r w:rsidRPr="0031640F">
        <w:rPr>
          <w:szCs w:val="24"/>
        </w:rPr>
        <w:t xml:space="preserve"> ε4 genotype</w:t>
      </w:r>
      <w:r>
        <w:rPr>
          <w:szCs w:val="24"/>
        </w:rPr>
        <w:t xml:space="preserve">, </w:t>
      </w:r>
      <w:r w:rsidRPr="007A38E5">
        <w:rPr>
          <w:szCs w:val="24"/>
        </w:rPr>
        <w:t>t-tau/A</w:t>
      </w:r>
      <w:proofErr w:type="gramStart"/>
      <w:r w:rsidRPr="007A38E5">
        <w:rPr>
          <w:szCs w:val="24"/>
        </w:rPr>
        <w:t>β[</w:t>
      </w:r>
      <w:proofErr w:type="gramEnd"/>
      <w:r w:rsidRPr="007A38E5">
        <w:rPr>
          <w:szCs w:val="24"/>
        </w:rPr>
        <w:t>1-42] in CSF</w:t>
      </w:r>
      <w:r>
        <w:rPr>
          <w:szCs w:val="24"/>
        </w:rPr>
        <w:t xml:space="preserve"> and </w:t>
      </w:r>
      <w:r w:rsidRPr="007A38E5">
        <w:rPr>
          <w:rFonts w:eastAsia="Segoe UI"/>
          <w:color w:val="000000"/>
          <w:szCs w:val="24"/>
        </w:rPr>
        <w:t>pTau217 in plasma</w:t>
      </w:r>
      <w:r>
        <w:rPr>
          <w:rFonts w:eastAsia="Segoe UI"/>
          <w:color w:val="000000"/>
          <w:szCs w:val="24"/>
        </w:rPr>
        <w:t xml:space="preserve"> testing</w:t>
      </w:r>
      <w:r w:rsidR="00591AB9">
        <w:rPr>
          <w:rFonts w:eastAsia="Segoe UI"/>
          <w:color w:val="000000"/>
          <w:szCs w:val="24"/>
        </w:rPr>
        <w:t xml:space="preserve"> </w:t>
      </w:r>
      <w:r w:rsidR="005C213B">
        <w:rPr>
          <w:szCs w:val="24"/>
        </w:rPr>
        <w:t xml:space="preserve">for the purpose of determining eligibility for </w:t>
      </w:r>
      <w:proofErr w:type="spellStart"/>
      <w:r w:rsidR="005C213B">
        <w:rPr>
          <w:szCs w:val="24"/>
        </w:rPr>
        <w:t>lecanemab</w:t>
      </w:r>
      <w:proofErr w:type="spellEnd"/>
      <w:r w:rsidR="005C213B">
        <w:rPr>
          <w:szCs w:val="24"/>
        </w:rPr>
        <w:t>.</w:t>
      </w:r>
    </w:p>
    <w:p w14:paraId="4B5D43D5" w14:textId="040E9D68" w:rsidR="005E7458" w:rsidRDefault="0002352D" w:rsidP="00EA0AA0">
      <w:pPr>
        <w:rPr>
          <w:szCs w:val="24"/>
        </w:rPr>
      </w:pPr>
      <w:r w:rsidRPr="003F6C95">
        <w:rPr>
          <w:rFonts w:eastAsia="Segoe UI"/>
          <w:b/>
          <w:bCs/>
          <w:color w:val="000000"/>
          <w:szCs w:val="24"/>
        </w:rPr>
        <w:t>Amyloid PET:</w:t>
      </w:r>
      <w:r>
        <w:rPr>
          <w:rFonts w:eastAsia="Segoe UI"/>
          <w:color w:val="000000"/>
          <w:szCs w:val="24"/>
        </w:rPr>
        <w:t xml:space="preserve"> </w:t>
      </w:r>
      <w:r w:rsidR="00D03256" w:rsidRPr="00D03256">
        <w:rPr>
          <w:szCs w:val="24"/>
        </w:rPr>
        <w:t>The existing</w:t>
      </w:r>
      <w:r>
        <w:rPr>
          <w:szCs w:val="24"/>
        </w:rPr>
        <w:t xml:space="preserve"> qualification and accreditation requirements applicable to receiving Medicare benefits for PET services </w:t>
      </w:r>
      <w:r w:rsidR="0028500F">
        <w:rPr>
          <w:szCs w:val="24"/>
        </w:rPr>
        <w:t xml:space="preserve">would </w:t>
      </w:r>
      <w:r>
        <w:rPr>
          <w:szCs w:val="24"/>
        </w:rPr>
        <w:t>apply.</w:t>
      </w:r>
    </w:p>
    <w:p w14:paraId="50E0177E" w14:textId="0A960464" w:rsidR="0028500F" w:rsidRDefault="00A2426A" w:rsidP="00A2426A">
      <w:pPr>
        <w:rPr>
          <w:rFonts w:eastAsia="Segoe UI"/>
          <w:color w:val="000000"/>
          <w:szCs w:val="24"/>
        </w:rPr>
      </w:pPr>
      <w:r>
        <w:rPr>
          <w:rFonts w:eastAsia="Segoe UI"/>
          <w:color w:val="000000"/>
          <w:szCs w:val="24"/>
        </w:rPr>
        <w:t xml:space="preserve">PET must be performed by, or under supervision of, </w:t>
      </w:r>
      <w:r w:rsidR="00427D9F">
        <w:rPr>
          <w:rFonts w:eastAsia="Segoe UI"/>
          <w:color w:val="000000"/>
          <w:szCs w:val="24"/>
        </w:rPr>
        <w:t>a</w:t>
      </w:r>
      <w:r w:rsidR="00681A74">
        <w:rPr>
          <w:rFonts w:eastAsia="Segoe UI"/>
          <w:color w:val="000000"/>
          <w:szCs w:val="24"/>
        </w:rPr>
        <w:t xml:space="preserve"> PET credentialled specialist</w:t>
      </w:r>
      <w:r w:rsidR="00594247">
        <w:rPr>
          <w:rFonts w:eastAsia="Segoe UI"/>
          <w:color w:val="000000"/>
          <w:szCs w:val="24"/>
        </w:rPr>
        <w:t>, defined in the</w:t>
      </w:r>
      <w:r w:rsidR="002B735A">
        <w:rPr>
          <w:rFonts w:eastAsia="Segoe UI"/>
          <w:color w:val="000000"/>
          <w:szCs w:val="24"/>
        </w:rPr>
        <w:t xml:space="preserve"> Medicare Benefits Schedule Book</w:t>
      </w:r>
      <w:r w:rsidR="0014366E">
        <w:rPr>
          <w:rFonts w:eastAsia="Segoe UI"/>
          <w:color w:val="000000"/>
          <w:szCs w:val="24"/>
        </w:rPr>
        <w:t xml:space="preserve"> Operating from March 2026 </w:t>
      </w:r>
      <w:r w:rsidR="00594247">
        <w:rPr>
          <w:rFonts w:eastAsia="Segoe UI"/>
          <w:color w:val="000000"/>
          <w:szCs w:val="24"/>
        </w:rPr>
        <w:t>as:</w:t>
      </w:r>
    </w:p>
    <w:p w14:paraId="48D8D4D8" w14:textId="59F9B274" w:rsidR="009D0D33" w:rsidRDefault="009D0D33" w:rsidP="00594247">
      <w:pPr>
        <w:pStyle w:val="ListParagraph"/>
        <w:numPr>
          <w:ilvl w:val="0"/>
          <w:numId w:val="3"/>
        </w:numPr>
        <w:rPr>
          <w:rFonts w:eastAsia="Segoe UI"/>
          <w:color w:val="000000"/>
          <w:szCs w:val="24"/>
        </w:rPr>
      </w:pPr>
      <w:r w:rsidRPr="009D0D33">
        <w:rPr>
          <w:rFonts w:eastAsia="Segoe UI"/>
          <w:color w:val="000000"/>
          <w:szCs w:val="24"/>
        </w:rPr>
        <w:t>A</w:t>
      </w:r>
      <w:r w:rsidR="00594247" w:rsidRPr="009D0D33">
        <w:rPr>
          <w:rFonts w:eastAsia="Segoe UI"/>
          <w:color w:val="000000"/>
          <w:szCs w:val="24"/>
        </w:rPr>
        <w:t xml:space="preserve"> specialist or consultant physician who is credentialled under the Joint Nuclear Medicine Specialist</w:t>
      </w:r>
      <w:r w:rsidRPr="009D0D33">
        <w:rPr>
          <w:rFonts w:eastAsia="Segoe UI"/>
          <w:color w:val="000000"/>
          <w:szCs w:val="24"/>
        </w:rPr>
        <w:t xml:space="preserve"> </w:t>
      </w:r>
      <w:r w:rsidR="00594247" w:rsidRPr="009D0D33">
        <w:rPr>
          <w:rFonts w:eastAsia="Segoe UI"/>
          <w:color w:val="000000"/>
          <w:szCs w:val="24"/>
        </w:rPr>
        <w:t>Credentialling Program for the Recognition of the Credentials of Nuclear Medicine Specialists for Positron</w:t>
      </w:r>
      <w:r>
        <w:rPr>
          <w:rFonts w:eastAsia="Segoe UI"/>
          <w:color w:val="000000"/>
          <w:szCs w:val="24"/>
        </w:rPr>
        <w:t xml:space="preserve"> </w:t>
      </w:r>
      <w:r w:rsidR="00594247" w:rsidRPr="009D0D33">
        <w:rPr>
          <w:rFonts w:eastAsia="Segoe UI"/>
          <w:color w:val="000000"/>
          <w:szCs w:val="24"/>
        </w:rPr>
        <w:t>Emission Tomography overseen by the JNMCAC</w:t>
      </w:r>
      <w:r w:rsidR="00182FA8">
        <w:rPr>
          <w:rFonts w:eastAsia="Segoe UI"/>
          <w:color w:val="000000"/>
          <w:szCs w:val="24"/>
        </w:rPr>
        <w:t xml:space="preserve"> [Joint Nuclear Medicine Credentialling and Accreditation Committee]</w:t>
      </w:r>
      <w:r w:rsidR="00594247" w:rsidRPr="009D0D33">
        <w:rPr>
          <w:rFonts w:eastAsia="Segoe UI"/>
          <w:color w:val="000000"/>
          <w:szCs w:val="24"/>
        </w:rPr>
        <w:t>; or</w:t>
      </w:r>
    </w:p>
    <w:p w14:paraId="7F0AFFAD" w14:textId="77777777" w:rsidR="009D0D33" w:rsidRDefault="009D0D33" w:rsidP="00594247">
      <w:pPr>
        <w:pStyle w:val="ListParagraph"/>
        <w:numPr>
          <w:ilvl w:val="0"/>
          <w:numId w:val="3"/>
        </w:numPr>
        <w:rPr>
          <w:rFonts w:eastAsia="Segoe UI"/>
          <w:color w:val="000000"/>
          <w:szCs w:val="24"/>
        </w:rPr>
      </w:pPr>
      <w:r>
        <w:rPr>
          <w:rFonts w:eastAsia="Segoe UI"/>
          <w:color w:val="000000"/>
          <w:szCs w:val="24"/>
        </w:rPr>
        <w:t xml:space="preserve">A </w:t>
      </w:r>
      <w:r w:rsidR="00594247" w:rsidRPr="009D0D33">
        <w:rPr>
          <w:rFonts w:eastAsia="Segoe UI"/>
          <w:color w:val="000000"/>
          <w:szCs w:val="24"/>
        </w:rPr>
        <w:t xml:space="preserve">specialist or consultant physician who: </w:t>
      </w:r>
    </w:p>
    <w:p w14:paraId="4A2CAE60" w14:textId="44F5B49E" w:rsidR="00594247" w:rsidRPr="009D0D33" w:rsidRDefault="00594247" w:rsidP="009D0D33">
      <w:pPr>
        <w:pStyle w:val="ListParagraph"/>
        <w:numPr>
          <w:ilvl w:val="1"/>
          <w:numId w:val="3"/>
        </w:numPr>
        <w:rPr>
          <w:rFonts w:eastAsia="Segoe UI"/>
          <w:color w:val="000000"/>
          <w:szCs w:val="24"/>
        </w:rPr>
      </w:pPr>
      <w:r w:rsidRPr="009D0D33">
        <w:rPr>
          <w:rFonts w:eastAsia="Segoe UI"/>
          <w:color w:val="000000"/>
          <w:szCs w:val="24"/>
        </w:rPr>
        <w:t>is a Fellow of the RACP</w:t>
      </w:r>
      <w:r w:rsidR="00C25F83">
        <w:rPr>
          <w:rFonts w:eastAsia="Segoe UI"/>
          <w:color w:val="000000"/>
          <w:szCs w:val="24"/>
        </w:rPr>
        <w:t xml:space="preserve"> [Royal Australian College of Physicians]</w:t>
      </w:r>
      <w:r w:rsidRPr="009D0D33">
        <w:rPr>
          <w:rFonts w:eastAsia="Segoe UI"/>
          <w:color w:val="000000"/>
          <w:szCs w:val="24"/>
        </w:rPr>
        <w:t xml:space="preserve"> or RANZCR</w:t>
      </w:r>
      <w:r w:rsidR="001266FB">
        <w:rPr>
          <w:rFonts w:eastAsia="Segoe UI"/>
          <w:color w:val="000000"/>
          <w:szCs w:val="24"/>
        </w:rPr>
        <w:t xml:space="preserve"> [Royal Australian and New Zealand College of Radiologists]</w:t>
      </w:r>
      <w:r w:rsidRPr="009D0D33">
        <w:rPr>
          <w:rFonts w:eastAsia="Segoe UI"/>
          <w:color w:val="000000"/>
          <w:szCs w:val="24"/>
        </w:rPr>
        <w:t>; and</w:t>
      </w:r>
    </w:p>
    <w:p w14:paraId="0AB92592" w14:textId="6E54E1A2" w:rsidR="00594247" w:rsidRPr="004552D0" w:rsidRDefault="00594247" w:rsidP="004552D0">
      <w:pPr>
        <w:pStyle w:val="ListParagraph"/>
        <w:numPr>
          <w:ilvl w:val="1"/>
          <w:numId w:val="3"/>
        </w:numPr>
        <w:rPr>
          <w:rFonts w:eastAsia="Segoe UI"/>
          <w:color w:val="000000"/>
          <w:szCs w:val="24"/>
        </w:rPr>
      </w:pPr>
      <w:r w:rsidRPr="00594247">
        <w:rPr>
          <w:rFonts w:eastAsia="Segoe UI"/>
          <w:color w:val="000000"/>
          <w:szCs w:val="24"/>
        </w:rPr>
        <w:t>has reported 400 or more studies forming part of PET services for which a Medicare benefit was</w:t>
      </w:r>
      <w:r w:rsidR="004552D0">
        <w:rPr>
          <w:rFonts w:eastAsia="Segoe UI"/>
          <w:color w:val="000000"/>
          <w:szCs w:val="24"/>
        </w:rPr>
        <w:t xml:space="preserve"> </w:t>
      </w:r>
      <w:r w:rsidRPr="004552D0">
        <w:rPr>
          <w:rFonts w:eastAsia="Segoe UI"/>
          <w:color w:val="000000"/>
          <w:szCs w:val="24"/>
        </w:rPr>
        <w:t>payable; and</w:t>
      </w:r>
    </w:p>
    <w:p w14:paraId="00843297" w14:textId="77777777" w:rsidR="004552D0" w:rsidRDefault="00594247" w:rsidP="00D20204">
      <w:pPr>
        <w:pStyle w:val="ListParagraph"/>
        <w:numPr>
          <w:ilvl w:val="1"/>
          <w:numId w:val="3"/>
        </w:numPr>
        <w:rPr>
          <w:rFonts w:eastAsia="Segoe UI"/>
          <w:color w:val="000000"/>
          <w:szCs w:val="24"/>
        </w:rPr>
      </w:pPr>
      <w:r w:rsidRPr="004552D0">
        <w:rPr>
          <w:rFonts w:eastAsia="Segoe UI"/>
          <w:color w:val="000000"/>
          <w:szCs w:val="24"/>
        </w:rPr>
        <w:t>is authorised under State or Territory law to prescribe and administer to humans the PET</w:t>
      </w:r>
      <w:r w:rsidR="004552D0" w:rsidRPr="004552D0">
        <w:rPr>
          <w:rFonts w:eastAsia="Segoe UI"/>
          <w:color w:val="000000"/>
          <w:szCs w:val="24"/>
        </w:rPr>
        <w:t xml:space="preserve"> </w:t>
      </w:r>
      <w:r w:rsidRPr="004552D0">
        <w:rPr>
          <w:rFonts w:eastAsia="Segoe UI"/>
          <w:color w:val="000000"/>
          <w:szCs w:val="24"/>
        </w:rPr>
        <w:t>radiopharmaceuticals that are to be administered to a person; and</w:t>
      </w:r>
    </w:p>
    <w:p w14:paraId="0634B7D2" w14:textId="0510A990" w:rsidR="00594247" w:rsidRPr="004552D0" w:rsidRDefault="00594247" w:rsidP="00D20204">
      <w:pPr>
        <w:pStyle w:val="ListParagraph"/>
        <w:numPr>
          <w:ilvl w:val="1"/>
          <w:numId w:val="3"/>
        </w:numPr>
        <w:rPr>
          <w:rFonts w:eastAsia="Segoe UI"/>
          <w:color w:val="000000"/>
          <w:szCs w:val="24"/>
        </w:rPr>
      </w:pPr>
      <w:r w:rsidRPr="004552D0">
        <w:rPr>
          <w:rFonts w:eastAsia="Segoe UI"/>
          <w:color w:val="000000"/>
          <w:szCs w:val="24"/>
        </w:rPr>
        <w:t>met these requirements before 1 November 2011.</w:t>
      </w:r>
    </w:p>
    <w:p w14:paraId="5BDF35FF" w14:textId="77777777" w:rsidR="00303C82" w:rsidRDefault="002B75C7" w:rsidP="00A2426A">
      <w:pPr>
        <w:rPr>
          <w:rFonts w:eastAsia="Segoe UI"/>
          <w:color w:val="000000"/>
          <w:szCs w:val="24"/>
        </w:rPr>
      </w:pPr>
      <w:r>
        <w:rPr>
          <w:rFonts w:eastAsia="Segoe UI"/>
          <w:color w:val="000000"/>
          <w:szCs w:val="24"/>
        </w:rPr>
        <w:t>Amyloid PET must be performed in</w:t>
      </w:r>
      <w:r w:rsidR="000718BE">
        <w:rPr>
          <w:rFonts w:eastAsia="Segoe UI"/>
          <w:color w:val="000000"/>
          <w:szCs w:val="24"/>
        </w:rPr>
        <w:t xml:space="preserve"> a </w:t>
      </w:r>
      <w:r w:rsidR="00F9576C">
        <w:rPr>
          <w:rFonts w:eastAsia="Segoe UI"/>
          <w:color w:val="000000"/>
          <w:szCs w:val="24"/>
        </w:rPr>
        <w:t xml:space="preserve">facility that is </w:t>
      </w:r>
      <w:r w:rsidR="000718BE">
        <w:rPr>
          <w:rFonts w:eastAsia="Segoe UI"/>
          <w:color w:val="000000"/>
          <w:szCs w:val="24"/>
        </w:rPr>
        <w:t>accredited under the Diagnostic Imaging Accreditation Scheme</w:t>
      </w:r>
      <w:r w:rsidR="005C7D9D">
        <w:rPr>
          <w:rFonts w:eastAsia="Segoe UI"/>
          <w:color w:val="000000"/>
          <w:szCs w:val="24"/>
        </w:rPr>
        <w:t xml:space="preserve">, </w:t>
      </w:r>
      <w:r w:rsidR="00F9576C">
        <w:rPr>
          <w:rFonts w:eastAsia="Segoe UI"/>
          <w:color w:val="000000"/>
          <w:szCs w:val="24"/>
        </w:rPr>
        <w:t xml:space="preserve">been allocated </w:t>
      </w:r>
      <w:r w:rsidR="00187241">
        <w:rPr>
          <w:rFonts w:eastAsia="Segoe UI"/>
          <w:color w:val="000000"/>
          <w:szCs w:val="24"/>
        </w:rPr>
        <w:t xml:space="preserve">a Location Specific Practice Number </w:t>
      </w:r>
      <w:r w:rsidR="005C7D9D">
        <w:rPr>
          <w:rFonts w:eastAsia="Segoe UI"/>
          <w:color w:val="000000"/>
          <w:szCs w:val="24"/>
        </w:rPr>
        <w:t xml:space="preserve">and </w:t>
      </w:r>
      <w:r w:rsidR="00E45DEE">
        <w:rPr>
          <w:rFonts w:eastAsia="Segoe UI"/>
          <w:color w:val="000000"/>
          <w:szCs w:val="24"/>
        </w:rPr>
        <w:t xml:space="preserve">approved as a </w:t>
      </w:r>
      <w:r>
        <w:rPr>
          <w:rFonts w:eastAsia="Segoe UI"/>
          <w:color w:val="000000"/>
          <w:szCs w:val="24"/>
        </w:rPr>
        <w:t xml:space="preserve">Medicare-eligible </w:t>
      </w:r>
      <w:r w:rsidR="001D0883">
        <w:rPr>
          <w:rFonts w:eastAsia="Segoe UI"/>
          <w:color w:val="000000"/>
          <w:szCs w:val="24"/>
        </w:rPr>
        <w:t xml:space="preserve">PET </w:t>
      </w:r>
      <w:r w:rsidR="00E45DEE">
        <w:rPr>
          <w:rFonts w:eastAsia="Segoe UI"/>
          <w:color w:val="000000"/>
          <w:szCs w:val="24"/>
        </w:rPr>
        <w:t>unit</w:t>
      </w:r>
      <w:r>
        <w:rPr>
          <w:rFonts w:eastAsia="Segoe UI"/>
          <w:color w:val="000000"/>
          <w:szCs w:val="24"/>
        </w:rPr>
        <w:t>.</w:t>
      </w:r>
    </w:p>
    <w:p w14:paraId="57B164EE" w14:textId="209946B8" w:rsidR="00303C82" w:rsidRDefault="005B45F9" w:rsidP="00A2426A">
      <w:pPr>
        <w:rPr>
          <w:szCs w:val="24"/>
        </w:rPr>
      </w:pPr>
      <w:r>
        <w:rPr>
          <w:rFonts w:eastAsia="Segoe UI"/>
          <w:color w:val="000000"/>
          <w:szCs w:val="24"/>
        </w:rPr>
        <w:lastRenderedPageBreak/>
        <w:t>T</w:t>
      </w:r>
      <w:r>
        <w:rPr>
          <w:szCs w:val="24"/>
        </w:rPr>
        <w:t xml:space="preserve">hese qualification and accreditation requirements apply for all PET services funded through the MBS. They are not unique to </w:t>
      </w:r>
      <w:r w:rsidR="00303C82">
        <w:rPr>
          <w:szCs w:val="24"/>
        </w:rPr>
        <w:t>amyloid PET</w:t>
      </w:r>
      <w:r w:rsidR="00DD52D1">
        <w:rPr>
          <w:szCs w:val="24"/>
        </w:rPr>
        <w:t xml:space="preserve"> for the purpose of determining eligibility for </w:t>
      </w:r>
      <w:proofErr w:type="spellStart"/>
      <w:r w:rsidR="00DD52D1">
        <w:rPr>
          <w:szCs w:val="24"/>
        </w:rPr>
        <w:t>lecanemab</w:t>
      </w:r>
      <w:proofErr w:type="spellEnd"/>
      <w:r w:rsidR="00303C82">
        <w:rPr>
          <w:szCs w:val="24"/>
        </w:rPr>
        <w:t>.</w:t>
      </w:r>
    </w:p>
    <w:p w14:paraId="72942D59" w14:textId="3C02A874" w:rsidR="00EF2558" w:rsidRDefault="00EF2558" w:rsidP="00EF2558">
      <w:pPr>
        <w:rPr>
          <w:szCs w:val="24"/>
        </w:rPr>
      </w:pPr>
      <w:proofErr w:type="spellStart"/>
      <w:r>
        <w:rPr>
          <w:b/>
          <w:bCs/>
          <w:szCs w:val="24"/>
        </w:rPr>
        <w:t>Lecanemab</w:t>
      </w:r>
      <w:proofErr w:type="spellEnd"/>
      <w:r w:rsidRPr="00F733D3">
        <w:rPr>
          <w:b/>
          <w:bCs/>
          <w:szCs w:val="24"/>
        </w:rPr>
        <w:t xml:space="preserve"> t</w:t>
      </w:r>
      <w:r>
        <w:rPr>
          <w:b/>
          <w:bCs/>
          <w:szCs w:val="24"/>
        </w:rPr>
        <w:t>reatment</w:t>
      </w:r>
    </w:p>
    <w:p w14:paraId="167B27B7" w14:textId="1FD5B93D" w:rsidR="00DD52D1" w:rsidRDefault="001E7AB9" w:rsidP="00A2426A">
      <w:pPr>
        <w:rPr>
          <w:szCs w:val="24"/>
        </w:rPr>
      </w:pPr>
      <w:r w:rsidRPr="00412331">
        <w:rPr>
          <w:szCs w:val="24"/>
        </w:rPr>
        <w:t xml:space="preserve">It is </w:t>
      </w:r>
      <w:r w:rsidR="00520361">
        <w:rPr>
          <w:szCs w:val="24"/>
        </w:rPr>
        <w:t xml:space="preserve">foreshadowed </w:t>
      </w:r>
      <w:r w:rsidRPr="00412331">
        <w:rPr>
          <w:szCs w:val="24"/>
        </w:rPr>
        <w:t xml:space="preserve">that </w:t>
      </w:r>
      <w:proofErr w:type="spellStart"/>
      <w:r w:rsidRPr="00412331">
        <w:rPr>
          <w:szCs w:val="24"/>
        </w:rPr>
        <w:t>lecanemab</w:t>
      </w:r>
      <w:proofErr w:type="spellEnd"/>
      <w:r w:rsidRPr="00412331">
        <w:rPr>
          <w:szCs w:val="24"/>
        </w:rPr>
        <w:t xml:space="preserve"> would be subsidised through the PBS through the Section 100 Highly Specialised Drugs Program. </w:t>
      </w:r>
      <w:r w:rsidR="00520361" w:rsidRPr="00520361">
        <w:rPr>
          <w:szCs w:val="24"/>
        </w:rPr>
        <w:t>The existing</w:t>
      </w:r>
      <w:r w:rsidR="006A3742">
        <w:rPr>
          <w:szCs w:val="24"/>
        </w:rPr>
        <w:t xml:space="preserve"> qualification and accreditation requirements applicable to b</w:t>
      </w:r>
      <w:r w:rsidR="00661D43">
        <w:rPr>
          <w:szCs w:val="24"/>
        </w:rPr>
        <w:t xml:space="preserve">ecoming a </w:t>
      </w:r>
      <w:r w:rsidR="00963002">
        <w:rPr>
          <w:szCs w:val="24"/>
        </w:rPr>
        <w:t xml:space="preserve">Highly Specialised Drugs </w:t>
      </w:r>
      <w:r w:rsidR="00661D43">
        <w:rPr>
          <w:szCs w:val="24"/>
        </w:rPr>
        <w:t>prescriber would apply.</w:t>
      </w:r>
    </w:p>
    <w:p w14:paraId="0A4A6B35" w14:textId="15130EA2" w:rsidR="00BF4900" w:rsidRDefault="00221174" w:rsidP="00BF4900">
      <w:pPr>
        <w:rPr>
          <w:szCs w:val="24"/>
        </w:rPr>
      </w:pPr>
      <w:r w:rsidRPr="003F6C95">
        <w:rPr>
          <w:b/>
          <w:bCs/>
          <w:szCs w:val="24"/>
        </w:rPr>
        <w:t>MRI scan of the brain:</w:t>
      </w:r>
      <w:r w:rsidR="00BF4900">
        <w:rPr>
          <w:i/>
          <w:iCs/>
          <w:szCs w:val="24"/>
        </w:rPr>
        <w:t xml:space="preserve"> </w:t>
      </w:r>
      <w:r w:rsidR="00520361" w:rsidRPr="00520361">
        <w:rPr>
          <w:szCs w:val="24"/>
        </w:rPr>
        <w:t>The existing</w:t>
      </w:r>
      <w:r w:rsidR="00BF4900">
        <w:rPr>
          <w:szCs w:val="24"/>
        </w:rPr>
        <w:t xml:space="preserve"> qualification and accreditation requirements applicable to receiving Medicare benefits for </w:t>
      </w:r>
      <w:r w:rsidR="00761B67">
        <w:rPr>
          <w:szCs w:val="24"/>
        </w:rPr>
        <w:t>diagnostic imaging ser</w:t>
      </w:r>
      <w:r w:rsidR="00924D4F">
        <w:rPr>
          <w:szCs w:val="24"/>
        </w:rPr>
        <w:t>vices</w:t>
      </w:r>
      <w:r w:rsidR="00BF4900">
        <w:rPr>
          <w:szCs w:val="24"/>
        </w:rPr>
        <w:t xml:space="preserve"> would apply.</w:t>
      </w:r>
    </w:p>
    <w:p w14:paraId="4FAE5602" w14:textId="77777777" w:rsidR="003D6C54" w:rsidRDefault="00A02F1E" w:rsidP="00A4492A">
      <w:pPr>
        <w:rPr>
          <w:rFonts w:eastAsia="Segoe UI"/>
          <w:color w:val="000000"/>
          <w:szCs w:val="24"/>
        </w:rPr>
      </w:pPr>
      <w:r>
        <w:rPr>
          <w:rFonts w:eastAsia="Segoe UI"/>
          <w:color w:val="000000"/>
          <w:szCs w:val="24"/>
        </w:rPr>
        <w:t>MRI</w:t>
      </w:r>
      <w:r w:rsidR="00A4492A">
        <w:rPr>
          <w:rFonts w:eastAsia="Segoe UI"/>
          <w:color w:val="000000"/>
          <w:szCs w:val="24"/>
        </w:rPr>
        <w:t xml:space="preserve"> scans </w:t>
      </w:r>
      <w:r w:rsidR="00BF4900">
        <w:rPr>
          <w:rFonts w:eastAsia="Segoe UI"/>
          <w:color w:val="000000"/>
          <w:szCs w:val="24"/>
        </w:rPr>
        <w:t xml:space="preserve">must be performed by, or under supervision of, a </w:t>
      </w:r>
      <w:r w:rsidR="00A4492A">
        <w:rPr>
          <w:rFonts w:eastAsia="Segoe UI"/>
          <w:color w:val="000000"/>
          <w:szCs w:val="24"/>
        </w:rPr>
        <w:t>medical practitioner</w:t>
      </w:r>
      <w:r w:rsidR="003D6C54">
        <w:rPr>
          <w:rFonts w:eastAsia="Segoe UI"/>
          <w:color w:val="000000"/>
          <w:szCs w:val="24"/>
        </w:rPr>
        <w:t xml:space="preserve"> to be eligible to receive a Medicare benefit.</w:t>
      </w:r>
    </w:p>
    <w:p w14:paraId="3FF7B96F" w14:textId="12CF620A" w:rsidR="00BF4900" w:rsidRDefault="003D6C54" w:rsidP="00BF4900">
      <w:pPr>
        <w:rPr>
          <w:rFonts w:eastAsia="Segoe UI"/>
          <w:color w:val="000000"/>
          <w:szCs w:val="24"/>
        </w:rPr>
      </w:pPr>
      <w:r>
        <w:rPr>
          <w:rFonts w:eastAsia="Segoe UI"/>
          <w:color w:val="000000"/>
          <w:szCs w:val="24"/>
        </w:rPr>
        <w:t>MRI scans</w:t>
      </w:r>
      <w:r w:rsidR="00BF4900">
        <w:rPr>
          <w:rFonts w:eastAsia="Segoe UI"/>
          <w:color w:val="000000"/>
          <w:szCs w:val="24"/>
        </w:rPr>
        <w:t xml:space="preserve"> must be performed in a facility that is accredited under the Diagnostic Imaging Accreditation Scheme, been allocated a Location Specific Practice Number and approved as a Medicare-eligible </w:t>
      </w:r>
      <w:r w:rsidR="00EB6EDE">
        <w:rPr>
          <w:rFonts w:eastAsia="Segoe UI"/>
          <w:color w:val="000000"/>
          <w:szCs w:val="24"/>
        </w:rPr>
        <w:t xml:space="preserve">MRI </w:t>
      </w:r>
      <w:r w:rsidR="00BF4900">
        <w:rPr>
          <w:rFonts w:eastAsia="Segoe UI"/>
          <w:color w:val="000000"/>
          <w:szCs w:val="24"/>
        </w:rPr>
        <w:t>unit.</w:t>
      </w:r>
    </w:p>
    <w:p w14:paraId="1D91BFC7" w14:textId="2B9C376E" w:rsidR="00BF4900" w:rsidRDefault="00BF4900" w:rsidP="00BF4900">
      <w:pPr>
        <w:rPr>
          <w:szCs w:val="24"/>
        </w:rPr>
      </w:pPr>
      <w:r>
        <w:rPr>
          <w:rFonts w:eastAsia="Segoe UI"/>
          <w:color w:val="000000"/>
          <w:szCs w:val="24"/>
        </w:rPr>
        <w:t>T</w:t>
      </w:r>
      <w:r>
        <w:rPr>
          <w:szCs w:val="24"/>
        </w:rPr>
        <w:t xml:space="preserve">hese qualification and accreditation requirements apply for all </w:t>
      </w:r>
      <w:r w:rsidR="00EB6EDE">
        <w:rPr>
          <w:szCs w:val="24"/>
        </w:rPr>
        <w:t xml:space="preserve">MRI </w:t>
      </w:r>
      <w:r>
        <w:rPr>
          <w:szCs w:val="24"/>
        </w:rPr>
        <w:t>services funded through the MBS</w:t>
      </w:r>
      <w:r w:rsidR="00B02B38">
        <w:rPr>
          <w:szCs w:val="24"/>
        </w:rPr>
        <w:t xml:space="preserve">. They are not </w:t>
      </w:r>
      <w:r>
        <w:rPr>
          <w:szCs w:val="24"/>
        </w:rPr>
        <w:t xml:space="preserve">unique to </w:t>
      </w:r>
      <w:r w:rsidR="00EB6EDE">
        <w:rPr>
          <w:szCs w:val="24"/>
        </w:rPr>
        <w:t xml:space="preserve">MRI scans of the brain </w:t>
      </w:r>
      <w:r>
        <w:rPr>
          <w:szCs w:val="24"/>
        </w:rPr>
        <w:t xml:space="preserve">for the purpose of determining eligibility for </w:t>
      </w:r>
      <w:r w:rsidR="0068728B">
        <w:rPr>
          <w:szCs w:val="24"/>
        </w:rPr>
        <w:t xml:space="preserve">initial and ongoing </w:t>
      </w:r>
      <w:r>
        <w:rPr>
          <w:szCs w:val="24"/>
        </w:rPr>
        <w:t xml:space="preserve">treatment with </w:t>
      </w:r>
      <w:proofErr w:type="spellStart"/>
      <w:r>
        <w:rPr>
          <w:szCs w:val="24"/>
        </w:rPr>
        <w:t>lecanemab</w:t>
      </w:r>
      <w:proofErr w:type="spellEnd"/>
      <w:r>
        <w:rPr>
          <w:szCs w:val="24"/>
        </w:rPr>
        <w:t>.</w:t>
      </w:r>
    </w:p>
    <w:p w14:paraId="54E88C9C" w14:textId="29E2DD0A" w:rsidR="00380C41" w:rsidRPr="00D163F8" w:rsidRDefault="00BB494A" w:rsidP="00D163F8">
      <w:pPr>
        <w:rPr>
          <w:i/>
          <w:iCs/>
        </w:rPr>
      </w:pPr>
      <w:r w:rsidRPr="00D163F8">
        <w:rPr>
          <w:b/>
          <w:bCs/>
          <w:szCs w:val="24"/>
        </w:rPr>
        <w:t xml:space="preserve">Indicate the proposed setting(s) in which the proposed health technology will be delivered: </w:t>
      </w:r>
    </w:p>
    <w:p w14:paraId="6C4BF8E1" w14:textId="0A5B701F" w:rsidR="00BC0C43" w:rsidRPr="00172602" w:rsidRDefault="00D86888" w:rsidP="00582377">
      <w:pPr>
        <w:pStyle w:val="Tickboxes"/>
        <w:rPr>
          <w:sz w:val="24"/>
          <w:szCs w:val="24"/>
        </w:rPr>
      </w:pPr>
      <w:r>
        <w:rPr>
          <w:sz w:val="24"/>
          <w:szCs w:val="24"/>
        </w:rPr>
        <w:fldChar w:fldCharType="begin">
          <w:ffData>
            <w:name w:val=""/>
            <w:enabled/>
            <w:calcOnExit w:val="0"/>
            <w:statusText w:type="text" w:val="Proposed setting for delivery Consulting room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172602">
        <w:rPr>
          <w:sz w:val="24"/>
          <w:szCs w:val="24"/>
        </w:rPr>
        <w:t xml:space="preserve"> </w:t>
      </w:r>
      <w:r w:rsidR="00BB494A" w:rsidRPr="00172602">
        <w:rPr>
          <w:sz w:val="24"/>
          <w:szCs w:val="24"/>
        </w:rPr>
        <w:t>Consulting rooms</w:t>
      </w:r>
      <w:r w:rsidR="00380C41" w:rsidRPr="00172602">
        <w:rPr>
          <w:sz w:val="24"/>
          <w:szCs w:val="24"/>
        </w:rPr>
        <w:t xml:space="preserve"> </w:t>
      </w:r>
    </w:p>
    <w:p w14:paraId="27A91C50" w14:textId="736F9A64" w:rsidR="00380C41" w:rsidRPr="00172602" w:rsidRDefault="00993203" w:rsidP="00582377">
      <w:pPr>
        <w:pStyle w:val="Tickboxes"/>
        <w:rPr>
          <w:sz w:val="24"/>
          <w:szCs w:val="24"/>
        </w:rPr>
      </w:pPr>
      <w:r>
        <w:rPr>
          <w:sz w:val="24"/>
          <w:szCs w:val="24"/>
        </w:rPr>
        <w:fldChar w:fldCharType="begin">
          <w:ffData>
            <w:name w:val=""/>
            <w:enabled/>
            <w:calcOnExit w:val="0"/>
            <w:statusText w:type="text" w:val="Proposed setting for delivery Day surgery centr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Day surgery centre</w:t>
      </w:r>
    </w:p>
    <w:p w14:paraId="1DAFF305" w14:textId="605EA1A2" w:rsidR="00380C41" w:rsidRPr="00172602" w:rsidRDefault="00BF33FE" w:rsidP="00582377">
      <w:pPr>
        <w:pStyle w:val="Tickboxes"/>
        <w:rPr>
          <w:sz w:val="24"/>
          <w:szCs w:val="24"/>
        </w:rPr>
      </w:pPr>
      <w:r>
        <w:rPr>
          <w:sz w:val="24"/>
          <w:szCs w:val="24"/>
        </w:rPr>
        <w:fldChar w:fldCharType="begin">
          <w:ffData>
            <w:name w:val=""/>
            <w:enabled/>
            <w:calcOnExit w:val="0"/>
            <w:statusText w:type="text" w:val="Proposed setting for delivery Emergency Departmen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Emergency Department</w:t>
      </w:r>
      <w:r w:rsidR="00380C41" w:rsidRPr="00172602">
        <w:rPr>
          <w:sz w:val="24"/>
          <w:szCs w:val="24"/>
        </w:rPr>
        <w:t xml:space="preserve"> </w:t>
      </w:r>
    </w:p>
    <w:p w14:paraId="020AC503" w14:textId="77C1FA61" w:rsidR="00380C41" w:rsidRPr="00172602" w:rsidRDefault="00701150" w:rsidP="00582377">
      <w:pPr>
        <w:pStyle w:val="Tickboxes"/>
        <w:rPr>
          <w:sz w:val="24"/>
          <w:szCs w:val="24"/>
        </w:rPr>
      </w:pPr>
      <w:r>
        <w:rPr>
          <w:sz w:val="24"/>
          <w:szCs w:val="24"/>
        </w:rPr>
        <w:fldChar w:fldCharType="begin">
          <w:ffData>
            <w:name w:val=""/>
            <w:enabled/>
            <w:calcOnExit w:val="0"/>
            <w:statusText w:type="text" w:val="Proposed setting for delivery Inpatient private hospital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172602">
        <w:rPr>
          <w:sz w:val="24"/>
          <w:szCs w:val="24"/>
        </w:rPr>
        <w:t xml:space="preserve"> </w:t>
      </w:r>
      <w:r w:rsidR="00BB494A" w:rsidRPr="00172602">
        <w:rPr>
          <w:sz w:val="24"/>
          <w:szCs w:val="24"/>
        </w:rPr>
        <w:t>Inpatient private hospital</w:t>
      </w:r>
    </w:p>
    <w:p w14:paraId="6E8C6D7D" w14:textId="5F53617D"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Inpatient public hospital"/>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Inpatient public hospital</w:t>
      </w:r>
    </w:p>
    <w:p w14:paraId="1C5133DF" w14:textId="001C2838" w:rsidR="00BB494A" w:rsidRPr="00172602" w:rsidRDefault="00740748" w:rsidP="00582377">
      <w:pPr>
        <w:pStyle w:val="Tickboxes"/>
        <w:rPr>
          <w:sz w:val="24"/>
          <w:szCs w:val="24"/>
        </w:rPr>
      </w:pPr>
      <w:r>
        <w:rPr>
          <w:sz w:val="24"/>
          <w:szCs w:val="24"/>
        </w:rPr>
        <w:fldChar w:fldCharType="begin">
          <w:ffData>
            <w:name w:val=""/>
            <w:enabled/>
            <w:calcOnExit w:val="0"/>
            <w:statusText w:type="text" w:val="Proposed setting for delivery Laboratory"/>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Laboratory</w:t>
      </w:r>
    </w:p>
    <w:p w14:paraId="723FB55F" w14:textId="2E566161" w:rsidR="00BB494A" w:rsidRPr="00172602" w:rsidRDefault="00740748" w:rsidP="00582377">
      <w:pPr>
        <w:pStyle w:val="Tickboxes"/>
        <w:rPr>
          <w:sz w:val="24"/>
          <w:szCs w:val="24"/>
        </w:rPr>
      </w:pPr>
      <w:r>
        <w:rPr>
          <w:sz w:val="24"/>
          <w:szCs w:val="24"/>
        </w:rPr>
        <w:fldChar w:fldCharType="begin">
          <w:ffData>
            <w:name w:val=""/>
            <w:enabled/>
            <w:calcOnExit w:val="0"/>
            <w:statusText w:type="text" w:val="Proposed setting for delivery Outpatient clinic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Outpatient clinic </w:t>
      </w:r>
    </w:p>
    <w:p w14:paraId="111DE2AB" w14:textId="10C7647F" w:rsidR="00BB494A" w:rsidRPr="00172602" w:rsidRDefault="00AF5EF5" w:rsidP="00582377">
      <w:pPr>
        <w:pStyle w:val="Tickboxes"/>
        <w:rPr>
          <w:sz w:val="24"/>
          <w:szCs w:val="24"/>
        </w:rPr>
      </w:pPr>
      <w:r>
        <w:rPr>
          <w:sz w:val="24"/>
          <w:szCs w:val="24"/>
        </w:rPr>
        <w:fldChar w:fldCharType="begin">
          <w:ffData>
            <w:name w:val=""/>
            <w:enabled/>
            <w:calcOnExit w:val="0"/>
            <w:statusText w:type="text" w:val="Proposed setting for delivery Patient’s home"/>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Patient’s home</w:t>
      </w:r>
    </w:p>
    <w:p w14:paraId="428D75FD" w14:textId="6EF92FF1" w:rsidR="00BB494A" w:rsidRPr="00172602" w:rsidRDefault="002C1A17" w:rsidP="00582377">
      <w:pPr>
        <w:pStyle w:val="Tickboxes"/>
        <w:rPr>
          <w:sz w:val="24"/>
          <w:szCs w:val="24"/>
        </w:rPr>
      </w:pPr>
      <w:r>
        <w:rPr>
          <w:sz w:val="24"/>
          <w:szCs w:val="24"/>
        </w:rPr>
        <w:fldChar w:fldCharType="begin">
          <w:ffData>
            <w:name w:val=""/>
            <w:enabled/>
            <w:calcOnExit w:val="0"/>
            <w:statusText w:type="text" w:val="Proposed setting for delivery Point of care testing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Point of care testing </w:t>
      </w:r>
    </w:p>
    <w:p w14:paraId="47F449C5" w14:textId="19B88145" w:rsidR="00BB494A" w:rsidRPr="00172602" w:rsidRDefault="006E1453" w:rsidP="00582377">
      <w:pPr>
        <w:pStyle w:val="Tickboxes"/>
        <w:rPr>
          <w:sz w:val="24"/>
          <w:szCs w:val="24"/>
        </w:rPr>
      </w:pPr>
      <w:r>
        <w:rPr>
          <w:sz w:val="24"/>
          <w:szCs w:val="24"/>
        </w:rPr>
        <w:fldChar w:fldCharType="begin">
          <w:ffData>
            <w:name w:val=""/>
            <w:enabled/>
            <w:calcOnExit w:val="0"/>
            <w:statusText w:type="text" w:val="Proposed setting for delivery Residential aged care facility"/>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Residential aged care facility</w:t>
      </w:r>
    </w:p>
    <w:bookmarkStart w:id="2" w:name="_Hlk181704751"/>
    <w:p w14:paraId="594B3A20" w14:textId="6C1A0811" w:rsidR="00BB494A" w:rsidRPr="00172602" w:rsidRDefault="001C3B2E" w:rsidP="00582377">
      <w:pPr>
        <w:pStyle w:val="Tickboxes"/>
        <w:rPr>
          <w:sz w:val="24"/>
          <w:szCs w:val="24"/>
        </w:rPr>
      </w:pPr>
      <w:r>
        <w:rPr>
          <w:sz w:val="24"/>
          <w:szCs w:val="24"/>
        </w:rPr>
        <w:fldChar w:fldCharType="begin">
          <w:ffData>
            <w:name w:val=""/>
            <w:enabled/>
            <w:calcOnExit w:val="0"/>
            <w:statusText w:type="text" w:val="Proposed setting for delivery Other (please specify)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172602">
        <w:rPr>
          <w:sz w:val="24"/>
          <w:szCs w:val="24"/>
        </w:rPr>
        <w:t xml:space="preserve"> Other (</w:t>
      </w:r>
      <w:bookmarkEnd w:id="2"/>
      <w:r w:rsidR="001C3BD2">
        <w:rPr>
          <w:sz w:val="24"/>
          <w:szCs w:val="24"/>
        </w:rPr>
        <w:t>pathology collection centre</w:t>
      </w:r>
      <w:r w:rsidR="00BB494A" w:rsidRPr="00172602">
        <w:rPr>
          <w:sz w:val="24"/>
          <w:szCs w:val="24"/>
        </w:rPr>
        <w:t xml:space="preserve">) </w:t>
      </w:r>
    </w:p>
    <w:p w14:paraId="0D56AD3D" w14:textId="070057E4" w:rsidR="00BB494A" w:rsidRDefault="003F7D67" w:rsidP="00BC0C43">
      <w:pPr>
        <w:rPr>
          <w:b/>
          <w:bCs/>
          <w:szCs w:val="24"/>
        </w:rPr>
      </w:pPr>
      <w:r w:rsidRPr="003F7D67">
        <w:rPr>
          <w:b/>
          <w:bCs/>
          <w:szCs w:val="24"/>
        </w:rPr>
        <w:t>Biomarker testing</w:t>
      </w:r>
    </w:p>
    <w:p w14:paraId="082FD190" w14:textId="73435753" w:rsidR="00764B61" w:rsidRDefault="00764B61" w:rsidP="00D163F8">
      <w:pPr>
        <w:rPr>
          <w:rFonts w:eastAsia="Segoe UI"/>
          <w:color w:val="000000"/>
          <w:szCs w:val="24"/>
        </w:rPr>
      </w:pPr>
      <w:proofErr w:type="spellStart"/>
      <w:r w:rsidRPr="00AF5228">
        <w:rPr>
          <w:szCs w:val="24"/>
        </w:rPr>
        <w:t>ApoE</w:t>
      </w:r>
      <w:proofErr w:type="spellEnd"/>
      <w:r w:rsidRPr="00AF5228">
        <w:rPr>
          <w:szCs w:val="24"/>
        </w:rPr>
        <w:t xml:space="preserve"> </w:t>
      </w:r>
      <w:r w:rsidRPr="0031640F">
        <w:rPr>
          <w:szCs w:val="24"/>
        </w:rPr>
        <w:t>ε</w:t>
      </w:r>
      <w:r w:rsidRPr="00AF5228">
        <w:rPr>
          <w:szCs w:val="24"/>
        </w:rPr>
        <w:t>4 genotype, t-tau/A</w:t>
      </w:r>
      <w:proofErr w:type="gramStart"/>
      <w:r w:rsidRPr="007A38E5">
        <w:rPr>
          <w:szCs w:val="24"/>
        </w:rPr>
        <w:t>β</w:t>
      </w:r>
      <w:r w:rsidRPr="00AF5228">
        <w:rPr>
          <w:szCs w:val="24"/>
        </w:rPr>
        <w:t>[</w:t>
      </w:r>
      <w:proofErr w:type="gramEnd"/>
      <w:r w:rsidRPr="00AF5228">
        <w:rPr>
          <w:szCs w:val="24"/>
        </w:rPr>
        <w:t xml:space="preserve">1-42] in CSF and </w:t>
      </w:r>
      <w:r w:rsidRPr="00AF5228">
        <w:rPr>
          <w:rFonts w:eastAsia="Segoe UI"/>
          <w:color w:val="000000"/>
          <w:szCs w:val="24"/>
        </w:rPr>
        <w:t>pTau217 in plasma testing woul</w:t>
      </w:r>
      <w:r w:rsidR="00AF5228" w:rsidRPr="00AF5228">
        <w:rPr>
          <w:rFonts w:eastAsia="Segoe UI"/>
          <w:color w:val="000000"/>
          <w:szCs w:val="24"/>
        </w:rPr>
        <w:t>d take</w:t>
      </w:r>
      <w:r w:rsidR="00AF5228">
        <w:rPr>
          <w:rFonts w:eastAsia="Segoe UI"/>
          <w:color w:val="000000"/>
          <w:szCs w:val="24"/>
        </w:rPr>
        <w:t xml:space="preserve"> place in a laboratory. </w:t>
      </w:r>
      <w:r w:rsidR="001C3BD2">
        <w:rPr>
          <w:rFonts w:eastAsia="Segoe UI"/>
          <w:color w:val="000000"/>
          <w:szCs w:val="24"/>
        </w:rPr>
        <w:t>Blood s</w:t>
      </w:r>
      <w:r w:rsidR="00AF5228">
        <w:rPr>
          <w:rFonts w:eastAsia="Segoe UI"/>
          <w:color w:val="000000"/>
          <w:szCs w:val="24"/>
        </w:rPr>
        <w:t>ample collection</w:t>
      </w:r>
      <w:r w:rsidR="001C3BD2">
        <w:rPr>
          <w:rFonts w:eastAsia="Segoe UI"/>
          <w:color w:val="000000"/>
          <w:szCs w:val="24"/>
        </w:rPr>
        <w:t xml:space="preserve"> for </w:t>
      </w:r>
      <w:proofErr w:type="spellStart"/>
      <w:r w:rsidR="001C3BD2" w:rsidRPr="00AF5228">
        <w:rPr>
          <w:szCs w:val="24"/>
        </w:rPr>
        <w:t>ApoE</w:t>
      </w:r>
      <w:proofErr w:type="spellEnd"/>
      <w:r w:rsidR="001C3BD2" w:rsidRPr="00AF5228">
        <w:rPr>
          <w:szCs w:val="24"/>
        </w:rPr>
        <w:t xml:space="preserve"> </w:t>
      </w:r>
      <w:r w:rsidR="001C3BD2" w:rsidRPr="0031640F">
        <w:rPr>
          <w:szCs w:val="24"/>
        </w:rPr>
        <w:t>ε</w:t>
      </w:r>
      <w:r w:rsidR="001C3BD2" w:rsidRPr="00AF5228">
        <w:rPr>
          <w:szCs w:val="24"/>
        </w:rPr>
        <w:t>4 genotype</w:t>
      </w:r>
      <w:r w:rsidR="001C3BD2">
        <w:rPr>
          <w:szCs w:val="24"/>
        </w:rPr>
        <w:t xml:space="preserve"> and </w:t>
      </w:r>
      <w:r w:rsidR="001C3BD2" w:rsidRPr="00AF5228">
        <w:rPr>
          <w:rFonts w:eastAsia="Segoe UI"/>
          <w:color w:val="000000"/>
          <w:szCs w:val="24"/>
        </w:rPr>
        <w:t>pTau217 in plasma testing</w:t>
      </w:r>
      <w:r w:rsidR="001C3BD2">
        <w:rPr>
          <w:rFonts w:eastAsia="Segoe UI"/>
          <w:color w:val="000000"/>
          <w:szCs w:val="24"/>
        </w:rPr>
        <w:t xml:space="preserve"> </w:t>
      </w:r>
      <w:r w:rsidR="006624F2">
        <w:rPr>
          <w:rFonts w:eastAsia="Segoe UI"/>
          <w:color w:val="000000"/>
          <w:szCs w:val="24"/>
        </w:rPr>
        <w:t>w</w:t>
      </w:r>
      <w:r w:rsidR="001C3BD2">
        <w:rPr>
          <w:rFonts w:eastAsia="Segoe UI"/>
          <w:color w:val="000000"/>
          <w:szCs w:val="24"/>
        </w:rPr>
        <w:t xml:space="preserve">ould take place in consulting rooms </w:t>
      </w:r>
      <w:r w:rsidR="00755B3A">
        <w:rPr>
          <w:rFonts w:eastAsia="Segoe UI"/>
          <w:color w:val="000000"/>
          <w:szCs w:val="24"/>
        </w:rPr>
        <w:t>or a pathology collection centre.</w:t>
      </w:r>
    </w:p>
    <w:p w14:paraId="2438C8A4" w14:textId="12E95BCE" w:rsidR="008A0DAA" w:rsidRDefault="00755B3A" w:rsidP="00D163F8">
      <w:pPr>
        <w:rPr>
          <w:szCs w:val="24"/>
        </w:rPr>
      </w:pPr>
      <w:r>
        <w:rPr>
          <w:rFonts w:eastAsia="Segoe UI"/>
          <w:color w:val="000000"/>
          <w:szCs w:val="24"/>
        </w:rPr>
        <w:t xml:space="preserve">Sample collection for </w:t>
      </w:r>
      <w:r w:rsidRPr="00AF5228">
        <w:rPr>
          <w:szCs w:val="24"/>
        </w:rPr>
        <w:t>t-tau/A</w:t>
      </w:r>
      <w:proofErr w:type="gramStart"/>
      <w:r w:rsidRPr="007A38E5">
        <w:rPr>
          <w:szCs w:val="24"/>
        </w:rPr>
        <w:t>β</w:t>
      </w:r>
      <w:r w:rsidRPr="00AF5228">
        <w:rPr>
          <w:szCs w:val="24"/>
        </w:rPr>
        <w:t>[</w:t>
      </w:r>
      <w:proofErr w:type="gramEnd"/>
      <w:r w:rsidRPr="00AF5228">
        <w:rPr>
          <w:szCs w:val="24"/>
        </w:rPr>
        <w:t>1-42] in CSF</w:t>
      </w:r>
      <w:r>
        <w:rPr>
          <w:szCs w:val="24"/>
        </w:rPr>
        <w:t xml:space="preserve"> testing </w:t>
      </w:r>
      <w:r w:rsidR="006624F2">
        <w:rPr>
          <w:szCs w:val="24"/>
        </w:rPr>
        <w:t xml:space="preserve">would take place in consulting rooms. Some </w:t>
      </w:r>
      <w:r w:rsidR="00614B34">
        <w:rPr>
          <w:szCs w:val="24"/>
        </w:rPr>
        <w:t>people</w:t>
      </w:r>
      <w:r w:rsidR="006624F2">
        <w:rPr>
          <w:szCs w:val="24"/>
        </w:rPr>
        <w:t xml:space="preserve"> may </w:t>
      </w:r>
      <w:r w:rsidR="00C3243F">
        <w:rPr>
          <w:szCs w:val="24"/>
        </w:rPr>
        <w:t xml:space="preserve">have </w:t>
      </w:r>
      <w:r w:rsidR="001C3B2E">
        <w:rPr>
          <w:szCs w:val="24"/>
        </w:rPr>
        <w:t xml:space="preserve">local </w:t>
      </w:r>
      <w:r w:rsidR="00BD473D">
        <w:rPr>
          <w:szCs w:val="24"/>
        </w:rPr>
        <w:t>anaesthesia</w:t>
      </w:r>
      <w:r w:rsidR="00C3243F">
        <w:rPr>
          <w:szCs w:val="24"/>
        </w:rPr>
        <w:t xml:space="preserve"> or </w:t>
      </w:r>
      <w:r w:rsidR="00BD473D">
        <w:rPr>
          <w:szCs w:val="24"/>
        </w:rPr>
        <w:t>mild sedation prior to</w:t>
      </w:r>
      <w:r w:rsidR="00C3243F">
        <w:rPr>
          <w:szCs w:val="24"/>
        </w:rPr>
        <w:t xml:space="preserve"> CSF sample collect</w:t>
      </w:r>
      <w:r w:rsidR="00BD473D">
        <w:rPr>
          <w:szCs w:val="24"/>
        </w:rPr>
        <w:t>i</w:t>
      </w:r>
      <w:r w:rsidR="008A0DAA">
        <w:rPr>
          <w:szCs w:val="24"/>
        </w:rPr>
        <w:t xml:space="preserve">on, with the procedure performed </w:t>
      </w:r>
      <w:r w:rsidR="00DF1EC8">
        <w:rPr>
          <w:szCs w:val="24"/>
        </w:rPr>
        <w:t xml:space="preserve">within </w:t>
      </w:r>
      <w:r w:rsidR="008A0DAA">
        <w:rPr>
          <w:szCs w:val="24"/>
        </w:rPr>
        <w:t>a</w:t>
      </w:r>
      <w:r w:rsidR="00DF1EC8">
        <w:rPr>
          <w:szCs w:val="24"/>
        </w:rPr>
        <w:t xml:space="preserve">n </w:t>
      </w:r>
      <w:r w:rsidR="008A0DAA">
        <w:rPr>
          <w:szCs w:val="24"/>
        </w:rPr>
        <w:t>outpatient clinic.</w:t>
      </w:r>
    </w:p>
    <w:p w14:paraId="36D060C3" w14:textId="783987D6" w:rsidR="00FE28DB" w:rsidRDefault="00FE28DB" w:rsidP="00D163F8">
      <w:pPr>
        <w:rPr>
          <w:szCs w:val="24"/>
        </w:rPr>
      </w:pPr>
      <w:r>
        <w:rPr>
          <w:szCs w:val="24"/>
        </w:rPr>
        <w:t>Amyloid PET would take place in an outpatient radiology clinic</w:t>
      </w:r>
      <w:r w:rsidR="003C305A">
        <w:rPr>
          <w:szCs w:val="24"/>
        </w:rPr>
        <w:t>.</w:t>
      </w:r>
    </w:p>
    <w:p w14:paraId="2CAB2ED2" w14:textId="69066522" w:rsidR="003C305A" w:rsidRPr="003C305A" w:rsidRDefault="003C305A" w:rsidP="00D163F8">
      <w:pPr>
        <w:rPr>
          <w:b/>
          <w:bCs/>
          <w:szCs w:val="24"/>
        </w:rPr>
      </w:pPr>
      <w:proofErr w:type="spellStart"/>
      <w:r w:rsidRPr="003C305A">
        <w:rPr>
          <w:b/>
          <w:bCs/>
          <w:szCs w:val="24"/>
        </w:rPr>
        <w:t>Lecanemab</w:t>
      </w:r>
      <w:proofErr w:type="spellEnd"/>
      <w:r w:rsidRPr="003C305A">
        <w:rPr>
          <w:b/>
          <w:bCs/>
          <w:szCs w:val="24"/>
        </w:rPr>
        <w:t xml:space="preserve"> treatment</w:t>
      </w:r>
    </w:p>
    <w:p w14:paraId="49CE56C5" w14:textId="6F8D2FDD" w:rsidR="00755B3A" w:rsidRDefault="003C305A" w:rsidP="00D163F8">
      <w:pPr>
        <w:rPr>
          <w:szCs w:val="24"/>
        </w:rPr>
      </w:pPr>
      <w:r>
        <w:rPr>
          <w:szCs w:val="24"/>
        </w:rPr>
        <w:lastRenderedPageBreak/>
        <w:t>Intr</w:t>
      </w:r>
      <w:r w:rsidR="004307EF">
        <w:rPr>
          <w:szCs w:val="24"/>
        </w:rPr>
        <w:t xml:space="preserve">avenous infusion of </w:t>
      </w:r>
      <w:proofErr w:type="spellStart"/>
      <w:r w:rsidR="004307EF">
        <w:rPr>
          <w:szCs w:val="24"/>
        </w:rPr>
        <w:t>lecanemab</w:t>
      </w:r>
      <w:proofErr w:type="spellEnd"/>
      <w:r w:rsidR="004307EF">
        <w:rPr>
          <w:szCs w:val="24"/>
        </w:rPr>
        <w:t xml:space="preserve"> </w:t>
      </w:r>
      <w:r w:rsidR="00F64DEA">
        <w:rPr>
          <w:szCs w:val="24"/>
        </w:rPr>
        <w:t>is expected to take place</w:t>
      </w:r>
      <w:r w:rsidR="00E07CF6">
        <w:rPr>
          <w:szCs w:val="24"/>
        </w:rPr>
        <w:t xml:space="preserve"> at an infusion centre operating as an outpatient clinic.</w:t>
      </w:r>
    </w:p>
    <w:p w14:paraId="42EC1613" w14:textId="6901A99D" w:rsidR="00FA72E4" w:rsidRDefault="00FA72E4" w:rsidP="00D163F8">
      <w:pPr>
        <w:rPr>
          <w:szCs w:val="24"/>
        </w:rPr>
      </w:pPr>
      <w:r>
        <w:rPr>
          <w:szCs w:val="24"/>
        </w:rPr>
        <w:t>MRI scans of the brain would take place in an outpatient radiology clinic.</w:t>
      </w:r>
    </w:p>
    <w:p w14:paraId="2A1C0D0A" w14:textId="2D872D86" w:rsidR="002D7216" w:rsidRPr="00D163F8" w:rsidRDefault="002D7216" w:rsidP="00D163F8">
      <w:pPr>
        <w:rPr>
          <w:b/>
          <w:bCs/>
          <w:szCs w:val="24"/>
        </w:rPr>
      </w:pPr>
      <w:r w:rsidRPr="00D163F8">
        <w:rPr>
          <w:b/>
          <w:bCs/>
          <w:szCs w:val="24"/>
        </w:rPr>
        <w:t xml:space="preserve">Is the proposed health technology intended to be entirely rendered inside Australia? </w:t>
      </w:r>
    </w:p>
    <w:p w14:paraId="0478F3B1" w14:textId="26797564" w:rsidR="002D7216" w:rsidRPr="00172602" w:rsidRDefault="002D7216" w:rsidP="00BC0C43">
      <w:pPr>
        <w:rPr>
          <w:szCs w:val="24"/>
        </w:rPr>
      </w:pPr>
      <w:r w:rsidRPr="00F86B1B">
        <w:rPr>
          <w:szCs w:val="24"/>
        </w:rPr>
        <w:t>Yes</w:t>
      </w:r>
    </w:p>
    <w:p w14:paraId="659D2B35" w14:textId="6E584A32" w:rsidR="002D7216" w:rsidRPr="00D163F8" w:rsidRDefault="00EA0AA0" w:rsidP="00D163F8">
      <w:pPr>
        <w:rPr>
          <w:b/>
          <w:bCs/>
          <w:szCs w:val="24"/>
        </w:rPr>
      </w:pPr>
      <w:r w:rsidRPr="00D163F8">
        <w:rPr>
          <w:b/>
          <w:bCs/>
          <w:szCs w:val="24"/>
        </w:rPr>
        <w:t>P</w:t>
      </w:r>
      <w:r w:rsidR="002D7216" w:rsidRPr="00D163F8">
        <w:rPr>
          <w:b/>
          <w:bCs/>
          <w:szCs w:val="24"/>
        </w:rPr>
        <w:t>rovide additional details on the proposed health technology to be rendered outside of Australia:</w:t>
      </w:r>
    </w:p>
    <w:p w14:paraId="598F6A3E" w14:textId="73277AFD" w:rsidR="00914DB1" w:rsidRDefault="00F86B1B" w:rsidP="00BC0C43">
      <w:pPr>
        <w:rPr>
          <w:szCs w:val="24"/>
        </w:rPr>
      </w:pPr>
      <w:r>
        <w:rPr>
          <w:szCs w:val="24"/>
        </w:rPr>
        <w:t>Not applicable</w:t>
      </w:r>
    </w:p>
    <w:p w14:paraId="5B9D9A2F" w14:textId="5569185C" w:rsidR="00FE257E" w:rsidRPr="003F4E49" w:rsidRDefault="00FE257E" w:rsidP="00EA0AA0">
      <w:pPr>
        <w:pStyle w:val="Heading1"/>
      </w:pPr>
      <w:r w:rsidRPr="00A84BCA">
        <w:rPr>
          <w:color w:val="002060"/>
        </w:rPr>
        <w:t>Comparator</w:t>
      </w:r>
    </w:p>
    <w:p w14:paraId="4FFBF7A2" w14:textId="68C9C7EE" w:rsidR="00FE257E" w:rsidRPr="00D163F8" w:rsidRDefault="00FE257E" w:rsidP="00D163F8">
      <w:pPr>
        <w:rPr>
          <w:b/>
          <w:bCs/>
          <w:szCs w:val="24"/>
        </w:rPr>
      </w:pPr>
      <w:r w:rsidRPr="00D163F8">
        <w:rPr>
          <w:b/>
          <w:bCs/>
          <w:szCs w:val="24"/>
        </w:rPr>
        <w:t>Nominate the appropriate comparator(s) for the proposed medical service (i.e.</w:t>
      </w:r>
      <w:r w:rsidR="00010AAA" w:rsidRPr="00D163F8">
        <w:rPr>
          <w:b/>
          <w:bCs/>
          <w:szCs w:val="24"/>
        </w:rPr>
        <w:t>,</w:t>
      </w:r>
      <w:r w:rsidRPr="00D163F8">
        <w:rPr>
          <w:b/>
          <w:bCs/>
          <w:szCs w:val="24"/>
        </w:rPr>
        <w:t xml:space="preserve"> how is the proposed population currently managed in the absence of the proposed medical service being available in the Australian healthcare system). This includes identifying healthcare resources that are needed to be delivered at the same time as the comparator service:</w:t>
      </w:r>
    </w:p>
    <w:p w14:paraId="412030A6" w14:textId="418D1576" w:rsidR="00930344" w:rsidRPr="00F0470A" w:rsidRDefault="003F6C95" w:rsidP="00BC0C43">
      <w:pPr>
        <w:rPr>
          <w:b/>
          <w:bCs/>
          <w:szCs w:val="24"/>
        </w:rPr>
      </w:pPr>
      <w:r>
        <w:rPr>
          <w:b/>
          <w:bCs/>
          <w:szCs w:val="24"/>
        </w:rPr>
        <w:t>Bioma</w:t>
      </w:r>
      <w:r w:rsidR="008E39DE">
        <w:rPr>
          <w:b/>
          <w:bCs/>
          <w:szCs w:val="24"/>
        </w:rPr>
        <w:t>r</w:t>
      </w:r>
      <w:r>
        <w:rPr>
          <w:b/>
          <w:bCs/>
          <w:szCs w:val="24"/>
        </w:rPr>
        <w:t>ker testing</w:t>
      </w:r>
    </w:p>
    <w:p w14:paraId="529E7BA6" w14:textId="083A536A" w:rsidR="00F0470A" w:rsidRPr="00885BB5" w:rsidRDefault="003361A3" w:rsidP="00885BB5">
      <w:pPr>
        <w:pStyle w:val="ListParagraph"/>
        <w:numPr>
          <w:ilvl w:val="0"/>
          <w:numId w:val="10"/>
        </w:numPr>
        <w:rPr>
          <w:szCs w:val="24"/>
        </w:rPr>
      </w:pPr>
      <w:proofErr w:type="spellStart"/>
      <w:r w:rsidRPr="00885BB5">
        <w:rPr>
          <w:szCs w:val="24"/>
        </w:rPr>
        <w:t>ApoE</w:t>
      </w:r>
      <w:proofErr w:type="spellEnd"/>
      <w:r w:rsidRPr="00885BB5">
        <w:rPr>
          <w:szCs w:val="24"/>
        </w:rPr>
        <w:t xml:space="preserve"> ε4 genotype testing: No testing</w:t>
      </w:r>
      <w:r w:rsidR="009B6261" w:rsidRPr="00885BB5">
        <w:rPr>
          <w:szCs w:val="24"/>
        </w:rPr>
        <w:t xml:space="preserve"> and standard medical management</w:t>
      </w:r>
    </w:p>
    <w:p w14:paraId="64E288D3" w14:textId="77777777" w:rsidR="009B6261" w:rsidRPr="00885BB5" w:rsidRDefault="009B6261" w:rsidP="00885BB5">
      <w:pPr>
        <w:pStyle w:val="ListParagraph"/>
        <w:numPr>
          <w:ilvl w:val="0"/>
          <w:numId w:val="10"/>
        </w:numPr>
        <w:rPr>
          <w:i/>
          <w:iCs/>
          <w:szCs w:val="24"/>
        </w:rPr>
      </w:pPr>
      <w:r w:rsidRPr="00885BB5">
        <w:rPr>
          <w:szCs w:val="24"/>
        </w:rPr>
        <w:t>Amyloid PET:</w:t>
      </w:r>
      <w:r w:rsidRPr="00885BB5">
        <w:rPr>
          <w:i/>
          <w:iCs/>
          <w:szCs w:val="24"/>
        </w:rPr>
        <w:t xml:space="preserve"> </w:t>
      </w:r>
      <w:r w:rsidRPr="00885BB5">
        <w:rPr>
          <w:szCs w:val="24"/>
        </w:rPr>
        <w:t>No amyloid PET and standard medical management</w:t>
      </w:r>
    </w:p>
    <w:p w14:paraId="16F95AF6" w14:textId="48C1AA30" w:rsidR="00E00B27" w:rsidRPr="00885BB5" w:rsidRDefault="00CD4B30" w:rsidP="00885BB5">
      <w:pPr>
        <w:pStyle w:val="ListParagraph"/>
        <w:numPr>
          <w:ilvl w:val="0"/>
          <w:numId w:val="10"/>
        </w:numPr>
        <w:rPr>
          <w:szCs w:val="24"/>
        </w:rPr>
      </w:pPr>
      <w:r w:rsidRPr="00885BB5">
        <w:rPr>
          <w:szCs w:val="24"/>
        </w:rPr>
        <w:t>t-tau/A</w:t>
      </w:r>
      <w:proofErr w:type="gramStart"/>
      <w:r w:rsidRPr="00885BB5">
        <w:rPr>
          <w:szCs w:val="24"/>
        </w:rPr>
        <w:t>β[</w:t>
      </w:r>
      <w:proofErr w:type="gramEnd"/>
      <w:r w:rsidRPr="00885BB5">
        <w:rPr>
          <w:szCs w:val="24"/>
        </w:rPr>
        <w:t>1-42] in CSF testing</w:t>
      </w:r>
      <w:r w:rsidR="00E00B27" w:rsidRPr="00885BB5">
        <w:rPr>
          <w:szCs w:val="24"/>
        </w:rPr>
        <w:t xml:space="preserve">: </w:t>
      </w:r>
      <w:r w:rsidR="00551948" w:rsidRPr="00885BB5">
        <w:rPr>
          <w:szCs w:val="24"/>
        </w:rPr>
        <w:t>A</w:t>
      </w:r>
      <w:r w:rsidR="00C24023" w:rsidRPr="00885BB5">
        <w:rPr>
          <w:szCs w:val="24"/>
        </w:rPr>
        <w:t>myloid PET</w:t>
      </w:r>
    </w:p>
    <w:p w14:paraId="782AF938" w14:textId="14248F96" w:rsidR="003361A3" w:rsidRPr="00885BB5" w:rsidRDefault="00325F2D" w:rsidP="00885BB5">
      <w:pPr>
        <w:pStyle w:val="ListParagraph"/>
        <w:numPr>
          <w:ilvl w:val="0"/>
          <w:numId w:val="10"/>
        </w:numPr>
        <w:rPr>
          <w:szCs w:val="24"/>
        </w:rPr>
      </w:pPr>
      <w:r w:rsidRPr="00885BB5">
        <w:rPr>
          <w:rFonts w:eastAsia="Segoe UI"/>
          <w:color w:val="000000"/>
          <w:szCs w:val="24"/>
        </w:rPr>
        <w:t xml:space="preserve">pTau217 in plasma testing: </w:t>
      </w:r>
      <w:r w:rsidR="00985C3F" w:rsidRPr="00885BB5">
        <w:rPr>
          <w:rFonts w:eastAsia="Segoe UI"/>
          <w:color w:val="000000"/>
          <w:szCs w:val="24"/>
        </w:rPr>
        <w:t>A</w:t>
      </w:r>
      <w:r w:rsidR="000A1B15" w:rsidRPr="00885BB5">
        <w:rPr>
          <w:szCs w:val="24"/>
        </w:rPr>
        <w:t>myloid PET</w:t>
      </w:r>
    </w:p>
    <w:p w14:paraId="0F7FDB8F" w14:textId="779609FC" w:rsidR="0097331D" w:rsidRPr="0097331D" w:rsidRDefault="0097331D" w:rsidP="00BC0C43">
      <w:pPr>
        <w:rPr>
          <w:b/>
          <w:bCs/>
          <w:szCs w:val="24"/>
        </w:rPr>
      </w:pPr>
      <w:r w:rsidRPr="0097331D">
        <w:rPr>
          <w:b/>
          <w:bCs/>
          <w:szCs w:val="24"/>
        </w:rPr>
        <w:t>Other investigations</w:t>
      </w:r>
    </w:p>
    <w:p w14:paraId="2021162F" w14:textId="1401434F" w:rsidR="001D74D5" w:rsidRPr="00885BB5" w:rsidRDefault="0088251D" w:rsidP="00885BB5">
      <w:pPr>
        <w:pStyle w:val="ListParagraph"/>
        <w:numPr>
          <w:ilvl w:val="0"/>
          <w:numId w:val="11"/>
        </w:numPr>
        <w:rPr>
          <w:szCs w:val="24"/>
        </w:rPr>
      </w:pPr>
      <w:r w:rsidRPr="00885BB5">
        <w:rPr>
          <w:szCs w:val="24"/>
        </w:rPr>
        <w:t xml:space="preserve">MRI scan of the brain: </w:t>
      </w:r>
      <w:r w:rsidR="00CF548E" w:rsidRPr="00885BB5">
        <w:rPr>
          <w:szCs w:val="24"/>
        </w:rPr>
        <w:t>MRI scanning performed through existing MBS item</w:t>
      </w:r>
      <w:r w:rsidR="007A3F4F" w:rsidRPr="00885BB5">
        <w:rPr>
          <w:szCs w:val="24"/>
        </w:rPr>
        <w:t>s</w:t>
      </w:r>
    </w:p>
    <w:p w14:paraId="749EAF63" w14:textId="18F9F0BA" w:rsidR="00336DB4" w:rsidRDefault="00336DB4" w:rsidP="00BC0C43">
      <w:pPr>
        <w:rPr>
          <w:b/>
          <w:bCs/>
          <w:szCs w:val="24"/>
        </w:rPr>
      </w:pPr>
      <w:proofErr w:type="spellStart"/>
      <w:r w:rsidRPr="00336DB4">
        <w:rPr>
          <w:b/>
          <w:bCs/>
          <w:szCs w:val="24"/>
        </w:rPr>
        <w:t>Lecanemab</w:t>
      </w:r>
      <w:proofErr w:type="spellEnd"/>
      <w:r w:rsidRPr="00336DB4">
        <w:rPr>
          <w:b/>
          <w:bCs/>
          <w:szCs w:val="24"/>
        </w:rPr>
        <w:t xml:space="preserve"> treatment</w:t>
      </w:r>
    </w:p>
    <w:p w14:paraId="3222487D" w14:textId="245181B9" w:rsidR="00336DB4" w:rsidRPr="00914DB1" w:rsidRDefault="00914DB1" w:rsidP="00914DB1">
      <w:pPr>
        <w:pStyle w:val="ListParagraph"/>
        <w:numPr>
          <w:ilvl w:val="0"/>
          <w:numId w:val="11"/>
        </w:numPr>
        <w:rPr>
          <w:szCs w:val="24"/>
        </w:rPr>
      </w:pPr>
      <w:r>
        <w:rPr>
          <w:szCs w:val="24"/>
        </w:rPr>
        <w:t xml:space="preserve">Main comparator: </w:t>
      </w:r>
      <w:r w:rsidR="00AC28BE" w:rsidRPr="00914DB1">
        <w:rPr>
          <w:szCs w:val="24"/>
        </w:rPr>
        <w:t xml:space="preserve">Standard </w:t>
      </w:r>
      <w:r w:rsidR="009B6261" w:rsidRPr="00914DB1">
        <w:rPr>
          <w:szCs w:val="24"/>
        </w:rPr>
        <w:t>medical management</w:t>
      </w:r>
    </w:p>
    <w:p w14:paraId="0744CE82" w14:textId="59AADE14" w:rsidR="00336DB4" w:rsidRPr="00914DB1" w:rsidRDefault="00AE6E5A" w:rsidP="00914DB1">
      <w:pPr>
        <w:pStyle w:val="ListParagraph"/>
        <w:numPr>
          <w:ilvl w:val="0"/>
          <w:numId w:val="11"/>
        </w:numPr>
        <w:rPr>
          <w:szCs w:val="24"/>
        </w:rPr>
      </w:pPr>
      <w:r w:rsidRPr="00914DB1">
        <w:rPr>
          <w:szCs w:val="24"/>
        </w:rPr>
        <w:t>Near market comparator</w:t>
      </w:r>
      <w:r w:rsidR="00914DB1">
        <w:rPr>
          <w:szCs w:val="24"/>
        </w:rPr>
        <w:t xml:space="preserve">: </w:t>
      </w:r>
      <w:r w:rsidR="00914DB1" w:rsidRPr="00914DB1">
        <w:rPr>
          <w:szCs w:val="24"/>
        </w:rPr>
        <w:t>Donanemab</w:t>
      </w:r>
    </w:p>
    <w:p w14:paraId="3E3431F7" w14:textId="71478296" w:rsidR="00FE257E" w:rsidRPr="00D163F8" w:rsidRDefault="00955904" w:rsidP="00D163F8">
      <w:pPr>
        <w:rPr>
          <w:b/>
          <w:bCs/>
          <w:szCs w:val="24"/>
        </w:rPr>
      </w:pPr>
      <w:r w:rsidRPr="00D163F8">
        <w:rPr>
          <w:b/>
          <w:bCs/>
          <w:szCs w:val="24"/>
        </w:rPr>
        <w:t>List any existing MBS item numbers that are relevant for the nominated comparators</w:t>
      </w:r>
      <w:r w:rsidR="000627EF" w:rsidRPr="00D163F8">
        <w:rPr>
          <w:b/>
          <w:bCs/>
          <w:szCs w:val="24"/>
        </w:rPr>
        <w:t>:</w:t>
      </w:r>
      <w:r w:rsidR="00FE257E" w:rsidRPr="00D163F8">
        <w:rPr>
          <w:b/>
          <w:bCs/>
          <w:szCs w:val="24"/>
        </w:rPr>
        <w:t xml:space="preserve"> </w:t>
      </w:r>
    </w:p>
    <w:p w14:paraId="1C11207F" w14:textId="22EB8D01" w:rsidR="00757547" w:rsidRDefault="008E39DE" w:rsidP="00BC0C43">
      <w:pPr>
        <w:rPr>
          <w:b/>
          <w:bCs/>
          <w:szCs w:val="24"/>
        </w:rPr>
      </w:pPr>
      <w:r>
        <w:rPr>
          <w:b/>
          <w:bCs/>
          <w:szCs w:val="24"/>
        </w:rPr>
        <w:t>Biomarker testing</w:t>
      </w:r>
    </w:p>
    <w:p w14:paraId="7502EAD1" w14:textId="39C0D009" w:rsidR="001010BB" w:rsidRPr="00914DB1" w:rsidRDefault="001010BB" w:rsidP="00914DB1">
      <w:pPr>
        <w:pStyle w:val="ListParagraph"/>
        <w:numPr>
          <w:ilvl w:val="0"/>
          <w:numId w:val="12"/>
        </w:numPr>
        <w:rPr>
          <w:szCs w:val="24"/>
        </w:rPr>
      </w:pPr>
      <w:proofErr w:type="spellStart"/>
      <w:r w:rsidRPr="00914DB1">
        <w:rPr>
          <w:szCs w:val="24"/>
        </w:rPr>
        <w:t>ApoE</w:t>
      </w:r>
      <w:proofErr w:type="spellEnd"/>
      <w:r w:rsidRPr="00914DB1">
        <w:rPr>
          <w:szCs w:val="24"/>
        </w:rPr>
        <w:t xml:space="preserve"> ε4 genotype testing: None</w:t>
      </w:r>
    </w:p>
    <w:p w14:paraId="0BF73DA7" w14:textId="51F3B468" w:rsidR="001010BB" w:rsidRPr="00914DB1" w:rsidRDefault="001010BB" w:rsidP="00914DB1">
      <w:pPr>
        <w:pStyle w:val="ListParagraph"/>
        <w:numPr>
          <w:ilvl w:val="0"/>
          <w:numId w:val="12"/>
        </w:numPr>
        <w:rPr>
          <w:szCs w:val="24"/>
        </w:rPr>
      </w:pPr>
      <w:r w:rsidRPr="00914DB1">
        <w:rPr>
          <w:szCs w:val="24"/>
        </w:rPr>
        <w:t>t-tau/A</w:t>
      </w:r>
      <w:proofErr w:type="gramStart"/>
      <w:r w:rsidRPr="00914DB1">
        <w:rPr>
          <w:szCs w:val="24"/>
        </w:rPr>
        <w:t>β[</w:t>
      </w:r>
      <w:proofErr w:type="gramEnd"/>
      <w:r w:rsidRPr="00914DB1">
        <w:rPr>
          <w:szCs w:val="24"/>
        </w:rPr>
        <w:t>1-42] in CSF testing: None</w:t>
      </w:r>
    </w:p>
    <w:p w14:paraId="2704EE89" w14:textId="28495F01" w:rsidR="001010BB" w:rsidRPr="00914DB1" w:rsidRDefault="001010BB" w:rsidP="00914DB1">
      <w:pPr>
        <w:pStyle w:val="ListParagraph"/>
        <w:numPr>
          <w:ilvl w:val="0"/>
          <w:numId w:val="12"/>
        </w:numPr>
        <w:rPr>
          <w:szCs w:val="24"/>
        </w:rPr>
      </w:pPr>
      <w:r w:rsidRPr="00914DB1">
        <w:rPr>
          <w:rFonts w:eastAsia="Segoe UI"/>
          <w:color w:val="000000"/>
          <w:szCs w:val="24"/>
        </w:rPr>
        <w:t>pTau217 in plasma testing: None</w:t>
      </w:r>
    </w:p>
    <w:p w14:paraId="033FC076" w14:textId="24860762" w:rsidR="001010BB" w:rsidRPr="00914DB1" w:rsidRDefault="001010BB" w:rsidP="00914DB1">
      <w:pPr>
        <w:pStyle w:val="ListParagraph"/>
        <w:numPr>
          <w:ilvl w:val="0"/>
          <w:numId w:val="12"/>
        </w:numPr>
        <w:rPr>
          <w:i/>
          <w:iCs/>
          <w:szCs w:val="24"/>
        </w:rPr>
      </w:pPr>
      <w:r w:rsidRPr="00914DB1">
        <w:rPr>
          <w:szCs w:val="24"/>
        </w:rPr>
        <w:t>Amyloid PET:</w:t>
      </w:r>
      <w:r w:rsidRPr="00914DB1">
        <w:rPr>
          <w:i/>
          <w:iCs/>
          <w:szCs w:val="24"/>
        </w:rPr>
        <w:t xml:space="preserve"> </w:t>
      </w:r>
      <w:r w:rsidRPr="00914DB1">
        <w:rPr>
          <w:szCs w:val="24"/>
        </w:rPr>
        <w:t>None</w:t>
      </w:r>
    </w:p>
    <w:p w14:paraId="634A88E5" w14:textId="1308134D" w:rsidR="008E39DE" w:rsidRPr="008E39DE" w:rsidRDefault="008E39DE" w:rsidP="00D163F8">
      <w:pPr>
        <w:rPr>
          <w:b/>
          <w:bCs/>
          <w:szCs w:val="24"/>
        </w:rPr>
      </w:pPr>
      <w:r w:rsidRPr="008E39DE">
        <w:rPr>
          <w:b/>
          <w:bCs/>
          <w:szCs w:val="24"/>
        </w:rPr>
        <w:t>Other investigations</w:t>
      </w:r>
    </w:p>
    <w:p w14:paraId="09B164DC" w14:textId="498A8CDB" w:rsidR="005A3638" w:rsidRPr="00F3204B" w:rsidRDefault="001010BB" w:rsidP="00F3204B">
      <w:pPr>
        <w:pStyle w:val="ListParagraph"/>
        <w:numPr>
          <w:ilvl w:val="0"/>
          <w:numId w:val="13"/>
        </w:numPr>
        <w:rPr>
          <w:szCs w:val="24"/>
        </w:rPr>
      </w:pPr>
      <w:r w:rsidRPr="00F3204B">
        <w:rPr>
          <w:szCs w:val="24"/>
        </w:rPr>
        <w:t xml:space="preserve">MRI scan of the brain: </w:t>
      </w:r>
      <w:r w:rsidR="0074195E" w:rsidRPr="00F3204B">
        <w:rPr>
          <w:szCs w:val="24"/>
        </w:rPr>
        <w:t xml:space="preserve">MBS item </w:t>
      </w:r>
      <w:r w:rsidR="00DC0620" w:rsidRPr="00F3204B">
        <w:rPr>
          <w:szCs w:val="24"/>
        </w:rPr>
        <w:t>63004</w:t>
      </w:r>
    </w:p>
    <w:p w14:paraId="5ADB7C91" w14:textId="77777777" w:rsidR="0079617D" w:rsidRDefault="0079617D">
      <w:pPr>
        <w:spacing w:after="160" w:line="259" w:lineRule="auto"/>
        <w:jc w:val="left"/>
        <w:rPr>
          <w:b/>
          <w:bCs/>
          <w:szCs w:val="24"/>
        </w:rPr>
      </w:pPr>
      <w:r>
        <w:rPr>
          <w:b/>
          <w:bCs/>
          <w:szCs w:val="24"/>
        </w:rPr>
        <w:br w:type="page"/>
      </w:r>
    </w:p>
    <w:p w14:paraId="7AE42CF7" w14:textId="0033B60B" w:rsidR="00FE257E" w:rsidRPr="00D163F8" w:rsidRDefault="00EA0AA0" w:rsidP="00D163F8">
      <w:pPr>
        <w:rPr>
          <w:b/>
          <w:bCs/>
          <w:szCs w:val="24"/>
        </w:rPr>
      </w:pPr>
      <w:r w:rsidRPr="00D163F8">
        <w:rPr>
          <w:b/>
          <w:bCs/>
          <w:szCs w:val="24"/>
        </w:rPr>
        <w:lastRenderedPageBreak/>
        <w:t>P</w:t>
      </w:r>
      <w:r w:rsidR="005B5A58" w:rsidRPr="00D163F8">
        <w:rPr>
          <w:b/>
          <w:bCs/>
          <w:szCs w:val="24"/>
        </w:rPr>
        <w:t>rovide a rationale for why this is a comparator</w:t>
      </w:r>
      <w:r w:rsidR="000627EF" w:rsidRPr="00D163F8">
        <w:rPr>
          <w:b/>
          <w:bCs/>
          <w:szCs w:val="24"/>
        </w:rPr>
        <w:t>:</w:t>
      </w:r>
    </w:p>
    <w:tbl>
      <w:tblPr>
        <w:tblStyle w:val="TableGrid"/>
        <w:tblW w:w="0" w:type="auto"/>
        <w:tblLook w:val="04A0" w:firstRow="1" w:lastRow="0" w:firstColumn="1" w:lastColumn="0" w:noHBand="0" w:noVBand="1"/>
      </w:tblPr>
      <w:tblGrid>
        <w:gridCol w:w="1678"/>
        <w:gridCol w:w="2257"/>
        <w:gridCol w:w="5552"/>
      </w:tblGrid>
      <w:tr w:rsidR="009A67EC" w14:paraId="2484B242" w14:textId="77777777" w:rsidTr="00F361B4">
        <w:trPr>
          <w:tblHeader/>
        </w:trPr>
        <w:tc>
          <w:tcPr>
            <w:tcW w:w="0" w:type="auto"/>
            <w:shd w:val="clear" w:color="auto" w:fill="BFBFBF" w:themeFill="background1" w:themeFillShade="BF"/>
          </w:tcPr>
          <w:p w14:paraId="5F53CCDE" w14:textId="7468FA72" w:rsidR="00A25E4D" w:rsidRPr="005846CB" w:rsidRDefault="00A25E4D" w:rsidP="008E39DE">
            <w:pPr>
              <w:rPr>
                <w:b/>
                <w:bCs/>
                <w:szCs w:val="24"/>
              </w:rPr>
            </w:pPr>
            <w:r w:rsidRPr="005846CB">
              <w:rPr>
                <w:b/>
                <w:bCs/>
                <w:szCs w:val="24"/>
              </w:rPr>
              <w:t>Health technology</w:t>
            </w:r>
          </w:p>
        </w:tc>
        <w:tc>
          <w:tcPr>
            <w:tcW w:w="0" w:type="auto"/>
            <w:shd w:val="clear" w:color="auto" w:fill="BFBFBF" w:themeFill="background1" w:themeFillShade="BF"/>
          </w:tcPr>
          <w:p w14:paraId="2CE755EA" w14:textId="3556E735" w:rsidR="00A25E4D" w:rsidRPr="005846CB" w:rsidRDefault="00A25E4D" w:rsidP="008E39DE">
            <w:pPr>
              <w:rPr>
                <w:b/>
                <w:bCs/>
                <w:szCs w:val="24"/>
              </w:rPr>
            </w:pPr>
            <w:r w:rsidRPr="005846CB">
              <w:rPr>
                <w:b/>
                <w:bCs/>
                <w:szCs w:val="24"/>
              </w:rPr>
              <w:t>Nominated comparator(s)</w:t>
            </w:r>
          </w:p>
        </w:tc>
        <w:tc>
          <w:tcPr>
            <w:tcW w:w="0" w:type="auto"/>
            <w:shd w:val="clear" w:color="auto" w:fill="BFBFBF" w:themeFill="background1" w:themeFillShade="BF"/>
          </w:tcPr>
          <w:p w14:paraId="41D7AFC0" w14:textId="573C38E9" w:rsidR="00A25E4D" w:rsidRPr="005846CB" w:rsidRDefault="00A25E4D" w:rsidP="008E39DE">
            <w:pPr>
              <w:rPr>
                <w:b/>
                <w:bCs/>
                <w:szCs w:val="24"/>
              </w:rPr>
            </w:pPr>
            <w:r w:rsidRPr="005846CB">
              <w:rPr>
                <w:b/>
                <w:bCs/>
                <w:szCs w:val="24"/>
              </w:rPr>
              <w:t>Rationale</w:t>
            </w:r>
          </w:p>
        </w:tc>
      </w:tr>
      <w:tr w:rsidR="00380FAA" w14:paraId="6A87623E" w14:textId="77777777" w:rsidTr="00F361B4">
        <w:tc>
          <w:tcPr>
            <w:tcW w:w="0" w:type="auto"/>
            <w:gridSpan w:val="3"/>
            <w:shd w:val="clear" w:color="auto" w:fill="D9D9D9" w:themeFill="background1" w:themeFillShade="D9"/>
          </w:tcPr>
          <w:p w14:paraId="5E8BEA6D" w14:textId="225AAB23" w:rsidR="00380FAA" w:rsidRPr="005846CB" w:rsidRDefault="00380FAA" w:rsidP="008E39DE">
            <w:pPr>
              <w:rPr>
                <w:szCs w:val="24"/>
              </w:rPr>
            </w:pPr>
            <w:r w:rsidRPr="005846CB">
              <w:rPr>
                <w:szCs w:val="24"/>
              </w:rPr>
              <w:t>Investigations</w:t>
            </w:r>
          </w:p>
        </w:tc>
      </w:tr>
      <w:tr w:rsidR="009A67EC" w14:paraId="58610841" w14:textId="77777777" w:rsidTr="00F361B4">
        <w:tc>
          <w:tcPr>
            <w:tcW w:w="0" w:type="auto"/>
          </w:tcPr>
          <w:p w14:paraId="66D0C46E" w14:textId="7E6D46D1" w:rsidR="00380FAA" w:rsidRPr="005846CB" w:rsidRDefault="00380FAA" w:rsidP="008E39DE">
            <w:pPr>
              <w:rPr>
                <w:szCs w:val="24"/>
              </w:rPr>
            </w:pPr>
            <w:proofErr w:type="spellStart"/>
            <w:r w:rsidRPr="005846CB">
              <w:rPr>
                <w:szCs w:val="24"/>
              </w:rPr>
              <w:t>ApoE</w:t>
            </w:r>
            <w:proofErr w:type="spellEnd"/>
            <w:r w:rsidRPr="005846CB">
              <w:rPr>
                <w:szCs w:val="24"/>
              </w:rPr>
              <w:t xml:space="preserve"> ε4 genotype testing</w:t>
            </w:r>
          </w:p>
        </w:tc>
        <w:tc>
          <w:tcPr>
            <w:tcW w:w="0" w:type="auto"/>
          </w:tcPr>
          <w:p w14:paraId="720C9CFB" w14:textId="4D095745" w:rsidR="00380FAA" w:rsidRPr="005846CB" w:rsidRDefault="00380FAA" w:rsidP="008E39DE">
            <w:pPr>
              <w:rPr>
                <w:szCs w:val="24"/>
              </w:rPr>
            </w:pPr>
            <w:r w:rsidRPr="00994ED0">
              <w:rPr>
                <w:szCs w:val="24"/>
              </w:rPr>
              <w:t>No testing</w:t>
            </w:r>
            <w:r>
              <w:rPr>
                <w:szCs w:val="24"/>
              </w:rPr>
              <w:t xml:space="preserve"> and standard medical management</w:t>
            </w:r>
          </w:p>
        </w:tc>
        <w:tc>
          <w:tcPr>
            <w:tcW w:w="0" w:type="auto"/>
            <w:vMerge w:val="restart"/>
          </w:tcPr>
          <w:p w14:paraId="68EF2E09" w14:textId="3FF09AC0" w:rsidR="00380FAA" w:rsidRPr="005846CB" w:rsidRDefault="00380FAA" w:rsidP="008E39DE">
            <w:pPr>
              <w:rPr>
                <w:szCs w:val="24"/>
              </w:rPr>
            </w:pPr>
            <w:proofErr w:type="spellStart"/>
            <w:r w:rsidRPr="005846CB">
              <w:rPr>
                <w:szCs w:val="24"/>
              </w:rPr>
              <w:t>ApoE</w:t>
            </w:r>
            <w:proofErr w:type="spellEnd"/>
            <w:r w:rsidRPr="005846CB">
              <w:rPr>
                <w:szCs w:val="24"/>
              </w:rPr>
              <w:t xml:space="preserve"> ε4 genotype testing and amyloid PET are not funded through the MBS. Per MSAC Guidelines for comparator selection of investigative technologies “</w:t>
            </w:r>
            <w:r w:rsidR="008A25DA">
              <w:rPr>
                <w:szCs w:val="24"/>
              </w:rPr>
              <w:t>i</w:t>
            </w:r>
            <w:r w:rsidRPr="005846CB">
              <w:rPr>
                <w:szCs w:val="24"/>
              </w:rPr>
              <w:t>f the proposed test does not replace a current investigative technology, the comparator would usually be standard medical management and no testing” (p. 36)</w:t>
            </w:r>
          </w:p>
        </w:tc>
      </w:tr>
      <w:tr w:rsidR="009A67EC" w14:paraId="61CB3705" w14:textId="77777777" w:rsidTr="00F361B4">
        <w:tc>
          <w:tcPr>
            <w:tcW w:w="0" w:type="auto"/>
          </w:tcPr>
          <w:p w14:paraId="0936800D" w14:textId="4E188507" w:rsidR="00380FAA" w:rsidRPr="005846CB" w:rsidRDefault="00380FAA" w:rsidP="008E39DE">
            <w:pPr>
              <w:rPr>
                <w:szCs w:val="24"/>
              </w:rPr>
            </w:pPr>
            <w:r w:rsidRPr="005846CB">
              <w:rPr>
                <w:szCs w:val="24"/>
              </w:rPr>
              <w:t>Amyloid PET</w:t>
            </w:r>
          </w:p>
        </w:tc>
        <w:tc>
          <w:tcPr>
            <w:tcW w:w="0" w:type="auto"/>
          </w:tcPr>
          <w:p w14:paraId="0ADB1C03" w14:textId="1DB4337D" w:rsidR="00380FAA" w:rsidRPr="00994ED0" w:rsidRDefault="00380FAA" w:rsidP="008E39DE">
            <w:pPr>
              <w:rPr>
                <w:szCs w:val="24"/>
              </w:rPr>
            </w:pPr>
            <w:r w:rsidRPr="005846CB">
              <w:rPr>
                <w:szCs w:val="24"/>
              </w:rPr>
              <w:t>No amyloid PET and standard medical management</w:t>
            </w:r>
          </w:p>
        </w:tc>
        <w:tc>
          <w:tcPr>
            <w:tcW w:w="0" w:type="auto"/>
            <w:vMerge/>
          </w:tcPr>
          <w:p w14:paraId="12CE55CA" w14:textId="77777777" w:rsidR="00380FAA" w:rsidRPr="005846CB" w:rsidRDefault="00380FAA" w:rsidP="008E39DE">
            <w:pPr>
              <w:rPr>
                <w:szCs w:val="24"/>
              </w:rPr>
            </w:pPr>
          </w:p>
        </w:tc>
      </w:tr>
      <w:tr w:rsidR="009A67EC" w:rsidRPr="00CF6EC1" w14:paraId="4A86B2E7" w14:textId="77777777" w:rsidTr="00F361B4">
        <w:tc>
          <w:tcPr>
            <w:tcW w:w="0" w:type="auto"/>
          </w:tcPr>
          <w:p w14:paraId="1D867C4F" w14:textId="22015496" w:rsidR="00380FAA" w:rsidRPr="00A25E4D" w:rsidRDefault="00380FAA" w:rsidP="008E39DE">
            <w:pPr>
              <w:rPr>
                <w:szCs w:val="24"/>
                <w:lang w:val="de-DE"/>
              </w:rPr>
            </w:pPr>
            <w:r w:rsidRPr="00A25E4D">
              <w:rPr>
                <w:szCs w:val="24"/>
                <w:lang w:val="de-DE"/>
              </w:rPr>
              <w:t>t-tau/A</w:t>
            </w:r>
            <w:r w:rsidRPr="005846CB">
              <w:rPr>
                <w:szCs w:val="24"/>
              </w:rPr>
              <w:t>β</w:t>
            </w:r>
            <w:r w:rsidRPr="00A25E4D">
              <w:rPr>
                <w:szCs w:val="24"/>
                <w:lang w:val="de-DE"/>
              </w:rPr>
              <w:t>[1-42] in CSF testing</w:t>
            </w:r>
          </w:p>
        </w:tc>
        <w:tc>
          <w:tcPr>
            <w:tcW w:w="0" w:type="auto"/>
          </w:tcPr>
          <w:p w14:paraId="4B5B9C3E" w14:textId="0A0EED1D" w:rsidR="00380FAA" w:rsidRPr="005846CB" w:rsidRDefault="00380FAA" w:rsidP="008E39DE">
            <w:pPr>
              <w:rPr>
                <w:szCs w:val="24"/>
              </w:rPr>
            </w:pPr>
            <w:r w:rsidRPr="005846CB">
              <w:rPr>
                <w:szCs w:val="24"/>
              </w:rPr>
              <w:t>Amyloid PET</w:t>
            </w:r>
          </w:p>
        </w:tc>
        <w:tc>
          <w:tcPr>
            <w:tcW w:w="0" w:type="auto"/>
            <w:vMerge w:val="restart"/>
          </w:tcPr>
          <w:p w14:paraId="75869FA9" w14:textId="300083F9" w:rsidR="00380FAA" w:rsidRPr="005846CB" w:rsidRDefault="00380FAA" w:rsidP="008E39DE">
            <w:pPr>
              <w:rPr>
                <w:szCs w:val="24"/>
              </w:rPr>
            </w:pPr>
            <w:r w:rsidRPr="005846CB">
              <w:rPr>
                <w:szCs w:val="24"/>
              </w:rPr>
              <w:t xml:space="preserve">Amyloid PET was used as a reference standard supporting approval of CSF assay by regulatory agencies. Amyloid PET was </w:t>
            </w:r>
            <w:r w:rsidR="00452474">
              <w:rPr>
                <w:szCs w:val="24"/>
              </w:rPr>
              <w:t xml:space="preserve">also </w:t>
            </w:r>
            <w:r w:rsidRPr="005846CB">
              <w:rPr>
                <w:szCs w:val="24"/>
              </w:rPr>
              <w:t>used as the reference standard in the analysis of blood biomarker markers by (BBM) the BBM Workgroup convened by the Global CEO Initiative on Alzheimer’s Disease</w:t>
            </w:r>
            <w:r w:rsidR="00FE14A2">
              <w:rPr>
                <w:szCs w:val="24"/>
              </w:rPr>
              <w:t xml:space="preserve"> </w:t>
            </w:r>
            <w:r w:rsidR="00881F00">
              <w:rPr>
                <w:noProof/>
                <w:szCs w:val="24"/>
              </w:rPr>
              <w:t>(Schindler et al. 2024)</w:t>
            </w:r>
            <w:r w:rsidRPr="005846CB">
              <w:rPr>
                <w:szCs w:val="24"/>
              </w:rPr>
              <w:t>.</w:t>
            </w:r>
          </w:p>
          <w:p w14:paraId="1485E38C" w14:textId="6BF02F82" w:rsidR="00380FAA" w:rsidRPr="005846CB" w:rsidRDefault="00380FAA" w:rsidP="008E39DE">
            <w:pPr>
              <w:rPr>
                <w:szCs w:val="24"/>
              </w:rPr>
            </w:pPr>
            <w:r w:rsidRPr="005846CB">
              <w:rPr>
                <w:szCs w:val="24"/>
              </w:rPr>
              <w:t>Comparisons of t-tau/A</w:t>
            </w:r>
            <w:proofErr w:type="gramStart"/>
            <w:r w:rsidRPr="005846CB">
              <w:rPr>
                <w:szCs w:val="24"/>
              </w:rPr>
              <w:t>β[</w:t>
            </w:r>
            <w:proofErr w:type="gramEnd"/>
            <w:r w:rsidRPr="005846CB">
              <w:rPr>
                <w:szCs w:val="24"/>
              </w:rPr>
              <w:t xml:space="preserve">1-42] in CSF and pTau217 in plasma testing with amyloid PET </w:t>
            </w:r>
            <w:r w:rsidR="00452474">
              <w:rPr>
                <w:szCs w:val="24"/>
              </w:rPr>
              <w:t xml:space="preserve">support </w:t>
            </w:r>
            <w:r w:rsidRPr="005846CB">
              <w:rPr>
                <w:szCs w:val="24"/>
              </w:rPr>
              <w:t xml:space="preserve">an assessment of </w:t>
            </w:r>
            <w:r w:rsidR="00535890">
              <w:rPr>
                <w:szCs w:val="24"/>
              </w:rPr>
              <w:t xml:space="preserve">amyloid pathology using </w:t>
            </w:r>
            <w:r w:rsidRPr="005846CB">
              <w:rPr>
                <w:szCs w:val="24"/>
              </w:rPr>
              <w:t>CSF and plasma test</w:t>
            </w:r>
            <w:r w:rsidR="00535890">
              <w:rPr>
                <w:szCs w:val="24"/>
              </w:rPr>
              <w:t xml:space="preserve">ing vs </w:t>
            </w:r>
            <w:r w:rsidRPr="005846CB">
              <w:rPr>
                <w:szCs w:val="24"/>
              </w:rPr>
              <w:t>an accepted reference standard.</w:t>
            </w:r>
          </w:p>
        </w:tc>
      </w:tr>
      <w:tr w:rsidR="009A67EC" w:rsidRPr="00733CE4" w14:paraId="7E04BBB7" w14:textId="77777777" w:rsidTr="00F361B4">
        <w:tc>
          <w:tcPr>
            <w:tcW w:w="0" w:type="auto"/>
          </w:tcPr>
          <w:p w14:paraId="2C8A2967" w14:textId="503B5041" w:rsidR="00380FAA" w:rsidRPr="005846CB" w:rsidRDefault="00380FAA" w:rsidP="008E39DE">
            <w:pPr>
              <w:rPr>
                <w:szCs w:val="24"/>
              </w:rPr>
            </w:pPr>
            <w:r w:rsidRPr="005846CB">
              <w:rPr>
                <w:szCs w:val="24"/>
              </w:rPr>
              <w:t>pTau217 in plasma testing</w:t>
            </w:r>
          </w:p>
        </w:tc>
        <w:tc>
          <w:tcPr>
            <w:tcW w:w="0" w:type="auto"/>
          </w:tcPr>
          <w:p w14:paraId="4B6313F5" w14:textId="3A013299" w:rsidR="00380FAA" w:rsidRPr="00733CE4" w:rsidRDefault="00380FAA" w:rsidP="008E39DE">
            <w:pPr>
              <w:rPr>
                <w:szCs w:val="24"/>
              </w:rPr>
            </w:pPr>
            <w:r>
              <w:rPr>
                <w:szCs w:val="24"/>
              </w:rPr>
              <w:t>A</w:t>
            </w:r>
            <w:r w:rsidRPr="00994ED0">
              <w:rPr>
                <w:szCs w:val="24"/>
              </w:rPr>
              <w:t>myloid PET</w:t>
            </w:r>
          </w:p>
        </w:tc>
        <w:tc>
          <w:tcPr>
            <w:tcW w:w="0" w:type="auto"/>
            <w:vMerge/>
          </w:tcPr>
          <w:p w14:paraId="3301790B" w14:textId="77777777" w:rsidR="00380FAA" w:rsidRPr="005846CB" w:rsidRDefault="00380FAA" w:rsidP="008E39DE">
            <w:pPr>
              <w:rPr>
                <w:szCs w:val="24"/>
              </w:rPr>
            </w:pPr>
          </w:p>
        </w:tc>
      </w:tr>
      <w:tr w:rsidR="009A67EC" w:rsidRPr="00733CE4" w14:paraId="24209C9F" w14:textId="77777777" w:rsidTr="00F361B4">
        <w:tc>
          <w:tcPr>
            <w:tcW w:w="0" w:type="auto"/>
          </w:tcPr>
          <w:p w14:paraId="261442F4" w14:textId="69517519" w:rsidR="00A25E4D" w:rsidRPr="005846CB" w:rsidRDefault="00A25E4D" w:rsidP="008E39DE">
            <w:pPr>
              <w:rPr>
                <w:szCs w:val="24"/>
              </w:rPr>
            </w:pPr>
            <w:r w:rsidRPr="005846CB">
              <w:rPr>
                <w:szCs w:val="24"/>
              </w:rPr>
              <w:t>MRI scan of the brain</w:t>
            </w:r>
          </w:p>
        </w:tc>
        <w:tc>
          <w:tcPr>
            <w:tcW w:w="0" w:type="auto"/>
          </w:tcPr>
          <w:p w14:paraId="72595F88" w14:textId="72A72F8D" w:rsidR="00A25E4D" w:rsidRPr="005846CB" w:rsidRDefault="00A25E4D" w:rsidP="008E39DE">
            <w:pPr>
              <w:rPr>
                <w:szCs w:val="24"/>
              </w:rPr>
            </w:pPr>
            <w:r>
              <w:rPr>
                <w:szCs w:val="24"/>
              </w:rPr>
              <w:t>MRI scanning performed through existing MBS items</w:t>
            </w:r>
          </w:p>
        </w:tc>
        <w:tc>
          <w:tcPr>
            <w:tcW w:w="0" w:type="auto"/>
          </w:tcPr>
          <w:p w14:paraId="69B2DCE4" w14:textId="3DC05B2E" w:rsidR="00A25E4D" w:rsidRPr="005846CB" w:rsidRDefault="00A25E4D" w:rsidP="008E39DE">
            <w:pPr>
              <w:rPr>
                <w:szCs w:val="24"/>
              </w:rPr>
            </w:pPr>
            <w:r w:rsidRPr="005846CB">
              <w:rPr>
                <w:szCs w:val="24"/>
              </w:rPr>
              <w:t>MRI scans of the brain suitable for the assessment of ARIA events are facilitated through MBS item 63004</w:t>
            </w:r>
            <w:r>
              <w:rPr>
                <w:szCs w:val="24"/>
              </w:rPr>
              <w:t xml:space="preserve">. </w:t>
            </w:r>
            <w:r w:rsidRPr="005846CB">
              <w:rPr>
                <w:szCs w:val="24"/>
              </w:rPr>
              <w:t>Per MSAC Guidelines for comparator selection of investigative technologies “if the proposed test is likely to replace an existing MBS-listed test, the relevant comparator would be the existing test.” (p. 36)</w:t>
            </w:r>
          </w:p>
        </w:tc>
      </w:tr>
      <w:tr w:rsidR="00EF1083" w:rsidRPr="00733CE4" w14:paraId="06EEF420" w14:textId="77777777" w:rsidTr="00F361B4">
        <w:tc>
          <w:tcPr>
            <w:tcW w:w="0" w:type="auto"/>
            <w:gridSpan w:val="3"/>
            <w:shd w:val="clear" w:color="auto" w:fill="D9D9D9" w:themeFill="background1" w:themeFillShade="D9"/>
          </w:tcPr>
          <w:p w14:paraId="38E43864" w14:textId="53E2A2F4" w:rsidR="00EF1083" w:rsidRPr="005846CB" w:rsidRDefault="00EF1083" w:rsidP="008E39DE">
            <w:pPr>
              <w:rPr>
                <w:szCs w:val="24"/>
              </w:rPr>
            </w:pPr>
            <w:proofErr w:type="spellStart"/>
            <w:r>
              <w:rPr>
                <w:szCs w:val="24"/>
              </w:rPr>
              <w:t>Lecanemab</w:t>
            </w:r>
            <w:proofErr w:type="spellEnd"/>
            <w:r>
              <w:rPr>
                <w:szCs w:val="24"/>
              </w:rPr>
              <w:t xml:space="preserve"> treatment</w:t>
            </w:r>
          </w:p>
        </w:tc>
      </w:tr>
      <w:tr w:rsidR="009A67EC" w:rsidRPr="00733CE4" w14:paraId="0BF136A1" w14:textId="77777777" w:rsidTr="00F361B4">
        <w:tc>
          <w:tcPr>
            <w:tcW w:w="0" w:type="auto"/>
            <w:vMerge w:val="restart"/>
          </w:tcPr>
          <w:p w14:paraId="4B26607E" w14:textId="791DBA47" w:rsidR="00380FAA" w:rsidRPr="005846CB" w:rsidRDefault="00380FAA" w:rsidP="008E39DE">
            <w:pPr>
              <w:rPr>
                <w:szCs w:val="24"/>
              </w:rPr>
            </w:pPr>
            <w:proofErr w:type="spellStart"/>
            <w:r>
              <w:rPr>
                <w:szCs w:val="24"/>
              </w:rPr>
              <w:t>Lecanemab</w:t>
            </w:r>
            <w:proofErr w:type="spellEnd"/>
          </w:p>
        </w:tc>
        <w:tc>
          <w:tcPr>
            <w:tcW w:w="0" w:type="auto"/>
          </w:tcPr>
          <w:p w14:paraId="1A50AAC0" w14:textId="14E3A314" w:rsidR="00380FAA" w:rsidRPr="00673297" w:rsidRDefault="00380FAA" w:rsidP="008E39DE">
            <w:pPr>
              <w:rPr>
                <w:szCs w:val="24"/>
              </w:rPr>
            </w:pPr>
            <w:r w:rsidRPr="00673297">
              <w:rPr>
                <w:szCs w:val="24"/>
              </w:rPr>
              <w:t>Standard medical management</w:t>
            </w:r>
            <w:r>
              <w:rPr>
                <w:szCs w:val="24"/>
              </w:rPr>
              <w:t xml:space="preserve"> (Main comparator)</w:t>
            </w:r>
          </w:p>
        </w:tc>
        <w:tc>
          <w:tcPr>
            <w:tcW w:w="0" w:type="auto"/>
          </w:tcPr>
          <w:p w14:paraId="23B34D96" w14:textId="1F360E34" w:rsidR="00380FAA" w:rsidRPr="005846CB" w:rsidRDefault="009A67EC" w:rsidP="00055681">
            <w:pPr>
              <w:rPr>
                <w:szCs w:val="24"/>
              </w:rPr>
            </w:pPr>
            <w:r>
              <w:rPr>
                <w:szCs w:val="24"/>
              </w:rPr>
              <w:t>Current PBS listed treatments for Alzheimer’s disease include a</w:t>
            </w:r>
            <w:r w:rsidRPr="009A67EC">
              <w:rPr>
                <w:szCs w:val="24"/>
              </w:rPr>
              <w:t xml:space="preserve">cetylcholinesterase inhibitors </w:t>
            </w:r>
            <w:r>
              <w:rPr>
                <w:szCs w:val="24"/>
              </w:rPr>
              <w:t>(</w:t>
            </w:r>
            <w:r w:rsidRPr="009A67EC">
              <w:rPr>
                <w:szCs w:val="24"/>
              </w:rPr>
              <w:t>mild to moderately severe disease</w:t>
            </w:r>
            <w:r>
              <w:rPr>
                <w:szCs w:val="24"/>
              </w:rPr>
              <w:t>) and m</w:t>
            </w:r>
            <w:r w:rsidRPr="009A67EC">
              <w:rPr>
                <w:szCs w:val="24"/>
              </w:rPr>
              <w:t>emantine</w:t>
            </w:r>
            <w:r>
              <w:rPr>
                <w:szCs w:val="24"/>
              </w:rPr>
              <w:t xml:space="preserve"> (</w:t>
            </w:r>
            <w:r w:rsidRPr="009A67EC">
              <w:rPr>
                <w:szCs w:val="24"/>
              </w:rPr>
              <w:t>moderately severe disease</w:t>
            </w:r>
            <w:r>
              <w:rPr>
                <w:szCs w:val="24"/>
              </w:rPr>
              <w:t xml:space="preserve">). </w:t>
            </w:r>
            <w:r w:rsidR="00BC2D35">
              <w:rPr>
                <w:szCs w:val="24"/>
              </w:rPr>
              <w:t xml:space="preserve">Some people treated with </w:t>
            </w:r>
            <w:proofErr w:type="spellStart"/>
            <w:r w:rsidR="00BC2D35">
              <w:rPr>
                <w:szCs w:val="24"/>
              </w:rPr>
              <w:t>lecanemab</w:t>
            </w:r>
            <w:proofErr w:type="spellEnd"/>
            <w:r w:rsidR="00BC2D35">
              <w:rPr>
                <w:szCs w:val="24"/>
              </w:rPr>
              <w:t xml:space="preserve"> are expected to </w:t>
            </w:r>
            <w:r w:rsidR="000A3A78">
              <w:rPr>
                <w:szCs w:val="24"/>
              </w:rPr>
              <w:t>receive concomitant treatment with a</w:t>
            </w:r>
            <w:r w:rsidR="000A3A78" w:rsidRPr="009A67EC">
              <w:rPr>
                <w:szCs w:val="24"/>
              </w:rPr>
              <w:t>cetylcholinesterase inhibitors</w:t>
            </w:r>
            <w:r w:rsidR="000A3A78">
              <w:rPr>
                <w:szCs w:val="24"/>
              </w:rPr>
              <w:t xml:space="preserve"> or m</w:t>
            </w:r>
            <w:r w:rsidR="000A3A78" w:rsidRPr="009A67EC">
              <w:rPr>
                <w:szCs w:val="24"/>
              </w:rPr>
              <w:t>emantine</w:t>
            </w:r>
            <w:r w:rsidR="00055681">
              <w:rPr>
                <w:szCs w:val="24"/>
              </w:rPr>
              <w:t xml:space="preserve">. </w:t>
            </w:r>
            <w:r w:rsidR="00380FAA" w:rsidRPr="005846CB">
              <w:rPr>
                <w:szCs w:val="24"/>
              </w:rPr>
              <w:t xml:space="preserve">Per </w:t>
            </w:r>
            <w:r w:rsidR="00380FAA">
              <w:rPr>
                <w:szCs w:val="24"/>
              </w:rPr>
              <w:t>PB</w:t>
            </w:r>
            <w:r w:rsidR="00380FAA" w:rsidRPr="005846CB">
              <w:rPr>
                <w:szCs w:val="24"/>
              </w:rPr>
              <w:t>AC Guidelines for comparator selection “</w:t>
            </w:r>
            <w:r w:rsidR="00380FAA">
              <w:rPr>
                <w:szCs w:val="24"/>
              </w:rPr>
              <w:t>i</w:t>
            </w:r>
            <w:r w:rsidR="00380FAA" w:rsidRPr="00F84ABB">
              <w:rPr>
                <w:szCs w:val="24"/>
              </w:rPr>
              <w:t>f the proposed medicine is for a target population for which</w:t>
            </w:r>
            <w:r w:rsidR="00380FAA">
              <w:rPr>
                <w:szCs w:val="24"/>
              </w:rPr>
              <w:t xml:space="preserve"> </w:t>
            </w:r>
            <w:r w:rsidR="00380FAA" w:rsidRPr="00F84ABB">
              <w:rPr>
                <w:szCs w:val="24"/>
              </w:rPr>
              <w:t xml:space="preserve">there are no currently listed PBS medicines, or the proposed medicine will be used in addition </w:t>
            </w:r>
            <w:r w:rsidR="00380FAA" w:rsidRPr="00F84ABB">
              <w:rPr>
                <w:szCs w:val="24"/>
              </w:rPr>
              <w:lastRenderedPageBreak/>
              <w:t>to</w:t>
            </w:r>
            <w:r w:rsidR="00380FAA">
              <w:rPr>
                <w:szCs w:val="24"/>
              </w:rPr>
              <w:t xml:space="preserve"> </w:t>
            </w:r>
            <w:r w:rsidR="00380FAA" w:rsidRPr="00F84ABB">
              <w:rPr>
                <w:szCs w:val="24"/>
              </w:rPr>
              <w:t>– rather than replace – a medicine, the comparator would usually be standard medical</w:t>
            </w:r>
            <w:r w:rsidR="00380FAA">
              <w:rPr>
                <w:szCs w:val="24"/>
              </w:rPr>
              <w:t xml:space="preserve"> </w:t>
            </w:r>
            <w:r w:rsidR="00380FAA" w:rsidRPr="00F84ABB">
              <w:rPr>
                <w:szCs w:val="24"/>
              </w:rPr>
              <w:t>management</w:t>
            </w:r>
            <w:r w:rsidR="00380FAA">
              <w:rPr>
                <w:szCs w:val="24"/>
              </w:rPr>
              <w:t xml:space="preserve"> “(p. 13)</w:t>
            </w:r>
            <w:r w:rsidR="00380FAA" w:rsidRPr="00F84ABB">
              <w:rPr>
                <w:szCs w:val="24"/>
              </w:rPr>
              <w:t>.</w:t>
            </w:r>
          </w:p>
        </w:tc>
      </w:tr>
      <w:tr w:rsidR="009A67EC" w:rsidRPr="00733CE4" w14:paraId="6C742376" w14:textId="77777777" w:rsidTr="00F361B4">
        <w:tc>
          <w:tcPr>
            <w:tcW w:w="0" w:type="auto"/>
            <w:vMerge/>
          </w:tcPr>
          <w:p w14:paraId="53EB6D53" w14:textId="77777777" w:rsidR="00380FAA" w:rsidRPr="005846CB" w:rsidRDefault="00380FAA" w:rsidP="008E39DE">
            <w:pPr>
              <w:rPr>
                <w:szCs w:val="24"/>
              </w:rPr>
            </w:pPr>
          </w:p>
        </w:tc>
        <w:tc>
          <w:tcPr>
            <w:tcW w:w="0" w:type="auto"/>
          </w:tcPr>
          <w:p w14:paraId="09CDE05F" w14:textId="1FA23656" w:rsidR="00380FAA" w:rsidRPr="00673297" w:rsidRDefault="00380FAA" w:rsidP="008E39DE">
            <w:pPr>
              <w:rPr>
                <w:szCs w:val="24"/>
              </w:rPr>
            </w:pPr>
            <w:r w:rsidRPr="00673297">
              <w:rPr>
                <w:szCs w:val="24"/>
              </w:rPr>
              <w:t>Donanemab</w:t>
            </w:r>
            <w:r>
              <w:rPr>
                <w:szCs w:val="24"/>
              </w:rPr>
              <w:t xml:space="preserve"> (Near market comparator)</w:t>
            </w:r>
          </w:p>
        </w:tc>
        <w:tc>
          <w:tcPr>
            <w:tcW w:w="0" w:type="auto"/>
          </w:tcPr>
          <w:p w14:paraId="3A256079" w14:textId="645E3411" w:rsidR="00380FAA" w:rsidRPr="005846CB" w:rsidRDefault="00380FAA" w:rsidP="008E39DE">
            <w:pPr>
              <w:rPr>
                <w:szCs w:val="24"/>
              </w:rPr>
            </w:pPr>
            <w:r>
              <w:rPr>
                <w:szCs w:val="24"/>
              </w:rPr>
              <w:t xml:space="preserve">Donanemab is an anti-amyloid treatment with TGA approval in a population highly consistent with the </w:t>
            </w:r>
            <w:proofErr w:type="spellStart"/>
            <w:r>
              <w:rPr>
                <w:szCs w:val="24"/>
              </w:rPr>
              <w:t>lecanemab</w:t>
            </w:r>
            <w:proofErr w:type="spellEnd"/>
            <w:r>
              <w:rPr>
                <w:szCs w:val="24"/>
              </w:rPr>
              <w:t xml:space="preserve"> population. Donanemab was considered by the PBAC at the July 2025. Per PBAC Guidelines “i</w:t>
            </w:r>
            <w:r w:rsidRPr="00364C70">
              <w:rPr>
                <w:szCs w:val="24"/>
              </w:rPr>
              <w:t>f there is a reasonable expectation that another medicine will enter the Australian market for the</w:t>
            </w:r>
            <w:r>
              <w:rPr>
                <w:szCs w:val="24"/>
              </w:rPr>
              <w:t xml:space="preserve"> </w:t>
            </w:r>
            <w:r w:rsidRPr="00364C70">
              <w:rPr>
                <w:szCs w:val="24"/>
              </w:rPr>
              <w:t>targeted Australian population, and that it might be considered at the same or an adjacent PBAC</w:t>
            </w:r>
            <w:r>
              <w:rPr>
                <w:szCs w:val="24"/>
              </w:rPr>
              <w:t xml:space="preserve"> </w:t>
            </w:r>
            <w:r w:rsidRPr="00364C70">
              <w:rPr>
                <w:szCs w:val="24"/>
              </w:rPr>
              <w:t>meeting, then it would be prudent to regard this other medicine as an additional contingency</w:t>
            </w:r>
            <w:r>
              <w:rPr>
                <w:szCs w:val="24"/>
              </w:rPr>
              <w:t xml:space="preserve"> </w:t>
            </w:r>
            <w:r w:rsidRPr="00364C70">
              <w:rPr>
                <w:szCs w:val="24"/>
              </w:rPr>
              <w:t>comparator to inform a PBAC consideration across the new competing medicines</w:t>
            </w:r>
            <w:r>
              <w:rPr>
                <w:szCs w:val="24"/>
              </w:rPr>
              <w:t xml:space="preserve">” (p. 14) </w:t>
            </w:r>
          </w:p>
        </w:tc>
      </w:tr>
    </w:tbl>
    <w:p w14:paraId="74331B10" w14:textId="77777777" w:rsidR="005A3638" w:rsidRPr="005A3638" w:rsidRDefault="005A3638" w:rsidP="005A3638"/>
    <w:p w14:paraId="7D835BE0" w14:textId="7577137A" w:rsidR="00361BBE" w:rsidRPr="00D163F8" w:rsidRDefault="005B5A58" w:rsidP="00D163F8">
      <w:pPr>
        <w:rPr>
          <w:b/>
          <w:bCs/>
          <w:szCs w:val="24"/>
        </w:rPr>
      </w:pPr>
      <w:r w:rsidRPr="00D163F8">
        <w:rPr>
          <w:b/>
          <w:bCs/>
          <w:szCs w:val="24"/>
        </w:rPr>
        <w:t xml:space="preserve">Pattern of substitution – Will the proposed health technology wholly </w:t>
      </w:r>
      <w:proofErr w:type="gramStart"/>
      <w:r w:rsidRPr="00D163F8">
        <w:rPr>
          <w:b/>
          <w:bCs/>
          <w:szCs w:val="24"/>
        </w:rPr>
        <w:t>replace</w:t>
      </w:r>
      <w:proofErr w:type="gramEnd"/>
      <w:r w:rsidRPr="00D163F8">
        <w:rPr>
          <w:b/>
          <w:bCs/>
          <w:szCs w:val="24"/>
        </w:rPr>
        <w:t xml:space="preserve"> the proposed comparator, partially replace </w:t>
      </w:r>
      <w:r w:rsidR="000627EF" w:rsidRPr="00D163F8">
        <w:rPr>
          <w:b/>
          <w:bCs/>
          <w:szCs w:val="24"/>
        </w:rPr>
        <w:t>the proposed comparator, displace the proposed comparator or be used in combination with the proposed comparator?</w:t>
      </w:r>
      <w:r w:rsidR="00DB2D53" w:rsidRPr="00D163F8">
        <w:rPr>
          <w:b/>
          <w:bCs/>
          <w:szCs w:val="24"/>
        </w:rPr>
        <w:t xml:space="preserve"> </w:t>
      </w:r>
    </w:p>
    <w:p w14:paraId="0A5F4C44" w14:textId="35C516A9" w:rsidR="000627EF" w:rsidRPr="0089269F" w:rsidRDefault="0088630C" w:rsidP="00582377">
      <w:pPr>
        <w:pStyle w:val="Tickboxes"/>
        <w:rPr>
          <w:sz w:val="24"/>
          <w:szCs w:val="24"/>
        </w:rPr>
      </w:pPr>
      <w:r>
        <w:rPr>
          <w:sz w:val="24"/>
          <w:szCs w:val="24"/>
        </w:rPr>
        <w:fldChar w:fldCharType="begin">
          <w:ffData>
            <w:name w:val=""/>
            <w:enabled/>
            <w:calcOnExit w:val="0"/>
            <w:statusText w:type="text" w:val="Pattern of substitution None (used with the comparator)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0627EF" w:rsidRPr="0089269F">
        <w:rPr>
          <w:sz w:val="24"/>
          <w:szCs w:val="24"/>
        </w:rPr>
        <w:t xml:space="preserve">None </w:t>
      </w:r>
      <w:r w:rsidR="00BC0C43" w:rsidRPr="0089269F">
        <w:rPr>
          <w:sz w:val="24"/>
          <w:szCs w:val="24"/>
        </w:rPr>
        <w:t>(u</w:t>
      </w:r>
      <w:r w:rsidR="000627EF" w:rsidRPr="0089269F">
        <w:rPr>
          <w:sz w:val="24"/>
          <w:szCs w:val="24"/>
        </w:rPr>
        <w:t>sed with the comparator</w:t>
      </w:r>
      <w:r w:rsidR="00BC0C43" w:rsidRPr="0089269F">
        <w:rPr>
          <w:sz w:val="24"/>
          <w:szCs w:val="24"/>
        </w:rPr>
        <w:t>)</w:t>
      </w:r>
      <w:r w:rsidR="000627EF" w:rsidRPr="0089269F">
        <w:rPr>
          <w:sz w:val="24"/>
          <w:szCs w:val="24"/>
        </w:rPr>
        <w:t xml:space="preserve"> </w:t>
      </w:r>
    </w:p>
    <w:p w14:paraId="04FD711F" w14:textId="38F3144B" w:rsidR="000627EF" w:rsidRPr="0089269F" w:rsidRDefault="0088630C" w:rsidP="00582377">
      <w:pPr>
        <w:pStyle w:val="Tickboxes"/>
        <w:rPr>
          <w:sz w:val="24"/>
          <w:szCs w:val="24"/>
        </w:rPr>
      </w:pPr>
      <w:r>
        <w:rPr>
          <w:sz w:val="24"/>
          <w:szCs w:val="24"/>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Displaced </w:t>
      </w:r>
      <w:r w:rsidR="00BC0C43" w:rsidRPr="0089269F">
        <w:rPr>
          <w:sz w:val="24"/>
          <w:szCs w:val="24"/>
        </w:rPr>
        <w:t>(c</w:t>
      </w:r>
      <w:r w:rsidR="000627EF" w:rsidRPr="0089269F">
        <w:rPr>
          <w:sz w:val="24"/>
          <w:szCs w:val="24"/>
        </w:rPr>
        <w:t>omparator will likely be used following the proposed technology in some patients</w:t>
      </w:r>
      <w:r w:rsidR="00BC0C43" w:rsidRPr="0089269F">
        <w:rPr>
          <w:sz w:val="24"/>
          <w:szCs w:val="24"/>
        </w:rPr>
        <w:t>)</w:t>
      </w:r>
    </w:p>
    <w:p w14:paraId="3243B3BE" w14:textId="001D4269" w:rsidR="000627EF" w:rsidRPr="0089269F" w:rsidRDefault="00EE1CD1" w:rsidP="00582377">
      <w:pPr>
        <w:pStyle w:val="Tickboxes"/>
        <w:rPr>
          <w:sz w:val="24"/>
          <w:szCs w:val="24"/>
        </w:rPr>
      </w:pPr>
      <w:r>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Partial </w:t>
      </w:r>
      <w:r w:rsidR="00BC0C43" w:rsidRPr="0089269F">
        <w:rPr>
          <w:sz w:val="24"/>
          <w:szCs w:val="24"/>
        </w:rPr>
        <w:t>(in</w:t>
      </w:r>
      <w:r w:rsidR="000627EF" w:rsidRPr="0089269F">
        <w:rPr>
          <w:sz w:val="24"/>
          <w:szCs w:val="24"/>
        </w:rPr>
        <w:t xml:space="preserve"> some cases, the proposed technology will replace the use of the comparator, but not all</w:t>
      </w:r>
      <w:r w:rsidR="00BC0C43" w:rsidRPr="0089269F">
        <w:rPr>
          <w:sz w:val="24"/>
          <w:szCs w:val="24"/>
        </w:rPr>
        <w:t>)</w:t>
      </w:r>
      <w:r w:rsidR="000627EF" w:rsidRPr="0089269F">
        <w:rPr>
          <w:sz w:val="24"/>
          <w:szCs w:val="24"/>
        </w:rPr>
        <w:t xml:space="preserve"> </w:t>
      </w:r>
    </w:p>
    <w:p w14:paraId="32AA0FD6" w14:textId="2E65A7AF" w:rsidR="000627EF" w:rsidRPr="0089269F" w:rsidRDefault="000970F3" w:rsidP="00582377">
      <w:pPr>
        <w:pStyle w:val="Tickboxes"/>
        <w:rPr>
          <w:sz w:val="24"/>
          <w:szCs w:val="24"/>
        </w:rPr>
      </w:pPr>
      <w:r>
        <w:rPr>
          <w:sz w:val="24"/>
          <w:szCs w:val="24"/>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0627EF" w:rsidRPr="0089269F">
        <w:rPr>
          <w:sz w:val="24"/>
          <w:szCs w:val="24"/>
        </w:rPr>
        <w:t xml:space="preserve"> Full </w:t>
      </w:r>
      <w:r w:rsidR="00BC0C43" w:rsidRPr="0089269F">
        <w:rPr>
          <w:sz w:val="24"/>
          <w:szCs w:val="24"/>
        </w:rPr>
        <w:t>(s</w:t>
      </w:r>
      <w:r w:rsidR="000627EF" w:rsidRPr="0089269F">
        <w:rPr>
          <w:sz w:val="24"/>
          <w:szCs w:val="24"/>
        </w:rPr>
        <w:t>ubjects who receive the proposed intervention will not receive the comparator</w:t>
      </w:r>
      <w:r w:rsidR="00BC0C43" w:rsidRPr="0089269F">
        <w:rPr>
          <w:sz w:val="24"/>
          <w:szCs w:val="24"/>
        </w:rPr>
        <w:t>)</w:t>
      </w:r>
    </w:p>
    <w:p w14:paraId="3D9A6633" w14:textId="0FC8A361" w:rsidR="000627EF" w:rsidRPr="00D163F8" w:rsidRDefault="00EA0AA0" w:rsidP="00D163F8">
      <w:pPr>
        <w:rPr>
          <w:b/>
          <w:bCs/>
          <w:szCs w:val="24"/>
        </w:rPr>
      </w:pPr>
      <w:r w:rsidRPr="00D163F8">
        <w:rPr>
          <w:b/>
          <w:bCs/>
          <w:szCs w:val="24"/>
        </w:rPr>
        <w:t>Outline and e</w:t>
      </w:r>
      <w:r w:rsidR="000627EF" w:rsidRPr="00D163F8">
        <w:rPr>
          <w:b/>
          <w:bCs/>
          <w:szCs w:val="24"/>
        </w:rPr>
        <w:t>xplain the extent to which the current comparator is expected to be substituted:</w:t>
      </w:r>
    </w:p>
    <w:p w14:paraId="674F8F96" w14:textId="33FC79A2" w:rsidR="000627EF" w:rsidRDefault="008E39DE" w:rsidP="00BC0C43">
      <w:pPr>
        <w:rPr>
          <w:b/>
          <w:bCs/>
          <w:szCs w:val="24"/>
        </w:rPr>
      </w:pPr>
      <w:r>
        <w:rPr>
          <w:b/>
          <w:bCs/>
          <w:szCs w:val="24"/>
        </w:rPr>
        <w:t>Biomarker testing</w:t>
      </w:r>
      <w:r w:rsidR="00627AB0">
        <w:rPr>
          <w:b/>
          <w:bCs/>
          <w:szCs w:val="24"/>
        </w:rPr>
        <w:t xml:space="preserve"> and MRI scan of the brain</w:t>
      </w:r>
    </w:p>
    <w:p w14:paraId="30373588" w14:textId="38A79AA3" w:rsidR="009066AD" w:rsidRDefault="009020C5" w:rsidP="003B4D22">
      <w:pPr>
        <w:rPr>
          <w:szCs w:val="24"/>
        </w:rPr>
      </w:pPr>
      <w:r w:rsidRPr="00EF33E4">
        <w:rPr>
          <w:szCs w:val="24"/>
        </w:rPr>
        <w:t>Some</w:t>
      </w:r>
      <w:r w:rsidR="004B3873" w:rsidRPr="00EF33E4">
        <w:rPr>
          <w:szCs w:val="24"/>
        </w:rPr>
        <w:t xml:space="preserve"> people </w:t>
      </w:r>
      <w:r w:rsidR="000614D0" w:rsidRPr="00EF33E4">
        <w:rPr>
          <w:szCs w:val="24"/>
        </w:rPr>
        <w:t>diagnosed</w:t>
      </w:r>
      <w:r w:rsidRPr="00EF33E4">
        <w:rPr>
          <w:szCs w:val="24"/>
        </w:rPr>
        <w:t xml:space="preserve"> with</w:t>
      </w:r>
      <w:r w:rsidR="004B3873" w:rsidRPr="00EF33E4">
        <w:rPr>
          <w:szCs w:val="24"/>
        </w:rPr>
        <w:t xml:space="preserve"> </w:t>
      </w:r>
      <w:r w:rsidR="004B3873" w:rsidRPr="001E4F9E">
        <w:rPr>
          <w:szCs w:val="24"/>
        </w:rPr>
        <w:t>mild cognitive impairment and mild dementia due to Alzheimer’s disease</w:t>
      </w:r>
      <w:r>
        <w:rPr>
          <w:szCs w:val="24"/>
        </w:rPr>
        <w:t xml:space="preserve"> </w:t>
      </w:r>
      <w:r w:rsidR="000614D0">
        <w:rPr>
          <w:szCs w:val="24"/>
        </w:rPr>
        <w:t xml:space="preserve">would be contraindicated for, or elect not to pursue, treatment with </w:t>
      </w:r>
      <w:proofErr w:type="spellStart"/>
      <w:r w:rsidR="000614D0">
        <w:rPr>
          <w:szCs w:val="24"/>
        </w:rPr>
        <w:t>lecanemab</w:t>
      </w:r>
      <w:proofErr w:type="spellEnd"/>
      <w:r w:rsidR="000614D0">
        <w:rPr>
          <w:szCs w:val="24"/>
        </w:rPr>
        <w:t>.</w:t>
      </w:r>
      <w:r w:rsidR="0052755F">
        <w:rPr>
          <w:szCs w:val="24"/>
        </w:rPr>
        <w:t xml:space="preserve"> </w:t>
      </w:r>
      <w:r w:rsidR="00B027DD">
        <w:rPr>
          <w:szCs w:val="24"/>
        </w:rPr>
        <w:t>For these people</w:t>
      </w:r>
      <w:r w:rsidR="0052755F">
        <w:rPr>
          <w:szCs w:val="24"/>
        </w:rPr>
        <w:t xml:space="preserve"> </w:t>
      </w:r>
      <w:r w:rsidR="00A17568">
        <w:rPr>
          <w:szCs w:val="24"/>
        </w:rPr>
        <w:t xml:space="preserve">there is no clinical rationale to request </w:t>
      </w:r>
      <w:proofErr w:type="spellStart"/>
      <w:r w:rsidR="00A17568" w:rsidRPr="005846CB">
        <w:rPr>
          <w:szCs w:val="24"/>
        </w:rPr>
        <w:t>ApoE</w:t>
      </w:r>
      <w:proofErr w:type="spellEnd"/>
      <w:r w:rsidR="00A17568" w:rsidRPr="005846CB">
        <w:rPr>
          <w:szCs w:val="24"/>
        </w:rPr>
        <w:t xml:space="preserve"> ε4 genotyp</w:t>
      </w:r>
      <w:r w:rsidR="006E26D3">
        <w:rPr>
          <w:szCs w:val="24"/>
        </w:rPr>
        <w:t>ing</w:t>
      </w:r>
      <w:r w:rsidR="00A17568">
        <w:rPr>
          <w:szCs w:val="24"/>
        </w:rPr>
        <w:t xml:space="preserve"> or Aβ pathology testing (any methodology) to determine eligibility </w:t>
      </w:r>
      <w:r w:rsidR="00F52969">
        <w:rPr>
          <w:szCs w:val="24"/>
        </w:rPr>
        <w:t xml:space="preserve">for </w:t>
      </w:r>
      <w:proofErr w:type="spellStart"/>
      <w:r w:rsidR="00F52969">
        <w:rPr>
          <w:szCs w:val="24"/>
        </w:rPr>
        <w:t>lecanemab</w:t>
      </w:r>
      <w:proofErr w:type="spellEnd"/>
      <w:r w:rsidR="00C706E8">
        <w:rPr>
          <w:szCs w:val="24"/>
        </w:rPr>
        <w:t xml:space="preserve"> </w:t>
      </w:r>
      <w:r w:rsidR="002C572B">
        <w:rPr>
          <w:szCs w:val="24"/>
        </w:rPr>
        <w:t>and ‘no testing plus standard medical management’ would</w:t>
      </w:r>
      <w:r w:rsidR="009C0B18">
        <w:rPr>
          <w:szCs w:val="24"/>
        </w:rPr>
        <w:t xml:space="preserve"> continue to represent the management approach</w:t>
      </w:r>
      <w:r w:rsidR="002C572B">
        <w:rPr>
          <w:szCs w:val="24"/>
        </w:rPr>
        <w:t>.</w:t>
      </w:r>
    </w:p>
    <w:p w14:paraId="733E093C" w14:textId="2E65C2C1" w:rsidR="005445DD" w:rsidRDefault="00F32BBA" w:rsidP="003B4D22">
      <w:pPr>
        <w:rPr>
          <w:szCs w:val="24"/>
        </w:rPr>
      </w:pPr>
      <w:r>
        <w:rPr>
          <w:szCs w:val="24"/>
        </w:rPr>
        <w:t xml:space="preserve">It is foreshadowed that there will be variable </w:t>
      </w:r>
      <w:r w:rsidR="00AC54DB">
        <w:rPr>
          <w:szCs w:val="24"/>
        </w:rPr>
        <w:t>uptake</w:t>
      </w:r>
      <w:r>
        <w:rPr>
          <w:szCs w:val="24"/>
        </w:rPr>
        <w:t xml:space="preserve"> of Aβ pathology testing across the </w:t>
      </w:r>
      <w:r w:rsidR="005065D9">
        <w:rPr>
          <w:szCs w:val="24"/>
        </w:rPr>
        <w:t xml:space="preserve">amyloid PET, </w:t>
      </w:r>
      <w:r w:rsidR="005065D9" w:rsidRPr="005065D9">
        <w:rPr>
          <w:szCs w:val="24"/>
        </w:rPr>
        <w:t>t-tau/A</w:t>
      </w:r>
      <w:proofErr w:type="gramStart"/>
      <w:r w:rsidR="005065D9" w:rsidRPr="005846CB">
        <w:rPr>
          <w:szCs w:val="24"/>
        </w:rPr>
        <w:t>β</w:t>
      </w:r>
      <w:r w:rsidR="005065D9" w:rsidRPr="005065D9">
        <w:rPr>
          <w:szCs w:val="24"/>
        </w:rPr>
        <w:t>[</w:t>
      </w:r>
      <w:proofErr w:type="gramEnd"/>
      <w:r w:rsidR="005065D9" w:rsidRPr="005065D9">
        <w:rPr>
          <w:szCs w:val="24"/>
        </w:rPr>
        <w:t xml:space="preserve">1-42] in CSF </w:t>
      </w:r>
      <w:r w:rsidR="005065D9">
        <w:rPr>
          <w:szCs w:val="24"/>
        </w:rPr>
        <w:t xml:space="preserve">and </w:t>
      </w:r>
      <w:r w:rsidR="005065D9" w:rsidRPr="005846CB">
        <w:rPr>
          <w:szCs w:val="24"/>
        </w:rPr>
        <w:t>pTau217 in plasma testing</w:t>
      </w:r>
      <w:r w:rsidR="000D7BB1">
        <w:rPr>
          <w:szCs w:val="24"/>
        </w:rPr>
        <w:t xml:space="preserve"> methodologies</w:t>
      </w:r>
      <w:r w:rsidR="0028139C">
        <w:rPr>
          <w:szCs w:val="24"/>
        </w:rPr>
        <w:t>.</w:t>
      </w:r>
      <w:r w:rsidR="003F1706">
        <w:rPr>
          <w:szCs w:val="24"/>
        </w:rPr>
        <w:t xml:space="preserve"> In most cases</w:t>
      </w:r>
      <w:r w:rsidR="00F2249E">
        <w:rPr>
          <w:szCs w:val="24"/>
        </w:rPr>
        <w:t xml:space="preserve"> </w:t>
      </w:r>
      <w:r w:rsidR="00F2249E" w:rsidRPr="005065D9">
        <w:rPr>
          <w:szCs w:val="24"/>
        </w:rPr>
        <w:t>t-tau/A</w:t>
      </w:r>
      <w:proofErr w:type="gramStart"/>
      <w:r w:rsidR="00F2249E" w:rsidRPr="005846CB">
        <w:rPr>
          <w:szCs w:val="24"/>
        </w:rPr>
        <w:t>β</w:t>
      </w:r>
      <w:r w:rsidR="00F2249E" w:rsidRPr="005065D9">
        <w:rPr>
          <w:szCs w:val="24"/>
        </w:rPr>
        <w:t>[</w:t>
      </w:r>
      <w:proofErr w:type="gramEnd"/>
      <w:r w:rsidR="00F2249E" w:rsidRPr="005065D9">
        <w:rPr>
          <w:szCs w:val="24"/>
        </w:rPr>
        <w:t xml:space="preserve">1-42] in CSF </w:t>
      </w:r>
      <w:r w:rsidR="00F2249E">
        <w:rPr>
          <w:szCs w:val="24"/>
        </w:rPr>
        <w:t xml:space="preserve">or </w:t>
      </w:r>
      <w:r w:rsidR="00F2249E" w:rsidRPr="005846CB">
        <w:rPr>
          <w:szCs w:val="24"/>
        </w:rPr>
        <w:t>pTau217 in plasma testing</w:t>
      </w:r>
      <w:r w:rsidR="00F2249E">
        <w:rPr>
          <w:szCs w:val="24"/>
        </w:rPr>
        <w:t xml:space="preserve"> is expected to be used as </w:t>
      </w:r>
      <w:r w:rsidR="005C6484">
        <w:rPr>
          <w:szCs w:val="24"/>
        </w:rPr>
        <w:t>a</w:t>
      </w:r>
      <w:r w:rsidR="00704666">
        <w:rPr>
          <w:szCs w:val="24"/>
        </w:rPr>
        <w:t>n</w:t>
      </w:r>
      <w:r w:rsidR="005C6484">
        <w:rPr>
          <w:szCs w:val="24"/>
        </w:rPr>
        <w:t xml:space="preserve"> </w:t>
      </w:r>
      <w:r w:rsidR="00704666">
        <w:rPr>
          <w:szCs w:val="24"/>
        </w:rPr>
        <w:t>alternative/</w:t>
      </w:r>
      <w:r w:rsidR="005C6484">
        <w:rPr>
          <w:szCs w:val="24"/>
        </w:rPr>
        <w:t>replacement for amyloid PET</w:t>
      </w:r>
      <w:r w:rsidR="004338A0">
        <w:rPr>
          <w:szCs w:val="24"/>
        </w:rPr>
        <w:t>. However, some people with in</w:t>
      </w:r>
      <w:r w:rsidR="00802210">
        <w:rPr>
          <w:szCs w:val="24"/>
        </w:rPr>
        <w:t xml:space="preserve">determinate results </w:t>
      </w:r>
      <w:r w:rsidR="00802210">
        <w:rPr>
          <w:szCs w:val="24"/>
        </w:rPr>
        <w:lastRenderedPageBreak/>
        <w:t xml:space="preserve">from </w:t>
      </w:r>
      <w:r w:rsidR="00802210" w:rsidRPr="005065D9">
        <w:rPr>
          <w:szCs w:val="24"/>
        </w:rPr>
        <w:t>t-tau/A</w:t>
      </w:r>
      <w:proofErr w:type="gramStart"/>
      <w:r w:rsidR="00802210" w:rsidRPr="005846CB">
        <w:rPr>
          <w:szCs w:val="24"/>
        </w:rPr>
        <w:t>β</w:t>
      </w:r>
      <w:r w:rsidR="00802210" w:rsidRPr="005065D9">
        <w:rPr>
          <w:szCs w:val="24"/>
        </w:rPr>
        <w:t>[</w:t>
      </w:r>
      <w:proofErr w:type="gramEnd"/>
      <w:r w:rsidR="00802210" w:rsidRPr="005065D9">
        <w:rPr>
          <w:szCs w:val="24"/>
        </w:rPr>
        <w:t xml:space="preserve">1-42] in CSF </w:t>
      </w:r>
      <w:r w:rsidR="00802210">
        <w:rPr>
          <w:szCs w:val="24"/>
        </w:rPr>
        <w:t xml:space="preserve">or </w:t>
      </w:r>
      <w:r w:rsidR="00802210" w:rsidRPr="005846CB">
        <w:rPr>
          <w:szCs w:val="24"/>
        </w:rPr>
        <w:t>pTau217 in plasma testing</w:t>
      </w:r>
      <w:r w:rsidR="003C4523">
        <w:rPr>
          <w:szCs w:val="24"/>
        </w:rPr>
        <w:t xml:space="preserve"> may go on to receive follow-on amyloid PET</w:t>
      </w:r>
      <w:r w:rsidR="00046D81">
        <w:rPr>
          <w:szCs w:val="24"/>
        </w:rPr>
        <w:t xml:space="preserve"> as a confirmatory test.</w:t>
      </w:r>
    </w:p>
    <w:p w14:paraId="3297D62E" w14:textId="519FC283" w:rsidR="00EF33E4" w:rsidRPr="003B4D22" w:rsidRDefault="006C5D31" w:rsidP="003B4D22">
      <w:r>
        <w:rPr>
          <w:szCs w:val="24"/>
        </w:rPr>
        <w:t xml:space="preserve">MRI scanning of the brain through </w:t>
      </w:r>
      <w:r w:rsidR="003B5E59">
        <w:rPr>
          <w:szCs w:val="24"/>
        </w:rPr>
        <w:t xml:space="preserve">MBS items specific to people </w:t>
      </w:r>
      <w:r w:rsidR="00E43971">
        <w:rPr>
          <w:szCs w:val="24"/>
        </w:rPr>
        <w:t xml:space="preserve">on </w:t>
      </w:r>
      <w:r w:rsidR="003B5E59">
        <w:rPr>
          <w:szCs w:val="24"/>
        </w:rPr>
        <w:t xml:space="preserve">anti-amyloid treatment </w:t>
      </w:r>
      <w:r w:rsidR="00616A35">
        <w:rPr>
          <w:szCs w:val="24"/>
        </w:rPr>
        <w:t>is expected to partially replace MRI scanning of the brain through existing MBS items.</w:t>
      </w:r>
      <w:r w:rsidR="00C03110">
        <w:rPr>
          <w:szCs w:val="24"/>
        </w:rPr>
        <w:t xml:space="preserve"> The rationale for this is that the</w:t>
      </w:r>
      <w:r w:rsidR="00921B13">
        <w:rPr>
          <w:szCs w:val="24"/>
        </w:rPr>
        <w:t xml:space="preserve"> </w:t>
      </w:r>
      <w:r w:rsidR="00C03110">
        <w:rPr>
          <w:szCs w:val="24"/>
        </w:rPr>
        <w:t>item descrip</w:t>
      </w:r>
      <w:r w:rsidR="00921B13">
        <w:rPr>
          <w:szCs w:val="24"/>
        </w:rPr>
        <w:t xml:space="preserve">tor for MBS item 63004 </w:t>
      </w:r>
      <w:r w:rsidR="004C6319">
        <w:rPr>
          <w:szCs w:val="24"/>
        </w:rPr>
        <w:t>would</w:t>
      </w:r>
      <w:r w:rsidR="00921B13">
        <w:rPr>
          <w:szCs w:val="24"/>
        </w:rPr>
        <w:t xml:space="preserve"> not preclude </w:t>
      </w:r>
      <w:r w:rsidR="004C6319">
        <w:rPr>
          <w:szCs w:val="24"/>
        </w:rPr>
        <w:t xml:space="preserve">its continued use in performing MRI for the purpose of </w:t>
      </w:r>
      <w:r w:rsidR="002D1E58">
        <w:rPr>
          <w:szCs w:val="24"/>
        </w:rPr>
        <w:t xml:space="preserve">investigating for ARIA events in people </w:t>
      </w:r>
      <w:r w:rsidR="00DF16F5">
        <w:rPr>
          <w:szCs w:val="24"/>
        </w:rPr>
        <w:t>receiving anti-amyloid treatment.</w:t>
      </w:r>
      <w:r w:rsidR="00B264D8">
        <w:rPr>
          <w:szCs w:val="24"/>
        </w:rPr>
        <w:t xml:space="preserve"> Thus, radiology clinics could reasonably claim MRI scans of the brain </w:t>
      </w:r>
      <w:r w:rsidR="005B1DD7">
        <w:rPr>
          <w:szCs w:val="24"/>
        </w:rPr>
        <w:t xml:space="preserve">for the purpose of investigating ARIA events through MBS item 63004 or </w:t>
      </w:r>
      <w:r w:rsidR="00301D89">
        <w:rPr>
          <w:szCs w:val="24"/>
        </w:rPr>
        <w:t>MBS item</w:t>
      </w:r>
      <w:r w:rsidR="00ED6DE1">
        <w:rPr>
          <w:szCs w:val="24"/>
        </w:rPr>
        <w:t>s</w:t>
      </w:r>
      <w:r w:rsidR="00301D89">
        <w:rPr>
          <w:szCs w:val="24"/>
        </w:rPr>
        <w:t xml:space="preserve"> specific to people receiving anti-amyloid treatment.</w:t>
      </w:r>
    </w:p>
    <w:p w14:paraId="527F0163" w14:textId="2737A668" w:rsidR="0016065A" w:rsidRPr="00A84BCA" w:rsidRDefault="0016065A" w:rsidP="00EA0AA0">
      <w:pPr>
        <w:pStyle w:val="Heading1"/>
        <w:rPr>
          <w:color w:val="002060"/>
        </w:rPr>
      </w:pPr>
      <w:r w:rsidRPr="00A84BCA">
        <w:rPr>
          <w:color w:val="002060"/>
        </w:rPr>
        <w:t>Outcome</w:t>
      </w:r>
      <w:r w:rsidR="00770FA6" w:rsidRPr="00A84BCA">
        <w:rPr>
          <w:color w:val="002060"/>
        </w:rPr>
        <w:t>s</w:t>
      </w:r>
    </w:p>
    <w:p w14:paraId="17E1F7BE" w14:textId="77777777" w:rsidR="00361BBE" w:rsidRPr="00D163F8" w:rsidRDefault="004C02B7" w:rsidP="00D163F8">
      <w:pPr>
        <w:rPr>
          <w:b/>
          <w:bCs/>
          <w:szCs w:val="24"/>
        </w:rPr>
      </w:pPr>
      <w:r w:rsidRPr="00D163F8">
        <w:rPr>
          <w:b/>
          <w:bCs/>
          <w:szCs w:val="24"/>
        </w:rPr>
        <w:t>List the key health outcomes (major and minor – prioritising major key health outcomes first) that will need to be measured in assessing the clinical claim for the proposed medical service/technology (versus the comparator):</w:t>
      </w:r>
      <w:r w:rsidR="00DB2D53" w:rsidRPr="00D163F8">
        <w:rPr>
          <w:b/>
          <w:bCs/>
          <w:szCs w:val="24"/>
        </w:rPr>
        <w:t xml:space="preserve"> </w:t>
      </w:r>
    </w:p>
    <w:p w14:paraId="2BA09AC5" w14:textId="7A51846D" w:rsidR="004C02B7" w:rsidRPr="0089269F" w:rsidRDefault="009D56A6" w:rsidP="00582377">
      <w:pPr>
        <w:pStyle w:val="Tickboxes"/>
        <w:rPr>
          <w:sz w:val="24"/>
          <w:szCs w:val="24"/>
        </w:rPr>
      </w:pPr>
      <w:r>
        <w:rPr>
          <w:sz w:val="24"/>
          <w:szCs w:val="24"/>
        </w:rPr>
        <w:fldChar w:fldCharType="begin">
          <w:ffData>
            <w:name w:val=""/>
            <w:enabled/>
            <w:calcOnExit w:val="0"/>
            <w:statusText w:type="text" w:val="Health outcomes Health benefits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C0C43" w:rsidRPr="0089269F">
        <w:rPr>
          <w:sz w:val="24"/>
          <w:szCs w:val="24"/>
        </w:rPr>
        <w:t xml:space="preserve"> </w:t>
      </w:r>
      <w:r w:rsidR="004C02B7" w:rsidRPr="0089269F">
        <w:rPr>
          <w:sz w:val="24"/>
          <w:szCs w:val="24"/>
        </w:rPr>
        <w:t xml:space="preserve">Health benefits </w:t>
      </w:r>
    </w:p>
    <w:p w14:paraId="4B5E35E8" w14:textId="7A524286" w:rsidR="004C02B7" w:rsidRPr="0089269F" w:rsidRDefault="009D56A6" w:rsidP="00582377">
      <w:pPr>
        <w:pStyle w:val="Tickboxes"/>
        <w:rPr>
          <w:sz w:val="24"/>
          <w:szCs w:val="24"/>
        </w:rPr>
      </w:pPr>
      <w:r>
        <w:rPr>
          <w:sz w:val="24"/>
          <w:szCs w:val="24"/>
        </w:rPr>
        <w:fldChar w:fldCharType="begin">
          <w:ffData>
            <w:name w:val=""/>
            <w:enabled/>
            <w:calcOnExit w:val="0"/>
            <w:statusText w:type="text" w:val="Health outcomes Health harm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Health harms</w:t>
      </w:r>
    </w:p>
    <w:p w14:paraId="7846E3EA" w14:textId="739E1FE9" w:rsidR="004C02B7" w:rsidRPr="0089269F" w:rsidRDefault="002F1641" w:rsidP="00582377">
      <w:pPr>
        <w:pStyle w:val="Tickboxes"/>
        <w:rPr>
          <w:sz w:val="24"/>
          <w:szCs w:val="24"/>
        </w:rPr>
      </w:pPr>
      <w:r>
        <w:rPr>
          <w:sz w:val="24"/>
          <w:szCs w:val="24"/>
        </w:rPr>
        <w:fldChar w:fldCharType="begin">
          <w:ffData>
            <w:name w:val=""/>
            <w:enabled/>
            <w:calcOnExit w:val="0"/>
            <w:statusText w:type="text" w:val="Health outcomes Resource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Resources </w:t>
      </w:r>
    </w:p>
    <w:p w14:paraId="4A3C8161" w14:textId="4FDD152F" w:rsidR="00E00CD3" w:rsidRPr="0089269F" w:rsidRDefault="002C40F1" w:rsidP="00582377">
      <w:pPr>
        <w:pStyle w:val="Tickboxes"/>
        <w:rPr>
          <w:b/>
          <w:sz w:val="24"/>
          <w:szCs w:val="24"/>
        </w:rPr>
      </w:pPr>
      <w:r>
        <w:rPr>
          <w:sz w:val="24"/>
          <w:szCs w:val="24"/>
        </w:rPr>
        <w:fldChar w:fldCharType="begin">
          <w:ffData>
            <w:name w:val=""/>
            <w:enabled/>
            <w:calcOnExit w:val="0"/>
            <w:statusText w:type="text" w:val="Health outcomes Value of knowing"/>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89269F">
        <w:rPr>
          <w:sz w:val="24"/>
          <w:szCs w:val="24"/>
        </w:rPr>
        <w:t xml:space="preserve"> Value of knowing</w:t>
      </w:r>
    </w:p>
    <w:p w14:paraId="36189B68" w14:textId="2A9DD4E8" w:rsidR="004C02B7" w:rsidRPr="00D163F8" w:rsidRDefault="00E00CD3" w:rsidP="00D163F8">
      <w:pPr>
        <w:rPr>
          <w:b/>
          <w:bCs/>
          <w:szCs w:val="24"/>
        </w:rPr>
      </w:pPr>
      <w:r w:rsidRPr="00D163F8">
        <w:rPr>
          <w:b/>
          <w:bCs/>
          <w:szCs w:val="24"/>
        </w:rPr>
        <w:t>O</w:t>
      </w:r>
      <w:r w:rsidR="00CB5480" w:rsidRPr="00D163F8">
        <w:rPr>
          <w:b/>
          <w:bCs/>
          <w:szCs w:val="24"/>
        </w:rPr>
        <w:t>utcome description</w:t>
      </w:r>
      <w:r w:rsidRPr="00D163F8">
        <w:rPr>
          <w:b/>
          <w:bCs/>
          <w:szCs w:val="24"/>
        </w:rPr>
        <w:t xml:space="preserve"> –</w:t>
      </w:r>
      <w:r w:rsidR="00EA0AA0" w:rsidRPr="00D163F8">
        <w:rPr>
          <w:b/>
          <w:bCs/>
          <w:szCs w:val="24"/>
        </w:rPr>
        <w:t xml:space="preserve"> </w:t>
      </w:r>
      <w:r w:rsidRPr="00D163F8">
        <w:rPr>
          <w:b/>
          <w:bCs/>
          <w:szCs w:val="24"/>
        </w:rPr>
        <w:t xml:space="preserve">include information about whether a change in patient management, or prognosis, occurs </w:t>
      </w:r>
      <w:proofErr w:type="gramStart"/>
      <w:r w:rsidRPr="00D163F8">
        <w:rPr>
          <w:b/>
          <w:bCs/>
          <w:szCs w:val="24"/>
        </w:rPr>
        <w:t>as a result of</w:t>
      </w:r>
      <w:proofErr w:type="gramEnd"/>
      <w:r w:rsidRPr="00D163F8">
        <w:rPr>
          <w:b/>
          <w:bCs/>
          <w:szCs w:val="24"/>
        </w:rPr>
        <w:t xml:space="preserve"> the test information</w:t>
      </w:r>
      <w:r w:rsidR="004C02B7" w:rsidRPr="00D163F8">
        <w:rPr>
          <w:b/>
          <w:bCs/>
          <w:szCs w:val="24"/>
        </w:rPr>
        <w:t>:</w:t>
      </w:r>
    </w:p>
    <w:p w14:paraId="690EA31F" w14:textId="210BE160" w:rsidR="004C02B7" w:rsidRDefault="00330337" w:rsidP="00BC0C43">
      <w:pPr>
        <w:rPr>
          <w:b/>
          <w:bCs/>
          <w:szCs w:val="24"/>
        </w:rPr>
      </w:pPr>
      <w:r>
        <w:rPr>
          <w:b/>
          <w:bCs/>
          <w:szCs w:val="24"/>
        </w:rPr>
        <w:t xml:space="preserve">Change in patient management as a result </w:t>
      </w:r>
      <w:r w:rsidR="00F357DB">
        <w:rPr>
          <w:b/>
          <w:bCs/>
          <w:szCs w:val="24"/>
        </w:rPr>
        <w:t>information from investigations</w:t>
      </w:r>
    </w:p>
    <w:p w14:paraId="1F20DBEB" w14:textId="742BB2FF" w:rsidR="00476915" w:rsidRDefault="00C127A0" w:rsidP="00BC0C43">
      <w:pPr>
        <w:rPr>
          <w:szCs w:val="24"/>
        </w:rPr>
      </w:pPr>
      <w:r w:rsidRPr="00476915">
        <w:rPr>
          <w:szCs w:val="24"/>
        </w:rPr>
        <w:t xml:space="preserve">A change is management is expected to occur </w:t>
      </w:r>
      <w:proofErr w:type="gramStart"/>
      <w:r w:rsidRPr="00476915">
        <w:rPr>
          <w:szCs w:val="24"/>
        </w:rPr>
        <w:t>as a result of</w:t>
      </w:r>
      <w:proofErr w:type="gramEnd"/>
      <w:r w:rsidRPr="00476915">
        <w:rPr>
          <w:szCs w:val="24"/>
        </w:rPr>
        <w:t xml:space="preserve"> the information provided by </w:t>
      </w:r>
      <w:proofErr w:type="spellStart"/>
      <w:r w:rsidR="00FC729D" w:rsidRPr="00476915">
        <w:rPr>
          <w:szCs w:val="24"/>
        </w:rPr>
        <w:t>ApoE</w:t>
      </w:r>
      <w:proofErr w:type="spellEnd"/>
      <w:r w:rsidR="00FC729D" w:rsidRPr="00476915">
        <w:rPr>
          <w:szCs w:val="24"/>
        </w:rPr>
        <w:t xml:space="preserve"> ε4 genotyping </w:t>
      </w:r>
      <w:r w:rsidR="002E1CD2">
        <w:rPr>
          <w:szCs w:val="24"/>
        </w:rPr>
        <w:t>and</w:t>
      </w:r>
      <w:r w:rsidR="00FC729D" w:rsidRPr="00476915">
        <w:rPr>
          <w:szCs w:val="24"/>
        </w:rPr>
        <w:t xml:space="preserve"> Aβ pathology testing. Specifically, </w:t>
      </w:r>
      <w:r w:rsidR="006C7BA9" w:rsidRPr="00476915">
        <w:rPr>
          <w:szCs w:val="24"/>
        </w:rPr>
        <w:t xml:space="preserve">a change in management to </w:t>
      </w:r>
      <w:r w:rsidR="00C17E55">
        <w:rPr>
          <w:szCs w:val="24"/>
        </w:rPr>
        <w:t xml:space="preserve">consider </w:t>
      </w:r>
      <w:r w:rsidR="006C7BA9" w:rsidRPr="00476915">
        <w:rPr>
          <w:szCs w:val="24"/>
        </w:rPr>
        <w:t>init</w:t>
      </w:r>
      <w:r w:rsidR="00476915" w:rsidRPr="00476915">
        <w:rPr>
          <w:szCs w:val="24"/>
        </w:rPr>
        <w:t>iat</w:t>
      </w:r>
      <w:r w:rsidR="00C17E55">
        <w:rPr>
          <w:szCs w:val="24"/>
        </w:rPr>
        <w:t xml:space="preserve">ing </w:t>
      </w:r>
      <w:proofErr w:type="spellStart"/>
      <w:r w:rsidR="00476915" w:rsidRPr="00476915">
        <w:rPr>
          <w:szCs w:val="24"/>
        </w:rPr>
        <w:t>lecanemab</w:t>
      </w:r>
      <w:proofErr w:type="spellEnd"/>
      <w:r w:rsidR="00476915" w:rsidRPr="00476915">
        <w:rPr>
          <w:szCs w:val="24"/>
        </w:rPr>
        <w:t xml:space="preserve"> is expected in </w:t>
      </w:r>
      <w:r w:rsidR="00FC729D" w:rsidRPr="00476915">
        <w:rPr>
          <w:szCs w:val="24"/>
        </w:rPr>
        <w:t xml:space="preserve">people </w:t>
      </w:r>
      <w:r w:rsidR="00974D78" w:rsidRPr="00476915">
        <w:rPr>
          <w:szCs w:val="24"/>
        </w:rPr>
        <w:t xml:space="preserve">reported </w:t>
      </w:r>
      <w:r w:rsidR="00FC729D" w:rsidRPr="00476915">
        <w:rPr>
          <w:szCs w:val="24"/>
        </w:rPr>
        <w:t xml:space="preserve">has </w:t>
      </w:r>
      <w:r w:rsidR="007E1F5E" w:rsidRPr="00476915">
        <w:rPr>
          <w:szCs w:val="24"/>
        </w:rPr>
        <w:t xml:space="preserve">having evidence of Aβ pathology </w:t>
      </w:r>
      <w:r w:rsidR="00974D78" w:rsidRPr="00476915">
        <w:rPr>
          <w:szCs w:val="24"/>
        </w:rPr>
        <w:t xml:space="preserve">and </w:t>
      </w:r>
      <w:proofErr w:type="spellStart"/>
      <w:r w:rsidR="007E1F5E" w:rsidRPr="00476915">
        <w:rPr>
          <w:szCs w:val="24"/>
        </w:rPr>
        <w:t>ApoE</w:t>
      </w:r>
      <w:proofErr w:type="spellEnd"/>
      <w:r w:rsidR="007E1F5E" w:rsidRPr="00476915">
        <w:rPr>
          <w:szCs w:val="24"/>
        </w:rPr>
        <w:t xml:space="preserve"> ε4 non-carriers or heterozygous</w:t>
      </w:r>
      <w:r w:rsidR="00476915">
        <w:rPr>
          <w:szCs w:val="24"/>
        </w:rPr>
        <w:t>.</w:t>
      </w:r>
    </w:p>
    <w:p w14:paraId="17D332F2" w14:textId="6E762FD1" w:rsidR="00476915" w:rsidRDefault="00476915" w:rsidP="00BC0C43">
      <w:pPr>
        <w:rPr>
          <w:szCs w:val="24"/>
        </w:rPr>
      </w:pPr>
      <w:r>
        <w:rPr>
          <w:szCs w:val="24"/>
        </w:rPr>
        <w:t>A</w:t>
      </w:r>
      <w:r w:rsidR="00456D85">
        <w:rPr>
          <w:szCs w:val="24"/>
        </w:rPr>
        <w:t xml:space="preserve"> change in management may occur </w:t>
      </w:r>
      <w:proofErr w:type="gramStart"/>
      <w:r w:rsidR="00456D85">
        <w:rPr>
          <w:szCs w:val="24"/>
        </w:rPr>
        <w:t>as a result of</w:t>
      </w:r>
      <w:proofErr w:type="gramEnd"/>
      <w:r w:rsidR="00456D85">
        <w:rPr>
          <w:szCs w:val="24"/>
        </w:rPr>
        <w:t xml:space="preserve"> the information provided</w:t>
      </w:r>
      <w:r w:rsidR="00F065AF">
        <w:rPr>
          <w:szCs w:val="24"/>
        </w:rPr>
        <w:t xml:space="preserve"> by MRI scan</w:t>
      </w:r>
      <w:r w:rsidR="00C62CCF">
        <w:rPr>
          <w:szCs w:val="24"/>
        </w:rPr>
        <w:t>ning of the brain</w:t>
      </w:r>
      <w:r w:rsidR="005F1B00">
        <w:rPr>
          <w:szCs w:val="24"/>
        </w:rPr>
        <w:t xml:space="preserve"> prior to initiating </w:t>
      </w:r>
      <w:proofErr w:type="spellStart"/>
      <w:r w:rsidR="005F1B00">
        <w:rPr>
          <w:szCs w:val="24"/>
        </w:rPr>
        <w:t>lecanemab</w:t>
      </w:r>
      <w:proofErr w:type="spellEnd"/>
      <w:r w:rsidR="00C62CCF">
        <w:rPr>
          <w:szCs w:val="24"/>
        </w:rPr>
        <w:t>.</w:t>
      </w:r>
      <w:r w:rsidR="00E96180">
        <w:rPr>
          <w:szCs w:val="24"/>
        </w:rPr>
        <w:t xml:space="preserve"> P</w:t>
      </w:r>
      <w:r w:rsidR="00D379BB">
        <w:rPr>
          <w:szCs w:val="24"/>
        </w:rPr>
        <w:t xml:space="preserve">eople with evidence of clinically significant lesions </w:t>
      </w:r>
      <w:r w:rsidR="008C462E">
        <w:rPr>
          <w:szCs w:val="24"/>
        </w:rPr>
        <w:t>that could indicate a dementia dia</w:t>
      </w:r>
      <w:r w:rsidR="00CD0D81">
        <w:rPr>
          <w:szCs w:val="24"/>
        </w:rPr>
        <w:t>gnosis other than Alzheimer’s disease or people with significant pathological findings on the brain at screen</w:t>
      </w:r>
      <w:r w:rsidR="005F1B00">
        <w:rPr>
          <w:szCs w:val="24"/>
        </w:rPr>
        <w:t>ing</w:t>
      </w:r>
      <w:r w:rsidR="00CD0D81">
        <w:rPr>
          <w:szCs w:val="24"/>
        </w:rPr>
        <w:t xml:space="preserve"> would be contraindicated for </w:t>
      </w:r>
      <w:proofErr w:type="spellStart"/>
      <w:r w:rsidR="00CD0D81">
        <w:rPr>
          <w:szCs w:val="24"/>
        </w:rPr>
        <w:t>lecanemab</w:t>
      </w:r>
      <w:proofErr w:type="spellEnd"/>
      <w:r w:rsidR="00CD0D81">
        <w:rPr>
          <w:szCs w:val="24"/>
        </w:rPr>
        <w:t>.</w:t>
      </w:r>
      <w:r w:rsidR="00D8652A">
        <w:rPr>
          <w:szCs w:val="24"/>
        </w:rPr>
        <w:t xml:space="preserve"> In this context, </w:t>
      </w:r>
      <w:r w:rsidR="009148FE">
        <w:rPr>
          <w:szCs w:val="24"/>
        </w:rPr>
        <w:t>the information provided by the MRI scan</w:t>
      </w:r>
      <w:r w:rsidR="009017B4">
        <w:rPr>
          <w:szCs w:val="24"/>
        </w:rPr>
        <w:t xml:space="preserve"> would inform a decision to </w:t>
      </w:r>
      <w:r w:rsidR="005F1B00">
        <w:rPr>
          <w:szCs w:val="24"/>
        </w:rPr>
        <w:t xml:space="preserve">not </w:t>
      </w:r>
      <w:r w:rsidR="009017B4">
        <w:rPr>
          <w:szCs w:val="24"/>
        </w:rPr>
        <w:t xml:space="preserve">initiate </w:t>
      </w:r>
      <w:proofErr w:type="spellStart"/>
      <w:r w:rsidR="009017B4">
        <w:rPr>
          <w:szCs w:val="24"/>
        </w:rPr>
        <w:t>lecanemab</w:t>
      </w:r>
      <w:proofErr w:type="spellEnd"/>
      <w:r w:rsidR="009017B4">
        <w:rPr>
          <w:szCs w:val="24"/>
        </w:rPr>
        <w:t xml:space="preserve"> even if </w:t>
      </w:r>
      <w:r w:rsidR="002E1CD2">
        <w:rPr>
          <w:szCs w:val="24"/>
        </w:rPr>
        <w:t xml:space="preserve">a person was eligible based on the outcome of </w:t>
      </w:r>
      <w:r w:rsidR="00392019" w:rsidRPr="00476915">
        <w:rPr>
          <w:szCs w:val="24"/>
        </w:rPr>
        <w:t xml:space="preserve">Aβ pathology </w:t>
      </w:r>
      <w:r w:rsidR="0048324B">
        <w:rPr>
          <w:szCs w:val="24"/>
        </w:rPr>
        <w:t xml:space="preserve">and </w:t>
      </w:r>
      <w:proofErr w:type="spellStart"/>
      <w:r w:rsidR="002E1CD2" w:rsidRPr="00476915">
        <w:rPr>
          <w:szCs w:val="24"/>
        </w:rPr>
        <w:t>ApoE</w:t>
      </w:r>
      <w:proofErr w:type="spellEnd"/>
      <w:r w:rsidR="002E1CD2" w:rsidRPr="00476915">
        <w:rPr>
          <w:szCs w:val="24"/>
        </w:rPr>
        <w:t xml:space="preserve"> ε4 genotyp</w:t>
      </w:r>
      <w:r w:rsidR="002214FC">
        <w:rPr>
          <w:szCs w:val="24"/>
        </w:rPr>
        <w:t xml:space="preserve">e </w:t>
      </w:r>
      <w:r w:rsidR="002E1CD2" w:rsidRPr="00476915">
        <w:rPr>
          <w:szCs w:val="24"/>
        </w:rPr>
        <w:t>testing</w:t>
      </w:r>
      <w:r w:rsidR="002E1CD2">
        <w:rPr>
          <w:szCs w:val="24"/>
        </w:rPr>
        <w:t>.</w:t>
      </w:r>
    </w:p>
    <w:p w14:paraId="5956387E" w14:textId="2F9A67DD" w:rsidR="00A21DB6" w:rsidRPr="002D7200" w:rsidRDefault="00477D73" w:rsidP="00B85BC2">
      <w:pPr>
        <w:rPr>
          <w:szCs w:val="24"/>
        </w:rPr>
      </w:pPr>
      <w:r w:rsidRPr="002D7200">
        <w:rPr>
          <w:szCs w:val="24"/>
        </w:rPr>
        <w:t xml:space="preserve">A change in management in terms on suspending </w:t>
      </w:r>
      <w:proofErr w:type="spellStart"/>
      <w:r w:rsidR="00AA39BD">
        <w:rPr>
          <w:szCs w:val="24"/>
        </w:rPr>
        <w:t>lecanemab</w:t>
      </w:r>
      <w:proofErr w:type="spellEnd"/>
      <w:r w:rsidR="00AA39BD">
        <w:rPr>
          <w:szCs w:val="24"/>
        </w:rPr>
        <w:t xml:space="preserve"> </w:t>
      </w:r>
      <w:r w:rsidRPr="002D7200">
        <w:rPr>
          <w:szCs w:val="24"/>
        </w:rPr>
        <w:t xml:space="preserve">dosing is expected to occur for some </w:t>
      </w:r>
      <w:r w:rsidR="00291410">
        <w:rPr>
          <w:szCs w:val="24"/>
        </w:rPr>
        <w:t>people</w:t>
      </w:r>
      <w:r w:rsidRPr="002D7200">
        <w:rPr>
          <w:szCs w:val="24"/>
        </w:rPr>
        <w:t xml:space="preserve"> assessed as experiencing an ARIA event based on the </w:t>
      </w:r>
      <w:r w:rsidR="0083264F">
        <w:rPr>
          <w:szCs w:val="24"/>
        </w:rPr>
        <w:t xml:space="preserve">information provided by MRI scanning of the brain after initiating </w:t>
      </w:r>
      <w:proofErr w:type="spellStart"/>
      <w:r w:rsidR="0083264F">
        <w:rPr>
          <w:szCs w:val="24"/>
        </w:rPr>
        <w:t>lecanemab</w:t>
      </w:r>
      <w:proofErr w:type="spellEnd"/>
      <w:r w:rsidR="0083264F">
        <w:rPr>
          <w:szCs w:val="24"/>
        </w:rPr>
        <w:t>.</w:t>
      </w:r>
      <w:r w:rsidR="00767F60">
        <w:rPr>
          <w:szCs w:val="24"/>
        </w:rPr>
        <w:t xml:space="preserve"> The d</w:t>
      </w:r>
      <w:r w:rsidR="00CC6085" w:rsidRPr="004F3237">
        <w:rPr>
          <w:szCs w:val="24"/>
        </w:rPr>
        <w:t>osing recommendations for people assessed as experiencing a</w:t>
      </w:r>
      <w:r w:rsidR="00B85BC2" w:rsidRPr="004F3237">
        <w:rPr>
          <w:szCs w:val="24"/>
        </w:rPr>
        <w:t>n ARIA event set out in the TGA approved Product Information are provided below</w:t>
      </w:r>
      <w:r w:rsidR="00B85BC2" w:rsidRPr="002D7200">
        <w:rPr>
          <w:szCs w:val="24"/>
        </w:rPr>
        <w:t>.</w:t>
      </w:r>
    </w:p>
    <w:tbl>
      <w:tblPr>
        <w:tblStyle w:val="TableGrid"/>
        <w:tblW w:w="0" w:type="auto"/>
        <w:tblLook w:val="04A0" w:firstRow="1" w:lastRow="0" w:firstColumn="1" w:lastColumn="0" w:noHBand="0" w:noVBand="1"/>
      </w:tblPr>
      <w:tblGrid>
        <w:gridCol w:w="2197"/>
        <w:gridCol w:w="2197"/>
        <w:gridCol w:w="2198"/>
        <w:gridCol w:w="2198"/>
      </w:tblGrid>
      <w:tr w:rsidR="003518C7" w14:paraId="199762E5" w14:textId="77777777" w:rsidTr="004F3237">
        <w:tc>
          <w:tcPr>
            <w:tcW w:w="2197" w:type="dxa"/>
            <w:shd w:val="clear" w:color="auto" w:fill="BFBFBF" w:themeFill="background1" w:themeFillShade="BF"/>
          </w:tcPr>
          <w:p w14:paraId="7B66C716" w14:textId="77777777" w:rsidR="003518C7" w:rsidRPr="004F3237" w:rsidRDefault="003518C7" w:rsidP="003A7CA4">
            <w:pPr>
              <w:keepNext/>
              <w:keepLines/>
              <w:rPr>
                <w:b/>
                <w:bCs/>
                <w:szCs w:val="24"/>
              </w:rPr>
            </w:pPr>
          </w:p>
        </w:tc>
        <w:tc>
          <w:tcPr>
            <w:tcW w:w="6593" w:type="dxa"/>
            <w:gridSpan w:val="3"/>
            <w:shd w:val="clear" w:color="auto" w:fill="BFBFBF" w:themeFill="background1" w:themeFillShade="BF"/>
          </w:tcPr>
          <w:p w14:paraId="30F09BD7" w14:textId="77777777" w:rsidR="003518C7" w:rsidRPr="004F3237" w:rsidRDefault="003518C7" w:rsidP="003A7CA4">
            <w:pPr>
              <w:keepNext/>
              <w:keepLines/>
              <w:jc w:val="center"/>
              <w:rPr>
                <w:b/>
                <w:bCs/>
                <w:szCs w:val="24"/>
              </w:rPr>
            </w:pPr>
            <w:r w:rsidRPr="004F3237">
              <w:rPr>
                <w:b/>
                <w:bCs/>
                <w:szCs w:val="24"/>
              </w:rPr>
              <w:t>ARIA-E and ARIA-H Severity on MRI</w:t>
            </w:r>
          </w:p>
        </w:tc>
      </w:tr>
      <w:tr w:rsidR="003518C7" w14:paraId="6A96F85A" w14:textId="77777777" w:rsidTr="004F3237">
        <w:tc>
          <w:tcPr>
            <w:tcW w:w="2197" w:type="dxa"/>
            <w:shd w:val="clear" w:color="auto" w:fill="BFBFBF" w:themeFill="background1" w:themeFillShade="BF"/>
          </w:tcPr>
          <w:p w14:paraId="5FB9B239" w14:textId="77777777" w:rsidR="003518C7" w:rsidRPr="004F3237" w:rsidRDefault="003518C7" w:rsidP="003A7CA4">
            <w:pPr>
              <w:keepNext/>
              <w:keepLines/>
              <w:rPr>
                <w:b/>
                <w:bCs/>
                <w:szCs w:val="24"/>
              </w:rPr>
            </w:pPr>
            <w:r w:rsidRPr="004F3237">
              <w:rPr>
                <w:b/>
                <w:bCs/>
                <w:szCs w:val="24"/>
              </w:rPr>
              <w:t>Clinical Symptom</w:t>
            </w:r>
          </w:p>
        </w:tc>
        <w:tc>
          <w:tcPr>
            <w:tcW w:w="2197" w:type="dxa"/>
            <w:shd w:val="clear" w:color="auto" w:fill="BFBFBF" w:themeFill="background1" w:themeFillShade="BF"/>
          </w:tcPr>
          <w:p w14:paraId="71F71609" w14:textId="77777777" w:rsidR="003518C7" w:rsidRPr="004F3237" w:rsidRDefault="003518C7" w:rsidP="003A7CA4">
            <w:pPr>
              <w:keepNext/>
              <w:keepLines/>
              <w:rPr>
                <w:b/>
                <w:bCs/>
                <w:szCs w:val="24"/>
              </w:rPr>
            </w:pPr>
            <w:r w:rsidRPr="004F3237">
              <w:rPr>
                <w:b/>
                <w:bCs/>
                <w:szCs w:val="24"/>
              </w:rPr>
              <w:t>Mild</w:t>
            </w:r>
          </w:p>
        </w:tc>
        <w:tc>
          <w:tcPr>
            <w:tcW w:w="2198" w:type="dxa"/>
            <w:shd w:val="clear" w:color="auto" w:fill="BFBFBF" w:themeFill="background1" w:themeFillShade="BF"/>
          </w:tcPr>
          <w:p w14:paraId="2F15559A" w14:textId="77777777" w:rsidR="003518C7" w:rsidRPr="004F3237" w:rsidRDefault="003518C7" w:rsidP="003A7CA4">
            <w:pPr>
              <w:keepNext/>
              <w:keepLines/>
              <w:rPr>
                <w:b/>
                <w:bCs/>
                <w:szCs w:val="24"/>
              </w:rPr>
            </w:pPr>
            <w:r w:rsidRPr="004F3237">
              <w:rPr>
                <w:b/>
                <w:bCs/>
                <w:szCs w:val="24"/>
              </w:rPr>
              <w:t>Moderate</w:t>
            </w:r>
          </w:p>
        </w:tc>
        <w:tc>
          <w:tcPr>
            <w:tcW w:w="2198" w:type="dxa"/>
            <w:shd w:val="clear" w:color="auto" w:fill="BFBFBF" w:themeFill="background1" w:themeFillShade="BF"/>
          </w:tcPr>
          <w:p w14:paraId="6081B203" w14:textId="77777777" w:rsidR="003518C7" w:rsidRPr="004F3237" w:rsidRDefault="003518C7" w:rsidP="003A7CA4">
            <w:pPr>
              <w:keepNext/>
              <w:keepLines/>
              <w:rPr>
                <w:b/>
                <w:bCs/>
                <w:szCs w:val="24"/>
              </w:rPr>
            </w:pPr>
            <w:r w:rsidRPr="004F3237">
              <w:rPr>
                <w:b/>
                <w:bCs/>
                <w:szCs w:val="24"/>
              </w:rPr>
              <w:t>Severe</w:t>
            </w:r>
          </w:p>
        </w:tc>
      </w:tr>
      <w:tr w:rsidR="003518C7" w14:paraId="0BD04E91" w14:textId="77777777" w:rsidTr="000C6A2A">
        <w:tc>
          <w:tcPr>
            <w:tcW w:w="2197" w:type="dxa"/>
          </w:tcPr>
          <w:p w14:paraId="3CC277AD" w14:textId="77777777" w:rsidR="003518C7" w:rsidRPr="004F3237" w:rsidRDefault="003518C7" w:rsidP="003A7CA4">
            <w:pPr>
              <w:keepNext/>
              <w:keepLines/>
              <w:rPr>
                <w:b/>
                <w:bCs/>
                <w:szCs w:val="24"/>
              </w:rPr>
            </w:pPr>
            <w:r w:rsidRPr="004F3237">
              <w:rPr>
                <w:b/>
                <w:bCs/>
                <w:szCs w:val="24"/>
              </w:rPr>
              <w:t>Asymptomatic</w:t>
            </w:r>
          </w:p>
        </w:tc>
        <w:tc>
          <w:tcPr>
            <w:tcW w:w="2197" w:type="dxa"/>
          </w:tcPr>
          <w:p w14:paraId="0B75FFAB" w14:textId="77777777" w:rsidR="003518C7" w:rsidRPr="003A7CA4" w:rsidRDefault="003518C7" w:rsidP="003A7CA4">
            <w:pPr>
              <w:keepNext/>
              <w:keepLines/>
              <w:rPr>
                <w:szCs w:val="24"/>
              </w:rPr>
            </w:pPr>
            <w:r w:rsidRPr="003A7CA4">
              <w:rPr>
                <w:szCs w:val="24"/>
              </w:rPr>
              <w:t>Consider suspending dosing</w:t>
            </w:r>
          </w:p>
        </w:tc>
        <w:tc>
          <w:tcPr>
            <w:tcW w:w="2198" w:type="dxa"/>
          </w:tcPr>
          <w:p w14:paraId="48DDF21A" w14:textId="77777777" w:rsidR="003518C7" w:rsidRPr="003A7CA4" w:rsidRDefault="003518C7" w:rsidP="003A7CA4">
            <w:pPr>
              <w:keepNext/>
              <w:keepLines/>
              <w:rPr>
                <w:szCs w:val="24"/>
              </w:rPr>
            </w:pPr>
            <w:r w:rsidRPr="003A7CA4">
              <w:rPr>
                <w:szCs w:val="24"/>
              </w:rPr>
              <w:t>Suspend dosing</w:t>
            </w:r>
          </w:p>
        </w:tc>
        <w:tc>
          <w:tcPr>
            <w:tcW w:w="2198" w:type="dxa"/>
          </w:tcPr>
          <w:p w14:paraId="059DA504" w14:textId="77777777" w:rsidR="003518C7" w:rsidRPr="003A7CA4" w:rsidRDefault="003518C7" w:rsidP="003A7CA4">
            <w:pPr>
              <w:keepNext/>
              <w:keepLines/>
              <w:rPr>
                <w:szCs w:val="24"/>
              </w:rPr>
            </w:pPr>
            <w:r w:rsidRPr="003A7CA4">
              <w:rPr>
                <w:szCs w:val="24"/>
              </w:rPr>
              <w:t>Suspend dosing</w:t>
            </w:r>
          </w:p>
        </w:tc>
      </w:tr>
      <w:tr w:rsidR="003518C7" w14:paraId="50F7EE43" w14:textId="77777777" w:rsidTr="000C6A2A">
        <w:tc>
          <w:tcPr>
            <w:tcW w:w="2197" w:type="dxa"/>
          </w:tcPr>
          <w:p w14:paraId="5162C86C" w14:textId="77777777" w:rsidR="003518C7" w:rsidRPr="004F3237" w:rsidRDefault="003518C7" w:rsidP="003A7CA4">
            <w:pPr>
              <w:keepNext/>
              <w:keepLines/>
              <w:rPr>
                <w:b/>
                <w:bCs/>
                <w:szCs w:val="24"/>
              </w:rPr>
            </w:pPr>
            <w:r w:rsidRPr="004F3237">
              <w:rPr>
                <w:b/>
                <w:bCs/>
                <w:szCs w:val="24"/>
              </w:rPr>
              <w:t>Symptomatic</w:t>
            </w:r>
          </w:p>
        </w:tc>
        <w:tc>
          <w:tcPr>
            <w:tcW w:w="6593" w:type="dxa"/>
            <w:gridSpan w:val="3"/>
          </w:tcPr>
          <w:p w14:paraId="55AFB678" w14:textId="77777777" w:rsidR="003518C7" w:rsidRPr="003A7CA4" w:rsidRDefault="003518C7" w:rsidP="003A7CA4">
            <w:pPr>
              <w:keepNext/>
              <w:keepLines/>
              <w:jc w:val="center"/>
              <w:rPr>
                <w:szCs w:val="24"/>
              </w:rPr>
            </w:pPr>
            <w:r w:rsidRPr="003A7CA4">
              <w:rPr>
                <w:szCs w:val="24"/>
              </w:rPr>
              <w:t>Suspend dosing</w:t>
            </w:r>
          </w:p>
        </w:tc>
      </w:tr>
    </w:tbl>
    <w:p w14:paraId="610F8934" w14:textId="11A8C771" w:rsidR="003A7CA4" w:rsidRPr="00B73BB7" w:rsidRDefault="003A7CA4" w:rsidP="003A7CA4">
      <w:pPr>
        <w:rPr>
          <w:sz w:val="20"/>
          <w:szCs w:val="20"/>
        </w:rPr>
      </w:pPr>
      <w:r w:rsidRPr="00B73BB7">
        <w:rPr>
          <w:sz w:val="20"/>
          <w:szCs w:val="20"/>
        </w:rPr>
        <w:t xml:space="preserve">Source: </w:t>
      </w:r>
      <w:r>
        <w:rPr>
          <w:sz w:val="20"/>
          <w:szCs w:val="20"/>
        </w:rPr>
        <w:t xml:space="preserve">p.3 of </w:t>
      </w:r>
      <w:proofErr w:type="spellStart"/>
      <w:r>
        <w:rPr>
          <w:sz w:val="20"/>
          <w:szCs w:val="20"/>
        </w:rPr>
        <w:t>lecanemab</w:t>
      </w:r>
      <w:proofErr w:type="spellEnd"/>
      <w:r>
        <w:rPr>
          <w:sz w:val="20"/>
          <w:szCs w:val="20"/>
        </w:rPr>
        <w:t xml:space="preserve"> Product Information</w:t>
      </w:r>
    </w:p>
    <w:p w14:paraId="2C0F6DED" w14:textId="77777777" w:rsidR="003A7CA4" w:rsidRPr="00B73BB7" w:rsidRDefault="003A7CA4" w:rsidP="003A7CA4">
      <w:pPr>
        <w:rPr>
          <w:sz w:val="20"/>
          <w:szCs w:val="20"/>
        </w:rPr>
      </w:pPr>
      <w:r w:rsidRPr="00B73BB7">
        <w:rPr>
          <w:sz w:val="20"/>
          <w:szCs w:val="20"/>
        </w:rPr>
        <w:t xml:space="preserve">Abbreviations: ARIA-E=Amyloid-related imaging abnormalities with </w:t>
      </w:r>
      <w:proofErr w:type="spellStart"/>
      <w:r w:rsidRPr="00B73BB7">
        <w:rPr>
          <w:sz w:val="20"/>
          <w:szCs w:val="20"/>
        </w:rPr>
        <w:t>edema</w:t>
      </w:r>
      <w:proofErr w:type="spellEnd"/>
      <w:r w:rsidRPr="00B73BB7">
        <w:rPr>
          <w:sz w:val="20"/>
          <w:szCs w:val="20"/>
        </w:rPr>
        <w:t xml:space="preserve"> or effusions; ARIA-E=Amyloid-related imaging abnormalities with hemosiderin deposits</w:t>
      </w:r>
    </w:p>
    <w:p w14:paraId="4C69ACE3" w14:textId="6BA2357A" w:rsidR="003D6EB9" w:rsidRPr="003D6EB9" w:rsidRDefault="00F64A1B" w:rsidP="003D6EB9">
      <w:pPr>
        <w:keepNext/>
        <w:keepLines/>
        <w:rPr>
          <w:b/>
          <w:bCs/>
          <w:szCs w:val="24"/>
        </w:rPr>
      </w:pPr>
      <w:r>
        <w:rPr>
          <w:b/>
          <w:bCs/>
          <w:szCs w:val="24"/>
        </w:rPr>
        <w:t xml:space="preserve">Outcomes: </w:t>
      </w:r>
      <w:proofErr w:type="spellStart"/>
      <w:r w:rsidR="003D6EB9" w:rsidRPr="003D6EB9">
        <w:rPr>
          <w:b/>
          <w:bCs/>
          <w:szCs w:val="24"/>
        </w:rPr>
        <w:t>ApoE</w:t>
      </w:r>
      <w:proofErr w:type="spellEnd"/>
      <w:r w:rsidR="003D6EB9" w:rsidRPr="003D6EB9">
        <w:rPr>
          <w:b/>
          <w:bCs/>
          <w:szCs w:val="24"/>
        </w:rPr>
        <w:t xml:space="preserve"> ε4 genotype testing vs No testing and standard medical management</w:t>
      </w:r>
    </w:p>
    <w:p w14:paraId="1E79DC66" w14:textId="77777777" w:rsidR="00726DD1" w:rsidRPr="003F4142" w:rsidRDefault="003C6658" w:rsidP="00726DD1">
      <w:pPr>
        <w:rPr>
          <w:szCs w:val="24"/>
        </w:rPr>
      </w:pPr>
      <w:r w:rsidRPr="003F4142">
        <w:rPr>
          <w:szCs w:val="24"/>
        </w:rPr>
        <w:t>MSAC have assessed the safety and accuracy/test performance o</w:t>
      </w:r>
      <w:r w:rsidR="002214FC" w:rsidRPr="003F4142">
        <w:rPr>
          <w:szCs w:val="24"/>
        </w:rPr>
        <w:t xml:space="preserve">f </w:t>
      </w:r>
      <w:proofErr w:type="spellStart"/>
      <w:r w:rsidR="002214FC" w:rsidRPr="003F4142">
        <w:rPr>
          <w:szCs w:val="24"/>
        </w:rPr>
        <w:t>ApoE</w:t>
      </w:r>
      <w:proofErr w:type="spellEnd"/>
      <w:r w:rsidR="002214FC" w:rsidRPr="003F4142">
        <w:rPr>
          <w:szCs w:val="24"/>
        </w:rPr>
        <w:t xml:space="preserve"> ε4 genotype </w:t>
      </w:r>
      <w:r w:rsidRPr="003F4142">
        <w:rPr>
          <w:szCs w:val="24"/>
        </w:rPr>
        <w:t>testing</w:t>
      </w:r>
      <w:r w:rsidR="002214FC" w:rsidRPr="003F4142">
        <w:rPr>
          <w:szCs w:val="24"/>
        </w:rPr>
        <w:t xml:space="preserve"> as part of MSAC Application 1784 (donanemab). </w:t>
      </w:r>
      <w:r w:rsidR="007448DC" w:rsidRPr="003F4142">
        <w:rPr>
          <w:szCs w:val="24"/>
        </w:rPr>
        <w:t>The PSD from this assessment outlines that “</w:t>
      </w:r>
      <w:r w:rsidR="00726DD1" w:rsidRPr="003F4142">
        <w:rPr>
          <w:szCs w:val="24"/>
        </w:rPr>
        <w:t xml:space="preserve">MSAC reviewed the safety and effectiveness of the proposed APOE4 genotyping. MSAC noted that APOE4 genetic testing would be straightforward and that many laboratories in Australia could perform the test. MSAC considered the proposed MBS fee ($154.00) for APOE4 genotyping to be appropriate, accounting for a relatively small proportion of the overall costs of diagnostics, monitoring and treatment. </w:t>
      </w:r>
      <w:r w:rsidR="00726DD1" w:rsidRPr="003F4142">
        <w:rPr>
          <w:b/>
          <w:bCs/>
          <w:szCs w:val="24"/>
        </w:rPr>
        <w:t>MSAC had no concerns regarding the performance of the test</w:t>
      </w:r>
      <w:r w:rsidR="00726DD1" w:rsidRPr="003F4142">
        <w:rPr>
          <w:szCs w:val="24"/>
        </w:rPr>
        <w:t>” (p. 5 of PSD, emphasis added).</w:t>
      </w:r>
    </w:p>
    <w:p w14:paraId="209A257D" w14:textId="134562F8" w:rsidR="003C6658" w:rsidRPr="003F4142" w:rsidRDefault="00FC4A86" w:rsidP="00E305D9">
      <w:pPr>
        <w:rPr>
          <w:szCs w:val="24"/>
        </w:rPr>
      </w:pPr>
      <w:r w:rsidRPr="003F4142">
        <w:rPr>
          <w:szCs w:val="24"/>
        </w:rPr>
        <w:t xml:space="preserve">It is proposed that a reimbursement submission for </w:t>
      </w:r>
      <w:proofErr w:type="spellStart"/>
      <w:r w:rsidRPr="003F4142">
        <w:rPr>
          <w:szCs w:val="24"/>
        </w:rPr>
        <w:t>lecanemab</w:t>
      </w:r>
      <w:proofErr w:type="spellEnd"/>
      <w:r w:rsidRPr="003F4142">
        <w:rPr>
          <w:szCs w:val="24"/>
        </w:rPr>
        <w:t xml:space="preserve"> </w:t>
      </w:r>
      <w:r w:rsidR="00577567" w:rsidRPr="003F4142">
        <w:rPr>
          <w:szCs w:val="24"/>
        </w:rPr>
        <w:t xml:space="preserve">can reasonably omit presenting an assessment of the safety and accuracy/test performance of </w:t>
      </w:r>
      <w:proofErr w:type="spellStart"/>
      <w:r w:rsidR="00577567" w:rsidRPr="003F4142">
        <w:rPr>
          <w:szCs w:val="24"/>
        </w:rPr>
        <w:t>ApoE</w:t>
      </w:r>
      <w:proofErr w:type="spellEnd"/>
      <w:r w:rsidR="00577567" w:rsidRPr="003F4142">
        <w:rPr>
          <w:szCs w:val="24"/>
        </w:rPr>
        <w:t xml:space="preserve"> ε4 genotype testing</w:t>
      </w:r>
      <w:r w:rsidR="00030FFA" w:rsidRPr="003F4142">
        <w:rPr>
          <w:szCs w:val="24"/>
        </w:rPr>
        <w:t xml:space="preserve">. </w:t>
      </w:r>
      <w:r w:rsidR="00577567" w:rsidRPr="003F4142">
        <w:rPr>
          <w:szCs w:val="24"/>
        </w:rPr>
        <w:t xml:space="preserve">Such an assessment would effectively duplicate the presentation of clinical studies previously considered by MSAC and is unlikely to have an impact on the MSAC’s </w:t>
      </w:r>
      <w:r w:rsidR="00E305D9" w:rsidRPr="003F4142">
        <w:rPr>
          <w:szCs w:val="24"/>
        </w:rPr>
        <w:t>position that it has no concerns regarding the performance of the test.</w:t>
      </w:r>
    </w:p>
    <w:p w14:paraId="133B809E" w14:textId="5272968E" w:rsidR="00700BEA" w:rsidRPr="003F4142" w:rsidRDefault="00BA0C0A" w:rsidP="00630917">
      <w:pPr>
        <w:rPr>
          <w:szCs w:val="24"/>
        </w:rPr>
      </w:pPr>
      <w:r w:rsidRPr="003F4142">
        <w:rPr>
          <w:szCs w:val="24"/>
        </w:rPr>
        <w:t>T</w:t>
      </w:r>
      <w:r w:rsidR="00D4027A" w:rsidRPr="003F4142">
        <w:rPr>
          <w:szCs w:val="24"/>
        </w:rPr>
        <w:t xml:space="preserve">he cost of </w:t>
      </w:r>
      <w:proofErr w:type="spellStart"/>
      <w:r w:rsidR="00D4027A" w:rsidRPr="003F4142">
        <w:rPr>
          <w:szCs w:val="24"/>
        </w:rPr>
        <w:t>ApoE</w:t>
      </w:r>
      <w:proofErr w:type="spellEnd"/>
      <w:r w:rsidR="00D4027A" w:rsidRPr="003F4142">
        <w:rPr>
          <w:szCs w:val="24"/>
        </w:rPr>
        <w:t xml:space="preserve"> ε4 genotype testing </w:t>
      </w:r>
      <w:r w:rsidR="0081355C" w:rsidRPr="003F4142">
        <w:rPr>
          <w:szCs w:val="24"/>
        </w:rPr>
        <w:t xml:space="preserve">will </w:t>
      </w:r>
      <w:r w:rsidR="00803D46" w:rsidRPr="003F4142">
        <w:rPr>
          <w:szCs w:val="24"/>
        </w:rPr>
        <w:t xml:space="preserve">influence the cost-effectiveness </w:t>
      </w:r>
      <w:r w:rsidR="008D6F80" w:rsidRPr="003F4142">
        <w:rPr>
          <w:szCs w:val="24"/>
        </w:rPr>
        <w:t xml:space="preserve">of </w:t>
      </w:r>
      <w:proofErr w:type="spellStart"/>
      <w:r w:rsidR="008D6F80" w:rsidRPr="003F4142">
        <w:rPr>
          <w:szCs w:val="24"/>
        </w:rPr>
        <w:t>lecanemab</w:t>
      </w:r>
      <w:proofErr w:type="spellEnd"/>
      <w:r w:rsidR="008D6F80" w:rsidRPr="003F4142">
        <w:rPr>
          <w:szCs w:val="24"/>
        </w:rPr>
        <w:t xml:space="preserve"> </w:t>
      </w:r>
      <w:r w:rsidR="00803D46" w:rsidRPr="003F4142">
        <w:rPr>
          <w:szCs w:val="24"/>
        </w:rPr>
        <w:t>and</w:t>
      </w:r>
      <w:r w:rsidR="000B5F08" w:rsidRPr="003F4142">
        <w:rPr>
          <w:szCs w:val="24"/>
        </w:rPr>
        <w:t xml:space="preserve"> represent</w:t>
      </w:r>
      <w:r w:rsidR="000D52AD" w:rsidRPr="003F4142">
        <w:rPr>
          <w:szCs w:val="24"/>
        </w:rPr>
        <w:t>s</w:t>
      </w:r>
      <w:r w:rsidR="000B5F08" w:rsidRPr="003F4142">
        <w:rPr>
          <w:szCs w:val="24"/>
        </w:rPr>
        <w:t xml:space="preserve"> a cost to government if funded through the MBS. </w:t>
      </w:r>
      <w:r w:rsidR="00355E7A" w:rsidRPr="003F4142">
        <w:rPr>
          <w:szCs w:val="24"/>
        </w:rPr>
        <w:t>Thus, i</w:t>
      </w:r>
      <w:r w:rsidR="00E61D3E" w:rsidRPr="003F4142">
        <w:rPr>
          <w:szCs w:val="24"/>
        </w:rPr>
        <w:t>t is proposed that a reimburseme</w:t>
      </w:r>
      <w:r w:rsidR="00ED6B5E" w:rsidRPr="003F4142">
        <w:rPr>
          <w:szCs w:val="24"/>
        </w:rPr>
        <w:t xml:space="preserve">nt </w:t>
      </w:r>
      <w:r w:rsidR="00E61D3E" w:rsidRPr="003F4142">
        <w:rPr>
          <w:szCs w:val="24"/>
        </w:rPr>
        <w:t xml:space="preserve">submission for </w:t>
      </w:r>
      <w:proofErr w:type="spellStart"/>
      <w:r w:rsidR="00E61D3E" w:rsidRPr="003F4142">
        <w:rPr>
          <w:szCs w:val="24"/>
        </w:rPr>
        <w:t>lecanemab</w:t>
      </w:r>
      <w:proofErr w:type="spellEnd"/>
      <w:r w:rsidR="00E61D3E" w:rsidRPr="003F4142">
        <w:rPr>
          <w:szCs w:val="24"/>
        </w:rPr>
        <w:t xml:space="preserve"> </w:t>
      </w:r>
      <w:r w:rsidR="00B1427D">
        <w:rPr>
          <w:szCs w:val="24"/>
        </w:rPr>
        <w:t xml:space="preserve">is </w:t>
      </w:r>
      <w:r w:rsidR="00700BEA" w:rsidRPr="003F4142">
        <w:rPr>
          <w:szCs w:val="24"/>
        </w:rPr>
        <w:t>streamline</w:t>
      </w:r>
      <w:r w:rsidR="00ED6B5E" w:rsidRPr="003F4142">
        <w:rPr>
          <w:szCs w:val="24"/>
        </w:rPr>
        <w:t xml:space="preserve">d to </w:t>
      </w:r>
      <w:r w:rsidR="00700BEA" w:rsidRPr="003F4142">
        <w:rPr>
          <w:szCs w:val="24"/>
        </w:rPr>
        <w:t xml:space="preserve">consideration of </w:t>
      </w:r>
      <w:proofErr w:type="spellStart"/>
      <w:r w:rsidR="00173A92" w:rsidRPr="003F4142">
        <w:rPr>
          <w:szCs w:val="24"/>
        </w:rPr>
        <w:t>ApoE</w:t>
      </w:r>
      <w:proofErr w:type="spellEnd"/>
      <w:r w:rsidR="00173A92" w:rsidRPr="003F4142">
        <w:rPr>
          <w:szCs w:val="24"/>
        </w:rPr>
        <w:t xml:space="preserve"> ε4 genotype testing </w:t>
      </w:r>
      <w:r w:rsidR="001321F3" w:rsidRPr="003F4142">
        <w:rPr>
          <w:szCs w:val="24"/>
        </w:rPr>
        <w:t xml:space="preserve">costs </w:t>
      </w:r>
      <w:r w:rsidR="00700BEA" w:rsidRPr="003F4142">
        <w:rPr>
          <w:szCs w:val="24"/>
        </w:rPr>
        <w:t>in the economic evaluation and budget impact assessment</w:t>
      </w:r>
      <w:r w:rsidR="00630917" w:rsidRPr="003F4142">
        <w:rPr>
          <w:szCs w:val="24"/>
        </w:rPr>
        <w:t>.</w:t>
      </w:r>
    </w:p>
    <w:p w14:paraId="20BE6438" w14:textId="3EECDD33" w:rsidR="00172D51" w:rsidRDefault="00843067" w:rsidP="001321F3">
      <w:pPr>
        <w:keepNext/>
        <w:keepLines/>
        <w:rPr>
          <w:b/>
          <w:bCs/>
          <w:szCs w:val="24"/>
        </w:rPr>
      </w:pPr>
      <w:r w:rsidRPr="00843067">
        <w:rPr>
          <w:b/>
          <w:bCs/>
          <w:szCs w:val="24"/>
        </w:rPr>
        <w:t>Outcomes: Amyloid PET vs No amyloid PET and standard medical management</w:t>
      </w:r>
    </w:p>
    <w:p w14:paraId="4C6C8DC9" w14:textId="68AAD82F" w:rsidR="003F6C87" w:rsidRDefault="00932788" w:rsidP="003F4142">
      <w:pPr>
        <w:rPr>
          <w:szCs w:val="24"/>
        </w:rPr>
      </w:pPr>
      <w:r w:rsidRPr="00115317">
        <w:rPr>
          <w:szCs w:val="24"/>
        </w:rPr>
        <w:t>Amyloid PET was a permitted method fo</w:t>
      </w:r>
      <w:r w:rsidR="000B15DA" w:rsidRPr="00115317">
        <w:rPr>
          <w:szCs w:val="24"/>
        </w:rPr>
        <w:t>r</w:t>
      </w:r>
      <w:r w:rsidRPr="00115317">
        <w:rPr>
          <w:szCs w:val="24"/>
        </w:rPr>
        <w:t xml:space="preserve"> the assessment of Aβ pathology</w:t>
      </w:r>
      <w:r w:rsidR="000B15DA" w:rsidRPr="00115317">
        <w:rPr>
          <w:szCs w:val="24"/>
        </w:rPr>
        <w:t xml:space="preserve"> as part of screening </w:t>
      </w:r>
      <w:r w:rsidR="00B1427D">
        <w:rPr>
          <w:szCs w:val="24"/>
        </w:rPr>
        <w:t xml:space="preserve">for </w:t>
      </w:r>
      <w:r w:rsidR="00AC54DB" w:rsidRPr="00115317">
        <w:rPr>
          <w:szCs w:val="24"/>
        </w:rPr>
        <w:t>enrol</w:t>
      </w:r>
      <w:r w:rsidR="00166446">
        <w:rPr>
          <w:szCs w:val="24"/>
        </w:rPr>
        <w:t>ment</w:t>
      </w:r>
      <w:r w:rsidR="003738B4">
        <w:rPr>
          <w:szCs w:val="24"/>
        </w:rPr>
        <w:t xml:space="preserve"> to </w:t>
      </w:r>
      <w:r w:rsidR="000B15DA" w:rsidRPr="00115317">
        <w:rPr>
          <w:szCs w:val="24"/>
        </w:rPr>
        <w:t>the CLARITY AD trial</w:t>
      </w:r>
      <w:r w:rsidR="004B6D73" w:rsidRPr="00115317">
        <w:rPr>
          <w:szCs w:val="24"/>
        </w:rPr>
        <w:t>.</w:t>
      </w:r>
      <w:r w:rsidR="00166446">
        <w:rPr>
          <w:szCs w:val="24"/>
        </w:rPr>
        <w:t xml:space="preserve"> </w:t>
      </w:r>
      <w:r w:rsidR="004E3AB9" w:rsidRPr="00115317">
        <w:rPr>
          <w:szCs w:val="24"/>
        </w:rPr>
        <w:t xml:space="preserve">Amyloid PET tracers approved for use in the CLARITY AD trial were </w:t>
      </w:r>
      <w:proofErr w:type="spellStart"/>
      <w:r w:rsidR="00395714" w:rsidRPr="00115317">
        <w:rPr>
          <w:szCs w:val="24"/>
        </w:rPr>
        <w:t>florbetaben</w:t>
      </w:r>
      <w:proofErr w:type="spellEnd"/>
      <w:r w:rsidR="00395714" w:rsidRPr="00115317">
        <w:rPr>
          <w:szCs w:val="24"/>
        </w:rPr>
        <w:t xml:space="preserve">, </w:t>
      </w:r>
      <w:proofErr w:type="spellStart"/>
      <w:r w:rsidR="00395714" w:rsidRPr="00115317">
        <w:rPr>
          <w:szCs w:val="24"/>
        </w:rPr>
        <w:t>florbetapir</w:t>
      </w:r>
      <w:proofErr w:type="spellEnd"/>
      <w:r w:rsidR="00395714" w:rsidRPr="00115317">
        <w:rPr>
          <w:szCs w:val="24"/>
        </w:rPr>
        <w:t xml:space="preserve"> or </w:t>
      </w:r>
      <w:proofErr w:type="spellStart"/>
      <w:r w:rsidR="00395714" w:rsidRPr="00115317">
        <w:rPr>
          <w:szCs w:val="24"/>
        </w:rPr>
        <w:t>flutemetamol</w:t>
      </w:r>
      <w:proofErr w:type="spellEnd"/>
      <w:r w:rsidR="00395714" w:rsidRPr="00115317">
        <w:rPr>
          <w:szCs w:val="24"/>
        </w:rPr>
        <w:t>.</w:t>
      </w:r>
    </w:p>
    <w:p w14:paraId="0DB7A01B" w14:textId="5E05FC00" w:rsidR="00D34E49" w:rsidRDefault="00D34E49" w:rsidP="003F4142">
      <w:pPr>
        <w:rPr>
          <w:szCs w:val="24"/>
        </w:rPr>
      </w:pPr>
      <w:r>
        <w:rPr>
          <w:szCs w:val="24"/>
        </w:rPr>
        <w:t>The role of a</w:t>
      </w:r>
      <w:r w:rsidR="00CC3997">
        <w:rPr>
          <w:szCs w:val="24"/>
        </w:rPr>
        <w:t xml:space="preserve">myloid PET </w:t>
      </w:r>
      <w:r>
        <w:rPr>
          <w:szCs w:val="24"/>
        </w:rPr>
        <w:t xml:space="preserve">in the diagnostic work-up of people with suspected Alzheimer's disease is </w:t>
      </w:r>
      <w:r w:rsidR="00933234">
        <w:rPr>
          <w:szCs w:val="24"/>
        </w:rPr>
        <w:t>widely accepted</w:t>
      </w:r>
      <w:r w:rsidR="002A2EE0">
        <w:rPr>
          <w:szCs w:val="24"/>
        </w:rPr>
        <w:t xml:space="preserve">. </w:t>
      </w:r>
      <w:r w:rsidR="00350611">
        <w:rPr>
          <w:szCs w:val="24"/>
        </w:rPr>
        <w:t xml:space="preserve">Specifically, </w:t>
      </w:r>
      <w:r w:rsidR="00004D73">
        <w:rPr>
          <w:szCs w:val="24"/>
        </w:rPr>
        <w:t>re</w:t>
      </w:r>
      <w:r w:rsidR="00A04C9F">
        <w:rPr>
          <w:szCs w:val="24"/>
        </w:rPr>
        <w:t xml:space="preserve">vised criteria for the diagnosis and staging of Alzheimer’s disease </w:t>
      </w:r>
      <w:r w:rsidR="002F1601">
        <w:rPr>
          <w:szCs w:val="24"/>
        </w:rPr>
        <w:t xml:space="preserve">published by the National Institute on Aging and the Alzheimer's Association </w:t>
      </w:r>
      <w:r w:rsidR="00881F00">
        <w:rPr>
          <w:noProof/>
          <w:szCs w:val="24"/>
        </w:rPr>
        <w:t>(Jack et al. 2024)</w:t>
      </w:r>
      <w:r w:rsidR="00710C61">
        <w:rPr>
          <w:szCs w:val="24"/>
        </w:rPr>
        <w:t xml:space="preserve"> categorise </w:t>
      </w:r>
      <w:r w:rsidR="00EB5BF1">
        <w:rPr>
          <w:szCs w:val="24"/>
        </w:rPr>
        <w:t>amy</w:t>
      </w:r>
      <w:r w:rsidR="00847334">
        <w:rPr>
          <w:szCs w:val="24"/>
        </w:rPr>
        <w:t xml:space="preserve">loid PET as a </w:t>
      </w:r>
      <w:r w:rsidR="007F5801">
        <w:rPr>
          <w:szCs w:val="24"/>
        </w:rPr>
        <w:t>‘Core 1’ biomarker</w:t>
      </w:r>
      <w:r w:rsidR="00710C61">
        <w:rPr>
          <w:szCs w:val="24"/>
        </w:rPr>
        <w:t xml:space="preserve">. </w:t>
      </w:r>
      <w:r w:rsidR="00EA2810">
        <w:rPr>
          <w:szCs w:val="24"/>
        </w:rPr>
        <w:t xml:space="preserve">These revised criteria outline that “an </w:t>
      </w:r>
      <w:r w:rsidR="00646446">
        <w:rPr>
          <w:szCs w:val="24"/>
        </w:rPr>
        <w:t>abnormal</w:t>
      </w:r>
      <w:r w:rsidR="00193974">
        <w:rPr>
          <w:szCs w:val="24"/>
        </w:rPr>
        <w:t xml:space="preserve"> Core 1 biomarker result is sufficient to establish a diagnosis of AD [Alzheimer’s disease] and </w:t>
      </w:r>
      <w:r w:rsidR="0021711C">
        <w:rPr>
          <w:szCs w:val="24"/>
        </w:rPr>
        <w:t xml:space="preserve">to inform clinical decision making throughout the disease continuum” (p. </w:t>
      </w:r>
      <w:r w:rsidR="00646446">
        <w:rPr>
          <w:szCs w:val="24"/>
        </w:rPr>
        <w:t>5,144).</w:t>
      </w:r>
    </w:p>
    <w:p w14:paraId="3D5F7E11" w14:textId="1777660B" w:rsidR="007B061A" w:rsidRDefault="00A244ED" w:rsidP="003F4142">
      <w:pPr>
        <w:rPr>
          <w:szCs w:val="24"/>
        </w:rPr>
      </w:pPr>
      <w:r>
        <w:rPr>
          <w:szCs w:val="24"/>
        </w:rPr>
        <w:lastRenderedPageBreak/>
        <w:t xml:space="preserve">The clinical utility of amyloid PET </w:t>
      </w:r>
      <w:r w:rsidR="00087992">
        <w:rPr>
          <w:szCs w:val="24"/>
        </w:rPr>
        <w:t>is accepted</w:t>
      </w:r>
      <w:r w:rsidR="00E26B50">
        <w:rPr>
          <w:szCs w:val="24"/>
        </w:rPr>
        <w:t xml:space="preserve"> for the purpose of </w:t>
      </w:r>
      <w:r w:rsidR="002C56E3">
        <w:rPr>
          <w:szCs w:val="24"/>
        </w:rPr>
        <w:t>assisting establishing a diagnosis of Alzheimer's disease.</w:t>
      </w:r>
      <w:r w:rsidR="00616964">
        <w:rPr>
          <w:szCs w:val="24"/>
        </w:rPr>
        <w:t xml:space="preserve"> With the availability of anti-amyloid treatments such as </w:t>
      </w:r>
      <w:proofErr w:type="spellStart"/>
      <w:r w:rsidR="00616964">
        <w:rPr>
          <w:szCs w:val="24"/>
        </w:rPr>
        <w:t>lecanemab</w:t>
      </w:r>
      <w:proofErr w:type="spellEnd"/>
      <w:r w:rsidR="00616964">
        <w:rPr>
          <w:szCs w:val="24"/>
        </w:rPr>
        <w:t xml:space="preserve"> the clinical utility of amyloid PET is </w:t>
      </w:r>
      <w:r w:rsidR="00AD55EC">
        <w:rPr>
          <w:szCs w:val="24"/>
        </w:rPr>
        <w:t>further enhanced</w:t>
      </w:r>
      <w:r w:rsidR="00577746">
        <w:rPr>
          <w:szCs w:val="24"/>
        </w:rPr>
        <w:t xml:space="preserve">. This is because it </w:t>
      </w:r>
      <w:r w:rsidR="00867F3F">
        <w:rPr>
          <w:szCs w:val="24"/>
        </w:rPr>
        <w:t>identifi</w:t>
      </w:r>
      <w:r w:rsidR="00F82E39">
        <w:rPr>
          <w:szCs w:val="24"/>
        </w:rPr>
        <w:t xml:space="preserve">es the presence of </w:t>
      </w:r>
      <w:r w:rsidR="00867F3F">
        <w:rPr>
          <w:szCs w:val="24"/>
        </w:rPr>
        <w:t xml:space="preserve">the biological target of </w:t>
      </w:r>
      <w:r w:rsidR="00577746">
        <w:rPr>
          <w:szCs w:val="24"/>
        </w:rPr>
        <w:t>anti-amyloid treatment</w:t>
      </w:r>
      <w:r w:rsidR="007B061A">
        <w:rPr>
          <w:szCs w:val="24"/>
        </w:rPr>
        <w:t>s</w:t>
      </w:r>
      <w:r w:rsidR="00F82E39">
        <w:rPr>
          <w:szCs w:val="24"/>
        </w:rPr>
        <w:t xml:space="preserve"> in people </w:t>
      </w:r>
      <w:r w:rsidR="004E4CC1">
        <w:rPr>
          <w:szCs w:val="24"/>
        </w:rPr>
        <w:t>with Alzheimer’s disease</w:t>
      </w:r>
      <w:r w:rsidR="007B061A">
        <w:rPr>
          <w:szCs w:val="24"/>
        </w:rPr>
        <w:t>.</w:t>
      </w:r>
    </w:p>
    <w:p w14:paraId="0EB17BA0" w14:textId="0119E4F0" w:rsidR="00811ADC" w:rsidRDefault="00461962" w:rsidP="003F4142">
      <w:pPr>
        <w:rPr>
          <w:szCs w:val="24"/>
        </w:rPr>
      </w:pPr>
      <w:r>
        <w:rPr>
          <w:szCs w:val="24"/>
        </w:rPr>
        <w:t xml:space="preserve">For the purposes of MSAC decision-making an assessment of the </w:t>
      </w:r>
      <w:r w:rsidR="002F6367">
        <w:rPr>
          <w:szCs w:val="24"/>
        </w:rPr>
        <w:t>diagnostic accuracy of amyloid PET</w:t>
      </w:r>
      <w:r w:rsidR="00702426">
        <w:rPr>
          <w:szCs w:val="24"/>
        </w:rPr>
        <w:t xml:space="preserve"> </w:t>
      </w:r>
      <w:r w:rsidR="00D11EC6">
        <w:rPr>
          <w:szCs w:val="24"/>
        </w:rPr>
        <w:t>compared with</w:t>
      </w:r>
      <w:r w:rsidR="008E7D95">
        <w:rPr>
          <w:szCs w:val="24"/>
        </w:rPr>
        <w:t xml:space="preserve"> </w:t>
      </w:r>
      <w:r w:rsidR="00702426">
        <w:rPr>
          <w:szCs w:val="24"/>
        </w:rPr>
        <w:t>v</w:t>
      </w:r>
      <w:r w:rsidR="00D11EC6">
        <w:rPr>
          <w:szCs w:val="24"/>
        </w:rPr>
        <w:t>s no amyloid PET</w:t>
      </w:r>
      <w:r w:rsidR="008E7D95">
        <w:rPr>
          <w:szCs w:val="24"/>
        </w:rPr>
        <w:t xml:space="preserve"> and standard medical management is proposed. For this comparison, no amyloid PET and standard medical management is</w:t>
      </w:r>
      <w:r w:rsidR="00B771BE">
        <w:rPr>
          <w:szCs w:val="24"/>
        </w:rPr>
        <w:t xml:space="preserve"> defined as establishing a diagnosis of </w:t>
      </w:r>
      <w:r w:rsidR="007500F1">
        <w:rPr>
          <w:szCs w:val="24"/>
        </w:rPr>
        <w:t>Alzheimer’s disease based on assessment of clinical signs and symptoms only.</w:t>
      </w:r>
    </w:p>
    <w:p w14:paraId="1ABDD779" w14:textId="0C3780A3" w:rsidR="00646446" w:rsidRDefault="00375F77" w:rsidP="003F4142">
      <w:pPr>
        <w:rPr>
          <w:szCs w:val="24"/>
        </w:rPr>
      </w:pPr>
      <w:r>
        <w:rPr>
          <w:szCs w:val="24"/>
        </w:rPr>
        <w:t>Test accur</w:t>
      </w:r>
      <w:r w:rsidR="0084147F">
        <w:rPr>
          <w:szCs w:val="24"/>
        </w:rPr>
        <w:t>acy o</w:t>
      </w:r>
      <w:r w:rsidR="002316F1">
        <w:rPr>
          <w:szCs w:val="24"/>
        </w:rPr>
        <w:t xml:space="preserve">utcomes </w:t>
      </w:r>
      <w:r w:rsidR="00F8456A">
        <w:rPr>
          <w:szCs w:val="24"/>
        </w:rPr>
        <w:t xml:space="preserve">proposed </w:t>
      </w:r>
      <w:r w:rsidR="002316F1">
        <w:rPr>
          <w:szCs w:val="24"/>
        </w:rPr>
        <w:t>for the assessment of the diagnostic accuracy of amyloid PET compared with vs no amyloid PET and standard medical management</w:t>
      </w:r>
      <w:r w:rsidR="00F8456A">
        <w:rPr>
          <w:szCs w:val="24"/>
        </w:rPr>
        <w:t xml:space="preserve"> </w:t>
      </w:r>
      <w:proofErr w:type="gramStart"/>
      <w:r w:rsidR="00F8456A">
        <w:rPr>
          <w:szCs w:val="24"/>
        </w:rPr>
        <w:t>are:</w:t>
      </w:r>
      <w:proofErr w:type="gramEnd"/>
      <w:r w:rsidR="00F8456A">
        <w:rPr>
          <w:szCs w:val="24"/>
        </w:rPr>
        <w:t xml:space="preserve"> sensitivity, specificity,</w:t>
      </w:r>
      <w:r w:rsidR="00D8671E">
        <w:rPr>
          <w:szCs w:val="24"/>
        </w:rPr>
        <w:t xml:space="preserve"> positive like</w:t>
      </w:r>
      <w:r w:rsidR="00EE642B">
        <w:rPr>
          <w:szCs w:val="24"/>
        </w:rPr>
        <w:t>lihood ratio</w:t>
      </w:r>
      <w:r w:rsidR="0034201B">
        <w:rPr>
          <w:szCs w:val="24"/>
        </w:rPr>
        <w:t>,</w:t>
      </w:r>
      <w:r w:rsidR="00EE642B">
        <w:rPr>
          <w:szCs w:val="24"/>
        </w:rPr>
        <w:t xml:space="preserve"> negative likelihood ratio</w:t>
      </w:r>
      <w:r w:rsidR="00961D65">
        <w:rPr>
          <w:szCs w:val="24"/>
        </w:rPr>
        <w:t xml:space="preserve"> and diagnostic odds ratio</w:t>
      </w:r>
      <w:r w:rsidR="00EE642B">
        <w:rPr>
          <w:szCs w:val="24"/>
        </w:rPr>
        <w:t>.</w:t>
      </w:r>
      <w:r w:rsidR="0084147F">
        <w:rPr>
          <w:szCs w:val="24"/>
        </w:rPr>
        <w:t xml:space="preserve"> </w:t>
      </w:r>
      <w:r w:rsidR="00F871DF">
        <w:rPr>
          <w:szCs w:val="24"/>
        </w:rPr>
        <w:t xml:space="preserve">Test safety outcomes proposed for the assessment of amyloid PET are </w:t>
      </w:r>
      <w:r w:rsidR="00663E17">
        <w:rPr>
          <w:szCs w:val="24"/>
        </w:rPr>
        <w:t xml:space="preserve">levels of radiation exposure during the PET scan and </w:t>
      </w:r>
      <w:r w:rsidR="005A1693">
        <w:rPr>
          <w:szCs w:val="24"/>
        </w:rPr>
        <w:t>the rate and nature of adverse events associated with amyloid tracers</w:t>
      </w:r>
      <w:r w:rsidR="004619EC">
        <w:rPr>
          <w:szCs w:val="24"/>
        </w:rPr>
        <w:t xml:space="preserve"> and PET scanning</w:t>
      </w:r>
      <w:r w:rsidR="005A1693">
        <w:rPr>
          <w:szCs w:val="24"/>
        </w:rPr>
        <w:t>.</w:t>
      </w:r>
    </w:p>
    <w:p w14:paraId="290A2FE8" w14:textId="62C16538" w:rsidR="00961D65" w:rsidRPr="003D6EB9" w:rsidRDefault="00961D65" w:rsidP="00961D65">
      <w:pPr>
        <w:keepNext/>
        <w:keepLines/>
        <w:rPr>
          <w:b/>
          <w:bCs/>
          <w:szCs w:val="24"/>
        </w:rPr>
      </w:pPr>
      <w:r>
        <w:rPr>
          <w:b/>
          <w:bCs/>
          <w:szCs w:val="24"/>
        </w:rPr>
        <w:t xml:space="preserve">Outcomes: </w:t>
      </w:r>
      <w:r w:rsidR="00425CC1" w:rsidRPr="00425CC1">
        <w:rPr>
          <w:b/>
          <w:bCs/>
          <w:szCs w:val="24"/>
        </w:rPr>
        <w:t>t-tau/A</w:t>
      </w:r>
      <w:proofErr w:type="gramStart"/>
      <w:r w:rsidR="00425CC1" w:rsidRPr="00425CC1">
        <w:rPr>
          <w:b/>
          <w:bCs/>
          <w:szCs w:val="24"/>
        </w:rPr>
        <w:t>β[</w:t>
      </w:r>
      <w:proofErr w:type="gramEnd"/>
      <w:r w:rsidR="00425CC1" w:rsidRPr="00425CC1">
        <w:rPr>
          <w:b/>
          <w:bCs/>
          <w:szCs w:val="24"/>
        </w:rPr>
        <w:t>1-42] in CSF testing</w:t>
      </w:r>
      <w:r>
        <w:rPr>
          <w:b/>
          <w:bCs/>
          <w:szCs w:val="24"/>
        </w:rPr>
        <w:t xml:space="preserve"> </w:t>
      </w:r>
      <w:r w:rsidRPr="003D6EB9">
        <w:rPr>
          <w:b/>
          <w:bCs/>
          <w:szCs w:val="24"/>
        </w:rPr>
        <w:t xml:space="preserve">vs </w:t>
      </w:r>
      <w:r>
        <w:rPr>
          <w:b/>
          <w:bCs/>
          <w:szCs w:val="24"/>
        </w:rPr>
        <w:t>Amyloid PET</w:t>
      </w:r>
    </w:p>
    <w:p w14:paraId="7B7126F7" w14:textId="08C602E8" w:rsidR="006E6B2F" w:rsidRPr="00230BBB" w:rsidRDefault="009F3F51" w:rsidP="003427ED">
      <w:pPr>
        <w:rPr>
          <w:szCs w:val="24"/>
        </w:rPr>
      </w:pPr>
      <w:r w:rsidRPr="00230BBB">
        <w:rPr>
          <w:szCs w:val="24"/>
        </w:rPr>
        <w:t>Assessment of t-tau/A</w:t>
      </w:r>
      <w:proofErr w:type="gramStart"/>
      <w:r w:rsidRPr="00230BBB">
        <w:rPr>
          <w:szCs w:val="24"/>
        </w:rPr>
        <w:t>β[</w:t>
      </w:r>
      <w:proofErr w:type="gramEnd"/>
      <w:r w:rsidRPr="00230BBB">
        <w:rPr>
          <w:szCs w:val="24"/>
        </w:rPr>
        <w:t>1-42]</w:t>
      </w:r>
      <w:r w:rsidR="003427ED" w:rsidRPr="00230BBB">
        <w:rPr>
          <w:szCs w:val="24"/>
        </w:rPr>
        <w:t xml:space="preserve"> in CSF </w:t>
      </w:r>
      <w:r w:rsidRPr="00230BBB">
        <w:rPr>
          <w:szCs w:val="24"/>
        </w:rPr>
        <w:t xml:space="preserve">was a permitted method for the assessment of Aβ pathology as part of screening </w:t>
      </w:r>
      <w:r w:rsidR="000D3FF2">
        <w:rPr>
          <w:szCs w:val="24"/>
        </w:rPr>
        <w:t xml:space="preserve">for </w:t>
      </w:r>
      <w:r w:rsidRPr="00230BBB">
        <w:rPr>
          <w:szCs w:val="24"/>
        </w:rPr>
        <w:t>enrol</w:t>
      </w:r>
      <w:r w:rsidR="000D3FF2">
        <w:rPr>
          <w:szCs w:val="24"/>
        </w:rPr>
        <w:t xml:space="preserve">ment </w:t>
      </w:r>
      <w:r w:rsidR="003738B4">
        <w:rPr>
          <w:szCs w:val="24"/>
        </w:rPr>
        <w:t xml:space="preserve">to the </w:t>
      </w:r>
      <w:r w:rsidRPr="00230BBB">
        <w:rPr>
          <w:szCs w:val="24"/>
        </w:rPr>
        <w:t>CLARITY AD trial.</w:t>
      </w:r>
      <w:r w:rsidR="00C627A1" w:rsidRPr="00230BBB">
        <w:rPr>
          <w:szCs w:val="24"/>
        </w:rPr>
        <w:t xml:space="preserve"> Results of the assessment of other </w:t>
      </w:r>
      <w:r w:rsidR="007C26AD" w:rsidRPr="00230BBB">
        <w:rPr>
          <w:szCs w:val="24"/>
        </w:rPr>
        <w:t>CSF biomarkers such as p-tau</w:t>
      </w:r>
      <w:r w:rsidR="0047479B" w:rsidRPr="00230BBB">
        <w:rPr>
          <w:szCs w:val="24"/>
        </w:rPr>
        <w:t>181/A</w:t>
      </w:r>
      <w:proofErr w:type="gramStart"/>
      <w:r w:rsidR="0047479B" w:rsidRPr="00230BBB">
        <w:rPr>
          <w:szCs w:val="24"/>
        </w:rPr>
        <w:t>β[</w:t>
      </w:r>
      <w:proofErr w:type="gramEnd"/>
      <w:r w:rsidR="0047479B" w:rsidRPr="00230BBB">
        <w:rPr>
          <w:szCs w:val="24"/>
        </w:rPr>
        <w:t>1-42]</w:t>
      </w:r>
      <w:r w:rsidR="00B526D1" w:rsidRPr="00230BBB">
        <w:rPr>
          <w:szCs w:val="24"/>
        </w:rPr>
        <w:t xml:space="preserve"> and Aβ42/40 were not permitted</w:t>
      </w:r>
      <w:r w:rsidR="00DB5D9F" w:rsidRPr="00230BBB">
        <w:rPr>
          <w:szCs w:val="24"/>
        </w:rPr>
        <w:t xml:space="preserve"> to determine eligibility for enrol</w:t>
      </w:r>
      <w:r w:rsidR="005317FC" w:rsidRPr="00230BBB">
        <w:rPr>
          <w:szCs w:val="24"/>
        </w:rPr>
        <w:t>ment in CLARITY AD and</w:t>
      </w:r>
      <w:r w:rsidR="0046798E">
        <w:rPr>
          <w:szCs w:val="24"/>
        </w:rPr>
        <w:t xml:space="preserve"> </w:t>
      </w:r>
      <w:r w:rsidR="005317FC" w:rsidRPr="00230BBB">
        <w:rPr>
          <w:szCs w:val="24"/>
        </w:rPr>
        <w:t>are not within the scope of this application</w:t>
      </w:r>
      <w:r w:rsidR="006E6B2F" w:rsidRPr="00230BBB">
        <w:rPr>
          <w:szCs w:val="24"/>
        </w:rPr>
        <w:t>.</w:t>
      </w:r>
    </w:p>
    <w:p w14:paraId="2510107A" w14:textId="401F38F3" w:rsidR="001E4E89" w:rsidRDefault="00DC661E" w:rsidP="00DC661E">
      <w:pPr>
        <w:rPr>
          <w:szCs w:val="24"/>
        </w:rPr>
      </w:pPr>
      <w:r w:rsidRPr="00230BBB">
        <w:rPr>
          <w:szCs w:val="24"/>
        </w:rPr>
        <w:t>The role of t-tau/A</w:t>
      </w:r>
      <w:proofErr w:type="gramStart"/>
      <w:r w:rsidRPr="00230BBB">
        <w:rPr>
          <w:szCs w:val="24"/>
        </w:rPr>
        <w:t>β[</w:t>
      </w:r>
      <w:proofErr w:type="gramEnd"/>
      <w:r w:rsidRPr="00230BBB">
        <w:rPr>
          <w:szCs w:val="24"/>
        </w:rPr>
        <w:t>1-42] in CSF testing</w:t>
      </w:r>
      <w:r w:rsidR="00AF39E3" w:rsidRPr="00230BBB">
        <w:rPr>
          <w:szCs w:val="24"/>
        </w:rPr>
        <w:t xml:space="preserve"> </w:t>
      </w:r>
      <w:r w:rsidRPr="00230BBB">
        <w:rPr>
          <w:szCs w:val="24"/>
        </w:rPr>
        <w:t xml:space="preserve">in the diagnostic work-up of people with suspected Alzheimer's disease is widely accepted. Specifically, revised criteria for the diagnosis and staging of Alzheimer’s disease published by the National Institute on Aging and the Alzheimer's Association </w:t>
      </w:r>
      <w:r w:rsidR="00881F00" w:rsidRPr="00230BBB">
        <w:rPr>
          <w:noProof/>
          <w:szCs w:val="24"/>
        </w:rPr>
        <w:t>(Jack et al. 2024)</w:t>
      </w:r>
      <w:r w:rsidR="00473326" w:rsidRPr="00230BBB">
        <w:rPr>
          <w:szCs w:val="24"/>
        </w:rPr>
        <w:t xml:space="preserve"> </w:t>
      </w:r>
      <w:r w:rsidR="00667D94" w:rsidRPr="00230BBB">
        <w:rPr>
          <w:szCs w:val="24"/>
        </w:rPr>
        <w:t xml:space="preserve">report intended uses of </w:t>
      </w:r>
      <w:r w:rsidR="009560BD" w:rsidRPr="00230BBB">
        <w:rPr>
          <w:szCs w:val="24"/>
        </w:rPr>
        <w:t>t-tau/A</w:t>
      </w:r>
      <w:proofErr w:type="gramStart"/>
      <w:r w:rsidR="009560BD" w:rsidRPr="00230BBB">
        <w:rPr>
          <w:szCs w:val="24"/>
        </w:rPr>
        <w:t>β[</w:t>
      </w:r>
      <w:proofErr w:type="gramEnd"/>
      <w:r w:rsidR="009560BD" w:rsidRPr="00230BBB">
        <w:rPr>
          <w:szCs w:val="24"/>
        </w:rPr>
        <w:t>1-42] in CSF testing</w:t>
      </w:r>
      <w:r w:rsidR="00667D94" w:rsidRPr="00230BBB">
        <w:rPr>
          <w:szCs w:val="24"/>
        </w:rPr>
        <w:t xml:space="preserve"> for the purpose of diagnosis </w:t>
      </w:r>
      <w:r w:rsidR="00077C7E" w:rsidRPr="00230BBB">
        <w:rPr>
          <w:szCs w:val="24"/>
        </w:rPr>
        <w:t xml:space="preserve">and as an indicator of biological treatment effect (Table 2, </w:t>
      </w:r>
      <w:r w:rsidR="002406BA">
        <w:rPr>
          <w:szCs w:val="24"/>
        </w:rPr>
        <w:t xml:space="preserve">p. </w:t>
      </w:r>
      <w:r w:rsidR="00077C7E" w:rsidRPr="00230BBB">
        <w:rPr>
          <w:szCs w:val="24"/>
        </w:rPr>
        <w:t>5,147).</w:t>
      </w:r>
    </w:p>
    <w:p w14:paraId="17B3B56F" w14:textId="77777777" w:rsidR="00B54BAA" w:rsidRDefault="006378A9" w:rsidP="00382E42">
      <w:pPr>
        <w:rPr>
          <w:szCs w:val="24"/>
        </w:rPr>
      </w:pPr>
      <w:r w:rsidRPr="005846CB">
        <w:rPr>
          <w:szCs w:val="24"/>
        </w:rPr>
        <w:t>Amyloid PET was used as a reference standard supporting approval of CSF assay</w:t>
      </w:r>
      <w:r w:rsidR="002E7EAC">
        <w:rPr>
          <w:szCs w:val="24"/>
        </w:rPr>
        <w:t>s</w:t>
      </w:r>
      <w:r w:rsidRPr="005846CB">
        <w:rPr>
          <w:szCs w:val="24"/>
        </w:rPr>
        <w:t xml:space="preserve"> by regulatory agencies.</w:t>
      </w:r>
      <w:r w:rsidR="00382E42">
        <w:rPr>
          <w:szCs w:val="24"/>
        </w:rPr>
        <w:t xml:space="preserve"> For the purposes of MSAC decision-making an assessment of the concordance </w:t>
      </w:r>
      <w:r w:rsidR="002F1379">
        <w:rPr>
          <w:szCs w:val="24"/>
        </w:rPr>
        <w:t xml:space="preserve">of Aβ pathology outcomes reported by </w:t>
      </w:r>
      <w:r w:rsidR="00382E42" w:rsidRPr="00230BBB">
        <w:rPr>
          <w:szCs w:val="24"/>
        </w:rPr>
        <w:t>t-tau/A</w:t>
      </w:r>
      <w:proofErr w:type="gramStart"/>
      <w:r w:rsidR="00382E42" w:rsidRPr="00230BBB">
        <w:rPr>
          <w:szCs w:val="24"/>
        </w:rPr>
        <w:t>β[</w:t>
      </w:r>
      <w:proofErr w:type="gramEnd"/>
      <w:r w:rsidR="00382E42" w:rsidRPr="00230BBB">
        <w:rPr>
          <w:szCs w:val="24"/>
        </w:rPr>
        <w:t>1-42] in CSF</w:t>
      </w:r>
      <w:r w:rsidR="00382E42">
        <w:rPr>
          <w:szCs w:val="24"/>
        </w:rPr>
        <w:t xml:space="preserve"> </w:t>
      </w:r>
      <w:r w:rsidR="002F1379">
        <w:rPr>
          <w:szCs w:val="24"/>
        </w:rPr>
        <w:t xml:space="preserve">vs </w:t>
      </w:r>
      <w:r w:rsidR="00382E42">
        <w:rPr>
          <w:szCs w:val="24"/>
        </w:rPr>
        <w:t>amyloid PET is proposed.</w:t>
      </w:r>
    </w:p>
    <w:p w14:paraId="1230F964" w14:textId="7E5D2321" w:rsidR="00382E42" w:rsidRDefault="00382E42" w:rsidP="00382E42">
      <w:pPr>
        <w:rPr>
          <w:szCs w:val="24"/>
        </w:rPr>
      </w:pPr>
      <w:r>
        <w:rPr>
          <w:szCs w:val="24"/>
        </w:rPr>
        <w:t xml:space="preserve">Outcomes proposed for the assessment of the </w:t>
      </w:r>
      <w:r w:rsidR="00B54BAA">
        <w:rPr>
          <w:szCs w:val="24"/>
        </w:rPr>
        <w:t xml:space="preserve">concordance of Aβ pathology outcomes reported by </w:t>
      </w:r>
      <w:r w:rsidR="00B54BAA" w:rsidRPr="00230BBB">
        <w:rPr>
          <w:szCs w:val="24"/>
        </w:rPr>
        <w:t>t-tau/A</w:t>
      </w:r>
      <w:proofErr w:type="gramStart"/>
      <w:r w:rsidR="00B54BAA" w:rsidRPr="00230BBB">
        <w:rPr>
          <w:szCs w:val="24"/>
        </w:rPr>
        <w:t>β[</w:t>
      </w:r>
      <w:proofErr w:type="gramEnd"/>
      <w:r w:rsidR="00B54BAA" w:rsidRPr="00230BBB">
        <w:rPr>
          <w:szCs w:val="24"/>
        </w:rPr>
        <w:t>1-42] in CSF</w:t>
      </w:r>
      <w:r w:rsidR="00B54BAA">
        <w:rPr>
          <w:szCs w:val="24"/>
        </w:rPr>
        <w:t xml:space="preserve"> vs amyloid PET</w:t>
      </w:r>
      <w:r w:rsidR="003B2C37">
        <w:rPr>
          <w:szCs w:val="24"/>
        </w:rPr>
        <w:t xml:space="preserve"> </w:t>
      </w:r>
      <w:proofErr w:type="gramStart"/>
      <w:r>
        <w:rPr>
          <w:szCs w:val="24"/>
        </w:rPr>
        <w:t>are:</w:t>
      </w:r>
      <w:proofErr w:type="gramEnd"/>
      <w:r>
        <w:rPr>
          <w:szCs w:val="24"/>
        </w:rPr>
        <w:t xml:space="preserve"> </w:t>
      </w:r>
      <w:r w:rsidR="003B2C37">
        <w:rPr>
          <w:szCs w:val="24"/>
        </w:rPr>
        <w:t>positive percent agreement, negative percent agreement and overall percent agreement</w:t>
      </w:r>
      <w:r>
        <w:rPr>
          <w:szCs w:val="24"/>
        </w:rPr>
        <w:t>.</w:t>
      </w:r>
      <w:r w:rsidR="007461DB">
        <w:rPr>
          <w:szCs w:val="24"/>
        </w:rPr>
        <w:t xml:space="preserve"> Test safety outcomes proposed for the assessment of </w:t>
      </w:r>
      <w:r w:rsidR="007461DB" w:rsidRPr="00230BBB">
        <w:rPr>
          <w:szCs w:val="24"/>
        </w:rPr>
        <w:t>t-tau/A</w:t>
      </w:r>
      <w:proofErr w:type="gramStart"/>
      <w:r w:rsidR="007461DB" w:rsidRPr="00230BBB">
        <w:rPr>
          <w:szCs w:val="24"/>
        </w:rPr>
        <w:t>β[</w:t>
      </w:r>
      <w:proofErr w:type="gramEnd"/>
      <w:r w:rsidR="007461DB" w:rsidRPr="00230BBB">
        <w:rPr>
          <w:szCs w:val="24"/>
        </w:rPr>
        <w:t>1-42] in CSF</w:t>
      </w:r>
      <w:r w:rsidR="007461DB">
        <w:rPr>
          <w:szCs w:val="24"/>
        </w:rPr>
        <w:t xml:space="preserve"> </w:t>
      </w:r>
      <w:r w:rsidR="007509C1">
        <w:rPr>
          <w:szCs w:val="24"/>
        </w:rPr>
        <w:t xml:space="preserve">are the </w:t>
      </w:r>
      <w:r w:rsidR="007461DB">
        <w:rPr>
          <w:szCs w:val="24"/>
        </w:rPr>
        <w:t xml:space="preserve">rate and nature of adverse events associated with </w:t>
      </w:r>
      <w:r w:rsidR="007509C1">
        <w:rPr>
          <w:szCs w:val="24"/>
        </w:rPr>
        <w:t>the lumbar puncture procedure to obtain the CSF sample</w:t>
      </w:r>
      <w:r w:rsidR="007461DB">
        <w:rPr>
          <w:szCs w:val="24"/>
        </w:rPr>
        <w:t>.</w:t>
      </w:r>
    </w:p>
    <w:p w14:paraId="6B927FA0" w14:textId="32993F43" w:rsidR="00D44A39" w:rsidRDefault="00D44A39" w:rsidP="00D44A39">
      <w:pPr>
        <w:keepNext/>
        <w:keepLines/>
        <w:rPr>
          <w:b/>
          <w:bCs/>
          <w:szCs w:val="24"/>
        </w:rPr>
      </w:pPr>
      <w:r>
        <w:rPr>
          <w:b/>
          <w:bCs/>
          <w:szCs w:val="24"/>
        </w:rPr>
        <w:t xml:space="preserve">Outcomes: </w:t>
      </w:r>
      <w:r w:rsidRPr="00D44A39">
        <w:rPr>
          <w:b/>
          <w:bCs/>
          <w:szCs w:val="24"/>
        </w:rPr>
        <w:t>pTau217 in plasma testing vs Amyloid PET</w:t>
      </w:r>
    </w:p>
    <w:p w14:paraId="490916C0" w14:textId="3C3A9FE4" w:rsidR="00D44A39" w:rsidRDefault="00FF78FF" w:rsidP="00D44A39">
      <w:pPr>
        <w:rPr>
          <w:szCs w:val="24"/>
        </w:rPr>
      </w:pPr>
      <w:r>
        <w:rPr>
          <w:szCs w:val="24"/>
        </w:rPr>
        <w:t xml:space="preserve">Aβ pathology testing using pTau217 in plasma testing was not used </w:t>
      </w:r>
      <w:r w:rsidR="00D44A39" w:rsidRPr="00230BBB">
        <w:rPr>
          <w:szCs w:val="24"/>
        </w:rPr>
        <w:t>as part of screening people for eligibility to enrol on the CLARITY AD trial.</w:t>
      </w:r>
      <w:r w:rsidR="001A54B9">
        <w:rPr>
          <w:szCs w:val="24"/>
        </w:rPr>
        <w:t xml:space="preserve"> However, the role of pTau217 in plasma testing is </w:t>
      </w:r>
      <w:r w:rsidR="008761CC">
        <w:rPr>
          <w:szCs w:val="24"/>
        </w:rPr>
        <w:t>increasing</w:t>
      </w:r>
      <w:r w:rsidR="00ED3E8B">
        <w:rPr>
          <w:szCs w:val="24"/>
        </w:rPr>
        <w:t>ly</w:t>
      </w:r>
      <w:r w:rsidR="008761CC">
        <w:rPr>
          <w:szCs w:val="24"/>
        </w:rPr>
        <w:t xml:space="preserve"> accepted as having a role </w:t>
      </w:r>
      <w:r w:rsidR="00C92820">
        <w:rPr>
          <w:szCs w:val="24"/>
        </w:rPr>
        <w:t xml:space="preserve">in the </w:t>
      </w:r>
      <w:r w:rsidR="00D44A39" w:rsidRPr="00230BBB">
        <w:rPr>
          <w:szCs w:val="24"/>
        </w:rPr>
        <w:t xml:space="preserve">diagnostic work-up of people </w:t>
      </w:r>
      <w:r w:rsidR="00D44A39" w:rsidRPr="00230BBB">
        <w:rPr>
          <w:szCs w:val="24"/>
        </w:rPr>
        <w:lastRenderedPageBreak/>
        <w:t xml:space="preserve">with suspected Alzheimer's disease. Specifically, revised criteria for the diagnosis and staging of Alzheimer’s disease published by the National Institute on Aging and the Alzheimer's Association </w:t>
      </w:r>
      <w:r w:rsidR="00881F00" w:rsidRPr="00230BBB">
        <w:rPr>
          <w:noProof/>
          <w:szCs w:val="24"/>
        </w:rPr>
        <w:t>(Jack et al. 2024)</w:t>
      </w:r>
      <w:r w:rsidR="00D44A39" w:rsidRPr="00230BBB">
        <w:rPr>
          <w:szCs w:val="24"/>
        </w:rPr>
        <w:t xml:space="preserve"> report intended uses of </w:t>
      </w:r>
      <w:r w:rsidR="004F2DFE">
        <w:rPr>
          <w:szCs w:val="24"/>
        </w:rPr>
        <w:t>pTau217 in plasma</w:t>
      </w:r>
      <w:r w:rsidR="00D44A39" w:rsidRPr="00230BBB">
        <w:rPr>
          <w:szCs w:val="24"/>
        </w:rPr>
        <w:t xml:space="preserve"> testing for the purpose of diagnosis and as an indicator of biological treatment effect (Table 2, </w:t>
      </w:r>
      <w:r w:rsidR="00D44A39">
        <w:rPr>
          <w:szCs w:val="24"/>
        </w:rPr>
        <w:t xml:space="preserve">p. </w:t>
      </w:r>
      <w:r w:rsidR="00D44A39" w:rsidRPr="00230BBB">
        <w:rPr>
          <w:szCs w:val="24"/>
        </w:rPr>
        <w:t>5,147).</w:t>
      </w:r>
    </w:p>
    <w:p w14:paraId="1F369047" w14:textId="09CFF744" w:rsidR="00D44A39" w:rsidRDefault="004A0C70" w:rsidP="00764B1C">
      <w:pPr>
        <w:keepNext/>
        <w:keepLines/>
        <w:rPr>
          <w:szCs w:val="24"/>
        </w:rPr>
      </w:pPr>
      <w:r w:rsidRPr="005846CB">
        <w:rPr>
          <w:szCs w:val="24"/>
        </w:rPr>
        <w:t xml:space="preserve">Amyloid PET was used as the reference standard in the analysis of blood biomarker markers by (BBM) </w:t>
      </w:r>
      <w:r w:rsidR="00B53753">
        <w:rPr>
          <w:szCs w:val="24"/>
        </w:rPr>
        <w:t xml:space="preserve">by </w:t>
      </w:r>
      <w:r w:rsidR="00163F02">
        <w:rPr>
          <w:szCs w:val="24"/>
        </w:rPr>
        <w:t>a w</w:t>
      </w:r>
      <w:r w:rsidRPr="005846CB">
        <w:rPr>
          <w:szCs w:val="24"/>
        </w:rPr>
        <w:t>orkgroup convened by the Global CEO Initiative on Alzheimer’s Disease</w:t>
      </w:r>
      <w:r>
        <w:rPr>
          <w:szCs w:val="24"/>
        </w:rPr>
        <w:t xml:space="preserve"> </w:t>
      </w:r>
      <w:r w:rsidR="00881F00">
        <w:rPr>
          <w:noProof/>
          <w:szCs w:val="24"/>
        </w:rPr>
        <w:t>(Schindler et al. 2024)</w:t>
      </w:r>
      <w:r w:rsidRPr="005846CB">
        <w:rPr>
          <w:szCs w:val="24"/>
        </w:rPr>
        <w:t>.</w:t>
      </w:r>
      <w:r w:rsidR="00E07F57">
        <w:rPr>
          <w:szCs w:val="24"/>
        </w:rPr>
        <w:t xml:space="preserve"> </w:t>
      </w:r>
      <w:r w:rsidR="00D44A39">
        <w:rPr>
          <w:szCs w:val="24"/>
        </w:rPr>
        <w:t xml:space="preserve">For the purposes of MSAC decision-making an assessment of the concordance of Aβ pathology outcomes reported </w:t>
      </w:r>
      <w:r w:rsidR="00CD4499">
        <w:rPr>
          <w:szCs w:val="24"/>
        </w:rPr>
        <w:t>pTau217 in plasma</w:t>
      </w:r>
      <w:r w:rsidR="00D44A39">
        <w:rPr>
          <w:szCs w:val="24"/>
        </w:rPr>
        <w:t xml:space="preserve"> vs amyloid PET is proposed.</w:t>
      </w:r>
      <w:r w:rsidR="00CD4499">
        <w:rPr>
          <w:szCs w:val="24"/>
        </w:rPr>
        <w:t xml:space="preserve"> </w:t>
      </w:r>
      <w:r w:rsidR="00D44A39">
        <w:rPr>
          <w:szCs w:val="24"/>
        </w:rPr>
        <w:t xml:space="preserve">Outcomes proposed for the assessment of the concordance of Aβ pathology outcomes reported by </w:t>
      </w:r>
      <w:r w:rsidR="00D64E4D">
        <w:rPr>
          <w:szCs w:val="24"/>
        </w:rPr>
        <w:t>pTau217 in plasma</w:t>
      </w:r>
      <w:r w:rsidR="00D44A39">
        <w:rPr>
          <w:szCs w:val="24"/>
        </w:rPr>
        <w:t xml:space="preserve"> vs amyloid PET </w:t>
      </w:r>
      <w:proofErr w:type="gramStart"/>
      <w:r w:rsidR="00D44A39">
        <w:rPr>
          <w:szCs w:val="24"/>
        </w:rPr>
        <w:t>are:</w:t>
      </w:r>
      <w:proofErr w:type="gramEnd"/>
      <w:r w:rsidR="00D44A39">
        <w:rPr>
          <w:szCs w:val="24"/>
        </w:rPr>
        <w:t xml:space="preserve"> positive percent agreement, negative percent agreement and overall percent agreement.</w:t>
      </w:r>
      <w:r w:rsidR="00A14033">
        <w:rPr>
          <w:szCs w:val="24"/>
        </w:rPr>
        <w:t xml:space="preserve"> No incremental safety issues are anticipated </w:t>
      </w:r>
      <w:r w:rsidR="00B51304">
        <w:rPr>
          <w:szCs w:val="24"/>
        </w:rPr>
        <w:t>with pTau217 in plasma testing. People would require collection of a blood sample for</w:t>
      </w:r>
      <w:r w:rsidR="001E7DD9">
        <w:rPr>
          <w:szCs w:val="24"/>
        </w:rPr>
        <w:t xml:space="preserve"> </w:t>
      </w:r>
      <w:proofErr w:type="spellStart"/>
      <w:r w:rsidR="001E7DD9" w:rsidRPr="003F4142">
        <w:rPr>
          <w:szCs w:val="24"/>
        </w:rPr>
        <w:t>ApoE</w:t>
      </w:r>
      <w:proofErr w:type="spellEnd"/>
      <w:r w:rsidR="001E7DD9" w:rsidRPr="003F4142">
        <w:rPr>
          <w:szCs w:val="24"/>
        </w:rPr>
        <w:t xml:space="preserve"> ε4 genotype testing</w:t>
      </w:r>
      <w:r w:rsidR="009B26AB">
        <w:rPr>
          <w:szCs w:val="24"/>
        </w:rPr>
        <w:t xml:space="preserve">. The assessment of pTau217 in plasma may be performed on the sample blood sample, or a separate blood sample </w:t>
      </w:r>
      <w:r w:rsidR="00764B1C">
        <w:rPr>
          <w:szCs w:val="24"/>
        </w:rPr>
        <w:t>from the same collection episode.</w:t>
      </w:r>
      <w:r w:rsidR="003D1981">
        <w:rPr>
          <w:szCs w:val="24"/>
        </w:rPr>
        <w:t xml:space="preserve"> Therefore, no additional/incremental safety issues are expected for pTau217 in plasma testing.</w:t>
      </w:r>
    </w:p>
    <w:p w14:paraId="7C680331" w14:textId="36185EA5" w:rsidR="00D64E4D" w:rsidRDefault="00FA01AD" w:rsidP="00A21DB6">
      <w:pPr>
        <w:rPr>
          <w:b/>
          <w:bCs/>
          <w:szCs w:val="24"/>
        </w:rPr>
      </w:pPr>
      <w:r w:rsidRPr="00340F5D">
        <w:rPr>
          <w:b/>
          <w:bCs/>
          <w:szCs w:val="24"/>
        </w:rPr>
        <w:t>Outcomes: MRI scan of the brain</w:t>
      </w:r>
      <w:r w:rsidR="00340F5D">
        <w:rPr>
          <w:b/>
          <w:bCs/>
          <w:szCs w:val="24"/>
        </w:rPr>
        <w:t xml:space="preserve"> using anti-amyloid MBS items vs current MBS items</w:t>
      </w:r>
    </w:p>
    <w:p w14:paraId="4AA7368D" w14:textId="1365FBC1" w:rsidR="00063AF9" w:rsidRPr="009467C8" w:rsidRDefault="00A52B41" w:rsidP="009467C8">
      <w:pPr>
        <w:keepNext/>
        <w:keepLines/>
        <w:rPr>
          <w:szCs w:val="24"/>
        </w:rPr>
      </w:pPr>
      <w:r w:rsidRPr="009467C8">
        <w:rPr>
          <w:szCs w:val="24"/>
        </w:rPr>
        <w:t xml:space="preserve">MBS item 63004 </w:t>
      </w:r>
      <w:r w:rsidR="00BC2B31">
        <w:rPr>
          <w:szCs w:val="24"/>
        </w:rPr>
        <w:t xml:space="preserve">would </w:t>
      </w:r>
      <w:r w:rsidR="00986402" w:rsidRPr="009467C8">
        <w:rPr>
          <w:szCs w:val="24"/>
        </w:rPr>
        <w:t xml:space="preserve">support </w:t>
      </w:r>
      <w:r w:rsidR="002A6EC5" w:rsidRPr="009467C8">
        <w:rPr>
          <w:szCs w:val="24"/>
        </w:rPr>
        <w:t xml:space="preserve">MRI scans of the brain associated with </w:t>
      </w:r>
      <w:proofErr w:type="spellStart"/>
      <w:r w:rsidR="002A6EC5" w:rsidRPr="009467C8">
        <w:rPr>
          <w:szCs w:val="24"/>
        </w:rPr>
        <w:t>lecanemab</w:t>
      </w:r>
      <w:proofErr w:type="spellEnd"/>
      <w:r w:rsidR="002A6EC5" w:rsidRPr="009467C8">
        <w:rPr>
          <w:szCs w:val="24"/>
        </w:rPr>
        <w:t xml:space="preserve"> treatment</w:t>
      </w:r>
      <w:r w:rsidR="00986402" w:rsidRPr="009467C8">
        <w:rPr>
          <w:szCs w:val="24"/>
        </w:rPr>
        <w:t>.</w:t>
      </w:r>
      <w:r w:rsidR="001C5CC3" w:rsidRPr="009467C8">
        <w:rPr>
          <w:szCs w:val="24"/>
        </w:rPr>
        <w:t xml:space="preserve"> </w:t>
      </w:r>
      <w:r w:rsidR="00BC2B31">
        <w:rPr>
          <w:szCs w:val="24"/>
        </w:rPr>
        <w:t xml:space="preserve">However, it is acknowledged that </w:t>
      </w:r>
      <w:r w:rsidR="001C5CC3" w:rsidRPr="009467C8">
        <w:rPr>
          <w:szCs w:val="24"/>
        </w:rPr>
        <w:t xml:space="preserve">as part of the assessment of MSAC Application 1784 (donanemab) the Department </w:t>
      </w:r>
      <w:r w:rsidR="000832A4" w:rsidRPr="009467C8">
        <w:rPr>
          <w:szCs w:val="24"/>
        </w:rPr>
        <w:t>proposed the creation of new MRI items speci</w:t>
      </w:r>
      <w:r w:rsidR="00063AF9" w:rsidRPr="009467C8">
        <w:rPr>
          <w:szCs w:val="24"/>
        </w:rPr>
        <w:t xml:space="preserve">fic to baseline screening and ARIA monitoring </w:t>
      </w:r>
      <w:r w:rsidR="008A07E3">
        <w:rPr>
          <w:szCs w:val="24"/>
        </w:rPr>
        <w:t xml:space="preserve">(p. 14 of </w:t>
      </w:r>
      <w:r w:rsidR="00B86140">
        <w:rPr>
          <w:szCs w:val="24"/>
        </w:rPr>
        <w:t>P</w:t>
      </w:r>
      <w:r w:rsidR="008A07E3">
        <w:rPr>
          <w:szCs w:val="24"/>
        </w:rPr>
        <w:t>SD)</w:t>
      </w:r>
      <w:r w:rsidR="00063AF9" w:rsidRPr="009467C8">
        <w:rPr>
          <w:szCs w:val="24"/>
        </w:rPr>
        <w:t>.</w:t>
      </w:r>
    </w:p>
    <w:p w14:paraId="77E6F218" w14:textId="63FCAB90" w:rsidR="00883D8F" w:rsidRPr="009467C8" w:rsidRDefault="00FF2515" w:rsidP="009467C8">
      <w:pPr>
        <w:keepNext/>
        <w:keepLines/>
        <w:rPr>
          <w:szCs w:val="24"/>
        </w:rPr>
      </w:pPr>
      <w:r w:rsidRPr="003F4142">
        <w:rPr>
          <w:szCs w:val="24"/>
        </w:rPr>
        <w:t xml:space="preserve">It is proposed that a reimbursement submission for </w:t>
      </w:r>
      <w:proofErr w:type="spellStart"/>
      <w:r w:rsidRPr="003F4142">
        <w:rPr>
          <w:szCs w:val="24"/>
        </w:rPr>
        <w:t>lecanemab</w:t>
      </w:r>
      <w:proofErr w:type="spellEnd"/>
      <w:r w:rsidRPr="003F4142">
        <w:rPr>
          <w:szCs w:val="24"/>
        </w:rPr>
        <w:t xml:space="preserve"> can reasonably omit presenting an assessment of the safety and </w:t>
      </w:r>
      <w:r w:rsidR="00876D54">
        <w:rPr>
          <w:szCs w:val="24"/>
        </w:rPr>
        <w:t>diagnostic performance</w:t>
      </w:r>
      <w:r w:rsidR="00883D8F">
        <w:rPr>
          <w:szCs w:val="24"/>
        </w:rPr>
        <w:t xml:space="preserve"> of MRI scans of the brain. </w:t>
      </w:r>
      <w:r w:rsidR="00883D8F" w:rsidRPr="009467C8">
        <w:rPr>
          <w:szCs w:val="24"/>
        </w:rPr>
        <w:t xml:space="preserve">The safety and </w:t>
      </w:r>
      <w:r w:rsidR="007F051D">
        <w:rPr>
          <w:szCs w:val="24"/>
        </w:rPr>
        <w:t xml:space="preserve">diagnostic </w:t>
      </w:r>
      <w:r w:rsidR="00883D8F" w:rsidRPr="009467C8">
        <w:rPr>
          <w:szCs w:val="24"/>
        </w:rPr>
        <w:t xml:space="preserve">performance of MRI </w:t>
      </w:r>
      <w:proofErr w:type="gramStart"/>
      <w:r w:rsidR="00883D8F" w:rsidRPr="009467C8">
        <w:rPr>
          <w:szCs w:val="24"/>
        </w:rPr>
        <w:t>has</w:t>
      </w:r>
      <w:proofErr w:type="gramEnd"/>
      <w:r w:rsidR="00883D8F" w:rsidRPr="009467C8">
        <w:rPr>
          <w:szCs w:val="24"/>
        </w:rPr>
        <w:t xml:space="preserve"> been accepted as part of the creation of current MBS items</w:t>
      </w:r>
      <w:r w:rsidR="00B86140">
        <w:rPr>
          <w:szCs w:val="24"/>
        </w:rPr>
        <w:t xml:space="preserve"> for MRI scan</w:t>
      </w:r>
      <w:r w:rsidR="00883D8F" w:rsidRPr="009467C8">
        <w:rPr>
          <w:szCs w:val="24"/>
        </w:rPr>
        <w:t>, includ</w:t>
      </w:r>
      <w:r w:rsidR="006F733B">
        <w:rPr>
          <w:szCs w:val="24"/>
        </w:rPr>
        <w:t>ing</w:t>
      </w:r>
      <w:r w:rsidR="00883D8F" w:rsidRPr="009467C8">
        <w:rPr>
          <w:szCs w:val="24"/>
        </w:rPr>
        <w:t xml:space="preserve"> </w:t>
      </w:r>
      <w:r w:rsidR="009467C8" w:rsidRPr="009467C8">
        <w:rPr>
          <w:szCs w:val="24"/>
        </w:rPr>
        <w:t>item 63004</w:t>
      </w:r>
      <w:r w:rsidR="00B86140">
        <w:rPr>
          <w:szCs w:val="24"/>
        </w:rPr>
        <w:t xml:space="preserve"> facilitating MRI scans of the brain</w:t>
      </w:r>
      <w:r w:rsidR="00883D8F" w:rsidRPr="009467C8">
        <w:rPr>
          <w:szCs w:val="24"/>
        </w:rPr>
        <w:t>.</w:t>
      </w:r>
      <w:r w:rsidR="009467C8" w:rsidRPr="009467C8">
        <w:rPr>
          <w:szCs w:val="24"/>
        </w:rPr>
        <w:t xml:space="preserve"> Further, there is no </w:t>
      </w:r>
      <w:r w:rsidR="00883D8F" w:rsidRPr="009467C8">
        <w:rPr>
          <w:szCs w:val="24"/>
        </w:rPr>
        <w:t xml:space="preserve">clinical uncertainty regarding the role of MRI scans of the brain as part of the diagnostic workup of people with suspected Alzheimer’s disease, nor the requirement for people to receive MRI scans </w:t>
      </w:r>
      <w:r w:rsidR="00170816">
        <w:rPr>
          <w:szCs w:val="24"/>
        </w:rPr>
        <w:t xml:space="preserve">as part of a course of </w:t>
      </w:r>
      <w:proofErr w:type="spellStart"/>
      <w:r w:rsidR="00883D8F" w:rsidRPr="009467C8">
        <w:rPr>
          <w:szCs w:val="24"/>
        </w:rPr>
        <w:t>lecanemab</w:t>
      </w:r>
      <w:proofErr w:type="spellEnd"/>
      <w:r w:rsidR="00883D8F" w:rsidRPr="009467C8">
        <w:rPr>
          <w:szCs w:val="24"/>
        </w:rPr>
        <w:t xml:space="preserve"> </w:t>
      </w:r>
      <w:r w:rsidR="00F2793E">
        <w:rPr>
          <w:szCs w:val="24"/>
        </w:rPr>
        <w:t>treatment</w:t>
      </w:r>
      <w:r w:rsidR="00883D8F" w:rsidRPr="009467C8">
        <w:rPr>
          <w:szCs w:val="24"/>
        </w:rPr>
        <w:t>.</w:t>
      </w:r>
    </w:p>
    <w:p w14:paraId="720525E3" w14:textId="7418D0B2" w:rsidR="00FF2515" w:rsidRPr="003F4142" w:rsidRDefault="00FF2515" w:rsidP="00FF2515">
      <w:pPr>
        <w:rPr>
          <w:szCs w:val="24"/>
        </w:rPr>
      </w:pPr>
      <w:r w:rsidRPr="003F4142">
        <w:rPr>
          <w:szCs w:val="24"/>
        </w:rPr>
        <w:t xml:space="preserve">The cost of </w:t>
      </w:r>
      <w:r w:rsidR="00C51E68">
        <w:rPr>
          <w:szCs w:val="24"/>
        </w:rPr>
        <w:t xml:space="preserve">MRI scans of the brain </w:t>
      </w:r>
      <w:r w:rsidRPr="003F4142">
        <w:rPr>
          <w:szCs w:val="24"/>
        </w:rPr>
        <w:t xml:space="preserve">will influence the cost-effectiveness of </w:t>
      </w:r>
      <w:proofErr w:type="spellStart"/>
      <w:r w:rsidRPr="003F4142">
        <w:rPr>
          <w:szCs w:val="24"/>
        </w:rPr>
        <w:t>lecanemab</w:t>
      </w:r>
      <w:proofErr w:type="spellEnd"/>
      <w:r w:rsidRPr="003F4142">
        <w:rPr>
          <w:szCs w:val="24"/>
        </w:rPr>
        <w:t xml:space="preserve"> and represents a cost to government if funded through the MBS. Thus, it is proposed that a reimbursement submission for </w:t>
      </w:r>
      <w:proofErr w:type="spellStart"/>
      <w:r w:rsidRPr="003F4142">
        <w:rPr>
          <w:szCs w:val="24"/>
        </w:rPr>
        <w:t>lecanemab</w:t>
      </w:r>
      <w:proofErr w:type="spellEnd"/>
      <w:r w:rsidRPr="003F4142">
        <w:rPr>
          <w:szCs w:val="24"/>
        </w:rPr>
        <w:t xml:space="preserve"> </w:t>
      </w:r>
      <w:r w:rsidR="00C57D19">
        <w:rPr>
          <w:szCs w:val="24"/>
        </w:rPr>
        <w:t>is</w:t>
      </w:r>
      <w:r w:rsidRPr="003F4142">
        <w:rPr>
          <w:szCs w:val="24"/>
        </w:rPr>
        <w:t xml:space="preserve"> streamlined to consideration of </w:t>
      </w:r>
      <w:r w:rsidR="009F6B32">
        <w:rPr>
          <w:szCs w:val="24"/>
        </w:rPr>
        <w:t>MRI scan of the brain to</w:t>
      </w:r>
      <w:r w:rsidRPr="003F4142">
        <w:rPr>
          <w:szCs w:val="24"/>
        </w:rPr>
        <w:t xml:space="preserve"> costs in the economic evaluation and budget impact assessment.</w:t>
      </w:r>
    </w:p>
    <w:p w14:paraId="22847257" w14:textId="0DDE45AE" w:rsidR="00340F5D" w:rsidRDefault="00822B11" w:rsidP="00A21DB6">
      <w:pPr>
        <w:rPr>
          <w:b/>
          <w:bCs/>
          <w:szCs w:val="24"/>
        </w:rPr>
      </w:pPr>
      <w:r>
        <w:rPr>
          <w:b/>
          <w:bCs/>
          <w:szCs w:val="24"/>
        </w:rPr>
        <w:t xml:space="preserve">Outcomes: </w:t>
      </w:r>
      <w:proofErr w:type="spellStart"/>
      <w:r>
        <w:rPr>
          <w:b/>
          <w:bCs/>
          <w:szCs w:val="24"/>
        </w:rPr>
        <w:t>lecanemab</w:t>
      </w:r>
      <w:proofErr w:type="spellEnd"/>
      <w:r>
        <w:rPr>
          <w:b/>
          <w:bCs/>
          <w:szCs w:val="24"/>
        </w:rPr>
        <w:t xml:space="preserve"> treatment</w:t>
      </w:r>
    </w:p>
    <w:p w14:paraId="334571D9" w14:textId="0638CC1B" w:rsidR="00A50687" w:rsidRPr="00AB5771" w:rsidRDefault="00A50687" w:rsidP="00AB5771">
      <w:pPr>
        <w:rPr>
          <w:szCs w:val="24"/>
        </w:rPr>
      </w:pPr>
      <w:r w:rsidRPr="00E6601B">
        <w:rPr>
          <w:b/>
          <w:bCs/>
          <w:szCs w:val="24"/>
        </w:rPr>
        <w:t xml:space="preserve">Primary </w:t>
      </w:r>
      <w:r w:rsidR="003209AE" w:rsidRPr="00E6601B">
        <w:rPr>
          <w:b/>
          <w:bCs/>
          <w:szCs w:val="24"/>
        </w:rPr>
        <w:t xml:space="preserve">effectiveness </w:t>
      </w:r>
      <w:r w:rsidR="00E56C65" w:rsidRPr="00E6601B">
        <w:rPr>
          <w:b/>
          <w:bCs/>
          <w:szCs w:val="24"/>
        </w:rPr>
        <w:t>outcome:</w:t>
      </w:r>
      <w:r w:rsidR="00477D3A" w:rsidRPr="00AB5771">
        <w:rPr>
          <w:szCs w:val="24"/>
        </w:rPr>
        <w:t xml:space="preserve"> </w:t>
      </w:r>
      <w:r w:rsidR="008F7AC0" w:rsidRPr="00AB5771">
        <w:rPr>
          <w:szCs w:val="24"/>
        </w:rPr>
        <w:t xml:space="preserve">Change from baseline in </w:t>
      </w:r>
      <w:r w:rsidR="00F964B0">
        <w:rPr>
          <w:szCs w:val="24"/>
        </w:rPr>
        <w:t>C</w:t>
      </w:r>
      <w:r w:rsidR="00477D3A" w:rsidRPr="00AB5771">
        <w:rPr>
          <w:szCs w:val="24"/>
        </w:rPr>
        <w:t>linic</w:t>
      </w:r>
      <w:r w:rsidR="00374E52" w:rsidRPr="00AB5771">
        <w:rPr>
          <w:szCs w:val="24"/>
        </w:rPr>
        <w:t>al Dementia Rating-Sum of Boxes (CDR-SB)</w:t>
      </w:r>
    </w:p>
    <w:p w14:paraId="118F14E1" w14:textId="3C1E178E" w:rsidR="00BE0F05" w:rsidRDefault="00240DCF" w:rsidP="00AB5771">
      <w:pPr>
        <w:rPr>
          <w:szCs w:val="24"/>
        </w:rPr>
      </w:pPr>
      <w:r w:rsidRPr="00AB5771">
        <w:rPr>
          <w:szCs w:val="24"/>
        </w:rPr>
        <w:t>The CDR-SB</w:t>
      </w:r>
      <w:r w:rsidR="005245C4" w:rsidRPr="00AB5771">
        <w:rPr>
          <w:szCs w:val="24"/>
        </w:rPr>
        <w:t xml:space="preserve"> is a </w:t>
      </w:r>
      <w:r w:rsidR="00EA1582">
        <w:rPr>
          <w:szCs w:val="24"/>
        </w:rPr>
        <w:t xml:space="preserve">quantitative </w:t>
      </w:r>
      <w:r w:rsidR="005245C4" w:rsidRPr="00AB5771">
        <w:rPr>
          <w:szCs w:val="24"/>
        </w:rPr>
        <w:t>measure of cognitive and functional impairment. It sums scores a</w:t>
      </w:r>
      <w:r w:rsidR="00C50E3A" w:rsidRPr="00AB5771">
        <w:rPr>
          <w:szCs w:val="24"/>
        </w:rPr>
        <w:t>cross 6 domains: memory, orientation, judgement/problem solving, community affairs, home/hobbies and personal care</w:t>
      </w:r>
      <w:r w:rsidR="003209AE">
        <w:rPr>
          <w:szCs w:val="24"/>
        </w:rPr>
        <w:t>.</w:t>
      </w:r>
      <w:r w:rsidR="00BF2D19">
        <w:rPr>
          <w:szCs w:val="24"/>
        </w:rPr>
        <w:t xml:space="preserve"> The total range of score is from 0 (normal) to 18 (severe dementia).</w:t>
      </w:r>
    </w:p>
    <w:p w14:paraId="6C16EAB5" w14:textId="465BA5AB" w:rsidR="00E56C65" w:rsidRDefault="0026662F" w:rsidP="00E56C65">
      <w:pPr>
        <w:rPr>
          <w:szCs w:val="24"/>
        </w:rPr>
      </w:pPr>
      <w:r w:rsidRPr="00AB5771">
        <w:rPr>
          <w:szCs w:val="24"/>
        </w:rPr>
        <w:lastRenderedPageBreak/>
        <w:t xml:space="preserve">The </w:t>
      </w:r>
      <w:r w:rsidR="00BE0F05">
        <w:rPr>
          <w:szCs w:val="24"/>
        </w:rPr>
        <w:t xml:space="preserve">CDR-SB score </w:t>
      </w:r>
      <w:r w:rsidR="00817AFE">
        <w:rPr>
          <w:szCs w:val="24"/>
        </w:rPr>
        <w:t>has a role in staging people with dementia</w:t>
      </w:r>
      <w:r w:rsidR="002A6CAE">
        <w:rPr>
          <w:szCs w:val="24"/>
        </w:rPr>
        <w:t xml:space="preserve"> (</w:t>
      </w:r>
      <w:r w:rsidR="0055704E">
        <w:rPr>
          <w:szCs w:val="24"/>
        </w:rPr>
        <w:fldChar w:fldCharType="begin"/>
      </w:r>
      <w:r w:rsidR="0055704E">
        <w:rPr>
          <w:szCs w:val="24"/>
        </w:rPr>
        <w:instrText xml:space="preserve"> REF _Ref224547146 \h </w:instrText>
      </w:r>
      <w:r w:rsidR="0055704E">
        <w:rPr>
          <w:szCs w:val="24"/>
        </w:rPr>
      </w:r>
      <w:r w:rsidR="0055704E">
        <w:rPr>
          <w:szCs w:val="24"/>
        </w:rPr>
        <w:fldChar w:fldCharType="separate"/>
      </w:r>
      <w:r w:rsidR="001C5350">
        <w:t xml:space="preserve">Table </w:t>
      </w:r>
      <w:r w:rsidR="001C5350">
        <w:rPr>
          <w:noProof/>
        </w:rPr>
        <w:t>3</w:t>
      </w:r>
      <w:r w:rsidR="0055704E">
        <w:rPr>
          <w:szCs w:val="24"/>
        </w:rPr>
        <w:fldChar w:fldCharType="end"/>
      </w:r>
      <w:r w:rsidR="002A6CAE">
        <w:rPr>
          <w:szCs w:val="24"/>
        </w:rPr>
        <w:t xml:space="preserve">). </w:t>
      </w:r>
      <w:r w:rsidR="003E2666">
        <w:rPr>
          <w:szCs w:val="24"/>
        </w:rPr>
        <w:t xml:space="preserve">The effectiveness of </w:t>
      </w:r>
      <w:r w:rsidR="00324961">
        <w:rPr>
          <w:szCs w:val="24"/>
        </w:rPr>
        <w:t xml:space="preserve">treatments for people with </w:t>
      </w:r>
      <w:r w:rsidR="0073538A">
        <w:rPr>
          <w:szCs w:val="24"/>
        </w:rPr>
        <w:t>Alzheimer’s</w:t>
      </w:r>
      <w:r w:rsidR="003E2666">
        <w:rPr>
          <w:szCs w:val="24"/>
        </w:rPr>
        <w:t xml:space="preserve"> disease </w:t>
      </w:r>
      <w:r w:rsidR="00324961">
        <w:rPr>
          <w:szCs w:val="24"/>
        </w:rPr>
        <w:t xml:space="preserve">can be evaluated by </w:t>
      </w:r>
      <w:r w:rsidR="002A6CAE">
        <w:rPr>
          <w:szCs w:val="24"/>
        </w:rPr>
        <w:t xml:space="preserve">assessing the change in </w:t>
      </w:r>
      <w:r w:rsidR="00A3534A">
        <w:rPr>
          <w:szCs w:val="24"/>
        </w:rPr>
        <w:t xml:space="preserve">baseline </w:t>
      </w:r>
      <w:r w:rsidR="002A6CAE">
        <w:rPr>
          <w:szCs w:val="24"/>
        </w:rPr>
        <w:t>CDR-SB</w:t>
      </w:r>
      <w:r w:rsidR="00A3534A">
        <w:rPr>
          <w:szCs w:val="24"/>
        </w:rPr>
        <w:t xml:space="preserve"> </w:t>
      </w:r>
      <w:r w:rsidR="0032437E">
        <w:rPr>
          <w:szCs w:val="24"/>
        </w:rPr>
        <w:t>over time</w:t>
      </w:r>
      <w:r w:rsidR="00CA7E67">
        <w:rPr>
          <w:szCs w:val="24"/>
        </w:rPr>
        <w:t xml:space="preserve">. </w:t>
      </w:r>
      <w:r w:rsidR="00C57D19">
        <w:rPr>
          <w:szCs w:val="24"/>
        </w:rPr>
        <w:t xml:space="preserve">Lower </w:t>
      </w:r>
      <w:r w:rsidR="003F55A9">
        <w:rPr>
          <w:szCs w:val="24"/>
        </w:rPr>
        <w:t xml:space="preserve">follow-up </w:t>
      </w:r>
      <w:r w:rsidR="005502E7">
        <w:rPr>
          <w:szCs w:val="24"/>
        </w:rPr>
        <w:t>CDR-SB scores</w:t>
      </w:r>
      <w:r w:rsidR="003F55A9">
        <w:rPr>
          <w:szCs w:val="24"/>
        </w:rPr>
        <w:t xml:space="preserve"> for an intervention (</w:t>
      </w:r>
      <w:r w:rsidR="00F62A78">
        <w:rPr>
          <w:szCs w:val="24"/>
        </w:rPr>
        <w:t xml:space="preserve">e.g. </w:t>
      </w:r>
      <w:proofErr w:type="spellStart"/>
      <w:r w:rsidR="003F55A9">
        <w:rPr>
          <w:szCs w:val="24"/>
        </w:rPr>
        <w:t>lecanemab</w:t>
      </w:r>
      <w:proofErr w:type="spellEnd"/>
      <w:r w:rsidR="003F55A9">
        <w:rPr>
          <w:szCs w:val="24"/>
        </w:rPr>
        <w:t xml:space="preserve">) </w:t>
      </w:r>
      <w:r w:rsidR="00F77C80">
        <w:rPr>
          <w:szCs w:val="24"/>
        </w:rPr>
        <w:t xml:space="preserve">vs standard medical management </w:t>
      </w:r>
      <w:r w:rsidR="00F62A78">
        <w:rPr>
          <w:szCs w:val="24"/>
        </w:rPr>
        <w:t xml:space="preserve">is </w:t>
      </w:r>
      <w:r w:rsidR="00F77C80">
        <w:rPr>
          <w:szCs w:val="24"/>
        </w:rPr>
        <w:t xml:space="preserve">supportive </w:t>
      </w:r>
      <w:r w:rsidR="008F5E48">
        <w:rPr>
          <w:szCs w:val="24"/>
        </w:rPr>
        <w:t xml:space="preserve">that </w:t>
      </w:r>
      <w:r w:rsidR="0066537D">
        <w:rPr>
          <w:szCs w:val="24"/>
        </w:rPr>
        <w:t>an</w:t>
      </w:r>
      <w:r w:rsidR="008D5C91">
        <w:rPr>
          <w:szCs w:val="24"/>
        </w:rPr>
        <w:t xml:space="preserve"> intervention </w:t>
      </w:r>
      <w:r w:rsidR="008F5E48">
        <w:rPr>
          <w:szCs w:val="24"/>
        </w:rPr>
        <w:t xml:space="preserve">is </w:t>
      </w:r>
      <w:r w:rsidR="008D5C91">
        <w:rPr>
          <w:szCs w:val="24"/>
        </w:rPr>
        <w:t xml:space="preserve">more effective in </w:t>
      </w:r>
      <w:r w:rsidR="001D739C">
        <w:rPr>
          <w:szCs w:val="24"/>
        </w:rPr>
        <w:t>delaying the rate of clinical deterioration.</w:t>
      </w:r>
    </w:p>
    <w:p w14:paraId="1D5BEF2E" w14:textId="7A5A2FFE" w:rsidR="00372C98" w:rsidRDefault="00FF57AD" w:rsidP="00FF57AD">
      <w:pPr>
        <w:pStyle w:val="Caption"/>
        <w:rPr>
          <w:szCs w:val="24"/>
        </w:rPr>
      </w:pPr>
      <w:bookmarkStart w:id="3" w:name="_Ref224547146"/>
      <w:r>
        <w:t xml:space="preserve">Table </w:t>
      </w:r>
      <w:r w:rsidR="001C5350">
        <w:fldChar w:fldCharType="begin"/>
      </w:r>
      <w:r w:rsidR="001C5350">
        <w:instrText xml:space="preserve"> SEQ Table \* ARABIC </w:instrText>
      </w:r>
      <w:r w:rsidR="001C5350">
        <w:fldChar w:fldCharType="separate"/>
      </w:r>
      <w:r w:rsidR="001C5350">
        <w:rPr>
          <w:noProof/>
        </w:rPr>
        <w:t>3</w:t>
      </w:r>
      <w:r w:rsidR="001C5350">
        <w:rPr>
          <w:noProof/>
        </w:rPr>
        <w:fldChar w:fldCharType="end"/>
      </w:r>
      <w:bookmarkEnd w:id="3"/>
      <w:r>
        <w:t xml:space="preserve">: </w:t>
      </w:r>
      <w:r w:rsidR="003B2E62">
        <w:t>Sum of Boxes staging category</w:t>
      </w:r>
    </w:p>
    <w:tbl>
      <w:tblPr>
        <w:tblStyle w:val="TableGrid"/>
        <w:tblW w:w="5000" w:type="pct"/>
        <w:tblLook w:val="04A0" w:firstRow="1" w:lastRow="0" w:firstColumn="1" w:lastColumn="0" w:noHBand="0" w:noVBand="1"/>
      </w:tblPr>
      <w:tblGrid>
        <w:gridCol w:w="4743"/>
        <w:gridCol w:w="4744"/>
      </w:tblGrid>
      <w:tr w:rsidR="00FF57AD" w14:paraId="514DB7E2" w14:textId="77777777" w:rsidTr="00BD5C4B">
        <w:tc>
          <w:tcPr>
            <w:tcW w:w="2500" w:type="pct"/>
            <w:shd w:val="clear" w:color="auto" w:fill="BFBFBF" w:themeFill="background1" w:themeFillShade="BF"/>
          </w:tcPr>
          <w:p w14:paraId="0B25EB82" w14:textId="69DCFBC1" w:rsidR="00FF57AD" w:rsidRPr="00BD5C4B" w:rsidRDefault="00FF57AD" w:rsidP="00E56C65">
            <w:pPr>
              <w:rPr>
                <w:b/>
                <w:bCs/>
                <w:szCs w:val="24"/>
              </w:rPr>
            </w:pPr>
            <w:r w:rsidRPr="00BD5C4B">
              <w:rPr>
                <w:b/>
                <w:bCs/>
                <w:szCs w:val="24"/>
              </w:rPr>
              <w:t>CDR-SB Range</w:t>
            </w:r>
          </w:p>
        </w:tc>
        <w:tc>
          <w:tcPr>
            <w:tcW w:w="2500" w:type="pct"/>
            <w:shd w:val="clear" w:color="auto" w:fill="BFBFBF" w:themeFill="background1" w:themeFillShade="BF"/>
          </w:tcPr>
          <w:p w14:paraId="48C88503" w14:textId="3F94BB83" w:rsidR="00FF57AD" w:rsidRPr="00BD5C4B" w:rsidRDefault="00FF57AD" w:rsidP="00E56C65">
            <w:pPr>
              <w:rPr>
                <w:b/>
                <w:bCs/>
                <w:szCs w:val="24"/>
              </w:rPr>
            </w:pPr>
            <w:r w:rsidRPr="00BD5C4B">
              <w:rPr>
                <w:b/>
                <w:bCs/>
                <w:szCs w:val="24"/>
              </w:rPr>
              <w:t>Staging category</w:t>
            </w:r>
          </w:p>
        </w:tc>
      </w:tr>
      <w:tr w:rsidR="00FF57AD" w14:paraId="03A80CE9" w14:textId="77777777" w:rsidTr="00A86AC7">
        <w:tc>
          <w:tcPr>
            <w:tcW w:w="2500" w:type="pct"/>
          </w:tcPr>
          <w:p w14:paraId="2D944899" w14:textId="5DB3140C" w:rsidR="00FF57AD" w:rsidRDefault="00FF57AD" w:rsidP="00E56C65">
            <w:pPr>
              <w:rPr>
                <w:szCs w:val="24"/>
              </w:rPr>
            </w:pPr>
            <w:r>
              <w:rPr>
                <w:szCs w:val="24"/>
              </w:rPr>
              <w:t>0</w:t>
            </w:r>
          </w:p>
        </w:tc>
        <w:tc>
          <w:tcPr>
            <w:tcW w:w="2500" w:type="pct"/>
          </w:tcPr>
          <w:p w14:paraId="2CB1D3D9" w14:textId="72BAB42C" w:rsidR="00FF57AD" w:rsidRDefault="00FF57AD" w:rsidP="00E56C65">
            <w:pPr>
              <w:rPr>
                <w:szCs w:val="24"/>
              </w:rPr>
            </w:pPr>
            <w:r>
              <w:rPr>
                <w:szCs w:val="24"/>
              </w:rPr>
              <w:t>Normal</w:t>
            </w:r>
          </w:p>
        </w:tc>
      </w:tr>
      <w:tr w:rsidR="00FF57AD" w14:paraId="2102F11B" w14:textId="77777777" w:rsidTr="00A86AC7">
        <w:tc>
          <w:tcPr>
            <w:tcW w:w="2500" w:type="pct"/>
          </w:tcPr>
          <w:p w14:paraId="6103FE17" w14:textId="759A9DE6" w:rsidR="00FF57AD" w:rsidRDefault="00FF57AD" w:rsidP="00E56C65">
            <w:pPr>
              <w:rPr>
                <w:szCs w:val="24"/>
              </w:rPr>
            </w:pPr>
            <w:r>
              <w:rPr>
                <w:szCs w:val="24"/>
              </w:rPr>
              <w:t>0.5-4.0</w:t>
            </w:r>
          </w:p>
        </w:tc>
        <w:tc>
          <w:tcPr>
            <w:tcW w:w="2500" w:type="pct"/>
          </w:tcPr>
          <w:p w14:paraId="7137A214" w14:textId="0737F4B4" w:rsidR="00FF57AD" w:rsidRDefault="00FF57AD" w:rsidP="00E56C65">
            <w:pPr>
              <w:rPr>
                <w:szCs w:val="24"/>
              </w:rPr>
            </w:pPr>
            <w:r>
              <w:rPr>
                <w:szCs w:val="24"/>
              </w:rPr>
              <w:t>Questionable cognitive impairment</w:t>
            </w:r>
          </w:p>
        </w:tc>
      </w:tr>
      <w:tr w:rsidR="00FF57AD" w14:paraId="2AC00ED1" w14:textId="77777777" w:rsidTr="00A86AC7">
        <w:tc>
          <w:tcPr>
            <w:tcW w:w="2500" w:type="pct"/>
          </w:tcPr>
          <w:p w14:paraId="08E85162" w14:textId="762D6AE7" w:rsidR="00FF57AD" w:rsidRDefault="00FF57AD" w:rsidP="0039002D">
            <w:pPr>
              <w:ind w:left="284"/>
              <w:rPr>
                <w:szCs w:val="24"/>
              </w:rPr>
            </w:pPr>
            <w:r>
              <w:rPr>
                <w:szCs w:val="24"/>
              </w:rPr>
              <w:t>0.5-2.5</w:t>
            </w:r>
          </w:p>
        </w:tc>
        <w:tc>
          <w:tcPr>
            <w:tcW w:w="2500" w:type="pct"/>
          </w:tcPr>
          <w:p w14:paraId="5386D565" w14:textId="7ADBB529" w:rsidR="00FF57AD" w:rsidRDefault="00FF57AD" w:rsidP="0039002D">
            <w:pPr>
              <w:ind w:left="284"/>
              <w:rPr>
                <w:szCs w:val="24"/>
              </w:rPr>
            </w:pPr>
            <w:r>
              <w:rPr>
                <w:szCs w:val="24"/>
              </w:rPr>
              <w:t>Questionable impairment</w:t>
            </w:r>
          </w:p>
        </w:tc>
      </w:tr>
      <w:tr w:rsidR="00FF57AD" w14:paraId="0A32E52B" w14:textId="77777777" w:rsidTr="00A86AC7">
        <w:tc>
          <w:tcPr>
            <w:tcW w:w="2500" w:type="pct"/>
          </w:tcPr>
          <w:p w14:paraId="25052A64" w14:textId="3F6883D0" w:rsidR="00FF57AD" w:rsidRDefault="00FF57AD" w:rsidP="0039002D">
            <w:pPr>
              <w:ind w:left="284"/>
              <w:rPr>
                <w:szCs w:val="24"/>
              </w:rPr>
            </w:pPr>
            <w:r>
              <w:rPr>
                <w:szCs w:val="24"/>
              </w:rPr>
              <w:t>3.0-4.0</w:t>
            </w:r>
          </w:p>
        </w:tc>
        <w:tc>
          <w:tcPr>
            <w:tcW w:w="2500" w:type="pct"/>
          </w:tcPr>
          <w:p w14:paraId="5237F639" w14:textId="3962F0AA" w:rsidR="00FF57AD" w:rsidRDefault="00FF57AD" w:rsidP="0039002D">
            <w:pPr>
              <w:ind w:left="284"/>
              <w:rPr>
                <w:szCs w:val="24"/>
              </w:rPr>
            </w:pPr>
            <w:r>
              <w:rPr>
                <w:szCs w:val="24"/>
              </w:rPr>
              <w:t>Very mild dementia</w:t>
            </w:r>
          </w:p>
        </w:tc>
      </w:tr>
      <w:tr w:rsidR="00FF57AD" w14:paraId="4D8F4E7A" w14:textId="77777777" w:rsidTr="00A86AC7">
        <w:tc>
          <w:tcPr>
            <w:tcW w:w="2500" w:type="pct"/>
          </w:tcPr>
          <w:p w14:paraId="5D8E6096" w14:textId="399865FF" w:rsidR="00FF57AD" w:rsidRDefault="00FF57AD" w:rsidP="00E56C65">
            <w:pPr>
              <w:rPr>
                <w:szCs w:val="24"/>
              </w:rPr>
            </w:pPr>
            <w:r>
              <w:rPr>
                <w:szCs w:val="24"/>
              </w:rPr>
              <w:t>4.5-9.0</w:t>
            </w:r>
          </w:p>
        </w:tc>
        <w:tc>
          <w:tcPr>
            <w:tcW w:w="2500" w:type="pct"/>
          </w:tcPr>
          <w:p w14:paraId="3A1C3CA6" w14:textId="5290FE93" w:rsidR="00FF57AD" w:rsidRDefault="00FF57AD" w:rsidP="00E56C65">
            <w:pPr>
              <w:rPr>
                <w:szCs w:val="24"/>
              </w:rPr>
            </w:pPr>
            <w:r>
              <w:rPr>
                <w:szCs w:val="24"/>
              </w:rPr>
              <w:t>Mild dementia</w:t>
            </w:r>
          </w:p>
        </w:tc>
      </w:tr>
      <w:tr w:rsidR="00FF57AD" w14:paraId="62A1F2F9" w14:textId="77777777" w:rsidTr="00A86AC7">
        <w:tc>
          <w:tcPr>
            <w:tcW w:w="2500" w:type="pct"/>
          </w:tcPr>
          <w:p w14:paraId="435CAB95" w14:textId="4169AF59" w:rsidR="00FF57AD" w:rsidRDefault="00FF57AD" w:rsidP="00E56C65">
            <w:pPr>
              <w:rPr>
                <w:szCs w:val="24"/>
              </w:rPr>
            </w:pPr>
            <w:r>
              <w:rPr>
                <w:szCs w:val="24"/>
              </w:rPr>
              <w:t>9.5-15.5</w:t>
            </w:r>
          </w:p>
        </w:tc>
        <w:tc>
          <w:tcPr>
            <w:tcW w:w="2500" w:type="pct"/>
          </w:tcPr>
          <w:p w14:paraId="552F585B" w14:textId="00024E80" w:rsidR="00FF57AD" w:rsidRDefault="00FF57AD" w:rsidP="00E56C65">
            <w:pPr>
              <w:rPr>
                <w:szCs w:val="24"/>
              </w:rPr>
            </w:pPr>
            <w:r>
              <w:rPr>
                <w:szCs w:val="24"/>
              </w:rPr>
              <w:t>Moderate dementia</w:t>
            </w:r>
          </w:p>
        </w:tc>
      </w:tr>
      <w:tr w:rsidR="00FF57AD" w14:paraId="7100B99A" w14:textId="77777777" w:rsidTr="00A86AC7">
        <w:tc>
          <w:tcPr>
            <w:tcW w:w="2500" w:type="pct"/>
          </w:tcPr>
          <w:p w14:paraId="1D2803E4" w14:textId="701702B1" w:rsidR="00FF57AD" w:rsidRDefault="00FF57AD" w:rsidP="00E56C65">
            <w:pPr>
              <w:rPr>
                <w:szCs w:val="24"/>
              </w:rPr>
            </w:pPr>
            <w:r>
              <w:rPr>
                <w:szCs w:val="24"/>
              </w:rPr>
              <w:t>16.0-18.0</w:t>
            </w:r>
          </w:p>
        </w:tc>
        <w:tc>
          <w:tcPr>
            <w:tcW w:w="2500" w:type="pct"/>
          </w:tcPr>
          <w:p w14:paraId="2329FBD3" w14:textId="0A2FDF33" w:rsidR="00FF57AD" w:rsidRDefault="00FF57AD" w:rsidP="00E56C65">
            <w:pPr>
              <w:rPr>
                <w:szCs w:val="24"/>
              </w:rPr>
            </w:pPr>
            <w:r>
              <w:rPr>
                <w:szCs w:val="24"/>
              </w:rPr>
              <w:t>Severe dementia</w:t>
            </w:r>
          </w:p>
        </w:tc>
      </w:tr>
    </w:tbl>
    <w:p w14:paraId="7B4B0F62" w14:textId="17A5DA29" w:rsidR="001D739C" w:rsidRPr="003E022D" w:rsidRDefault="0055704E" w:rsidP="00E56C65">
      <w:pPr>
        <w:rPr>
          <w:sz w:val="20"/>
          <w:szCs w:val="20"/>
        </w:rPr>
      </w:pPr>
      <w:r w:rsidRPr="003E022D">
        <w:rPr>
          <w:sz w:val="20"/>
          <w:szCs w:val="20"/>
        </w:rPr>
        <w:t>Abbreviation: CDR-SB=</w:t>
      </w:r>
      <w:r w:rsidR="00F964B0" w:rsidRPr="003E022D">
        <w:rPr>
          <w:sz w:val="20"/>
          <w:szCs w:val="20"/>
        </w:rPr>
        <w:t>Clinical Dementia Rating-Sum of Boxe</w:t>
      </w:r>
      <w:r w:rsidR="008D5C91">
        <w:rPr>
          <w:sz w:val="20"/>
          <w:szCs w:val="20"/>
        </w:rPr>
        <w:t>s</w:t>
      </w:r>
    </w:p>
    <w:p w14:paraId="18A4C5F1" w14:textId="2B1D44B4" w:rsidR="00F964B0" w:rsidRPr="003E022D" w:rsidRDefault="00F964B0" w:rsidP="00E56C65">
      <w:pPr>
        <w:rPr>
          <w:sz w:val="20"/>
          <w:szCs w:val="20"/>
        </w:rPr>
      </w:pPr>
      <w:r w:rsidRPr="003E022D">
        <w:rPr>
          <w:sz w:val="20"/>
          <w:szCs w:val="20"/>
        </w:rPr>
        <w:t xml:space="preserve">Source: </w:t>
      </w:r>
      <w:r w:rsidR="00D60734" w:rsidRPr="003E022D">
        <w:rPr>
          <w:sz w:val="20"/>
          <w:szCs w:val="20"/>
        </w:rPr>
        <w:t xml:space="preserve">Table 3 (p. 1,094) of </w:t>
      </w:r>
      <w:r w:rsidR="00881F00">
        <w:rPr>
          <w:noProof/>
          <w:sz w:val="20"/>
          <w:szCs w:val="20"/>
        </w:rPr>
        <w:t>(O’Bryant et al. 2008)</w:t>
      </w:r>
    </w:p>
    <w:p w14:paraId="20193F5C" w14:textId="17BE00A6" w:rsidR="00E56C65" w:rsidRDefault="00C836D7" w:rsidP="00E56C65">
      <w:pPr>
        <w:rPr>
          <w:szCs w:val="24"/>
        </w:rPr>
      </w:pPr>
      <w:r w:rsidRPr="00E6601B">
        <w:rPr>
          <w:b/>
          <w:bCs/>
          <w:szCs w:val="24"/>
        </w:rPr>
        <w:t>Secondary effectiveness outcomes:</w:t>
      </w:r>
      <w:r w:rsidR="00640F6C">
        <w:rPr>
          <w:szCs w:val="24"/>
        </w:rPr>
        <w:t xml:space="preserve"> </w:t>
      </w:r>
      <w:r w:rsidR="00A65A93">
        <w:rPr>
          <w:szCs w:val="24"/>
        </w:rPr>
        <w:t xml:space="preserve">The secondary outcomes </w:t>
      </w:r>
      <w:r w:rsidR="00D25E12">
        <w:rPr>
          <w:szCs w:val="24"/>
        </w:rPr>
        <w:t xml:space="preserve">proposed </w:t>
      </w:r>
      <w:r w:rsidR="00BC5E95">
        <w:rPr>
          <w:szCs w:val="24"/>
        </w:rPr>
        <w:t>for the assessment of clinical effectiveness a</w:t>
      </w:r>
      <w:r w:rsidR="002A0B17">
        <w:rPr>
          <w:szCs w:val="24"/>
        </w:rPr>
        <w:t>re outlined in</w:t>
      </w:r>
      <w:r w:rsidR="005F581D">
        <w:rPr>
          <w:szCs w:val="24"/>
        </w:rPr>
        <w:t xml:space="preserve"> </w:t>
      </w:r>
      <w:r w:rsidR="005F581D">
        <w:rPr>
          <w:szCs w:val="24"/>
        </w:rPr>
        <w:fldChar w:fldCharType="begin"/>
      </w:r>
      <w:r w:rsidR="005F581D">
        <w:rPr>
          <w:szCs w:val="24"/>
        </w:rPr>
        <w:instrText xml:space="preserve"> REF _Ref224549896 \h </w:instrText>
      </w:r>
      <w:r w:rsidR="00D05CE0">
        <w:rPr>
          <w:szCs w:val="24"/>
        </w:rPr>
        <w:instrText xml:space="preserve"> \* MERGEFORMAT </w:instrText>
      </w:r>
      <w:r w:rsidR="005F581D">
        <w:rPr>
          <w:szCs w:val="24"/>
        </w:rPr>
      </w:r>
      <w:r w:rsidR="005F581D">
        <w:rPr>
          <w:szCs w:val="24"/>
        </w:rPr>
        <w:fldChar w:fldCharType="separate"/>
      </w:r>
      <w:r w:rsidR="001C5350" w:rsidRPr="001C5350">
        <w:rPr>
          <w:szCs w:val="24"/>
        </w:rPr>
        <w:t>Table 4</w:t>
      </w:r>
      <w:r w:rsidR="005F581D">
        <w:rPr>
          <w:szCs w:val="24"/>
        </w:rPr>
        <w:fldChar w:fldCharType="end"/>
      </w:r>
      <w:r w:rsidR="002A0B17">
        <w:rPr>
          <w:szCs w:val="24"/>
        </w:rPr>
        <w:t>.</w:t>
      </w:r>
    </w:p>
    <w:p w14:paraId="3DADB24C" w14:textId="614640FA" w:rsidR="00D05CE0" w:rsidRDefault="00D05CE0" w:rsidP="00E56C65">
      <w:pPr>
        <w:rPr>
          <w:szCs w:val="24"/>
        </w:rPr>
      </w:pPr>
      <w:r>
        <w:rPr>
          <w:szCs w:val="24"/>
        </w:rPr>
        <w:t>These outcome</w:t>
      </w:r>
      <w:r w:rsidR="00BF22C6">
        <w:rPr>
          <w:szCs w:val="24"/>
        </w:rPr>
        <w:t xml:space="preserve">s </w:t>
      </w:r>
      <w:r w:rsidR="00ED1836">
        <w:rPr>
          <w:szCs w:val="24"/>
        </w:rPr>
        <w:t xml:space="preserve">allow for </w:t>
      </w:r>
      <w:r w:rsidR="000578E8">
        <w:rPr>
          <w:szCs w:val="24"/>
        </w:rPr>
        <w:t xml:space="preserve">the assessment of changes in </w:t>
      </w:r>
      <w:r w:rsidR="007177EF">
        <w:rPr>
          <w:szCs w:val="24"/>
        </w:rPr>
        <w:t xml:space="preserve">person-relevant outcomes such </w:t>
      </w:r>
      <w:r w:rsidR="00BF22C6">
        <w:rPr>
          <w:szCs w:val="24"/>
        </w:rPr>
        <w:t>cognitive function</w:t>
      </w:r>
      <w:r w:rsidR="00AF3B5C">
        <w:rPr>
          <w:szCs w:val="24"/>
        </w:rPr>
        <w:t xml:space="preserve">, </w:t>
      </w:r>
      <w:r w:rsidR="007177EF">
        <w:rPr>
          <w:szCs w:val="24"/>
        </w:rPr>
        <w:t>real-world functional performance</w:t>
      </w:r>
      <w:r w:rsidR="00AF3B5C">
        <w:rPr>
          <w:szCs w:val="24"/>
        </w:rPr>
        <w:t xml:space="preserve"> and quality of life</w:t>
      </w:r>
      <w:r w:rsidR="00ED1836">
        <w:rPr>
          <w:szCs w:val="24"/>
        </w:rPr>
        <w:t xml:space="preserve">. The outcome of </w:t>
      </w:r>
      <w:r w:rsidR="009F314B">
        <w:rPr>
          <w:szCs w:val="24"/>
        </w:rPr>
        <w:t>brain amyloid levels by PET</w:t>
      </w:r>
      <w:r w:rsidR="00284979">
        <w:rPr>
          <w:szCs w:val="24"/>
        </w:rPr>
        <w:t xml:space="preserve"> allows for the assessment of </w:t>
      </w:r>
      <w:r w:rsidR="007E4D82">
        <w:rPr>
          <w:szCs w:val="24"/>
        </w:rPr>
        <w:t xml:space="preserve">the ability of </w:t>
      </w:r>
      <w:proofErr w:type="spellStart"/>
      <w:r w:rsidR="00284979">
        <w:rPr>
          <w:szCs w:val="24"/>
        </w:rPr>
        <w:t>lecanemab</w:t>
      </w:r>
      <w:proofErr w:type="spellEnd"/>
      <w:r w:rsidR="00284979">
        <w:rPr>
          <w:szCs w:val="24"/>
        </w:rPr>
        <w:t xml:space="preserve"> </w:t>
      </w:r>
      <w:r w:rsidR="007E4D82">
        <w:rPr>
          <w:szCs w:val="24"/>
        </w:rPr>
        <w:t>to clear amyloid deposits from the brain.</w:t>
      </w:r>
    </w:p>
    <w:p w14:paraId="57A3B805" w14:textId="24CEC4A5" w:rsidR="002A0B17" w:rsidRDefault="00187509" w:rsidP="00187509">
      <w:pPr>
        <w:pStyle w:val="Caption"/>
        <w:rPr>
          <w:szCs w:val="24"/>
        </w:rPr>
      </w:pPr>
      <w:bookmarkStart w:id="4" w:name="_Ref224549896"/>
      <w:r>
        <w:t xml:space="preserve">Table </w:t>
      </w:r>
      <w:r w:rsidR="001C5350">
        <w:fldChar w:fldCharType="begin"/>
      </w:r>
      <w:r w:rsidR="001C5350">
        <w:instrText xml:space="preserve"> SEQ Table \* ARABIC </w:instrText>
      </w:r>
      <w:r w:rsidR="001C5350">
        <w:fldChar w:fldCharType="separate"/>
      </w:r>
      <w:r w:rsidR="001C5350">
        <w:rPr>
          <w:noProof/>
        </w:rPr>
        <w:t>4</w:t>
      </w:r>
      <w:r w:rsidR="001C5350">
        <w:rPr>
          <w:noProof/>
        </w:rPr>
        <w:fldChar w:fldCharType="end"/>
      </w:r>
      <w:bookmarkEnd w:id="4"/>
      <w:r>
        <w:t xml:space="preserve">: Secondary effectiveness outcomes for assessment of </w:t>
      </w:r>
      <w:proofErr w:type="spellStart"/>
      <w:r>
        <w:t>lecanemab</w:t>
      </w:r>
      <w:proofErr w:type="spellEnd"/>
    </w:p>
    <w:tbl>
      <w:tblPr>
        <w:tblStyle w:val="TableGrid"/>
        <w:tblW w:w="0" w:type="auto"/>
        <w:tblLook w:val="04A0" w:firstRow="1" w:lastRow="0" w:firstColumn="1" w:lastColumn="0" w:noHBand="0" w:noVBand="1"/>
      </w:tblPr>
      <w:tblGrid>
        <w:gridCol w:w="3190"/>
        <w:gridCol w:w="6297"/>
      </w:tblGrid>
      <w:tr w:rsidR="005E1698" w14:paraId="37744855" w14:textId="77777777" w:rsidTr="00EB116E">
        <w:tc>
          <w:tcPr>
            <w:tcW w:w="0" w:type="auto"/>
            <w:shd w:val="clear" w:color="auto" w:fill="BFBFBF" w:themeFill="background1" w:themeFillShade="BF"/>
          </w:tcPr>
          <w:p w14:paraId="707A2F22" w14:textId="2638E901" w:rsidR="005E1698" w:rsidRPr="008E79B6" w:rsidRDefault="005E1698" w:rsidP="00E56C65">
            <w:pPr>
              <w:rPr>
                <w:b/>
                <w:bCs/>
                <w:szCs w:val="24"/>
              </w:rPr>
            </w:pPr>
            <w:r w:rsidRPr="008E79B6">
              <w:rPr>
                <w:b/>
                <w:bCs/>
                <w:szCs w:val="24"/>
              </w:rPr>
              <w:t>Outcome</w:t>
            </w:r>
          </w:p>
        </w:tc>
        <w:tc>
          <w:tcPr>
            <w:tcW w:w="0" w:type="auto"/>
            <w:shd w:val="clear" w:color="auto" w:fill="BFBFBF" w:themeFill="background1" w:themeFillShade="BF"/>
          </w:tcPr>
          <w:p w14:paraId="33BED12A" w14:textId="33792493" w:rsidR="005E1698" w:rsidRPr="008E79B6" w:rsidRDefault="005E1698" w:rsidP="00E56C65">
            <w:pPr>
              <w:rPr>
                <w:b/>
                <w:bCs/>
                <w:szCs w:val="24"/>
              </w:rPr>
            </w:pPr>
            <w:r w:rsidRPr="008E79B6">
              <w:rPr>
                <w:b/>
                <w:bCs/>
                <w:szCs w:val="24"/>
              </w:rPr>
              <w:t>Short description</w:t>
            </w:r>
          </w:p>
        </w:tc>
      </w:tr>
      <w:tr w:rsidR="005E1698" w14:paraId="39E8C4C4" w14:textId="77777777" w:rsidTr="00EB116E">
        <w:tc>
          <w:tcPr>
            <w:tcW w:w="0" w:type="auto"/>
          </w:tcPr>
          <w:p w14:paraId="0307C8FD" w14:textId="0C63B23C" w:rsidR="005E1698" w:rsidRDefault="005E1698" w:rsidP="00D05CE0">
            <w:pPr>
              <w:rPr>
                <w:szCs w:val="24"/>
              </w:rPr>
            </w:pPr>
            <w:r w:rsidRPr="00D05CE0">
              <w:rPr>
                <w:szCs w:val="24"/>
              </w:rPr>
              <w:t>Alzheimer Disease Assessment Scale-Cognitive subscale 14 item Version (ADAS-Cog14)</w:t>
            </w:r>
          </w:p>
        </w:tc>
        <w:tc>
          <w:tcPr>
            <w:tcW w:w="0" w:type="auto"/>
          </w:tcPr>
          <w:p w14:paraId="303A38CF" w14:textId="49F4D3D4" w:rsidR="005E1698" w:rsidRDefault="00C52040" w:rsidP="00D05CE0">
            <w:pPr>
              <w:rPr>
                <w:szCs w:val="24"/>
              </w:rPr>
            </w:pPr>
            <w:r>
              <w:rPr>
                <w:szCs w:val="24"/>
              </w:rPr>
              <w:t xml:space="preserve">The ADAS-Cog14 </w:t>
            </w:r>
            <w:r w:rsidR="00EF4E19">
              <w:rPr>
                <w:szCs w:val="24"/>
              </w:rPr>
              <w:t xml:space="preserve">is an instrument designed to </w:t>
            </w:r>
            <w:r w:rsidR="00EE583B">
              <w:rPr>
                <w:szCs w:val="24"/>
              </w:rPr>
              <w:t xml:space="preserve">assess cognitive function in </w:t>
            </w:r>
            <w:r w:rsidR="005C438A">
              <w:rPr>
                <w:szCs w:val="24"/>
              </w:rPr>
              <w:t xml:space="preserve">people with </w:t>
            </w:r>
            <w:r w:rsidR="00EF4E19">
              <w:rPr>
                <w:szCs w:val="24"/>
              </w:rPr>
              <w:t xml:space="preserve">Alzheimer’s disease. </w:t>
            </w:r>
            <w:r w:rsidR="006B1921">
              <w:rPr>
                <w:szCs w:val="24"/>
              </w:rPr>
              <w:t>Domains assessed are memory, language, praxis</w:t>
            </w:r>
            <w:r w:rsidR="00E72985">
              <w:rPr>
                <w:szCs w:val="24"/>
              </w:rPr>
              <w:t xml:space="preserve">, orientation and </w:t>
            </w:r>
            <w:r w:rsidR="009F2155">
              <w:rPr>
                <w:szCs w:val="24"/>
              </w:rPr>
              <w:t>executive type functions.</w:t>
            </w:r>
          </w:p>
          <w:p w14:paraId="55ADCE5D" w14:textId="05AD2F93" w:rsidR="009F2155" w:rsidRDefault="000B1B33" w:rsidP="00D05CE0">
            <w:pPr>
              <w:rPr>
                <w:szCs w:val="24"/>
              </w:rPr>
            </w:pPr>
            <w:r>
              <w:rPr>
                <w:szCs w:val="24"/>
              </w:rPr>
              <w:t xml:space="preserve">The ADAS-Cog14 uses </w:t>
            </w:r>
            <w:r w:rsidR="004E32AA">
              <w:rPr>
                <w:szCs w:val="24"/>
              </w:rPr>
              <w:t xml:space="preserve">scoring system ranging from 0 to </w:t>
            </w:r>
            <w:r>
              <w:rPr>
                <w:szCs w:val="24"/>
              </w:rPr>
              <w:t>90</w:t>
            </w:r>
            <w:r w:rsidR="00565B0A">
              <w:rPr>
                <w:szCs w:val="24"/>
              </w:rPr>
              <w:t xml:space="preserve">, </w:t>
            </w:r>
            <w:r w:rsidR="0061359D">
              <w:rPr>
                <w:szCs w:val="24"/>
              </w:rPr>
              <w:t xml:space="preserve">with </w:t>
            </w:r>
            <w:r w:rsidR="00DA6594">
              <w:rPr>
                <w:szCs w:val="24"/>
              </w:rPr>
              <w:t xml:space="preserve">lower </w:t>
            </w:r>
            <w:r w:rsidR="0061359D">
              <w:rPr>
                <w:szCs w:val="24"/>
              </w:rPr>
              <w:t xml:space="preserve">scores </w:t>
            </w:r>
            <w:r w:rsidR="00565B0A">
              <w:rPr>
                <w:szCs w:val="24"/>
              </w:rPr>
              <w:t>representing</w:t>
            </w:r>
            <w:r w:rsidR="0061359D">
              <w:rPr>
                <w:szCs w:val="24"/>
              </w:rPr>
              <w:t xml:space="preserve"> </w:t>
            </w:r>
            <w:r w:rsidR="00DA6594">
              <w:rPr>
                <w:szCs w:val="24"/>
              </w:rPr>
              <w:t>better</w:t>
            </w:r>
            <w:r w:rsidR="00541F36">
              <w:rPr>
                <w:szCs w:val="24"/>
              </w:rPr>
              <w:t xml:space="preserve"> cognitive function.</w:t>
            </w:r>
          </w:p>
        </w:tc>
      </w:tr>
      <w:tr w:rsidR="005E1698" w14:paraId="408E9125" w14:textId="77777777" w:rsidTr="00EB116E">
        <w:tc>
          <w:tcPr>
            <w:tcW w:w="0" w:type="auto"/>
          </w:tcPr>
          <w:p w14:paraId="31D16FF7" w14:textId="33DA5CCB" w:rsidR="005E1698" w:rsidRDefault="004826EE" w:rsidP="00E56C65">
            <w:pPr>
              <w:rPr>
                <w:szCs w:val="24"/>
              </w:rPr>
            </w:pPr>
            <w:r w:rsidRPr="00D05CE0">
              <w:rPr>
                <w:szCs w:val="24"/>
              </w:rPr>
              <w:t>Alzheimer’s Disease Cooperative Study-Activities of Daily Living Scale for Mild Cognitive Impairment (ADCS MCI-ADL)</w:t>
            </w:r>
          </w:p>
        </w:tc>
        <w:tc>
          <w:tcPr>
            <w:tcW w:w="0" w:type="auto"/>
          </w:tcPr>
          <w:p w14:paraId="3A8ECE91" w14:textId="77777777" w:rsidR="00E02E9D" w:rsidRDefault="005F0491" w:rsidP="00E56C65">
            <w:pPr>
              <w:rPr>
                <w:szCs w:val="24"/>
              </w:rPr>
            </w:pPr>
            <w:r>
              <w:rPr>
                <w:szCs w:val="24"/>
              </w:rPr>
              <w:t>The ADCS MCI-ADL is an instrument designed to assess</w:t>
            </w:r>
            <w:r w:rsidR="002A427D">
              <w:rPr>
                <w:szCs w:val="24"/>
              </w:rPr>
              <w:t xml:space="preserve"> real-world </w:t>
            </w:r>
            <w:r w:rsidR="000C0F00">
              <w:rPr>
                <w:szCs w:val="24"/>
              </w:rPr>
              <w:t xml:space="preserve">functional performance in people with mild cognitive impairment. </w:t>
            </w:r>
            <w:r w:rsidR="001F6432">
              <w:rPr>
                <w:szCs w:val="24"/>
              </w:rPr>
              <w:t xml:space="preserve">Domains assessed relate to cognitive complex daily tasks </w:t>
            </w:r>
            <w:r w:rsidR="006754C1">
              <w:rPr>
                <w:szCs w:val="24"/>
              </w:rPr>
              <w:t xml:space="preserve">such as </w:t>
            </w:r>
            <w:r w:rsidR="00E02E9D">
              <w:rPr>
                <w:szCs w:val="24"/>
              </w:rPr>
              <w:t xml:space="preserve">shopping, </w:t>
            </w:r>
            <w:r w:rsidR="006754C1">
              <w:rPr>
                <w:szCs w:val="24"/>
              </w:rPr>
              <w:t>navigating out of the home</w:t>
            </w:r>
            <w:r w:rsidR="00E02E9D">
              <w:rPr>
                <w:szCs w:val="24"/>
              </w:rPr>
              <w:t xml:space="preserve"> and using household appliances.</w:t>
            </w:r>
          </w:p>
          <w:p w14:paraId="6FB36B3E" w14:textId="3B75648B" w:rsidR="005E1698" w:rsidRDefault="00A15036" w:rsidP="00E56C65">
            <w:pPr>
              <w:rPr>
                <w:szCs w:val="24"/>
              </w:rPr>
            </w:pPr>
            <w:r>
              <w:rPr>
                <w:szCs w:val="24"/>
              </w:rPr>
              <w:lastRenderedPageBreak/>
              <w:t>The ADCS MCI-ADL uses a</w:t>
            </w:r>
            <w:r w:rsidR="004E32AA">
              <w:rPr>
                <w:szCs w:val="24"/>
              </w:rPr>
              <w:t xml:space="preserve"> scoring system </w:t>
            </w:r>
            <w:r w:rsidR="00565B0A">
              <w:rPr>
                <w:szCs w:val="24"/>
              </w:rPr>
              <w:t>ranging</w:t>
            </w:r>
            <w:r w:rsidR="004E32AA">
              <w:rPr>
                <w:szCs w:val="24"/>
              </w:rPr>
              <w:t xml:space="preserve"> from 0 </w:t>
            </w:r>
            <w:r w:rsidR="00565B0A">
              <w:rPr>
                <w:szCs w:val="24"/>
              </w:rPr>
              <w:t>to 5</w:t>
            </w:r>
            <w:r w:rsidR="00CB5E96">
              <w:rPr>
                <w:szCs w:val="24"/>
              </w:rPr>
              <w:t xml:space="preserve">3, with lower scores representing </w:t>
            </w:r>
            <w:r w:rsidR="00EE7904">
              <w:rPr>
                <w:szCs w:val="24"/>
              </w:rPr>
              <w:t xml:space="preserve">greater </w:t>
            </w:r>
            <w:r w:rsidR="00F17B6F">
              <w:rPr>
                <w:szCs w:val="24"/>
              </w:rPr>
              <w:t>impairment.</w:t>
            </w:r>
          </w:p>
        </w:tc>
      </w:tr>
      <w:tr w:rsidR="005E1698" w14:paraId="03BA8480" w14:textId="77777777" w:rsidTr="00EB116E">
        <w:tc>
          <w:tcPr>
            <w:tcW w:w="0" w:type="auto"/>
          </w:tcPr>
          <w:p w14:paraId="38630D69" w14:textId="7CBBE39F" w:rsidR="005E1698" w:rsidRDefault="000F5C38" w:rsidP="00E56C65">
            <w:pPr>
              <w:rPr>
                <w:szCs w:val="24"/>
              </w:rPr>
            </w:pPr>
            <w:r w:rsidRPr="00D05CE0">
              <w:rPr>
                <w:szCs w:val="24"/>
              </w:rPr>
              <w:lastRenderedPageBreak/>
              <w:t>Alzheimer’s Disease Composite Score (ADCOMS)</w:t>
            </w:r>
          </w:p>
        </w:tc>
        <w:tc>
          <w:tcPr>
            <w:tcW w:w="0" w:type="auto"/>
          </w:tcPr>
          <w:p w14:paraId="3BE579B1" w14:textId="77777777" w:rsidR="00E16FDB" w:rsidRDefault="0061510D" w:rsidP="00E56C65">
            <w:pPr>
              <w:rPr>
                <w:szCs w:val="24"/>
              </w:rPr>
            </w:pPr>
            <w:r>
              <w:rPr>
                <w:szCs w:val="24"/>
              </w:rPr>
              <w:t xml:space="preserve">The ADCOMS </w:t>
            </w:r>
            <w:r w:rsidR="0002386A">
              <w:rPr>
                <w:szCs w:val="24"/>
              </w:rPr>
              <w:t xml:space="preserve">is a composite measure </w:t>
            </w:r>
            <w:r w:rsidR="00BB34DB">
              <w:rPr>
                <w:szCs w:val="24"/>
              </w:rPr>
              <w:t>that combines items from the ADAS-Cog</w:t>
            </w:r>
            <w:r w:rsidR="0021347D">
              <w:rPr>
                <w:szCs w:val="24"/>
              </w:rPr>
              <w:t xml:space="preserve"> (4 items)</w:t>
            </w:r>
            <w:r w:rsidR="00BB34DB">
              <w:rPr>
                <w:szCs w:val="24"/>
              </w:rPr>
              <w:t xml:space="preserve">, </w:t>
            </w:r>
            <w:r w:rsidR="00B85B24">
              <w:rPr>
                <w:szCs w:val="24"/>
              </w:rPr>
              <w:t>Mini-Mental State Examination (2 items)</w:t>
            </w:r>
            <w:r w:rsidR="00BB34DB">
              <w:rPr>
                <w:szCs w:val="24"/>
              </w:rPr>
              <w:t xml:space="preserve"> and CDR-SB </w:t>
            </w:r>
            <w:r w:rsidR="00B85B24">
              <w:rPr>
                <w:szCs w:val="24"/>
              </w:rPr>
              <w:t xml:space="preserve">(6 items) </w:t>
            </w:r>
            <w:r w:rsidR="00BB34DB">
              <w:rPr>
                <w:szCs w:val="24"/>
              </w:rPr>
              <w:t>instruments.</w:t>
            </w:r>
            <w:r w:rsidR="003B7F2E">
              <w:rPr>
                <w:szCs w:val="24"/>
              </w:rPr>
              <w:t xml:space="preserve"> The composite measure </w:t>
            </w:r>
            <w:r w:rsidR="002431B8">
              <w:rPr>
                <w:szCs w:val="24"/>
              </w:rPr>
              <w:t>consists of cognitive and functional components from the included instruments</w:t>
            </w:r>
            <w:r w:rsidR="00E16FDB">
              <w:rPr>
                <w:szCs w:val="24"/>
              </w:rPr>
              <w:t>.</w:t>
            </w:r>
          </w:p>
          <w:p w14:paraId="4BF42C83" w14:textId="47A0058A" w:rsidR="005E1698" w:rsidRDefault="00E16FDB" w:rsidP="00E56C65">
            <w:pPr>
              <w:rPr>
                <w:szCs w:val="24"/>
              </w:rPr>
            </w:pPr>
            <w:r>
              <w:rPr>
                <w:szCs w:val="24"/>
              </w:rPr>
              <w:t xml:space="preserve">The ADCOMS uses a scoring system ranging from 0 to 1.97, </w:t>
            </w:r>
            <w:r w:rsidR="00A1699E">
              <w:rPr>
                <w:szCs w:val="24"/>
              </w:rPr>
              <w:t xml:space="preserve">with </w:t>
            </w:r>
            <w:r w:rsidR="0036590D">
              <w:rPr>
                <w:szCs w:val="24"/>
              </w:rPr>
              <w:t xml:space="preserve">lower </w:t>
            </w:r>
            <w:r w:rsidR="00A1699E">
              <w:rPr>
                <w:szCs w:val="24"/>
              </w:rPr>
              <w:t xml:space="preserve">scores representing </w:t>
            </w:r>
            <w:r w:rsidR="00F75BE6">
              <w:rPr>
                <w:szCs w:val="24"/>
              </w:rPr>
              <w:t>lower</w:t>
            </w:r>
            <w:r w:rsidR="00A1699E">
              <w:rPr>
                <w:szCs w:val="24"/>
              </w:rPr>
              <w:t xml:space="preserve"> impairment.</w:t>
            </w:r>
          </w:p>
        </w:tc>
      </w:tr>
      <w:tr w:rsidR="003045AF" w14:paraId="54D93DEF" w14:textId="77777777" w:rsidTr="00EB116E">
        <w:tc>
          <w:tcPr>
            <w:tcW w:w="0" w:type="auto"/>
          </w:tcPr>
          <w:p w14:paraId="7E154350" w14:textId="2FD0F1D4" w:rsidR="003045AF" w:rsidRPr="00D05CE0" w:rsidRDefault="001621BE" w:rsidP="00E56C65">
            <w:pPr>
              <w:rPr>
                <w:szCs w:val="24"/>
              </w:rPr>
            </w:pPr>
            <w:r>
              <w:rPr>
                <w:szCs w:val="24"/>
              </w:rPr>
              <w:t xml:space="preserve">European Quality of </w:t>
            </w:r>
            <w:r w:rsidR="00B704E7">
              <w:rPr>
                <w:szCs w:val="24"/>
              </w:rPr>
              <w:t>Life-5 Dimensions 5 Level (EQ</w:t>
            </w:r>
            <w:r w:rsidR="0063160D">
              <w:rPr>
                <w:szCs w:val="24"/>
              </w:rPr>
              <w:t>-5D-5L)</w:t>
            </w:r>
          </w:p>
        </w:tc>
        <w:tc>
          <w:tcPr>
            <w:tcW w:w="0" w:type="auto"/>
          </w:tcPr>
          <w:p w14:paraId="0C7E5386" w14:textId="77950FD8" w:rsidR="00694270" w:rsidRDefault="0063160D" w:rsidP="00E56C65">
            <w:pPr>
              <w:rPr>
                <w:szCs w:val="24"/>
              </w:rPr>
            </w:pPr>
            <w:r>
              <w:rPr>
                <w:szCs w:val="24"/>
              </w:rPr>
              <w:t>The EQ-5D-5L is a</w:t>
            </w:r>
            <w:r w:rsidR="007251C1">
              <w:rPr>
                <w:szCs w:val="24"/>
              </w:rPr>
              <w:t xml:space="preserve"> universal health-related quality of life instrument. It </w:t>
            </w:r>
            <w:r w:rsidR="00E67963">
              <w:rPr>
                <w:szCs w:val="24"/>
              </w:rPr>
              <w:t xml:space="preserve">includes </w:t>
            </w:r>
            <w:r w:rsidR="003448FB">
              <w:rPr>
                <w:szCs w:val="24"/>
              </w:rPr>
              <w:t>5 dimensions</w:t>
            </w:r>
            <w:r w:rsidR="00694270">
              <w:rPr>
                <w:szCs w:val="24"/>
              </w:rPr>
              <w:t>: mobility, self-care, usual activities, pain/discomfort and anxiety/depression.</w:t>
            </w:r>
            <w:r w:rsidR="00152CA0">
              <w:rPr>
                <w:szCs w:val="24"/>
              </w:rPr>
              <w:t xml:space="preserve"> Each dimension is scored based on 5 </w:t>
            </w:r>
            <w:r w:rsidR="00C565A7">
              <w:rPr>
                <w:szCs w:val="24"/>
              </w:rPr>
              <w:t>levels (1 to 5).</w:t>
            </w:r>
          </w:p>
          <w:p w14:paraId="10C446B5" w14:textId="043C055D" w:rsidR="003045AF" w:rsidRDefault="007633AB" w:rsidP="00CD0BFB">
            <w:pPr>
              <w:rPr>
                <w:szCs w:val="24"/>
              </w:rPr>
            </w:pPr>
            <w:r>
              <w:rPr>
                <w:szCs w:val="24"/>
              </w:rPr>
              <w:t xml:space="preserve">The 5-digit health state reported </w:t>
            </w:r>
            <w:r w:rsidR="00100EDA">
              <w:rPr>
                <w:szCs w:val="24"/>
              </w:rPr>
              <w:t xml:space="preserve">from the EQ-5D-5L instrument may be converted to a </w:t>
            </w:r>
            <w:r w:rsidR="00E73642">
              <w:rPr>
                <w:szCs w:val="24"/>
              </w:rPr>
              <w:t xml:space="preserve">summary </w:t>
            </w:r>
            <w:r w:rsidR="009606FC">
              <w:rPr>
                <w:szCs w:val="24"/>
              </w:rPr>
              <w:t xml:space="preserve">(utility) </w:t>
            </w:r>
            <w:r w:rsidR="00E73642">
              <w:rPr>
                <w:szCs w:val="24"/>
              </w:rPr>
              <w:t>value using various country</w:t>
            </w:r>
            <w:r w:rsidR="009606FC">
              <w:rPr>
                <w:szCs w:val="24"/>
              </w:rPr>
              <w:t>-</w:t>
            </w:r>
            <w:r w:rsidR="00E73642">
              <w:rPr>
                <w:szCs w:val="24"/>
              </w:rPr>
              <w:t>spe</w:t>
            </w:r>
            <w:r w:rsidR="009606FC">
              <w:rPr>
                <w:szCs w:val="24"/>
              </w:rPr>
              <w:t xml:space="preserve">cific value sets. </w:t>
            </w:r>
            <w:r w:rsidR="002E5376">
              <w:rPr>
                <w:szCs w:val="24"/>
              </w:rPr>
              <w:t xml:space="preserve">The utility value uses a scoring system </w:t>
            </w:r>
            <w:r w:rsidR="006A72A2">
              <w:rPr>
                <w:szCs w:val="24"/>
              </w:rPr>
              <w:t>ranging</w:t>
            </w:r>
            <w:r w:rsidR="002E5376">
              <w:rPr>
                <w:szCs w:val="24"/>
              </w:rPr>
              <w:t xml:space="preserve"> from 0 to 1, with lower scores </w:t>
            </w:r>
            <w:r w:rsidR="006A72A2">
              <w:rPr>
                <w:szCs w:val="24"/>
              </w:rPr>
              <w:t>representing poorer quality of life.</w:t>
            </w:r>
          </w:p>
        </w:tc>
      </w:tr>
      <w:tr w:rsidR="006A72A2" w14:paraId="71A0EFE9" w14:textId="77777777" w:rsidTr="00EB116E">
        <w:tc>
          <w:tcPr>
            <w:tcW w:w="0" w:type="auto"/>
          </w:tcPr>
          <w:p w14:paraId="77C2091A" w14:textId="46DBF165" w:rsidR="006A72A2" w:rsidRDefault="003A06C0" w:rsidP="00E56C65">
            <w:pPr>
              <w:rPr>
                <w:szCs w:val="24"/>
              </w:rPr>
            </w:pPr>
            <w:r>
              <w:rPr>
                <w:szCs w:val="24"/>
              </w:rPr>
              <w:t>Quality of Life in Alzheimer’s Disease (QOL-AD)</w:t>
            </w:r>
          </w:p>
        </w:tc>
        <w:tc>
          <w:tcPr>
            <w:tcW w:w="0" w:type="auto"/>
          </w:tcPr>
          <w:p w14:paraId="77719525" w14:textId="233EDC2F" w:rsidR="00764044" w:rsidRDefault="00776317" w:rsidP="00A64106">
            <w:pPr>
              <w:rPr>
                <w:szCs w:val="24"/>
              </w:rPr>
            </w:pPr>
            <w:r>
              <w:rPr>
                <w:szCs w:val="24"/>
              </w:rPr>
              <w:t>The QOL-AD is a health-related quality of life instrument</w:t>
            </w:r>
            <w:r w:rsidR="005B6E6C">
              <w:rPr>
                <w:szCs w:val="24"/>
              </w:rPr>
              <w:t xml:space="preserve"> specific to Alzheimer’s disease. </w:t>
            </w:r>
            <w:r w:rsidR="00E67963">
              <w:rPr>
                <w:szCs w:val="24"/>
              </w:rPr>
              <w:t>It</w:t>
            </w:r>
            <w:r w:rsidR="007D7BDC">
              <w:rPr>
                <w:szCs w:val="24"/>
              </w:rPr>
              <w:t xml:space="preserve"> was designed</w:t>
            </w:r>
            <w:r w:rsidR="0046223F">
              <w:rPr>
                <w:szCs w:val="24"/>
              </w:rPr>
              <w:t xml:space="preserve"> to be used by people with Alzheimer’s disease and their caregivers. The instrument </w:t>
            </w:r>
            <w:r w:rsidR="00A64106">
              <w:rPr>
                <w:szCs w:val="24"/>
              </w:rPr>
              <w:t xml:space="preserve">contains </w:t>
            </w:r>
            <w:r w:rsidR="007D7BDC">
              <w:rPr>
                <w:szCs w:val="24"/>
              </w:rPr>
              <w:t xml:space="preserve">13 </w:t>
            </w:r>
            <w:r w:rsidR="00A64106">
              <w:rPr>
                <w:szCs w:val="24"/>
              </w:rPr>
              <w:t>domains</w:t>
            </w:r>
            <w:r w:rsidR="007D7BDC">
              <w:rPr>
                <w:szCs w:val="24"/>
              </w:rPr>
              <w:t xml:space="preserve"> each rate</w:t>
            </w:r>
            <w:r w:rsidR="00A64106">
              <w:rPr>
                <w:szCs w:val="24"/>
              </w:rPr>
              <w:t xml:space="preserve">d on a </w:t>
            </w:r>
            <w:r w:rsidR="00764044">
              <w:rPr>
                <w:szCs w:val="24"/>
              </w:rPr>
              <w:t>4-point Likert scale.</w:t>
            </w:r>
          </w:p>
          <w:p w14:paraId="69E42D0B" w14:textId="0DA66055" w:rsidR="006A72A2" w:rsidRDefault="00764044" w:rsidP="00A64106">
            <w:pPr>
              <w:rPr>
                <w:szCs w:val="24"/>
              </w:rPr>
            </w:pPr>
            <w:r>
              <w:rPr>
                <w:szCs w:val="24"/>
              </w:rPr>
              <w:t xml:space="preserve">The QOL-AD instrument uses a scoring system ranging from 13 to </w:t>
            </w:r>
            <w:r w:rsidR="000D6AE0">
              <w:rPr>
                <w:szCs w:val="24"/>
              </w:rPr>
              <w:t>52</w:t>
            </w:r>
            <w:r>
              <w:rPr>
                <w:szCs w:val="24"/>
              </w:rPr>
              <w:t xml:space="preserve">, with </w:t>
            </w:r>
            <w:r w:rsidR="000D6AE0">
              <w:rPr>
                <w:szCs w:val="24"/>
              </w:rPr>
              <w:t xml:space="preserve">lower scores </w:t>
            </w:r>
            <w:r>
              <w:rPr>
                <w:szCs w:val="24"/>
              </w:rPr>
              <w:t xml:space="preserve">representing </w:t>
            </w:r>
            <w:r w:rsidR="000D6AE0">
              <w:rPr>
                <w:szCs w:val="24"/>
              </w:rPr>
              <w:t>poorer quality of life</w:t>
            </w:r>
          </w:p>
        </w:tc>
      </w:tr>
      <w:tr w:rsidR="00B72204" w14:paraId="26583ABE" w14:textId="77777777" w:rsidTr="00EB116E">
        <w:tc>
          <w:tcPr>
            <w:tcW w:w="0" w:type="auto"/>
          </w:tcPr>
          <w:p w14:paraId="70837705" w14:textId="0C9D61CC" w:rsidR="00B72204" w:rsidRDefault="00BB0755" w:rsidP="00E56C65">
            <w:pPr>
              <w:rPr>
                <w:szCs w:val="24"/>
              </w:rPr>
            </w:pPr>
            <w:r>
              <w:rPr>
                <w:szCs w:val="24"/>
              </w:rPr>
              <w:t>Zarit Burden Interview (ZBI)</w:t>
            </w:r>
          </w:p>
        </w:tc>
        <w:tc>
          <w:tcPr>
            <w:tcW w:w="0" w:type="auto"/>
          </w:tcPr>
          <w:p w14:paraId="17EE124B" w14:textId="2087B288" w:rsidR="00B72204" w:rsidRDefault="00383C7D" w:rsidP="00A64106">
            <w:pPr>
              <w:rPr>
                <w:szCs w:val="24"/>
              </w:rPr>
            </w:pPr>
            <w:r>
              <w:rPr>
                <w:szCs w:val="24"/>
              </w:rPr>
              <w:t xml:space="preserve">The ZBI </w:t>
            </w:r>
            <w:r w:rsidR="0003109C">
              <w:rPr>
                <w:szCs w:val="24"/>
              </w:rPr>
              <w:t xml:space="preserve">is an instrument </w:t>
            </w:r>
            <w:r w:rsidR="00B87CD9">
              <w:rPr>
                <w:szCs w:val="24"/>
              </w:rPr>
              <w:t xml:space="preserve">designed </w:t>
            </w:r>
            <w:r w:rsidR="00164913">
              <w:rPr>
                <w:szCs w:val="24"/>
              </w:rPr>
              <w:t xml:space="preserve">to assess </w:t>
            </w:r>
            <w:r w:rsidR="009C6B11">
              <w:rPr>
                <w:szCs w:val="24"/>
              </w:rPr>
              <w:t xml:space="preserve">caregiver burden. </w:t>
            </w:r>
            <w:r w:rsidR="00D53171">
              <w:rPr>
                <w:szCs w:val="24"/>
              </w:rPr>
              <w:t xml:space="preserve">It was completed by caregivers of people enrolled in the CLARITY AD trial. </w:t>
            </w:r>
            <w:r w:rsidR="009967BC">
              <w:rPr>
                <w:szCs w:val="24"/>
              </w:rPr>
              <w:t xml:space="preserve">The revised version of the </w:t>
            </w:r>
            <w:r w:rsidR="002854A4">
              <w:rPr>
                <w:szCs w:val="24"/>
              </w:rPr>
              <w:t xml:space="preserve">ZBI includes 22 items </w:t>
            </w:r>
            <w:r w:rsidR="00D302DF">
              <w:rPr>
                <w:szCs w:val="24"/>
              </w:rPr>
              <w:t xml:space="preserve">each rated on a </w:t>
            </w:r>
            <w:proofErr w:type="gramStart"/>
            <w:r w:rsidR="00D302DF">
              <w:rPr>
                <w:szCs w:val="24"/>
              </w:rPr>
              <w:t>5 point</w:t>
            </w:r>
            <w:proofErr w:type="gramEnd"/>
            <w:r w:rsidR="00D302DF">
              <w:rPr>
                <w:szCs w:val="24"/>
              </w:rPr>
              <w:t xml:space="preserve"> scale (0</w:t>
            </w:r>
            <w:r w:rsidR="00893C8B">
              <w:rPr>
                <w:szCs w:val="24"/>
              </w:rPr>
              <w:t>-4).</w:t>
            </w:r>
          </w:p>
          <w:p w14:paraId="7E79EBCE" w14:textId="73E7FAD6" w:rsidR="00D53171" w:rsidRDefault="00CD0BFB" w:rsidP="009D4BB4">
            <w:pPr>
              <w:rPr>
                <w:szCs w:val="24"/>
              </w:rPr>
            </w:pPr>
            <w:r>
              <w:rPr>
                <w:szCs w:val="24"/>
              </w:rPr>
              <w:t>The 22 item ZBI</w:t>
            </w:r>
            <w:r w:rsidR="0005305A">
              <w:rPr>
                <w:szCs w:val="24"/>
              </w:rPr>
              <w:t xml:space="preserve"> uses a scoring system ranging from 0 to 88</w:t>
            </w:r>
            <w:r w:rsidR="009D4BB4">
              <w:rPr>
                <w:szCs w:val="24"/>
              </w:rPr>
              <w:t>, with lower scores representing lower caregiver burden.</w:t>
            </w:r>
          </w:p>
        </w:tc>
      </w:tr>
      <w:tr w:rsidR="005E1698" w14:paraId="77951FC8" w14:textId="77777777" w:rsidTr="00EB116E">
        <w:tc>
          <w:tcPr>
            <w:tcW w:w="0" w:type="auto"/>
          </w:tcPr>
          <w:p w14:paraId="77230EC7" w14:textId="61DB3DF8" w:rsidR="005E1698" w:rsidRDefault="00143DDD" w:rsidP="00E56C65">
            <w:pPr>
              <w:rPr>
                <w:szCs w:val="24"/>
              </w:rPr>
            </w:pPr>
            <w:r>
              <w:rPr>
                <w:szCs w:val="24"/>
              </w:rPr>
              <w:t>Brain amyloid level</w:t>
            </w:r>
            <w:r w:rsidR="009E6335">
              <w:rPr>
                <w:szCs w:val="24"/>
              </w:rPr>
              <w:t xml:space="preserve">s </w:t>
            </w:r>
            <w:r w:rsidR="00DE3817">
              <w:rPr>
                <w:szCs w:val="24"/>
              </w:rPr>
              <w:t xml:space="preserve">measured by amyloid PET </w:t>
            </w:r>
            <w:proofErr w:type="spellStart"/>
            <w:r w:rsidR="008A1D8F">
              <w:rPr>
                <w:szCs w:val="24"/>
              </w:rPr>
              <w:t>c</w:t>
            </w:r>
            <w:r w:rsidR="00DE3817">
              <w:rPr>
                <w:szCs w:val="24"/>
              </w:rPr>
              <w:t>entiloids</w:t>
            </w:r>
            <w:proofErr w:type="spellEnd"/>
          </w:p>
        </w:tc>
        <w:tc>
          <w:tcPr>
            <w:tcW w:w="0" w:type="auto"/>
          </w:tcPr>
          <w:p w14:paraId="323823AE" w14:textId="77777777" w:rsidR="005E1698" w:rsidRDefault="006D6810" w:rsidP="00E56C65">
            <w:pPr>
              <w:rPr>
                <w:szCs w:val="24"/>
              </w:rPr>
            </w:pPr>
            <w:r>
              <w:rPr>
                <w:szCs w:val="24"/>
              </w:rPr>
              <w:t xml:space="preserve">The </w:t>
            </w:r>
            <w:proofErr w:type="spellStart"/>
            <w:r>
              <w:rPr>
                <w:szCs w:val="24"/>
              </w:rPr>
              <w:t>centiloid</w:t>
            </w:r>
            <w:proofErr w:type="spellEnd"/>
            <w:r>
              <w:rPr>
                <w:szCs w:val="24"/>
              </w:rPr>
              <w:t xml:space="preserve"> scale</w:t>
            </w:r>
            <w:r w:rsidR="00364E86">
              <w:rPr>
                <w:szCs w:val="24"/>
              </w:rPr>
              <w:t xml:space="preserve"> is a standardised metric allowing PET results from difference tracers, scanners and an</w:t>
            </w:r>
            <w:r w:rsidR="00E07684">
              <w:rPr>
                <w:szCs w:val="24"/>
              </w:rPr>
              <w:t>alysis methods to be expressed on a common scale</w:t>
            </w:r>
            <w:r w:rsidR="004938FF">
              <w:rPr>
                <w:szCs w:val="24"/>
              </w:rPr>
              <w:t>.</w:t>
            </w:r>
          </w:p>
          <w:p w14:paraId="3300F573" w14:textId="77B2D338" w:rsidR="004938FF" w:rsidRDefault="008A1D8F" w:rsidP="0040264A">
            <w:pPr>
              <w:rPr>
                <w:szCs w:val="24"/>
              </w:rPr>
            </w:pPr>
            <w:r>
              <w:rPr>
                <w:szCs w:val="24"/>
              </w:rPr>
              <w:t xml:space="preserve">The amyloid PET </w:t>
            </w:r>
            <w:proofErr w:type="spellStart"/>
            <w:r>
              <w:rPr>
                <w:szCs w:val="24"/>
              </w:rPr>
              <w:t>centiloids</w:t>
            </w:r>
            <w:proofErr w:type="spellEnd"/>
            <w:r>
              <w:rPr>
                <w:szCs w:val="24"/>
              </w:rPr>
              <w:t xml:space="preserve"> scale </w:t>
            </w:r>
            <w:r w:rsidR="00B207A8">
              <w:rPr>
                <w:szCs w:val="24"/>
              </w:rPr>
              <w:t xml:space="preserve">uses </w:t>
            </w:r>
            <w:r w:rsidR="00D976BA">
              <w:rPr>
                <w:szCs w:val="24"/>
              </w:rPr>
              <w:t>two anchor points: 0 and 100</w:t>
            </w:r>
            <w:r w:rsidR="00493610">
              <w:rPr>
                <w:szCs w:val="24"/>
              </w:rPr>
              <w:t xml:space="preserve">. </w:t>
            </w:r>
            <w:r w:rsidR="0040264A">
              <w:rPr>
                <w:szCs w:val="24"/>
              </w:rPr>
              <w:t xml:space="preserve">Higher </w:t>
            </w:r>
            <w:proofErr w:type="spellStart"/>
            <w:r w:rsidR="00D05CE0">
              <w:rPr>
                <w:szCs w:val="24"/>
              </w:rPr>
              <w:t>centiloid</w:t>
            </w:r>
            <w:proofErr w:type="spellEnd"/>
            <w:r w:rsidR="00D05CE0">
              <w:rPr>
                <w:szCs w:val="24"/>
              </w:rPr>
              <w:t xml:space="preserve"> levels represent higher amyloid burden.</w:t>
            </w:r>
          </w:p>
        </w:tc>
      </w:tr>
    </w:tbl>
    <w:p w14:paraId="69ABD1A6" w14:textId="77777777" w:rsidR="002A0B17" w:rsidRDefault="002A0B17" w:rsidP="00E56C65">
      <w:pPr>
        <w:rPr>
          <w:szCs w:val="24"/>
        </w:rPr>
      </w:pPr>
    </w:p>
    <w:p w14:paraId="043FE556" w14:textId="141218F2" w:rsidR="004B5C37" w:rsidRDefault="004B5C37" w:rsidP="00E56C65">
      <w:pPr>
        <w:rPr>
          <w:szCs w:val="24"/>
        </w:rPr>
      </w:pPr>
      <w:r w:rsidRPr="00E6601B">
        <w:rPr>
          <w:b/>
          <w:bCs/>
          <w:szCs w:val="24"/>
        </w:rPr>
        <w:lastRenderedPageBreak/>
        <w:t>Safety outcomes</w:t>
      </w:r>
      <w:r w:rsidR="006F625F" w:rsidRPr="00E6601B">
        <w:rPr>
          <w:b/>
          <w:bCs/>
          <w:szCs w:val="24"/>
        </w:rPr>
        <w:t>:</w:t>
      </w:r>
      <w:r w:rsidR="006F625F" w:rsidRPr="004277C5">
        <w:rPr>
          <w:i/>
          <w:iCs/>
          <w:szCs w:val="24"/>
        </w:rPr>
        <w:t xml:space="preserve"> </w:t>
      </w:r>
      <w:r w:rsidR="00D82E2D" w:rsidRPr="00847120">
        <w:rPr>
          <w:szCs w:val="24"/>
        </w:rPr>
        <w:t>Per PBAC Guidelines t</w:t>
      </w:r>
      <w:r w:rsidR="004277C5">
        <w:rPr>
          <w:szCs w:val="24"/>
        </w:rPr>
        <w:t xml:space="preserve">he safety </w:t>
      </w:r>
      <w:r w:rsidR="00D82E2D">
        <w:rPr>
          <w:szCs w:val="24"/>
        </w:rPr>
        <w:t xml:space="preserve">outcomes </w:t>
      </w:r>
      <w:r w:rsidR="007C7CBF">
        <w:rPr>
          <w:szCs w:val="24"/>
        </w:rPr>
        <w:t>to be report</w:t>
      </w:r>
      <w:r w:rsidR="00D82E2D">
        <w:rPr>
          <w:szCs w:val="24"/>
        </w:rPr>
        <w:t>ed</w:t>
      </w:r>
      <w:r w:rsidR="00F56DC2">
        <w:rPr>
          <w:szCs w:val="24"/>
        </w:rPr>
        <w:t xml:space="preserve"> in a reimbursement submission for </w:t>
      </w:r>
      <w:proofErr w:type="spellStart"/>
      <w:r w:rsidR="00F56DC2">
        <w:rPr>
          <w:szCs w:val="24"/>
        </w:rPr>
        <w:t>lecanemab</w:t>
      </w:r>
      <w:proofErr w:type="spellEnd"/>
      <w:r w:rsidR="00F56DC2">
        <w:rPr>
          <w:szCs w:val="24"/>
        </w:rPr>
        <w:t xml:space="preserve"> are:</w:t>
      </w:r>
    </w:p>
    <w:p w14:paraId="4A70337A" w14:textId="01CB1834" w:rsidR="00F56DC2" w:rsidRDefault="00F56DC2" w:rsidP="00F56DC2">
      <w:pPr>
        <w:pStyle w:val="ListParagraph"/>
        <w:numPr>
          <w:ilvl w:val="0"/>
          <w:numId w:val="7"/>
        </w:numPr>
        <w:rPr>
          <w:szCs w:val="24"/>
        </w:rPr>
      </w:pPr>
      <w:r>
        <w:rPr>
          <w:szCs w:val="24"/>
        </w:rPr>
        <w:t>Any adverse event</w:t>
      </w:r>
    </w:p>
    <w:p w14:paraId="3F06B375" w14:textId="04EA436D" w:rsidR="00F56DC2" w:rsidRDefault="00F56DC2" w:rsidP="00F56DC2">
      <w:pPr>
        <w:pStyle w:val="ListParagraph"/>
        <w:numPr>
          <w:ilvl w:val="0"/>
          <w:numId w:val="7"/>
        </w:numPr>
        <w:rPr>
          <w:szCs w:val="24"/>
        </w:rPr>
      </w:pPr>
      <w:r>
        <w:rPr>
          <w:szCs w:val="24"/>
        </w:rPr>
        <w:t>An</w:t>
      </w:r>
      <w:r w:rsidR="00736797">
        <w:rPr>
          <w:szCs w:val="24"/>
        </w:rPr>
        <w:t>y adverse event resulting in discontinuation of the randomised treatment</w:t>
      </w:r>
    </w:p>
    <w:p w14:paraId="167A55EE" w14:textId="5E23260C" w:rsidR="003E2DCC" w:rsidRDefault="003E2DCC" w:rsidP="00F56DC2">
      <w:pPr>
        <w:pStyle w:val="ListParagraph"/>
        <w:numPr>
          <w:ilvl w:val="0"/>
          <w:numId w:val="7"/>
        </w:numPr>
        <w:rPr>
          <w:szCs w:val="24"/>
        </w:rPr>
      </w:pPr>
      <w:r>
        <w:rPr>
          <w:szCs w:val="24"/>
        </w:rPr>
        <w:t>Any serious adverse event</w:t>
      </w:r>
    </w:p>
    <w:p w14:paraId="55580724" w14:textId="36ED5ED3" w:rsidR="003E2DCC" w:rsidRDefault="003E2DCC" w:rsidP="00F56DC2">
      <w:pPr>
        <w:pStyle w:val="ListParagraph"/>
        <w:numPr>
          <w:ilvl w:val="0"/>
          <w:numId w:val="7"/>
        </w:numPr>
        <w:rPr>
          <w:szCs w:val="24"/>
        </w:rPr>
      </w:pPr>
      <w:r>
        <w:rPr>
          <w:szCs w:val="24"/>
        </w:rPr>
        <w:t>Any adverse event resulting in death</w:t>
      </w:r>
    </w:p>
    <w:p w14:paraId="6E17471B" w14:textId="206DF344" w:rsidR="00A11DEB" w:rsidRDefault="003E2DCC" w:rsidP="00470BE2">
      <w:pPr>
        <w:pStyle w:val="ListParagraph"/>
        <w:numPr>
          <w:ilvl w:val="0"/>
          <w:numId w:val="7"/>
        </w:numPr>
        <w:rPr>
          <w:szCs w:val="24"/>
        </w:rPr>
      </w:pPr>
      <w:proofErr w:type="gramStart"/>
      <w:r>
        <w:rPr>
          <w:szCs w:val="24"/>
        </w:rPr>
        <w:t>Each and every</w:t>
      </w:r>
      <w:proofErr w:type="gramEnd"/>
      <w:r w:rsidR="009A7997">
        <w:rPr>
          <w:szCs w:val="24"/>
        </w:rPr>
        <w:t xml:space="preserve"> other type of adverse event where the frequency or severity differs across groups</w:t>
      </w:r>
      <w:r w:rsidR="00470BE2">
        <w:rPr>
          <w:szCs w:val="24"/>
        </w:rPr>
        <w:t>, e.g. ARIA events</w:t>
      </w:r>
      <w:r w:rsidR="00847120">
        <w:rPr>
          <w:szCs w:val="24"/>
        </w:rPr>
        <w:t xml:space="preserve"> and infusion-related</w:t>
      </w:r>
      <w:r w:rsidR="00A11DEB">
        <w:rPr>
          <w:szCs w:val="24"/>
        </w:rPr>
        <w:t xml:space="preserve"> reactions</w:t>
      </w:r>
    </w:p>
    <w:p w14:paraId="51234613" w14:textId="244CDB64" w:rsidR="00566CF9" w:rsidRPr="00A84BCA" w:rsidRDefault="00566CF9" w:rsidP="00EA0AA0">
      <w:pPr>
        <w:pStyle w:val="Heading1"/>
        <w:rPr>
          <w:color w:val="002060"/>
        </w:rPr>
      </w:pPr>
      <w:r w:rsidRPr="00A84BCA">
        <w:rPr>
          <w:color w:val="002060"/>
        </w:rPr>
        <w:t>Proposed MBS items</w:t>
      </w:r>
    </w:p>
    <w:p w14:paraId="65E4A37C" w14:textId="17B967C3" w:rsidR="009C0554" w:rsidRPr="00D163F8" w:rsidRDefault="009C0554" w:rsidP="00D163F8">
      <w:pPr>
        <w:rPr>
          <w:b/>
          <w:bCs/>
          <w:szCs w:val="24"/>
        </w:rPr>
      </w:pPr>
      <w:r w:rsidRPr="00D163F8">
        <w:rPr>
          <w:b/>
          <w:bCs/>
          <w:szCs w:val="24"/>
        </w:rPr>
        <w:t>How is the technology/service funded at present? (</w:t>
      </w:r>
      <w:r w:rsidR="00EA0AA0" w:rsidRPr="00D163F8">
        <w:rPr>
          <w:b/>
          <w:bCs/>
          <w:szCs w:val="24"/>
        </w:rPr>
        <w:t>e.g.,</w:t>
      </w:r>
      <w:r w:rsidRPr="00D163F8">
        <w:rPr>
          <w:b/>
          <w:bCs/>
          <w:szCs w:val="24"/>
        </w:rPr>
        <w:t xml:space="preserve"> research funding; State-based funding; self-funded by patients; no funding or payments): </w:t>
      </w:r>
    </w:p>
    <w:p w14:paraId="212E410A" w14:textId="4E59DC19" w:rsidR="009C0554" w:rsidRPr="0089269F" w:rsidRDefault="00FF2EF7" w:rsidP="00BC0C43">
      <w:pPr>
        <w:rPr>
          <w:rFonts w:eastAsia="Segoe UI"/>
          <w:color w:val="000000"/>
          <w:szCs w:val="24"/>
        </w:rPr>
      </w:pPr>
      <w:r>
        <w:rPr>
          <w:szCs w:val="24"/>
        </w:rPr>
        <w:t xml:space="preserve">Since obtaining TGA approval </w:t>
      </w:r>
      <w:proofErr w:type="spellStart"/>
      <w:r>
        <w:rPr>
          <w:szCs w:val="24"/>
        </w:rPr>
        <w:t>lecanemab</w:t>
      </w:r>
      <w:proofErr w:type="spellEnd"/>
      <w:r>
        <w:rPr>
          <w:szCs w:val="24"/>
        </w:rPr>
        <w:t xml:space="preserve"> </w:t>
      </w:r>
      <w:r w:rsidR="00AB09E9">
        <w:rPr>
          <w:szCs w:val="24"/>
        </w:rPr>
        <w:t xml:space="preserve">treatment </w:t>
      </w:r>
      <w:r w:rsidR="00F86B12">
        <w:rPr>
          <w:szCs w:val="24"/>
        </w:rPr>
        <w:t xml:space="preserve">and </w:t>
      </w:r>
      <w:r w:rsidR="0069382E">
        <w:rPr>
          <w:szCs w:val="24"/>
        </w:rPr>
        <w:t xml:space="preserve">the </w:t>
      </w:r>
      <w:r w:rsidR="00F86B12">
        <w:rPr>
          <w:szCs w:val="24"/>
        </w:rPr>
        <w:t>investi</w:t>
      </w:r>
      <w:r w:rsidR="0069382E">
        <w:rPr>
          <w:szCs w:val="24"/>
        </w:rPr>
        <w:t>gations supporting its use are being self-funded.</w:t>
      </w:r>
    </w:p>
    <w:p w14:paraId="3F158DED" w14:textId="4BBC3275" w:rsidR="00361BBE" w:rsidRPr="00D163F8" w:rsidRDefault="00EA0AA0" w:rsidP="00D163F8">
      <w:pPr>
        <w:rPr>
          <w:b/>
          <w:bCs/>
          <w:szCs w:val="24"/>
        </w:rPr>
      </w:pPr>
      <w:r w:rsidRPr="00D163F8">
        <w:rPr>
          <w:b/>
          <w:bCs/>
          <w:szCs w:val="24"/>
        </w:rPr>
        <w:t>P</w:t>
      </w:r>
      <w:r w:rsidR="00566CF9" w:rsidRPr="00D163F8">
        <w:rPr>
          <w:b/>
          <w:bCs/>
          <w:szCs w:val="24"/>
        </w:rPr>
        <w:t xml:space="preserve">rovide at least one proposed item with their descriptor and associated costs, for each </w:t>
      </w:r>
      <w:r w:rsidRPr="00D163F8">
        <w:rPr>
          <w:b/>
          <w:bCs/>
          <w:szCs w:val="24"/>
        </w:rPr>
        <w:t>P</w:t>
      </w:r>
      <w:r w:rsidR="00566CF9" w:rsidRPr="00D163F8">
        <w:rPr>
          <w:b/>
          <w:bCs/>
          <w:szCs w:val="24"/>
        </w:rPr>
        <w:t>opulation/Intervention:</w:t>
      </w:r>
    </w:p>
    <w:p w14:paraId="1A85854C" w14:textId="77777777" w:rsidR="005C3A71" w:rsidRPr="002437CD" w:rsidRDefault="008F4B1D" w:rsidP="002437CD">
      <w:pPr>
        <w:rPr>
          <w:szCs w:val="24"/>
        </w:rPr>
      </w:pPr>
      <w:r w:rsidRPr="002437CD">
        <w:rPr>
          <w:szCs w:val="24"/>
        </w:rPr>
        <w:t xml:space="preserve">The MBS item descriptors outlined in the PSD for MSAC Application 1784 (donanemab) are considered suitable </w:t>
      </w:r>
      <w:r w:rsidR="00C21710" w:rsidRPr="002437CD">
        <w:rPr>
          <w:szCs w:val="24"/>
        </w:rPr>
        <w:t xml:space="preserve">to fund the investigations associated with the use of </w:t>
      </w:r>
      <w:proofErr w:type="spellStart"/>
      <w:r w:rsidR="00C21710" w:rsidRPr="002437CD">
        <w:rPr>
          <w:szCs w:val="24"/>
        </w:rPr>
        <w:t>lecanemab</w:t>
      </w:r>
      <w:proofErr w:type="spellEnd"/>
      <w:r w:rsidR="00C21710" w:rsidRPr="002437CD">
        <w:rPr>
          <w:szCs w:val="24"/>
        </w:rPr>
        <w:t xml:space="preserve"> treatment</w:t>
      </w:r>
      <w:r w:rsidR="005C3A71" w:rsidRPr="002437CD">
        <w:rPr>
          <w:szCs w:val="24"/>
        </w:rPr>
        <w:t>.</w:t>
      </w:r>
    </w:p>
    <w:p w14:paraId="16D0D4A3" w14:textId="42E1B0D6" w:rsidR="003321A5" w:rsidRPr="002437CD" w:rsidRDefault="005C3A71" w:rsidP="002437CD">
      <w:pPr>
        <w:rPr>
          <w:szCs w:val="24"/>
        </w:rPr>
      </w:pPr>
      <w:r w:rsidRPr="002437CD">
        <w:rPr>
          <w:szCs w:val="24"/>
        </w:rPr>
        <w:t>The MBS items descriptors provided below are based on the</w:t>
      </w:r>
      <w:r w:rsidR="002E4460" w:rsidRPr="002437CD">
        <w:rPr>
          <w:szCs w:val="24"/>
        </w:rPr>
        <w:t xml:space="preserve"> MBS item descriptors </w:t>
      </w:r>
      <w:r w:rsidR="00924996" w:rsidRPr="002437CD">
        <w:rPr>
          <w:szCs w:val="24"/>
        </w:rPr>
        <w:t>(with suggested amendments by the Department) outlined in the PSD for MSAC Application 1784</w:t>
      </w:r>
      <w:r w:rsidR="00E81166">
        <w:rPr>
          <w:szCs w:val="24"/>
        </w:rPr>
        <w:t xml:space="preserve">, with minor amendments to ensure consistency in terminology </w:t>
      </w:r>
      <w:r w:rsidR="00D54CFC">
        <w:rPr>
          <w:szCs w:val="24"/>
        </w:rPr>
        <w:t xml:space="preserve">used </w:t>
      </w:r>
      <w:r w:rsidR="00E81166">
        <w:rPr>
          <w:szCs w:val="24"/>
        </w:rPr>
        <w:t>across the item descriptors.</w:t>
      </w:r>
    </w:p>
    <w:p w14:paraId="17C1E836" w14:textId="260CDCED" w:rsidR="00836A15" w:rsidRPr="00AB185C" w:rsidRDefault="00AF2939" w:rsidP="00AB185C">
      <w:pPr>
        <w:rPr>
          <w:b/>
          <w:bCs/>
          <w:szCs w:val="24"/>
        </w:rPr>
      </w:pPr>
      <w:proofErr w:type="spellStart"/>
      <w:r w:rsidRPr="00AB185C">
        <w:rPr>
          <w:b/>
          <w:bCs/>
          <w:szCs w:val="24"/>
        </w:rPr>
        <w:t>ApoE</w:t>
      </w:r>
      <w:proofErr w:type="spellEnd"/>
      <w:r w:rsidRPr="00AB185C">
        <w:rPr>
          <w:b/>
          <w:bCs/>
          <w:szCs w:val="24"/>
        </w:rPr>
        <w:t xml:space="preserve"> ε4 genotype testing</w:t>
      </w:r>
    </w:p>
    <w:tbl>
      <w:tblPr>
        <w:tblStyle w:val="TableGrid"/>
        <w:tblW w:w="0" w:type="auto"/>
        <w:tblLook w:val="04A0" w:firstRow="1" w:lastRow="0" w:firstColumn="1" w:lastColumn="0" w:noHBand="0" w:noVBand="1"/>
      </w:tblPr>
      <w:tblGrid>
        <w:gridCol w:w="3256"/>
        <w:gridCol w:w="6209"/>
      </w:tblGrid>
      <w:tr w:rsidR="00A05B4D" w:rsidRPr="0089269F" w14:paraId="28C30EF6" w14:textId="77777777" w:rsidTr="00A05B4D">
        <w:tc>
          <w:tcPr>
            <w:tcW w:w="3256" w:type="dxa"/>
          </w:tcPr>
          <w:p w14:paraId="6164541B" w14:textId="67698528" w:rsidR="00A05B4D" w:rsidRPr="0089269F" w:rsidRDefault="00A05B4D" w:rsidP="00BC0C43">
            <w:pPr>
              <w:rPr>
                <w:szCs w:val="24"/>
              </w:rPr>
            </w:pPr>
            <w:bookmarkStart w:id="5" w:name="_Hlk121232719"/>
            <w:r w:rsidRPr="0089269F">
              <w:rPr>
                <w:szCs w:val="24"/>
              </w:rPr>
              <w:t>Category number</w:t>
            </w:r>
          </w:p>
        </w:tc>
        <w:tc>
          <w:tcPr>
            <w:tcW w:w="6209" w:type="dxa"/>
          </w:tcPr>
          <w:p w14:paraId="60FB6E4B" w14:textId="6124EE4F" w:rsidR="00A05B4D" w:rsidRPr="0089269F" w:rsidRDefault="002D0C86" w:rsidP="00BC0C43">
            <w:pPr>
              <w:rPr>
                <w:szCs w:val="24"/>
              </w:rPr>
            </w:pPr>
            <w:r>
              <w:rPr>
                <w:szCs w:val="24"/>
              </w:rPr>
              <w:t>6</w:t>
            </w:r>
          </w:p>
        </w:tc>
      </w:tr>
      <w:tr w:rsidR="00A05B4D" w:rsidRPr="0089269F" w14:paraId="27CB821A" w14:textId="77777777" w:rsidTr="00A05B4D">
        <w:tc>
          <w:tcPr>
            <w:tcW w:w="3256" w:type="dxa"/>
          </w:tcPr>
          <w:p w14:paraId="5E21B36E" w14:textId="39749155" w:rsidR="00A05B4D" w:rsidRPr="0089269F" w:rsidRDefault="00A05B4D" w:rsidP="00BC0C43">
            <w:pPr>
              <w:rPr>
                <w:szCs w:val="24"/>
              </w:rPr>
            </w:pPr>
            <w:r w:rsidRPr="0089269F">
              <w:rPr>
                <w:szCs w:val="24"/>
              </w:rPr>
              <w:t>Category description</w:t>
            </w:r>
          </w:p>
        </w:tc>
        <w:tc>
          <w:tcPr>
            <w:tcW w:w="6209" w:type="dxa"/>
          </w:tcPr>
          <w:p w14:paraId="4DED686A" w14:textId="113E59FD" w:rsidR="00A05B4D" w:rsidRPr="0089269F" w:rsidRDefault="002D0C86" w:rsidP="00BC0C43">
            <w:pPr>
              <w:rPr>
                <w:szCs w:val="24"/>
              </w:rPr>
            </w:pPr>
            <w:r>
              <w:rPr>
                <w:szCs w:val="24"/>
              </w:rPr>
              <w:t>Pathology services</w:t>
            </w:r>
          </w:p>
        </w:tc>
      </w:tr>
      <w:tr w:rsidR="00A05B4D" w:rsidRPr="0089269F" w14:paraId="7AF5F341" w14:textId="77777777" w:rsidTr="00A05B4D">
        <w:tc>
          <w:tcPr>
            <w:tcW w:w="3256" w:type="dxa"/>
          </w:tcPr>
          <w:p w14:paraId="454ADFE2" w14:textId="5F0060E6" w:rsidR="00A05B4D" w:rsidRPr="0089269F" w:rsidRDefault="00A05B4D" w:rsidP="00BC0C43">
            <w:pPr>
              <w:rPr>
                <w:szCs w:val="24"/>
              </w:rPr>
            </w:pPr>
            <w:r w:rsidRPr="0089269F">
              <w:rPr>
                <w:szCs w:val="24"/>
              </w:rPr>
              <w:t>Proposed item descriptor</w:t>
            </w:r>
          </w:p>
        </w:tc>
        <w:tc>
          <w:tcPr>
            <w:tcW w:w="6209" w:type="dxa"/>
          </w:tcPr>
          <w:p w14:paraId="647BC308" w14:textId="392000CB" w:rsidR="00A05B4D" w:rsidRPr="00525EAD" w:rsidRDefault="00525EAD" w:rsidP="00483883">
            <w:pPr>
              <w:rPr>
                <w:sz w:val="18"/>
              </w:rPr>
            </w:pPr>
            <w:r w:rsidRPr="00483883">
              <w:rPr>
                <w:szCs w:val="24"/>
              </w:rPr>
              <w:t xml:space="preserve">Genetic testing to determine apolipoprotein E ԑ4 (APOE ԑ4) genotype as requested by a specialist or consultant physician for patients with </w:t>
            </w:r>
            <w:r w:rsidR="0067162C">
              <w:rPr>
                <w:szCs w:val="24"/>
              </w:rPr>
              <w:t xml:space="preserve">a clinical diagnosis of </w:t>
            </w:r>
            <w:r w:rsidRPr="00483883">
              <w:rPr>
                <w:szCs w:val="24"/>
              </w:rPr>
              <w:t>Mild Cognitive Impairment (MCI) due to Alzheimer disease or Mild Alzheimer dementia to determine eligibility for a relevant treatment under the Pharmaceutical Benefits Scheme.</w:t>
            </w:r>
          </w:p>
        </w:tc>
      </w:tr>
      <w:tr w:rsidR="00A05B4D" w:rsidRPr="0089269F" w14:paraId="2C0CA02D" w14:textId="77777777" w:rsidTr="00A05B4D">
        <w:tc>
          <w:tcPr>
            <w:tcW w:w="3256" w:type="dxa"/>
          </w:tcPr>
          <w:p w14:paraId="4881ED4A" w14:textId="6F25EF4B" w:rsidR="00A05B4D" w:rsidRPr="0089269F" w:rsidRDefault="00A05B4D" w:rsidP="00BC0C43">
            <w:pPr>
              <w:rPr>
                <w:szCs w:val="24"/>
              </w:rPr>
            </w:pPr>
            <w:r w:rsidRPr="0089269F">
              <w:rPr>
                <w:szCs w:val="24"/>
              </w:rPr>
              <w:t>Proposed MBS fee</w:t>
            </w:r>
          </w:p>
        </w:tc>
        <w:tc>
          <w:tcPr>
            <w:tcW w:w="6209" w:type="dxa"/>
          </w:tcPr>
          <w:p w14:paraId="3B790048" w14:textId="4EA485BE" w:rsidR="00A05B4D" w:rsidRPr="0089269F" w:rsidRDefault="00525EAD" w:rsidP="00BC0C43">
            <w:pPr>
              <w:rPr>
                <w:szCs w:val="24"/>
              </w:rPr>
            </w:pPr>
            <w:r>
              <w:rPr>
                <w:szCs w:val="24"/>
              </w:rPr>
              <w:t>$154.00</w:t>
            </w:r>
          </w:p>
        </w:tc>
      </w:tr>
      <w:bookmarkEnd w:id="5"/>
    </w:tbl>
    <w:p w14:paraId="518F3C09" w14:textId="77777777" w:rsidR="00E50D6E" w:rsidRPr="00E50D6E" w:rsidRDefault="00E50D6E" w:rsidP="00E50D6E"/>
    <w:p w14:paraId="7E54DED3" w14:textId="77777777" w:rsidR="0079617D" w:rsidRDefault="0079617D">
      <w:pPr>
        <w:spacing w:after="160" w:line="259" w:lineRule="auto"/>
        <w:jc w:val="left"/>
        <w:rPr>
          <w:b/>
          <w:bCs/>
          <w:szCs w:val="24"/>
        </w:rPr>
      </w:pPr>
      <w:r>
        <w:rPr>
          <w:b/>
          <w:bCs/>
          <w:szCs w:val="24"/>
        </w:rPr>
        <w:br w:type="page"/>
      </w:r>
    </w:p>
    <w:p w14:paraId="164315B8" w14:textId="3146A5D6" w:rsidR="00E50D6E" w:rsidRPr="00483883" w:rsidRDefault="00483883" w:rsidP="00E50D6E">
      <w:pPr>
        <w:rPr>
          <w:b/>
          <w:bCs/>
          <w:szCs w:val="24"/>
        </w:rPr>
      </w:pPr>
      <w:r w:rsidRPr="00483883">
        <w:rPr>
          <w:b/>
          <w:bCs/>
          <w:szCs w:val="24"/>
        </w:rPr>
        <w:lastRenderedPageBreak/>
        <w:t xml:space="preserve">Amyloid pathology testing: </w:t>
      </w:r>
      <w:r w:rsidRPr="00425CC1">
        <w:rPr>
          <w:b/>
          <w:bCs/>
          <w:szCs w:val="24"/>
        </w:rPr>
        <w:t>t-tau/A</w:t>
      </w:r>
      <w:proofErr w:type="gramStart"/>
      <w:r w:rsidRPr="00425CC1">
        <w:rPr>
          <w:b/>
          <w:bCs/>
          <w:szCs w:val="24"/>
        </w:rPr>
        <w:t>β[</w:t>
      </w:r>
      <w:proofErr w:type="gramEnd"/>
      <w:r w:rsidRPr="00425CC1">
        <w:rPr>
          <w:b/>
          <w:bCs/>
          <w:szCs w:val="24"/>
        </w:rPr>
        <w:t>1-42] in CSF testing</w:t>
      </w:r>
    </w:p>
    <w:tbl>
      <w:tblPr>
        <w:tblStyle w:val="TableGrid"/>
        <w:tblW w:w="0" w:type="auto"/>
        <w:tblLook w:val="04A0" w:firstRow="1" w:lastRow="0" w:firstColumn="1" w:lastColumn="0" w:noHBand="0" w:noVBand="1"/>
      </w:tblPr>
      <w:tblGrid>
        <w:gridCol w:w="3256"/>
        <w:gridCol w:w="6209"/>
      </w:tblGrid>
      <w:tr w:rsidR="00483883" w:rsidRPr="0089269F" w14:paraId="20FD7838" w14:textId="77777777" w:rsidTr="006B2B76">
        <w:tc>
          <w:tcPr>
            <w:tcW w:w="3256" w:type="dxa"/>
          </w:tcPr>
          <w:p w14:paraId="63AE190F" w14:textId="77777777" w:rsidR="00483883" w:rsidRPr="0089269F" w:rsidRDefault="00483883" w:rsidP="006B2B76">
            <w:pPr>
              <w:rPr>
                <w:szCs w:val="24"/>
              </w:rPr>
            </w:pPr>
            <w:r w:rsidRPr="0089269F">
              <w:rPr>
                <w:szCs w:val="24"/>
              </w:rPr>
              <w:t>Category number</w:t>
            </w:r>
          </w:p>
        </w:tc>
        <w:tc>
          <w:tcPr>
            <w:tcW w:w="6209" w:type="dxa"/>
          </w:tcPr>
          <w:p w14:paraId="290431F6" w14:textId="77777777" w:rsidR="00483883" w:rsidRPr="0089269F" w:rsidRDefault="00483883" w:rsidP="006B2B76">
            <w:pPr>
              <w:rPr>
                <w:szCs w:val="24"/>
              </w:rPr>
            </w:pPr>
            <w:r>
              <w:rPr>
                <w:szCs w:val="24"/>
              </w:rPr>
              <w:t>6</w:t>
            </w:r>
          </w:p>
        </w:tc>
      </w:tr>
      <w:tr w:rsidR="00483883" w:rsidRPr="0089269F" w14:paraId="6E671831" w14:textId="77777777" w:rsidTr="006B2B76">
        <w:tc>
          <w:tcPr>
            <w:tcW w:w="3256" w:type="dxa"/>
          </w:tcPr>
          <w:p w14:paraId="36F9CB9E" w14:textId="77777777" w:rsidR="00483883" w:rsidRPr="0089269F" w:rsidRDefault="00483883" w:rsidP="006B2B76">
            <w:pPr>
              <w:rPr>
                <w:szCs w:val="24"/>
              </w:rPr>
            </w:pPr>
            <w:r w:rsidRPr="0089269F">
              <w:rPr>
                <w:szCs w:val="24"/>
              </w:rPr>
              <w:t>Category description</w:t>
            </w:r>
          </w:p>
        </w:tc>
        <w:tc>
          <w:tcPr>
            <w:tcW w:w="6209" w:type="dxa"/>
          </w:tcPr>
          <w:p w14:paraId="28054CFC" w14:textId="77777777" w:rsidR="00483883" w:rsidRPr="0089269F" w:rsidRDefault="00483883" w:rsidP="006B2B76">
            <w:pPr>
              <w:rPr>
                <w:szCs w:val="24"/>
              </w:rPr>
            </w:pPr>
            <w:r>
              <w:rPr>
                <w:szCs w:val="24"/>
              </w:rPr>
              <w:t>Pathology services</w:t>
            </w:r>
          </w:p>
        </w:tc>
      </w:tr>
      <w:tr w:rsidR="00483883" w:rsidRPr="0089269F" w14:paraId="5E93C894" w14:textId="77777777" w:rsidTr="006B2B76">
        <w:tc>
          <w:tcPr>
            <w:tcW w:w="3256" w:type="dxa"/>
          </w:tcPr>
          <w:p w14:paraId="0417F5EF" w14:textId="77777777" w:rsidR="00483883" w:rsidRPr="0089269F" w:rsidRDefault="00483883" w:rsidP="006B2B76">
            <w:pPr>
              <w:rPr>
                <w:szCs w:val="24"/>
              </w:rPr>
            </w:pPr>
            <w:r w:rsidRPr="0089269F">
              <w:rPr>
                <w:szCs w:val="24"/>
              </w:rPr>
              <w:t>Proposed item descriptor</w:t>
            </w:r>
          </w:p>
        </w:tc>
        <w:tc>
          <w:tcPr>
            <w:tcW w:w="6209" w:type="dxa"/>
          </w:tcPr>
          <w:p w14:paraId="2642751E" w14:textId="529A2A25" w:rsidR="00483883" w:rsidRPr="00003EBA" w:rsidRDefault="00DD7609" w:rsidP="00003EBA">
            <w:pPr>
              <w:rPr>
                <w:szCs w:val="24"/>
              </w:rPr>
            </w:pPr>
            <w:r w:rsidRPr="00003EBA">
              <w:rPr>
                <w:szCs w:val="24"/>
              </w:rPr>
              <w:t xml:space="preserve">Analysis of amyloid and tau proteins in cerebrospinal fluid, requested by a specialist or consultant physician, from a </w:t>
            </w:r>
            <w:r w:rsidR="0067162C" w:rsidRPr="00483883">
              <w:rPr>
                <w:szCs w:val="24"/>
              </w:rPr>
              <w:t xml:space="preserve">patient with </w:t>
            </w:r>
            <w:r w:rsidR="0067162C">
              <w:rPr>
                <w:szCs w:val="24"/>
              </w:rPr>
              <w:t xml:space="preserve">a clinical diagnosis of </w:t>
            </w:r>
            <w:r w:rsidR="0067162C" w:rsidRPr="00483883">
              <w:rPr>
                <w:szCs w:val="24"/>
              </w:rPr>
              <w:t>Mild Cognitive Impairment (MCI) due to Alzheimer disease or Mild Alzheimer dementia</w:t>
            </w:r>
            <w:r w:rsidRPr="00003EBA">
              <w:rPr>
                <w:szCs w:val="24"/>
              </w:rPr>
              <w:t>, to determine eligibility for a relevant treatment under the Pharmaceutical Benefits Scheme</w:t>
            </w:r>
          </w:p>
        </w:tc>
      </w:tr>
      <w:tr w:rsidR="00483883" w:rsidRPr="0089269F" w14:paraId="10AF65DC" w14:textId="77777777" w:rsidTr="006B2B76">
        <w:tc>
          <w:tcPr>
            <w:tcW w:w="3256" w:type="dxa"/>
          </w:tcPr>
          <w:p w14:paraId="6682B6F2" w14:textId="77777777" w:rsidR="00483883" w:rsidRPr="0089269F" w:rsidRDefault="00483883" w:rsidP="006B2B76">
            <w:pPr>
              <w:rPr>
                <w:szCs w:val="24"/>
              </w:rPr>
            </w:pPr>
            <w:r w:rsidRPr="0089269F">
              <w:rPr>
                <w:szCs w:val="24"/>
              </w:rPr>
              <w:t>Proposed MBS fee</w:t>
            </w:r>
          </w:p>
        </w:tc>
        <w:tc>
          <w:tcPr>
            <w:tcW w:w="6209" w:type="dxa"/>
          </w:tcPr>
          <w:p w14:paraId="3FB1524F" w14:textId="58FF5F7D" w:rsidR="00483883" w:rsidRPr="0089269F" w:rsidRDefault="00483883" w:rsidP="006B2B76">
            <w:pPr>
              <w:rPr>
                <w:szCs w:val="24"/>
              </w:rPr>
            </w:pPr>
            <w:r>
              <w:rPr>
                <w:szCs w:val="24"/>
              </w:rPr>
              <w:t>$</w:t>
            </w:r>
            <w:r w:rsidR="00DD7609">
              <w:rPr>
                <w:szCs w:val="24"/>
              </w:rPr>
              <w:t>400.00</w:t>
            </w:r>
          </w:p>
        </w:tc>
      </w:tr>
    </w:tbl>
    <w:p w14:paraId="2144EFB4" w14:textId="77777777" w:rsidR="00E50D6E" w:rsidRDefault="00E50D6E" w:rsidP="00E50D6E"/>
    <w:p w14:paraId="3DBDA198" w14:textId="40175A37" w:rsidR="00565DAB" w:rsidRDefault="00DD7609" w:rsidP="00DD7609">
      <w:pPr>
        <w:rPr>
          <w:b/>
          <w:bCs/>
          <w:szCs w:val="24"/>
        </w:rPr>
      </w:pPr>
      <w:r w:rsidRPr="00483883">
        <w:rPr>
          <w:b/>
          <w:bCs/>
          <w:szCs w:val="24"/>
        </w:rPr>
        <w:t xml:space="preserve">Amyloid pathology testing: </w:t>
      </w:r>
      <w:r w:rsidR="00565DAB" w:rsidRPr="00D44A39">
        <w:rPr>
          <w:b/>
          <w:bCs/>
          <w:szCs w:val="24"/>
        </w:rPr>
        <w:t>pTau217 in plasma testing</w:t>
      </w:r>
    </w:p>
    <w:tbl>
      <w:tblPr>
        <w:tblStyle w:val="TableGrid"/>
        <w:tblW w:w="0" w:type="auto"/>
        <w:tblLook w:val="04A0" w:firstRow="1" w:lastRow="0" w:firstColumn="1" w:lastColumn="0" w:noHBand="0" w:noVBand="1"/>
      </w:tblPr>
      <w:tblGrid>
        <w:gridCol w:w="3256"/>
        <w:gridCol w:w="6209"/>
      </w:tblGrid>
      <w:tr w:rsidR="00DD7609" w:rsidRPr="0089269F" w14:paraId="096C9803" w14:textId="77777777" w:rsidTr="006B2B76">
        <w:tc>
          <w:tcPr>
            <w:tcW w:w="3256" w:type="dxa"/>
          </w:tcPr>
          <w:p w14:paraId="1F68E0F5" w14:textId="77777777" w:rsidR="00DD7609" w:rsidRPr="0089269F" w:rsidRDefault="00DD7609" w:rsidP="006B2B76">
            <w:pPr>
              <w:rPr>
                <w:szCs w:val="24"/>
              </w:rPr>
            </w:pPr>
            <w:r w:rsidRPr="0089269F">
              <w:rPr>
                <w:szCs w:val="24"/>
              </w:rPr>
              <w:t>Category number</w:t>
            </w:r>
          </w:p>
        </w:tc>
        <w:tc>
          <w:tcPr>
            <w:tcW w:w="6209" w:type="dxa"/>
          </w:tcPr>
          <w:p w14:paraId="158AD07A" w14:textId="77777777" w:rsidR="00DD7609" w:rsidRPr="0089269F" w:rsidRDefault="00DD7609" w:rsidP="006B2B76">
            <w:pPr>
              <w:rPr>
                <w:szCs w:val="24"/>
              </w:rPr>
            </w:pPr>
            <w:r>
              <w:rPr>
                <w:szCs w:val="24"/>
              </w:rPr>
              <w:t>6</w:t>
            </w:r>
          </w:p>
        </w:tc>
      </w:tr>
      <w:tr w:rsidR="00DD7609" w:rsidRPr="0089269F" w14:paraId="353E67A3" w14:textId="77777777" w:rsidTr="006B2B76">
        <w:tc>
          <w:tcPr>
            <w:tcW w:w="3256" w:type="dxa"/>
          </w:tcPr>
          <w:p w14:paraId="26106DB4" w14:textId="77777777" w:rsidR="00DD7609" w:rsidRPr="0089269F" w:rsidRDefault="00DD7609" w:rsidP="006B2B76">
            <w:pPr>
              <w:rPr>
                <w:szCs w:val="24"/>
              </w:rPr>
            </w:pPr>
            <w:r w:rsidRPr="0089269F">
              <w:rPr>
                <w:szCs w:val="24"/>
              </w:rPr>
              <w:t>Category description</w:t>
            </w:r>
          </w:p>
        </w:tc>
        <w:tc>
          <w:tcPr>
            <w:tcW w:w="6209" w:type="dxa"/>
          </w:tcPr>
          <w:p w14:paraId="5F4D5839" w14:textId="77777777" w:rsidR="00DD7609" w:rsidRPr="0089269F" w:rsidRDefault="00DD7609" w:rsidP="006B2B76">
            <w:pPr>
              <w:rPr>
                <w:szCs w:val="24"/>
              </w:rPr>
            </w:pPr>
            <w:r>
              <w:rPr>
                <w:szCs w:val="24"/>
              </w:rPr>
              <w:t>Pathology services</w:t>
            </w:r>
          </w:p>
        </w:tc>
      </w:tr>
      <w:tr w:rsidR="00DD7609" w:rsidRPr="0089269F" w14:paraId="5834C858" w14:textId="77777777" w:rsidTr="006B2B76">
        <w:tc>
          <w:tcPr>
            <w:tcW w:w="3256" w:type="dxa"/>
          </w:tcPr>
          <w:p w14:paraId="361AA564" w14:textId="77777777" w:rsidR="00DD7609" w:rsidRPr="0089269F" w:rsidRDefault="00DD7609" w:rsidP="006B2B76">
            <w:pPr>
              <w:rPr>
                <w:szCs w:val="24"/>
              </w:rPr>
            </w:pPr>
            <w:r w:rsidRPr="0089269F">
              <w:rPr>
                <w:szCs w:val="24"/>
              </w:rPr>
              <w:t>Proposed item descriptor</w:t>
            </w:r>
          </w:p>
        </w:tc>
        <w:tc>
          <w:tcPr>
            <w:tcW w:w="6209" w:type="dxa"/>
          </w:tcPr>
          <w:p w14:paraId="3747CA9D" w14:textId="6BFC40B0" w:rsidR="00DD7609" w:rsidRPr="00003EBA" w:rsidRDefault="007A6EBA" w:rsidP="00003EBA">
            <w:pPr>
              <w:rPr>
                <w:szCs w:val="24"/>
              </w:rPr>
            </w:pPr>
            <w:r w:rsidRPr="00003EBA">
              <w:rPr>
                <w:szCs w:val="24"/>
              </w:rPr>
              <w:t xml:space="preserve">Quantitation of </w:t>
            </w:r>
            <w:r w:rsidR="00556C6D" w:rsidRPr="00003EBA">
              <w:rPr>
                <w:szCs w:val="24"/>
              </w:rPr>
              <w:t>phosphorylated at threonine 217 (pTau217)</w:t>
            </w:r>
            <w:r w:rsidR="004E233A" w:rsidRPr="00003EBA">
              <w:rPr>
                <w:szCs w:val="24"/>
              </w:rPr>
              <w:t xml:space="preserve"> </w:t>
            </w:r>
            <w:r w:rsidR="001B30E6" w:rsidRPr="00003EBA">
              <w:rPr>
                <w:szCs w:val="24"/>
              </w:rPr>
              <w:t>in blood</w:t>
            </w:r>
            <w:r w:rsidR="002F0EE8" w:rsidRPr="00003EBA">
              <w:rPr>
                <w:szCs w:val="24"/>
              </w:rPr>
              <w:t xml:space="preserve">, </w:t>
            </w:r>
            <w:r w:rsidR="00DD7609" w:rsidRPr="00003EBA">
              <w:rPr>
                <w:szCs w:val="24"/>
              </w:rPr>
              <w:t xml:space="preserve">requested by a specialist or consultant physician, </w:t>
            </w:r>
            <w:r w:rsidR="0067162C">
              <w:rPr>
                <w:szCs w:val="24"/>
              </w:rPr>
              <w:t xml:space="preserve">from a </w:t>
            </w:r>
            <w:r w:rsidR="0067162C" w:rsidRPr="00483883">
              <w:rPr>
                <w:szCs w:val="24"/>
              </w:rPr>
              <w:t xml:space="preserve">patient with </w:t>
            </w:r>
            <w:r w:rsidR="0067162C">
              <w:rPr>
                <w:szCs w:val="24"/>
              </w:rPr>
              <w:t xml:space="preserve">a clinical diagnosis of </w:t>
            </w:r>
            <w:r w:rsidR="0067162C" w:rsidRPr="00483883">
              <w:rPr>
                <w:szCs w:val="24"/>
              </w:rPr>
              <w:t>Mild Cognitive Impairment (MCI) due to Alzheimer disease or Mild Alzheimer dementia</w:t>
            </w:r>
            <w:r w:rsidR="00DD7609" w:rsidRPr="00003EBA">
              <w:rPr>
                <w:szCs w:val="24"/>
              </w:rPr>
              <w:t>, to determine eligibility for a relevant treatment under the Pharmaceutical Benefits Scheme</w:t>
            </w:r>
          </w:p>
        </w:tc>
      </w:tr>
      <w:tr w:rsidR="00DD7609" w:rsidRPr="0089269F" w14:paraId="56D6E8ED" w14:textId="77777777" w:rsidTr="006B2B76">
        <w:tc>
          <w:tcPr>
            <w:tcW w:w="3256" w:type="dxa"/>
          </w:tcPr>
          <w:p w14:paraId="7BF6B39A" w14:textId="77777777" w:rsidR="00DD7609" w:rsidRPr="0089269F" w:rsidRDefault="00DD7609" w:rsidP="006B2B76">
            <w:pPr>
              <w:rPr>
                <w:szCs w:val="24"/>
              </w:rPr>
            </w:pPr>
            <w:r w:rsidRPr="0089269F">
              <w:rPr>
                <w:szCs w:val="24"/>
              </w:rPr>
              <w:t>Proposed MBS fee</w:t>
            </w:r>
          </w:p>
        </w:tc>
        <w:tc>
          <w:tcPr>
            <w:tcW w:w="6209" w:type="dxa"/>
          </w:tcPr>
          <w:p w14:paraId="13D235DC" w14:textId="77777777" w:rsidR="00DD7609" w:rsidRDefault="00DD7609" w:rsidP="006B2B76">
            <w:pPr>
              <w:rPr>
                <w:szCs w:val="24"/>
              </w:rPr>
            </w:pPr>
            <w:r>
              <w:rPr>
                <w:szCs w:val="24"/>
              </w:rPr>
              <w:t>$</w:t>
            </w:r>
            <w:r w:rsidR="002F0EE8">
              <w:rPr>
                <w:szCs w:val="24"/>
              </w:rPr>
              <w:t>TBC</w:t>
            </w:r>
          </w:p>
          <w:p w14:paraId="425520C4" w14:textId="78415891" w:rsidR="00872BD2" w:rsidRPr="0089269F" w:rsidRDefault="00872BD2" w:rsidP="006B2B76">
            <w:pPr>
              <w:rPr>
                <w:szCs w:val="24"/>
              </w:rPr>
            </w:pPr>
            <w:r>
              <w:rPr>
                <w:szCs w:val="24"/>
              </w:rPr>
              <w:t xml:space="preserve">Consultation with </w:t>
            </w:r>
            <w:r w:rsidR="006A7443">
              <w:rPr>
                <w:szCs w:val="24"/>
              </w:rPr>
              <w:t xml:space="preserve">laboratories specialising in </w:t>
            </w:r>
            <w:r w:rsidR="00376EA4">
              <w:rPr>
                <w:szCs w:val="24"/>
              </w:rPr>
              <w:t xml:space="preserve">pathology testing of Alzheimer’s disease biomarkers </w:t>
            </w:r>
            <w:r w:rsidR="0010713B">
              <w:rPr>
                <w:szCs w:val="24"/>
              </w:rPr>
              <w:t xml:space="preserve">revealed that commercial availability of pTau217 </w:t>
            </w:r>
            <w:r w:rsidR="00E06970">
              <w:rPr>
                <w:szCs w:val="24"/>
              </w:rPr>
              <w:t xml:space="preserve">in plasma assays is expected in </w:t>
            </w:r>
            <w:r w:rsidR="0067089C">
              <w:rPr>
                <w:szCs w:val="24"/>
              </w:rPr>
              <w:t xml:space="preserve">the second half </w:t>
            </w:r>
            <w:r w:rsidR="00E06970">
              <w:rPr>
                <w:szCs w:val="24"/>
              </w:rPr>
              <w:t xml:space="preserve">2026. </w:t>
            </w:r>
            <w:r w:rsidR="0067089C">
              <w:rPr>
                <w:szCs w:val="24"/>
              </w:rPr>
              <w:t>A</w:t>
            </w:r>
            <w:r w:rsidR="000307D1">
              <w:rPr>
                <w:szCs w:val="24"/>
              </w:rPr>
              <w:t>n MBS will be proposed once the pricing of pTau217 in plasma assays becomes available</w:t>
            </w:r>
            <w:r w:rsidR="00AB7CE0">
              <w:rPr>
                <w:szCs w:val="24"/>
              </w:rPr>
              <w:t>.</w:t>
            </w:r>
          </w:p>
        </w:tc>
      </w:tr>
    </w:tbl>
    <w:p w14:paraId="3B2357C3" w14:textId="77777777" w:rsidR="00483883" w:rsidRDefault="00483883" w:rsidP="00E50D6E"/>
    <w:p w14:paraId="66E63364" w14:textId="4607C328" w:rsidR="00AB7CE0" w:rsidRDefault="00AB7CE0" w:rsidP="00AB7CE0">
      <w:pPr>
        <w:rPr>
          <w:b/>
          <w:bCs/>
          <w:szCs w:val="24"/>
        </w:rPr>
      </w:pPr>
      <w:r w:rsidRPr="00483883">
        <w:rPr>
          <w:b/>
          <w:bCs/>
          <w:szCs w:val="24"/>
        </w:rPr>
        <w:t xml:space="preserve">Amyloid pathology testing: </w:t>
      </w:r>
      <w:r>
        <w:rPr>
          <w:b/>
          <w:bCs/>
          <w:szCs w:val="24"/>
        </w:rPr>
        <w:t>amyloid PET</w:t>
      </w:r>
    </w:p>
    <w:tbl>
      <w:tblPr>
        <w:tblStyle w:val="TableGrid"/>
        <w:tblW w:w="0" w:type="auto"/>
        <w:tblLook w:val="04A0" w:firstRow="1" w:lastRow="0" w:firstColumn="1" w:lastColumn="0" w:noHBand="0" w:noVBand="1"/>
      </w:tblPr>
      <w:tblGrid>
        <w:gridCol w:w="3256"/>
        <w:gridCol w:w="6209"/>
      </w:tblGrid>
      <w:tr w:rsidR="00AB7CE0" w:rsidRPr="0089269F" w14:paraId="063A1768" w14:textId="77777777" w:rsidTr="006B2B76">
        <w:tc>
          <w:tcPr>
            <w:tcW w:w="3256" w:type="dxa"/>
          </w:tcPr>
          <w:p w14:paraId="3E20C7FF" w14:textId="77777777" w:rsidR="00AB7CE0" w:rsidRPr="0089269F" w:rsidRDefault="00AB7CE0" w:rsidP="006B2B76">
            <w:pPr>
              <w:rPr>
                <w:szCs w:val="24"/>
              </w:rPr>
            </w:pPr>
            <w:r w:rsidRPr="0089269F">
              <w:rPr>
                <w:szCs w:val="24"/>
              </w:rPr>
              <w:t>Category number</w:t>
            </w:r>
          </w:p>
        </w:tc>
        <w:tc>
          <w:tcPr>
            <w:tcW w:w="6209" w:type="dxa"/>
          </w:tcPr>
          <w:p w14:paraId="0AA565AB" w14:textId="018AD04A" w:rsidR="00AB7CE0" w:rsidRPr="0089269F" w:rsidRDefault="00AB7CE0" w:rsidP="006B2B76">
            <w:pPr>
              <w:rPr>
                <w:szCs w:val="24"/>
              </w:rPr>
            </w:pPr>
            <w:r>
              <w:rPr>
                <w:szCs w:val="24"/>
              </w:rPr>
              <w:t>5</w:t>
            </w:r>
          </w:p>
        </w:tc>
      </w:tr>
      <w:tr w:rsidR="00AB7CE0" w:rsidRPr="0089269F" w14:paraId="7AD47D7B" w14:textId="77777777" w:rsidTr="006B2B76">
        <w:tc>
          <w:tcPr>
            <w:tcW w:w="3256" w:type="dxa"/>
          </w:tcPr>
          <w:p w14:paraId="7DA0B2CA" w14:textId="77777777" w:rsidR="00AB7CE0" w:rsidRPr="0089269F" w:rsidRDefault="00AB7CE0" w:rsidP="006B2B76">
            <w:pPr>
              <w:rPr>
                <w:szCs w:val="24"/>
              </w:rPr>
            </w:pPr>
            <w:r w:rsidRPr="0089269F">
              <w:rPr>
                <w:szCs w:val="24"/>
              </w:rPr>
              <w:t>Category description</w:t>
            </w:r>
          </w:p>
        </w:tc>
        <w:tc>
          <w:tcPr>
            <w:tcW w:w="6209" w:type="dxa"/>
          </w:tcPr>
          <w:p w14:paraId="18F7F090" w14:textId="09CFD810" w:rsidR="00AB7CE0" w:rsidRPr="0089269F" w:rsidRDefault="00AB7CE0" w:rsidP="006B2B76">
            <w:pPr>
              <w:rPr>
                <w:szCs w:val="24"/>
              </w:rPr>
            </w:pPr>
            <w:r>
              <w:rPr>
                <w:szCs w:val="24"/>
              </w:rPr>
              <w:t>Diagnostic imaging services</w:t>
            </w:r>
          </w:p>
        </w:tc>
      </w:tr>
      <w:tr w:rsidR="00AB7CE0" w:rsidRPr="0089269F" w14:paraId="6814F1B2" w14:textId="77777777" w:rsidTr="006B2B76">
        <w:tc>
          <w:tcPr>
            <w:tcW w:w="3256" w:type="dxa"/>
          </w:tcPr>
          <w:p w14:paraId="44DEC83A" w14:textId="77777777" w:rsidR="00AB7CE0" w:rsidRPr="0089269F" w:rsidRDefault="00AB7CE0" w:rsidP="006B2B76">
            <w:pPr>
              <w:rPr>
                <w:szCs w:val="24"/>
              </w:rPr>
            </w:pPr>
            <w:r w:rsidRPr="0089269F">
              <w:rPr>
                <w:szCs w:val="24"/>
              </w:rPr>
              <w:t>Proposed item descriptor</w:t>
            </w:r>
          </w:p>
        </w:tc>
        <w:tc>
          <w:tcPr>
            <w:tcW w:w="6209" w:type="dxa"/>
          </w:tcPr>
          <w:p w14:paraId="71E153D0" w14:textId="6E8238CF" w:rsidR="000A7FC4" w:rsidRPr="007A34E9" w:rsidRDefault="000A7FC4" w:rsidP="00246CDA">
            <w:pPr>
              <w:rPr>
                <w:szCs w:val="24"/>
              </w:rPr>
            </w:pPr>
            <w:r w:rsidRPr="007A34E9">
              <w:rPr>
                <w:szCs w:val="24"/>
              </w:rPr>
              <w:t>Beta-amyloid positron emission tomography (PET) study of the brain, requested by a specialist or consultant physician, for the evaluation of</w:t>
            </w:r>
            <w:r w:rsidR="0067162C">
              <w:rPr>
                <w:szCs w:val="24"/>
              </w:rPr>
              <w:t xml:space="preserve"> </w:t>
            </w:r>
            <w:r w:rsidR="0067162C" w:rsidRPr="00483883">
              <w:rPr>
                <w:szCs w:val="24"/>
              </w:rPr>
              <w:t xml:space="preserve">patients with </w:t>
            </w:r>
            <w:r w:rsidR="0067162C">
              <w:rPr>
                <w:szCs w:val="24"/>
              </w:rPr>
              <w:t xml:space="preserve">a clinical diagnosis of </w:t>
            </w:r>
            <w:r w:rsidR="0067162C" w:rsidRPr="00483883">
              <w:rPr>
                <w:szCs w:val="24"/>
              </w:rPr>
              <w:t>Mild Cognitive Impairment (MCI) due to Alzheimer disease or Mild Alzheimer dementia</w:t>
            </w:r>
            <w:r w:rsidRPr="007A34E9">
              <w:rPr>
                <w:szCs w:val="24"/>
              </w:rPr>
              <w:t xml:space="preserve">, to determine eligibility for treatment with an anti-amyloid </w:t>
            </w:r>
            <w:r w:rsidRPr="007A34E9">
              <w:rPr>
                <w:szCs w:val="24"/>
              </w:rPr>
              <w:lastRenderedPageBreak/>
              <w:t>monoclonal antibody agent to treat Alzheimer disease under the Pharmaceutical Benefits Scheme, if:</w:t>
            </w:r>
          </w:p>
          <w:p w14:paraId="08C8E33E" w14:textId="77777777" w:rsidR="007A34E9" w:rsidRPr="007A34E9" w:rsidRDefault="000A7FC4" w:rsidP="007A34E9">
            <w:pPr>
              <w:pStyle w:val="ListParagraph"/>
              <w:numPr>
                <w:ilvl w:val="0"/>
                <w:numId w:val="9"/>
              </w:numPr>
              <w:rPr>
                <w:sz w:val="18"/>
              </w:rPr>
            </w:pPr>
            <w:r w:rsidRPr="007A34E9">
              <w:rPr>
                <w:szCs w:val="24"/>
              </w:rPr>
              <w:t>the patient considered for this service also meets specific PBS eligibility criteria; and</w:t>
            </w:r>
          </w:p>
          <w:p w14:paraId="31B42C51" w14:textId="64AE2B88" w:rsidR="00AB7CE0" w:rsidRPr="007A34E9" w:rsidRDefault="000A7FC4" w:rsidP="007A34E9">
            <w:pPr>
              <w:pStyle w:val="ListParagraph"/>
              <w:numPr>
                <w:ilvl w:val="0"/>
                <w:numId w:val="9"/>
              </w:numPr>
              <w:rPr>
                <w:sz w:val="18"/>
              </w:rPr>
            </w:pPr>
            <w:r w:rsidRPr="007A34E9">
              <w:rPr>
                <w:szCs w:val="24"/>
              </w:rPr>
              <w:t>the patient has not previously been treated and is not currently undergoing treatment with the pharmaceutical.</w:t>
            </w:r>
          </w:p>
        </w:tc>
      </w:tr>
      <w:tr w:rsidR="00AB7CE0" w:rsidRPr="0089269F" w14:paraId="16C932F3" w14:textId="77777777" w:rsidTr="006B2B76">
        <w:tc>
          <w:tcPr>
            <w:tcW w:w="3256" w:type="dxa"/>
          </w:tcPr>
          <w:p w14:paraId="06892471" w14:textId="77777777" w:rsidR="00AB7CE0" w:rsidRPr="0089269F" w:rsidRDefault="00AB7CE0" w:rsidP="006B2B76">
            <w:pPr>
              <w:rPr>
                <w:szCs w:val="24"/>
              </w:rPr>
            </w:pPr>
            <w:r w:rsidRPr="0089269F">
              <w:rPr>
                <w:szCs w:val="24"/>
              </w:rPr>
              <w:lastRenderedPageBreak/>
              <w:t>Proposed MBS fee</w:t>
            </w:r>
          </w:p>
        </w:tc>
        <w:tc>
          <w:tcPr>
            <w:tcW w:w="6209" w:type="dxa"/>
          </w:tcPr>
          <w:p w14:paraId="17439574" w14:textId="045B9ED8" w:rsidR="00AB7CE0" w:rsidRPr="0089269F" w:rsidRDefault="00AB7CE0" w:rsidP="006B2B76">
            <w:pPr>
              <w:rPr>
                <w:szCs w:val="24"/>
              </w:rPr>
            </w:pPr>
            <w:r>
              <w:rPr>
                <w:szCs w:val="24"/>
              </w:rPr>
              <w:t>$</w:t>
            </w:r>
            <w:r w:rsidR="00003EBA">
              <w:rPr>
                <w:szCs w:val="24"/>
              </w:rPr>
              <w:t>1,800</w:t>
            </w:r>
          </w:p>
        </w:tc>
      </w:tr>
    </w:tbl>
    <w:p w14:paraId="7077682A" w14:textId="77777777" w:rsidR="00AB7CE0" w:rsidRDefault="00AB7CE0" w:rsidP="00AB7CE0">
      <w:pPr>
        <w:rPr>
          <w:b/>
          <w:bCs/>
          <w:szCs w:val="24"/>
        </w:rPr>
      </w:pPr>
    </w:p>
    <w:p w14:paraId="549B5A5B" w14:textId="6FBCB284" w:rsidR="00AB7CE0" w:rsidRDefault="00D22FD4" w:rsidP="00E50D6E">
      <w:r w:rsidRPr="00972254">
        <w:rPr>
          <w:b/>
          <w:bCs/>
          <w:szCs w:val="24"/>
        </w:rPr>
        <w:t>MRI scan of the brain</w:t>
      </w:r>
      <w:r w:rsidR="00BA3AAC" w:rsidRPr="00972254">
        <w:rPr>
          <w:b/>
          <w:bCs/>
          <w:szCs w:val="24"/>
        </w:rPr>
        <w:t xml:space="preserve">: prior to </w:t>
      </w:r>
      <w:r w:rsidR="00632F8F" w:rsidRPr="00972254">
        <w:rPr>
          <w:b/>
          <w:bCs/>
          <w:szCs w:val="24"/>
        </w:rPr>
        <w:t xml:space="preserve">initiating </w:t>
      </w:r>
      <w:r w:rsidR="00BA3AAC" w:rsidRPr="00972254">
        <w:rPr>
          <w:b/>
          <w:bCs/>
          <w:szCs w:val="24"/>
        </w:rPr>
        <w:t>treatment</w:t>
      </w:r>
    </w:p>
    <w:tbl>
      <w:tblPr>
        <w:tblStyle w:val="TableGrid"/>
        <w:tblW w:w="0" w:type="auto"/>
        <w:tblLook w:val="04A0" w:firstRow="1" w:lastRow="0" w:firstColumn="1" w:lastColumn="0" w:noHBand="0" w:noVBand="1"/>
      </w:tblPr>
      <w:tblGrid>
        <w:gridCol w:w="3256"/>
        <w:gridCol w:w="6209"/>
      </w:tblGrid>
      <w:tr w:rsidR="00D22FD4" w:rsidRPr="0089269F" w14:paraId="29ED27F2" w14:textId="77777777" w:rsidTr="006B2B76">
        <w:tc>
          <w:tcPr>
            <w:tcW w:w="3256" w:type="dxa"/>
          </w:tcPr>
          <w:p w14:paraId="74EB6169" w14:textId="77777777" w:rsidR="00D22FD4" w:rsidRPr="0089269F" w:rsidRDefault="00D22FD4" w:rsidP="006B2B76">
            <w:pPr>
              <w:rPr>
                <w:szCs w:val="24"/>
              </w:rPr>
            </w:pPr>
            <w:r w:rsidRPr="0089269F">
              <w:rPr>
                <w:szCs w:val="24"/>
              </w:rPr>
              <w:t>Category number</w:t>
            </w:r>
          </w:p>
        </w:tc>
        <w:tc>
          <w:tcPr>
            <w:tcW w:w="6209" w:type="dxa"/>
          </w:tcPr>
          <w:p w14:paraId="0504F30F" w14:textId="77777777" w:rsidR="00D22FD4" w:rsidRPr="0089269F" w:rsidRDefault="00D22FD4" w:rsidP="006B2B76">
            <w:pPr>
              <w:rPr>
                <w:szCs w:val="24"/>
              </w:rPr>
            </w:pPr>
            <w:r>
              <w:rPr>
                <w:szCs w:val="24"/>
              </w:rPr>
              <w:t>5</w:t>
            </w:r>
          </w:p>
        </w:tc>
      </w:tr>
      <w:tr w:rsidR="00D22FD4" w:rsidRPr="0089269F" w14:paraId="3FDC5491" w14:textId="77777777" w:rsidTr="006B2B76">
        <w:tc>
          <w:tcPr>
            <w:tcW w:w="3256" w:type="dxa"/>
          </w:tcPr>
          <w:p w14:paraId="0A2229D0" w14:textId="77777777" w:rsidR="00D22FD4" w:rsidRPr="0089269F" w:rsidRDefault="00D22FD4" w:rsidP="006B2B76">
            <w:pPr>
              <w:rPr>
                <w:szCs w:val="24"/>
              </w:rPr>
            </w:pPr>
            <w:r w:rsidRPr="0089269F">
              <w:rPr>
                <w:szCs w:val="24"/>
              </w:rPr>
              <w:t>Category description</w:t>
            </w:r>
          </w:p>
        </w:tc>
        <w:tc>
          <w:tcPr>
            <w:tcW w:w="6209" w:type="dxa"/>
          </w:tcPr>
          <w:p w14:paraId="5BAABB32" w14:textId="77777777" w:rsidR="00D22FD4" w:rsidRPr="0089269F" w:rsidRDefault="00D22FD4" w:rsidP="006B2B76">
            <w:pPr>
              <w:rPr>
                <w:szCs w:val="24"/>
              </w:rPr>
            </w:pPr>
            <w:r>
              <w:rPr>
                <w:szCs w:val="24"/>
              </w:rPr>
              <w:t>Diagnostic imaging services</w:t>
            </w:r>
          </w:p>
        </w:tc>
      </w:tr>
      <w:tr w:rsidR="00D22FD4" w:rsidRPr="0089269F" w14:paraId="77DC334A" w14:textId="77777777" w:rsidTr="006B2B76">
        <w:tc>
          <w:tcPr>
            <w:tcW w:w="3256" w:type="dxa"/>
          </w:tcPr>
          <w:p w14:paraId="02A50BA2" w14:textId="77777777" w:rsidR="00D22FD4" w:rsidRPr="0089269F" w:rsidRDefault="00D22FD4" w:rsidP="006B2B76">
            <w:pPr>
              <w:rPr>
                <w:szCs w:val="24"/>
              </w:rPr>
            </w:pPr>
            <w:r w:rsidRPr="0089269F">
              <w:rPr>
                <w:szCs w:val="24"/>
              </w:rPr>
              <w:t>Proposed item descriptor</w:t>
            </w:r>
          </w:p>
        </w:tc>
        <w:tc>
          <w:tcPr>
            <w:tcW w:w="6209" w:type="dxa"/>
          </w:tcPr>
          <w:p w14:paraId="7A860A81" w14:textId="77777777" w:rsidR="00D92BA2" w:rsidRPr="007A34E9" w:rsidRDefault="00D92BA2" w:rsidP="007A34E9">
            <w:pPr>
              <w:rPr>
                <w:szCs w:val="24"/>
              </w:rPr>
            </w:pPr>
            <w:r w:rsidRPr="007A34E9">
              <w:rPr>
                <w:szCs w:val="24"/>
              </w:rPr>
              <w:t>Magnetic resonance imaging (MRI) scan of the head (including MRA, if performed) for the baseline assessment of patients who will be treated with an anti-amyloid monoclonal antibody agent intended to treat Alzheimer disease under the Pharmaceutical Benefits Scheme (PBS), to ensure the patient does not have pathology which would preclude treatment with this agent.</w:t>
            </w:r>
          </w:p>
          <w:p w14:paraId="0C140A4F" w14:textId="2BF51A34" w:rsidR="00D22FD4" w:rsidRPr="00525EAD" w:rsidRDefault="00D92BA2" w:rsidP="007A34E9">
            <w:pPr>
              <w:rPr>
                <w:sz w:val="18"/>
              </w:rPr>
            </w:pPr>
            <w:r w:rsidRPr="007A34E9">
              <w:rPr>
                <w:szCs w:val="24"/>
              </w:rPr>
              <w:t>One scan per patient</w:t>
            </w:r>
          </w:p>
        </w:tc>
      </w:tr>
      <w:tr w:rsidR="00D22FD4" w:rsidRPr="0089269F" w14:paraId="6E68E39C" w14:textId="77777777" w:rsidTr="006B2B76">
        <w:tc>
          <w:tcPr>
            <w:tcW w:w="3256" w:type="dxa"/>
          </w:tcPr>
          <w:p w14:paraId="55A89FBC" w14:textId="77777777" w:rsidR="00D22FD4" w:rsidRPr="0089269F" w:rsidRDefault="00D22FD4" w:rsidP="006B2B76">
            <w:pPr>
              <w:rPr>
                <w:szCs w:val="24"/>
              </w:rPr>
            </w:pPr>
            <w:r w:rsidRPr="0089269F">
              <w:rPr>
                <w:szCs w:val="24"/>
              </w:rPr>
              <w:t>Proposed MBS fee</w:t>
            </w:r>
          </w:p>
        </w:tc>
        <w:tc>
          <w:tcPr>
            <w:tcW w:w="6209" w:type="dxa"/>
          </w:tcPr>
          <w:p w14:paraId="4104C0E5" w14:textId="5C4FC2F8" w:rsidR="00D22FD4" w:rsidRPr="0089269F" w:rsidRDefault="00D22FD4" w:rsidP="006B2B76">
            <w:pPr>
              <w:rPr>
                <w:szCs w:val="24"/>
              </w:rPr>
            </w:pPr>
            <w:r>
              <w:rPr>
                <w:szCs w:val="24"/>
              </w:rPr>
              <w:t>$</w:t>
            </w:r>
            <w:r w:rsidR="00D92BA2">
              <w:rPr>
                <w:szCs w:val="24"/>
              </w:rPr>
              <w:t>452.05</w:t>
            </w:r>
          </w:p>
        </w:tc>
      </w:tr>
    </w:tbl>
    <w:p w14:paraId="0A99A67D" w14:textId="77777777" w:rsidR="00D22FD4" w:rsidRDefault="00D22FD4" w:rsidP="00E50D6E"/>
    <w:p w14:paraId="668627CF" w14:textId="77C8BEF8" w:rsidR="00D92BA2" w:rsidRPr="00972254" w:rsidRDefault="00D92BA2" w:rsidP="00D92BA2">
      <w:pPr>
        <w:rPr>
          <w:b/>
          <w:bCs/>
          <w:szCs w:val="24"/>
        </w:rPr>
      </w:pPr>
      <w:r w:rsidRPr="00972254">
        <w:rPr>
          <w:b/>
          <w:bCs/>
          <w:szCs w:val="24"/>
        </w:rPr>
        <w:t xml:space="preserve">MRI scan of the brain: </w:t>
      </w:r>
      <w:r w:rsidR="00632F8F" w:rsidRPr="00972254">
        <w:rPr>
          <w:b/>
          <w:bCs/>
          <w:szCs w:val="24"/>
        </w:rPr>
        <w:t xml:space="preserve">for evaluation of people </w:t>
      </w:r>
      <w:r w:rsidR="005F18B8" w:rsidRPr="00972254">
        <w:rPr>
          <w:b/>
          <w:bCs/>
          <w:szCs w:val="24"/>
        </w:rPr>
        <w:t>during</w:t>
      </w:r>
      <w:r w:rsidRPr="00972254">
        <w:rPr>
          <w:b/>
          <w:bCs/>
          <w:szCs w:val="24"/>
        </w:rPr>
        <w:t xml:space="preserve"> treatment</w:t>
      </w:r>
    </w:p>
    <w:tbl>
      <w:tblPr>
        <w:tblStyle w:val="TableGrid"/>
        <w:tblW w:w="0" w:type="auto"/>
        <w:tblLook w:val="04A0" w:firstRow="1" w:lastRow="0" w:firstColumn="1" w:lastColumn="0" w:noHBand="0" w:noVBand="1"/>
      </w:tblPr>
      <w:tblGrid>
        <w:gridCol w:w="3256"/>
        <w:gridCol w:w="6209"/>
      </w:tblGrid>
      <w:tr w:rsidR="00D92BA2" w:rsidRPr="0089269F" w14:paraId="2700450C" w14:textId="77777777" w:rsidTr="006B2B76">
        <w:tc>
          <w:tcPr>
            <w:tcW w:w="3256" w:type="dxa"/>
          </w:tcPr>
          <w:p w14:paraId="43B21787" w14:textId="77777777" w:rsidR="00D92BA2" w:rsidRPr="0089269F" w:rsidRDefault="00D92BA2" w:rsidP="006B2B76">
            <w:pPr>
              <w:rPr>
                <w:szCs w:val="24"/>
              </w:rPr>
            </w:pPr>
            <w:r w:rsidRPr="0089269F">
              <w:rPr>
                <w:szCs w:val="24"/>
              </w:rPr>
              <w:t>Category number</w:t>
            </w:r>
          </w:p>
        </w:tc>
        <w:tc>
          <w:tcPr>
            <w:tcW w:w="6209" w:type="dxa"/>
          </w:tcPr>
          <w:p w14:paraId="223D5C07" w14:textId="77777777" w:rsidR="00D92BA2" w:rsidRPr="0089269F" w:rsidRDefault="00D92BA2" w:rsidP="006B2B76">
            <w:pPr>
              <w:rPr>
                <w:szCs w:val="24"/>
              </w:rPr>
            </w:pPr>
            <w:r>
              <w:rPr>
                <w:szCs w:val="24"/>
              </w:rPr>
              <w:t>5</w:t>
            </w:r>
          </w:p>
        </w:tc>
      </w:tr>
      <w:tr w:rsidR="00D92BA2" w:rsidRPr="0089269F" w14:paraId="0D41A36D" w14:textId="77777777" w:rsidTr="006B2B76">
        <w:tc>
          <w:tcPr>
            <w:tcW w:w="3256" w:type="dxa"/>
          </w:tcPr>
          <w:p w14:paraId="5065A24B" w14:textId="77777777" w:rsidR="00D92BA2" w:rsidRPr="0089269F" w:rsidRDefault="00D92BA2" w:rsidP="006B2B76">
            <w:pPr>
              <w:rPr>
                <w:szCs w:val="24"/>
              </w:rPr>
            </w:pPr>
            <w:r w:rsidRPr="0089269F">
              <w:rPr>
                <w:szCs w:val="24"/>
              </w:rPr>
              <w:t>Category description</w:t>
            </w:r>
          </w:p>
        </w:tc>
        <w:tc>
          <w:tcPr>
            <w:tcW w:w="6209" w:type="dxa"/>
          </w:tcPr>
          <w:p w14:paraId="660FF547" w14:textId="77777777" w:rsidR="00D92BA2" w:rsidRPr="0089269F" w:rsidRDefault="00D92BA2" w:rsidP="006B2B76">
            <w:pPr>
              <w:rPr>
                <w:szCs w:val="24"/>
              </w:rPr>
            </w:pPr>
            <w:r>
              <w:rPr>
                <w:szCs w:val="24"/>
              </w:rPr>
              <w:t>Diagnostic imaging services</w:t>
            </w:r>
          </w:p>
        </w:tc>
      </w:tr>
      <w:tr w:rsidR="00D92BA2" w:rsidRPr="0089269F" w14:paraId="587CF122" w14:textId="77777777" w:rsidTr="006B2B76">
        <w:tc>
          <w:tcPr>
            <w:tcW w:w="3256" w:type="dxa"/>
          </w:tcPr>
          <w:p w14:paraId="2A273F07" w14:textId="77777777" w:rsidR="00D92BA2" w:rsidRPr="0089269F" w:rsidRDefault="00D92BA2" w:rsidP="006B2B76">
            <w:pPr>
              <w:rPr>
                <w:szCs w:val="24"/>
              </w:rPr>
            </w:pPr>
            <w:r w:rsidRPr="0089269F">
              <w:rPr>
                <w:szCs w:val="24"/>
              </w:rPr>
              <w:t>Proposed item descriptor</w:t>
            </w:r>
          </w:p>
        </w:tc>
        <w:tc>
          <w:tcPr>
            <w:tcW w:w="6209" w:type="dxa"/>
          </w:tcPr>
          <w:p w14:paraId="6FB3177E" w14:textId="77777777" w:rsidR="008F7CC4" w:rsidRPr="007A34E9" w:rsidRDefault="008F7CC4" w:rsidP="0079617D">
            <w:pPr>
              <w:spacing w:after="0"/>
              <w:rPr>
                <w:szCs w:val="24"/>
              </w:rPr>
            </w:pPr>
            <w:r w:rsidRPr="007A34E9">
              <w:rPr>
                <w:szCs w:val="24"/>
              </w:rPr>
              <w:t>Magnetic resonance imaging (MRI) scan of the head (including MRA, if performed) for the evaluation of patients currently receiving treatment with an anti-amyloid monoclonal antibody agent intended to treat Alzheimer disease under the Pharmaceutical Benefits Scheme (PBS) to ensure the patient does not have pathology which would preclude further treatment with this agent.</w:t>
            </w:r>
          </w:p>
          <w:p w14:paraId="44993B54" w14:textId="77777777" w:rsidR="008F7CC4" w:rsidRPr="007A34E9" w:rsidRDefault="008F7CC4" w:rsidP="0079617D">
            <w:pPr>
              <w:spacing w:after="0"/>
              <w:rPr>
                <w:szCs w:val="24"/>
              </w:rPr>
            </w:pPr>
            <w:proofErr w:type="spellStart"/>
            <w:r w:rsidRPr="007A34E9">
              <w:rPr>
                <w:szCs w:val="24"/>
              </w:rPr>
              <w:t>The</w:t>
            </w:r>
            <w:proofErr w:type="spellEnd"/>
            <w:r w:rsidRPr="007A34E9">
              <w:rPr>
                <w:szCs w:val="24"/>
              </w:rPr>
              <w:t xml:space="preserve"> assessment will be performed to determine the continuing safety of treatment.</w:t>
            </w:r>
          </w:p>
          <w:p w14:paraId="0E471853" w14:textId="4414551D" w:rsidR="00D92BA2" w:rsidRPr="00525EAD" w:rsidRDefault="008F7CC4" w:rsidP="0079617D">
            <w:pPr>
              <w:spacing w:after="0"/>
              <w:rPr>
                <w:sz w:val="18"/>
              </w:rPr>
            </w:pPr>
            <w:r w:rsidRPr="007A34E9">
              <w:rPr>
                <w:szCs w:val="24"/>
              </w:rPr>
              <w:t>Applicable not more than four times in a 12-month period</w:t>
            </w:r>
          </w:p>
        </w:tc>
      </w:tr>
      <w:tr w:rsidR="00D92BA2" w:rsidRPr="0089269F" w14:paraId="607437F0" w14:textId="77777777" w:rsidTr="006B2B76">
        <w:tc>
          <w:tcPr>
            <w:tcW w:w="3256" w:type="dxa"/>
          </w:tcPr>
          <w:p w14:paraId="4C3B7C0B" w14:textId="77777777" w:rsidR="00D92BA2" w:rsidRPr="0089269F" w:rsidRDefault="00D92BA2" w:rsidP="006B2B76">
            <w:pPr>
              <w:rPr>
                <w:szCs w:val="24"/>
              </w:rPr>
            </w:pPr>
            <w:r w:rsidRPr="0089269F">
              <w:rPr>
                <w:szCs w:val="24"/>
              </w:rPr>
              <w:t>Proposed MBS fee</w:t>
            </w:r>
          </w:p>
        </w:tc>
        <w:tc>
          <w:tcPr>
            <w:tcW w:w="6209" w:type="dxa"/>
          </w:tcPr>
          <w:p w14:paraId="211291E8" w14:textId="77777777" w:rsidR="00D92BA2" w:rsidRPr="0089269F" w:rsidRDefault="00D92BA2" w:rsidP="006B2B76">
            <w:pPr>
              <w:rPr>
                <w:szCs w:val="24"/>
              </w:rPr>
            </w:pPr>
            <w:r>
              <w:rPr>
                <w:szCs w:val="24"/>
              </w:rPr>
              <w:t>$452.05</w:t>
            </w:r>
          </w:p>
        </w:tc>
      </w:tr>
    </w:tbl>
    <w:p w14:paraId="321449D0" w14:textId="7EFEF67D" w:rsidR="005E1CFB" w:rsidRPr="00A84BCA" w:rsidRDefault="0090168B" w:rsidP="00EA0AA0">
      <w:pPr>
        <w:pStyle w:val="Heading1"/>
        <w:rPr>
          <w:color w:val="002060"/>
        </w:rPr>
      </w:pPr>
      <w:r w:rsidRPr="00A84BCA">
        <w:rPr>
          <w:color w:val="002060"/>
        </w:rPr>
        <w:lastRenderedPageBreak/>
        <w:t>Algorithms</w:t>
      </w:r>
    </w:p>
    <w:p w14:paraId="7EDD3EB5" w14:textId="76582628" w:rsidR="0090168B" w:rsidRPr="0089269F" w:rsidRDefault="00EA0AA0" w:rsidP="00BC0C43">
      <w:pPr>
        <w:pStyle w:val="Heading2"/>
        <w:rPr>
          <w:szCs w:val="24"/>
          <w:u w:val="single"/>
        </w:rPr>
      </w:pPr>
      <w:r w:rsidRPr="0089269F">
        <w:rPr>
          <w:szCs w:val="24"/>
          <w:u w:val="single"/>
        </w:rPr>
        <w:t>PREPARATION FOR USING THE HEALTH TECHNOLOGY</w:t>
      </w:r>
    </w:p>
    <w:p w14:paraId="463FDC5D" w14:textId="5634DB9D" w:rsidR="005E1CFB" w:rsidRDefault="0090168B" w:rsidP="00D163F8">
      <w:pPr>
        <w:rPr>
          <w:b/>
          <w:bCs/>
          <w:szCs w:val="24"/>
        </w:rPr>
      </w:pPr>
      <w:r w:rsidRPr="00D163F8">
        <w:rPr>
          <w:b/>
          <w:bCs/>
          <w:szCs w:val="24"/>
        </w:rPr>
        <w:t>Define and summarise the clinical management algorithm, including any required tests or healthcare resources, before patients would be eligible for the proposed health technology</w:t>
      </w:r>
      <w:r w:rsidR="005E1CFB" w:rsidRPr="00D163F8">
        <w:rPr>
          <w:b/>
          <w:bCs/>
          <w:szCs w:val="24"/>
        </w:rPr>
        <w:t>:</w:t>
      </w:r>
    </w:p>
    <w:p w14:paraId="0495B180" w14:textId="77777777" w:rsidR="00E6601B" w:rsidRDefault="00FF6E41" w:rsidP="008D4127">
      <w:pPr>
        <w:rPr>
          <w:b/>
          <w:bCs/>
          <w:szCs w:val="24"/>
        </w:rPr>
      </w:pPr>
      <w:r w:rsidRPr="009932AC">
        <w:rPr>
          <w:b/>
          <w:bCs/>
          <w:szCs w:val="24"/>
        </w:rPr>
        <w:t>Biomarker testing</w:t>
      </w:r>
    </w:p>
    <w:p w14:paraId="31DF2411" w14:textId="4001301E" w:rsidR="00FF6E41" w:rsidRDefault="0067302F" w:rsidP="008D4127">
      <w:pPr>
        <w:rPr>
          <w:szCs w:val="24"/>
        </w:rPr>
      </w:pPr>
      <w:r>
        <w:rPr>
          <w:szCs w:val="24"/>
        </w:rPr>
        <w:t>Prior to being eligibl</w:t>
      </w:r>
      <w:r w:rsidR="00FF6E41">
        <w:rPr>
          <w:szCs w:val="24"/>
        </w:rPr>
        <w:t>e for</w:t>
      </w:r>
      <w:r w:rsidR="00FE6D4D">
        <w:rPr>
          <w:szCs w:val="24"/>
        </w:rPr>
        <w:t xml:space="preserve"> </w:t>
      </w:r>
      <w:r w:rsidR="000B0C54" w:rsidRPr="000B0C54">
        <w:rPr>
          <w:szCs w:val="24"/>
        </w:rPr>
        <w:t xml:space="preserve">Aβ pathology and </w:t>
      </w:r>
      <w:proofErr w:type="spellStart"/>
      <w:r w:rsidR="000B0C54" w:rsidRPr="000B0C54">
        <w:rPr>
          <w:szCs w:val="24"/>
        </w:rPr>
        <w:t>ApoE</w:t>
      </w:r>
      <w:proofErr w:type="spellEnd"/>
      <w:r w:rsidR="000B0C54" w:rsidRPr="000B0C54">
        <w:rPr>
          <w:szCs w:val="24"/>
        </w:rPr>
        <w:t xml:space="preserve"> ε4 genotype testing</w:t>
      </w:r>
      <w:r w:rsidR="008D4127">
        <w:rPr>
          <w:szCs w:val="24"/>
        </w:rPr>
        <w:t xml:space="preserve"> p</w:t>
      </w:r>
      <w:r w:rsidR="00BE3451">
        <w:rPr>
          <w:szCs w:val="24"/>
        </w:rPr>
        <w:t xml:space="preserve">eople would </w:t>
      </w:r>
      <w:r w:rsidR="00714B52">
        <w:rPr>
          <w:szCs w:val="24"/>
        </w:rPr>
        <w:t xml:space="preserve">undergo investigations to establish a diagnosis of </w:t>
      </w:r>
      <w:r w:rsidR="00FF6E41">
        <w:rPr>
          <w:szCs w:val="24"/>
        </w:rPr>
        <w:t>mild cognitive impairment and mild dementia due to Alzheimer’s disease</w:t>
      </w:r>
      <w:r w:rsidR="000F6F52">
        <w:rPr>
          <w:szCs w:val="24"/>
        </w:rPr>
        <w:t xml:space="preserve">. The </w:t>
      </w:r>
      <w:r w:rsidR="0038581A">
        <w:rPr>
          <w:szCs w:val="24"/>
        </w:rPr>
        <w:t xml:space="preserve">clinical </w:t>
      </w:r>
      <w:r w:rsidR="000F6F52">
        <w:rPr>
          <w:szCs w:val="24"/>
        </w:rPr>
        <w:t>assessment</w:t>
      </w:r>
      <w:r w:rsidR="0038581A">
        <w:rPr>
          <w:szCs w:val="24"/>
        </w:rPr>
        <w:t>s</w:t>
      </w:r>
      <w:r w:rsidR="000F6F52">
        <w:rPr>
          <w:szCs w:val="24"/>
        </w:rPr>
        <w:t xml:space="preserve"> and </w:t>
      </w:r>
      <w:r w:rsidR="0038581A">
        <w:rPr>
          <w:szCs w:val="24"/>
        </w:rPr>
        <w:t xml:space="preserve">tests associated with establishing this diagnosis were described previously </w:t>
      </w:r>
      <w:r w:rsidR="009932AC">
        <w:rPr>
          <w:szCs w:val="24"/>
        </w:rPr>
        <w:t>under the ‘Population’ heading.</w:t>
      </w:r>
    </w:p>
    <w:p w14:paraId="74F04E06" w14:textId="77777777" w:rsidR="0078167C" w:rsidRDefault="009932AC" w:rsidP="00571356">
      <w:pPr>
        <w:rPr>
          <w:b/>
          <w:bCs/>
          <w:szCs w:val="24"/>
        </w:rPr>
      </w:pPr>
      <w:proofErr w:type="spellStart"/>
      <w:r w:rsidRPr="00571356">
        <w:rPr>
          <w:b/>
          <w:bCs/>
          <w:szCs w:val="24"/>
        </w:rPr>
        <w:t>Lecanemab</w:t>
      </w:r>
      <w:proofErr w:type="spellEnd"/>
      <w:r w:rsidRPr="00571356">
        <w:rPr>
          <w:b/>
          <w:bCs/>
          <w:szCs w:val="24"/>
        </w:rPr>
        <w:t xml:space="preserve"> treatment</w:t>
      </w:r>
    </w:p>
    <w:p w14:paraId="3B0CD154" w14:textId="089FD7BA" w:rsidR="00A51EE0" w:rsidRPr="00BB531D" w:rsidRDefault="00A51EE0" w:rsidP="00571356">
      <w:pPr>
        <w:rPr>
          <w:szCs w:val="24"/>
        </w:rPr>
      </w:pPr>
      <w:r w:rsidRPr="00571356">
        <w:rPr>
          <w:szCs w:val="24"/>
        </w:rPr>
        <w:t xml:space="preserve">Prior to being eligible for </w:t>
      </w:r>
      <w:proofErr w:type="spellStart"/>
      <w:r w:rsidR="00FE6D4D" w:rsidRPr="00571356">
        <w:rPr>
          <w:szCs w:val="24"/>
        </w:rPr>
        <w:t>lecanemab</w:t>
      </w:r>
      <w:proofErr w:type="spellEnd"/>
      <w:r w:rsidR="00FE6D4D" w:rsidRPr="00571356">
        <w:rPr>
          <w:szCs w:val="24"/>
        </w:rPr>
        <w:t xml:space="preserve"> </w:t>
      </w:r>
      <w:r w:rsidR="00BB531D" w:rsidRPr="00BB531D">
        <w:rPr>
          <w:szCs w:val="24"/>
        </w:rPr>
        <w:t xml:space="preserve">people must have a diagnosis of mild cognitive impairment and mild dementia due to Alzheimer’s disease and be assessed as having as being </w:t>
      </w:r>
      <w:proofErr w:type="spellStart"/>
      <w:r w:rsidRPr="00BB531D">
        <w:rPr>
          <w:szCs w:val="24"/>
        </w:rPr>
        <w:t>ApoE</w:t>
      </w:r>
      <w:proofErr w:type="spellEnd"/>
      <w:r w:rsidRPr="00BB531D">
        <w:rPr>
          <w:szCs w:val="24"/>
        </w:rPr>
        <w:t xml:space="preserve"> ε4 non-carriers or heterozygous</w:t>
      </w:r>
      <w:r w:rsidR="00BB531D" w:rsidRPr="00BB531D">
        <w:rPr>
          <w:szCs w:val="24"/>
        </w:rPr>
        <w:t xml:space="preserve"> with evidence of Aβ pathology.</w:t>
      </w:r>
      <w:r w:rsidR="00E55539">
        <w:rPr>
          <w:szCs w:val="24"/>
        </w:rPr>
        <w:t xml:space="preserve"> They must also</w:t>
      </w:r>
      <w:r w:rsidR="00692DEE">
        <w:rPr>
          <w:szCs w:val="24"/>
        </w:rPr>
        <w:t xml:space="preserve"> be assessed as not having </w:t>
      </w:r>
      <w:r w:rsidR="003521EE" w:rsidRPr="007A34E9">
        <w:rPr>
          <w:szCs w:val="24"/>
        </w:rPr>
        <w:t>pathology which would preclude treatment</w:t>
      </w:r>
      <w:r w:rsidR="00D902D6">
        <w:rPr>
          <w:szCs w:val="24"/>
        </w:rPr>
        <w:t xml:space="preserve"> based on an MRI scan of the brain performed within 6 months</w:t>
      </w:r>
      <w:r w:rsidR="000E74C7">
        <w:rPr>
          <w:szCs w:val="24"/>
        </w:rPr>
        <w:t xml:space="preserve"> of initiating treatment</w:t>
      </w:r>
      <w:r w:rsidR="003521EE" w:rsidRPr="007A34E9">
        <w:rPr>
          <w:szCs w:val="24"/>
        </w:rPr>
        <w:t>.</w:t>
      </w:r>
    </w:p>
    <w:p w14:paraId="4131E93D" w14:textId="44D9E7B5" w:rsidR="005E1CFB" w:rsidRPr="00A86A86" w:rsidRDefault="0090168B" w:rsidP="00BC0C43">
      <w:pPr>
        <w:rPr>
          <w:b/>
          <w:bCs/>
          <w:szCs w:val="24"/>
        </w:rPr>
      </w:pPr>
      <w:r w:rsidRPr="00A86A86">
        <w:rPr>
          <w:b/>
          <w:bCs/>
          <w:szCs w:val="24"/>
        </w:rPr>
        <w:t>Is there any expectation that the clinical management algorithm before the health technology is used will change due to the introduction of the proposed health technology</w:t>
      </w:r>
      <w:r w:rsidR="005E1CFB" w:rsidRPr="00A86A86">
        <w:rPr>
          <w:b/>
          <w:bCs/>
          <w:szCs w:val="24"/>
        </w:rPr>
        <w:t xml:space="preserve">? </w:t>
      </w:r>
    </w:p>
    <w:p w14:paraId="1546906F" w14:textId="0E861B28" w:rsidR="005E1CFB" w:rsidRPr="002D55EA" w:rsidRDefault="002D55EA" w:rsidP="002D6937">
      <w:pPr>
        <w:shd w:val="clear" w:color="auto" w:fill="FFFFFF" w:themeFill="background1"/>
        <w:rPr>
          <w:szCs w:val="24"/>
        </w:rPr>
      </w:pPr>
      <w:r w:rsidRPr="002D55EA">
        <w:rPr>
          <w:b/>
          <w:bCs/>
          <w:szCs w:val="24"/>
        </w:rPr>
        <w:t>Biomarker testing:</w:t>
      </w:r>
      <w:r w:rsidRPr="002D55EA">
        <w:rPr>
          <w:szCs w:val="24"/>
        </w:rPr>
        <w:t xml:space="preserve"> </w:t>
      </w:r>
      <w:r w:rsidR="005E1CFB" w:rsidRPr="002D55EA">
        <w:rPr>
          <w:szCs w:val="24"/>
        </w:rPr>
        <w:t>No</w:t>
      </w:r>
    </w:p>
    <w:p w14:paraId="48B9D627" w14:textId="33C05636" w:rsidR="002D55EA" w:rsidRPr="0089269F" w:rsidRDefault="002D55EA" w:rsidP="002D6937">
      <w:pPr>
        <w:shd w:val="clear" w:color="auto" w:fill="FFFFFF" w:themeFill="background1"/>
        <w:rPr>
          <w:szCs w:val="24"/>
        </w:rPr>
      </w:pPr>
      <w:proofErr w:type="spellStart"/>
      <w:r w:rsidRPr="002D55EA">
        <w:rPr>
          <w:b/>
          <w:bCs/>
          <w:szCs w:val="24"/>
        </w:rPr>
        <w:t>Lecanemab</w:t>
      </w:r>
      <w:proofErr w:type="spellEnd"/>
      <w:r w:rsidRPr="002D55EA">
        <w:rPr>
          <w:b/>
          <w:bCs/>
          <w:szCs w:val="24"/>
        </w:rPr>
        <w:t xml:space="preserve"> treatment:</w:t>
      </w:r>
      <w:r w:rsidRPr="002D55EA">
        <w:rPr>
          <w:szCs w:val="24"/>
        </w:rPr>
        <w:t xml:space="preserve"> Yes</w:t>
      </w:r>
    </w:p>
    <w:p w14:paraId="0EA69E70" w14:textId="2F8BA449" w:rsidR="005E1CFB" w:rsidRPr="00090AFF" w:rsidRDefault="0090168B" w:rsidP="00A86A86">
      <w:pPr>
        <w:rPr>
          <w:b/>
          <w:bCs/>
          <w:szCs w:val="24"/>
        </w:rPr>
      </w:pPr>
      <w:r w:rsidRPr="00A86A86">
        <w:rPr>
          <w:b/>
          <w:bCs/>
          <w:szCs w:val="24"/>
        </w:rPr>
        <w:t>Describe and explain any differences in the clinical management algorithm prior to the use of the proposed health technology vs. the comparator health technology</w:t>
      </w:r>
      <w:r w:rsidR="005E1CFB" w:rsidRPr="00A86A86">
        <w:rPr>
          <w:b/>
          <w:bCs/>
          <w:szCs w:val="24"/>
        </w:rPr>
        <w:t>:</w:t>
      </w:r>
    </w:p>
    <w:p w14:paraId="7CDC22BE" w14:textId="77777777" w:rsidR="0078167C" w:rsidRDefault="00090AFF" w:rsidP="00BC0C43">
      <w:pPr>
        <w:rPr>
          <w:b/>
          <w:bCs/>
          <w:szCs w:val="24"/>
        </w:rPr>
      </w:pPr>
      <w:proofErr w:type="spellStart"/>
      <w:r w:rsidRPr="00090AFF">
        <w:rPr>
          <w:b/>
          <w:bCs/>
          <w:szCs w:val="24"/>
        </w:rPr>
        <w:t>Lecanemab</w:t>
      </w:r>
      <w:proofErr w:type="spellEnd"/>
      <w:r w:rsidRPr="00090AFF">
        <w:rPr>
          <w:b/>
          <w:bCs/>
          <w:szCs w:val="24"/>
        </w:rPr>
        <w:t xml:space="preserve"> treatment</w:t>
      </w:r>
    </w:p>
    <w:p w14:paraId="16F3E419" w14:textId="3A7D8821" w:rsidR="00BE6B22" w:rsidRPr="0089269F" w:rsidRDefault="00591631" w:rsidP="00BC0C43">
      <w:pPr>
        <w:rPr>
          <w:rFonts w:eastAsia="Segoe UI"/>
          <w:color w:val="000000"/>
          <w:szCs w:val="24"/>
        </w:rPr>
      </w:pPr>
      <w:r w:rsidRPr="002E2335">
        <w:rPr>
          <w:szCs w:val="24"/>
        </w:rPr>
        <w:t xml:space="preserve">People would be required to </w:t>
      </w:r>
      <w:r w:rsidR="00677643" w:rsidRPr="002E2335">
        <w:rPr>
          <w:szCs w:val="24"/>
        </w:rPr>
        <w:t xml:space="preserve">undergo </w:t>
      </w:r>
      <w:proofErr w:type="spellStart"/>
      <w:r w:rsidR="00151562" w:rsidRPr="00BB531D">
        <w:rPr>
          <w:szCs w:val="24"/>
        </w:rPr>
        <w:t>ApoE</w:t>
      </w:r>
      <w:proofErr w:type="spellEnd"/>
      <w:r w:rsidR="00151562" w:rsidRPr="00BB531D">
        <w:rPr>
          <w:szCs w:val="24"/>
        </w:rPr>
        <w:t xml:space="preserve"> ε4 </w:t>
      </w:r>
      <w:r w:rsidR="00677643">
        <w:rPr>
          <w:szCs w:val="24"/>
        </w:rPr>
        <w:t xml:space="preserve">genotype testing and </w:t>
      </w:r>
      <w:r w:rsidR="00151562" w:rsidRPr="00BB531D">
        <w:rPr>
          <w:szCs w:val="24"/>
        </w:rPr>
        <w:t>Aβ pathology</w:t>
      </w:r>
      <w:r w:rsidR="00677643">
        <w:rPr>
          <w:szCs w:val="24"/>
        </w:rPr>
        <w:t xml:space="preserve"> testing</w:t>
      </w:r>
      <w:r w:rsidR="002609BD">
        <w:rPr>
          <w:szCs w:val="24"/>
        </w:rPr>
        <w:t xml:space="preserve"> before using </w:t>
      </w:r>
      <w:proofErr w:type="spellStart"/>
      <w:r w:rsidR="002609BD">
        <w:rPr>
          <w:szCs w:val="24"/>
        </w:rPr>
        <w:t>lecanemab</w:t>
      </w:r>
      <w:proofErr w:type="spellEnd"/>
      <w:r w:rsidR="002609BD">
        <w:rPr>
          <w:szCs w:val="24"/>
        </w:rPr>
        <w:t xml:space="preserve">. These investigations are not required </w:t>
      </w:r>
      <w:r w:rsidR="00986FBA">
        <w:rPr>
          <w:szCs w:val="24"/>
        </w:rPr>
        <w:t>before using the comparator treatment of Standard medical management.</w:t>
      </w:r>
    </w:p>
    <w:p w14:paraId="2AEB8C28" w14:textId="17DF89E6" w:rsidR="00F16239" w:rsidRPr="0089269F" w:rsidRDefault="00EA0AA0" w:rsidP="00BC0C43">
      <w:pPr>
        <w:pStyle w:val="Heading2"/>
        <w:rPr>
          <w:szCs w:val="24"/>
          <w:u w:val="single"/>
        </w:rPr>
      </w:pPr>
      <w:r w:rsidRPr="0089269F">
        <w:rPr>
          <w:szCs w:val="24"/>
          <w:u w:val="single"/>
        </w:rPr>
        <w:t>USE OF THE HEALTH TECHNOLOGY</w:t>
      </w:r>
    </w:p>
    <w:p w14:paraId="7C130FEF" w14:textId="04FF653C" w:rsidR="0090168B" w:rsidRPr="00A86A86" w:rsidRDefault="00F16239" w:rsidP="00A86A86">
      <w:pPr>
        <w:rPr>
          <w:b/>
          <w:bCs/>
          <w:szCs w:val="24"/>
        </w:rPr>
      </w:pPr>
      <w:r w:rsidRPr="00A86A86">
        <w:rPr>
          <w:b/>
          <w:bCs/>
          <w:szCs w:val="24"/>
        </w:rPr>
        <w:t>Explain what other healthcare resources are used in conjunction with delivering the proposed health technology</w:t>
      </w:r>
      <w:r w:rsidR="0090168B" w:rsidRPr="00A86A86">
        <w:rPr>
          <w:b/>
          <w:bCs/>
          <w:szCs w:val="24"/>
        </w:rPr>
        <w:t>:</w:t>
      </w:r>
    </w:p>
    <w:p w14:paraId="69244EED" w14:textId="555FE528" w:rsidR="0090168B" w:rsidRDefault="003A7CD5" w:rsidP="00BC0C43">
      <w:pPr>
        <w:rPr>
          <w:b/>
          <w:bCs/>
          <w:szCs w:val="24"/>
        </w:rPr>
      </w:pPr>
      <w:r w:rsidRPr="003A7CD5">
        <w:rPr>
          <w:b/>
          <w:bCs/>
          <w:szCs w:val="24"/>
        </w:rPr>
        <w:t>Biomarker testing</w:t>
      </w:r>
    </w:p>
    <w:p w14:paraId="53AE60DB" w14:textId="2BC34005" w:rsidR="00F916E3" w:rsidRDefault="00ED55C5" w:rsidP="00BC0C43">
      <w:pPr>
        <w:rPr>
          <w:szCs w:val="24"/>
        </w:rPr>
      </w:pPr>
      <w:proofErr w:type="spellStart"/>
      <w:r w:rsidRPr="00ED55C5">
        <w:rPr>
          <w:szCs w:val="24"/>
        </w:rPr>
        <w:t>ApoE</w:t>
      </w:r>
      <w:proofErr w:type="spellEnd"/>
      <w:r w:rsidRPr="00ED55C5">
        <w:rPr>
          <w:szCs w:val="24"/>
        </w:rPr>
        <w:t xml:space="preserve"> </w:t>
      </w:r>
      <w:r w:rsidRPr="00BB531D">
        <w:rPr>
          <w:szCs w:val="24"/>
        </w:rPr>
        <w:t>ε</w:t>
      </w:r>
      <w:r w:rsidRPr="00ED55C5">
        <w:rPr>
          <w:szCs w:val="24"/>
        </w:rPr>
        <w:t>4 genotype and pTau217 in plasma test</w:t>
      </w:r>
      <w:r>
        <w:rPr>
          <w:szCs w:val="24"/>
        </w:rPr>
        <w:t xml:space="preserve">ing are performed on </w:t>
      </w:r>
      <w:r w:rsidR="00F916E3">
        <w:rPr>
          <w:szCs w:val="24"/>
        </w:rPr>
        <w:t xml:space="preserve">blood samples. Collection of the blood sample may take place as part of a </w:t>
      </w:r>
      <w:r w:rsidR="008F0591">
        <w:rPr>
          <w:szCs w:val="24"/>
        </w:rPr>
        <w:t>consultation with the persons managing clinician</w:t>
      </w:r>
      <w:r w:rsidR="00D829D0">
        <w:rPr>
          <w:szCs w:val="24"/>
        </w:rPr>
        <w:t xml:space="preserve">. Alternatively, </w:t>
      </w:r>
      <w:r w:rsidR="00B21F59">
        <w:rPr>
          <w:szCs w:val="24"/>
        </w:rPr>
        <w:t xml:space="preserve">the blood sample may be collected </w:t>
      </w:r>
      <w:r w:rsidR="006D555A">
        <w:rPr>
          <w:szCs w:val="24"/>
        </w:rPr>
        <w:t>at an approved collection centre.</w:t>
      </w:r>
    </w:p>
    <w:p w14:paraId="3409AE58" w14:textId="41F545F9" w:rsidR="006D555A" w:rsidRDefault="00DB245A" w:rsidP="00BC0C43">
      <w:pPr>
        <w:rPr>
          <w:rFonts w:eastAsia="Segoe UI"/>
          <w:color w:val="000000"/>
          <w:szCs w:val="24"/>
        </w:rPr>
      </w:pPr>
      <w:r>
        <w:rPr>
          <w:rFonts w:eastAsia="Segoe UI"/>
          <w:color w:val="000000"/>
          <w:szCs w:val="24"/>
        </w:rPr>
        <w:t>A</w:t>
      </w:r>
      <w:r w:rsidR="006D555A" w:rsidRPr="000C3D91">
        <w:rPr>
          <w:rFonts w:eastAsia="Segoe UI"/>
          <w:color w:val="000000"/>
          <w:szCs w:val="24"/>
        </w:rPr>
        <w:t>ssessment of t-tau/A</w:t>
      </w:r>
      <w:proofErr w:type="gramStart"/>
      <w:r w:rsidR="006D555A" w:rsidRPr="000C3D91">
        <w:rPr>
          <w:rFonts w:eastAsia="Segoe UI"/>
          <w:color w:val="000000"/>
          <w:szCs w:val="24"/>
        </w:rPr>
        <w:t>β[</w:t>
      </w:r>
      <w:proofErr w:type="gramEnd"/>
      <w:r w:rsidR="006D555A" w:rsidRPr="000C3D91">
        <w:rPr>
          <w:rFonts w:eastAsia="Segoe UI"/>
          <w:color w:val="000000"/>
          <w:szCs w:val="24"/>
        </w:rPr>
        <w:t>1-42] i</w:t>
      </w:r>
      <w:r>
        <w:rPr>
          <w:rFonts w:eastAsia="Segoe UI"/>
          <w:color w:val="000000"/>
          <w:szCs w:val="24"/>
        </w:rPr>
        <w:t>n CSF require</w:t>
      </w:r>
      <w:r w:rsidR="00F76307">
        <w:rPr>
          <w:rFonts w:eastAsia="Segoe UI"/>
          <w:color w:val="000000"/>
          <w:szCs w:val="24"/>
        </w:rPr>
        <w:t>s</w:t>
      </w:r>
      <w:r>
        <w:rPr>
          <w:rFonts w:eastAsia="Segoe UI"/>
          <w:color w:val="000000"/>
          <w:szCs w:val="24"/>
        </w:rPr>
        <w:t xml:space="preserve"> the collection of a </w:t>
      </w:r>
      <w:r w:rsidR="002E2463">
        <w:rPr>
          <w:rFonts w:eastAsia="Segoe UI"/>
          <w:color w:val="000000"/>
          <w:szCs w:val="24"/>
        </w:rPr>
        <w:t xml:space="preserve">sample by </w:t>
      </w:r>
      <w:r w:rsidR="006D555A" w:rsidRPr="000C3D91">
        <w:rPr>
          <w:rFonts w:eastAsia="Segoe UI"/>
          <w:color w:val="000000"/>
          <w:szCs w:val="24"/>
        </w:rPr>
        <w:t xml:space="preserve">lumbar puncture. </w:t>
      </w:r>
      <w:r w:rsidR="002E2463">
        <w:rPr>
          <w:rFonts w:eastAsia="Segoe UI"/>
          <w:color w:val="000000"/>
          <w:szCs w:val="24"/>
        </w:rPr>
        <w:t xml:space="preserve">The is a short procedure which may be performed </w:t>
      </w:r>
      <w:r w:rsidR="00724E3C" w:rsidRPr="0073293D">
        <w:rPr>
          <w:rFonts w:eastAsia="Segoe UI"/>
          <w:color w:val="000000"/>
          <w:szCs w:val="24"/>
        </w:rPr>
        <w:t>as part of a consultation with the persons managing clinician. Alternatively, the lumbar puncture procedure could</w:t>
      </w:r>
      <w:r w:rsidR="00A749D8" w:rsidRPr="0073293D">
        <w:rPr>
          <w:rFonts w:eastAsia="Segoe UI"/>
          <w:color w:val="000000"/>
          <w:szCs w:val="24"/>
        </w:rPr>
        <w:t xml:space="preserve"> take </w:t>
      </w:r>
      <w:r w:rsidR="00A749D8" w:rsidRPr="0073293D">
        <w:rPr>
          <w:rFonts w:eastAsia="Segoe UI"/>
          <w:color w:val="000000"/>
          <w:szCs w:val="24"/>
        </w:rPr>
        <w:lastRenderedPageBreak/>
        <w:t>place in an outpatient clinic</w:t>
      </w:r>
      <w:r w:rsidR="00192CA4" w:rsidRPr="0073293D">
        <w:rPr>
          <w:rFonts w:eastAsia="Segoe UI"/>
          <w:color w:val="000000"/>
          <w:szCs w:val="24"/>
        </w:rPr>
        <w:t>.</w:t>
      </w:r>
      <w:r w:rsidR="00256B74" w:rsidRPr="0073293D">
        <w:rPr>
          <w:rFonts w:eastAsia="Segoe UI"/>
          <w:color w:val="000000"/>
          <w:szCs w:val="24"/>
        </w:rPr>
        <w:t xml:space="preserve"> </w:t>
      </w:r>
      <w:r w:rsidR="006244F6" w:rsidRPr="0073293D">
        <w:rPr>
          <w:rFonts w:eastAsia="Segoe UI"/>
          <w:color w:val="000000"/>
          <w:szCs w:val="24"/>
        </w:rPr>
        <w:t>For some lumbar puncture procedures</w:t>
      </w:r>
      <w:r w:rsidR="008E0662" w:rsidRPr="0073293D">
        <w:rPr>
          <w:rFonts w:eastAsia="Segoe UI"/>
          <w:color w:val="000000"/>
          <w:szCs w:val="24"/>
        </w:rPr>
        <w:t xml:space="preserve"> image guided fluoroscopy or computed tomograp</w:t>
      </w:r>
      <w:r w:rsidR="005368ED" w:rsidRPr="0073293D">
        <w:rPr>
          <w:rFonts w:eastAsia="Segoe UI"/>
          <w:color w:val="000000"/>
          <w:szCs w:val="24"/>
        </w:rPr>
        <w:t>h</w:t>
      </w:r>
      <w:r w:rsidR="008E0662" w:rsidRPr="0073293D">
        <w:rPr>
          <w:rFonts w:eastAsia="Segoe UI"/>
          <w:color w:val="000000"/>
          <w:szCs w:val="24"/>
        </w:rPr>
        <w:t xml:space="preserve">y </w:t>
      </w:r>
      <w:r w:rsidR="00653D3C" w:rsidRPr="0073293D">
        <w:rPr>
          <w:rFonts w:eastAsia="Segoe UI"/>
          <w:color w:val="000000"/>
          <w:szCs w:val="24"/>
        </w:rPr>
        <w:t xml:space="preserve">(CT) </w:t>
      </w:r>
      <w:r w:rsidR="008E0662" w:rsidRPr="0073293D">
        <w:rPr>
          <w:rFonts w:eastAsia="Segoe UI"/>
          <w:color w:val="000000"/>
          <w:szCs w:val="24"/>
        </w:rPr>
        <w:t xml:space="preserve">may be </w:t>
      </w:r>
      <w:r w:rsidR="007B3212" w:rsidRPr="0073293D">
        <w:rPr>
          <w:rFonts w:eastAsia="Segoe UI"/>
          <w:color w:val="000000"/>
          <w:szCs w:val="24"/>
        </w:rPr>
        <w:t>used to</w:t>
      </w:r>
      <w:r w:rsidR="004818D1" w:rsidRPr="0073293D">
        <w:rPr>
          <w:rFonts w:eastAsia="Segoe UI"/>
          <w:color w:val="000000"/>
          <w:szCs w:val="24"/>
        </w:rPr>
        <w:t xml:space="preserve"> improve needle placement accuracy. </w:t>
      </w:r>
      <w:r w:rsidR="006D555A" w:rsidRPr="000C3D91">
        <w:rPr>
          <w:rFonts w:eastAsia="Segoe UI"/>
          <w:color w:val="000000"/>
          <w:szCs w:val="24"/>
        </w:rPr>
        <w:t>A person may choose to receive local anaesthesia or sedation during the lumbar puncture procedure.</w:t>
      </w:r>
    </w:p>
    <w:p w14:paraId="432BF7FB" w14:textId="73891280" w:rsidR="00F76307" w:rsidRDefault="004F3153" w:rsidP="00BC0C43">
      <w:pPr>
        <w:rPr>
          <w:szCs w:val="24"/>
        </w:rPr>
      </w:pPr>
      <w:r>
        <w:rPr>
          <w:szCs w:val="24"/>
        </w:rPr>
        <w:t xml:space="preserve">Amyloid PET is performed with </w:t>
      </w:r>
      <w:r w:rsidR="00653D3C">
        <w:rPr>
          <w:szCs w:val="24"/>
        </w:rPr>
        <w:t xml:space="preserve">CT or MRI imaging </w:t>
      </w:r>
      <w:r w:rsidR="004B0947">
        <w:rPr>
          <w:szCs w:val="24"/>
        </w:rPr>
        <w:t xml:space="preserve">for </w:t>
      </w:r>
      <w:r w:rsidR="00940469">
        <w:rPr>
          <w:szCs w:val="24"/>
        </w:rPr>
        <w:t xml:space="preserve">the purpose of attenuation correction </w:t>
      </w:r>
      <w:r w:rsidR="0061141A">
        <w:rPr>
          <w:szCs w:val="24"/>
        </w:rPr>
        <w:t xml:space="preserve">and anatomical localisation. </w:t>
      </w:r>
      <w:r w:rsidR="00F02183">
        <w:rPr>
          <w:szCs w:val="24"/>
        </w:rPr>
        <w:t>In</w:t>
      </w:r>
      <w:r w:rsidR="00010528">
        <w:rPr>
          <w:szCs w:val="24"/>
        </w:rPr>
        <w:t xml:space="preserve"> clinical practice the use of CT is more established that MRI due </w:t>
      </w:r>
      <w:r w:rsidR="00905240">
        <w:rPr>
          <w:szCs w:val="24"/>
        </w:rPr>
        <w:t xml:space="preserve">to CT being a more direct and </w:t>
      </w:r>
      <w:r w:rsidR="00C55331">
        <w:rPr>
          <w:szCs w:val="24"/>
        </w:rPr>
        <w:t>widely available approach.</w:t>
      </w:r>
    </w:p>
    <w:p w14:paraId="54762FF0" w14:textId="395ED99E" w:rsidR="00ED5546" w:rsidRDefault="00ED5546" w:rsidP="00A86A86">
      <w:pPr>
        <w:rPr>
          <w:b/>
          <w:bCs/>
          <w:szCs w:val="24"/>
        </w:rPr>
      </w:pPr>
      <w:proofErr w:type="spellStart"/>
      <w:r>
        <w:rPr>
          <w:b/>
          <w:bCs/>
          <w:szCs w:val="24"/>
        </w:rPr>
        <w:t>Lecanemab</w:t>
      </w:r>
      <w:proofErr w:type="spellEnd"/>
      <w:r>
        <w:rPr>
          <w:b/>
          <w:bCs/>
          <w:szCs w:val="24"/>
        </w:rPr>
        <w:t xml:space="preserve"> treatment</w:t>
      </w:r>
    </w:p>
    <w:p w14:paraId="5BE743C5" w14:textId="624C5A29" w:rsidR="00ED5546" w:rsidRPr="002450B3" w:rsidRDefault="005F5C9D" w:rsidP="00A86A86">
      <w:pPr>
        <w:rPr>
          <w:szCs w:val="24"/>
        </w:rPr>
      </w:pPr>
      <w:r w:rsidRPr="002450B3">
        <w:rPr>
          <w:szCs w:val="24"/>
        </w:rPr>
        <w:t xml:space="preserve">MRI scans of the brain are required to support the safe use of </w:t>
      </w:r>
      <w:proofErr w:type="spellStart"/>
      <w:r w:rsidRPr="002450B3">
        <w:rPr>
          <w:szCs w:val="24"/>
        </w:rPr>
        <w:t>lecanemab</w:t>
      </w:r>
      <w:proofErr w:type="spellEnd"/>
      <w:r w:rsidRPr="002450B3">
        <w:rPr>
          <w:szCs w:val="24"/>
        </w:rPr>
        <w:t xml:space="preserve"> treatment. </w:t>
      </w:r>
      <w:r w:rsidR="006436D0" w:rsidRPr="002450B3">
        <w:rPr>
          <w:szCs w:val="24"/>
        </w:rPr>
        <w:t xml:space="preserve">A </w:t>
      </w:r>
      <w:r w:rsidR="000F3706" w:rsidRPr="002450B3">
        <w:rPr>
          <w:szCs w:val="24"/>
        </w:rPr>
        <w:t xml:space="preserve">recent (within 6 months) </w:t>
      </w:r>
      <w:r w:rsidR="006436D0" w:rsidRPr="002450B3">
        <w:rPr>
          <w:szCs w:val="24"/>
        </w:rPr>
        <w:t xml:space="preserve">MRI </w:t>
      </w:r>
      <w:r w:rsidR="000F3706" w:rsidRPr="002450B3">
        <w:rPr>
          <w:szCs w:val="24"/>
        </w:rPr>
        <w:t>scan of the brain should be available prior to initiating treatment</w:t>
      </w:r>
      <w:r w:rsidR="006436D0" w:rsidRPr="002450B3">
        <w:rPr>
          <w:szCs w:val="24"/>
        </w:rPr>
        <w:t xml:space="preserve">. </w:t>
      </w:r>
      <w:r w:rsidR="000F3706" w:rsidRPr="002450B3">
        <w:rPr>
          <w:szCs w:val="24"/>
        </w:rPr>
        <w:t xml:space="preserve">Follow-up MRI scans are also recommended before the 3rd, 5th, 7th and 14th infusions of </w:t>
      </w:r>
      <w:proofErr w:type="spellStart"/>
      <w:r w:rsidR="000F3706" w:rsidRPr="002450B3">
        <w:rPr>
          <w:szCs w:val="24"/>
        </w:rPr>
        <w:t>lecanemab</w:t>
      </w:r>
      <w:proofErr w:type="spellEnd"/>
      <w:r w:rsidR="000F3706" w:rsidRPr="002450B3">
        <w:rPr>
          <w:szCs w:val="24"/>
        </w:rPr>
        <w:t xml:space="preserve">. These MRI scans investigate for the presence </w:t>
      </w:r>
      <w:r w:rsidR="00D65ECE" w:rsidRPr="002450B3">
        <w:rPr>
          <w:szCs w:val="24"/>
        </w:rPr>
        <w:t xml:space="preserve">of </w:t>
      </w:r>
      <w:r w:rsidR="000F3706" w:rsidRPr="002450B3">
        <w:rPr>
          <w:szCs w:val="24"/>
        </w:rPr>
        <w:t xml:space="preserve">ARIA and other pathologies which may contraindicate treatment with </w:t>
      </w:r>
      <w:proofErr w:type="spellStart"/>
      <w:r w:rsidR="000F3706" w:rsidRPr="002450B3">
        <w:rPr>
          <w:szCs w:val="24"/>
        </w:rPr>
        <w:t>lecanemab</w:t>
      </w:r>
      <w:proofErr w:type="spellEnd"/>
      <w:r w:rsidR="000F3706" w:rsidRPr="002450B3">
        <w:rPr>
          <w:szCs w:val="24"/>
        </w:rPr>
        <w:t>.</w:t>
      </w:r>
    </w:p>
    <w:p w14:paraId="5FEB7415" w14:textId="7994867F" w:rsidR="00ED5546" w:rsidRDefault="00B42E5D" w:rsidP="00A86A86">
      <w:pPr>
        <w:rPr>
          <w:szCs w:val="24"/>
        </w:rPr>
      </w:pPr>
      <w:r>
        <w:rPr>
          <w:szCs w:val="24"/>
        </w:rPr>
        <w:t xml:space="preserve">The </w:t>
      </w:r>
      <w:r w:rsidR="0065465D">
        <w:rPr>
          <w:szCs w:val="24"/>
        </w:rPr>
        <w:t>current presentation</w:t>
      </w:r>
      <w:r w:rsidR="006A0632">
        <w:rPr>
          <w:szCs w:val="24"/>
        </w:rPr>
        <w:t>s</w:t>
      </w:r>
      <w:r w:rsidR="0065465D">
        <w:rPr>
          <w:szCs w:val="24"/>
        </w:rPr>
        <w:t xml:space="preserve"> of </w:t>
      </w:r>
      <w:proofErr w:type="spellStart"/>
      <w:r w:rsidR="0065465D">
        <w:rPr>
          <w:szCs w:val="24"/>
        </w:rPr>
        <w:t>l</w:t>
      </w:r>
      <w:r w:rsidR="002450B3" w:rsidRPr="002450B3">
        <w:rPr>
          <w:szCs w:val="24"/>
        </w:rPr>
        <w:t>ecanemab</w:t>
      </w:r>
      <w:proofErr w:type="spellEnd"/>
      <w:r w:rsidR="002450B3" w:rsidRPr="002450B3">
        <w:rPr>
          <w:szCs w:val="24"/>
        </w:rPr>
        <w:t xml:space="preserve"> </w:t>
      </w:r>
      <w:r w:rsidR="0065465D">
        <w:rPr>
          <w:szCs w:val="24"/>
        </w:rPr>
        <w:t>(</w:t>
      </w:r>
      <w:r w:rsidR="009E54E3">
        <w:rPr>
          <w:szCs w:val="24"/>
        </w:rPr>
        <w:t xml:space="preserve">500 mg/5 mL and 200 mg/2 mL vials) are </w:t>
      </w:r>
      <w:r w:rsidR="002450B3" w:rsidRPr="002450B3">
        <w:rPr>
          <w:szCs w:val="24"/>
        </w:rPr>
        <w:t>administered by intravenous infusion. This is expected to take place at an infusion centre operating as an outpatient clinic.</w:t>
      </w:r>
    </w:p>
    <w:p w14:paraId="38D2ADE7" w14:textId="5519F57C" w:rsidR="0090168B" w:rsidRPr="00A86A86" w:rsidRDefault="00F16239" w:rsidP="00A86A86">
      <w:pPr>
        <w:rPr>
          <w:b/>
          <w:bCs/>
          <w:szCs w:val="24"/>
        </w:rPr>
      </w:pPr>
      <w:r w:rsidRPr="00A86A86">
        <w:rPr>
          <w:b/>
          <w:bCs/>
          <w:szCs w:val="24"/>
        </w:rPr>
        <w:t>Explain what other healthcare resources are used in conjunction with the comparator health technology</w:t>
      </w:r>
      <w:r w:rsidR="0090168B" w:rsidRPr="00A86A86">
        <w:rPr>
          <w:b/>
          <w:bCs/>
          <w:szCs w:val="24"/>
        </w:rPr>
        <w:t>:</w:t>
      </w:r>
    </w:p>
    <w:p w14:paraId="647FF3FE" w14:textId="77777777" w:rsidR="00232223" w:rsidRDefault="00232223" w:rsidP="00232223">
      <w:pPr>
        <w:rPr>
          <w:szCs w:val="24"/>
        </w:rPr>
      </w:pPr>
      <w:r>
        <w:rPr>
          <w:szCs w:val="24"/>
        </w:rPr>
        <w:t>For people diagnosed with mild cognitive impairment and mild dementia due to Alzheimer’s disease standard medical management involves pharmaceutical and non-pharmaceutical interventions.</w:t>
      </w:r>
    </w:p>
    <w:p w14:paraId="1BC04139" w14:textId="4B684D3E" w:rsidR="00232223" w:rsidRDefault="00232223" w:rsidP="00232223">
      <w:pPr>
        <w:rPr>
          <w:szCs w:val="24"/>
        </w:rPr>
      </w:pPr>
      <w:r>
        <w:rPr>
          <w:szCs w:val="24"/>
        </w:rPr>
        <w:t xml:space="preserve">Pharmaceutical interventions for the treatment of Alzheimer’s disease include </w:t>
      </w:r>
      <w:r w:rsidRPr="00903A6A">
        <w:rPr>
          <w:szCs w:val="24"/>
        </w:rPr>
        <w:t xml:space="preserve">acetylcholinesterase inhibitors or memantine. </w:t>
      </w:r>
      <w:proofErr w:type="gramStart"/>
      <w:r w:rsidRPr="00903A6A">
        <w:rPr>
          <w:szCs w:val="24"/>
        </w:rPr>
        <w:t>Both of these</w:t>
      </w:r>
      <w:proofErr w:type="gramEnd"/>
      <w:r w:rsidRPr="00903A6A">
        <w:rPr>
          <w:szCs w:val="24"/>
        </w:rPr>
        <w:t xml:space="preserve"> treatments are </w:t>
      </w:r>
      <w:r>
        <w:rPr>
          <w:szCs w:val="24"/>
        </w:rPr>
        <w:t xml:space="preserve">listed on the PBS listed </w:t>
      </w:r>
      <w:r w:rsidRPr="00903A6A">
        <w:rPr>
          <w:szCs w:val="24"/>
        </w:rPr>
        <w:t>for the treatment of Alzheimer’s disease</w:t>
      </w:r>
      <w:r>
        <w:rPr>
          <w:szCs w:val="24"/>
        </w:rPr>
        <w:t>. A</w:t>
      </w:r>
      <w:r w:rsidRPr="00903A6A">
        <w:rPr>
          <w:szCs w:val="24"/>
        </w:rPr>
        <w:t xml:space="preserve">cetylcholinesterase inhibitors </w:t>
      </w:r>
      <w:r>
        <w:rPr>
          <w:szCs w:val="24"/>
        </w:rPr>
        <w:t xml:space="preserve">are PBS listed </w:t>
      </w:r>
      <w:r w:rsidRPr="00903A6A">
        <w:rPr>
          <w:szCs w:val="24"/>
        </w:rPr>
        <w:t>for people with mild to moderately severe disease</w:t>
      </w:r>
      <w:r>
        <w:rPr>
          <w:szCs w:val="24"/>
        </w:rPr>
        <w:t>. M</w:t>
      </w:r>
      <w:r w:rsidRPr="00903A6A">
        <w:rPr>
          <w:szCs w:val="24"/>
        </w:rPr>
        <w:t xml:space="preserve">emantine </w:t>
      </w:r>
      <w:r w:rsidR="00AB12D3">
        <w:rPr>
          <w:szCs w:val="24"/>
        </w:rPr>
        <w:t xml:space="preserve">is PBS listed </w:t>
      </w:r>
      <w:r w:rsidRPr="00903A6A">
        <w:rPr>
          <w:szCs w:val="24"/>
        </w:rPr>
        <w:t>for people with moderately severe disease. The PBS restrictions for acetylcholinesterase inhibitors and memantine do not include criteria relating to</w:t>
      </w:r>
      <w:r w:rsidR="00AB12D3">
        <w:rPr>
          <w:szCs w:val="24"/>
        </w:rPr>
        <w:t xml:space="preserve"> </w:t>
      </w:r>
      <w:r w:rsidR="00AB12D3" w:rsidRPr="00AB12D3">
        <w:rPr>
          <w:szCs w:val="24"/>
        </w:rPr>
        <w:t xml:space="preserve">Aβ pathology and </w:t>
      </w:r>
      <w:proofErr w:type="spellStart"/>
      <w:r w:rsidR="00AB12D3" w:rsidRPr="00AB12D3">
        <w:rPr>
          <w:szCs w:val="24"/>
        </w:rPr>
        <w:t>ApoE</w:t>
      </w:r>
      <w:proofErr w:type="spellEnd"/>
      <w:r w:rsidR="00AB12D3" w:rsidRPr="00AB12D3">
        <w:rPr>
          <w:szCs w:val="24"/>
        </w:rPr>
        <w:t xml:space="preserve"> ε4 genotype </w:t>
      </w:r>
      <w:r>
        <w:rPr>
          <w:szCs w:val="24"/>
        </w:rPr>
        <w:t>status.</w:t>
      </w:r>
    </w:p>
    <w:p w14:paraId="378F78D9" w14:textId="28E2F695" w:rsidR="00F16239" w:rsidRPr="00A86A86" w:rsidRDefault="00F16239" w:rsidP="00A86A86">
      <w:pPr>
        <w:rPr>
          <w:b/>
          <w:bCs/>
          <w:szCs w:val="24"/>
        </w:rPr>
      </w:pPr>
      <w:r w:rsidRPr="00A86A86">
        <w:rPr>
          <w:b/>
          <w:bCs/>
          <w:szCs w:val="24"/>
        </w:rPr>
        <w:t>Describe and explain any differences in the healthcare resources used in conjunction with the proposed health technology vs. the comparator health technology:</w:t>
      </w:r>
    </w:p>
    <w:p w14:paraId="48515AE7" w14:textId="7691018F" w:rsidR="00903A6A" w:rsidRDefault="00EF24D6" w:rsidP="00F14EE4">
      <w:pPr>
        <w:rPr>
          <w:szCs w:val="24"/>
        </w:rPr>
      </w:pPr>
      <w:r w:rsidRPr="00194714">
        <w:rPr>
          <w:szCs w:val="24"/>
        </w:rPr>
        <w:t xml:space="preserve">At the discretion of the investigator </w:t>
      </w:r>
      <w:r w:rsidR="00676545">
        <w:rPr>
          <w:szCs w:val="24"/>
        </w:rPr>
        <w:t>people</w:t>
      </w:r>
      <w:r w:rsidRPr="00194714">
        <w:rPr>
          <w:szCs w:val="24"/>
        </w:rPr>
        <w:t xml:space="preserve"> in either arm of the CLARITY AD trial </w:t>
      </w:r>
      <w:proofErr w:type="gramStart"/>
      <w:r w:rsidRPr="00194714">
        <w:rPr>
          <w:szCs w:val="24"/>
        </w:rPr>
        <w:t>were</w:t>
      </w:r>
      <w:proofErr w:type="gramEnd"/>
      <w:r w:rsidRPr="00194714">
        <w:rPr>
          <w:szCs w:val="24"/>
        </w:rPr>
        <w:t xml:space="preserve"> eligible to receive approved treatments for Alzheimer’s disease, e.g. acetylcholinesterase inhibitors or memantine. </w:t>
      </w:r>
      <w:r w:rsidR="0023349E" w:rsidRPr="00194714">
        <w:rPr>
          <w:szCs w:val="24"/>
        </w:rPr>
        <w:t xml:space="preserve">In this context, </w:t>
      </w:r>
      <w:r w:rsidR="00980BE1" w:rsidRPr="00194714">
        <w:rPr>
          <w:szCs w:val="24"/>
        </w:rPr>
        <w:t xml:space="preserve">people accessing </w:t>
      </w:r>
      <w:proofErr w:type="spellStart"/>
      <w:r w:rsidR="00980BE1" w:rsidRPr="00ED55C5">
        <w:rPr>
          <w:szCs w:val="24"/>
        </w:rPr>
        <w:t>ApoE</w:t>
      </w:r>
      <w:proofErr w:type="spellEnd"/>
      <w:r w:rsidR="00980BE1" w:rsidRPr="00ED55C5">
        <w:rPr>
          <w:szCs w:val="24"/>
        </w:rPr>
        <w:t xml:space="preserve"> </w:t>
      </w:r>
      <w:r w:rsidR="00980BE1" w:rsidRPr="00BB531D">
        <w:rPr>
          <w:szCs w:val="24"/>
        </w:rPr>
        <w:t>ε</w:t>
      </w:r>
      <w:r w:rsidR="00980BE1" w:rsidRPr="00ED55C5">
        <w:rPr>
          <w:szCs w:val="24"/>
        </w:rPr>
        <w:t>4 genotype</w:t>
      </w:r>
      <w:r w:rsidR="00980BE1">
        <w:rPr>
          <w:szCs w:val="24"/>
        </w:rPr>
        <w:t xml:space="preserve"> and Aβ pathology testing, </w:t>
      </w:r>
      <w:r w:rsidR="00576042">
        <w:rPr>
          <w:szCs w:val="24"/>
        </w:rPr>
        <w:t xml:space="preserve">and subsequent treatment with </w:t>
      </w:r>
      <w:proofErr w:type="spellStart"/>
      <w:r w:rsidR="00576042">
        <w:rPr>
          <w:szCs w:val="24"/>
        </w:rPr>
        <w:t>lecanemab</w:t>
      </w:r>
      <w:proofErr w:type="spellEnd"/>
      <w:r w:rsidR="00576042">
        <w:rPr>
          <w:szCs w:val="24"/>
        </w:rPr>
        <w:t>, may also be treated with standard medical management</w:t>
      </w:r>
      <w:r w:rsidR="00194714">
        <w:rPr>
          <w:szCs w:val="24"/>
        </w:rPr>
        <w:t>.</w:t>
      </w:r>
    </w:p>
    <w:p w14:paraId="2BE17ED5" w14:textId="0F1E92FD" w:rsidR="00F16239" w:rsidRPr="0089269F" w:rsidRDefault="00EA0AA0" w:rsidP="00BF4BAA">
      <w:pPr>
        <w:pStyle w:val="Heading2"/>
        <w:rPr>
          <w:szCs w:val="24"/>
          <w:u w:val="single"/>
        </w:rPr>
      </w:pPr>
      <w:r w:rsidRPr="0089269F">
        <w:rPr>
          <w:szCs w:val="24"/>
          <w:u w:val="single"/>
        </w:rPr>
        <w:t>CLINICAL MANAGEMENT AFTER THE USE OF HEALTH TECHNOLOGY</w:t>
      </w:r>
    </w:p>
    <w:p w14:paraId="3017C87B" w14:textId="631F5EC6" w:rsidR="00F16239" w:rsidRPr="00A86A86" w:rsidRDefault="00F16239" w:rsidP="00A86A86">
      <w:pPr>
        <w:rPr>
          <w:b/>
          <w:bCs/>
          <w:szCs w:val="24"/>
        </w:rPr>
      </w:pPr>
      <w:r w:rsidRPr="00A86A86">
        <w:rPr>
          <w:b/>
          <w:bCs/>
          <w:szCs w:val="24"/>
        </w:rPr>
        <w:t>Define and summarise the clinical management algorithm, including any required tests or healthcare resources, after the use of the proposed health technology:</w:t>
      </w:r>
    </w:p>
    <w:p w14:paraId="22F53CB1" w14:textId="71B2CB0D" w:rsidR="00F16239" w:rsidRDefault="00493F64" w:rsidP="00BC0C43">
      <w:pPr>
        <w:rPr>
          <w:b/>
          <w:bCs/>
          <w:szCs w:val="24"/>
        </w:rPr>
      </w:pPr>
      <w:r w:rsidRPr="00493F64">
        <w:rPr>
          <w:b/>
          <w:bCs/>
          <w:szCs w:val="24"/>
        </w:rPr>
        <w:t>Biomarker testing</w:t>
      </w:r>
    </w:p>
    <w:p w14:paraId="00D43E0B" w14:textId="65B5BD41" w:rsidR="00087FC7" w:rsidRDefault="00726676" w:rsidP="00BC0C43">
      <w:pPr>
        <w:rPr>
          <w:szCs w:val="24"/>
        </w:rPr>
      </w:pPr>
      <w:r w:rsidRPr="001D70C3">
        <w:rPr>
          <w:szCs w:val="24"/>
        </w:rPr>
        <w:t xml:space="preserve">People </w:t>
      </w:r>
      <w:r w:rsidRPr="00BB531D">
        <w:rPr>
          <w:szCs w:val="24"/>
        </w:rPr>
        <w:t xml:space="preserve">assessed as being </w:t>
      </w:r>
      <w:proofErr w:type="spellStart"/>
      <w:r w:rsidRPr="00BB531D">
        <w:rPr>
          <w:szCs w:val="24"/>
        </w:rPr>
        <w:t>ApoE</w:t>
      </w:r>
      <w:proofErr w:type="spellEnd"/>
      <w:r w:rsidRPr="00BB531D">
        <w:rPr>
          <w:szCs w:val="24"/>
        </w:rPr>
        <w:t xml:space="preserve"> ε4 non-carriers or heterozygous with evidence of Aβ pathology</w:t>
      </w:r>
      <w:r w:rsidR="00377E11">
        <w:rPr>
          <w:szCs w:val="24"/>
        </w:rPr>
        <w:t xml:space="preserve"> would be eligible for </w:t>
      </w:r>
      <w:proofErr w:type="spellStart"/>
      <w:r w:rsidR="00832074">
        <w:rPr>
          <w:szCs w:val="24"/>
        </w:rPr>
        <w:t>lecanemab</w:t>
      </w:r>
      <w:proofErr w:type="spellEnd"/>
      <w:r w:rsidR="00832074">
        <w:rPr>
          <w:szCs w:val="24"/>
        </w:rPr>
        <w:t xml:space="preserve">. </w:t>
      </w:r>
      <w:r w:rsidR="004B6B69">
        <w:rPr>
          <w:szCs w:val="24"/>
        </w:rPr>
        <w:t xml:space="preserve">Healthcare resources associated with the use </w:t>
      </w:r>
      <w:r w:rsidR="004B6B69">
        <w:rPr>
          <w:szCs w:val="24"/>
        </w:rPr>
        <w:lastRenderedPageBreak/>
        <w:t xml:space="preserve">of </w:t>
      </w:r>
      <w:proofErr w:type="spellStart"/>
      <w:r w:rsidR="004B6B69">
        <w:rPr>
          <w:szCs w:val="24"/>
        </w:rPr>
        <w:t>lecanemab</w:t>
      </w:r>
      <w:proofErr w:type="spellEnd"/>
      <w:r w:rsidR="004B6B69">
        <w:rPr>
          <w:szCs w:val="24"/>
        </w:rPr>
        <w:t xml:space="preserve"> are MRI scans of the brain and </w:t>
      </w:r>
      <w:r w:rsidR="00087FC7">
        <w:rPr>
          <w:szCs w:val="24"/>
        </w:rPr>
        <w:t xml:space="preserve">treatment administration by </w:t>
      </w:r>
      <w:r w:rsidR="004B6B69">
        <w:rPr>
          <w:szCs w:val="24"/>
        </w:rPr>
        <w:t>intravenous</w:t>
      </w:r>
      <w:r w:rsidR="00087FC7">
        <w:rPr>
          <w:szCs w:val="24"/>
        </w:rPr>
        <w:t xml:space="preserve"> infusion.</w:t>
      </w:r>
    </w:p>
    <w:p w14:paraId="050867D6" w14:textId="053E6CD7" w:rsidR="00A30D57" w:rsidRDefault="00A30D57" w:rsidP="00BC0C43">
      <w:pPr>
        <w:rPr>
          <w:szCs w:val="24"/>
        </w:rPr>
      </w:pPr>
      <w:r>
        <w:rPr>
          <w:szCs w:val="24"/>
        </w:rPr>
        <w:t xml:space="preserve">People assessed as being </w:t>
      </w:r>
      <w:proofErr w:type="spellStart"/>
      <w:r w:rsidRPr="00BB531D">
        <w:rPr>
          <w:szCs w:val="24"/>
        </w:rPr>
        <w:t>ApoE</w:t>
      </w:r>
      <w:proofErr w:type="spellEnd"/>
      <w:r w:rsidRPr="00BB531D">
        <w:rPr>
          <w:szCs w:val="24"/>
        </w:rPr>
        <w:t xml:space="preserve"> ε4 </w:t>
      </w:r>
      <w:r>
        <w:rPr>
          <w:szCs w:val="24"/>
        </w:rPr>
        <w:t xml:space="preserve">homozygous or </w:t>
      </w:r>
      <w:r w:rsidR="0001475F">
        <w:rPr>
          <w:szCs w:val="24"/>
        </w:rPr>
        <w:t xml:space="preserve">without evidence of Aβ pathology would not be eligible for </w:t>
      </w:r>
      <w:proofErr w:type="spellStart"/>
      <w:r w:rsidR="0001475F">
        <w:rPr>
          <w:szCs w:val="24"/>
        </w:rPr>
        <w:t>lecanemab</w:t>
      </w:r>
      <w:proofErr w:type="spellEnd"/>
      <w:r w:rsidR="0001475F">
        <w:rPr>
          <w:szCs w:val="24"/>
        </w:rPr>
        <w:t xml:space="preserve"> treatment. They would </w:t>
      </w:r>
      <w:r w:rsidR="00485054">
        <w:rPr>
          <w:szCs w:val="24"/>
        </w:rPr>
        <w:t>continue to be managed using standard medical management.</w:t>
      </w:r>
    </w:p>
    <w:p w14:paraId="65EA89CD" w14:textId="77777777" w:rsidR="00087FC7" w:rsidRDefault="00087FC7" w:rsidP="00BC0C43">
      <w:pPr>
        <w:rPr>
          <w:b/>
          <w:bCs/>
          <w:szCs w:val="24"/>
        </w:rPr>
      </w:pPr>
      <w:proofErr w:type="spellStart"/>
      <w:r w:rsidRPr="00087FC7">
        <w:rPr>
          <w:b/>
          <w:bCs/>
          <w:szCs w:val="24"/>
        </w:rPr>
        <w:t>Lecanemab</w:t>
      </w:r>
      <w:proofErr w:type="spellEnd"/>
      <w:r w:rsidRPr="00087FC7">
        <w:rPr>
          <w:b/>
          <w:bCs/>
          <w:szCs w:val="24"/>
        </w:rPr>
        <w:t xml:space="preserve"> treatment</w:t>
      </w:r>
    </w:p>
    <w:p w14:paraId="5F102232" w14:textId="0B82C7BC" w:rsidR="00493F64" w:rsidRPr="003F5D94" w:rsidRDefault="00087FC7" w:rsidP="00BC0C43">
      <w:pPr>
        <w:rPr>
          <w:szCs w:val="24"/>
        </w:rPr>
      </w:pPr>
      <w:r w:rsidRPr="003F5D94">
        <w:rPr>
          <w:szCs w:val="24"/>
        </w:rPr>
        <w:t>There is no protocol-defined</w:t>
      </w:r>
      <w:r w:rsidR="001B4C29" w:rsidRPr="003F5D94">
        <w:rPr>
          <w:szCs w:val="24"/>
        </w:rPr>
        <w:t xml:space="preserve"> approach to managing p</w:t>
      </w:r>
      <w:r w:rsidR="00292ACC" w:rsidRPr="003F5D94">
        <w:rPr>
          <w:szCs w:val="24"/>
        </w:rPr>
        <w:t xml:space="preserve">eople </w:t>
      </w:r>
      <w:r w:rsidR="001B4C29" w:rsidRPr="003F5D94">
        <w:rPr>
          <w:szCs w:val="24"/>
        </w:rPr>
        <w:t xml:space="preserve">after discontinuation of </w:t>
      </w:r>
      <w:proofErr w:type="spellStart"/>
      <w:r w:rsidR="00292ACC" w:rsidRPr="003F5D94">
        <w:rPr>
          <w:szCs w:val="24"/>
        </w:rPr>
        <w:t>lecanemab</w:t>
      </w:r>
      <w:proofErr w:type="spellEnd"/>
      <w:r w:rsidR="00292ACC" w:rsidRPr="003F5D94">
        <w:rPr>
          <w:szCs w:val="24"/>
        </w:rPr>
        <w:t xml:space="preserve"> treatment. People would continue to be managed using standard </w:t>
      </w:r>
      <w:r w:rsidR="00420993" w:rsidRPr="003F5D94">
        <w:rPr>
          <w:szCs w:val="24"/>
        </w:rPr>
        <w:t>medical management</w:t>
      </w:r>
      <w:r w:rsidR="00D2739F">
        <w:rPr>
          <w:szCs w:val="24"/>
        </w:rPr>
        <w:t>.</w:t>
      </w:r>
    </w:p>
    <w:p w14:paraId="09165252" w14:textId="69360128" w:rsidR="00F16239" w:rsidRPr="00A86A86" w:rsidRDefault="00F16239" w:rsidP="00A86A86">
      <w:pPr>
        <w:rPr>
          <w:b/>
          <w:bCs/>
          <w:szCs w:val="24"/>
        </w:rPr>
      </w:pPr>
      <w:r w:rsidRPr="00A86A86">
        <w:rPr>
          <w:b/>
          <w:bCs/>
          <w:szCs w:val="24"/>
        </w:rPr>
        <w:t>Define and summarise the clinical management algorithm, including any required tests or healthcare resources, after the use of the comparator health technology:</w:t>
      </w:r>
    </w:p>
    <w:p w14:paraId="3650423E" w14:textId="19FBBC80" w:rsidR="00625CC5" w:rsidRPr="003F5D94" w:rsidRDefault="003F5D94" w:rsidP="003F5D94">
      <w:pPr>
        <w:rPr>
          <w:szCs w:val="24"/>
        </w:rPr>
      </w:pPr>
      <w:r w:rsidRPr="003F5D94">
        <w:rPr>
          <w:szCs w:val="24"/>
        </w:rPr>
        <w:t>There is no protocol-defined approach to managing people after standard medical management.</w:t>
      </w:r>
      <w:r w:rsidR="0037068C">
        <w:rPr>
          <w:szCs w:val="24"/>
        </w:rPr>
        <w:t xml:space="preserve"> </w:t>
      </w:r>
      <w:r w:rsidR="00BD3096">
        <w:rPr>
          <w:szCs w:val="24"/>
        </w:rPr>
        <w:t>P</w:t>
      </w:r>
      <w:r w:rsidR="0037068C">
        <w:rPr>
          <w:szCs w:val="24"/>
        </w:rPr>
        <w:t>eople</w:t>
      </w:r>
      <w:r w:rsidR="00625CC5">
        <w:rPr>
          <w:szCs w:val="24"/>
        </w:rPr>
        <w:t xml:space="preserve"> diagnosed with mild to moderately severe </w:t>
      </w:r>
      <w:r w:rsidR="00BD3096">
        <w:rPr>
          <w:szCs w:val="24"/>
        </w:rPr>
        <w:t xml:space="preserve">disease that received treatment with </w:t>
      </w:r>
      <w:r w:rsidR="00625CC5" w:rsidRPr="00903A6A">
        <w:rPr>
          <w:szCs w:val="24"/>
        </w:rPr>
        <w:t xml:space="preserve">acetylcholinesterase inhibitors </w:t>
      </w:r>
      <w:r w:rsidR="00BD3096">
        <w:rPr>
          <w:szCs w:val="24"/>
        </w:rPr>
        <w:t xml:space="preserve">may go on to receive </w:t>
      </w:r>
      <w:r w:rsidR="00625CC5" w:rsidRPr="00903A6A">
        <w:rPr>
          <w:szCs w:val="24"/>
        </w:rPr>
        <w:t xml:space="preserve">memantine </w:t>
      </w:r>
      <w:r w:rsidR="00BD3096">
        <w:rPr>
          <w:szCs w:val="24"/>
        </w:rPr>
        <w:t xml:space="preserve">upon progression to </w:t>
      </w:r>
      <w:r w:rsidR="00625CC5" w:rsidRPr="00903A6A">
        <w:rPr>
          <w:szCs w:val="24"/>
        </w:rPr>
        <w:t>moderately severe disease.</w:t>
      </w:r>
    </w:p>
    <w:p w14:paraId="5C871695" w14:textId="78E78F7F" w:rsidR="00F16239" w:rsidRPr="00A86A86" w:rsidRDefault="00F16239" w:rsidP="00A86A86">
      <w:pPr>
        <w:rPr>
          <w:b/>
          <w:bCs/>
          <w:szCs w:val="24"/>
        </w:rPr>
      </w:pPr>
      <w:r w:rsidRPr="00A86A86">
        <w:rPr>
          <w:b/>
          <w:bCs/>
          <w:szCs w:val="24"/>
        </w:rPr>
        <w:t>Describe and explain any differences in the healthcare resources used after the proposed health technology vs. the comparator health technology:</w:t>
      </w:r>
    </w:p>
    <w:p w14:paraId="172FA752" w14:textId="235572EA" w:rsidR="00734C43" w:rsidRDefault="005E2F8D" w:rsidP="00A86A86">
      <w:pPr>
        <w:rPr>
          <w:b/>
          <w:bCs/>
          <w:szCs w:val="24"/>
        </w:rPr>
      </w:pPr>
      <w:r w:rsidRPr="0046503E">
        <w:t>Described previously. In sho</w:t>
      </w:r>
      <w:r w:rsidR="002C05FE" w:rsidRPr="0046503E">
        <w:t xml:space="preserve">rt, people </w:t>
      </w:r>
      <w:r w:rsidR="000470FD" w:rsidRPr="0046503E">
        <w:t xml:space="preserve">assessed </w:t>
      </w:r>
      <w:r w:rsidR="002C05FE" w:rsidRPr="0046503E">
        <w:t xml:space="preserve">as being </w:t>
      </w:r>
      <w:proofErr w:type="spellStart"/>
      <w:r w:rsidR="002C05FE" w:rsidRPr="0046503E">
        <w:t>ApoE</w:t>
      </w:r>
      <w:proofErr w:type="spellEnd"/>
      <w:r w:rsidR="002C05FE" w:rsidRPr="0046503E">
        <w:t xml:space="preserve"> ε4</w:t>
      </w:r>
      <w:r w:rsidR="002C05FE" w:rsidRPr="00BB531D">
        <w:rPr>
          <w:szCs w:val="24"/>
        </w:rPr>
        <w:t xml:space="preserve"> non-carriers or heterozygous with evidence of Aβ pathology</w:t>
      </w:r>
      <w:r w:rsidR="00E63143">
        <w:rPr>
          <w:szCs w:val="24"/>
        </w:rPr>
        <w:t xml:space="preserve"> after the use of biomarker testing will be eligible for treatment with </w:t>
      </w:r>
      <w:proofErr w:type="spellStart"/>
      <w:r w:rsidR="00E63143">
        <w:rPr>
          <w:szCs w:val="24"/>
        </w:rPr>
        <w:t>lecanemab</w:t>
      </w:r>
      <w:proofErr w:type="spellEnd"/>
      <w:r w:rsidR="00E63143">
        <w:rPr>
          <w:szCs w:val="24"/>
        </w:rPr>
        <w:t xml:space="preserve"> </w:t>
      </w:r>
      <w:r w:rsidR="00AC0385">
        <w:rPr>
          <w:szCs w:val="24"/>
        </w:rPr>
        <w:t xml:space="preserve">in addition to </w:t>
      </w:r>
      <w:r w:rsidR="008C4954">
        <w:rPr>
          <w:szCs w:val="24"/>
        </w:rPr>
        <w:t>standard</w:t>
      </w:r>
      <w:r w:rsidR="00AC0385">
        <w:rPr>
          <w:szCs w:val="24"/>
        </w:rPr>
        <w:t xml:space="preserve"> medical management</w:t>
      </w:r>
      <w:r w:rsidR="00D9318F">
        <w:rPr>
          <w:szCs w:val="24"/>
        </w:rPr>
        <w:t xml:space="preserve">. For the comparator </w:t>
      </w:r>
      <w:r w:rsidR="00EA23DE">
        <w:rPr>
          <w:szCs w:val="24"/>
        </w:rPr>
        <w:t xml:space="preserve">scenario </w:t>
      </w:r>
      <w:r w:rsidR="00D9318F">
        <w:rPr>
          <w:szCs w:val="24"/>
        </w:rPr>
        <w:t>‘</w:t>
      </w:r>
      <w:r w:rsidR="00EA23DE">
        <w:rPr>
          <w:szCs w:val="24"/>
        </w:rPr>
        <w:t>n</w:t>
      </w:r>
      <w:r w:rsidR="00EA23DE" w:rsidRPr="00994ED0">
        <w:rPr>
          <w:szCs w:val="24"/>
        </w:rPr>
        <w:t>o testing</w:t>
      </w:r>
      <w:r w:rsidR="00EA23DE">
        <w:rPr>
          <w:szCs w:val="24"/>
        </w:rPr>
        <w:t xml:space="preserve"> and standard medical management’ all people </w:t>
      </w:r>
      <w:r w:rsidR="00C72ADF">
        <w:rPr>
          <w:szCs w:val="24"/>
        </w:rPr>
        <w:t>would be managed with standard medical management.</w:t>
      </w:r>
    </w:p>
    <w:p w14:paraId="5574CCE6" w14:textId="1F017D46" w:rsidR="003B5CCD" w:rsidRDefault="00364572" w:rsidP="00A86A86">
      <w:pPr>
        <w:rPr>
          <w:b/>
          <w:bCs/>
          <w:szCs w:val="24"/>
        </w:rPr>
      </w:pPr>
      <w:r w:rsidRPr="00A86A86">
        <w:rPr>
          <w:b/>
          <w:bCs/>
          <w:szCs w:val="24"/>
        </w:rPr>
        <w:t xml:space="preserve">Insert </w:t>
      </w:r>
      <w:r w:rsidR="00545A4C" w:rsidRPr="00A86A86">
        <w:rPr>
          <w:b/>
          <w:bCs/>
          <w:szCs w:val="24"/>
        </w:rPr>
        <w:t>diagrams demonstrating the clinical management algorithm with and without the proposed health technology:</w:t>
      </w:r>
    </w:p>
    <w:p w14:paraId="16FC00D8" w14:textId="304599E5" w:rsidR="00090B00" w:rsidRDefault="00AB25AD" w:rsidP="00AB25AD">
      <w:pPr>
        <w:rPr>
          <w:szCs w:val="24"/>
        </w:rPr>
      </w:pPr>
      <w:r>
        <w:rPr>
          <w:szCs w:val="24"/>
        </w:rPr>
        <w:t xml:space="preserve">Clinical management algorithms </w:t>
      </w:r>
      <w:r w:rsidR="00920A33">
        <w:rPr>
          <w:szCs w:val="24"/>
        </w:rPr>
        <w:t xml:space="preserve">depicting a high-level summary of people </w:t>
      </w:r>
      <w:r w:rsidR="001758C4" w:rsidRPr="00AB25AD">
        <w:rPr>
          <w:szCs w:val="24"/>
        </w:rPr>
        <w:t xml:space="preserve">diagnosed </w:t>
      </w:r>
      <w:r w:rsidR="0041321F">
        <w:rPr>
          <w:szCs w:val="24"/>
        </w:rPr>
        <w:t xml:space="preserve">with </w:t>
      </w:r>
      <w:r w:rsidR="00090B00">
        <w:rPr>
          <w:szCs w:val="24"/>
        </w:rPr>
        <w:t>mild cognitive impairment and mild dementia due to Alzheimer’s disease</w:t>
      </w:r>
      <w:r w:rsidR="0041321F">
        <w:rPr>
          <w:szCs w:val="24"/>
        </w:rPr>
        <w:t xml:space="preserve"> are provided in </w:t>
      </w:r>
      <w:r w:rsidR="00D13015">
        <w:rPr>
          <w:szCs w:val="24"/>
        </w:rPr>
        <w:fldChar w:fldCharType="begin"/>
      </w:r>
      <w:r w:rsidR="00D13015">
        <w:rPr>
          <w:szCs w:val="24"/>
        </w:rPr>
        <w:instrText xml:space="preserve"> REF _Ref225418917 \h </w:instrText>
      </w:r>
      <w:r w:rsidR="00D13015">
        <w:rPr>
          <w:szCs w:val="24"/>
        </w:rPr>
      </w:r>
      <w:r w:rsidR="00D13015">
        <w:rPr>
          <w:szCs w:val="24"/>
        </w:rPr>
        <w:fldChar w:fldCharType="separate"/>
      </w:r>
      <w:r w:rsidR="00D13015">
        <w:t xml:space="preserve">Figure </w:t>
      </w:r>
      <w:r w:rsidR="00D13015">
        <w:rPr>
          <w:noProof/>
        </w:rPr>
        <w:t>1</w:t>
      </w:r>
      <w:r w:rsidR="00D13015">
        <w:rPr>
          <w:szCs w:val="24"/>
        </w:rPr>
        <w:fldChar w:fldCharType="end"/>
      </w:r>
      <w:r w:rsidR="0041321F">
        <w:rPr>
          <w:szCs w:val="24"/>
        </w:rPr>
        <w:t xml:space="preserve"> (without biomarker testing and </w:t>
      </w:r>
      <w:proofErr w:type="spellStart"/>
      <w:r w:rsidR="0041321F">
        <w:rPr>
          <w:szCs w:val="24"/>
        </w:rPr>
        <w:t>lecanemab</w:t>
      </w:r>
      <w:proofErr w:type="spellEnd"/>
      <w:r w:rsidR="0041321F">
        <w:rPr>
          <w:szCs w:val="24"/>
        </w:rPr>
        <w:t xml:space="preserve">) and </w:t>
      </w:r>
      <w:r w:rsidR="00D13015">
        <w:rPr>
          <w:szCs w:val="24"/>
        </w:rPr>
        <w:fldChar w:fldCharType="begin"/>
      </w:r>
      <w:r w:rsidR="00D13015">
        <w:rPr>
          <w:szCs w:val="24"/>
        </w:rPr>
        <w:instrText xml:space="preserve"> REF _Ref225418925 \h </w:instrText>
      </w:r>
      <w:r w:rsidR="00D13015">
        <w:rPr>
          <w:szCs w:val="24"/>
        </w:rPr>
      </w:r>
      <w:r w:rsidR="00D13015">
        <w:rPr>
          <w:szCs w:val="24"/>
        </w:rPr>
        <w:fldChar w:fldCharType="separate"/>
      </w:r>
      <w:r w:rsidR="00D13015">
        <w:t xml:space="preserve">Figure </w:t>
      </w:r>
      <w:r w:rsidR="00D13015">
        <w:rPr>
          <w:noProof/>
        </w:rPr>
        <w:t>2</w:t>
      </w:r>
      <w:r w:rsidR="00D13015">
        <w:rPr>
          <w:szCs w:val="24"/>
        </w:rPr>
        <w:fldChar w:fldCharType="end"/>
      </w:r>
      <w:r w:rsidR="0041321F">
        <w:rPr>
          <w:szCs w:val="24"/>
        </w:rPr>
        <w:t xml:space="preserve"> (with </w:t>
      </w:r>
      <w:r w:rsidR="007A3023">
        <w:rPr>
          <w:szCs w:val="24"/>
        </w:rPr>
        <w:t xml:space="preserve">biomarker testing and </w:t>
      </w:r>
      <w:proofErr w:type="spellStart"/>
      <w:r w:rsidR="007A3023">
        <w:rPr>
          <w:szCs w:val="24"/>
        </w:rPr>
        <w:t>lecanemab</w:t>
      </w:r>
      <w:proofErr w:type="spellEnd"/>
      <w:r w:rsidR="007A3023">
        <w:rPr>
          <w:szCs w:val="24"/>
        </w:rPr>
        <w:t>).</w:t>
      </w:r>
    </w:p>
    <w:p w14:paraId="29A3DD1B" w14:textId="3B5E2F92" w:rsidR="00FB5235" w:rsidRDefault="00947CE2" w:rsidP="00AB25AD">
      <w:pPr>
        <w:rPr>
          <w:szCs w:val="24"/>
        </w:rPr>
      </w:pPr>
      <w:r>
        <w:rPr>
          <w:szCs w:val="24"/>
        </w:rPr>
        <w:t xml:space="preserve">No change in the investigations undertaken as part of </w:t>
      </w:r>
      <w:r w:rsidR="00FE40EE">
        <w:rPr>
          <w:szCs w:val="24"/>
        </w:rPr>
        <w:t xml:space="preserve">establishing a </w:t>
      </w:r>
      <w:r w:rsidR="00FE40EE" w:rsidRPr="00AB25AD">
        <w:rPr>
          <w:szCs w:val="24"/>
        </w:rPr>
        <w:t>diagnos</w:t>
      </w:r>
      <w:r w:rsidR="00FE40EE">
        <w:rPr>
          <w:szCs w:val="24"/>
        </w:rPr>
        <w:t>is with mild cognitive impairment and mild dementia due to Alzheimer’s disease</w:t>
      </w:r>
      <w:r w:rsidR="009A631E">
        <w:rPr>
          <w:szCs w:val="24"/>
        </w:rPr>
        <w:t xml:space="preserve"> is expected with the availability of </w:t>
      </w:r>
      <w:proofErr w:type="spellStart"/>
      <w:r w:rsidR="009A631E">
        <w:rPr>
          <w:szCs w:val="24"/>
        </w:rPr>
        <w:t>lecanemab</w:t>
      </w:r>
      <w:proofErr w:type="spellEnd"/>
      <w:r w:rsidR="009A631E">
        <w:rPr>
          <w:szCs w:val="24"/>
        </w:rPr>
        <w:t xml:space="preserve">. Thus, the clinical management algorithms focus on the </w:t>
      </w:r>
      <w:r w:rsidR="00517A00">
        <w:rPr>
          <w:szCs w:val="24"/>
        </w:rPr>
        <w:t xml:space="preserve">downstream investigations </w:t>
      </w:r>
      <w:r w:rsidR="00FB5235">
        <w:rPr>
          <w:szCs w:val="24"/>
        </w:rPr>
        <w:t xml:space="preserve">proposed to determine eligibility for treatment with </w:t>
      </w:r>
      <w:proofErr w:type="spellStart"/>
      <w:r w:rsidR="00FB5235">
        <w:rPr>
          <w:szCs w:val="24"/>
        </w:rPr>
        <w:t>lecanemab</w:t>
      </w:r>
      <w:proofErr w:type="spellEnd"/>
      <w:r w:rsidR="00FB5235">
        <w:rPr>
          <w:szCs w:val="24"/>
        </w:rPr>
        <w:t xml:space="preserve"> through the PBS.</w:t>
      </w:r>
    </w:p>
    <w:p w14:paraId="6116FE80" w14:textId="74466A32" w:rsidR="00B4510A" w:rsidRDefault="00B4510A" w:rsidP="00FB3A32">
      <w:pPr>
        <w:pStyle w:val="Caption"/>
        <w:keepNext/>
        <w:keepLines/>
        <w:rPr>
          <w:szCs w:val="24"/>
        </w:rPr>
      </w:pPr>
      <w:bookmarkStart w:id="6" w:name="_Ref225418917"/>
      <w:r>
        <w:lastRenderedPageBreak/>
        <w:t xml:space="preserve">Figure </w:t>
      </w:r>
      <w:r w:rsidR="006B6B66">
        <w:fldChar w:fldCharType="begin"/>
      </w:r>
      <w:r w:rsidR="006B6B66">
        <w:instrText xml:space="preserve"> SEQ Figure \* ARABIC </w:instrText>
      </w:r>
      <w:r w:rsidR="006B6B66">
        <w:fldChar w:fldCharType="separate"/>
      </w:r>
      <w:r w:rsidR="006B6B66">
        <w:rPr>
          <w:noProof/>
        </w:rPr>
        <w:t>1</w:t>
      </w:r>
      <w:r w:rsidR="006B6B66">
        <w:rPr>
          <w:noProof/>
        </w:rPr>
        <w:fldChar w:fldCharType="end"/>
      </w:r>
      <w:bookmarkEnd w:id="6"/>
      <w:r w:rsidR="00F00D7A">
        <w:t xml:space="preserve">: Clinical management algorithm without biomarker testing and </w:t>
      </w:r>
      <w:proofErr w:type="spellStart"/>
      <w:r w:rsidR="00F00D7A">
        <w:t>lecanemab</w:t>
      </w:r>
      <w:proofErr w:type="spellEnd"/>
    </w:p>
    <w:p w14:paraId="674E5318" w14:textId="571B4E5A" w:rsidR="007A3023" w:rsidRPr="00A60B4E" w:rsidRDefault="006B6B66" w:rsidP="00FB3A32">
      <w:pPr>
        <w:keepNext/>
        <w:keepLines/>
        <w:rPr>
          <w:sz w:val="20"/>
          <w:szCs w:val="20"/>
        </w:rPr>
      </w:pPr>
      <w:r w:rsidRPr="00A60B4E">
        <w:rPr>
          <w:noProof/>
          <w:sz w:val="20"/>
          <w:szCs w:val="20"/>
        </w:rPr>
        <w:drawing>
          <wp:inline distT="0" distB="0" distL="0" distR="0" wp14:anchorId="2020AED4" wp14:editId="364C02FE">
            <wp:extent cx="6030595" cy="3595370"/>
            <wp:effectExtent l="0" t="0" r="8255" b="5080"/>
            <wp:docPr id="557682784" name="Picture 2" descr="clinical management algorithm without biomarker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82784" name="Picture 2" descr="clinical management algorithm without biomarker tes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3595370"/>
                    </a:xfrm>
                    <a:prstGeom prst="rect">
                      <a:avLst/>
                    </a:prstGeom>
                    <a:noFill/>
                    <a:ln>
                      <a:noFill/>
                    </a:ln>
                  </pic:spPr>
                </pic:pic>
              </a:graphicData>
            </a:graphic>
          </wp:inline>
        </w:drawing>
      </w:r>
    </w:p>
    <w:p w14:paraId="063FD110" w14:textId="045D4924" w:rsidR="00EB1C58" w:rsidRPr="00A60B4E" w:rsidRDefault="00FA29FC" w:rsidP="00FB3A32">
      <w:pPr>
        <w:keepNext/>
        <w:keepLines/>
        <w:rPr>
          <w:sz w:val="20"/>
          <w:szCs w:val="20"/>
        </w:rPr>
      </w:pPr>
      <w:r w:rsidRPr="00A60B4E">
        <w:rPr>
          <w:sz w:val="20"/>
          <w:szCs w:val="20"/>
        </w:rPr>
        <w:t xml:space="preserve">Abbreviations: </w:t>
      </w:r>
      <w:r w:rsidR="00E331A4" w:rsidRPr="00A60B4E">
        <w:rPr>
          <w:sz w:val="20"/>
          <w:szCs w:val="20"/>
        </w:rPr>
        <w:t>AchEl=Acetylcholinesterase inhibitor</w:t>
      </w:r>
      <w:r w:rsidR="00A60B4E" w:rsidRPr="00A60B4E">
        <w:rPr>
          <w:sz w:val="20"/>
          <w:szCs w:val="20"/>
        </w:rPr>
        <w:t>;</w:t>
      </w:r>
      <w:r w:rsidR="00E331A4" w:rsidRPr="00A60B4E">
        <w:rPr>
          <w:sz w:val="20"/>
          <w:szCs w:val="20"/>
        </w:rPr>
        <w:t xml:space="preserve"> </w:t>
      </w:r>
      <w:r w:rsidRPr="00A60B4E">
        <w:rPr>
          <w:sz w:val="20"/>
          <w:szCs w:val="20"/>
        </w:rPr>
        <w:t>AD=Alzheimer’s disease;</w:t>
      </w:r>
      <w:r w:rsidR="00A60B4E" w:rsidRPr="00A60B4E">
        <w:rPr>
          <w:sz w:val="20"/>
          <w:szCs w:val="20"/>
        </w:rPr>
        <w:t xml:space="preserve"> MCI=Mild cognitive impairment</w:t>
      </w:r>
    </w:p>
    <w:p w14:paraId="1557841D" w14:textId="77777777" w:rsidR="00642332" w:rsidRDefault="00642332">
      <w:pPr>
        <w:spacing w:after="160" w:line="259" w:lineRule="auto"/>
        <w:jc w:val="left"/>
        <w:rPr>
          <w:b/>
          <w:iCs/>
          <w:color w:val="000000" w:themeColor="text1"/>
          <w:szCs w:val="18"/>
        </w:rPr>
      </w:pPr>
      <w:r>
        <w:br w:type="page"/>
      </w:r>
    </w:p>
    <w:p w14:paraId="204DA698" w14:textId="6642377C" w:rsidR="00EB1C58" w:rsidRPr="00A86A86" w:rsidRDefault="006B6B66" w:rsidP="00642332">
      <w:pPr>
        <w:pStyle w:val="Caption"/>
        <w:rPr>
          <w:b w:val="0"/>
          <w:bCs/>
          <w:szCs w:val="24"/>
        </w:rPr>
      </w:pPr>
      <w:bookmarkStart w:id="7" w:name="_Ref225418925"/>
      <w:r>
        <w:lastRenderedPageBreak/>
        <w:t xml:space="preserve">Figure </w:t>
      </w:r>
      <w:r>
        <w:fldChar w:fldCharType="begin"/>
      </w:r>
      <w:r>
        <w:instrText xml:space="preserve"> SEQ Figure \* ARABIC </w:instrText>
      </w:r>
      <w:r>
        <w:fldChar w:fldCharType="separate"/>
      </w:r>
      <w:r>
        <w:rPr>
          <w:noProof/>
        </w:rPr>
        <w:t>2</w:t>
      </w:r>
      <w:r>
        <w:rPr>
          <w:noProof/>
        </w:rPr>
        <w:fldChar w:fldCharType="end"/>
      </w:r>
      <w:bookmarkEnd w:id="7"/>
      <w:r>
        <w:t xml:space="preserve">: Clinical management algorithm with biomarker testing and </w:t>
      </w:r>
      <w:proofErr w:type="spellStart"/>
      <w:r>
        <w:t>lecanemab</w:t>
      </w:r>
      <w:proofErr w:type="spellEnd"/>
    </w:p>
    <w:p w14:paraId="0477D637" w14:textId="788C3F2D" w:rsidR="006B6B66" w:rsidRDefault="00FA29FC" w:rsidP="00642332">
      <w:pPr>
        <w:keepLines/>
        <w:rPr>
          <w:szCs w:val="24"/>
          <w:highlight w:val="lightGray"/>
        </w:rPr>
      </w:pPr>
      <w:r>
        <w:rPr>
          <w:noProof/>
        </w:rPr>
        <w:drawing>
          <wp:inline distT="0" distB="0" distL="0" distR="0" wp14:anchorId="73E0D456" wp14:editId="198D09B0">
            <wp:extent cx="6030595" cy="5039995"/>
            <wp:effectExtent l="0" t="0" r="8255" b="8255"/>
            <wp:docPr id="1641971824" name="Picture 3" descr="clinical management with biomarker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71824" name="Picture 3" descr="clinical management with biomarker tes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0595" cy="5039995"/>
                    </a:xfrm>
                    <a:prstGeom prst="rect">
                      <a:avLst/>
                    </a:prstGeom>
                    <a:noFill/>
                    <a:ln>
                      <a:noFill/>
                    </a:ln>
                  </pic:spPr>
                </pic:pic>
              </a:graphicData>
            </a:graphic>
          </wp:inline>
        </w:drawing>
      </w:r>
    </w:p>
    <w:p w14:paraId="11DA2A0C" w14:textId="6AC4215E" w:rsidR="00A60B4E" w:rsidRPr="00A60B4E" w:rsidRDefault="00A60B4E" w:rsidP="00642332">
      <w:pPr>
        <w:keepLines/>
        <w:rPr>
          <w:sz w:val="20"/>
          <w:szCs w:val="20"/>
        </w:rPr>
      </w:pPr>
      <w:r w:rsidRPr="00A60B4E">
        <w:rPr>
          <w:sz w:val="20"/>
          <w:szCs w:val="20"/>
        </w:rPr>
        <w:t xml:space="preserve">Abbreviations: AD=Alzheimer’s disease; </w:t>
      </w:r>
      <w:r w:rsidR="006B4BE8">
        <w:rPr>
          <w:sz w:val="20"/>
          <w:szCs w:val="20"/>
        </w:rPr>
        <w:t>APOE=</w:t>
      </w:r>
      <w:r w:rsidR="006B4BE8" w:rsidRPr="006B4BE8">
        <w:rPr>
          <w:sz w:val="20"/>
          <w:szCs w:val="20"/>
        </w:rPr>
        <w:t xml:space="preserve"> </w:t>
      </w:r>
      <w:proofErr w:type="spellStart"/>
      <w:r w:rsidR="006B4BE8" w:rsidRPr="006B4BE8">
        <w:rPr>
          <w:sz w:val="20"/>
          <w:szCs w:val="20"/>
        </w:rPr>
        <w:t>apoliprotein</w:t>
      </w:r>
      <w:proofErr w:type="spellEnd"/>
      <w:r w:rsidR="006B4BE8" w:rsidRPr="006B4BE8">
        <w:rPr>
          <w:sz w:val="20"/>
          <w:szCs w:val="20"/>
        </w:rPr>
        <w:t xml:space="preserve"> E</w:t>
      </w:r>
      <w:r w:rsidR="006B4BE8">
        <w:rPr>
          <w:sz w:val="20"/>
          <w:szCs w:val="20"/>
        </w:rPr>
        <w:t xml:space="preserve">; </w:t>
      </w:r>
      <w:r w:rsidR="002725AF">
        <w:rPr>
          <w:sz w:val="20"/>
          <w:szCs w:val="20"/>
        </w:rPr>
        <w:t xml:space="preserve">CSF=cerebrospinal fluid; </w:t>
      </w:r>
      <w:r w:rsidRPr="00A60B4E">
        <w:rPr>
          <w:sz w:val="20"/>
          <w:szCs w:val="20"/>
        </w:rPr>
        <w:t>MCI=Mild cognitive impairment</w:t>
      </w:r>
      <w:r w:rsidR="00FB3A32">
        <w:rPr>
          <w:sz w:val="20"/>
          <w:szCs w:val="20"/>
        </w:rPr>
        <w:t>; MRI=magnetic resonance imaging</w:t>
      </w:r>
    </w:p>
    <w:p w14:paraId="5C94C69B" w14:textId="4B95100F" w:rsidR="004A45BE" w:rsidRPr="00A84BCA" w:rsidRDefault="004A45BE" w:rsidP="00EA0AA0">
      <w:pPr>
        <w:pStyle w:val="Heading1"/>
        <w:rPr>
          <w:color w:val="002060"/>
        </w:rPr>
      </w:pPr>
      <w:r w:rsidRPr="00A84BCA">
        <w:rPr>
          <w:color w:val="002060"/>
        </w:rPr>
        <w:t>Claims</w:t>
      </w:r>
    </w:p>
    <w:p w14:paraId="022C40EC" w14:textId="77777777" w:rsidR="00361BBE" w:rsidRPr="00A86A86" w:rsidRDefault="004A45BE" w:rsidP="00A86A86">
      <w:pPr>
        <w:rPr>
          <w:b/>
          <w:bCs/>
          <w:szCs w:val="24"/>
        </w:rPr>
      </w:pPr>
      <w:bookmarkStart w:id="8" w:name="_Hlk121218597"/>
      <w:r w:rsidRPr="00A86A86">
        <w:rPr>
          <w:b/>
          <w:bCs/>
          <w:szCs w:val="24"/>
        </w:rPr>
        <w:t xml:space="preserve">In terms of health outcomes (comparative benefits and harms), is the proposed technology claimed to be superior, non-inferior or inferior to the comparator(s)? </w:t>
      </w:r>
    </w:p>
    <w:p w14:paraId="137243BD" w14:textId="43AEEB7C" w:rsidR="004209FC" w:rsidRPr="0089269F" w:rsidRDefault="00C72ADF" w:rsidP="00582377">
      <w:pPr>
        <w:pStyle w:val="Tickboxes"/>
        <w:rPr>
          <w:sz w:val="24"/>
          <w:szCs w:val="24"/>
        </w:rPr>
      </w:pPr>
      <w:r>
        <w:rPr>
          <w:sz w:val="24"/>
          <w:szCs w:val="24"/>
        </w:rPr>
        <w:fldChar w:fldCharType="begin">
          <w:ffData>
            <w:name w:val="Check1"/>
            <w:enabled/>
            <w:calcOnExit w:val="0"/>
            <w:statusText w:type="text" w:val="Health outcomes superior"/>
            <w:checkBox>
              <w:sizeAuto/>
              <w:default w:val="1"/>
            </w:checkBox>
          </w:ffData>
        </w:fldChar>
      </w:r>
      <w:bookmarkStart w:id="9"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9"/>
      <w:r w:rsidR="004209FC" w:rsidRPr="0089269F">
        <w:rPr>
          <w:sz w:val="24"/>
          <w:szCs w:val="24"/>
        </w:rPr>
        <w:t xml:space="preserve"> Superior </w:t>
      </w:r>
    </w:p>
    <w:p w14:paraId="219D6AC6" w14:textId="333F6E74" w:rsidR="004209FC" w:rsidRPr="0089269F" w:rsidRDefault="007F165F" w:rsidP="00582377">
      <w:pPr>
        <w:pStyle w:val="Tickboxes"/>
        <w:rPr>
          <w:sz w:val="24"/>
          <w:szCs w:val="24"/>
        </w:rPr>
      </w:pPr>
      <w:r>
        <w:rPr>
          <w:sz w:val="24"/>
          <w:szCs w:val="24"/>
        </w:rPr>
        <w:fldChar w:fldCharType="begin">
          <w:ffData>
            <w:name w:val="Check2"/>
            <w:enabled/>
            <w:calcOnExit w:val="0"/>
            <w:statusText w:type="text" w:val="Health outcomes non-inferior"/>
            <w:checkBox>
              <w:sizeAuto/>
              <w:default w:val="0"/>
            </w:checkBox>
          </w:ffData>
        </w:fldChar>
      </w:r>
      <w:bookmarkStart w:id="10"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sidR="004209FC" w:rsidRPr="0089269F">
        <w:rPr>
          <w:sz w:val="24"/>
          <w:szCs w:val="24"/>
        </w:rPr>
        <w:t xml:space="preserve"> Non-inferior</w:t>
      </w:r>
    </w:p>
    <w:p w14:paraId="1E1E7FC3" w14:textId="3B33390F" w:rsidR="00364572" w:rsidRPr="0089269F" w:rsidRDefault="00C72ADF" w:rsidP="00582377">
      <w:pPr>
        <w:pStyle w:val="Tickboxes"/>
        <w:rPr>
          <w:sz w:val="24"/>
          <w:szCs w:val="24"/>
        </w:rPr>
      </w:pPr>
      <w:r>
        <w:rPr>
          <w:sz w:val="24"/>
          <w:szCs w:val="24"/>
        </w:rPr>
        <w:fldChar w:fldCharType="begin">
          <w:ffData>
            <w:name w:val=""/>
            <w:enabled/>
            <w:calcOnExit w:val="0"/>
            <w:statusText w:type="text" w:val="Health outcomes inferior"/>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209FC" w:rsidRPr="0089269F">
        <w:rPr>
          <w:sz w:val="24"/>
          <w:szCs w:val="24"/>
        </w:rPr>
        <w:t xml:space="preserve"> Inferior </w:t>
      </w:r>
    </w:p>
    <w:p w14:paraId="12D880D8" w14:textId="573EC961" w:rsidR="004A45BE" w:rsidRPr="00A86A86" w:rsidRDefault="00364572" w:rsidP="00A86A86">
      <w:pPr>
        <w:rPr>
          <w:b/>
          <w:bCs/>
          <w:szCs w:val="24"/>
        </w:rPr>
      </w:pPr>
      <w:r w:rsidRPr="00A86A86">
        <w:rPr>
          <w:b/>
          <w:bCs/>
          <w:szCs w:val="24"/>
        </w:rPr>
        <w:t>Please state what the overall claim is, and provide a rationale:</w:t>
      </w:r>
    </w:p>
    <w:bookmarkEnd w:id="8"/>
    <w:p w14:paraId="4C50D112" w14:textId="458801B3" w:rsidR="004A45BE" w:rsidRDefault="00D63848" w:rsidP="00BC0C43">
      <w:pPr>
        <w:rPr>
          <w:szCs w:val="24"/>
        </w:rPr>
      </w:pPr>
      <w:r>
        <w:rPr>
          <w:szCs w:val="24"/>
        </w:rPr>
        <w:t xml:space="preserve">It is claimed that </w:t>
      </w:r>
      <w:r w:rsidR="001F063C" w:rsidRPr="001F063C">
        <w:rPr>
          <w:szCs w:val="24"/>
        </w:rPr>
        <w:t xml:space="preserve">Aβ pathology and </w:t>
      </w:r>
      <w:proofErr w:type="spellStart"/>
      <w:r w:rsidR="001F063C" w:rsidRPr="001F063C">
        <w:rPr>
          <w:szCs w:val="24"/>
        </w:rPr>
        <w:t>ApoE</w:t>
      </w:r>
      <w:proofErr w:type="spellEnd"/>
      <w:r w:rsidR="001F063C" w:rsidRPr="001F063C">
        <w:rPr>
          <w:szCs w:val="24"/>
        </w:rPr>
        <w:t xml:space="preserve"> ε4 genotype testing</w:t>
      </w:r>
      <w:r w:rsidR="001D70C3">
        <w:rPr>
          <w:szCs w:val="24"/>
        </w:rPr>
        <w:t xml:space="preserve">, followed by </w:t>
      </w:r>
      <w:proofErr w:type="spellStart"/>
      <w:r w:rsidR="001D70C3">
        <w:rPr>
          <w:szCs w:val="24"/>
        </w:rPr>
        <w:t>lecanemab</w:t>
      </w:r>
      <w:proofErr w:type="spellEnd"/>
      <w:r w:rsidR="001D70C3">
        <w:rPr>
          <w:szCs w:val="24"/>
        </w:rPr>
        <w:t xml:space="preserve"> treatment in p</w:t>
      </w:r>
      <w:r w:rsidR="001D70C3" w:rsidRPr="001D70C3">
        <w:rPr>
          <w:szCs w:val="24"/>
        </w:rPr>
        <w:t xml:space="preserve">eople </w:t>
      </w:r>
      <w:r w:rsidR="001D70C3" w:rsidRPr="00BB531D">
        <w:rPr>
          <w:szCs w:val="24"/>
        </w:rPr>
        <w:t xml:space="preserve">assessed as being </w:t>
      </w:r>
      <w:proofErr w:type="spellStart"/>
      <w:r w:rsidR="001D70C3" w:rsidRPr="00BB531D">
        <w:rPr>
          <w:szCs w:val="24"/>
        </w:rPr>
        <w:t>ApoE</w:t>
      </w:r>
      <w:proofErr w:type="spellEnd"/>
      <w:r w:rsidR="001D70C3" w:rsidRPr="00BB531D">
        <w:rPr>
          <w:szCs w:val="24"/>
        </w:rPr>
        <w:t xml:space="preserve"> ε4 non-carriers or heterozygous with evidence of Aβ pathology</w:t>
      </w:r>
      <w:r w:rsidR="00E66071">
        <w:rPr>
          <w:szCs w:val="24"/>
        </w:rPr>
        <w:t>,</w:t>
      </w:r>
      <w:r w:rsidR="00F33E9A">
        <w:rPr>
          <w:szCs w:val="24"/>
        </w:rPr>
        <w:t xml:space="preserve"> is superior to no testing plus standard medical management </w:t>
      </w:r>
      <w:r w:rsidR="008109C0">
        <w:rPr>
          <w:szCs w:val="24"/>
        </w:rPr>
        <w:t>in terms of effectiveness and inferior in terms of safety.</w:t>
      </w:r>
    </w:p>
    <w:p w14:paraId="70534D26" w14:textId="77777777" w:rsidR="005D6BE0" w:rsidRDefault="0088337C" w:rsidP="00ED68F0">
      <w:pPr>
        <w:rPr>
          <w:szCs w:val="24"/>
        </w:rPr>
      </w:pPr>
      <w:r>
        <w:rPr>
          <w:szCs w:val="24"/>
        </w:rPr>
        <w:t xml:space="preserve">Evidence from the </w:t>
      </w:r>
      <w:r w:rsidR="0003234E">
        <w:rPr>
          <w:szCs w:val="24"/>
        </w:rPr>
        <w:t>prim</w:t>
      </w:r>
      <w:r w:rsidR="00E93171">
        <w:rPr>
          <w:szCs w:val="24"/>
        </w:rPr>
        <w:t>a</w:t>
      </w:r>
      <w:r w:rsidR="0003234E">
        <w:rPr>
          <w:szCs w:val="24"/>
        </w:rPr>
        <w:t>ry analys</w:t>
      </w:r>
      <w:r w:rsidR="00E93171">
        <w:rPr>
          <w:szCs w:val="24"/>
        </w:rPr>
        <w:t xml:space="preserve">is </w:t>
      </w:r>
      <w:r>
        <w:rPr>
          <w:szCs w:val="24"/>
        </w:rPr>
        <w:t>CLARITY AD trial</w:t>
      </w:r>
      <w:r w:rsidR="00E93171">
        <w:rPr>
          <w:szCs w:val="24"/>
        </w:rPr>
        <w:t xml:space="preserve"> and the associated open label extension study</w:t>
      </w:r>
      <w:r>
        <w:rPr>
          <w:szCs w:val="24"/>
        </w:rPr>
        <w:t xml:space="preserve"> provide </w:t>
      </w:r>
      <w:r w:rsidR="0003234E">
        <w:rPr>
          <w:szCs w:val="24"/>
        </w:rPr>
        <w:t>the rationale for the overall clinical claim.</w:t>
      </w:r>
    </w:p>
    <w:p w14:paraId="5FD39DDF" w14:textId="14A49398" w:rsidR="003A1BB3" w:rsidRDefault="00ED68F0" w:rsidP="00ED68F0">
      <w:pPr>
        <w:rPr>
          <w:szCs w:val="24"/>
        </w:rPr>
      </w:pPr>
      <w:r w:rsidRPr="006D6666">
        <w:rPr>
          <w:szCs w:val="24"/>
        </w:rPr>
        <w:lastRenderedPageBreak/>
        <w:t xml:space="preserve">Results from the assessment of the primary efficacy </w:t>
      </w:r>
      <w:r w:rsidR="0029083D" w:rsidRPr="006D6666">
        <w:rPr>
          <w:szCs w:val="24"/>
        </w:rPr>
        <w:t xml:space="preserve">outcome </w:t>
      </w:r>
      <w:r w:rsidR="00C70101" w:rsidRPr="006D6666">
        <w:rPr>
          <w:szCs w:val="24"/>
        </w:rPr>
        <w:t xml:space="preserve">(CDR-SB) </w:t>
      </w:r>
      <w:r w:rsidRPr="006D6666">
        <w:rPr>
          <w:szCs w:val="24"/>
        </w:rPr>
        <w:t>from the CLARITY AD program assessed at 18 months (</w:t>
      </w:r>
      <w:r w:rsidR="00C70101" w:rsidRPr="006D6666">
        <w:rPr>
          <w:szCs w:val="24"/>
        </w:rPr>
        <w:t>primary analysis of core study</w:t>
      </w:r>
      <w:r w:rsidRPr="006D6666">
        <w:rPr>
          <w:szCs w:val="24"/>
        </w:rPr>
        <w:t>) and 48 months (open label extension) demonstrate that p</w:t>
      </w:r>
      <w:r w:rsidR="00154B4B">
        <w:rPr>
          <w:szCs w:val="24"/>
        </w:rPr>
        <w:t xml:space="preserve">eople </w:t>
      </w:r>
      <w:r w:rsidRPr="006D6666">
        <w:rPr>
          <w:szCs w:val="24"/>
        </w:rPr>
        <w:t xml:space="preserve">treated with </w:t>
      </w:r>
      <w:proofErr w:type="spellStart"/>
      <w:r w:rsidRPr="006D6666">
        <w:rPr>
          <w:szCs w:val="24"/>
        </w:rPr>
        <w:t>lecanemab</w:t>
      </w:r>
      <w:proofErr w:type="spellEnd"/>
      <w:r w:rsidRPr="006D6666">
        <w:rPr>
          <w:szCs w:val="24"/>
        </w:rPr>
        <w:t xml:space="preserve"> </w:t>
      </w:r>
      <w:r w:rsidR="00154B4B">
        <w:rPr>
          <w:szCs w:val="24"/>
        </w:rPr>
        <w:t xml:space="preserve">derive </w:t>
      </w:r>
      <w:r w:rsidR="005D6BE0" w:rsidRPr="006D6666">
        <w:rPr>
          <w:szCs w:val="24"/>
        </w:rPr>
        <w:t xml:space="preserve">a clinical benefit from </w:t>
      </w:r>
      <w:proofErr w:type="spellStart"/>
      <w:r w:rsidR="005D6BE0" w:rsidRPr="006D6666">
        <w:rPr>
          <w:szCs w:val="24"/>
        </w:rPr>
        <w:t>lecanemab</w:t>
      </w:r>
      <w:proofErr w:type="spellEnd"/>
      <w:r w:rsidR="000253A2">
        <w:rPr>
          <w:szCs w:val="24"/>
        </w:rPr>
        <w:t xml:space="preserve">. </w:t>
      </w:r>
      <w:r w:rsidR="000253A2" w:rsidRPr="006D6666">
        <w:rPr>
          <w:szCs w:val="24"/>
        </w:rPr>
        <w:t xml:space="preserve">Specifically, the claim of superior effectiveness is based on the increasing adjusted mean difference in CDR-SB </w:t>
      </w:r>
      <w:r w:rsidR="000253A2">
        <w:rPr>
          <w:szCs w:val="24"/>
        </w:rPr>
        <w:t xml:space="preserve">reported for </w:t>
      </w:r>
      <w:proofErr w:type="spellStart"/>
      <w:r w:rsidR="000253A2">
        <w:rPr>
          <w:szCs w:val="24"/>
        </w:rPr>
        <w:t>lecanemab</w:t>
      </w:r>
      <w:proofErr w:type="spellEnd"/>
      <w:r w:rsidR="000253A2">
        <w:rPr>
          <w:szCs w:val="24"/>
        </w:rPr>
        <w:t xml:space="preserve"> vs st</w:t>
      </w:r>
      <w:r w:rsidR="000404DC">
        <w:rPr>
          <w:szCs w:val="24"/>
        </w:rPr>
        <w:t xml:space="preserve">andard medical management </w:t>
      </w:r>
      <w:r w:rsidR="000253A2" w:rsidRPr="006D6666">
        <w:rPr>
          <w:szCs w:val="24"/>
        </w:rPr>
        <w:t>over time</w:t>
      </w:r>
      <w:r w:rsidRPr="006D6666">
        <w:rPr>
          <w:szCs w:val="24"/>
        </w:rPr>
        <w:t xml:space="preserve"> (</w:t>
      </w:r>
      <w:r w:rsidRPr="006D6666">
        <w:rPr>
          <w:szCs w:val="24"/>
        </w:rPr>
        <w:fldChar w:fldCharType="begin"/>
      </w:r>
      <w:r w:rsidRPr="006D6666">
        <w:rPr>
          <w:szCs w:val="24"/>
        </w:rPr>
        <w:instrText xml:space="preserve"> REF _Ref219906055 \h </w:instrText>
      </w:r>
      <w:r w:rsidR="006D6666">
        <w:rPr>
          <w:szCs w:val="24"/>
        </w:rPr>
        <w:instrText xml:space="preserve"> \* MERGEFORMAT </w:instrText>
      </w:r>
      <w:r w:rsidRPr="006D6666">
        <w:rPr>
          <w:szCs w:val="24"/>
        </w:rPr>
      </w:r>
      <w:r w:rsidRPr="006D6666">
        <w:rPr>
          <w:szCs w:val="24"/>
        </w:rPr>
        <w:fldChar w:fldCharType="separate"/>
      </w:r>
      <w:r w:rsidR="001C5350" w:rsidRPr="001C5350">
        <w:rPr>
          <w:szCs w:val="24"/>
        </w:rPr>
        <w:t>Figure 1</w:t>
      </w:r>
      <w:r w:rsidRPr="006D6666">
        <w:rPr>
          <w:szCs w:val="24"/>
        </w:rPr>
        <w:fldChar w:fldCharType="end"/>
      </w:r>
      <w:r w:rsidRPr="006D6666">
        <w:rPr>
          <w:szCs w:val="24"/>
        </w:rPr>
        <w:t xml:space="preserve">). </w:t>
      </w:r>
    </w:p>
    <w:p w14:paraId="42BDB9F8" w14:textId="2448E737" w:rsidR="00ED68F0" w:rsidRDefault="00ED68F0" w:rsidP="00ED68F0">
      <w:pPr>
        <w:pStyle w:val="Caption"/>
      </w:pPr>
      <w:bookmarkStart w:id="11" w:name="_Ref219906055"/>
      <w:r>
        <w:t xml:space="preserve">Figure </w:t>
      </w:r>
      <w:r w:rsidR="006B6B66">
        <w:fldChar w:fldCharType="begin"/>
      </w:r>
      <w:r w:rsidR="006B6B66">
        <w:instrText xml:space="preserve"> SEQ Figure \* ARABIC </w:instrText>
      </w:r>
      <w:r w:rsidR="006B6B66">
        <w:fldChar w:fldCharType="separate"/>
      </w:r>
      <w:r w:rsidR="006B6B66">
        <w:rPr>
          <w:noProof/>
        </w:rPr>
        <w:t>3</w:t>
      </w:r>
      <w:r w:rsidR="006B6B66">
        <w:rPr>
          <w:noProof/>
        </w:rPr>
        <w:fldChar w:fldCharType="end"/>
      </w:r>
      <w:bookmarkEnd w:id="11"/>
      <w:r>
        <w:t xml:space="preserve">: </w:t>
      </w:r>
      <w:r w:rsidRPr="00F31DA9">
        <w:t>Clinical Dementia Rating</w:t>
      </w:r>
      <w:r>
        <w:t>—</w:t>
      </w:r>
      <w:r w:rsidRPr="00F31DA9">
        <w:t>Sum of Boxes</w:t>
      </w:r>
      <w:r>
        <w:t xml:space="preserve"> through 48 months: </w:t>
      </w:r>
      <w:proofErr w:type="spellStart"/>
      <w:r>
        <w:t>lecanemab</w:t>
      </w:r>
      <w:proofErr w:type="spellEnd"/>
      <w:r>
        <w:t xml:space="preserve"> vs Standard of Care</w:t>
      </w:r>
    </w:p>
    <w:p w14:paraId="039449B9" w14:textId="77777777" w:rsidR="00ED68F0" w:rsidRDefault="00ED68F0" w:rsidP="00ED68F0">
      <w:r w:rsidRPr="00254A48">
        <w:rPr>
          <w:noProof/>
        </w:rPr>
        <w:drawing>
          <wp:inline distT="0" distB="0" distL="0" distR="0" wp14:anchorId="312E3A76" wp14:editId="74D5CA4D">
            <wp:extent cx="5731510" cy="3209925"/>
            <wp:effectExtent l="0" t="0" r="2540" b="9525"/>
            <wp:docPr id="1524289318" name="Picture 1" descr="Agraph showing rates of worsening in clinical dementia rating score in patients on different treat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89318" name="Picture 1" descr="Agraph showing rates of worsening in clinical dementia rating score in patients on different treatments"/>
                    <pic:cNvPicPr/>
                  </pic:nvPicPr>
                  <pic:blipFill>
                    <a:blip r:embed="rId13"/>
                    <a:stretch>
                      <a:fillRect/>
                    </a:stretch>
                  </pic:blipFill>
                  <pic:spPr>
                    <a:xfrm>
                      <a:off x="0" y="0"/>
                      <a:ext cx="5731510" cy="3209925"/>
                    </a:xfrm>
                    <a:prstGeom prst="rect">
                      <a:avLst/>
                    </a:prstGeom>
                  </pic:spPr>
                </pic:pic>
              </a:graphicData>
            </a:graphic>
          </wp:inline>
        </w:drawing>
      </w:r>
    </w:p>
    <w:p w14:paraId="20F68F06" w14:textId="2F9D5589" w:rsidR="00E13CDB" w:rsidRDefault="00E13CDB" w:rsidP="00ED68F0">
      <w:pPr>
        <w:pStyle w:val="Tablenote"/>
      </w:pPr>
      <w:r w:rsidRPr="00E13CDB">
        <w:t>Note: Lower CDR-SB lower scores represent less severe staging of Alzheimer’s disease.</w:t>
      </w:r>
    </w:p>
    <w:p w14:paraId="6ADCDD86" w14:textId="324C7E34" w:rsidR="00ED68F0" w:rsidRDefault="00ED68F0" w:rsidP="00ED68F0">
      <w:pPr>
        <w:pStyle w:val="Tablenote"/>
      </w:pPr>
      <w:r>
        <w:t xml:space="preserve">Source: Slide 4 of Presentation by </w:t>
      </w:r>
      <w:r w:rsidR="00881F00">
        <w:t>(van Dyck et al. 2025)</w:t>
      </w:r>
    </w:p>
    <w:p w14:paraId="362B5B09" w14:textId="6519050E" w:rsidR="00ED68F0" w:rsidRPr="00B33067" w:rsidRDefault="00ED68F0" w:rsidP="00ED68F0">
      <w:pPr>
        <w:rPr>
          <w:szCs w:val="24"/>
        </w:rPr>
      </w:pPr>
      <w:r w:rsidRPr="00B33067">
        <w:rPr>
          <w:szCs w:val="24"/>
        </w:rPr>
        <w:t xml:space="preserve">Compared with outcomes for </w:t>
      </w:r>
      <w:r w:rsidR="00AE7565" w:rsidRPr="00B33067">
        <w:rPr>
          <w:szCs w:val="24"/>
        </w:rPr>
        <w:t xml:space="preserve">standard medical management </w:t>
      </w:r>
      <w:r w:rsidRPr="00B33067">
        <w:rPr>
          <w:szCs w:val="24"/>
        </w:rPr>
        <w:t xml:space="preserve">collected from the ADNI cohort, </w:t>
      </w:r>
      <w:proofErr w:type="spellStart"/>
      <w:r w:rsidRPr="00B33067">
        <w:rPr>
          <w:szCs w:val="24"/>
        </w:rPr>
        <w:t>lecanemab</w:t>
      </w:r>
      <w:proofErr w:type="spellEnd"/>
      <w:r w:rsidRPr="00B33067">
        <w:rPr>
          <w:szCs w:val="24"/>
        </w:rPr>
        <w:t xml:space="preserve"> has also been assessed as delaying progression to the next stage of Alzheimer’s disease through 48 months (</w:t>
      </w:r>
      <w:r w:rsidRPr="00B33067">
        <w:rPr>
          <w:szCs w:val="24"/>
        </w:rPr>
        <w:fldChar w:fldCharType="begin"/>
      </w:r>
      <w:r w:rsidRPr="00B33067">
        <w:rPr>
          <w:szCs w:val="24"/>
        </w:rPr>
        <w:instrText xml:space="preserve"> REF _Ref219907470 \h </w:instrText>
      </w:r>
      <w:r w:rsidR="00B33067">
        <w:rPr>
          <w:szCs w:val="24"/>
        </w:rPr>
        <w:instrText xml:space="preserve"> \* MERGEFORMAT </w:instrText>
      </w:r>
      <w:r w:rsidRPr="00B33067">
        <w:rPr>
          <w:szCs w:val="24"/>
        </w:rPr>
      </w:r>
      <w:r w:rsidRPr="00B33067">
        <w:rPr>
          <w:szCs w:val="24"/>
        </w:rPr>
        <w:fldChar w:fldCharType="separate"/>
      </w:r>
      <w:r w:rsidR="001C5350" w:rsidRPr="001C5350">
        <w:rPr>
          <w:szCs w:val="24"/>
        </w:rPr>
        <w:t>Figure 2</w:t>
      </w:r>
      <w:r w:rsidRPr="00B33067">
        <w:rPr>
          <w:szCs w:val="24"/>
        </w:rPr>
        <w:fldChar w:fldCharType="end"/>
      </w:r>
      <w:r w:rsidRPr="00B33067">
        <w:rPr>
          <w:szCs w:val="24"/>
        </w:rPr>
        <w:t xml:space="preserve">). These findings support a conclusion that the difference in change from baseline in CDR-SB over time reported </w:t>
      </w:r>
      <w:r w:rsidR="00B33067" w:rsidRPr="00B33067">
        <w:rPr>
          <w:szCs w:val="24"/>
        </w:rPr>
        <w:t xml:space="preserve">in people </w:t>
      </w:r>
      <w:r w:rsidRPr="00B33067">
        <w:rPr>
          <w:szCs w:val="24"/>
        </w:rPr>
        <w:t xml:space="preserve">treated with </w:t>
      </w:r>
      <w:proofErr w:type="spellStart"/>
      <w:r w:rsidRPr="00B33067">
        <w:rPr>
          <w:szCs w:val="24"/>
        </w:rPr>
        <w:t>lecanemab</w:t>
      </w:r>
      <w:proofErr w:type="spellEnd"/>
      <w:r w:rsidRPr="00B33067">
        <w:rPr>
          <w:szCs w:val="24"/>
        </w:rPr>
        <w:t xml:space="preserve"> vs </w:t>
      </w:r>
      <w:r w:rsidR="00672CA1" w:rsidRPr="00B33067">
        <w:rPr>
          <w:szCs w:val="24"/>
        </w:rPr>
        <w:t xml:space="preserve">standard medical management </w:t>
      </w:r>
      <w:r w:rsidRPr="00B33067">
        <w:rPr>
          <w:szCs w:val="24"/>
        </w:rPr>
        <w:t xml:space="preserve">translates to a significant difference in the rate of progression to increasingly more severe stages of Alzheimer's disease in favour of </w:t>
      </w:r>
      <w:proofErr w:type="spellStart"/>
      <w:r w:rsidRPr="00B33067">
        <w:rPr>
          <w:szCs w:val="24"/>
        </w:rPr>
        <w:t>lecanemab</w:t>
      </w:r>
      <w:proofErr w:type="spellEnd"/>
      <w:r w:rsidRPr="00B33067">
        <w:rPr>
          <w:szCs w:val="24"/>
        </w:rPr>
        <w:t>.</w:t>
      </w:r>
    </w:p>
    <w:p w14:paraId="795E4557" w14:textId="5F261E79" w:rsidR="00ED68F0" w:rsidRDefault="00ED68F0" w:rsidP="0078167C">
      <w:pPr>
        <w:pStyle w:val="Caption"/>
        <w:keepNext/>
        <w:keepLines/>
      </w:pPr>
      <w:bookmarkStart w:id="12" w:name="_Ref219907470"/>
      <w:r>
        <w:lastRenderedPageBreak/>
        <w:t xml:space="preserve">Figure </w:t>
      </w:r>
      <w:r w:rsidR="006B6B66">
        <w:fldChar w:fldCharType="begin"/>
      </w:r>
      <w:r w:rsidR="006B6B66">
        <w:instrText xml:space="preserve"> SEQ Figure \* ARABIC </w:instrText>
      </w:r>
      <w:r w:rsidR="006B6B66">
        <w:fldChar w:fldCharType="separate"/>
      </w:r>
      <w:r w:rsidR="006B6B66">
        <w:rPr>
          <w:noProof/>
        </w:rPr>
        <w:t>4</w:t>
      </w:r>
      <w:r w:rsidR="006B6B66">
        <w:rPr>
          <w:noProof/>
        </w:rPr>
        <w:fldChar w:fldCharType="end"/>
      </w:r>
      <w:bookmarkEnd w:id="12"/>
      <w:r>
        <w:t xml:space="preserve">: Time to worsening stage of Alzheimer's disease through 48 months: </w:t>
      </w:r>
      <w:proofErr w:type="spellStart"/>
      <w:r>
        <w:t>lecanemab</w:t>
      </w:r>
      <w:proofErr w:type="spellEnd"/>
      <w:r>
        <w:t xml:space="preserve"> vs Standard of Care</w:t>
      </w:r>
    </w:p>
    <w:p w14:paraId="30972333" w14:textId="6FF45E02" w:rsidR="00ED68F0" w:rsidRDefault="00ED68F0" w:rsidP="0078167C">
      <w:pPr>
        <w:keepNext/>
        <w:keepLines/>
      </w:pPr>
      <w:r w:rsidRPr="001F5F21">
        <w:rPr>
          <w:noProof/>
        </w:rPr>
        <w:drawing>
          <wp:inline distT="0" distB="0" distL="0" distR="0" wp14:anchorId="0258FA3F" wp14:editId="0353C916">
            <wp:extent cx="5731510" cy="2726055"/>
            <wp:effectExtent l="0" t="0" r="2540" b="0"/>
            <wp:docPr id="1573956227" name="Picture 1" descr="a graph showing time to worsening of Alzheimer's disease in patients treated with lecanemab vs standard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56227" name="Picture 1" descr="a graph showing time to worsening of Alzheimer's disease in patients treated with lecanemab vs standard of care"/>
                    <pic:cNvPicPr/>
                  </pic:nvPicPr>
                  <pic:blipFill>
                    <a:blip r:embed="rId14"/>
                    <a:stretch>
                      <a:fillRect/>
                    </a:stretch>
                  </pic:blipFill>
                  <pic:spPr>
                    <a:xfrm>
                      <a:off x="0" y="0"/>
                      <a:ext cx="5731510" cy="2726055"/>
                    </a:xfrm>
                    <a:prstGeom prst="rect">
                      <a:avLst/>
                    </a:prstGeom>
                  </pic:spPr>
                </pic:pic>
              </a:graphicData>
            </a:graphic>
          </wp:inline>
        </w:drawing>
      </w:r>
      <w:r w:rsidRPr="00142C6F">
        <w:rPr>
          <w:sz w:val="18"/>
        </w:rPr>
        <w:t xml:space="preserve">Source: Slide 6 of presentation by </w:t>
      </w:r>
      <w:r w:rsidR="00881F00" w:rsidRPr="00142C6F">
        <w:rPr>
          <w:sz w:val="18"/>
        </w:rPr>
        <w:t>(van Dyck et al. 2025)</w:t>
      </w:r>
    </w:p>
    <w:p w14:paraId="4A5827A2" w14:textId="5A93CC38" w:rsidR="00E2295E" w:rsidRDefault="0092742B" w:rsidP="00D7004A">
      <w:pPr>
        <w:rPr>
          <w:szCs w:val="24"/>
        </w:rPr>
      </w:pPr>
      <w:r>
        <w:rPr>
          <w:szCs w:val="24"/>
        </w:rPr>
        <w:t xml:space="preserve">A comprehensive assessment of evidence </w:t>
      </w:r>
      <w:r w:rsidR="004530F4">
        <w:rPr>
          <w:szCs w:val="24"/>
        </w:rPr>
        <w:t xml:space="preserve">reported for secondary effectiveness outcomes </w:t>
      </w:r>
      <w:r w:rsidR="00D31C14">
        <w:rPr>
          <w:szCs w:val="24"/>
        </w:rPr>
        <w:t xml:space="preserve">will be provided in the reimbursement submission for </w:t>
      </w:r>
      <w:proofErr w:type="spellStart"/>
      <w:r w:rsidR="00D31C14">
        <w:rPr>
          <w:szCs w:val="24"/>
        </w:rPr>
        <w:t>lecanemab</w:t>
      </w:r>
      <w:proofErr w:type="spellEnd"/>
      <w:r w:rsidR="00D31C14">
        <w:rPr>
          <w:szCs w:val="24"/>
        </w:rPr>
        <w:t xml:space="preserve"> </w:t>
      </w:r>
      <w:r w:rsidR="00752621">
        <w:rPr>
          <w:szCs w:val="24"/>
        </w:rPr>
        <w:t xml:space="preserve">as further evidence </w:t>
      </w:r>
      <w:r w:rsidR="00885208">
        <w:rPr>
          <w:szCs w:val="24"/>
        </w:rPr>
        <w:t xml:space="preserve">to </w:t>
      </w:r>
      <w:r w:rsidR="00411F08">
        <w:rPr>
          <w:szCs w:val="24"/>
        </w:rPr>
        <w:t xml:space="preserve">further </w:t>
      </w:r>
      <w:r w:rsidR="00752621">
        <w:rPr>
          <w:szCs w:val="24"/>
        </w:rPr>
        <w:t>support</w:t>
      </w:r>
      <w:r w:rsidR="00885208">
        <w:rPr>
          <w:szCs w:val="24"/>
        </w:rPr>
        <w:t xml:space="preserve"> </w:t>
      </w:r>
      <w:r w:rsidR="00752621">
        <w:rPr>
          <w:szCs w:val="24"/>
        </w:rPr>
        <w:t xml:space="preserve">the clinical claim of superior </w:t>
      </w:r>
      <w:r w:rsidR="00D7004A">
        <w:rPr>
          <w:szCs w:val="24"/>
        </w:rPr>
        <w:t>effectiveness</w:t>
      </w:r>
      <w:r w:rsidR="00E2295E">
        <w:rPr>
          <w:szCs w:val="24"/>
        </w:rPr>
        <w:t>.</w:t>
      </w:r>
    </w:p>
    <w:p w14:paraId="43670E9E" w14:textId="3DAE6738" w:rsidR="004A45BE" w:rsidRPr="00A86A86" w:rsidRDefault="004A45BE" w:rsidP="00A86A86">
      <w:pPr>
        <w:rPr>
          <w:b/>
          <w:bCs/>
          <w:szCs w:val="24"/>
        </w:rPr>
      </w:pPr>
      <w:r w:rsidRPr="00A86A86">
        <w:rPr>
          <w:b/>
          <w:bCs/>
          <w:szCs w:val="24"/>
        </w:rPr>
        <w:t>Why would the requestor seek to use the proposed investigative technology rather than the comparator(s)?</w:t>
      </w:r>
    </w:p>
    <w:p w14:paraId="2DA1A901" w14:textId="1CD51B5E" w:rsidR="00D67BC9" w:rsidRDefault="00A103E4" w:rsidP="00BC0C43">
      <w:pPr>
        <w:rPr>
          <w:szCs w:val="24"/>
        </w:rPr>
      </w:pPr>
      <w:r>
        <w:rPr>
          <w:szCs w:val="24"/>
        </w:rPr>
        <w:t xml:space="preserve">Alzheimer's disease is progressive </w:t>
      </w:r>
      <w:r w:rsidR="0018418B">
        <w:rPr>
          <w:szCs w:val="24"/>
        </w:rPr>
        <w:t xml:space="preserve">condition. </w:t>
      </w:r>
      <w:r w:rsidR="006E2592">
        <w:rPr>
          <w:szCs w:val="24"/>
        </w:rPr>
        <w:t xml:space="preserve">The cognitive and </w:t>
      </w:r>
      <w:r w:rsidR="007571DD">
        <w:rPr>
          <w:szCs w:val="24"/>
        </w:rPr>
        <w:t>functional capa</w:t>
      </w:r>
      <w:r w:rsidR="00F547AE">
        <w:rPr>
          <w:szCs w:val="24"/>
        </w:rPr>
        <w:t xml:space="preserve">city </w:t>
      </w:r>
      <w:r w:rsidR="007571DD">
        <w:rPr>
          <w:szCs w:val="24"/>
        </w:rPr>
        <w:t>of p</w:t>
      </w:r>
      <w:r w:rsidR="0018418B">
        <w:rPr>
          <w:szCs w:val="24"/>
        </w:rPr>
        <w:t xml:space="preserve">eople diagnosed with </w:t>
      </w:r>
      <w:r w:rsidR="006E2592">
        <w:rPr>
          <w:szCs w:val="24"/>
        </w:rPr>
        <w:t xml:space="preserve">earlier stages of disease </w:t>
      </w:r>
      <w:r w:rsidR="007571DD">
        <w:rPr>
          <w:szCs w:val="24"/>
        </w:rPr>
        <w:t>is</w:t>
      </w:r>
      <w:r w:rsidR="006E2592">
        <w:rPr>
          <w:szCs w:val="24"/>
        </w:rPr>
        <w:t xml:space="preserve"> expected</w:t>
      </w:r>
      <w:r w:rsidR="007571DD">
        <w:rPr>
          <w:szCs w:val="24"/>
        </w:rPr>
        <w:t xml:space="preserve"> to decline over time</w:t>
      </w:r>
      <w:r w:rsidR="00DB76EE">
        <w:rPr>
          <w:szCs w:val="24"/>
        </w:rPr>
        <w:t>. Standard medical management</w:t>
      </w:r>
      <w:r w:rsidR="006028BA">
        <w:rPr>
          <w:szCs w:val="24"/>
        </w:rPr>
        <w:t>, including existing pharm</w:t>
      </w:r>
      <w:r w:rsidR="00287422">
        <w:rPr>
          <w:szCs w:val="24"/>
        </w:rPr>
        <w:t>aceutical agents,</w:t>
      </w:r>
      <w:r w:rsidR="00DB76EE">
        <w:rPr>
          <w:szCs w:val="24"/>
        </w:rPr>
        <w:t xml:space="preserve"> may provide symptomatic relieve</w:t>
      </w:r>
      <w:r w:rsidR="00F63035">
        <w:rPr>
          <w:szCs w:val="24"/>
        </w:rPr>
        <w:t>, however they do not modify the progression tra</w:t>
      </w:r>
      <w:r w:rsidR="007A0EC8">
        <w:rPr>
          <w:szCs w:val="24"/>
        </w:rPr>
        <w:t xml:space="preserve">jectory of Alzheimer’s disease </w:t>
      </w:r>
      <w:r w:rsidR="00881F00">
        <w:rPr>
          <w:noProof/>
          <w:szCs w:val="24"/>
        </w:rPr>
        <w:t>(Breijyeh et al. 2020)</w:t>
      </w:r>
      <w:r w:rsidR="00E7764C">
        <w:rPr>
          <w:szCs w:val="24"/>
        </w:rPr>
        <w:t>.</w:t>
      </w:r>
    </w:p>
    <w:p w14:paraId="373E9E08" w14:textId="06A8DB2D" w:rsidR="00501089" w:rsidRDefault="00E7764C" w:rsidP="00163E37">
      <w:pPr>
        <w:rPr>
          <w:szCs w:val="24"/>
        </w:rPr>
      </w:pPr>
      <w:proofErr w:type="spellStart"/>
      <w:r>
        <w:rPr>
          <w:szCs w:val="24"/>
        </w:rPr>
        <w:t>Lecanemab</w:t>
      </w:r>
      <w:proofErr w:type="spellEnd"/>
      <w:r>
        <w:rPr>
          <w:szCs w:val="24"/>
        </w:rPr>
        <w:t xml:space="preserve"> is a TGA-approved treatment for people diagnosed with </w:t>
      </w:r>
      <w:r w:rsidR="00501089">
        <w:rPr>
          <w:szCs w:val="24"/>
        </w:rPr>
        <w:t xml:space="preserve">mild cognitive impairment and mild dementia due to Alzheimer’s disease with evidence of Aβ pathology that are </w:t>
      </w:r>
      <w:proofErr w:type="spellStart"/>
      <w:r w:rsidR="00501089">
        <w:rPr>
          <w:szCs w:val="24"/>
        </w:rPr>
        <w:t>ApoE</w:t>
      </w:r>
      <w:proofErr w:type="spellEnd"/>
      <w:r w:rsidR="00501089">
        <w:rPr>
          <w:szCs w:val="24"/>
        </w:rPr>
        <w:t xml:space="preserve"> ε4 non-carriers or heterozygous. The results from the CLARITY AD trial, and associated open label extension study, </w:t>
      </w:r>
      <w:r w:rsidR="00211D5B">
        <w:rPr>
          <w:szCs w:val="24"/>
        </w:rPr>
        <w:t xml:space="preserve">provide evidence that treatment with </w:t>
      </w:r>
      <w:proofErr w:type="spellStart"/>
      <w:r w:rsidR="00211D5B">
        <w:rPr>
          <w:szCs w:val="24"/>
        </w:rPr>
        <w:t>lecanemab</w:t>
      </w:r>
      <w:proofErr w:type="spellEnd"/>
      <w:r w:rsidR="00211D5B">
        <w:rPr>
          <w:szCs w:val="24"/>
        </w:rPr>
        <w:t xml:space="preserve"> delays the rate of </w:t>
      </w:r>
      <w:r w:rsidR="00DA0B40">
        <w:rPr>
          <w:szCs w:val="24"/>
        </w:rPr>
        <w:t xml:space="preserve">Alzheimer’s </w:t>
      </w:r>
      <w:r w:rsidR="00211D5B">
        <w:rPr>
          <w:szCs w:val="24"/>
        </w:rPr>
        <w:t>progression.</w:t>
      </w:r>
      <w:r w:rsidR="00DA0B40">
        <w:rPr>
          <w:szCs w:val="24"/>
        </w:rPr>
        <w:t xml:space="preserve"> While not </w:t>
      </w:r>
      <w:r w:rsidR="00CA3593">
        <w:rPr>
          <w:szCs w:val="24"/>
        </w:rPr>
        <w:t xml:space="preserve">a </w:t>
      </w:r>
      <w:r w:rsidR="00DA0B40">
        <w:rPr>
          <w:szCs w:val="24"/>
        </w:rPr>
        <w:t>curative</w:t>
      </w:r>
      <w:r w:rsidR="00CA3593">
        <w:rPr>
          <w:szCs w:val="24"/>
        </w:rPr>
        <w:t xml:space="preserve"> treatment</w:t>
      </w:r>
      <w:r w:rsidR="00DA0B40">
        <w:rPr>
          <w:szCs w:val="24"/>
        </w:rPr>
        <w:t xml:space="preserve">, </w:t>
      </w:r>
      <w:proofErr w:type="spellStart"/>
      <w:r w:rsidR="00DA0B40">
        <w:rPr>
          <w:szCs w:val="24"/>
        </w:rPr>
        <w:t>lecanemab</w:t>
      </w:r>
      <w:proofErr w:type="spellEnd"/>
      <w:r w:rsidR="00DA0B40">
        <w:rPr>
          <w:szCs w:val="24"/>
        </w:rPr>
        <w:t xml:space="preserve"> </w:t>
      </w:r>
      <w:r w:rsidR="00CA3593">
        <w:rPr>
          <w:szCs w:val="24"/>
        </w:rPr>
        <w:t xml:space="preserve">has demonstrated an ability to </w:t>
      </w:r>
      <w:r w:rsidR="00DA0B40">
        <w:rPr>
          <w:szCs w:val="24"/>
        </w:rPr>
        <w:t xml:space="preserve">preserve the cognitive </w:t>
      </w:r>
      <w:r w:rsidR="00320117">
        <w:rPr>
          <w:szCs w:val="24"/>
        </w:rPr>
        <w:t>and functional capacity</w:t>
      </w:r>
      <w:r w:rsidR="00163E37">
        <w:rPr>
          <w:szCs w:val="24"/>
        </w:rPr>
        <w:t xml:space="preserve"> of people</w:t>
      </w:r>
      <w:r w:rsidR="00320117">
        <w:rPr>
          <w:szCs w:val="24"/>
        </w:rPr>
        <w:t xml:space="preserve"> compared with standard medical management.</w:t>
      </w:r>
    </w:p>
    <w:p w14:paraId="67792CDE" w14:textId="20F96D42" w:rsidR="004A45BE" w:rsidRPr="00A86A86" w:rsidRDefault="004A45BE" w:rsidP="00A86A86">
      <w:pPr>
        <w:rPr>
          <w:b/>
          <w:bCs/>
          <w:szCs w:val="24"/>
        </w:rPr>
      </w:pPr>
      <w:r w:rsidRPr="00A86A86">
        <w:rPr>
          <w:b/>
          <w:bCs/>
          <w:szCs w:val="24"/>
        </w:rPr>
        <w:t>Identify how the proposed technology achieves the intended patient outcomes:</w:t>
      </w:r>
    </w:p>
    <w:p w14:paraId="5ED0D298" w14:textId="45B72C21" w:rsidR="004A45BE" w:rsidRPr="0089269F" w:rsidRDefault="00163E37" w:rsidP="00BC0C43">
      <w:pPr>
        <w:rPr>
          <w:rFonts w:eastAsia="Segoe UI"/>
          <w:color w:val="000000"/>
          <w:szCs w:val="24"/>
        </w:rPr>
      </w:pPr>
      <w:r>
        <w:rPr>
          <w:szCs w:val="24"/>
        </w:rPr>
        <w:t xml:space="preserve">This is a repeat of a question </w:t>
      </w:r>
      <w:r w:rsidR="00F642B5">
        <w:rPr>
          <w:szCs w:val="24"/>
        </w:rPr>
        <w:t>in the ‘Intervention’ section. Please refer to the response provided previously.</w:t>
      </w:r>
    </w:p>
    <w:p w14:paraId="0C2BEC69" w14:textId="2C345F79" w:rsidR="004A45BE" w:rsidRPr="00A86A86" w:rsidRDefault="004A45BE" w:rsidP="00A86A86">
      <w:pPr>
        <w:rPr>
          <w:b/>
          <w:bCs/>
          <w:szCs w:val="24"/>
        </w:rPr>
      </w:pPr>
      <w:r w:rsidRPr="00A86A86">
        <w:rPr>
          <w:b/>
          <w:bCs/>
          <w:szCs w:val="24"/>
        </w:rPr>
        <w:t xml:space="preserve">For some people, compared with the comparator(s), does the test information result in: </w:t>
      </w:r>
    </w:p>
    <w:p w14:paraId="67DE36BA" w14:textId="7214FB1C" w:rsidR="004A45BE" w:rsidRPr="0078167C" w:rsidRDefault="004A45BE" w:rsidP="00361BBE">
      <w:pPr>
        <w:spacing w:before="120"/>
        <w:rPr>
          <w:bCs/>
          <w:szCs w:val="24"/>
        </w:rPr>
      </w:pPr>
      <w:r w:rsidRPr="0089269F">
        <w:rPr>
          <w:b/>
          <w:bCs/>
          <w:szCs w:val="24"/>
        </w:rPr>
        <w:t>A change in clinical management?</w:t>
      </w:r>
      <w:r w:rsidRPr="0089269F">
        <w:rPr>
          <w:bCs/>
          <w:szCs w:val="24"/>
        </w:rPr>
        <w:tab/>
      </w:r>
      <w:r w:rsidRPr="0078167C">
        <w:rPr>
          <w:bCs/>
          <w:szCs w:val="24"/>
        </w:rPr>
        <w:t>Yes</w:t>
      </w:r>
    </w:p>
    <w:p w14:paraId="6C54CA8D" w14:textId="1E42973F" w:rsidR="004A45BE" w:rsidRPr="0078167C" w:rsidRDefault="004A45BE" w:rsidP="00BC0C43">
      <w:pPr>
        <w:rPr>
          <w:bCs/>
          <w:szCs w:val="24"/>
        </w:rPr>
      </w:pPr>
      <w:r w:rsidRPr="0078167C">
        <w:rPr>
          <w:b/>
          <w:bCs/>
          <w:szCs w:val="24"/>
        </w:rPr>
        <w:t>A change in health outcome?</w:t>
      </w:r>
      <w:r w:rsidRPr="0078167C">
        <w:rPr>
          <w:bCs/>
          <w:szCs w:val="24"/>
        </w:rPr>
        <w:tab/>
        <w:t>Yes</w:t>
      </w:r>
    </w:p>
    <w:p w14:paraId="0434A6A4" w14:textId="2658C4E1" w:rsidR="004A45BE" w:rsidRPr="0089269F" w:rsidRDefault="004A45BE" w:rsidP="00BC0C43">
      <w:pPr>
        <w:rPr>
          <w:bCs/>
          <w:szCs w:val="24"/>
        </w:rPr>
      </w:pPr>
      <w:r w:rsidRPr="0078167C">
        <w:rPr>
          <w:b/>
          <w:bCs/>
          <w:szCs w:val="24"/>
        </w:rPr>
        <w:lastRenderedPageBreak/>
        <w:t>Other benefits?</w:t>
      </w:r>
      <w:r w:rsidRPr="0078167C">
        <w:rPr>
          <w:b/>
          <w:bCs/>
          <w:szCs w:val="24"/>
        </w:rPr>
        <w:tab/>
      </w:r>
      <w:r w:rsidRPr="0078167C">
        <w:rPr>
          <w:bCs/>
          <w:szCs w:val="24"/>
        </w:rPr>
        <w:tab/>
      </w:r>
      <w:r w:rsidRPr="0078167C">
        <w:rPr>
          <w:bCs/>
          <w:szCs w:val="24"/>
        </w:rPr>
        <w:tab/>
        <w:t>No</w:t>
      </w:r>
    </w:p>
    <w:p w14:paraId="04716397" w14:textId="0FE58BC1" w:rsidR="004A45BE" w:rsidRPr="008D1A34" w:rsidRDefault="009D5D20" w:rsidP="008D1A34">
      <w:pPr>
        <w:rPr>
          <w:b/>
          <w:bCs/>
          <w:szCs w:val="24"/>
        </w:rPr>
      </w:pPr>
      <w:r w:rsidRPr="008D1A34">
        <w:rPr>
          <w:b/>
          <w:bCs/>
          <w:szCs w:val="24"/>
        </w:rPr>
        <w:t>Please provide a rationale, and information on other benefits if relevant</w:t>
      </w:r>
      <w:r w:rsidR="004A45BE" w:rsidRPr="008D1A34">
        <w:rPr>
          <w:b/>
          <w:bCs/>
          <w:szCs w:val="24"/>
        </w:rPr>
        <w:t>:</w:t>
      </w:r>
    </w:p>
    <w:p w14:paraId="4559AF7E" w14:textId="04182BA5" w:rsidR="004A45BE" w:rsidRPr="0089269F" w:rsidRDefault="00A323F9" w:rsidP="00BC0C43">
      <w:pPr>
        <w:rPr>
          <w:rFonts w:eastAsia="Segoe UI"/>
          <w:color w:val="000000"/>
          <w:szCs w:val="24"/>
        </w:rPr>
      </w:pPr>
      <w:r>
        <w:rPr>
          <w:szCs w:val="24"/>
        </w:rPr>
        <w:t>Not applicable</w:t>
      </w:r>
    </w:p>
    <w:p w14:paraId="387EB1A7" w14:textId="77777777" w:rsidR="00361BBE" w:rsidRPr="008D1A34" w:rsidRDefault="009D5D20" w:rsidP="008D1A34">
      <w:pPr>
        <w:rPr>
          <w:b/>
          <w:bCs/>
          <w:szCs w:val="24"/>
        </w:rPr>
      </w:pPr>
      <w:r w:rsidRPr="008D1A34">
        <w:rPr>
          <w:b/>
          <w:bCs/>
          <w:szCs w:val="24"/>
        </w:rPr>
        <w:t>In terms of the immediate costs of the proposed technology (and immediate cost consequences, such as procedural costs, testing costs etc.), is the proposed technology claimed to be more costly, the same cost or less costly than the comparator?</w:t>
      </w:r>
      <w:r w:rsidR="004A45BE" w:rsidRPr="008D1A34">
        <w:rPr>
          <w:b/>
          <w:bCs/>
          <w:szCs w:val="24"/>
        </w:rPr>
        <w:t xml:space="preserve"> </w:t>
      </w:r>
    </w:p>
    <w:p w14:paraId="0EB954C3" w14:textId="63BEE4F3" w:rsidR="006437E6" w:rsidRPr="0089269F" w:rsidRDefault="00A323F9" w:rsidP="00582377">
      <w:pPr>
        <w:pStyle w:val="Tickboxes"/>
        <w:rPr>
          <w:sz w:val="24"/>
          <w:szCs w:val="24"/>
        </w:rPr>
      </w:pPr>
      <w:r>
        <w:rPr>
          <w:sz w:val="24"/>
          <w:szCs w:val="24"/>
        </w:rPr>
        <w:fldChar w:fldCharType="begin">
          <w:ffData>
            <w:name w:val=""/>
            <w:enabled/>
            <w:calcOnExit w:val="0"/>
            <w:statusText w:type="text" w:val="Costs of the proposed technology More costly"/>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More costly </w:t>
      </w:r>
    </w:p>
    <w:p w14:paraId="76F56838" w14:textId="69217CA6" w:rsidR="006437E6"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Same cos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Same cost</w:t>
      </w:r>
    </w:p>
    <w:p w14:paraId="7925F574" w14:textId="74BB1124" w:rsidR="00025969" w:rsidRPr="0089269F" w:rsidRDefault="00D94BA6" w:rsidP="00582377">
      <w:pPr>
        <w:pStyle w:val="Tickboxes"/>
        <w:rPr>
          <w:sz w:val="24"/>
          <w:szCs w:val="24"/>
        </w:rPr>
      </w:pPr>
      <w:r>
        <w:rPr>
          <w:sz w:val="24"/>
          <w:szCs w:val="24"/>
        </w:rPr>
        <w:fldChar w:fldCharType="begin">
          <w:ffData>
            <w:name w:val=""/>
            <w:enabled/>
            <w:calcOnExit w:val="0"/>
            <w:statusText w:type="text" w:val="Costs of the proposed technology Less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6437E6" w:rsidRPr="0089269F">
        <w:rPr>
          <w:sz w:val="24"/>
          <w:szCs w:val="24"/>
        </w:rPr>
        <w:t xml:space="preserve"> Less costly </w:t>
      </w:r>
    </w:p>
    <w:p w14:paraId="3797314E" w14:textId="321C0DC3" w:rsidR="004A45BE" w:rsidRPr="008D1A34" w:rsidRDefault="009D5D20" w:rsidP="008D1A34">
      <w:pPr>
        <w:rPr>
          <w:b/>
          <w:bCs/>
          <w:szCs w:val="24"/>
        </w:rPr>
      </w:pPr>
      <w:r w:rsidRPr="008D1A34">
        <w:rPr>
          <w:b/>
          <w:bCs/>
          <w:szCs w:val="24"/>
        </w:rPr>
        <w:t>Provide a brief rationale for the claim</w:t>
      </w:r>
      <w:r w:rsidR="004A45BE" w:rsidRPr="008D1A34">
        <w:rPr>
          <w:b/>
          <w:bCs/>
          <w:szCs w:val="24"/>
        </w:rPr>
        <w:t>:</w:t>
      </w:r>
    </w:p>
    <w:p w14:paraId="7EED0EFE" w14:textId="3BE0E394" w:rsidR="00D67744" w:rsidRPr="00A323F9" w:rsidRDefault="00A323F9" w:rsidP="00BC0C43">
      <w:pPr>
        <w:rPr>
          <w:b/>
          <w:bCs/>
          <w:szCs w:val="24"/>
        </w:rPr>
      </w:pPr>
      <w:r w:rsidRPr="00A323F9">
        <w:rPr>
          <w:b/>
          <w:bCs/>
          <w:szCs w:val="24"/>
        </w:rPr>
        <w:t>Biomarker testing</w:t>
      </w:r>
    </w:p>
    <w:p w14:paraId="75B4E2F0" w14:textId="283601FF" w:rsidR="00154508" w:rsidRDefault="00F547AE" w:rsidP="00BC0C43">
      <w:pPr>
        <w:rPr>
          <w:szCs w:val="24"/>
        </w:rPr>
      </w:pPr>
      <w:r w:rsidRPr="00F547AE">
        <w:rPr>
          <w:szCs w:val="24"/>
        </w:rPr>
        <w:t xml:space="preserve">Aβ pathology and </w:t>
      </w:r>
      <w:proofErr w:type="spellStart"/>
      <w:r w:rsidRPr="00F547AE">
        <w:rPr>
          <w:szCs w:val="24"/>
        </w:rPr>
        <w:t>ApoE</w:t>
      </w:r>
      <w:proofErr w:type="spellEnd"/>
      <w:r w:rsidRPr="00F547AE">
        <w:rPr>
          <w:szCs w:val="24"/>
        </w:rPr>
        <w:t xml:space="preserve"> ε4 genotype testing</w:t>
      </w:r>
      <w:r w:rsidR="00207C10">
        <w:rPr>
          <w:szCs w:val="24"/>
        </w:rPr>
        <w:t xml:space="preserve"> </w:t>
      </w:r>
      <w:r w:rsidR="00C04AC9">
        <w:rPr>
          <w:szCs w:val="24"/>
        </w:rPr>
        <w:t xml:space="preserve">would represent additional investigations performed as part of the diagnostic work-up of people with Alzheimer’s disease. </w:t>
      </w:r>
      <w:r w:rsidR="00154508">
        <w:rPr>
          <w:szCs w:val="24"/>
        </w:rPr>
        <w:t>If funded through the MBS, these tests would represent additional costs.</w:t>
      </w:r>
    </w:p>
    <w:p w14:paraId="24BE6D18" w14:textId="3FD4AC0C" w:rsidR="006638BF" w:rsidRDefault="00DB159A" w:rsidP="00BC0C43">
      <w:pPr>
        <w:rPr>
          <w:szCs w:val="24"/>
        </w:rPr>
      </w:pPr>
      <w:r>
        <w:rPr>
          <w:szCs w:val="24"/>
        </w:rPr>
        <w:t>MRI scanning of the brain is frequently performed as part of the diagnostic work-up of people with Alzheimer’s disease.</w:t>
      </w:r>
      <w:r w:rsidR="00A95E73">
        <w:rPr>
          <w:szCs w:val="24"/>
        </w:rPr>
        <w:t xml:space="preserve"> However, </w:t>
      </w:r>
      <w:r w:rsidR="00C373A2">
        <w:rPr>
          <w:szCs w:val="24"/>
        </w:rPr>
        <w:t xml:space="preserve">MRI scans of the brain are not required for to monitor for ARIA events in people </w:t>
      </w:r>
      <w:r w:rsidR="00210ABA">
        <w:rPr>
          <w:szCs w:val="24"/>
        </w:rPr>
        <w:t xml:space="preserve">managed with standard medical management. Thus, </w:t>
      </w:r>
      <w:r w:rsidR="00A81B89">
        <w:rPr>
          <w:szCs w:val="24"/>
        </w:rPr>
        <w:t xml:space="preserve">MRI scans of the brain performed on people undergoing </w:t>
      </w:r>
      <w:proofErr w:type="spellStart"/>
      <w:r w:rsidR="00A81B89">
        <w:rPr>
          <w:szCs w:val="24"/>
        </w:rPr>
        <w:t>lecanemab</w:t>
      </w:r>
      <w:proofErr w:type="spellEnd"/>
      <w:r w:rsidR="00A81B89">
        <w:rPr>
          <w:szCs w:val="24"/>
        </w:rPr>
        <w:t xml:space="preserve"> treatment would represent an additional cost.</w:t>
      </w:r>
    </w:p>
    <w:p w14:paraId="545C09B3" w14:textId="1D969918" w:rsidR="0078167C" w:rsidRPr="0078167C" w:rsidRDefault="0078167C" w:rsidP="00BC0C43">
      <w:pPr>
        <w:rPr>
          <w:b/>
          <w:bCs/>
          <w:szCs w:val="24"/>
        </w:rPr>
      </w:pPr>
      <w:proofErr w:type="spellStart"/>
      <w:r w:rsidRPr="0078167C">
        <w:rPr>
          <w:b/>
          <w:bCs/>
          <w:szCs w:val="24"/>
        </w:rPr>
        <w:t>Lecanemab</w:t>
      </w:r>
      <w:proofErr w:type="spellEnd"/>
      <w:r w:rsidRPr="0078167C">
        <w:rPr>
          <w:b/>
          <w:bCs/>
          <w:szCs w:val="24"/>
        </w:rPr>
        <w:t xml:space="preserve"> treatment</w:t>
      </w:r>
    </w:p>
    <w:p w14:paraId="12498176" w14:textId="0900D26D" w:rsidR="00A81B89" w:rsidRDefault="00D4451B" w:rsidP="00BC0C43">
      <w:pPr>
        <w:rPr>
          <w:szCs w:val="24"/>
        </w:rPr>
      </w:pPr>
      <w:proofErr w:type="spellStart"/>
      <w:r>
        <w:rPr>
          <w:szCs w:val="24"/>
        </w:rPr>
        <w:t>Lecanemab</w:t>
      </w:r>
      <w:proofErr w:type="spellEnd"/>
      <w:r>
        <w:rPr>
          <w:szCs w:val="24"/>
        </w:rPr>
        <w:t xml:space="preserve"> </w:t>
      </w:r>
      <w:r w:rsidR="00A20485">
        <w:rPr>
          <w:szCs w:val="24"/>
        </w:rPr>
        <w:t xml:space="preserve">is anticipated to </w:t>
      </w:r>
      <w:r w:rsidR="009F0B88">
        <w:rPr>
          <w:szCs w:val="24"/>
        </w:rPr>
        <w:t>have a higher price tha</w:t>
      </w:r>
      <w:r w:rsidR="00772A37">
        <w:rPr>
          <w:szCs w:val="24"/>
        </w:rPr>
        <w:t xml:space="preserve">n </w:t>
      </w:r>
      <w:r w:rsidR="009F0B88">
        <w:rPr>
          <w:szCs w:val="24"/>
        </w:rPr>
        <w:t xml:space="preserve">existing </w:t>
      </w:r>
      <w:r w:rsidR="00772A37">
        <w:rPr>
          <w:szCs w:val="24"/>
        </w:rPr>
        <w:t xml:space="preserve">treatments for </w:t>
      </w:r>
      <w:r w:rsidR="009F0B88">
        <w:rPr>
          <w:szCs w:val="24"/>
        </w:rPr>
        <w:t xml:space="preserve">Alzheimer's disease listed on the PBS. Further, in some people </w:t>
      </w:r>
      <w:proofErr w:type="spellStart"/>
      <w:r w:rsidR="009F0B88">
        <w:rPr>
          <w:szCs w:val="24"/>
        </w:rPr>
        <w:t>lecanemab</w:t>
      </w:r>
      <w:proofErr w:type="spellEnd"/>
      <w:r w:rsidR="009F0B88">
        <w:rPr>
          <w:szCs w:val="24"/>
        </w:rPr>
        <w:t xml:space="preserve"> would be </w:t>
      </w:r>
      <w:r w:rsidR="00B75CD9">
        <w:rPr>
          <w:szCs w:val="24"/>
        </w:rPr>
        <w:t>provided in addition to standard medical management that include</w:t>
      </w:r>
      <w:r w:rsidR="00525DA6">
        <w:rPr>
          <w:szCs w:val="24"/>
        </w:rPr>
        <w:t xml:space="preserve">s use of pharmaceutical treatments. If funded through the PBS </w:t>
      </w:r>
      <w:proofErr w:type="spellStart"/>
      <w:r w:rsidR="00525DA6">
        <w:rPr>
          <w:szCs w:val="24"/>
        </w:rPr>
        <w:t>lecanemab</w:t>
      </w:r>
      <w:proofErr w:type="spellEnd"/>
      <w:r w:rsidR="00525DA6">
        <w:rPr>
          <w:szCs w:val="24"/>
        </w:rPr>
        <w:t xml:space="preserve"> would represent an additional cost</w:t>
      </w:r>
      <w:r w:rsidR="00157D30">
        <w:rPr>
          <w:szCs w:val="24"/>
        </w:rPr>
        <w:t>.</w:t>
      </w:r>
    </w:p>
    <w:p w14:paraId="7988E8B6" w14:textId="69C88183" w:rsidR="007316E0" w:rsidRPr="0089269F" w:rsidRDefault="007316E0" w:rsidP="007316E0">
      <w:pPr>
        <w:rPr>
          <w:b/>
          <w:bCs/>
          <w:szCs w:val="24"/>
          <w:lang w:eastAsia="en-AU"/>
        </w:rPr>
      </w:pPr>
      <w:r w:rsidRPr="0089269F">
        <w:rPr>
          <w:b/>
          <w:bCs/>
          <w:szCs w:val="24"/>
          <w:lang w:eastAsia="en-AU"/>
        </w:rPr>
        <w:t xml:space="preserve">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 </w:t>
      </w:r>
    </w:p>
    <w:p w14:paraId="797B3B37" w14:textId="0ED8CF10" w:rsidR="00BC0C43" w:rsidRPr="003F4E49" w:rsidRDefault="00157D30" w:rsidP="00157D30">
      <w:r>
        <w:rPr>
          <w:szCs w:val="24"/>
        </w:rPr>
        <w:t>Not applicable.</w:t>
      </w:r>
      <w:bookmarkStart w:id="13" w:name="_Hlk122532620"/>
    </w:p>
    <w:p w14:paraId="3F215402" w14:textId="77777777" w:rsidR="00BF4BAA" w:rsidRPr="003F4E49" w:rsidRDefault="00BF4BAA" w:rsidP="00EA0AA0">
      <w:pPr>
        <w:pStyle w:val="Heading1"/>
        <w:sectPr w:rsidR="00BF4BAA" w:rsidRPr="003F4E49" w:rsidSect="002662E5">
          <w:headerReference w:type="even" r:id="rId15"/>
          <w:footerReference w:type="even" r:id="rId16"/>
          <w:footerReference w:type="default" r:id="rId17"/>
          <w:pgSz w:w="11906" w:h="16838"/>
          <w:pgMar w:top="1418" w:right="1133" w:bottom="993" w:left="1276" w:header="426" w:footer="252" w:gutter="0"/>
          <w:pgNumType w:start="0"/>
          <w:cols w:space="708"/>
          <w:titlePg/>
          <w:docGrid w:linePitch="360"/>
        </w:sectPr>
      </w:pPr>
    </w:p>
    <w:p w14:paraId="78D9C328" w14:textId="7948D0B2" w:rsidR="0030566C" w:rsidRPr="00A84BCA" w:rsidRDefault="0030566C" w:rsidP="00EA0AA0">
      <w:pPr>
        <w:pStyle w:val="Heading1"/>
        <w:rPr>
          <w:color w:val="002060"/>
        </w:rPr>
      </w:pPr>
      <w:r w:rsidRPr="00A84BCA">
        <w:rPr>
          <w:color w:val="002060"/>
        </w:rPr>
        <w:lastRenderedPageBreak/>
        <w:t>Summary of Evidence</w:t>
      </w:r>
    </w:p>
    <w:p w14:paraId="093E0992" w14:textId="77777777" w:rsidR="00BC0C43" w:rsidRPr="008D1A34" w:rsidRDefault="0030566C" w:rsidP="008D1A34">
      <w:pPr>
        <w:rPr>
          <w:b/>
          <w:bCs/>
          <w:szCs w:val="24"/>
        </w:rPr>
      </w:pPr>
      <w:r w:rsidRPr="008D1A34">
        <w:rPr>
          <w:b/>
          <w:bCs/>
          <w:szCs w:val="24"/>
        </w:rPr>
        <w:t xml:space="preserve">Provide one or more recent (published) high quality clinical studies that support use of the proposed health service/technology. At ‘Application Form lodgement’, </w:t>
      </w:r>
    </w:p>
    <w:bookmarkEnd w:id="13"/>
    <w:tbl>
      <w:tblPr>
        <w:tblStyle w:val="TableGrid"/>
        <w:tblW w:w="14333" w:type="dxa"/>
        <w:tblLayout w:type="fixed"/>
        <w:tblLook w:val="04A0" w:firstRow="1" w:lastRow="0" w:firstColumn="1" w:lastColumn="0" w:noHBand="0" w:noVBand="1"/>
      </w:tblPr>
      <w:tblGrid>
        <w:gridCol w:w="454"/>
        <w:gridCol w:w="2376"/>
        <w:gridCol w:w="2835"/>
        <w:gridCol w:w="4422"/>
        <w:gridCol w:w="2375"/>
        <w:gridCol w:w="1871"/>
      </w:tblGrid>
      <w:tr w:rsidR="005E144C" w14:paraId="35868E91" w14:textId="77777777" w:rsidTr="00B70677">
        <w:trPr>
          <w:tblHeader/>
        </w:trPr>
        <w:tc>
          <w:tcPr>
            <w:tcW w:w="454" w:type="dxa"/>
          </w:tcPr>
          <w:p w14:paraId="4822D73C" w14:textId="77777777" w:rsidR="00B56CC5" w:rsidRDefault="00B56CC5" w:rsidP="000400BD">
            <w:pPr>
              <w:widowControl w:val="0"/>
              <w:rPr>
                <w:szCs w:val="24"/>
              </w:rPr>
            </w:pPr>
          </w:p>
        </w:tc>
        <w:tc>
          <w:tcPr>
            <w:tcW w:w="2376" w:type="dxa"/>
          </w:tcPr>
          <w:p w14:paraId="7BA7ED8A" w14:textId="7AE4EC48" w:rsidR="00B56CC5" w:rsidRPr="000400BD" w:rsidRDefault="00B56CC5" w:rsidP="000400BD">
            <w:pPr>
              <w:widowControl w:val="0"/>
              <w:rPr>
                <w:b/>
                <w:bCs/>
                <w:szCs w:val="24"/>
              </w:rPr>
            </w:pPr>
            <w:r w:rsidRPr="000400BD">
              <w:rPr>
                <w:b/>
                <w:bCs/>
                <w:szCs w:val="24"/>
              </w:rPr>
              <w:t>Type of study design*</w:t>
            </w:r>
          </w:p>
        </w:tc>
        <w:tc>
          <w:tcPr>
            <w:tcW w:w="2835" w:type="dxa"/>
          </w:tcPr>
          <w:p w14:paraId="7450B1AE" w14:textId="3B496E02" w:rsidR="00B56CC5" w:rsidRPr="000400BD" w:rsidRDefault="00B56CC5" w:rsidP="000400BD">
            <w:pPr>
              <w:widowControl w:val="0"/>
              <w:rPr>
                <w:b/>
                <w:bCs/>
                <w:szCs w:val="24"/>
              </w:rPr>
            </w:pPr>
            <w:r w:rsidRPr="000400BD">
              <w:rPr>
                <w:b/>
                <w:bCs/>
                <w:szCs w:val="24"/>
              </w:rPr>
              <w:t>Title of journal article or research project</w:t>
            </w:r>
          </w:p>
        </w:tc>
        <w:tc>
          <w:tcPr>
            <w:tcW w:w="4422" w:type="dxa"/>
          </w:tcPr>
          <w:p w14:paraId="56BD4570" w14:textId="0B0E1347" w:rsidR="00B56CC5" w:rsidRPr="000400BD" w:rsidRDefault="00B56CC5" w:rsidP="000400BD">
            <w:pPr>
              <w:widowControl w:val="0"/>
              <w:rPr>
                <w:b/>
                <w:bCs/>
                <w:szCs w:val="24"/>
              </w:rPr>
            </w:pPr>
            <w:r w:rsidRPr="000400BD">
              <w:rPr>
                <w:b/>
                <w:bCs/>
                <w:szCs w:val="24"/>
              </w:rPr>
              <w:t>Short description of research</w:t>
            </w:r>
          </w:p>
        </w:tc>
        <w:tc>
          <w:tcPr>
            <w:tcW w:w="2375" w:type="dxa"/>
          </w:tcPr>
          <w:p w14:paraId="361DC2D0" w14:textId="36064863" w:rsidR="00B56CC5" w:rsidRPr="000400BD" w:rsidRDefault="00B56CC5" w:rsidP="000400BD">
            <w:pPr>
              <w:widowControl w:val="0"/>
              <w:rPr>
                <w:b/>
                <w:bCs/>
                <w:szCs w:val="24"/>
              </w:rPr>
            </w:pPr>
            <w:r w:rsidRPr="000400BD">
              <w:rPr>
                <w:b/>
                <w:bCs/>
                <w:szCs w:val="24"/>
              </w:rPr>
              <w:t>Website link to journal article or research</w:t>
            </w:r>
          </w:p>
        </w:tc>
        <w:tc>
          <w:tcPr>
            <w:tcW w:w="1871" w:type="dxa"/>
          </w:tcPr>
          <w:p w14:paraId="2EC77955" w14:textId="2A13BD48" w:rsidR="00B56CC5" w:rsidRPr="000400BD" w:rsidRDefault="00B56CC5" w:rsidP="000400BD">
            <w:pPr>
              <w:widowControl w:val="0"/>
              <w:rPr>
                <w:b/>
                <w:bCs/>
                <w:szCs w:val="24"/>
              </w:rPr>
            </w:pPr>
            <w:r w:rsidRPr="000400BD">
              <w:rPr>
                <w:b/>
                <w:bCs/>
                <w:szCs w:val="24"/>
              </w:rPr>
              <w:t>Date of publication***</w:t>
            </w:r>
          </w:p>
        </w:tc>
      </w:tr>
      <w:tr w:rsidR="005E144C" w14:paraId="3B6B1694" w14:textId="77777777" w:rsidTr="00B70677">
        <w:tc>
          <w:tcPr>
            <w:tcW w:w="454" w:type="dxa"/>
          </w:tcPr>
          <w:p w14:paraId="06181E9B" w14:textId="69CF9E3A" w:rsidR="00D85FC0" w:rsidRDefault="007B57A2" w:rsidP="000400BD">
            <w:pPr>
              <w:widowControl w:val="0"/>
              <w:rPr>
                <w:szCs w:val="24"/>
              </w:rPr>
            </w:pPr>
            <w:r>
              <w:rPr>
                <w:szCs w:val="24"/>
              </w:rPr>
              <w:t>1.</w:t>
            </w:r>
          </w:p>
        </w:tc>
        <w:tc>
          <w:tcPr>
            <w:tcW w:w="2376" w:type="dxa"/>
          </w:tcPr>
          <w:p w14:paraId="665AD030" w14:textId="2D7DEE3B" w:rsidR="00D85FC0" w:rsidRDefault="00D85FC0" w:rsidP="000400BD">
            <w:pPr>
              <w:widowControl w:val="0"/>
              <w:rPr>
                <w:szCs w:val="24"/>
              </w:rPr>
            </w:pPr>
            <w:r>
              <w:rPr>
                <w:szCs w:val="24"/>
              </w:rPr>
              <w:t>Phase 3 randomised trial: Core CLARITY AD study</w:t>
            </w:r>
          </w:p>
        </w:tc>
        <w:tc>
          <w:tcPr>
            <w:tcW w:w="2835" w:type="dxa"/>
          </w:tcPr>
          <w:p w14:paraId="68281446" w14:textId="69B3AA9D" w:rsidR="00BF3E98" w:rsidRDefault="00D85FC0" w:rsidP="000400BD">
            <w:pPr>
              <w:widowControl w:val="0"/>
              <w:rPr>
                <w:szCs w:val="24"/>
              </w:rPr>
            </w:pPr>
            <w:proofErr w:type="spellStart"/>
            <w:r>
              <w:rPr>
                <w:szCs w:val="24"/>
              </w:rPr>
              <w:t>Lecanemab</w:t>
            </w:r>
            <w:proofErr w:type="spellEnd"/>
            <w:r>
              <w:rPr>
                <w:szCs w:val="24"/>
              </w:rPr>
              <w:t xml:space="preserve"> in Early Alzheimer’s Disease</w:t>
            </w:r>
            <w:r w:rsidR="00061F00">
              <w:rPr>
                <w:szCs w:val="24"/>
              </w:rPr>
              <w:t xml:space="preserve"> </w:t>
            </w:r>
            <w:r w:rsidR="00881F00">
              <w:rPr>
                <w:noProof/>
                <w:szCs w:val="24"/>
              </w:rPr>
              <w:t>(Van Dyck et al. 2023)</w:t>
            </w:r>
            <w:r w:rsidR="00061F00">
              <w:rPr>
                <w:szCs w:val="24"/>
              </w:rPr>
              <w:t xml:space="preserve"> </w:t>
            </w:r>
          </w:p>
          <w:p w14:paraId="37356F85" w14:textId="77777777" w:rsidR="00BF3E98" w:rsidRDefault="00BF3E98" w:rsidP="000400BD">
            <w:pPr>
              <w:widowControl w:val="0"/>
              <w:rPr>
                <w:szCs w:val="24"/>
              </w:rPr>
            </w:pPr>
          </w:p>
          <w:p w14:paraId="44F19DE6" w14:textId="6E289B01" w:rsidR="00D85FC0" w:rsidRDefault="00D85FC0" w:rsidP="000400BD">
            <w:pPr>
              <w:widowControl w:val="0"/>
              <w:rPr>
                <w:szCs w:val="24"/>
              </w:rPr>
            </w:pPr>
            <w:r>
              <w:rPr>
                <w:szCs w:val="24"/>
              </w:rPr>
              <w:t>NCT: 03887455</w:t>
            </w:r>
          </w:p>
        </w:tc>
        <w:tc>
          <w:tcPr>
            <w:tcW w:w="4422" w:type="dxa"/>
          </w:tcPr>
          <w:p w14:paraId="6AEBD016" w14:textId="53BB20DE" w:rsidR="00D85FC0" w:rsidRDefault="00D85FC0" w:rsidP="000400BD">
            <w:pPr>
              <w:widowControl w:val="0"/>
              <w:rPr>
                <w:szCs w:val="24"/>
              </w:rPr>
            </w:pPr>
            <w:r>
              <w:rPr>
                <w:szCs w:val="24"/>
              </w:rPr>
              <w:t xml:space="preserve">1,795 people enrolled in the study, 898 randomised to </w:t>
            </w:r>
            <w:proofErr w:type="spellStart"/>
            <w:r>
              <w:rPr>
                <w:szCs w:val="24"/>
              </w:rPr>
              <w:t>lecanemab</w:t>
            </w:r>
            <w:proofErr w:type="spellEnd"/>
            <w:r>
              <w:rPr>
                <w:szCs w:val="24"/>
              </w:rPr>
              <w:t xml:space="preserve"> arm and 897 randomised to placebo arm. People must have been assessed as Aβ pathology positive by amyloid PET or CSF</w:t>
            </w:r>
            <w:r w:rsidR="00207C10">
              <w:rPr>
                <w:szCs w:val="24"/>
              </w:rPr>
              <w:t xml:space="preserve"> testing</w:t>
            </w:r>
            <w:r>
              <w:rPr>
                <w:szCs w:val="24"/>
              </w:rPr>
              <w:t>.</w:t>
            </w:r>
          </w:p>
          <w:p w14:paraId="739ABF6B" w14:textId="62B75CB7" w:rsidR="00D85FC0" w:rsidRDefault="003D70C1" w:rsidP="000400BD">
            <w:pPr>
              <w:widowControl w:val="0"/>
              <w:rPr>
                <w:szCs w:val="24"/>
              </w:rPr>
            </w:pPr>
            <w:r>
              <w:rPr>
                <w:szCs w:val="24"/>
              </w:rPr>
              <w:t>The p</w:t>
            </w:r>
            <w:r w:rsidR="00D85FC0">
              <w:rPr>
                <w:szCs w:val="24"/>
              </w:rPr>
              <w:t xml:space="preserve">rimary efficacy assessment was CDR-SB score assessed at 18 months. </w:t>
            </w:r>
            <w:r w:rsidR="00D85FC0" w:rsidRPr="00AD32D9">
              <w:rPr>
                <w:szCs w:val="24"/>
              </w:rPr>
              <w:t>The adjusted least-squares mean change from baseline at 18 months was</w:t>
            </w:r>
            <w:r w:rsidR="00D85FC0">
              <w:rPr>
                <w:szCs w:val="24"/>
              </w:rPr>
              <w:t xml:space="preserve"> </w:t>
            </w:r>
            <w:r w:rsidR="00D85FC0" w:rsidRPr="00AD32D9">
              <w:rPr>
                <w:szCs w:val="24"/>
              </w:rPr>
              <w:t xml:space="preserve">1.21 with </w:t>
            </w:r>
            <w:proofErr w:type="spellStart"/>
            <w:r w:rsidR="00D85FC0" w:rsidRPr="00AD32D9">
              <w:rPr>
                <w:szCs w:val="24"/>
              </w:rPr>
              <w:t>lecanemab</w:t>
            </w:r>
            <w:proofErr w:type="spellEnd"/>
            <w:r w:rsidR="00D85FC0" w:rsidRPr="00AD32D9">
              <w:rPr>
                <w:szCs w:val="24"/>
              </w:rPr>
              <w:t xml:space="preserve"> and 1.66 with placebo (difference, −0.45</w:t>
            </w:r>
            <w:r w:rsidR="00D85FC0">
              <w:rPr>
                <w:szCs w:val="24"/>
              </w:rPr>
              <w:t xml:space="preserve"> (</w:t>
            </w:r>
            <w:r w:rsidR="00D85FC0" w:rsidRPr="00AD32D9">
              <w:rPr>
                <w:szCs w:val="24"/>
              </w:rPr>
              <w:t>95% CI</w:t>
            </w:r>
            <w:r w:rsidR="00D85FC0">
              <w:rPr>
                <w:szCs w:val="24"/>
              </w:rPr>
              <w:t xml:space="preserve">: </w:t>
            </w:r>
            <w:r w:rsidR="00D85FC0" w:rsidRPr="00AD32D9">
              <w:rPr>
                <w:szCs w:val="24"/>
              </w:rPr>
              <w:t>−0.67</w:t>
            </w:r>
            <w:r w:rsidR="00D85FC0">
              <w:rPr>
                <w:szCs w:val="24"/>
              </w:rPr>
              <w:t xml:space="preserve"> t</w:t>
            </w:r>
            <w:r w:rsidR="00D85FC0" w:rsidRPr="00AD32D9">
              <w:rPr>
                <w:szCs w:val="24"/>
              </w:rPr>
              <w:t>o</w:t>
            </w:r>
            <w:r w:rsidR="00D85FC0">
              <w:rPr>
                <w:szCs w:val="24"/>
              </w:rPr>
              <w:t xml:space="preserve"> </w:t>
            </w:r>
            <w:r w:rsidR="00D85FC0" w:rsidRPr="00AD32D9">
              <w:rPr>
                <w:szCs w:val="24"/>
              </w:rPr>
              <w:t>−0.23</w:t>
            </w:r>
            <w:r w:rsidR="00D85FC0">
              <w:rPr>
                <w:szCs w:val="24"/>
              </w:rPr>
              <w:t xml:space="preserve">), </w:t>
            </w:r>
            <w:r w:rsidR="00D85FC0" w:rsidRPr="00AD32D9">
              <w:rPr>
                <w:szCs w:val="24"/>
              </w:rPr>
              <w:t>P&lt;0.001.</w:t>
            </w:r>
          </w:p>
          <w:p w14:paraId="04435FF1" w14:textId="12AE6D93" w:rsidR="00D85FC0" w:rsidRDefault="00D85FC0" w:rsidP="000400BD">
            <w:pPr>
              <w:widowControl w:val="0"/>
              <w:rPr>
                <w:szCs w:val="24"/>
              </w:rPr>
            </w:pPr>
            <w:r w:rsidRPr="008B7F0E">
              <w:rPr>
                <w:szCs w:val="24"/>
              </w:rPr>
              <w:t xml:space="preserve">ARIA-E events: 12.6% in </w:t>
            </w:r>
            <w:proofErr w:type="spellStart"/>
            <w:r w:rsidRPr="008B7F0E">
              <w:rPr>
                <w:szCs w:val="24"/>
              </w:rPr>
              <w:t>lecanemab</w:t>
            </w:r>
            <w:proofErr w:type="spellEnd"/>
            <w:r w:rsidRPr="008B7F0E">
              <w:rPr>
                <w:szCs w:val="24"/>
              </w:rPr>
              <w:t xml:space="preserve"> arm vs 1.7% in placebo arm. ARIA-H events: 17.3% in </w:t>
            </w:r>
            <w:proofErr w:type="spellStart"/>
            <w:r w:rsidRPr="008B7F0E">
              <w:rPr>
                <w:szCs w:val="24"/>
              </w:rPr>
              <w:t>lecanemab</w:t>
            </w:r>
            <w:proofErr w:type="spellEnd"/>
            <w:r w:rsidRPr="008B7F0E">
              <w:rPr>
                <w:szCs w:val="24"/>
              </w:rPr>
              <w:t xml:space="preserve"> arm vs 9.0% in placebo arm</w:t>
            </w:r>
            <w:r>
              <w:rPr>
                <w:b/>
                <w:szCs w:val="24"/>
              </w:rPr>
              <w:t xml:space="preserve"> </w:t>
            </w:r>
          </w:p>
        </w:tc>
        <w:tc>
          <w:tcPr>
            <w:tcW w:w="2375" w:type="dxa"/>
          </w:tcPr>
          <w:p w14:paraId="27C45CCC" w14:textId="71BD0FDF" w:rsidR="00D85FC0" w:rsidRDefault="00D85FC0" w:rsidP="000400BD">
            <w:pPr>
              <w:widowControl w:val="0"/>
              <w:rPr>
                <w:szCs w:val="24"/>
              </w:rPr>
            </w:pPr>
            <w:r w:rsidRPr="00291B5C">
              <w:rPr>
                <w:szCs w:val="24"/>
              </w:rPr>
              <w:t>10.1056/NEJMoa2212948</w:t>
            </w:r>
          </w:p>
        </w:tc>
        <w:tc>
          <w:tcPr>
            <w:tcW w:w="1871" w:type="dxa"/>
          </w:tcPr>
          <w:p w14:paraId="3328B316" w14:textId="65419479" w:rsidR="00D85FC0" w:rsidRDefault="00D85FC0" w:rsidP="000400BD">
            <w:pPr>
              <w:widowControl w:val="0"/>
              <w:rPr>
                <w:szCs w:val="24"/>
              </w:rPr>
            </w:pPr>
            <w:r>
              <w:rPr>
                <w:szCs w:val="24"/>
              </w:rPr>
              <w:t>2023</w:t>
            </w:r>
          </w:p>
        </w:tc>
      </w:tr>
      <w:tr w:rsidR="005E144C" w14:paraId="3EE0F7B8" w14:textId="77777777" w:rsidTr="00B70677">
        <w:tc>
          <w:tcPr>
            <w:tcW w:w="454" w:type="dxa"/>
          </w:tcPr>
          <w:p w14:paraId="164DFF77" w14:textId="51624A01" w:rsidR="00346255" w:rsidRDefault="00346255" w:rsidP="000400BD">
            <w:pPr>
              <w:widowControl w:val="0"/>
              <w:rPr>
                <w:szCs w:val="24"/>
              </w:rPr>
            </w:pPr>
            <w:r w:rsidRPr="00EC44E5">
              <w:rPr>
                <w:szCs w:val="24"/>
              </w:rPr>
              <w:t>2.</w:t>
            </w:r>
          </w:p>
        </w:tc>
        <w:tc>
          <w:tcPr>
            <w:tcW w:w="2376" w:type="dxa"/>
          </w:tcPr>
          <w:p w14:paraId="494E2796" w14:textId="42BDE2E0" w:rsidR="00346255" w:rsidRDefault="00346255" w:rsidP="000400BD">
            <w:pPr>
              <w:widowControl w:val="0"/>
              <w:rPr>
                <w:szCs w:val="24"/>
              </w:rPr>
            </w:pPr>
            <w:r>
              <w:rPr>
                <w:szCs w:val="24"/>
              </w:rPr>
              <w:t>Open-label extension to CLARITY AD</w:t>
            </w:r>
          </w:p>
        </w:tc>
        <w:tc>
          <w:tcPr>
            <w:tcW w:w="2835" w:type="dxa"/>
          </w:tcPr>
          <w:p w14:paraId="5651778A" w14:textId="670EEA05" w:rsidR="00346255" w:rsidRDefault="00346255" w:rsidP="000400BD">
            <w:pPr>
              <w:widowControl w:val="0"/>
              <w:rPr>
                <w:szCs w:val="24"/>
              </w:rPr>
            </w:pPr>
            <w:r w:rsidRPr="00664BDB">
              <w:rPr>
                <w:szCs w:val="24"/>
              </w:rPr>
              <w:t xml:space="preserve">Long-term safety and efficacy of </w:t>
            </w:r>
            <w:proofErr w:type="spellStart"/>
            <w:r w:rsidRPr="00664BDB">
              <w:rPr>
                <w:szCs w:val="24"/>
              </w:rPr>
              <w:t>lecanemab</w:t>
            </w:r>
            <w:proofErr w:type="spellEnd"/>
            <w:r w:rsidRPr="00664BDB">
              <w:rPr>
                <w:szCs w:val="24"/>
              </w:rPr>
              <w:t xml:space="preserve"> in early</w:t>
            </w:r>
            <w:r>
              <w:rPr>
                <w:szCs w:val="24"/>
              </w:rPr>
              <w:t xml:space="preserve"> </w:t>
            </w:r>
            <w:r w:rsidRPr="00664BDB">
              <w:rPr>
                <w:szCs w:val="24"/>
              </w:rPr>
              <w:t xml:space="preserve">Alzheimer’s </w:t>
            </w:r>
            <w:r w:rsidRPr="00664BDB">
              <w:rPr>
                <w:szCs w:val="24"/>
              </w:rPr>
              <w:lastRenderedPageBreak/>
              <w:t>disease: Results from the clarity AD open-label</w:t>
            </w:r>
            <w:r>
              <w:rPr>
                <w:szCs w:val="24"/>
              </w:rPr>
              <w:t xml:space="preserve"> </w:t>
            </w:r>
            <w:r w:rsidRPr="00664BDB">
              <w:rPr>
                <w:szCs w:val="24"/>
              </w:rPr>
              <w:t>extension study</w:t>
            </w:r>
            <w:r w:rsidR="00526CE8">
              <w:rPr>
                <w:szCs w:val="24"/>
              </w:rPr>
              <w:t xml:space="preserve"> </w:t>
            </w:r>
            <w:r w:rsidR="00881F00">
              <w:rPr>
                <w:noProof/>
                <w:szCs w:val="24"/>
              </w:rPr>
              <w:t>(Van Dyck et al. 2025)</w:t>
            </w:r>
          </w:p>
        </w:tc>
        <w:tc>
          <w:tcPr>
            <w:tcW w:w="4422" w:type="dxa"/>
          </w:tcPr>
          <w:p w14:paraId="163144B9" w14:textId="471FDEA5" w:rsidR="00346255" w:rsidRDefault="00346255" w:rsidP="000400BD">
            <w:pPr>
              <w:widowControl w:val="0"/>
              <w:rPr>
                <w:szCs w:val="24"/>
              </w:rPr>
            </w:pPr>
            <w:r>
              <w:rPr>
                <w:szCs w:val="24"/>
              </w:rPr>
              <w:lastRenderedPageBreak/>
              <w:t>All people enrolled in the open label extension study must have completed the Core CLARITY AD study. P</w:t>
            </w:r>
            <w:r w:rsidR="00F50D4E">
              <w:rPr>
                <w:szCs w:val="24"/>
              </w:rPr>
              <w:t xml:space="preserve">eople </w:t>
            </w:r>
            <w:r>
              <w:rPr>
                <w:szCs w:val="24"/>
              </w:rPr>
              <w:lastRenderedPageBreak/>
              <w:t xml:space="preserve">randomised to the placebo arm that completed the Core CLARITY AD study were eligible to enrol and receive </w:t>
            </w:r>
            <w:proofErr w:type="spellStart"/>
            <w:r>
              <w:rPr>
                <w:szCs w:val="24"/>
              </w:rPr>
              <w:t>lecanemab</w:t>
            </w:r>
            <w:proofErr w:type="spellEnd"/>
            <w:r>
              <w:rPr>
                <w:szCs w:val="24"/>
              </w:rPr>
              <w:t xml:space="preserve"> (delayed start cohort).</w:t>
            </w:r>
          </w:p>
          <w:p w14:paraId="7B261870" w14:textId="77777777" w:rsidR="00346255" w:rsidRDefault="00346255" w:rsidP="000400BD">
            <w:pPr>
              <w:widowControl w:val="0"/>
              <w:rPr>
                <w:szCs w:val="24"/>
              </w:rPr>
            </w:pPr>
            <w:r>
              <w:rPr>
                <w:szCs w:val="24"/>
              </w:rPr>
              <w:t xml:space="preserve">At 36 months </w:t>
            </w:r>
            <w:proofErr w:type="spellStart"/>
            <w:r>
              <w:rPr>
                <w:szCs w:val="24"/>
              </w:rPr>
              <w:t>lecanemab</w:t>
            </w:r>
            <w:proofErr w:type="spellEnd"/>
            <w:r>
              <w:rPr>
                <w:szCs w:val="24"/>
              </w:rPr>
              <w:t xml:space="preserve"> treated people continued to accrue benefit assessed per the CDR-SB. The delayed start cohort does not catch-up to the early start cohort (</w:t>
            </w:r>
            <w:proofErr w:type="spellStart"/>
            <w:r>
              <w:rPr>
                <w:szCs w:val="24"/>
              </w:rPr>
              <w:t>lecanemab</w:t>
            </w:r>
            <w:proofErr w:type="spellEnd"/>
            <w:r>
              <w:rPr>
                <w:szCs w:val="24"/>
              </w:rPr>
              <w:t xml:space="preserve"> arm in Core CLARITY AD Study), reflecting the importance of early treatment initiation.</w:t>
            </w:r>
          </w:p>
          <w:p w14:paraId="0E63BF01" w14:textId="2F6CD251" w:rsidR="00346255" w:rsidRDefault="00346255" w:rsidP="000400BD">
            <w:pPr>
              <w:widowControl w:val="0"/>
              <w:rPr>
                <w:szCs w:val="24"/>
              </w:rPr>
            </w:pPr>
            <w:r>
              <w:rPr>
                <w:szCs w:val="24"/>
              </w:rPr>
              <w:t>ARIA rates were low after 6 months (1.7%).</w:t>
            </w:r>
          </w:p>
        </w:tc>
        <w:tc>
          <w:tcPr>
            <w:tcW w:w="2375" w:type="dxa"/>
          </w:tcPr>
          <w:p w14:paraId="23A342FC" w14:textId="7D16DAC4" w:rsidR="00346255" w:rsidRDefault="00346255" w:rsidP="000400BD">
            <w:pPr>
              <w:widowControl w:val="0"/>
              <w:rPr>
                <w:szCs w:val="24"/>
              </w:rPr>
            </w:pPr>
            <w:r w:rsidRPr="00A1400D">
              <w:rPr>
                <w:szCs w:val="24"/>
              </w:rPr>
              <w:lastRenderedPageBreak/>
              <w:t>10.1002/alz.70905</w:t>
            </w:r>
          </w:p>
        </w:tc>
        <w:tc>
          <w:tcPr>
            <w:tcW w:w="1871" w:type="dxa"/>
          </w:tcPr>
          <w:p w14:paraId="494D8B2C" w14:textId="3DE4619F" w:rsidR="00346255" w:rsidRDefault="00346255" w:rsidP="000400BD">
            <w:pPr>
              <w:widowControl w:val="0"/>
              <w:rPr>
                <w:szCs w:val="24"/>
              </w:rPr>
            </w:pPr>
            <w:r>
              <w:rPr>
                <w:szCs w:val="24"/>
              </w:rPr>
              <w:t>2025</w:t>
            </w:r>
            <w:r w:rsidR="00B70677">
              <w:rPr>
                <w:szCs w:val="24"/>
              </w:rPr>
              <w:t xml:space="preserve"> (follow-up to primary assessment of </w:t>
            </w:r>
            <w:r w:rsidR="00B70677">
              <w:rPr>
                <w:szCs w:val="24"/>
              </w:rPr>
              <w:lastRenderedPageBreak/>
              <w:t>CLARIT</w:t>
            </w:r>
            <w:r w:rsidR="003B7F4C">
              <w:rPr>
                <w:szCs w:val="24"/>
              </w:rPr>
              <w:t>Y AD)</w:t>
            </w:r>
          </w:p>
        </w:tc>
      </w:tr>
      <w:tr w:rsidR="005E144C" w14:paraId="1AD730A4" w14:textId="77777777" w:rsidTr="00B70677">
        <w:tc>
          <w:tcPr>
            <w:tcW w:w="454" w:type="dxa"/>
          </w:tcPr>
          <w:p w14:paraId="578C146D" w14:textId="4A64B6CF" w:rsidR="00346255" w:rsidRDefault="00346255" w:rsidP="000400BD">
            <w:pPr>
              <w:widowControl w:val="0"/>
              <w:rPr>
                <w:szCs w:val="24"/>
              </w:rPr>
            </w:pPr>
            <w:r w:rsidRPr="00EC44E5">
              <w:rPr>
                <w:szCs w:val="24"/>
              </w:rPr>
              <w:lastRenderedPageBreak/>
              <w:t>3.</w:t>
            </w:r>
          </w:p>
        </w:tc>
        <w:tc>
          <w:tcPr>
            <w:tcW w:w="2376" w:type="dxa"/>
          </w:tcPr>
          <w:p w14:paraId="33F8777C" w14:textId="14C61278" w:rsidR="00346255" w:rsidRDefault="00346255" w:rsidP="000400BD">
            <w:pPr>
              <w:widowControl w:val="0"/>
              <w:rPr>
                <w:szCs w:val="24"/>
              </w:rPr>
            </w:pPr>
            <w:r>
              <w:rPr>
                <w:szCs w:val="24"/>
              </w:rPr>
              <w:t>Open-label extension to CLARITY AD</w:t>
            </w:r>
          </w:p>
        </w:tc>
        <w:tc>
          <w:tcPr>
            <w:tcW w:w="2835" w:type="dxa"/>
          </w:tcPr>
          <w:p w14:paraId="5E0C9A60" w14:textId="0D0FD7BF" w:rsidR="00346255" w:rsidRDefault="00346255" w:rsidP="000400BD">
            <w:pPr>
              <w:widowControl w:val="0"/>
              <w:rPr>
                <w:szCs w:val="24"/>
              </w:rPr>
            </w:pPr>
            <w:r w:rsidRPr="005C15C0">
              <w:rPr>
                <w:szCs w:val="24"/>
              </w:rPr>
              <w:t xml:space="preserve">The </w:t>
            </w:r>
            <w:proofErr w:type="spellStart"/>
            <w:r w:rsidRPr="005C15C0">
              <w:rPr>
                <w:szCs w:val="24"/>
              </w:rPr>
              <w:t>Lecanemab</w:t>
            </w:r>
            <w:proofErr w:type="spellEnd"/>
            <w:r w:rsidRPr="005C15C0">
              <w:rPr>
                <w:szCs w:val="24"/>
              </w:rPr>
              <w:t xml:space="preserve"> Clarity AD Open-Label Extension in</w:t>
            </w:r>
            <w:r>
              <w:rPr>
                <w:szCs w:val="24"/>
              </w:rPr>
              <w:t xml:space="preserve"> </w:t>
            </w:r>
            <w:r w:rsidRPr="005C15C0">
              <w:rPr>
                <w:szCs w:val="24"/>
              </w:rPr>
              <w:t>Early Alzheimer’s Disease: Initial Findings From the 48-Month Analysis</w:t>
            </w:r>
            <w:r w:rsidR="00526CE8">
              <w:rPr>
                <w:szCs w:val="24"/>
              </w:rPr>
              <w:t xml:space="preserve"> </w:t>
            </w:r>
            <w:r w:rsidR="00881F00">
              <w:rPr>
                <w:noProof/>
                <w:szCs w:val="24"/>
              </w:rPr>
              <w:t>(van Dyck et al. 2025)</w:t>
            </w:r>
          </w:p>
        </w:tc>
        <w:tc>
          <w:tcPr>
            <w:tcW w:w="4422" w:type="dxa"/>
          </w:tcPr>
          <w:p w14:paraId="0038E876" w14:textId="1336C945" w:rsidR="00346255" w:rsidRDefault="00346255" w:rsidP="000400BD">
            <w:pPr>
              <w:widowControl w:val="0"/>
              <w:rPr>
                <w:szCs w:val="24"/>
              </w:rPr>
            </w:pPr>
            <w:r>
              <w:rPr>
                <w:szCs w:val="24"/>
              </w:rPr>
              <w:t xml:space="preserve">At </w:t>
            </w:r>
            <w:r w:rsidR="006B4E1E">
              <w:rPr>
                <w:szCs w:val="24"/>
              </w:rPr>
              <w:t>48</w:t>
            </w:r>
            <w:r>
              <w:rPr>
                <w:szCs w:val="24"/>
              </w:rPr>
              <w:t xml:space="preserve"> months </w:t>
            </w:r>
            <w:proofErr w:type="spellStart"/>
            <w:r>
              <w:rPr>
                <w:szCs w:val="24"/>
              </w:rPr>
              <w:t>lecanemab</w:t>
            </w:r>
            <w:proofErr w:type="spellEnd"/>
            <w:r>
              <w:rPr>
                <w:szCs w:val="24"/>
              </w:rPr>
              <w:t xml:space="preserve"> treated people continued to accrue benefit assessed per the CDR-SB.</w:t>
            </w:r>
          </w:p>
          <w:p w14:paraId="223A96CA" w14:textId="37D41829" w:rsidR="00346255" w:rsidRDefault="00346255" w:rsidP="000400BD">
            <w:pPr>
              <w:widowControl w:val="0"/>
              <w:rPr>
                <w:szCs w:val="24"/>
              </w:rPr>
            </w:pPr>
            <w:r>
              <w:rPr>
                <w:szCs w:val="24"/>
              </w:rPr>
              <w:t>A comparison of outcomes with people treated with standard medical management in a population-matched observational cohort (ADNI, N=436</w:t>
            </w:r>
            <w:r w:rsidR="006B4E1E">
              <w:rPr>
                <w:szCs w:val="24"/>
              </w:rPr>
              <w:t>)</w:t>
            </w:r>
            <w:r>
              <w:rPr>
                <w:szCs w:val="24"/>
              </w:rPr>
              <w:t xml:space="preserve"> reports that </w:t>
            </w:r>
            <w:proofErr w:type="spellStart"/>
            <w:r>
              <w:rPr>
                <w:szCs w:val="24"/>
              </w:rPr>
              <w:t>lecanemab</w:t>
            </w:r>
            <w:proofErr w:type="spellEnd"/>
            <w:r>
              <w:rPr>
                <w:szCs w:val="24"/>
              </w:rPr>
              <w:t xml:space="preserve"> reduces the relative risk of progression to next stage of disease by 34% (P&lt;0.00001).</w:t>
            </w:r>
          </w:p>
          <w:p w14:paraId="248B35E9" w14:textId="3CB78566" w:rsidR="00346255" w:rsidRDefault="00346255" w:rsidP="000400BD">
            <w:pPr>
              <w:widowControl w:val="0"/>
              <w:rPr>
                <w:szCs w:val="24"/>
              </w:rPr>
            </w:pPr>
            <w:r>
              <w:rPr>
                <w:szCs w:val="24"/>
              </w:rPr>
              <w:t xml:space="preserve">No new safety signals for </w:t>
            </w:r>
            <w:proofErr w:type="spellStart"/>
            <w:r>
              <w:rPr>
                <w:szCs w:val="24"/>
              </w:rPr>
              <w:t>lecanemab</w:t>
            </w:r>
            <w:proofErr w:type="spellEnd"/>
            <w:r>
              <w:rPr>
                <w:szCs w:val="24"/>
              </w:rPr>
              <w:t xml:space="preserve"> </w:t>
            </w:r>
            <w:r>
              <w:rPr>
                <w:szCs w:val="24"/>
              </w:rPr>
              <w:lastRenderedPageBreak/>
              <w:t>reported</w:t>
            </w:r>
          </w:p>
        </w:tc>
        <w:tc>
          <w:tcPr>
            <w:tcW w:w="2375" w:type="dxa"/>
          </w:tcPr>
          <w:p w14:paraId="0B9FE7BE" w14:textId="695B6617" w:rsidR="00346255" w:rsidRDefault="00346255" w:rsidP="000400BD">
            <w:pPr>
              <w:widowControl w:val="0"/>
              <w:rPr>
                <w:szCs w:val="24"/>
              </w:rPr>
            </w:pPr>
            <w:hyperlink r:id="rId18" w:history="1">
              <w:r w:rsidRPr="007806E5">
                <w:rPr>
                  <w:rStyle w:val="Hyperlink"/>
                  <w:szCs w:val="24"/>
                </w:rPr>
                <w:t>https://www.eisaimedicalinformation.com/-/media/Files/EisaiMedicalInformation/Neurology/Congress-Materials/AAIC-2025/Van-Dyck-OLE---2025-AAIC---28July2025rev2FINAL.pdf?hash=da827667-3b0b-484c-</w:t>
              </w:r>
              <w:r w:rsidRPr="007806E5">
                <w:rPr>
                  <w:rStyle w:val="Hyperlink"/>
                  <w:szCs w:val="24"/>
                </w:rPr>
                <w:lastRenderedPageBreak/>
                <w:t>a3ca-6fc5ba002581</w:t>
              </w:r>
            </w:hyperlink>
          </w:p>
        </w:tc>
        <w:tc>
          <w:tcPr>
            <w:tcW w:w="1871" w:type="dxa"/>
          </w:tcPr>
          <w:p w14:paraId="108A0B10" w14:textId="4E963963" w:rsidR="00346255" w:rsidRDefault="00346255" w:rsidP="000400BD">
            <w:pPr>
              <w:widowControl w:val="0"/>
              <w:rPr>
                <w:szCs w:val="24"/>
              </w:rPr>
            </w:pPr>
            <w:r>
              <w:rPr>
                <w:szCs w:val="24"/>
              </w:rPr>
              <w:lastRenderedPageBreak/>
              <w:t>2025</w:t>
            </w:r>
            <w:r w:rsidR="003B7F4C">
              <w:rPr>
                <w:szCs w:val="24"/>
              </w:rPr>
              <w:t xml:space="preserve"> (follow-up to primary assessment of CLARITY AD)</w:t>
            </w:r>
          </w:p>
        </w:tc>
      </w:tr>
      <w:tr w:rsidR="004B34B3" w14:paraId="14693E8E" w14:textId="77777777" w:rsidTr="00B70677">
        <w:tc>
          <w:tcPr>
            <w:tcW w:w="454" w:type="dxa"/>
          </w:tcPr>
          <w:p w14:paraId="250DF6E4" w14:textId="23FDB77C" w:rsidR="004B34B3" w:rsidRPr="00EC44E5" w:rsidRDefault="004B34B3" w:rsidP="000400BD">
            <w:pPr>
              <w:widowControl w:val="0"/>
              <w:rPr>
                <w:szCs w:val="24"/>
              </w:rPr>
            </w:pPr>
            <w:r>
              <w:rPr>
                <w:szCs w:val="24"/>
              </w:rPr>
              <w:t>4.</w:t>
            </w:r>
          </w:p>
        </w:tc>
        <w:tc>
          <w:tcPr>
            <w:tcW w:w="2376" w:type="dxa"/>
          </w:tcPr>
          <w:p w14:paraId="23C55E79" w14:textId="614DC9CD" w:rsidR="004B34B3" w:rsidRDefault="004B34B3" w:rsidP="000400BD">
            <w:pPr>
              <w:widowControl w:val="0"/>
              <w:rPr>
                <w:szCs w:val="24"/>
              </w:rPr>
            </w:pPr>
            <w:r>
              <w:rPr>
                <w:szCs w:val="24"/>
              </w:rPr>
              <w:t>Diagnostic accuracy study</w:t>
            </w:r>
          </w:p>
        </w:tc>
        <w:tc>
          <w:tcPr>
            <w:tcW w:w="2835" w:type="dxa"/>
          </w:tcPr>
          <w:p w14:paraId="65C61308" w14:textId="682C2390" w:rsidR="004B34B3" w:rsidRPr="005C15C0" w:rsidRDefault="00BC799B" w:rsidP="000400BD">
            <w:pPr>
              <w:widowControl w:val="0"/>
              <w:rPr>
                <w:szCs w:val="24"/>
              </w:rPr>
            </w:pPr>
            <w:r w:rsidRPr="00BC799B">
              <w:rPr>
                <w:szCs w:val="24"/>
              </w:rPr>
              <w:t>Detection and staging of Alzheimer’s disease by plasma pTau217 on a high throughput immunoassay platform</w:t>
            </w:r>
            <w:r w:rsidR="00E00D02">
              <w:rPr>
                <w:szCs w:val="24"/>
              </w:rPr>
              <w:t xml:space="preserve"> </w:t>
            </w:r>
            <w:r w:rsidR="00881F00">
              <w:rPr>
                <w:noProof/>
                <w:szCs w:val="24"/>
              </w:rPr>
              <w:t>(Feizpour et al. 2024)</w:t>
            </w:r>
          </w:p>
        </w:tc>
        <w:tc>
          <w:tcPr>
            <w:tcW w:w="4422" w:type="dxa"/>
          </w:tcPr>
          <w:p w14:paraId="45C84356" w14:textId="77777777" w:rsidR="009B07EF" w:rsidRDefault="0048101D" w:rsidP="009B07EF">
            <w:pPr>
              <w:widowControl w:val="0"/>
              <w:rPr>
                <w:szCs w:val="24"/>
              </w:rPr>
            </w:pPr>
            <w:r>
              <w:rPr>
                <w:szCs w:val="24"/>
              </w:rPr>
              <w:t xml:space="preserve">388 people with </w:t>
            </w:r>
            <w:r w:rsidR="0041092E">
              <w:rPr>
                <w:szCs w:val="24"/>
              </w:rPr>
              <w:t xml:space="preserve">Aβ PET, tau PET and pTau217 </w:t>
            </w:r>
            <w:r w:rsidR="0091061F">
              <w:rPr>
                <w:szCs w:val="24"/>
              </w:rPr>
              <w:t xml:space="preserve">in plasma </w:t>
            </w:r>
            <w:r w:rsidR="0041092E">
              <w:rPr>
                <w:szCs w:val="24"/>
              </w:rPr>
              <w:t xml:space="preserve">outcomes were assessed. </w:t>
            </w:r>
            <w:r w:rsidR="00E302AF">
              <w:rPr>
                <w:szCs w:val="24"/>
              </w:rPr>
              <w:t xml:space="preserve">Of these, </w:t>
            </w:r>
            <w:r w:rsidR="009B07EF">
              <w:rPr>
                <w:szCs w:val="24"/>
              </w:rPr>
              <w:t>232 people had mild cognitive impairment or Alzheimer’s disease,</w:t>
            </w:r>
          </w:p>
          <w:p w14:paraId="7D0ABE5C" w14:textId="25940D98" w:rsidR="00CA7A44" w:rsidRDefault="00073772" w:rsidP="00CA7A44">
            <w:pPr>
              <w:widowControl w:val="0"/>
            </w:pPr>
            <w:r>
              <w:rPr>
                <w:szCs w:val="24"/>
              </w:rPr>
              <w:t xml:space="preserve">In the cognitive impairment </w:t>
            </w:r>
            <w:r w:rsidR="009418C3">
              <w:rPr>
                <w:szCs w:val="24"/>
              </w:rPr>
              <w:t>group</w:t>
            </w:r>
            <w:r w:rsidR="00C97A45">
              <w:rPr>
                <w:szCs w:val="24"/>
              </w:rPr>
              <w:t xml:space="preserve"> pTau217 discriminated between AB- and Aβ+ by PET </w:t>
            </w:r>
            <w:r w:rsidR="0060760F">
              <w:rPr>
                <w:szCs w:val="24"/>
              </w:rPr>
              <w:t>with an AUC of 0.94 (</w:t>
            </w:r>
            <w:r w:rsidR="006B4E1E">
              <w:rPr>
                <w:szCs w:val="24"/>
              </w:rPr>
              <w:t xml:space="preserve">95% CI: </w:t>
            </w:r>
            <w:r w:rsidR="0060760F">
              <w:rPr>
                <w:szCs w:val="24"/>
              </w:rPr>
              <w:t>0.90, 0.98).</w:t>
            </w:r>
          </w:p>
          <w:p w14:paraId="7AD51A41" w14:textId="6459CBB9" w:rsidR="00763922" w:rsidRDefault="00CA7A44" w:rsidP="00CA2836">
            <w:pPr>
              <w:widowControl w:val="0"/>
              <w:rPr>
                <w:szCs w:val="24"/>
              </w:rPr>
            </w:pPr>
            <w:r w:rsidRPr="00CA7A44">
              <w:rPr>
                <w:szCs w:val="24"/>
              </w:rPr>
              <w:t>Applying two thresholds to classify participants</w:t>
            </w:r>
            <w:r>
              <w:rPr>
                <w:szCs w:val="24"/>
              </w:rPr>
              <w:t xml:space="preserve"> in the entire cohort </w:t>
            </w:r>
            <w:r w:rsidRPr="00CA7A44">
              <w:rPr>
                <w:szCs w:val="24"/>
              </w:rPr>
              <w:t>into Low, Indeterminate, and High zones, 17.8% had Indeterminate results and among Low/High zone</w:t>
            </w:r>
            <w:r w:rsidR="00CA2836">
              <w:rPr>
                <w:szCs w:val="24"/>
              </w:rPr>
              <w:t xml:space="preserve"> </w:t>
            </w:r>
            <w:r w:rsidRPr="00CA7A44">
              <w:rPr>
                <w:szCs w:val="24"/>
              </w:rPr>
              <w:t>participants, 92% were correctly classiﬁed as Aβ or Aβ+</w:t>
            </w:r>
            <w:r w:rsidR="00CA2836">
              <w:rPr>
                <w:szCs w:val="24"/>
              </w:rPr>
              <w:t xml:space="preserve"> by PET.</w:t>
            </w:r>
          </w:p>
        </w:tc>
        <w:tc>
          <w:tcPr>
            <w:tcW w:w="2375" w:type="dxa"/>
          </w:tcPr>
          <w:p w14:paraId="42C29319" w14:textId="423D1EE7" w:rsidR="004B34B3" w:rsidRDefault="004A4DD5" w:rsidP="000400BD">
            <w:pPr>
              <w:widowControl w:val="0"/>
              <w:rPr>
                <w:szCs w:val="24"/>
              </w:rPr>
            </w:pPr>
            <w:r w:rsidRPr="002A10EB">
              <w:rPr>
                <w:szCs w:val="24"/>
              </w:rPr>
              <w:t>10.1016/j.ebiom.2024.105405</w:t>
            </w:r>
          </w:p>
          <w:p w14:paraId="5C5D3595" w14:textId="698D194C" w:rsidR="004A4DD5" w:rsidRDefault="004A4DD5" w:rsidP="000400BD">
            <w:pPr>
              <w:widowControl w:val="0"/>
              <w:rPr>
                <w:szCs w:val="24"/>
              </w:rPr>
            </w:pPr>
          </w:p>
        </w:tc>
        <w:tc>
          <w:tcPr>
            <w:tcW w:w="1871" w:type="dxa"/>
          </w:tcPr>
          <w:p w14:paraId="7EDD8CA3" w14:textId="73D220C8" w:rsidR="004B34B3" w:rsidRDefault="00CA2836" w:rsidP="000400BD">
            <w:pPr>
              <w:widowControl w:val="0"/>
              <w:rPr>
                <w:szCs w:val="24"/>
              </w:rPr>
            </w:pPr>
            <w:r>
              <w:rPr>
                <w:szCs w:val="24"/>
              </w:rPr>
              <w:t>2024</w:t>
            </w:r>
          </w:p>
        </w:tc>
      </w:tr>
      <w:tr w:rsidR="004B34B3" w14:paraId="6815C7DF" w14:textId="77777777" w:rsidTr="00B70677">
        <w:tc>
          <w:tcPr>
            <w:tcW w:w="454" w:type="dxa"/>
          </w:tcPr>
          <w:p w14:paraId="55C28F24" w14:textId="5DE6890B" w:rsidR="004B34B3" w:rsidRPr="00EC44E5" w:rsidRDefault="00D10F1B" w:rsidP="000400BD">
            <w:pPr>
              <w:widowControl w:val="0"/>
              <w:rPr>
                <w:szCs w:val="24"/>
              </w:rPr>
            </w:pPr>
            <w:r>
              <w:rPr>
                <w:szCs w:val="24"/>
              </w:rPr>
              <w:t>5.</w:t>
            </w:r>
          </w:p>
        </w:tc>
        <w:tc>
          <w:tcPr>
            <w:tcW w:w="2376" w:type="dxa"/>
          </w:tcPr>
          <w:p w14:paraId="23FA3DAF" w14:textId="2DC96D86" w:rsidR="004B34B3" w:rsidRDefault="00584693" w:rsidP="000400BD">
            <w:pPr>
              <w:widowControl w:val="0"/>
              <w:rPr>
                <w:szCs w:val="24"/>
              </w:rPr>
            </w:pPr>
            <w:r>
              <w:rPr>
                <w:szCs w:val="24"/>
              </w:rPr>
              <w:t>Diagnostic accuracy study</w:t>
            </w:r>
          </w:p>
        </w:tc>
        <w:tc>
          <w:tcPr>
            <w:tcW w:w="2835" w:type="dxa"/>
          </w:tcPr>
          <w:p w14:paraId="521D21BD" w14:textId="686B80A1" w:rsidR="004B34B3" w:rsidRPr="005C15C0" w:rsidRDefault="00613F01" w:rsidP="000400BD">
            <w:pPr>
              <w:widowControl w:val="0"/>
              <w:rPr>
                <w:szCs w:val="24"/>
              </w:rPr>
            </w:pPr>
            <w:r w:rsidRPr="00613F01">
              <w:rPr>
                <w:szCs w:val="24"/>
              </w:rPr>
              <w:t>Diagnostic Accuracy of a Plasma Phosphorylated Tau 217 Immunoassay for Alzheimer Disease Pathology</w:t>
            </w:r>
            <w:r w:rsidR="001A21C9">
              <w:rPr>
                <w:szCs w:val="24"/>
              </w:rPr>
              <w:t xml:space="preserve"> </w:t>
            </w:r>
            <w:r w:rsidR="00881F00">
              <w:rPr>
                <w:noProof/>
                <w:szCs w:val="24"/>
              </w:rPr>
              <w:t>(Ashton et al. 2024)</w:t>
            </w:r>
          </w:p>
        </w:tc>
        <w:tc>
          <w:tcPr>
            <w:tcW w:w="4422" w:type="dxa"/>
          </w:tcPr>
          <w:p w14:paraId="6C2ECB52" w14:textId="5372ED56" w:rsidR="004B34B3" w:rsidRDefault="00361B6E" w:rsidP="000400BD">
            <w:pPr>
              <w:widowControl w:val="0"/>
              <w:rPr>
                <w:szCs w:val="24"/>
              </w:rPr>
            </w:pPr>
            <w:r>
              <w:rPr>
                <w:szCs w:val="24"/>
              </w:rPr>
              <w:t xml:space="preserve">Outcomes from 3 cohorts were </w:t>
            </w:r>
            <w:r w:rsidR="00AC54DB">
              <w:rPr>
                <w:szCs w:val="24"/>
              </w:rPr>
              <w:t>assessed:</w:t>
            </w:r>
            <w:r w:rsidR="001C5A6E">
              <w:rPr>
                <w:szCs w:val="24"/>
              </w:rPr>
              <w:t xml:space="preserve"> WRAP (N=323), TRIAD (N=268) and SPIN (N=195).</w:t>
            </w:r>
          </w:p>
          <w:p w14:paraId="42A42E38" w14:textId="52DAA6F9" w:rsidR="00FF70DE" w:rsidRDefault="00C2610E" w:rsidP="000400BD">
            <w:pPr>
              <w:widowControl w:val="0"/>
              <w:rPr>
                <w:szCs w:val="24"/>
              </w:rPr>
            </w:pPr>
            <w:r>
              <w:rPr>
                <w:szCs w:val="24"/>
              </w:rPr>
              <w:t>pTau217</w:t>
            </w:r>
            <w:r w:rsidR="008B37E9">
              <w:rPr>
                <w:szCs w:val="24"/>
              </w:rPr>
              <w:t xml:space="preserve"> discriminated between AB- and Aβ+ by PET with an AUC of 0.9</w:t>
            </w:r>
            <w:r w:rsidR="001F0FDB">
              <w:rPr>
                <w:szCs w:val="24"/>
              </w:rPr>
              <w:t>2</w:t>
            </w:r>
            <w:r w:rsidR="008B37E9">
              <w:rPr>
                <w:szCs w:val="24"/>
              </w:rPr>
              <w:t xml:space="preserve"> (</w:t>
            </w:r>
            <w:r w:rsidR="006B4E1E">
              <w:rPr>
                <w:szCs w:val="24"/>
              </w:rPr>
              <w:t xml:space="preserve">95% CI: </w:t>
            </w:r>
            <w:r w:rsidR="008B37E9">
              <w:rPr>
                <w:szCs w:val="24"/>
              </w:rPr>
              <w:t>0.9</w:t>
            </w:r>
            <w:r w:rsidR="001F0FDB">
              <w:rPr>
                <w:szCs w:val="24"/>
              </w:rPr>
              <w:t>2</w:t>
            </w:r>
            <w:r w:rsidR="008B37E9">
              <w:rPr>
                <w:szCs w:val="24"/>
              </w:rPr>
              <w:t>, 0.9</w:t>
            </w:r>
            <w:r w:rsidR="001F0FDB">
              <w:rPr>
                <w:szCs w:val="24"/>
              </w:rPr>
              <w:t>6</w:t>
            </w:r>
            <w:r w:rsidR="008B37E9">
              <w:rPr>
                <w:szCs w:val="24"/>
              </w:rPr>
              <w:t>)</w:t>
            </w:r>
            <w:r w:rsidR="001F0FDB">
              <w:rPr>
                <w:szCs w:val="24"/>
              </w:rPr>
              <w:t xml:space="preserve"> in </w:t>
            </w:r>
            <w:r w:rsidR="00FF70DE">
              <w:rPr>
                <w:szCs w:val="24"/>
              </w:rPr>
              <w:t xml:space="preserve">the </w:t>
            </w:r>
            <w:r w:rsidR="001F0FDB">
              <w:rPr>
                <w:szCs w:val="24"/>
              </w:rPr>
              <w:t>TRIAD</w:t>
            </w:r>
            <w:r w:rsidR="00FF70DE">
              <w:rPr>
                <w:szCs w:val="24"/>
              </w:rPr>
              <w:t xml:space="preserve"> cohort</w:t>
            </w:r>
            <w:r w:rsidR="001F0FDB">
              <w:rPr>
                <w:szCs w:val="24"/>
              </w:rPr>
              <w:t xml:space="preserve"> and an AUC of 0.9</w:t>
            </w:r>
            <w:r w:rsidR="00621067">
              <w:rPr>
                <w:szCs w:val="24"/>
              </w:rPr>
              <w:t>3 (95% CI: 0.</w:t>
            </w:r>
            <w:r w:rsidR="00FF70DE">
              <w:rPr>
                <w:szCs w:val="24"/>
              </w:rPr>
              <w:t xml:space="preserve"> </w:t>
            </w:r>
            <w:r w:rsidR="00621067">
              <w:rPr>
                <w:szCs w:val="24"/>
              </w:rPr>
              <w:t xml:space="preserve">90, 0.97) </w:t>
            </w:r>
            <w:r w:rsidR="00621067">
              <w:rPr>
                <w:szCs w:val="24"/>
              </w:rPr>
              <w:lastRenderedPageBreak/>
              <w:t>in</w:t>
            </w:r>
            <w:r w:rsidR="00FF70DE">
              <w:rPr>
                <w:szCs w:val="24"/>
              </w:rPr>
              <w:t xml:space="preserve"> the</w:t>
            </w:r>
            <w:r w:rsidR="00621067">
              <w:rPr>
                <w:szCs w:val="24"/>
              </w:rPr>
              <w:t xml:space="preserve"> </w:t>
            </w:r>
            <w:r w:rsidR="00FF70DE">
              <w:rPr>
                <w:szCs w:val="24"/>
              </w:rPr>
              <w:t>WRAP cohort</w:t>
            </w:r>
            <w:r w:rsidR="008B37E9">
              <w:rPr>
                <w:szCs w:val="24"/>
              </w:rPr>
              <w:t>.</w:t>
            </w:r>
          </w:p>
        </w:tc>
        <w:tc>
          <w:tcPr>
            <w:tcW w:w="2375" w:type="dxa"/>
          </w:tcPr>
          <w:p w14:paraId="2F8DFD07" w14:textId="39328964" w:rsidR="005E3953" w:rsidRPr="002A10EB" w:rsidRDefault="002A10EB" w:rsidP="005E3953">
            <w:pPr>
              <w:widowControl w:val="0"/>
              <w:rPr>
                <w:szCs w:val="24"/>
              </w:rPr>
            </w:pPr>
            <w:r w:rsidRPr="002A10EB">
              <w:rPr>
                <w:szCs w:val="24"/>
              </w:rPr>
              <w:lastRenderedPageBreak/>
              <w:t>1</w:t>
            </w:r>
            <w:r w:rsidR="00284722" w:rsidRPr="002A10EB">
              <w:rPr>
                <w:szCs w:val="24"/>
              </w:rPr>
              <w:t>0.1001/jamaneurol.2023.5319</w:t>
            </w:r>
          </w:p>
        </w:tc>
        <w:tc>
          <w:tcPr>
            <w:tcW w:w="1871" w:type="dxa"/>
          </w:tcPr>
          <w:p w14:paraId="7530B17C" w14:textId="2F129966" w:rsidR="004B34B3" w:rsidRDefault="00284722" w:rsidP="000400BD">
            <w:pPr>
              <w:widowControl w:val="0"/>
              <w:rPr>
                <w:szCs w:val="24"/>
              </w:rPr>
            </w:pPr>
            <w:r>
              <w:rPr>
                <w:szCs w:val="24"/>
              </w:rPr>
              <w:t>2024</w:t>
            </w:r>
          </w:p>
        </w:tc>
      </w:tr>
    </w:tbl>
    <w:p w14:paraId="77939CFE" w14:textId="451E1774" w:rsidR="00284722" w:rsidRDefault="000400BD" w:rsidP="000400BD">
      <w:pPr>
        <w:rPr>
          <w:i/>
          <w:iCs/>
          <w:color w:val="538135" w:themeColor="accent6" w:themeShade="BF"/>
          <w:sz w:val="20"/>
          <w:szCs w:val="20"/>
        </w:rPr>
        <w:sectPr w:rsidR="00284722" w:rsidSect="00BF4BAA">
          <w:pgSz w:w="16838" w:h="11906" w:orient="landscape"/>
          <w:pgMar w:top="1440" w:right="1440" w:bottom="991" w:left="1135" w:header="426" w:footer="252" w:gutter="0"/>
          <w:cols w:space="708"/>
          <w:docGrid w:linePitch="360"/>
        </w:sectPr>
      </w:pPr>
      <w:r w:rsidRPr="00EC44E5">
        <w:rPr>
          <w:i/>
          <w:iCs/>
          <w:color w:val="538135" w:themeColor="accent6" w:themeShade="BF"/>
          <w:sz w:val="20"/>
          <w:szCs w:val="20"/>
        </w:rPr>
        <w:t xml:space="preserve"> </w:t>
      </w:r>
    </w:p>
    <w:p w14:paraId="3A0427A3" w14:textId="52C81538" w:rsidR="00E37C5A" w:rsidRPr="00284722" w:rsidRDefault="00284722" w:rsidP="00284722">
      <w:pPr>
        <w:pStyle w:val="Heading1"/>
        <w:rPr>
          <w:color w:val="002060"/>
        </w:rPr>
      </w:pPr>
      <w:r w:rsidRPr="00284722">
        <w:rPr>
          <w:color w:val="002060"/>
        </w:rPr>
        <w:lastRenderedPageBreak/>
        <w:t>References</w:t>
      </w:r>
    </w:p>
    <w:p w14:paraId="01F4F428" w14:textId="54541795" w:rsidR="00881F00" w:rsidRPr="00881F00" w:rsidRDefault="00881F00" w:rsidP="00881F00">
      <w:pPr>
        <w:pStyle w:val="EndNoteBibliography"/>
      </w:pPr>
      <w:r w:rsidRPr="00881F00">
        <w:t xml:space="preserve">Ashton, NJ, Brum, WS, et al. (2024). "Diagnostic accuracy of a plasma phosphorylated tau 217 immunoassay for Alzheimer disease pathology." </w:t>
      </w:r>
      <w:r w:rsidRPr="00881F00">
        <w:rPr>
          <w:u w:val="single"/>
        </w:rPr>
        <w:t>JAMA neurology</w:t>
      </w:r>
      <w:r w:rsidRPr="00881F00">
        <w:t xml:space="preserve"> </w:t>
      </w:r>
      <w:r w:rsidRPr="00881F00">
        <w:rPr>
          <w:b/>
        </w:rPr>
        <w:t>81</w:t>
      </w:r>
      <w:r w:rsidRPr="00881F00">
        <w:t>(3): 255-263.</w:t>
      </w:r>
    </w:p>
    <w:p w14:paraId="2692C731" w14:textId="77777777" w:rsidR="00881F00" w:rsidRPr="00881F00" w:rsidRDefault="00881F00" w:rsidP="00881F00">
      <w:pPr>
        <w:pStyle w:val="EndNoteBibliography"/>
        <w:spacing w:after="0"/>
      </w:pPr>
    </w:p>
    <w:p w14:paraId="39E74948" w14:textId="77777777" w:rsidR="00881F00" w:rsidRPr="00881F00" w:rsidRDefault="00881F00" w:rsidP="00881F00">
      <w:pPr>
        <w:pStyle w:val="EndNoteBibliography"/>
      </w:pPr>
      <w:r w:rsidRPr="00881F00">
        <w:t xml:space="preserve">Breijyeh, Z and Karaman, R (2020). "Comprehensive review on Alzheimer’s disease: causes and treatment." </w:t>
      </w:r>
      <w:r w:rsidRPr="00881F00">
        <w:rPr>
          <w:u w:val="single"/>
        </w:rPr>
        <w:t>Molecules</w:t>
      </w:r>
      <w:r w:rsidRPr="00881F00">
        <w:t xml:space="preserve"> </w:t>
      </w:r>
      <w:r w:rsidRPr="00881F00">
        <w:rPr>
          <w:b/>
        </w:rPr>
        <w:t>25</w:t>
      </w:r>
      <w:r w:rsidRPr="00881F00">
        <w:t>(24): 5789.</w:t>
      </w:r>
    </w:p>
    <w:p w14:paraId="20E36E0E" w14:textId="77777777" w:rsidR="00881F00" w:rsidRPr="00881F00" w:rsidRDefault="00881F00" w:rsidP="00881F00">
      <w:pPr>
        <w:pStyle w:val="EndNoteBibliography"/>
        <w:spacing w:after="0"/>
      </w:pPr>
    </w:p>
    <w:p w14:paraId="729131F1" w14:textId="77777777" w:rsidR="00881F00" w:rsidRPr="00881F00" w:rsidRDefault="00881F00" w:rsidP="00881F00">
      <w:pPr>
        <w:pStyle w:val="EndNoteBibliography"/>
      </w:pPr>
      <w:r w:rsidRPr="00881F00">
        <w:t xml:space="preserve">Feizpour, A, Doecke, JD, et al. (2024). "Detection and staging of Alzheimer's disease by plasma pTau217 on a high throughput immunoassay platform." </w:t>
      </w:r>
      <w:r w:rsidRPr="00881F00">
        <w:rPr>
          <w:u w:val="single"/>
        </w:rPr>
        <w:t>EBioMedicine</w:t>
      </w:r>
      <w:r w:rsidRPr="00881F00">
        <w:t xml:space="preserve"> </w:t>
      </w:r>
      <w:r w:rsidRPr="00881F00">
        <w:rPr>
          <w:b/>
        </w:rPr>
        <w:t>109</w:t>
      </w:r>
      <w:r w:rsidRPr="00881F00">
        <w:t>.</w:t>
      </w:r>
    </w:p>
    <w:p w14:paraId="790610AB" w14:textId="77777777" w:rsidR="00881F00" w:rsidRPr="00881F00" w:rsidRDefault="00881F00" w:rsidP="00881F00">
      <w:pPr>
        <w:pStyle w:val="EndNoteBibliography"/>
        <w:spacing w:after="0"/>
      </w:pPr>
    </w:p>
    <w:p w14:paraId="6B0B8F92" w14:textId="77777777" w:rsidR="00881F00" w:rsidRPr="00881F00" w:rsidRDefault="00881F00" w:rsidP="00881F00">
      <w:pPr>
        <w:pStyle w:val="EndNoteBibliography"/>
      </w:pPr>
      <w:r w:rsidRPr="00881F00">
        <w:t>Guideline Adaption Committee (2016). Clinical Practice Guidelines and Principles of Care for People with Dementia. C. D. P. Centre. Sydney.</w:t>
      </w:r>
    </w:p>
    <w:p w14:paraId="673BDDF5" w14:textId="77777777" w:rsidR="00881F00" w:rsidRPr="00881F00" w:rsidRDefault="00881F00" w:rsidP="00881F00">
      <w:pPr>
        <w:pStyle w:val="EndNoteBibliography"/>
        <w:spacing w:after="0"/>
      </w:pPr>
    </w:p>
    <w:p w14:paraId="489D804C" w14:textId="77777777" w:rsidR="00881F00" w:rsidRPr="00881F00" w:rsidRDefault="00881F00" w:rsidP="00881F00">
      <w:pPr>
        <w:pStyle w:val="EndNoteBibliography"/>
      </w:pPr>
      <w:r w:rsidRPr="00881F00">
        <w:t xml:space="preserve">Jack, CR, Andrews, JS, et al. (2024). "Revised criteria for diagnosis and staging of Alzheimer's disease: Alzheimer's Association Workgroup." </w:t>
      </w:r>
      <w:r w:rsidRPr="00881F00">
        <w:rPr>
          <w:u w:val="single"/>
        </w:rPr>
        <w:t>Alzheimer's &amp; Dementia</w:t>
      </w:r>
      <w:r w:rsidRPr="00881F00">
        <w:t xml:space="preserve"> </w:t>
      </w:r>
      <w:r w:rsidRPr="00881F00">
        <w:rPr>
          <w:b/>
        </w:rPr>
        <w:t>20</w:t>
      </w:r>
      <w:r w:rsidRPr="00881F00">
        <w:t>(8): 5143-5169.</w:t>
      </w:r>
    </w:p>
    <w:p w14:paraId="550A3D05" w14:textId="77777777" w:rsidR="00881F00" w:rsidRPr="00881F00" w:rsidRDefault="00881F00" w:rsidP="00881F00">
      <w:pPr>
        <w:pStyle w:val="EndNoteBibliography"/>
        <w:spacing w:after="0"/>
      </w:pPr>
    </w:p>
    <w:p w14:paraId="4A979BF0" w14:textId="77777777" w:rsidR="00881F00" w:rsidRPr="00881F00" w:rsidRDefault="00881F00" w:rsidP="00881F00">
      <w:pPr>
        <w:pStyle w:val="EndNoteBibliography"/>
      </w:pPr>
      <w:r w:rsidRPr="00881F00">
        <w:t xml:space="preserve">O’Bryant, SE, Waring, SC, et al. (2008). "Staging dementia using Clinical Dementia Rating Scale Sum of Boxes scores: a Texas Alzheimer's research consortium study." </w:t>
      </w:r>
      <w:r w:rsidRPr="00881F00">
        <w:rPr>
          <w:u w:val="single"/>
        </w:rPr>
        <w:t>Archives of neurology</w:t>
      </w:r>
      <w:r w:rsidRPr="00881F00">
        <w:t xml:space="preserve"> </w:t>
      </w:r>
      <w:r w:rsidRPr="00881F00">
        <w:rPr>
          <w:b/>
        </w:rPr>
        <w:t>65</w:t>
      </w:r>
      <w:r w:rsidRPr="00881F00">
        <w:t>(8): 1091-1095.</w:t>
      </w:r>
    </w:p>
    <w:p w14:paraId="5C6773D0" w14:textId="77777777" w:rsidR="00881F00" w:rsidRPr="00881F00" w:rsidRDefault="00881F00" w:rsidP="00881F00">
      <w:pPr>
        <w:pStyle w:val="EndNoteBibliography"/>
        <w:spacing w:after="0"/>
      </w:pPr>
    </w:p>
    <w:p w14:paraId="2EEAC6CB" w14:textId="77777777" w:rsidR="00881F00" w:rsidRPr="00881F00" w:rsidRDefault="00881F00" w:rsidP="00881F00">
      <w:pPr>
        <w:pStyle w:val="EndNoteBibliography"/>
      </w:pPr>
      <w:r w:rsidRPr="00881F00">
        <w:t xml:space="preserve">Schindler, SE, Galasko, D, et al. (2024). "Acceptable performance of blood biomarker tests of amyloid pathology—recommendations from the Global CEO Initiative on Alzheimer’s Disease." </w:t>
      </w:r>
      <w:r w:rsidRPr="00881F00">
        <w:rPr>
          <w:u w:val="single"/>
        </w:rPr>
        <w:t>Nature Reviews Neurology</w:t>
      </w:r>
      <w:r w:rsidRPr="00881F00">
        <w:t xml:space="preserve"> </w:t>
      </w:r>
      <w:r w:rsidRPr="00881F00">
        <w:rPr>
          <w:b/>
        </w:rPr>
        <w:t>20</w:t>
      </w:r>
      <w:r w:rsidRPr="00881F00">
        <w:t>(7): 426-439.</w:t>
      </w:r>
    </w:p>
    <w:p w14:paraId="46CB7F22" w14:textId="77777777" w:rsidR="00881F00" w:rsidRPr="00881F00" w:rsidRDefault="00881F00" w:rsidP="00881F00">
      <w:pPr>
        <w:pStyle w:val="EndNoteBibliography"/>
        <w:spacing w:after="0"/>
      </w:pPr>
    </w:p>
    <w:p w14:paraId="4117907B" w14:textId="77777777" w:rsidR="00881F00" w:rsidRPr="00881F00" w:rsidRDefault="00881F00" w:rsidP="00881F00">
      <w:pPr>
        <w:pStyle w:val="EndNoteBibliography"/>
      </w:pPr>
      <w:r w:rsidRPr="00881F00">
        <w:t xml:space="preserve">van Dyck, CH, Li, D, et al. (2025). "The Lecanemab Clarity AD Open‐Label Extension in Early Alzheimer’s Disease: Initial Findings From the 48‐Month Analysis." </w:t>
      </w:r>
      <w:r w:rsidRPr="00881F00">
        <w:rPr>
          <w:u w:val="single"/>
        </w:rPr>
        <w:t>Alzheimer's &amp; Dementia</w:t>
      </w:r>
      <w:r w:rsidRPr="00881F00">
        <w:t xml:space="preserve"> </w:t>
      </w:r>
      <w:r w:rsidRPr="00881F00">
        <w:rPr>
          <w:b/>
        </w:rPr>
        <w:t>21</w:t>
      </w:r>
      <w:r w:rsidRPr="00881F00">
        <w:t>(Suppl 7): e108905.</w:t>
      </w:r>
    </w:p>
    <w:p w14:paraId="0C936C1F" w14:textId="77777777" w:rsidR="00881F00" w:rsidRPr="00881F00" w:rsidRDefault="00881F00" w:rsidP="00881F00">
      <w:pPr>
        <w:pStyle w:val="EndNoteBibliography"/>
        <w:spacing w:after="0"/>
      </w:pPr>
    </w:p>
    <w:p w14:paraId="55F35D20" w14:textId="77777777" w:rsidR="00881F00" w:rsidRPr="00881F00" w:rsidRDefault="00881F00" w:rsidP="00881F00">
      <w:pPr>
        <w:pStyle w:val="EndNoteBibliography"/>
      </w:pPr>
      <w:r w:rsidRPr="00881F00">
        <w:t xml:space="preserve">Van Dyck, CH, Sperling, R, et al. (2025). "Long‐term safety and efficacy of lecanemab in early Alzheimer's disease: Results from the clarity AD open‐label extension study." </w:t>
      </w:r>
      <w:r w:rsidRPr="00881F00">
        <w:rPr>
          <w:u w:val="single"/>
        </w:rPr>
        <w:t>Alzheimer's &amp; Dementia</w:t>
      </w:r>
      <w:r w:rsidRPr="00881F00">
        <w:t xml:space="preserve"> </w:t>
      </w:r>
      <w:r w:rsidRPr="00881F00">
        <w:rPr>
          <w:b/>
        </w:rPr>
        <w:t>21</w:t>
      </w:r>
      <w:r w:rsidRPr="00881F00">
        <w:t>(12): e70905.</w:t>
      </w:r>
    </w:p>
    <w:p w14:paraId="1938A31D" w14:textId="77777777" w:rsidR="00881F00" w:rsidRPr="00881F00" w:rsidRDefault="00881F00" w:rsidP="00881F00">
      <w:pPr>
        <w:pStyle w:val="EndNoteBibliography"/>
        <w:spacing w:after="0"/>
      </w:pPr>
    </w:p>
    <w:p w14:paraId="33B011EF" w14:textId="77777777" w:rsidR="00881F00" w:rsidRPr="00881F00" w:rsidRDefault="00881F00" w:rsidP="00881F00">
      <w:pPr>
        <w:pStyle w:val="EndNoteBibliography"/>
      </w:pPr>
      <w:r w:rsidRPr="00881F00">
        <w:t xml:space="preserve">Van Dyck, CH, Swanson, CJ, et al. (2023). "Lecanemab in early Alzheimer’s disease." </w:t>
      </w:r>
      <w:r w:rsidRPr="00881F00">
        <w:rPr>
          <w:u w:val="single"/>
        </w:rPr>
        <w:t>New England Journal of Medicine</w:t>
      </w:r>
      <w:r w:rsidRPr="00881F00">
        <w:t xml:space="preserve"> </w:t>
      </w:r>
      <w:r w:rsidRPr="00881F00">
        <w:rPr>
          <w:b/>
        </w:rPr>
        <w:t>388</w:t>
      </w:r>
      <w:r w:rsidRPr="00881F00">
        <w:t>(1): 9-21.</w:t>
      </w:r>
    </w:p>
    <w:p w14:paraId="74D7B211" w14:textId="77777777" w:rsidR="00881F00" w:rsidRPr="00881F00" w:rsidRDefault="00881F00" w:rsidP="00881F00">
      <w:pPr>
        <w:pStyle w:val="EndNoteBibliography"/>
      </w:pPr>
    </w:p>
    <w:p w14:paraId="2EB12D7B" w14:textId="7F32A0E9" w:rsidR="0030566C" w:rsidRPr="00EC44E5" w:rsidRDefault="0030566C" w:rsidP="00BC0C43">
      <w:pPr>
        <w:rPr>
          <w:szCs w:val="24"/>
        </w:rPr>
      </w:pPr>
    </w:p>
    <w:sectPr w:rsidR="0030566C" w:rsidRPr="00EC44E5" w:rsidSect="00284722">
      <w:pgSz w:w="11906" w:h="16838"/>
      <w:pgMar w:top="1440" w:right="991" w:bottom="1135" w:left="1440"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D8DE" w14:textId="77777777" w:rsidR="0094327C" w:rsidRDefault="0094327C" w:rsidP="00BC0C43">
      <w:r>
        <w:separator/>
      </w:r>
    </w:p>
  </w:endnote>
  <w:endnote w:type="continuationSeparator" w:id="0">
    <w:p w14:paraId="4CE44513" w14:textId="77777777" w:rsidR="0094327C" w:rsidRDefault="0094327C" w:rsidP="00BC0C43">
      <w:r>
        <w:continuationSeparator/>
      </w:r>
    </w:p>
  </w:endnote>
  <w:endnote w:type="continuationNotice" w:id="1">
    <w:p w14:paraId="28C9DB4A" w14:textId="77777777" w:rsidR="0094327C" w:rsidRDefault="009432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AA6B" w14:textId="0C862BAF" w:rsidR="002E4760" w:rsidRDefault="002E4760">
    <w:pPr>
      <w:pStyle w:val="Footer"/>
    </w:pPr>
    <w:r>
      <w:rPr>
        <w:noProof/>
      </w:rPr>
      <mc:AlternateContent>
        <mc:Choice Requires="wps">
          <w:drawing>
            <wp:anchor distT="0" distB="0" distL="0" distR="0" simplePos="0" relativeHeight="251663360" behindDoc="0" locked="0" layoutInCell="1" allowOverlap="1" wp14:anchorId="12469605" wp14:editId="22E850FD">
              <wp:simplePos x="635" y="635"/>
              <wp:positionH relativeFrom="page">
                <wp:align>center</wp:align>
              </wp:positionH>
              <wp:positionV relativeFrom="page">
                <wp:align>bottom</wp:align>
              </wp:positionV>
              <wp:extent cx="622300" cy="376555"/>
              <wp:effectExtent l="0" t="0" r="6350" b="0"/>
              <wp:wrapNone/>
              <wp:docPr id="9154544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54CAD3" w14:textId="1FF5C464" w:rsidR="002E4760" w:rsidRPr="002E4760" w:rsidRDefault="002E4760" w:rsidP="002E4760">
                          <w:pPr>
                            <w:spacing w:after="0"/>
                            <w:rPr>
                              <w:rFonts w:ascii="Aptos" w:eastAsia="Aptos" w:hAnsi="Aptos" w:cs="Aptos"/>
                              <w:noProof/>
                              <w:color w:val="FF0000"/>
                              <w:szCs w:val="24"/>
                            </w:rPr>
                          </w:pPr>
                          <w:r w:rsidRPr="002E476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69605"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054CAD3" w14:textId="1FF5C464" w:rsidR="002E4760" w:rsidRPr="002E4760" w:rsidRDefault="002E4760" w:rsidP="002E4760">
                    <w:pPr>
                      <w:spacing w:after="0"/>
                      <w:rPr>
                        <w:rFonts w:ascii="Aptos" w:eastAsia="Aptos" w:hAnsi="Aptos" w:cs="Aptos"/>
                        <w:noProof/>
                        <w:color w:val="FF0000"/>
                        <w:szCs w:val="24"/>
                      </w:rPr>
                    </w:pPr>
                    <w:r w:rsidRPr="002E4760">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012AB792" w:rsidR="0090168B" w:rsidRDefault="0080659E" w:rsidP="002B3774">
    <w:pPr>
      <w:pStyle w:val="Footer"/>
      <w:jc w:val="right"/>
    </w:pPr>
    <w:sdt>
      <w:sdtPr>
        <w:id w:val="-723988514"/>
        <w:docPartObj>
          <w:docPartGallery w:val="Page Numbers (Bottom of Page)"/>
          <w:docPartUnique/>
        </w:docPartObj>
      </w:sdtPr>
      <w:sdtEndPr/>
      <w:sdtContent>
        <w:r w:rsidR="0090168B" w:rsidRPr="00582377">
          <w:rPr>
            <w:sz w:val="21"/>
            <w:szCs w:val="21"/>
          </w:rPr>
          <w:fldChar w:fldCharType="begin"/>
        </w:r>
        <w:r w:rsidR="0090168B" w:rsidRPr="00582377">
          <w:rPr>
            <w:sz w:val="21"/>
            <w:szCs w:val="21"/>
          </w:rPr>
          <w:instrText xml:space="preserve"> PAGE  \* Arabic  \* MERGEFORMAT </w:instrText>
        </w:r>
        <w:r w:rsidR="0090168B" w:rsidRPr="00582377">
          <w:rPr>
            <w:sz w:val="21"/>
            <w:szCs w:val="21"/>
          </w:rPr>
          <w:fldChar w:fldCharType="separate"/>
        </w:r>
        <w:r w:rsidR="0090168B" w:rsidRPr="00582377">
          <w:rPr>
            <w:noProof/>
            <w:sz w:val="21"/>
            <w:szCs w:val="21"/>
          </w:rPr>
          <w:t>3</w:t>
        </w:r>
        <w:r w:rsidR="0090168B" w:rsidRPr="00582377">
          <w:rPr>
            <w:sz w:val="21"/>
            <w:szCs w:val="21"/>
          </w:rPr>
          <w:fldChar w:fldCharType="end"/>
        </w:r>
      </w:sdtContent>
    </w:sdt>
  </w:p>
  <w:p w14:paraId="355A1DA5" w14:textId="77777777" w:rsidR="0090168B" w:rsidRDefault="0090168B" w:rsidP="00BC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29B8" w14:textId="77777777" w:rsidR="0094327C" w:rsidRDefault="0094327C" w:rsidP="00BC0C43">
      <w:r>
        <w:separator/>
      </w:r>
    </w:p>
  </w:footnote>
  <w:footnote w:type="continuationSeparator" w:id="0">
    <w:p w14:paraId="5A154458" w14:textId="77777777" w:rsidR="0094327C" w:rsidRDefault="0094327C" w:rsidP="00BC0C43">
      <w:r>
        <w:continuationSeparator/>
      </w:r>
    </w:p>
  </w:footnote>
  <w:footnote w:type="continuationNotice" w:id="1">
    <w:p w14:paraId="7E6CB6DF" w14:textId="77777777" w:rsidR="0094327C" w:rsidRDefault="009432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77B7" w14:textId="5AAB3EBB" w:rsidR="002E4760" w:rsidRDefault="002E4760">
    <w:pPr>
      <w:pStyle w:val="Header"/>
    </w:pPr>
    <w:r>
      <w:rPr>
        <w:noProof/>
      </w:rPr>
      <mc:AlternateContent>
        <mc:Choice Requires="wps">
          <w:drawing>
            <wp:anchor distT="0" distB="0" distL="0" distR="0" simplePos="0" relativeHeight="251660288" behindDoc="0" locked="0" layoutInCell="1" allowOverlap="1" wp14:anchorId="76926BC4" wp14:editId="5D9F9722">
              <wp:simplePos x="635" y="635"/>
              <wp:positionH relativeFrom="page">
                <wp:align>center</wp:align>
              </wp:positionH>
              <wp:positionV relativeFrom="page">
                <wp:align>top</wp:align>
              </wp:positionV>
              <wp:extent cx="622300" cy="376555"/>
              <wp:effectExtent l="0" t="0" r="6350" b="4445"/>
              <wp:wrapNone/>
              <wp:docPr id="274468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9CB86E" w14:textId="6F5C30A5" w:rsidR="002E4760" w:rsidRPr="002E4760" w:rsidRDefault="002E4760" w:rsidP="002E4760">
                          <w:pPr>
                            <w:spacing w:after="0"/>
                            <w:rPr>
                              <w:rFonts w:ascii="Aptos" w:eastAsia="Aptos" w:hAnsi="Aptos" w:cs="Aptos"/>
                              <w:noProof/>
                              <w:color w:val="FF0000"/>
                              <w:szCs w:val="24"/>
                            </w:rPr>
                          </w:pPr>
                          <w:r w:rsidRPr="002E476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26BC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89CB86E" w14:textId="6F5C30A5" w:rsidR="002E4760" w:rsidRPr="002E4760" w:rsidRDefault="002E4760" w:rsidP="002E4760">
                    <w:pPr>
                      <w:spacing w:after="0"/>
                      <w:rPr>
                        <w:rFonts w:ascii="Aptos" w:eastAsia="Aptos" w:hAnsi="Aptos" w:cs="Aptos"/>
                        <w:noProof/>
                        <w:color w:val="FF0000"/>
                        <w:szCs w:val="24"/>
                      </w:rPr>
                    </w:pPr>
                    <w:r w:rsidRPr="002E4760">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8ED"/>
    <w:multiLevelType w:val="hybridMultilevel"/>
    <w:tmpl w:val="BB70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E04E0"/>
    <w:multiLevelType w:val="hybridMultilevel"/>
    <w:tmpl w:val="53EAC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A36B4"/>
    <w:multiLevelType w:val="hybridMultilevel"/>
    <w:tmpl w:val="AAE48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B00A5"/>
    <w:multiLevelType w:val="hybridMultilevel"/>
    <w:tmpl w:val="D52C8FA4"/>
    <w:lvl w:ilvl="0" w:tplc="3C04D5CC">
      <w:numFmt w:val="bullet"/>
      <w:lvlText w:val=""/>
      <w:lvlJc w:val="left"/>
      <w:pPr>
        <w:ind w:left="720" w:hanging="360"/>
      </w:pPr>
      <w:rPr>
        <w:rFonts w:ascii="Symbol" w:eastAsiaTheme="minorHAnsi"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34B2E"/>
    <w:multiLevelType w:val="hybridMultilevel"/>
    <w:tmpl w:val="C0AC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955D2"/>
    <w:multiLevelType w:val="hybridMultilevel"/>
    <w:tmpl w:val="3626D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3313BC"/>
    <w:multiLevelType w:val="hybridMultilevel"/>
    <w:tmpl w:val="A9665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330E43"/>
    <w:multiLevelType w:val="hybridMultilevel"/>
    <w:tmpl w:val="B0401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6B643B"/>
    <w:multiLevelType w:val="hybridMultilevel"/>
    <w:tmpl w:val="F8BE5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F7537"/>
    <w:multiLevelType w:val="hybridMultilevel"/>
    <w:tmpl w:val="0AC2F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D224B3"/>
    <w:multiLevelType w:val="hybridMultilevel"/>
    <w:tmpl w:val="3D8C7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4B0C75"/>
    <w:multiLevelType w:val="hybridMultilevel"/>
    <w:tmpl w:val="216C7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662A89"/>
    <w:multiLevelType w:val="hybridMultilevel"/>
    <w:tmpl w:val="B5168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60668"/>
    <w:multiLevelType w:val="hybridMultilevel"/>
    <w:tmpl w:val="8E6A24D6"/>
    <w:lvl w:ilvl="0" w:tplc="3C04D5CC">
      <w:numFmt w:val="bullet"/>
      <w:lvlText w:val=""/>
      <w:lvlJc w:val="left"/>
      <w:pPr>
        <w:ind w:left="720" w:hanging="360"/>
      </w:pPr>
      <w:rPr>
        <w:rFonts w:ascii="Symbol" w:eastAsiaTheme="minorHAnsi"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EB73D5"/>
    <w:multiLevelType w:val="hybridMultilevel"/>
    <w:tmpl w:val="13DEA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0C48C3"/>
    <w:multiLevelType w:val="hybridMultilevel"/>
    <w:tmpl w:val="67BC2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3F1021"/>
    <w:multiLevelType w:val="hybridMultilevel"/>
    <w:tmpl w:val="F1C4A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EA2E0C"/>
    <w:multiLevelType w:val="hybridMultilevel"/>
    <w:tmpl w:val="7E06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B7F52"/>
    <w:multiLevelType w:val="hybridMultilevel"/>
    <w:tmpl w:val="A85A3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003E2"/>
    <w:multiLevelType w:val="hybridMultilevel"/>
    <w:tmpl w:val="61988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91794E"/>
    <w:multiLevelType w:val="hybridMultilevel"/>
    <w:tmpl w:val="005E6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412012">
    <w:abstractNumId w:val="13"/>
  </w:num>
  <w:num w:numId="2" w16cid:durableId="1227838149">
    <w:abstractNumId w:val="3"/>
  </w:num>
  <w:num w:numId="3" w16cid:durableId="339088477">
    <w:abstractNumId w:val="19"/>
  </w:num>
  <w:num w:numId="4" w16cid:durableId="304242658">
    <w:abstractNumId w:val="8"/>
  </w:num>
  <w:num w:numId="5" w16cid:durableId="664632529">
    <w:abstractNumId w:val="11"/>
  </w:num>
  <w:num w:numId="6" w16cid:durableId="894505014">
    <w:abstractNumId w:val="7"/>
  </w:num>
  <w:num w:numId="7" w16cid:durableId="574509243">
    <w:abstractNumId w:val="18"/>
  </w:num>
  <w:num w:numId="8" w16cid:durableId="1413238032">
    <w:abstractNumId w:val="12"/>
  </w:num>
  <w:num w:numId="9" w16cid:durableId="2029795468">
    <w:abstractNumId w:val="2"/>
  </w:num>
  <w:num w:numId="10" w16cid:durableId="1440832630">
    <w:abstractNumId w:val="17"/>
  </w:num>
  <w:num w:numId="11" w16cid:durableId="1373387133">
    <w:abstractNumId w:val="10"/>
  </w:num>
  <w:num w:numId="12" w16cid:durableId="90128254">
    <w:abstractNumId w:val="5"/>
  </w:num>
  <w:num w:numId="13" w16cid:durableId="2042626119">
    <w:abstractNumId w:val="16"/>
  </w:num>
  <w:num w:numId="14" w16cid:durableId="1326671086">
    <w:abstractNumId w:val="15"/>
  </w:num>
  <w:num w:numId="15" w16cid:durableId="1819221719">
    <w:abstractNumId w:val="14"/>
  </w:num>
  <w:num w:numId="16" w16cid:durableId="531655629">
    <w:abstractNumId w:val="20"/>
  </w:num>
  <w:num w:numId="17" w16cid:durableId="1300107524">
    <w:abstractNumId w:val="1"/>
  </w:num>
  <w:num w:numId="18" w16cid:durableId="857085716">
    <w:abstractNumId w:val="4"/>
  </w:num>
  <w:num w:numId="19" w16cid:durableId="253785636">
    <w:abstractNumId w:val="0"/>
  </w:num>
  <w:num w:numId="20" w16cid:durableId="764500368">
    <w:abstractNumId w:val="9"/>
  </w:num>
  <w:num w:numId="21" w16cid:durableId="1514145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 TG Edit&lt;/Style&gt;&lt;LeftDelim&gt;{&lt;/LeftDelim&gt;&lt;RightDelim&gt;}&lt;/RightDelim&gt;&lt;FontName&gt;Segoe U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vspvpphdrt93e9asepdx5etr9rf5rptvp0&quot;&gt;HTAccess EndNote Library June 2023&lt;record-ids&gt;&lt;item&gt;10939&lt;/item&gt;&lt;item&gt;10944&lt;/item&gt;&lt;item&gt;10945&lt;/item&gt;&lt;item&gt;10958&lt;/item&gt;&lt;item&gt;10961&lt;/item&gt;&lt;item&gt;10964&lt;/item&gt;&lt;item&gt;10965&lt;/item&gt;&lt;item&gt;10966&lt;/item&gt;&lt;item&gt;10967&lt;/item&gt;&lt;item&gt;10968&lt;/item&gt;&lt;/record-ids&gt;&lt;/item&gt;&lt;/Libraries&gt;"/>
  </w:docVars>
  <w:rsids>
    <w:rsidRoot w:val="00BE6B22"/>
    <w:rsid w:val="00003EBA"/>
    <w:rsid w:val="00004D73"/>
    <w:rsid w:val="000067B3"/>
    <w:rsid w:val="000075F5"/>
    <w:rsid w:val="00010528"/>
    <w:rsid w:val="00010AAA"/>
    <w:rsid w:val="00011184"/>
    <w:rsid w:val="00012948"/>
    <w:rsid w:val="000138FC"/>
    <w:rsid w:val="0001475F"/>
    <w:rsid w:val="00020375"/>
    <w:rsid w:val="000216B1"/>
    <w:rsid w:val="00023000"/>
    <w:rsid w:val="0002352D"/>
    <w:rsid w:val="0002380D"/>
    <w:rsid w:val="0002386A"/>
    <w:rsid w:val="000253A2"/>
    <w:rsid w:val="00025969"/>
    <w:rsid w:val="000267A6"/>
    <w:rsid w:val="0002752D"/>
    <w:rsid w:val="000301FC"/>
    <w:rsid w:val="000307D1"/>
    <w:rsid w:val="00030FFA"/>
    <w:rsid w:val="0003109C"/>
    <w:rsid w:val="0003234E"/>
    <w:rsid w:val="0003258A"/>
    <w:rsid w:val="0003491D"/>
    <w:rsid w:val="00035B7E"/>
    <w:rsid w:val="000400BD"/>
    <w:rsid w:val="00040137"/>
    <w:rsid w:val="000404DC"/>
    <w:rsid w:val="00040C24"/>
    <w:rsid w:val="00046D81"/>
    <w:rsid w:val="000470FD"/>
    <w:rsid w:val="00051843"/>
    <w:rsid w:val="0005305A"/>
    <w:rsid w:val="00053A8E"/>
    <w:rsid w:val="00054BE8"/>
    <w:rsid w:val="00055681"/>
    <w:rsid w:val="000578E8"/>
    <w:rsid w:val="00061233"/>
    <w:rsid w:val="000614D0"/>
    <w:rsid w:val="00061C53"/>
    <w:rsid w:val="00061F00"/>
    <w:rsid w:val="000627EF"/>
    <w:rsid w:val="00062F62"/>
    <w:rsid w:val="0006366A"/>
    <w:rsid w:val="00063819"/>
    <w:rsid w:val="00063AF9"/>
    <w:rsid w:val="00063CF2"/>
    <w:rsid w:val="000718BE"/>
    <w:rsid w:val="00071E5E"/>
    <w:rsid w:val="000733D5"/>
    <w:rsid w:val="0007345A"/>
    <w:rsid w:val="00073772"/>
    <w:rsid w:val="0007764E"/>
    <w:rsid w:val="00077C7E"/>
    <w:rsid w:val="00080BA8"/>
    <w:rsid w:val="0008191B"/>
    <w:rsid w:val="000819A6"/>
    <w:rsid w:val="0008251E"/>
    <w:rsid w:val="000832A4"/>
    <w:rsid w:val="00083AA9"/>
    <w:rsid w:val="00084130"/>
    <w:rsid w:val="000849F8"/>
    <w:rsid w:val="00087992"/>
    <w:rsid w:val="00087F13"/>
    <w:rsid w:val="00087FC7"/>
    <w:rsid w:val="0009097A"/>
    <w:rsid w:val="00090AFF"/>
    <w:rsid w:val="00090B00"/>
    <w:rsid w:val="000929B9"/>
    <w:rsid w:val="000934AF"/>
    <w:rsid w:val="000939EB"/>
    <w:rsid w:val="00094757"/>
    <w:rsid w:val="00094DF9"/>
    <w:rsid w:val="00094EA9"/>
    <w:rsid w:val="00096C1E"/>
    <w:rsid w:val="000970F3"/>
    <w:rsid w:val="00097829"/>
    <w:rsid w:val="000A0A7D"/>
    <w:rsid w:val="000A1B15"/>
    <w:rsid w:val="000A1F92"/>
    <w:rsid w:val="000A22FD"/>
    <w:rsid w:val="000A2609"/>
    <w:rsid w:val="000A3A78"/>
    <w:rsid w:val="000A45A4"/>
    <w:rsid w:val="000A53E2"/>
    <w:rsid w:val="000A7FC4"/>
    <w:rsid w:val="000B0C54"/>
    <w:rsid w:val="000B0C96"/>
    <w:rsid w:val="000B1231"/>
    <w:rsid w:val="000B144F"/>
    <w:rsid w:val="000B15DA"/>
    <w:rsid w:val="000B1880"/>
    <w:rsid w:val="000B1B33"/>
    <w:rsid w:val="000B3DAE"/>
    <w:rsid w:val="000B5F08"/>
    <w:rsid w:val="000B6F07"/>
    <w:rsid w:val="000C0F00"/>
    <w:rsid w:val="000C3C3F"/>
    <w:rsid w:val="000C3D91"/>
    <w:rsid w:val="000C43E5"/>
    <w:rsid w:val="000D39CD"/>
    <w:rsid w:val="000D3FF2"/>
    <w:rsid w:val="000D52AD"/>
    <w:rsid w:val="000D6AE0"/>
    <w:rsid w:val="000D7BB1"/>
    <w:rsid w:val="000E0C06"/>
    <w:rsid w:val="000E6451"/>
    <w:rsid w:val="000E6BC0"/>
    <w:rsid w:val="000E74C7"/>
    <w:rsid w:val="000F04F1"/>
    <w:rsid w:val="000F31AA"/>
    <w:rsid w:val="000F3234"/>
    <w:rsid w:val="000F3706"/>
    <w:rsid w:val="000F45DC"/>
    <w:rsid w:val="000F5C38"/>
    <w:rsid w:val="000F66B7"/>
    <w:rsid w:val="000F6C2F"/>
    <w:rsid w:val="000F6EB9"/>
    <w:rsid w:val="000F6F52"/>
    <w:rsid w:val="000F711A"/>
    <w:rsid w:val="00100EDA"/>
    <w:rsid w:val="001010BB"/>
    <w:rsid w:val="00101409"/>
    <w:rsid w:val="00102E6D"/>
    <w:rsid w:val="00104389"/>
    <w:rsid w:val="0010713B"/>
    <w:rsid w:val="0010748E"/>
    <w:rsid w:val="001103E9"/>
    <w:rsid w:val="001112B3"/>
    <w:rsid w:val="00114297"/>
    <w:rsid w:val="0011457F"/>
    <w:rsid w:val="00115317"/>
    <w:rsid w:val="00120DDE"/>
    <w:rsid w:val="0012109C"/>
    <w:rsid w:val="0012219A"/>
    <w:rsid w:val="00122C8A"/>
    <w:rsid w:val="0012381B"/>
    <w:rsid w:val="001266FB"/>
    <w:rsid w:val="00126C94"/>
    <w:rsid w:val="00130BF5"/>
    <w:rsid w:val="001321F3"/>
    <w:rsid w:val="001328E5"/>
    <w:rsid w:val="00134373"/>
    <w:rsid w:val="00136D2E"/>
    <w:rsid w:val="00142835"/>
    <w:rsid w:val="0014366E"/>
    <w:rsid w:val="00143A2A"/>
    <w:rsid w:val="00143DDD"/>
    <w:rsid w:val="00144D92"/>
    <w:rsid w:val="001465D6"/>
    <w:rsid w:val="00147CBE"/>
    <w:rsid w:val="00151562"/>
    <w:rsid w:val="0015211C"/>
    <w:rsid w:val="00152892"/>
    <w:rsid w:val="00152CA0"/>
    <w:rsid w:val="00152F59"/>
    <w:rsid w:val="00154508"/>
    <w:rsid w:val="001546E5"/>
    <w:rsid w:val="00154B4B"/>
    <w:rsid w:val="00157D30"/>
    <w:rsid w:val="0016065A"/>
    <w:rsid w:val="001621BE"/>
    <w:rsid w:val="001622DB"/>
    <w:rsid w:val="001623B4"/>
    <w:rsid w:val="00163E37"/>
    <w:rsid w:val="00163F02"/>
    <w:rsid w:val="00164913"/>
    <w:rsid w:val="00166446"/>
    <w:rsid w:val="0016680C"/>
    <w:rsid w:val="00170816"/>
    <w:rsid w:val="00172602"/>
    <w:rsid w:val="00172D51"/>
    <w:rsid w:val="00173A92"/>
    <w:rsid w:val="0017451B"/>
    <w:rsid w:val="00174B6D"/>
    <w:rsid w:val="001758C4"/>
    <w:rsid w:val="00175984"/>
    <w:rsid w:val="00182FA8"/>
    <w:rsid w:val="0018395E"/>
    <w:rsid w:val="0018418B"/>
    <w:rsid w:val="00186269"/>
    <w:rsid w:val="00187241"/>
    <w:rsid w:val="00187480"/>
    <w:rsid w:val="00187509"/>
    <w:rsid w:val="00192CA4"/>
    <w:rsid w:val="00193974"/>
    <w:rsid w:val="00194714"/>
    <w:rsid w:val="00196EE9"/>
    <w:rsid w:val="00197295"/>
    <w:rsid w:val="00197915"/>
    <w:rsid w:val="001A21C9"/>
    <w:rsid w:val="001A54B9"/>
    <w:rsid w:val="001A6298"/>
    <w:rsid w:val="001B157B"/>
    <w:rsid w:val="001B16E5"/>
    <w:rsid w:val="001B30E6"/>
    <w:rsid w:val="001B34D1"/>
    <w:rsid w:val="001B4C29"/>
    <w:rsid w:val="001B701E"/>
    <w:rsid w:val="001B7584"/>
    <w:rsid w:val="001B78B7"/>
    <w:rsid w:val="001C3A65"/>
    <w:rsid w:val="001C3B2E"/>
    <w:rsid w:val="001C3BD2"/>
    <w:rsid w:val="001C5350"/>
    <w:rsid w:val="001C5A6E"/>
    <w:rsid w:val="001C5CC3"/>
    <w:rsid w:val="001D04F1"/>
    <w:rsid w:val="001D0883"/>
    <w:rsid w:val="001D175C"/>
    <w:rsid w:val="001D70C3"/>
    <w:rsid w:val="001D739C"/>
    <w:rsid w:val="001D74D5"/>
    <w:rsid w:val="001E2498"/>
    <w:rsid w:val="001E4E89"/>
    <w:rsid w:val="001E4F9E"/>
    <w:rsid w:val="001E6E3C"/>
    <w:rsid w:val="001E7AB9"/>
    <w:rsid w:val="001E7DD9"/>
    <w:rsid w:val="001F063C"/>
    <w:rsid w:val="001F06F9"/>
    <w:rsid w:val="001F0FDB"/>
    <w:rsid w:val="001F1F9A"/>
    <w:rsid w:val="001F25DA"/>
    <w:rsid w:val="001F284D"/>
    <w:rsid w:val="001F4481"/>
    <w:rsid w:val="001F6432"/>
    <w:rsid w:val="00202B8C"/>
    <w:rsid w:val="002038D0"/>
    <w:rsid w:val="00206679"/>
    <w:rsid w:val="002070E7"/>
    <w:rsid w:val="00207C10"/>
    <w:rsid w:val="00210ABA"/>
    <w:rsid w:val="00210EEF"/>
    <w:rsid w:val="00210FDC"/>
    <w:rsid w:val="00211D5B"/>
    <w:rsid w:val="0021347D"/>
    <w:rsid w:val="002138D2"/>
    <w:rsid w:val="00216339"/>
    <w:rsid w:val="0021711C"/>
    <w:rsid w:val="00220187"/>
    <w:rsid w:val="00220453"/>
    <w:rsid w:val="00221174"/>
    <w:rsid w:val="002214FC"/>
    <w:rsid w:val="00222820"/>
    <w:rsid w:val="002237C2"/>
    <w:rsid w:val="00224612"/>
    <w:rsid w:val="00224B80"/>
    <w:rsid w:val="00227F36"/>
    <w:rsid w:val="00230BBB"/>
    <w:rsid w:val="00230D1F"/>
    <w:rsid w:val="00230F1D"/>
    <w:rsid w:val="002316F1"/>
    <w:rsid w:val="00232223"/>
    <w:rsid w:val="00232CB4"/>
    <w:rsid w:val="0023349E"/>
    <w:rsid w:val="002354AA"/>
    <w:rsid w:val="002406BA"/>
    <w:rsid w:val="00240DCF"/>
    <w:rsid w:val="0024149A"/>
    <w:rsid w:val="00241FEA"/>
    <w:rsid w:val="002431B8"/>
    <w:rsid w:val="002437CD"/>
    <w:rsid w:val="00244ECD"/>
    <w:rsid w:val="002450B3"/>
    <w:rsid w:val="00246CDA"/>
    <w:rsid w:val="00246E99"/>
    <w:rsid w:val="00247389"/>
    <w:rsid w:val="0025170F"/>
    <w:rsid w:val="00252429"/>
    <w:rsid w:val="002541BB"/>
    <w:rsid w:val="0025605A"/>
    <w:rsid w:val="002560DD"/>
    <w:rsid w:val="00256433"/>
    <w:rsid w:val="00256B74"/>
    <w:rsid w:val="002609BD"/>
    <w:rsid w:val="00260B62"/>
    <w:rsid w:val="0026309E"/>
    <w:rsid w:val="002644B9"/>
    <w:rsid w:val="002662E5"/>
    <w:rsid w:val="0026662F"/>
    <w:rsid w:val="00271A54"/>
    <w:rsid w:val="002725AF"/>
    <w:rsid w:val="00272911"/>
    <w:rsid w:val="00273D08"/>
    <w:rsid w:val="00274832"/>
    <w:rsid w:val="002761BE"/>
    <w:rsid w:val="00280050"/>
    <w:rsid w:val="002807A3"/>
    <w:rsid w:val="0028139C"/>
    <w:rsid w:val="00284722"/>
    <w:rsid w:val="00284979"/>
    <w:rsid w:val="0028500F"/>
    <w:rsid w:val="002854A4"/>
    <w:rsid w:val="00287422"/>
    <w:rsid w:val="00287FBC"/>
    <w:rsid w:val="002906BA"/>
    <w:rsid w:val="0029083D"/>
    <w:rsid w:val="00291410"/>
    <w:rsid w:val="00291487"/>
    <w:rsid w:val="00291B5C"/>
    <w:rsid w:val="00292763"/>
    <w:rsid w:val="00292ACC"/>
    <w:rsid w:val="00294EC0"/>
    <w:rsid w:val="002958E4"/>
    <w:rsid w:val="002973F9"/>
    <w:rsid w:val="00297CC6"/>
    <w:rsid w:val="002A0B17"/>
    <w:rsid w:val="002A10EB"/>
    <w:rsid w:val="002A2EE0"/>
    <w:rsid w:val="002A3309"/>
    <w:rsid w:val="002A3ACF"/>
    <w:rsid w:val="002A3EE4"/>
    <w:rsid w:val="002A427D"/>
    <w:rsid w:val="002A4AE5"/>
    <w:rsid w:val="002A6CAE"/>
    <w:rsid w:val="002A6EC5"/>
    <w:rsid w:val="002B245D"/>
    <w:rsid w:val="002B3774"/>
    <w:rsid w:val="002B3FC9"/>
    <w:rsid w:val="002B4514"/>
    <w:rsid w:val="002B51A9"/>
    <w:rsid w:val="002B5473"/>
    <w:rsid w:val="002B5C65"/>
    <w:rsid w:val="002B62CD"/>
    <w:rsid w:val="002B6448"/>
    <w:rsid w:val="002B735A"/>
    <w:rsid w:val="002B75C7"/>
    <w:rsid w:val="002B77E1"/>
    <w:rsid w:val="002B7B2B"/>
    <w:rsid w:val="002C05FE"/>
    <w:rsid w:val="002C06F4"/>
    <w:rsid w:val="002C0F84"/>
    <w:rsid w:val="002C1A17"/>
    <w:rsid w:val="002C200E"/>
    <w:rsid w:val="002C40F1"/>
    <w:rsid w:val="002C56E3"/>
    <w:rsid w:val="002C572B"/>
    <w:rsid w:val="002C5C63"/>
    <w:rsid w:val="002C635A"/>
    <w:rsid w:val="002C7DCB"/>
    <w:rsid w:val="002D0C86"/>
    <w:rsid w:val="002D1E58"/>
    <w:rsid w:val="002D289F"/>
    <w:rsid w:val="002D55EA"/>
    <w:rsid w:val="002D6937"/>
    <w:rsid w:val="002D7200"/>
    <w:rsid w:val="002D7216"/>
    <w:rsid w:val="002E1CD2"/>
    <w:rsid w:val="002E2335"/>
    <w:rsid w:val="002E2463"/>
    <w:rsid w:val="002E357C"/>
    <w:rsid w:val="002E4460"/>
    <w:rsid w:val="002E4760"/>
    <w:rsid w:val="002E5376"/>
    <w:rsid w:val="002E6D37"/>
    <w:rsid w:val="002E7EAC"/>
    <w:rsid w:val="002F0342"/>
    <w:rsid w:val="002F0EE8"/>
    <w:rsid w:val="002F1379"/>
    <w:rsid w:val="002F1601"/>
    <w:rsid w:val="002F1641"/>
    <w:rsid w:val="002F4889"/>
    <w:rsid w:val="002F6367"/>
    <w:rsid w:val="00301385"/>
    <w:rsid w:val="00301D89"/>
    <w:rsid w:val="00302450"/>
    <w:rsid w:val="00302DA1"/>
    <w:rsid w:val="00303C82"/>
    <w:rsid w:val="003045AF"/>
    <w:rsid w:val="00304995"/>
    <w:rsid w:val="0030566C"/>
    <w:rsid w:val="00307050"/>
    <w:rsid w:val="00312170"/>
    <w:rsid w:val="00314B03"/>
    <w:rsid w:val="0031640F"/>
    <w:rsid w:val="00317424"/>
    <w:rsid w:val="00320117"/>
    <w:rsid w:val="003209AE"/>
    <w:rsid w:val="00323715"/>
    <w:rsid w:val="00323F3A"/>
    <w:rsid w:val="0032437E"/>
    <w:rsid w:val="00324961"/>
    <w:rsid w:val="00325F2D"/>
    <w:rsid w:val="00330337"/>
    <w:rsid w:val="00330929"/>
    <w:rsid w:val="00330994"/>
    <w:rsid w:val="00331603"/>
    <w:rsid w:val="003321A5"/>
    <w:rsid w:val="00334556"/>
    <w:rsid w:val="003361A3"/>
    <w:rsid w:val="00336698"/>
    <w:rsid w:val="00336B54"/>
    <w:rsid w:val="00336DB4"/>
    <w:rsid w:val="003373BC"/>
    <w:rsid w:val="003409B2"/>
    <w:rsid w:val="00340BA6"/>
    <w:rsid w:val="00340F5D"/>
    <w:rsid w:val="0034201B"/>
    <w:rsid w:val="003427ED"/>
    <w:rsid w:val="003439AC"/>
    <w:rsid w:val="00343F1B"/>
    <w:rsid w:val="003448FB"/>
    <w:rsid w:val="00345EAE"/>
    <w:rsid w:val="00346255"/>
    <w:rsid w:val="00346B9E"/>
    <w:rsid w:val="00350611"/>
    <w:rsid w:val="00350A45"/>
    <w:rsid w:val="003518C7"/>
    <w:rsid w:val="003521EE"/>
    <w:rsid w:val="003526F3"/>
    <w:rsid w:val="00352C45"/>
    <w:rsid w:val="0035335C"/>
    <w:rsid w:val="00355D10"/>
    <w:rsid w:val="00355E7A"/>
    <w:rsid w:val="0036126B"/>
    <w:rsid w:val="00361B6E"/>
    <w:rsid w:val="00361BBE"/>
    <w:rsid w:val="00363275"/>
    <w:rsid w:val="00363A81"/>
    <w:rsid w:val="00364572"/>
    <w:rsid w:val="00364C70"/>
    <w:rsid w:val="00364E86"/>
    <w:rsid w:val="0036590D"/>
    <w:rsid w:val="0037068C"/>
    <w:rsid w:val="00372C98"/>
    <w:rsid w:val="003738B4"/>
    <w:rsid w:val="003747CE"/>
    <w:rsid w:val="00374E52"/>
    <w:rsid w:val="00375F77"/>
    <w:rsid w:val="00376EA4"/>
    <w:rsid w:val="003772E6"/>
    <w:rsid w:val="003774FD"/>
    <w:rsid w:val="00377E11"/>
    <w:rsid w:val="003802A1"/>
    <w:rsid w:val="00380C41"/>
    <w:rsid w:val="00380D4C"/>
    <w:rsid w:val="00380FAA"/>
    <w:rsid w:val="0038197A"/>
    <w:rsid w:val="00382E42"/>
    <w:rsid w:val="003834A2"/>
    <w:rsid w:val="00383C7D"/>
    <w:rsid w:val="00385331"/>
    <w:rsid w:val="0038581A"/>
    <w:rsid w:val="00385F54"/>
    <w:rsid w:val="003876BC"/>
    <w:rsid w:val="0039002D"/>
    <w:rsid w:val="00392019"/>
    <w:rsid w:val="003925C1"/>
    <w:rsid w:val="003925F9"/>
    <w:rsid w:val="00395714"/>
    <w:rsid w:val="003A06C0"/>
    <w:rsid w:val="003A0BBE"/>
    <w:rsid w:val="003A16D1"/>
    <w:rsid w:val="003A1BB3"/>
    <w:rsid w:val="003A3F24"/>
    <w:rsid w:val="003A4B35"/>
    <w:rsid w:val="003A72E5"/>
    <w:rsid w:val="003A7CA4"/>
    <w:rsid w:val="003A7CD5"/>
    <w:rsid w:val="003B28C5"/>
    <w:rsid w:val="003B2C37"/>
    <w:rsid w:val="003B2E62"/>
    <w:rsid w:val="003B3646"/>
    <w:rsid w:val="003B391D"/>
    <w:rsid w:val="003B43B0"/>
    <w:rsid w:val="003B4D22"/>
    <w:rsid w:val="003B4DBF"/>
    <w:rsid w:val="003B52C4"/>
    <w:rsid w:val="003B5315"/>
    <w:rsid w:val="003B5CCD"/>
    <w:rsid w:val="003B5E59"/>
    <w:rsid w:val="003B6B65"/>
    <w:rsid w:val="003B73A2"/>
    <w:rsid w:val="003B7F2E"/>
    <w:rsid w:val="003B7F4C"/>
    <w:rsid w:val="003C063E"/>
    <w:rsid w:val="003C2446"/>
    <w:rsid w:val="003C305A"/>
    <w:rsid w:val="003C4523"/>
    <w:rsid w:val="003C6658"/>
    <w:rsid w:val="003D10FB"/>
    <w:rsid w:val="003D1981"/>
    <w:rsid w:val="003D4E3C"/>
    <w:rsid w:val="003D554B"/>
    <w:rsid w:val="003D564E"/>
    <w:rsid w:val="003D5800"/>
    <w:rsid w:val="003D6AC9"/>
    <w:rsid w:val="003D6C54"/>
    <w:rsid w:val="003D6EB9"/>
    <w:rsid w:val="003D70C1"/>
    <w:rsid w:val="003D779C"/>
    <w:rsid w:val="003E01FC"/>
    <w:rsid w:val="003E022D"/>
    <w:rsid w:val="003E2666"/>
    <w:rsid w:val="003E2DCC"/>
    <w:rsid w:val="003F1706"/>
    <w:rsid w:val="003F250E"/>
    <w:rsid w:val="003F2801"/>
    <w:rsid w:val="003F304F"/>
    <w:rsid w:val="003F39D1"/>
    <w:rsid w:val="003F3CC6"/>
    <w:rsid w:val="003F4142"/>
    <w:rsid w:val="003F4E49"/>
    <w:rsid w:val="003F55A9"/>
    <w:rsid w:val="003F5D94"/>
    <w:rsid w:val="003F6C87"/>
    <w:rsid w:val="003F6C95"/>
    <w:rsid w:val="003F79CE"/>
    <w:rsid w:val="003F7D67"/>
    <w:rsid w:val="004006E4"/>
    <w:rsid w:val="0040264A"/>
    <w:rsid w:val="0040661A"/>
    <w:rsid w:val="00406D8F"/>
    <w:rsid w:val="00407B24"/>
    <w:rsid w:val="004108C0"/>
    <w:rsid w:val="0041092E"/>
    <w:rsid w:val="00411F08"/>
    <w:rsid w:val="00412331"/>
    <w:rsid w:val="004127EB"/>
    <w:rsid w:val="0041321F"/>
    <w:rsid w:val="00413A80"/>
    <w:rsid w:val="0041508B"/>
    <w:rsid w:val="00416987"/>
    <w:rsid w:val="00416DF2"/>
    <w:rsid w:val="00417441"/>
    <w:rsid w:val="00420993"/>
    <w:rsid w:val="004209FC"/>
    <w:rsid w:val="0042180F"/>
    <w:rsid w:val="00425CC1"/>
    <w:rsid w:val="00426A80"/>
    <w:rsid w:val="004277C5"/>
    <w:rsid w:val="00427D9F"/>
    <w:rsid w:val="004307EF"/>
    <w:rsid w:val="004338A0"/>
    <w:rsid w:val="004338BF"/>
    <w:rsid w:val="004342FC"/>
    <w:rsid w:val="00436807"/>
    <w:rsid w:val="00441EDA"/>
    <w:rsid w:val="004424AA"/>
    <w:rsid w:val="00442C5E"/>
    <w:rsid w:val="00450746"/>
    <w:rsid w:val="00451805"/>
    <w:rsid w:val="00452474"/>
    <w:rsid w:val="00452657"/>
    <w:rsid w:val="00452A33"/>
    <w:rsid w:val="004530F4"/>
    <w:rsid w:val="00453C3F"/>
    <w:rsid w:val="00454277"/>
    <w:rsid w:val="004552D0"/>
    <w:rsid w:val="0045638E"/>
    <w:rsid w:val="00456D85"/>
    <w:rsid w:val="004570D6"/>
    <w:rsid w:val="00457CD9"/>
    <w:rsid w:val="00461962"/>
    <w:rsid w:val="004619EC"/>
    <w:rsid w:val="0046223F"/>
    <w:rsid w:val="00462E56"/>
    <w:rsid w:val="0046503E"/>
    <w:rsid w:val="00465672"/>
    <w:rsid w:val="00465E2F"/>
    <w:rsid w:val="00466D2B"/>
    <w:rsid w:val="0046798E"/>
    <w:rsid w:val="00467C5F"/>
    <w:rsid w:val="00470352"/>
    <w:rsid w:val="00470BE2"/>
    <w:rsid w:val="00473326"/>
    <w:rsid w:val="004738C8"/>
    <w:rsid w:val="0047479B"/>
    <w:rsid w:val="00476915"/>
    <w:rsid w:val="00477D3A"/>
    <w:rsid w:val="00477D73"/>
    <w:rsid w:val="00477DF8"/>
    <w:rsid w:val="0048032B"/>
    <w:rsid w:val="0048101D"/>
    <w:rsid w:val="0048185E"/>
    <w:rsid w:val="004818D1"/>
    <w:rsid w:val="00482120"/>
    <w:rsid w:val="004826EE"/>
    <w:rsid w:val="00482E35"/>
    <w:rsid w:val="0048324B"/>
    <w:rsid w:val="00483883"/>
    <w:rsid w:val="00485054"/>
    <w:rsid w:val="004901B3"/>
    <w:rsid w:val="00492DDB"/>
    <w:rsid w:val="00493610"/>
    <w:rsid w:val="004938FF"/>
    <w:rsid w:val="00493F64"/>
    <w:rsid w:val="00497624"/>
    <w:rsid w:val="004A0C70"/>
    <w:rsid w:val="004A307B"/>
    <w:rsid w:val="004A3919"/>
    <w:rsid w:val="004A3B09"/>
    <w:rsid w:val="004A45BE"/>
    <w:rsid w:val="004A4DD5"/>
    <w:rsid w:val="004A5557"/>
    <w:rsid w:val="004A59DD"/>
    <w:rsid w:val="004B0947"/>
    <w:rsid w:val="004B1FA6"/>
    <w:rsid w:val="004B300B"/>
    <w:rsid w:val="004B34B3"/>
    <w:rsid w:val="004B3873"/>
    <w:rsid w:val="004B38EB"/>
    <w:rsid w:val="004B40ED"/>
    <w:rsid w:val="004B4F48"/>
    <w:rsid w:val="004B5C37"/>
    <w:rsid w:val="004B6079"/>
    <w:rsid w:val="004B6B69"/>
    <w:rsid w:val="004B6D73"/>
    <w:rsid w:val="004B796E"/>
    <w:rsid w:val="004C02B7"/>
    <w:rsid w:val="004C1C79"/>
    <w:rsid w:val="004C1FDF"/>
    <w:rsid w:val="004C6319"/>
    <w:rsid w:val="004C7646"/>
    <w:rsid w:val="004D00FA"/>
    <w:rsid w:val="004D0872"/>
    <w:rsid w:val="004D11A9"/>
    <w:rsid w:val="004D13AE"/>
    <w:rsid w:val="004E0279"/>
    <w:rsid w:val="004E233A"/>
    <w:rsid w:val="004E32AA"/>
    <w:rsid w:val="004E3AB9"/>
    <w:rsid w:val="004E4A4B"/>
    <w:rsid w:val="004E4CC1"/>
    <w:rsid w:val="004E5C19"/>
    <w:rsid w:val="004E73C3"/>
    <w:rsid w:val="004E75E9"/>
    <w:rsid w:val="004E7ED9"/>
    <w:rsid w:val="004F2C7B"/>
    <w:rsid w:val="004F2DFE"/>
    <w:rsid w:val="004F3153"/>
    <w:rsid w:val="004F3237"/>
    <w:rsid w:val="004F5CFC"/>
    <w:rsid w:val="004F7E74"/>
    <w:rsid w:val="00500C34"/>
    <w:rsid w:val="00501089"/>
    <w:rsid w:val="005014B8"/>
    <w:rsid w:val="0050265E"/>
    <w:rsid w:val="00502D47"/>
    <w:rsid w:val="0050408E"/>
    <w:rsid w:val="00504B7C"/>
    <w:rsid w:val="00505D64"/>
    <w:rsid w:val="005065D9"/>
    <w:rsid w:val="00512E4C"/>
    <w:rsid w:val="00513CB5"/>
    <w:rsid w:val="005141A5"/>
    <w:rsid w:val="00514FE7"/>
    <w:rsid w:val="00516DD7"/>
    <w:rsid w:val="00517A00"/>
    <w:rsid w:val="00520361"/>
    <w:rsid w:val="005206CC"/>
    <w:rsid w:val="00520AAA"/>
    <w:rsid w:val="0052274F"/>
    <w:rsid w:val="005245C4"/>
    <w:rsid w:val="00524FA7"/>
    <w:rsid w:val="00525DA6"/>
    <w:rsid w:val="00525EAD"/>
    <w:rsid w:val="00526CE8"/>
    <w:rsid w:val="0052755F"/>
    <w:rsid w:val="00530301"/>
    <w:rsid w:val="005317FC"/>
    <w:rsid w:val="005329BF"/>
    <w:rsid w:val="00535890"/>
    <w:rsid w:val="00535B4B"/>
    <w:rsid w:val="005368ED"/>
    <w:rsid w:val="005376DD"/>
    <w:rsid w:val="00541F36"/>
    <w:rsid w:val="00543884"/>
    <w:rsid w:val="00543E7D"/>
    <w:rsid w:val="005445DD"/>
    <w:rsid w:val="00545A4C"/>
    <w:rsid w:val="00546569"/>
    <w:rsid w:val="00546828"/>
    <w:rsid w:val="005471E0"/>
    <w:rsid w:val="005502E7"/>
    <w:rsid w:val="00550A7F"/>
    <w:rsid w:val="00550AB9"/>
    <w:rsid w:val="00551948"/>
    <w:rsid w:val="005556FC"/>
    <w:rsid w:val="00556C6D"/>
    <w:rsid w:val="0055704E"/>
    <w:rsid w:val="00565B0A"/>
    <w:rsid w:val="00565DAB"/>
    <w:rsid w:val="00566CF9"/>
    <w:rsid w:val="0056776F"/>
    <w:rsid w:val="00567C96"/>
    <w:rsid w:val="00571356"/>
    <w:rsid w:val="00572CA8"/>
    <w:rsid w:val="00575BDB"/>
    <w:rsid w:val="00576042"/>
    <w:rsid w:val="00576F5E"/>
    <w:rsid w:val="00577567"/>
    <w:rsid w:val="00577746"/>
    <w:rsid w:val="00577BB2"/>
    <w:rsid w:val="005816DD"/>
    <w:rsid w:val="00582377"/>
    <w:rsid w:val="005837E9"/>
    <w:rsid w:val="005842D9"/>
    <w:rsid w:val="00584693"/>
    <w:rsid w:val="005846CB"/>
    <w:rsid w:val="00584700"/>
    <w:rsid w:val="0058572B"/>
    <w:rsid w:val="0058724F"/>
    <w:rsid w:val="00591631"/>
    <w:rsid w:val="00591AB9"/>
    <w:rsid w:val="00592EF5"/>
    <w:rsid w:val="00594247"/>
    <w:rsid w:val="005949AE"/>
    <w:rsid w:val="00594F2A"/>
    <w:rsid w:val="00595D77"/>
    <w:rsid w:val="00596DA2"/>
    <w:rsid w:val="005970C1"/>
    <w:rsid w:val="005A1693"/>
    <w:rsid w:val="005A2360"/>
    <w:rsid w:val="005A3638"/>
    <w:rsid w:val="005A38CD"/>
    <w:rsid w:val="005A51F9"/>
    <w:rsid w:val="005A6C5F"/>
    <w:rsid w:val="005A73FA"/>
    <w:rsid w:val="005B1DD7"/>
    <w:rsid w:val="005B45F9"/>
    <w:rsid w:val="005B5A58"/>
    <w:rsid w:val="005B5CB9"/>
    <w:rsid w:val="005B6E6C"/>
    <w:rsid w:val="005B6F0C"/>
    <w:rsid w:val="005C15C0"/>
    <w:rsid w:val="005C213B"/>
    <w:rsid w:val="005C2797"/>
    <w:rsid w:val="005C376F"/>
    <w:rsid w:val="005C3A71"/>
    <w:rsid w:val="005C438A"/>
    <w:rsid w:val="005C5583"/>
    <w:rsid w:val="005C5D3E"/>
    <w:rsid w:val="005C6484"/>
    <w:rsid w:val="005C7D9D"/>
    <w:rsid w:val="005D1C92"/>
    <w:rsid w:val="005D23BC"/>
    <w:rsid w:val="005D39E3"/>
    <w:rsid w:val="005D3B95"/>
    <w:rsid w:val="005D430B"/>
    <w:rsid w:val="005D5EE9"/>
    <w:rsid w:val="005D6BE0"/>
    <w:rsid w:val="005D7DAD"/>
    <w:rsid w:val="005E144C"/>
    <w:rsid w:val="005E1698"/>
    <w:rsid w:val="005E1CFB"/>
    <w:rsid w:val="005E2F8D"/>
    <w:rsid w:val="005E2F94"/>
    <w:rsid w:val="005E384E"/>
    <w:rsid w:val="005E38EE"/>
    <w:rsid w:val="005E3953"/>
    <w:rsid w:val="005E4013"/>
    <w:rsid w:val="005E632D"/>
    <w:rsid w:val="005E6BBF"/>
    <w:rsid w:val="005E7458"/>
    <w:rsid w:val="005F0491"/>
    <w:rsid w:val="005F18B8"/>
    <w:rsid w:val="005F1B00"/>
    <w:rsid w:val="005F21CD"/>
    <w:rsid w:val="005F3A2D"/>
    <w:rsid w:val="005F474B"/>
    <w:rsid w:val="005F581D"/>
    <w:rsid w:val="005F5952"/>
    <w:rsid w:val="005F5C9D"/>
    <w:rsid w:val="005F7F3B"/>
    <w:rsid w:val="0060163F"/>
    <w:rsid w:val="006028BA"/>
    <w:rsid w:val="00602A7A"/>
    <w:rsid w:val="006033B9"/>
    <w:rsid w:val="006047BD"/>
    <w:rsid w:val="0060760F"/>
    <w:rsid w:val="00607702"/>
    <w:rsid w:val="00610321"/>
    <w:rsid w:val="006104B7"/>
    <w:rsid w:val="0061141A"/>
    <w:rsid w:val="00611869"/>
    <w:rsid w:val="00611B11"/>
    <w:rsid w:val="006123A0"/>
    <w:rsid w:val="00613468"/>
    <w:rsid w:val="0061359D"/>
    <w:rsid w:val="00613F01"/>
    <w:rsid w:val="006142C7"/>
    <w:rsid w:val="00614B34"/>
    <w:rsid w:val="00614D65"/>
    <w:rsid w:val="0061510D"/>
    <w:rsid w:val="0061513F"/>
    <w:rsid w:val="006152BD"/>
    <w:rsid w:val="00616332"/>
    <w:rsid w:val="006165D2"/>
    <w:rsid w:val="00616964"/>
    <w:rsid w:val="00616A35"/>
    <w:rsid w:val="006208E6"/>
    <w:rsid w:val="00621067"/>
    <w:rsid w:val="00621847"/>
    <w:rsid w:val="0062230F"/>
    <w:rsid w:val="006227EF"/>
    <w:rsid w:val="006244F6"/>
    <w:rsid w:val="00625CC5"/>
    <w:rsid w:val="00627AB0"/>
    <w:rsid w:val="00630917"/>
    <w:rsid w:val="0063160D"/>
    <w:rsid w:val="00632F8F"/>
    <w:rsid w:val="006347AE"/>
    <w:rsid w:val="006378A9"/>
    <w:rsid w:val="0064068C"/>
    <w:rsid w:val="00640F6C"/>
    <w:rsid w:val="0064197F"/>
    <w:rsid w:val="00642332"/>
    <w:rsid w:val="0064281D"/>
    <w:rsid w:val="006429A1"/>
    <w:rsid w:val="006436D0"/>
    <w:rsid w:val="006437E6"/>
    <w:rsid w:val="00646446"/>
    <w:rsid w:val="0064787F"/>
    <w:rsid w:val="006503B4"/>
    <w:rsid w:val="00650C5B"/>
    <w:rsid w:val="00650E54"/>
    <w:rsid w:val="006536F2"/>
    <w:rsid w:val="00653D3C"/>
    <w:rsid w:val="00653D62"/>
    <w:rsid w:val="0065465D"/>
    <w:rsid w:val="00654CE6"/>
    <w:rsid w:val="00656149"/>
    <w:rsid w:val="00656171"/>
    <w:rsid w:val="00656CEB"/>
    <w:rsid w:val="00657260"/>
    <w:rsid w:val="0066085F"/>
    <w:rsid w:val="00660E83"/>
    <w:rsid w:val="00661D43"/>
    <w:rsid w:val="00661E35"/>
    <w:rsid w:val="006624F2"/>
    <w:rsid w:val="006638BF"/>
    <w:rsid w:val="00663B0D"/>
    <w:rsid w:val="00663E17"/>
    <w:rsid w:val="00664BDB"/>
    <w:rsid w:val="0066537D"/>
    <w:rsid w:val="00665487"/>
    <w:rsid w:val="00667D94"/>
    <w:rsid w:val="0067089C"/>
    <w:rsid w:val="0067162C"/>
    <w:rsid w:val="006726E9"/>
    <w:rsid w:val="00672CA1"/>
    <w:rsid w:val="0067302F"/>
    <w:rsid w:val="00673297"/>
    <w:rsid w:val="006741DA"/>
    <w:rsid w:val="006754C1"/>
    <w:rsid w:val="006754EA"/>
    <w:rsid w:val="00676545"/>
    <w:rsid w:val="00677643"/>
    <w:rsid w:val="00677A07"/>
    <w:rsid w:val="00681A74"/>
    <w:rsid w:val="006835EB"/>
    <w:rsid w:val="00686A90"/>
    <w:rsid w:val="0068728B"/>
    <w:rsid w:val="00690CA7"/>
    <w:rsid w:val="0069100E"/>
    <w:rsid w:val="00692DEE"/>
    <w:rsid w:val="0069363E"/>
    <w:rsid w:val="0069382E"/>
    <w:rsid w:val="00693842"/>
    <w:rsid w:val="00693F0D"/>
    <w:rsid w:val="00694270"/>
    <w:rsid w:val="00696ACD"/>
    <w:rsid w:val="0069737A"/>
    <w:rsid w:val="006A0512"/>
    <w:rsid w:val="006A0632"/>
    <w:rsid w:val="006A2223"/>
    <w:rsid w:val="006A3742"/>
    <w:rsid w:val="006A39B7"/>
    <w:rsid w:val="006A6C23"/>
    <w:rsid w:val="006A72A2"/>
    <w:rsid w:val="006A7443"/>
    <w:rsid w:val="006B0066"/>
    <w:rsid w:val="006B1118"/>
    <w:rsid w:val="006B1921"/>
    <w:rsid w:val="006B4BE8"/>
    <w:rsid w:val="006B4E1E"/>
    <w:rsid w:val="006B5AA0"/>
    <w:rsid w:val="006B6B66"/>
    <w:rsid w:val="006C1B6A"/>
    <w:rsid w:val="006C2C33"/>
    <w:rsid w:val="006C3F16"/>
    <w:rsid w:val="006C56E8"/>
    <w:rsid w:val="006C5D31"/>
    <w:rsid w:val="006C5DE1"/>
    <w:rsid w:val="006C64F4"/>
    <w:rsid w:val="006C7BA9"/>
    <w:rsid w:val="006D123D"/>
    <w:rsid w:val="006D1810"/>
    <w:rsid w:val="006D1C13"/>
    <w:rsid w:val="006D1D68"/>
    <w:rsid w:val="006D27B3"/>
    <w:rsid w:val="006D4B4A"/>
    <w:rsid w:val="006D555A"/>
    <w:rsid w:val="006D6666"/>
    <w:rsid w:val="006D6810"/>
    <w:rsid w:val="006D7968"/>
    <w:rsid w:val="006E1453"/>
    <w:rsid w:val="006E2592"/>
    <w:rsid w:val="006E26D3"/>
    <w:rsid w:val="006E484F"/>
    <w:rsid w:val="006E4D70"/>
    <w:rsid w:val="006E6B2F"/>
    <w:rsid w:val="006E7752"/>
    <w:rsid w:val="006F2B50"/>
    <w:rsid w:val="006F312F"/>
    <w:rsid w:val="006F3761"/>
    <w:rsid w:val="006F3FF4"/>
    <w:rsid w:val="006F538B"/>
    <w:rsid w:val="006F595C"/>
    <w:rsid w:val="006F625F"/>
    <w:rsid w:val="006F64E1"/>
    <w:rsid w:val="006F733B"/>
    <w:rsid w:val="00700BEA"/>
    <w:rsid w:val="00701150"/>
    <w:rsid w:val="00702426"/>
    <w:rsid w:val="0070347F"/>
    <w:rsid w:val="00704666"/>
    <w:rsid w:val="00707028"/>
    <w:rsid w:val="00707CD6"/>
    <w:rsid w:val="00710941"/>
    <w:rsid w:val="00710C61"/>
    <w:rsid w:val="00713739"/>
    <w:rsid w:val="00714B52"/>
    <w:rsid w:val="00714B5F"/>
    <w:rsid w:val="0071775C"/>
    <w:rsid w:val="007177EF"/>
    <w:rsid w:val="007204C9"/>
    <w:rsid w:val="007213BA"/>
    <w:rsid w:val="007227F8"/>
    <w:rsid w:val="007247B4"/>
    <w:rsid w:val="00724E3C"/>
    <w:rsid w:val="007251C1"/>
    <w:rsid w:val="00725616"/>
    <w:rsid w:val="007259DB"/>
    <w:rsid w:val="00726444"/>
    <w:rsid w:val="00726676"/>
    <w:rsid w:val="00726DD1"/>
    <w:rsid w:val="00726EBB"/>
    <w:rsid w:val="0073103D"/>
    <w:rsid w:val="007316E0"/>
    <w:rsid w:val="0073292E"/>
    <w:rsid w:val="0073293D"/>
    <w:rsid w:val="00733CE4"/>
    <w:rsid w:val="00734AF4"/>
    <w:rsid w:val="00734C43"/>
    <w:rsid w:val="00734F22"/>
    <w:rsid w:val="0073538A"/>
    <w:rsid w:val="00735F7C"/>
    <w:rsid w:val="00736797"/>
    <w:rsid w:val="00737065"/>
    <w:rsid w:val="00737902"/>
    <w:rsid w:val="00737A2F"/>
    <w:rsid w:val="007401A9"/>
    <w:rsid w:val="00740748"/>
    <w:rsid w:val="00741350"/>
    <w:rsid w:val="0074195E"/>
    <w:rsid w:val="00743C09"/>
    <w:rsid w:val="0074401F"/>
    <w:rsid w:val="007448DC"/>
    <w:rsid w:val="007461DB"/>
    <w:rsid w:val="007500F1"/>
    <w:rsid w:val="007509C1"/>
    <w:rsid w:val="00752621"/>
    <w:rsid w:val="007534F7"/>
    <w:rsid w:val="00753560"/>
    <w:rsid w:val="0075497F"/>
    <w:rsid w:val="00755B3A"/>
    <w:rsid w:val="0075614C"/>
    <w:rsid w:val="007562E4"/>
    <w:rsid w:val="00756672"/>
    <w:rsid w:val="007571DD"/>
    <w:rsid w:val="00757547"/>
    <w:rsid w:val="00760F89"/>
    <w:rsid w:val="00761725"/>
    <w:rsid w:val="007619B6"/>
    <w:rsid w:val="00761B67"/>
    <w:rsid w:val="007633AB"/>
    <w:rsid w:val="00763912"/>
    <w:rsid w:val="00763922"/>
    <w:rsid w:val="00764044"/>
    <w:rsid w:val="00764B1C"/>
    <w:rsid w:val="00764B61"/>
    <w:rsid w:val="00765B2C"/>
    <w:rsid w:val="00767F60"/>
    <w:rsid w:val="00770FA6"/>
    <w:rsid w:val="0077114A"/>
    <w:rsid w:val="007711EB"/>
    <w:rsid w:val="00771329"/>
    <w:rsid w:val="00772A37"/>
    <w:rsid w:val="00775C53"/>
    <w:rsid w:val="00776317"/>
    <w:rsid w:val="0077788B"/>
    <w:rsid w:val="0078167C"/>
    <w:rsid w:val="00781A1C"/>
    <w:rsid w:val="00784645"/>
    <w:rsid w:val="007914E2"/>
    <w:rsid w:val="00791B3D"/>
    <w:rsid w:val="007942F0"/>
    <w:rsid w:val="0079617D"/>
    <w:rsid w:val="007A0EC8"/>
    <w:rsid w:val="007A3023"/>
    <w:rsid w:val="007A34E9"/>
    <w:rsid w:val="007A38E5"/>
    <w:rsid w:val="007A3F4F"/>
    <w:rsid w:val="007A42CB"/>
    <w:rsid w:val="007A6EBA"/>
    <w:rsid w:val="007B061A"/>
    <w:rsid w:val="007B3212"/>
    <w:rsid w:val="007B3BC9"/>
    <w:rsid w:val="007B3F43"/>
    <w:rsid w:val="007B55C3"/>
    <w:rsid w:val="007B57A2"/>
    <w:rsid w:val="007B7285"/>
    <w:rsid w:val="007C26AD"/>
    <w:rsid w:val="007C52AE"/>
    <w:rsid w:val="007C63EE"/>
    <w:rsid w:val="007C7CBF"/>
    <w:rsid w:val="007D19E2"/>
    <w:rsid w:val="007D1A3A"/>
    <w:rsid w:val="007D3178"/>
    <w:rsid w:val="007D6726"/>
    <w:rsid w:val="007D7982"/>
    <w:rsid w:val="007D7BDC"/>
    <w:rsid w:val="007E013E"/>
    <w:rsid w:val="007E1ED2"/>
    <w:rsid w:val="007E1F5E"/>
    <w:rsid w:val="007E231A"/>
    <w:rsid w:val="007E499F"/>
    <w:rsid w:val="007E4D82"/>
    <w:rsid w:val="007E5532"/>
    <w:rsid w:val="007F051D"/>
    <w:rsid w:val="007F165F"/>
    <w:rsid w:val="007F534A"/>
    <w:rsid w:val="007F5719"/>
    <w:rsid w:val="007F5801"/>
    <w:rsid w:val="007F5C97"/>
    <w:rsid w:val="007F7880"/>
    <w:rsid w:val="00800C46"/>
    <w:rsid w:val="00800E98"/>
    <w:rsid w:val="00801FCC"/>
    <w:rsid w:val="00802210"/>
    <w:rsid w:val="00803D46"/>
    <w:rsid w:val="00805E3F"/>
    <w:rsid w:val="0080659E"/>
    <w:rsid w:val="00806A3A"/>
    <w:rsid w:val="008076C4"/>
    <w:rsid w:val="008109C0"/>
    <w:rsid w:val="00811ADC"/>
    <w:rsid w:val="0081336A"/>
    <w:rsid w:val="0081355C"/>
    <w:rsid w:val="00817AFE"/>
    <w:rsid w:val="00821BA4"/>
    <w:rsid w:val="00822684"/>
    <w:rsid w:val="00822B11"/>
    <w:rsid w:val="00823550"/>
    <w:rsid w:val="0082559F"/>
    <w:rsid w:val="008304B0"/>
    <w:rsid w:val="008312DA"/>
    <w:rsid w:val="00832074"/>
    <w:rsid w:val="0083264F"/>
    <w:rsid w:val="00833C54"/>
    <w:rsid w:val="00836A15"/>
    <w:rsid w:val="008373C1"/>
    <w:rsid w:val="00840EB3"/>
    <w:rsid w:val="0084147F"/>
    <w:rsid w:val="00843067"/>
    <w:rsid w:val="00847120"/>
    <w:rsid w:val="00847334"/>
    <w:rsid w:val="008522C1"/>
    <w:rsid w:val="00862225"/>
    <w:rsid w:val="008622D0"/>
    <w:rsid w:val="00864CE4"/>
    <w:rsid w:val="00867558"/>
    <w:rsid w:val="00867F3F"/>
    <w:rsid w:val="00872BD2"/>
    <w:rsid w:val="0087314B"/>
    <w:rsid w:val="0087418D"/>
    <w:rsid w:val="0087558F"/>
    <w:rsid w:val="008761CC"/>
    <w:rsid w:val="00876D54"/>
    <w:rsid w:val="008774FB"/>
    <w:rsid w:val="00877974"/>
    <w:rsid w:val="00877F17"/>
    <w:rsid w:val="00881F00"/>
    <w:rsid w:val="0088251D"/>
    <w:rsid w:val="008829C1"/>
    <w:rsid w:val="0088337C"/>
    <w:rsid w:val="008834EA"/>
    <w:rsid w:val="00883D8F"/>
    <w:rsid w:val="00884DAD"/>
    <w:rsid w:val="00884F92"/>
    <w:rsid w:val="00885208"/>
    <w:rsid w:val="00885BB5"/>
    <w:rsid w:val="0088630C"/>
    <w:rsid w:val="00886648"/>
    <w:rsid w:val="00890608"/>
    <w:rsid w:val="0089163D"/>
    <w:rsid w:val="0089269F"/>
    <w:rsid w:val="00892C12"/>
    <w:rsid w:val="00893C8B"/>
    <w:rsid w:val="008A07E3"/>
    <w:rsid w:val="008A0DAA"/>
    <w:rsid w:val="008A18DC"/>
    <w:rsid w:val="008A1D8F"/>
    <w:rsid w:val="008A25DA"/>
    <w:rsid w:val="008A330B"/>
    <w:rsid w:val="008A4025"/>
    <w:rsid w:val="008A75DF"/>
    <w:rsid w:val="008A7A5A"/>
    <w:rsid w:val="008B176B"/>
    <w:rsid w:val="008B20F8"/>
    <w:rsid w:val="008B37E9"/>
    <w:rsid w:val="008B6DDF"/>
    <w:rsid w:val="008B7F0E"/>
    <w:rsid w:val="008C12A9"/>
    <w:rsid w:val="008C16CC"/>
    <w:rsid w:val="008C2E44"/>
    <w:rsid w:val="008C442B"/>
    <w:rsid w:val="008C462E"/>
    <w:rsid w:val="008C4954"/>
    <w:rsid w:val="008C5875"/>
    <w:rsid w:val="008D07F3"/>
    <w:rsid w:val="008D1A34"/>
    <w:rsid w:val="008D3769"/>
    <w:rsid w:val="008D3DF2"/>
    <w:rsid w:val="008D4127"/>
    <w:rsid w:val="008D48ED"/>
    <w:rsid w:val="008D5C91"/>
    <w:rsid w:val="008D6F80"/>
    <w:rsid w:val="008E0662"/>
    <w:rsid w:val="008E18C6"/>
    <w:rsid w:val="008E20ED"/>
    <w:rsid w:val="008E318C"/>
    <w:rsid w:val="008E39DE"/>
    <w:rsid w:val="008E6C32"/>
    <w:rsid w:val="008E6D16"/>
    <w:rsid w:val="008E7708"/>
    <w:rsid w:val="008E79B6"/>
    <w:rsid w:val="008E7D95"/>
    <w:rsid w:val="008F0591"/>
    <w:rsid w:val="008F0D94"/>
    <w:rsid w:val="008F2F92"/>
    <w:rsid w:val="008F38B4"/>
    <w:rsid w:val="008F3E5D"/>
    <w:rsid w:val="008F3E86"/>
    <w:rsid w:val="008F4B1D"/>
    <w:rsid w:val="008F5E48"/>
    <w:rsid w:val="008F7265"/>
    <w:rsid w:val="008F75DA"/>
    <w:rsid w:val="008F7AC0"/>
    <w:rsid w:val="008F7CC4"/>
    <w:rsid w:val="0090049E"/>
    <w:rsid w:val="00900C04"/>
    <w:rsid w:val="0090168B"/>
    <w:rsid w:val="009016D3"/>
    <w:rsid w:val="009017B4"/>
    <w:rsid w:val="009020C5"/>
    <w:rsid w:val="00903174"/>
    <w:rsid w:val="00903A6A"/>
    <w:rsid w:val="00905240"/>
    <w:rsid w:val="0090562A"/>
    <w:rsid w:val="009066AD"/>
    <w:rsid w:val="0091061F"/>
    <w:rsid w:val="009139B7"/>
    <w:rsid w:val="009142D2"/>
    <w:rsid w:val="009148FE"/>
    <w:rsid w:val="00914ACA"/>
    <w:rsid w:val="00914DB1"/>
    <w:rsid w:val="009150EA"/>
    <w:rsid w:val="0091510A"/>
    <w:rsid w:val="0091731E"/>
    <w:rsid w:val="00920482"/>
    <w:rsid w:val="00920A33"/>
    <w:rsid w:val="00921B13"/>
    <w:rsid w:val="0092241E"/>
    <w:rsid w:val="00923153"/>
    <w:rsid w:val="00924996"/>
    <w:rsid w:val="00924D4F"/>
    <w:rsid w:val="00925310"/>
    <w:rsid w:val="009267B2"/>
    <w:rsid w:val="0092742B"/>
    <w:rsid w:val="009275CA"/>
    <w:rsid w:val="00930344"/>
    <w:rsid w:val="00932788"/>
    <w:rsid w:val="00933234"/>
    <w:rsid w:val="00933F1B"/>
    <w:rsid w:val="00934371"/>
    <w:rsid w:val="00934D98"/>
    <w:rsid w:val="00936CCB"/>
    <w:rsid w:val="00940469"/>
    <w:rsid w:val="00940A7E"/>
    <w:rsid w:val="009418C3"/>
    <w:rsid w:val="00942CFA"/>
    <w:rsid w:val="0094327C"/>
    <w:rsid w:val="00944905"/>
    <w:rsid w:val="0094587B"/>
    <w:rsid w:val="0094651E"/>
    <w:rsid w:val="009467C8"/>
    <w:rsid w:val="00947CE2"/>
    <w:rsid w:val="00955904"/>
    <w:rsid w:val="009560BD"/>
    <w:rsid w:val="009606FC"/>
    <w:rsid w:val="00960D35"/>
    <w:rsid w:val="009615D5"/>
    <w:rsid w:val="00961D65"/>
    <w:rsid w:val="00963002"/>
    <w:rsid w:val="00964EB2"/>
    <w:rsid w:val="00967A95"/>
    <w:rsid w:val="009715E1"/>
    <w:rsid w:val="0097180A"/>
    <w:rsid w:val="00972254"/>
    <w:rsid w:val="009723A6"/>
    <w:rsid w:val="0097268A"/>
    <w:rsid w:val="0097331D"/>
    <w:rsid w:val="00974D78"/>
    <w:rsid w:val="0097510A"/>
    <w:rsid w:val="00975487"/>
    <w:rsid w:val="00975B6D"/>
    <w:rsid w:val="009760F5"/>
    <w:rsid w:val="00977142"/>
    <w:rsid w:val="00980BE1"/>
    <w:rsid w:val="00981B3B"/>
    <w:rsid w:val="00983202"/>
    <w:rsid w:val="0098372A"/>
    <w:rsid w:val="00985C3F"/>
    <w:rsid w:val="00986402"/>
    <w:rsid w:val="009868DE"/>
    <w:rsid w:val="00986FBA"/>
    <w:rsid w:val="00993203"/>
    <w:rsid w:val="009932AC"/>
    <w:rsid w:val="00994170"/>
    <w:rsid w:val="00994603"/>
    <w:rsid w:val="00994ED0"/>
    <w:rsid w:val="00994F22"/>
    <w:rsid w:val="00995C6E"/>
    <w:rsid w:val="009967BC"/>
    <w:rsid w:val="00996B71"/>
    <w:rsid w:val="009A10F5"/>
    <w:rsid w:val="009A48A9"/>
    <w:rsid w:val="009A631E"/>
    <w:rsid w:val="009A67EC"/>
    <w:rsid w:val="009A7997"/>
    <w:rsid w:val="009B07EF"/>
    <w:rsid w:val="009B22EF"/>
    <w:rsid w:val="009B26AB"/>
    <w:rsid w:val="009B6261"/>
    <w:rsid w:val="009B7C6B"/>
    <w:rsid w:val="009C0554"/>
    <w:rsid w:val="009C0B18"/>
    <w:rsid w:val="009C0C8B"/>
    <w:rsid w:val="009C653C"/>
    <w:rsid w:val="009C6B11"/>
    <w:rsid w:val="009D0D33"/>
    <w:rsid w:val="009D0F39"/>
    <w:rsid w:val="009D13BE"/>
    <w:rsid w:val="009D20A5"/>
    <w:rsid w:val="009D311C"/>
    <w:rsid w:val="009D4BB4"/>
    <w:rsid w:val="009D56A6"/>
    <w:rsid w:val="009D5D20"/>
    <w:rsid w:val="009D6B87"/>
    <w:rsid w:val="009D7056"/>
    <w:rsid w:val="009E3B89"/>
    <w:rsid w:val="009E3C5D"/>
    <w:rsid w:val="009E54E3"/>
    <w:rsid w:val="009E6032"/>
    <w:rsid w:val="009E6335"/>
    <w:rsid w:val="009F0B88"/>
    <w:rsid w:val="009F2155"/>
    <w:rsid w:val="009F314B"/>
    <w:rsid w:val="009F3F51"/>
    <w:rsid w:val="009F4190"/>
    <w:rsid w:val="009F44A8"/>
    <w:rsid w:val="009F5835"/>
    <w:rsid w:val="009F5C16"/>
    <w:rsid w:val="009F6B32"/>
    <w:rsid w:val="009F7C1D"/>
    <w:rsid w:val="00A00D08"/>
    <w:rsid w:val="00A02F1E"/>
    <w:rsid w:val="00A0314F"/>
    <w:rsid w:val="00A04C9F"/>
    <w:rsid w:val="00A05B4D"/>
    <w:rsid w:val="00A06D41"/>
    <w:rsid w:val="00A06DB2"/>
    <w:rsid w:val="00A079E2"/>
    <w:rsid w:val="00A103E4"/>
    <w:rsid w:val="00A113D9"/>
    <w:rsid w:val="00A1163A"/>
    <w:rsid w:val="00A11DEB"/>
    <w:rsid w:val="00A1400D"/>
    <w:rsid w:val="00A14033"/>
    <w:rsid w:val="00A15036"/>
    <w:rsid w:val="00A1635F"/>
    <w:rsid w:val="00A1699E"/>
    <w:rsid w:val="00A16A5E"/>
    <w:rsid w:val="00A17568"/>
    <w:rsid w:val="00A20485"/>
    <w:rsid w:val="00A21DB6"/>
    <w:rsid w:val="00A2426A"/>
    <w:rsid w:val="00A244ED"/>
    <w:rsid w:val="00A247DB"/>
    <w:rsid w:val="00A24A9F"/>
    <w:rsid w:val="00A24E61"/>
    <w:rsid w:val="00A25C9E"/>
    <w:rsid w:val="00A25E4D"/>
    <w:rsid w:val="00A26D9E"/>
    <w:rsid w:val="00A30D57"/>
    <w:rsid w:val="00A30F09"/>
    <w:rsid w:val="00A318EA"/>
    <w:rsid w:val="00A323F9"/>
    <w:rsid w:val="00A32ECE"/>
    <w:rsid w:val="00A32FEA"/>
    <w:rsid w:val="00A3534A"/>
    <w:rsid w:val="00A3594B"/>
    <w:rsid w:val="00A4025C"/>
    <w:rsid w:val="00A40854"/>
    <w:rsid w:val="00A42567"/>
    <w:rsid w:val="00A435D2"/>
    <w:rsid w:val="00A4492A"/>
    <w:rsid w:val="00A46CE2"/>
    <w:rsid w:val="00A500A7"/>
    <w:rsid w:val="00A50687"/>
    <w:rsid w:val="00A5177F"/>
    <w:rsid w:val="00A51EE0"/>
    <w:rsid w:val="00A52B41"/>
    <w:rsid w:val="00A54E00"/>
    <w:rsid w:val="00A55A3A"/>
    <w:rsid w:val="00A5608F"/>
    <w:rsid w:val="00A60B4E"/>
    <w:rsid w:val="00A613FA"/>
    <w:rsid w:val="00A6304B"/>
    <w:rsid w:val="00A64106"/>
    <w:rsid w:val="00A642D9"/>
    <w:rsid w:val="00A65A93"/>
    <w:rsid w:val="00A672C9"/>
    <w:rsid w:val="00A67410"/>
    <w:rsid w:val="00A71511"/>
    <w:rsid w:val="00A72DBD"/>
    <w:rsid w:val="00A749D8"/>
    <w:rsid w:val="00A75493"/>
    <w:rsid w:val="00A81B89"/>
    <w:rsid w:val="00A83C44"/>
    <w:rsid w:val="00A84BCA"/>
    <w:rsid w:val="00A85D4C"/>
    <w:rsid w:val="00A86A86"/>
    <w:rsid w:val="00A86AC7"/>
    <w:rsid w:val="00A93911"/>
    <w:rsid w:val="00A95E73"/>
    <w:rsid w:val="00A9633D"/>
    <w:rsid w:val="00A96595"/>
    <w:rsid w:val="00A96A55"/>
    <w:rsid w:val="00A9727F"/>
    <w:rsid w:val="00AA06FC"/>
    <w:rsid w:val="00AA0768"/>
    <w:rsid w:val="00AA1095"/>
    <w:rsid w:val="00AA11A9"/>
    <w:rsid w:val="00AA29AC"/>
    <w:rsid w:val="00AA39BD"/>
    <w:rsid w:val="00AA3F72"/>
    <w:rsid w:val="00AA4BFE"/>
    <w:rsid w:val="00AA4C11"/>
    <w:rsid w:val="00AA4C74"/>
    <w:rsid w:val="00AA5A0F"/>
    <w:rsid w:val="00AB0657"/>
    <w:rsid w:val="00AB09E9"/>
    <w:rsid w:val="00AB12D3"/>
    <w:rsid w:val="00AB185C"/>
    <w:rsid w:val="00AB238B"/>
    <w:rsid w:val="00AB25AD"/>
    <w:rsid w:val="00AB5771"/>
    <w:rsid w:val="00AB7CE0"/>
    <w:rsid w:val="00AC0385"/>
    <w:rsid w:val="00AC097A"/>
    <w:rsid w:val="00AC28BE"/>
    <w:rsid w:val="00AC54DB"/>
    <w:rsid w:val="00AC6C0A"/>
    <w:rsid w:val="00AC7852"/>
    <w:rsid w:val="00AC79DA"/>
    <w:rsid w:val="00AC7BD1"/>
    <w:rsid w:val="00AD0893"/>
    <w:rsid w:val="00AD32D9"/>
    <w:rsid w:val="00AD3961"/>
    <w:rsid w:val="00AD4A39"/>
    <w:rsid w:val="00AD5045"/>
    <w:rsid w:val="00AD54E0"/>
    <w:rsid w:val="00AD55EC"/>
    <w:rsid w:val="00AD65C1"/>
    <w:rsid w:val="00AE0C4B"/>
    <w:rsid w:val="00AE1BF2"/>
    <w:rsid w:val="00AE30D5"/>
    <w:rsid w:val="00AE4ED9"/>
    <w:rsid w:val="00AE5E6A"/>
    <w:rsid w:val="00AE6E5A"/>
    <w:rsid w:val="00AE7565"/>
    <w:rsid w:val="00AF1B40"/>
    <w:rsid w:val="00AF1F43"/>
    <w:rsid w:val="00AF2939"/>
    <w:rsid w:val="00AF39E3"/>
    <w:rsid w:val="00AF3B5C"/>
    <w:rsid w:val="00AF4404"/>
    <w:rsid w:val="00AF5228"/>
    <w:rsid w:val="00AF5EF5"/>
    <w:rsid w:val="00B0178A"/>
    <w:rsid w:val="00B027DD"/>
    <w:rsid w:val="00B02B38"/>
    <w:rsid w:val="00B07371"/>
    <w:rsid w:val="00B07550"/>
    <w:rsid w:val="00B106D1"/>
    <w:rsid w:val="00B10A36"/>
    <w:rsid w:val="00B11CC7"/>
    <w:rsid w:val="00B11F75"/>
    <w:rsid w:val="00B12305"/>
    <w:rsid w:val="00B1262E"/>
    <w:rsid w:val="00B1427D"/>
    <w:rsid w:val="00B146EE"/>
    <w:rsid w:val="00B17539"/>
    <w:rsid w:val="00B17CFE"/>
    <w:rsid w:val="00B20735"/>
    <w:rsid w:val="00B207A8"/>
    <w:rsid w:val="00B20918"/>
    <w:rsid w:val="00B21F59"/>
    <w:rsid w:val="00B264D8"/>
    <w:rsid w:val="00B2712C"/>
    <w:rsid w:val="00B27A42"/>
    <w:rsid w:val="00B33067"/>
    <w:rsid w:val="00B35DE6"/>
    <w:rsid w:val="00B371C7"/>
    <w:rsid w:val="00B3755D"/>
    <w:rsid w:val="00B407CD"/>
    <w:rsid w:val="00B4231F"/>
    <w:rsid w:val="00B42787"/>
    <w:rsid w:val="00B42E5D"/>
    <w:rsid w:val="00B44146"/>
    <w:rsid w:val="00B4510A"/>
    <w:rsid w:val="00B472AF"/>
    <w:rsid w:val="00B475B0"/>
    <w:rsid w:val="00B50057"/>
    <w:rsid w:val="00B51304"/>
    <w:rsid w:val="00B526D1"/>
    <w:rsid w:val="00B53753"/>
    <w:rsid w:val="00B53963"/>
    <w:rsid w:val="00B54B78"/>
    <w:rsid w:val="00B54BAA"/>
    <w:rsid w:val="00B5636E"/>
    <w:rsid w:val="00B56CC5"/>
    <w:rsid w:val="00B57A56"/>
    <w:rsid w:val="00B61C1D"/>
    <w:rsid w:val="00B632F2"/>
    <w:rsid w:val="00B638DA"/>
    <w:rsid w:val="00B67688"/>
    <w:rsid w:val="00B67F79"/>
    <w:rsid w:val="00B7045C"/>
    <w:rsid w:val="00B704E7"/>
    <w:rsid w:val="00B70677"/>
    <w:rsid w:val="00B70CA0"/>
    <w:rsid w:val="00B7104A"/>
    <w:rsid w:val="00B72204"/>
    <w:rsid w:val="00B7388B"/>
    <w:rsid w:val="00B73BB7"/>
    <w:rsid w:val="00B759D1"/>
    <w:rsid w:val="00B759E3"/>
    <w:rsid w:val="00B75CD9"/>
    <w:rsid w:val="00B771BE"/>
    <w:rsid w:val="00B80DF6"/>
    <w:rsid w:val="00B83113"/>
    <w:rsid w:val="00B85B24"/>
    <w:rsid w:val="00B85BC2"/>
    <w:rsid w:val="00B860C5"/>
    <w:rsid w:val="00B86140"/>
    <w:rsid w:val="00B87846"/>
    <w:rsid w:val="00B87CD9"/>
    <w:rsid w:val="00B901B5"/>
    <w:rsid w:val="00B931D0"/>
    <w:rsid w:val="00B93236"/>
    <w:rsid w:val="00B936AF"/>
    <w:rsid w:val="00B96318"/>
    <w:rsid w:val="00BA06A5"/>
    <w:rsid w:val="00BA0C0A"/>
    <w:rsid w:val="00BA0F6F"/>
    <w:rsid w:val="00BA331F"/>
    <w:rsid w:val="00BA3586"/>
    <w:rsid w:val="00BA3AAC"/>
    <w:rsid w:val="00BA4349"/>
    <w:rsid w:val="00BA5044"/>
    <w:rsid w:val="00BA5125"/>
    <w:rsid w:val="00BA694F"/>
    <w:rsid w:val="00BA69B9"/>
    <w:rsid w:val="00BA703A"/>
    <w:rsid w:val="00BB0755"/>
    <w:rsid w:val="00BB29BF"/>
    <w:rsid w:val="00BB34DB"/>
    <w:rsid w:val="00BB494A"/>
    <w:rsid w:val="00BB531D"/>
    <w:rsid w:val="00BB6F85"/>
    <w:rsid w:val="00BB7E7A"/>
    <w:rsid w:val="00BC0C43"/>
    <w:rsid w:val="00BC1AA9"/>
    <w:rsid w:val="00BC2B31"/>
    <w:rsid w:val="00BC2D35"/>
    <w:rsid w:val="00BC3C79"/>
    <w:rsid w:val="00BC3EF5"/>
    <w:rsid w:val="00BC584B"/>
    <w:rsid w:val="00BC5E95"/>
    <w:rsid w:val="00BC7875"/>
    <w:rsid w:val="00BC799B"/>
    <w:rsid w:val="00BD10D1"/>
    <w:rsid w:val="00BD3096"/>
    <w:rsid w:val="00BD473D"/>
    <w:rsid w:val="00BD5C4B"/>
    <w:rsid w:val="00BD69CE"/>
    <w:rsid w:val="00BD7BDD"/>
    <w:rsid w:val="00BE0612"/>
    <w:rsid w:val="00BE0F05"/>
    <w:rsid w:val="00BE0F69"/>
    <w:rsid w:val="00BE18C5"/>
    <w:rsid w:val="00BE1E59"/>
    <w:rsid w:val="00BE215A"/>
    <w:rsid w:val="00BE3451"/>
    <w:rsid w:val="00BE39B3"/>
    <w:rsid w:val="00BE4E3F"/>
    <w:rsid w:val="00BE6B22"/>
    <w:rsid w:val="00BE7B9F"/>
    <w:rsid w:val="00BE7D36"/>
    <w:rsid w:val="00BE7E86"/>
    <w:rsid w:val="00BF19D6"/>
    <w:rsid w:val="00BF22C6"/>
    <w:rsid w:val="00BF2D19"/>
    <w:rsid w:val="00BF3122"/>
    <w:rsid w:val="00BF33FE"/>
    <w:rsid w:val="00BF3583"/>
    <w:rsid w:val="00BF381D"/>
    <w:rsid w:val="00BF3E98"/>
    <w:rsid w:val="00BF4900"/>
    <w:rsid w:val="00BF4BAA"/>
    <w:rsid w:val="00C00393"/>
    <w:rsid w:val="00C00C7D"/>
    <w:rsid w:val="00C00F72"/>
    <w:rsid w:val="00C02E1C"/>
    <w:rsid w:val="00C03110"/>
    <w:rsid w:val="00C03280"/>
    <w:rsid w:val="00C0367C"/>
    <w:rsid w:val="00C03CAC"/>
    <w:rsid w:val="00C04AC9"/>
    <w:rsid w:val="00C127A0"/>
    <w:rsid w:val="00C14CCA"/>
    <w:rsid w:val="00C1572A"/>
    <w:rsid w:val="00C161D2"/>
    <w:rsid w:val="00C1646B"/>
    <w:rsid w:val="00C17E55"/>
    <w:rsid w:val="00C20A23"/>
    <w:rsid w:val="00C20E3D"/>
    <w:rsid w:val="00C21710"/>
    <w:rsid w:val="00C23BCB"/>
    <w:rsid w:val="00C24023"/>
    <w:rsid w:val="00C25F83"/>
    <w:rsid w:val="00C2610E"/>
    <w:rsid w:val="00C26E7C"/>
    <w:rsid w:val="00C278C9"/>
    <w:rsid w:val="00C300B5"/>
    <w:rsid w:val="00C3072C"/>
    <w:rsid w:val="00C30A74"/>
    <w:rsid w:val="00C3243F"/>
    <w:rsid w:val="00C3554F"/>
    <w:rsid w:val="00C36464"/>
    <w:rsid w:val="00C373A2"/>
    <w:rsid w:val="00C40268"/>
    <w:rsid w:val="00C41D4B"/>
    <w:rsid w:val="00C42E62"/>
    <w:rsid w:val="00C42F98"/>
    <w:rsid w:val="00C45CB0"/>
    <w:rsid w:val="00C46271"/>
    <w:rsid w:val="00C465CA"/>
    <w:rsid w:val="00C506F7"/>
    <w:rsid w:val="00C50E3A"/>
    <w:rsid w:val="00C50FF8"/>
    <w:rsid w:val="00C512C6"/>
    <w:rsid w:val="00C51723"/>
    <w:rsid w:val="00C51AFF"/>
    <w:rsid w:val="00C51E68"/>
    <w:rsid w:val="00C52040"/>
    <w:rsid w:val="00C55331"/>
    <w:rsid w:val="00C565A7"/>
    <w:rsid w:val="00C57116"/>
    <w:rsid w:val="00C57631"/>
    <w:rsid w:val="00C57D19"/>
    <w:rsid w:val="00C57EF2"/>
    <w:rsid w:val="00C627A1"/>
    <w:rsid w:val="00C62CCF"/>
    <w:rsid w:val="00C657C2"/>
    <w:rsid w:val="00C66722"/>
    <w:rsid w:val="00C70101"/>
    <w:rsid w:val="00C706E8"/>
    <w:rsid w:val="00C70B63"/>
    <w:rsid w:val="00C7249D"/>
    <w:rsid w:val="00C72ADF"/>
    <w:rsid w:val="00C7653B"/>
    <w:rsid w:val="00C806AD"/>
    <w:rsid w:val="00C836D7"/>
    <w:rsid w:val="00C83F31"/>
    <w:rsid w:val="00C83FF5"/>
    <w:rsid w:val="00C84B2C"/>
    <w:rsid w:val="00C92194"/>
    <w:rsid w:val="00C92820"/>
    <w:rsid w:val="00C948FF"/>
    <w:rsid w:val="00C9597E"/>
    <w:rsid w:val="00C96E92"/>
    <w:rsid w:val="00C97A45"/>
    <w:rsid w:val="00CA06CB"/>
    <w:rsid w:val="00CA2836"/>
    <w:rsid w:val="00CA3593"/>
    <w:rsid w:val="00CA4049"/>
    <w:rsid w:val="00CA74D4"/>
    <w:rsid w:val="00CA7A44"/>
    <w:rsid w:val="00CA7E67"/>
    <w:rsid w:val="00CB002D"/>
    <w:rsid w:val="00CB16C1"/>
    <w:rsid w:val="00CB5480"/>
    <w:rsid w:val="00CB5E96"/>
    <w:rsid w:val="00CB683D"/>
    <w:rsid w:val="00CB737E"/>
    <w:rsid w:val="00CC1FFE"/>
    <w:rsid w:val="00CC2F8C"/>
    <w:rsid w:val="00CC3997"/>
    <w:rsid w:val="00CC6085"/>
    <w:rsid w:val="00CC7C22"/>
    <w:rsid w:val="00CD0BFB"/>
    <w:rsid w:val="00CD0C3E"/>
    <w:rsid w:val="00CD0D81"/>
    <w:rsid w:val="00CD0FFC"/>
    <w:rsid w:val="00CD25A6"/>
    <w:rsid w:val="00CD2A92"/>
    <w:rsid w:val="00CD2F78"/>
    <w:rsid w:val="00CD39E6"/>
    <w:rsid w:val="00CD4499"/>
    <w:rsid w:val="00CD4B30"/>
    <w:rsid w:val="00CD5CA4"/>
    <w:rsid w:val="00CD7C57"/>
    <w:rsid w:val="00CE0822"/>
    <w:rsid w:val="00CE5C8A"/>
    <w:rsid w:val="00CE7E4F"/>
    <w:rsid w:val="00CF05B8"/>
    <w:rsid w:val="00CF2987"/>
    <w:rsid w:val="00CF4D39"/>
    <w:rsid w:val="00CF548E"/>
    <w:rsid w:val="00CF6EC1"/>
    <w:rsid w:val="00D00B57"/>
    <w:rsid w:val="00D01B1B"/>
    <w:rsid w:val="00D02E3F"/>
    <w:rsid w:val="00D03256"/>
    <w:rsid w:val="00D03C92"/>
    <w:rsid w:val="00D041D7"/>
    <w:rsid w:val="00D04631"/>
    <w:rsid w:val="00D055FE"/>
    <w:rsid w:val="00D05994"/>
    <w:rsid w:val="00D05CE0"/>
    <w:rsid w:val="00D065AE"/>
    <w:rsid w:val="00D06A2A"/>
    <w:rsid w:val="00D10F1B"/>
    <w:rsid w:val="00D11EC6"/>
    <w:rsid w:val="00D13015"/>
    <w:rsid w:val="00D1322B"/>
    <w:rsid w:val="00D162C3"/>
    <w:rsid w:val="00D163F8"/>
    <w:rsid w:val="00D17086"/>
    <w:rsid w:val="00D1742E"/>
    <w:rsid w:val="00D208F6"/>
    <w:rsid w:val="00D21C62"/>
    <w:rsid w:val="00D2287C"/>
    <w:rsid w:val="00D22BFF"/>
    <w:rsid w:val="00D22D78"/>
    <w:rsid w:val="00D22E8E"/>
    <w:rsid w:val="00D22FD4"/>
    <w:rsid w:val="00D25E12"/>
    <w:rsid w:val="00D2739F"/>
    <w:rsid w:val="00D27D48"/>
    <w:rsid w:val="00D27F60"/>
    <w:rsid w:val="00D302DF"/>
    <w:rsid w:val="00D316F3"/>
    <w:rsid w:val="00D31C14"/>
    <w:rsid w:val="00D32DD1"/>
    <w:rsid w:val="00D34E49"/>
    <w:rsid w:val="00D361BB"/>
    <w:rsid w:val="00D378A5"/>
    <w:rsid w:val="00D379BB"/>
    <w:rsid w:val="00D4027A"/>
    <w:rsid w:val="00D404B5"/>
    <w:rsid w:val="00D42274"/>
    <w:rsid w:val="00D4451B"/>
    <w:rsid w:val="00D44A39"/>
    <w:rsid w:val="00D47AE9"/>
    <w:rsid w:val="00D50F65"/>
    <w:rsid w:val="00D520B1"/>
    <w:rsid w:val="00D52855"/>
    <w:rsid w:val="00D53171"/>
    <w:rsid w:val="00D54CFC"/>
    <w:rsid w:val="00D60258"/>
    <w:rsid w:val="00D60734"/>
    <w:rsid w:val="00D61036"/>
    <w:rsid w:val="00D61B13"/>
    <w:rsid w:val="00D6217A"/>
    <w:rsid w:val="00D626F7"/>
    <w:rsid w:val="00D63848"/>
    <w:rsid w:val="00D64E4D"/>
    <w:rsid w:val="00D65ECE"/>
    <w:rsid w:val="00D6604E"/>
    <w:rsid w:val="00D6635B"/>
    <w:rsid w:val="00D67744"/>
    <w:rsid w:val="00D67BC9"/>
    <w:rsid w:val="00D67E09"/>
    <w:rsid w:val="00D7004A"/>
    <w:rsid w:val="00D720D6"/>
    <w:rsid w:val="00D74DF1"/>
    <w:rsid w:val="00D7632E"/>
    <w:rsid w:val="00D829D0"/>
    <w:rsid w:val="00D82E2D"/>
    <w:rsid w:val="00D85FC0"/>
    <w:rsid w:val="00D8652A"/>
    <w:rsid w:val="00D8671E"/>
    <w:rsid w:val="00D86888"/>
    <w:rsid w:val="00D902D6"/>
    <w:rsid w:val="00D9184C"/>
    <w:rsid w:val="00D918D7"/>
    <w:rsid w:val="00D922DB"/>
    <w:rsid w:val="00D92497"/>
    <w:rsid w:val="00D92BA2"/>
    <w:rsid w:val="00D9318F"/>
    <w:rsid w:val="00D93ABD"/>
    <w:rsid w:val="00D94034"/>
    <w:rsid w:val="00D94BA6"/>
    <w:rsid w:val="00D96E75"/>
    <w:rsid w:val="00D976BA"/>
    <w:rsid w:val="00DA06BC"/>
    <w:rsid w:val="00DA0B40"/>
    <w:rsid w:val="00DA1094"/>
    <w:rsid w:val="00DA1113"/>
    <w:rsid w:val="00DA36EA"/>
    <w:rsid w:val="00DA3CAE"/>
    <w:rsid w:val="00DA6594"/>
    <w:rsid w:val="00DA68D9"/>
    <w:rsid w:val="00DA6CD3"/>
    <w:rsid w:val="00DB0EBE"/>
    <w:rsid w:val="00DB159A"/>
    <w:rsid w:val="00DB1744"/>
    <w:rsid w:val="00DB245A"/>
    <w:rsid w:val="00DB2AB9"/>
    <w:rsid w:val="00DB2D53"/>
    <w:rsid w:val="00DB4A02"/>
    <w:rsid w:val="00DB5D9F"/>
    <w:rsid w:val="00DB6C2A"/>
    <w:rsid w:val="00DB733A"/>
    <w:rsid w:val="00DB76EE"/>
    <w:rsid w:val="00DC0620"/>
    <w:rsid w:val="00DC0743"/>
    <w:rsid w:val="00DC307D"/>
    <w:rsid w:val="00DC661E"/>
    <w:rsid w:val="00DC66E4"/>
    <w:rsid w:val="00DD0A06"/>
    <w:rsid w:val="00DD205C"/>
    <w:rsid w:val="00DD2455"/>
    <w:rsid w:val="00DD384D"/>
    <w:rsid w:val="00DD3FEC"/>
    <w:rsid w:val="00DD4886"/>
    <w:rsid w:val="00DD5016"/>
    <w:rsid w:val="00DD52D1"/>
    <w:rsid w:val="00DD62B0"/>
    <w:rsid w:val="00DD7609"/>
    <w:rsid w:val="00DE2F52"/>
    <w:rsid w:val="00DE356A"/>
    <w:rsid w:val="00DE3817"/>
    <w:rsid w:val="00DE45F4"/>
    <w:rsid w:val="00DE504E"/>
    <w:rsid w:val="00DE5B17"/>
    <w:rsid w:val="00DE6F36"/>
    <w:rsid w:val="00DE7DF0"/>
    <w:rsid w:val="00DE7FB7"/>
    <w:rsid w:val="00DF16F5"/>
    <w:rsid w:val="00DF1EC8"/>
    <w:rsid w:val="00DF2636"/>
    <w:rsid w:val="00DF4425"/>
    <w:rsid w:val="00DF5C8D"/>
    <w:rsid w:val="00DF6D87"/>
    <w:rsid w:val="00E00B27"/>
    <w:rsid w:val="00E00CD3"/>
    <w:rsid w:val="00E00D02"/>
    <w:rsid w:val="00E00F03"/>
    <w:rsid w:val="00E02E9D"/>
    <w:rsid w:val="00E03B05"/>
    <w:rsid w:val="00E06970"/>
    <w:rsid w:val="00E0766A"/>
    <w:rsid w:val="00E07684"/>
    <w:rsid w:val="00E07CF6"/>
    <w:rsid w:val="00E07F57"/>
    <w:rsid w:val="00E10A56"/>
    <w:rsid w:val="00E122F6"/>
    <w:rsid w:val="00E13CDB"/>
    <w:rsid w:val="00E14483"/>
    <w:rsid w:val="00E14800"/>
    <w:rsid w:val="00E14937"/>
    <w:rsid w:val="00E1544E"/>
    <w:rsid w:val="00E16FDB"/>
    <w:rsid w:val="00E1763A"/>
    <w:rsid w:val="00E2134D"/>
    <w:rsid w:val="00E2295E"/>
    <w:rsid w:val="00E22FE3"/>
    <w:rsid w:val="00E24538"/>
    <w:rsid w:val="00E2457B"/>
    <w:rsid w:val="00E24749"/>
    <w:rsid w:val="00E25DF4"/>
    <w:rsid w:val="00E262C3"/>
    <w:rsid w:val="00E2679E"/>
    <w:rsid w:val="00E26B50"/>
    <w:rsid w:val="00E27FE8"/>
    <w:rsid w:val="00E302AF"/>
    <w:rsid w:val="00E305D9"/>
    <w:rsid w:val="00E30772"/>
    <w:rsid w:val="00E331A4"/>
    <w:rsid w:val="00E33CB6"/>
    <w:rsid w:val="00E37C5A"/>
    <w:rsid w:val="00E410BF"/>
    <w:rsid w:val="00E41D74"/>
    <w:rsid w:val="00E43762"/>
    <w:rsid w:val="00E43971"/>
    <w:rsid w:val="00E4434D"/>
    <w:rsid w:val="00E45DEE"/>
    <w:rsid w:val="00E50D6E"/>
    <w:rsid w:val="00E51684"/>
    <w:rsid w:val="00E540B4"/>
    <w:rsid w:val="00E55539"/>
    <w:rsid w:val="00E55C6E"/>
    <w:rsid w:val="00E55D09"/>
    <w:rsid w:val="00E56232"/>
    <w:rsid w:val="00E569B1"/>
    <w:rsid w:val="00E56C65"/>
    <w:rsid w:val="00E5794E"/>
    <w:rsid w:val="00E61D3E"/>
    <w:rsid w:val="00E62C6C"/>
    <w:rsid w:val="00E63143"/>
    <w:rsid w:val="00E63352"/>
    <w:rsid w:val="00E63886"/>
    <w:rsid w:val="00E65CB9"/>
    <w:rsid w:val="00E6601B"/>
    <w:rsid w:val="00E66071"/>
    <w:rsid w:val="00E66E36"/>
    <w:rsid w:val="00E67963"/>
    <w:rsid w:val="00E70B7E"/>
    <w:rsid w:val="00E71A2D"/>
    <w:rsid w:val="00E72985"/>
    <w:rsid w:val="00E73642"/>
    <w:rsid w:val="00E73B10"/>
    <w:rsid w:val="00E77625"/>
    <w:rsid w:val="00E7764C"/>
    <w:rsid w:val="00E80BE3"/>
    <w:rsid w:val="00E81166"/>
    <w:rsid w:val="00E812E6"/>
    <w:rsid w:val="00E817BA"/>
    <w:rsid w:val="00E82A7D"/>
    <w:rsid w:val="00E85E2E"/>
    <w:rsid w:val="00E93171"/>
    <w:rsid w:val="00E95F1B"/>
    <w:rsid w:val="00E96180"/>
    <w:rsid w:val="00EA0333"/>
    <w:rsid w:val="00EA0AA0"/>
    <w:rsid w:val="00EA1582"/>
    <w:rsid w:val="00EA23DE"/>
    <w:rsid w:val="00EA2810"/>
    <w:rsid w:val="00EA281F"/>
    <w:rsid w:val="00EA2CE8"/>
    <w:rsid w:val="00EA2DB9"/>
    <w:rsid w:val="00EA533C"/>
    <w:rsid w:val="00EA545E"/>
    <w:rsid w:val="00EA7B42"/>
    <w:rsid w:val="00EB116E"/>
    <w:rsid w:val="00EB144F"/>
    <w:rsid w:val="00EB1C58"/>
    <w:rsid w:val="00EB2995"/>
    <w:rsid w:val="00EB5BF1"/>
    <w:rsid w:val="00EB6D0A"/>
    <w:rsid w:val="00EB6EDE"/>
    <w:rsid w:val="00EC01FA"/>
    <w:rsid w:val="00EC44E5"/>
    <w:rsid w:val="00EC6B73"/>
    <w:rsid w:val="00EC75EB"/>
    <w:rsid w:val="00ED10C5"/>
    <w:rsid w:val="00ED1836"/>
    <w:rsid w:val="00ED1C7E"/>
    <w:rsid w:val="00ED20C0"/>
    <w:rsid w:val="00ED3E8B"/>
    <w:rsid w:val="00ED5546"/>
    <w:rsid w:val="00ED55C5"/>
    <w:rsid w:val="00ED5D8C"/>
    <w:rsid w:val="00ED68F0"/>
    <w:rsid w:val="00ED6B5E"/>
    <w:rsid w:val="00ED6DE1"/>
    <w:rsid w:val="00ED7B5A"/>
    <w:rsid w:val="00EE1025"/>
    <w:rsid w:val="00EE1CD1"/>
    <w:rsid w:val="00EE220F"/>
    <w:rsid w:val="00EE36CC"/>
    <w:rsid w:val="00EE583B"/>
    <w:rsid w:val="00EE642B"/>
    <w:rsid w:val="00EE7730"/>
    <w:rsid w:val="00EE7904"/>
    <w:rsid w:val="00EF0912"/>
    <w:rsid w:val="00EF1083"/>
    <w:rsid w:val="00EF12E1"/>
    <w:rsid w:val="00EF24D6"/>
    <w:rsid w:val="00EF2514"/>
    <w:rsid w:val="00EF2558"/>
    <w:rsid w:val="00EF33E4"/>
    <w:rsid w:val="00EF4E19"/>
    <w:rsid w:val="00EF6A56"/>
    <w:rsid w:val="00EF7BB3"/>
    <w:rsid w:val="00F004ED"/>
    <w:rsid w:val="00F0073A"/>
    <w:rsid w:val="00F00D7A"/>
    <w:rsid w:val="00F02183"/>
    <w:rsid w:val="00F03596"/>
    <w:rsid w:val="00F0470A"/>
    <w:rsid w:val="00F065AF"/>
    <w:rsid w:val="00F104F2"/>
    <w:rsid w:val="00F13800"/>
    <w:rsid w:val="00F14D6C"/>
    <w:rsid w:val="00F14EE4"/>
    <w:rsid w:val="00F1571D"/>
    <w:rsid w:val="00F16239"/>
    <w:rsid w:val="00F17B51"/>
    <w:rsid w:val="00F17B6F"/>
    <w:rsid w:val="00F203B5"/>
    <w:rsid w:val="00F2249E"/>
    <w:rsid w:val="00F242AD"/>
    <w:rsid w:val="00F245B8"/>
    <w:rsid w:val="00F2602A"/>
    <w:rsid w:val="00F2793E"/>
    <w:rsid w:val="00F27B0A"/>
    <w:rsid w:val="00F27F3F"/>
    <w:rsid w:val="00F30277"/>
    <w:rsid w:val="00F3098C"/>
    <w:rsid w:val="00F315AA"/>
    <w:rsid w:val="00F3204B"/>
    <w:rsid w:val="00F32BBA"/>
    <w:rsid w:val="00F33B19"/>
    <w:rsid w:val="00F33E9A"/>
    <w:rsid w:val="00F35580"/>
    <w:rsid w:val="00F357DB"/>
    <w:rsid w:val="00F361B4"/>
    <w:rsid w:val="00F36A67"/>
    <w:rsid w:val="00F37412"/>
    <w:rsid w:val="00F47AD7"/>
    <w:rsid w:val="00F50458"/>
    <w:rsid w:val="00F50D4E"/>
    <w:rsid w:val="00F5162E"/>
    <w:rsid w:val="00F52969"/>
    <w:rsid w:val="00F52E3A"/>
    <w:rsid w:val="00F539D9"/>
    <w:rsid w:val="00F547AE"/>
    <w:rsid w:val="00F56DC2"/>
    <w:rsid w:val="00F613E1"/>
    <w:rsid w:val="00F62A78"/>
    <w:rsid w:val="00F62CDA"/>
    <w:rsid w:val="00F63035"/>
    <w:rsid w:val="00F642B5"/>
    <w:rsid w:val="00F64468"/>
    <w:rsid w:val="00F64A1B"/>
    <w:rsid w:val="00F64DEA"/>
    <w:rsid w:val="00F67C50"/>
    <w:rsid w:val="00F71528"/>
    <w:rsid w:val="00F733D3"/>
    <w:rsid w:val="00F74889"/>
    <w:rsid w:val="00F74C9C"/>
    <w:rsid w:val="00F75BE6"/>
    <w:rsid w:val="00F76307"/>
    <w:rsid w:val="00F77C80"/>
    <w:rsid w:val="00F80C51"/>
    <w:rsid w:val="00F80DD4"/>
    <w:rsid w:val="00F82B3F"/>
    <w:rsid w:val="00F82E39"/>
    <w:rsid w:val="00F8456A"/>
    <w:rsid w:val="00F84ABB"/>
    <w:rsid w:val="00F84E1C"/>
    <w:rsid w:val="00F86690"/>
    <w:rsid w:val="00F86B12"/>
    <w:rsid w:val="00F86B1B"/>
    <w:rsid w:val="00F871DF"/>
    <w:rsid w:val="00F90609"/>
    <w:rsid w:val="00F908C0"/>
    <w:rsid w:val="00F90BC7"/>
    <w:rsid w:val="00F90FF6"/>
    <w:rsid w:val="00F916E3"/>
    <w:rsid w:val="00F92838"/>
    <w:rsid w:val="00F92CE6"/>
    <w:rsid w:val="00F9576C"/>
    <w:rsid w:val="00F964B0"/>
    <w:rsid w:val="00FA0045"/>
    <w:rsid w:val="00FA01AD"/>
    <w:rsid w:val="00FA29FC"/>
    <w:rsid w:val="00FA3CD6"/>
    <w:rsid w:val="00FA6D97"/>
    <w:rsid w:val="00FA72E4"/>
    <w:rsid w:val="00FA75A0"/>
    <w:rsid w:val="00FB2770"/>
    <w:rsid w:val="00FB27FD"/>
    <w:rsid w:val="00FB3A32"/>
    <w:rsid w:val="00FB496D"/>
    <w:rsid w:val="00FB5235"/>
    <w:rsid w:val="00FB65C6"/>
    <w:rsid w:val="00FB6AD6"/>
    <w:rsid w:val="00FB7F84"/>
    <w:rsid w:val="00FC11D3"/>
    <w:rsid w:val="00FC1EB1"/>
    <w:rsid w:val="00FC2A01"/>
    <w:rsid w:val="00FC3FDE"/>
    <w:rsid w:val="00FC4312"/>
    <w:rsid w:val="00FC4A86"/>
    <w:rsid w:val="00FC5432"/>
    <w:rsid w:val="00FC5CBF"/>
    <w:rsid w:val="00FC609B"/>
    <w:rsid w:val="00FC674C"/>
    <w:rsid w:val="00FC729D"/>
    <w:rsid w:val="00FC7C61"/>
    <w:rsid w:val="00FD1E93"/>
    <w:rsid w:val="00FD3F6B"/>
    <w:rsid w:val="00FD6A9A"/>
    <w:rsid w:val="00FE1007"/>
    <w:rsid w:val="00FE14A2"/>
    <w:rsid w:val="00FE257E"/>
    <w:rsid w:val="00FE28DB"/>
    <w:rsid w:val="00FE2AC1"/>
    <w:rsid w:val="00FE30EC"/>
    <w:rsid w:val="00FE3CE0"/>
    <w:rsid w:val="00FE40EE"/>
    <w:rsid w:val="00FE6D4D"/>
    <w:rsid w:val="00FF1ECB"/>
    <w:rsid w:val="00FF242B"/>
    <w:rsid w:val="00FF2515"/>
    <w:rsid w:val="00FF2B88"/>
    <w:rsid w:val="00FF2BB4"/>
    <w:rsid w:val="00FF2EF7"/>
    <w:rsid w:val="00FF32B7"/>
    <w:rsid w:val="00FF3457"/>
    <w:rsid w:val="00FF38FF"/>
    <w:rsid w:val="00FF57AD"/>
    <w:rsid w:val="00FF5DEA"/>
    <w:rsid w:val="00FF6E41"/>
    <w:rsid w:val="00FF70DE"/>
    <w:rsid w:val="00FF77BA"/>
    <w:rsid w:val="00FF78FF"/>
    <w:rsid w:val="0185AA6A"/>
    <w:rsid w:val="08598382"/>
    <w:rsid w:val="0D07AF56"/>
    <w:rsid w:val="0D3BC2B7"/>
    <w:rsid w:val="135B9877"/>
    <w:rsid w:val="135BF387"/>
    <w:rsid w:val="1BD7DCE4"/>
    <w:rsid w:val="1BF7C667"/>
    <w:rsid w:val="1C3EAD3A"/>
    <w:rsid w:val="2231B511"/>
    <w:rsid w:val="25C9BE3D"/>
    <w:rsid w:val="261AF3FC"/>
    <w:rsid w:val="27823206"/>
    <w:rsid w:val="2D47ED45"/>
    <w:rsid w:val="337D8DA5"/>
    <w:rsid w:val="38A9AD79"/>
    <w:rsid w:val="39CFFBEB"/>
    <w:rsid w:val="3A47DE62"/>
    <w:rsid w:val="3E09C82D"/>
    <w:rsid w:val="40521184"/>
    <w:rsid w:val="409B911E"/>
    <w:rsid w:val="44569C21"/>
    <w:rsid w:val="45DD95E4"/>
    <w:rsid w:val="4F75CA22"/>
    <w:rsid w:val="5305292F"/>
    <w:rsid w:val="5463A513"/>
    <w:rsid w:val="574EB0DC"/>
    <w:rsid w:val="5BB02D4A"/>
    <w:rsid w:val="6003B08B"/>
    <w:rsid w:val="6D64CF51"/>
    <w:rsid w:val="6D873197"/>
    <w:rsid w:val="77154E78"/>
    <w:rsid w:val="7AC0EF4B"/>
    <w:rsid w:val="7F2A23A0"/>
    <w:rsid w:val="7F94D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8C9"/>
    <w:pPr>
      <w:spacing w:after="120" w:line="240" w:lineRule="auto"/>
      <w:jc w:val="both"/>
    </w:pPr>
    <w:rPr>
      <w:rFonts w:ascii="Segoe UI" w:hAnsi="Segoe UI" w:cs="Segoe UI"/>
      <w:szCs w:val="22"/>
    </w:rPr>
  </w:style>
  <w:style w:type="paragraph" w:styleId="Heading1">
    <w:name w:val="heading 1"/>
    <w:basedOn w:val="Normal"/>
    <w:next w:val="Normal"/>
    <w:link w:val="Heading1Char"/>
    <w:uiPriority w:val="9"/>
    <w:qFormat/>
    <w:rsid w:val="00EA0AA0"/>
    <w:pPr>
      <w:spacing w:before="240"/>
      <w:outlineLvl w:val="0"/>
    </w:pPr>
    <w:rPr>
      <w:b/>
      <w:bCs/>
      <w:color w:val="0070C0"/>
      <w:sz w:val="32"/>
      <w:szCs w:val="32"/>
    </w:rPr>
  </w:style>
  <w:style w:type="paragraph" w:styleId="Heading2">
    <w:name w:val="heading 2"/>
    <w:basedOn w:val="Normal"/>
    <w:next w:val="Normal"/>
    <w:link w:val="Heading2Char"/>
    <w:uiPriority w:val="9"/>
    <w:unhideWhenUsed/>
    <w:qFormat/>
    <w:rsid w:val="00BC0C43"/>
    <w:pPr>
      <w:spacing w:before="240"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582377"/>
    <w:pPr>
      <w:spacing w:after="160"/>
      <w:contextualSpacing/>
    </w:pPr>
    <w:rPr>
      <w:bCs/>
      <w:sz w:val="21"/>
      <w:szCs w:val="21"/>
    </w:rPr>
  </w:style>
  <w:style w:type="character" w:customStyle="1" w:styleId="TickboxesChar">
    <w:name w:val="Tick boxes Char"/>
    <w:basedOn w:val="DefaultParagraphFont"/>
    <w:link w:val="Tickboxes"/>
    <w:rsid w:val="00582377"/>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5D23BC"/>
    <w:rPr>
      <w:sz w:val="16"/>
      <w:szCs w:val="16"/>
    </w:rPr>
  </w:style>
  <w:style w:type="paragraph" w:styleId="CommentText">
    <w:name w:val="annotation text"/>
    <w:basedOn w:val="Normal"/>
    <w:link w:val="CommentTextChar"/>
    <w:uiPriority w:val="99"/>
    <w:unhideWhenUsed/>
    <w:rsid w:val="005D23BC"/>
    <w:rPr>
      <w:sz w:val="20"/>
      <w:szCs w:val="20"/>
    </w:rPr>
  </w:style>
  <w:style w:type="character" w:customStyle="1" w:styleId="CommentTextChar">
    <w:name w:val="Comment Text Char"/>
    <w:basedOn w:val="DefaultParagraphFont"/>
    <w:link w:val="CommentText"/>
    <w:uiPriority w:val="99"/>
    <w:rsid w:val="005D23BC"/>
    <w:rPr>
      <w:sz w:val="20"/>
      <w:szCs w:val="20"/>
    </w:rPr>
  </w:style>
  <w:style w:type="paragraph" w:styleId="CommentSubject">
    <w:name w:val="annotation subject"/>
    <w:basedOn w:val="CommentText"/>
    <w:next w:val="CommentText"/>
    <w:link w:val="CommentSubjectChar"/>
    <w:uiPriority w:val="99"/>
    <w:semiHidden/>
    <w:unhideWhenUsed/>
    <w:rsid w:val="005D23BC"/>
    <w:rPr>
      <w:b/>
      <w:bCs/>
    </w:rPr>
  </w:style>
  <w:style w:type="character" w:customStyle="1" w:styleId="CommentSubjectChar">
    <w:name w:val="Comment Subject Char"/>
    <w:basedOn w:val="CommentTextChar"/>
    <w:link w:val="CommentSubject"/>
    <w:uiPriority w:val="99"/>
    <w:semiHidden/>
    <w:rsid w:val="005D23BC"/>
    <w:rPr>
      <w:b/>
      <w:bCs/>
      <w:sz w:val="20"/>
      <w:szCs w:val="20"/>
    </w:rPr>
  </w:style>
  <w:style w:type="character" w:customStyle="1" w:styleId="Heading2Char">
    <w:name w:val="Heading 2 Char"/>
    <w:basedOn w:val="DefaultParagraphFont"/>
    <w:link w:val="Heading2"/>
    <w:uiPriority w:val="9"/>
    <w:rsid w:val="00BC0C43"/>
    <w:rPr>
      <w:rFonts w:ascii="Segoe UI" w:hAnsi="Segoe UI" w:cs="Segoe UI"/>
      <w:b/>
      <w:bCs/>
      <w:sz w:val="22"/>
      <w:szCs w:val="22"/>
    </w:rPr>
  </w:style>
  <w:style w:type="character" w:customStyle="1" w:styleId="Heading1Char">
    <w:name w:val="Heading 1 Char"/>
    <w:basedOn w:val="DefaultParagraphFont"/>
    <w:link w:val="Heading1"/>
    <w:uiPriority w:val="9"/>
    <w:rsid w:val="00EA0AA0"/>
    <w:rPr>
      <w:rFonts w:ascii="Segoe UI" w:hAnsi="Segoe UI" w:cs="Segoe UI"/>
      <w:b/>
      <w:bCs/>
      <w:color w:val="0070C0"/>
      <w:sz w:val="32"/>
      <w:szCs w:val="32"/>
    </w:rPr>
  </w:style>
  <w:style w:type="paragraph" w:customStyle="1" w:styleId="Instructions">
    <w:name w:val="Instructions"/>
    <w:basedOn w:val="Normal"/>
    <w:link w:val="InstructionsChar"/>
    <w:qFormat/>
    <w:rsid w:val="00E410BF"/>
    <w:pPr>
      <w:spacing w:before="120"/>
    </w:pPr>
    <w:rPr>
      <w:b/>
      <w:bCs/>
      <w:i/>
      <w:iCs/>
      <w:color w:val="538135" w:themeColor="accent6" w:themeShade="BF"/>
      <w:szCs w:val="24"/>
    </w:rPr>
  </w:style>
  <w:style w:type="character" w:customStyle="1" w:styleId="InstructionsChar">
    <w:name w:val="Instructions Char"/>
    <w:basedOn w:val="Heading2Char"/>
    <w:link w:val="Instructions"/>
    <w:rsid w:val="00E410BF"/>
    <w:rPr>
      <w:rFonts w:ascii="Segoe UI" w:hAnsi="Segoe UI" w:cs="Segoe UI"/>
      <w:b/>
      <w:bCs/>
      <w:i/>
      <w:iCs/>
      <w:color w:val="538135" w:themeColor="accent6" w:themeShade="BF"/>
      <w:sz w:val="22"/>
      <w:szCs w:val="22"/>
    </w:rPr>
  </w:style>
  <w:style w:type="paragraph" w:styleId="Revision">
    <w:name w:val="Revision"/>
    <w:hidden/>
    <w:uiPriority w:val="99"/>
    <w:semiHidden/>
    <w:rsid w:val="00D67744"/>
    <w:pPr>
      <w:spacing w:after="0" w:line="240" w:lineRule="auto"/>
    </w:pPr>
    <w:rPr>
      <w:rFonts w:ascii="Segoe UI" w:hAnsi="Segoe UI" w:cs="Segoe UI"/>
      <w:sz w:val="22"/>
      <w:szCs w:val="22"/>
    </w:rPr>
  </w:style>
  <w:style w:type="paragraph" w:styleId="FootnoteText">
    <w:name w:val="footnote text"/>
    <w:basedOn w:val="Normal"/>
    <w:link w:val="FootnoteTextChar"/>
    <w:uiPriority w:val="99"/>
    <w:semiHidden/>
    <w:unhideWhenUsed/>
    <w:rsid w:val="00CE5C8A"/>
    <w:pPr>
      <w:spacing w:after="0"/>
    </w:pPr>
    <w:rPr>
      <w:sz w:val="20"/>
      <w:szCs w:val="20"/>
    </w:rPr>
  </w:style>
  <w:style w:type="character" w:customStyle="1" w:styleId="FootnoteTextChar">
    <w:name w:val="Footnote Text Char"/>
    <w:basedOn w:val="DefaultParagraphFont"/>
    <w:link w:val="FootnoteText"/>
    <w:uiPriority w:val="99"/>
    <w:semiHidden/>
    <w:rsid w:val="00CE5C8A"/>
    <w:rPr>
      <w:rFonts w:ascii="Segoe UI" w:hAnsi="Segoe UI" w:cs="Segoe UI"/>
      <w:sz w:val="20"/>
      <w:szCs w:val="20"/>
    </w:rPr>
  </w:style>
  <w:style w:type="character" w:styleId="FootnoteReference">
    <w:name w:val="footnote reference"/>
    <w:basedOn w:val="DefaultParagraphFont"/>
    <w:uiPriority w:val="99"/>
    <w:semiHidden/>
    <w:unhideWhenUsed/>
    <w:rsid w:val="00CE5C8A"/>
    <w:rPr>
      <w:vertAlign w:val="superscript"/>
    </w:rPr>
  </w:style>
  <w:style w:type="paragraph" w:styleId="Title">
    <w:name w:val="Title"/>
    <w:basedOn w:val="Normal"/>
    <w:next w:val="Normal"/>
    <w:link w:val="TitleChar"/>
    <w:uiPriority w:val="10"/>
    <w:qFormat/>
    <w:rsid w:val="0022282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82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22820"/>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E51684"/>
    <w:pPr>
      <w:ind w:left="720"/>
      <w:contextualSpacing/>
    </w:pPr>
  </w:style>
  <w:style w:type="paragraph" w:customStyle="1" w:styleId="EndNoteBibliographyTitle">
    <w:name w:val="EndNote Bibliography Title"/>
    <w:basedOn w:val="Normal"/>
    <w:link w:val="EndNoteBibliographyTitleChar"/>
    <w:rsid w:val="00E37C5A"/>
    <w:pPr>
      <w:spacing w:after="0"/>
      <w:jc w:val="center"/>
    </w:pPr>
    <w:rPr>
      <w:noProof/>
      <w:sz w:val="22"/>
      <w:lang w:val="en-US"/>
    </w:rPr>
  </w:style>
  <w:style w:type="character" w:customStyle="1" w:styleId="EndNoteBibliographyTitleChar">
    <w:name w:val="EndNote Bibliography Title Char"/>
    <w:basedOn w:val="DefaultParagraphFont"/>
    <w:link w:val="EndNoteBibliographyTitle"/>
    <w:rsid w:val="00E37C5A"/>
    <w:rPr>
      <w:rFonts w:ascii="Segoe UI" w:hAnsi="Segoe UI" w:cs="Segoe UI"/>
      <w:noProof/>
      <w:sz w:val="22"/>
      <w:szCs w:val="22"/>
      <w:lang w:val="en-US"/>
    </w:rPr>
  </w:style>
  <w:style w:type="paragraph" w:customStyle="1" w:styleId="EndNoteBibliography">
    <w:name w:val="EndNote Bibliography"/>
    <w:basedOn w:val="Normal"/>
    <w:link w:val="EndNoteBibliographyChar"/>
    <w:rsid w:val="00E37C5A"/>
    <w:rPr>
      <w:noProof/>
      <w:sz w:val="22"/>
      <w:lang w:val="en-US"/>
    </w:rPr>
  </w:style>
  <w:style w:type="character" w:customStyle="1" w:styleId="EndNoteBibliographyChar">
    <w:name w:val="EndNote Bibliography Char"/>
    <w:basedOn w:val="DefaultParagraphFont"/>
    <w:link w:val="EndNoteBibliography"/>
    <w:rsid w:val="00E37C5A"/>
    <w:rPr>
      <w:rFonts w:ascii="Segoe UI" w:hAnsi="Segoe UI" w:cs="Segoe UI"/>
      <w:noProof/>
      <w:sz w:val="22"/>
      <w:szCs w:val="22"/>
      <w:lang w:val="en-US"/>
    </w:rPr>
  </w:style>
  <w:style w:type="paragraph" w:styleId="Caption">
    <w:name w:val="caption"/>
    <w:basedOn w:val="Normal"/>
    <w:next w:val="Normal"/>
    <w:uiPriority w:val="35"/>
    <w:unhideWhenUsed/>
    <w:qFormat/>
    <w:rsid w:val="00F50D4E"/>
    <w:pPr>
      <w:spacing w:after="200"/>
    </w:pPr>
    <w:rPr>
      <w:b/>
      <w:iCs/>
      <w:color w:val="000000" w:themeColor="text1"/>
      <w:szCs w:val="18"/>
    </w:rPr>
  </w:style>
  <w:style w:type="paragraph" w:customStyle="1" w:styleId="Tabletext">
    <w:name w:val="Table text"/>
    <w:basedOn w:val="Normal"/>
    <w:qFormat/>
    <w:rsid w:val="00D6604E"/>
    <w:pPr>
      <w:spacing w:before="60" w:after="60"/>
    </w:pPr>
    <w:rPr>
      <w:rFonts w:ascii="Verdana" w:eastAsia="Calibri" w:hAnsi="Verdana" w:cs="Times New Roman"/>
      <w:sz w:val="18"/>
    </w:rPr>
  </w:style>
  <w:style w:type="paragraph" w:customStyle="1" w:styleId="Tablenote">
    <w:name w:val="Table note"/>
    <w:basedOn w:val="Normal"/>
    <w:next w:val="Normal"/>
    <w:qFormat/>
    <w:rsid w:val="00D6604E"/>
    <w:pPr>
      <w:spacing w:before="120" w:after="240" w:line="312" w:lineRule="auto"/>
    </w:pPr>
    <w:rPr>
      <w:rFonts w:ascii="Verdana" w:eastAsia="Calibri" w:hAnsi="Verdana" w:cs="Times New Roman"/>
      <w:sz w:val="18"/>
    </w:rPr>
  </w:style>
  <w:style w:type="paragraph" w:customStyle="1" w:styleId="Tablebold">
    <w:name w:val="Table bold"/>
    <w:basedOn w:val="Tabletext"/>
    <w:qFormat/>
    <w:rsid w:val="00D6604E"/>
    <w:rPr>
      <w:b/>
    </w:rPr>
  </w:style>
  <w:style w:type="character" w:styleId="Hyperlink">
    <w:name w:val="Hyperlink"/>
    <w:basedOn w:val="DefaultParagraphFont"/>
    <w:uiPriority w:val="99"/>
    <w:unhideWhenUsed/>
    <w:rsid w:val="00A1400D"/>
    <w:rPr>
      <w:color w:val="0563C1" w:themeColor="hyperlink"/>
      <w:u w:val="single"/>
    </w:rPr>
  </w:style>
  <w:style w:type="character" w:styleId="UnresolvedMention">
    <w:name w:val="Unresolved Mention"/>
    <w:basedOn w:val="DefaultParagraphFont"/>
    <w:uiPriority w:val="99"/>
    <w:semiHidden/>
    <w:unhideWhenUsed/>
    <w:rsid w:val="00A1400D"/>
    <w:rPr>
      <w:color w:val="605E5C"/>
      <w:shd w:val="clear" w:color="auto" w:fill="E1DFDD"/>
    </w:rPr>
  </w:style>
  <w:style w:type="character" w:styleId="FollowedHyperlink">
    <w:name w:val="FollowedHyperlink"/>
    <w:basedOn w:val="DefaultParagraphFont"/>
    <w:uiPriority w:val="99"/>
    <w:semiHidden/>
    <w:unhideWhenUsed/>
    <w:rsid w:val="005E39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 w:id="9915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isaimedicalinformation.com/-/media/Files/EisaiMedicalInformation/Neurology/Congress-Materials/AAIC-2025/Van-Dyck-OLE---2025-AAIC---28July2025rev2FINAL.pdf?hash=da827667-3b0b-484c-a3ca-6fc5ba00258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6c165d-1334-4e3d-ac4c-cda196070297" xsi:nil="true"/>
    <Application_x0020_type xmlns="54fb6eec-6680-4f37-8c19-bc565727b83c" xsi:nil="true"/>
    <lcf76f155ced4ddcb4097134ff3c332f xmlns="54fb6eec-6680-4f37-8c19-bc565727b8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14F842AFE02B44878DAEE4B27F961F" ma:contentTypeVersion="16" ma:contentTypeDescription="Create a new document." ma:contentTypeScope="" ma:versionID="8b73b0bc05e91b90ffe4deb95e1d5bae">
  <xsd:schema xmlns:xsd="http://www.w3.org/2001/XMLSchema" xmlns:xs="http://www.w3.org/2001/XMLSchema" xmlns:p="http://schemas.microsoft.com/office/2006/metadata/properties" xmlns:ns2="54fb6eec-6680-4f37-8c19-bc565727b83c" xmlns:ns3="5e6c165d-1334-4e3d-ac4c-cda196070297" targetNamespace="http://schemas.microsoft.com/office/2006/metadata/properties" ma:root="true" ma:fieldsID="d9f8de2df40d8d0c3c839f6283dfca19" ns2:_="" ns3:_="">
    <xsd:import namespace="54fb6eec-6680-4f37-8c19-bc565727b83c"/>
    <xsd:import namespace="5e6c165d-1334-4e3d-ac4c-cda196070297"/>
    <xsd:element name="properties">
      <xsd:complexType>
        <xsd:sequence>
          <xsd:element name="documentManagement">
            <xsd:complexType>
              <xsd:all>
                <xsd:element ref="ns2:Application_x0020_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6eec-6680-4f37-8c19-bc565727b83c" elementFormDefault="qualified">
    <xsd:import namespace="http://schemas.microsoft.com/office/2006/documentManagement/types"/>
    <xsd:import namespace="http://schemas.microsoft.com/office/infopath/2007/PartnerControls"/>
    <xsd:element name="Application_x0020_type" ma:index="8" nillable="true" ma:displayName="Application type" ma:internalName="Application_x0020_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c165d-1334-4e3d-ac4c-cda196070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ab29e77-610f-4ec0-969b-1efd31da693b}" ma:internalName="TaxCatchAll" ma:showField="CatchAllData" ma:web="5e6c165d-1334-4e3d-ac4c-cda196070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7691E-A2D0-4204-A31A-E6CC8F203665}">
  <ds:schemaRefs>
    <ds:schemaRef ds:uri="http://schemas.microsoft.com/sharepoint/v3/contenttype/forms"/>
  </ds:schemaRefs>
</ds:datastoreItem>
</file>

<file path=customXml/itemProps2.xml><?xml version="1.0" encoding="utf-8"?>
<ds:datastoreItem xmlns:ds="http://schemas.openxmlformats.org/officeDocument/2006/customXml" ds:itemID="{A5CD7A68-FE7E-4475-A068-D58518777BC8}">
  <ds:schemaRefs>
    <ds:schemaRef ds:uri="http://schemas.microsoft.com/office/2006/metadata/properties"/>
    <ds:schemaRef ds:uri="http://schemas.microsoft.com/office/infopath/2007/PartnerControls"/>
    <ds:schemaRef ds:uri="5e6c165d-1334-4e3d-ac4c-cda196070297"/>
    <ds:schemaRef ds:uri="54fb6eec-6680-4f37-8c19-bc565727b83c"/>
  </ds:schemaRefs>
</ds:datastoreItem>
</file>

<file path=customXml/itemProps3.xml><?xml version="1.0" encoding="utf-8"?>
<ds:datastoreItem xmlns:ds="http://schemas.openxmlformats.org/officeDocument/2006/customXml" ds:itemID="{85E894E7-6978-467B-8840-11305A50B437}">
  <ds:schemaRefs>
    <ds:schemaRef ds:uri="http://schemas.openxmlformats.org/officeDocument/2006/bibliography"/>
  </ds:schemaRefs>
</ds:datastoreItem>
</file>

<file path=customXml/itemProps4.xml><?xml version="1.0" encoding="utf-8"?>
<ds:datastoreItem xmlns:ds="http://schemas.openxmlformats.org/officeDocument/2006/customXml" ds:itemID="{A5067140-29D8-47A0-9F07-FE85074D7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6eec-6680-4f37-8c19-bc565727b83c"/>
    <ds:schemaRef ds:uri="5e6c165d-1334-4e3d-ac4c-cda196070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11027</Words>
  <Characters>63409</Characters>
  <Application>Microsoft Office Word</Application>
  <DocSecurity>0</DocSecurity>
  <Lines>1441</Lines>
  <Paragraphs>676</Paragraphs>
  <ScaleCrop>false</ScaleCrop>
  <Company/>
  <LinksUpToDate>false</LinksUpToDate>
  <CharactersWithSpaces>73760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PICO Set template</dc:title>
  <dc:subject/>
  <dc:creator/>
  <cp:keywords/>
  <dc:description/>
  <cp:lastModifiedBy/>
  <cp:revision>1</cp:revision>
  <dcterms:created xsi:type="dcterms:W3CDTF">2024-11-06T01:58:00Z</dcterms:created>
  <dcterms:modified xsi:type="dcterms:W3CDTF">2026-05-14T05:06:00Z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0x0101003314F842AFE02B44878DAEE4B27F961F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HPPTrimRecordId">
    <vt:lpwstr>D26-1474590</vt:lpwstr>
  </property>
  <property fmtid="{D5CDD505-2E9C-101B-9397-08002B2CF9AE}" pid="7" name="MediaServiceImageTags">
    <vt:lpwstr/>
  </property>
  <property fmtid="{D5CDD505-2E9C-101B-9397-08002B2CF9AE}" pid="8" name="TrimRecordURI">
    <vt:lpwstr>265816299</vt:lpwstr>
  </property>
  <property fmtid="{D5CDD505-2E9C-101B-9397-08002B2CF9AE}" pid="9" name="HPPTrimContainerId">
    <vt:lpwstr>E26-183727</vt:lpwstr>
  </property>
  <property fmtid="{D5CDD505-2E9C-101B-9397-08002B2CF9AE}" pid="10" name="HPPArchived">
    <vt:lpwstr>Archived</vt:lpwstr>
  </property>
  <property fmtid="{D5CDD505-2E9C-101B-9397-08002B2CF9AE}" pid="11" name="HPPTrimLink">
    <vt:lpwstr>https://auc-common-prd-app-as-trim.azurewebsites.net/Api/DownloadTrimFile/HPP/D26-1474590</vt:lpwstr>
  </property>
  <property fmtid="{D5CDD505-2E9C-101B-9397-08002B2CF9AE}" pid="12" name="docLang">
    <vt:lpwstr>en</vt:lpwstr>
  </property>
  <property fmtid="{D5CDD505-2E9C-101B-9397-08002B2CF9AE}" pid="13" name="ClassificationContentMarkingHeaderShapeIds">
    <vt:lpwstr>3d1f57e5,1a2ce3c,3b510f4a</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703d5367,3690ba1a,6ee7efce</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2026-05-14T04:54:33Z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9795ded1-0187-4134-9ab7-a154461a492b</vt:lpwstr>
  </property>
  <property fmtid="{D5CDD505-2E9C-101B-9397-08002B2CF9AE}" pid="25" name="MSIP_Label_7cd3e8b9-ffed-43a8-b7f4-cc2fa0382d36_ContentBits">
    <vt:lpwstr>3</vt:lpwstr>
  </property>
  <property fmtid="{D5CDD505-2E9C-101B-9397-08002B2CF9AE}" pid="26" name="MSIP_Label_7cd3e8b9-ffed-43a8-b7f4-cc2fa0382d36_Tag">
    <vt:lpwstr>10, 0, 1, 1</vt:lpwstr>
  </property>
</Properties>
</file>