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20EF" w14:textId="77777777" w:rsidR="000E53F6" w:rsidRPr="007E1AF7" w:rsidRDefault="000E53F6" w:rsidP="000E53F6">
      <w:pPr>
        <w:pStyle w:val="Title"/>
        <w:jc w:val="center"/>
        <w:rPr>
          <w:rFonts w:ascii="Segoe UI" w:hAnsi="Segoe UI" w:cs="Segoe UI"/>
          <w:b/>
          <w:bCs/>
        </w:rPr>
      </w:pPr>
    </w:p>
    <w:p w14:paraId="39E0D449" w14:textId="77777777" w:rsidR="000E53F6" w:rsidRPr="007E1AF7" w:rsidRDefault="000E53F6" w:rsidP="000E53F6">
      <w:pPr>
        <w:pStyle w:val="Title"/>
        <w:jc w:val="center"/>
        <w:rPr>
          <w:rFonts w:ascii="Segoe UI" w:hAnsi="Segoe UI" w:cs="Segoe UI"/>
          <w:b/>
          <w:bCs/>
        </w:rPr>
      </w:pPr>
    </w:p>
    <w:p w14:paraId="3654A3D4" w14:textId="296C46B2" w:rsidR="000E1074" w:rsidRPr="007E1AF7" w:rsidRDefault="000E1074" w:rsidP="000E53F6">
      <w:pPr>
        <w:pStyle w:val="Title"/>
        <w:jc w:val="center"/>
        <w:rPr>
          <w:rFonts w:ascii="Segoe UI" w:hAnsi="Segoe UI" w:cs="Segoe UI"/>
          <w:b/>
          <w:bCs/>
        </w:rPr>
      </w:pPr>
      <w:r w:rsidRPr="007E1AF7">
        <w:rPr>
          <w:rFonts w:ascii="Segoe UI" w:hAnsi="Segoe UI" w:cs="Segoe UI"/>
          <w:b/>
          <w:bCs/>
        </w:rPr>
        <w:t>MSAC Application</w:t>
      </w:r>
    </w:p>
    <w:p w14:paraId="681DC25F" w14:textId="626EDBBB" w:rsidR="000E1074" w:rsidRPr="007E1AF7" w:rsidRDefault="00324A8D" w:rsidP="000E53F6">
      <w:pPr>
        <w:spacing w:before="240"/>
        <w:jc w:val="center"/>
        <w:rPr>
          <w:rFonts w:eastAsia="Segoe UI"/>
          <w:i/>
          <w:iCs/>
          <w:color w:val="538135" w:themeColor="accent6" w:themeShade="BF"/>
        </w:rPr>
      </w:pPr>
      <w:r>
        <w:rPr>
          <w:rStyle w:val="SubtitleChar"/>
          <w:rFonts w:ascii="Segoe UI" w:hAnsi="Segoe UI" w:cs="Segoe UI"/>
          <w:b/>
          <w:bCs/>
          <w:color w:val="002060"/>
          <w:sz w:val="48"/>
          <w:szCs w:val="48"/>
        </w:rPr>
        <w:t>Lisocabtagene maraleucel (Breyanzi</w:t>
      </w:r>
      <w:r w:rsidRPr="00A77328">
        <w:rPr>
          <w:rStyle w:val="SubtitleChar"/>
          <w:rFonts w:ascii="Segoe UI" w:hAnsi="Segoe UI" w:cs="Segoe UI"/>
          <w:b/>
          <w:bCs/>
          <w:color w:val="002060"/>
          <w:sz w:val="48"/>
          <w:szCs w:val="48"/>
          <w:vertAlign w:val="superscript"/>
        </w:rPr>
        <w:t>®</w:t>
      </w:r>
      <w:r>
        <w:rPr>
          <w:rStyle w:val="SubtitleChar"/>
          <w:rFonts w:ascii="Segoe UI" w:hAnsi="Segoe UI" w:cs="Segoe UI"/>
          <w:b/>
          <w:bCs/>
          <w:color w:val="002060"/>
          <w:sz w:val="48"/>
          <w:szCs w:val="48"/>
        </w:rPr>
        <w:t xml:space="preserve">) for treatment of relapsed or refractory </w:t>
      </w:r>
      <w:r w:rsidR="00656DC2">
        <w:rPr>
          <w:rStyle w:val="SubtitleChar"/>
          <w:rFonts w:ascii="Segoe UI" w:hAnsi="Segoe UI" w:cs="Segoe UI"/>
          <w:b/>
          <w:bCs/>
          <w:color w:val="002060"/>
          <w:sz w:val="48"/>
          <w:szCs w:val="48"/>
        </w:rPr>
        <w:t>large B-cell lymphoma (R/R LBCL) in the second-line (2L) setting</w:t>
      </w:r>
      <w:r w:rsidR="000E1074" w:rsidRPr="007E1AF7">
        <w:rPr>
          <w:color w:val="0070C0"/>
        </w:rPr>
        <w:br/>
      </w:r>
    </w:p>
    <w:p w14:paraId="29D21DD9" w14:textId="77777777" w:rsidR="000E53F6" w:rsidRPr="007E1AF7" w:rsidRDefault="000E53F6" w:rsidP="006050A6">
      <w:pPr>
        <w:pStyle w:val="Subtitle"/>
        <w:rPr>
          <w:rFonts w:ascii="Segoe UI" w:hAnsi="Segoe UI" w:cs="Segoe UI"/>
          <w:b/>
          <w:bCs/>
          <w:color w:val="002060"/>
          <w:sz w:val="24"/>
          <w:szCs w:val="24"/>
        </w:rPr>
      </w:pPr>
    </w:p>
    <w:p w14:paraId="189ADB0F" w14:textId="511EDBE6" w:rsidR="000B2661" w:rsidRPr="00597818" w:rsidRDefault="000E1074" w:rsidP="00597818">
      <w:pPr>
        <w:pStyle w:val="Subtitle"/>
        <w:jc w:val="center"/>
        <w:rPr>
          <w:rFonts w:ascii="Segoe UI" w:hAnsi="Segoe UI" w:cs="Segoe UI"/>
          <w:b/>
          <w:bCs/>
          <w:color w:val="002060"/>
          <w:sz w:val="48"/>
          <w:szCs w:val="48"/>
        </w:rPr>
      </w:pPr>
      <w:r w:rsidRPr="007E1AF7">
        <w:rPr>
          <w:rFonts w:ascii="Segoe UI" w:hAnsi="Segoe UI" w:cs="Segoe UI"/>
          <w:b/>
          <w:bCs/>
          <w:color w:val="002060"/>
          <w:sz w:val="48"/>
          <w:szCs w:val="48"/>
        </w:rPr>
        <w:t xml:space="preserve">PICO Set </w:t>
      </w:r>
      <w:r w:rsidR="00656DC2">
        <w:rPr>
          <w:rFonts w:ascii="Segoe UI" w:hAnsi="Segoe UI" w:cs="Segoe UI"/>
          <w:b/>
          <w:bCs/>
          <w:color w:val="002060"/>
          <w:sz w:val="48"/>
          <w:szCs w:val="48"/>
        </w:rPr>
        <w:t>1</w:t>
      </w:r>
      <w:r w:rsidR="002735E8">
        <w:rPr>
          <w:rFonts w:ascii="Segoe UI" w:hAnsi="Segoe UI" w:cs="Segoe UI"/>
          <w:b/>
          <w:bCs/>
          <w:color w:val="002060"/>
          <w:sz w:val="48"/>
          <w:szCs w:val="48"/>
        </w:rPr>
        <w:t xml:space="preserve"> of </w:t>
      </w:r>
      <w:r w:rsidR="00EA3380">
        <w:rPr>
          <w:rFonts w:ascii="Segoe UI" w:hAnsi="Segoe UI" w:cs="Segoe UI"/>
          <w:b/>
          <w:bCs/>
          <w:color w:val="002060"/>
          <w:sz w:val="48"/>
          <w:szCs w:val="48"/>
        </w:rPr>
        <w:t>2</w:t>
      </w:r>
      <w:r w:rsidR="000B2661">
        <w:rPr>
          <w:color w:val="002060"/>
        </w:rPr>
        <w:br w:type="page"/>
      </w:r>
    </w:p>
    <w:p w14:paraId="5BEAFFDE" w14:textId="685ED193" w:rsidR="00051843" w:rsidRPr="007E1AF7" w:rsidRDefault="00051843" w:rsidP="004F12A9">
      <w:pPr>
        <w:pStyle w:val="Heading1"/>
        <w:rPr>
          <w:color w:val="002060"/>
        </w:rPr>
      </w:pPr>
      <w:r w:rsidRPr="007E1AF7">
        <w:rPr>
          <w:color w:val="002060"/>
        </w:rPr>
        <w:lastRenderedPageBreak/>
        <w:t>Population</w:t>
      </w:r>
    </w:p>
    <w:p w14:paraId="403BD183" w14:textId="7F82E8DB" w:rsidR="00051843" w:rsidRPr="009C12B4" w:rsidRDefault="00051843" w:rsidP="009C12B4">
      <w:pPr>
        <w:rPr>
          <w:b/>
          <w:bCs/>
          <w:sz w:val="24"/>
          <w:szCs w:val="24"/>
        </w:rPr>
      </w:pPr>
      <w:r w:rsidRPr="009C12B4">
        <w:rPr>
          <w:b/>
          <w:bCs/>
          <w:sz w:val="24"/>
          <w:szCs w:val="24"/>
        </w:rPr>
        <w:t>Describe the population in which the proposed health technology is intended to be used:</w:t>
      </w:r>
    </w:p>
    <w:p w14:paraId="152052FF" w14:textId="60C3C086" w:rsidR="00656DC2" w:rsidRDefault="002F4950" w:rsidP="002F4950">
      <w:pPr>
        <w:spacing w:after="0"/>
        <w:rPr>
          <w:rFonts w:asciiTheme="minorHAnsi" w:eastAsia="Times New Roman" w:hAnsiTheme="minorHAnsi" w:cs="Calibri"/>
          <w:color w:val="000000"/>
        </w:rPr>
      </w:pPr>
      <w:r w:rsidRPr="00415479">
        <w:rPr>
          <w:rFonts w:eastAsia="Times New Roman"/>
        </w:rPr>
        <w:t>Patients with confirmed relapsed/refractory large B-cell lymphoma (LBCL)</w:t>
      </w:r>
      <w:r>
        <w:rPr>
          <w:rFonts w:asciiTheme="minorHAnsi" w:eastAsia="Times New Roman" w:hAnsiTheme="minorHAnsi" w:cs="Calibri"/>
          <w:color w:val="000000"/>
        </w:rPr>
        <w:t>.</w:t>
      </w:r>
    </w:p>
    <w:p w14:paraId="46E83F0F" w14:textId="77777777" w:rsidR="002F4950" w:rsidRDefault="002F4950" w:rsidP="009C12B4">
      <w:pPr>
        <w:rPr>
          <w:sz w:val="24"/>
          <w:szCs w:val="24"/>
        </w:rPr>
      </w:pPr>
    </w:p>
    <w:p w14:paraId="7B7089F3" w14:textId="642A5413" w:rsidR="00051843" w:rsidRPr="009C12B4" w:rsidRDefault="00051843" w:rsidP="009C12B4">
      <w:pPr>
        <w:rPr>
          <w:b/>
          <w:bCs/>
          <w:sz w:val="24"/>
          <w:szCs w:val="24"/>
        </w:rPr>
      </w:pPr>
      <w:r w:rsidRPr="009C12B4">
        <w:rPr>
          <w:b/>
          <w:bCs/>
          <w:sz w:val="24"/>
          <w:szCs w:val="24"/>
        </w:rPr>
        <w:t>Specify any characteristics of patients with the medical condition, or suspected of, who are proposed to be eligible for the proposed health technology, describing how a patient would be investigated, managed and referred within the Australian health care system in the lead up to being considered eligible for the technology:</w:t>
      </w:r>
    </w:p>
    <w:p w14:paraId="38292CB3" w14:textId="0392CF93" w:rsidR="000B37E1" w:rsidRDefault="000A6750" w:rsidP="001E1797">
      <w:pPr>
        <w:rPr>
          <w:sz w:val="24"/>
          <w:szCs w:val="24"/>
        </w:rPr>
      </w:pPr>
      <w:r>
        <w:rPr>
          <w:sz w:val="24"/>
          <w:szCs w:val="24"/>
        </w:rPr>
        <w:t xml:space="preserve">It is proposed that lisocabtagene maraleucel be funded for the treatment of patients with </w:t>
      </w:r>
      <w:r w:rsidR="00C86BA6">
        <w:rPr>
          <w:sz w:val="24"/>
          <w:szCs w:val="24"/>
        </w:rPr>
        <w:t>large B-cell lymphoma in the second-line setting</w:t>
      </w:r>
      <w:r w:rsidR="00CE0B55">
        <w:rPr>
          <w:sz w:val="24"/>
          <w:szCs w:val="24"/>
        </w:rPr>
        <w:t>. Specifically, this includes</w:t>
      </w:r>
      <w:r w:rsidR="00C86BA6">
        <w:rPr>
          <w:sz w:val="24"/>
          <w:szCs w:val="24"/>
        </w:rPr>
        <w:t>:</w:t>
      </w:r>
    </w:p>
    <w:p w14:paraId="4421476C"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Diffuse Large B-Cell Lymphoma (DLBCL, not otherwise specified)</w:t>
      </w:r>
    </w:p>
    <w:p w14:paraId="4BBDD4E6"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DLBCL (transformed from FL, CLL, MZL, or other)</w:t>
      </w:r>
    </w:p>
    <w:p w14:paraId="4C9D4D27"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High-Grade B-Cell Lymphoma (HGBCL, double/triple hit)</w:t>
      </w:r>
    </w:p>
    <w:p w14:paraId="49A5A397"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Primary Mediastinal B-Cell Lymphoma (PMBCL)</w:t>
      </w:r>
    </w:p>
    <w:p w14:paraId="7281AA33"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Follicular Lymphoma Grade 3B (FL3B)</w:t>
      </w:r>
    </w:p>
    <w:p w14:paraId="418D63AA" w14:textId="7A8EA74C" w:rsidR="00225BF1" w:rsidRDefault="00E12E66" w:rsidP="001E1797">
      <w:pPr>
        <w:rPr>
          <w:sz w:val="24"/>
          <w:szCs w:val="24"/>
        </w:rPr>
      </w:pPr>
      <w:r>
        <w:rPr>
          <w:sz w:val="24"/>
          <w:szCs w:val="24"/>
        </w:rPr>
        <w:t>The treatment pathway for patients with LBCL is well-described in Cancer Australia’s optimal care pathway</w:t>
      </w:r>
      <w:r w:rsidR="00BE528C">
        <w:rPr>
          <w:sz w:val="24"/>
          <w:szCs w:val="24"/>
        </w:rPr>
        <w:t xml:space="preserve"> (</w:t>
      </w:r>
      <w:hyperlink r:id="rId8" w:history="1">
        <w:r w:rsidR="00BE528C" w:rsidRPr="00BE528C">
          <w:rPr>
            <w:rStyle w:val="Hyperlink"/>
            <w:sz w:val="24"/>
            <w:szCs w:val="24"/>
          </w:rPr>
          <w:t>Cancer Australia, 2021</w:t>
        </w:r>
      </w:hyperlink>
      <w:r w:rsidR="00BE528C">
        <w:rPr>
          <w:sz w:val="24"/>
          <w:szCs w:val="24"/>
        </w:rPr>
        <w:t>)</w:t>
      </w:r>
      <w:r w:rsidR="00F72AD1">
        <w:rPr>
          <w:sz w:val="24"/>
          <w:szCs w:val="24"/>
        </w:rPr>
        <w:t>.</w:t>
      </w:r>
    </w:p>
    <w:p w14:paraId="6C1A2FDB" w14:textId="77777777" w:rsidR="00FE3E16" w:rsidRDefault="00CE37E6" w:rsidP="00E754E3">
      <w:pPr>
        <w:rPr>
          <w:sz w:val="24"/>
          <w:szCs w:val="24"/>
        </w:rPr>
      </w:pPr>
      <w:r w:rsidRPr="00DC0C79">
        <w:rPr>
          <w:sz w:val="24"/>
          <w:szCs w:val="24"/>
        </w:rPr>
        <w:t xml:space="preserve">Patients </w:t>
      </w:r>
      <w:r w:rsidR="00F06DD1" w:rsidRPr="00DC0C79">
        <w:rPr>
          <w:sz w:val="24"/>
          <w:szCs w:val="24"/>
        </w:rPr>
        <w:t>may present</w:t>
      </w:r>
      <w:r w:rsidR="00F06DD1">
        <w:rPr>
          <w:sz w:val="24"/>
          <w:szCs w:val="24"/>
        </w:rPr>
        <w:t xml:space="preserve"> with an abnormal lump or mass, </w:t>
      </w:r>
      <w:r w:rsidR="00F06DD1" w:rsidRPr="00F06DD1">
        <w:rPr>
          <w:sz w:val="24"/>
          <w:szCs w:val="24"/>
        </w:rPr>
        <w:t>lymphadenopathy</w:t>
      </w:r>
      <w:r w:rsidR="00E754E3">
        <w:rPr>
          <w:sz w:val="24"/>
          <w:szCs w:val="24"/>
        </w:rPr>
        <w:t xml:space="preserve">, or </w:t>
      </w:r>
      <w:r w:rsidR="00E754E3" w:rsidRPr="00E754E3">
        <w:rPr>
          <w:sz w:val="24"/>
          <w:szCs w:val="24"/>
        </w:rPr>
        <w:t>persistent unexplained fever,</w:t>
      </w:r>
      <w:r w:rsidR="008628D8">
        <w:rPr>
          <w:sz w:val="24"/>
          <w:szCs w:val="24"/>
        </w:rPr>
        <w:t xml:space="preserve"> </w:t>
      </w:r>
      <w:r w:rsidR="00E754E3" w:rsidRPr="00E754E3">
        <w:rPr>
          <w:sz w:val="24"/>
          <w:szCs w:val="24"/>
        </w:rPr>
        <w:t>drenching sweats, unintentional</w:t>
      </w:r>
      <w:r w:rsidR="008628D8">
        <w:rPr>
          <w:sz w:val="24"/>
          <w:szCs w:val="24"/>
        </w:rPr>
        <w:t xml:space="preserve"> </w:t>
      </w:r>
      <w:r w:rsidR="00E754E3" w:rsidRPr="00E754E3">
        <w:rPr>
          <w:sz w:val="24"/>
          <w:szCs w:val="24"/>
        </w:rPr>
        <w:t>weight loss, persistent severe itch</w:t>
      </w:r>
      <w:r w:rsidR="00B42FEC">
        <w:rPr>
          <w:sz w:val="24"/>
          <w:szCs w:val="24"/>
        </w:rPr>
        <w:t xml:space="preserve"> </w:t>
      </w:r>
      <w:r w:rsidR="00E754E3" w:rsidRPr="00E754E3">
        <w:rPr>
          <w:sz w:val="24"/>
          <w:szCs w:val="24"/>
        </w:rPr>
        <w:t>and frequent infections.</w:t>
      </w:r>
      <w:r w:rsidR="00B42FEC">
        <w:rPr>
          <w:sz w:val="24"/>
          <w:szCs w:val="24"/>
        </w:rPr>
        <w:t xml:space="preserve"> </w:t>
      </w:r>
    </w:p>
    <w:p w14:paraId="22FF2FFD" w14:textId="70F96C05" w:rsidR="00DB449C" w:rsidRDefault="00B42FEC" w:rsidP="00E754E3">
      <w:pPr>
        <w:rPr>
          <w:sz w:val="24"/>
          <w:szCs w:val="24"/>
        </w:rPr>
      </w:pPr>
      <w:r>
        <w:rPr>
          <w:sz w:val="24"/>
          <w:szCs w:val="24"/>
        </w:rPr>
        <w:t xml:space="preserve">Upon </w:t>
      </w:r>
      <w:r w:rsidR="00245BBD">
        <w:rPr>
          <w:sz w:val="24"/>
          <w:szCs w:val="24"/>
        </w:rPr>
        <w:t>recognition</w:t>
      </w:r>
      <w:r w:rsidR="00FE3E16">
        <w:rPr>
          <w:sz w:val="24"/>
          <w:szCs w:val="24"/>
        </w:rPr>
        <w:t xml:space="preserve"> of such symptoms, </w:t>
      </w:r>
      <w:r w:rsidR="00245BBD">
        <w:rPr>
          <w:sz w:val="24"/>
          <w:szCs w:val="24"/>
        </w:rPr>
        <w:t xml:space="preserve">appropriate </w:t>
      </w:r>
      <w:r w:rsidR="00FE3E16">
        <w:rPr>
          <w:sz w:val="24"/>
          <w:szCs w:val="24"/>
        </w:rPr>
        <w:t>investigations includ</w:t>
      </w:r>
      <w:r w:rsidR="00245BBD">
        <w:rPr>
          <w:sz w:val="24"/>
          <w:szCs w:val="24"/>
        </w:rPr>
        <w:t>e</w:t>
      </w:r>
      <w:r w:rsidR="00FE3E16">
        <w:rPr>
          <w:sz w:val="24"/>
          <w:szCs w:val="24"/>
        </w:rPr>
        <w:t>:</w:t>
      </w:r>
    </w:p>
    <w:p w14:paraId="51A3E8C6" w14:textId="77777777"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full blood examination</w:t>
      </w:r>
    </w:p>
    <w:p w14:paraId="235CE094" w14:textId="77777777"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imaging of the affected areas using ultrasound, x-ray and CT, as appropriate</w:t>
      </w:r>
    </w:p>
    <w:p w14:paraId="5BD384CF" w14:textId="77777777"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biopsy, as appropriate</w:t>
      </w:r>
    </w:p>
    <w:p w14:paraId="7AA0374A" w14:textId="08706B5D"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a period of observation of up to 4 weeks for patients without significant or progressive symptoms.</w:t>
      </w:r>
    </w:p>
    <w:p w14:paraId="2308DF71" w14:textId="4B40F7E4" w:rsidR="00DB449C" w:rsidRDefault="00DE6314" w:rsidP="001E1797">
      <w:pPr>
        <w:rPr>
          <w:sz w:val="24"/>
          <w:szCs w:val="24"/>
        </w:rPr>
      </w:pPr>
      <w:r>
        <w:rPr>
          <w:sz w:val="24"/>
          <w:szCs w:val="24"/>
        </w:rPr>
        <w:t xml:space="preserve">If malignancy is suspected, </w:t>
      </w:r>
      <w:r w:rsidR="00245BBD">
        <w:rPr>
          <w:sz w:val="24"/>
          <w:szCs w:val="24"/>
        </w:rPr>
        <w:t xml:space="preserve">patients are referred to an oncologist </w:t>
      </w:r>
      <w:r>
        <w:rPr>
          <w:sz w:val="24"/>
          <w:szCs w:val="24"/>
        </w:rPr>
        <w:t>for diagnosis, staging and treatment planning.</w:t>
      </w:r>
    </w:p>
    <w:p w14:paraId="4BF34C00" w14:textId="77777777" w:rsidR="00DE6314" w:rsidRDefault="00DE6314" w:rsidP="001E1797">
      <w:pPr>
        <w:rPr>
          <w:sz w:val="24"/>
          <w:szCs w:val="24"/>
        </w:rPr>
      </w:pPr>
    </w:p>
    <w:p w14:paraId="0EB432EF" w14:textId="5FCC0EB1" w:rsidR="00051843" w:rsidRPr="009C12B4" w:rsidRDefault="00051843" w:rsidP="009C12B4">
      <w:pPr>
        <w:rPr>
          <w:b/>
          <w:bCs/>
          <w:sz w:val="24"/>
          <w:szCs w:val="24"/>
        </w:rPr>
      </w:pPr>
      <w:r w:rsidRPr="009C12B4">
        <w:rPr>
          <w:b/>
          <w:bCs/>
          <w:sz w:val="24"/>
          <w:szCs w:val="24"/>
        </w:rPr>
        <w:t>P</w:t>
      </w:r>
      <w:r w:rsidR="001E1797" w:rsidRPr="009C12B4">
        <w:rPr>
          <w:b/>
          <w:bCs/>
          <w:sz w:val="24"/>
          <w:szCs w:val="24"/>
        </w:rPr>
        <w:t>r</w:t>
      </w:r>
      <w:r w:rsidRPr="009C12B4">
        <w:rPr>
          <w:b/>
          <w:bCs/>
          <w:sz w:val="24"/>
          <w:szCs w:val="24"/>
        </w:rPr>
        <w:t>ovide a rationale for the specifics of the eligible population:</w:t>
      </w:r>
    </w:p>
    <w:p w14:paraId="3212AD7A" w14:textId="67751B66" w:rsidR="00051843" w:rsidRPr="00F62957" w:rsidRDefault="003A4A2F" w:rsidP="001E1797">
      <w:pPr>
        <w:rPr>
          <w:sz w:val="24"/>
          <w:szCs w:val="24"/>
        </w:rPr>
      </w:pPr>
      <w:r>
        <w:rPr>
          <w:sz w:val="24"/>
          <w:szCs w:val="24"/>
        </w:rPr>
        <w:t xml:space="preserve">The proposed population is aligned to the existing eligibility criteria for axicabtagene </w:t>
      </w:r>
      <w:r w:rsidR="00BC07F3" w:rsidRPr="00F62957">
        <w:rPr>
          <w:sz w:val="24"/>
          <w:szCs w:val="24"/>
        </w:rPr>
        <w:t>ciloleucel in the 2L LBCL setting (per MSAC recommendation 1722.1, April 2024). This population is also aligned to the clinical trial population from TRANSFORM</w:t>
      </w:r>
      <w:r w:rsidR="00451A72">
        <w:rPr>
          <w:sz w:val="24"/>
          <w:szCs w:val="24"/>
        </w:rPr>
        <w:t xml:space="preserve"> </w:t>
      </w:r>
      <w:r w:rsidR="00451A72" w:rsidRPr="00451A72">
        <w:rPr>
          <w:sz w:val="24"/>
          <w:szCs w:val="24"/>
        </w:rPr>
        <w:t>(NCT03483103)</w:t>
      </w:r>
      <w:r w:rsidR="00BC07F3" w:rsidRPr="00F62957">
        <w:rPr>
          <w:sz w:val="24"/>
          <w:szCs w:val="24"/>
        </w:rPr>
        <w:t>, the pivotal trial upon which regulatory approval is based.</w:t>
      </w:r>
    </w:p>
    <w:p w14:paraId="730114B1" w14:textId="17224D17" w:rsidR="00280050" w:rsidRPr="007E1AF7" w:rsidRDefault="00051843" w:rsidP="00597818">
      <w:pPr>
        <w:pStyle w:val="Heading1"/>
        <w:keepNext/>
        <w:keepLines/>
        <w:rPr>
          <w:color w:val="002060"/>
        </w:rPr>
      </w:pPr>
      <w:r w:rsidRPr="007E1AF7">
        <w:rPr>
          <w:color w:val="002060"/>
        </w:rPr>
        <w:lastRenderedPageBreak/>
        <w:t>Intervention</w:t>
      </w:r>
    </w:p>
    <w:p w14:paraId="4EE4D8C5" w14:textId="54FB192F" w:rsidR="00665487" w:rsidRPr="009C12B4" w:rsidRDefault="00665487" w:rsidP="00597818">
      <w:pPr>
        <w:keepNext/>
        <w:keepLines/>
        <w:rPr>
          <w:b/>
          <w:bCs/>
          <w:sz w:val="24"/>
          <w:szCs w:val="24"/>
        </w:rPr>
      </w:pPr>
      <w:r w:rsidRPr="009C12B4">
        <w:rPr>
          <w:b/>
          <w:bCs/>
          <w:sz w:val="24"/>
          <w:szCs w:val="24"/>
        </w:rPr>
        <w:t>Name of the proposed health technology:</w:t>
      </w:r>
    </w:p>
    <w:p w14:paraId="4C69C539" w14:textId="3569D4CB" w:rsidR="00D63C85" w:rsidRPr="00D63C85" w:rsidRDefault="00D63C85" w:rsidP="00597818">
      <w:pPr>
        <w:keepNext/>
        <w:keepLines/>
        <w:rPr>
          <w:sz w:val="24"/>
          <w:szCs w:val="24"/>
        </w:rPr>
      </w:pPr>
      <w:r>
        <w:rPr>
          <w:sz w:val="24"/>
          <w:szCs w:val="24"/>
        </w:rPr>
        <w:t xml:space="preserve">Lisocabtagene </w:t>
      </w:r>
      <w:r w:rsidRPr="00D63C85">
        <w:rPr>
          <w:sz w:val="24"/>
          <w:szCs w:val="24"/>
        </w:rPr>
        <w:t>maraleucel (Breyanzi</w:t>
      </w:r>
      <w:r w:rsidRPr="00D63C85">
        <w:rPr>
          <w:sz w:val="24"/>
          <w:szCs w:val="24"/>
          <w:vertAlign w:val="superscript"/>
        </w:rPr>
        <w:t>®</w:t>
      </w:r>
      <w:r w:rsidRPr="00D63C85">
        <w:rPr>
          <w:sz w:val="24"/>
          <w:szCs w:val="24"/>
        </w:rPr>
        <w:t>)</w:t>
      </w:r>
      <w:r w:rsidR="00CE0B55">
        <w:rPr>
          <w:sz w:val="24"/>
          <w:szCs w:val="24"/>
        </w:rPr>
        <w:t>.</w:t>
      </w:r>
    </w:p>
    <w:p w14:paraId="2ED45230" w14:textId="77777777" w:rsidR="00D63C85" w:rsidRDefault="00D63C85" w:rsidP="009C12B4">
      <w:pPr>
        <w:rPr>
          <w:b/>
          <w:bCs/>
          <w:sz w:val="24"/>
          <w:szCs w:val="24"/>
        </w:rPr>
      </w:pPr>
    </w:p>
    <w:p w14:paraId="61D4A875" w14:textId="10BFF2DA" w:rsidR="00BE6B22" w:rsidRDefault="00665487" w:rsidP="009C12B4">
      <w:pPr>
        <w:rPr>
          <w:b/>
          <w:bCs/>
          <w:sz w:val="24"/>
          <w:szCs w:val="24"/>
        </w:rPr>
      </w:pPr>
      <w:r w:rsidRPr="009C12B4">
        <w:rPr>
          <w:b/>
          <w:bCs/>
          <w:sz w:val="24"/>
          <w:szCs w:val="24"/>
        </w:rPr>
        <w:t>Describe the key components and clinical steps involved in delivering the proposed health technology</w:t>
      </w:r>
      <w:r w:rsidR="00BE6B22" w:rsidRPr="009C12B4">
        <w:rPr>
          <w:b/>
          <w:bCs/>
          <w:sz w:val="24"/>
          <w:szCs w:val="24"/>
        </w:rPr>
        <w:t>:</w:t>
      </w:r>
    </w:p>
    <w:p w14:paraId="6398CC02" w14:textId="47ADF716" w:rsidR="002735E8" w:rsidRPr="00363728" w:rsidRDefault="002735E8" w:rsidP="0048714A">
      <w:pPr>
        <w:rPr>
          <w:sz w:val="24"/>
          <w:szCs w:val="24"/>
        </w:rPr>
      </w:pPr>
      <w:r w:rsidRPr="00363728">
        <w:rPr>
          <w:sz w:val="24"/>
          <w:szCs w:val="24"/>
        </w:rPr>
        <w:t>Lisocabtagene maraleucel is chimeric antigen receptor T-cell (CAR-T) therapy.</w:t>
      </w:r>
    </w:p>
    <w:p w14:paraId="4E45A7B6" w14:textId="5527669F" w:rsidR="0048714A" w:rsidRPr="00363728" w:rsidRDefault="0048714A" w:rsidP="0048714A">
      <w:pPr>
        <w:rPr>
          <w:rFonts w:cstheme="minorHAnsi"/>
          <w:sz w:val="24"/>
          <w:szCs w:val="24"/>
        </w:rPr>
      </w:pPr>
      <w:r w:rsidRPr="00363728">
        <w:rPr>
          <w:rFonts w:cstheme="minorHAnsi"/>
          <w:sz w:val="24"/>
          <w:szCs w:val="24"/>
        </w:rPr>
        <w:t>CAR-T therapy is an immunocellular therapy that is individualised to each patient. It involves the leukapheresis of autologous T-cells from a blood sample taken from a patient. The T-cells are then genetically modified via transduction of a viral vector into T-cell DNA (creating a CAR-T). Following transduction, CAR-T cells are expanded to a therapeutic dose, formulated, and cryopreserved. The manufactured CAR-T cells are primed to target antigens on tumours and destroy cancer cells after reinfusion into the patient.</w:t>
      </w:r>
    </w:p>
    <w:p w14:paraId="613FC170" w14:textId="77777777" w:rsidR="0048714A" w:rsidRPr="00363728" w:rsidRDefault="0048714A" w:rsidP="0048714A">
      <w:pPr>
        <w:rPr>
          <w:rFonts w:cstheme="minorHAnsi"/>
          <w:sz w:val="24"/>
          <w:szCs w:val="24"/>
        </w:rPr>
      </w:pPr>
      <w:r w:rsidRPr="00363728">
        <w:rPr>
          <w:rFonts w:cstheme="minorHAnsi"/>
          <w:sz w:val="24"/>
          <w:szCs w:val="24"/>
        </w:rPr>
        <w:t xml:space="preserve">An overview of the CAR-T process is summarised in </w:t>
      </w:r>
      <w:r w:rsidRPr="00363728">
        <w:rPr>
          <w:rFonts w:cstheme="minorHAnsi"/>
          <w:sz w:val="24"/>
          <w:szCs w:val="24"/>
        </w:rPr>
        <w:fldChar w:fldCharType="begin"/>
      </w:r>
      <w:r w:rsidRPr="00363728">
        <w:rPr>
          <w:rFonts w:cstheme="minorHAnsi"/>
          <w:sz w:val="24"/>
          <w:szCs w:val="24"/>
        </w:rPr>
        <w:instrText xml:space="preserve"> REF _Ref32496545 \h  \* MERGEFORMAT </w:instrText>
      </w:r>
      <w:r w:rsidRPr="00363728">
        <w:rPr>
          <w:rFonts w:cstheme="minorHAnsi"/>
          <w:sz w:val="24"/>
          <w:szCs w:val="24"/>
        </w:rPr>
      </w:r>
      <w:r w:rsidRPr="00363728">
        <w:rPr>
          <w:rFonts w:cstheme="minorHAnsi"/>
          <w:sz w:val="24"/>
          <w:szCs w:val="24"/>
        </w:rPr>
        <w:fldChar w:fldCharType="separate"/>
      </w:r>
      <w:r w:rsidRPr="00363728">
        <w:rPr>
          <w:rFonts w:cstheme="minorHAnsi"/>
          <w:sz w:val="24"/>
          <w:szCs w:val="24"/>
        </w:rPr>
        <w:t xml:space="preserve">Figure </w:t>
      </w:r>
      <w:r w:rsidRPr="00363728">
        <w:rPr>
          <w:rFonts w:cstheme="minorHAnsi"/>
          <w:noProof/>
          <w:sz w:val="24"/>
          <w:szCs w:val="24"/>
        </w:rPr>
        <w:t>1</w:t>
      </w:r>
      <w:r w:rsidRPr="00363728">
        <w:rPr>
          <w:rFonts w:cstheme="minorHAnsi"/>
          <w:sz w:val="24"/>
          <w:szCs w:val="24"/>
        </w:rPr>
        <w:fldChar w:fldCharType="end"/>
      </w:r>
      <w:r w:rsidRPr="00363728">
        <w:rPr>
          <w:rFonts w:cstheme="minorHAnsi"/>
          <w:sz w:val="24"/>
          <w:szCs w:val="24"/>
        </w:rPr>
        <w:t>.</w:t>
      </w:r>
    </w:p>
    <w:p w14:paraId="65ECDB19" w14:textId="4CEB76CC" w:rsidR="0048714A" w:rsidRPr="00E65364" w:rsidRDefault="0048714A" w:rsidP="0048714A">
      <w:pPr>
        <w:pStyle w:val="Caption"/>
        <w:rPr>
          <w:rFonts w:cstheme="minorHAnsi"/>
          <w:color w:val="0070C0"/>
        </w:rPr>
      </w:pPr>
      <w:bookmarkStart w:id="0" w:name="_Ref32496545"/>
      <w:r w:rsidRPr="00E65364">
        <w:t xml:space="preserve">Figure </w:t>
      </w:r>
      <w:r>
        <w:fldChar w:fldCharType="begin"/>
      </w:r>
      <w:r>
        <w:instrText>SEQ Figure \* ARABIC</w:instrText>
      </w:r>
      <w:r>
        <w:fldChar w:fldCharType="separate"/>
      </w:r>
      <w:r w:rsidR="008F1A01">
        <w:rPr>
          <w:noProof/>
        </w:rPr>
        <w:t>1</w:t>
      </w:r>
      <w:r>
        <w:fldChar w:fldCharType="end"/>
      </w:r>
      <w:bookmarkEnd w:id="0"/>
      <w:r w:rsidRPr="00E65364">
        <w:t>: CAR-T process</w:t>
      </w:r>
    </w:p>
    <w:p w14:paraId="4A9E401F" w14:textId="77777777" w:rsidR="0048714A" w:rsidRPr="00E65364" w:rsidRDefault="0048714A" w:rsidP="0048714A">
      <w:pPr>
        <w:spacing w:after="0"/>
        <w:rPr>
          <w:rFonts w:cstheme="minorHAnsi"/>
          <w:color w:val="0070C0"/>
        </w:rPr>
      </w:pPr>
      <w:r w:rsidRPr="00E65364">
        <w:rPr>
          <w:rFonts w:cstheme="minorHAnsi"/>
          <w:noProof/>
          <w:color w:val="0070C0"/>
          <w:lang w:eastAsia="en-AU"/>
        </w:rPr>
        <w:drawing>
          <wp:inline distT="0" distB="0" distL="0" distR="0" wp14:anchorId="7B4194B3" wp14:editId="79E9A46F">
            <wp:extent cx="6165718" cy="2420934"/>
            <wp:effectExtent l="0" t="0" r="6985" b="0"/>
            <wp:docPr id="1147" name="Picture 1147" descr="A pictorial &#10;overview of the CAR-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Picture 1147" descr="A pictorial &#10;overview of the CAR-T proces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3380" cy="2423942"/>
                    </a:xfrm>
                    <a:prstGeom prst="rect">
                      <a:avLst/>
                    </a:prstGeom>
                    <a:noFill/>
                  </pic:spPr>
                </pic:pic>
              </a:graphicData>
            </a:graphic>
          </wp:inline>
        </w:drawing>
      </w:r>
    </w:p>
    <w:p w14:paraId="340ED0A3" w14:textId="77777777" w:rsidR="0048714A" w:rsidRPr="00E65364" w:rsidRDefault="0048714A" w:rsidP="0048714A">
      <w:pPr>
        <w:spacing w:after="0"/>
        <w:rPr>
          <w:rFonts w:cstheme="minorHAnsi"/>
          <w:sz w:val="18"/>
        </w:rPr>
      </w:pPr>
      <w:r w:rsidRPr="00E65364">
        <w:rPr>
          <w:rFonts w:cstheme="minorHAnsi"/>
          <w:b/>
          <w:sz w:val="18"/>
        </w:rPr>
        <w:t>Source:</w:t>
      </w:r>
      <w:r w:rsidRPr="00E65364">
        <w:rPr>
          <w:rFonts w:cstheme="minorHAnsi"/>
          <w:sz w:val="18"/>
        </w:rPr>
        <w:t xml:space="preserve"> Adapted from Mato A, et al. Blood. 2015;126:478-485. Davila ML, et al. Oncoimmunology. 2012;1:1577-1583. Davila ML, et al. Int J Hematol. 2014;99:361-371. Tumaini B, et al. Cytotherapy. 2013;15:1406-1415.</w:t>
      </w:r>
    </w:p>
    <w:p w14:paraId="105E90F6" w14:textId="77777777" w:rsidR="00732559" w:rsidRDefault="00732559" w:rsidP="0048714A">
      <w:pPr>
        <w:rPr>
          <w:rFonts w:cstheme="minorHAnsi"/>
        </w:rPr>
      </w:pPr>
    </w:p>
    <w:p w14:paraId="5C65C867" w14:textId="6FA4625E" w:rsidR="00991D18" w:rsidRPr="00363728" w:rsidRDefault="0048714A" w:rsidP="0048714A">
      <w:pPr>
        <w:rPr>
          <w:rFonts w:cstheme="minorHAnsi"/>
          <w:sz w:val="24"/>
          <w:szCs w:val="24"/>
        </w:rPr>
      </w:pPr>
      <w:r w:rsidRPr="00363728">
        <w:rPr>
          <w:rFonts w:cstheme="minorHAnsi"/>
          <w:sz w:val="24"/>
          <w:szCs w:val="24"/>
        </w:rPr>
        <w:t>CAR-T therapy is unique in a number of ways, as it is a truly personalised treatment with specific requirements for preparation, transport, manufacturing, and monitoring.</w:t>
      </w:r>
    </w:p>
    <w:p w14:paraId="70462559" w14:textId="77777777" w:rsidR="00732559" w:rsidRDefault="00732559" w:rsidP="0048714A">
      <w:pPr>
        <w:rPr>
          <w:b/>
          <w:bCs/>
          <w:sz w:val="24"/>
          <w:szCs w:val="24"/>
        </w:rPr>
      </w:pPr>
    </w:p>
    <w:p w14:paraId="496F861E" w14:textId="451B27B3" w:rsidR="00BE6B22" w:rsidRPr="009C12B4" w:rsidRDefault="00665487" w:rsidP="009C12B4">
      <w:pPr>
        <w:rPr>
          <w:b/>
          <w:bCs/>
          <w:sz w:val="24"/>
          <w:szCs w:val="24"/>
        </w:rPr>
      </w:pPr>
      <w:r w:rsidRPr="009C12B4">
        <w:rPr>
          <w:b/>
          <w:bCs/>
          <w:sz w:val="24"/>
          <w:szCs w:val="24"/>
        </w:rPr>
        <w:t>Identify how the proposed technology achieves the intended patient outcomes</w:t>
      </w:r>
      <w:r w:rsidR="00BE6B22" w:rsidRPr="009C12B4">
        <w:rPr>
          <w:b/>
          <w:bCs/>
          <w:sz w:val="24"/>
          <w:szCs w:val="24"/>
        </w:rPr>
        <w:t>:</w:t>
      </w:r>
    </w:p>
    <w:p w14:paraId="0EB1F945" w14:textId="3346B48B" w:rsidR="00141BE6" w:rsidRDefault="000743D2" w:rsidP="001E1797">
      <w:pPr>
        <w:rPr>
          <w:sz w:val="24"/>
          <w:szCs w:val="24"/>
        </w:rPr>
      </w:pPr>
      <w:r>
        <w:rPr>
          <w:sz w:val="24"/>
          <w:szCs w:val="24"/>
        </w:rPr>
        <w:t>In the TRANSFORM clinical trial, l</w:t>
      </w:r>
      <w:r w:rsidR="001A5273">
        <w:rPr>
          <w:sz w:val="24"/>
          <w:szCs w:val="24"/>
        </w:rPr>
        <w:t xml:space="preserve">isocabtagene maraleucel demonstrated </w:t>
      </w:r>
      <w:r w:rsidR="00CF3673">
        <w:rPr>
          <w:sz w:val="24"/>
          <w:szCs w:val="24"/>
        </w:rPr>
        <w:t>a statistically significant improvement in terms of event free survival (EFS)</w:t>
      </w:r>
      <w:r w:rsidR="00E7795B">
        <w:rPr>
          <w:sz w:val="24"/>
          <w:szCs w:val="24"/>
        </w:rPr>
        <w:t xml:space="preserve"> and progression free survival (PFS)</w:t>
      </w:r>
      <w:r>
        <w:rPr>
          <w:sz w:val="24"/>
          <w:szCs w:val="24"/>
        </w:rPr>
        <w:t xml:space="preserve"> compared to standard of care</w:t>
      </w:r>
      <w:r w:rsidR="00DA6FDC">
        <w:rPr>
          <w:sz w:val="24"/>
          <w:szCs w:val="24"/>
        </w:rPr>
        <w:t xml:space="preserve"> chemotherapy</w:t>
      </w:r>
      <w:r>
        <w:rPr>
          <w:sz w:val="24"/>
          <w:szCs w:val="24"/>
        </w:rPr>
        <w:t>. Lisocabtagene maraleucel also demonstrated higher complete response rates (CRRs) and numerically improved overall survival (OS) versus standard of care</w:t>
      </w:r>
      <w:r w:rsidR="00DA6FDC">
        <w:rPr>
          <w:sz w:val="24"/>
          <w:szCs w:val="24"/>
        </w:rPr>
        <w:t xml:space="preserve"> chemotherapy</w:t>
      </w:r>
      <w:r>
        <w:rPr>
          <w:sz w:val="24"/>
          <w:szCs w:val="24"/>
        </w:rPr>
        <w:t xml:space="preserve">. </w:t>
      </w:r>
    </w:p>
    <w:p w14:paraId="0F9D3230" w14:textId="4E174FBF" w:rsidR="00BE6B22" w:rsidRPr="009C12B4" w:rsidRDefault="00665487" w:rsidP="009C12B4">
      <w:pPr>
        <w:rPr>
          <w:b/>
          <w:bCs/>
          <w:sz w:val="24"/>
          <w:szCs w:val="24"/>
        </w:rPr>
      </w:pPr>
      <w:r w:rsidRPr="009C12B4">
        <w:rPr>
          <w:b/>
          <w:bCs/>
          <w:sz w:val="24"/>
          <w:szCs w:val="24"/>
        </w:rPr>
        <w:lastRenderedPageBreak/>
        <w:t>Does the proposed health technology include a registered trademark component with characteristics that distinguishes it from other similar health components</w:t>
      </w:r>
      <w:r w:rsidR="00BE6B22" w:rsidRPr="009C12B4">
        <w:rPr>
          <w:b/>
          <w:bCs/>
          <w:sz w:val="24"/>
          <w:szCs w:val="24"/>
        </w:rPr>
        <w:t>?</w:t>
      </w:r>
    </w:p>
    <w:p w14:paraId="6F3B5B06" w14:textId="226F79AD" w:rsidR="00BE6B22" w:rsidRDefault="00BE6B22" w:rsidP="001E1797">
      <w:pPr>
        <w:rPr>
          <w:sz w:val="24"/>
          <w:szCs w:val="24"/>
        </w:rPr>
      </w:pPr>
      <w:r w:rsidRPr="0035351C">
        <w:rPr>
          <w:sz w:val="24"/>
          <w:szCs w:val="24"/>
        </w:rPr>
        <w:t>Yes</w:t>
      </w:r>
      <w:r w:rsidR="001A5273">
        <w:rPr>
          <w:sz w:val="24"/>
          <w:szCs w:val="24"/>
        </w:rPr>
        <w:t>.</w:t>
      </w:r>
    </w:p>
    <w:p w14:paraId="53F28C39" w14:textId="77777777" w:rsidR="001A5273" w:rsidRPr="0035351C" w:rsidRDefault="001A5273" w:rsidP="001E1797">
      <w:pPr>
        <w:rPr>
          <w:sz w:val="24"/>
          <w:szCs w:val="24"/>
        </w:rPr>
      </w:pPr>
    </w:p>
    <w:p w14:paraId="6FE677F6" w14:textId="40020514" w:rsidR="00B759D1" w:rsidRPr="009C12B4" w:rsidRDefault="00665487" w:rsidP="009C12B4">
      <w:pPr>
        <w:rPr>
          <w:b/>
          <w:bCs/>
          <w:sz w:val="24"/>
          <w:szCs w:val="24"/>
        </w:rPr>
      </w:pPr>
      <w:r w:rsidRPr="009C12B4">
        <w:rPr>
          <w:b/>
          <w:bCs/>
          <w:sz w:val="24"/>
          <w:szCs w:val="24"/>
        </w:rPr>
        <w:t>Explain whether it is essential to have this trademark component or whether there would be other components that would be suitable</w:t>
      </w:r>
      <w:r w:rsidR="00B759D1" w:rsidRPr="009C12B4">
        <w:rPr>
          <w:b/>
          <w:bCs/>
          <w:sz w:val="24"/>
          <w:szCs w:val="24"/>
        </w:rPr>
        <w:t>:</w:t>
      </w:r>
    </w:p>
    <w:p w14:paraId="2D4411B7" w14:textId="3A3DD73F" w:rsidR="00B759D1" w:rsidRDefault="008004C8" w:rsidP="001E1797">
      <w:pPr>
        <w:rPr>
          <w:sz w:val="24"/>
          <w:szCs w:val="24"/>
        </w:rPr>
      </w:pPr>
      <w:r>
        <w:rPr>
          <w:sz w:val="24"/>
          <w:szCs w:val="24"/>
        </w:rPr>
        <w:t xml:space="preserve">Breyanzi is manufactured by </w:t>
      </w:r>
      <w:r w:rsidRPr="008004C8">
        <w:rPr>
          <w:sz w:val="24"/>
          <w:szCs w:val="24"/>
        </w:rPr>
        <w:t>Bristol Myers Squibb</w:t>
      </w:r>
      <w:r>
        <w:rPr>
          <w:sz w:val="24"/>
          <w:szCs w:val="24"/>
        </w:rPr>
        <w:t xml:space="preserve"> under patent protection and cannot be substituted for another product.</w:t>
      </w:r>
    </w:p>
    <w:p w14:paraId="435B7F70" w14:textId="77777777" w:rsidR="00B42E04" w:rsidRPr="0035351C" w:rsidRDefault="00B42E04" w:rsidP="001E1797">
      <w:pPr>
        <w:rPr>
          <w:rFonts w:eastAsia="Segoe UI"/>
          <w:color w:val="000000"/>
          <w:sz w:val="24"/>
          <w:szCs w:val="24"/>
        </w:rPr>
      </w:pPr>
    </w:p>
    <w:p w14:paraId="46AD8179" w14:textId="7BA3B7CA" w:rsidR="00665487" w:rsidRPr="009C12B4" w:rsidRDefault="00EA7B42" w:rsidP="009C12B4">
      <w:pPr>
        <w:rPr>
          <w:b/>
          <w:bCs/>
          <w:sz w:val="24"/>
          <w:szCs w:val="24"/>
        </w:rPr>
      </w:pPr>
      <w:r w:rsidRPr="009C12B4">
        <w:rPr>
          <w:b/>
          <w:bCs/>
          <w:sz w:val="24"/>
          <w:szCs w:val="24"/>
        </w:rPr>
        <w:t>Are there any proposed limitations on the provision of the proposed health technology delivered to the patient (For example: accessibility, dosage, quantity, duration or frequency):</w:t>
      </w:r>
    </w:p>
    <w:p w14:paraId="669B5F75" w14:textId="1C1299F1" w:rsidR="00665487" w:rsidRDefault="00665487" w:rsidP="001E1797">
      <w:pPr>
        <w:rPr>
          <w:sz w:val="24"/>
          <w:szCs w:val="24"/>
        </w:rPr>
      </w:pPr>
      <w:r w:rsidRPr="0035351C">
        <w:rPr>
          <w:sz w:val="24"/>
          <w:szCs w:val="24"/>
        </w:rPr>
        <w:t>Yes</w:t>
      </w:r>
      <w:r w:rsidR="00B33845">
        <w:rPr>
          <w:sz w:val="24"/>
          <w:szCs w:val="24"/>
        </w:rPr>
        <w:t>.</w:t>
      </w:r>
    </w:p>
    <w:p w14:paraId="272B2E8B" w14:textId="77777777" w:rsidR="00B33845" w:rsidRPr="0035351C" w:rsidRDefault="00B33845" w:rsidP="001E1797">
      <w:pPr>
        <w:rPr>
          <w:sz w:val="24"/>
          <w:szCs w:val="24"/>
        </w:rPr>
      </w:pPr>
    </w:p>
    <w:p w14:paraId="207973FE" w14:textId="7D491BB2" w:rsidR="00665487" w:rsidRPr="009C12B4" w:rsidRDefault="00EA7B42" w:rsidP="009C12B4">
      <w:pPr>
        <w:rPr>
          <w:b/>
          <w:bCs/>
          <w:sz w:val="24"/>
          <w:szCs w:val="24"/>
        </w:rPr>
      </w:pPr>
      <w:r w:rsidRPr="009C12B4">
        <w:rPr>
          <w:b/>
          <w:bCs/>
          <w:sz w:val="24"/>
          <w:szCs w:val="24"/>
        </w:rPr>
        <w:t>Provide details and explain</w:t>
      </w:r>
      <w:r w:rsidR="00665487" w:rsidRPr="009C12B4">
        <w:rPr>
          <w:b/>
          <w:bCs/>
          <w:sz w:val="24"/>
          <w:szCs w:val="24"/>
        </w:rPr>
        <w:t>:</w:t>
      </w:r>
    </w:p>
    <w:p w14:paraId="7EDC963E" w14:textId="21E0FBF5" w:rsidR="00665487" w:rsidRDefault="00B33845" w:rsidP="001E1797">
      <w:pPr>
        <w:rPr>
          <w:sz w:val="24"/>
          <w:szCs w:val="24"/>
        </w:rPr>
      </w:pPr>
      <w:r>
        <w:rPr>
          <w:sz w:val="24"/>
          <w:szCs w:val="24"/>
        </w:rPr>
        <w:t>Lisocabtagene maraleucel is proposed to be offered in the tertiary public setting by qualified treatment centres.</w:t>
      </w:r>
    </w:p>
    <w:p w14:paraId="14EB3F77" w14:textId="77777777" w:rsidR="000743D2" w:rsidRPr="0035351C" w:rsidRDefault="000743D2" w:rsidP="001E1797">
      <w:pPr>
        <w:rPr>
          <w:rFonts w:eastAsia="Segoe UI"/>
          <w:color w:val="000000"/>
          <w:sz w:val="24"/>
          <w:szCs w:val="24"/>
        </w:rPr>
      </w:pPr>
    </w:p>
    <w:p w14:paraId="2F90F356" w14:textId="43491E78" w:rsidR="006227EF" w:rsidRDefault="006227EF" w:rsidP="009C12B4">
      <w:pPr>
        <w:rPr>
          <w:b/>
          <w:bCs/>
          <w:sz w:val="24"/>
          <w:szCs w:val="24"/>
        </w:rPr>
      </w:pPr>
      <w:r w:rsidRPr="009C12B4">
        <w:rPr>
          <w:b/>
          <w:bCs/>
          <w:sz w:val="24"/>
          <w:szCs w:val="24"/>
        </w:rPr>
        <w:t>If applicable, advise which health professionals will be needed to provide the proposed health technology:</w:t>
      </w:r>
    </w:p>
    <w:p w14:paraId="375FA511" w14:textId="634B9CE5" w:rsidR="00546EA1" w:rsidRPr="00546EA1" w:rsidRDefault="00546EA1" w:rsidP="009C12B4">
      <w:pPr>
        <w:rPr>
          <w:sz w:val="24"/>
          <w:szCs w:val="24"/>
        </w:rPr>
      </w:pPr>
      <w:r>
        <w:rPr>
          <w:sz w:val="24"/>
          <w:szCs w:val="24"/>
        </w:rPr>
        <w:t>Haematologist or haematologist-oncologist</w:t>
      </w:r>
      <w:r w:rsidR="00AC317E">
        <w:rPr>
          <w:sz w:val="24"/>
          <w:szCs w:val="24"/>
        </w:rPr>
        <w:t>.</w:t>
      </w:r>
    </w:p>
    <w:p w14:paraId="28E6511D" w14:textId="77777777" w:rsidR="00546EA1" w:rsidRDefault="00546EA1" w:rsidP="009C12B4">
      <w:pPr>
        <w:rPr>
          <w:sz w:val="24"/>
          <w:szCs w:val="24"/>
        </w:rPr>
      </w:pPr>
    </w:p>
    <w:p w14:paraId="46150CA8" w14:textId="149B67B5" w:rsidR="006227EF" w:rsidRPr="009C12B4" w:rsidRDefault="006227EF" w:rsidP="009C12B4">
      <w:pPr>
        <w:rPr>
          <w:b/>
          <w:bCs/>
          <w:sz w:val="24"/>
          <w:szCs w:val="24"/>
        </w:rPr>
      </w:pPr>
      <w:r w:rsidRPr="009C12B4">
        <w:rPr>
          <w:b/>
          <w:bCs/>
          <w:sz w:val="24"/>
          <w:szCs w:val="24"/>
        </w:rPr>
        <w:t xml:space="preserve">If applicable, advise </w:t>
      </w:r>
      <w:r w:rsidR="00BE0612" w:rsidRPr="009C12B4">
        <w:rPr>
          <w:b/>
          <w:bCs/>
          <w:sz w:val="24"/>
          <w:szCs w:val="24"/>
        </w:rPr>
        <w:t>whether delivery of the proposed health technology can be delegated to another</w:t>
      </w:r>
      <w:r w:rsidRPr="009C12B4">
        <w:rPr>
          <w:b/>
          <w:bCs/>
          <w:sz w:val="24"/>
          <w:szCs w:val="24"/>
        </w:rPr>
        <w:t xml:space="preserve"> health professional:</w:t>
      </w:r>
    </w:p>
    <w:p w14:paraId="5A95FA3B" w14:textId="0285D7B9" w:rsidR="00665487" w:rsidRDefault="00AC317E" w:rsidP="001E1797">
      <w:pPr>
        <w:rPr>
          <w:sz w:val="24"/>
          <w:szCs w:val="24"/>
        </w:rPr>
      </w:pPr>
      <w:r>
        <w:rPr>
          <w:sz w:val="24"/>
          <w:szCs w:val="24"/>
        </w:rPr>
        <w:t>Not applicable.</w:t>
      </w:r>
    </w:p>
    <w:p w14:paraId="2F301969" w14:textId="77777777" w:rsidR="00AC317E" w:rsidRPr="0035351C" w:rsidRDefault="00AC317E" w:rsidP="001E1797">
      <w:pPr>
        <w:rPr>
          <w:rFonts w:eastAsia="Segoe UI"/>
          <w:color w:val="000000"/>
          <w:sz w:val="24"/>
          <w:szCs w:val="24"/>
        </w:rPr>
      </w:pPr>
    </w:p>
    <w:p w14:paraId="414D5196" w14:textId="3C2C8F99" w:rsidR="006227EF" w:rsidRDefault="006227EF" w:rsidP="009C12B4">
      <w:pPr>
        <w:rPr>
          <w:b/>
          <w:bCs/>
          <w:sz w:val="24"/>
          <w:szCs w:val="24"/>
        </w:rPr>
      </w:pPr>
      <w:r w:rsidRPr="009C12B4">
        <w:rPr>
          <w:b/>
          <w:bCs/>
          <w:sz w:val="24"/>
          <w:szCs w:val="24"/>
        </w:rPr>
        <w:t xml:space="preserve">If applicable, advise </w:t>
      </w:r>
      <w:r w:rsidR="00BE0612" w:rsidRPr="009C12B4">
        <w:rPr>
          <w:b/>
          <w:bCs/>
          <w:sz w:val="24"/>
          <w:szCs w:val="24"/>
        </w:rPr>
        <w:t>if there are any limitations on which health professionals might provide a referral for</w:t>
      </w:r>
      <w:r w:rsidRPr="009C12B4">
        <w:rPr>
          <w:b/>
          <w:bCs/>
          <w:sz w:val="24"/>
          <w:szCs w:val="24"/>
        </w:rPr>
        <w:t xml:space="preserve"> the proposed health technology:</w:t>
      </w:r>
    </w:p>
    <w:p w14:paraId="087E384E" w14:textId="5DB3DA57" w:rsidR="00F85812" w:rsidRPr="00F85812" w:rsidRDefault="00F85812" w:rsidP="009C12B4">
      <w:pPr>
        <w:rPr>
          <w:sz w:val="24"/>
          <w:szCs w:val="24"/>
        </w:rPr>
      </w:pPr>
      <w:r>
        <w:rPr>
          <w:sz w:val="24"/>
          <w:szCs w:val="24"/>
        </w:rPr>
        <w:t>As noted above, treatment is proposed to be limited to qualified treatment centres.</w:t>
      </w:r>
    </w:p>
    <w:p w14:paraId="4A2F2B79" w14:textId="77777777" w:rsidR="00F85812" w:rsidRDefault="00F85812" w:rsidP="009C12B4">
      <w:pPr>
        <w:rPr>
          <w:b/>
          <w:bCs/>
          <w:sz w:val="24"/>
          <w:szCs w:val="24"/>
        </w:rPr>
      </w:pPr>
    </w:p>
    <w:p w14:paraId="30AC00A8" w14:textId="0B8D6382" w:rsidR="00380C41" w:rsidRPr="009C12B4" w:rsidRDefault="00380C41" w:rsidP="009C12B4">
      <w:pPr>
        <w:rPr>
          <w:b/>
          <w:bCs/>
          <w:sz w:val="24"/>
          <w:szCs w:val="24"/>
        </w:rPr>
      </w:pPr>
      <w:r w:rsidRPr="009C12B4">
        <w:rPr>
          <w:b/>
          <w:bCs/>
          <w:sz w:val="24"/>
          <w:szCs w:val="24"/>
        </w:rPr>
        <w:t xml:space="preserve">Is there specific training or qualifications required to provide or deliver the proposed service, and/or any accreditation requirements to support delivery of the health technology? </w:t>
      </w:r>
    </w:p>
    <w:p w14:paraId="4E1F9F81" w14:textId="0F8BF6BD" w:rsidR="00380C41" w:rsidRDefault="00380C41" w:rsidP="001E1797">
      <w:pPr>
        <w:rPr>
          <w:sz w:val="24"/>
          <w:szCs w:val="24"/>
        </w:rPr>
      </w:pPr>
      <w:r w:rsidRPr="0035351C">
        <w:rPr>
          <w:sz w:val="24"/>
          <w:szCs w:val="24"/>
        </w:rPr>
        <w:t>Yes</w:t>
      </w:r>
      <w:r w:rsidR="00826E2F">
        <w:rPr>
          <w:sz w:val="24"/>
          <w:szCs w:val="24"/>
        </w:rPr>
        <w:t>.</w:t>
      </w:r>
    </w:p>
    <w:p w14:paraId="3428E4C9" w14:textId="77777777" w:rsidR="00F85812" w:rsidRPr="0035351C" w:rsidRDefault="00F85812" w:rsidP="001E1797">
      <w:pPr>
        <w:rPr>
          <w:sz w:val="24"/>
          <w:szCs w:val="24"/>
        </w:rPr>
      </w:pPr>
    </w:p>
    <w:p w14:paraId="0E842550" w14:textId="07B5EC36" w:rsidR="00380C41" w:rsidRDefault="00380C41" w:rsidP="009C12B4">
      <w:pPr>
        <w:rPr>
          <w:b/>
          <w:bCs/>
          <w:sz w:val="24"/>
          <w:szCs w:val="24"/>
        </w:rPr>
      </w:pPr>
      <w:r w:rsidRPr="009C12B4">
        <w:rPr>
          <w:b/>
          <w:bCs/>
          <w:sz w:val="24"/>
          <w:szCs w:val="24"/>
        </w:rPr>
        <w:lastRenderedPageBreak/>
        <w:t>Provide details and explain:</w:t>
      </w:r>
    </w:p>
    <w:p w14:paraId="24A435C6" w14:textId="119B15EA" w:rsidR="00826E2F" w:rsidRPr="00826E2F" w:rsidRDefault="00826E2F" w:rsidP="009C12B4">
      <w:pPr>
        <w:rPr>
          <w:sz w:val="24"/>
          <w:szCs w:val="24"/>
        </w:rPr>
      </w:pPr>
      <w:r w:rsidRPr="00826E2F">
        <w:rPr>
          <w:sz w:val="24"/>
          <w:szCs w:val="24"/>
        </w:rPr>
        <w:t>Treatment centres must have appropriate training and qualification in the management and administration related to lisocabtagene maraleucel for patients with LCBL.</w:t>
      </w:r>
    </w:p>
    <w:p w14:paraId="77DB390C" w14:textId="77777777" w:rsidR="00826E2F" w:rsidRDefault="00826E2F" w:rsidP="009C12B4">
      <w:pPr>
        <w:rPr>
          <w:b/>
          <w:bCs/>
          <w:sz w:val="24"/>
          <w:szCs w:val="24"/>
        </w:rPr>
      </w:pPr>
    </w:p>
    <w:p w14:paraId="0C2F9516" w14:textId="1518EA25" w:rsidR="002A7E4A" w:rsidRPr="009C12B4" w:rsidRDefault="00BB494A" w:rsidP="009C12B4">
      <w:pPr>
        <w:rPr>
          <w:b/>
          <w:bCs/>
          <w:sz w:val="24"/>
          <w:szCs w:val="24"/>
        </w:rPr>
      </w:pPr>
      <w:r w:rsidRPr="009C12B4">
        <w:rPr>
          <w:b/>
          <w:bCs/>
          <w:sz w:val="24"/>
          <w:szCs w:val="24"/>
        </w:rPr>
        <w:t>Indicate the proposed setting(s) in which the proposed health technology will be delivered:</w:t>
      </w:r>
    </w:p>
    <w:p w14:paraId="786722A5" w14:textId="29302CDC" w:rsidR="00380C41" w:rsidRPr="0035351C" w:rsidRDefault="006050A6" w:rsidP="004F12A9">
      <w:pPr>
        <w:pStyle w:val="Tickboxes"/>
        <w:rPr>
          <w:sz w:val="24"/>
          <w:szCs w:val="24"/>
        </w:rPr>
      </w:pPr>
      <w:r>
        <w:rPr>
          <w:sz w:val="24"/>
          <w:szCs w:val="24"/>
        </w:rPr>
        <w:fldChar w:fldCharType="begin">
          <w:ffData>
            <w:name w:val="Check1"/>
            <w:enabled/>
            <w:calcOnExit w:val="0"/>
            <w:statusText w:type="text" w:val="Proposed setting for delivery Consulting rooms"/>
            <w:checkBox>
              <w:sizeAuto/>
              <w:default w:val="0"/>
            </w:checkBox>
          </w:ffData>
        </w:fldChar>
      </w:r>
      <w:bookmarkStart w:id="1"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
      <w:r w:rsidR="00380C41" w:rsidRPr="0035351C">
        <w:rPr>
          <w:sz w:val="24"/>
          <w:szCs w:val="24"/>
        </w:rPr>
        <w:t xml:space="preserve"> </w:t>
      </w:r>
      <w:r w:rsidR="00BB494A" w:rsidRPr="0035351C">
        <w:rPr>
          <w:sz w:val="24"/>
          <w:szCs w:val="24"/>
        </w:rPr>
        <w:t>Consulting rooms</w:t>
      </w:r>
      <w:r w:rsidR="00380C41" w:rsidRPr="0035351C">
        <w:rPr>
          <w:sz w:val="24"/>
          <w:szCs w:val="24"/>
        </w:rPr>
        <w:t xml:space="preserve"> </w:t>
      </w:r>
    </w:p>
    <w:p w14:paraId="27A91C50" w14:textId="4621E2BA" w:rsidR="00380C41" w:rsidRPr="0035351C" w:rsidRDefault="0063188F" w:rsidP="004F12A9">
      <w:pPr>
        <w:pStyle w:val="Tickboxes"/>
        <w:rPr>
          <w:sz w:val="24"/>
          <w:szCs w:val="24"/>
        </w:rPr>
      </w:pPr>
      <w:r>
        <w:rPr>
          <w:sz w:val="24"/>
          <w:szCs w:val="24"/>
        </w:rPr>
        <w:fldChar w:fldCharType="begin">
          <w:ffData>
            <w:name w:val="Check2"/>
            <w:enabled/>
            <w:calcOnExit w:val="0"/>
            <w:statusText w:type="text" w:val="Proposed setting for delivery Day surgery centre"/>
            <w:checkBox>
              <w:sizeAuto/>
              <w:default w:val="0"/>
            </w:checkBox>
          </w:ffData>
        </w:fldChar>
      </w:r>
      <w:bookmarkStart w:id="2"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2"/>
      <w:r w:rsidR="00380C41" w:rsidRPr="0035351C">
        <w:rPr>
          <w:sz w:val="24"/>
          <w:szCs w:val="24"/>
        </w:rPr>
        <w:t xml:space="preserve"> </w:t>
      </w:r>
      <w:r w:rsidR="00BB494A" w:rsidRPr="0035351C">
        <w:rPr>
          <w:sz w:val="24"/>
          <w:szCs w:val="24"/>
        </w:rPr>
        <w:t>Day surgery centre</w:t>
      </w:r>
    </w:p>
    <w:p w14:paraId="1DAFF305" w14:textId="7C7BF3E4" w:rsidR="00380C41" w:rsidRPr="0035351C" w:rsidRDefault="0063188F" w:rsidP="004F12A9">
      <w:pPr>
        <w:pStyle w:val="Tickboxes"/>
        <w:rPr>
          <w:sz w:val="24"/>
          <w:szCs w:val="24"/>
        </w:rPr>
      </w:pPr>
      <w:r>
        <w:rPr>
          <w:sz w:val="24"/>
          <w:szCs w:val="24"/>
        </w:rPr>
        <w:fldChar w:fldCharType="begin">
          <w:ffData>
            <w:name w:val=""/>
            <w:enabled/>
            <w:calcOnExit w:val="0"/>
            <w:statusText w:type="text" w:val="Proposed setting for delivery Emergency Departmen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35351C">
        <w:rPr>
          <w:sz w:val="24"/>
          <w:szCs w:val="24"/>
        </w:rPr>
        <w:t xml:space="preserve"> </w:t>
      </w:r>
      <w:r w:rsidR="00BB494A" w:rsidRPr="0035351C">
        <w:rPr>
          <w:sz w:val="24"/>
          <w:szCs w:val="24"/>
        </w:rPr>
        <w:t>Emergency Department</w:t>
      </w:r>
      <w:r w:rsidR="00380C41" w:rsidRPr="0035351C">
        <w:rPr>
          <w:sz w:val="24"/>
          <w:szCs w:val="24"/>
        </w:rPr>
        <w:t xml:space="preserve"> </w:t>
      </w:r>
    </w:p>
    <w:p w14:paraId="020AC503" w14:textId="43FB35E3" w:rsidR="00380C41"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Inpatient private hospital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35351C">
        <w:rPr>
          <w:sz w:val="24"/>
          <w:szCs w:val="24"/>
        </w:rPr>
        <w:t xml:space="preserve"> </w:t>
      </w:r>
      <w:r w:rsidR="00BB494A" w:rsidRPr="0035351C">
        <w:rPr>
          <w:sz w:val="24"/>
          <w:szCs w:val="24"/>
        </w:rPr>
        <w:t>Inpatient private hospital</w:t>
      </w:r>
    </w:p>
    <w:p w14:paraId="6E8C6D7D" w14:textId="2E88E87B" w:rsidR="00BB494A" w:rsidRPr="0035351C" w:rsidRDefault="00240CF8" w:rsidP="004F12A9">
      <w:pPr>
        <w:pStyle w:val="Tickboxes"/>
        <w:rPr>
          <w:sz w:val="24"/>
          <w:szCs w:val="24"/>
        </w:rPr>
      </w:pPr>
      <w:r>
        <w:rPr>
          <w:sz w:val="24"/>
          <w:szCs w:val="24"/>
        </w:rPr>
        <w:fldChar w:fldCharType="begin">
          <w:ffData>
            <w:name w:val=""/>
            <w:enabled/>
            <w:calcOnExit w:val="0"/>
            <w:statusText w:type="text" w:val="Proposed setting for delivery Inpatient public hospital"/>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Inpatient public hospital </w:t>
      </w:r>
    </w:p>
    <w:p w14:paraId="1C5133DF" w14:textId="67274FB3"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Laborator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Laboratory</w:t>
      </w:r>
    </w:p>
    <w:p w14:paraId="723FB55F" w14:textId="666B40BE" w:rsidR="00BB494A" w:rsidRPr="0035351C" w:rsidRDefault="00240CF8" w:rsidP="004F12A9">
      <w:pPr>
        <w:pStyle w:val="Tickboxes"/>
        <w:rPr>
          <w:sz w:val="24"/>
          <w:szCs w:val="24"/>
        </w:rPr>
      </w:pPr>
      <w:r>
        <w:rPr>
          <w:sz w:val="24"/>
          <w:szCs w:val="24"/>
        </w:rPr>
        <w:fldChar w:fldCharType="begin">
          <w:ffData>
            <w:name w:val=""/>
            <w:enabled/>
            <w:calcOnExit w:val="0"/>
            <w:statusText w:type="text" w:val="Proposed setting for delivery Outpatient clinic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Outpatient clinic </w:t>
      </w:r>
    </w:p>
    <w:p w14:paraId="111DE2AB" w14:textId="02862D04"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Patient’s hom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Patient’s home</w:t>
      </w:r>
    </w:p>
    <w:p w14:paraId="428D75FD" w14:textId="1E9A016C"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Point of care testing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Point of care testing </w:t>
      </w:r>
    </w:p>
    <w:p w14:paraId="47F449C5" w14:textId="3843E5B7"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Residential aged care facilit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Residential aged care facility</w:t>
      </w:r>
    </w:p>
    <w:p w14:paraId="594B3A20" w14:textId="5602F0C3" w:rsidR="00BB494A" w:rsidRPr="0035351C" w:rsidRDefault="00EF6F1B" w:rsidP="004F12A9">
      <w:pPr>
        <w:pStyle w:val="Tickboxes"/>
        <w:rPr>
          <w:sz w:val="24"/>
          <w:szCs w:val="24"/>
        </w:rPr>
      </w:pPr>
      <w:r>
        <w:rPr>
          <w:sz w:val="24"/>
          <w:szCs w:val="24"/>
        </w:rPr>
        <w:fldChar w:fldCharType="begin">
          <w:ffData>
            <w:name w:val=""/>
            <w:enabled/>
            <w:calcOnExit w:val="0"/>
            <w:statusText w:type="text" w:val="Proposed setting for delivery Other (please specify)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Other (please specify) </w:t>
      </w:r>
    </w:p>
    <w:p w14:paraId="19A7C8C9" w14:textId="11A1D21B" w:rsidR="00240CF8" w:rsidRPr="005023CA" w:rsidRDefault="00240CF8" w:rsidP="00240CF8">
      <w:pPr>
        <w:spacing w:after="0"/>
        <w:rPr>
          <w:rFonts w:eastAsia="Times New Roman"/>
          <w:sz w:val="24"/>
          <w:szCs w:val="24"/>
        </w:rPr>
      </w:pPr>
      <w:r w:rsidRPr="005023CA">
        <w:rPr>
          <w:rFonts w:eastAsia="Times New Roman"/>
          <w:sz w:val="24"/>
          <w:szCs w:val="24"/>
        </w:rPr>
        <w:t xml:space="preserve">The proposed eligibility criteria for lisocabtagene maraleucel mandates that </w:t>
      </w:r>
      <w:r w:rsidR="00170AB2" w:rsidRPr="005023CA">
        <w:rPr>
          <w:rFonts w:eastAsia="Times New Roman"/>
          <w:sz w:val="24"/>
          <w:szCs w:val="24"/>
        </w:rPr>
        <w:t>a patient “must be treated in a tertiary public hospital with appropriate credentials”.</w:t>
      </w:r>
    </w:p>
    <w:p w14:paraId="19A3C50C" w14:textId="77777777" w:rsidR="000743D2" w:rsidRPr="00AE1F91" w:rsidRDefault="000743D2" w:rsidP="00240CF8">
      <w:pPr>
        <w:spacing w:after="0"/>
        <w:rPr>
          <w:rFonts w:asciiTheme="minorHAnsi" w:eastAsia="Times New Roman" w:hAnsiTheme="minorHAnsi" w:cs="Calibri"/>
          <w:color w:val="000000"/>
        </w:rPr>
      </w:pPr>
    </w:p>
    <w:p w14:paraId="2A1C0D0A" w14:textId="05332502" w:rsidR="002D7216" w:rsidRPr="009C12B4" w:rsidRDefault="002D7216" w:rsidP="009C12B4">
      <w:pPr>
        <w:rPr>
          <w:b/>
          <w:bCs/>
          <w:sz w:val="24"/>
          <w:szCs w:val="24"/>
        </w:rPr>
      </w:pPr>
      <w:r w:rsidRPr="009C12B4">
        <w:rPr>
          <w:b/>
          <w:bCs/>
          <w:sz w:val="24"/>
          <w:szCs w:val="24"/>
        </w:rPr>
        <w:t>Is the proposed health technology intended to be entirely rendered inside Australia?</w:t>
      </w:r>
    </w:p>
    <w:p w14:paraId="0478F3B1" w14:textId="31E3655B" w:rsidR="002D7216" w:rsidRPr="0035351C" w:rsidRDefault="002D7216" w:rsidP="001E1797">
      <w:pPr>
        <w:rPr>
          <w:sz w:val="24"/>
          <w:szCs w:val="24"/>
        </w:rPr>
      </w:pPr>
      <w:r w:rsidRPr="0035351C">
        <w:rPr>
          <w:sz w:val="24"/>
          <w:szCs w:val="24"/>
        </w:rPr>
        <w:t>Yes</w:t>
      </w:r>
    </w:p>
    <w:p w14:paraId="5B9D9A2F" w14:textId="20073633" w:rsidR="00FE257E" w:rsidRPr="007E1AF7" w:rsidRDefault="00FE257E" w:rsidP="004F12A9">
      <w:pPr>
        <w:pStyle w:val="Heading1"/>
        <w:rPr>
          <w:color w:val="002060"/>
        </w:rPr>
      </w:pPr>
      <w:r w:rsidRPr="007E1AF7">
        <w:rPr>
          <w:color w:val="002060"/>
        </w:rPr>
        <w:t>Comparator</w:t>
      </w:r>
    </w:p>
    <w:p w14:paraId="7259B943" w14:textId="77777777" w:rsidR="002A7E4A" w:rsidRPr="009C12B4" w:rsidRDefault="00FE257E" w:rsidP="009C12B4">
      <w:pPr>
        <w:rPr>
          <w:b/>
          <w:bCs/>
          <w:sz w:val="24"/>
          <w:szCs w:val="24"/>
        </w:rPr>
      </w:pPr>
      <w:r w:rsidRPr="009C12B4">
        <w:rPr>
          <w:b/>
          <w:bCs/>
          <w:sz w:val="24"/>
          <w:szCs w:val="24"/>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16600999" w14:textId="3C00B6A3" w:rsidR="0047658B" w:rsidRPr="009C12B4" w:rsidRDefault="004F12A9" w:rsidP="009C12B4">
      <w:pPr>
        <w:rPr>
          <w:b/>
          <w:bCs/>
          <w:sz w:val="24"/>
          <w:szCs w:val="24"/>
        </w:rPr>
      </w:pPr>
      <w:r w:rsidRPr="009C12B4">
        <w:rPr>
          <w:b/>
          <w:bCs/>
          <w:sz w:val="24"/>
          <w:szCs w:val="24"/>
        </w:rPr>
        <w:t>P</w:t>
      </w:r>
      <w:r w:rsidR="0047658B" w:rsidRPr="009C12B4">
        <w:rPr>
          <w:b/>
          <w:bCs/>
          <w:sz w:val="24"/>
          <w:szCs w:val="24"/>
        </w:rPr>
        <w:t>rovide a name for your comparator:</w:t>
      </w:r>
    </w:p>
    <w:p w14:paraId="0C952AA1" w14:textId="3E4119A4" w:rsidR="00971C2B" w:rsidRPr="00D4496E" w:rsidRDefault="00971C2B" w:rsidP="009C12B4">
      <w:pPr>
        <w:rPr>
          <w:rFonts w:eastAsia="Segoe UI"/>
          <w:color w:val="000000"/>
          <w:sz w:val="24"/>
          <w:szCs w:val="24"/>
        </w:rPr>
      </w:pPr>
      <w:r w:rsidRPr="00D4496E">
        <w:rPr>
          <w:rFonts w:eastAsia="Segoe UI"/>
          <w:color w:val="000000"/>
          <w:sz w:val="24"/>
          <w:szCs w:val="24"/>
        </w:rPr>
        <w:t xml:space="preserve">Axicabtagene ciloleucel (Yescarta®) </w:t>
      </w:r>
    </w:p>
    <w:p w14:paraId="494EB082" w14:textId="77777777" w:rsidR="00971C2B" w:rsidRDefault="00971C2B" w:rsidP="009C12B4">
      <w:pPr>
        <w:rPr>
          <w:rFonts w:eastAsia="Segoe UI"/>
          <w:i/>
          <w:iCs/>
          <w:color w:val="000000"/>
          <w:sz w:val="20"/>
          <w:szCs w:val="20"/>
        </w:rPr>
      </w:pPr>
    </w:p>
    <w:p w14:paraId="631DB3AD" w14:textId="51912BEB" w:rsidR="0047658B" w:rsidRPr="009C12B4" w:rsidRDefault="004F12A9" w:rsidP="009C12B4">
      <w:pPr>
        <w:rPr>
          <w:b/>
          <w:bCs/>
          <w:sz w:val="24"/>
          <w:szCs w:val="24"/>
        </w:rPr>
      </w:pPr>
      <w:r w:rsidRPr="009C12B4">
        <w:rPr>
          <w:b/>
          <w:bCs/>
          <w:sz w:val="24"/>
          <w:szCs w:val="24"/>
        </w:rPr>
        <w:t>P</w:t>
      </w:r>
      <w:r w:rsidR="0047658B" w:rsidRPr="009C12B4">
        <w:rPr>
          <w:b/>
          <w:bCs/>
          <w:sz w:val="24"/>
          <w:szCs w:val="24"/>
        </w:rPr>
        <w:t>rovide an identifying number for your comparator (if applicable):</w:t>
      </w:r>
    </w:p>
    <w:p w14:paraId="412030A6" w14:textId="76D9DCAA" w:rsidR="00930344" w:rsidRDefault="00E30C6A" w:rsidP="001E1797">
      <w:pPr>
        <w:rPr>
          <w:sz w:val="24"/>
          <w:szCs w:val="24"/>
        </w:rPr>
      </w:pPr>
      <w:r>
        <w:rPr>
          <w:sz w:val="24"/>
          <w:szCs w:val="24"/>
        </w:rPr>
        <w:t>Not applicable.</w:t>
      </w:r>
    </w:p>
    <w:p w14:paraId="78BB55A2" w14:textId="77777777" w:rsidR="00E30C6A" w:rsidRPr="0035351C" w:rsidRDefault="00E30C6A" w:rsidP="001E1797">
      <w:pPr>
        <w:rPr>
          <w:rFonts w:eastAsia="Segoe UI"/>
          <w:color w:val="000000"/>
          <w:sz w:val="24"/>
          <w:szCs w:val="24"/>
        </w:rPr>
      </w:pPr>
    </w:p>
    <w:p w14:paraId="7AE42CF7" w14:textId="71508C52" w:rsidR="00FE257E" w:rsidRPr="009C12B4" w:rsidRDefault="004F12A9" w:rsidP="00597818">
      <w:pPr>
        <w:keepNext/>
        <w:keepLines/>
        <w:rPr>
          <w:b/>
          <w:bCs/>
          <w:sz w:val="24"/>
          <w:szCs w:val="24"/>
        </w:rPr>
      </w:pPr>
      <w:r w:rsidRPr="009C12B4">
        <w:rPr>
          <w:b/>
          <w:bCs/>
          <w:sz w:val="24"/>
          <w:szCs w:val="24"/>
        </w:rPr>
        <w:lastRenderedPageBreak/>
        <w:t>P</w:t>
      </w:r>
      <w:r w:rsidR="005B5A58" w:rsidRPr="009C12B4">
        <w:rPr>
          <w:b/>
          <w:bCs/>
          <w:sz w:val="24"/>
          <w:szCs w:val="24"/>
        </w:rPr>
        <w:t>rovide a rationale for why this is a comparator</w:t>
      </w:r>
      <w:r w:rsidR="000627EF" w:rsidRPr="009C12B4">
        <w:rPr>
          <w:b/>
          <w:bCs/>
          <w:sz w:val="24"/>
          <w:szCs w:val="24"/>
        </w:rPr>
        <w:t>:</w:t>
      </w:r>
    </w:p>
    <w:p w14:paraId="4D25E506" w14:textId="51C8FF14" w:rsidR="00D4496E" w:rsidRPr="00D4496E" w:rsidRDefault="00D4496E" w:rsidP="00597818">
      <w:pPr>
        <w:keepNext/>
        <w:keepLines/>
        <w:rPr>
          <w:rFonts w:eastAsia="Segoe UI"/>
          <w:color w:val="000000"/>
          <w:sz w:val="24"/>
          <w:szCs w:val="24"/>
        </w:rPr>
      </w:pPr>
      <w:r w:rsidRPr="00D4496E">
        <w:rPr>
          <w:rFonts w:eastAsia="Segoe UI"/>
          <w:color w:val="000000"/>
          <w:sz w:val="24"/>
          <w:szCs w:val="24"/>
        </w:rPr>
        <w:t>Axicabtagene ciloleucel is a currently available CAR-T therapy that has been recommended for funding in the same population as sought for lisocabtagene maraleucel.</w:t>
      </w:r>
    </w:p>
    <w:p w14:paraId="6124A113" w14:textId="77777777" w:rsidR="00D4496E" w:rsidRDefault="00D4496E" w:rsidP="009C12B4">
      <w:pPr>
        <w:rPr>
          <w:rFonts w:eastAsia="Segoe UI"/>
          <w:color w:val="000000"/>
          <w:sz w:val="20"/>
          <w:szCs w:val="20"/>
        </w:rPr>
      </w:pPr>
    </w:p>
    <w:p w14:paraId="7461255E" w14:textId="41CFEF85" w:rsidR="00D44AD1" w:rsidRPr="009C12B4" w:rsidRDefault="005B5A58" w:rsidP="009C12B4">
      <w:pPr>
        <w:rPr>
          <w:b/>
          <w:bCs/>
          <w:sz w:val="24"/>
          <w:szCs w:val="24"/>
        </w:rPr>
      </w:pPr>
      <w:r w:rsidRPr="009C12B4">
        <w:rPr>
          <w:b/>
          <w:bCs/>
          <w:sz w:val="24"/>
          <w:szCs w:val="24"/>
        </w:rPr>
        <w:t xml:space="preserve">Pattern of substitution – Will the proposed health technology wholly replace the proposed comparator, partially replace </w:t>
      </w:r>
      <w:r w:rsidR="000627EF" w:rsidRPr="009C12B4">
        <w:rPr>
          <w:b/>
          <w:bCs/>
          <w:sz w:val="24"/>
          <w:szCs w:val="24"/>
        </w:rPr>
        <w:t>the proposed comparator, displace the proposed comparator or be used in combination with the proposed comparator?</w:t>
      </w:r>
      <w:r w:rsidR="00DB2D53" w:rsidRPr="009C12B4">
        <w:rPr>
          <w:b/>
          <w:bCs/>
          <w:sz w:val="24"/>
          <w:szCs w:val="24"/>
        </w:rPr>
        <w:t xml:space="preserve"> </w:t>
      </w:r>
    </w:p>
    <w:p w14:paraId="229BD1AA" w14:textId="4BDA9E01" w:rsidR="001E1797" w:rsidRPr="0035351C" w:rsidRDefault="000F19BA" w:rsidP="00D44AD1">
      <w:pPr>
        <w:pStyle w:val="Tickboxes"/>
        <w:rPr>
          <w:sz w:val="24"/>
          <w:szCs w:val="24"/>
        </w:rPr>
      </w:pPr>
      <w:r>
        <w:rPr>
          <w:sz w:val="24"/>
          <w:szCs w:val="24"/>
        </w:rPr>
        <w:fldChar w:fldCharType="begin">
          <w:ffData>
            <w:name w:val=""/>
            <w:enabled/>
            <w:calcOnExit w:val="0"/>
            <w:statusText w:type="text" w:val="Pattern of substitution None (used with the comparator)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None (used with the comparator) </w:t>
      </w:r>
    </w:p>
    <w:p w14:paraId="4EC71EF4" w14:textId="4760EAB1" w:rsidR="001E1797" w:rsidRPr="0035351C" w:rsidRDefault="000F19BA" w:rsidP="00D44AD1">
      <w:pPr>
        <w:pStyle w:val="Tickboxes"/>
        <w:rPr>
          <w:sz w:val="24"/>
          <w:szCs w:val="24"/>
        </w:rPr>
      </w:pPr>
      <w:r>
        <w:rPr>
          <w:sz w:val="24"/>
          <w:szCs w:val="24"/>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Displaced (comparator will likely be used following the proposed technology in some patients)</w:t>
      </w:r>
    </w:p>
    <w:p w14:paraId="47FB5952" w14:textId="3B07DFE9" w:rsidR="001E1797" w:rsidRPr="0035351C" w:rsidRDefault="00901159" w:rsidP="00D44AD1">
      <w:pPr>
        <w:pStyle w:val="Tickboxes"/>
        <w:rPr>
          <w:sz w:val="24"/>
          <w:szCs w:val="24"/>
        </w:rPr>
      </w:pPr>
      <w:r>
        <w:rPr>
          <w:sz w:val="24"/>
          <w:szCs w:val="24"/>
        </w:rPr>
        <w:fldChar w:fldCharType="begin">
          <w:ffData>
            <w:name w:val=""/>
            <w:enabled/>
            <w:calcOnExit w:val="0"/>
            <w:statusText w:type="text" w:val="Pattern of substitution Partial (in some cases, the proposed technology will replace the use of the comparator, but not all)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Partial (in some cases, the proposed technology will replace the use of the comparator, but not all) </w:t>
      </w:r>
    </w:p>
    <w:p w14:paraId="32AA0FD6" w14:textId="6494E9DC" w:rsidR="000627EF" w:rsidRPr="0035351C" w:rsidRDefault="00CE2F69" w:rsidP="00D44AD1">
      <w:pPr>
        <w:pStyle w:val="Tickboxes"/>
        <w:rPr>
          <w:sz w:val="24"/>
          <w:szCs w:val="24"/>
        </w:rPr>
      </w:pPr>
      <w:r>
        <w:rPr>
          <w:sz w:val="24"/>
          <w:szCs w:val="24"/>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Full (subjects who receive the proposed intervention will not receive the comparator)</w:t>
      </w:r>
    </w:p>
    <w:p w14:paraId="3D9A6633" w14:textId="78FE2383" w:rsidR="000627EF" w:rsidRPr="009C12B4" w:rsidRDefault="00D44AD1" w:rsidP="009C12B4">
      <w:pPr>
        <w:rPr>
          <w:b/>
          <w:bCs/>
          <w:sz w:val="24"/>
          <w:szCs w:val="24"/>
        </w:rPr>
      </w:pPr>
      <w:r w:rsidRPr="009C12B4">
        <w:rPr>
          <w:b/>
          <w:bCs/>
          <w:sz w:val="24"/>
          <w:szCs w:val="24"/>
        </w:rPr>
        <w:t>O</w:t>
      </w:r>
      <w:r w:rsidR="000627EF" w:rsidRPr="009C12B4">
        <w:rPr>
          <w:b/>
          <w:bCs/>
          <w:sz w:val="24"/>
          <w:szCs w:val="24"/>
        </w:rPr>
        <w:t>utline and explain the extent to which the current comparator is expected to be substituted:</w:t>
      </w:r>
    </w:p>
    <w:p w14:paraId="285DEB1F" w14:textId="54D8C58B" w:rsidR="005023CA" w:rsidRDefault="001B554E" w:rsidP="00597818">
      <w:pPr>
        <w:rPr>
          <w:sz w:val="24"/>
          <w:szCs w:val="24"/>
        </w:rPr>
      </w:pPr>
      <w:r>
        <w:rPr>
          <w:sz w:val="24"/>
          <w:szCs w:val="24"/>
        </w:rPr>
        <w:t xml:space="preserve">Lisocabtagene maraleucel is anticipated to replace axicabtagene </w:t>
      </w:r>
      <w:r w:rsidR="00254858">
        <w:rPr>
          <w:sz w:val="24"/>
          <w:szCs w:val="24"/>
        </w:rPr>
        <w:t>ciloleucel for a proportion of patients with LBCL being treated in the second line setting.</w:t>
      </w:r>
    </w:p>
    <w:p w14:paraId="527F0163" w14:textId="07A0E8C4" w:rsidR="0016065A" w:rsidRPr="007E1AF7" w:rsidRDefault="0016065A" w:rsidP="004F12A9">
      <w:pPr>
        <w:pStyle w:val="Heading1"/>
        <w:rPr>
          <w:color w:val="002060"/>
        </w:rPr>
      </w:pPr>
      <w:r w:rsidRPr="007E1AF7">
        <w:rPr>
          <w:color w:val="002060"/>
        </w:rPr>
        <w:t>Outcome</w:t>
      </w:r>
      <w:r w:rsidR="00770FA6" w:rsidRPr="007E1AF7">
        <w:rPr>
          <w:color w:val="002060"/>
        </w:rPr>
        <w:t>s</w:t>
      </w:r>
    </w:p>
    <w:p w14:paraId="7DF00C74" w14:textId="169B115D" w:rsidR="004C02B7" w:rsidRPr="00841FE9" w:rsidRDefault="004C02B7" w:rsidP="001E1797">
      <w:pPr>
        <w:rPr>
          <w:b/>
          <w:bCs/>
          <w:sz w:val="24"/>
          <w:szCs w:val="24"/>
        </w:rPr>
      </w:pPr>
      <w:r w:rsidRPr="00841FE9">
        <w:rPr>
          <w:b/>
          <w:bCs/>
          <w:sz w:val="24"/>
          <w:szCs w:val="24"/>
        </w:rPr>
        <w:t>List the key health outcomes (major and minor – prioritising major key health outcomes first) that will need to be measured in assessing the clinical claim for the proposed medical service/technology (versus the comparator):</w:t>
      </w:r>
    </w:p>
    <w:p w14:paraId="2BA09AC5" w14:textId="66EF67E8" w:rsidR="004C02B7" w:rsidRPr="0035351C" w:rsidRDefault="00DD5074" w:rsidP="004F12A9">
      <w:pPr>
        <w:pStyle w:val="Tickboxes"/>
        <w:rPr>
          <w:sz w:val="24"/>
          <w:szCs w:val="24"/>
        </w:rPr>
      </w:pPr>
      <w:r>
        <w:rPr>
          <w:sz w:val="24"/>
          <w:szCs w:val="24"/>
        </w:rPr>
        <w:fldChar w:fldCharType="begin">
          <w:ffData>
            <w:name w:val=""/>
            <w:enabled/>
            <w:calcOnExit w:val="0"/>
            <w:statusText w:type="text" w:val="Health outcomes Health benefits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35351C">
        <w:rPr>
          <w:sz w:val="24"/>
          <w:szCs w:val="24"/>
        </w:rPr>
        <w:t xml:space="preserve"> Health benefits </w:t>
      </w:r>
    </w:p>
    <w:p w14:paraId="4B5E35E8" w14:textId="1DF61D8D" w:rsidR="004C02B7" w:rsidRPr="0035351C" w:rsidRDefault="00E329FB" w:rsidP="004F12A9">
      <w:pPr>
        <w:pStyle w:val="Tickboxes"/>
        <w:rPr>
          <w:sz w:val="24"/>
          <w:szCs w:val="24"/>
        </w:rPr>
      </w:pPr>
      <w:r>
        <w:rPr>
          <w:sz w:val="24"/>
          <w:szCs w:val="24"/>
        </w:rPr>
        <w:fldChar w:fldCharType="begin">
          <w:ffData>
            <w:name w:val=""/>
            <w:enabled/>
            <w:calcOnExit w:val="0"/>
            <w:statusText w:type="text" w:val="Health outcomes Health harm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35351C">
        <w:rPr>
          <w:sz w:val="24"/>
          <w:szCs w:val="24"/>
        </w:rPr>
        <w:t xml:space="preserve"> Health harms</w:t>
      </w:r>
    </w:p>
    <w:p w14:paraId="3CEF185E" w14:textId="2D6F268F" w:rsidR="004C02B7" w:rsidRPr="0035351C" w:rsidRDefault="0008427F" w:rsidP="004F12A9">
      <w:pPr>
        <w:pStyle w:val="Tickboxes"/>
        <w:rPr>
          <w:sz w:val="24"/>
          <w:szCs w:val="24"/>
        </w:rPr>
      </w:pPr>
      <w:r>
        <w:rPr>
          <w:sz w:val="24"/>
          <w:szCs w:val="24"/>
        </w:rPr>
        <w:fldChar w:fldCharType="begin">
          <w:ffData>
            <w:name w:val=""/>
            <w:enabled/>
            <w:calcOnExit w:val="0"/>
            <w:statusText w:type="text" w:val="Health outcomes Resource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35351C">
        <w:rPr>
          <w:sz w:val="24"/>
          <w:szCs w:val="24"/>
        </w:rPr>
        <w:t xml:space="preserve"> Resources </w:t>
      </w:r>
    </w:p>
    <w:p w14:paraId="36189B68" w14:textId="4839BFD8" w:rsidR="004C02B7" w:rsidRPr="00841FE9" w:rsidRDefault="00E00CD3" w:rsidP="00841FE9">
      <w:pPr>
        <w:rPr>
          <w:b/>
          <w:bCs/>
          <w:sz w:val="24"/>
          <w:szCs w:val="24"/>
        </w:rPr>
      </w:pPr>
      <w:r w:rsidRPr="00841FE9">
        <w:rPr>
          <w:b/>
          <w:bCs/>
          <w:sz w:val="24"/>
          <w:szCs w:val="24"/>
        </w:rPr>
        <w:t>O</w:t>
      </w:r>
      <w:r w:rsidR="00CB5480" w:rsidRPr="00841FE9">
        <w:rPr>
          <w:b/>
          <w:bCs/>
          <w:sz w:val="24"/>
          <w:szCs w:val="24"/>
        </w:rPr>
        <w:t>utcome description</w:t>
      </w:r>
      <w:r w:rsidRPr="00841FE9">
        <w:rPr>
          <w:b/>
          <w:bCs/>
          <w:sz w:val="24"/>
          <w:szCs w:val="24"/>
        </w:rPr>
        <w:t xml:space="preserve"> – please include information about whether a change in patient management, or prognosis, occurs as a result of the test information</w:t>
      </w:r>
      <w:r w:rsidR="004C02B7" w:rsidRPr="00841FE9">
        <w:rPr>
          <w:b/>
          <w:bCs/>
          <w:sz w:val="24"/>
          <w:szCs w:val="24"/>
        </w:rPr>
        <w:t>:</w:t>
      </w:r>
    </w:p>
    <w:p w14:paraId="7194BAE5" w14:textId="75A0BDD4" w:rsidR="004C02B7" w:rsidRDefault="00EB4BB8" w:rsidP="001E1797">
      <w:pPr>
        <w:rPr>
          <w:sz w:val="24"/>
          <w:szCs w:val="24"/>
        </w:rPr>
      </w:pPr>
      <w:r w:rsidRPr="2974F146">
        <w:rPr>
          <w:sz w:val="24"/>
          <w:szCs w:val="24"/>
        </w:rPr>
        <w:t xml:space="preserve">Key </w:t>
      </w:r>
      <w:r w:rsidR="008552CF" w:rsidRPr="2974F146">
        <w:rPr>
          <w:sz w:val="24"/>
          <w:szCs w:val="24"/>
        </w:rPr>
        <w:t xml:space="preserve">efficacy </w:t>
      </w:r>
      <w:r w:rsidRPr="2974F146">
        <w:rPr>
          <w:sz w:val="24"/>
          <w:szCs w:val="24"/>
        </w:rPr>
        <w:t xml:space="preserve">outcomes anticipated to be presented in the ADAR </w:t>
      </w:r>
      <w:r w:rsidR="088E7D4E" w:rsidRPr="2974F146">
        <w:rPr>
          <w:sz w:val="24"/>
          <w:szCs w:val="24"/>
        </w:rPr>
        <w:t xml:space="preserve">that </w:t>
      </w:r>
      <w:r w:rsidR="00CC2BEF" w:rsidRPr="2974F146">
        <w:rPr>
          <w:sz w:val="24"/>
          <w:szCs w:val="24"/>
        </w:rPr>
        <w:t>are informed by the TRANSFORM clinical trial</w:t>
      </w:r>
      <w:r w:rsidR="005E61DC" w:rsidRPr="2974F146">
        <w:rPr>
          <w:sz w:val="24"/>
          <w:szCs w:val="24"/>
        </w:rPr>
        <w:t xml:space="preserve"> </w:t>
      </w:r>
      <w:r w:rsidR="00CC2BEF" w:rsidRPr="2974F146">
        <w:rPr>
          <w:sz w:val="24"/>
          <w:szCs w:val="24"/>
        </w:rPr>
        <w:t>include</w:t>
      </w:r>
      <w:r w:rsidRPr="2974F146">
        <w:rPr>
          <w:sz w:val="24"/>
          <w:szCs w:val="24"/>
        </w:rPr>
        <w:t>:</w:t>
      </w:r>
    </w:p>
    <w:p w14:paraId="1F047FE2" w14:textId="77777777" w:rsidR="00CC2BEF" w:rsidRPr="00D30C3E" w:rsidRDefault="00CC2BEF" w:rsidP="00CC2BEF">
      <w:pPr>
        <w:pStyle w:val="ListParagraph"/>
        <w:numPr>
          <w:ilvl w:val="0"/>
          <w:numId w:val="4"/>
        </w:numPr>
        <w:tabs>
          <w:tab w:val="num" w:pos="426"/>
        </w:tabs>
        <w:jc w:val="both"/>
        <w:rPr>
          <w:rFonts w:ascii="Segoe UI" w:hAnsi="Segoe UI" w:cs="Segoe UI"/>
          <w:sz w:val="24"/>
          <w:szCs w:val="24"/>
        </w:rPr>
      </w:pPr>
      <w:r w:rsidRPr="00D30C3E">
        <w:rPr>
          <w:rFonts w:ascii="Segoe UI" w:hAnsi="Segoe UI" w:cs="Segoe UI"/>
          <w:sz w:val="24"/>
          <w:szCs w:val="24"/>
        </w:rPr>
        <w:t>Primary efficacy endpoint: event-free survival (EFS)</w:t>
      </w:r>
    </w:p>
    <w:p w14:paraId="76AAFC03" w14:textId="77777777" w:rsidR="00CC2BEF" w:rsidRPr="00D30C3E" w:rsidRDefault="00CC2BEF" w:rsidP="00CC2BEF">
      <w:pPr>
        <w:pStyle w:val="ListParagraph"/>
        <w:numPr>
          <w:ilvl w:val="0"/>
          <w:numId w:val="4"/>
        </w:numPr>
        <w:tabs>
          <w:tab w:val="num" w:pos="426"/>
        </w:tabs>
        <w:jc w:val="both"/>
        <w:rPr>
          <w:rFonts w:ascii="Segoe UI" w:hAnsi="Segoe UI" w:cs="Segoe UI"/>
          <w:sz w:val="24"/>
          <w:szCs w:val="24"/>
        </w:rPr>
      </w:pPr>
      <w:r w:rsidRPr="00D30C3E">
        <w:rPr>
          <w:rFonts w:ascii="Segoe UI" w:hAnsi="Segoe UI" w:cs="Segoe UI"/>
          <w:sz w:val="24"/>
          <w:szCs w:val="24"/>
        </w:rPr>
        <w:t>Key secondary efficacy endpoints:</w:t>
      </w:r>
    </w:p>
    <w:p w14:paraId="4CD63C31" w14:textId="77777777" w:rsidR="00CC2BEF" w:rsidRPr="00D30C3E" w:rsidRDefault="00CC2BEF" w:rsidP="00CC2BEF">
      <w:pPr>
        <w:pStyle w:val="ListParagraph"/>
        <w:numPr>
          <w:ilvl w:val="1"/>
          <w:numId w:val="4"/>
        </w:numPr>
        <w:jc w:val="both"/>
        <w:rPr>
          <w:rFonts w:ascii="Segoe UI" w:hAnsi="Segoe UI" w:cs="Segoe UI"/>
          <w:sz w:val="24"/>
          <w:szCs w:val="24"/>
        </w:rPr>
      </w:pPr>
      <w:r w:rsidRPr="00D30C3E">
        <w:rPr>
          <w:rFonts w:ascii="Segoe UI" w:hAnsi="Segoe UI" w:cs="Segoe UI"/>
          <w:sz w:val="24"/>
          <w:szCs w:val="24"/>
        </w:rPr>
        <w:t>Complete response rate (CRR)</w:t>
      </w:r>
    </w:p>
    <w:p w14:paraId="47CF1FE5" w14:textId="77777777" w:rsidR="00CC2BEF" w:rsidRPr="00D30C3E" w:rsidRDefault="00CC2BEF" w:rsidP="00CC2BEF">
      <w:pPr>
        <w:pStyle w:val="ListParagraph"/>
        <w:numPr>
          <w:ilvl w:val="1"/>
          <w:numId w:val="4"/>
        </w:numPr>
        <w:jc w:val="both"/>
        <w:rPr>
          <w:rFonts w:ascii="Segoe UI" w:hAnsi="Segoe UI" w:cs="Segoe UI"/>
          <w:sz w:val="24"/>
          <w:szCs w:val="24"/>
        </w:rPr>
      </w:pPr>
      <w:r w:rsidRPr="00D30C3E">
        <w:rPr>
          <w:rFonts w:ascii="Segoe UI" w:hAnsi="Segoe UI" w:cs="Segoe UI"/>
          <w:sz w:val="24"/>
          <w:szCs w:val="24"/>
        </w:rPr>
        <w:t>Progression-free survival (PFS)</w:t>
      </w:r>
    </w:p>
    <w:p w14:paraId="1B0E92FB" w14:textId="16EC8599" w:rsidR="009F35C9" w:rsidRPr="00D30C3E" w:rsidRDefault="00CC2BEF" w:rsidP="001E1797">
      <w:pPr>
        <w:pStyle w:val="ListParagraph"/>
        <w:numPr>
          <w:ilvl w:val="1"/>
          <w:numId w:val="4"/>
        </w:numPr>
        <w:jc w:val="both"/>
        <w:rPr>
          <w:rFonts w:ascii="Segoe UI" w:hAnsi="Segoe UI" w:cs="Segoe UI"/>
          <w:sz w:val="24"/>
          <w:szCs w:val="24"/>
        </w:rPr>
      </w:pPr>
      <w:r w:rsidRPr="00D30C3E">
        <w:rPr>
          <w:rFonts w:ascii="Segoe UI" w:hAnsi="Segoe UI" w:cs="Segoe UI"/>
          <w:sz w:val="24"/>
          <w:szCs w:val="24"/>
        </w:rPr>
        <w:t>Overall survival (OS)</w:t>
      </w:r>
    </w:p>
    <w:p w14:paraId="098CEC8C" w14:textId="0C9F2C6C" w:rsidR="008C1841" w:rsidRPr="00D30C3E" w:rsidRDefault="008C1841" w:rsidP="00F57346">
      <w:pPr>
        <w:pStyle w:val="ListParagraph"/>
        <w:numPr>
          <w:ilvl w:val="1"/>
          <w:numId w:val="4"/>
        </w:numPr>
        <w:jc w:val="both"/>
        <w:rPr>
          <w:rFonts w:ascii="Segoe UI" w:hAnsi="Segoe UI" w:cs="Segoe UI"/>
          <w:sz w:val="24"/>
          <w:szCs w:val="24"/>
        </w:rPr>
      </w:pPr>
      <w:r w:rsidRPr="00D30C3E">
        <w:rPr>
          <w:rFonts w:ascii="Segoe UI" w:hAnsi="Segoe UI" w:cs="Segoe UI"/>
          <w:sz w:val="24"/>
          <w:szCs w:val="24"/>
        </w:rPr>
        <w:t>Duration of response (DOR)</w:t>
      </w:r>
    </w:p>
    <w:p w14:paraId="4E3AAF16" w14:textId="5F20C19B" w:rsidR="008C1841" w:rsidRPr="00D30C3E" w:rsidRDefault="008C1841" w:rsidP="008C1841">
      <w:pPr>
        <w:pStyle w:val="ListParagraph"/>
        <w:numPr>
          <w:ilvl w:val="1"/>
          <w:numId w:val="4"/>
        </w:numPr>
        <w:jc w:val="both"/>
        <w:rPr>
          <w:rFonts w:ascii="Segoe UI" w:hAnsi="Segoe UI" w:cs="Segoe UI"/>
          <w:sz w:val="24"/>
          <w:szCs w:val="24"/>
        </w:rPr>
      </w:pPr>
      <w:r w:rsidRPr="00D30C3E">
        <w:rPr>
          <w:rFonts w:ascii="Segoe UI" w:hAnsi="Segoe UI" w:cs="Segoe UI"/>
          <w:sz w:val="24"/>
          <w:szCs w:val="24"/>
        </w:rPr>
        <w:t>O</w:t>
      </w:r>
      <w:r w:rsidR="00A931BC" w:rsidRPr="00D30C3E">
        <w:rPr>
          <w:rFonts w:ascii="Segoe UI" w:hAnsi="Segoe UI" w:cs="Segoe UI"/>
          <w:sz w:val="24"/>
          <w:szCs w:val="24"/>
        </w:rPr>
        <w:t>bjective response rate (ORR)</w:t>
      </w:r>
    </w:p>
    <w:p w14:paraId="34738146" w14:textId="31FA3AEC" w:rsidR="00A931BC" w:rsidRPr="00D30C3E" w:rsidRDefault="00A931BC" w:rsidP="008C1841">
      <w:pPr>
        <w:pStyle w:val="ListParagraph"/>
        <w:numPr>
          <w:ilvl w:val="1"/>
          <w:numId w:val="4"/>
        </w:numPr>
        <w:jc w:val="both"/>
        <w:rPr>
          <w:rFonts w:ascii="Segoe UI" w:hAnsi="Segoe UI" w:cs="Segoe UI"/>
          <w:sz w:val="24"/>
          <w:szCs w:val="24"/>
        </w:rPr>
      </w:pPr>
      <w:r w:rsidRPr="00D30C3E">
        <w:rPr>
          <w:rFonts w:ascii="Segoe UI" w:hAnsi="Segoe UI" w:cs="Segoe UI"/>
          <w:sz w:val="24"/>
          <w:szCs w:val="24"/>
        </w:rPr>
        <w:t>Progression-free survival 2 (PFS-2)</w:t>
      </w:r>
    </w:p>
    <w:p w14:paraId="21FEB3EB" w14:textId="40465320" w:rsidR="008C1841" w:rsidRPr="00D30C3E" w:rsidRDefault="008C1841" w:rsidP="00A931BC">
      <w:pPr>
        <w:pStyle w:val="ListParagraph"/>
        <w:numPr>
          <w:ilvl w:val="1"/>
          <w:numId w:val="4"/>
        </w:numPr>
        <w:jc w:val="both"/>
        <w:rPr>
          <w:rFonts w:ascii="Segoe UI" w:hAnsi="Segoe UI" w:cs="Segoe UI"/>
          <w:sz w:val="24"/>
          <w:szCs w:val="24"/>
        </w:rPr>
      </w:pPr>
      <w:r w:rsidRPr="00D30C3E">
        <w:rPr>
          <w:rFonts w:ascii="Segoe UI" w:hAnsi="Segoe UI" w:cs="Segoe UI"/>
          <w:sz w:val="24"/>
          <w:szCs w:val="24"/>
        </w:rPr>
        <w:t>Health related quality of life (HRQoL</w:t>
      </w:r>
      <w:r w:rsidR="00A931BC" w:rsidRPr="00D30C3E">
        <w:rPr>
          <w:rFonts w:ascii="Segoe UI" w:hAnsi="Segoe UI" w:cs="Segoe UI"/>
          <w:sz w:val="24"/>
          <w:szCs w:val="24"/>
        </w:rPr>
        <w:t>)</w:t>
      </w:r>
    </w:p>
    <w:p w14:paraId="02AAE96A" w14:textId="046A7E72" w:rsidR="00D2478D" w:rsidRDefault="00D2478D" w:rsidP="00D2478D">
      <w:pPr>
        <w:rPr>
          <w:sz w:val="24"/>
          <w:szCs w:val="24"/>
        </w:rPr>
      </w:pPr>
      <w:r w:rsidRPr="2974F146">
        <w:rPr>
          <w:sz w:val="24"/>
          <w:szCs w:val="24"/>
        </w:rPr>
        <w:lastRenderedPageBreak/>
        <w:t xml:space="preserve">Key efficacy outcomes anticipated to be presented in the ADAR </w:t>
      </w:r>
      <w:r w:rsidR="5CAEA16C" w:rsidRPr="2974F146">
        <w:rPr>
          <w:sz w:val="24"/>
          <w:szCs w:val="24"/>
        </w:rPr>
        <w:t>that</w:t>
      </w:r>
      <w:r w:rsidR="77314019" w:rsidRPr="2974F146">
        <w:rPr>
          <w:sz w:val="24"/>
          <w:szCs w:val="24"/>
        </w:rPr>
        <w:t xml:space="preserve"> </w:t>
      </w:r>
      <w:r w:rsidRPr="2974F146">
        <w:rPr>
          <w:sz w:val="24"/>
          <w:szCs w:val="24"/>
        </w:rPr>
        <w:t>are informed by the PILOT clinical trial include:</w:t>
      </w:r>
    </w:p>
    <w:p w14:paraId="71C928B3" w14:textId="5FF4428B" w:rsidR="00D2478D" w:rsidRPr="00D30C3E" w:rsidRDefault="00D2478D" w:rsidP="00D2478D">
      <w:pPr>
        <w:pStyle w:val="ListParagraph"/>
        <w:numPr>
          <w:ilvl w:val="0"/>
          <w:numId w:val="4"/>
        </w:numPr>
        <w:tabs>
          <w:tab w:val="num" w:pos="426"/>
        </w:tabs>
        <w:jc w:val="both"/>
        <w:rPr>
          <w:rFonts w:ascii="Segoe UI" w:hAnsi="Segoe UI" w:cs="Segoe UI"/>
          <w:sz w:val="24"/>
          <w:szCs w:val="24"/>
        </w:rPr>
      </w:pPr>
      <w:r w:rsidRPr="00D30C3E">
        <w:rPr>
          <w:rFonts w:ascii="Segoe UI" w:hAnsi="Segoe UI" w:cs="Segoe UI"/>
          <w:sz w:val="24"/>
          <w:szCs w:val="24"/>
        </w:rPr>
        <w:t>Primary efficacy endpoint: overall re</w:t>
      </w:r>
      <w:r w:rsidR="007B2BF4" w:rsidRPr="00D30C3E">
        <w:rPr>
          <w:rFonts w:ascii="Segoe UI" w:hAnsi="Segoe UI" w:cs="Segoe UI"/>
          <w:sz w:val="24"/>
          <w:szCs w:val="24"/>
        </w:rPr>
        <w:t>sponse rate (ORR)</w:t>
      </w:r>
    </w:p>
    <w:p w14:paraId="4D2B46C7" w14:textId="77777777" w:rsidR="00D2478D" w:rsidRPr="00D30C3E" w:rsidRDefault="00D2478D" w:rsidP="00D2478D">
      <w:pPr>
        <w:pStyle w:val="ListParagraph"/>
        <w:numPr>
          <w:ilvl w:val="0"/>
          <w:numId w:val="4"/>
        </w:numPr>
        <w:tabs>
          <w:tab w:val="num" w:pos="426"/>
        </w:tabs>
        <w:jc w:val="both"/>
        <w:rPr>
          <w:rFonts w:ascii="Segoe UI" w:hAnsi="Segoe UI" w:cs="Segoe UI"/>
          <w:sz w:val="24"/>
          <w:szCs w:val="24"/>
        </w:rPr>
      </w:pPr>
      <w:r w:rsidRPr="00D30C3E">
        <w:rPr>
          <w:rFonts w:ascii="Segoe UI" w:hAnsi="Segoe UI" w:cs="Segoe UI"/>
          <w:sz w:val="24"/>
          <w:szCs w:val="24"/>
        </w:rPr>
        <w:t>Key secondary efficacy endpoints:</w:t>
      </w:r>
    </w:p>
    <w:p w14:paraId="1047127E" w14:textId="77777777" w:rsidR="00D2478D" w:rsidRPr="00D30C3E" w:rsidRDefault="00D2478D" w:rsidP="00D2478D">
      <w:pPr>
        <w:pStyle w:val="ListParagraph"/>
        <w:numPr>
          <w:ilvl w:val="1"/>
          <w:numId w:val="4"/>
        </w:numPr>
        <w:jc w:val="both"/>
        <w:rPr>
          <w:rFonts w:ascii="Segoe UI" w:hAnsi="Segoe UI" w:cs="Segoe UI"/>
          <w:sz w:val="24"/>
          <w:szCs w:val="24"/>
        </w:rPr>
      </w:pPr>
      <w:r w:rsidRPr="00D30C3E">
        <w:rPr>
          <w:rFonts w:ascii="Segoe UI" w:hAnsi="Segoe UI" w:cs="Segoe UI"/>
          <w:sz w:val="24"/>
          <w:szCs w:val="24"/>
        </w:rPr>
        <w:t>Complete response rate (CRR)</w:t>
      </w:r>
    </w:p>
    <w:p w14:paraId="119D2938" w14:textId="77777777" w:rsidR="00D2478D" w:rsidRPr="00D30C3E" w:rsidRDefault="00D2478D" w:rsidP="00D2478D">
      <w:pPr>
        <w:pStyle w:val="ListParagraph"/>
        <w:numPr>
          <w:ilvl w:val="1"/>
          <w:numId w:val="4"/>
        </w:numPr>
        <w:jc w:val="both"/>
        <w:rPr>
          <w:rFonts w:ascii="Segoe UI" w:hAnsi="Segoe UI" w:cs="Segoe UI"/>
          <w:sz w:val="24"/>
          <w:szCs w:val="24"/>
        </w:rPr>
      </w:pPr>
      <w:r w:rsidRPr="00D30C3E">
        <w:rPr>
          <w:rFonts w:ascii="Segoe UI" w:hAnsi="Segoe UI" w:cs="Segoe UI"/>
          <w:sz w:val="24"/>
          <w:szCs w:val="24"/>
        </w:rPr>
        <w:t>Progression-free survival (PFS)</w:t>
      </w:r>
    </w:p>
    <w:p w14:paraId="5542FAB8" w14:textId="77777777" w:rsidR="00D2478D" w:rsidRPr="00D30C3E" w:rsidRDefault="00D2478D" w:rsidP="00D2478D">
      <w:pPr>
        <w:pStyle w:val="ListParagraph"/>
        <w:numPr>
          <w:ilvl w:val="1"/>
          <w:numId w:val="4"/>
        </w:numPr>
        <w:jc w:val="both"/>
        <w:rPr>
          <w:rFonts w:ascii="Segoe UI" w:hAnsi="Segoe UI" w:cs="Segoe UI"/>
          <w:sz w:val="24"/>
          <w:szCs w:val="24"/>
        </w:rPr>
      </w:pPr>
      <w:r w:rsidRPr="00D30C3E">
        <w:rPr>
          <w:rFonts w:ascii="Segoe UI" w:hAnsi="Segoe UI" w:cs="Segoe UI"/>
          <w:sz w:val="24"/>
          <w:szCs w:val="24"/>
        </w:rPr>
        <w:t>Overall survival (OS)</w:t>
      </w:r>
    </w:p>
    <w:p w14:paraId="5F9A7DB0" w14:textId="0B32FBFF" w:rsidR="007B2BF4" w:rsidRPr="00D30C3E" w:rsidRDefault="007B2BF4" w:rsidP="00D2478D">
      <w:pPr>
        <w:pStyle w:val="ListParagraph"/>
        <w:numPr>
          <w:ilvl w:val="1"/>
          <w:numId w:val="4"/>
        </w:numPr>
        <w:jc w:val="both"/>
        <w:rPr>
          <w:rFonts w:ascii="Segoe UI" w:hAnsi="Segoe UI" w:cs="Segoe UI"/>
          <w:sz w:val="24"/>
          <w:szCs w:val="24"/>
        </w:rPr>
      </w:pPr>
      <w:r w:rsidRPr="00D30C3E">
        <w:rPr>
          <w:rFonts w:ascii="Segoe UI" w:hAnsi="Segoe UI" w:cs="Segoe UI"/>
          <w:sz w:val="24"/>
          <w:szCs w:val="24"/>
        </w:rPr>
        <w:t>Event-free survival (EFS)</w:t>
      </w:r>
    </w:p>
    <w:p w14:paraId="05995996" w14:textId="77777777" w:rsidR="00D2478D" w:rsidRPr="00D30C3E" w:rsidRDefault="00D2478D" w:rsidP="00D2478D">
      <w:pPr>
        <w:pStyle w:val="ListParagraph"/>
        <w:numPr>
          <w:ilvl w:val="1"/>
          <w:numId w:val="4"/>
        </w:numPr>
        <w:jc w:val="both"/>
        <w:rPr>
          <w:rFonts w:ascii="Segoe UI" w:hAnsi="Segoe UI" w:cs="Segoe UI"/>
          <w:sz w:val="24"/>
          <w:szCs w:val="24"/>
        </w:rPr>
      </w:pPr>
      <w:r w:rsidRPr="00D30C3E">
        <w:rPr>
          <w:rFonts w:ascii="Segoe UI" w:hAnsi="Segoe UI" w:cs="Segoe UI"/>
          <w:sz w:val="24"/>
          <w:szCs w:val="24"/>
        </w:rPr>
        <w:t>Duration of response (DOR)</w:t>
      </w:r>
    </w:p>
    <w:p w14:paraId="2965A5D0" w14:textId="77777777" w:rsidR="00D2478D" w:rsidRPr="00D30C3E" w:rsidRDefault="00D2478D" w:rsidP="00D2478D">
      <w:pPr>
        <w:pStyle w:val="ListParagraph"/>
        <w:numPr>
          <w:ilvl w:val="1"/>
          <w:numId w:val="4"/>
        </w:numPr>
        <w:jc w:val="both"/>
        <w:rPr>
          <w:rFonts w:ascii="Segoe UI" w:hAnsi="Segoe UI" w:cs="Segoe UI"/>
          <w:sz w:val="24"/>
          <w:szCs w:val="24"/>
        </w:rPr>
      </w:pPr>
      <w:r w:rsidRPr="00D30C3E">
        <w:rPr>
          <w:rFonts w:ascii="Segoe UI" w:hAnsi="Segoe UI" w:cs="Segoe UI"/>
          <w:sz w:val="24"/>
          <w:szCs w:val="24"/>
        </w:rPr>
        <w:t>Health related quality of life (HRQoL)</w:t>
      </w:r>
    </w:p>
    <w:p w14:paraId="7688E905" w14:textId="77777777" w:rsidR="00D2478D" w:rsidRDefault="00D2478D" w:rsidP="00CF502B">
      <w:pPr>
        <w:jc w:val="both"/>
      </w:pPr>
    </w:p>
    <w:p w14:paraId="28668003" w14:textId="1F325072" w:rsidR="00E30C6A" w:rsidRPr="00F94FC7" w:rsidRDefault="00E30C6A" w:rsidP="00E30C6A">
      <w:pPr>
        <w:jc w:val="both"/>
        <w:rPr>
          <w:sz w:val="24"/>
          <w:szCs w:val="24"/>
        </w:rPr>
      </w:pPr>
      <w:r w:rsidRPr="00F94FC7">
        <w:rPr>
          <w:sz w:val="24"/>
          <w:szCs w:val="24"/>
        </w:rPr>
        <w:t>Note that the proposed therapy is not a test.</w:t>
      </w:r>
    </w:p>
    <w:p w14:paraId="6675E9CD" w14:textId="77777777" w:rsidR="009F35C9" w:rsidRDefault="009F35C9" w:rsidP="001E1797">
      <w:pPr>
        <w:rPr>
          <w:sz w:val="24"/>
          <w:szCs w:val="24"/>
        </w:rPr>
      </w:pPr>
    </w:p>
    <w:p w14:paraId="0AE678B8" w14:textId="77777777" w:rsidR="009F35C9" w:rsidRPr="00841FE9" w:rsidRDefault="009F35C9" w:rsidP="009F35C9">
      <w:pPr>
        <w:rPr>
          <w:b/>
          <w:bCs/>
          <w:sz w:val="24"/>
          <w:szCs w:val="24"/>
        </w:rPr>
      </w:pPr>
      <w:r w:rsidRPr="00841FE9">
        <w:rPr>
          <w:b/>
          <w:bCs/>
          <w:sz w:val="24"/>
          <w:szCs w:val="24"/>
        </w:rPr>
        <w:t>List the key health outcomes (major and minor – prioritising major key health outcomes first) that will need to be measured in assessing the clinical claim for the proposed medical service/technology (versus the comparator):</w:t>
      </w:r>
    </w:p>
    <w:p w14:paraId="46B1E8CF"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benefits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benefits </w:t>
      </w:r>
    </w:p>
    <w:p w14:paraId="323D2F5B" w14:textId="5C8E3D1E"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harm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harms</w:t>
      </w:r>
    </w:p>
    <w:p w14:paraId="704E8DF2"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Resource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Resources </w:t>
      </w:r>
    </w:p>
    <w:p w14:paraId="10A87F98" w14:textId="77777777" w:rsidR="009F35C9" w:rsidRPr="00841FE9" w:rsidRDefault="009F35C9" w:rsidP="009F35C9">
      <w:pPr>
        <w:rPr>
          <w:b/>
          <w:bCs/>
          <w:sz w:val="24"/>
          <w:szCs w:val="24"/>
        </w:rPr>
      </w:pPr>
      <w:r w:rsidRPr="00841FE9">
        <w:rPr>
          <w:b/>
          <w:bCs/>
          <w:sz w:val="24"/>
          <w:szCs w:val="24"/>
        </w:rPr>
        <w:t>Outcome description – please include information about whether a change in patient management, or prognosis, occurs as a result of the test information:</w:t>
      </w:r>
    </w:p>
    <w:p w14:paraId="7F40E396" w14:textId="54653EB7" w:rsidR="00530AB0" w:rsidRDefault="008552CF" w:rsidP="001E1797">
      <w:pPr>
        <w:rPr>
          <w:sz w:val="24"/>
          <w:szCs w:val="24"/>
          <w:highlight w:val="yellow"/>
        </w:rPr>
      </w:pPr>
      <w:r w:rsidRPr="00CF502B">
        <w:rPr>
          <w:sz w:val="24"/>
          <w:szCs w:val="24"/>
        </w:rPr>
        <w:t xml:space="preserve">Key </w:t>
      </w:r>
      <w:r w:rsidR="00D5735B" w:rsidRPr="00CF502B">
        <w:rPr>
          <w:sz w:val="24"/>
          <w:szCs w:val="24"/>
        </w:rPr>
        <w:t>safety</w:t>
      </w:r>
      <w:r w:rsidRPr="00CF502B">
        <w:rPr>
          <w:sz w:val="24"/>
          <w:szCs w:val="24"/>
        </w:rPr>
        <w:t xml:space="preserve"> outcomes anticipated to be presented in the ADAR are informed by the TRANSFORM clinical trial include</w:t>
      </w:r>
      <w:r w:rsidR="00CB3239" w:rsidRPr="00CF502B">
        <w:rPr>
          <w:sz w:val="24"/>
          <w:szCs w:val="24"/>
        </w:rPr>
        <w:t xml:space="preserve"> the t</w:t>
      </w:r>
      <w:r w:rsidR="009B7788" w:rsidRPr="00CF502B">
        <w:rPr>
          <w:rFonts w:eastAsia="Calibri"/>
          <w:sz w:val="24"/>
          <w:szCs w:val="24"/>
        </w:rPr>
        <w:t>ype, frequency, and severity of</w:t>
      </w:r>
      <w:r w:rsidR="00CB3239" w:rsidRPr="00CF502B">
        <w:rPr>
          <w:sz w:val="24"/>
          <w:szCs w:val="24"/>
        </w:rPr>
        <w:t xml:space="preserve"> adverse events (</w:t>
      </w:r>
      <w:r w:rsidR="009B7788" w:rsidRPr="00CF502B">
        <w:rPr>
          <w:rFonts w:eastAsia="Calibri"/>
          <w:sz w:val="24"/>
          <w:szCs w:val="24"/>
        </w:rPr>
        <w:t>AEs</w:t>
      </w:r>
      <w:r w:rsidR="00CB3239" w:rsidRPr="00CF502B">
        <w:rPr>
          <w:sz w:val="24"/>
          <w:szCs w:val="24"/>
        </w:rPr>
        <w:t>)</w:t>
      </w:r>
      <w:r w:rsidR="009B7788" w:rsidRPr="00CF502B">
        <w:rPr>
          <w:rFonts w:eastAsia="Calibri"/>
          <w:sz w:val="24"/>
          <w:szCs w:val="24"/>
        </w:rPr>
        <w:t xml:space="preserve">, </w:t>
      </w:r>
      <w:r w:rsidR="00CB3239" w:rsidRPr="00CF502B">
        <w:rPr>
          <w:sz w:val="24"/>
          <w:szCs w:val="24"/>
        </w:rPr>
        <w:t>serious adverse events (</w:t>
      </w:r>
      <w:r w:rsidR="009B7788" w:rsidRPr="00CF502B">
        <w:rPr>
          <w:rFonts w:eastAsia="Calibri"/>
          <w:sz w:val="24"/>
          <w:szCs w:val="24"/>
        </w:rPr>
        <w:t>SAEs</w:t>
      </w:r>
      <w:r w:rsidR="00CB3239" w:rsidRPr="00CF502B">
        <w:rPr>
          <w:sz w:val="24"/>
          <w:szCs w:val="24"/>
        </w:rPr>
        <w:t>)</w:t>
      </w:r>
      <w:r w:rsidR="009B7788" w:rsidRPr="00CF502B">
        <w:rPr>
          <w:rFonts w:eastAsia="Calibri"/>
          <w:sz w:val="24"/>
          <w:szCs w:val="24"/>
        </w:rPr>
        <w:t>,</w:t>
      </w:r>
      <w:r w:rsidR="009B7788" w:rsidRPr="00CF502B">
        <w:rPr>
          <w:sz w:val="24"/>
          <w:szCs w:val="24"/>
        </w:rPr>
        <w:t xml:space="preserve"> </w:t>
      </w:r>
      <w:r w:rsidR="009B7788" w:rsidRPr="00CF502B">
        <w:rPr>
          <w:rFonts w:eastAsia="Calibri"/>
          <w:sz w:val="24"/>
          <w:szCs w:val="24"/>
        </w:rPr>
        <w:t>and laboratory abnormalities</w:t>
      </w:r>
      <w:r w:rsidR="00CB3239" w:rsidRPr="00CF502B">
        <w:rPr>
          <w:sz w:val="24"/>
          <w:szCs w:val="24"/>
        </w:rPr>
        <w:t>.</w:t>
      </w:r>
      <w:r w:rsidR="00CF502B">
        <w:rPr>
          <w:sz w:val="24"/>
          <w:szCs w:val="24"/>
        </w:rPr>
        <w:br/>
      </w:r>
    </w:p>
    <w:p w14:paraId="6AF7BCAA" w14:textId="41F8B2A4" w:rsidR="00530AB0" w:rsidRPr="00CF502B" w:rsidRDefault="00530AB0" w:rsidP="001E1797">
      <w:pPr>
        <w:rPr>
          <w:sz w:val="24"/>
          <w:szCs w:val="24"/>
          <w:highlight w:val="yellow"/>
        </w:rPr>
      </w:pPr>
      <w:r w:rsidRPr="00CF502B">
        <w:rPr>
          <w:sz w:val="24"/>
          <w:szCs w:val="24"/>
        </w:rPr>
        <w:t xml:space="preserve">Key safety outcomes anticipated to be presented in the ADAR are informed by the </w:t>
      </w:r>
      <w:r>
        <w:rPr>
          <w:sz w:val="24"/>
          <w:szCs w:val="24"/>
        </w:rPr>
        <w:t xml:space="preserve">PILOT </w:t>
      </w:r>
      <w:r w:rsidRPr="00CF502B">
        <w:rPr>
          <w:sz w:val="24"/>
          <w:szCs w:val="24"/>
        </w:rPr>
        <w:t>clinical trial include the t</w:t>
      </w:r>
      <w:r w:rsidRPr="00CF502B">
        <w:rPr>
          <w:rFonts w:eastAsia="Calibri"/>
          <w:sz w:val="24"/>
          <w:szCs w:val="24"/>
        </w:rPr>
        <w:t>ype, frequency, and severity of</w:t>
      </w:r>
      <w:r w:rsidRPr="00CF502B">
        <w:rPr>
          <w:sz w:val="24"/>
          <w:szCs w:val="24"/>
        </w:rPr>
        <w:t xml:space="preserve"> adverse events (</w:t>
      </w:r>
      <w:r w:rsidRPr="00CF502B">
        <w:rPr>
          <w:rFonts w:eastAsia="Calibri"/>
          <w:sz w:val="24"/>
          <w:szCs w:val="24"/>
        </w:rPr>
        <w:t>AEs</w:t>
      </w:r>
      <w:r w:rsidRPr="00CF502B">
        <w:rPr>
          <w:sz w:val="24"/>
          <w:szCs w:val="24"/>
        </w:rPr>
        <w:t>)</w:t>
      </w:r>
      <w:r w:rsidRPr="00CF502B">
        <w:rPr>
          <w:rFonts w:eastAsia="Calibri"/>
          <w:sz w:val="24"/>
          <w:szCs w:val="24"/>
        </w:rPr>
        <w:t>,</w:t>
      </w:r>
      <w:r w:rsidRPr="00CF502B">
        <w:rPr>
          <w:sz w:val="24"/>
          <w:szCs w:val="24"/>
        </w:rPr>
        <w:t xml:space="preserve"> </w:t>
      </w:r>
      <w:r w:rsidRPr="00CF502B">
        <w:rPr>
          <w:rFonts w:eastAsia="Calibri"/>
          <w:sz w:val="24"/>
          <w:szCs w:val="24"/>
        </w:rPr>
        <w:t>and laboratory abnormalities</w:t>
      </w:r>
      <w:r w:rsidRPr="00CF502B">
        <w:rPr>
          <w:sz w:val="24"/>
          <w:szCs w:val="24"/>
        </w:rPr>
        <w:t>.</w:t>
      </w:r>
      <w:r>
        <w:rPr>
          <w:sz w:val="24"/>
          <w:szCs w:val="24"/>
        </w:rPr>
        <w:br/>
      </w:r>
    </w:p>
    <w:p w14:paraId="7BB272D8" w14:textId="77777777" w:rsidR="00A10657" w:rsidRPr="00E30C6A" w:rsidRDefault="00A10657" w:rsidP="00A10657">
      <w:pPr>
        <w:jc w:val="both"/>
      </w:pPr>
      <w:r>
        <w:t>Note that the proposed therapy is not a test.</w:t>
      </w:r>
    </w:p>
    <w:p w14:paraId="02CF5191" w14:textId="77777777" w:rsidR="009F35C9" w:rsidRDefault="009F35C9" w:rsidP="001E1797">
      <w:pPr>
        <w:rPr>
          <w:sz w:val="24"/>
          <w:szCs w:val="24"/>
        </w:rPr>
      </w:pPr>
    </w:p>
    <w:p w14:paraId="2AA55338" w14:textId="77777777" w:rsidR="009F35C9" w:rsidRPr="00841FE9" w:rsidRDefault="009F35C9" w:rsidP="009F35C9">
      <w:pPr>
        <w:rPr>
          <w:b/>
          <w:bCs/>
          <w:sz w:val="24"/>
          <w:szCs w:val="24"/>
        </w:rPr>
      </w:pPr>
      <w:r w:rsidRPr="00841FE9">
        <w:rPr>
          <w:b/>
          <w:bCs/>
          <w:sz w:val="24"/>
          <w:szCs w:val="24"/>
        </w:rPr>
        <w:t>List the key health outcomes (major and minor – prioritising major key health outcomes first) that will need to be measured in assessing the clinical claim for the proposed medical service/technology (versus the comparator):</w:t>
      </w:r>
    </w:p>
    <w:p w14:paraId="23764BEF"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benefits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benefits </w:t>
      </w:r>
    </w:p>
    <w:p w14:paraId="0C4BD955"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harm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harms</w:t>
      </w:r>
    </w:p>
    <w:p w14:paraId="54DD4C9F" w14:textId="37D8F62C"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Resource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Resources </w:t>
      </w:r>
    </w:p>
    <w:p w14:paraId="48D15930" w14:textId="77777777" w:rsidR="009F35C9" w:rsidRPr="00841FE9" w:rsidRDefault="009F35C9" w:rsidP="009F35C9">
      <w:pPr>
        <w:rPr>
          <w:b/>
          <w:bCs/>
          <w:sz w:val="24"/>
          <w:szCs w:val="24"/>
        </w:rPr>
      </w:pPr>
      <w:r w:rsidRPr="00841FE9">
        <w:rPr>
          <w:b/>
          <w:bCs/>
          <w:sz w:val="24"/>
          <w:szCs w:val="24"/>
        </w:rPr>
        <w:lastRenderedPageBreak/>
        <w:t>Outcome description – please include information about whether a change in patient management, or prognosis, occurs as a result of the test information:</w:t>
      </w:r>
    </w:p>
    <w:p w14:paraId="3BF2BD07" w14:textId="2AB8478E" w:rsidR="00D5735B" w:rsidRDefault="00D5735B" w:rsidP="00D5735B">
      <w:pPr>
        <w:rPr>
          <w:sz w:val="24"/>
          <w:szCs w:val="24"/>
        </w:rPr>
      </w:pPr>
      <w:r w:rsidRPr="2974F146">
        <w:rPr>
          <w:sz w:val="24"/>
          <w:szCs w:val="24"/>
        </w:rPr>
        <w:t>Key resource related outcomes anticipated to be presented in the ADAR are informed by the TRANSFORM clinical trial,</w:t>
      </w:r>
      <w:r w:rsidR="0E6691E9" w:rsidRPr="2974F146">
        <w:rPr>
          <w:sz w:val="24"/>
          <w:szCs w:val="24"/>
        </w:rPr>
        <w:t xml:space="preserve"> and</w:t>
      </w:r>
      <w:r w:rsidRPr="2974F146">
        <w:rPr>
          <w:sz w:val="24"/>
          <w:szCs w:val="24"/>
        </w:rPr>
        <w:t xml:space="preserve"> include:</w:t>
      </w:r>
    </w:p>
    <w:p w14:paraId="07F5B0CB" w14:textId="3D216609" w:rsidR="00D5735B" w:rsidRPr="00821CAE" w:rsidRDefault="00D5735B" w:rsidP="00D5735B">
      <w:pPr>
        <w:numPr>
          <w:ilvl w:val="0"/>
          <w:numId w:val="5"/>
        </w:numPr>
        <w:rPr>
          <w:sz w:val="24"/>
          <w:szCs w:val="24"/>
        </w:rPr>
      </w:pPr>
      <w:r w:rsidRPr="00821CAE">
        <w:rPr>
          <w:sz w:val="24"/>
          <w:szCs w:val="24"/>
          <w:lang w:val="en-US"/>
        </w:rPr>
        <w:t>Number of and duration of hospitali</w:t>
      </w:r>
      <w:r w:rsidR="005E61DC" w:rsidRPr="00821CAE">
        <w:rPr>
          <w:sz w:val="24"/>
          <w:szCs w:val="24"/>
          <w:lang w:val="en-US"/>
        </w:rPr>
        <w:t>s</w:t>
      </w:r>
      <w:r w:rsidRPr="00821CAE">
        <w:rPr>
          <w:sz w:val="24"/>
          <w:szCs w:val="24"/>
          <w:lang w:val="en-US"/>
        </w:rPr>
        <w:t>ations</w:t>
      </w:r>
    </w:p>
    <w:p w14:paraId="778C1849" w14:textId="4AD731EA" w:rsidR="00D5735B" w:rsidRPr="00821CAE" w:rsidRDefault="00D5735B" w:rsidP="00D5735B">
      <w:pPr>
        <w:numPr>
          <w:ilvl w:val="0"/>
          <w:numId w:val="5"/>
        </w:numPr>
        <w:rPr>
          <w:sz w:val="24"/>
          <w:szCs w:val="24"/>
        </w:rPr>
      </w:pPr>
      <w:r w:rsidRPr="00821CAE">
        <w:rPr>
          <w:sz w:val="24"/>
          <w:szCs w:val="24"/>
          <w:lang w:val="en-US"/>
        </w:rPr>
        <w:t>Reasons for hospitali</w:t>
      </w:r>
      <w:r w:rsidR="005E61DC" w:rsidRPr="00821CAE">
        <w:rPr>
          <w:sz w:val="24"/>
          <w:szCs w:val="24"/>
          <w:lang w:val="en-US"/>
        </w:rPr>
        <w:t>s</w:t>
      </w:r>
      <w:r w:rsidRPr="00821CAE">
        <w:rPr>
          <w:sz w:val="24"/>
          <w:szCs w:val="24"/>
          <w:lang w:val="en-US"/>
        </w:rPr>
        <w:t>ation</w:t>
      </w:r>
    </w:p>
    <w:p w14:paraId="548C9FBB" w14:textId="77777777" w:rsidR="00D5735B" w:rsidRPr="00821CAE" w:rsidRDefault="00D5735B" w:rsidP="00D5735B">
      <w:pPr>
        <w:numPr>
          <w:ilvl w:val="0"/>
          <w:numId w:val="5"/>
        </w:numPr>
        <w:rPr>
          <w:sz w:val="24"/>
          <w:szCs w:val="24"/>
        </w:rPr>
      </w:pPr>
      <w:r w:rsidRPr="00821CAE">
        <w:rPr>
          <w:sz w:val="24"/>
          <w:szCs w:val="24"/>
          <w:lang w:val="en-US"/>
        </w:rPr>
        <w:t>Unit of admission</w:t>
      </w:r>
    </w:p>
    <w:p w14:paraId="31D8A279" w14:textId="77777777" w:rsidR="00D5735B" w:rsidRPr="00821CAE" w:rsidRDefault="00D5735B" w:rsidP="00D5735B">
      <w:pPr>
        <w:numPr>
          <w:ilvl w:val="0"/>
          <w:numId w:val="5"/>
        </w:numPr>
        <w:rPr>
          <w:sz w:val="24"/>
          <w:szCs w:val="24"/>
        </w:rPr>
      </w:pPr>
      <w:r w:rsidRPr="00821CAE">
        <w:rPr>
          <w:sz w:val="24"/>
          <w:szCs w:val="24"/>
          <w:lang w:val="en-US"/>
        </w:rPr>
        <w:t>ICU and non-ICU inpatient stays</w:t>
      </w:r>
    </w:p>
    <w:p w14:paraId="5EDDD81E" w14:textId="77777777" w:rsidR="00D5735B" w:rsidRPr="00821CAE" w:rsidRDefault="00D5735B" w:rsidP="00D5735B">
      <w:pPr>
        <w:numPr>
          <w:ilvl w:val="0"/>
          <w:numId w:val="5"/>
        </w:numPr>
        <w:rPr>
          <w:sz w:val="24"/>
          <w:szCs w:val="24"/>
        </w:rPr>
      </w:pPr>
      <w:r w:rsidRPr="00821CAE">
        <w:rPr>
          <w:sz w:val="24"/>
          <w:szCs w:val="24"/>
          <w:lang w:val="en-US"/>
        </w:rPr>
        <w:t>Number of outpatient visits</w:t>
      </w:r>
    </w:p>
    <w:p w14:paraId="67DC5853" w14:textId="77777777" w:rsidR="00821CAE" w:rsidRDefault="00821CAE" w:rsidP="00821CAE">
      <w:pPr>
        <w:rPr>
          <w:sz w:val="24"/>
          <w:szCs w:val="24"/>
          <w:highlight w:val="yellow"/>
          <w:lang w:val="en-US"/>
        </w:rPr>
      </w:pPr>
    </w:p>
    <w:p w14:paraId="15739BF9" w14:textId="3E7EEE65" w:rsidR="00821CAE" w:rsidRPr="004F7B62" w:rsidRDefault="00821CAE" w:rsidP="00821CAE">
      <w:pPr>
        <w:rPr>
          <w:sz w:val="24"/>
          <w:szCs w:val="24"/>
        </w:rPr>
      </w:pPr>
      <w:r>
        <w:rPr>
          <w:sz w:val="24"/>
          <w:szCs w:val="24"/>
        </w:rPr>
        <w:t>Key resource related outcomes anticipated to be presented in the ADAR are informed by the PILOT clinical trial, include</w:t>
      </w:r>
      <w:r w:rsidR="004F7B62">
        <w:rPr>
          <w:sz w:val="24"/>
          <w:szCs w:val="24"/>
        </w:rPr>
        <w:t xml:space="preserve"> n</w:t>
      </w:r>
      <w:r w:rsidR="004F7B62" w:rsidRPr="004F7B62">
        <w:rPr>
          <w:sz w:val="24"/>
          <w:szCs w:val="24"/>
        </w:rPr>
        <w:t>umbers of intensive care unit (ICU) inpatient days</w:t>
      </w:r>
      <w:r w:rsidR="004F7B62">
        <w:rPr>
          <w:sz w:val="24"/>
          <w:szCs w:val="24"/>
        </w:rPr>
        <w:t xml:space="preserve"> </w:t>
      </w:r>
      <w:r w:rsidR="004F7B62" w:rsidRPr="004F7B62">
        <w:rPr>
          <w:sz w:val="24"/>
          <w:szCs w:val="24"/>
        </w:rPr>
        <w:t>and non-ICU inpatient days and reasons for</w:t>
      </w:r>
      <w:r w:rsidR="004F7B62">
        <w:rPr>
          <w:sz w:val="24"/>
          <w:szCs w:val="24"/>
        </w:rPr>
        <w:t xml:space="preserve"> </w:t>
      </w:r>
      <w:r w:rsidR="004F7B62" w:rsidRPr="004F7B62">
        <w:rPr>
          <w:sz w:val="24"/>
          <w:szCs w:val="24"/>
        </w:rPr>
        <w:t>hospitali</w:t>
      </w:r>
      <w:r w:rsidR="004F7B62">
        <w:rPr>
          <w:sz w:val="24"/>
          <w:szCs w:val="24"/>
        </w:rPr>
        <w:t>s</w:t>
      </w:r>
      <w:r w:rsidR="004F7B62" w:rsidRPr="004F7B62">
        <w:rPr>
          <w:sz w:val="24"/>
          <w:szCs w:val="24"/>
        </w:rPr>
        <w:t>ation</w:t>
      </w:r>
      <w:r w:rsidR="004F7B62">
        <w:rPr>
          <w:sz w:val="24"/>
          <w:szCs w:val="24"/>
        </w:rPr>
        <w:t>.</w:t>
      </w:r>
    </w:p>
    <w:p w14:paraId="16AA46BC" w14:textId="77777777" w:rsidR="00C566B5" w:rsidRPr="007E1AF7" w:rsidRDefault="00C566B5" w:rsidP="004F12A9">
      <w:pPr>
        <w:pStyle w:val="Heading1"/>
        <w:rPr>
          <w:color w:val="002060"/>
        </w:rPr>
      </w:pPr>
      <w:r w:rsidRPr="007E1AF7">
        <w:rPr>
          <w:color w:val="002060"/>
        </w:rPr>
        <w:t>Claims</w:t>
      </w:r>
    </w:p>
    <w:p w14:paraId="59B475FD" w14:textId="77777777" w:rsidR="002A7E4A" w:rsidRPr="00841FE9" w:rsidRDefault="00C566B5" w:rsidP="001E1797">
      <w:pPr>
        <w:rPr>
          <w:b/>
          <w:bCs/>
          <w:sz w:val="24"/>
          <w:szCs w:val="24"/>
        </w:rPr>
      </w:pPr>
      <w:r w:rsidRPr="00841FE9">
        <w:rPr>
          <w:b/>
          <w:bCs/>
          <w:sz w:val="24"/>
          <w:szCs w:val="24"/>
        </w:rPr>
        <w:t xml:space="preserve">In terms of health outcomes (comparative benefits and harms), is the proposed technology claimed to be superior, non-inferior or inferior to the comparator(s)? </w:t>
      </w:r>
    </w:p>
    <w:p w14:paraId="46C9E79A" w14:textId="6CE3319C" w:rsidR="00C566B5" w:rsidRPr="0035351C" w:rsidRDefault="00054FFA" w:rsidP="004F12A9">
      <w:pPr>
        <w:pStyle w:val="Tickboxes"/>
        <w:rPr>
          <w:sz w:val="24"/>
          <w:szCs w:val="24"/>
        </w:rPr>
      </w:pPr>
      <w:r>
        <w:rPr>
          <w:sz w:val="24"/>
          <w:szCs w:val="24"/>
        </w:rPr>
        <w:fldChar w:fldCharType="begin">
          <w:ffData>
            <w:name w:val=""/>
            <w:enabled/>
            <w:calcOnExit w:val="0"/>
            <w:statusText w:type="text" w:val="Health outcomes Value of knowing"/>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Superior </w:t>
      </w:r>
    </w:p>
    <w:p w14:paraId="4AC6C6A7" w14:textId="1D1BB267" w:rsidR="00C566B5" w:rsidRPr="0035351C" w:rsidRDefault="00DD5074" w:rsidP="004F12A9">
      <w:pPr>
        <w:pStyle w:val="Tickboxes"/>
        <w:rPr>
          <w:sz w:val="24"/>
          <w:szCs w:val="24"/>
        </w:rPr>
      </w:pPr>
      <w:r>
        <w:rPr>
          <w:sz w:val="24"/>
          <w:szCs w:val="24"/>
        </w:rPr>
        <w:fldChar w:fldCharType="begin">
          <w:ffData>
            <w:name w:val=""/>
            <w:enabled/>
            <w:calcOnExit w:val="0"/>
            <w:statusText w:type="text" w:val="Health outcomes non-inferior"/>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w:t>
      </w:r>
      <w:r w:rsidR="00C566B5" w:rsidRPr="2974F146">
        <w:rPr>
          <w:b/>
          <w:i/>
          <w:iCs/>
          <w:sz w:val="24"/>
          <w:szCs w:val="24"/>
        </w:rPr>
        <w:t>Non-inferior</w:t>
      </w:r>
    </w:p>
    <w:p w14:paraId="20F3AE75" w14:textId="026946F2" w:rsidR="00C566B5" w:rsidRPr="0035351C" w:rsidRDefault="00054FFA" w:rsidP="004F12A9">
      <w:pPr>
        <w:pStyle w:val="Tickboxes"/>
        <w:rPr>
          <w:sz w:val="24"/>
          <w:szCs w:val="24"/>
        </w:rPr>
      </w:pPr>
      <w:r>
        <w:rPr>
          <w:sz w:val="24"/>
          <w:szCs w:val="24"/>
        </w:rPr>
        <w:fldChar w:fldCharType="begin">
          <w:ffData>
            <w:name w:val=""/>
            <w:enabled/>
            <w:calcOnExit w:val="0"/>
            <w:statusText w:type="text" w:val="Health outcomes inferi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Inferior </w:t>
      </w:r>
    </w:p>
    <w:p w14:paraId="3F789280" w14:textId="4C0194CF" w:rsidR="00C566B5" w:rsidRPr="00841FE9" w:rsidRDefault="00F47AFE" w:rsidP="00841FE9">
      <w:pPr>
        <w:rPr>
          <w:b/>
          <w:bCs/>
          <w:sz w:val="24"/>
          <w:szCs w:val="24"/>
        </w:rPr>
      </w:pPr>
      <w:r w:rsidRPr="00841FE9">
        <w:rPr>
          <w:b/>
          <w:bCs/>
          <w:sz w:val="24"/>
          <w:szCs w:val="24"/>
        </w:rPr>
        <w:t>Please state what the overall claim is, and provide a rationale:</w:t>
      </w:r>
    </w:p>
    <w:p w14:paraId="7C30DE7E" w14:textId="6CBFE6F3" w:rsidR="00C566B5" w:rsidRPr="0035351C" w:rsidRDefault="003C2AF9" w:rsidP="001E1797">
      <w:pPr>
        <w:rPr>
          <w:rFonts w:eastAsia="Segoe UI"/>
          <w:color w:val="000000"/>
          <w:sz w:val="24"/>
          <w:szCs w:val="24"/>
        </w:rPr>
      </w:pPr>
      <w:r>
        <w:rPr>
          <w:sz w:val="24"/>
          <w:szCs w:val="24"/>
        </w:rPr>
        <w:t>Claim of non-inferiority is based on the totality of evidence available for lisocabtagene maraleucel in comparison to the nominated comparator, axicabtagene ciloleucel.</w:t>
      </w:r>
    </w:p>
    <w:p w14:paraId="691277E8" w14:textId="41D2DA35" w:rsidR="00C566B5" w:rsidRPr="00841FE9" w:rsidRDefault="00C566B5" w:rsidP="00841FE9">
      <w:pPr>
        <w:rPr>
          <w:b/>
          <w:bCs/>
          <w:sz w:val="24"/>
          <w:szCs w:val="24"/>
        </w:rPr>
      </w:pPr>
      <w:r w:rsidRPr="00841FE9">
        <w:rPr>
          <w:b/>
          <w:bCs/>
          <w:sz w:val="24"/>
          <w:szCs w:val="24"/>
        </w:rPr>
        <w:t>Why would the requestor seek to use the proposed investigative technology rather than the comparator(s)?</w:t>
      </w:r>
    </w:p>
    <w:p w14:paraId="7C569071" w14:textId="5CE94ED9" w:rsidR="00C566B5" w:rsidRPr="0035351C" w:rsidRDefault="00687E2D" w:rsidP="001E1797">
      <w:pPr>
        <w:rPr>
          <w:rFonts w:eastAsia="Segoe UI"/>
          <w:color w:val="000000"/>
          <w:sz w:val="24"/>
          <w:szCs w:val="24"/>
        </w:rPr>
      </w:pPr>
      <w:r>
        <w:rPr>
          <w:sz w:val="24"/>
          <w:szCs w:val="24"/>
        </w:rPr>
        <w:t>Based on preference for the clinical profile of the therapy versus the comparator.</w:t>
      </w:r>
    </w:p>
    <w:p w14:paraId="5C44CE8D" w14:textId="08DD40C5" w:rsidR="00C566B5" w:rsidRPr="00841FE9" w:rsidRDefault="00C566B5" w:rsidP="00841FE9">
      <w:pPr>
        <w:rPr>
          <w:b/>
          <w:bCs/>
          <w:sz w:val="24"/>
          <w:szCs w:val="24"/>
        </w:rPr>
      </w:pPr>
      <w:r w:rsidRPr="00841FE9">
        <w:rPr>
          <w:b/>
          <w:bCs/>
          <w:sz w:val="24"/>
          <w:szCs w:val="24"/>
        </w:rPr>
        <w:t>Identify how the proposed technology achieves the intended patient outcomes:</w:t>
      </w:r>
    </w:p>
    <w:p w14:paraId="75265D8E" w14:textId="5195BCD6" w:rsidR="00C566B5" w:rsidRPr="0035351C" w:rsidRDefault="00687E2D" w:rsidP="001E1797">
      <w:pPr>
        <w:rPr>
          <w:rFonts w:eastAsia="Segoe UI"/>
          <w:color w:val="000000"/>
          <w:sz w:val="24"/>
          <w:szCs w:val="24"/>
        </w:rPr>
      </w:pPr>
      <w:r>
        <w:rPr>
          <w:sz w:val="24"/>
          <w:szCs w:val="24"/>
        </w:rPr>
        <w:t>Lisocabtagene maraleucel has demonstrated efficacy and safety in a randomised Phase III clinical trial</w:t>
      </w:r>
      <w:r w:rsidR="00313B0F">
        <w:rPr>
          <w:sz w:val="24"/>
          <w:szCs w:val="24"/>
        </w:rPr>
        <w:t>, extending EFS, PFS, and OS, with higher CR rates than standard of care chemoimmunotherapy.</w:t>
      </w:r>
    </w:p>
    <w:p w14:paraId="5BE00386" w14:textId="48A557D1" w:rsidR="00C566B5" w:rsidRPr="00841FE9" w:rsidRDefault="00C566B5" w:rsidP="00841FE9">
      <w:pPr>
        <w:rPr>
          <w:b/>
          <w:bCs/>
          <w:sz w:val="24"/>
          <w:szCs w:val="24"/>
        </w:rPr>
      </w:pPr>
      <w:r w:rsidRPr="00841FE9">
        <w:rPr>
          <w:b/>
          <w:bCs/>
          <w:sz w:val="24"/>
          <w:szCs w:val="24"/>
        </w:rPr>
        <w:t xml:space="preserve">For some people, compared with the comparator(s), does the test information result in: </w:t>
      </w:r>
    </w:p>
    <w:p w14:paraId="1F336692" w14:textId="737852A8" w:rsidR="00C566B5" w:rsidRPr="00DB5C39" w:rsidRDefault="00C566B5" w:rsidP="00D44AD1">
      <w:pPr>
        <w:spacing w:before="120"/>
        <w:rPr>
          <w:bCs/>
          <w:sz w:val="24"/>
          <w:szCs w:val="24"/>
        </w:rPr>
      </w:pPr>
      <w:r w:rsidRPr="00DB5C39">
        <w:rPr>
          <w:b/>
          <w:bCs/>
          <w:sz w:val="24"/>
          <w:szCs w:val="24"/>
        </w:rPr>
        <w:t>A change in clinical management?</w:t>
      </w:r>
      <w:r w:rsidRPr="00DB5C39">
        <w:rPr>
          <w:bCs/>
          <w:sz w:val="24"/>
          <w:szCs w:val="24"/>
        </w:rPr>
        <w:tab/>
      </w:r>
      <w:r w:rsidR="00076C86" w:rsidRPr="00DB5C39">
        <w:rPr>
          <w:bCs/>
          <w:sz w:val="24"/>
          <w:szCs w:val="24"/>
        </w:rPr>
        <w:t>N/A (not a test)</w:t>
      </w:r>
    </w:p>
    <w:p w14:paraId="28A701B5" w14:textId="7A56CD64" w:rsidR="00C566B5" w:rsidRPr="00DB5C39" w:rsidRDefault="00C566B5" w:rsidP="001E1797">
      <w:pPr>
        <w:rPr>
          <w:bCs/>
          <w:sz w:val="24"/>
          <w:szCs w:val="24"/>
        </w:rPr>
      </w:pPr>
      <w:r w:rsidRPr="00DB5C39">
        <w:rPr>
          <w:b/>
          <w:bCs/>
          <w:sz w:val="24"/>
          <w:szCs w:val="24"/>
        </w:rPr>
        <w:t>A change in health outcome?</w:t>
      </w:r>
      <w:r w:rsidRPr="00DB5C39">
        <w:rPr>
          <w:bCs/>
          <w:sz w:val="24"/>
          <w:szCs w:val="24"/>
        </w:rPr>
        <w:tab/>
      </w:r>
      <w:r w:rsidR="00E30C6A" w:rsidRPr="00DB5C39">
        <w:rPr>
          <w:bCs/>
          <w:sz w:val="24"/>
          <w:szCs w:val="24"/>
        </w:rPr>
        <w:tab/>
      </w:r>
      <w:r w:rsidR="00076C86" w:rsidRPr="00DB5C39">
        <w:rPr>
          <w:bCs/>
          <w:sz w:val="24"/>
          <w:szCs w:val="24"/>
        </w:rPr>
        <w:t>N/A (not a test)</w:t>
      </w:r>
    </w:p>
    <w:p w14:paraId="5ABE7672" w14:textId="6F1266C4" w:rsidR="00C566B5" w:rsidRPr="0035351C" w:rsidRDefault="00C566B5" w:rsidP="001E1797">
      <w:pPr>
        <w:rPr>
          <w:bCs/>
          <w:sz w:val="24"/>
          <w:szCs w:val="24"/>
        </w:rPr>
      </w:pPr>
      <w:r w:rsidRPr="00DB5C39">
        <w:rPr>
          <w:b/>
          <w:bCs/>
          <w:sz w:val="24"/>
          <w:szCs w:val="24"/>
        </w:rPr>
        <w:t>Other benefits?</w:t>
      </w:r>
      <w:r w:rsidRPr="00DB5C39">
        <w:rPr>
          <w:bCs/>
          <w:sz w:val="24"/>
          <w:szCs w:val="24"/>
        </w:rPr>
        <w:tab/>
      </w:r>
      <w:r w:rsidRPr="00DB5C39">
        <w:rPr>
          <w:bCs/>
          <w:sz w:val="24"/>
          <w:szCs w:val="24"/>
        </w:rPr>
        <w:tab/>
      </w:r>
      <w:r w:rsidRPr="00DB5C39">
        <w:rPr>
          <w:bCs/>
          <w:sz w:val="24"/>
          <w:szCs w:val="24"/>
        </w:rPr>
        <w:tab/>
      </w:r>
      <w:r w:rsidR="00E30C6A" w:rsidRPr="00DB5C39">
        <w:rPr>
          <w:bCs/>
          <w:sz w:val="24"/>
          <w:szCs w:val="24"/>
        </w:rPr>
        <w:tab/>
      </w:r>
      <w:r w:rsidR="00076C86" w:rsidRPr="00DB5C39">
        <w:rPr>
          <w:bCs/>
          <w:sz w:val="24"/>
          <w:szCs w:val="24"/>
        </w:rPr>
        <w:t>N/A (not a test)</w:t>
      </w:r>
    </w:p>
    <w:p w14:paraId="4E3E3B18" w14:textId="3B617B0B" w:rsidR="00C566B5" w:rsidRPr="00841FE9" w:rsidRDefault="00D44AD1" w:rsidP="00597818">
      <w:pPr>
        <w:keepNext/>
        <w:keepLines/>
        <w:rPr>
          <w:b/>
          <w:bCs/>
          <w:sz w:val="24"/>
          <w:szCs w:val="24"/>
        </w:rPr>
      </w:pPr>
      <w:r w:rsidRPr="00841FE9">
        <w:rPr>
          <w:b/>
          <w:bCs/>
          <w:sz w:val="24"/>
          <w:szCs w:val="24"/>
        </w:rPr>
        <w:lastRenderedPageBreak/>
        <w:t>P</w:t>
      </w:r>
      <w:r w:rsidR="00C566B5" w:rsidRPr="00841FE9">
        <w:rPr>
          <w:b/>
          <w:bCs/>
          <w:sz w:val="24"/>
          <w:szCs w:val="24"/>
        </w:rPr>
        <w:t>rovide a rationale, and information on other benefits if relevant:</w:t>
      </w:r>
    </w:p>
    <w:p w14:paraId="46A0FA8D" w14:textId="4D3E0694" w:rsidR="00C566B5" w:rsidRPr="0035351C" w:rsidRDefault="00076C86" w:rsidP="00597818">
      <w:pPr>
        <w:keepNext/>
        <w:keepLines/>
        <w:rPr>
          <w:rFonts w:eastAsia="Segoe UI"/>
          <w:color w:val="000000"/>
          <w:sz w:val="24"/>
          <w:szCs w:val="24"/>
        </w:rPr>
      </w:pPr>
      <w:r>
        <w:rPr>
          <w:sz w:val="24"/>
          <w:szCs w:val="24"/>
        </w:rPr>
        <w:t>Lisocabtagene maraleucel is not a test</w:t>
      </w:r>
      <w:r w:rsidR="007840C0">
        <w:rPr>
          <w:sz w:val="24"/>
          <w:szCs w:val="24"/>
        </w:rPr>
        <w:t>. It is anticipated that lisocabtagene maraleucel will result in similar health outcomes to the currently available standard of care in the 2L DLBCL setting.</w:t>
      </w:r>
    </w:p>
    <w:p w14:paraId="6A34928D" w14:textId="77777777" w:rsidR="002A7E4A" w:rsidRPr="00841FE9" w:rsidRDefault="00C566B5" w:rsidP="00841FE9">
      <w:pPr>
        <w:rPr>
          <w:b/>
          <w:bCs/>
          <w:sz w:val="24"/>
          <w:szCs w:val="24"/>
        </w:rPr>
      </w:pPr>
      <w:r w:rsidRPr="00841FE9">
        <w:rPr>
          <w:b/>
          <w:bCs/>
          <w:sz w:val="24"/>
          <w:szCs w:val="24"/>
        </w:rPr>
        <w:t xml:space="preserve">In terms of the immediate costs of the proposed technology (and immediate cost consequences, such as procedural costs, testing costs etc.), is the proposed technology claimed to be more costly, the same cost or less costly than the comparator? </w:t>
      </w:r>
    </w:p>
    <w:p w14:paraId="562C5EA3" w14:textId="0A4EED25" w:rsidR="00C566B5" w:rsidRPr="0035351C" w:rsidRDefault="00054FFA" w:rsidP="004F12A9">
      <w:pPr>
        <w:pStyle w:val="Tickboxes"/>
        <w:rPr>
          <w:sz w:val="24"/>
          <w:szCs w:val="24"/>
        </w:rPr>
      </w:pPr>
      <w:r>
        <w:rPr>
          <w:sz w:val="24"/>
          <w:szCs w:val="24"/>
        </w:rPr>
        <w:fldChar w:fldCharType="begin">
          <w:ffData>
            <w:name w:val=""/>
            <w:enabled/>
            <w:calcOnExit w:val="0"/>
            <w:statusText w:type="text" w:val="Costs of the proposed technology More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More costly </w:t>
      </w:r>
    </w:p>
    <w:p w14:paraId="7F377358" w14:textId="069FCD37" w:rsidR="00C566B5" w:rsidRPr="0035351C" w:rsidRDefault="00076C86" w:rsidP="2974F146">
      <w:pPr>
        <w:pStyle w:val="Tickboxes"/>
        <w:rPr>
          <w:b/>
          <w:i/>
          <w:iCs/>
          <w:sz w:val="24"/>
          <w:szCs w:val="24"/>
        </w:rPr>
      </w:pPr>
      <w:r>
        <w:rPr>
          <w:sz w:val="24"/>
          <w:szCs w:val="24"/>
        </w:rPr>
        <w:fldChar w:fldCharType="begin">
          <w:ffData>
            <w:name w:val=""/>
            <w:enabled/>
            <w:calcOnExit w:val="0"/>
            <w:statusText w:type="text" w:val="Costs of the proposed technology Same cost"/>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2974F146">
        <w:rPr>
          <w:b/>
          <w:i/>
          <w:iCs/>
          <w:sz w:val="24"/>
          <w:szCs w:val="24"/>
        </w:rPr>
        <w:t xml:space="preserve"> Same cost</w:t>
      </w:r>
    </w:p>
    <w:p w14:paraId="0C1ACD10" w14:textId="6516ABC9" w:rsidR="00CC554B" w:rsidRPr="0035351C" w:rsidRDefault="00054FFA" w:rsidP="004F12A9">
      <w:pPr>
        <w:pStyle w:val="Tickboxes"/>
        <w:rPr>
          <w:sz w:val="24"/>
          <w:szCs w:val="24"/>
        </w:rPr>
      </w:pPr>
      <w:r>
        <w:rPr>
          <w:sz w:val="24"/>
          <w:szCs w:val="24"/>
        </w:rPr>
        <w:fldChar w:fldCharType="begin">
          <w:ffData>
            <w:name w:val=""/>
            <w:enabled/>
            <w:calcOnExit w:val="0"/>
            <w:statusText w:type="text" w:val="Costs of the proposed technology Less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Less costly </w:t>
      </w:r>
    </w:p>
    <w:p w14:paraId="4D728741" w14:textId="0D02265B" w:rsidR="00C566B5" w:rsidRPr="00841FE9" w:rsidRDefault="00C566B5" w:rsidP="00841FE9">
      <w:pPr>
        <w:rPr>
          <w:b/>
          <w:bCs/>
          <w:sz w:val="24"/>
          <w:szCs w:val="24"/>
        </w:rPr>
      </w:pPr>
      <w:r w:rsidRPr="00841FE9">
        <w:rPr>
          <w:b/>
          <w:bCs/>
          <w:sz w:val="24"/>
          <w:szCs w:val="24"/>
        </w:rPr>
        <w:t>Provide a brief rationale for the claim:</w:t>
      </w:r>
    </w:p>
    <w:p w14:paraId="3DBB9E1B" w14:textId="539FB4BE" w:rsidR="00C566B5" w:rsidRPr="0035351C" w:rsidRDefault="007840C0" w:rsidP="001E1797">
      <w:pPr>
        <w:rPr>
          <w:sz w:val="24"/>
          <w:szCs w:val="24"/>
        </w:rPr>
      </w:pPr>
      <w:r>
        <w:rPr>
          <w:sz w:val="24"/>
          <w:szCs w:val="24"/>
        </w:rPr>
        <w:t>Proposed claim of non-inferiority resulting in a price per patient in line with currently available axicabtagene ciloleucel.</w:t>
      </w:r>
    </w:p>
    <w:p w14:paraId="321449D0" w14:textId="546F4AFC" w:rsidR="005E1CFB" w:rsidRPr="007E1AF7" w:rsidRDefault="0090168B" w:rsidP="004F12A9">
      <w:pPr>
        <w:pStyle w:val="Heading1"/>
        <w:rPr>
          <w:color w:val="002060"/>
        </w:rPr>
      </w:pPr>
      <w:r w:rsidRPr="007E1AF7">
        <w:rPr>
          <w:color w:val="002060"/>
        </w:rPr>
        <w:t>Algorithms</w:t>
      </w:r>
    </w:p>
    <w:p w14:paraId="7EDD3EB5" w14:textId="28403377" w:rsidR="0090168B" w:rsidRPr="0035351C" w:rsidRDefault="004F12A9" w:rsidP="001E1797">
      <w:pPr>
        <w:pStyle w:val="Heading2"/>
        <w:rPr>
          <w:sz w:val="24"/>
          <w:szCs w:val="24"/>
          <w:u w:val="single"/>
        </w:rPr>
      </w:pPr>
      <w:r w:rsidRPr="0035351C">
        <w:rPr>
          <w:sz w:val="24"/>
          <w:szCs w:val="24"/>
          <w:u w:val="single"/>
        </w:rPr>
        <w:t>PREPARATION FOR USING THE HEALTH TECHNOLOGY</w:t>
      </w:r>
    </w:p>
    <w:p w14:paraId="463FDC5D" w14:textId="53A1441B" w:rsidR="005E1CFB" w:rsidRPr="00841FE9" w:rsidRDefault="0090168B" w:rsidP="00841FE9">
      <w:pPr>
        <w:rPr>
          <w:b/>
          <w:bCs/>
          <w:sz w:val="24"/>
          <w:szCs w:val="24"/>
        </w:rPr>
      </w:pPr>
      <w:r w:rsidRPr="00841FE9">
        <w:rPr>
          <w:b/>
          <w:bCs/>
          <w:sz w:val="24"/>
          <w:szCs w:val="24"/>
        </w:rPr>
        <w:t>Define and summarise the clinical management algorithm, including any required tests or healthcare resources, before patients would be eligible for the proposed health technology</w:t>
      </w:r>
      <w:r w:rsidR="005E1CFB" w:rsidRPr="00841FE9">
        <w:rPr>
          <w:b/>
          <w:bCs/>
          <w:sz w:val="24"/>
          <w:szCs w:val="24"/>
        </w:rPr>
        <w:t>:</w:t>
      </w:r>
    </w:p>
    <w:p w14:paraId="6A17906E" w14:textId="7B33E095" w:rsidR="000F5927" w:rsidRDefault="000F5927" w:rsidP="000F5927">
      <w:pPr>
        <w:rPr>
          <w:sz w:val="24"/>
          <w:szCs w:val="24"/>
        </w:rPr>
      </w:pPr>
      <w:r>
        <w:rPr>
          <w:sz w:val="24"/>
          <w:szCs w:val="24"/>
        </w:rPr>
        <w:t>Presently, patients diagnosed with large B-cell lymphoma (LBCL) are treated in the first line setting with the chemotherapy regimen RCHOP</w:t>
      </w:r>
      <w:r w:rsidR="00914949">
        <w:rPr>
          <w:sz w:val="24"/>
          <w:szCs w:val="24"/>
        </w:rPr>
        <w:t xml:space="preserve">. Depending </w:t>
      </w:r>
      <w:r w:rsidR="00233A31">
        <w:rPr>
          <w:sz w:val="24"/>
          <w:szCs w:val="24"/>
        </w:rPr>
        <w:t xml:space="preserve">on fitness for stem cell transplant and time to relapse, patients may subsequently be treated with </w:t>
      </w:r>
      <w:r w:rsidR="00847003">
        <w:rPr>
          <w:sz w:val="24"/>
          <w:szCs w:val="24"/>
        </w:rPr>
        <w:t xml:space="preserve">immunochemotherapy, platinum-based salvage chemotherapy following by high-dose chemotherapy and autologous stem cell transplant, or allogeneic stem cell transplant. Today, patients can access axicabtagene ciloleucel in the </w:t>
      </w:r>
      <w:r w:rsidR="00A9767B">
        <w:rPr>
          <w:sz w:val="24"/>
          <w:szCs w:val="24"/>
        </w:rPr>
        <w:t xml:space="preserve">2L and 3L+ setting, and </w:t>
      </w:r>
      <w:r w:rsidR="0069576A">
        <w:rPr>
          <w:sz w:val="24"/>
          <w:szCs w:val="24"/>
        </w:rPr>
        <w:t>tisagenlecleucel</w:t>
      </w:r>
      <w:r w:rsidR="00A9767B">
        <w:rPr>
          <w:sz w:val="24"/>
          <w:szCs w:val="24"/>
        </w:rPr>
        <w:t xml:space="preserve"> in the 3L+ setting. </w:t>
      </w:r>
      <w:r w:rsidR="00DB0072">
        <w:rPr>
          <w:sz w:val="24"/>
          <w:szCs w:val="24"/>
        </w:rPr>
        <w:t>The bispecific antibody agent epcor</w:t>
      </w:r>
      <w:r w:rsidR="0069576A">
        <w:rPr>
          <w:sz w:val="24"/>
          <w:szCs w:val="24"/>
        </w:rPr>
        <w:t>itamab is reimbursed for patients in the 3L+ setting.</w:t>
      </w:r>
      <w:r w:rsidR="00E56EE5">
        <w:rPr>
          <w:sz w:val="24"/>
          <w:szCs w:val="24"/>
        </w:rPr>
        <w:t xml:space="preserve"> See </w:t>
      </w:r>
      <w:r w:rsidR="00E56EE5">
        <w:rPr>
          <w:sz w:val="24"/>
          <w:szCs w:val="24"/>
        </w:rPr>
        <w:fldChar w:fldCharType="begin"/>
      </w:r>
      <w:r w:rsidR="00E56EE5">
        <w:rPr>
          <w:sz w:val="24"/>
          <w:szCs w:val="24"/>
        </w:rPr>
        <w:instrText xml:space="preserve"> REF _Ref213762622 \h </w:instrText>
      </w:r>
      <w:r w:rsidR="00E56EE5">
        <w:rPr>
          <w:sz w:val="24"/>
          <w:szCs w:val="24"/>
        </w:rPr>
      </w:r>
      <w:r w:rsidR="00E56EE5">
        <w:rPr>
          <w:sz w:val="24"/>
          <w:szCs w:val="24"/>
        </w:rPr>
        <w:fldChar w:fldCharType="separate"/>
      </w:r>
      <w:r w:rsidR="00E56EE5">
        <w:t xml:space="preserve">Figure </w:t>
      </w:r>
      <w:r w:rsidR="00E56EE5">
        <w:rPr>
          <w:noProof/>
        </w:rPr>
        <w:t>2</w:t>
      </w:r>
      <w:r w:rsidR="00E56EE5">
        <w:rPr>
          <w:sz w:val="24"/>
          <w:szCs w:val="24"/>
        </w:rPr>
        <w:fldChar w:fldCharType="end"/>
      </w:r>
      <w:r w:rsidR="00E56EE5">
        <w:rPr>
          <w:sz w:val="24"/>
          <w:szCs w:val="24"/>
        </w:rPr>
        <w:t xml:space="preserve"> for a </w:t>
      </w:r>
      <w:r w:rsidR="009B31FB">
        <w:rPr>
          <w:sz w:val="24"/>
          <w:szCs w:val="24"/>
        </w:rPr>
        <w:t>diagram of the current and proposed treatment algorithm.</w:t>
      </w:r>
    </w:p>
    <w:p w14:paraId="4131E93D" w14:textId="4DFCF754" w:rsidR="005E1CFB" w:rsidRPr="00841FE9" w:rsidRDefault="0090168B" w:rsidP="00841FE9">
      <w:pPr>
        <w:rPr>
          <w:b/>
          <w:bCs/>
          <w:sz w:val="24"/>
          <w:szCs w:val="24"/>
        </w:rPr>
      </w:pPr>
      <w:r w:rsidRPr="00841FE9">
        <w:rPr>
          <w:b/>
          <w:bCs/>
          <w:sz w:val="24"/>
          <w:szCs w:val="24"/>
        </w:rPr>
        <w:t>Is there any expectation that the clinical management algorithm before the health technology is used will change due to the introduction of the proposed health technology</w:t>
      </w:r>
      <w:r w:rsidR="005E1CFB" w:rsidRPr="00841FE9">
        <w:rPr>
          <w:b/>
          <w:bCs/>
          <w:sz w:val="24"/>
          <w:szCs w:val="24"/>
        </w:rPr>
        <w:t xml:space="preserve">? </w:t>
      </w:r>
    </w:p>
    <w:p w14:paraId="1546906F" w14:textId="7919A3F2" w:rsidR="005E1CFB" w:rsidRPr="0035351C" w:rsidRDefault="005E1CFB" w:rsidP="001E1797">
      <w:pPr>
        <w:rPr>
          <w:sz w:val="24"/>
          <w:szCs w:val="24"/>
        </w:rPr>
      </w:pPr>
      <w:r w:rsidRPr="0035351C">
        <w:rPr>
          <w:sz w:val="24"/>
          <w:szCs w:val="24"/>
        </w:rPr>
        <w:t>No</w:t>
      </w:r>
      <w:r w:rsidR="00463C44">
        <w:rPr>
          <w:sz w:val="24"/>
          <w:szCs w:val="24"/>
        </w:rPr>
        <w:t xml:space="preserve">. It is anticipated that lisocabtagene maraleucel will provide another CAR-T therapy </w:t>
      </w:r>
      <w:r w:rsidR="00191A7E">
        <w:rPr>
          <w:sz w:val="24"/>
          <w:szCs w:val="24"/>
        </w:rPr>
        <w:t xml:space="preserve">option </w:t>
      </w:r>
      <w:r w:rsidR="00463C44">
        <w:rPr>
          <w:sz w:val="24"/>
          <w:szCs w:val="24"/>
        </w:rPr>
        <w:t xml:space="preserve">to patients with 2L DLBCL but will not </w:t>
      </w:r>
      <w:r w:rsidR="001B2E3A">
        <w:rPr>
          <w:sz w:val="24"/>
          <w:szCs w:val="24"/>
        </w:rPr>
        <w:t>change the algorithm for patients with this condition.</w:t>
      </w:r>
    </w:p>
    <w:p w14:paraId="2AEB8C28" w14:textId="299398DD" w:rsidR="00F16239" w:rsidRPr="0035351C" w:rsidRDefault="004F12A9" w:rsidP="00597818">
      <w:pPr>
        <w:pStyle w:val="Heading2"/>
        <w:keepNext/>
        <w:keepLines/>
        <w:rPr>
          <w:sz w:val="24"/>
          <w:szCs w:val="24"/>
          <w:u w:val="single"/>
        </w:rPr>
      </w:pPr>
      <w:r w:rsidRPr="0035351C">
        <w:rPr>
          <w:sz w:val="24"/>
          <w:szCs w:val="24"/>
          <w:u w:val="single"/>
        </w:rPr>
        <w:lastRenderedPageBreak/>
        <w:t>USE OF THE HEALTH TECHNOLOGY</w:t>
      </w:r>
    </w:p>
    <w:p w14:paraId="7C130FEF" w14:textId="30322234" w:rsidR="0090168B" w:rsidRPr="00841FE9" w:rsidRDefault="00F16239" w:rsidP="00597818">
      <w:pPr>
        <w:keepNext/>
        <w:keepLines/>
        <w:rPr>
          <w:b/>
          <w:bCs/>
          <w:sz w:val="24"/>
          <w:szCs w:val="24"/>
        </w:rPr>
      </w:pPr>
      <w:r w:rsidRPr="00841FE9">
        <w:rPr>
          <w:b/>
          <w:bCs/>
          <w:sz w:val="24"/>
          <w:szCs w:val="24"/>
        </w:rPr>
        <w:t>Explain what other healthcare resources are used in conjunction with delivering the proposed health technology</w:t>
      </w:r>
      <w:r w:rsidR="0090168B" w:rsidRPr="00841FE9">
        <w:rPr>
          <w:b/>
          <w:bCs/>
          <w:sz w:val="24"/>
          <w:szCs w:val="24"/>
        </w:rPr>
        <w:t>:</w:t>
      </w:r>
    </w:p>
    <w:p w14:paraId="69244EED" w14:textId="1407A918" w:rsidR="0090168B" w:rsidRPr="0035351C" w:rsidRDefault="00F445AC" w:rsidP="00597818">
      <w:pPr>
        <w:keepNext/>
        <w:keepLines/>
        <w:rPr>
          <w:rFonts w:eastAsia="Segoe UI"/>
          <w:color w:val="000000"/>
          <w:sz w:val="24"/>
          <w:szCs w:val="24"/>
        </w:rPr>
      </w:pPr>
      <w:r w:rsidRPr="00950F67">
        <w:rPr>
          <w:sz w:val="24"/>
          <w:szCs w:val="24"/>
        </w:rPr>
        <w:t xml:space="preserve">Management of patients receiving CAR-T therapy </w:t>
      </w:r>
      <w:r w:rsidR="006148D9" w:rsidRPr="00950F67">
        <w:rPr>
          <w:sz w:val="24"/>
          <w:szCs w:val="24"/>
        </w:rPr>
        <w:t xml:space="preserve">often </w:t>
      </w:r>
      <w:r w:rsidRPr="00950F67">
        <w:rPr>
          <w:sz w:val="24"/>
          <w:szCs w:val="24"/>
        </w:rPr>
        <w:t>include</w:t>
      </w:r>
      <w:r w:rsidR="006148D9" w:rsidRPr="00950F67">
        <w:rPr>
          <w:sz w:val="24"/>
          <w:szCs w:val="24"/>
        </w:rPr>
        <w:t>s</w:t>
      </w:r>
      <w:r w:rsidRPr="00950F67">
        <w:rPr>
          <w:sz w:val="24"/>
          <w:szCs w:val="24"/>
        </w:rPr>
        <w:t xml:space="preserve"> lymphodepleting chemotherapy, </w:t>
      </w:r>
      <w:r w:rsidR="006148D9" w:rsidRPr="00950F67">
        <w:rPr>
          <w:sz w:val="24"/>
          <w:szCs w:val="24"/>
        </w:rPr>
        <w:t xml:space="preserve">and may include adverse event management with </w:t>
      </w:r>
      <w:r w:rsidRPr="00950F67">
        <w:rPr>
          <w:sz w:val="24"/>
          <w:szCs w:val="24"/>
        </w:rPr>
        <w:t xml:space="preserve">tocilizumab </w:t>
      </w:r>
      <w:r w:rsidR="006148D9" w:rsidRPr="00950F67">
        <w:rPr>
          <w:sz w:val="24"/>
          <w:szCs w:val="24"/>
        </w:rPr>
        <w:t>or other blood products</w:t>
      </w:r>
      <w:r w:rsidR="00950F67" w:rsidRPr="00950F67">
        <w:rPr>
          <w:sz w:val="24"/>
          <w:szCs w:val="24"/>
        </w:rPr>
        <w:t>.</w:t>
      </w:r>
    </w:p>
    <w:p w14:paraId="38D2ADE7" w14:textId="3A9F5BCC" w:rsidR="0090168B" w:rsidRPr="00841FE9" w:rsidRDefault="00F16239" w:rsidP="00841FE9">
      <w:pPr>
        <w:rPr>
          <w:b/>
          <w:bCs/>
          <w:sz w:val="24"/>
          <w:szCs w:val="24"/>
        </w:rPr>
      </w:pPr>
      <w:r w:rsidRPr="00841FE9">
        <w:rPr>
          <w:b/>
          <w:bCs/>
          <w:sz w:val="24"/>
          <w:szCs w:val="24"/>
        </w:rPr>
        <w:t>Explain what other healthcare resources are used in conjunction with the comparator health technology</w:t>
      </w:r>
      <w:r w:rsidR="0090168B" w:rsidRPr="00841FE9">
        <w:rPr>
          <w:b/>
          <w:bCs/>
          <w:sz w:val="24"/>
          <w:szCs w:val="24"/>
        </w:rPr>
        <w:t>:</w:t>
      </w:r>
    </w:p>
    <w:p w14:paraId="4151B2DB" w14:textId="7FD62AFB" w:rsidR="0090168B" w:rsidRPr="0035351C" w:rsidRDefault="002C20F0" w:rsidP="001E1797">
      <w:pPr>
        <w:rPr>
          <w:rFonts w:eastAsia="Segoe UI"/>
          <w:color w:val="000000"/>
          <w:sz w:val="24"/>
          <w:szCs w:val="24"/>
        </w:rPr>
      </w:pPr>
      <w:r w:rsidRPr="00D065BB">
        <w:rPr>
          <w:sz w:val="24"/>
          <w:szCs w:val="24"/>
        </w:rPr>
        <w:t>As above.</w:t>
      </w:r>
    </w:p>
    <w:p w14:paraId="378F78D9" w14:textId="7B2FB017" w:rsidR="00F16239" w:rsidRPr="00841FE9" w:rsidRDefault="00F16239" w:rsidP="00841FE9">
      <w:pPr>
        <w:rPr>
          <w:b/>
          <w:bCs/>
          <w:sz w:val="24"/>
          <w:szCs w:val="24"/>
        </w:rPr>
      </w:pPr>
      <w:r w:rsidRPr="00841FE9">
        <w:rPr>
          <w:b/>
          <w:bCs/>
          <w:sz w:val="24"/>
          <w:szCs w:val="24"/>
        </w:rPr>
        <w:t>Describe and explain any differences in the healthcare resources used in conjunction with the proposed health technology vs. the comparator health technology:</w:t>
      </w:r>
    </w:p>
    <w:p w14:paraId="260B3B1F" w14:textId="789F806F" w:rsidR="00DD0A06" w:rsidRPr="0035351C" w:rsidRDefault="0096677C" w:rsidP="001E1797">
      <w:pPr>
        <w:rPr>
          <w:rFonts w:eastAsia="Segoe UI"/>
          <w:color w:val="000000"/>
          <w:sz w:val="24"/>
          <w:szCs w:val="24"/>
        </w:rPr>
      </w:pPr>
      <w:r>
        <w:rPr>
          <w:sz w:val="24"/>
          <w:szCs w:val="24"/>
        </w:rPr>
        <w:t xml:space="preserve">Based on the available clinical data, lisocabtagene maraleucel is associated with fewer adverse events in comparison to axicabtagene ciloleucel. This may result in </w:t>
      </w:r>
      <w:r w:rsidR="0092688F">
        <w:rPr>
          <w:sz w:val="24"/>
          <w:szCs w:val="24"/>
        </w:rPr>
        <w:t>a reduction in healthcare resource utilisation associated with the management of patients with LBCL undergoing CAR-T treatment.</w:t>
      </w:r>
    </w:p>
    <w:p w14:paraId="2BE17ED5" w14:textId="5423D7F3" w:rsidR="00F16239" w:rsidRPr="0035351C" w:rsidRDefault="004F12A9" w:rsidP="001E1797">
      <w:pPr>
        <w:pStyle w:val="Heading2"/>
        <w:rPr>
          <w:sz w:val="24"/>
          <w:szCs w:val="24"/>
          <w:u w:val="single"/>
        </w:rPr>
      </w:pPr>
      <w:r w:rsidRPr="0035351C">
        <w:rPr>
          <w:sz w:val="24"/>
          <w:szCs w:val="24"/>
          <w:u w:val="single"/>
        </w:rPr>
        <w:t>CLINICAL MANAGEMENT AFTER THE USE OF HEALTH TECHNOLOGY</w:t>
      </w:r>
    </w:p>
    <w:p w14:paraId="3017C87B" w14:textId="1AA8C4E5" w:rsidR="00F16239" w:rsidRPr="00841FE9" w:rsidRDefault="00F16239" w:rsidP="00841FE9">
      <w:pPr>
        <w:rPr>
          <w:b/>
          <w:bCs/>
          <w:sz w:val="24"/>
          <w:szCs w:val="24"/>
        </w:rPr>
      </w:pPr>
      <w:r w:rsidRPr="00841FE9">
        <w:rPr>
          <w:b/>
          <w:bCs/>
          <w:sz w:val="24"/>
          <w:szCs w:val="24"/>
        </w:rPr>
        <w:t>Define and summarise the clinical management algorithm, including any required tests or healthcare resources, after the use of the proposed health technology:</w:t>
      </w:r>
    </w:p>
    <w:p w14:paraId="22F53CB1" w14:textId="6412B47C" w:rsidR="00F16239" w:rsidRDefault="00AC0EE9" w:rsidP="001E1797">
      <w:pPr>
        <w:rPr>
          <w:sz w:val="24"/>
          <w:szCs w:val="24"/>
        </w:rPr>
      </w:pPr>
      <w:r>
        <w:rPr>
          <w:sz w:val="24"/>
          <w:szCs w:val="24"/>
        </w:rPr>
        <w:t>Immediately following infusion with CAR-T therapy, patient monitoring is essential to</w:t>
      </w:r>
      <w:r w:rsidR="00292A4B">
        <w:rPr>
          <w:sz w:val="24"/>
          <w:szCs w:val="24"/>
        </w:rPr>
        <w:t xml:space="preserve"> ensure fast response to any adverse events from treatment. </w:t>
      </w:r>
      <w:r w:rsidR="00323121">
        <w:rPr>
          <w:sz w:val="24"/>
          <w:szCs w:val="24"/>
        </w:rPr>
        <w:t>In the proposed Product Information for lisocabtagene maraleucel, this period is two weeks.</w:t>
      </w:r>
    </w:p>
    <w:p w14:paraId="52102BA1" w14:textId="64FE4F1F" w:rsidR="00323121" w:rsidRDefault="00323121" w:rsidP="001E1797">
      <w:pPr>
        <w:rPr>
          <w:sz w:val="24"/>
          <w:szCs w:val="24"/>
        </w:rPr>
      </w:pPr>
      <w:r>
        <w:rPr>
          <w:sz w:val="24"/>
          <w:szCs w:val="24"/>
        </w:rPr>
        <w:t xml:space="preserve">Beyond this point, ongoing monitoring and check ups are required, and patients </w:t>
      </w:r>
      <w:r w:rsidR="00EA0CB9">
        <w:rPr>
          <w:sz w:val="24"/>
          <w:szCs w:val="24"/>
        </w:rPr>
        <w:t xml:space="preserve">may continue through the treatment algorithm presented in </w:t>
      </w:r>
      <w:r w:rsidR="00EA0CB9">
        <w:rPr>
          <w:sz w:val="24"/>
          <w:szCs w:val="24"/>
        </w:rPr>
        <w:fldChar w:fldCharType="begin"/>
      </w:r>
      <w:r w:rsidR="00EA0CB9">
        <w:rPr>
          <w:sz w:val="24"/>
          <w:szCs w:val="24"/>
        </w:rPr>
        <w:instrText xml:space="preserve"> REF _Ref213762622 \h </w:instrText>
      </w:r>
      <w:r w:rsidR="00EA0CB9">
        <w:rPr>
          <w:sz w:val="24"/>
          <w:szCs w:val="24"/>
        </w:rPr>
      </w:r>
      <w:r w:rsidR="00EA0CB9">
        <w:rPr>
          <w:sz w:val="24"/>
          <w:szCs w:val="24"/>
        </w:rPr>
        <w:fldChar w:fldCharType="separate"/>
      </w:r>
      <w:r w:rsidR="00EA0CB9">
        <w:t xml:space="preserve">Figure </w:t>
      </w:r>
      <w:r w:rsidR="00EA0CB9">
        <w:rPr>
          <w:noProof/>
        </w:rPr>
        <w:t>2</w:t>
      </w:r>
      <w:r w:rsidR="00EA0CB9">
        <w:rPr>
          <w:sz w:val="24"/>
          <w:szCs w:val="24"/>
        </w:rPr>
        <w:fldChar w:fldCharType="end"/>
      </w:r>
      <w:r w:rsidR="00EA0CB9">
        <w:rPr>
          <w:sz w:val="24"/>
          <w:szCs w:val="24"/>
        </w:rPr>
        <w:t xml:space="preserve"> i</w:t>
      </w:r>
      <w:r w:rsidR="00682886">
        <w:rPr>
          <w:sz w:val="24"/>
          <w:szCs w:val="24"/>
        </w:rPr>
        <w:t>f</w:t>
      </w:r>
      <w:r w:rsidR="00EA0CB9">
        <w:rPr>
          <w:sz w:val="24"/>
          <w:szCs w:val="24"/>
        </w:rPr>
        <w:t xml:space="preserve"> disease progression occurs.</w:t>
      </w:r>
    </w:p>
    <w:p w14:paraId="4C4C066E" w14:textId="77777777" w:rsidR="008F1A01" w:rsidRPr="0035351C" w:rsidRDefault="008F1A01" w:rsidP="001E1797">
      <w:pPr>
        <w:rPr>
          <w:rFonts w:eastAsia="Segoe UI"/>
          <w:color w:val="000000"/>
          <w:sz w:val="24"/>
          <w:szCs w:val="24"/>
        </w:rPr>
      </w:pPr>
    </w:p>
    <w:p w14:paraId="09165252" w14:textId="3953866E" w:rsidR="00F16239" w:rsidRPr="00841FE9" w:rsidRDefault="00F16239" w:rsidP="001E1797">
      <w:pPr>
        <w:rPr>
          <w:b/>
          <w:sz w:val="24"/>
          <w:szCs w:val="24"/>
        </w:rPr>
      </w:pPr>
      <w:r w:rsidRPr="00841FE9">
        <w:rPr>
          <w:b/>
          <w:sz w:val="24"/>
          <w:szCs w:val="24"/>
        </w:rPr>
        <w:t>Define and summarise the clinical management algorithm, including any required tests or healthcare resources, after the use of the comparator health technology:</w:t>
      </w:r>
    </w:p>
    <w:p w14:paraId="7261FD8A" w14:textId="728DC2E4" w:rsidR="00F16239" w:rsidRPr="0035351C" w:rsidRDefault="00E56EE5" w:rsidP="001E1797">
      <w:pPr>
        <w:rPr>
          <w:rFonts w:eastAsia="Segoe UI"/>
          <w:color w:val="000000"/>
          <w:sz w:val="24"/>
          <w:szCs w:val="24"/>
        </w:rPr>
      </w:pPr>
      <w:r>
        <w:rPr>
          <w:sz w:val="24"/>
          <w:szCs w:val="24"/>
        </w:rPr>
        <w:t>There are no differences between the treatment algorithm for the use of lisocabtagene maraleucel or axicabtagene ciloleucel aside from the potential magnitude of resources used in the management of adverse events.</w:t>
      </w:r>
    </w:p>
    <w:p w14:paraId="5C871695" w14:textId="77131435" w:rsidR="00F16239" w:rsidRPr="001C67E0" w:rsidRDefault="00F16239" w:rsidP="001C67E0">
      <w:pPr>
        <w:rPr>
          <w:b/>
          <w:sz w:val="24"/>
          <w:szCs w:val="24"/>
        </w:rPr>
      </w:pPr>
      <w:r w:rsidRPr="001C67E0">
        <w:rPr>
          <w:b/>
          <w:sz w:val="24"/>
          <w:szCs w:val="24"/>
        </w:rPr>
        <w:t>Describe and explain any differences in the healthcare resources used after the proposed health technology vs. the comparator health technology:</w:t>
      </w:r>
    </w:p>
    <w:p w14:paraId="1EE2B4EC" w14:textId="3F808F80" w:rsidR="0090168B" w:rsidRPr="0035351C" w:rsidRDefault="00E56EE5" w:rsidP="001E1797">
      <w:pPr>
        <w:rPr>
          <w:rFonts w:eastAsia="Segoe UI"/>
          <w:color w:val="000000"/>
          <w:sz w:val="24"/>
          <w:szCs w:val="24"/>
        </w:rPr>
      </w:pPr>
      <w:r>
        <w:rPr>
          <w:sz w:val="24"/>
          <w:szCs w:val="24"/>
        </w:rPr>
        <w:t>As noted above, the key anticipated difference is the resource use associated with the management of adverse events.</w:t>
      </w:r>
    </w:p>
    <w:p w14:paraId="0EB5EB03" w14:textId="425995E0" w:rsidR="005837E9" w:rsidRPr="001C67E0" w:rsidRDefault="00F47AFE" w:rsidP="00597818">
      <w:pPr>
        <w:keepNext/>
        <w:keepLines/>
        <w:rPr>
          <w:b/>
          <w:sz w:val="24"/>
          <w:szCs w:val="24"/>
        </w:rPr>
      </w:pPr>
      <w:r w:rsidRPr="001C67E0">
        <w:rPr>
          <w:b/>
          <w:sz w:val="24"/>
          <w:szCs w:val="24"/>
        </w:rPr>
        <w:lastRenderedPageBreak/>
        <w:t xml:space="preserve">Insert </w:t>
      </w:r>
      <w:r w:rsidR="00545A4C" w:rsidRPr="001C67E0">
        <w:rPr>
          <w:b/>
          <w:sz w:val="24"/>
          <w:szCs w:val="24"/>
        </w:rPr>
        <w:t>diagrams demonstrating the clinical management algorithm with and without the proposed health technology:</w:t>
      </w:r>
    </w:p>
    <w:p w14:paraId="72699956" w14:textId="77777777" w:rsidR="00E56EE5" w:rsidRDefault="00E56EE5" w:rsidP="00597818">
      <w:pPr>
        <w:keepNext/>
        <w:keepLines/>
        <w:rPr>
          <w:sz w:val="24"/>
          <w:szCs w:val="24"/>
        </w:rPr>
      </w:pPr>
      <w:r>
        <w:rPr>
          <w:sz w:val="24"/>
          <w:szCs w:val="24"/>
        </w:rPr>
        <w:t xml:space="preserve">A visual representation of the clinical management algorithm for patients with LBCL is presented in </w:t>
      </w:r>
      <w:r>
        <w:rPr>
          <w:sz w:val="24"/>
          <w:szCs w:val="24"/>
        </w:rPr>
        <w:fldChar w:fldCharType="begin"/>
      </w:r>
      <w:r>
        <w:rPr>
          <w:sz w:val="24"/>
          <w:szCs w:val="24"/>
        </w:rPr>
        <w:instrText xml:space="preserve"> REF _Ref213762622 \h </w:instrText>
      </w:r>
      <w:r>
        <w:rPr>
          <w:sz w:val="24"/>
          <w:szCs w:val="24"/>
        </w:rPr>
      </w:r>
      <w:r>
        <w:rPr>
          <w:sz w:val="24"/>
          <w:szCs w:val="24"/>
        </w:rPr>
        <w:fldChar w:fldCharType="separate"/>
      </w:r>
      <w:r>
        <w:t xml:space="preserve">Figure </w:t>
      </w:r>
      <w:r>
        <w:rPr>
          <w:noProof/>
        </w:rPr>
        <w:t>2</w:t>
      </w:r>
      <w:r>
        <w:rPr>
          <w:sz w:val="24"/>
          <w:szCs w:val="24"/>
        </w:rPr>
        <w:fldChar w:fldCharType="end"/>
      </w:r>
      <w:r>
        <w:rPr>
          <w:sz w:val="24"/>
          <w:szCs w:val="24"/>
        </w:rPr>
        <w:t>.</w:t>
      </w:r>
    </w:p>
    <w:p w14:paraId="582C7C57" w14:textId="77777777" w:rsidR="00E56EE5" w:rsidRDefault="00E56EE5" w:rsidP="009B31FB">
      <w:pPr>
        <w:pStyle w:val="Caption"/>
        <w:keepNext/>
      </w:pPr>
      <w:bookmarkStart w:id="3" w:name="_Ref213762622"/>
      <w:r>
        <w:t xml:space="preserve">Figure </w:t>
      </w:r>
      <w:r>
        <w:fldChar w:fldCharType="begin"/>
      </w:r>
      <w:r>
        <w:instrText>SEQ Figure \* ARABIC</w:instrText>
      </w:r>
      <w:r>
        <w:fldChar w:fldCharType="separate"/>
      </w:r>
      <w:r>
        <w:rPr>
          <w:noProof/>
        </w:rPr>
        <w:t>2</w:t>
      </w:r>
      <w:r>
        <w:fldChar w:fldCharType="end"/>
      </w:r>
      <w:bookmarkEnd w:id="3"/>
      <w:r>
        <w:t>: LBCL clinical management algorithm</w:t>
      </w:r>
    </w:p>
    <w:p w14:paraId="3DAAF870" w14:textId="77777777" w:rsidR="00E56EE5" w:rsidRPr="00D302CD" w:rsidRDefault="00E56EE5" w:rsidP="009B31FB">
      <w:pPr>
        <w:keepNext/>
      </w:pPr>
      <w:r>
        <w:rPr>
          <w:noProof/>
        </w:rPr>
        <w:drawing>
          <wp:inline distT="0" distB="0" distL="0" distR="0" wp14:anchorId="04051CEB" wp14:editId="09A7D9C9">
            <wp:extent cx="5869305" cy="2593468"/>
            <wp:effectExtent l="0" t="0" r="0" b="0"/>
            <wp:docPr id="1578811688" name="Picture 3" descr="A flow diagram of the &#10;LBCL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1688" name="Picture 3" descr="A flow diagram of the &#10;LBCL clinical management algorith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8881" cy="2597699"/>
                    </a:xfrm>
                    <a:prstGeom prst="rect">
                      <a:avLst/>
                    </a:prstGeom>
                    <a:noFill/>
                  </pic:spPr>
                </pic:pic>
              </a:graphicData>
            </a:graphic>
          </wp:inline>
        </w:drawing>
      </w:r>
    </w:p>
    <w:p w14:paraId="6309AA91" w14:textId="77777777" w:rsidR="00E56EE5" w:rsidRPr="00E640D9" w:rsidRDefault="00E56EE5" w:rsidP="009B31FB">
      <w:pPr>
        <w:keepNext/>
      </w:pPr>
    </w:p>
    <w:p w14:paraId="04E15A44" w14:textId="77777777" w:rsidR="00E56EE5" w:rsidRPr="000A2F38" w:rsidRDefault="00E56EE5" w:rsidP="009B31FB">
      <w:pPr>
        <w:keepNext/>
        <w:spacing w:after="0"/>
        <w:rPr>
          <w:rFonts w:eastAsia="Segoe UI"/>
          <w:color w:val="000000"/>
          <w:sz w:val="18"/>
          <w:szCs w:val="18"/>
        </w:rPr>
      </w:pPr>
      <w:r w:rsidRPr="000A2F38">
        <w:rPr>
          <w:rFonts w:eastAsia="Segoe UI"/>
          <w:color w:val="000000"/>
          <w:sz w:val="18"/>
          <w:szCs w:val="18"/>
          <w:vertAlign w:val="superscript"/>
          <w:lang w:val="en-US"/>
        </w:rPr>
        <w:t>a</w:t>
      </w:r>
      <w:r w:rsidRPr="000A2F38">
        <w:rPr>
          <w:rFonts w:eastAsia="Segoe UI"/>
          <w:color w:val="000000"/>
          <w:sz w:val="18"/>
          <w:szCs w:val="18"/>
          <w:lang w:val="en-US"/>
        </w:rPr>
        <w:t xml:space="preserve"> R-ICE, R-ESHAP, R-GDP, R-DHAP</w:t>
      </w:r>
    </w:p>
    <w:p w14:paraId="54509128" w14:textId="77777777" w:rsidR="00E56EE5" w:rsidRPr="000A2F38" w:rsidRDefault="00E56EE5" w:rsidP="009B31FB">
      <w:pPr>
        <w:keepNext/>
        <w:spacing w:after="0"/>
        <w:rPr>
          <w:rFonts w:eastAsia="Segoe UI"/>
          <w:color w:val="000000"/>
          <w:sz w:val="18"/>
          <w:szCs w:val="18"/>
        </w:rPr>
      </w:pPr>
      <w:r w:rsidRPr="000A2F38">
        <w:rPr>
          <w:rFonts w:eastAsia="Segoe UI"/>
          <w:color w:val="000000"/>
          <w:sz w:val="18"/>
          <w:szCs w:val="18"/>
          <w:vertAlign w:val="superscript"/>
          <w:lang w:val="en-US"/>
        </w:rPr>
        <w:t>b</w:t>
      </w:r>
      <w:r w:rsidRPr="000A2F38">
        <w:rPr>
          <w:rFonts w:eastAsia="Segoe UI"/>
          <w:color w:val="000000"/>
          <w:sz w:val="18"/>
          <w:szCs w:val="18"/>
          <w:lang w:val="en-US"/>
        </w:rPr>
        <w:t xml:space="preserve"> Patient ineligible for CAR-T in the 3L setting if they have received CAR-T in the 2L setting</w:t>
      </w:r>
    </w:p>
    <w:p w14:paraId="31DD9D0C" w14:textId="77777777" w:rsidR="00E56EE5" w:rsidRPr="000A2F38" w:rsidRDefault="00E56EE5" w:rsidP="009B31FB">
      <w:pPr>
        <w:keepNext/>
        <w:spacing w:after="0"/>
        <w:rPr>
          <w:rFonts w:eastAsia="Segoe UI"/>
          <w:color w:val="000000"/>
          <w:sz w:val="18"/>
          <w:szCs w:val="18"/>
        </w:rPr>
      </w:pPr>
      <w:r w:rsidRPr="000A2F38">
        <w:rPr>
          <w:rFonts w:eastAsia="Segoe UI"/>
          <w:color w:val="000000"/>
          <w:sz w:val="18"/>
          <w:szCs w:val="18"/>
          <w:vertAlign w:val="superscript"/>
          <w:lang w:val="en-US"/>
        </w:rPr>
        <w:t>c</w:t>
      </w:r>
      <w:r w:rsidRPr="000A2F38">
        <w:rPr>
          <w:rFonts w:eastAsia="Segoe UI"/>
          <w:color w:val="000000"/>
          <w:sz w:val="18"/>
          <w:szCs w:val="18"/>
          <w:lang w:val="en-US"/>
        </w:rPr>
        <w:t xml:space="preserve"> </w:t>
      </w:r>
      <w:r>
        <w:rPr>
          <w:rFonts w:eastAsia="Segoe UI"/>
          <w:color w:val="000000"/>
          <w:sz w:val="18"/>
          <w:szCs w:val="18"/>
          <w:lang w:val="en-US"/>
        </w:rPr>
        <w:t>Glofitamab has been r</w:t>
      </w:r>
      <w:r w:rsidRPr="000A2F38">
        <w:rPr>
          <w:rFonts w:eastAsia="Segoe UI"/>
          <w:color w:val="000000"/>
          <w:sz w:val="18"/>
          <w:szCs w:val="18"/>
          <w:lang w:val="en-US"/>
        </w:rPr>
        <w:t>ecommended by the PBAC, not yet PBS listed</w:t>
      </w:r>
    </w:p>
    <w:p w14:paraId="1DDEB652" w14:textId="77777777" w:rsidR="00E56EE5" w:rsidRDefault="00E56EE5" w:rsidP="009B31FB">
      <w:pPr>
        <w:keepNext/>
        <w:spacing w:after="0"/>
        <w:rPr>
          <w:rFonts w:eastAsia="Segoe UI"/>
          <w:color w:val="000000"/>
          <w:sz w:val="18"/>
          <w:szCs w:val="18"/>
        </w:rPr>
      </w:pPr>
      <w:r w:rsidRPr="000A2F38">
        <w:rPr>
          <w:rFonts w:eastAsia="Segoe UI"/>
          <w:color w:val="000000"/>
          <w:sz w:val="18"/>
          <w:szCs w:val="18"/>
        </w:rPr>
        <w:t>Abbreviations: BSC = best supportive care; CAR = chimeric antigen receptor; HDCT = high-dose chemotherapy; R-CHOP = rituximab, cyclophosphamide, doxorubicin, vincristine, and prednisone; R-DHAP = rituximab plus dexamethasone, high-dose cytarabine and cisplatin/oxaliplatin; R-ESHAP = rituximab plus etoposide, methylprednisolone, cytarabine and cisplatin; R-GDP = rituximab plus gemcitabine, dexamethasone and cisplatin/carboplatin; R-ICE = rituximab plus ifosfamide, carboplatin and etoposide; SCT = stem cell transplant.</w:t>
      </w:r>
    </w:p>
    <w:p w14:paraId="12E209BF" w14:textId="77777777" w:rsidR="00E56EE5" w:rsidRDefault="00E56EE5" w:rsidP="00E56EE5">
      <w:pPr>
        <w:rPr>
          <w:sz w:val="24"/>
          <w:szCs w:val="24"/>
        </w:rPr>
      </w:pPr>
    </w:p>
    <w:p w14:paraId="788A9061" w14:textId="6B8BCFE8" w:rsidR="001F6E45" w:rsidRPr="00E56EE5" w:rsidRDefault="00E56EE5" w:rsidP="001E1797">
      <w:pPr>
        <w:rPr>
          <w:sz w:val="24"/>
          <w:szCs w:val="24"/>
        </w:rPr>
        <w:sectPr w:rsidR="001F6E45" w:rsidRPr="00E56EE5" w:rsidSect="000E1074">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5" w:left="1440" w:header="426" w:footer="252" w:gutter="0"/>
          <w:pgNumType w:start="0"/>
          <w:cols w:space="708"/>
          <w:titlePg/>
          <w:docGrid w:linePitch="360"/>
        </w:sectPr>
      </w:pPr>
      <w:r>
        <w:rPr>
          <w:sz w:val="24"/>
          <w:szCs w:val="24"/>
        </w:rPr>
        <w:t>Lisocabtagene maraleucel is presented in the above figure in the pink dotted box, indicating the proposed population for use (aligned to axicabtagene ciloleucel).</w:t>
      </w:r>
    </w:p>
    <w:p w14:paraId="76D1C223" w14:textId="77777777" w:rsidR="001F6E45" w:rsidRPr="007E1AF7" w:rsidRDefault="001F6E45" w:rsidP="004F12A9">
      <w:pPr>
        <w:pStyle w:val="Heading1"/>
        <w:rPr>
          <w:color w:val="002060"/>
        </w:rPr>
      </w:pPr>
      <w:r w:rsidRPr="007E1AF7">
        <w:rPr>
          <w:color w:val="002060"/>
        </w:rPr>
        <w:lastRenderedPageBreak/>
        <w:t>Summary of Evidence</w:t>
      </w:r>
    </w:p>
    <w:p w14:paraId="68119DF1" w14:textId="77777777" w:rsidR="001F6E45" w:rsidRPr="001C67E0" w:rsidRDefault="001F6E45" w:rsidP="001C67E0">
      <w:pPr>
        <w:rPr>
          <w:b/>
          <w:sz w:val="24"/>
          <w:szCs w:val="24"/>
        </w:rPr>
      </w:pPr>
      <w:r w:rsidRPr="001C67E0">
        <w:rPr>
          <w:b/>
          <w:sz w:val="24"/>
          <w:szCs w:val="24"/>
        </w:rPr>
        <w:t xml:space="preserve">Provide one or more recent (published) high quality clinical studies that support use of the proposed health service/technology. At ‘Application Form lodgement’, </w:t>
      </w:r>
    </w:p>
    <w:tbl>
      <w:tblPr>
        <w:tblStyle w:val="TableGrid"/>
        <w:tblW w:w="0" w:type="auto"/>
        <w:tblLook w:val="04A0" w:firstRow="1" w:lastRow="0" w:firstColumn="1" w:lastColumn="0" w:noHBand="0" w:noVBand="1"/>
        <w:tblCaption w:val="Summary of Evidence - Published"/>
      </w:tblPr>
      <w:tblGrid>
        <w:gridCol w:w="398"/>
        <w:gridCol w:w="1916"/>
        <w:gridCol w:w="2648"/>
        <w:gridCol w:w="3058"/>
        <w:gridCol w:w="4685"/>
        <w:gridCol w:w="1548"/>
      </w:tblGrid>
      <w:tr w:rsidR="004F12A9" w:rsidRPr="0035351C" w14:paraId="5B25CF42" w14:textId="77777777" w:rsidTr="00027874">
        <w:trPr>
          <w:cantSplit/>
          <w:tblHeader/>
        </w:trPr>
        <w:tc>
          <w:tcPr>
            <w:tcW w:w="0" w:type="auto"/>
          </w:tcPr>
          <w:p w14:paraId="628D0BBC" w14:textId="77777777" w:rsidR="004F12A9" w:rsidRPr="0035351C" w:rsidRDefault="004F12A9" w:rsidP="006E08ED">
            <w:pPr>
              <w:rPr>
                <w:sz w:val="24"/>
                <w:szCs w:val="24"/>
              </w:rPr>
            </w:pPr>
          </w:p>
        </w:tc>
        <w:tc>
          <w:tcPr>
            <w:tcW w:w="0" w:type="auto"/>
          </w:tcPr>
          <w:p w14:paraId="5808207C" w14:textId="446DB0E6" w:rsidR="004F12A9" w:rsidRPr="0035351C" w:rsidRDefault="004F12A9" w:rsidP="006E08ED">
            <w:pPr>
              <w:rPr>
                <w:b/>
                <w:bCs/>
                <w:sz w:val="24"/>
                <w:szCs w:val="24"/>
              </w:rPr>
            </w:pPr>
            <w:r w:rsidRPr="0035351C">
              <w:rPr>
                <w:b/>
                <w:bCs/>
                <w:sz w:val="24"/>
                <w:szCs w:val="24"/>
              </w:rPr>
              <w:t>Type of study design</w:t>
            </w:r>
          </w:p>
        </w:tc>
        <w:tc>
          <w:tcPr>
            <w:tcW w:w="0" w:type="auto"/>
          </w:tcPr>
          <w:p w14:paraId="4AD3122F" w14:textId="022FFC64" w:rsidR="004F12A9" w:rsidRPr="0035351C" w:rsidRDefault="004F12A9" w:rsidP="006E08ED">
            <w:pPr>
              <w:rPr>
                <w:b/>
                <w:bCs/>
                <w:sz w:val="24"/>
                <w:szCs w:val="24"/>
              </w:rPr>
            </w:pPr>
            <w:r w:rsidRPr="0035351C">
              <w:rPr>
                <w:b/>
                <w:bCs/>
                <w:sz w:val="24"/>
                <w:szCs w:val="24"/>
              </w:rPr>
              <w:t xml:space="preserve">Title of journal article or research project </w:t>
            </w:r>
          </w:p>
        </w:tc>
        <w:tc>
          <w:tcPr>
            <w:tcW w:w="0" w:type="auto"/>
          </w:tcPr>
          <w:p w14:paraId="1E6D6673" w14:textId="05F247F2" w:rsidR="004F12A9" w:rsidRPr="0035351C" w:rsidRDefault="004F12A9" w:rsidP="006E08ED">
            <w:pPr>
              <w:rPr>
                <w:b/>
                <w:bCs/>
                <w:sz w:val="24"/>
                <w:szCs w:val="24"/>
              </w:rPr>
            </w:pPr>
            <w:r w:rsidRPr="0035351C">
              <w:rPr>
                <w:b/>
                <w:bCs/>
                <w:sz w:val="24"/>
                <w:szCs w:val="24"/>
              </w:rPr>
              <w:t xml:space="preserve">Short description of research </w:t>
            </w:r>
          </w:p>
        </w:tc>
        <w:tc>
          <w:tcPr>
            <w:tcW w:w="0" w:type="auto"/>
          </w:tcPr>
          <w:p w14:paraId="6600074B" w14:textId="3ABECA8F" w:rsidR="004F12A9" w:rsidRPr="0035351C" w:rsidRDefault="004F12A9" w:rsidP="006E08ED">
            <w:pPr>
              <w:rPr>
                <w:b/>
                <w:bCs/>
                <w:sz w:val="24"/>
                <w:szCs w:val="24"/>
              </w:rPr>
            </w:pPr>
            <w:r w:rsidRPr="0035351C">
              <w:rPr>
                <w:b/>
                <w:bCs/>
                <w:sz w:val="24"/>
                <w:szCs w:val="24"/>
              </w:rPr>
              <w:t xml:space="preserve">Website link to journal article or research </w:t>
            </w:r>
          </w:p>
        </w:tc>
        <w:tc>
          <w:tcPr>
            <w:tcW w:w="0" w:type="auto"/>
          </w:tcPr>
          <w:p w14:paraId="2A24A6F5" w14:textId="02032E14" w:rsidR="004F12A9" w:rsidRPr="0035351C" w:rsidRDefault="004F12A9" w:rsidP="006E08ED">
            <w:pPr>
              <w:rPr>
                <w:b/>
                <w:bCs/>
                <w:sz w:val="24"/>
                <w:szCs w:val="24"/>
              </w:rPr>
            </w:pPr>
            <w:r w:rsidRPr="0035351C">
              <w:rPr>
                <w:b/>
                <w:bCs/>
                <w:sz w:val="24"/>
                <w:szCs w:val="24"/>
              </w:rPr>
              <w:t>Date of publication</w:t>
            </w:r>
          </w:p>
        </w:tc>
      </w:tr>
      <w:tr w:rsidR="004F12A9" w:rsidRPr="0035351C" w14:paraId="01B2159C" w14:textId="77777777" w:rsidTr="00027874">
        <w:trPr>
          <w:cantSplit/>
        </w:trPr>
        <w:tc>
          <w:tcPr>
            <w:tcW w:w="0" w:type="auto"/>
          </w:tcPr>
          <w:p w14:paraId="670C4819" w14:textId="6738718E" w:rsidR="004F12A9" w:rsidRPr="0035351C" w:rsidRDefault="00EC7ECB" w:rsidP="006E08ED">
            <w:pPr>
              <w:rPr>
                <w:sz w:val="24"/>
                <w:szCs w:val="24"/>
              </w:rPr>
            </w:pPr>
            <w:r>
              <w:rPr>
                <w:sz w:val="24"/>
                <w:szCs w:val="24"/>
              </w:rPr>
              <w:t>1</w:t>
            </w:r>
            <w:r w:rsidR="004F12A9" w:rsidRPr="0035351C">
              <w:rPr>
                <w:sz w:val="24"/>
                <w:szCs w:val="24"/>
              </w:rPr>
              <w:t>.</w:t>
            </w:r>
          </w:p>
        </w:tc>
        <w:tc>
          <w:tcPr>
            <w:tcW w:w="0" w:type="auto"/>
          </w:tcPr>
          <w:p w14:paraId="5D36E1AA" w14:textId="18C904B5" w:rsidR="004F12A9" w:rsidRPr="0035351C" w:rsidRDefault="00156730" w:rsidP="006E08ED">
            <w:pPr>
              <w:rPr>
                <w:sz w:val="24"/>
                <w:szCs w:val="24"/>
              </w:rPr>
            </w:pPr>
            <w:r w:rsidRPr="00E46E32">
              <w:rPr>
                <w:sz w:val="24"/>
                <w:szCs w:val="24"/>
              </w:rPr>
              <w:t>Phase III, randomized, open-label, parallel group, multi-centre clinical trial</w:t>
            </w:r>
          </w:p>
        </w:tc>
        <w:tc>
          <w:tcPr>
            <w:tcW w:w="0" w:type="auto"/>
          </w:tcPr>
          <w:p w14:paraId="14378CF1" w14:textId="77777777" w:rsidR="00860C8A" w:rsidRDefault="00442B76" w:rsidP="006E08ED">
            <w:pPr>
              <w:rPr>
                <w:szCs w:val="20"/>
              </w:rPr>
            </w:pPr>
            <w:r w:rsidRPr="00442B76">
              <w:rPr>
                <w:sz w:val="24"/>
                <w:szCs w:val="24"/>
              </w:rPr>
              <w:t>Lisocabtagene maraleucel as second-line therapy for large B-cell lymphoma: primary analysis of the phase 3 TRANSFORM study</w:t>
            </w:r>
            <w:r>
              <w:rPr>
                <w:sz w:val="24"/>
                <w:szCs w:val="24"/>
              </w:rPr>
              <w:t xml:space="preserve"> (</w:t>
            </w:r>
            <w:r w:rsidR="00D45907" w:rsidRPr="00DC7EA4">
              <w:rPr>
                <w:szCs w:val="20"/>
              </w:rPr>
              <w:t>NCT03575351</w:t>
            </w:r>
            <w:r w:rsidR="00D45907">
              <w:rPr>
                <w:szCs w:val="20"/>
              </w:rPr>
              <w:t>)</w:t>
            </w:r>
          </w:p>
          <w:p w14:paraId="14916BA3" w14:textId="77777777" w:rsidR="00860C8A" w:rsidRDefault="00860C8A" w:rsidP="006E08ED">
            <w:pPr>
              <w:rPr>
                <w:szCs w:val="20"/>
              </w:rPr>
            </w:pPr>
          </w:p>
          <w:p w14:paraId="1D7C16E5" w14:textId="3226C647" w:rsidR="004F12A9" w:rsidRPr="0035351C" w:rsidRDefault="00860C8A" w:rsidP="006E08ED">
            <w:pPr>
              <w:rPr>
                <w:sz w:val="24"/>
                <w:szCs w:val="24"/>
              </w:rPr>
            </w:pPr>
            <w:r>
              <w:rPr>
                <w:szCs w:val="20"/>
              </w:rPr>
              <w:t>Abramson et. al.</w:t>
            </w:r>
          </w:p>
        </w:tc>
        <w:tc>
          <w:tcPr>
            <w:tcW w:w="0" w:type="auto"/>
          </w:tcPr>
          <w:p w14:paraId="3C870464" w14:textId="089101E6" w:rsidR="004F12A9" w:rsidRPr="0035351C" w:rsidRDefault="00E46E32" w:rsidP="006E08ED">
            <w:pPr>
              <w:rPr>
                <w:sz w:val="24"/>
                <w:szCs w:val="24"/>
              </w:rPr>
            </w:pPr>
            <w:r w:rsidRPr="00442B76">
              <w:rPr>
                <w:sz w:val="24"/>
                <w:szCs w:val="24"/>
              </w:rPr>
              <w:t>Lisocabtagene maraleucel</w:t>
            </w:r>
            <w:r>
              <w:rPr>
                <w:sz w:val="24"/>
                <w:szCs w:val="24"/>
              </w:rPr>
              <w:t xml:space="preserve"> demonstrated a </w:t>
            </w:r>
            <w:r w:rsidR="00B45E97">
              <w:rPr>
                <w:sz w:val="24"/>
                <w:szCs w:val="24"/>
              </w:rPr>
              <w:t>significant improvement</w:t>
            </w:r>
            <w:r>
              <w:rPr>
                <w:sz w:val="24"/>
                <w:szCs w:val="24"/>
              </w:rPr>
              <w:t xml:space="preserve"> in the outcome</w:t>
            </w:r>
            <w:r w:rsidR="00B45E97">
              <w:rPr>
                <w:sz w:val="24"/>
                <w:szCs w:val="24"/>
              </w:rPr>
              <w:t>s</w:t>
            </w:r>
            <w:r>
              <w:rPr>
                <w:sz w:val="24"/>
                <w:szCs w:val="24"/>
              </w:rPr>
              <w:t xml:space="preserve"> of EFS</w:t>
            </w:r>
            <w:r w:rsidR="00B45E97">
              <w:rPr>
                <w:sz w:val="24"/>
                <w:szCs w:val="24"/>
              </w:rPr>
              <w:t>, CR rate, and PFS</w:t>
            </w:r>
            <w:r>
              <w:rPr>
                <w:sz w:val="24"/>
                <w:szCs w:val="24"/>
              </w:rPr>
              <w:t xml:space="preserve"> vs salvage chemotherapy in the treatment of 2L TNE DLBCL patients</w:t>
            </w:r>
            <w:r w:rsidR="00860C8A">
              <w:rPr>
                <w:sz w:val="24"/>
                <w:szCs w:val="24"/>
              </w:rPr>
              <w:t xml:space="preserve"> at the time of primary analysis (n</w:t>
            </w:r>
            <w:r w:rsidR="00E341ED">
              <w:rPr>
                <w:sz w:val="24"/>
                <w:szCs w:val="24"/>
              </w:rPr>
              <w:t>=184)</w:t>
            </w:r>
          </w:p>
        </w:tc>
        <w:tc>
          <w:tcPr>
            <w:tcW w:w="0" w:type="auto"/>
          </w:tcPr>
          <w:p w14:paraId="22C048D2" w14:textId="2C0C1B1F" w:rsidR="004F12A9" w:rsidRPr="0035351C" w:rsidRDefault="00CF3D77" w:rsidP="006E08ED">
            <w:pPr>
              <w:rPr>
                <w:sz w:val="24"/>
                <w:szCs w:val="24"/>
              </w:rPr>
            </w:pPr>
            <w:hyperlink r:id="rId17" w:history="1">
              <w:r w:rsidRPr="00CF3D77">
                <w:rPr>
                  <w:rStyle w:val="Hyperlink"/>
                  <w:i/>
                  <w:iCs/>
                  <w:sz w:val="24"/>
                  <w:szCs w:val="24"/>
                </w:rPr>
                <w:t>Blood</w:t>
              </w:r>
              <w:r w:rsidRPr="00CF3D77">
                <w:rPr>
                  <w:rStyle w:val="Hyperlink"/>
                  <w:sz w:val="24"/>
                  <w:szCs w:val="24"/>
                </w:rPr>
                <w:t>. 2023;141(14):1675-1684. doi:10.1182/blood.2022018730</w:t>
              </w:r>
            </w:hyperlink>
          </w:p>
        </w:tc>
        <w:tc>
          <w:tcPr>
            <w:tcW w:w="0" w:type="auto"/>
          </w:tcPr>
          <w:p w14:paraId="45B6679F" w14:textId="449A624E" w:rsidR="004F12A9" w:rsidRPr="0035351C" w:rsidRDefault="00CF3D77" w:rsidP="006E08ED">
            <w:pPr>
              <w:rPr>
                <w:sz w:val="24"/>
                <w:szCs w:val="24"/>
              </w:rPr>
            </w:pPr>
            <w:r>
              <w:rPr>
                <w:sz w:val="24"/>
                <w:szCs w:val="24"/>
              </w:rPr>
              <w:t>6 April 2023</w:t>
            </w:r>
          </w:p>
        </w:tc>
      </w:tr>
      <w:tr w:rsidR="004F12A9" w:rsidRPr="0035351C" w14:paraId="7F22AD1F" w14:textId="77777777" w:rsidTr="00027874">
        <w:trPr>
          <w:cantSplit/>
        </w:trPr>
        <w:tc>
          <w:tcPr>
            <w:tcW w:w="0" w:type="auto"/>
          </w:tcPr>
          <w:p w14:paraId="27F3A2CB" w14:textId="0EDEA97C" w:rsidR="004F12A9" w:rsidRPr="0035351C" w:rsidRDefault="00EC7ECB" w:rsidP="006E08ED">
            <w:pPr>
              <w:rPr>
                <w:sz w:val="24"/>
                <w:szCs w:val="24"/>
              </w:rPr>
            </w:pPr>
            <w:r>
              <w:rPr>
                <w:sz w:val="24"/>
                <w:szCs w:val="24"/>
              </w:rPr>
              <w:t>2</w:t>
            </w:r>
            <w:r w:rsidR="004F12A9" w:rsidRPr="0035351C">
              <w:rPr>
                <w:sz w:val="24"/>
                <w:szCs w:val="24"/>
              </w:rPr>
              <w:t>.</w:t>
            </w:r>
          </w:p>
        </w:tc>
        <w:tc>
          <w:tcPr>
            <w:tcW w:w="0" w:type="auto"/>
          </w:tcPr>
          <w:p w14:paraId="48B9042A" w14:textId="55C4D8AE" w:rsidR="004F12A9" w:rsidRPr="0035351C" w:rsidRDefault="00B45809" w:rsidP="006E08ED">
            <w:pPr>
              <w:rPr>
                <w:sz w:val="24"/>
                <w:szCs w:val="24"/>
              </w:rPr>
            </w:pPr>
            <w:r w:rsidRPr="00B45809">
              <w:rPr>
                <w:sz w:val="24"/>
                <w:szCs w:val="24"/>
              </w:rPr>
              <w:t>Phase II, single-arm, open-label, multi-centre clinical trial</w:t>
            </w:r>
          </w:p>
        </w:tc>
        <w:tc>
          <w:tcPr>
            <w:tcW w:w="0" w:type="auto"/>
          </w:tcPr>
          <w:p w14:paraId="53CAB9E6" w14:textId="6B9395B2" w:rsidR="004F12A9" w:rsidRDefault="00F60573" w:rsidP="006E08ED">
            <w:pPr>
              <w:rPr>
                <w:szCs w:val="24"/>
              </w:rPr>
            </w:pPr>
            <w:r w:rsidRPr="00F60573">
              <w:rPr>
                <w:sz w:val="24"/>
                <w:szCs w:val="24"/>
              </w:rPr>
              <w:t>Lisocabtagene maraleucel for R/R LBCL in patients not intended for HSCT: final results of the phase 2 PILOT study</w:t>
            </w:r>
            <w:r>
              <w:rPr>
                <w:sz w:val="24"/>
                <w:szCs w:val="24"/>
              </w:rPr>
              <w:t xml:space="preserve"> (</w:t>
            </w:r>
            <w:r w:rsidR="00FB3BCF" w:rsidRPr="00DC7EA4">
              <w:rPr>
                <w:szCs w:val="24"/>
              </w:rPr>
              <w:t>NCT03483103</w:t>
            </w:r>
            <w:r w:rsidR="00FB3BCF">
              <w:rPr>
                <w:szCs w:val="24"/>
              </w:rPr>
              <w:t>)</w:t>
            </w:r>
          </w:p>
          <w:p w14:paraId="00CE6754" w14:textId="77777777" w:rsidR="00FB3BCF" w:rsidRDefault="00FB3BCF" w:rsidP="006E08ED">
            <w:pPr>
              <w:rPr>
                <w:szCs w:val="24"/>
              </w:rPr>
            </w:pPr>
          </w:p>
          <w:p w14:paraId="125ABA0D" w14:textId="0E28CDB6" w:rsidR="00FB3BCF" w:rsidRDefault="00FB3BCF" w:rsidP="006E08ED">
            <w:pPr>
              <w:rPr>
                <w:szCs w:val="24"/>
              </w:rPr>
            </w:pPr>
            <w:r>
              <w:rPr>
                <w:szCs w:val="24"/>
              </w:rPr>
              <w:t>Sehgal et. al.</w:t>
            </w:r>
          </w:p>
          <w:p w14:paraId="7CE1957F" w14:textId="1458A115" w:rsidR="00FB3BCF" w:rsidRPr="0035351C" w:rsidRDefault="00FB3BCF" w:rsidP="006E08ED">
            <w:pPr>
              <w:rPr>
                <w:sz w:val="24"/>
                <w:szCs w:val="24"/>
              </w:rPr>
            </w:pPr>
          </w:p>
        </w:tc>
        <w:tc>
          <w:tcPr>
            <w:tcW w:w="0" w:type="auto"/>
          </w:tcPr>
          <w:p w14:paraId="75312BF5" w14:textId="0A05E71C" w:rsidR="004F12A9" w:rsidRPr="0035351C" w:rsidRDefault="00FD6ED3" w:rsidP="006E08ED">
            <w:pPr>
              <w:rPr>
                <w:sz w:val="24"/>
                <w:szCs w:val="24"/>
              </w:rPr>
            </w:pPr>
            <w:r>
              <w:rPr>
                <w:sz w:val="24"/>
                <w:szCs w:val="24"/>
              </w:rPr>
              <w:t xml:space="preserve">Lisocabtagene maraleucel demonstrated durable </w:t>
            </w:r>
            <w:r w:rsidR="005B74EB">
              <w:rPr>
                <w:sz w:val="24"/>
                <w:szCs w:val="24"/>
              </w:rPr>
              <w:t xml:space="preserve">efficacy and a favourable safety profile </w:t>
            </w:r>
            <w:r w:rsidR="00EC3760">
              <w:rPr>
                <w:sz w:val="24"/>
                <w:szCs w:val="24"/>
              </w:rPr>
              <w:t>among patients with 2L DLCBL not intended for HSCT (n=61)</w:t>
            </w:r>
          </w:p>
        </w:tc>
        <w:tc>
          <w:tcPr>
            <w:tcW w:w="0" w:type="auto"/>
          </w:tcPr>
          <w:p w14:paraId="7A705BE6" w14:textId="16A09486" w:rsidR="004F12A9" w:rsidRPr="0035351C" w:rsidRDefault="00683074" w:rsidP="006E08ED">
            <w:pPr>
              <w:rPr>
                <w:sz w:val="24"/>
                <w:szCs w:val="24"/>
              </w:rPr>
            </w:pPr>
            <w:hyperlink r:id="rId18" w:history="1">
              <w:r w:rsidRPr="00EC3760">
                <w:rPr>
                  <w:rStyle w:val="Hyperlink"/>
                  <w:i/>
                  <w:iCs/>
                  <w:sz w:val="24"/>
                  <w:szCs w:val="24"/>
                </w:rPr>
                <w:t>Blood Adv</w:t>
              </w:r>
              <w:r w:rsidRPr="00EC3760">
                <w:rPr>
                  <w:rStyle w:val="Hyperlink"/>
                  <w:sz w:val="24"/>
                  <w:szCs w:val="24"/>
                </w:rPr>
                <w:t>. 2025;9(15):3694-3705. doi:10.1182/bloodadvances.2024015262</w:t>
              </w:r>
            </w:hyperlink>
          </w:p>
        </w:tc>
        <w:tc>
          <w:tcPr>
            <w:tcW w:w="0" w:type="auto"/>
          </w:tcPr>
          <w:p w14:paraId="4382772C" w14:textId="12DB16FF" w:rsidR="004F12A9" w:rsidRPr="0035351C" w:rsidRDefault="00124D5B" w:rsidP="006E08ED">
            <w:pPr>
              <w:rPr>
                <w:sz w:val="24"/>
                <w:szCs w:val="24"/>
              </w:rPr>
            </w:pPr>
            <w:r>
              <w:rPr>
                <w:sz w:val="24"/>
                <w:szCs w:val="24"/>
              </w:rPr>
              <w:t>23 July 202</w:t>
            </w:r>
            <w:r w:rsidR="00EC3760">
              <w:rPr>
                <w:sz w:val="24"/>
                <w:szCs w:val="24"/>
              </w:rPr>
              <w:t>5</w:t>
            </w:r>
          </w:p>
        </w:tc>
      </w:tr>
      <w:tr w:rsidR="00EC3760" w:rsidRPr="0035351C" w14:paraId="28FE8810" w14:textId="77777777" w:rsidTr="00027874">
        <w:trPr>
          <w:cantSplit/>
        </w:trPr>
        <w:tc>
          <w:tcPr>
            <w:tcW w:w="0" w:type="auto"/>
          </w:tcPr>
          <w:p w14:paraId="1BE13202" w14:textId="43F61AA0" w:rsidR="00EC3760" w:rsidRPr="0035351C" w:rsidRDefault="00EC7ECB" w:rsidP="006E08ED">
            <w:pPr>
              <w:rPr>
                <w:sz w:val="24"/>
                <w:szCs w:val="24"/>
              </w:rPr>
            </w:pPr>
            <w:r>
              <w:rPr>
                <w:sz w:val="24"/>
                <w:szCs w:val="24"/>
              </w:rPr>
              <w:lastRenderedPageBreak/>
              <w:t>3.</w:t>
            </w:r>
          </w:p>
        </w:tc>
        <w:tc>
          <w:tcPr>
            <w:tcW w:w="0" w:type="auto"/>
          </w:tcPr>
          <w:p w14:paraId="2948397D" w14:textId="62730630" w:rsidR="00EC3760" w:rsidRPr="00B45809" w:rsidRDefault="00421778" w:rsidP="006E08ED">
            <w:pPr>
              <w:rPr>
                <w:sz w:val="24"/>
                <w:szCs w:val="24"/>
              </w:rPr>
            </w:pPr>
            <w:r>
              <w:rPr>
                <w:sz w:val="24"/>
                <w:szCs w:val="24"/>
              </w:rPr>
              <w:t>Phase II, multi-centre, open-label clinical trial</w:t>
            </w:r>
          </w:p>
        </w:tc>
        <w:tc>
          <w:tcPr>
            <w:tcW w:w="0" w:type="auto"/>
          </w:tcPr>
          <w:p w14:paraId="7AF144EB" w14:textId="622056A4" w:rsidR="004F3F4B" w:rsidRDefault="004F3F4B" w:rsidP="006E08ED">
            <w:pPr>
              <w:rPr>
                <w:sz w:val="24"/>
                <w:szCs w:val="24"/>
              </w:rPr>
            </w:pPr>
            <w:r w:rsidRPr="004F3F4B">
              <w:rPr>
                <w:sz w:val="24"/>
                <w:szCs w:val="24"/>
              </w:rPr>
              <w:t>OUTREACH: phase 2 study of lisocabtagene maraleucel as outpatient or inpatient treatment at community sites for R/R LBCL</w:t>
            </w:r>
            <w:r>
              <w:rPr>
                <w:sz w:val="24"/>
                <w:szCs w:val="24"/>
              </w:rPr>
              <w:t xml:space="preserve"> (</w:t>
            </w:r>
            <w:r w:rsidRPr="004F3F4B">
              <w:rPr>
                <w:sz w:val="24"/>
                <w:szCs w:val="24"/>
              </w:rPr>
              <w:t>NCT03744676</w:t>
            </w:r>
            <w:r>
              <w:rPr>
                <w:sz w:val="24"/>
                <w:szCs w:val="24"/>
              </w:rPr>
              <w:t>)</w:t>
            </w:r>
          </w:p>
          <w:p w14:paraId="07C0A927" w14:textId="77777777" w:rsidR="004F3F4B" w:rsidRDefault="004F3F4B" w:rsidP="006E08ED">
            <w:pPr>
              <w:rPr>
                <w:sz w:val="24"/>
                <w:szCs w:val="24"/>
              </w:rPr>
            </w:pPr>
          </w:p>
          <w:p w14:paraId="52D2442E" w14:textId="14EDF445" w:rsidR="00EC3760" w:rsidRPr="00F60573" w:rsidRDefault="004F3F4B" w:rsidP="006E08ED">
            <w:pPr>
              <w:rPr>
                <w:sz w:val="24"/>
                <w:szCs w:val="24"/>
              </w:rPr>
            </w:pPr>
            <w:r w:rsidRPr="004F3F4B">
              <w:rPr>
                <w:sz w:val="24"/>
                <w:szCs w:val="24"/>
              </w:rPr>
              <w:t xml:space="preserve">Linhares </w:t>
            </w:r>
            <w:r>
              <w:rPr>
                <w:sz w:val="24"/>
                <w:szCs w:val="24"/>
              </w:rPr>
              <w:t>et. al.</w:t>
            </w:r>
          </w:p>
        </w:tc>
        <w:tc>
          <w:tcPr>
            <w:tcW w:w="0" w:type="auto"/>
          </w:tcPr>
          <w:p w14:paraId="611D3FDA" w14:textId="77777777" w:rsidR="00EC3760" w:rsidRDefault="00672ABA" w:rsidP="006E08ED">
            <w:pPr>
              <w:rPr>
                <w:sz w:val="24"/>
                <w:szCs w:val="24"/>
              </w:rPr>
            </w:pPr>
            <w:r>
              <w:rPr>
                <w:sz w:val="24"/>
                <w:szCs w:val="24"/>
              </w:rPr>
              <w:t xml:space="preserve">A study evaluating the safety and efficacy of outpatient monitoring after lisocabtagene maraleucel at community sites in the United States. Adults with DLBCL </w:t>
            </w:r>
            <w:r w:rsidR="0093632D">
              <w:rPr>
                <w:sz w:val="24"/>
                <w:szCs w:val="24"/>
              </w:rPr>
              <w:t>after at least 2 lines of therapy received lisocabtagene maraleucel.</w:t>
            </w:r>
          </w:p>
          <w:p w14:paraId="2DDE456A" w14:textId="77777777" w:rsidR="0093632D" w:rsidRDefault="0093632D" w:rsidP="006E08ED">
            <w:pPr>
              <w:rPr>
                <w:sz w:val="24"/>
                <w:szCs w:val="24"/>
              </w:rPr>
            </w:pPr>
            <w:r>
              <w:rPr>
                <w:sz w:val="24"/>
                <w:szCs w:val="24"/>
              </w:rPr>
              <w:t>82 patients received therapy (70% outpatient, 30% inpatient)</w:t>
            </w:r>
            <w:r w:rsidR="00C4019A">
              <w:rPr>
                <w:sz w:val="24"/>
                <w:szCs w:val="24"/>
              </w:rPr>
              <w:t>.</w:t>
            </w:r>
          </w:p>
          <w:p w14:paraId="678E7565" w14:textId="082EAFEE" w:rsidR="00027874" w:rsidRDefault="00027874" w:rsidP="006E08ED">
            <w:pPr>
              <w:rPr>
                <w:sz w:val="24"/>
                <w:szCs w:val="24"/>
              </w:rPr>
            </w:pPr>
            <w:r w:rsidRPr="00027874">
              <w:rPr>
                <w:sz w:val="24"/>
                <w:szCs w:val="24"/>
              </w:rPr>
              <w:t>Data support the feasibility of liso-cel administration at community sites with outpatient monitoring.</w:t>
            </w:r>
          </w:p>
        </w:tc>
        <w:tc>
          <w:tcPr>
            <w:tcW w:w="0" w:type="auto"/>
          </w:tcPr>
          <w:p w14:paraId="5F3A97FB" w14:textId="359736FC" w:rsidR="00EC3760" w:rsidRDefault="00EC7ECB" w:rsidP="006E08ED">
            <w:pPr>
              <w:rPr>
                <w:i/>
                <w:iCs/>
                <w:sz w:val="24"/>
                <w:szCs w:val="24"/>
              </w:rPr>
            </w:pPr>
            <w:hyperlink r:id="rId19" w:history="1">
              <w:r w:rsidRPr="00EC7ECB">
                <w:rPr>
                  <w:rStyle w:val="Hyperlink"/>
                  <w:i/>
                  <w:iCs/>
                  <w:sz w:val="24"/>
                  <w:szCs w:val="24"/>
                </w:rPr>
                <w:t>Blood Adv. 2024;8(23):6114-6126. doi:10.1182/bloodadvances.2024013254</w:t>
              </w:r>
            </w:hyperlink>
          </w:p>
        </w:tc>
        <w:tc>
          <w:tcPr>
            <w:tcW w:w="0" w:type="auto"/>
          </w:tcPr>
          <w:p w14:paraId="65E54E6D" w14:textId="3FE1C2E9" w:rsidR="00EC3760" w:rsidRDefault="00EC7ECB" w:rsidP="006E08ED">
            <w:pPr>
              <w:rPr>
                <w:sz w:val="24"/>
                <w:szCs w:val="24"/>
              </w:rPr>
            </w:pPr>
            <w:r>
              <w:rPr>
                <w:sz w:val="24"/>
                <w:szCs w:val="24"/>
              </w:rPr>
              <w:t>3 December 2024</w:t>
            </w:r>
          </w:p>
        </w:tc>
      </w:tr>
    </w:tbl>
    <w:p w14:paraId="03483801" w14:textId="77777777" w:rsidR="00597818" w:rsidRDefault="00597818" w:rsidP="001F6E45">
      <w:pPr>
        <w:rPr>
          <w:i/>
          <w:iCs/>
          <w:color w:val="538135" w:themeColor="accent6" w:themeShade="BF"/>
          <w:sz w:val="20"/>
          <w:szCs w:val="20"/>
        </w:rPr>
      </w:pPr>
    </w:p>
    <w:sectPr w:rsidR="00597818" w:rsidSect="001F6E45">
      <w:pgSz w:w="16838" w:h="11906" w:orient="landscape"/>
      <w:pgMar w:top="1440" w:right="1440" w:bottom="991" w:left="1135"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1A36" w14:textId="77777777" w:rsidR="00AE2D5C" w:rsidRDefault="00AE2D5C" w:rsidP="001E1797">
      <w:r>
        <w:separator/>
      </w:r>
    </w:p>
  </w:endnote>
  <w:endnote w:type="continuationSeparator" w:id="0">
    <w:p w14:paraId="0675384B" w14:textId="77777777" w:rsidR="00AE2D5C" w:rsidRDefault="00AE2D5C" w:rsidP="001E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DFD7" w14:textId="3B49D420" w:rsidR="00597818" w:rsidRDefault="005E251E">
    <w:pPr>
      <w:pStyle w:val="Footer"/>
    </w:pPr>
    <w:r>
      <w:rPr>
        <w:noProof/>
      </w:rPr>
      <mc:AlternateContent>
        <mc:Choice Requires="wps">
          <w:drawing>
            <wp:anchor distT="0" distB="0" distL="0" distR="0" simplePos="0" relativeHeight="251669504" behindDoc="0" locked="0" layoutInCell="1" allowOverlap="1" wp14:anchorId="1A5B96F6" wp14:editId="40C9725B">
              <wp:simplePos x="635" y="635"/>
              <wp:positionH relativeFrom="page">
                <wp:align>center</wp:align>
              </wp:positionH>
              <wp:positionV relativeFrom="page">
                <wp:align>bottom</wp:align>
              </wp:positionV>
              <wp:extent cx="622300" cy="376555"/>
              <wp:effectExtent l="0" t="0" r="6350" b="0"/>
              <wp:wrapNone/>
              <wp:docPr id="7446106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C24B51" w14:textId="08D020D8"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B96F6"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0C24B51" w14:textId="08D020D8"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06AD8130" w:rsidR="0090168B" w:rsidRDefault="005E251E" w:rsidP="00B628C2">
    <w:pPr>
      <w:pStyle w:val="Footer"/>
      <w:jc w:val="right"/>
    </w:pPr>
    <w:r>
      <w:rPr>
        <w:noProof/>
      </w:rPr>
      <mc:AlternateContent>
        <mc:Choice Requires="wps">
          <w:drawing>
            <wp:anchor distT="0" distB="0" distL="0" distR="0" simplePos="0" relativeHeight="251670528" behindDoc="0" locked="0" layoutInCell="1" allowOverlap="1" wp14:anchorId="4941CBE1" wp14:editId="434492C9">
              <wp:simplePos x="635" y="635"/>
              <wp:positionH relativeFrom="page">
                <wp:align>center</wp:align>
              </wp:positionH>
              <wp:positionV relativeFrom="page">
                <wp:align>bottom</wp:align>
              </wp:positionV>
              <wp:extent cx="622300" cy="376555"/>
              <wp:effectExtent l="0" t="0" r="6350" b="0"/>
              <wp:wrapNone/>
              <wp:docPr id="11349747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CA930E" w14:textId="2678804A"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1CBE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0CA930E" w14:textId="2678804A"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v:textbox>
              <w10:wrap anchorx="page" anchory="page"/>
            </v:shape>
          </w:pict>
        </mc:Fallback>
      </mc:AlternateContent>
    </w:r>
    <w:sdt>
      <w:sdtPr>
        <w:id w:val="-723988514"/>
        <w:docPartObj>
          <w:docPartGallery w:val="Page Numbers (Bottom of Page)"/>
          <w:docPartUnique/>
        </w:docPartObj>
      </w:sdtPr>
      <w:sdtEndPr/>
      <w:sdtContent>
        <w:r w:rsidR="0090168B" w:rsidRPr="0090168B">
          <w:fldChar w:fldCharType="begin"/>
        </w:r>
        <w:r w:rsidR="0090168B" w:rsidRPr="0090168B">
          <w:instrText xml:space="preserve"> PAGE  \* Arabic  \* MERGEFORMAT </w:instrText>
        </w:r>
        <w:r w:rsidR="0090168B" w:rsidRPr="0090168B">
          <w:fldChar w:fldCharType="separate"/>
        </w:r>
        <w:r w:rsidR="0090168B" w:rsidRPr="0090168B">
          <w:rPr>
            <w:noProof/>
          </w:rPr>
          <w:t>3</w:t>
        </w:r>
        <w:r w:rsidR="0090168B" w:rsidRPr="0090168B">
          <w:fldChar w:fldCharType="end"/>
        </w:r>
      </w:sdtContent>
    </w:sdt>
  </w:p>
  <w:p w14:paraId="355A1DA5" w14:textId="77777777" w:rsidR="0090168B" w:rsidRDefault="0090168B" w:rsidP="001E1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C9FB" w14:textId="310CC689" w:rsidR="00597818" w:rsidRDefault="005E251E">
    <w:pPr>
      <w:pStyle w:val="Footer"/>
    </w:pPr>
    <w:r>
      <w:rPr>
        <w:noProof/>
      </w:rPr>
      <mc:AlternateContent>
        <mc:Choice Requires="wps">
          <w:drawing>
            <wp:anchor distT="0" distB="0" distL="0" distR="0" simplePos="0" relativeHeight="251668480" behindDoc="0" locked="0" layoutInCell="1" allowOverlap="1" wp14:anchorId="52294D83" wp14:editId="4AD6D6C2">
              <wp:simplePos x="635" y="635"/>
              <wp:positionH relativeFrom="page">
                <wp:align>center</wp:align>
              </wp:positionH>
              <wp:positionV relativeFrom="page">
                <wp:align>bottom</wp:align>
              </wp:positionV>
              <wp:extent cx="622300" cy="376555"/>
              <wp:effectExtent l="0" t="0" r="6350" b="0"/>
              <wp:wrapNone/>
              <wp:docPr id="10039462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BAA56C" w14:textId="4868E3F8"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94D8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9BAA56C" w14:textId="4868E3F8"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3EB0" w14:textId="77777777" w:rsidR="00AE2D5C" w:rsidRDefault="00AE2D5C" w:rsidP="001E1797">
      <w:r>
        <w:separator/>
      </w:r>
    </w:p>
  </w:footnote>
  <w:footnote w:type="continuationSeparator" w:id="0">
    <w:p w14:paraId="3C3D57D6" w14:textId="77777777" w:rsidR="00AE2D5C" w:rsidRDefault="00AE2D5C" w:rsidP="001E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113A" w14:textId="3260618C" w:rsidR="00597818" w:rsidRDefault="005E251E">
    <w:pPr>
      <w:pStyle w:val="Header"/>
    </w:pPr>
    <w:r>
      <w:rPr>
        <w:noProof/>
      </w:rPr>
      <mc:AlternateContent>
        <mc:Choice Requires="wps">
          <w:drawing>
            <wp:anchor distT="0" distB="0" distL="0" distR="0" simplePos="0" relativeHeight="251666432" behindDoc="0" locked="0" layoutInCell="1" allowOverlap="1" wp14:anchorId="368B09FB" wp14:editId="5909FC1C">
              <wp:simplePos x="635" y="635"/>
              <wp:positionH relativeFrom="page">
                <wp:align>center</wp:align>
              </wp:positionH>
              <wp:positionV relativeFrom="page">
                <wp:align>top</wp:align>
              </wp:positionV>
              <wp:extent cx="622300" cy="376555"/>
              <wp:effectExtent l="0" t="0" r="6350" b="4445"/>
              <wp:wrapNone/>
              <wp:docPr id="16431126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4EFEAE" w14:textId="338D2736"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B09F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A4EFEAE" w14:textId="338D2736"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DC51" w14:textId="461A038B" w:rsidR="000E1074" w:rsidRPr="002E357C" w:rsidRDefault="005E251E" w:rsidP="002735E8">
    <w:r>
      <w:rPr>
        <w:noProof/>
      </w:rPr>
      <mc:AlternateContent>
        <mc:Choice Requires="wps">
          <w:drawing>
            <wp:anchor distT="0" distB="0" distL="0" distR="0" simplePos="0" relativeHeight="251667456" behindDoc="0" locked="0" layoutInCell="1" allowOverlap="1" wp14:anchorId="6F06C6FB" wp14:editId="1E0E6290">
              <wp:simplePos x="635" y="635"/>
              <wp:positionH relativeFrom="page">
                <wp:align>center</wp:align>
              </wp:positionH>
              <wp:positionV relativeFrom="page">
                <wp:align>top</wp:align>
              </wp:positionV>
              <wp:extent cx="622300" cy="376555"/>
              <wp:effectExtent l="0" t="0" r="6350" b="4445"/>
              <wp:wrapNone/>
              <wp:docPr id="19695730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0D14FD" w14:textId="41EB2AD1"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6C6FB"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50D14FD" w14:textId="41EB2AD1"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v:textbox>
              <w10:wrap anchorx="page" anchory="page"/>
            </v:shape>
          </w:pict>
        </mc:Fallback>
      </mc:AlternateContent>
    </w:r>
    <w:r w:rsidR="002735E8" w:rsidRPr="002735E8">
      <w:t>Lisocabtagene maraleucel (Breyanzi®) for treatment of relapsed or refractory large B-cell lymphoma (R/R LBCL) in the second-line (2L) setting</w:t>
    </w:r>
    <w:r w:rsidR="002735E8">
      <w:t xml:space="preserve"> </w:t>
    </w:r>
    <w:r w:rsidR="000E1074">
      <w:t xml:space="preserve">– PICO Set </w:t>
    </w:r>
    <w:r w:rsidR="002735E8">
      <w:t xml:space="preserve">1 of </w:t>
    </w:r>
    <w:r w:rsidR="00EA3380">
      <w:t>2</w:t>
    </w:r>
  </w:p>
  <w:p w14:paraId="1DD805F7" w14:textId="77777777" w:rsidR="000E1074" w:rsidRDefault="000E1074" w:rsidP="000E1074">
    <w:pPr>
      <w:pStyle w:val="Header"/>
    </w:pPr>
    <w:r>
      <w:rPr>
        <w:noProof/>
      </w:rPr>
      <mc:AlternateContent>
        <mc:Choice Requires="wps">
          <w:drawing>
            <wp:anchor distT="0" distB="0" distL="114300" distR="114300" simplePos="0" relativeHeight="251658240" behindDoc="0" locked="0" layoutInCell="1" allowOverlap="1" wp14:anchorId="036995D9" wp14:editId="04A65364">
              <wp:simplePos x="0" y="0"/>
              <wp:positionH relativeFrom="column">
                <wp:posOffset>-142875</wp:posOffset>
              </wp:positionH>
              <wp:positionV relativeFrom="paragraph">
                <wp:posOffset>117475</wp:posOffset>
              </wp:positionV>
              <wp:extent cx="58959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8959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684B85">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fcdcd [2894]" strokeweight=".5pt" from="-11.25pt,9.25pt" to="453pt,9.25pt" w14:anchorId="15D08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3146" w14:textId="035BA17C" w:rsidR="00597818" w:rsidRDefault="005E251E">
    <w:pPr>
      <w:pStyle w:val="Header"/>
    </w:pPr>
    <w:r>
      <w:rPr>
        <w:noProof/>
      </w:rPr>
      <mc:AlternateContent>
        <mc:Choice Requires="wps">
          <w:drawing>
            <wp:anchor distT="0" distB="0" distL="0" distR="0" simplePos="0" relativeHeight="251665408" behindDoc="0" locked="0" layoutInCell="1" allowOverlap="1" wp14:anchorId="6D4ED208" wp14:editId="67D6D150">
              <wp:simplePos x="635" y="635"/>
              <wp:positionH relativeFrom="page">
                <wp:align>center</wp:align>
              </wp:positionH>
              <wp:positionV relativeFrom="page">
                <wp:align>top</wp:align>
              </wp:positionV>
              <wp:extent cx="622300" cy="376555"/>
              <wp:effectExtent l="0" t="0" r="6350" b="4445"/>
              <wp:wrapNone/>
              <wp:docPr id="892799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6AA4E7" w14:textId="3F44F8F3"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ED208"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D6AA4E7" w14:textId="3F44F8F3" w:rsidR="005E251E" w:rsidRPr="005E251E" w:rsidRDefault="005E251E" w:rsidP="005E251E">
                    <w:pPr>
                      <w:spacing w:after="0"/>
                      <w:rPr>
                        <w:rFonts w:ascii="Aptos" w:eastAsia="Aptos" w:hAnsi="Aptos" w:cs="Aptos"/>
                        <w:noProof/>
                        <w:color w:val="FF0000"/>
                        <w:sz w:val="24"/>
                        <w:szCs w:val="24"/>
                      </w:rPr>
                    </w:pPr>
                    <w:r w:rsidRPr="005E251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A9C"/>
    <w:multiLevelType w:val="hybridMultilevel"/>
    <w:tmpl w:val="AD9A7D0E"/>
    <w:lvl w:ilvl="0" w:tplc="0E482B96">
      <w:numFmt w:val="bullet"/>
      <w:lvlText w:val="-"/>
      <w:lvlJc w:val="left"/>
      <w:pPr>
        <w:ind w:left="720" w:hanging="360"/>
      </w:pPr>
      <w:rPr>
        <w:rFonts w:ascii="Segoe UI" w:eastAsiaTheme="minorHAnsi"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B6599"/>
    <w:multiLevelType w:val="hybridMultilevel"/>
    <w:tmpl w:val="D0B2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53BF2"/>
    <w:multiLevelType w:val="hybridMultilevel"/>
    <w:tmpl w:val="083E9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7834C4"/>
    <w:multiLevelType w:val="hybridMultilevel"/>
    <w:tmpl w:val="A0C8B3F6"/>
    <w:lvl w:ilvl="0" w:tplc="0E482B96">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FD78DC"/>
    <w:multiLevelType w:val="multilevel"/>
    <w:tmpl w:val="44D277E6"/>
    <w:lvl w:ilvl="0">
      <w:start w:val="1"/>
      <w:numFmt w:val="bullet"/>
      <w:pStyle w:val="TableListParagraph"/>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70" w:hanging="360"/>
      </w:pPr>
      <w:rPr>
        <w:rFonts w:ascii="Courier New" w:hAnsi="Courier New" w:cs="Courier New" w:hint="default"/>
      </w:rPr>
    </w:lvl>
    <w:lvl w:ilvl="3">
      <w:start w:val="1"/>
      <w:numFmt w:val="decimal"/>
      <w:lvlText w:val="%4."/>
      <w:lvlJc w:val="left"/>
      <w:pPr>
        <w:tabs>
          <w:tab w:val="num" w:pos="720"/>
        </w:tabs>
        <w:ind w:left="72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4456D8"/>
    <w:multiLevelType w:val="hybridMultilevel"/>
    <w:tmpl w:val="ED74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1468B9"/>
    <w:multiLevelType w:val="hybridMultilevel"/>
    <w:tmpl w:val="A710A402"/>
    <w:lvl w:ilvl="0" w:tplc="5E8C9D18">
      <w:start w:val="1"/>
      <w:numFmt w:val="bullet"/>
      <w:lvlText w:val=""/>
      <w:lvlJc w:val="left"/>
      <w:pPr>
        <w:tabs>
          <w:tab w:val="num" w:pos="720"/>
        </w:tabs>
        <w:ind w:left="720" w:hanging="360"/>
      </w:pPr>
      <w:rPr>
        <w:rFonts w:ascii="Symbol" w:hAnsi="Symbol" w:hint="default"/>
      </w:rPr>
    </w:lvl>
    <w:lvl w:ilvl="1" w:tplc="4314B7B6" w:tentative="1">
      <w:start w:val="1"/>
      <w:numFmt w:val="bullet"/>
      <w:lvlText w:val=""/>
      <w:lvlJc w:val="left"/>
      <w:pPr>
        <w:tabs>
          <w:tab w:val="num" w:pos="1440"/>
        </w:tabs>
        <w:ind w:left="1440" w:hanging="360"/>
      </w:pPr>
      <w:rPr>
        <w:rFonts w:ascii="Symbol" w:hAnsi="Symbol" w:hint="default"/>
      </w:rPr>
    </w:lvl>
    <w:lvl w:ilvl="2" w:tplc="53207CFC" w:tentative="1">
      <w:start w:val="1"/>
      <w:numFmt w:val="bullet"/>
      <w:lvlText w:val=""/>
      <w:lvlJc w:val="left"/>
      <w:pPr>
        <w:tabs>
          <w:tab w:val="num" w:pos="2160"/>
        </w:tabs>
        <w:ind w:left="2160" w:hanging="360"/>
      </w:pPr>
      <w:rPr>
        <w:rFonts w:ascii="Symbol" w:hAnsi="Symbol" w:hint="default"/>
      </w:rPr>
    </w:lvl>
    <w:lvl w:ilvl="3" w:tplc="3454F026" w:tentative="1">
      <w:start w:val="1"/>
      <w:numFmt w:val="bullet"/>
      <w:lvlText w:val=""/>
      <w:lvlJc w:val="left"/>
      <w:pPr>
        <w:tabs>
          <w:tab w:val="num" w:pos="2880"/>
        </w:tabs>
        <w:ind w:left="2880" w:hanging="360"/>
      </w:pPr>
      <w:rPr>
        <w:rFonts w:ascii="Symbol" w:hAnsi="Symbol" w:hint="default"/>
      </w:rPr>
    </w:lvl>
    <w:lvl w:ilvl="4" w:tplc="938A9140" w:tentative="1">
      <w:start w:val="1"/>
      <w:numFmt w:val="bullet"/>
      <w:lvlText w:val=""/>
      <w:lvlJc w:val="left"/>
      <w:pPr>
        <w:tabs>
          <w:tab w:val="num" w:pos="3600"/>
        </w:tabs>
        <w:ind w:left="3600" w:hanging="360"/>
      </w:pPr>
      <w:rPr>
        <w:rFonts w:ascii="Symbol" w:hAnsi="Symbol" w:hint="default"/>
      </w:rPr>
    </w:lvl>
    <w:lvl w:ilvl="5" w:tplc="D38090E0" w:tentative="1">
      <w:start w:val="1"/>
      <w:numFmt w:val="bullet"/>
      <w:lvlText w:val=""/>
      <w:lvlJc w:val="left"/>
      <w:pPr>
        <w:tabs>
          <w:tab w:val="num" w:pos="4320"/>
        </w:tabs>
        <w:ind w:left="4320" w:hanging="360"/>
      </w:pPr>
      <w:rPr>
        <w:rFonts w:ascii="Symbol" w:hAnsi="Symbol" w:hint="default"/>
      </w:rPr>
    </w:lvl>
    <w:lvl w:ilvl="6" w:tplc="836E7D40" w:tentative="1">
      <w:start w:val="1"/>
      <w:numFmt w:val="bullet"/>
      <w:lvlText w:val=""/>
      <w:lvlJc w:val="left"/>
      <w:pPr>
        <w:tabs>
          <w:tab w:val="num" w:pos="5040"/>
        </w:tabs>
        <w:ind w:left="5040" w:hanging="360"/>
      </w:pPr>
      <w:rPr>
        <w:rFonts w:ascii="Symbol" w:hAnsi="Symbol" w:hint="default"/>
      </w:rPr>
    </w:lvl>
    <w:lvl w:ilvl="7" w:tplc="5D841A24" w:tentative="1">
      <w:start w:val="1"/>
      <w:numFmt w:val="bullet"/>
      <w:lvlText w:val=""/>
      <w:lvlJc w:val="left"/>
      <w:pPr>
        <w:tabs>
          <w:tab w:val="num" w:pos="5760"/>
        </w:tabs>
        <w:ind w:left="5760" w:hanging="360"/>
      </w:pPr>
      <w:rPr>
        <w:rFonts w:ascii="Symbol" w:hAnsi="Symbol" w:hint="default"/>
      </w:rPr>
    </w:lvl>
    <w:lvl w:ilvl="8" w:tplc="56625DB0" w:tentative="1">
      <w:start w:val="1"/>
      <w:numFmt w:val="bullet"/>
      <w:lvlText w:val=""/>
      <w:lvlJc w:val="left"/>
      <w:pPr>
        <w:tabs>
          <w:tab w:val="num" w:pos="6480"/>
        </w:tabs>
        <w:ind w:left="6480" w:hanging="360"/>
      </w:pPr>
      <w:rPr>
        <w:rFonts w:ascii="Symbol" w:hAnsi="Symbol" w:hint="default"/>
      </w:rPr>
    </w:lvl>
  </w:abstractNum>
  <w:num w:numId="1" w16cid:durableId="983588041">
    <w:abstractNumId w:val="1"/>
  </w:num>
  <w:num w:numId="2" w16cid:durableId="886338240">
    <w:abstractNumId w:val="3"/>
  </w:num>
  <w:num w:numId="3" w16cid:durableId="1867715642">
    <w:abstractNumId w:val="4"/>
  </w:num>
  <w:num w:numId="4" w16cid:durableId="1313827973">
    <w:abstractNumId w:val="0"/>
  </w:num>
  <w:num w:numId="5" w16cid:durableId="1509826942">
    <w:abstractNumId w:val="6"/>
  </w:num>
  <w:num w:numId="6" w16cid:durableId="1705473049">
    <w:abstractNumId w:val="5"/>
  </w:num>
  <w:num w:numId="7" w16cid:durableId="182742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20FA0"/>
    <w:rsid w:val="00025969"/>
    <w:rsid w:val="00027874"/>
    <w:rsid w:val="00051843"/>
    <w:rsid w:val="000535C2"/>
    <w:rsid w:val="00054FFA"/>
    <w:rsid w:val="00060272"/>
    <w:rsid w:val="000627EF"/>
    <w:rsid w:val="00065A79"/>
    <w:rsid w:val="000743D2"/>
    <w:rsid w:val="00076C86"/>
    <w:rsid w:val="00082321"/>
    <w:rsid w:val="0008427F"/>
    <w:rsid w:val="0009097A"/>
    <w:rsid w:val="000934AF"/>
    <w:rsid w:val="00096C47"/>
    <w:rsid w:val="000A1AB4"/>
    <w:rsid w:val="000A2F38"/>
    <w:rsid w:val="000A6750"/>
    <w:rsid w:val="000B2661"/>
    <w:rsid w:val="000B37E1"/>
    <w:rsid w:val="000C1E3B"/>
    <w:rsid w:val="000D22BB"/>
    <w:rsid w:val="000E1074"/>
    <w:rsid w:val="000E53F6"/>
    <w:rsid w:val="000F19BA"/>
    <w:rsid w:val="000F5927"/>
    <w:rsid w:val="00114FAB"/>
    <w:rsid w:val="00124D5B"/>
    <w:rsid w:val="00141BE6"/>
    <w:rsid w:val="00156730"/>
    <w:rsid w:val="0016065A"/>
    <w:rsid w:val="00170AB2"/>
    <w:rsid w:val="00180641"/>
    <w:rsid w:val="00180D28"/>
    <w:rsid w:val="00191A7E"/>
    <w:rsid w:val="001953B7"/>
    <w:rsid w:val="001A141E"/>
    <w:rsid w:val="001A5273"/>
    <w:rsid w:val="001B2E3A"/>
    <w:rsid w:val="001B554E"/>
    <w:rsid w:val="001B73D7"/>
    <w:rsid w:val="001C67E0"/>
    <w:rsid w:val="001D0542"/>
    <w:rsid w:val="001D7671"/>
    <w:rsid w:val="001E1797"/>
    <w:rsid w:val="001F6E45"/>
    <w:rsid w:val="00225BF1"/>
    <w:rsid w:val="00233A31"/>
    <w:rsid w:val="00240CF8"/>
    <w:rsid w:val="00245BBD"/>
    <w:rsid w:val="00254858"/>
    <w:rsid w:val="002735E8"/>
    <w:rsid w:val="00280050"/>
    <w:rsid w:val="00283AFE"/>
    <w:rsid w:val="00292A4B"/>
    <w:rsid w:val="002A7E4A"/>
    <w:rsid w:val="002B7B2B"/>
    <w:rsid w:val="002C1553"/>
    <w:rsid w:val="002C20F0"/>
    <w:rsid w:val="002D7216"/>
    <w:rsid w:val="002E357C"/>
    <w:rsid w:val="002F4950"/>
    <w:rsid w:val="00311057"/>
    <w:rsid w:val="00313B0F"/>
    <w:rsid w:val="00323121"/>
    <w:rsid w:val="00324A8D"/>
    <w:rsid w:val="003274E0"/>
    <w:rsid w:val="0035351C"/>
    <w:rsid w:val="00354A72"/>
    <w:rsid w:val="00363728"/>
    <w:rsid w:val="00371E52"/>
    <w:rsid w:val="00380C41"/>
    <w:rsid w:val="00393E99"/>
    <w:rsid w:val="0039430A"/>
    <w:rsid w:val="003A16D1"/>
    <w:rsid w:val="003A4A2F"/>
    <w:rsid w:val="003C0E70"/>
    <w:rsid w:val="003C2AF9"/>
    <w:rsid w:val="003F39D1"/>
    <w:rsid w:val="004209FC"/>
    <w:rsid w:val="00421778"/>
    <w:rsid w:val="0042180F"/>
    <w:rsid w:val="0042498D"/>
    <w:rsid w:val="00424D40"/>
    <w:rsid w:val="00431B38"/>
    <w:rsid w:val="00442B76"/>
    <w:rsid w:val="004456FA"/>
    <w:rsid w:val="00451A72"/>
    <w:rsid w:val="00452657"/>
    <w:rsid w:val="00463C44"/>
    <w:rsid w:val="00464444"/>
    <w:rsid w:val="0047658B"/>
    <w:rsid w:val="00480503"/>
    <w:rsid w:val="0048714A"/>
    <w:rsid w:val="00495102"/>
    <w:rsid w:val="004A45BE"/>
    <w:rsid w:val="004C02B7"/>
    <w:rsid w:val="004C17BF"/>
    <w:rsid w:val="004F12A9"/>
    <w:rsid w:val="004F3F4B"/>
    <w:rsid w:val="004F7B62"/>
    <w:rsid w:val="00501835"/>
    <w:rsid w:val="005023CA"/>
    <w:rsid w:val="0052274F"/>
    <w:rsid w:val="00527C5D"/>
    <w:rsid w:val="00530AB0"/>
    <w:rsid w:val="00545A4C"/>
    <w:rsid w:val="00546EA1"/>
    <w:rsid w:val="005503BC"/>
    <w:rsid w:val="00561F5E"/>
    <w:rsid w:val="00566CF9"/>
    <w:rsid w:val="005837E9"/>
    <w:rsid w:val="00597818"/>
    <w:rsid w:val="005A3F1C"/>
    <w:rsid w:val="005B5A58"/>
    <w:rsid w:val="005B74EB"/>
    <w:rsid w:val="005D5ABB"/>
    <w:rsid w:val="005E1CFB"/>
    <w:rsid w:val="005E251E"/>
    <w:rsid w:val="005E61DC"/>
    <w:rsid w:val="006050A6"/>
    <w:rsid w:val="006142C7"/>
    <w:rsid w:val="006148D9"/>
    <w:rsid w:val="006227EF"/>
    <w:rsid w:val="0063188F"/>
    <w:rsid w:val="006429A1"/>
    <w:rsid w:val="006437E6"/>
    <w:rsid w:val="00644183"/>
    <w:rsid w:val="00656DC2"/>
    <w:rsid w:val="0066346D"/>
    <w:rsid w:val="00665487"/>
    <w:rsid w:val="006659C1"/>
    <w:rsid w:val="00672ABA"/>
    <w:rsid w:val="00680807"/>
    <w:rsid w:val="00682886"/>
    <w:rsid w:val="00683074"/>
    <w:rsid w:val="00687E2D"/>
    <w:rsid w:val="0069576A"/>
    <w:rsid w:val="006A01BC"/>
    <w:rsid w:val="006F56EB"/>
    <w:rsid w:val="007126F3"/>
    <w:rsid w:val="007256E4"/>
    <w:rsid w:val="00732559"/>
    <w:rsid w:val="0073734A"/>
    <w:rsid w:val="00770FA6"/>
    <w:rsid w:val="00771225"/>
    <w:rsid w:val="007840C0"/>
    <w:rsid w:val="007B2BF4"/>
    <w:rsid w:val="007E1AF7"/>
    <w:rsid w:val="008004C8"/>
    <w:rsid w:val="00815AE7"/>
    <w:rsid w:val="00821CAE"/>
    <w:rsid w:val="00826AF1"/>
    <w:rsid w:val="00826E2F"/>
    <w:rsid w:val="00827205"/>
    <w:rsid w:val="00836A15"/>
    <w:rsid w:val="008378EC"/>
    <w:rsid w:val="00841FE9"/>
    <w:rsid w:val="00847003"/>
    <w:rsid w:val="008552CF"/>
    <w:rsid w:val="00860C8A"/>
    <w:rsid w:val="008628D8"/>
    <w:rsid w:val="00877AF1"/>
    <w:rsid w:val="00881A6C"/>
    <w:rsid w:val="0088250B"/>
    <w:rsid w:val="00884F92"/>
    <w:rsid w:val="008B20F8"/>
    <w:rsid w:val="008C1841"/>
    <w:rsid w:val="008E3161"/>
    <w:rsid w:val="008F1A01"/>
    <w:rsid w:val="00901159"/>
    <w:rsid w:val="0090168B"/>
    <w:rsid w:val="00914949"/>
    <w:rsid w:val="0092688F"/>
    <w:rsid w:val="00930344"/>
    <w:rsid w:val="0093632D"/>
    <w:rsid w:val="0094471F"/>
    <w:rsid w:val="00950F67"/>
    <w:rsid w:val="00955904"/>
    <w:rsid w:val="009573B1"/>
    <w:rsid w:val="00962A68"/>
    <w:rsid w:val="0096677C"/>
    <w:rsid w:val="00971C2B"/>
    <w:rsid w:val="00975B6D"/>
    <w:rsid w:val="00981BD4"/>
    <w:rsid w:val="00985AD2"/>
    <w:rsid w:val="009868DE"/>
    <w:rsid w:val="00991D18"/>
    <w:rsid w:val="009B31FB"/>
    <w:rsid w:val="009B7788"/>
    <w:rsid w:val="009C0554"/>
    <w:rsid w:val="009C12B4"/>
    <w:rsid w:val="009D5D20"/>
    <w:rsid w:val="009E56B4"/>
    <w:rsid w:val="009F35C9"/>
    <w:rsid w:val="00A10657"/>
    <w:rsid w:val="00A37ADB"/>
    <w:rsid w:val="00A435D2"/>
    <w:rsid w:val="00A6304B"/>
    <w:rsid w:val="00A77328"/>
    <w:rsid w:val="00A931BC"/>
    <w:rsid w:val="00A9767B"/>
    <w:rsid w:val="00AB47F8"/>
    <w:rsid w:val="00AC0EE9"/>
    <w:rsid w:val="00AC159C"/>
    <w:rsid w:val="00AC317E"/>
    <w:rsid w:val="00AE2D5C"/>
    <w:rsid w:val="00B10A36"/>
    <w:rsid w:val="00B16C6F"/>
    <w:rsid w:val="00B20E3F"/>
    <w:rsid w:val="00B33845"/>
    <w:rsid w:val="00B42E04"/>
    <w:rsid w:val="00B42FEC"/>
    <w:rsid w:val="00B45809"/>
    <w:rsid w:val="00B45E47"/>
    <w:rsid w:val="00B45E97"/>
    <w:rsid w:val="00B578E9"/>
    <w:rsid w:val="00B628C2"/>
    <w:rsid w:val="00B73F83"/>
    <w:rsid w:val="00B759D1"/>
    <w:rsid w:val="00B936AF"/>
    <w:rsid w:val="00BB494A"/>
    <w:rsid w:val="00BC07F3"/>
    <w:rsid w:val="00BD1855"/>
    <w:rsid w:val="00BE0612"/>
    <w:rsid w:val="00BE528C"/>
    <w:rsid w:val="00BE6B22"/>
    <w:rsid w:val="00BF0C81"/>
    <w:rsid w:val="00C23B6E"/>
    <w:rsid w:val="00C2669C"/>
    <w:rsid w:val="00C37CA5"/>
    <w:rsid w:val="00C4019A"/>
    <w:rsid w:val="00C55EAB"/>
    <w:rsid w:val="00C566B5"/>
    <w:rsid w:val="00C57631"/>
    <w:rsid w:val="00C57B74"/>
    <w:rsid w:val="00C86BA6"/>
    <w:rsid w:val="00C96E92"/>
    <w:rsid w:val="00CB3239"/>
    <w:rsid w:val="00CB5480"/>
    <w:rsid w:val="00CC2BEF"/>
    <w:rsid w:val="00CC554B"/>
    <w:rsid w:val="00CE0B55"/>
    <w:rsid w:val="00CE2F69"/>
    <w:rsid w:val="00CE37E6"/>
    <w:rsid w:val="00CF3673"/>
    <w:rsid w:val="00CF3D77"/>
    <w:rsid w:val="00CF502B"/>
    <w:rsid w:val="00D065BB"/>
    <w:rsid w:val="00D2478D"/>
    <w:rsid w:val="00D302CD"/>
    <w:rsid w:val="00D30C3E"/>
    <w:rsid w:val="00D32DD1"/>
    <w:rsid w:val="00D42274"/>
    <w:rsid w:val="00D4496E"/>
    <w:rsid w:val="00D44AD1"/>
    <w:rsid w:val="00D45907"/>
    <w:rsid w:val="00D5735B"/>
    <w:rsid w:val="00D63C85"/>
    <w:rsid w:val="00DA6FDC"/>
    <w:rsid w:val="00DB0072"/>
    <w:rsid w:val="00DB2D53"/>
    <w:rsid w:val="00DB449C"/>
    <w:rsid w:val="00DB5C39"/>
    <w:rsid w:val="00DB7500"/>
    <w:rsid w:val="00DC0C79"/>
    <w:rsid w:val="00DD0A06"/>
    <w:rsid w:val="00DD5074"/>
    <w:rsid w:val="00DE6314"/>
    <w:rsid w:val="00E00CD3"/>
    <w:rsid w:val="00E12E66"/>
    <w:rsid w:val="00E30C6A"/>
    <w:rsid w:val="00E329FB"/>
    <w:rsid w:val="00E341ED"/>
    <w:rsid w:val="00E46E32"/>
    <w:rsid w:val="00E56EE5"/>
    <w:rsid w:val="00E640D9"/>
    <w:rsid w:val="00E73842"/>
    <w:rsid w:val="00E754E3"/>
    <w:rsid w:val="00E7795B"/>
    <w:rsid w:val="00E978D5"/>
    <w:rsid w:val="00EA0CB9"/>
    <w:rsid w:val="00EA3380"/>
    <w:rsid w:val="00EA7B42"/>
    <w:rsid w:val="00EB170C"/>
    <w:rsid w:val="00EB4BB8"/>
    <w:rsid w:val="00EC3760"/>
    <w:rsid w:val="00EC7ECB"/>
    <w:rsid w:val="00EF6F1B"/>
    <w:rsid w:val="00F06DD1"/>
    <w:rsid w:val="00F14D6C"/>
    <w:rsid w:val="00F16239"/>
    <w:rsid w:val="00F25184"/>
    <w:rsid w:val="00F40176"/>
    <w:rsid w:val="00F43627"/>
    <w:rsid w:val="00F445AC"/>
    <w:rsid w:val="00F47AFE"/>
    <w:rsid w:val="00F57346"/>
    <w:rsid w:val="00F60573"/>
    <w:rsid w:val="00F62957"/>
    <w:rsid w:val="00F72AD1"/>
    <w:rsid w:val="00F73E15"/>
    <w:rsid w:val="00F85812"/>
    <w:rsid w:val="00F85A19"/>
    <w:rsid w:val="00F94FC7"/>
    <w:rsid w:val="00FB3BCF"/>
    <w:rsid w:val="00FD6A9A"/>
    <w:rsid w:val="00FD6ED3"/>
    <w:rsid w:val="00FE257E"/>
    <w:rsid w:val="00FE3E16"/>
    <w:rsid w:val="088E7D4E"/>
    <w:rsid w:val="0E6691E9"/>
    <w:rsid w:val="19E0C8A7"/>
    <w:rsid w:val="2974F146"/>
    <w:rsid w:val="3B80C139"/>
    <w:rsid w:val="5CAEA16C"/>
    <w:rsid w:val="77314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9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4F12A9"/>
    <w:pPr>
      <w:spacing w:before="240"/>
      <w:outlineLvl w:val="0"/>
    </w:pPr>
    <w:rPr>
      <w:rFonts w:eastAsia="Segoe UI"/>
      <w:b/>
      <w:color w:val="0070C0"/>
      <w:sz w:val="32"/>
    </w:rPr>
  </w:style>
  <w:style w:type="paragraph" w:styleId="Heading2">
    <w:name w:val="heading 2"/>
    <w:basedOn w:val="Normal"/>
    <w:next w:val="Normal"/>
    <w:link w:val="Heading2Char"/>
    <w:uiPriority w:val="9"/>
    <w:unhideWhenUsed/>
    <w:qFormat/>
    <w:rsid w:val="001E1797"/>
    <w:pPr>
      <w:spacing w:before="240" w:after="0"/>
      <w:outlineLvl w:val="1"/>
    </w:pPr>
    <w:rPr>
      <w:rFonts w:eastAsia="Segoe U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4F12A9"/>
    <w:pPr>
      <w:spacing w:after="160"/>
      <w:contextualSpacing/>
    </w:pPr>
    <w:rPr>
      <w:bCs/>
      <w:sz w:val="21"/>
      <w:szCs w:val="21"/>
    </w:rPr>
  </w:style>
  <w:style w:type="character" w:customStyle="1" w:styleId="TickboxesChar">
    <w:name w:val="Tick boxes Char"/>
    <w:basedOn w:val="DefaultParagraphFont"/>
    <w:link w:val="Tickboxes"/>
    <w:rsid w:val="004F12A9"/>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39430A"/>
    <w:rPr>
      <w:sz w:val="16"/>
      <w:szCs w:val="16"/>
    </w:rPr>
  </w:style>
  <w:style w:type="paragraph" w:styleId="CommentText">
    <w:name w:val="annotation text"/>
    <w:basedOn w:val="Normal"/>
    <w:link w:val="CommentTextChar"/>
    <w:uiPriority w:val="99"/>
    <w:unhideWhenUsed/>
    <w:rsid w:val="0039430A"/>
    <w:rPr>
      <w:sz w:val="20"/>
      <w:szCs w:val="20"/>
    </w:rPr>
  </w:style>
  <w:style w:type="character" w:customStyle="1" w:styleId="CommentTextChar">
    <w:name w:val="Comment Text Char"/>
    <w:basedOn w:val="DefaultParagraphFont"/>
    <w:link w:val="CommentText"/>
    <w:uiPriority w:val="99"/>
    <w:rsid w:val="0039430A"/>
    <w:rPr>
      <w:sz w:val="20"/>
      <w:szCs w:val="20"/>
    </w:rPr>
  </w:style>
  <w:style w:type="paragraph" w:styleId="CommentSubject">
    <w:name w:val="annotation subject"/>
    <w:basedOn w:val="CommentText"/>
    <w:next w:val="CommentText"/>
    <w:link w:val="CommentSubjectChar"/>
    <w:uiPriority w:val="99"/>
    <w:semiHidden/>
    <w:unhideWhenUsed/>
    <w:rsid w:val="0039430A"/>
    <w:rPr>
      <w:b/>
      <w:bCs/>
    </w:rPr>
  </w:style>
  <w:style w:type="character" w:customStyle="1" w:styleId="CommentSubjectChar">
    <w:name w:val="Comment Subject Char"/>
    <w:basedOn w:val="CommentTextChar"/>
    <w:link w:val="CommentSubject"/>
    <w:uiPriority w:val="99"/>
    <w:semiHidden/>
    <w:rsid w:val="0039430A"/>
    <w:rPr>
      <w:b/>
      <w:bCs/>
      <w:sz w:val="20"/>
      <w:szCs w:val="20"/>
    </w:rPr>
  </w:style>
  <w:style w:type="character" w:customStyle="1" w:styleId="Heading1Char">
    <w:name w:val="Heading 1 Char"/>
    <w:basedOn w:val="DefaultParagraphFont"/>
    <w:link w:val="Heading1"/>
    <w:uiPriority w:val="9"/>
    <w:rsid w:val="004F12A9"/>
    <w:rPr>
      <w:rFonts w:ascii="Segoe UI" w:eastAsia="Segoe UI" w:hAnsi="Segoe UI" w:cs="Segoe UI"/>
      <w:b/>
      <w:color w:val="0070C0"/>
      <w:sz w:val="32"/>
      <w:szCs w:val="22"/>
    </w:rPr>
  </w:style>
  <w:style w:type="character" w:customStyle="1" w:styleId="Heading2Char">
    <w:name w:val="Heading 2 Char"/>
    <w:basedOn w:val="DefaultParagraphFont"/>
    <w:link w:val="Heading2"/>
    <w:uiPriority w:val="9"/>
    <w:rsid w:val="001E1797"/>
    <w:rPr>
      <w:rFonts w:ascii="Segoe UI" w:eastAsia="Segoe UI" w:hAnsi="Segoe UI"/>
      <w:b/>
      <w:color w:val="000000"/>
      <w:sz w:val="22"/>
    </w:rPr>
  </w:style>
  <w:style w:type="paragraph" w:customStyle="1" w:styleId="Instructions">
    <w:name w:val="Instructions"/>
    <w:basedOn w:val="Heading2"/>
    <w:link w:val="InstructionsChar"/>
    <w:qFormat/>
    <w:rsid w:val="00D44AD1"/>
    <w:pPr>
      <w:spacing w:before="120" w:after="120"/>
    </w:pPr>
    <w:rPr>
      <w:b w:val="0"/>
      <w:bCs/>
      <w:i/>
      <w:iCs/>
      <w:color w:val="538135" w:themeColor="accent6" w:themeShade="BF"/>
    </w:rPr>
  </w:style>
  <w:style w:type="character" w:customStyle="1" w:styleId="InstructionsChar">
    <w:name w:val="Instructions Char"/>
    <w:basedOn w:val="Heading2Char"/>
    <w:link w:val="Instructions"/>
    <w:rsid w:val="00D44AD1"/>
    <w:rPr>
      <w:rFonts w:ascii="Segoe UI" w:eastAsia="Segoe UI" w:hAnsi="Segoe UI" w:cs="Segoe UI"/>
      <w:b w:val="0"/>
      <w:bCs/>
      <w:i/>
      <w:iCs/>
      <w:color w:val="538135" w:themeColor="accent6" w:themeShade="BF"/>
      <w:sz w:val="22"/>
      <w:szCs w:val="22"/>
    </w:rPr>
  </w:style>
  <w:style w:type="paragraph" w:styleId="Title">
    <w:name w:val="Title"/>
    <w:basedOn w:val="Normal"/>
    <w:next w:val="Normal"/>
    <w:link w:val="TitleChar"/>
    <w:uiPriority w:val="10"/>
    <w:qFormat/>
    <w:rsid w:val="005503B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B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503BC"/>
    <w:rPr>
      <w:rFonts w:asciiTheme="minorHAnsi" w:eastAsiaTheme="minorEastAsia" w:hAnsiTheme="minorHAnsi" w:cstheme="minorBidi"/>
      <w:color w:val="5A5A5A" w:themeColor="text1" w:themeTint="A5"/>
      <w:spacing w:val="15"/>
      <w:sz w:val="22"/>
      <w:szCs w:val="22"/>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F4017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F40176"/>
    <w:rPr>
      <w:rFonts w:ascii="Calibri" w:eastAsia="Calibri" w:hAnsi="Calibri"/>
      <w:sz w:val="22"/>
      <w:szCs w:val="22"/>
    </w:rPr>
  </w:style>
  <w:style w:type="paragraph" w:styleId="Caption">
    <w:name w:val="caption"/>
    <w:basedOn w:val="Normal"/>
    <w:next w:val="Normal"/>
    <w:uiPriority w:val="35"/>
    <w:unhideWhenUsed/>
    <w:qFormat/>
    <w:rsid w:val="0048714A"/>
    <w:pPr>
      <w:spacing w:after="200"/>
    </w:pPr>
    <w:rPr>
      <w:rFonts w:asciiTheme="minorHAnsi" w:hAnsiTheme="minorHAnsi" w:cs="Times New Roman"/>
      <w:b/>
      <w:iCs/>
      <w:szCs w:val="18"/>
    </w:rPr>
  </w:style>
  <w:style w:type="paragraph" w:customStyle="1" w:styleId="TableListParagraph">
    <w:name w:val="Table List Paragraph"/>
    <w:basedOn w:val="Normal"/>
    <w:uiPriority w:val="3"/>
    <w:qFormat/>
    <w:rsid w:val="00CC2BEF"/>
    <w:pPr>
      <w:numPr>
        <w:numId w:val="3"/>
      </w:numPr>
      <w:spacing w:after="0"/>
    </w:pPr>
    <w:rPr>
      <w:rFonts w:ascii="Arial" w:eastAsia="Times New Roman" w:hAnsi="Arial" w:cs="Times New Roman"/>
      <w:color w:val="000000"/>
      <w:sz w:val="18"/>
      <w:szCs w:val="18"/>
      <w:lang w:val="en-US"/>
    </w:rPr>
  </w:style>
  <w:style w:type="character" w:styleId="Hyperlink">
    <w:name w:val="Hyperlink"/>
    <w:basedOn w:val="DefaultParagraphFont"/>
    <w:uiPriority w:val="99"/>
    <w:unhideWhenUsed/>
    <w:rsid w:val="00E12E66"/>
    <w:rPr>
      <w:color w:val="0563C1" w:themeColor="hyperlink"/>
      <w:u w:val="single"/>
    </w:rPr>
  </w:style>
  <w:style w:type="character" w:styleId="UnresolvedMention">
    <w:name w:val="Unresolved Mention"/>
    <w:basedOn w:val="DefaultParagraphFont"/>
    <w:uiPriority w:val="99"/>
    <w:semiHidden/>
    <w:unhideWhenUsed/>
    <w:rsid w:val="00E12E66"/>
    <w:rPr>
      <w:color w:val="605E5C"/>
      <w:shd w:val="clear" w:color="auto" w:fill="E1DFDD"/>
    </w:rPr>
  </w:style>
  <w:style w:type="character" w:styleId="FollowedHyperlink">
    <w:name w:val="FollowedHyperlink"/>
    <w:basedOn w:val="DefaultParagraphFont"/>
    <w:uiPriority w:val="99"/>
    <w:semiHidden/>
    <w:unhideWhenUsed/>
    <w:rsid w:val="00F72AD1"/>
    <w:rPr>
      <w:color w:val="954F72" w:themeColor="followedHyperlink"/>
      <w:u w:val="single"/>
    </w:rPr>
  </w:style>
  <w:style w:type="paragraph" w:styleId="Revision">
    <w:name w:val="Revision"/>
    <w:hidden/>
    <w:uiPriority w:val="99"/>
    <w:semiHidden/>
    <w:rsid w:val="00881A6C"/>
    <w:pPr>
      <w:spacing w:after="0" w:line="240" w:lineRule="auto"/>
    </w:pPr>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661">
      <w:bodyDiv w:val="1"/>
      <w:marLeft w:val="0"/>
      <w:marRight w:val="0"/>
      <w:marTop w:val="0"/>
      <w:marBottom w:val="0"/>
      <w:divBdr>
        <w:top w:val="none" w:sz="0" w:space="0" w:color="auto"/>
        <w:left w:val="none" w:sz="0" w:space="0" w:color="auto"/>
        <w:bottom w:val="none" w:sz="0" w:space="0" w:color="auto"/>
        <w:right w:val="none" w:sz="0" w:space="0" w:color="auto"/>
      </w:divBdr>
    </w:div>
    <w:div w:id="1755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au/assets/pdf/hodgkin-and-diffuse-large-b-cell-lymphoma-2nd-edition" TargetMode="External"/><Relationship Id="rId13" Type="http://schemas.openxmlformats.org/officeDocument/2006/relationships/footer" Target="footer1.xml"/><Relationship Id="rId18" Type="http://schemas.openxmlformats.org/officeDocument/2006/relationships/hyperlink" Target="https://ashpublications.org/bloodadvances/article/9/15/3694/537055/Lisocabtagene-maraleucel-for-R-R-LBCL-in-pati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shpublications.org/blood/article/141/14/1675/493847/Lisocabtagene-maraleucel-as-second-line-therapy"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yperlink" Target="https://ashpublications.org/bloodadvances/article/8/23/6114/518001/OUTREACH-phase-2-study-of-lisocabtagene-maraleuce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CA3660A9E6844A6283D382B1ED595" ma:contentTypeVersion="13" ma:contentTypeDescription="Create a new document." ma:contentTypeScope="" ma:versionID="333c9a87bad5d71000b627b028b32aa7">
  <xsd:schema xmlns:xsd="http://www.w3.org/2001/XMLSchema" xmlns:xs="http://www.w3.org/2001/XMLSchema" xmlns:p="http://schemas.microsoft.com/office/2006/metadata/properties" xmlns:ns2="fcf7a6c0-b028-428b-8f28-9b06d722bf06" xmlns:ns3="e7d54a9e-4aca-451b-99db-b94fe438e987" targetNamespace="http://schemas.microsoft.com/office/2006/metadata/properties" ma:root="true" ma:fieldsID="0b8bc698229a63d3537572754e9be755" ns2:_="" ns3:_="">
    <xsd:import namespace="fcf7a6c0-b028-428b-8f28-9b06d722bf06"/>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7a6c0-b028-428b-8f28-9b06d722b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f7a6c0-b028-428b-8f28-9b06d722bf06">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0F00D2DE-39C5-401D-9785-68455DE9386A}">
  <ds:schemaRefs>
    <ds:schemaRef ds:uri="http://schemas.openxmlformats.org/officeDocument/2006/bibliography"/>
  </ds:schemaRefs>
</ds:datastoreItem>
</file>

<file path=customXml/itemProps2.xml><?xml version="1.0" encoding="utf-8"?>
<ds:datastoreItem xmlns:ds="http://schemas.openxmlformats.org/officeDocument/2006/customXml" ds:itemID="{5F8CC8F8-DF6F-4067-9DAE-9D095855A386}"/>
</file>

<file path=customXml/itemProps3.xml><?xml version="1.0" encoding="utf-8"?>
<ds:datastoreItem xmlns:ds="http://schemas.openxmlformats.org/officeDocument/2006/customXml" ds:itemID="{0040F4AD-0044-4529-B2B3-1E911CD9B7DF}"/>
</file>

<file path=customXml/itemProps4.xml><?xml version="1.0" encoding="utf-8"?>
<ds:datastoreItem xmlns:ds="http://schemas.openxmlformats.org/officeDocument/2006/customXml" ds:itemID="{1CAC3EDF-B73D-4C01-BF24-C4E419DEE9D5}"/>
</file>

<file path=docProps/app.xml><?xml version="1.0" encoding="utf-8"?>
<Properties xmlns="http://schemas.openxmlformats.org/officeDocument/2006/extended-properties" xmlns:vt="http://schemas.openxmlformats.org/officeDocument/2006/docPropsVTypes">
  <Template>Normal.dotm</Template>
  <TotalTime>0</TotalTime>
  <Pages>13</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2026-05-21T00:55:00Z</dcterms:created>
  <dcterms:modified xsi:type="dcterms:W3CDTF">2026-05-21T00:55:00Z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35370818,61efe89a,75654c8c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3bd70122,2c61db85,43a6571e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2026-05-21T00:55:32Z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f7c88fbb-0a24-42fd-9d13-092e01f3f10a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HPPArchived">
    <vt:lpwstr>Archived</vt:lpwstr>
  </property>
  <property fmtid="{D5CDD505-2E9C-101B-9397-08002B2CF9AE}" pid="17" name="MediaServiceImageTags">
    <vt:lpwstr/>
  </property>
  <property fmtid="{D5CDD505-2E9C-101B-9397-08002B2CF9AE}" pid="18" name="ContentTypeId">
    <vt:lpwstr>0x0101007FECA3660A9E6844A6283D382B1ED595</vt:lpwstr>
  </property>
  <property fmtid="{D5CDD505-2E9C-101B-9397-08002B2CF9AE}" pid="19" name="TrimRecordURI">
    <vt:lpwstr>263489117</vt:lpwstr>
  </property>
  <property fmtid="{D5CDD505-2E9C-101B-9397-08002B2CF9AE}" pid="20" name="HPPTrimRecordId">
    <vt:lpwstr>D25-5235843</vt:lpwstr>
  </property>
  <property fmtid="{D5CDD505-2E9C-101B-9397-08002B2CF9AE}" pid="21" name="docLang">
    <vt:lpwstr>en</vt:lpwstr>
  </property>
  <property fmtid="{D5CDD505-2E9C-101B-9397-08002B2CF9AE}" pid="22" name="HPPTrimContainerId">
    <vt:lpwstr>E25-630347</vt:lpwstr>
  </property>
  <property fmtid="{D5CDD505-2E9C-101B-9397-08002B2CF9AE}" pid="23" name="HPPTrimLink">
    <vt:lpwstr>https://auc-common-prd-app-as-trim.azurewebsites.net/Api/DownloadTrimFile/HPP/D25-5235843</vt:lpwstr>
  </property>
</Properties>
</file>