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2662E5">
      <w:pPr>
        <w:pStyle w:val="Title"/>
        <w:jc w:val="center"/>
        <w:rPr>
          <w:rFonts w:ascii="Segoe UI" w:hAnsi="Segoe UI" w:cs="Segoe UI"/>
          <w:b/>
          <w:bCs/>
        </w:rPr>
      </w:pPr>
    </w:p>
    <w:p w14:paraId="1F4447A8" w14:textId="77777777" w:rsidR="00F45EAC" w:rsidRPr="00F45EAC" w:rsidRDefault="00F45EAC" w:rsidP="00F45EAC"/>
    <w:p w14:paraId="717BC05B" w14:textId="77777777" w:rsidR="00247389" w:rsidRDefault="00247389" w:rsidP="002662E5">
      <w:pPr>
        <w:pStyle w:val="Title"/>
        <w:jc w:val="center"/>
        <w:rPr>
          <w:rFonts w:ascii="Segoe UI" w:hAnsi="Segoe UI" w:cs="Segoe UI"/>
          <w:b/>
          <w:bCs/>
        </w:rPr>
      </w:pPr>
    </w:p>
    <w:p w14:paraId="7DDE8E48" w14:textId="5E9C745F" w:rsidR="00EA0AA0" w:rsidRDefault="00EA0AA0" w:rsidP="002662E5">
      <w:pPr>
        <w:pStyle w:val="Title"/>
        <w:jc w:val="center"/>
        <w:rPr>
          <w:rFonts w:ascii="Segoe UI" w:hAnsi="Segoe UI" w:cs="Segoe UI"/>
          <w:b/>
          <w:bCs/>
        </w:rPr>
      </w:pPr>
      <w:r w:rsidRPr="00222820">
        <w:rPr>
          <w:rFonts w:ascii="Segoe UI" w:hAnsi="Segoe UI" w:cs="Segoe UI"/>
          <w:b/>
          <w:bCs/>
        </w:rPr>
        <w:t>MSAC Application</w:t>
      </w:r>
      <w:r w:rsidR="00BD6FAD">
        <w:rPr>
          <w:rFonts w:ascii="Segoe UI" w:hAnsi="Segoe UI" w:cs="Segoe UI"/>
          <w:b/>
          <w:bCs/>
        </w:rPr>
        <w:t xml:space="preserve"> 1823</w:t>
      </w:r>
    </w:p>
    <w:p w14:paraId="1AF1C05A" w14:textId="77777777" w:rsidR="00247389" w:rsidRPr="00247389" w:rsidRDefault="00247389" w:rsidP="00247389"/>
    <w:p w14:paraId="2CED87DE" w14:textId="514C088B" w:rsidR="00EA0AA0" w:rsidRDefault="00BD6FAD" w:rsidP="002662E5">
      <w:pPr>
        <w:pStyle w:val="Subtitle"/>
        <w:jc w:val="center"/>
        <w:rPr>
          <w:rFonts w:ascii="Segoe UI" w:eastAsiaTheme="minorHAnsi" w:hAnsi="Segoe UI" w:cs="Segoe UI"/>
          <w:i/>
          <w:iCs/>
          <w:color w:val="538135" w:themeColor="accent6" w:themeShade="BF"/>
          <w:spacing w:val="0"/>
          <w:sz w:val="24"/>
          <w:szCs w:val="24"/>
        </w:rPr>
      </w:pPr>
      <w:r w:rsidRPr="00E64858">
        <w:rPr>
          <w:rFonts w:ascii="Segoe UI" w:hAnsi="Segoe UI" w:cs="Segoe UI"/>
          <w:b/>
          <w:bCs/>
          <w:color w:val="002060"/>
          <w:sz w:val="48"/>
          <w:szCs w:val="48"/>
          <w:vertAlign w:val="superscript"/>
        </w:rPr>
        <w:t>177</w:t>
      </w:r>
      <w:r w:rsidRPr="00BD6FAD">
        <w:rPr>
          <w:rFonts w:ascii="Segoe UI" w:hAnsi="Segoe UI" w:cs="Segoe UI"/>
          <w:b/>
          <w:bCs/>
          <w:color w:val="002060"/>
          <w:sz w:val="48"/>
          <w:szCs w:val="48"/>
        </w:rPr>
        <w:t>Lutetium PSMA-617 for prostate specific membrane antigen (PSMA)-positive, taxane-naïve patients with metastatic castrate resistant prostate cancer (mCRPC)</w:t>
      </w:r>
      <w:r w:rsidR="009139B7" w:rsidRPr="003F4E49">
        <w:rPr>
          <w:color w:val="0070C0"/>
        </w:rPr>
        <w:br/>
      </w:r>
    </w:p>
    <w:p w14:paraId="3DB046D5" w14:textId="77777777" w:rsidR="00247389" w:rsidRPr="00247389" w:rsidRDefault="00247389" w:rsidP="00247389"/>
    <w:p w14:paraId="193657E0" w14:textId="2B201625" w:rsidR="00FF1ECB" w:rsidRPr="004160F8" w:rsidRDefault="00EA0AA0" w:rsidP="004160F8">
      <w:pPr>
        <w:pStyle w:val="Subtitle"/>
        <w:jc w:val="center"/>
        <w:rPr>
          <w:rFonts w:ascii="Segoe UI" w:hAnsi="Segoe UI" w:cs="Segoe UI"/>
          <w:b/>
          <w:bCs/>
          <w:color w:val="002060"/>
          <w:sz w:val="48"/>
          <w:szCs w:val="48"/>
        </w:rPr>
      </w:pPr>
      <w:r w:rsidRPr="00222820">
        <w:rPr>
          <w:rFonts w:ascii="Segoe UI" w:hAnsi="Segoe UI" w:cs="Segoe UI"/>
          <w:b/>
          <w:bCs/>
          <w:color w:val="002060"/>
          <w:sz w:val="48"/>
          <w:szCs w:val="48"/>
        </w:rPr>
        <w:t>PICO Set</w:t>
      </w:r>
    </w:p>
    <w:p w14:paraId="36D3A1E8" w14:textId="77777777" w:rsidR="009139B7" w:rsidRPr="003F4E49" w:rsidRDefault="009139B7" w:rsidP="002662E5">
      <w:pPr>
        <w:spacing w:after="160" w:line="259" w:lineRule="auto"/>
        <w:jc w:val="center"/>
        <w:rPr>
          <w:b/>
          <w:bCs/>
          <w:color w:val="0070C0"/>
          <w:sz w:val="32"/>
          <w:szCs w:val="32"/>
        </w:rPr>
      </w:pPr>
      <w:r w:rsidRPr="003F4E49">
        <w:br w:type="page"/>
      </w:r>
    </w:p>
    <w:p w14:paraId="5BEAFFDE" w14:textId="63EDDA11" w:rsidR="00051843" w:rsidRPr="00A84BCA" w:rsidRDefault="00051843" w:rsidP="00EA0AA0">
      <w:pPr>
        <w:pStyle w:val="Heading1"/>
        <w:rPr>
          <w:color w:val="002060"/>
        </w:rPr>
      </w:pPr>
      <w:r w:rsidRPr="00A84BCA">
        <w:rPr>
          <w:color w:val="002060"/>
        </w:rPr>
        <w:lastRenderedPageBreak/>
        <w:t>Population</w:t>
      </w:r>
    </w:p>
    <w:p w14:paraId="403BD183" w14:textId="738A72BE" w:rsidR="00051843" w:rsidRPr="006C5DE1" w:rsidRDefault="00051843" w:rsidP="009B6319">
      <w:pPr>
        <w:pStyle w:val="Heading2"/>
        <w:rPr>
          <w:lang w:eastAsia="en-AU"/>
        </w:rPr>
      </w:pPr>
      <w:r w:rsidRPr="00EB388E">
        <w:rPr>
          <w:lang w:eastAsia="en-AU"/>
        </w:rPr>
        <w:t>Describe the population in which the proposed health technology is intended to be used:</w:t>
      </w:r>
    </w:p>
    <w:p w14:paraId="1B4D4169" w14:textId="75656418" w:rsidR="000A6AF0" w:rsidRDefault="000A6AF0" w:rsidP="000A6AF0">
      <w:r>
        <w:t xml:space="preserve">The proposed population are </w:t>
      </w:r>
      <w:r w:rsidR="00A8798A">
        <w:t>adult</w:t>
      </w:r>
      <w:r w:rsidR="008A0BDF">
        <w:t xml:space="preserve"> </w:t>
      </w:r>
      <w:r>
        <w:t xml:space="preserve">patients with metastatic castration-resistant prostate cancer (mCRPC), who </w:t>
      </w:r>
      <w:r w:rsidR="00147EDA">
        <w:t>are</w:t>
      </w:r>
      <w:r>
        <w:t xml:space="preserve"> confirmed prostate specific membrane antigen (PSMA)-positive,</w:t>
      </w:r>
      <w:r w:rsidR="00147EDA">
        <w:t xml:space="preserve"> have</w:t>
      </w:r>
      <w:r>
        <w:t xml:space="preserve"> progressive disease following treatment with an androgen receptor inhibitor pathway inhibitor (ARPI) and are untreated with taxane-based chemotherapy in the hormone-sensitive or castration-resistant setting.</w:t>
      </w:r>
    </w:p>
    <w:p w14:paraId="0708826D" w14:textId="133C4867" w:rsidR="0013171F" w:rsidRDefault="008248B2" w:rsidP="008248B2">
      <w:r w:rsidRPr="00E4687C">
        <w:t>Prostate cancer is the most diagnosed cancer in Australia,</w:t>
      </w:r>
      <w:r w:rsidR="007E7197" w:rsidRPr="00E4687C">
        <w:t xml:space="preserve"> accounting</w:t>
      </w:r>
      <w:r w:rsidRPr="00E4687C">
        <w:t xml:space="preserve"> for approximately 30% of all male cancer diagnoses</w:t>
      </w:r>
      <w:r w:rsidR="007E7197" w:rsidRPr="00E4687C">
        <w:t xml:space="preserve"> in 2025</w:t>
      </w:r>
      <w:r w:rsidRPr="00E4687C">
        <w:t xml:space="preserve">. </w:t>
      </w:r>
      <w:r w:rsidR="002C6049" w:rsidRPr="00E4687C">
        <w:t xml:space="preserve">Figure </w:t>
      </w:r>
      <w:r w:rsidR="00CE1ED4" w:rsidRPr="00E4687C">
        <w:t>1</w:t>
      </w:r>
      <w:r w:rsidR="002C6049" w:rsidRPr="00E4687C">
        <w:t xml:space="preserve"> illustrates the natural history of prostate cancer</w:t>
      </w:r>
      <w:r w:rsidR="0086559B" w:rsidRPr="00E4687C">
        <w:t xml:space="preserve">. </w:t>
      </w:r>
      <w:r w:rsidR="00994925" w:rsidRPr="00E4687C">
        <w:t>Approximately 1 in 6 men will be diagnosed with prostate cancer in their lifetime</w:t>
      </w:r>
      <w:r w:rsidR="00BF0D66" w:rsidRPr="00E4687C">
        <w:t xml:space="preserve"> (ACP, 2026)</w:t>
      </w:r>
      <w:r w:rsidR="00994925" w:rsidRPr="00E4687C">
        <w:t xml:space="preserve">. </w:t>
      </w:r>
      <w:r w:rsidR="0013171F" w:rsidRPr="00E4687C">
        <w:t xml:space="preserve">Most </w:t>
      </w:r>
      <w:r w:rsidR="00BF0D66" w:rsidRPr="00E4687C">
        <w:t xml:space="preserve">men </w:t>
      </w:r>
      <w:r w:rsidR="0013171F" w:rsidRPr="00E4687C">
        <w:t xml:space="preserve">(82%) </w:t>
      </w:r>
      <w:r w:rsidR="00994925" w:rsidRPr="00E4687C">
        <w:t>will be</w:t>
      </w:r>
      <w:r w:rsidR="0013171F" w:rsidRPr="00E4687C">
        <w:t xml:space="preserve"> diagnosed in the early stages of disease (</w:t>
      </w:r>
      <w:r w:rsidR="00972A99" w:rsidRPr="00E4687C">
        <w:t xml:space="preserve">i.e., </w:t>
      </w:r>
      <w:r w:rsidR="0013171F" w:rsidRPr="00E4687C">
        <w:t>Stage I and II)</w:t>
      </w:r>
      <w:r w:rsidR="00647636" w:rsidRPr="00E4687C">
        <w:t xml:space="preserve"> </w:t>
      </w:r>
      <w:r w:rsidR="00F55847" w:rsidRPr="00E4687C">
        <w:t>where</w:t>
      </w:r>
      <w:r w:rsidR="00647636" w:rsidRPr="00E4687C">
        <w:t xml:space="preserve"> prognosis is </w:t>
      </w:r>
      <w:r w:rsidR="0019644C" w:rsidRPr="00E4687C">
        <w:t>generally good</w:t>
      </w:r>
      <w:r w:rsidR="00BF0D66" w:rsidRPr="00E4687C">
        <w:t xml:space="preserve"> (AIHW, 2025)</w:t>
      </w:r>
      <w:r w:rsidR="0019644C" w:rsidRPr="00E4687C">
        <w:t>.</w:t>
      </w:r>
      <w:r w:rsidR="005875E9" w:rsidRPr="00E4687C">
        <w:t xml:space="preserve"> </w:t>
      </w:r>
      <w:r w:rsidR="00994925" w:rsidRPr="00E4687C">
        <w:t>Despite treatment, a</w:t>
      </w:r>
      <w:r w:rsidR="00F45EAC" w:rsidRPr="00E4687C">
        <w:t xml:space="preserve">pproximately </w:t>
      </w:r>
      <w:r w:rsidR="00CA7BE6" w:rsidRPr="00E4687C">
        <w:t xml:space="preserve">10% </w:t>
      </w:r>
      <w:r w:rsidR="00F45EAC" w:rsidRPr="00E4687C">
        <w:t xml:space="preserve">to </w:t>
      </w:r>
      <w:r w:rsidR="00CA7BE6" w:rsidRPr="00E4687C">
        <w:t xml:space="preserve">20% </w:t>
      </w:r>
      <w:r w:rsidR="00750B84" w:rsidRPr="00E4687C">
        <w:t xml:space="preserve">will progress to castration-resistant </w:t>
      </w:r>
      <w:r w:rsidR="00C64CF1" w:rsidRPr="00E4687C">
        <w:t>disease</w:t>
      </w:r>
      <w:r w:rsidR="00BF0D66" w:rsidRPr="00E4687C">
        <w:t xml:space="preserve"> and studies suggest that most </w:t>
      </w:r>
      <w:r w:rsidR="00B7364F" w:rsidRPr="00E4687C">
        <w:t>of these patients</w:t>
      </w:r>
      <w:r w:rsidR="00BF0D66" w:rsidRPr="00E4687C">
        <w:t xml:space="preserve"> will have metastases at the time of developing castration resistant disease </w:t>
      </w:r>
      <w:r w:rsidR="00B7364F" w:rsidRPr="00E4687C">
        <w:t xml:space="preserve">(i.e., mCRPC) </w:t>
      </w:r>
      <w:r w:rsidR="00BF0D66" w:rsidRPr="00E4687C">
        <w:t xml:space="preserve">(Kirby et al., 2011). Approximately 60% of non-metastatic </w:t>
      </w:r>
      <w:r w:rsidR="00F45EAC" w:rsidRPr="00E4687C">
        <w:t>castration</w:t>
      </w:r>
      <w:r w:rsidR="00B7364F" w:rsidRPr="00E4687C">
        <w:t>-</w:t>
      </w:r>
      <w:r w:rsidR="00F45EAC" w:rsidRPr="00E4687C">
        <w:t xml:space="preserve">resistant disease </w:t>
      </w:r>
      <w:r w:rsidR="00B7364F" w:rsidRPr="00E4687C">
        <w:t xml:space="preserve">will </w:t>
      </w:r>
      <w:r w:rsidR="00F03ABC" w:rsidRPr="00E4687C">
        <w:t>develop mCRPC</w:t>
      </w:r>
      <w:r w:rsidR="006B6100" w:rsidRPr="00E4687C">
        <w:t xml:space="preserve"> (</w:t>
      </w:r>
      <w:r w:rsidR="00BF0D66" w:rsidRPr="00E4687C">
        <w:t>Malone et al., 2022</w:t>
      </w:r>
      <w:r w:rsidR="006B6100" w:rsidRPr="00E4687C">
        <w:t>)</w:t>
      </w:r>
      <w:r w:rsidR="00F03ABC" w:rsidRPr="00E4687C">
        <w:t xml:space="preserve">. </w:t>
      </w:r>
      <w:r w:rsidR="00994925" w:rsidRPr="00E4687C">
        <w:t>Only a small proportion (4.2</w:t>
      </w:r>
      <w:r w:rsidR="00F03ABC" w:rsidRPr="00E4687C">
        <w:t>%</w:t>
      </w:r>
      <w:r w:rsidR="00994925" w:rsidRPr="00E4687C">
        <w:t>)</w:t>
      </w:r>
      <w:r w:rsidR="00F03ABC" w:rsidRPr="00E4687C">
        <w:t xml:space="preserve"> of </w:t>
      </w:r>
      <w:r w:rsidR="00994925" w:rsidRPr="00E4687C">
        <w:t>men</w:t>
      </w:r>
      <w:r w:rsidR="00F03ABC" w:rsidRPr="00E4687C">
        <w:t xml:space="preserve"> will </w:t>
      </w:r>
      <w:r w:rsidR="00994925" w:rsidRPr="00E4687C">
        <w:t>be diagnosed</w:t>
      </w:r>
      <w:r w:rsidR="00F03ABC" w:rsidRPr="00E4687C">
        <w:t xml:space="preserve"> with de novo metastatic disease </w:t>
      </w:r>
      <w:r w:rsidR="006B6100" w:rsidRPr="00E4687C">
        <w:t>(AIHW, 2025).</w:t>
      </w:r>
      <w:r w:rsidR="006B6100" w:rsidRPr="006B6100">
        <w:t xml:space="preserve"> </w:t>
      </w:r>
    </w:p>
    <w:p w14:paraId="6A495604" w14:textId="1862EC8D" w:rsidR="001C4D38" w:rsidRDefault="001C4D38" w:rsidP="008248B2">
      <w:r>
        <w:t>mCRPC is generally associated with the poorest prognosis</w:t>
      </w:r>
      <w:r w:rsidR="006B3E1A">
        <w:t xml:space="preserve">, with real-world studies reporting median survival of less than 4 years and Australian data </w:t>
      </w:r>
      <w:r w:rsidR="00D2358B">
        <w:t>reporting median survival of 3 years (</w:t>
      </w:r>
      <w:r w:rsidR="00972A99" w:rsidRPr="00405916">
        <w:t xml:space="preserve">Francini 2019, Chowdhury 2020, </w:t>
      </w:r>
      <w:proofErr w:type="spellStart"/>
      <w:r w:rsidR="00972A99" w:rsidRPr="00405916">
        <w:t>Westgeest</w:t>
      </w:r>
      <w:proofErr w:type="spellEnd"/>
      <w:r w:rsidR="00972A99" w:rsidRPr="00405916">
        <w:t xml:space="preserve"> 2021</w:t>
      </w:r>
      <w:r w:rsidR="00972A99">
        <w:t xml:space="preserve">; </w:t>
      </w:r>
      <w:r w:rsidR="00D2358B">
        <w:t>Williams et al., 2025)</w:t>
      </w:r>
      <w:r w:rsidR="00972A99">
        <w:t>.</w:t>
      </w:r>
      <w:r w:rsidR="00C213B7">
        <w:t xml:space="preserve"> </w:t>
      </w:r>
      <w:r w:rsidR="00AA6105" w:rsidRPr="00AA6105">
        <w:t xml:space="preserve">mCRPC significantly affects patient wellbeing due to persistent symptoms and impairment from both cancer and treatments. Australian men with mCRPC experience lower quality of life, greater severity of symptoms, more psychological distress, increased suicide risk, and greater unmet care needs than those with localised disease </w:t>
      </w:r>
      <w:r w:rsidR="002C1787">
        <w:t>(</w:t>
      </w:r>
      <w:r w:rsidR="00AA6105" w:rsidRPr="00AA6105">
        <w:t>Chambers et al., 2018; Holmstrom et al., 2019).</w:t>
      </w:r>
    </w:p>
    <w:p w14:paraId="0AE8E7E5" w14:textId="046A7CB4" w:rsidR="00E45142" w:rsidRDefault="00E45142" w:rsidP="008248B2">
      <w:r>
        <w:rPr>
          <w:noProof/>
        </w:rPr>
        <w:drawing>
          <wp:inline distT="0" distB="0" distL="0" distR="0" wp14:anchorId="51B70ABE" wp14:editId="676D7443">
            <wp:extent cx="5982335" cy="3148372"/>
            <wp:effectExtent l="0" t="0" r="0" b="0"/>
            <wp:docPr id="885499732" name="Picture 1" descr="A diagram showing treatment of patients through stage I to stage IV prostate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99732" name="Picture 1" descr="A diagram showing treatment of patients through stage I to stage IV prostate canc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6204" cy="3155671"/>
                    </a:xfrm>
                    <a:prstGeom prst="rect">
                      <a:avLst/>
                    </a:prstGeom>
                    <a:noFill/>
                  </pic:spPr>
                </pic:pic>
              </a:graphicData>
            </a:graphic>
          </wp:inline>
        </w:drawing>
      </w:r>
    </w:p>
    <w:p w14:paraId="52BDC63D" w14:textId="77777777" w:rsidR="00AC3B9C" w:rsidRPr="009D120A" w:rsidRDefault="00AC3B9C" w:rsidP="00AC3B9C">
      <w:pPr>
        <w:pStyle w:val="Captions"/>
      </w:pPr>
      <w:r w:rsidRPr="009D120A">
        <w:t>Figure 1</w:t>
      </w:r>
      <w:r w:rsidRPr="009D120A">
        <w:tab/>
        <w:t>Overview of prostate cancer</w:t>
      </w:r>
    </w:p>
    <w:p w14:paraId="556AFDE8" w14:textId="77777777" w:rsidR="00AC3B9C" w:rsidRDefault="00AC3B9C" w:rsidP="00AC3B9C">
      <w:pPr>
        <w:pStyle w:val="NovartisFootnotes"/>
      </w:pPr>
      <w:r>
        <w:t xml:space="preserve">Abbreviations: 1L, first line; 2L, second line; 3L, third line; BCR, biochemical recurrence; </w:t>
      </w:r>
      <w:proofErr w:type="spellStart"/>
      <w:r>
        <w:t>mHSPC</w:t>
      </w:r>
      <w:proofErr w:type="spellEnd"/>
      <w:r>
        <w:t xml:space="preserve">, metastatic hormone-sensitive prostate cancer; mCRPC, metastatic castration-resistant prostate cancer; </w:t>
      </w:r>
      <w:proofErr w:type="spellStart"/>
      <w:r>
        <w:t>nmCRPC</w:t>
      </w:r>
      <w:proofErr w:type="spellEnd"/>
      <w:r>
        <w:t>, non-metastatic castration-resistant prostate cancer.</w:t>
      </w:r>
    </w:p>
    <w:p w14:paraId="1ED5E3C8" w14:textId="26C44D89" w:rsidR="00F45EAC" w:rsidRDefault="00F45EAC" w:rsidP="00AC3B9C">
      <w:pPr>
        <w:pStyle w:val="NovartisFootnotes"/>
      </w:pPr>
      <w:r>
        <w:t xml:space="preserve">Source: </w:t>
      </w:r>
      <w:r w:rsidR="00E4687C">
        <w:t>Novartis Data on File, 2026.</w:t>
      </w:r>
    </w:p>
    <w:p w14:paraId="4E7D58B5" w14:textId="77777777" w:rsidR="00244B47" w:rsidRDefault="00244B47" w:rsidP="008248B2"/>
    <w:p w14:paraId="66E28442" w14:textId="77777777" w:rsidR="0097224D" w:rsidRDefault="0097224D" w:rsidP="008248B2"/>
    <w:p w14:paraId="50101B2E" w14:textId="77777777" w:rsidR="0097224D" w:rsidRDefault="0097224D" w:rsidP="008248B2"/>
    <w:p w14:paraId="578CE9DA" w14:textId="77777777" w:rsidR="0097224D" w:rsidRDefault="0097224D" w:rsidP="008248B2"/>
    <w:p w14:paraId="7B7089F3" w14:textId="4F50ADE9" w:rsidR="00051843" w:rsidRPr="006C5DE1" w:rsidRDefault="00051843" w:rsidP="00263CCD">
      <w:pPr>
        <w:pStyle w:val="Heading2"/>
        <w:rPr>
          <w:lang w:eastAsia="en-AU"/>
        </w:rPr>
      </w:pPr>
      <w:r w:rsidRPr="006C5DE1">
        <w:rPr>
          <w:lang w:eastAsia="en-AU"/>
        </w:rPr>
        <w:lastRenderedPageBreak/>
        <w:t>Specify any characteristics of patients with</w:t>
      </w:r>
      <w:r w:rsidR="00197915" w:rsidRPr="006C5DE1">
        <w:rPr>
          <w:lang w:eastAsia="en-AU"/>
        </w:rPr>
        <w:t>, or suspected of having,</w:t>
      </w:r>
      <w:r w:rsidRPr="006C5DE1">
        <w:rPr>
          <w:lang w:eastAsia="en-AU"/>
        </w:rPr>
        <w:t xml:space="preserve"> </w:t>
      </w:r>
      <w:r w:rsidRPr="00D07A57">
        <w:rPr>
          <w:lang w:eastAsia="en-AU"/>
        </w:rPr>
        <w:t>the medical condition, who are proposed to be eligible for the proposed health technology,</w:t>
      </w:r>
      <w:r w:rsidRPr="006C5DE1">
        <w:rPr>
          <w:lang w:eastAsia="en-AU"/>
        </w:rPr>
        <w:t xml:space="preserve"> describing how a patient would be investigated, managed and referred within the Australian healthcare system in the lead up to being considered eligible for the technology:</w:t>
      </w:r>
    </w:p>
    <w:p w14:paraId="7EB61850" w14:textId="17E3CC4C" w:rsidR="00E5616D" w:rsidRDefault="00A05D38" w:rsidP="008248B2">
      <w:r>
        <w:t xml:space="preserve">The proposed </w:t>
      </w:r>
      <w:r w:rsidR="003E75B4" w:rsidRPr="003E75B4">
        <w:t>population will be required to</w:t>
      </w:r>
      <w:r w:rsidR="003E75B4">
        <w:t xml:space="preserve"> be confirmed PSMA-positive by PSMA </w:t>
      </w:r>
      <w:r w:rsidR="003B4A8A">
        <w:t>positron emission tomography (</w:t>
      </w:r>
      <w:r w:rsidR="003E75B4">
        <w:t>PET</w:t>
      </w:r>
      <w:r w:rsidR="003B4A8A">
        <w:t>)</w:t>
      </w:r>
      <w:r w:rsidR="003E75B4">
        <w:t xml:space="preserve"> scan,</w:t>
      </w:r>
      <w:r w:rsidR="003E75B4" w:rsidRPr="003E75B4">
        <w:t xml:space="preserve"> have progressive disease following treatment with an ARPI and have not received taxane-based chemotherapy in the hormone-sensitive or castration-resistant setting.</w:t>
      </w:r>
    </w:p>
    <w:p w14:paraId="5C121C61" w14:textId="0C4B523F" w:rsidR="0054009C" w:rsidRDefault="00A974CC" w:rsidP="008248B2">
      <w:r w:rsidRPr="00A974CC">
        <w:t>Patients with prostate cancer are managed by a lead physician</w:t>
      </w:r>
      <w:r>
        <w:t xml:space="preserve"> (e.g., </w:t>
      </w:r>
      <w:r w:rsidRPr="00A974CC">
        <w:t>urologist</w:t>
      </w:r>
      <w:r w:rsidR="00CF2C0A">
        <w:t xml:space="preserve">, </w:t>
      </w:r>
      <w:r w:rsidRPr="00A974CC">
        <w:t>medical oncologist</w:t>
      </w:r>
      <w:r w:rsidR="00CF2C0A">
        <w:t>)</w:t>
      </w:r>
      <w:r w:rsidRPr="00A974CC">
        <w:t xml:space="preserve"> and</w:t>
      </w:r>
      <w:r w:rsidR="00E37BB2">
        <w:t>,</w:t>
      </w:r>
      <w:r w:rsidRPr="00A974CC">
        <w:t xml:space="preserve"> where possible</w:t>
      </w:r>
      <w:r w:rsidR="00E37BB2">
        <w:t>,</w:t>
      </w:r>
      <w:r w:rsidRPr="00A974CC">
        <w:t xml:space="preserve"> a comprehensive multidisciplinary team (MDT). mCRPC patients will have undergone</w:t>
      </w:r>
      <w:r w:rsidR="00E37BB2">
        <w:t xml:space="preserve"> </w:t>
      </w:r>
      <w:r w:rsidR="002C2F76">
        <w:t xml:space="preserve">extensive </w:t>
      </w:r>
      <w:r w:rsidR="00B45FBE">
        <w:t xml:space="preserve">pathology and </w:t>
      </w:r>
      <w:r w:rsidR="00070792">
        <w:t xml:space="preserve">imaging </w:t>
      </w:r>
      <w:r w:rsidR="002C2F76">
        <w:t>test</w:t>
      </w:r>
      <w:r w:rsidR="0083578F">
        <w:t>ing</w:t>
      </w:r>
      <w:r w:rsidR="002C2F76">
        <w:t xml:space="preserve"> </w:t>
      </w:r>
      <w:r w:rsidR="00C859E3">
        <w:t>to confirm</w:t>
      </w:r>
      <w:r w:rsidR="006500EB">
        <w:t xml:space="preserve"> diagnosis </w:t>
      </w:r>
      <w:r w:rsidR="00A361CB">
        <w:t>as well as the</w:t>
      </w:r>
      <w:r w:rsidR="00BF3AD8">
        <w:t xml:space="preserve"> </w:t>
      </w:r>
      <w:r w:rsidR="006A5372">
        <w:t xml:space="preserve">stage and </w:t>
      </w:r>
      <w:r w:rsidR="00AF08F4">
        <w:t>extent</w:t>
      </w:r>
      <w:r w:rsidR="00BF3AD8">
        <w:t xml:space="preserve"> of disease</w:t>
      </w:r>
      <w:r w:rsidR="00B65465">
        <w:t>.</w:t>
      </w:r>
      <w:r w:rsidR="00AF08F4">
        <w:t xml:space="preserve"> Such tests may include </w:t>
      </w:r>
      <w:r w:rsidR="001F3D94">
        <w:t xml:space="preserve">physical examination, </w:t>
      </w:r>
      <w:r w:rsidR="007605A1">
        <w:t xml:space="preserve">digital rectal examination, </w:t>
      </w:r>
      <w:r w:rsidR="00EA21AC">
        <w:t>prostat</w:t>
      </w:r>
      <w:r w:rsidR="000B4B94">
        <w:t>e</w:t>
      </w:r>
      <w:r w:rsidR="00EA21AC">
        <w:t>-</w:t>
      </w:r>
      <w:r w:rsidR="000B4B94">
        <w:t>s</w:t>
      </w:r>
      <w:r w:rsidR="00EA21AC">
        <w:t>pecific antigen (</w:t>
      </w:r>
      <w:r w:rsidR="00AF08F4">
        <w:t>PSA</w:t>
      </w:r>
      <w:r w:rsidR="00EA21AC">
        <w:t>)</w:t>
      </w:r>
      <w:r w:rsidR="00AF08F4">
        <w:t xml:space="preserve"> levels, biopsy, bone scans, </w:t>
      </w:r>
      <w:r w:rsidR="000B4B94">
        <w:t xml:space="preserve">and </w:t>
      </w:r>
      <w:r w:rsidR="00AF08F4">
        <w:t>PET</w:t>
      </w:r>
      <w:r w:rsidR="00946126">
        <w:t>/computed tomography (CT)</w:t>
      </w:r>
      <w:r w:rsidR="00AF08F4">
        <w:t xml:space="preserve"> scan</w:t>
      </w:r>
      <w:r w:rsidR="000B4B94">
        <w:t>.</w:t>
      </w:r>
      <w:r w:rsidR="0054009C">
        <w:t xml:space="preserve"> </w:t>
      </w:r>
      <w:r w:rsidR="0054009C" w:rsidRPr="0054009C">
        <w:t>Evidence of biochemical or radiographic recurrence despite castrate levels of testosterone in the setting of existing metastatic disease confirms a diagnosis of mCRPC</w:t>
      </w:r>
    </w:p>
    <w:p w14:paraId="7E5F7631" w14:textId="0F22D099" w:rsidR="00A974CC" w:rsidRDefault="00C521D6" w:rsidP="008248B2">
      <w:r>
        <w:t xml:space="preserve">The </w:t>
      </w:r>
      <w:r w:rsidR="0039154F" w:rsidRPr="0039154F">
        <w:t xml:space="preserve">treatment pathway is varied depending on patient risk factors and disease characteristics. In mCRPC, treatment options are limited to ARPI, docetaxel, </w:t>
      </w:r>
      <w:r w:rsidR="0039154F" w:rsidRPr="003B4A8A">
        <w:rPr>
          <w:vertAlign w:val="superscript"/>
        </w:rPr>
        <w:t>177</w:t>
      </w:r>
      <w:r w:rsidR="0039154F" w:rsidRPr="0039154F">
        <w:t xml:space="preserve">Lu-PSMA-617, </w:t>
      </w:r>
      <w:proofErr w:type="spellStart"/>
      <w:r w:rsidR="0039154F" w:rsidRPr="0039154F">
        <w:t>cabazitaxel</w:t>
      </w:r>
      <w:proofErr w:type="spellEnd"/>
      <w:r w:rsidR="0039154F" w:rsidRPr="0039154F">
        <w:t xml:space="preserve"> or palliative care and treatment decisions are dependent upon prior therapies received. For mCRPC patients with progressive disease following ARPI who have not yet received chemotherapy, treatment options </w:t>
      </w:r>
      <w:r w:rsidR="002917D3">
        <w:t xml:space="preserve">in Australia </w:t>
      </w:r>
      <w:r w:rsidR="0039154F" w:rsidRPr="0039154F">
        <w:t>are docetaxel or palliative care.</w:t>
      </w:r>
      <w:r w:rsidR="00D61174">
        <w:t xml:space="preserve"> Literature suggests that </w:t>
      </w:r>
      <w:r w:rsidR="00725B94">
        <w:t xml:space="preserve">patients may forego treatment with docetaxel due to the toxicity profile and impact on quality of </w:t>
      </w:r>
      <w:r w:rsidR="00B21CDF">
        <w:t>life (</w:t>
      </w:r>
      <w:r w:rsidR="00EF66AA" w:rsidRPr="00EF66AA">
        <w:t>Al-</w:t>
      </w:r>
      <w:proofErr w:type="spellStart"/>
      <w:r w:rsidR="00EF66AA" w:rsidRPr="00EF66AA">
        <w:t>Batran</w:t>
      </w:r>
      <w:proofErr w:type="spellEnd"/>
      <w:r w:rsidR="00EF66AA" w:rsidRPr="00EF66AA">
        <w:t xml:space="preserve"> et al., 2015; Singer &amp; Srinivasan, 2012</w:t>
      </w:r>
      <w:r w:rsidR="00B21CDF">
        <w:t>).</w:t>
      </w:r>
      <w:r w:rsidR="002917D3">
        <w:t xml:space="preserve"> </w:t>
      </w:r>
      <w:r w:rsidR="00F93C79">
        <w:t>The Drug Utilisation Sub-Committee (</w:t>
      </w:r>
      <w:r w:rsidR="00574B47">
        <w:t>D</w:t>
      </w:r>
      <w:r w:rsidR="001E6FC7">
        <w:t>USC</w:t>
      </w:r>
      <w:r w:rsidR="00F93C79">
        <w:t>)</w:t>
      </w:r>
      <w:r w:rsidR="001E6FC7">
        <w:t xml:space="preserve"> </w:t>
      </w:r>
      <w:r w:rsidR="00236EDD">
        <w:t>analysis indicates that</w:t>
      </w:r>
      <w:r w:rsidR="00156E1B">
        <w:t xml:space="preserve"> most patients </w:t>
      </w:r>
      <w:r w:rsidR="00F70064">
        <w:t>(7</w:t>
      </w:r>
      <w:r w:rsidR="00010518">
        <w:t>1</w:t>
      </w:r>
      <w:r w:rsidR="00F70064">
        <w:t xml:space="preserve">%) </w:t>
      </w:r>
      <w:r w:rsidR="00FB2C40">
        <w:t>receive palliative care</w:t>
      </w:r>
      <w:r w:rsidR="00C956E4">
        <w:t xml:space="preserve"> following an ARPI and </w:t>
      </w:r>
      <w:r w:rsidR="00D6651F">
        <w:t xml:space="preserve">only a small proportion </w:t>
      </w:r>
      <w:r w:rsidR="00FC5F45">
        <w:t>(</w:t>
      </w:r>
      <w:r w:rsidR="00D6651F">
        <w:t>14</w:t>
      </w:r>
      <w:r w:rsidR="00FC5F45">
        <w:t xml:space="preserve">%) receive </w:t>
      </w:r>
      <w:r w:rsidR="00D6651F">
        <w:t>docetaxel</w:t>
      </w:r>
      <w:r w:rsidR="00E02615">
        <w:t xml:space="preserve"> (</w:t>
      </w:r>
      <w:r w:rsidR="001C109E" w:rsidRPr="000B6061">
        <w:t>olaparib PSD, para 5.2, March 2021 PBAC Meeting</w:t>
      </w:r>
      <w:r w:rsidR="00E02615">
        <w:t>)</w:t>
      </w:r>
      <w:r w:rsidR="000840F7">
        <w:t>. This highlights</w:t>
      </w:r>
      <w:r w:rsidR="00BC7D51">
        <w:t xml:space="preserve"> a significant unmet need for </w:t>
      </w:r>
      <w:r w:rsidR="00B21CDF">
        <w:t>new</w:t>
      </w:r>
      <w:r w:rsidR="00E704BE">
        <w:t xml:space="preserve"> effective</w:t>
      </w:r>
      <w:r w:rsidR="00BC7D51">
        <w:t xml:space="preserve"> treatment options for the proposed patient population. </w:t>
      </w:r>
    </w:p>
    <w:p w14:paraId="7D07D59F" w14:textId="76689279" w:rsidR="004F4364" w:rsidRDefault="004F4364" w:rsidP="004F4364">
      <w:r>
        <w:t xml:space="preserve">To be considered for treatment with </w:t>
      </w:r>
      <w:r w:rsidRPr="00B639A3">
        <w:rPr>
          <w:vertAlign w:val="superscript"/>
        </w:rPr>
        <w:t>177</w:t>
      </w:r>
      <w:r>
        <w:t xml:space="preserve">Lu-PSMA-617, a patient will need to have </w:t>
      </w:r>
      <w:r w:rsidR="00E02615">
        <w:t xml:space="preserve">confirmed </w:t>
      </w:r>
      <w:r>
        <w:t>disease progression</w:t>
      </w:r>
      <w:r w:rsidR="00304125">
        <w:t xml:space="preserve"> based on </w:t>
      </w:r>
      <w:r w:rsidR="00F625B0">
        <w:t>pathology and/or imaging</w:t>
      </w:r>
      <w:r w:rsidR="00C97881">
        <w:t xml:space="preserve"> following </w:t>
      </w:r>
      <w:r w:rsidR="00304125">
        <w:t>treatment with an</w:t>
      </w:r>
      <w:r w:rsidR="00C97881">
        <w:t xml:space="preserve"> ARPI</w:t>
      </w:r>
      <w:r>
        <w:t xml:space="preserve"> and be confirmed PSMA-positive based on PSMA PET scan. mCRPC patients considered appropriate candidates for treatment </w:t>
      </w:r>
      <w:r w:rsidR="00B24B08">
        <w:t>will be</w:t>
      </w:r>
      <w:r>
        <w:t xml:space="preserve"> referred by their lead specialist for </w:t>
      </w:r>
      <w:r w:rsidR="00F051B4">
        <w:t xml:space="preserve">a </w:t>
      </w:r>
      <w:r>
        <w:t xml:space="preserve">PSMA PET scan to determine eligibility and suitability for treatment. For eligible patients, </w:t>
      </w:r>
      <w:r w:rsidRPr="00F051B4">
        <w:rPr>
          <w:vertAlign w:val="superscript"/>
        </w:rPr>
        <w:t>177</w:t>
      </w:r>
      <w:r>
        <w:t>Lu-PSMA-617 will be administered by an accredited nuclear medicine specialist in an accredited facility.</w:t>
      </w:r>
    </w:p>
    <w:p w14:paraId="0EB432EF" w14:textId="494FA1EC" w:rsidR="00051843" w:rsidRPr="00940A7E" w:rsidRDefault="00051843" w:rsidP="00073147">
      <w:pPr>
        <w:pStyle w:val="Heading2"/>
      </w:pPr>
      <w:r w:rsidRPr="00940A7E">
        <w:t>Provide a rationale for the specifics of the eligible population:</w:t>
      </w:r>
    </w:p>
    <w:p w14:paraId="47FB5402" w14:textId="497C6EE0" w:rsidR="00073147" w:rsidRDefault="00756142" w:rsidP="00FA3752">
      <w:r>
        <w:t>MSAC ha</w:t>
      </w:r>
      <w:r w:rsidR="0098090C">
        <w:t>s</w:t>
      </w:r>
      <w:r>
        <w:t xml:space="preserve"> previously noted the high clinical unmet need for new, effective therapies for mCRPC for the following reasons: (1) mCRPC patients experience significant morbidity due to bone metastases and skeletal related events, (2) many mCRPC patients opt to forego chemotherapy and elect for palliative care, and (3) 3,000 Australian men die each year from mCRPC</w:t>
      </w:r>
      <w:r w:rsidR="00D40042">
        <w:t>.</w:t>
      </w:r>
      <w:r>
        <w:t xml:space="preserve"> </w:t>
      </w:r>
      <w:r w:rsidRPr="00575ABC">
        <w:t>MSAC has also acknowledged equity issues and barriers to access</w:t>
      </w:r>
      <w:r w:rsidR="008B1A1A" w:rsidRPr="00575ABC">
        <w:t>ing</w:t>
      </w:r>
      <w:r w:rsidRPr="00575ABC">
        <w:t xml:space="preserve"> treatments in remote and regional areas</w:t>
      </w:r>
      <w:r>
        <w:t xml:space="preserve"> (MSAC</w:t>
      </w:r>
      <w:r w:rsidR="0007181D">
        <w:t xml:space="preserve"> 1681.1 PSD</w:t>
      </w:r>
      <w:r>
        <w:t xml:space="preserve"> April 2024</w:t>
      </w:r>
      <w:r w:rsidR="0007181D">
        <w:t xml:space="preserve"> Meeting</w:t>
      </w:r>
      <w:r>
        <w:t>).</w:t>
      </w:r>
    </w:p>
    <w:p w14:paraId="4F27DC7B" w14:textId="1B4DF467" w:rsidR="00900406" w:rsidRPr="00230F1D" w:rsidRDefault="00054D88" w:rsidP="00FA3752">
      <w:r>
        <w:t>Radiopharmaceuticals</w:t>
      </w:r>
      <w:r w:rsidR="00900406">
        <w:t xml:space="preserve"> </w:t>
      </w:r>
      <w:r>
        <w:t>offer</w:t>
      </w:r>
      <w:r w:rsidR="00900406">
        <w:t xml:space="preserve"> an innovative treatment alternative </w:t>
      </w:r>
      <w:r w:rsidR="00811C5B">
        <w:t>in</w:t>
      </w:r>
      <w:r w:rsidR="00900406">
        <w:t xml:space="preserve"> cancer care. </w:t>
      </w:r>
      <w:r w:rsidR="00900406" w:rsidRPr="00900406">
        <w:rPr>
          <w:vertAlign w:val="superscript"/>
        </w:rPr>
        <w:t>177</w:t>
      </w:r>
      <w:r w:rsidR="00900406">
        <w:t>Lu-PSMA-617 is now standard of care for PSMA-positive mCRPC patients who have progressive disease following at least one ARPI and at least one taxane therapy</w:t>
      </w:r>
      <w:r w:rsidR="00811C5B">
        <w:t xml:space="preserve"> based on the</w:t>
      </w:r>
      <w:r w:rsidR="001F4B08">
        <w:t xml:space="preserve"> phase III study</w:t>
      </w:r>
      <w:r w:rsidR="00811C5B">
        <w:t xml:space="preserve"> VISIO</w:t>
      </w:r>
      <w:r w:rsidR="001F4B08">
        <w:t>N</w:t>
      </w:r>
      <w:r w:rsidR="00900406">
        <w:t xml:space="preserve">. The </w:t>
      </w:r>
      <w:r w:rsidR="00A14509">
        <w:t>National Comprehensive Cancer Network (</w:t>
      </w:r>
      <w:r w:rsidR="00900406">
        <w:t>NCCN</w:t>
      </w:r>
      <w:r w:rsidR="00A14509">
        <w:t>)</w:t>
      </w:r>
      <w:r w:rsidR="00C7097D">
        <w:t xml:space="preserve"> and </w:t>
      </w:r>
      <w:r w:rsidR="00A22C51">
        <w:t>the European Society for Medical Oncology (</w:t>
      </w:r>
      <w:r w:rsidR="00C7097D">
        <w:t>ESMO</w:t>
      </w:r>
      <w:r w:rsidR="00A22C51">
        <w:t>)</w:t>
      </w:r>
      <w:r w:rsidR="00900406">
        <w:t xml:space="preserve"> guidelines recommend the use of </w:t>
      </w:r>
      <w:r w:rsidR="00900406" w:rsidRPr="00900406">
        <w:rPr>
          <w:vertAlign w:val="superscript"/>
        </w:rPr>
        <w:t>177</w:t>
      </w:r>
      <w:r w:rsidR="00900406">
        <w:t xml:space="preserve">Lu-PSMA-617 for patients who are taxane-naïve (the proposed patient population), based on the pivotal </w:t>
      </w:r>
      <w:r w:rsidR="00576217">
        <w:t>randomised controlled trial</w:t>
      </w:r>
      <w:r w:rsidR="00900406">
        <w:t xml:space="preserve">, </w:t>
      </w:r>
      <w:proofErr w:type="spellStart"/>
      <w:r w:rsidR="00900406">
        <w:t>PSMAfore</w:t>
      </w:r>
      <w:proofErr w:type="spellEnd"/>
      <w:r w:rsidR="00900406">
        <w:t xml:space="preserve">. </w:t>
      </w:r>
    </w:p>
    <w:p w14:paraId="409AB389" w14:textId="1BF6DFCB" w:rsidR="00051843" w:rsidRPr="00940A7E" w:rsidRDefault="00051843" w:rsidP="00073147">
      <w:pPr>
        <w:pStyle w:val="Heading2"/>
      </w:pPr>
      <w:r w:rsidRPr="00940A7E">
        <w:t xml:space="preserve">Are there any prerequisite tests? </w:t>
      </w:r>
    </w:p>
    <w:p w14:paraId="211420C5" w14:textId="4A2CB9B2" w:rsidR="00073147" w:rsidRDefault="00C6192C" w:rsidP="00C6192C">
      <w:r>
        <w:t>Yes</w:t>
      </w:r>
      <w:r w:rsidR="00D97DEC">
        <w:t>.</w:t>
      </w:r>
    </w:p>
    <w:p w14:paraId="6F033976" w14:textId="77777777" w:rsidR="00E4687C" w:rsidRPr="00230F1D" w:rsidRDefault="00E4687C" w:rsidP="00C6192C"/>
    <w:p w14:paraId="5998FE51" w14:textId="7B048AA9" w:rsidR="00051843" w:rsidRPr="00940A7E" w:rsidRDefault="00051843" w:rsidP="00073147">
      <w:pPr>
        <w:pStyle w:val="Heading2"/>
      </w:pPr>
      <w:r w:rsidRPr="00940A7E">
        <w:lastRenderedPageBreak/>
        <w:t>Are the prerequisite tests MBS funded?</w:t>
      </w:r>
    </w:p>
    <w:p w14:paraId="765BBDB8" w14:textId="4402E184" w:rsidR="00073147" w:rsidRPr="00C6192C" w:rsidRDefault="00C6192C" w:rsidP="00577BB2">
      <w:r w:rsidRPr="00C6192C">
        <w:t>No</w:t>
      </w:r>
      <w:r w:rsidR="00444B0A">
        <w:t>, s</w:t>
      </w:r>
      <w:r w:rsidR="00B36E4F">
        <w:t>eeking a</w:t>
      </w:r>
      <w:r w:rsidR="00F6445C">
        <w:t xml:space="preserve">mendment to existing MBS </w:t>
      </w:r>
      <w:r w:rsidR="00B36E4F">
        <w:t>item.</w:t>
      </w:r>
    </w:p>
    <w:p w14:paraId="0A585F0C" w14:textId="1FA42264" w:rsidR="00051843" w:rsidRPr="00940A7E" w:rsidRDefault="00EA0AA0" w:rsidP="00073147">
      <w:pPr>
        <w:pStyle w:val="Heading2"/>
      </w:pPr>
      <w:r w:rsidRPr="00940A7E">
        <w:t>P</w:t>
      </w:r>
      <w:r w:rsidR="00051843" w:rsidRPr="00940A7E">
        <w:t>rovide details to fund the prerequisite tests:</w:t>
      </w:r>
    </w:p>
    <w:p w14:paraId="3B9080F8" w14:textId="66C1E64A" w:rsidR="008248B2" w:rsidRPr="00333A64" w:rsidRDefault="00255141" w:rsidP="008248B2">
      <w:r>
        <w:t xml:space="preserve">This application requests an amendment to the </w:t>
      </w:r>
      <w:r w:rsidR="003650ED">
        <w:t xml:space="preserve">MBS item </w:t>
      </w:r>
      <w:r w:rsidR="00004BBE">
        <w:t xml:space="preserve">61528 </w:t>
      </w:r>
      <w:r w:rsidR="00CB565B">
        <w:t xml:space="preserve">to include the proposed patient population. </w:t>
      </w:r>
      <w:r w:rsidR="00111443">
        <w:t xml:space="preserve">MSAC </w:t>
      </w:r>
      <w:r w:rsidR="00B94F3C">
        <w:t>supported</w:t>
      </w:r>
      <w:r w:rsidR="00111443">
        <w:t xml:space="preserve"> the MBS listing of </w:t>
      </w:r>
      <w:r w:rsidR="001D26B7">
        <w:t>PSMA PET</w:t>
      </w:r>
      <w:r w:rsidR="00576217">
        <w:t>/CT</w:t>
      </w:r>
      <w:r w:rsidR="001D26B7">
        <w:t xml:space="preserve"> scan </w:t>
      </w:r>
      <w:r w:rsidR="00111443">
        <w:t xml:space="preserve">at their </w:t>
      </w:r>
      <w:r w:rsidR="00BE54EC">
        <w:t>July 2021</w:t>
      </w:r>
      <w:r w:rsidR="00111443">
        <w:t xml:space="preserve"> </w:t>
      </w:r>
      <w:r w:rsidR="00E6296C">
        <w:t>meeting</w:t>
      </w:r>
      <w:r w:rsidR="00BF34F0">
        <w:t xml:space="preserve"> </w:t>
      </w:r>
      <w:r w:rsidR="007C2CB2">
        <w:t xml:space="preserve">to assess eligibility for </w:t>
      </w:r>
      <w:r w:rsidR="00BF30FD">
        <w:t xml:space="preserve">treatment with </w:t>
      </w:r>
      <w:r w:rsidR="00977B8B" w:rsidRPr="00383760">
        <w:rPr>
          <w:vertAlign w:val="superscript"/>
        </w:rPr>
        <w:t>177</w:t>
      </w:r>
      <w:r w:rsidR="00977B8B">
        <w:t>Lu-PSMA</w:t>
      </w:r>
      <w:r w:rsidR="00742977">
        <w:t xml:space="preserve"> therapy</w:t>
      </w:r>
      <w:r w:rsidR="00C011C5">
        <w:t xml:space="preserve"> </w:t>
      </w:r>
      <w:r w:rsidR="000E1275">
        <w:t xml:space="preserve">in mCRPC patients with progressive disease who have </w:t>
      </w:r>
      <w:r w:rsidR="00400FC3">
        <w:t>had at least one ARPI and at least one taxane-based chemotherapy.</w:t>
      </w:r>
      <w:r w:rsidR="000F5EDB">
        <w:t xml:space="preserve"> </w:t>
      </w:r>
      <w:r w:rsidR="004E756D">
        <w:t xml:space="preserve">MSAC </w:t>
      </w:r>
      <w:r w:rsidR="006C73DA">
        <w:t xml:space="preserve">considered </w:t>
      </w:r>
      <w:r w:rsidR="0016547C">
        <w:t>PSMA PET/CT to</w:t>
      </w:r>
      <w:r w:rsidR="00A6477A">
        <w:t xml:space="preserve"> have superior effectiveness in terms of </w:t>
      </w:r>
      <w:r w:rsidR="0052370B">
        <w:t>diagnostic accuracy and clinical utility</w:t>
      </w:r>
      <w:r w:rsidR="00E83634">
        <w:t>, and acceptable cost-effectiveness</w:t>
      </w:r>
      <w:r w:rsidR="00996423">
        <w:t xml:space="preserve"> (</w:t>
      </w:r>
      <w:r w:rsidR="002437DF">
        <w:t>MSAC</w:t>
      </w:r>
      <w:r w:rsidR="00554EC2">
        <w:t xml:space="preserve"> 1632</w:t>
      </w:r>
      <w:r w:rsidR="00EA5010">
        <w:t xml:space="preserve"> </w:t>
      </w:r>
      <w:r w:rsidR="005A0924">
        <w:t>PSD</w:t>
      </w:r>
      <w:r w:rsidR="002437DF">
        <w:t xml:space="preserve"> July 2021 Meeting</w:t>
      </w:r>
      <w:r w:rsidR="00EA5010">
        <w:t>)</w:t>
      </w:r>
      <w:r w:rsidR="00996423">
        <w:t>. T</w:t>
      </w:r>
      <w:r w:rsidR="000F5EDB">
        <w:t>he proposed patient population</w:t>
      </w:r>
      <w:r w:rsidR="00742977">
        <w:t xml:space="preserve"> are</w:t>
      </w:r>
      <w:r w:rsidR="000F5EDB">
        <w:t xml:space="preserve"> require</w:t>
      </w:r>
      <w:r w:rsidR="00742977">
        <w:t>d to undergo</w:t>
      </w:r>
      <w:r w:rsidR="000F5EDB">
        <w:t xml:space="preserve"> </w:t>
      </w:r>
      <w:r w:rsidR="0059796D">
        <w:t>a</w:t>
      </w:r>
      <w:r w:rsidR="008248B2" w:rsidRPr="00333A64">
        <w:t xml:space="preserve"> PSMA PET scan</w:t>
      </w:r>
      <w:r w:rsidR="00742977">
        <w:t xml:space="preserve"> to determine eligibility for treatment</w:t>
      </w:r>
      <w:r w:rsidR="008248B2" w:rsidRPr="00333A64">
        <w:t xml:space="preserve">. </w:t>
      </w:r>
    </w:p>
    <w:p w14:paraId="33EDA4D5" w14:textId="39CD222C" w:rsidR="009717E1" w:rsidRPr="00333A64" w:rsidRDefault="009717E1" w:rsidP="00E74142"/>
    <w:p w14:paraId="730114B1" w14:textId="7AFB81E3" w:rsidR="00280050" w:rsidRPr="00A84BCA" w:rsidRDefault="00051843" w:rsidP="00EA0AA0">
      <w:pPr>
        <w:pStyle w:val="Heading1"/>
        <w:rPr>
          <w:color w:val="002060"/>
        </w:rPr>
      </w:pPr>
      <w:r w:rsidRPr="00A84BCA">
        <w:rPr>
          <w:color w:val="002060"/>
        </w:rPr>
        <w:t>Intervention</w:t>
      </w:r>
    </w:p>
    <w:p w14:paraId="4EE4D8C5" w14:textId="72F78505" w:rsidR="00665487" w:rsidRPr="00940A7E" w:rsidRDefault="00665487" w:rsidP="00A212CF">
      <w:pPr>
        <w:pStyle w:val="Heading2"/>
      </w:pPr>
      <w:r w:rsidRPr="00940A7E">
        <w:t>Name of the proposed health technology:</w:t>
      </w:r>
    </w:p>
    <w:p w14:paraId="18979C40" w14:textId="572D15E7" w:rsidR="004B2306" w:rsidRPr="00F45EAC" w:rsidRDefault="005D4F23" w:rsidP="00FA3752">
      <w:pPr>
        <w:rPr>
          <w:lang w:val="pt-PT"/>
        </w:rPr>
      </w:pPr>
      <w:r w:rsidRPr="00F45EAC">
        <w:rPr>
          <w:lang w:val="pt-PT"/>
        </w:rPr>
        <w:t>Lutetium-177 vipivotide tetraxetan</w:t>
      </w:r>
      <w:r w:rsidR="0065271A" w:rsidRPr="00F45EAC">
        <w:rPr>
          <w:lang w:val="pt-PT"/>
        </w:rPr>
        <w:t xml:space="preserve"> (</w:t>
      </w:r>
      <w:r w:rsidR="001E6359" w:rsidRPr="00F45EAC">
        <w:rPr>
          <w:vertAlign w:val="superscript"/>
          <w:lang w:val="pt-PT"/>
        </w:rPr>
        <w:t>177</w:t>
      </w:r>
      <w:r w:rsidR="001E6359" w:rsidRPr="00F45EAC">
        <w:rPr>
          <w:lang w:val="pt-PT"/>
        </w:rPr>
        <w:t>Lu-PSMA-617</w:t>
      </w:r>
      <w:r w:rsidR="0065271A" w:rsidRPr="00F45EAC">
        <w:rPr>
          <w:lang w:val="pt-PT"/>
        </w:rPr>
        <w:t>)</w:t>
      </w:r>
      <w:r w:rsidR="00794DCD" w:rsidRPr="00F45EAC">
        <w:rPr>
          <w:lang w:val="pt-PT"/>
        </w:rPr>
        <w:t xml:space="preserve"> (</w:t>
      </w:r>
      <w:r w:rsidR="00EB5A17" w:rsidRPr="00F45EAC">
        <w:rPr>
          <w:lang w:val="pt-PT"/>
        </w:rPr>
        <w:t>Pluvicto</w:t>
      </w:r>
      <w:r w:rsidR="00EB5A17" w:rsidRPr="006749AD">
        <w:rPr>
          <w:lang w:val="pt-PT"/>
        </w:rPr>
        <w:t>®</w:t>
      </w:r>
      <w:r w:rsidR="00794DCD" w:rsidRPr="00F45EAC">
        <w:rPr>
          <w:lang w:val="pt-PT"/>
        </w:rPr>
        <w:t>).</w:t>
      </w:r>
      <w:r w:rsidRPr="00F45EAC">
        <w:rPr>
          <w:lang w:val="pt-PT"/>
        </w:rPr>
        <w:t xml:space="preserve"> </w:t>
      </w:r>
    </w:p>
    <w:p w14:paraId="2D6A0E66" w14:textId="7A96524D" w:rsidR="0002683E" w:rsidRPr="00D274B7" w:rsidRDefault="00946126" w:rsidP="0002683E">
      <w:pPr>
        <w:rPr>
          <w:u w:val="single"/>
        </w:rPr>
      </w:pPr>
      <w:r>
        <w:rPr>
          <w:u w:val="single"/>
        </w:rPr>
        <w:t>Radioligand therapy</w:t>
      </w:r>
      <w:r w:rsidR="0002683E" w:rsidRPr="00D274B7">
        <w:rPr>
          <w:u w:val="single"/>
        </w:rPr>
        <w:t xml:space="preserve"> in Australia</w:t>
      </w:r>
    </w:p>
    <w:p w14:paraId="58B71C0C" w14:textId="594B2807" w:rsidR="0002683E" w:rsidRDefault="0002683E" w:rsidP="0002683E">
      <w:bookmarkStart w:id="0" w:name="_Hlk213937725"/>
      <w:r>
        <w:t xml:space="preserve">Currently, </w:t>
      </w:r>
      <w:proofErr w:type="spellStart"/>
      <w:r>
        <w:t>Pluvicto</w:t>
      </w:r>
      <w:proofErr w:type="spellEnd"/>
      <w:r w:rsidR="00EB5A17" w:rsidRPr="00EB5A17">
        <w:rPr>
          <w:vertAlign w:val="superscript"/>
        </w:rPr>
        <w:t>®</w:t>
      </w:r>
      <w:r>
        <w:t xml:space="preserve"> and </w:t>
      </w:r>
      <w:proofErr w:type="spellStart"/>
      <w:r>
        <w:t>Lutathera</w:t>
      </w:r>
      <w:proofErr w:type="spellEnd"/>
      <w:r w:rsidR="00EB5A17" w:rsidRPr="00EB5A17">
        <w:rPr>
          <w:vertAlign w:val="superscript"/>
        </w:rPr>
        <w:t>®</w:t>
      </w:r>
      <w:r>
        <w:t xml:space="preserve"> are the only</w:t>
      </w:r>
      <w:r w:rsidR="00555893">
        <w:t xml:space="preserve"> Therapeutic Goods Administration</w:t>
      </w:r>
      <w:r>
        <w:t xml:space="preserve"> </w:t>
      </w:r>
      <w:r w:rsidR="00555893">
        <w:t>(</w:t>
      </w:r>
      <w:r>
        <w:t>TGA</w:t>
      </w:r>
      <w:r w:rsidR="00555893">
        <w:t>)</w:t>
      </w:r>
      <w:r>
        <w:t xml:space="preserve"> approved </w:t>
      </w:r>
      <w:r w:rsidR="00946126">
        <w:t>radioligand therapies (RLTs)</w:t>
      </w:r>
      <w:r>
        <w:t xml:space="preserve"> available </w:t>
      </w:r>
      <w:r w:rsidR="00794DCD">
        <w:t>for</w:t>
      </w:r>
      <w:r>
        <w:t xml:space="preserve"> </w:t>
      </w:r>
      <w:r w:rsidR="00794DCD">
        <w:t xml:space="preserve">eligible </w:t>
      </w:r>
      <w:r>
        <w:t xml:space="preserve">mCRPC and </w:t>
      </w:r>
      <w:r w:rsidR="008B1A1A">
        <w:t>neuroendocrine tumour</w:t>
      </w:r>
      <w:r w:rsidR="004E6051">
        <w:t xml:space="preserve"> </w:t>
      </w:r>
      <w:r>
        <w:t>patients</w:t>
      </w:r>
      <w:r w:rsidR="00794DCD">
        <w:t>,</w:t>
      </w:r>
      <w:r w:rsidR="00FB34CA">
        <w:t xml:space="preserve"> respectively</w:t>
      </w:r>
      <w:r>
        <w:t xml:space="preserve">. </w:t>
      </w:r>
      <w:r w:rsidR="0069511E">
        <w:t>Patients may be eligible for a</w:t>
      </w:r>
      <w:r>
        <w:t xml:space="preserve"> partial subsid</w:t>
      </w:r>
      <w:r w:rsidR="0069511E">
        <w:t>y</w:t>
      </w:r>
      <w:r>
        <w:t xml:space="preserve"> via the MBS; however, in practice this funding mechanism is reportedly challenging for clinicians and patients with several </w:t>
      </w:r>
      <w:r w:rsidR="00FB34CA">
        <w:t xml:space="preserve">access </w:t>
      </w:r>
      <w:r>
        <w:t>barries including complex billing, multiple pathways to claim, pay</w:t>
      </w:r>
      <w:r w:rsidR="00435BB4">
        <w:t>ment of</w:t>
      </w:r>
      <w:r>
        <w:t xml:space="preserve"> full cost upfront, and wait time for reimbursement.</w:t>
      </w:r>
    </w:p>
    <w:p w14:paraId="7E0E29BF" w14:textId="503DEF8C" w:rsidR="00B77E44" w:rsidRDefault="0002683E" w:rsidP="0002683E">
      <w:r w:rsidRPr="00C464C1">
        <w:t>RLT</w:t>
      </w:r>
      <w:r w:rsidR="00794DCD" w:rsidRPr="00C464C1">
        <w:t>, a specific radiopharmaceutical,</w:t>
      </w:r>
      <w:r w:rsidRPr="00C464C1">
        <w:t xml:space="preserve"> has a healthy future locally and internationally with several pharmaceutical companies exploring treatment options for various diseases</w:t>
      </w:r>
    </w:p>
    <w:p w14:paraId="30843D91" w14:textId="77777777" w:rsidR="00BD6FAD" w:rsidRPr="00C464C1" w:rsidRDefault="00BD6FAD" w:rsidP="0002683E"/>
    <w:bookmarkEnd w:id="0"/>
    <w:p w14:paraId="56A709C5" w14:textId="5C2F4CA0" w:rsidR="0002683E" w:rsidRDefault="00C2544F" w:rsidP="0002683E">
      <w:r>
        <w:t>T</w:t>
      </w:r>
      <w:r w:rsidR="0002683E">
        <w:t>his application requests the following:</w:t>
      </w:r>
    </w:p>
    <w:p w14:paraId="612EA202" w14:textId="42B1746C" w:rsidR="0002683E" w:rsidRDefault="0002683E" w:rsidP="00B806C4">
      <w:pPr>
        <w:pStyle w:val="ListParagraph"/>
        <w:numPr>
          <w:ilvl w:val="0"/>
          <w:numId w:val="14"/>
        </w:numPr>
      </w:pPr>
      <w:r>
        <w:t>An amendment to the existing PSMA PET MBS item to determine eligibility for treatment</w:t>
      </w:r>
      <w:r w:rsidR="00794DCD">
        <w:t>,</w:t>
      </w:r>
    </w:p>
    <w:p w14:paraId="5509FF97" w14:textId="4AB1CBEC" w:rsidR="0002683E" w:rsidRDefault="00794DCD" w:rsidP="00B806C4">
      <w:pPr>
        <w:pStyle w:val="ListParagraph"/>
        <w:numPr>
          <w:ilvl w:val="0"/>
          <w:numId w:val="14"/>
        </w:numPr>
      </w:pPr>
      <w:bookmarkStart w:id="1" w:name="_Hlk214267337"/>
      <w:r>
        <w:t xml:space="preserve">Reimbursement of </w:t>
      </w:r>
      <w:r w:rsidR="0002683E" w:rsidRPr="008248B2">
        <w:rPr>
          <w:vertAlign w:val="superscript"/>
        </w:rPr>
        <w:t>177</w:t>
      </w:r>
      <w:r w:rsidR="0002683E">
        <w:t xml:space="preserve">Lu-PSMA-617 </w:t>
      </w:r>
      <w:r w:rsidR="00BD6FAD" w:rsidRPr="00BD6FAD">
        <w:t>through the broader Medicare program.</w:t>
      </w:r>
      <w:r>
        <w:t>,</w:t>
      </w:r>
    </w:p>
    <w:bookmarkEnd w:id="1"/>
    <w:p w14:paraId="2F09FE35" w14:textId="06603F89" w:rsidR="0002683E" w:rsidRPr="00172602" w:rsidRDefault="0002683E" w:rsidP="00FA3752">
      <w:pPr>
        <w:pStyle w:val="ListParagraph"/>
        <w:numPr>
          <w:ilvl w:val="0"/>
          <w:numId w:val="14"/>
        </w:numPr>
      </w:pPr>
      <w:r>
        <w:t>Associated administrative costs subsided separately to treatment costs.</w:t>
      </w:r>
    </w:p>
    <w:p w14:paraId="61D4A875" w14:textId="334BDEA3" w:rsidR="00BE6B22" w:rsidRDefault="00665487" w:rsidP="00A212CF">
      <w:pPr>
        <w:pStyle w:val="Heading2"/>
      </w:pPr>
      <w:r w:rsidRPr="00940A7E">
        <w:t>Describe the key components and clinical steps involved in delivering the proposed health technology</w:t>
      </w:r>
      <w:r w:rsidR="00BE6B22" w:rsidRPr="00940A7E">
        <w:t>:</w:t>
      </w:r>
    </w:p>
    <w:p w14:paraId="1428A555" w14:textId="6572F708" w:rsidR="006B226E" w:rsidRDefault="009B3B05" w:rsidP="009B3B05">
      <w:bookmarkStart w:id="2" w:name="_Hlk219464154"/>
      <w:bookmarkStart w:id="3" w:name="_Hlk213934665"/>
      <w:r w:rsidRPr="008248B2">
        <w:rPr>
          <w:vertAlign w:val="superscript"/>
        </w:rPr>
        <w:t>177</w:t>
      </w:r>
      <w:r w:rsidRPr="009B3B05">
        <w:t xml:space="preserve">Lu-PSMA-617 is a novel </w:t>
      </w:r>
      <w:r w:rsidR="007E7197">
        <w:t>RLT</w:t>
      </w:r>
      <w:r w:rsidRPr="009B3B05">
        <w:t xml:space="preserve"> consisting of a PSMA-targeting vector that binds with high affinity and specificity to PSMA express</w:t>
      </w:r>
      <w:r w:rsidR="00FB34CA">
        <w:t>ing</w:t>
      </w:r>
      <w:r w:rsidRPr="009B3B05">
        <w:t xml:space="preserve"> tumours</w:t>
      </w:r>
      <w:bookmarkEnd w:id="2"/>
      <w:r w:rsidRPr="009B3B05">
        <w:t xml:space="preserve">. </w:t>
      </w:r>
      <w:bookmarkStart w:id="4" w:name="_Hlk219464238"/>
      <w:r w:rsidR="003F1B6B">
        <w:t>P</w:t>
      </w:r>
      <w:r w:rsidR="00EF55CD">
        <w:t xml:space="preserve">atients with higher </w:t>
      </w:r>
      <w:r w:rsidR="00FB34CA">
        <w:t xml:space="preserve">PSMA </w:t>
      </w:r>
      <w:r w:rsidR="00EF55CD">
        <w:t>expression may have a greater magnitude of benefit</w:t>
      </w:r>
      <w:r w:rsidR="00C8724C">
        <w:t xml:space="preserve"> (</w:t>
      </w:r>
      <w:r w:rsidR="000A15A0" w:rsidRPr="000A15A0">
        <w:t>Beltran, et al., 2025</w:t>
      </w:r>
      <w:r w:rsidR="00C8724C">
        <w:t>)</w:t>
      </w:r>
      <w:r w:rsidR="00EF55CD">
        <w:t xml:space="preserve">. </w:t>
      </w:r>
      <w:r w:rsidRPr="009B3B05">
        <w:t xml:space="preserve">As such, treatment with </w:t>
      </w:r>
      <w:r w:rsidRPr="008248B2">
        <w:rPr>
          <w:vertAlign w:val="superscript"/>
        </w:rPr>
        <w:t>177</w:t>
      </w:r>
      <w:r w:rsidRPr="009B3B05">
        <w:t xml:space="preserve">Lu-PSMA-617 is only effective against tumours with sufficient PSMA expression. PSMA PET scan is used to </w:t>
      </w:r>
      <w:r w:rsidR="004261F8">
        <w:t>determine</w:t>
      </w:r>
      <w:r w:rsidRPr="009B3B05">
        <w:t xml:space="preserve"> </w:t>
      </w:r>
      <w:r w:rsidR="004261F8">
        <w:t xml:space="preserve">the level of </w:t>
      </w:r>
      <w:r w:rsidRPr="009B3B05">
        <w:t>PSMA</w:t>
      </w:r>
      <w:r w:rsidR="004261F8">
        <w:t xml:space="preserve"> expression</w:t>
      </w:r>
      <w:r w:rsidRPr="009B3B05">
        <w:t xml:space="preserve"> and </w:t>
      </w:r>
      <w:r w:rsidR="004261F8">
        <w:t>assess</w:t>
      </w:r>
      <w:r w:rsidRPr="009B3B05">
        <w:t xml:space="preserve"> suitability for treatment with </w:t>
      </w:r>
      <w:r w:rsidRPr="008248B2">
        <w:rPr>
          <w:vertAlign w:val="superscript"/>
        </w:rPr>
        <w:t>177</w:t>
      </w:r>
      <w:r w:rsidRPr="009B3B05">
        <w:t>Lu-PSMA-617</w:t>
      </w:r>
      <w:bookmarkEnd w:id="4"/>
      <w:r w:rsidRPr="009B3B05">
        <w:t>.</w:t>
      </w:r>
    </w:p>
    <w:p w14:paraId="39B9E44B" w14:textId="4020E834" w:rsidR="00DF76BA" w:rsidRDefault="00DF76BA" w:rsidP="009B3B05">
      <w:r w:rsidRPr="00444B0A">
        <w:t xml:space="preserve">Figure </w:t>
      </w:r>
      <w:r w:rsidR="00402EE8">
        <w:t>2</w:t>
      </w:r>
      <w:r>
        <w:t xml:space="preserve"> </w:t>
      </w:r>
      <w:r w:rsidR="00E1229F">
        <w:t>illustrates</w:t>
      </w:r>
      <w:r>
        <w:t xml:space="preserve"> the typical steps involved</w:t>
      </w:r>
      <w:r w:rsidR="00FE469F">
        <w:t xml:space="preserve"> to</w:t>
      </w:r>
      <w:r>
        <w:t xml:space="preserve"> deliver </w:t>
      </w:r>
      <w:r w:rsidRPr="008248B2">
        <w:rPr>
          <w:vertAlign w:val="superscript"/>
        </w:rPr>
        <w:t>177</w:t>
      </w:r>
      <w:r>
        <w:t>Lu-PSMA-617</w:t>
      </w:r>
      <w:r w:rsidR="00EF55CD">
        <w:t>.</w:t>
      </w:r>
    </w:p>
    <w:p w14:paraId="343EDCAA" w14:textId="7D392278" w:rsidR="00DF76BA" w:rsidRDefault="006749AD" w:rsidP="00CD68BB">
      <w:pPr>
        <w:jc w:val="center"/>
      </w:pPr>
      <w:r>
        <w:rPr>
          <w:noProof/>
        </w:rPr>
        <w:lastRenderedPageBreak/>
        <w:drawing>
          <wp:inline distT="0" distB="0" distL="0" distR="0" wp14:anchorId="57DC8B5A" wp14:editId="32344264">
            <wp:extent cx="5253136" cy="4200525"/>
            <wp:effectExtent l="0" t="0" r="5080" b="0"/>
            <wp:docPr id="614483812" name="Picture 2" descr="A flow dagram showing steps required to receive 177Lu-PSMA-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83812" name="Picture 2" descr="A flow dagram showing steps required to receive 177Lu-PSMA-6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8621" cy="4204911"/>
                    </a:xfrm>
                    <a:prstGeom prst="rect">
                      <a:avLst/>
                    </a:prstGeom>
                    <a:noFill/>
                  </pic:spPr>
                </pic:pic>
              </a:graphicData>
            </a:graphic>
          </wp:inline>
        </w:drawing>
      </w:r>
    </w:p>
    <w:p w14:paraId="3DDD38BB" w14:textId="68CB5672" w:rsidR="008248B2" w:rsidRPr="00402EE8" w:rsidRDefault="008248B2" w:rsidP="00402EE8">
      <w:pPr>
        <w:pStyle w:val="Captions"/>
      </w:pPr>
      <w:r w:rsidRPr="00402EE8">
        <w:t>Figure</w:t>
      </w:r>
      <w:r w:rsidR="00A6408E" w:rsidRPr="00402EE8">
        <w:t xml:space="preserve"> </w:t>
      </w:r>
      <w:r w:rsidR="00402EE8">
        <w:t>2</w:t>
      </w:r>
      <w:r w:rsidRPr="00402EE8">
        <w:tab/>
      </w:r>
      <w:r w:rsidR="005326E6" w:rsidRPr="00402EE8">
        <w:t>Flow diagram</w:t>
      </w:r>
      <w:r w:rsidR="007E7197" w:rsidRPr="00402EE8">
        <w:t xml:space="preserve"> of </w:t>
      </w:r>
      <w:r w:rsidR="00A6724C" w:rsidRPr="00402EE8">
        <w:t xml:space="preserve">the </w:t>
      </w:r>
      <w:r w:rsidR="007E7197" w:rsidRPr="00402EE8">
        <w:t xml:space="preserve">steps required to receive </w:t>
      </w:r>
      <w:r w:rsidR="007E7197" w:rsidRPr="00402EE8">
        <w:rPr>
          <w:vertAlign w:val="superscript"/>
        </w:rPr>
        <w:t>177</w:t>
      </w:r>
      <w:r w:rsidR="007E7197" w:rsidRPr="00402EE8">
        <w:t>Lu-PSMA-617</w:t>
      </w:r>
    </w:p>
    <w:p w14:paraId="37378423" w14:textId="63792B64" w:rsidR="00DF76BA" w:rsidRDefault="00A6724C" w:rsidP="00A6724C">
      <w:pPr>
        <w:pStyle w:val="NovartisFootnotes"/>
      </w:pPr>
      <w:r>
        <w:t xml:space="preserve">Abbreviations: </w:t>
      </w:r>
      <w:r w:rsidR="00994F5F">
        <w:t>mCRPC</w:t>
      </w:r>
      <w:r w:rsidR="00CD57BB">
        <w:t xml:space="preserve">, metastatic castration-resistant prostate cancer; </w:t>
      </w:r>
      <w:r>
        <w:t xml:space="preserve">PET, </w:t>
      </w:r>
      <w:r w:rsidRPr="00A6724C">
        <w:t>positron emission tomography</w:t>
      </w:r>
      <w:r>
        <w:t>; PSMA, prostate-specific membrane antigen</w:t>
      </w:r>
      <w:r w:rsidR="0000707D">
        <w:t>; SoC, standard of care; Tx, treatment</w:t>
      </w:r>
    </w:p>
    <w:p w14:paraId="090E5089" w14:textId="77777777" w:rsidR="00A6724C" w:rsidRDefault="00A6724C" w:rsidP="009B3B05"/>
    <w:p w14:paraId="150A218C" w14:textId="67E79295" w:rsidR="00EF55CD" w:rsidRPr="00350B3F" w:rsidRDefault="00DF76BA" w:rsidP="00350B3F">
      <w:pPr>
        <w:pStyle w:val="ListParagraph"/>
        <w:numPr>
          <w:ilvl w:val="0"/>
          <w:numId w:val="19"/>
        </w:numPr>
        <w:rPr>
          <w:u w:val="single"/>
        </w:rPr>
      </w:pPr>
      <w:r w:rsidRPr="00350B3F">
        <w:rPr>
          <w:u w:val="single"/>
        </w:rPr>
        <w:t>Referral</w:t>
      </w:r>
    </w:p>
    <w:p w14:paraId="40B5C2CA" w14:textId="2495103C" w:rsidR="00EF55CD" w:rsidRDefault="00EF55CD" w:rsidP="00EF55CD">
      <w:r w:rsidRPr="004261F8">
        <w:t>Patients living with mCRPC are managed by a lead physician</w:t>
      </w:r>
      <w:r w:rsidR="00CD3A83">
        <w:t xml:space="preserve"> (e.g., </w:t>
      </w:r>
      <w:r w:rsidRPr="004261F8">
        <w:t>urologist</w:t>
      </w:r>
      <w:r w:rsidR="00CD3A83">
        <w:t xml:space="preserve">, </w:t>
      </w:r>
      <w:r w:rsidRPr="004261F8">
        <w:t>medical oncologist</w:t>
      </w:r>
      <w:r w:rsidR="00CD3A83">
        <w:t>)</w:t>
      </w:r>
      <w:r w:rsidRPr="004261F8">
        <w:t xml:space="preserve"> and where possible a comprehensive MDT. The lead physician </w:t>
      </w:r>
      <w:r w:rsidR="00CD3A83">
        <w:t xml:space="preserve">will </w:t>
      </w:r>
      <w:r w:rsidRPr="004261F8">
        <w:t xml:space="preserve">confirm disease progression and identify if the patient may benefit from, and could be considered appropriate for, treatment with </w:t>
      </w:r>
      <w:r w:rsidRPr="008248B2">
        <w:rPr>
          <w:vertAlign w:val="superscript"/>
        </w:rPr>
        <w:t>177</w:t>
      </w:r>
      <w:r w:rsidRPr="004261F8">
        <w:t>Lu-PSMA-617. The physician will refer the patient for a PSMA PET scan a</w:t>
      </w:r>
      <w:r>
        <w:t>t</w:t>
      </w:r>
      <w:r w:rsidRPr="004261F8">
        <w:t xml:space="preserve"> an accredited </w:t>
      </w:r>
      <w:r>
        <w:t>facility</w:t>
      </w:r>
      <w:r w:rsidRPr="009B3B05">
        <w:t>.</w:t>
      </w:r>
      <w:r>
        <w:t xml:space="preserve"> The request is verified and, if valid, an appointment will be made, and the patient will be provided with the relevant preparation details in line with the Product Information.</w:t>
      </w:r>
    </w:p>
    <w:p w14:paraId="133F34B8" w14:textId="4CFC251A" w:rsidR="00DF76BA" w:rsidRPr="00350B3F" w:rsidRDefault="00DF76BA" w:rsidP="00350B3F">
      <w:pPr>
        <w:pStyle w:val="ListParagraph"/>
        <w:numPr>
          <w:ilvl w:val="0"/>
          <w:numId w:val="19"/>
        </w:numPr>
        <w:rPr>
          <w:u w:val="single"/>
        </w:rPr>
      </w:pPr>
      <w:r w:rsidRPr="00350B3F">
        <w:rPr>
          <w:u w:val="single"/>
        </w:rPr>
        <w:t>Screening</w:t>
      </w:r>
    </w:p>
    <w:p w14:paraId="62E3613E" w14:textId="77777777" w:rsidR="00350B3F" w:rsidRDefault="00350B3F" w:rsidP="00686093">
      <w:r>
        <w:t xml:space="preserve">The patient will undergo a whole-body PSMA PET scan </w:t>
      </w:r>
      <w:r w:rsidRPr="004261F8">
        <w:t>performed by a trained nuclear medicine specialist at a certified facility.</w:t>
      </w:r>
    </w:p>
    <w:p w14:paraId="2588D645" w14:textId="721B3460" w:rsidR="00686093" w:rsidRPr="000F1DBD" w:rsidRDefault="00686093" w:rsidP="00686093">
      <w:r>
        <w:t>PSMA PET is a non-invasive imaging procedure that involves the administration of one of several radiopharmaceutical tracers that share the characteristics of highly specific binding to PSMA (MSAC 1632 PSD July 2021</w:t>
      </w:r>
      <w:r w:rsidR="002437DF">
        <w:t xml:space="preserve"> Meeting</w:t>
      </w:r>
      <w:r>
        <w:t>, p7). PET imaging measures the biodistribution of an intravenously injected biological tracer labelled with a positron-emitting radionuclide (Scott</w:t>
      </w:r>
      <w:r w:rsidR="00FB34CA">
        <w:t>,</w:t>
      </w:r>
      <w:r>
        <w:t xml:space="preserve"> 2001). </w:t>
      </w:r>
      <w:r w:rsidRPr="005377A8">
        <w:rPr>
          <w:color w:val="000000"/>
        </w:rPr>
        <w:t>This technique can detect and quantify biological processes within the body.</w:t>
      </w:r>
    </w:p>
    <w:p w14:paraId="0D90DA14" w14:textId="77777777" w:rsidR="00686093" w:rsidRDefault="00686093" w:rsidP="00686093">
      <w:r>
        <w:t>PET imaging is commonly combined with CT, with scans collected using a single, hybrid PET/CT scanner (MSAC 1632 PICO Confirmation, p14). There are several hybrid PET/CT devices listed on the Australian Register of Therapeutic Goods (ARTG) (ARTG numbers: 343270, 324191, 296394, 292543, 271560, 144218 and 118077).</w:t>
      </w:r>
    </w:p>
    <w:p w14:paraId="090AEFE9" w14:textId="74DCCFAB" w:rsidR="00686093" w:rsidRDefault="00686093" w:rsidP="00686093">
      <w:r>
        <w:t>In Australian clinical practice, gallium-68-PSMA-11 (</w:t>
      </w:r>
      <w:r w:rsidRPr="008145D8">
        <w:rPr>
          <w:vertAlign w:val="superscript"/>
        </w:rPr>
        <w:t>68</w:t>
      </w:r>
      <w:r>
        <w:t xml:space="preserve">Ga-PSMA-11) is the most widely used radiopharmaceutical tracer. </w:t>
      </w:r>
      <w:r w:rsidRPr="008145D8">
        <w:rPr>
          <w:vertAlign w:val="superscript"/>
        </w:rPr>
        <w:t>68</w:t>
      </w:r>
      <w:r>
        <w:t xml:space="preserve">Ga-PSMA-11 is TGA approved for patient selection for PSMA-targeted </w:t>
      </w:r>
      <w:r>
        <w:lastRenderedPageBreak/>
        <w:t>therapy. Such radiopharmaceuticals are produced extemporaneously in a facility holding a</w:t>
      </w:r>
      <w:r w:rsidR="005C2004">
        <w:t xml:space="preserve"> </w:t>
      </w:r>
      <w:r w:rsidR="005C2004">
        <w:rPr>
          <w:color w:val="000000"/>
        </w:rPr>
        <w:t>Good Manufacturing Practice</w:t>
      </w:r>
      <w:r>
        <w:t xml:space="preserve"> license.</w:t>
      </w:r>
    </w:p>
    <w:p w14:paraId="03A26B6E" w14:textId="77777777" w:rsidR="00686093" w:rsidRPr="00350B3F" w:rsidRDefault="00686093" w:rsidP="00686093">
      <w:pPr>
        <w:rPr>
          <w:i/>
          <w:iCs/>
        </w:rPr>
      </w:pPr>
      <w:r w:rsidRPr="00350B3F">
        <w:rPr>
          <w:i/>
          <w:iCs/>
        </w:rPr>
        <w:t>Proposed diagnostic test</w:t>
      </w:r>
    </w:p>
    <w:p w14:paraId="621CD186" w14:textId="291238E9" w:rsidR="00686093" w:rsidRDefault="00686093" w:rsidP="00686093">
      <w:r>
        <w:t>In 2024, MSAC evaluated and recommended PSMA PET to determine a patient’s eligibility for PSMA-targeted therapy (MSAC 1686.1 PSD April 2024</w:t>
      </w:r>
      <w:r w:rsidR="006C5039">
        <w:t xml:space="preserve"> Meeting</w:t>
      </w:r>
      <w:r>
        <w:t xml:space="preserve">). The MBS item 61528 was listed </w:t>
      </w:r>
      <w:r w:rsidR="00443E2C">
        <w:t xml:space="preserve">on </w:t>
      </w:r>
      <w:r>
        <w:t xml:space="preserve">1 July 2025 to assess suitability for </w:t>
      </w:r>
      <w:r w:rsidRPr="008248B2">
        <w:rPr>
          <w:vertAlign w:val="superscript"/>
        </w:rPr>
        <w:t>177</w:t>
      </w:r>
      <w:r>
        <w:t xml:space="preserve">Lu-PSMA therapy in a patient with mCRPC after progressive disease has developed while undergoing prior treatment with at least one taxane chemotherapy and at least one </w:t>
      </w:r>
      <w:r w:rsidR="00147E5E">
        <w:t>ARPI</w:t>
      </w:r>
      <w:r>
        <w:t>.</w:t>
      </w:r>
    </w:p>
    <w:p w14:paraId="07E874E7" w14:textId="19753EDE" w:rsidR="00864121" w:rsidRDefault="00686093" w:rsidP="00686093">
      <w:r w:rsidRPr="00E4687C">
        <w:t xml:space="preserve">The </w:t>
      </w:r>
      <w:r w:rsidR="00D03ACF" w:rsidRPr="00E4687C">
        <w:t>current MBS item number</w:t>
      </w:r>
      <w:r w:rsidR="00A8020D" w:rsidRPr="00E4687C">
        <w:t xml:space="preserve"> excludes</w:t>
      </w:r>
      <w:r w:rsidR="00D03ACF" w:rsidRPr="00E4687C">
        <w:t xml:space="preserve"> </w:t>
      </w:r>
      <w:r w:rsidRPr="00E4687C">
        <w:t>the population under consideration in this application</w:t>
      </w:r>
      <w:r w:rsidR="00A8020D" w:rsidRPr="00E4687C">
        <w:t xml:space="preserve"> </w:t>
      </w:r>
      <w:r w:rsidR="00200F6F" w:rsidRPr="00E4687C">
        <w:t>which means that these patients are unable to access</w:t>
      </w:r>
      <w:r w:rsidRPr="00E4687C">
        <w:t xml:space="preserve"> the </w:t>
      </w:r>
      <w:r w:rsidR="00200F6F" w:rsidRPr="00E4687C">
        <w:t xml:space="preserve">same </w:t>
      </w:r>
      <w:r w:rsidRPr="00E4687C">
        <w:t>test that was supported by MSAC. This test is necessary to determine eligibility for treatment.</w:t>
      </w:r>
      <w:r w:rsidR="00864121" w:rsidRPr="00E4687C">
        <w:t xml:space="preserve"> The proposed patient population are required to undergo a PSMA PET scan to determine eligibility for treatment. As such this application requests an amendment to the MBS item 61528 to include the proposed patient population.</w:t>
      </w:r>
    </w:p>
    <w:p w14:paraId="3E689F39" w14:textId="5F34743D" w:rsidR="00350B3F" w:rsidRPr="00350B3F" w:rsidRDefault="00350B3F" w:rsidP="00350B3F">
      <w:pPr>
        <w:pStyle w:val="ListParagraph"/>
        <w:numPr>
          <w:ilvl w:val="0"/>
          <w:numId w:val="19"/>
        </w:numPr>
        <w:rPr>
          <w:u w:val="single"/>
        </w:rPr>
      </w:pPr>
      <w:r w:rsidRPr="00350B3F">
        <w:rPr>
          <w:u w:val="single"/>
        </w:rPr>
        <w:t>Eligibility</w:t>
      </w:r>
    </w:p>
    <w:p w14:paraId="174233AF" w14:textId="12FCDD2F" w:rsidR="00350B3F" w:rsidRDefault="00350B3F" w:rsidP="00686093">
      <w:r w:rsidRPr="004261F8">
        <w:t xml:space="preserve">Screening with </w:t>
      </w:r>
      <w:r>
        <w:t xml:space="preserve">whole body </w:t>
      </w:r>
      <w:r w:rsidRPr="004261F8">
        <w:t xml:space="preserve">PSMA PET assesses whether the patient has sufficient PSMA expression at sites of measurable disease to indicate eligibility for treatment. </w:t>
      </w:r>
      <w:r>
        <w:t>A</w:t>
      </w:r>
      <w:r w:rsidRPr="004261F8">
        <w:t xml:space="preserve"> nuclear medicine specialist will evaluate the </w:t>
      </w:r>
      <w:r>
        <w:t xml:space="preserve">results to determine </w:t>
      </w:r>
      <w:r w:rsidRPr="004261F8">
        <w:t>the patient’s PSMA</w:t>
      </w:r>
      <w:r>
        <w:t xml:space="preserve"> expression levels </w:t>
      </w:r>
      <w:r w:rsidRPr="004261F8">
        <w:t xml:space="preserve">and their suitability for treatment with </w:t>
      </w:r>
      <w:r w:rsidRPr="008248B2">
        <w:rPr>
          <w:vertAlign w:val="superscript"/>
        </w:rPr>
        <w:t>177</w:t>
      </w:r>
      <w:r w:rsidRPr="004261F8">
        <w:t>Lu-PS</w:t>
      </w:r>
      <w:r w:rsidR="00D7035A">
        <w:t>M</w:t>
      </w:r>
      <w:r w:rsidRPr="004261F8">
        <w:t>A-617.</w:t>
      </w:r>
    </w:p>
    <w:p w14:paraId="38FA2FAF" w14:textId="473D3C3E" w:rsidR="00350B3F" w:rsidRPr="00350B3F" w:rsidRDefault="00350B3F" w:rsidP="00350B3F">
      <w:pPr>
        <w:rPr>
          <w:i/>
          <w:iCs/>
        </w:rPr>
      </w:pPr>
      <w:r>
        <w:rPr>
          <w:i/>
          <w:iCs/>
        </w:rPr>
        <w:t>PSMA-positive</w:t>
      </w:r>
    </w:p>
    <w:p w14:paraId="7AB5CB47" w14:textId="0E6921A0" w:rsidR="00350B3F" w:rsidRDefault="00350B3F" w:rsidP="00350B3F">
      <w:r>
        <w:t xml:space="preserve">PMSA is often highly expressed in patients with mCRPC and studies suggest that higher </w:t>
      </w:r>
      <w:r w:rsidR="008248B2">
        <w:t>maximum or mean standard uptake volume (</w:t>
      </w:r>
      <w:r>
        <w:t>SUV</w:t>
      </w:r>
      <w:r w:rsidR="008248B2">
        <w:t>)</w:t>
      </w:r>
      <w:r>
        <w:t xml:space="preserve"> rates may be predictive of a greater likelihood of favourable treatment response</w:t>
      </w:r>
      <w:r w:rsidR="00034473">
        <w:t xml:space="preserve"> (</w:t>
      </w:r>
      <w:r w:rsidR="00841C76">
        <w:t>Beltran, et al., 2025)</w:t>
      </w:r>
      <w:r>
        <w:t>.</w:t>
      </w:r>
      <w:r w:rsidRPr="00350B3F">
        <w:t xml:space="preserve"> </w:t>
      </w:r>
      <w:bookmarkStart w:id="5" w:name="_Hlk215737493"/>
      <w:r>
        <w:t>MBS item 16050 define</w:t>
      </w:r>
      <w:r w:rsidR="00655904">
        <w:t>s</w:t>
      </w:r>
      <w:r>
        <w:t xml:space="preserve"> PSMA-positive as </w:t>
      </w:r>
      <w:proofErr w:type="spellStart"/>
      <w:r>
        <w:t>SUV</w:t>
      </w:r>
      <w:r w:rsidRPr="008B7316">
        <w:rPr>
          <w:vertAlign w:val="subscript"/>
        </w:rPr>
        <w:t>max</w:t>
      </w:r>
      <w:proofErr w:type="spellEnd"/>
      <w:r>
        <w:t xml:space="preserve"> &gt;</w:t>
      </w:r>
      <w:r w:rsidR="00AF4F98">
        <w:t xml:space="preserve"> </w:t>
      </w:r>
      <w:r>
        <w:t xml:space="preserve">15 at a single site of disease and </w:t>
      </w:r>
      <w:proofErr w:type="spellStart"/>
      <w:r>
        <w:t>SUV</w:t>
      </w:r>
      <w:r w:rsidRPr="008B7316">
        <w:rPr>
          <w:vertAlign w:val="subscript"/>
        </w:rPr>
        <w:t>max</w:t>
      </w:r>
      <w:proofErr w:type="spellEnd"/>
      <w:r>
        <w:t xml:space="preserve"> &gt;</w:t>
      </w:r>
      <w:r w:rsidR="00AF4F98">
        <w:t xml:space="preserve"> </w:t>
      </w:r>
      <w:r>
        <w:t>10 at all sites of measurable disease</w:t>
      </w:r>
      <w:bookmarkEnd w:id="5"/>
      <w:r>
        <w:t>. This application requests the same definition to determine eligibility for treatment.</w:t>
      </w:r>
    </w:p>
    <w:p w14:paraId="534CD6BC" w14:textId="288BF69E" w:rsidR="00DF76BA" w:rsidRPr="00350B3F" w:rsidRDefault="00DF76BA" w:rsidP="00350B3F">
      <w:pPr>
        <w:pStyle w:val="ListParagraph"/>
        <w:numPr>
          <w:ilvl w:val="0"/>
          <w:numId w:val="19"/>
        </w:numPr>
        <w:rPr>
          <w:u w:val="single"/>
        </w:rPr>
      </w:pPr>
      <w:r w:rsidRPr="00350B3F">
        <w:rPr>
          <w:u w:val="single"/>
        </w:rPr>
        <w:t xml:space="preserve">Treatment </w:t>
      </w:r>
    </w:p>
    <w:p w14:paraId="2B76D22A" w14:textId="77956A0A" w:rsidR="00DF76BA" w:rsidRDefault="00DF76BA" w:rsidP="00DF76BA">
      <w:r>
        <w:t xml:space="preserve">The decision to treat will be made by the lead physician and/or the nuclear medicine </w:t>
      </w:r>
      <w:r w:rsidR="00035DA7">
        <w:t xml:space="preserve">specialist </w:t>
      </w:r>
      <w:r>
        <w:t>in collaboration with the patient. Several factors will be taken into consideration including PET imaging characteristics, stage in the patient journey, and haematologic and biochemical results.</w:t>
      </w:r>
      <w:r w:rsidR="00152529">
        <w:t xml:space="preserve"> Despite being</w:t>
      </w:r>
      <w:r w:rsidR="0010678F">
        <w:t xml:space="preserve"> deemed </w:t>
      </w:r>
      <w:r w:rsidR="00152529">
        <w:t xml:space="preserve">eligible for treatment these factors may lead to a decision not to treat. </w:t>
      </w:r>
      <w:r>
        <w:t xml:space="preserve"> Treatment will be scheduled</w:t>
      </w:r>
      <w:r w:rsidR="004B1507">
        <w:t xml:space="preserve"> for </w:t>
      </w:r>
      <w:r w:rsidR="00E961A6">
        <w:t>patients deemed eligible and appropriate for treatment. P</w:t>
      </w:r>
      <w:r>
        <w:t xml:space="preserve">atients will be monitored regularly by their treating physician to ensure they are medically and physically fit for treatment. </w:t>
      </w:r>
    </w:p>
    <w:p w14:paraId="08695CF8" w14:textId="743CE810" w:rsidR="00DF76BA" w:rsidRDefault="00DF76BA" w:rsidP="00DF76BA">
      <w:r>
        <w:t>In preparation for the procedure, patients are encouraged to increase oral fluids and void as often as possible to reduce bladder radiation. Laboratory tests are recommended before and during treatment as per the Product Information</w:t>
      </w:r>
      <w:r w:rsidR="0042056E">
        <w:t xml:space="preserve"> (PLUVICTO</w:t>
      </w:r>
      <w:r w:rsidR="006749AD">
        <w:t>®</w:t>
      </w:r>
      <w:r w:rsidR="0042056E">
        <w:t xml:space="preserve"> PI</w:t>
      </w:r>
      <w:r w:rsidR="00FC4E42" w:rsidRPr="002C4232">
        <w:t xml:space="preserve">, </w:t>
      </w:r>
      <w:r w:rsidR="002B11EA">
        <w:t>Attachment B</w:t>
      </w:r>
      <w:r w:rsidR="0042056E" w:rsidRPr="002C4232">
        <w:t>)</w:t>
      </w:r>
      <w:r w:rsidRPr="002C4232">
        <w:t>.</w:t>
      </w:r>
    </w:p>
    <w:p w14:paraId="4D20430D" w14:textId="46FD0844" w:rsidR="00DF76BA" w:rsidRDefault="00DF76BA" w:rsidP="00DF76BA">
      <w:r>
        <w:t>The procedure is performed within an accredited nuclear medicine facility by an accredited nuclear</w:t>
      </w:r>
      <w:r w:rsidR="00655904">
        <w:t xml:space="preserve"> medicine</w:t>
      </w:r>
      <w:r>
        <w:t xml:space="preserve"> </w:t>
      </w:r>
      <w:r w:rsidR="00655904">
        <w:t>specialist</w:t>
      </w:r>
      <w:r>
        <w:t xml:space="preserve">. Patients are treated in an outpatient setting. A cannula is placed in a vein, and </w:t>
      </w:r>
      <w:r w:rsidRPr="008248B2">
        <w:rPr>
          <w:vertAlign w:val="superscript"/>
        </w:rPr>
        <w:t>177</w:t>
      </w:r>
      <w:r>
        <w:t>Lu-PSMA-617 is administered as a slow intravenous injection. An oral dose of 8</w:t>
      </w:r>
      <w:r w:rsidR="00AF4F98">
        <w:t xml:space="preserve"> </w:t>
      </w:r>
      <w:r>
        <w:t xml:space="preserve">mg dexamethasone is also administered at the time of injection to minimise the chance of nausea or transient increase in pain. </w:t>
      </w:r>
    </w:p>
    <w:p w14:paraId="008D9832" w14:textId="598879C3" w:rsidR="00EF55CD" w:rsidRDefault="00DF76BA" w:rsidP="009B3B05">
      <w:r>
        <w:t>The patient will stay isolated in the nuclear medicine facility, encouraged to drink water, until radiation levels reduce to the safe government limit for discharge (25uSv /hour at one metre). The patient is given full radiation safety education on limiting radiation dose to the public, family and caregivers.</w:t>
      </w:r>
    </w:p>
    <w:p w14:paraId="485538DC" w14:textId="54F54F3E" w:rsidR="00350B3F" w:rsidRPr="00BF334D" w:rsidRDefault="00350B3F" w:rsidP="00350B3F">
      <w:pPr>
        <w:pStyle w:val="ListParagraph"/>
        <w:numPr>
          <w:ilvl w:val="0"/>
          <w:numId w:val="19"/>
        </w:numPr>
        <w:rPr>
          <w:u w:val="single"/>
        </w:rPr>
      </w:pPr>
      <w:r w:rsidRPr="00BF334D">
        <w:rPr>
          <w:u w:val="single"/>
        </w:rPr>
        <w:t>Follow-up and monitoring</w:t>
      </w:r>
    </w:p>
    <w:p w14:paraId="1157F96C" w14:textId="182172F7" w:rsidR="005B3027" w:rsidRDefault="008A7A4D" w:rsidP="00350B3F">
      <w:r>
        <w:t xml:space="preserve">Following </w:t>
      </w:r>
      <w:r w:rsidR="005D383E">
        <w:t>treatment,</w:t>
      </w:r>
      <w:r>
        <w:t xml:space="preserve"> t</w:t>
      </w:r>
      <w:r w:rsidR="00350B3F">
        <w:t xml:space="preserve">he patient will be routinely monitored for response to treatment, side effects and disease progression to determine </w:t>
      </w:r>
      <w:r w:rsidR="00456B28">
        <w:t>suitability</w:t>
      </w:r>
      <w:r w:rsidR="00350B3F">
        <w:t xml:space="preserve"> for subsequent doses</w:t>
      </w:r>
      <w:r w:rsidR="00F869C8">
        <w:t>.</w:t>
      </w:r>
      <w:r w:rsidR="00350B3F">
        <w:t xml:space="preserve"> </w:t>
      </w:r>
      <w:r w:rsidR="002F55C5">
        <w:t>As per the P</w:t>
      </w:r>
      <w:r w:rsidR="00BF334D">
        <w:t>roduct Information</w:t>
      </w:r>
      <w:r w:rsidR="002F55C5">
        <w:t>,</w:t>
      </w:r>
      <w:r w:rsidR="00350B3F">
        <w:t xml:space="preserve"> </w:t>
      </w:r>
      <w:r w:rsidR="00350B3F" w:rsidRPr="008248B2">
        <w:rPr>
          <w:vertAlign w:val="superscript"/>
        </w:rPr>
        <w:t>177</w:t>
      </w:r>
      <w:r w:rsidR="00350B3F">
        <w:t xml:space="preserve">Lu-PSMA-617 </w:t>
      </w:r>
      <w:r w:rsidR="008514DA">
        <w:t xml:space="preserve">can be </w:t>
      </w:r>
      <w:r w:rsidR="00A6724C">
        <w:t xml:space="preserve">delivered every 6 weeks </w:t>
      </w:r>
      <w:r w:rsidR="00350B3F">
        <w:t>up to a maximum of 6 doses</w:t>
      </w:r>
      <w:r w:rsidR="00063609">
        <w:t xml:space="preserve"> or until </w:t>
      </w:r>
      <w:r w:rsidR="00063609">
        <w:lastRenderedPageBreak/>
        <w:t>toxicity or disease progression</w:t>
      </w:r>
      <w:r w:rsidR="00A844BD">
        <w:t xml:space="preserve"> </w:t>
      </w:r>
      <w:r w:rsidR="00565490">
        <w:t>based on clinician assessment</w:t>
      </w:r>
      <w:r w:rsidR="00336967">
        <w:t xml:space="preserve"> (PLUVICTO</w:t>
      </w:r>
      <w:r w:rsidR="004F219C" w:rsidRPr="004F219C">
        <w:rPr>
          <w:vertAlign w:val="superscript"/>
        </w:rPr>
        <w:t>®</w:t>
      </w:r>
      <w:r w:rsidR="00336967">
        <w:t xml:space="preserve"> PI, </w:t>
      </w:r>
      <w:r w:rsidR="00AB7C11" w:rsidRPr="002C4232">
        <w:t>Attachment</w:t>
      </w:r>
      <w:r w:rsidR="00336967" w:rsidRPr="002C4232">
        <w:t xml:space="preserve"> </w:t>
      </w:r>
      <w:r w:rsidR="002B11EA">
        <w:t>B</w:t>
      </w:r>
      <w:r w:rsidR="00336967">
        <w:t>)</w:t>
      </w:r>
      <w:r w:rsidR="002F55C5">
        <w:t>.</w:t>
      </w:r>
      <w:r w:rsidR="00C840ED">
        <w:t xml:space="preserve"> </w:t>
      </w:r>
      <w:r w:rsidR="00A8429A">
        <w:t xml:space="preserve">To date, no large-scale clinical trials have </w:t>
      </w:r>
      <w:r w:rsidR="008C4381">
        <w:t>assessed more than 6 doses</w:t>
      </w:r>
      <w:r w:rsidR="00A8429A">
        <w:t xml:space="preserve">, and limited data is available to support more than 6 doses of </w:t>
      </w:r>
      <w:r w:rsidR="00A8429A" w:rsidRPr="006511B0">
        <w:rPr>
          <w:vertAlign w:val="superscript"/>
        </w:rPr>
        <w:t>177</w:t>
      </w:r>
      <w:r w:rsidR="00A8429A">
        <w:t>Lu-PSMA-617 (</w:t>
      </w:r>
      <w:r w:rsidR="004D5073">
        <w:t xml:space="preserve">Rosar et al., </w:t>
      </w:r>
      <w:r w:rsidR="001125AA">
        <w:t>2024)</w:t>
      </w:r>
      <w:r w:rsidR="00A8429A">
        <w:t>.</w:t>
      </w:r>
    </w:p>
    <w:p w14:paraId="7D9F6E9E" w14:textId="542C5D83" w:rsidR="00350B3F" w:rsidRDefault="002F55C5" w:rsidP="00350B3F">
      <w:r w:rsidRPr="00E4687C">
        <w:t xml:space="preserve">The decision to deliver </w:t>
      </w:r>
      <w:r w:rsidR="008F3731" w:rsidRPr="00E4687C">
        <w:t xml:space="preserve">each </w:t>
      </w:r>
      <w:r w:rsidRPr="00E4687C">
        <w:t>subsequent dose</w:t>
      </w:r>
      <w:r w:rsidR="00B05351" w:rsidRPr="00E4687C">
        <w:t xml:space="preserve">(s) of </w:t>
      </w:r>
      <w:r w:rsidR="00B05351" w:rsidRPr="00E4687C">
        <w:rPr>
          <w:vertAlign w:val="superscript"/>
        </w:rPr>
        <w:t>177</w:t>
      </w:r>
      <w:r w:rsidR="00B05351" w:rsidRPr="00E4687C">
        <w:t>Lu-PSMA-617</w:t>
      </w:r>
      <w:r w:rsidRPr="00E4687C">
        <w:t xml:space="preserve"> </w:t>
      </w:r>
      <w:r w:rsidR="00C840ED" w:rsidRPr="00E4687C">
        <w:t xml:space="preserve">will be made by the </w:t>
      </w:r>
      <w:r w:rsidR="001D556E" w:rsidRPr="00E4687C">
        <w:t>nuclear</w:t>
      </w:r>
      <w:r w:rsidR="004D669F" w:rsidRPr="00E4687C">
        <w:t xml:space="preserve"> medi</w:t>
      </w:r>
      <w:r w:rsidR="00A844BD" w:rsidRPr="00E4687C">
        <w:t>c</w:t>
      </w:r>
      <w:r w:rsidR="004D669F" w:rsidRPr="00E4687C">
        <w:t>ine</w:t>
      </w:r>
      <w:r w:rsidR="00A8429A" w:rsidRPr="00E4687C">
        <w:t xml:space="preserve"> </w:t>
      </w:r>
      <w:r w:rsidR="00152529" w:rsidRPr="00E4687C">
        <w:t>specialist</w:t>
      </w:r>
      <w:r w:rsidR="00350B3F" w:rsidRPr="00E4687C">
        <w:t>.</w:t>
      </w:r>
      <w:r w:rsidR="001134FC" w:rsidRPr="00E4687C">
        <w:t xml:space="preserve"> </w:t>
      </w:r>
      <w:r w:rsidR="00F64FE3" w:rsidRPr="00E4687C">
        <w:t xml:space="preserve">Management of severe or intolerable adverse reactions may require temporary dose interruption, dose reduction or permanent discontinuation. If a treatment delay due to adverse reaction persists for 4 or more weeks, treatment discontinuation may be considered. The dose may be reduced by 20% once but should not be re-escalated. If a patient has further adverse reactions that would require additional dose reduction, treatment with </w:t>
      </w:r>
      <w:r w:rsidR="00F64FE3" w:rsidRPr="00B37B12">
        <w:rPr>
          <w:vertAlign w:val="superscript"/>
        </w:rPr>
        <w:t>177</w:t>
      </w:r>
      <w:r w:rsidR="00F64FE3" w:rsidRPr="00E4687C">
        <w:t xml:space="preserve">Lu-PMSA-617 must be discontinued. </w:t>
      </w:r>
      <w:r w:rsidR="00B05351" w:rsidRPr="00E4687C">
        <w:t xml:space="preserve">Upon cessation of </w:t>
      </w:r>
      <w:r w:rsidR="00B05351" w:rsidRPr="00E4687C">
        <w:rPr>
          <w:vertAlign w:val="superscript"/>
        </w:rPr>
        <w:t>177</w:t>
      </w:r>
      <w:r w:rsidR="00B05351" w:rsidRPr="00E4687C">
        <w:t xml:space="preserve">Lu-PSMA-617, </w:t>
      </w:r>
      <w:r w:rsidR="00635D23" w:rsidRPr="00E4687C">
        <w:t xml:space="preserve">the </w:t>
      </w:r>
      <w:r w:rsidR="00565490" w:rsidRPr="00E4687C">
        <w:t xml:space="preserve">patient’s </w:t>
      </w:r>
      <w:r w:rsidR="001D556E" w:rsidRPr="00E4687C">
        <w:t xml:space="preserve">lead physician </w:t>
      </w:r>
      <w:r w:rsidR="00F3663F" w:rsidRPr="00E4687C">
        <w:t xml:space="preserve">will </w:t>
      </w:r>
      <w:r w:rsidR="00B26F62" w:rsidRPr="00E4687C">
        <w:t>determine the next appropriate course of treatment with the patient</w:t>
      </w:r>
      <w:r w:rsidR="00A64EEA" w:rsidRPr="00E4687C">
        <w:t>.</w:t>
      </w:r>
      <w:r w:rsidR="00F3663F">
        <w:t xml:space="preserve"> </w:t>
      </w:r>
      <w:r w:rsidR="001D556E">
        <w:t xml:space="preserve"> </w:t>
      </w:r>
    </w:p>
    <w:bookmarkEnd w:id="3"/>
    <w:p w14:paraId="496F861E" w14:textId="6A84304D" w:rsidR="00BE6B22" w:rsidRPr="008522C1" w:rsidRDefault="00665487" w:rsidP="00562061">
      <w:pPr>
        <w:pStyle w:val="Heading2"/>
      </w:pPr>
      <w:r w:rsidRPr="008522C1">
        <w:t>Identify how the proposed technology achieves the intended patient outcomes</w:t>
      </w:r>
      <w:r w:rsidR="00BE6B22" w:rsidRPr="008522C1">
        <w:t>:</w:t>
      </w:r>
    </w:p>
    <w:p w14:paraId="538CA86A" w14:textId="23B7D6A7" w:rsidR="000210AC" w:rsidRDefault="0001228B" w:rsidP="007D1635">
      <w:r w:rsidRPr="008248B2">
        <w:rPr>
          <w:vertAlign w:val="superscript"/>
        </w:rPr>
        <w:t>177</w:t>
      </w:r>
      <w:r>
        <w:t>Lu-PSMA-617</w:t>
      </w:r>
      <w:r w:rsidR="00673334">
        <w:t xml:space="preserve"> </w:t>
      </w:r>
      <w:r w:rsidR="00A37B00">
        <w:t>is</w:t>
      </w:r>
      <w:r w:rsidR="009E4AAF">
        <w:t xml:space="preserve"> a</w:t>
      </w:r>
      <w:r w:rsidR="00A37B00">
        <w:t xml:space="preserve"> minimally invasive</w:t>
      </w:r>
      <w:r w:rsidR="00A83E6C">
        <w:t xml:space="preserve"> treatment </w:t>
      </w:r>
      <w:r w:rsidR="00673334">
        <w:t>target</w:t>
      </w:r>
      <w:r w:rsidR="00A83E6C">
        <w:t>ing</w:t>
      </w:r>
      <w:r w:rsidR="00673334">
        <w:t xml:space="preserve"> PSMA-positive prostate cancer cells which can</w:t>
      </w:r>
      <w:r w:rsidR="00A37B00">
        <w:t xml:space="preserve"> lead to</w:t>
      </w:r>
      <w:r w:rsidR="00673334">
        <w:t xml:space="preserve"> improve</w:t>
      </w:r>
      <w:r w:rsidR="00A37B00">
        <w:t>d clinical outcomes</w:t>
      </w:r>
      <w:r w:rsidR="00673334">
        <w:t xml:space="preserve"> and better quality of life compared to current standard of care.</w:t>
      </w:r>
      <w:r w:rsidR="007D1635">
        <w:t xml:space="preserve"> </w:t>
      </w:r>
      <w:r w:rsidR="0013507B">
        <w:t>PSMA is often overexpressed on prostate cancer cells</w:t>
      </w:r>
      <w:r w:rsidR="007C39E0">
        <w:t xml:space="preserve"> </w:t>
      </w:r>
      <w:r w:rsidR="005D7480">
        <w:t xml:space="preserve">but has limited expression in </w:t>
      </w:r>
      <w:r w:rsidR="00D91E29">
        <w:t xml:space="preserve">most normal tissues. This selective expression allows </w:t>
      </w:r>
      <w:r w:rsidR="00D91E29" w:rsidRPr="00240CE4">
        <w:rPr>
          <w:vertAlign w:val="superscript"/>
        </w:rPr>
        <w:t>177</w:t>
      </w:r>
      <w:r w:rsidR="00D91E29">
        <w:t xml:space="preserve">Lu-PSMA-617 </w:t>
      </w:r>
      <w:r w:rsidR="003632D3">
        <w:t xml:space="preserve">to deliver β-particle radiation </w:t>
      </w:r>
      <w:r w:rsidR="008A3B95">
        <w:t>directly to prostate cancer cells and their tumour microenvironment</w:t>
      </w:r>
      <w:r w:rsidR="005574DA">
        <w:t xml:space="preserve">, </w:t>
      </w:r>
      <w:r w:rsidR="008A3B95">
        <w:t>thereby minimising off-target effects (</w:t>
      </w:r>
      <w:r w:rsidR="00BF5FEA">
        <w:t xml:space="preserve">Morris et al., </w:t>
      </w:r>
      <w:r w:rsidR="009E562B">
        <w:t>2024).</w:t>
      </w:r>
    </w:p>
    <w:p w14:paraId="0F9D3230" w14:textId="4E02B21F" w:rsidR="00BE6B22" w:rsidRPr="008522C1" w:rsidRDefault="00665487" w:rsidP="00562061">
      <w:pPr>
        <w:pStyle w:val="Heading2"/>
      </w:pPr>
      <w:r w:rsidRPr="008522C1">
        <w:t>Does the proposed health technology include a registered trademark component with characteristics that distinguishes it from other similar health components</w:t>
      </w:r>
      <w:r w:rsidR="00BE6B22" w:rsidRPr="008522C1">
        <w:t xml:space="preserve">? </w:t>
      </w:r>
    </w:p>
    <w:p w14:paraId="4BB17379" w14:textId="5FC24B8F" w:rsidR="00962337" w:rsidRPr="00AF4F98" w:rsidRDefault="00E80029" w:rsidP="00BC0C43">
      <w:r w:rsidRPr="00AF4F98">
        <w:t>Yes</w:t>
      </w:r>
      <w:r w:rsidR="0049528F">
        <w:t>.</w:t>
      </w:r>
    </w:p>
    <w:p w14:paraId="6FE677F6" w14:textId="53A28694" w:rsidR="00B759D1" w:rsidRPr="008522C1" w:rsidRDefault="00665487" w:rsidP="00562061">
      <w:pPr>
        <w:pStyle w:val="Heading2"/>
      </w:pPr>
      <w:bookmarkStart w:id="6" w:name="_Hlk219798472"/>
      <w:r w:rsidRPr="00E4687C">
        <w:t>Explain whether it is essential to have this trademark component or whether there would be other components that would be suitable</w:t>
      </w:r>
      <w:bookmarkEnd w:id="6"/>
      <w:r w:rsidR="00B759D1" w:rsidRPr="00E4687C">
        <w:t>:</w:t>
      </w:r>
    </w:p>
    <w:p w14:paraId="4768E10A" w14:textId="66308D8F" w:rsidR="00D01ADC" w:rsidRDefault="00C40647" w:rsidP="005A698C">
      <w:r>
        <w:t xml:space="preserve">Maintaining </w:t>
      </w:r>
      <w:r w:rsidR="000F2925" w:rsidRPr="000F2925">
        <w:t xml:space="preserve">the trademark component </w:t>
      </w:r>
      <w:r w:rsidR="0093600A">
        <w:t>is essential</w:t>
      </w:r>
      <w:r w:rsidR="000F2925" w:rsidRPr="000F2925">
        <w:t xml:space="preserve"> to ensure the safe delivery of treatment to patients. </w:t>
      </w:r>
      <w:r w:rsidR="000F2925" w:rsidRPr="000F2925">
        <w:rPr>
          <w:vertAlign w:val="superscript"/>
        </w:rPr>
        <w:t>177</w:t>
      </w:r>
      <w:r w:rsidR="000F2925" w:rsidRPr="000F2925">
        <w:t>Lu-PSMA-617 has undergone extensive testing, controlled clinical trials and rigorous regulatory evaluations and is the only RLT approved by the TGA and listed on the ARTG for the treatment of patients with mCRPC.</w:t>
      </w:r>
      <w:r w:rsidR="00D01ADC">
        <w:t xml:space="preserve"> </w:t>
      </w:r>
      <w:r w:rsidR="00991C99" w:rsidRPr="00C757B2">
        <w:rPr>
          <w:color w:val="000000"/>
        </w:rPr>
        <w:t>The trademark gives providers, patients and the community security that the treatment they are receiving is safe, effective and of a high quality.</w:t>
      </w:r>
    </w:p>
    <w:p w14:paraId="29E11D07" w14:textId="50295010" w:rsidR="00281766" w:rsidRDefault="00AB2810" w:rsidP="005A698C">
      <w:r w:rsidRPr="005A698C">
        <w:rPr>
          <w:color w:val="000000"/>
        </w:rPr>
        <w:t xml:space="preserve">In the past, compounded therapies made from various sources have enabled patients to access unapproved versions of similar technologies. </w:t>
      </w:r>
      <w:r w:rsidR="007519B9">
        <w:rPr>
          <w:color w:val="000000"/>
        </w:rPr>
        <w:t>A</w:t>
      </w:r>
      <w:r w:rsidR="00D01ADC">
        <w:t xml:space="preserve">lternative </w:t>
      </w:r>
      <w:r w:rsidR="007519B9" w:rsidRPr="00EC70B5">
        <w:rPr>
          <w:vertAlign w:val="superscript"/>
        </w:rPr>
        <w:t>177</w:t>
      </w:r>
      <w:r w:rsidR="007519B9">
        <w:t>Lu-PSMA components are</w:t>
      </w:r>
      <w:r w:rsidR="003637C9" w:rsidRPr="003637C9">
        <w:rPr>
          <w:color w:val="000000"/>
        </w:rPr>
        <w:t xml:space="preserve"> </w:t>
      </w:r>
      <w:r w:rsidR="003637C9" w:rsidRPr="005A698C">
        <w:rPr>
          <w:color w:val="000000"/>
        </w:rPr>
        <w:t xml:space="preserve">not produced following </w:t>
      </w:r>
      <w:r w:rsidR="003637C9">
        <w:rPr>
          <w:color w:val="000000"/>
        </w:rPr>
        <w:t>Good Manufacturing Practice</w:t>
      </w:r>
      <w:r w:rsidR="003637C9" w:rsidRPr="005A698C">
        <w:rPr>
          <w:color w:val="000000"/>
        </w:rPr>
        <w:t xml:space="preserve"> standards, which ensure</w:t>
      </w:r>
      <w:r w:rsidR="003637C9">
        <w:rPr>
          <w:color w:val="000000"/>
        </w:rPr>
        <w:t>s</w:t>
      </w:r>
      <w:r w:rsidR="003637C9" w:rsidRPr="005A698C">
        <w:rPr>
          <w:color w:val="000000"/>
        </w:rPr>
        <w:t xml:space="preserve"> product quality</w:t>
      </w:r>
      <w:r w:rsidR="003637C9">
        <w:rPr>
          <w:color w:val="000000"/>
        </w:rPr>
        <w:t xml:space="preserve">, </w:t>
      </w:r>
      <w:r w:rsidRPr="005A698C">
        <w:rPr>
          <w:color w:val="000000"/>
        </w:rPr>
        <w:t>have not been reviewed by the TGA for safety or effectiveness</w:t>
      </w:r>
      <w:r w:rsidR="007D7094">
        <w:rPr>
          <w:color w:val="000000"/>
        </w:rPr>
        <w:t>, and are not listed on the ARTG</w:t>
      </w:r>
      <w:r w:rsidRPr="005A698C">
        <w:rPr>
          <w:color w:val="000000"/>
        </w:rPr>
        <w:t>.</w:t>
      </w:r>
      <w:r w:rsidR="00C757B2" w:rsidRPr="00C757B2">
        <w:t xml:space="preserve"> </w:t>
      </w:r>
    </w:p>
    <w:p w14:paraId="5C4F61E8" w14:textId="724012B9" w:rsidR="00D73699" w:rsidRPr="00EB388E" w:rsidRDefault="00D73699" w:rsidP="005A698C">
      <w:r w:rsidRPr="00D73699">
        <w:t xml:space="preserve">Today, RLTs and other radiopharmaceuticals are rapidly evolving. Australia’s health technology assessment system is a recognised way of safeguarding patients and the community, wherein products must be approved by the TGA before potential reimbursement. </w:t>
      </w:r>
      <w:r w:rsidR="00E65D60">
        <w:t>Companies seeking to include therapeutic goods on the ARTG are required to provide certification of patent or declaration that the</w:t>
      </w:r>
      <w:r w:rsidR="00EB388E">
        <w:t>ir</w:t>
      </w:r>
      <w:r w:rsidR="00E65D60">
        <w:t xml:space="preserve"> application is not infringing on any patent</w:t>
      </w:r>
      <w:r w:rsidR="00EB388E">
        <w:t xml:space="preserve"> (existing or pending)</w:t>
      </w:r>
      <w:r w:rsidR="00E65D60">
        <w:t xml:space="preserve">. </w:t>
      </w:r>
      <w:r w:rsidRPr="00D73699">
        <w:t xml:space="preserve">Reimbursement for treatments that have not been assessed by the TGA contradicts this and places patients at risk. </w:t>
      </w:r>
      <w:r w:rsidR="00E65D60" w:rsidRPr="00EB388E">
        <w:rPr>
          <w:vertAlign w:val="superscript"/>
        </w:rPr>
        <w:t>177</w:t>
      </w:r>
      <w:r w:rsidR="00E65D60" w:rsidRPr="00E65D60">
        <w:t>Lu-PSMA-617 is a Novartis trademarked</w:t>
      </w:r>
      <w:r w:rsidR="00E65D60">
        <w:t xml:space="preserve"> and patent protected</w:t>
      </w:r>
      <w:r w:rsidR="00E65D60" w:rsidRPr="00E65D60">
        <w:t xml:space="preserve"> product</w:t>
      </w:r>
      <w:r w:rsidR="00E65D60">
        <w:t>,</w:t>
      </w:r>
      <w:r w:rsidR="00E65D60" w:rsidRPr="00E65D60">
        <w:t xml:space="preserve"> and as such all relevant clinical trial data is the property of Novartis.</w:t>
      </w:r>
      <w:r w:rsidR="00E65D60">
        <w:t xml:space="preserve"> </w:t>
      </w:r>
    </w:p>
    <w:p w14:paraId="46AD8179" w14:textId="07B7F795" w:rsidR="00665487" w:rsidRPr="008522C1" w:rsidRDefault="00EA7B42" w:rsidP="00562061">
      <w:pPr>
        <w:pStyle w:val="Heading2"/>
      </w:pPr>
      <w:r w:rsidRPr="008522C1">
        <w:t>Are there any proposed limitations on the provision of the proposed health technology delivered to the patient (For example: accessibility, dosage, quantity, duration or frequency):</w:t>
      </w:r>
      <w:r w:rsidR="00665487" w:rsidRPr="008522C1">
        <w:t xml:space="preserve"> </w:t>
      </w:r>
    </w:p>
    <w:p w14:paraId="1828D9E0" w14:textId="3D926D08" w:rsidR="00AA7D22" w:rsidRDefault="00B617EA" w:rsidP="00AE78B6">
      <w:r>
        <w:t>Yes</w:t>
      </w:r>
      <w:r w:rsidR="00444B0A">
        <w:t>.</w:t>
      </w:r>
    </w:p>
    <w:p w14:paraId="14BD7903" w14:textId="77777777" w:rsidR="00E4687C" w:rsidRDefault="00E4687C" w:rsidP="00AE78B6"/>
    <w:p w14:paraId="207973FE" w14:textId="0108C50B" w:rsidR="00665487" w:rsidRPr="008522C1" w:rsidRDefault="00EA7B42" w:rsidP="00562061">
      <w:pPr>
        <w:pStyle w:val="Heading2"/>
      </w:pPr>
      <w:r w:rsidRPr="008522C1">
        <w:lastRenderedPageBreak/>
        <w:t>Provide details and explain</w:t>
      </w:r>
      <w:r w:rsidR="00665487" w:rsidRPr="008522C1">
        <w:t>:</w:t>
      </w:r>
    </w:p>
    <w:p w14:paraId="425E1C7C" w14:textId="0E562475" w:rsidR="00645954" w:rsidRDefault="00506E1E" w:rsidP="00506E1E">
      <w:r>
        <w:t xml:space="preserve">The recommended dose of </w:t>
      </w:r>
      <w:r w:rsidRPr="008248B2">
        <w:rPr>
          <w:vertAlign w:val="superscript"/>
        </w:rPr>
        <w:t>177</w:t>
      </w:r>
      <w:r>
        <w:t>Lu-PSMA-617 is 7,400 MBq intravenously every six weeks (±</w:t>
      </w:r>
      <w:r w:rsidR="00FE1E89">
        <w:t xml:space="preserve"> </w:t>
      </w:r>
      <w:r>
        <w:t>1 week) for up to a total of 6 doses or until disease progression</w:t>
      </w:r>
      <w:r w:rsidR="00833E4C">
        <w:t xml:space="preserve"> (based on clinician assessment)</w:t>
      </w:r>
      <w:r>
        <w:t>, or unacceptable toxicity</w:t>
      </w:r>
      <w:r w:rsidR="007E7A88">
        <w:t xml:space="preserve"> </w:t>
      </w:r>
      <w:r>
        <w:t xml:space="preserve">(PLUVICTO </w:t>
      </w:r>
      <w:r w:rsidR="000D2318">
        <w:t>PI</w:t>
      </w:r>
      <w:r w:rsidR="004F219C" w:rsidRPr="004F219C">
        <w:rPr>
          <w:vertAlign w:val="superscript"/>
        </w:rPr>
        <w:t>®</w:t>
      </w:r>
      <w:r w:rsidR="000D2318">
        <w:t xml:space="preserve">, </w:t>
      </w:r>
      <w:r w:rsidR="00AB7C11" w:rsidRPr="004F219C">
        <w:t>Attachment</w:t>
      </w:r>
      <w:r w:rsidR="000D2318" w:rsidRPr="004F219C">
        <w:t xml:space="preserve"> </w:t>
      </w:r>
      <w:r w:rsidR="002B11EA">
        <w:t>B</w:t>
      </w:r>
      <w:r>
        <w:t xml:space="preserve">). </w:t>
      </w:r>
      <w:r w:rsidR="00645954">
        <w:t xml:space="preserve">To date, no large- scale clinical trials have explored higher doses, and limited data is available to support more than 6 doses of </w:t>
      </w:r>
      <w:r w:rsidR="00645954" w:rsidRPr="006511B0">
        <w:rPr>
          <w:vertAlign w:val="superscript"/>
        </w:rPr>
        <w:t>177</w:t>
      </w:r>
      <w:r w:rsidR="00645954">
        <w:t>Lu-PSMA-617 (Rosar et al., 2024).</w:t>
      </w:r>
    </w:p>
    <w:p w14:paraId="2B4CFD25" w14:textId="18C57890" w:rsidR="00506E1E" w:rsidRDefault="00506E1E" w:rsidP="00506E1E">
      <w:r>
        <w:t xml:space="preserve">One mL of solution contains 1,000 MBq of </w:t>
      </w:r>
      <w:r w:rsidRPr="00333A64">
        <w:rPr>
          <w:vertAlign w:val="superscript"/>
        </w:rPr>
        <w:t>177</w:t>
      </w:r>
      <w:r>
        <w:t xml:space="preserve">Lu-PSMA-617 at the date and time of calibration. The total amount of radioactivity per single-dose vial is 7,400 MBq ± 10% at the date and time of administration. Given the fixed volumetric activity of 1,000 MBq/mL at the date and time of calibration, the volume of the solution in the vial can range from 7.5 mL to 12.5 mL </w:t>
      </w:r>
      <w:proofErr w:type="gramStart"/>
      <w:r>
        <w:t>in order to</w:t>
      </w:r>
      <w:proofErr w:type="gramEnd"/>
      <w:r>
        <w:t xml:space="preserve"> provide the required amount of radioactivity at the date and time of administration.</w:t>
      </w:r>
    </w:p>
    <w:p w14:paraId="6528B707" w14:textId="4F7FF5B3" w:rsidR="00890718" w:rsidRDefault="00137D22" w:rsidP="00506E1E">
      <w:r w:rsidRPr="00137D22">
        <w:t xml:space="preserve">Management of severe or intolerable adverse reactions may require temporary dose interruption, dose reduction or permanent discontinuation of treatment with </w:t>
      </w:r>
      <w:r w:rsidRPr="00C30F5C">
        <w:rPr>
          <w:vertAlign w:val="superscript"/>
        </w:rPr>
        <w:t>177</w:t>
      </w:r>
      <w:r>
        <w:t>Lu-PSMA-617</w:t>
      </w:r>
      <w:r w:rsidRPr="00137D22">
        <w:t xml:space="preserve">. If a treatment delay due to an adverse reaction persists for </w:t>
      </w:r>
      <w:r w:rsidR="00C30F5C">
        <w:t xml:space="preserve">more than </w:t>
      </w:r>
      <w:r w:rsidRPr="00137D22">
        <w:t xml:space="preserve">4 weeks, treatment discontinuation may be considered. The dose may be reduced by 20% once (to a dose of 5,900 MBq); the dose should not be re-escalated. If a patient has further adverse reactions that would require an additional dose reduction, treatment with </w:t>
      </w:r>
      <w:r w:rsidR="00C26870" w:rsidRPr="00C30F5C">
        <w:rPr>
          <w:vertAlign w:val="superscript"/>
        </w:rPr>
        <w:t>177</w:t>
      </w:r>
      <w:r w:rsidR="00C26870">
        <w:t xml:space="preserve">Lu-PSMA-617 </w:t>
      </w:r>
      <w:r w:rsidRPr="00137D22">
        <w:t>must be discontinued.</w:t>
      </w:r>
    </w:p>
    <w:p w14:paraId="7A77EF07" w14:textId="4503E0A8" w:rsidR="00E66902" w:rsidRDefault="006227EF" w:rsidP="00E81423">
      <w:pPr>
        <w:pStyle w:val="Heading2"/>
      </w:pPr>
      <w:r w:rsidRPr="008522C1">
        <w:t>If applicable, advise which health professionals will be needed to provide the proposed health technology:</w:t>
      </w:r>
    </w:p>
    <w:p w14:paraId="105D42BB" w14:textId="7934AB22" w:rsidR="003C38A5" w:rsidRDefault="00506E1E" w:rsidP="00506E1E">
      <w:r w:rsidRPr="008248B2">
        <w:rPr>
          <w:vertAlign w:val="superscript"/>
        </w:rPr>
        <w:t>177</w:t>
      </w:r>
      <w:r>
        <w:t>Lu-PSMA-617 may only be received and administered by recognised nuclear medicine specialists (i.e., full membership with Australasian Association of Nuclear Medicine Specialists) in designated facilities. In Australia, nuclear medicine is an advanced speciality that requires specific training.</w:t>
      </w:r>
    </w:p>
    <w:p w14:paraId="5E4A720B" w14:textId="7CA2A87F" w:rsidR="00B309D9" w:rsidRPr="00B309D9" w:rsidRDefault="006227EF" w:rsidP="00B309D9">
      <w:pPr>
        <w:pStyle w:val="Heading2"/>
      </w:pPr>
      <w:r w:rsidRPr="008522C1">
        <w:t xml:space="preserve">If applicable, advise </w:t>
      </w:r>
      <w:r w:rsidR="00BE0612" w:rsidRPr="008522C1">
        <w:t>whether delivery of the proposed health technology can be delegated to another</w:t>
      </w:r>
      <w:r w:rsidRPr="008522C1">
        <w:t xml:space="preserve"> health professional:</w:t>
      </w:r>
    </w:p>
    <w:p w14:paraId="4887B019" w14:textId="51C868E1" w:rsidR="00687134" w:rsidRDefault="009F1773" w:rsidP="00506E1E">
      <w:r>
        <w:t xml:space="preserve">Administration and delivery of </w:t>
      </w:r>
      <w:r w:rsidRPr="008248B2">
        <w:rPr>
          <w:vertAlign w:val="superscript"/>
        </w:rPr>
        <w:t>177</w:t>
      </w:r>
      <w:r>
        <w:t xml:space="preserve">Lu-PSMA-617 </w:t>
      </w:r>
      <w:r w:rsidR="00B9534C">
        <w:t>can</w:t>
      </w:r>
      <w:r w:rsidR="00456591">
        <w:t xml:space="preserve">not </w:t>
      </w:r>
      <w:r w:rsidR="00B9534C">
        <w:t xml:space="preserve">be </w:t>
      </w:r>
      <w:r w:rsidR="00506E1E">
        <w:t xml:space="preserve">delegated to another health professional. </w:t>
      </w:r>
      <w:r w:rsidR="00506E1E" w:rsidRPr="008248B2">
        <w:rPr>
          <w:vertAlign w:val="superscript"/>
        </w:rPr>
        <w:t>177</w:t>
      </w:r>
      <w:r w:rsidR="00506E1E">
        <w:t xml:space="preserve">Lu-PSMA-617 is a </w:t>
      </w:r>
      <w:r w:rsidR="00CD1128">
        <w:t>RLT</w:t>
      </w:r>
      <w:r w:rsidR="00506E1E">
        <w:t xml:space="preserve"> and should only be used by or under the control of healthcare </w:t>
      </w:r>
      <w:r>
        <w:t>professionals</w:t>
      </w:r>
      <w:r w:rsidR="00506E1E">
        <w:t xml:space="preserve"> who are </w:t>
      </w:r>
      <w:r>
        <w:t xml:space="preserve">specifically </w:t>
      </w:r>
      <w:r w:rsidR="00506E1E">
        <w:t>qualified and experience</w:t>
      </w:r>
      <w:r>
        <w:t>d</w:t>
      </w:r>
      <w:r w:rsidR="00506E1E">
        <w:t xml:space="preserve"> in the safe use and handling of radiopharmaceuticals, and whose experience and training have been approved by the appropriate governmental agency</w:t>
      </w:r>
      <w:r w:rsidR="006D0100" w:rsidRPr="006D0100">
        <w:t xml:space="preserve"> </w:t>
      </w:r>
      <w:r w:rsidR="006D0100">
        <w:t>authorised to license the use of radiopharmaceuticals</w:t>
      </w:r>
      <w:r w:rsidR="00506E1E">
        <w:t>.</w:t>
      </w:r>
    </w:p>
    <w:p w14:paraId="414D5196" w14:textId="42D4776C" w:rsidR="006227EF" w:rsidRDefault="006227EF" w:rsidP="00562061">
      <w:pPr>
        <w:pStyle w:val="Heading2"/>
      </w:pPr>
      <w:r w:rsidRPr="008522C1">
        <w:t xml:space="preserve">If applicable, advise </w:t>
      </w:r>
      <w:r w:rsidR="00BE0612" w:rsidRPr="008522C1">
        <w:t>if there are any limitations on which health professionals might provide a referral for</w:t>
      </w:r>
      <w:r w:rsidRPr="008522C1">
        <w:t xml:space="preserve"> the proposed health technology:</w:t>
      </w:r>
    </w:p>
    <w:p w14:paraId="08E763D2" w14:textId="0C4F9DF0" w:rsidR="005D7DEB" w:rsidRDefault="00A66638" w:rsidP="00C55369">
      <w:r>
        <w:t>A r</w:t>
      </w:r>
      <w:r w:rsidR="00FE2B2E">
        <w:t xml:space="preserve">eferral for treatment with </w:t>
      </w:r>
      <w:r w:rsidR="00FE2B2E" w:rsidRPr="000520E7">
        <w:rPr>
          <w:vertAlign w:val="superscript"/>
        </w:rPr>
        <w:t>177</w:t>
      </w:r>
      <w:r w:rsidR="00FE2B2E">
        <w:t xml:space="preserve">Lu-PSMA-617 </w:t>
      </w:r>
      <w:r w:rsidR="00F36EC4">
        <w:t>will</w:t>
      </w:r>
      <w:r w:rsidR="006E102B">
        <w:t xml:space="preserve"> come from the patient’s </w:t>
      </w:r>
      <w:r w:rsidR="00F36EC4">
        <w:t xml:space="preserve">lead physician </w:t>
      </w:r>
      <w:r w:rsidR="00C80392">
        <w:t xml:space="preserve">such as </w:t>
      </w:r>
      <w:r w:rsidR="000520E7">
        <w:t xml:space="preserve">their </w:t>
      </w:r>
      <w:r w:rsidR="00C80392">
        <w:t>medical oncologist, urologist, or other oncology specialist.</w:t>
      </w:r>
      <w:r w:rsidR="00D14753">
        <w:t xml:space="preserve"> </w:t>
      </w:r>
      <w:r w:rsidR="009F1773">
        <w:t xml:space="preserve">Treatment with </w:t>
      </w:r>
      <w:r w:rsidR="009F1773" w:rsidRPr="008248B2">
        <w:rPr>
          <w:vertAlign w:val="superscript"/>
        </w:rPr>
        <w:t>177</w:t>
      </w:r>
      <w:r w:rsidR="009F1773">
        <w:t>Lu-PSMA-617 can only be administered</w:t>
      </w:r>
      <w:r w:rsidR="009F1773" w:rsidRPr="00506E1E">
        <w:t xml:space="preserve"> by an appropriately registered and licenced nuclear medicine specialist</w:t>
      </w:r>
      <w:r w:rsidR="009F1773">
        <w:t>.</w:t>
      </w:r>
    </w:p>
    <w:p w14:paraId="6EBD9025" w14:textId="0C13B433" w:rsidR="00BE52C2" w:rsidRDefault="00404EDB" w:rsidP="00C55369">
      <w:r>
        <w:t xml:space="preserve">A patient cannot access MBS item numbers in the public hospital setting, they can only access MBS item numbers as an in-patient or out-patient in the private setting (i.e., private hospital or private clinic). </w:t>
      </w:r>
      <w:r w:rsidRPr="00404EDB">
        <w:rPr>
          <w:vertAlign w:val="superscript"/>
        </w:rPr>
        <w:t>177</w:t>
      </w:r>
      <w:r>
        <w:t xml:space="preserve">Lu-PSMA-617 is administered in the outpatient setting which means that </w:t>
      </w:r>
      <w:r w:rsidR="00125EEB">
        <w:t>a</w:t>
      </w:r>
      <w:r w:rsidR="000C49CD">
        <w:t xml:space="preserve">ccess for patients considered suitable for treatment with </w:t>
      </w:r>
      <w:r w:rsidR="000C49CD" w:rsidRPr="008248B2">
        <w:rPr>
          <w:vertAlign w:val="superscript"/>
        </w:rPr>
        <w:t>177</w:t>
      </w:r>
      <w:r w:rsidR="000C49CD">
        <w:t xml:space="preserve">Lu-PSMA-617 is </w:t>
      </w:r>
      <w:r w:rsidR="005C5E26">
        <w:t xml:space="preserve">currently </w:t>
      </w:r>
      <w:r w:rsidR="000C49CD">
        <w:t>limited to the private market</w:t>
      </w:r>
      <w:r w:rsidR="005C5E26">
        <w:t xml:space="preserve"> (i.e., out-of-hospital private patients in the private setting)</w:t>
      </w:r>
      <w:r w:rsidR="000C49CD">
        <w:t xml:space="preserve">. </w:t>
      </w:r>
      <w:r w:rsidR="005D7DEB">
        <w:t>This impacts referral and access pathways for most patients</w:t>
      </w:r>
      <w:r w:rsidR="002F23E7">
        <w:t xml:space="preserve"> given </w:t>
      </w:r>
      <w:proofErr w:type="gramStart"/>
      <w:r w:rsidR="00BE52C2">
        <w:t>the majority of</w:t>
      </w:r>
      <w:proofErr w:type="gramEnd"/>
      <w:r w:rsidR="00BE52C2">
        <w:t xml:space="preserve"> outpatient treatments are delivered within the public setting.</w:t>
      </w:r>
      <w:r w:rsidR="00157496">
        <w:t xml:space="preserve"> </w:t>
      </w:r>
      <w:r w:rsidR="00A7511F">
        <w:t xml:space="preserve"> Discussion with the Department of Health suggest that the listing in a RLT fund may mean availability in public hospitals but that needs to be confirmed and as such is not discussed.</w:t>
      </w:r>
    </w:p>
    <w:p w14:paraId="540282B8" w14:textId="77777777" w:rsidR="00E4687C" w:rsidRDefault="00E4687C" w:rsidP="00C55369"/>
    <w:p w14:paraId="30AC00A8" w14:textId="634D8B2C" w:rsidR="00380C41" w:rsidRPr="00D163F8" w:rsidRDefault="00380C41" w:rsidP="00562061">
      <w:pPr>
        <w:pStyle w:val="Heading2"/>
      </w:pPr>
      <w:proofErr w:type="gramStart"/>
      <w:r w:rsidRPr="00D163F8">
        <w:lastRenderedPageBreak/>
        <w:t>Is</w:t>
      </w:r>
      <w:proofErr w:type="gramEnd"/>
      <w:r w:rsidRPr="00D163F8">
        <w:t xml:space="preserve"> there specific training or qualifications required to provide or deliver the proposed service, and/or any accreditation requirements to support delivery of the health technology? </w:t>
      </w:r>
    </w:p>
    <w:p w14:paraId="2683E0E4" w14:textId="661BE5F3" w:rsidR="00962337" w:rsidRPr="00EB16E8" w:rsidRDefault="0079456F" w:rsidP="0079456F">
      <w:r w:rsidRPr="00EB16E8">
        <w:t>Yes</w:t>
      </w:r>
      <w:r w:rsidR="002F23E7">
        <w:t>.</w:t>
      </w:r>
    </w:p>
    <w:p w14:paraId="0E842550" w14:textId="4EA98943" w:rsidR="00380C41" w:rsidRDefault="00380C41" w:rsidP="00562061">
      <w:pPr>
        <w:pStyle w:val="Heading2"/>
      </w:pPr>
      <w:r w:rsidRPr="00D163F8">
        <w:t>Provide details and explain:</w:t>
      </w:r>
    </w:p>
    <w:p w14:paraId="2AE0DB3E" w14:textId="162BD91F" w:rsidR="00331A68" w:rsidRDefault="007D4AD6" w:rsidP="003C38A5">
      <w:r>
        <w:t xml:space="preserve">Nuclear medicine is an advanced speciality provided by recognised specialists. Healthcare professionals must have successfully completed advanced training </w:t>
      </w:r>
      <w:r w:rsidR="00EE3BB9">
        <w:t xml:space="preserve">(in addition to their medical practitioner qualification) </w:t>
      </w:r>
      <w:r>
        <w:t>and</w:t>
      </w:r>
      <w:r w:rsidR="00EE3BB9">
        <w:t xml:space="preserve"> have national registration and accreditation as a practicing nuclear medicine specialist.</w:t>
      </w:r>
      <w:r w:rsidR="00B40455">
        <w:t xml:space="preserve"> </w:t>
      </w:r>
      <w:r w:rsidR="00424A57">
        <w:t>In Australia, th</w:t>
      </w:r>
      <w:r w:rsidR="00B40455">
        <w:t>e Austral</w:t>
      </w:r>
      <w:r w:rsidR="00C022C7">
        <w:t xml:space="preserve">asian Association of Nuclear Medicine Specialists </w:t>
      </w:r>
      <w:r w:rsidR="00B9132B">
        <w:t>outlines relevant</w:t>
      </w:r>
      <w:r w:rsidR="00B02713">
        <w:t xml:space="preserve"> </w:t>
      </w:r>
      <w:r w:rsidR="00256DDF">
        <w:t>training standards</w:t>
      </w:r>
      <w:r w:rsidR="00424A57">
        <w:t xml:space="preserve">. </w:t>
      </w:r>
      <w:r w:rsidR="0004307B">
        <w:t xml:space="preserve">Guidelines for </w:t>
      </w:r>
      <w:r w:rsidR="00A67315">
        <w:t xml:space="preserve">the safe delivery of RLT in practice have been developed by the </w:t>
      </w:r>
      <w:r w:rsidR="0087348B">
        <w:t xml:space="preserve">Society of Nuclear Medicine and Molecular Imaging and the European Association of </w:t>
      </w:r>
      <w:r w:rsidR="00291E29">
        <w:t>Nuclear Medicine</w:t>
      </w:r>
      <w:r w:rsidR="00AB5D91">
        <w:t xml:space="preserve"> (Kratochwil et al., 2023)</w:t>
      </w:r>
      <w:r w:rsidR="00291E29">
        <w:t xml:space="preserve">. </w:t>
      </w:r>
      <w:r w:rsidR="00E14954">
        <w:t xml:space="preserve"> </w:t>
      </w:r>
      <w:r w:rsidR="00FD4FE5">
        <w:t xml:space="preserve"> </w:t>
      </w:r>
    </w:p>
    <w:p w14:paraId="54E88C9C" w14:textId="29E2DD0A" w:rsidR="00380C41" w:rsidRPr="00D163F8" w:rsidRDefault="00BB494A" w:rsidP="00562061">
      <w:pPr>
        <w:pStyle w:val="Heading2"/>
        <w:rPr>
          <w:i/>
          <w:iCs/>
        </w:rPr>
      </w:pPr>
      <w:r w:rsidRPr="00D163F8">
        <w:t xml:space="preserve">Indicate the proposed setting(s) in which the proposed health technology will be delivered: </w:t>
      </w:r>
    </w:p>
    <w:p w14:paraId="6C4BF8E1" w14:textId="6C344610" w:rsidR="00BC0C43" w:rsidRPr="00172602" w:rsidRDefault="00701150" w:rsidP="00582377">
      <w:pPr>
        <w:pStyle w:val="Tickboxes"/>
        <w:rPr>
          <w:sz w:val="24"/>
          <w:szCs w:val="24"/>
        </w:rPr>
      </w:pPr>
      <w:r>
        <w:rPr>
          <w:sz w:val="24"/>
          <w:szCs w:val="24"/>
        </w:rPr>
        <w:fldChar w:fldCharType="begin">
          <w:ffData>
            <w:name w:val=""/>
            <w:enabled/>
            <w:calcOnExit w:val="0"/>
            <w:statusText w:type="text" w:val="Proposed setting for delivery Consulting room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172602">
        <w:rPr>
          <w:sz w:val="24"/>
          <w:szCs w:val="24"/>
        </w:rPr>
        <w:t xml:space="preserve"> </w:t>
      </w:r>
      <w:r w:rsidR="00BB494A" w:rsidRPr="00172602">
        <w:rPr>
          <w:sz w:val="24"/>
          <w:szCs w:val="24"/>
        </w:rPr>
        <w:t>Consulting rooms</w:t>
      </w:r>
      <w:r w:rsidR="00380C41" w:rsidRPr="00172602">
        <w:rPr>
          <w:sz w:val="24"/>
          <w:szCs w:val="24"/>
        </w:rPr>
        <w:t xml:space="preserve"> </w:t>
      </w:r>
    </w:p>
    <w:p w14:paraId="27A91C50" w14:textId="111E8A76" w:rsidR="00380C41" w:rsidRPr="00172602" w:rsidRDefault="00701150" w:rsidP="00582377">
      <w:pPr>
        <w:pStyle w:val="Tickboxes"/>
        <w:rPr>
          <w:sz w:val="24"/>
          <w:szCs w:val="24"/>
        </w:rPr>
      </w:pPr>
      <w:r>
        <w:rPr>
          <w:sz w:val="24"/>
          <w:szCs w:val="24"/>
        </w:rPr>
        <w:fldChar w:fldCharType="begin">
          <w:ffData>
            <w:name w:val=""/>
            <w:enabled/>
            <w:calcOnExit w:val="0"/>
            <w:statusText w:type="text" w:val="Proposed setting for delivery Day surgery centr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Day surgery centre</w:t>
      </w:r>
    </w:p>
    <w:p w14:paraId="1DAFF305" w14:textId="605EA1A2" w:rsidR="00380C41" w:rsidRPr="00172602" w:rsidRDefault="00BF33FE" w:rsidP="00582377">
      <w:pPr>
        <w:pStyle w:val="Tickboxes"/>
        <w:rPr>
          <w:sz w:val="24"/>
          <w:szCs w:val="24"/>
        </w:rPr>
      </w:pPr>
      <w:r>
        <w:rPr>
          <w:sz w:val="24"/>
          <w:szCs w:val="24"/>
        </w:rPr>
        <w:fldChar w:fldCharType="begin">
          <w:ffData>
            <w:name w:val=""/>
            <w:enabled/>
            <w:calcOnExit w:val="0"/>
            <w:statusText w:type="text" w:val="Proposed setting for delivery Emergency Departmen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Emergency Department</w:t>
      </w:r>
      <w:r w:rsidR="00380C41" w:rsidRPr="00172602">
        <w:rPr>
          <w:sz w:val="24"/>
          <w:szCs w:val="24"/>
        </w:rPr>
        <w:t xml:space="preserve"> </w:t>
      </w:r>
    </w:p>
    <w:p w14:paraId="020AC503" w14:textId="77C1FA61" w:rsidR="00380C41" w:rsidRPr="00CA6077" w:rsidRDefault="00701150" w:rsidP="00582377">
      <w:pPr>
        <w:pStyle w:val="Tickboxes"/>
        <w:rPr>
          <w:sz w:val="24"/>
          <w:szCs w:val="24"/>
        </w:rPr>
      </w:pPr>
      <w:r>
        <w:rPr>
          <w:sz w:val="24"/>
          <w:szCs w:val="24"/>
        </w:rPr>
        <w:fldChar w:fldCharType="begin">
          <w:ffData>
            <w:name w:val=""/>
            <w:enabled/>
            <w:calcOnExit w:val="0"/>
            <w:statusText w:type="text" w:val="Proposed setting for delivery Inpatient private hospital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CA6077">
        <w:rPr>
          <w:sz w:val="24"/>
          <w:szCs w:val="24"/>
        </w:rPr>
        <w:t>Inpatient private hospital</w:t>
      </w:r>
    </w:p>
    <w:p w14:paraId="6E8C6D7D" w14:textId="5F53617D" w:rsidR="00BB494A" w:rsidRPr="00CA6077" w:rsidRDefault="002C1A17" w:rsidP="00582377">
      <w:pPr>
        <w:pStyle w:val="Tickboxes"/>
        <w:rPr>
          <w:sz w:val="24"/>
          <w:szCs w:val="24"/>
        </w:rPr>
      </w:pPr>
      <w:r w:rsidRPr="00CA6077">
        <w:rPr>
          <w:sz w:val="24"/>
          <w:szCs w:val="24"/>
        </w:rPr>
        <w:fldChar w:fldCharType="begin">
          <w:ffData>
            <w:name w:val=""/>
            <w:enabled/>
            <w:calcOnExit w:val="0"/>
            <w:statusText w:type="text" w:val="Proposed setting for delivery Inpatient public hospital"/>
            <w:checkBox>
              <w:sizeAuto/>
              <w:default w:val="0"/>
            </w:checkBox>
          </w:ffData>
        </w:fldChar>
      </w:r>
      <w:r w:rsidRPr="00CA6077">
        <w:rPr>
          <w:sz w:val="24"/>
          <w:szCs w:val="24"/>
        </w:rPr>
        <w:instrText xml:space="preserve"> FORMCHECKBOX </w:instrText>
      </w:r>
      <w:r w:rsidRPr="00CA6077">
        <w:rPr>
          <w:sz w:val="24"/>
          <w:szCs w:val="24"/>
        </w:rPr>
      </w:r>
      <w:r w:rsidRPr="00CA6077">
        <w:rPr>
          <w:sz w:val="24"/>
          <w:szCs w:val="24"/>
        </w:rPr>
        <w:fldChar w:fldCharType="separate"/>
      </w:r>
      <w:r w:rsidRPr="00CA6077">
        <w:rPr>
          <w:sz w:val="24"/>
          <w:szCs w:val="24"/>
        </w:rPr>
        <w:fldChar w:fldCharType="end"/>
      </w:r>
      <w:r w:rsidR="00BB494A" w:rsidRPr="00CA6077">
        <w:rPr>
          <w:sz w:val="24"/>
          <w:szCs w:val="24"/>
        </w:rPr>
        <w:t xml:space="preserve"> Inpatient public hospital</w:t>
      </w:r>
    </w:p>
    <w:p w14:paraId="1C5133DF" w14:textId="1A9E5D48" w:rsidR="00BB494A" w:rsidRPr="00CA6077" w:rsidRDefault="00196EE9" w:rsidP="00582377">
      <w:pPr>
        <w:pStyle w:val="Tickboxes"/>
        <w:rPr>
          <w:sz w:val="24"/>
          <w:szCs w:val="24"/>
        </w:rPr>
      </w:pPr>
      <w:r w:rsidRPr="00CA6077">
        <w:rPr>
          <w:sz w:val="24"/>
          <w:szCs w:val="24"/>
        </w:rPr>
        <w:fldChar w:fldCharType="begin">
          <w:ffData>
            <w:name w:val=""/>
            <w:enabled/>
            <w:calcOnExit w:val="0"/>
            <w:statusText w:type="text" w:val="Proposed setting for delivery Laboratory"/>
            <w:checkBox>
              <w:sizeAuto/>
              <w:default w:val="0"/>
            </w:checkBox>
          </w:ffData>
        </w:fldChar>
      </w:r>
      <w:r w:rsidRPr="00CA6077">
        <w:rPr>
          <w:sz w:val="24"/>
          <w:szCs w:val="24"/>
        </w:rPr>
        <w:instrText xml:space="preserve"> FORMCHECKBOX </w:instrText>
      </w:r>
      <w:r w:rsidRPr="00CA6077">
        <w:rPr>
          <w:sz w:val="24"/>
          <w:szCs w:val="24"/>
        </w:rPr>
      </w:r>
      <w:r w:rsidRPr="00CA6077">
        <w:rPr>
          <w:sz w:val="24"/>
          <w:szCs w:val="24"/>
        </w:rPr>
        <w:fldChar w:fldCharType="separate"/>
      </w:r>
      <w:r w:rsidRPr="00CA6077">
        <w:rPr>
          <w:sz w:val="24"/>
          <w:szCs w:val="24"/>
        </w:rPr>
        <w:fldChar w:fldCharType="end"/>
      </w:r>
      <w:r w:rsidR="00BB494A" w:rsidRPr="00CA6077">
        <w:rPr>
          <w:sz w:val="24"/>
          <w:szCs w:val="24"/>
        </w:rPr>
        <w:t xml:space="preserve"> Laboratory</w:t>
      </w:r>
    </w:p>
    <w:p w14:paraId="723FB55F" w14:textId="1E40902A" w:rsidR="00BB494A" w:rsidRPr="00172602" w:rsidRDefault="00F4029D" w:rsidP="00582377">
      <w:pPr>
        <w:pStyle w:val="Tickboxes"/>
        <w:rPr>
          <w:sz w:val="24"/>
          <w:szCs w:val="24"/>
        </w:rPr>
      </w:pPr>
      <w:r>
        <w:rPr>
          <w:sz w:val="24"/>
          <w:szCs w:val="24"/>
        </w:rPr>
        <w:fldChar w:fldCharType="begin">
          <w:ffData>
            <w:name w:val=""/>
            <w:enabled/>
            <w:calcOnExit w:val="0"/>
            <w:statusText w:type="text" w:val="Proposed setting for delivery Outpatient clinic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CA6077">
        <w:rPr>
          <w:sz w:val="24"/>
          <w:szCs w:val="24"/>
        </w:rPr>
        <w:t xml:space="preserve"> Outpatient clinic</w:t>
      </w:r>
      <w:r w:rsidR="00BB494A" w:rsidRPr="00172602">
        <w:rPr>
          <w:sz w:val="24"/>
          <w:szCs w:val="24"/>
        </w:rPr>
        <w:t xml:space="preserve"> </w:t>
      </w:r>
    </w:p>
    <w:p w14:paraId="111DE2AB" w14:textId="7EB39C16"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Patient’s hom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Patient’s home</w:t>
      </w:r>
    </w:p>
    <w:p w14:paraId="428D75FD" w14:textId="6EF92FF1"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Point of care testing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Point of care testing </w:t>
      </w:r>
    </w:p>
    <w:p w14:paraId="47F449C5" w14:textId="31522402"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Residential aged care facilit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Residential aged care facility</w:t>
      </w:r>
    </w:p>
    <w:bookmarkStart w:id="7" w:name="_Hlk181704751"/>
    <w:p w14:paraId="6F063780" w14:textId="7271EB30" w:rsidR="001156C9" w:rsidRPr="00AA4AEF" w:rsidRDefault="001E0F13" w:rsidP="00BA1A83">
      <w:pPr>
        <w:pStyle w:val="Tickboxes"/>
        <w:rPr>
          <w:sz w:val="24"/>
          <w:szCs w:val="24"/>
        </w:rPr>
      </w:pPr>
      <w:r>
        <w:rPr>
          <w:sz w:val="24"/>
          <w:szCs w:val="24"/>
        </w:rPr>
        <w:fldChar w:fldCharType="begin">
          <w:ffData>
            <w:name w:val=""/>
            <w:enabled/>
            <w:calcOnExit w:val="0"/>
            <w:statusText w:type="text" w:val="Proposed setting for delivery Other (please specify)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Other (please specify</w:t>
      </w:r>
      <w:bookmarkEnd w:id="7"/>
      <w:r w:rsidR="00BB494A" w:rsidRPr="00172602">
        <w:rPr>
          <w:sz w:val="24"/>
          <w:szCs w:val="24"/>
        </w:rPr>
        <w:t>)</w:t>
      </w:r>
      <w:r w:rsidR="00BA1A83">
        <w:rPr>
          <w:sz w:val="24"/>
          <w:szCs w:val="24"/>
        </w:rPr>
        <w:t>:</w:t>
      </w:r>
    </w:p>
    <w:p w14:paraId="6EF9D27C" w14:textId="52CA8D60" w:rsidR="008C5B11" w:rsidRDefault="001156C9" w:rsidP="001156C9">
      <w:bookmarkStart w:id="8" w:name="_Hlk215739106"/>
      <w:r w:rsidRPr="008248B2">
        <w:rPr>
          <w:vertAlign w:val="superscript"/>
        </w:rPr>
        <w:t>177</w:t>
      </w:r>
      <w:r>
        <w:t>Lu-PSMA-617 will be</w:t>
      </w:r>
      <w:r w:rsidR="00CD18DC">
        <w:t xml:space="preserve"> </w:t>
      </w:r>
      <w:r>
        <w:t xml:space="preserve">administered in </w:t>
      </w:r>
      <w:r w:rsidR="007C2D2E">
        <w:t xml:space="preserve">appropriately </w:t>
      </w:r>
      <w:r>
        <w:t xml:space="preserve">accredited facilities. </w:t>
      </w:r>
      <w:r w:rsidR="002F23E7">
        <w:t>At present, this</w:t>
      </w:r>
      <w:r w:rsidR="005D79CA">
        <w:t xml:space="preserve"> only</w:t>
      </w:r>
      <w:r w:rsidR="002F23E7">
        <w:t xml:space="preserve"> includes</w:t>
      </w:r>
      <w:r>
        <w:t xml:space="preserve"> private facilities across Australia.</w:t>
      </w:r>
      <w:r w:rsidR="00CE0184">
        <w:t xml:space="preserve"> </w:t>
      </w:r>
      <w:r w:rsidR="009E26BC">
        <w:t xml:space="preserve">Reimbursement </w:t>
      </w:r>
      <w:r w:rsidR="00F4029D">
        <w:t xml:space="preserve">of </w:t>
      </w:r>
      <w:r w:rsidR="00F4029D" w:rsidRPr="00E35AA8">
        <w:rPr>
          <w:vertAlign w:val="superscript"/>
        </w:rPr>
        <w:t>177</w:t>
      </w:r>
      <w:r w:rsidR="00F4029D">
        <w:t xml:space="preserve">Lu-PSMA-617 </w:t>
      </w:r>
      <w:r w:rsidR="009E26BC">
        <w:t xml:space="preserve">via a </w:t>
      </w:r>
      <w:r w:rsidR="00F4029D">
        <w:t xml:space="preserve">radiopharmaceutical </w:t>
      </w:r>
      <w:r w:rsidR="007016CF">
        <w:t>fund</w:t>
      </w:r>
      <w:r w:rsidR="00F4029D">
        <w:t xml:space="preserve"> </w:t>
      </w:r>
      <w:r w:rsidR="007016CF">
        <w:t xml:space="preserve">will expand </w:t>
      </w:r>
      <w:r w:rsidR="0069134D">
        <w:t xml:space="preserve">access to </w:t>
      </w:r>
      <w:r w:rsidR="00E35AA8">
        <w:t>accredited facilities in the</w:t>
      </w:r>
      <w:r w:rsidR="0069134D">
        <w:t xml:space="preserve"> public and private </w:t>
      </w:r>
      <w:r w:rsidR="00B83525">
        <w:t xml:space="preserve">outpatient </w:t>
      </w:r>
      <w:r w:rsidR="0069134D">
        <w:t>setting.</w:t>
      </w:r>
    </w:p>
    <w:bookmarkEnd w:id="8"/>
    <w:p w14:paraId="2A1C0D0A" w14:textId="5A8B1198" w:rsidR="002D7216" w:rsidRPr="00D163F8" w:rsidRDefault="002D7216" w:rsidP="00562061">
      <w:pPr>
        <w:pStyle w:val="Heading2"/>
      </w:pPr>
      <w:r w:rsidRPr="00D163F8">
        <w:t xml:space="preserve">Is the proposed health technology intended to be entirely rendered inside Australia? </w:t>
      </w:r>
    </w:p>
    <w:p w14:paraId="39EA4198" w14:textId="2FAACF97" w:rsidR="00962337" w:rsidRPr="00172602" w:rsidRDefault="00DA462A" w:rsidP="00B23D47">
      <w:r>
        <w:t>No</w:t>
      </w:r>
      <w:r w:rsidR="002F23E7">
        <w:t>.</w:t>
      </w:r>
    </w:p>
    <w:p w14:paraId="659D2B35" w14:textId="6E584A32" w:rsidR="002D7216" w:rsidRPr="00D163F8" w:rsidRDefault="00EA0AA0" w:rsidP="00562061">
      <w:pPr>
        <w:pStyle w:val="Heading2"/>
      </w:pPr>
      <w:r w:rsidRPr="00D163F8">
        <w:t>P</w:t>
      </w:r>
      <w:r w:rsidR="002D7216" w:rsidRPr="00D163F8">
        <w:t>rovide additional details on the proposed health technology to be rendered outside of Australia:</w:t>
      </w:r>
    </w:p>
    <w:p w14:paraId="4B288009" w14:textId="285F21BA" w:rsidR="002F23E7" w:rsidRDefault="00ED71EA" w:rsidP="00BC0C43">
      <w:r>
        <w:t xml:space="preserve">Manufacturing </w:t>
      </w:r>
      <w:r w:rsidR="004F4DD1">
        <w:t xml:space="preserve">of </w:t>
      </w:r>
      <w:r w:rsidR="004F4DD1" w:rsidRPr="008248B2">
        <w:rPr>
          <w:vertAlign w:val="superscript"/>
        </w:rPr>
        <w:t>177</w:t>
      </w:r>
      <w:r w:rsidR="004F4DD1">
        <w:t xml:space="preserve">Lu-PSMA-617 </w:t>
      </w:r>
      <w:r w:rsidR="00CD1128">
        <w:t>occurs only</w:t>
      </w:r>
      <w:r>
        <w:t xml:space="preserve"> once a patient is scheduled and confirmed for treatment. The process is carried out internationally and shipped to the nominated facility within a specific timeframe to ensure the patient receives the correct dose.</w:t>
      </w:r>
      <w:r w:rsidR="002F23E7">
        <w:t xml:space="preserve"> There is an existing and stable supply chain for </w:t>
      </w:r>
      <w:r w:rsidR="002F23E7" w:rsidRPr="008248B2">
        <w:rPr>
          <w:vertAlign w:val="superscript"/>
        </w:rPr>
        <w:t>177</w:t>
      </w:r>
      <w:r w:rsidR="002F23E7">
        <w:t>Lu-PSMA-617 in Australia.</w:t>
      </w:r>
    </w:p>
    <w:p w14:paraId="4FB01C5B" w14:textId="77777777" w:rsidR="00EB16E8" w:rsidRPr="00EB16E8" w:rsidRDefault="00EB16E8" w:rsidP="00BC0C43"/>
    <w:p w14:paraId="477431E0" w14:textId="77777777" w:rsidR="00E4687C" w:rsidRDefault="00E4687C">
      <w:pPr>
        <w:spacing w:after="160" w:line="259" w:lineRule="auto"/>
        <w:rPr>
          <w:b/>
          <w:bCs/>
          <w:color w:val="002060"/>
          <w:sz w:val="32"/>
          <w:szCs w:val="32"/>
        </w:rPr>
      </w:pPr>
      <w:r>
        <w:rPr>
          <w:color w:val="002060"/>
        </w:rPr>
        <w:br w:type="page"/>
      </w:r>
    </w:p>
    <w:p w14:paraId="5B9D9A2F" w14:textId="7F5DAAF3" w:rsidR="00FE257E" w:rsidRPr="003F4E49" w:rsidRDefault="00FE257E" w:rsidP="00EA0AA0">
      <w:pPr>
        <w:pStyle w:val="Heading1"/>
      </w:pPr>
      <w:r w:rsidRPr="00A84BCA">
        <w:rPr>
          <w:color w:val="002060"/>
        </w:rPr>
        <w:lastRenderedPageBreak/>
        <w:t>Comparator</w:t>
      </w:r>
    </w:p>
    <w:p w14:paraId="4FFBF7A2" w14:textId="68C9C7EE" w:rsidR="00FE257E" w:rsidRPr="00D163F8" w:rsidRDefault="00FE257E" w:rsidP="00562061">
      <w:pPr>
        <w:pStyle w:val="Heading2"/>
      </w:pPr>
      <w:r w:rsidRPr="00D163F8">
        <w:t>Nominate the appropriate comparator(s) for the proposed medical service (i.e.</w:t>
      </w:r>
      <w:r w:rsidR="00010AAA" w:rsidRPr="00D163F8">
        <w:t>,</w:t>
      </w:r>
      <w:r w:rsidRPr="00D163F8">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1744C0C2" w14:textId="41CE9852" w:rsidR="008F43CA" w:rsidRDefault="008F43CA" w:rsidP="00BC0C43">
      <w:r>
        <w:t xml:space="preserve">Docetaxel or palliative care are </w:t>
      </w:r>
      <w:r w:rsidR="005E337E">
        <w:t xml:space="preserve">the </w:t>
      </w:r>
      <w:r w:rsidR="000F0700">
        <w:t xml:space="preserve">current standard of care </w:t>
      </w:r>
      <w:r w:rsidR="0070229C">
        <w:t xml:space="preserve">for </w:t>
      </w:r>
      <w:r w:rsidR="000F0700">
        <w:t xml:space="preserve">taxane-naïve mCRPC </w:t>
      </w:r>
      <w:r w:rsidR="000F0700" w:rsidRPr="00A170F4">
        <w:t xml:space="preserve">patients that progress following </w:t>
      </w:r>
      <w:r w:rsidR="000F0700">
        <w:t>ARP</w:t>
      </w:r>
      <w:r w:rsidR="0070229C">
        <w:t>I, making them the most appropriate comparators</w:t>
      </w:r>
      <w:r w:rsidR="0070229C" w:rsidRPr="00613708">
        <w:t xml:space="preserve">. </w:t>
      </w:r>
      <w:r w:rsidR="00B948B7" w:rsidRPr="00613708">
        <w:rPr>
          <w:vertAlign w:val="superscript"/>
        </w:rPr>
        <w:t>177</w:t>
      </w:r>
      <w:r w:rsidR="00B948B7" w:rsidRPr="00613708">
        <w:t>Lu-PSMA is cu</w:t>
      </w:r>
      <w:r w:rsidR="00B948B7">
        <w:t xml:space="preserve">rrently subsidised for patients that have had at least one ARPI and one taxane-based chemotherapy. </w:t>
      </w:r>
      <w:r w:rsidR="00002EEE">
        <w:t xml:space="preserve">Patients </w:t>
      </w:r>
      <w:r w:rsidR="00964F3D">
        <w:t xml:space="preserve">who meet the criteria for </w:t>
      </w:r>
      <w:r w:rsidR="00964F3D" w:rsidRPr="005E337E">
        <w:rPr>
          <w:vertAlign w:val="superscript"/>
        </w:rPr>
        <w:t>177</w:t>
      </w:r>
      <w:r w:rsidR="00964F3D">
        <w:t>Lu-PSMA</w:t>
      </w:r>
      <w:r w:rsidR="00002EEE">
        <w:t xml:space="preserve"> are </w:t>
      </w:r>
      <w:r w:rsidR="00964F3D">
        <w:t>more progressed, later line patients</w:t>
      </w:r>
      <w:r w:rsidR="00002EEE">
        <w:t xml:space="preserve"> and are no</w:t>
      </w:r>
      <w:r w:rsidR="00CA75DA">
        <w:t xml:space="preserve">t the same population as the proposed patient population in this </w:t>
      </w:r>
      <w:r w:rsidR="008C6CC7">
        <w:t>a</w:t>
      </w:r>
      <w:r w:rsidR="00CA75DA">
        <w:t>pplication</w:t>
      </w:r>
      <w:r w:rsidR="00002EEE">
        <w:t xml:space="preserve">. As such, </w:t>
      </w:r>
      <w:r w:rsidR="00186E45" w:rsidRPr="005E337E">
        <w:rPr>
          <w:vertAlign w:val="superscript"/>
        </w:rPr>
        <w:t>177</w:t>
      </w:r>
      <w:r w:rsidR="00186E45">
        <w:t xml:space="preserve">Lu-PSMA </w:t>
      </w:r>
      <w:r w:rsidR="001C109E">
        <w:t xml:space="preserve">therapy </w:t>
      </w:r>
      <w:r w:rsidR="00186E45">
        <w:t xml:space="preserve">is not an appropriate comparator. </w:t>
      </w:r>
    </w:p>
    <w:p w14:paraId="3ED435AA" w14:textId="1B52D33E" w:rsidR="00653592" w:rsidRDefault="00006516" w:rsidP="00BC0C43">
      <w:r w:rsidRPr="00023E55">
        <w:t xml:space="preserve">Figure </w:t>
      </w:r>
      <w:r w:rsidR="00023E55">
        <w:t>5</w:t>
      </w:r>
      <w:r>
        <w:t xml:space="preserve"> illustrates the current clinical </w:t>
      </w:r>
      <w:r w:rsidR="00827E4B">
        <w:t xml:space="preserve">algorithm for patients with mCRPC. </w:t>
      </w:r>
      <w:r w:rsidR="00DB4A8A" w:rsidRPr="000B6061">
        <w:t xml:space="preserve">This </w:t>
      </w:r>
      <w:r w:rsidR="00DB4A8A">
        <w:t>reflects Australian evidence-based treatment protocols and i</w:t>
      </w:r>
      <w:r w:rsidR="00DB4A8A" w:rsidRPr="000B6061">
        <w:t>nternational guidelines.</w:t>
      </w:r>
      <w:r w:rsidR="00DB4A8A">
        <w:t xml:space="preserve"> </w:t>
      </w:r>
      <w:r w:rsidR="000B6061" w:rsidRPr="000B6061">
        <w:t>In Australia, treatment with ARPIs is restricted to once per lifetime under</w:t>
      </w:r>
      <w:r w:rsidR="002302BE">
        <w:t xml:space="preserve"> the Pharmaceutical Benefits Scheme</w:t>
      </w:r>
      <w:r w:rsidR="000B6061" w:rsidRPr="000B6061">
        <w:t xml:space="preserve"> </w:t>
      </w:r>
      <w:r w:rsidR="002302BE">
        <w:t>(</w:t>
      </w:r>
      <w:r w:rsidR="000B6061" w:rsidRPr="002302BE">
        <w:t>PBS</w:t>
      </w:r>
      <w:r w:rsidR="002302BE">
        <w:t>)</w:t>
      </w:r>
      <w:r w:rsidR="000B6061" w:rsidRPr="000B6061">
        <w:t xml:space="preserve"> criteria. Subsequent</w:t>
      </w:r>
      <w:r w:rsidR="00C349DC">
        <w:t>ly,</w:t>
      </w:r>
      <w:r w:rsidR="000B6061" w:rsidRPr="000B6061">
        <w:t xml:space="preserve"> treatment options for mCRPC patients who progress following an ARPI and </w:t>
      </w:r>
      <w:r w:rsidR="00C30E6E">
        <w:t>are</w:t>
      </w:r>
      <w:r w:rsidR="000B6061" w:rsidRPr="000B6061">
        <w:t xml:space="preserve"> taxane-</w:t>
      </w:r>
      <w:r w:rsidR="00C30E6E">
        <w:t>naive</w:t>
      </w:r>
      <w:r w:rsidR="000B6061" w:rsidRPr="000B6061">
        <w:t xml:space="preserve"> are limited to </w:t>
      </w:r>
      <w:r w:rsidR="00DB4A8A">
        <w:t xml:space="preserve">either </w:t>
      </w:r>
      <w:r w:rsidR="000B6061" w:rsidRPr="000B6061">
        <w:t xml:space="preserve">docetaxel or palliative care. </w:t>
      </w:r>
      <w:r w:rsidR="00F93C79">
        <w:t xml:space="preserve">The </w:t>
      </w:r>
      <w:r w:rsidR="000B6061" w:rsidRPr="000B6061">
        <w:t xml:space="preserve">DUSC data indicates that following treatment with a novel hormone therapy, 14% </w:t>
      </w:r>
      <w:r w:rsidR="007D5D6D">
        <w:t xml:space="preserve">of patients </w:t>
      </w:r>
      <w:r w:rsidR="000B6061" w:rsidRPr="000B6061">
        <w:t xml:space="preserve">receive docetaxel and 71% </w:t>
      </w:r>
      <w:r w:rsidR="007D5D6D">
        <w:t>do</w:t>
      </w:r>
      <w:r w:rsidR="000B6061" w:rsidRPr="000B6061">
        <w:t xml:space="preserve"> not receive any subsequent treatment within 18-24 months of follow-up (olaparib PSD, para 5.2, March 2021 PBAC Meeting)</w:t>
      </w:r>
      <w:r w:rsidR="00653592">
        <w:t>.</w:t>
      </w:r>
    </w:p>
    <w:p w14:paraId="7F5D5914" w14:textId="59D0683D" w:rsidR="00DB1316" w:rsidRDefault="00522842" w:rsidP="00F2279C">
      <w:r>
        <w:t>Docetaxel</w:t>
      </w:r>
      <w:r w:rsidR="00F2279C">
        <w:t xml:space="preserve">, a taxane-based chemotherapy, is </w:t>
      </w:r>
      <w:r w:rsidR="00F2279C" w:rsidRPr="00ED530B">
        <w:t>TGA</w:t>
      </w:r>
      <w:r w:rsidR="00F2279C">
        <w:t xml:space="preserve"> approved and PBS-listed for use in various cancers including mCRPC. Docetaxel is administered as a one-hour infusion every three weeks in the outpatient setting.</w:t>
      </w:r>
      <w:r w:rsidR="00F2279C" w:rsidRPr="00F2279C">
        <w:t xml:space="preserve"> </w:t>
      </w:r>
      <w:r w:rsidR="00F2279C">
        <w:t xml:space="preserve">Oral prednisone or prednisolone is administered </w:t>
      </w:r>
      <w:r w:rsidR="00FE1E89">
        <w:t xml:space="preserve">twice daily, </w:t>
      </w:r>
      <w:r w:rsidR="00F2279C">
        <w:t>continuously, commencing day 1 and continuing through each cycle. In addition, p</w:t>
      </w:r>
      <w:r w:rsidR="00C94B63">
        <w:t>atients should be pre-treated with oral dexamethasone 12 hours, 3 hours and 1 hour before infusion.</w:t>
      </w:r>
      <w:r w:rsidR="00F2279C">
        <w:t xml:space="preserve"> </w:t>
      </w:r>
      <w:r w:rsidR="00124084">
        <w:t xml:space="preserve">Docetaxel is a cytotoxic drug with specific requirements for safe handling and waste management. </w:t>
      </w:r>
      <w:r w:rsidR="00F2279C">
        <w:t>R</w:t>
      </w:r>
      <w:r w:rsidR="00F2279C" w:rsidRPr="00F2279C">
        <w:t>elevant outpatient healthcare resources are required to delivery treatment</w:t>
      </w:r>
      <w:r w:rsidR="0028124A">
        <w:t>.</w:t>
      </w:r>
      <w:r w:rsidR="00BC0F73">
        <w:t xml:space="preserve"> </w:t>
      </w:r>
      <w:r w:rsidR="00DB1316">
        <w:t>There are no prerequisite diagnostic tests required for docetaxel.</w:t>
      </w:r>
    </w:p>
    <w:p w14:paraId="495DB5DA" w14:textId="7F6E84A2" w:rsidR="00990AC7" w:rsidRDefault="00B91D92" w:rsidP="00F2279C">
      <w:r>
        <w:t>P</w:t>
      </w:r>
      <w:r w:rsidR="009B24A4">
        <w:t xml:space="preserve">alliative care for mCRPC patients </w:t>
      </w:r>
      <w:r w:rsidR="001E6AF2">
        <w:t xml:space="preserve">involves a </w:t>
      </w:r>
      <w:r w:rsidR="00482F3A">
        <w:t xml:space="preserve">holistic </w:t>
      </w:r>
      <w:r w:rsidR="0051617A">
        <w:t>MDT</w:t>
      </w:r>
      <w:r w:rsidR="001E6AF2">
        <w:t xml:space="preserve"> focused on maintaining the patient’s quality of life </w:t>
      </w:r>
      <w:r w:rsidR="00CE4FC8">
        <w:t>while</w:t>
      </w:r>
      <w:r w:rsidR="001E6AF2">
        <w:t xml:space="preserve"> </w:t>
      </w:r>
      <w:r w:rsidR="005D088E">
        <w:t>meeting their health and supportive care needs.</w:t>
      </w:r>
      <w:r w:rsidR="00CE4FC8">
        <w:t xml:space="preserve"> </w:t>
      </w:r>
      <w:r w:rsidR="00EC107D">
        <w:t>This includes a</w:t>
      </w:r>
      <w:r w:rsidR="00650C50">
        <w:t>ccess to</w:t>
      </w:r>
      <w:r w:rsidR="00EC107D">
        <w:t xml:space="preserve"> speci</w:t>
      </w:r>
      <w:r w:rsidR="00650C50">
        <w:t>ally trained</w:t>
      </w:r>
      <w:r w:rsidR="00EC107D">
        <w:t xml:space="preserve"> palliative care </w:t>
      </w:r>
      <w:r w:rsidR="00650C50">
        <w:t>staff</w:t>
      </w:r>
      <w:r w:rsidR="008C3862">
        <w:t>,</w:t>
      </w:r>
      <w:r w:rsidR="00FB7947">
        <w:t xml:space="preserve"> medical and allied professionals, </w:t>
      </w:r>
      <w:r w:rsidR="00B0791B">
        <w:t>hospital-related services and</w:t>
      </w:r>
      <w:r w:rsidR="001E24A3">
        <w:t xml:space="preserve"> medicines</w:t>
      </w:r>
      <w:r w:rsidR="00482F3A">
        <w:t xml:space="preserve"> such as opioids</w:t>
      </w:r>
      <w:r w:rsidR="00B15BF2">
        <w:t>.</w:t>
      </w:r>
      <w:r w:rsidR="000E5CA1">
        <w:t xml:space="preserve"> </w:t>
      </w:r>
    </w:p>
    <w:p w14:paraId="3E3431F7" w14:textId="71478296" w:rsidR="00FE257E" w:rsidRPr="00D163F8" w:rsidRDefault="00955904" w:rsidP="00562061">
      <w:pPr>
        <w:pStyle w:val="Heading2"/>
      </w:pPr>
      <w:r w:rsidRPr="00D163F8">
        <w:t>List any existing MBS item numbers that are relevant for the nominated comparators</w:t>
      </w:r>
      <w:r w:rsidR="000627EF" w:rsidRPr="00D163F8">
        <w:t>:</w:t>
      </w:r>
      <w:r w:rsidR="00FE257E" w:rsidRPr="00D163F8">
        <w:t xml:space="preserve"> </w:t>
      </w:r>
    </w:p>
    <w:p w14:paraId="7A13427E" w14:textId="378C0628" w:rsidR="00DB1316" w:rsidRDefault="00CD1128" w:rsidP="00DB1316">
      <w:r>
        <w:t>None.</w:t>
      </w:r>
    </w:p>
    <w:p w14:paraId="7AE42CF7" w14:textId="1FFF8B0A" w:rsidR="00FE257E" w:rsidRPr="00D163F8" w:rsidRDefault="00EA0AA0" w:rsidP="00562061">
      <w:pPr>
        <w:pStyle w:val="Heading2"/>
      </w:pPr>
      <w:r w:rsidRPr="00D163F8">
        <w:t>P</w:t>
      </w:r>
      <w:r w:rsidR="005B5A58" w:rsidRPr="00D163F8">
        <w:t>rovide a rationale for why this is a comparator</w:t>
      </w:r>
      <w:r w:rsidR="000627EF" w:rsidRPr="00D163F8">
        <w:t>:</w:t>
      </w:r>
    </w:p>
    <w:p w14:paraId="380DB903" w14:textId="373F2FF1" w:rsidR="00C94ACA" w:rsidRDefault="00474B57" w:rsidP="00997DDF">
      <w:r w:rsidRPr="00D8105F">
        <w:t>The nominated comparator</w:t>
      </w:r>
      <w:r w:rsidR="00B05BCA">
        <w:t xml:space="preserve">s are </w:t>
      </w:r>
      <w:r w:rsidRPr="00D8105F">
        <w:t>informed by</w:t>
      </w:r>
      <w:r>
        <w:t xml:space="preserve"> a pragmatic search of national </w:t>
      </w:r>
      <w:r w:rsidR="00F103AC">
        <w:t xml:space="preserve">and international </w:t>
      </w:r>
      <w:r w:rsidR="00A567F5">
        <w:t>clinical management resources</w:t>
      </w:r>
      <w:r w:rsidR="00E11E67">
        <w:t xml:space="preserve"> (Table 1)</w:t>
      </w:r>
      <w:r w:rsidR="00BD528A">
        <w:t xml:space="preserve">. </w:t>
      </w:r>
    </w:p>
    <w:p w14:paraId="3C1473CB" w14:textId="6DF13516" w:rsidR="00A33C3C" w:rsidRPr="00F45E36" w:rsidRDefault="00A33C3C" w:rsidP="00A33C3C">
      <w:pPr>
        <w:pStyle w:val="Captions"/>
      </w:pPr>
      <w:r>
        <w:t>Table 1</w:t>
      </w:r>
      <w:r>
        <w:tab/>
      </w:r>
      <w:r>
        <w:tab/>
      </w:r>
      <w:r w:rsidR="004047B3">
        <w:t>List of relevant materials and guidelines for mCRPC</w:t>
      </w:r>
    </w:p>
    <w:tbl>
      <w:tblPr>
        <w:tblStyle w:val="TableGrid"/>
        <w:tblW w:w="0" w:type="auto"/>
        <w:tblLook w:val="04A0" w:firstRow="1" w:lastRow="0" w:firstColumn="1" w:lastColumn="0" w:noHBand="0" w:noVBand="1"/>
      </w:tblPr>
      <w:tblGrid>
        <w:gridCol w:w="1129"/>
        <w:gridCol w:w="8336"/>
      </w:tblGrid>
      <w:tr w:rsidR="00ED1D16" w:rsidRPr="00520C15" w14:paraId="2E9FDDBA" w14:textId="77777777" w:rsidTr="00E4687C">
        <w:trPr>
          <w:tblHeader/>
        </w:trPr>
        <w:tc>
          <w:tcPr>
            <w:tcW w:w="1129" w:type="dxa"/>
          </w:tcPr>
          <w:p w14:paraId="77AAFB80" w14:textId="4DA13E3A" w:rsidR="00A33C3C" w:rsidRPr="00520C15" w:rsidRDefault="00A33C3C">
            <w:pPr>
              <w:rPr>
                <w:rFonts w:ascii="Arial Narrow" w:hAnsi="Arial Narrow"/>
                <w:sz w:val="20"/>
                <w:szCs w:val="20"/>
              </w:rPr>
            </w:pPr>
          </w:p>
        </w:tc>
        <w:tc>
          <w:tcPr>
            <w:tcW w:w="8336" w:type="dxa"/>
          </w:tcPr>
          <w:p w14:paraId="757F45A6" w14:textId="2C41FC3C" w:rsidR="00A33C3C" w:rsidRPr="00520C15" w:rsidRDefault="003F2F5E">
            <w:pPr>
              <w:rPr>
                <w:rFonts w:ascii="Arial Narrow" w:hAnsi="Arial Narrow"/>
                <w:b/>
                <w:bCs/>
                <w:sz w:val="20"/>
                <w:szCs w:val="20"/>
              </w:rPr>
            </w:pPr>
            <w:r w:rsidRPr="00520C15">
              <w:rPr>
                <w:rFonts w:ascii="Arial Narrow" w:hAnsi="Arial Narrow"/>
                <w:b/>
                <w:bCs/>
                <w:sz w:val="20"/>
                <w:szCs w:val="20"/>
              </w:rPr>
              <w:t>Reference</w:t>
            </w:r>
          </w:p>
        </w:tc>
      </w:tr>
      <w:tr w:rsidR="00ED1D16" w:rsidRPr="00520C15" w14:paraId="61B4377F" w14:textId="77777777" w:rsidTr="00FD441A">
        <w:tc>
          <w:tcPr>
            <w:tcW w:w="1129" w:type="dxa"/>
          </w:tcPr>
          <w:p w14:paraId="4609FC1E" w14:textId="00598823" w:rsidR="00A33C3C" w:rsidRPr="00520C15" w:rsidRDefault="003F2F5E">
            <w:pPr>
              <w:rPr>
                <w:rFonts w:ascii="Arial Narrow" w:hAnsi="Arial Narrow"/>
                <w:sz w:val="20"/>
                <w:szCs w:val="20"/>
              </w:rPr>
            </w:pPr>
            <w:proofErr w:type="spellStart"/>
            <w:r w:rsidRPr="00520C15">
              <w:rPr>
                <w:rFonts w:ascii="Arial Narrow" w:hAnsi="Arial Narrow"/>
                <w:sz w:val="20"/>
                <w:szCs w:val="20"/>
              </w:rPr>
              <w:t>eviQ</w:t>
            </w:r>
            <w:proofErr w:type="spellEnd"/>
          </w:p>
        </w:tc>
        <w:tc>
          <w:tcPr>
            <w:tcW w:w="8336" w:type="dxa"/>
          </w:tcPr>
          <w:p w14:paraId="0819D2AF" w14:textId="38E91806" w:rsidR="00A33C3C" w:rsidRPr="00520C15" w:rsidRDefault="00661A7F">
            <w:pPr>
              <w:rPr>
                <w:rFonts w:ascii="Arial Narrow" w:hAnsi="Arial Narrow"/>
                <w:sz w:val="20"/>
                <w:szCs w:val="20"/>
              </w:rPr>
            </w:pPr>
            <w:proofErr w:type="spellStart"/>
            <w:r w:rsidRPr="00520C15">
              <w:rPr>
                <w:rFonts w:ascii="Arial Narrow" w:hAnsi="Arial Narrow"/>
                <w:sz w:val="20"/>
                <w:szCs w:val="20"/>
              </w:rPr>
              <w:t>eviQ</w:t>
            </w:r>
            <w:proofErr w:type="spellEnd"/>
            <w:r w:rsidRPr="00520C15">
              <w:rPr>
                <w:rFonts w:ascii="Arial Narrow" w:hAnsi="Arial Narrow"/>
                <w:sz w:val="20"/>
                <w:szCs w:val="20"/>
              </w:rPr>
              <w:t xml:space="preserve">: Cancer Treatments Online: </w:t>
            </w:r>
            <w:hyperlink r:id="rId13" w:history="1">
              <w:r w:rsidRPr="00520C15">
                <w:rPr>
                  <w:rStyle w:val="Hyperlink"/>
                  <w:rFonts w:ascii="Arial Narrow" w:hAnsi="Arial Narrow"/>
                  <w:sz w:val="20"/>
                  <w:szCs w:val="20"/>
                </w:rPr>
                <w:t>https://www.eviq.org.au/medical-oncology/urogenital/prostate</w:t>
              </w:r>
            </w:hyperlink>
            <w:r w:rsidRPr="00520C15">
              <w:rPr>
                <w:rFonts w:ascii="Arial Narrow" w:hAnsi="Arial Narrow"/>
                <w:sz w:val="20"/>
                <w:szCs w:val="20"/>
              </w:rPr>
              <w:t xml:space="preserve">. </w:t>
            </w:r>
          </w:p>
        </w:tc>
      </w:tr>
      <w:tr w:rsidR="00ED1D16" w:rsidRPr="00520C15" w14:paraId="19355813" w14:textId="77777777" w:rsidTr="00FD441A">
        <w:tc>
          <w:tcPr>
            <w:tcW w:w="1129" w:type="dxa"/>
          </w:tcPr>
          <w:p w14:paraId="59C1FE9E" w14:textId="268EAF6D" w:rsidR="00A33C3C" w:rsidRPr="00520C15" w:rsidRDefault="00015EB8">
            <w:pPr>
              <w:rPr>
                <w:rFonts w:ascii="Arial Narrow" w:hAnsi="Arial Narrow"/>
                <w:sz w:val="20"/>
                <w:szCs w:val="20"/>
              </w:rPr>
            </w:pPr>
            <w:r w:rsidRPr="00520C15">
              <w:rPr>
                <w:rFonts w:ascii="Arial Narrow" w:hAnsi="Arial Narrow"/>
                <w:sz w:val="20"/>
                <w:szCs w:val="20"/>
              </w:rPr>
              <w:t>NCCN</w:t>
            </w:r>
          </w:p>
        </w:tc>
        <w:tc>
          <w:tcPr>
            <w:tcW w:w="8336" w:type="dxa"/>
          </w:tcPr>
          <w:p w14:paraId="0251DA6E" w14:textId="36F386DD" w:rsidR="00A33C3C" w:rsidRPr="00520C15" w:rsidRDefault="00FD441A">
            <w:pPr>
              <w:rPr>
                <w:rFonts w:ascii="Arial Narrow" w:hAnsi="Arial Narrow"/>
                <w:sz w:val="20"/>
                <w:szCs w:val="20"/>
              </w:rPr>
            </w:pPr>
            <w:r w:rsidRPr="00520C15">
              <w:rPr>
                <w:rFonts w:ascii="Arial Narrow" w:hAnsi="Arial Narrow"/>
                <w:sz w:val="20"/>
                <w:szCs w:val="20"/>
              </w:rPr>
              <w:t>National Comprehensive Cancer Network (NCCN). Prostate Cancer. Version 2.2026 – September 15, 2025.</w:t>
            </w:r>
          </w:p>
        </w:tc>
      </w:tr>
      <w:tr w:rsidR="00ED1D16" w:rsidRPr="00520C15" w14:paraId="2C0AECB6" w14:textId="77777777" w:rsidTr="00FD441A">
        <w:tc>
          <w:tcPr>
            <w:tcW w:w="1129" w:type="dxa"/>
          </w:tcPr>
          <w:p w14:paraId="2E808787" w14:textId="4DF39998" w:rsidR="00A33C3C" w:rsidRPr="00520C15" w:rsidRDefault="00015EB8">
            <w:pPr>
              <w:rPr>
                <w:rFonts w:ascii="Arial Narrow" w:hAnsi="Arial Narrow"/>
                <w:sz w:val="20"/>
                <w:szCs w:val="20"/>
              </w:rPr>
            </w:pPr>
            <w:r w:rsidRPr="00520C15">
              <w:rPr>
                <w:rFonts w:ascii="Arial Narrow" w:hAnsi="Arial Narrow"/>
                <w:sz w:val="20"/>
                <w:szCs w:val="20"/>
              </w:rPr>
              <w:t>AUA</w:t>
            </w:r>
          </w:p>
        </w:tc>
        <w:tc>
          <w:tcPr>
            <w:tcW w:w="8336" w:type="dxa"/>
          </w:tcPr>
          <w:p w14:paraId="1704BE73" w14:textId="56FB05C1" w:rsidR="00A33C3C" w:rsidRPr="00520C15" w:rsidRDefault="00BE6971" w:rsidP="00015EB8">
            <w:pPr>
              <w:rPr>
                <w:rFonts w:ascii="Arial Narrow" w:hAnsi="Arial Narrow"/>
                <w:sz w:val="20"/>
                <w:szCs w:val="20"/>
              </w:rPr>
            </w:pPr>
            <w:r w:rsidRPr="00520C15">
              <w:rPr>
                <w:rFonts w:ascii="Arial Narrow" w:hAnsi="Arial Narrow"/>
                <w:sz w:val="20"/>
                <w:szCs w:val="20"/>
              </w:rPr>
              <w:t xml:space="preserve">Lowrance, W., </w:t>
            </w:r>
            <w:proofErr w:type="spellStart"/>
            <w:r w:rsidRPr="00520C15">
              <w:rPr>
                <w:rFonts w:ascii="Arial Narrow" w:hAnsi="Arial Narrow"/>
                <w:sz w:val="20"/>
                <w:szCs w:val="20"/>
              </w:rPr>
              <w:t>Dreicer</w:t>
            </w:r>
            <w:proofErr w:type="spellEnd"/>
            <w:r w:rsidRPr="00520C15">
              <w:rPr>
                <w:rFonts w:ascii="Arial Narrow" w:hAnsi="Arial Narrow"/>
                <w:sz w:val="20"/>
                <w:szCs w:val="20"/>
              </w:rPr>
              <w:t>, R., Jarrard, D. F., Scarpato, K. R., Kim, S. K., Kirkby, E., ... &amp; Cookson, M. S. (2023). Updates to advanced prostate cancer: AUA/SUO guideline (2023). The Journal of Urology, 209(6), 1082-1090.</w:t>
            </w:r>
          </w:p>
        </w:tc>
      </w:tr>
      <w:tr w:rsidR="00042512" w:rsidRPr="00520C15" w14:paraId="7A9616C0" w14:textId="77777777" w:rsidTr="00FD441A">
        <w:tc>
          <w:tcPr>
            <w:tcW w:w="1129" w:type="dxa"/>
            <w:vMerge w:val="restart"/>
          </w:tcPr>
          <w:p w14:paraId="3A27DF07" w14:textId="61D26C67" w:rsidR="00042512" w:rsidRPr="00520C15" w:rsidRDefault="00042512">
            <w:pPr>
              <w:rPr>
                <w:rFonts w:ascii="Arial Narrow" w:hAnsi="Arial Narrow"/>
                <w:sz w:val="20"/>
                <w:szCs w:val="20"/>
              </w:rPr>
            </w:pPr>
            <w:r w:rsidRPr="00520C15">
              <w:rPr>
                <w:rFonts w:ascii="Arial Narrow" w:hAnsi="Arial Narrow"/>
                <w:sz w:val="20"/>
                <w:szCs w:val="20"/>
              </w:rPr>
              <w:t>EAU</w:t>
            </w:r>
          </w:p>
        </w:tc>
        <w:tc>
          <w:tcPr>
            <w:tcW w:w="8336" w:type="dxa"/>
          </w:tcPr>
          <w:p w14:paraId="26A3F260" w14:textId="527195A2" w:rsidR="00042512" w:rsidRPr="00520C15" w:rsidRDefault="00042512">
            <w:pPr>
              <w:rPr>
                <w:rFonts w:ascii="Arial Narrow" w:hAnsi="Arial Narrow"/>
                <w:sz w:val="20"/>
                <w:szCs w:val="20"/>
              </w:rPr>
            </w:pPr>
            <w:r w:rsidRPr="00520C15">
              <w:rPr>
                <w:rFonts w:ascii="Arial Narrow" w:hAnsi="Arial Narrow"/>
                <w:sz w:val="20"/>
                <w:szCs w:val="20"/>
              </w:rPr>
              <w:t xml:space="preserve">European Association of Urology (EAU). Guidelines on Urological Infections. </w:t>
            </w:r>
            <w:proofErr w:type="spellStart"/>
            <w:r w:rsidRPr="00520C15">
              <w:rPr>
                <w:rFonts w:ascii="Arial Narrow" w:hAnsi="Arial Narrow"/>
                <w:sz w:val="20"/>
                <w:szCs w:val="20"/>
              </w:rPr>
              <w:t>Edn</w:t>
            </w:r>
            <w:proofErr w:type="spellEnd"/>
            <w:r w:rsidRPr="00520C15">
              <w:rPr>
                <w:rFonts w:ascii="Arial Narrow" w:hAnsi="Arial Narrow"/>
                <w:sz w:val="20"/>
                <w:szCs w:val="20"/>
              </w:rPr>
              <w:t>. presented at the EAU Annual Congress Madrid 2025. ISBN 978-94-92671-29-5.</w:t>
            </w:r>
          </w:p>
        </w:tc>
      </w:tr>
      <w:tr w:rsidR="00042512" w:rsidRPr="00520C15" w14:paraId="3C80F74E" w14:textId="77777777" w:rsidTr="00FD441A">
        <w:tc>
          <w:tcPr>
            <w:tcW w:w="1129" w:type="dxa"/>
            <w:vMerge/>
          </w:tcPr>
          <w:p w14:paraId="772BDF87" w14:textId="77777777" w:rsidR="00042512" w:rsidRPr="00520C15" w:rsidRDefault="00042512">
            <w:pPr>
              <w:rPr>
                <w:rFonts w:ascii="Arial Narrow" w:hAnsi="Arial Narrow"/>
                <w:sz w:val="20"/>
                <w:szCs w:val="20"/>
              </w:rPr>
            </w:pPr>
          </w:p>
        </w:tc>
        <w:tc>
          <w:tcPr>
            <w:tcW w:w="8336" w:type="dxa"/>
          </w:tcPr>
          <w:p w14:paraId="692B4849" w14:textId="026DBB81" w:rsidR="00042512" w:rsidRPr="00520C15" w:rsidRDefault="00042512">
            <w:pPr>
              <w:rPr>
                <w:rFonts w:ascii="Arial Narrow" w:hAnsi="Arial Narrow"/>
                <w:sz w:val="20"/>
                <w:szCs w:val="20"/>
              </w:rPr>
            </w:pPr>
            <w:r w:rsidRPr="00042512">
              <w:rPr>
                <w:rFonts w:ascii="Arial Narrow" w:hAnsi="Arial Narrow"/>
                <w:sz w:val="20"/>
                <w:szCs w:val="20"/>
              </w:rPr>
              <w:t xml:space="preserve">European Association of Urology (EAU). Guidelines on </w:t>
            </w:r>
            <w:r>
              <w:rPr>
                <w:rFonts w:ascii="Arial Narrow" w:hAnsi="Arial Narrow"/>
                <w:sz w:val="20"/>
                <w:szCs w:val="20"/>
              </w:rPr>
              <w:t>Prostate Cancer (</w:t>
            </w:r>
            <w:r w:rsidRPr="00042512">
              <w:rPr>
                <w:rFonts w:ascii="Arial Narrow" w:hAnsi="Arial Narrow"/>
                <w:sz w:val="20"/>
                <w:szCs w:val="20"/>
              </w:rPr>
              <w:t>2025</w:t>
            </w:r>
            <w:r>
              <w:rPr>
                <w:rFonts w:ascii="Arial Narrow" w:hAnsi="Arial Narrow"/>
                <w:sz w:val="20"/>
                <w:szCs w:val="20"/>
              </w:rPr>
              <w:t>)</w:t>
            </w:r>
            <w:r w:rsidRPr="00042512">
              <w:rPr>
                <w:rFonts w:ascii="Arial Narrow" w:hAnsi="Arial Narrow"/>
                <w:sz w:val="20"/>
                <w:szCs w:val="20"/>
              </w:rPr>
              <w:t>. https://uroweb.org/guidelines/prostate-cancer.</w:t>
            </w:r>
          </w:p>
        </w:tc>
      </w:tr>
      <w:tr w:rsidR="00ED1D16" w:rsidRPr="00520C15" w14:paraId="19E5D8A6" w14:textId="77777777" w:rsidTr="00FD441A">
        <w:tc>
          <w:tcPr>
            <w:tcW w:w="1129" w:type="dxa"/>
            <w:vMerge w:val="restart"/>
          </w:tcPr>
          <w:p w14:paraId="589522BD" w14:textId="6DF7420A" w:rsidR="00EE72D5" w:rsidRPr="00520C15" w:rsidRDefault="00EE72D5">
            <w:pPr>
              <w:rPr>
                <w:rFonts w:ascii="Arial Narrow" w:hAnsi="Arial Narrow"/>
                <w:sz w:val="20"/>
                <w:szCs w:val="20"/>
              </w:rPr>
            </w:pPr>
            <w:r w:rsidRPr="00520C15">
              <w:rPr>
                <w:rFonts w:ascii="Arial Narrow" w:hAnsi="Arial Narrow"/>
                <w:sz w:val="20"/>
                <w:szCs w:val="20"/>
              </w:rPr>
              <w:t>ESMO</w:t>
            </w:r>
          </w:p>
        </w:tc>
        <w:tc>
          <w:tcPr>
            <w:tcW w:w="8336" w:type="dxa"/>
          </w:tcPr>
          <w:p w14:paraId="6C62806D" w14:textId="09916948" w:rsidR="00CC253C" w:rsidRPr="00520C15" w:rsidRDefault="00EE72D5">
            <w:pPr>
              <w:rPr>
                <w:rFonts w:ascii="Arial Narrow" w:hAnsi="Arial Narrow"/>
                <w:sz w:val="20"/>
                <w:szCs w:val="20"/>
              </w:rPr>
            </w:pPr>
            <w:r w:rsidRPr="00EE72D5">
              <w:rPr>
                <w:rFonts w:ascii="Arial Narrow" w:hAnsi="Arial Narrow"/>
                <w:sz w:val="20"/>
                <w:szCs w:val="20"/>
              </w:rPr>
              <w:t xml:space="preserve">Fizazi, K., </w:t>
            </w:r>
            <w:r w:rsidR="00CC253C">
              <w:rPr>
                <w:rFonts w:ascii="Arial Narrow" w:hAnsi="Arial Narrow"/>
                <w:sz w:val="20"/>
                <w:szCs w:val="20"/>
              </w:rPr>
              <w:t>Attard</w:t>
            </w:r>
            <w:r w:rsidRPr="00EE72D5">
              <w:rPr>
                <w:rFonts w:ascii="Arial Narrow" w:hAnsi="Arial Narrow"/>
                <w:sz w:val="20"/>
                <w:szCs w:val="20"/>
              </w:rPr>
              <w:t xml:space="preserve">, </w:t>
            </w:r>
            <w:r w:rsidR="00CC253C">
              <w:rPr>
                <w:rFonts w:ascii="Arial Narrow" w:hAnsi="Arial Narrow"/>
                <w:sz w:val="20"/>
                <w:szCs w:val="20"/>
              </w:rPr>
              <w:t>G</w:t>
            </w:r>
            <w:r w:rsidRPr="00EE72D5">
              <w:rPr>
                <w:rFonts w:ascii="Arial Narrow" w:hAnsi="Arial Narrow"/>
                <w:sz w:val="20"/>
                <w:szCs w:val="20"/>
              </w:rPr>
              <w:t xml:space="preserve">., </w:t>
            </w:r>
            <w:r w:rsidR="00CC253C">
              <w:rPr>
                <w:rFonts w:ascii="Arial Narrow" w:hAnsi="Arial Narrow"/>
                <w:sz w:val="20"/>
                <w:szCs w:val="20"/>
              </w:rPr>
              <w:t xml:space="preserve">Azad, A. A., et al. on behalf of the </w:t>
            </w:r>
            <w:r w:rsidRPr="00EE72D5">
              <w:rPr>
                <w:rFonts w:ascii="Arial Narrow" w:hAnsi="Arial Narrow"/>
                <w:sz w:val="20"/>
                <w:szCs w:val="20"/>
              </w:rPr>
              <w:t>ESMO Guidelines Committee. (202</w:t>
            </w:r>
            <w:r w:rsidR="00CC253C">
              <w:rPr>
                <w:rFonts w:ascii="Arial Narrow" w:hAnsi="Arial Narrow"/>
                <w:sz w:val="20"/>
                <w:szCs w:val="20"/>
              </w:rPr>
              <w:t>6</w:t>
            </w:r>
            <w:r w:rsidRPr="00EE72D5">
              <w:rPr>
                <w:rFonts w:ascii="Arial Narrow" w:hAnsi="Arial Narrow"/>
                <w:sz w:val="20"/>
                <w:szCs w:val="20"/>
              </w:rPr>
              <w:t xml:space="preserve">). </w:t>
            </w:r>
            <w:r w:rsidR="00CC253C" w:rsidRPr="00CC253C">
              <w:rPr>
                <w:rFonts w:ascii="Arial Narrow" w:hAnsi="Arial Narrow"/>
                <w:sz w:val="20"/>
                <w:szCs w:val="20"/>
              </w:rPr>
              <w:t>Advanced and metastatic prostate cancer: ESMO Clinical Practice Guideline for diagnosis, treatment and follow-up</w:t>
            </w:r>
            <w:r w:rsidRPr="00EE72D5">
              <w:rPr>
                <w:rFonts w:ascii="Arial Narrow" w:hAnsi="Arial Narrow"/>
                <w:sz w:val="20"/>
                <w:szCs w:val="20"/>
              </w:rPr>
              <w:t>. Annals of Oncology</w:t>
            </w:r>
            <w:r w:rsidR="00CC253C">
              <w:rPr>
                <w:rFonts w:ascii="Arial Narrow" w:hAnsi="Arial Narrow"/>
                <w:sz w:val="20"/>
                <w:szCs w:val="20"/>
              </w:rPr>
              <w:t>.</w:t>
            </w:r>
            <w:r w:rsidR="0029682F">
              <w:rPr>
                <w:rFonts w:ascii="Arial Narrow" w:hAnsi="Arial Narrow"/>
                <w:sz w:val="20"/>
                <w:szCs w:val="20"/>
              </w:rPr>
              <w:t xml:space="preserve"> </w:t>
            </w:r>
          </w:p>
        </w:tc>
      </w:tr>
      <w:tr w:rsidR="00CC253C" w:rsidRPr="00520C15" w14:paraId="27A4C9B9" w14:textId="77777777" w:rsidTr="00FD441A">
        <w:tc>
          <w:tcPr>
            <w:tcW w:w="1129" w:type="dxa"/>
            <w:vMerge/>
          </w:tcPr>
          <w:p w14:paraId="2973071C" w14:textId="77777777" w:rsidR="00CC253C" w:rsidRPr="00520C15" w:rsidRDefault="00CC253C">
            <w:pPr>
              <w:rPr>
                <w:rFonts w:ascii="Arial Narrow" w:hAnsi="Arial Narrow"/>
                <w:sz w:val="20"/>
                <w:szCs w:val="20"/>
              </w:rPr>
            </w:pPr>
          </w:p>
        </w:tc>
        <w:tc>
          <w:tcPr>
            <w:tcW w:w="8336" w:type="dxa"/>
          </w:tcPr>
          <w:p w14:paraId="3CE4913E" w14:textId="6E5EDA5A" w:rsidR="00CC253C" w:rsidRPr="00EE72D5" w:rsidRDefault="00CC253C">
            <w:pPr>
              <w:rPr>
                <w:rFonts w:ascii="Arial Narrow" w:hAnsi="Arial Narrow"/>
                <w:sz w:val="20"/>
                <w:szCs w:val="20"/>
              </w:rPr>
            </w:pPr>
            <w:r w:rsidRPr="00EE72D5">
              <w:rPr>
                <w:rFonts w:ascii="Arial Narrow" w:hAnsi="Arial Narrow"/>
                <w:sz w:val="20"/>
                <w:szCs w:val="20"/>
              </w:rPr>
              <w:t>Fizazi, K.</w:t>
            </w:r>
            <w:r w:rsidR="00042512">
              <w:rPr>
                <w:rFonts w:ascii="Arial Narrow" w:hAnsi="Arial Narrow"/>
                <w:sz w:val="20"/>
                <w:szCs w:val="20"/>
              </w:rPr>
              <w:t xml:space="preserve"> &amp;</w:t>
            </w:r>
            <w:r w:rsidRPr="00EE72D5">
              <w:rPr>
                <w:rFonts w:ascii="Arial Narrow" w:hAnsi="Arial Narrow"/>
                <w:sz w:val="20"/>
                <w:szCs w:val="20"/>
              </w:rPr>
              <w:t xml:space="preserve"> </w:t>
            </w:r>
            <w:proofErr w:type="spellStart"/>
            <w:r w:rsidRPr="00EE72D5">
              <w:rPr>
                <w:rFonts w:ascii="Arial Narrow" w:hAnsi="Arial Narrow"/>
                <w:sz w:val="20"/>
                <w:szCs w:val="20"/>
              </w:rPr>
              <w:t>Gillessen</w:t>
            </w:r>
            <w:proofErr w:type="spellEnd"/>
            <w:r w:rsidRPr="00EE72D5">
              <w:rPr>
                <w:rFonts w:ascii="Arial Narrow" w:hAnsi="Arial Narrow"/>
                <w:sz w:val="20"/>
                <w:szCs w:val="20"/>
              </w:rPr>
              <w:t>, S.</w:t>
            </w:r>
            <w:r w:rsidR="00042512">
              <w:rPr>
                <w:rFonts w:ascii="Arial Narrow" w:hAnsi="Arial Narrow"/>
                <w:sz w:val="20"/>
                <w:szCs w:val="20"/>
              </w:rPr>
              <w:t xml:space="preserve"> on behalf of the</w:t>
            </w:r>
            <w:r w:rsidRPr="00EE72D5">
              <w:rPr>
                <w:rFonts w:ascii="Arial Narrow" w:hAnsi="Arial Narrow"/>
                <w:sz w:val="20"/>
                <w:szCs w:val="20"/>
              </w:rPr>
              <w:t xml:space="preserve"> ESMO Guidelines Committee. (2023). Updated treatment recommendations for prostate cancer from the ESMO Clinical Practice Guideline considering treatment intensification and use of novel systemic agents. Annals of Oncology, 34(6), 557-563.</w:t>
            </w:r>
          </w:p>
        </w:tc>
      </w:tr>
      <w:tr w:rsidR="00ED1D16" w:rsidRPr="00520C15" w14:paraId="5721BEF9" w14:textId="77777777" w:rsidTr="00FD441A">
        <w:tc>
          <w:tcPr>
            <w:tcW w:w="1129" w:type="dxa"/>
            <w:vMerge/>
          </w:tcPr>
          <w:p w14:paraId="44C28BD0" w14:textId="77777777" w:rsidR="00EE72D5" w:rsidRPr="00520C15" w:rsidRDefault="00EE72D5">
            <w:pPr>
              <w:rPr>
                <w:rFonts w:ascii="Arial Narrow" w:hAnsi="Arial Narrow"/>
                <w:sz w:val="20"/>
                <w:szCs w:val="20"/>
              </w:rPr>
            </w:pPr>
          </w:p>
        </w:tc>
        <w:tc>
          <w:tcPr>
            <w:tcW w:w="8336" w:type="dxa"/>
          </w:tcPr>
          <w:p w14:paraId="767A9136" w14:textId="6E941601" w:rsidR="00EE72D5" w:rsidRPr="00EE72D5" w:rsidRDefault="00EF20D1">
            <w:pPr>
              <w:rPr>
                <w:rFonts w:ascii="Arial Narrow" w:hAnsi="Arial Narrow"/>
                <w:sz w:val="20"/>
                <w:szCs w:val="20"/>
              </w:rPr>
            </w:pPr>
            <w:r w:rsidRPr="00EF20D1">
              <w:rPr>
                <w:rFonts w:ascii="Arial Narrow" w:hAnsi="Arial Narrow"/>
                <w:sz w:val="20"/>
                <w:szCs w:val="20"/>
              </w:rPr>
              <w:t xml:space="preserve">Parker, C., Castro, E., </w:t>
            </w:r>
            <w:proofErr w:type="spellStart"/>
            <w:r w:rsidRPr="00EF20D1">
              <w:rPr>
                <w:rFonts w:ascii="Arial Narrow" w:hAnsi="Arial Narrow"/>
                <w:sz w:val="20"/>
                <w:szCs w:val="20"/>
              </w:rPr>
              <w:t>Fizazi</w:t>
            </w:r>
            <w:proofErr w:type="spellEnd"/>
            <w:r w:rsidRPr="00EF20D1">
              <w:rPr>
                <w:rFonts w:ascii="Arial Narrow" w:hAnsi="Arial Narrow"/>
                <w:sz w:val="20"/>
                <w:szCs w:val="20"/>
              </w:rPr>
              <w:t xml:space="preserve">, K., Heidenreich, A., Ost, P., Procopio, G., &amp; </w:t>
            </w:r>
            <w:proofErr w:type="spellStart"/>
            <w:r w:rsidRPr="00EF20D1">
              <w:rPr>
                <w:rFonts w:ascii="Arial Narrow" w:hAnsi="Arial Narrow"/>
                <w:sz w:val="20"/>
                <w:szCs w:val="20"/>
              </w:rPr>
              <w:t>Gillessen</w:t>
            </w:r>
            <w:proofErr w:type="spellEnd"/>
            <w:r w:rsidRPr="00EF20D1">
              <w:rPr>
                <w:rFonts w:ascii="Arial Narrow" w:hAnsi="Arial Narrow"/>
                <w:sz w:val="20"/>
                <w:szCs w:val="20"/>
              </w:rPr>
              <w:t>, S. (2020). Prostate cancer: ESMO Clinical Practice Guidelines for diagnosis, treatment and follow-up. Annals of Oncology, 31(9), 1119-1134.</w:t>
            </w:r>
          </w:p>
        </w:tc>
      </w:tr>
    </w:tbl>
    <w:p w14:paraId="12F0616A" w14:textId="79F72129" w:rsidR="00C94ACA" w:rsidRDefault="00E11E67" w:rsidP="00E11E67">
      <w:pPr>
        <w:pStyle w:val="NovartisFootnotes"/>
      </w:pPr>
      <w:r>
        <w:t>Abbreviations: AUA, American Urological Association; EAU, European Association of Urology; ESMO, European Society for Medical Oncology; NCCN, National Comprehensive Cancer Network.</w:t>
      </w:r>
    </w:p>
    <w:p w14:paraId="71E97928" w14:textId="388FB059" w:rsidR="0028124A" w:rsidRDefault="0028124A" w:rsidP="00E11E67">
      <w:pPr>
        <w:pStyle w:val="NovartisFootnotes"/>
      </w:pPr>
      <w:r w:rsidRPr="00943045">
        <w:t xml:space="preserve">Source: </w:t>
      </w:r>
      <w:r w:rsidR="00916491">
        <w:t xml:space="preserve">Comparator selection for mCRPC </w:t>
      </w:r>
      <w:r w:rsidRPr="00943045">
        <w:t xml:space="preserve">Attachment </w:t>
      </w:r>
      <w:r w:rsidR="002B11EA">
        <w:t>B</w:t>
      </w:r>
    </w:p>
    <w:p w14:paraId="036FD909" w14:textId="77777777" w:rsidR="00E11E67" w:rsidRDefault="00E11E67" w:rsidP="00997DDF"/>
    <w:p w14:paraId="44C818BA" w14:textId="017F7D23" w:rsidR="00474B57" w:rsidRDefault="00BD528A" w:rsidP="00997DDF">
      <w:r>
        <w:t xml:space="preserve">Briefly, </w:t>
      </w:r>
      <w:r w:rsidRPr="006C0252">
        <w:t>five therapies are consistently recommended for mCRPC patients in various settings</w:t>
      </w:r>
      <w:r>
        <w:t>:</w:t>
      </w:r>
    </w:p>
    <w:p w14:paraId="544723E6" w14:textId="77777777" w:rsidR="0028124A" w:rsidRDefault="00BD528A" w:rsidP="00BD528A">
      <w:pPr>
        <w:pStyle w:val="ListParagraph"/>
        <w:numPr>
          <w:ilvl w:val="0"/>
          <w:numId w:val="21"/>
        </w:numPr>
      </w:pPr>
      <w:r>
        <w:t>Abiraterone (plus prednisolone / prednisone)</w:t>
      </w:r>
    </w:p>
    <w:p w14:paraId="6B1EA892" w14:textId="520BC1B0" w:rsidR="00BD528A" w:rsidRDefault="0028124A" w:rsidP="00BD528A">
      <w:pPr>
        <w:pStyle w:val="ListParagraph"/>
        <w:numPr>
          <w:ilvl w:val="0"/>
          <w:numId w:val="21"/>
        </w:numPr>
      </w:pPr>
      <w:r>
        <w:t>E</w:t>
      </w:r>
      <w:r w:rsidR="00BD528A">
        <w:t>nzalutamide</w:t>
      </w:r>
    </w:p>
    <w:p w14:paraId="1235E63F" w14:textId="69BCCDE1" w:rsidR="00BD528A" w:rsidRDefault="00BD528A" w:rsidP="00BD528A">
      <w:pPr>
        <w:pStyle w:val="ListParagraph"/>
        <w:numPr>
          <w:ilvl w:val="0"/>
          <w:numId w:val="21"/>
        </w:numPr>
      </w:pPr>
      <w:r w:rsidRPr="008248B2">
        <w:rPr>
          <w:vertAlign w:val="superscript"/>
        </w:rPr>
        <w:t>177</w:t>
      </w:r>
      <w:r>
        <w:t>Lu-PSMA-617</w:t>
      </w:r>
    </w:p>
    <w:p w14:paraId="6FF6F084" w14:textId="5A320A91" w:rsidR="00BD528A" w:rsidRDefault="00BD528A" w:rsidP="00BD528A">
      <w:pPr>
        <w:pStyle w:val="ListParagraph"/>
        <w:numPr>
          <w:ilvl w:val="0"/>
          <w:numId w:val="21"/>
        </w:numPr>
      </w:pPr>
      <w:r>
        <w:t>Docetaxel</w:t>
      </w:r>
    </w:p>
    <w:p w14:paraId="04E788E3" w14:textId="33039307" w:rsidR="00BD528A" w:rsidRDefault="00BD528A" w:rsidP="00BD528A">
      <w:pPr>
        <w:pStyle w:val="ListParagraph"/>
        <w:numPr>
          <w:ilvl w:val="0"/>
          <w:numId w:val="21"/>
        </w:numPr>
      </w:pPr>
      <w:proofErr w:type="spellStart"/>
      <w:r>
        <w:t>Cabazitaxel</w:t>
      </w:r>
      <w:proofErr w:type="spellEnd"/>
    </w:p>
    <w:p w14:paraId="460D52B7" w14:textId="063E9478" w:rsidR="00997DDF" w:rsidRDefault="00997DDF" w:rsidP="00997DDF">
      <w:r>
        <w:t>Therapy choices and sequencing depend on factors such as patient preferences, prior treatments, health conditions, performance status, visceral metastases, symptoms, side effects, cross-resistance among AR</w:t>
      </w:r>
      <w:r w:rsidR="00B37B12">
        <w:t>P</w:t>
      </w:r>
      <w:r>
        <w:t>Is, and genetic changes like BRCA2 or ATM. PBS restrictions may further limit medication use.</w:t>
      </w:r>
    </w:p>
    <w:p w14:paraId="381F52BC" w14:textId="2B53722A" w:rsidR="001E24A3" w:rsidRDefault="00997DDF" w:rsidP="00997DDF">
      <w:r>
        <w:t xml:space="preserve">All clinical practice guidelines recommend ARPI as the preferred treatment option prior to chemotherapy, given the more favourable safety profiles. Docetaxel is </w:t>
      </w:r>
      <w:r w:rsidR="00EB388E">
        <w:t>recommended</w:t>
      </w:r>
      <w:r>
        <w:t xml:space="preserve"> across all clinical practice guidelines for mCRPC patients that progress following abiraterone or enzalutamide but are taxane naïve. NCCN and ESMO guidelines recommend </w:t>
      </w:r>
      <w:r w:rsidRPr="00997DDF">
        <w:rPr>
          <w:vertAlign w:val="superscript"/>
        </w:rPr>
        <w:t>177</w:t>
      </w:r>
      <w:r>
        <w:t xml:space="preserve">Lu-PSMA-617 </w:t>
      </w:r>
      <w:r w:rsidR="000D3ADA">
        <w:t xml:space="preserve">for PSMA-positive </w:t>
      </w:r>
      <w:r w:rsidR="0010678F">
        <w:t xml:space="preserve">mCRPC </w:t>
      </w:r>
      <w:r w:rsidR="000D3ADA">
        <w:t>patients</w:t>
      </w:r>
      <w:r w:rsidR="0010678F">
        <w:t xml:space="preserve"> in the pre- and post-taxane setting</w:t>
      </w:r>
      <w:r>
        <w:t xml:space="preserve"> based on the </w:t>
      </w:r>
      <w:proofErr w:type="spellStart"/>
      <w:r>
        <w:t>PSMAfore</w:t>
      </w:r>
      <w:proofErr w:type="spellEnd"/>
      <w:r>
        <w:t xml:space="preserve"> </w:t>
      </w:r>
      <w:r w:rsidR="00E11E67">
        <w:t xml:space="preserve">and VISION clinical </w:t>
      </w:r>
      <w:r>
        <w:t>trial</w:t>
      </w:r>
      <w:r w:rsidR="00E11E67">
        <w:t>s</w:t>
      </w:r>
      <w:r>
        <w:t>.</w:t>
      </w:r>
    </w:p>
    <w:p w14:paraId="1BD84C76" w14:textId="761DAAEA" w:rsidR="00224DA8" w:rsidRDefault="004540ED" w:rsidP="00997DDF">
      <w:r w:rsidRPr="004540ED">
        <w:t xml:space="preserve">In Australia, </w:t>
      </w:r>
      <w:r>
        <w:t>c</w:t>
      </w:r>
      <w:r w:rsidRPr="004540ED">
        <w:t>urrent PBS criteria restrict the use of ARPIs to once per lifetime, meaning AR</w:t>
      </w:r>
      <w:r w:rsidR="00B37B12">
        <w:t>P</w:t>
      </w:r>
      <w:r w:rsidRPr="004540ED">
        <w:t>I switching is not a treatment option for the proposed patient population</w:t>
      </w:r>
      <w:r w:rsidR="005A70A7">
        <w:t xml:space="preserve">. </w:t>
      </w:r>
      <w:r w:rsidR="005A70A7" w:rsidRPr="005A70A7">
        <w:t>DUSC data indicate that following treatment with a novel hormone therapy, 14% of patients receive docetaxel and 71% do not receive any subsequent treatment within 18-24 months of follow-up (olaparib PSD, para 5.2, March 2021 PBAC Meeting).</w:t>
      </w:r>
      <w:r w:rsidR="00A043F6">
        <w:t xml:space="preserve"> </w:t>
      </w:r>
      <w:r w:rsidR="005A70A7">
        <w:t xml:space="preserve">As such, docetaxel or palliative care </w:t>
      </w:r>
      <w:r w:rsidR="00A043F6">
        <w:t xml:space="preserve">are </w:t>
      </w:r>
      <w:r w:rsidR="00972E3D">
        <w:t>the most appropriate comparators.</w:t>
      </w:r>
    </w:p>
    <w:p w14:paraId="7D835BE0" w14:textId="77777777" w:rsidR="00361BBE" w:rsidRPr="00D163F8" w:rsidRDefault="005B5A58" w:rsidP="00562061">
      <w:pPr>
        <w:pStyle w:val="Heading2"/>
      </w:pPr>
      <w:r w:rsidRPr="00D163F8">
        <w:t xml:space="preserve">Pattern of substitution – Will the proposed health technology wholly </w:t>
      </w:r>
      <w:proofErr w:type="gramStart"/>
      <w:r w:rsidRPr="00D163F8">
        <w:t>replace</w:t>
      </w:r>
      <w:proofErr w:type="gramEnd"/>
      <w:r w:rsidRPr="00D163F8">
        <w:t xml:space="preserve"> the proposed comparator, partially replace </w:t>
      </w:r>
      <w:r w:rsidR="000627EF" w:rsidRPr="00D163F8">
        <w:t>the proposed comparator, displace the proposed comparator or be used in combination with the proposed comparator?</w:t>
      </w:r>
      <w:r w:rsidR="00DB2D53" w:rsidRPr="00D163F8">
        <w:t xml:space="preserve"> </w:t>
      </w:r>
    </w:p>
    <w:p w14:paraId="0A5F4C44" w14:textId="35C516A9" w:rsidR="000627EF" w:rsidRPr="0089269F" w:rsidRDefault="0088630C" w:rsidP="00582377">
      <w:pPr>
        <w:pStyle w:val="Tickboxes"/>
        <w:rPr>
          <w:sz w:val="24"/>
          <w:szCs w:val="24"/>
        </w:rPr>
      </w:pPr>
      <w:r>
        <w:rPr>
          <w:sz w:val="24"/>
          <w:szCs w:val="24"/>
        </w:rPr>
        <w:fldChar w:fldCharType="begin">
          <w:ffData>
            <w:name w:val=""/>
            <w:enabled/>
            <w:calcOnExit w:val="0"/>
            <w:statusText w:type="text" w:val="Pattern of substitution None (used with the comparator)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89269F">
        <w:rPr>
          <w:sz w:val="24"/>
          <w:szCs w:val="24"/>
        </w:rPr>
        <w:t xml:space="preserve"> </w:t>
      </w:r>
      <w:r w:rsidR="000627EF" w:rsidRPr="0089269F">
        <w:rPr>
          <w:sz w:val="24"/>
          <w:szCs w:val="24"/>
        </w:rPr>
        <w:t xml:space="preserve">None </w:t>
      </w:r>
      <w:r w:rsidR="00BC0C43" w:rsidRPr="0089269F">
        <w:rPr>
          <w:sz w:val="24"/>
          <w:szCs w:val="24"/>
        </w:rPr>
        <w:t>(u</w:t>
      </w:r>
      <w:r w:rsidR="000627EF" w:rsidRPr="0089269F">
        <w:rPr>
          <w:sz w:val="24"/>
          <w:szCs w:val="24"/>
        </w:rPr>
        <w:t>sed with the comparator</w:t>
      </w:r>
      <w:r w:rsidR="00BC0C43" w:rsidRPr="0089269F">
        <w:rPr>
          <w:sz w:val="24"/>
          <w:szCs w:val="24"/>
        </w:rPr>
        <w:t>)</w:t>
      </w:r>
      <w:r w:rsidR="000627EF" w:rsidRPr="0089269F">
        <w:rPr>
          <w:sz w:val="24"/>
          <w:szCs w:val="24"/>
        </w:rPr>
        <w:t xml:space="preserve"> </w:t>
      </w:r>
    </w:p>
    <w:p w14:paraId="04FD711F" w14:textId="13BDC09A" w:rsidR="000627EF" w:rsidRPr="0089269F" w:rsidRDefault="00EB16E8" w:rsidP="00582377">
      <w:pPr>
        <w:pStyle w:val="Tickboxes"/>
        <w:rPr>
          <w:sz w:val="24"/>
          <w:szCs w:val="24"/>
        </w:rPr>
      </w:pPr>
      <w:r>
        <w:rPr>
          <w:sz w:val="24"/>
          <w:szCs w:val="24"/>
        </w:rPr>
        <w:fldChar w:fldCharType="begin">
          <w:ffData>
            <w:name w:val=""/>
            <w:enabled/>
            <w:calcOnExit w:val="0"/>
            <w:statusText w:type="text" w:val="Pattern of substitution Displaced (comparator will likely be used following the proposed technology in some patient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Displaced </w:t>
      </w:r>
      <w:r w:rsidR="00BC0C43" w:rsidRPr="0089269F">
        <w:rPr>
          <w:sz w:val="24"/>
          <w:szCs w:val="24"/>
        </w:rPr>
        <w:t>(c</w:t>
      </w:r>
      <w:r w:rsidR="000627EF" w:rsidRPr="0089269F">
        <w:rPr>
          <w:sz w:val="24"/>
          <w:szCs w:val="24"/>
        </w:rPr>
        <w:t>omparator will likely be used following the proposed technology in some patients</w:t>
      </w:r>
      <w:r w:rsidR="00BC0C43" w:rsidRPr="0089269F">
        <w:rPr>
          <w:sz w:val="24"/>
          <w:szCs w:val="24"/>
        </w:rPr>
        <w:t>)</w:t>
      </w:r>
    </w:p>
    <w:p w14:paraId="3243B3BE" w14:textId="12DA7CC2" w:rsidR="000627EF" w:rsidRPr="0089269F" w:rsidRDefault="00124084" w:rsidP="00582377">
      <w:pPr>
        <w:pStyle w:val="Tickboxes"/>
        <w:rPr>
          <w:sz w:val="24"/>
          <w:szCs w:val="24"/>
        </w:rPr>
      </w:pPr>
      <w:r>
        <w:rPr>
          <w:sz w:val="24"/>
          <w:szCs w:val="24"/>
        </w:rPr>
        <w:fldChar w:fldCharType="begin">
          <w:ffData>
            <w:name w:val=""/>
            <w:enabled/>
            <w:calcOnExit w:val="0"/>
            <w:statusText w:type="text" w:val="Pattern of substitution Partial (in some cases, the proposed technology will replace the use of the comparator, but not all)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Partial </w:t>
      </w:r>
      <w:r w:rsidR="00BC0C43" w:rsidRPr="0089269F">
        <w:rPr>
          <w:sz w:val="24"/>
          <w:szCs w:val="24"/>
        </w:rPr>
        <w:t>(in</w:t>
      </w:r>
      <w:r w:rsidR="000627EF" w:rsidRPr="0089269F">
        <w:rPr>
          <w:sz w:val="24"/>
          <w:szCs w:val="24"/>
        </w:rPr>
        <w:t xml:space="preserve"> some cases, the proposed technology will replace the use of the comparator, but not all</w:t>
      </w:r>
      <w:r w:rsidR="00BC0C43" w:rsidRPr="0089269F">
        <w:rPr>
          <w:sz w:val="24"/>
          <w:szCs w:val="24"/>
        </w:rPr>
        <w:t>)</w:t>
      </w:r>
      <w:r w:rsidR="000627EF" w:rsidRPr="0089269F">
        <w:rPr>
          <w:sz w:val="24"/>
          <w:szCs w:val="24"/>
        </w:rPr>
        <w:t xml:space="preserve"> </w:t>
      </w:r>
    </w:p>
    <w:p w14:paraId="32AA0FD6" w14:textId="79C89DB1" w:rsidR="000627EF" w:rsidRDefault="00C512C6" w:rsidP="00582377">
      <w:pPr>
        <w:pStyle w:val="Tickboxes"/>
        <w:rPr>
          <w:sz w:val="24"/>
          <w:szCs w:val="24"/>
        </w:rPr>
      </w:pPr>
      <w:r>
        <w:rPr>
          <w:sz w:val="24"/>
          <w:szCs w:val="24"/>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Full </w:t>
      </w:r>
      <w:r w:rsidR="00BC0C43" w:rsidRPr="0089269F">
        <w:rPr>
          <w:sz w:val="24"/>
          <w:szCs w:val="24"/>
        </w:rPr>
        <w:t>(s</w:t>
      </w:r>
      <w:r w:rsidR="000627EF" w:rsidRPr="0089269F">
        <w:rPr>
          <w:sz w:val="24"/>
          <w:szCs w:val="24"/>
        </w:rPr>
        <w:t>ubjects who receive the proposed intervention will not receive the comparator</w:t>
      </w:r>
      <w:r w:rsidR="00BC0C43" w:rsidRPr="0089269F">
        <w:rPr>
          <w:sz w:val="24"/>
          <w:szCs w:val="24"/>
        </w:rPr>
        <w:t>)</w:t>
      </w:r>
    </w:p>
    <w:p w14:paraId="2F82DAE1" w14:textId="77777777" w:rsidR="002231B4" w:rsidRPr="0089269F" w:rsidRDefault="002231B4" w:rsidP="00582377">
      <w:pPr>
        <w:pStyle w:val="Tickboxes"/>
        <w:rPr>
          <w:sz w:val="24"/>
          <w:szCs w:val="24"/>
        </w:rPr>
      </w:pPr>
    </w:p>
    <w:p w14:paraId="3D9A6633" w14:textId="0FC8A361" w:rsidR="000627EF" w:rsidRPr="00D163F8" w:rsidRDefault="00EA0AA0" w:rsidP="00562061">
      <w:pPr>
        <w:pStyle w:val="Heading2"/>
      </w:pPr>
      <w:r w:rsidRPr="00D163F8">
        <w:lastRenderedPageBreak/>
        <w:t>Outline and e</w:t>
      </w:r>
      <w:r w:rsidR="000627EF" w:rsidRPr="00D163F8">
        <w:t>xplain the extent to which the current comparator is expected to be substituted:</w:t>
      </w:r>
    </w:p>
    <w:p w14:paraId="289AE07E" w14:textId="4EB8F1EF" w:rsidR="00737864" w:rsidRPr="00E601C5" w:rsidRDefault="005B2552" w:rsidP="00BC0C43">
      <w:r w:rsidRPr="00DA462A">
        <w:rPr>
          <w:color w:val="000000"/>
        </w:rPr>
        <w:t xml:space="preserve">The funding of </w:t>
      </w:r>
      <w:r w:rsidRPr="00DA462A">
        <w:rPr>
          <w:color w:val="000000"/>
          <w:vertAlign w:val="superscript"/>
        </w:rPr>
        <w:t>177</w:t>
      </w:r>
      <w:r w:rsidRPr="00DA462A">
        <w:rPr>
          <w:color w:val="000000"/>
        </w:rPr>
        <w:t xml:space="preserve">Lu-PSMA-617 for </w:t>
      </w:r>
      <w:r w:rsidR="006E2DB1">
        <w:rPr>
          <w:color w:val="000000"/>
        </w:rPr>
        <w:t xml:space="preserve">PSMA-positive </w:t>
      </w:r>
      <w:r w:rsidRPr="00DA462A">
        <w:rPr>
          <w:color w:val="000000"/>
        </w:rPr>
        <w:t xml:space="preserve">mCRPC patients who progress following ARPI but are taxane-naïve will provide patients with an alternative treatment option to </w:t>
      </w:r>
      <w:r w:rsidR="00B30E74">
        <w:rPr>
          <w:color w:val="000000"/>
        </w:rPr>
        <w:t>docetaxel or palliative care</w:t>
      </w:r>
      <w:r w:rsidRPr="00DA462A">
        <w:rPr>
          <w:color w:val="000000"/>
        </w:rPr>
        <w:t>.</w:t>
      </w:r>
      <w:r w:rsidR="00124084">
        <w:rPr>
          <w:color w:val="000000"/>
        </w:rPr>
        <w:t xml:space="preserve"> </w:t>
      </w:r>
      <w:r w:rsidR="00E351A2" w:rsidRPr="000B6061">
        <w:t xml:space="preserve">DUSC data indicates that </w:t>
      </w:r>
      <w:r w:rsidR="00E351A2">
        <w:t xml:space="preserve">only </w:t>
      </w:r>
      <w:r w:rsidR="00E351A2" w:rsidRPr="000B6061">
        <w:t xml:space="preserve">14% </w:t>
      </w:r>
      <w:r w:rsidR="00E351A2">
        <w:t xml:space="preserve">of patients </w:t>
      </w:r>
      <w:r w:rsidR="00E351A2" w:rsidRPr="000B6061">
        <w:t xml:space="preserve">receive docetaxel </w:t>
      </w:r>
      <w:r w:rsidR="00E351A2">
        <w:t xml:space="preserve">in the </w:t>
      </w:r>
      <w:r w:rsidR="00145D02">
        <w:t xml:space="preserve">18-24 months </w:t>
      </w:r>
      <w:r w:rsidR="00E351A2" w:rsidRPr="000B6061">
        <w:t>following treatment with a novel hormone therapy</w:t>
      </w:r>
      <w:r w:rsidR="00737864">
        <w:t xml:space="preserve"> </w:t>
      </w:r>
      <w:r w:rsidR="00E351A2" w:rsidRPr="000B6061">
        <w:t>(olaparib PSD, para 5.2, March 2021 PBAC Meeting)</w:t>
      </w:r>
      <w:r w:rsidR="00145D02">
        <w:t xml:space="preserve">. This suggests that most patients </w:t>
      </w:r>
      <w:r w:rsidR="007366AB">
        <w:t xml:space="preserve">forgo </w:t>
      </w:r>
      <w:r w:rsidR="00E601C5">
        <w:t xml:space="preserve">subsequent treatment leaving them without any other treatment options. </w:t>
      </w:r>
    </w:p>
    <w:p w14:paraId="3CC774EA" w14:textId="1D7EBF49" w:rsidR="00EB16E8" w:rsidRDefault="004F69F0" w:rsidP="00BC0C43">
      <w:pPr>
        <w:rPr>
          <w:color w:val="000000"/>
        </w:rPr>
      </w:pPr>
      <w:r>
        <w:rPr>
          <w:color w:val="000000"/>
        </w:rPr>
        <w:t>I</w:t>
      </w:r>
      <w:r w:rsidR="005B2552" w:rsidRPr="00DA462A">
        <w:rPr>
          <w:color w:val="000000"/>
        </w:rPr>
        <w:t xml:space="preserve">t is likely that clinicians and patients will prefer </w:t>
      </w:r>
      <w:r w:rsidR="005B2552" w:rsidRPr="00DA462A">
        <w:rPr>
          <w:color w:val="000000"/>
          <w:vertAlign w:val="superscript"/>
        </w:rPr>
        <w:t>177</w:t>
      </w:r>
      <w:r w:rsidR="005B2552" w:rsidRPr="00DA462A">
        <w:rPr>
          <w:color w:val="000000"/>
        </w:rPr>
        <w:t xml:space="preserve">Lu-PSMA-617 over docetaxel </w:t>
      </w:r>
      <w:r w:rsidR="00653592">
        <w:rPr>
          <w:color w:val="000000"/>
        </w:rPr>
        <w:t xml:space="preserve">(or no further treatment) </w:t>
      </w:r>
      <w:r>
        <w:rPr>
          <w:color w:val="000000"/>
        </w:rPr>
        <w:t xml:space="preserve">following ARPI </w:t>
      </w:r>
      <w:r w:rsidR="005B2552" w:rsidRPr="00DA462A">
        <w:rPr>
          <w:color w:val="000000"/>
        </w:rPr>
        <w:t xml:space="preserve">due to favourable quality of life and a different but manageable safety profile. </w:t>
      </w:r>
      <w:r w:rsidR="007309F1">
        <w:rPr>
          <w:color w:val="000000"/>
        </w:rPr>
        <w:t>As a result</w:t>
      </w:r>
      <w:r w:rsidR="005B2552" w:rsidRPr="00DA462A">
        <w:rPr>
          <w:color w:val="000000"/>
        </w:rPr>
        <w:t xml:space="preserve">, docetaxel will likely be a </w:t>
      </w:r>
      <w:r w:rsidR="007309F1">
        <w:rPr>
          <w:color w:val="000000"/>
        </w:rPr>
        <w:t>subsequent</w:t>
      </w:r>
      <w:r w:rsidR="005B2552" w:rsidRPr="00DA462A">
        <w:rPr>
          <w:color w:val="000000"/>
        </w:rPr>
        <w:t xml:space="preserve"> treatment option </w:t>
      </w:r>
      <w:r w:rsidR="007309F1">
        <w:rPr>
          <w:color w:val="000000"/>
        </w:rPr>
        <w:t>for</w:t>
      </w:r>
      <w:r w:rsidR="005B2552" w:rsidRPr="00DA462A">
        <w:rPr>
          <w:color w:val="000000"/>
        </w:rPr>
        <w:t xml:space="preserve"> patients who</w:t>
      </w:r>
      <w:r w:rsidR="007309F1">
        <w:rPr>
          <w:color w:val="000000"/>
        </w:rPr>
        <w:t xml:space="preserve"> may</w:t>
      </w:r>
      <w:r w:rsidR="005B2552" w:rsidRPr="00DA462A">
        <w:rPr>
          <w:color w:val="000000"/>
        </w:rPr>
        <w:t xml:space="preserve"> progress following treatment with </w:t>
      </w:r>
      <w:r w:rsidR="005B2552" w:rsidRPr="00DA462A">
        <w:rPr>
          <w:color w:val="000000"/>
          <w:vertAlign w:val="superscript"/>
        </w:rPr>
        <w:t>177</w:t>
      </w:r>
      <w:r w:rsidR="005B2552" w:rsidRPr="00DA462A">
        <w:rPr>
          <w:color w:val="000000"/>
        </w:rPr>
        <w:t>Lu-PSMA-617.</w:t>
      </w:r>
    </w:p>
    <w:p w14:paraId="527F0163" w14:textId="2737A668" w:rsidR="0016065A" w:rsidRPr="00A84BCA" w:rsidRDefault="0016065A" w:rsidP="00EA0AA0">
      <w:pPr>
        <w:pStyle w:val="Heading1"/>
        <w:rPr>
          <w:color w:val="002060"/>
        </w:rPr>
      </w:pPr>
      <w:r w:rsidRPr="00A84BCA">
        <w:rPr>
          <w:color w:val="002060"/>
        </w:rPr>
        <w:t>Outcome</w:t>
      </w:r>
      <w:r w:rsidR="00770FA6" w:rsidRPr="00A84BCA">
        <w:rPr>
          <w:color w:val="002060"/>
        </w:rPr>
        <w:t>s</w:t>
      </w:r>
    </w:p>
    <w:p w14:paraId="17E1F7BE" w14:textId="77777777" w:rsidR="00361BBE" w:rsidRDefault="004C02B7" w:rsidP="00562061">
      <w:pPr>
        <w:pStyle w:val="Heading2"/>
      </w:pPr>
      <w:r w:rsidRPr="00D163F8">
        <w:t>List the key health outcomes (major and minor – prioritising major key health outcomes first) that will need to be measured in assessing the clinical claim for the proposed medical service/technology (versus the comparator):</w:t>
      </w:r>
      <w:r w:rsidR="00DB2D53" w:rsidRPr="00D163F8">
        <w:t xml:space="preserve"> </w:t>
      </w:r>
    </w:p>
    <w:p w14:paraId="3A35651A" w14:textId="0B3B3D6F" w:rsidR="00453BB1" w:rsidRDefault="00453BB1" w:rsidP="00ED125B">
      <w:r>
        <w:t>The clinical claim will be assessed on radiographic progression-free survival (</w:t>
      </w:r>
      <w:proofErr w:type="spellStart"/>
      <w:r>
        <w:t>rPFS</w:t>
      </w:r>
      <w:proofErr w:type="spellEnd"/>
      <w:r>
        <w:t>) as the primary outcome for effectiveness, and adverse events for safety.</w:t>
      </w:r>
    </w:p>
    <w:p w14:paraId="1ACE0F2D" w14:textId="07A2F07C" w:rsidR="00ED125B" w:rsidRDefault="00453BB1" w:rsidP="00ED125B">
      <w:r>
        <w:t xml:space="preserve">Additional secondary and exploratory outcomes for effectiveness include </w:t>
      </w:r>
      <w:r w:rsidR="00866E2B">
        <w:t>overall survival (</w:t>
      </w:r>
      <w:r w:rsidR="00D7035A">
        <w:t>OS</w:t>
      </w:r>
      <w:r w:rsidR="00866E2B">
        <w:t>)</w:t>
      </w:r>
      <w:r>
        <w:t xml:space="preserve">, </w:t>
      </w:r>
      <w:r w:rsidR="00D7035A">
        <w:t>progression-free survival</w:t>
      </w:r>
      <w:r w:rsidR="00710DAA">
        <w:t xml:space="preserve"> (PFS)</w:t>
      </w:r>
      <w:r>
        <w:t>, PSA50 response, time to symptomatic skeletal events</w:t>
      </w:r>
      <w:r w:rsidR="00710DAA">
        <w:t xml:space="preserve"> (TTSSE)</w:t>
      </w:r>
      <w:r>
        <w:t>, time to soft tissue progression, time to chemotherapy, and patient-related outcomes</w:t>
      </w:r>
      <w:r w:rsidR="00710DAA">
        <w:t xml:space="preserve"> (PROs)</w:t>
      </w:r>
      <w:r>
        <w:t>.</w:t>
      </w:r>
    </w:p>
    <w:p w14:paraId="612D24BA" w14:textId="1219DA9F" w:rsidR="00482C1C" w:rsidRPr="00D0784D" w:rsidRDefault="00482C1C" w:rsidP="00ED125B">
      <w:r>
        <w:t xml:space="preserve">The diagnostic test PSMA PET has been assessed and considered </w:t>
      </w:r>
      <w:r w:rsidR="00276479">
        <w:t xml:space="preserve">clinically superior and </w:t>
      </w:r>
      <w:r>
        <w:t xml:space="preserve">cost-effective by MSAC. As such, effectiveness outcomes </w:t>
      </w:r>
      <w:r w:rsidR="008B7316">
        <w:t xml:space="preserve">for the test </w:t>
      </w:r>
      <w:r>
        <w:t>(e.g., diagnostic accuracy) are not relevant.</w:t>
      </w:r>
    </w:p>
    <w:p w14:paraId="2BA09AC5" w14:textId="26A078BA" w:rsidR="004C02B7" w:rsidRPr="0089269F" w:rsidRDefault="002D2EB5" w:rsidP="00582377">
      <w:pPr>
        <w:pStyle w:val="Tickboxes"/>
        <w:rPr>
          <w:sz w:val="24"/>
          <w:szCs w:val="24"/>
        </w:rPr>
      </w:pPr>
      <w:r>
        <w:rPr>
          <w:sz w:val="24"/>
          <w:szCs w:val="24"/>
        </w:rPr>
        <w:fldChar w:fldCharType="begin">
          <w:ffData>
            <w:name w:val=""/>
            <w:enabled/>
            <w:calcOnExit w:val="0"/>
            <w:statusText w:type="text" w:val="Health outcomes Health benefits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89269F">
        <w:rPr>
          <w:sz w:val="24"/>
          <w:szCs w:val="24"/>
        </w:rPr>
        <w:t xml:space="preserve"> </w:t>
      </w:r>
      <w:r w:rsidR="004C02B7" w:rsidRPr="0089269F">
        <w:rPr>
          <w:sz w:val="24"/>
          <w:szCs w:val="24"/>
        </w:rPr>
        <w:t xml:space="preserve">Health benefits </w:t>
      </w:r>
    </w:p>
    <w:p w14:paraId="4B5E35E8" w14:textId="3D0490E6" w:rsidR="004C02B7" w:rsidRPr="0089269F" w:rsidRDefault="002D2EB5" w:rsidP="00582377">
      <w:pPr>
        <w:pStyle w:val="Tickboxes"/>
        <w:rPr>
          <w:sz w:val="24"/>
          <w:szCs w:val="24"/>
        </w:rPr>
      </w:pPr>
      <w:r>
        <w:rPr>
          <w:sz w:val="24"/>
          <w:szCs w:val="24"/>
        </w:rPr>
        <w:fldChar w:fldCharType="begin">
          <w:ffData>
            <w:name w:val=""/>
            <w:enabled/>
            <w:calcOnExit w:val="0"/>
            <w:statusText w:type="text" w:val="Health outcomes Health harm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Health harms</w:t>
      </w:r>
    </w:p>
    <w:p w14:paraId="7846E3EA" w14:textId="739E1FE9" w:rsidR="004C02B7" w:rsidRPr="0089269F" w:rsidRDefault="002F1641" w:rsidP="00582377">
      <w:pPr>
        <w:pStyle w:val="Tickboxes"/>
        <w:rPr>
          <w:sz w:val="24"/>
          <w:szCs w:val="24"/>
        </w:rPr>
      </w:pPr>
      <w:r>
        <w:rPr>
          <w:sz w:val="24"/>
          <w:szCs w:val="24"/>
        </w:rPr>
        <w:fldChar w:fldCharType="begin">
          <w:ffData>
            <w:name w:val=""/>
            <w:enabled/>
            <w:calcOnExit w:val="0"/>
            <w:statusText w:type="text" w:val="Health outcomes Resource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Resources </w:t>
      </w:r>
    </w:p>
    <w:p w14:paraId="4A3C8161" w14:textId="4FDD152F" w:rsidR="00E00CD3" w:rsidRDefault="002C40F1" w:rsidP="00582377">
      <w:pPr>
        <w:pStyle w:val="Tickboxes"/>
        <w:rPr>
          <w:sz w:val="24"/>
          <w:szCs w:val="24"/>
        </w:rPr>
      </w:pPr>
      <w:r>
        <w:rPr>
          <w:sz w:val="24"/>
          <w:szCs w:val="24"/>
        </w:rPr>
        <w:fldChar w:fldCharType="begin">
          <w:ffData>
            <w:name w:val=""/>
            <w:enabled/>
            <w:calcOnExit w:val="0"/>
            <w:statusText w:type="text" w:val="Health outcomes Value of knowing"/>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Value of knowing</w:t>
      </w:r>
    </w:p>
    <w:p w14:paraId="05CEAAEE" w14:textId="77777777" w:rsidR="00B03610" w:rsidRPr="0089269F" w:rsidRDefault="00B03610" w:rsidP="00582377">
      <w:pPr>
        <w:pStyle w:val="Tickboxes"/>
        <w:rPr>
          <w:b/>
          <w:sz w:val="24"/>
          <w:szCs w:val="24"/>
        </w:rPr>
      </w:pPr>
    </w:p>
    <w:p w14:paraId="36189B68" w14:textId="0E16681C" w:rsidR="004C02B7" w:rsidRPr="00D163F8" w:rsidRDefault="00E00CD3" w:rsidP="00562061">
      <w:pPr>
        <w:pStyle w:val="Heading2"/>
      </w:pPr>
      <w:r w:rsidRPr="00D163F8">
        <w:t>O</w:t>
      </w:r>
      <w:r w:rsidR="00CB5480" w:rsidRPr="00D163F8">
        <w:t>utcome description</w:t>
      </w:r>
      <w:r w:rsidRPr="00D163F8">
        <w:t xml:space="preserve"> –</w:t>
      </w:r>
      <w:r w:rsidR="00EA0AA0" w:rsidRPr="00D163F8">
        <w:t xml:space="preserve"> </w:t>
      </w:r>
      <w:r w:rsidRPr="00D163F8">
        <w:t xml:space="preserve">include information about whether a change in patient management, or prognosis, occurs </w:t>
      </w:r>
      <w:proofErr w:type="gramStart"/>
      <w:r w:rsidRPr="00D163F8">
        <w:t>as a result of</w:t>
      </w:r>
      <w:proofErr w:type="gramEnd"/>
      <w:r w:rsidRPr="00D163F8">
        <w:t xml:space="preserve"> the test information</w:t>
      </w:r>
      <w:r w:rsidR="004C02B7" w:rsidRPr="00D163F8">
        <w:t>:</w:t>
      </w:r>
    </w:p>
    <w:p w14:paraId="4150B81C" w14:textId="70CA0FB3" w:rsidR="00623A2F" w:rsidRDefault="00E713EB" w:rsidP="00BC0C43">
      <w:r>
        <w:t xml:space="preserve">Prevalence of PSMA expression is high in prostate tumours. </w:t>
      </w:r>
      <w:r w:rsidR="00EB3573" w:rsidRPr="0063307F">
        <w:rPr>
          <w:vertAlign w:val="superscript"/>
        </w:rPr>
        <w:t>177</w:t>
      </w:r>
      <w:r w:rsidR="00EB3573" w:rsidRPr="00507AEA">
        <w:t>Lu-PSMA-617</w:t>
      </w:r>
      <w:r w:rsidR="00EB3573">
        <w:t xml:space="preserve">, a </w:t>
      </w:r>
      <w:r>
        <w:t xml:space="preserve">PSMA-targeted </w:t>
      </w:r>
      <w:r w:rsidR="00EB3573">
        <w:t>RLT,</w:t>
      </w:r>
      <w:r>
        <w:t xml:space="preserve"> has been shown to improve survival outcomes and quality of life in </w:t>
      </w:r>
      <w:r w:rsidR="003D1642">
        <w:t xml:space="preserve">mCRPC </w:t>
      </w:r>
      <w:r>
        <w:t xml:space="preserve">patients </w:t>
      </w:r>
      <w:r w:rsidR="00F30A12">
        <w:t xml:space="preserve">previously treated with at least one ARPI and </w:t>
      </w:r>
      <w:r w:rsidR="0052234C">
        <w:t>one taxane-based chemotherapy</w:t>
      </w:r>
      <w:r>
        <w:t xml:space="preserve"> (</w:t>
      </w:r>
      <w:r w:rsidR="00E5347E" w:rsidRPr="00943045">
        <w:t>Hofman</w:t>
      </w:r>
      <w:r w:rsidR="00E5347E">
        <w:t xml:space="preserve"> et al., 2024</w:t>
      </w:r>
      <w:r w:rsidR="00A27697">
        <w:t>).</w:t>
      </w:r>
      <w:r w:rsidR="008806CD">
        <w:t xml:space="preserve"> </w:t>
      </w:r>
      <w:proofErr w:type="spellStart"/>
      <w:r w:rsidR="00B06C6B">
        <w:t>PSMAfore</w:t>
      </w:r>
      <w:proofErr w:type="spellEnd"/>
      <w:r w:rsidR="00B06C6B">
        <w:t xml:space="preserve"> </w:t>
      </w:r>
      <w:r w:rsidR="00507AEA" w:rsidRPr="00507AEA">
        <w:t xml:space="preserve">is an international, phase III randomised </w:t>
      </w:r>
      <w:r w:rsidR="00156225">
        <w:t>clinical trial</w:t>
      </w:r>
      <w:r w:rsidR="00507AEA" w:rsidRPr="00507AEA">
        <w:t xml:space="preserve"> enrolling </w:t>
      </w:r>
      <w:r w:rsidR="00156225">
        <w:t xml:space="preserve">adults with </w:t>
      </w:r>
      <w:r w:rsidR="00507AEA" w:rsidRPr="00507AEA">
        <w:t>PSMA-positive mCRPC who were treated with an ARPI as their last treatment</w:t>
      </w:r>
      <w:r w:rsidR="006E6729">
        <w:t xml:space="preserve">, are </w:t>
      </w:r>
      <w:r w:rsidR="00507AEA" w:rsidRPr="00507AEA">
        <w:t>taxane</w:t>
      </w:r>
      <w:r w:rsidR="006E6729">
        <w:t xml:space="preserve"> naïve </w:t>
      </w:r>
      <w:r w:rsidR="00507AEA" w:rsidRPr="00507AEA">
        <w:t xml:space="preserve">and are considered appropriate to delay taxane-based chemotherapy. </w:t>
      </w:r>
      <w:proofErr w:type="spellStart"/>
      <w:r w:rsidR="00507AEA" w:rsidRPr="00507AEA">
        <w:t>PSMAfore</w:t>
      </w:r>
      <w:proofErr w:type="spellEnd"/>
      <w:r w:rsidR="00507AEA" w:rsidRPr="00507AEA">
        <w:t xml:space="preserve"> represents the clinical data for </w:t>
      </w:r>
      <w:r w:rsidR="00507AEA" w:rsidRPr="0063307F">
        <w:rPr>
          <w:vertAlign w:val="superscript"/>
        </w:rPr>
        <w:t>177</w:t>
      </w:r>
      <w:r w:rsidR="00507AEA" w:rsidRPr="00507AEA">
        <w:t>Lu-PSMA-617</w:t>
      </w:r>
      <w:r>
        <w:t xml:space="preserve"> in the proposed population</w:t>
      </w:r>
      <w:r w:rsidR="00507AEA" w:rsidRPr="00507AEA">
        <w:t>.</w:t>
      </w:r>
    </w:p>
    <w:p w14:paraId="63338931" w14:textId="65C7EE97" w:rsidR="008165FE" w:rsidRDefault="00DF7BAD" w:rsidP="00BC0C43">
      <w:r>
        <w:t xml:space="preserve">There are no head-to-head trials comparing the effectiveness of </w:t>
      </w:r>
      <w:r w:rsidRPr="00BA171E">
        <w:rPr>
          <w:vertAlign w:val="superscript"/>
        </w:rPr>
        <w:t>177</w:t>
      </w:r>
      <w:r>
        <w:t xml:space="preserve">Lu-PSMA-617 </w:t>
      </w:r>
      <w:r w:rsidR="003853B8">
        <w:t>to</w:t>
      </w:r>
      <w:r>
        <w:t xml:space="preserve"> docetaxel or palliative care</w:t>
      </w:r>
      <w:r w:rsidR="00AE2066">
        <w:t xml:space="preserve"> in the proposed patient population</w:t>
      </w:r>
      <w:r>
        <w:t>.</w:t>
      </w:r>
      <w:r w:rsidR="003853B8">
        <w:t xml:space="preserve"> Based on DUSC analysis, </w:t>
      </w:r>
      <w:r w:rsidR="002C1139">
        <w:t xml:space="preserve">most </w:t>
      </w:r>
      <w:r w:rsidR="003853B8">
        <w:t>patients (71%) do not receive any subsequent treatment in the 18-24 months following novel hormone therapy.</w:t>
      </w:r>
      <w:r w:rsidR="002C1139">
        <w:t xml:space="preserve"> Therefore, </w:t>
      </w:r>
      <w:r w:rsidR="00435E84">
        <w:t>i</w:t>
      </w:r>
      <w:r w:rsidR="00CC6FCF">
        <w:t>n the absence of direct evidence</w:t>
      </w:r>
      <w:r w:rsidR="00435E84">
        <w:t xml:space="preserve"> comparing the proposed treatment to standard of care in the proposed population</w:t>
      </w:r>
      <w:r w:rsidR="00CC6FCF">
        <w:t xml:space="preserve">, the </w:t>
      </w:r>
      <w:r w:rsidR="00BA171E">
        <w:t>comparator</w:t>
      </w:r>
      <w:r w:rsidR="00CC6FCF">
        <w:t xml:space="preserve"> arm of </w:t>
      </w:r>
      <w:proofErr w:type="spellStart"/>
      <w:r w:rsidR="00CC6FCF">
        <w:t>PSMAfore</w:t>
      </w:r>
      <w:proofErr w:type="spellEnd"/>
      <w:r w:rsidR="00CC6FCF">
        <w:t xml:space="preserve"> will be presented as a proxy for </w:t>
      </w:r>
      <w:r w:rsidR="00BA171E">
        <w:t>standard of care.</w:t>
      </w:r>
    </w:p>
    <w:p w14:paraId="06F22C74" w14:textId="77777777" w:rsidR="00BD6FAD" w:rsidRDefault="00BD6FAD">
      <w:pPr>
        <w:spacing w:after="160" w:line="259" w:lineRule="auto"/>
        <w:rPr>
          <w:b/>
          <w:bCs/>
          <w:i/>
          <w:iCs/>
        </w:rPr>
      </w:pPr>
      <w:r>
        <w:rPr>
          <w:b/>
          <w:bCs/>
          <w:i/>
          <w:iCs/>
        </w:rPr>
        <w:br w:type="page"/>
      </w:r>
    </w:p>
    <w:p w14:paraId="2878D3DE" w14:textId="498824A2" w:rsidR="0073640E" w:rsidRDefault="00DF7BAD" w:rsidP="00C17A2F">
      <w:pPr>
        <w:rPr>
          <w:b/>
          <w:bCs/>
          <w:i/>
          <w:iCs/>
        </w:rPr>
      </w:pPr>
      <w:r w:rsidRPr="00F74D76">
        <w:rPr>
          <w:b/>
          <w:bCs/>
          <w:i/>
          <w:iCs/>
        </w:rPr>
        <w:lastRenderedPageBreak/>
        <w:t>Clinical effectiveness</w:t>
      </w:r>
    </w:p>
    <w:p w14:paraId="15753B21" w14:textId="62147DA0" w:rsidR="00FA459F" w:rsidRPr="00FA459F" w:rsidRDefault="00FA459F" w:rsidP="00C17A2F">
      <w:r>
        <w:t xml:space="preserve">The outcome measurements in </w:t>
      </w:r>
      <w:proofErr w:type="spellStart"/>
      <w:r>
        <w:t>PSMAfore</w:t>
      </w:r>
      <w:proofErr w:type="spellEnd"/>
      <w:r>
        <w:t xml:space="preserve"> are</w:t>
      </w:r>
      <w:r w:rsidR="00764772">
        <w:t xml:space="preserve"> common endpoints for prostate cancer and</w:t>
      </w:r>
      <w:r>
        <w:t xml:space="preserve"> standard based on the </w:t>
      </w:r>
      <w:r w:rsidR="000C705E">
        <w:t>Prostate Cancer Working Group 3 (</w:t>
      </w:r>
      <w:r>
        <w:t>PCWG3</w:t>
      </w:r>
      <w:r w:rsidR="000C705E">
        <w:t>)</w:t>
      </w:r>
      <w:r>
        <w:t>-modified</w:t>
      </w:r>
      <w:r w:rsidR="00C84A59">
        <w:t xml:space="preserve"> </w:t>
      </w:r>
      <w:r w:rsidR="00C84A59" w:rsidRPr="00821C0E">
        <w:t>Response Evaluation Criteria in Solid Tumours</w:t>
      </w:r>
      <w:r>
        <w:t xml:space="preserve"> </w:t>
      </w:r>
      <w:r w:rsidR="00C84A59">
        <w:t>(</w:t>
      </w:r>
      <w:r w:rsidRPr="00C84A59">
        <w:t>RECIST</w:t>
      </w:r>
      <w:r w:rsidR="00C84A59">
        <w:t>)</w:t>
      </w:r>
      <w:r>
        <w:t xml:space="preserve"> v1.1. </w:t>
      </w:r>
      <w:r w:rsidR="00C84A59">
        <w:t xml:space="preserve">The </w:t>
      </w:r>
      <w:r>
        <w:t xml:space="preserve">PCWG3 is an international working group of clinical and translational experts in prostate cancer who developed internally recognised recommendations. </w:t>
      </w:r>
    </w:p>
    <w:p w14:paraId="1519BDE3" w14:textId="43D839C7" w:rsidR="00F74D76" w:rsidRPr="00B320A8" w:rsidRDefault="00F74D76" w:rsidP="00C17A2F">
      <w:pPr>
        <w:rPr>
          <w:u w:val="single"/>
        </w:rPr>
      </w:pPr>
      <w:r w:rsidRPr="00B320A8">
        <w:rPr>
          <w:u w:val="single"/>
        </w:rPr>
        <w:t>Radiographic progression-free survival</w:t>
      </w:r>
      <w:r w:rsidR="002D6129" w:rsidRPr="00B320A8">
        <w:rPr>
          <w:u w:val="single"/>
        </w:rPr>
        <w:t xml:space="preserve"> (primary </w:t>
      </w:r>
      <w:r w:rsidR="00C322D5" w:rsidRPr="00B320A8">
        <w:rPr>
          <w:u w:val="single"/>
        </w:rPr>
        <w:t>outcome</w:t>
      </w:r>
      <w:r w:rsidR="002D6129" w:rsidRPr="00B320A8">
        <w:rPr>
          <w:u w:val="single"/>
        </w:rPr>
        <w:t>)</w:t>
      </w:r>
    </w:p>
    <w:p w14:paraId="12B68676" w14:textId="7EC79C28" w:rsidR="00623A2F" w:rsidRDefault="00D668C7" w:rsidP="004D4D31">
      <w:proofErr w:type="spellStart"/>
      <w:r>
        <w:t>rPFS</w:t>
      </w:r>
      <w:proofErr w:type="spellEnd"/>
      <w:r>
        <w:t xml:space="preserve"> </w:t>
      </w:r>
      <w:r w:rsidR="00723B25">
        <w:t>wa</w:t>
      </w:r>
      <w:r w:rsidR="005B712B">
        <w:t>s</w:t>
      </w:r>
      <w:r w:rsidR="004527B1">
        <w:t xml:space="preserve"> the primary outcome and</w:t>
      </w:r>
      <w:r w:rsidR="00C17A2F">
        <w:t xml:space="preserve"> defined as</w:t>
      </w:r>
      <w:r>
        <w:t xml:space="preserve"> </w:t>
      </w:r>
      <w:r w:rsidR="00C17A2F">
        <w:t>the time from the date of randomi</w:t>
      </w:r>
      <w:r>
        <w:t>s</w:t>
      </w:r>
      <w:r w:rsidR="00C17A2F">
        <w:t>ation to the date of first</w:t>
      </w:r>
      <w:r>
        <w:t xml:space="preserve"> </w:t>
      </w:r>
      <w:r w:rsidR="00C17A2F">
        <w:t>documented radiographic disease progression as assessed</w:t>
      </w:r>
      <w:r>
        <w:t xml:space="preserve"> </w:t>
      </w:r>
      <w:r w:rsidR="00C17A2F">
        <w:t>by blinded independent central review (BICR) and as</w:t>
      </w:r>
      <w:r>
        <w:t xml:space="preserve"> </w:t>
      </w:r>
      <w:r w:rsidR="00C17A2F">
        <w:t>outlined in PCWG3</w:t>
      </w:r>
      <w:r>
        <w:t xml:space="preserve"> </w:t>
      </w:r>
      <w:r w:rsidR="00C17A2F">
        <w:t>Guidelines (Scher et al</w:t>
      </w:r>
      <w:r w:rsidR="000E3D9C">
        <w:t>.,</w:t>
      </w:r>
      <w:r w:rsidR="00C17A2F">
        <w:t xml:space="preserve"> 2016) or death due to any cause</w:t>
      </w:r>
      <w:r w:rsidR="008B7FDB">
        <w:t>.</w:t>
      </w:r>
    </w:p>
    <w:p w14:paraId="11049053" w14:textId="2312A997" w:rsidR="00B7233C" w:rsidRDefault="00B7233C" w:rsidP="004D4D31">
      <w:r>
        <w:t xml:space="preserve">The </w:t>
      </w:r>
      <w:r w:rsidR="00C84A59">
        <w:t>Pharmaceutical Benefits Advisory Committee (</w:t>
      </w:r>
      <w:r>
        <w:t>PBAC</w:t>
      </w:r>
      <w:r w:rsidR="00C84A59">
        <w:t>)</w:t>
      </w:r>
      <w:r>
        <w:t xml:space="preserve"> has previously accepted </w:t>
      </w:r>
      <w:r w:rsidR="006A34CD">
        <w:t xml:space="preserve">clinical claims based on </w:t>
      </w:r>
      <w:proofErr w:type="spellStart"/>
      <w:r>
        <w:t>rPFS</w:t>
      </w:r>
      <w:proofErr w:type="spellEnd"/>
      <w:r>
        <w:t xml:space="preserve"> as </w:t>
      </w:r>
      <w:r w:rsidR="002B342E">
        <w:t>the</w:t>
      </w:r>
      <w:r>
        <w:t xml:space="preserve"> primary </w:t>
      </w:r>
      <w:r w:rsidR="006A34CD">
        <w:t>outcome in mCRPC (olaparib</w:t>
      </w:r>
      <w:r w:rsidR="00EE26E1">
        <w:t xml:space="preserve"> PSD March PBAC Meeting 2021; </w:t>
      </w:r>
      <w:proofErr w:type="spellStart"/>
      <w:r w:rsidR="00EE26E1">
        <w:t>talazoparib</w:t>
      </w:r>
      <w:proofErr w:type="spellEnd"/>
      <w:r w:rsidR="00EE26E1">
        <w:t xml:space="preserve"> PSD March Meeting 202</w:t>
      </w:r>
      <w:r w:rsidR="00203844">
        <w:t>4;</w:t>
      </w:r>
      <w:r w:rsidR="001E790B">
        <w:t xml:space="preserve"> </w:t>
      </w:r>
      <w:proofErr w:type="spellStart"/>
      <w:r w:rsidR="00637EF9">
        <w:t>talazoparib</w:t>
      </w:r>
      <w:proofErr w:type="spellEnd"/>
      <w:r w:rsidR="00EE26E1">
        <w:t xml:space="preserve"> PSD </w:t>
      </w:r>
      <w:r w:rsidR="00203844">
        <w:t>July</w:t>
      </w:r>
      <w:r w:rsidR="00EE26E1">
        <w:t xml:space="preserve"> Meeting 2024)</w:t>
      </w:r>
      <w:r w:rsidR="00203844">
        <w:t xml:space="preserve">. The MSAC has previously accepted clinical claims based on </w:t>
      </w:r>
      <w:proofErr w:type="spellStart"/>
      <w:r w:rsidR="00203844">
        <w:t>rPFS</w:t>
      </w:r>
      <w:proofErr w:type="spellEnd"/>
      <w:r w:rsidR="00203844">
        <w:t xml:space="preserve"> in mCRPC (</w:t>
      </w:r>
      <w:r w:rsidR="00630915">
        <w:t xml:space="preserve">MSAC 1681.1 </w:t>
      </w:r>
      <w:r w:rsidR="00D0340C">
        <w:t xml:space="preserve">PSD </w:t>
      </w:r>
      <w:r w:rsidR="00FA5677">
        <w:t>April 2024 Meeting</w:t>
      </w:r>
      <w:r w:rsidR="00D0340C">
        <w:t>).</w:t>
      </w:r>
    </w:p>
    <w:p w14:paraId="0B00ADA1" w14:textId="1EAFE498" w:rsidR="00BE7929" w:rsidRDefault="0038464A" w:rsidP="00F25474">
      <w:r>
        <w:t xml:space="preserve">Radiographic progression was </w:t>
      </w:r>
      <w:r w:rsidR="00F52C58">
        <w:t xml:space="preserve">determined </w:t>
      </w:r>
      <w:r w:rsidR="00A22DB2">
        <w:t xml:space="preserve">by radiologic assessment following </w:t>
      </w:r>
      <w:r w:rsidR="00F52C58">
        <w:t>PCWG3-modified RECIST v1.1 Guidelines</w:t>
      </w:r>
      <w:r w:rsidR="00A22DB2">
        <w:t xml:space="preserve">. Periodic radiographic imaging including CT/MRI imaging and bone scans. </w:t>
      </w:r>
      <w:r w:rsidR="0041605B">
        <w:t>Patients</w:t>
      </w:r>
      <w:r w:rsidR="008E2D90">
        <w:t xml:space="preserve"> </w:t>
      </w:r>
      <w:r w:rsidR="00FD1829">
        <w:t xml:space="preserve">who were </w:t>
      </w:r>
      <w:r w:rsidR="008E2D90">
        <w:t xml:space="preserve">alive without radiographic progression at </w:t>
      </w:r>
      <w:r w:rsidR="00FD1829">
        <w:t>analysis</w:t>
      </w:r>
      <w:r w:rsidR="00FA5677">
        <w:t xml:space="preserve"> data cut-off (</w:t>
      </w:r>
      <w:r w:rsidR="008E2D90" w:rsidRPr="00FA5677">
        <w:t>DCO</w:t>
      </w:r>
      <w:r w:rsidR="00FA5677">
        <w:t>)</w:t>
      </w:r>
      <w:r w:rsidR="00375538">
        <w:t xml:space="preserve">, or who </w:t>
      </w:r>
      <w:r w:rsidR="00FD1829">
        <w:t>were</w:t>
      </w:r>
      <w:r w:rsidR="00375538">
        <w:t xml:space="preserve"> lost to follow-up, </w:t>
      </w:r>
      <w:r w:rsidR="00FD1829">
        <w:t>were</w:t>
      </w:r>
      <w:r w:rsidR="00375538">
        <w:t xml:space="preserve"> censored at the time of their last radiographic assessment. Clinical deterioration without objective radiographic evidence </w:t>
      </w:r>
      <w:r w:rsidR="00FD1829">
        <w:t>was</w:t>
      </w:r>
      <w:r w:rsidR="00375538">
        <w:t xml:space="preserve"> not considered </w:t>
      </w:r>
      <w:r w:rsidR="00DC2BB8">
        <w:t xml:space="preserve">as documented </w:t>
      </w:r>
      <w:r w:rsidR="007A57AE">
        <w:t>radiographic progression.</w:t>
      </w:r>
      <w:r w:rsidR="005A4E08">
        <w:t xml:space="preserve"> </w:t>
      </w:r>
      <w:r w:rsidR="00DC2BB8">
        <w:t xml:space="preserve">Primary </w:t>
      </w:r>
      <w:proofErr w:type="spellStart"/>
      <w:r w:rsidR="005A4E08">
        <w:t>rPFS</w:t>
      </w:r>
      <w:proofErr w:type="spellEnd"/>
      <w:r w:rsidR="005A4E08">
        <w:t xml:space="preserve"> </w:t>
      </w:r>
      <w:r w:rsidR="00B879A0">
        <w:t xml:space="preserve">analysis was based on the </w:t>
      </w:r>
      <w:r w:rsidR="008851EC">
        <w:t>full analysis set (</w:t>
      </w:r>
      <w:r w:rsidR="00B879A0">
        <w:t>FAS</w:t>
      </w:r>
      <w:r w:rsidR="008851EC">
        <w:t>)</w:t>
      </w:r>
      <w:r w:rsidR="00B879A0">
        <w:t xml:space="preserve"> and </w:t>
      </w:r>
      <w:r w:rsidR="005A4E08">
        <w:t xml:space="preserve">distribution </w:t>
      </w:r>
      <w:r w:rsidR="00897697">
        <w:t xml:space="preserve">was </w:t>
      </w:r>
      <w:r w:rsidR="005A4E08">
        <w:t>estimated using the Kaplan-Meier</w:t>
      </w:r>
      <w:r w:rsidR="008851EC">
        <w:t xml:space="preserve"> (KM)</w:t>
      </w:r>
      <w:r w:rsidR="005A4E08">
        <w:t xml:space="preserve"> method</w:t>
      </w:r>
      <w:r w:rsidR="00BE7929">
        <w:t>.</w:t>
      </w:r>
      <w:r w:rsidR="00322798">
        <w:t xml:space="preserve"> </w:t>
      </w:r>
      <w:r w:rsidR="00BE7929">
        <w:t xml:space="preserve">Updated </w:t>
      </w:r>
      <w:proofErr w:type="spellStart"/>
      <w:r w:rsidR="00BE7929">
        <w:t>rPFS</w:t>
      </w:r>
      <w:proofErr w:type="spellEnd"/>
      <w:r w:rsidR="00BE7929">
        <w:t xml:space="preserve"> analysis was conducted as an exploratory analysis with a nominal p-value</w:t>
      </w:r>
      <w:r w:rsidR="00322798">
        <w:t xml:space="preserve"> and provides supportive results for a more robust estimate of the median </w:t>
      </w:r>
      <w:proofErr w:type="spellStart"/>
      <w:r w:rsidR="00322798">
        <w:t>rPFS</w:t>
      </w:r>
      <w:proofErr w:type="spellEnd"/>
      <w:r w:rsidR="00322798">
        <w:t>.</w:t>
      </w:r>
    </w:p>
    <w:p w14:paraId="26AB8A4B" w14:textId="23CA425D" w:rsidR="00164EEF" w:rsidRPr="00B320A8" w:rsidRDefault="00164EEF" w:rsidP="00F25474">
      <w:pPr>
        <w:rPr>
          <w:i/>
          <w:iCs/>
        </w:rPr>
      </w:pPr>
      <w:r w:rsidRPr="00B320A8">
        <w:rPr>
          <w:i/>
          <w:iCs/>
        </w:rPr>
        <w:t xml:space="preserve">Results </w:t>
      </w:r>
    </w:p>
    <w:p w14:paraId="1BBF4C87" w14:textId="493D7AD8" w:rsidR="00164EEF" w:rsidRDefault="00164EEF" w:rsidP="00164EEF">
      <w:r w:rsidRPr="00164EEF">
        <w:t xml:space="preserve">At primary DCO of 2 October 2022, patients treated with </w:t>
      </w:r>
      <w:r w:rsidRPr="00164EEF">
        <w:rPr>
          <w:vertAlign w:val="superscript"/>
        </w:rPr>
        <w:t>177</w:t>
      </w:r>
      <w:r w:rsidRPr="00164EEF">
        <w:t>Lu-PSMA-617 had a statistically significant 59% reduced risk of radiographic progression or death based on BICR compared to ARPI (</w:t>
      </w:r>
      <w:r w:rsidR="008851EC">
        <w:t>hazard ratio [</w:t>
      </w:r>
      <w:r w:rsidRPr="006F5A02">
        <w:t>HR</w:t>
      </w:r>
      <w:r w:rsidR="006F5A02">
        <w:t>]</w:t>
      </w:r>
      <w:r w:rsidRPr="00164EEF">
        <w:t xml:space="preserve"> 0.41; 95% CI: 0.29, 0.56; p &lt;0.0001). Overall, fewer people experienced an </w:t>
      </w:r>
      <w:proofErr w:type="spellStart"/>
      <w:r w:rsidRPr="00164EEF">
        <w:t>rPFS</w:t>
      </w:r>
      <w:proofErr w:type="spellEnd"/>
      <w:r w:rsidRPr="00164EEF">
        <w:t xml:space="preserve"> event or death when treated with </w:t>
      </w:r>
      <w:r w:rsidRPr="00164EEF">
        <w:rPr>
          <w:vertAlign w:val="superscript"/>
        </w:rPr>
        <w:t>177</w:t>
      </w:r>
      <w:r w:rsidRPr="00164EEF">
        <w:t xml:space="preserve">Lu-PSMA-617 compared to ARPI (25.8% and 45.3%, respectively). The median follow-up time for </w:t>
      </w:r>
      <w:proofErr w:type="spellStart"/>
      <w:r w:rsidRPr="00164EEF">
        <w:t>rPFS</w:t>
      </w:r>
      <w:proofErr w:type="spellEnd"/>
      <w:r w:rsidRPr="00164EEF">
        <w:t xml:space="preserve"> was 4.09 months and 2.37 months for </w:t>
      </w:r>
      <w:r w:rsidRPr="00164EEF">
        <w:rPr>
          <w:vertAlign w:val="superscript"/>
        </w:rPr>
        <w:t>177</w:t>
      </w:r>
      <w:r w:rsidRPr="00164EEF">
        <w:t>Lu-PSMA-617 and ARPI, respectively.</w:t>
      </w:r>
    </w:p>
    <w:p w14:paraId="41F697F1" w14:textId="0F383610" w:rsidR="001045E4" w:rsidRPr="00164EEF" w:rsidRDefault="001045E4" w:rsidP="00164EEF">
      <w:r w:rsidRPr="00704F8B">
        <w:t>Results</w:t>
      </w:r>
      <w:r w:rsidR="00704F8B" w:rsidRPr="00704F8B">
        <w:t xml:space="preserve"> at updated analysis DCO (27 February 2024)</w:t>
      </w:r>
      <w:r w:rsidRPr="00704F8B">
        <w:t xml:space="preserve"> were consistent with primary analysis; patients treated with </w:t>
      </w:r>
      <w:r w:rsidRPr="00704F8B">
        <w:rPr>
          <w:vertAlign w:val="superscript"/>
        </w:rPr>
        <w:t>177</w:t>
      </w:r>
      <w:r w:rsidRPr="00704F8B">
        <w:t xml:space="preserve">Lu-PSMA-617 had an estimated 51% reduction in the risk of radiographic progression or death compared to ARPI (HR 0.49; 95% CI: 0.39, 0.61). The median follow-up time for </w:t>
      </w:r>
      <w:proofErr w:type="spellStart"/>
      <w:r w:rsidRPr="00704F8B">
        <w:t>rPFS</w:t>
      </w:r>
      <w:proofErr w:type="spellEnd"/>
      <w:r w:rsidRPr="00704F8B">
        <w:t xml:space="preserve"> was 9.3 months and 4.3 months for </w:t>
      </w:r>
      <w:r w:rsidRPr="00704F8B">
        <w:rPr>
          <w:vertAlign w:val="superscript"/>
        </w:rPr>
        <w:t>177</w:t>
      </w:r>
      <w:r w:rsidRPr="00704F8B">
        <w:t>Lu-PSMA-617 and ARPI, respectively.</w:t>
      </w:r>
    </w:p>
    <w:p w14:paraId="11B7021F" w14:textId="04BFBF66" w:rsidR="00164EEF" w:rsidRDefault="00164EEF" w:rsidP="00164EEF">
      <w:r w:rsidRPr="0066587C">
        <w:t>Figure 3</w:t>
      </w:r>
      <w:r w:rsidRPr="00164EEF">
        <w:t xml:space="preserve"> shows the KM </w:t>
      </w:r>
      <w:proofErr w:type="spellStart"/>
      <w:r w:rsidRPr="00164EEF">
        <w:t>rPFS</w:t>
      </w:r>
      <w:proofErr w:type="spellEnd"/>
      <w:r w:rsidRPr="00164EEF">
        <w:t xml:space="preserve"> curves diverged after approximately 8 weeks, corresponding to the time of the first tumour assessment, with the radiographic progression-free probability remaining higher for the </w:t>
      </w:r>
      <w:r w:rsidRPr="00164EEF">
        <w:rPr>
          <w:vertAlign w:val="superscript"/>
        </w:rPr>
        <w:t>177</w:t>
      </w:r>
      <w:r w:rsidRPr="00164EEF">
        <w:t xml:space="preserve">Lu-PSMA-617 arm than for ARPI arm, indicating an early and sustained advantage for </w:t>
      </w:r>
      <w:r w:rsidRPr="00164EEF">
        <w:rPr>
          <w:vertAlign w:val="superscript"/>
        </w:rPr>
        <w:t>177</w:t>
      </w:r>
      <w:r w:rsidRPr="00164EEF">
        <w:t>Lu-PSMA-617 treatment.</w:t>
      </w:r>
    </w:p>
    <w:p w14:paraId="34D91669" w14:textId="77777777" w:rsidR="00164EEF" w:rsidRDefault="00164EEF" w:rsidP="00164EEF">
      <w:r w:rsidRPr="00B54B4C">
        <w:rPr>
          <w:noProof/>
        </w:rPr>
        <w:lastRenderedPageBreak/>
        <w:drawing>
          <wp:inline distT="0" distB="0" distL="0" distR="0" wp14:anchorId="2E072325" wp14:editId="0D1F503C">
            <wp:extent cx="6030595" cy="2579370"/>
            <wp:effectExtent l="0" t="0" r="8255" b="0"/>
            <wp:docPr id="635628542" name="Picture 1" descr="Kaplan Meier plot showing radiographic progression-free survival in patients treated with lutetium compared to ARD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28542" name="Picture 1" descr="Kaplan Meier plot showing radiographic progression-free survival in patients treated with lutetium compared to ARD therapy."/>
                    <pic:cNvPicPr/>
                  </pic:nvPicPr>
                  <pic:blipFill>
                    <a:blip r:embed="rId14"/>
                    <a:stretch>
                      <a:fillRect/>
                    </a:stretch>
                  </pic:blipFill>
                  <pic:spPr>
                    <a:xfrm>
                      <a:off x="0" y="0"/>
                      <a:ext cx="6030595" cy="2579370"/>
                    </a:xfrm>
                    <a:prstGeom prst="rect">
                      <a:avLst/>
                    </a:prstGeom>
                  </pic:spPr>
                </pic:pic>
              </a:graphicData>
            </a:graphic>
          </wp:inline>
        </w:drawing>
      </w:r>
    </w:p>
    <w:p w14:paraId="073D8800" w14:textId="77777777" w:rsidR="00164EEF" w:rsidRDefault="00164EEF" w:rsidP="00164EEF">
      <w:pPr>
        <w:pStyle w:val="Captions"/>
      </w:pPr>
      <w:r w:rsidRPr="00AB7C11">
        <w:t>Figure 3</w:t>
      </w:r>
      <w:r>
        <w:tab/>
        <w:t xml:space="preserve">KM plot of </w:t>
      </w:r>
      <w:proofErr w:type="spellStart"/>
      <w:r>
        <w:t>rPFS</w:t>
      </w:r>
      <w:proofErr w:type="spellEnd"/>
      <w:r>
        <w:t xml:space="preserve"> based on BICR (FAS)</w:t>
      </w:r>
    </w:p>
    <w:p w14:paraId="5E9710E9" w14:textId="77777777" w:rsidR="00164EEF" w:rsidRDefault="00164EEF" w:rsidP="00164EEF">
      <w:pPr>
        <w:pStyle w:val="NovartisFootnotes"/>
      </w:pPr>
      <w:r>
        <w:t>DCO data: 2 October 2022</w:t>
      </w:r>
    </w:p>
    <w:p w14:paraId="64709B3A" w14:textId="77777777" w:rsidR="00164EEF" w:rsidRDefault="00164EEF" w:rsidP="00164EEF">
      <w:pPr>
        <w:pStyle w:val="NovartisFootnotes"/>
      </w:pPr>
      <w:r>
        <w:t xml:space="preserve">Abbreviations: </w:t>
      </w:r>
      <w:r w:rsidRPr="009B7B7E">
        <w:t>ARDT</w:t>
      </w:r>
      <w:r>
        <w:t xml:space="preserve">, androgen-receptor deprivation therapy; BICR, </w:t>
      </w:r>
      <w:r w:rsidRPr="000F64B7">
        <w:t>blinded independent central review</w:t>
      </w:r>
      <w:r>
        <w:t>;</w:t>
      </w:r>
      <w:r w:rsidRPr="000F64B7">
        <w:t xml:space="preserve"> </w:t>
      </w:r>
      <w:r>
        <w:t xml:space="preserve">FAS, full analysis set; KM, Kaplan-Meier, </w:t>
      </w:r>
      <w:proofErr w:type="spellStart"/>
      <w:r>
        <w:t>rPFS</w:t>
      </w:r>
      <w:proofErr w:type="spellEnd"/>
      <w:r>
        <w:t>, radiographic progression-free survival.</w:t>
      </w:r>
    </w:p>
    <w:p w14:paraId="4EFFDF14" w14:textId="63DC7958" w:rsidR="00164EEF" w:rsidRDefault="00164EEF" w:rsidP="00164EEF">
      <w:pPr>
        <w:pStyle w:val="NovartisFootnotes"/>
      </w:pPr>
      <w:r w:rsidRPr="00943045">
        <w:t xml:space="preserve">Source: </w:t>
      </w:r>
      <w:proofErr w:type="spellStart"/>
      <w:r w:rsidRPr="00943045">
        <w:t>PSM</w:t>
      </w:r>
      <w:r w:rsidR="00C301CF" w:rsidRPr="00943045">
        <w:t>A</w:t>
      </w:r>
      <w:r w:rsidRPr="00943045">
        <w:t>fore</w:t>
      </w:r>
      <w:proofErr w:type="spellEnd"/>
      <w:r w:rsidRPr="00943045">
        <w:t xml:space="preserve"> CSR, Figure 11-1</w:t>
      </w:r>
      <w:r w:rsidR="00A74FA2" w:rsidRPr="00943045">
        <w:t xml:space="preserve">, Attachment </w:t>
      </w:r>
      <w:r w:rsidR="002B11EA">
        <w:t>B</w:t>
      </w:r>
    </w:p>
    <w:p w14:paraId="1649794D" w14:textId="77777777" w:rsidR="00164EEF" w:rsidRDefault="00164EEF" w:rsidP="00F25474"/>
    <w:p w14:paraId="23558585" w14:textId="39F8F553" w:rsidR="007068F8" w:rsidRPr="00B320A8" w:rsidRDefault="007068F8" w:rsidP="007068F8">
      <w:pPr>
        <w:rPr>
          <w:u w:val="single"/>
        </w:rPr>
      </w:pPr>
      <w:r w:rsidRPr="00B320A8">
        <w:rPr>
          <w:u w:val="single"/>
        </w:rPr>
        <w:t>Overall survival</w:t>
      </w:r>
    </w:p>
    <w:p w14:paraId="4AAB752F" w14:textId="4BD9C1D3" w:rsidR="005D2825" w:rsidRDefault="00723B25" w:rsidP="007068F8">
      <w:r>
        <w:t xml:space="preserve">OS was </w:t>
      </w:r>
      <w:r w:rsidR="004527B1">
        <w:t xml:space="preserve">defined as </w:t>
      </w:r>
      <w:r w:rsidR="007B0AC7">
        <w:t>the time from randomisation to death due to any cause</w:t>
      </w:r>
      <w:r w:rsidR="007068F8">
        <w:t>.</w:t>
      </w:r>
      <w:r w:rsidR="003A73C3">
        <w:t xml:space="preserve"> </w:t>
      </w:r>
      <w:r w:rsidR="002771F7">
        <w:t>OS was assessed using the</w:t>
      </w:r>
      <w:r w:rsidR="005D2825">
        <w:t xml:space="preserve"> </w:t>
      </w:r>
      <w:r w:rsidR="005654A8">
        <w:t>KM</w:t>
      </w:r>
      <w:r w:rsidR="005D2825">
        <w:t xml:space="preserve"> method</w:t>
      </w:r>
      <w:r w:rsidR="002771F7">
        <w:t xml:space="preserve"> to estimate survival distribution. </w:t>
      </w:r>
      <w:r w:rsidR="00270237">
        <w:t xml:space="preserve">Since </w:t>
      </w:r>
      <w:r w:rsidR="00E34A0C">
        <w:t xml:space="preserve">patients assigned to the ARPI arm were allowed to crossover to </w:t>
      </w:r>
      <w:r w:rsidR="00E34A0C" w:rsidRPr="003A73C3">
        <w:rPr>
          <w:vertAlign w:val="superscript"/>
        </w:rPr>
        <w:t>177</w:t>
      </w:r>
      <w:r w:rsidR="00E34A0C">
        <w:t xml:space="preserve">Lu-PSMA-617 </w:t>
      </w:r>
      <w:r w:rsidR="00761683">
        <w:t xml:space="preserve">upon confirmed radiographic progression, adjustment for the </w:t>
      </w:r>
      <w:r w:rsidR="00130517">
        <w:t xml:space="preserve">effect of crossover on OS may be </w:t>
      </w:r>
      <w:r w:rsidR="00D21451">
        <w:t>performed</w:t>
      </w:r>
      <w:r w:rsidR="00130517">
        <w:t xml:space="preserve"> based on recognised methods (e.g., Rank Preserving Structural Failure Time</w:t>
      </w:r>
      <w:r w:rsidR="007F612C">
        <w:t>).</w:t>
      </w:r>
    </w:p>
    <w:p w14:paraId="09AF3D6F" w14:textId="5E17953B" w:rsidR="004170EA" w:rsidRPr="00B320A8" w:rsidRDefault="004170EA" w:rsidP="004170EA">
      <w:pPr>
        <w:rPr>
          <w:u w:val="single"/>
        </w:rPr>
      </w:pPr>
      <w:r w:rsidRPr="00B320A8">
        <w:rPr>
          <w:u w:val="single"/>
        </w:rPr>
        <w:t>Progression-free survival</w:t>
      </w:r>
    </w:p>
    <w:p w14:paraId="6C4AB92F" w14:textId="5A30BF28" w:rsidR="004170EA" w:rsidRPr="004170EA" w:rsidRDefault="004170EA" w:rsidP="00A75DC3">
      <w:r>
        <w:t xml:space="preserve">PFS was defined as the time from the date of randomisation to the first documented progression by </w:t>
      </w:r>
      <w:r w:rsidR="00C301CF">
        <w:t>investigator’s</w:t>
      </w:r>
      <w:r>
        <w:t xml:space="preserve"> assessment (radiographic, clinical or PSA progression) or death due to any cause.</w:t>
      </w:r>
    </w:p>
    <w:p w14:paraId="66C1B4E6" w14:textId="12E16775" w:rsidR="00A75DC3" w:rsidRPr="00B320A8" w:rsidRDefault="00A75DC3" w:rsidP="00A75DC3">
      <w:pPr>
        <w:rPr>
          <w:u w:val="single"/>
        </w:rPr>
      </w:pPr>
      <w:r w:rsidRPr="00B320A8">
        <w:rPr>
          <w:u w:val="single"/>
        </w:rPr>
        <w:t>Radiographic progression-free survival 2</w:t>
      </w:r>
    </w:p>
    <w:p w14:paraId="3045C2E2" w14:textId="7442E7F5" w:rsidR="00A75DC3" w:rsidRDefault="00A75DC3" w:rsidP="00A75DC3">
      <w:r>
        <w:t>rPFS</w:t>
      </w:r>
      <w:r w:rsidR="005E2211">
        <w:t>2</w:t>
      </w:r>
      <w:r>
        <w:t xml:space="preserve"> </w:t>
      </w:r>
      <w:r w:rsidR="00723B25">
        <w:t>wa</w:t>
      </w:r>
      <w:r>
        <w:t xml:space="preserve">s defined as the time from the date of crossover (ARPI to </w:t>
      </w:r>
      <w:r w:rsidRPr="00B507F2">
        <w:rPr>
          <w:vertAlign w:val="superscript"/>
        </w:rPr>
        <w:t>177</w:t>
      </w:r>
      <w:r>
        <w:t>Lu-PSMA-617) to the date of radiographic disease progression as assessed by BICR or death due to any cause</w:t>
      </w:r>
      <w:r w:rsidR="00A95CC9">
        <w:t xml:space="preserve"> on the next line of therapy based on the </w:t>
      </w:r>
      <w:r w:rsidR="00A95CC9" w:rsidRPr="00FA4E5F">
        <w:t>Crossover Analysis Set</w:t>
      </w:r>
      <w:r w:rsidR="00235613">
        <w:t>, whichever occurred first</w:t>
      </w:r>
      <w:r>
        <w:t>.</w:t>
      </w:r>
      <w:r w:rsidR="005E2991">
        <w:t xml:space="preserve"> </w:t>
      </w:r>
      <w:r w:rsidR="007805C2" w:rsidRPr="007805C2">
        <w:t>D</w:t>
      </w:r>
      <w:r w:rsidR="005E2991" w:rsidRPr="007805C2">
        <w:t xml:space="preserve">istribution </w:t>
      </w:r>
      <w:r w:rsidR="00C45AEB" w:rsidRPr="007805C2">
        <w:t>was</w:t>
      </w:r>
      <w:r w:rsidR="005E2991" w:rsidRPr="007805C2">
        <w:t xml:space="preserve"> estimated using the </w:t>
      </w:r>
      <w:r w:rsidR="005A5DBF">
        <w:t>KM</w:t>
      </w:r>
      <w:r w:rsidR="005E2991" w:rsidRPr="007805C2">
        <w:t xml:space="preserve"> method</w:t>
      </w:r>
      <w:r w:rsidR="00C45AEB" w:rsidRPr="007805C2">
        <w:t>.</w:t>
      </w:r>
    </w:p>
    <w:p w14:paraId="3FC61DEA" w14:textId="539F6EAD" w:rsidR="00F74D76" w:rsidRPr="00B320A8" w:rsidRDefault="002D6129" w:rsidP="00F74D76">
      <w:pPr>
        <w:rPr>
          <w:u w:val="single"/>
        </w:rPr>
      </w:pPr>
      <w:r w:rsidRPr="00B320A8">
        <w:rPr>
          <w:u w:val="single"/>
        </w:rPr>
        <w:t>Time to symptomatic skeletal event</w:t>
      </w:r>
    </w:p>
    <w:p w14:paraId="4A920DCE" w14:textId="58A3897C" w:rsidR="000C1481" w:rsidRDefault="000C1481" w:rsidP="00BF688A">
      <w:r>
        <w:t>TTSSE</w:t>
      </w:r>
      <w:r w:rsidR="00C35818">
        <w:t xml:space="preserve"> </w:t>
      </w:r>
      <w:r w:rsidR="004527B1">
        <w:t>wa</w:t>
      </w:r>
      <w:r w:rsidR="005B712B">
        <w:t>s</w:t>
      </w:r>
      <w:r>
        <w:t xml:space="preserve"> defined as date of randomisation to the date of first new symptomatic pathological bone fracture, spinal cord compression, tumour-related ortho</w:t>
      </w:r>
      <w:r w:rsidR="00C35818">
        <w:t>paedic surgical intervention, requirement of radiation therapy to relieve bone pain, or death from any cause (whichever occurred first).</w:t>
      </w:r>
      <w:r w:rsidR="007D0C5E">
        <w:t xml:space="preserve"> </w:t>
      </w:r>
      <w:r w:rsidR="00C45AEB">
        <w:t xml:space="preserve">TTSSE was analysed in the FAS and distribution was estimated using the </w:t>
      </w:r>
      <w:r w:rsidR="005A5DBF">
        <w:t>KM</w:t>
      </w:r>
      <w:r w:rsidR="00C45AEB">
        <w:t xml:space="preserve"> method</w:t>
      </w:r>
      <w:r w:rsidR="007D0C5E">
        <w:t>.</w:t>
      </w:r>
    </w:p>
    <w:p w14:paraId="0DC9B41B" w14:textId="48170B22" w:rsidR="00B320A8" w:rsidRPr="00B320A8" w:rsidRDefault="00B320A8" w:rsidP="00BF688A">
      <w:pPr>
        <w:rPr>
          <w:i/>
          <w:iCs/>
        </w:rPr>
      </w:pPr>
      <w:r w:rsidRPr="00B320A8">
        <w:rPr>
          <w:i/>
          <w:iCs/>
        </w:rPr>
        <w:t>Results</w:t>
      </w:r>
    </w:p>
    <w:p w14:paraId="6C8C48A4" w14:textId="09D81940" w:rsidR="00B320A8" w:rsidRDefault="00C3080F" w:rsidP="00BF688A">
      <w:r w:rsidRPr="00C3080F">
        <w:t xml:space="preserve">At third data DCO of 27 February 2024, TTSSE analysis provided clinically meaningful result in favour of </w:t>
      </w:r>
      <w:r w:rsidRPr="00C3080F">
        <w:rPr>
          <w:vertAlign w:val="superscript"/>
        </w:rPr>
        <w:t>177</w:t>
      </w:r>
      <w:r w:rsidRPr="00C3080F">
        <w:t xml:space="preserve">Lu-PSMA-617 arm with an estimated 59% risk reduction of symptomatic skeletal event (SSE) or death (HR: 0.41; 95% CI: 0.26, 0.63). The median time to SSE was 17.97 months (95% CI: 14.26, </w:t>
      </w:r>
      <w:r>
        <w:t>not estimable</w:t>
      </w:r>
      <w:r w:rsidRPr="00C3080F">
        <w:t xml:space="preserve">) in the ARPI arm and not reached in the </w:t>
      </w:r>
      <w:r w:rsidRPr="00C3080F">
        <w:rPr>
          <w:vertAlign w:val="superscript"/>
        </w:rPr>
        <w:t>177</w:t>
      </w:r>
      <w:r w:rsidRPr="00C3080F">
        <w:t>Lu-PSMA-617 arm.</w:t>
      </w:r>
    </w:p>
    <w:p w14:paraId="51C54427" w14:textId="124CF369" w:rsidR="002D6129" w:rsidRPr="00B320A8" w:rsidRDefault="002D6129" w:rsidP="00BF688A">
      <w:pPr>
        <w:rPr>
          <w:u w:val="single"/>
        </w:rPr>
      </w:pPr>
      <w:r w:rsidRPr="00B320A8">
        <w:rPr>
          <w:u w:val="single"/>
        </w:rPr>
        <w:t>PSA50 response</w:t>
      </w:r>
    </w:p>
    <w:p w14:paraId="2075F84F" w14:textId="2C82C9B8" w:rsidR="00E92A5C" w:rsidRDefault="0087619D" w:rsidP="0098773D">
      <w:r>
        <w:t xml:space="preserve">PSA50 response was defined as proportion of patients </w:t>
      </w:r>
      <w:r w:rsidR="00A54761">
        <w:t>who achieved a ≥ 50% decrease from baseline confirmed by a second PSA measurement ≥ 4 weeks</w:t>
      </w:r>
      <w:r w:rsidR="00E66629">
        <w:t xml:space="preserve"> (</w:t>
      </w:r>
      <w:r w:rsidR="000479B3">
        <w:t xml:space="preserve">as </w:t>
      </w:r>
      <w:r w:rsidR="00E66629">
        <w:t>per laboratory testing)</w:t>
      </w:r>
      <w:r w:rsidR="00A54761">
        <w:t>.</w:t>
      </w:r>
      <w:r w:rsidR="0098773D">
        <w:t xml:space="preserve"> Baseline </w:t>
      </w:r>
      <w:r w:rsidR="0098773D">
        <w:lastRenderedPageBreak/>
        <w:t xml:space="preserve">PSA was obtained at screening and could be as long as 6 weeks prior to the date of treatment start for </w:t>
      </w:r>
      <w:r w:rsidR="0098773D" w:rsidRPr="00DF7BAD">
        <w:rPr>
          <w:vertAlign w:val="superscript"/>
        </w:rPr>
        <w:t>177</w:t>
      </w:r>
      <w:r w:rsidR="0098773D" w:rsidRPr="00623A2F">
        <w:t xml:space="preserve">Lu-PSMA-617 </w:t>
      </w:r>
      <w:r w:rsidR="0098773D">
        <w:t>arm given the allowed screening window and lead time to order and administer the treatment after randomi</w:t>
      </w:r>
      <w:r w:rsidR="004967E4">
        <w:t>s</w:t>
      </w:r>
      <w:r w:rsidR="0098773D">
        <w:t xml:space="preserve">ation. Since PSA could rise over this interval, the PSA50 response observed could be underestimated in the </w:t>
      </w:r>
      <w:r w:rsidR="0098773D" w:rsidRPr="00DF7BAD">
        <w:rPr>
          <w:vertAlign w:val="superscript"/>
        </w:rPr>
        <w:t>177</w:t>
      </w:r>
      <w:r w:rsidR="0098773D" w:rsidRPr="00623A2F">
        <w:t xml:space="preserve">Lu-PSMA-617 </w:t>
      </w:r>
      <w:r w:rsidR="0098773D">
        <w:t>arm.</w:t>
      </w:r>
      <w:r w:rsidR="00183BFA">
        <w:t xml:space="preserve"> </w:t>
      </w:r>
      <w:r w:rsidR="004A1129">
        <w:t xml:space="preserve">PSA50 response was calculated at 12, 24 and 48 weeks based on the FAS and according to the </w:t>
      </w:r>
      <w:r w:rsidR="004330B0">
        <w:t>intent-to</w:t>
      </w:r>
      <w:r w:rsidR="00CB278A">
        <w:t>-treat</w:t>
      </w:r>
      <w:r w:rsidR="004A1129">
        <w:t xml:space="preserve"> principle. </w:t>
      </w:r>
      <w:r w:rsidR="0098345D">
        <w:t>Response will be presented by treatment group</w:t>
      </w:r>
      <w:r w:rsidR="006B61D4">
        <w:t>.</w:t>
      </w:r>
    </w:p>
    <w:p w14:paraId="3C6CCCD7" w14:textId="65A63A48" w:rsidR="003702A9" w:rsidRDefault="00F13704" w:rsidP="00BD58F1">
      <w:pPr>
        <w:rPr>
          <w:b/>
          <w:bCs/>
          <w:i/>
          <w:iCs/>
        </w:rPr>
      </w:pPr>
      <w:r w:rsidRPr="00F74D76">
        <w:rPr>
          <w:b/>
          <w:bCs/>
          <w:i/>
          <w:iCs/>
        </w:rPr>
        <w:t>Patient-reported outcomes</w:t>
      </w:r>
    </w:p>
    <w:p w14:paraId="3FEE3E3F" w14:textId="06F47600" w:rsidR="00EE7994" w:rsidRDefault="00EE7994" w:rsidP="00BD58F1">
      <w:r>
        <w:t xml:space="preserve">A </w:t>
      </w:r>
      <w:r w:rsidR="001D25C9">
        <w:t>PRO</w:t>
      </w:r>
      <w:r>
        <w:t xml:space="preserve"> is a measurement </w:t>
      </w:r>
      <w:r w:rsidR="00655934">
        <w:t xml:space="preserve">that captures the person’s perception of their own health </w:t>
      </w:r>
      <w:r w:rsidR="001D25C9">
        <w:t xml:space="preserve">condition without interpretation by a healthcare physician or anyone else. Symptoms or other unobservable concepts known only to the patient </w:t>
      </w:r>
      <w:r w:rsidR="00655934">
        <w:t>(e.g., pain, fatigue)</w:t>
      </w:r>
      <w:r w:rsidR="001D25C9">
        <w:t xml:space="preserve"> can only be assessed using PRO measures</w:t>
      </w:r>
      <w:r w:rsidR="00655934">
        <w:t>.</w:t>
      </w:r>
      <w:r w:rsidR="00E405F6">
        <w:t xml:space="preserve"> </w:t>
      </w:r>
      <w:r w:rsidR="00D06A8F">
        <w:t xml:space="preserve">All </w:t>
      </w:r>
      <w:r w:rsidR="00E405F6">
        <w:t xml:space="preserve">PROs </w:t>
      </w:r>
      <w:r w:rsidR="001A11FA">
        <w:t>were collected on an electronic tablet device at the clinic at the scheduled visit prior to any clinical assessments.</w:t>
      </w:r>
    </w:p>
    <w:p w14:paraId="2DA3A120" w14:textId="27267680" w:rsidR="00BD3CC3" w:rsidRPr="00B320A8" w:rsidRDefault="00BD3CC3" w:rsidP="00BD58F1">
      <w:pPr>
        <w:rPr>
          <w:u w:val="single"/>
        </w:rPr>
      </w:pPr>
      <w:r w:rsidRPr="00B320A8">
        <w:rPr>
          <w:u w:val="single"/>
        </w:rPr>
        <w:t>Pain score</w:t>
      </w:r>
    </w:p>
    <w:p w14:paraId="5DC2A863" w14:textId="78D6C089" w:rsidR="00BD3CC3" w:rsidRDefault="00B018B5" w:rsidP="00BD58F1">
      <w:r w:rsidRPr="00B018B5">
        <w:t>T</w:t>
      </w:r>
      <w:r w:rsidR="00BD3CC3" w:rsidRPr="00B018B5">
        <w:t xml:space="preserve">he </w:t>
      </w:r>
      <w:r w:rsidR="00A73A6A" w:rsidRPr="00B018B5">
        <w:t xml:space="preserve">Brief Pain Inventory </w:t>
      </w:r>
      <w:r w:rsidRPr="00B018B5">
        <w:t>– Short Form (</w:t>
      </w:r>
      <w:r w:rsidR="00BD3CC3" w:rsidRPr="00B018B5">
        <w:t>BPI-SF</w:t>
      </w:r>
      <w:r w:rsidRPr="00B018B5">
        <w:t>) was used</w:t>
      </w:r>
      <w:r w:rsidR="00BD3CC3" w:rsidRPr="00B018B5">
        <w:t xml:space="preserve"> to assess the severity and impact of pain on daily functions.</w:t>
      </w:r>
      <w:r>
        <w:t xml:space="preserve"> </w:t>
      </w:r>
      <w:r w:rsidR="0039379C">
        <w:t xml:space="preserve">The BPI was initially developed </w:t>
      </w:r>
      <w:r w:rsidR="00F81F1C">
        <w:t xml:space="preserve">to assess pain related to cancer and is a widely used </w:t>
      </w:r>
      <w:r w:rsidR="00F72438">
        <w:t xml:space="preserve">measurement tool for assessing clinical pain. </w:t>
      </w:r>
      <w:r>
        <w:t>The</w:t>
      </w:r>
      <w:r w:rsidR="003B6FC7">
        <w:t xml:space="preserve"> BPI-SF measures </w:t>
      </w:r>
      <w:r w:rsidR="001F78D5">
        <w:t xml:space="preserve">pain intensity and interference using a scale of </w:t>
      </w:r>
      <w:r w:rsidR="0078791F">
        <w:t xml:space="preserve">0 to 10 </w:t>
      </w:r>
      <w:r w:rsidR="005123E1">
        <w:t>(no pain/interference to worst pain/complete interference)</w:t>
      </w:r>
      <w:r w:rsidR="0021222F">
        <w:t>.</w:t>
      </w:r>
      <w:r w:rsidR="005123E1">
        <w:t xml:space="preserve"> Change in scores from baseline were assessed using linear mixed effect model</w:t>
      </w:r>
      <w:r w:rsidR="00D06A8F">
        <w:t xml:space="preserve">. </w:t>
      </w:r>
    </w:p>
    <w:p w14:paraId="2197AEAB" w14:textId="77777777" w:rsidR="00193D3E" w:rsidRPr="00E23F90" w:rsidRDefault="00193D3E" w:rsidP="00193D3E">
      <w:pPr>
        <w:rPr>
          <w:i/>
          <w:iCs/>
        </w:rPr>
      </w:pPr>
      <w:r w:rsidRPr="00E23F90">
        <w:rPr>
          <w:i/>
          <w:iCs/>
        </w:rPr>
        <w:t>Results</w:t>
      </w:r>
    </w:p>
    <w:p w14:paraId="53148FAA" w14:textId="77777777" w:rsidR="00193D3E" w:rsidRDefault="00193D3E" w:rsidP="00193D3E">
      <w:r>
        <w:t xml:space="preserve">While on-treatment, patients treated with </w:t>
      </w:r>
      <w:r w:rsidRPr="00193D3E">
        <w:rPr>
          <w:vertAlign w:val="superscript"/>
        </w:rPr>
        <w:t>177</w:t>
      </w:r>
      <w:r>
        <w:t xml:space="preserve">Lu-PSMA-617 appeared to be more stable with less pain compared to ARPI. Time to worsening was delayed in the </w:t>
      </w:r>
      <w:r w:rsidRPr="00193D3E">
        <w:rPr>
          <w:vertAlign w:val="superscript"/>
        </w:rPr>
        <w:t>177</w:t>
      </w:r>
      <w:r>
        <w:t xml:space="preserve">Lu-PSMA-617 arm compared to the ARPI arm (HR 0.72; 95% CI: 0.59, 0.88). </w:t>
      </w:r>
    </w:p>
    <w:p w14:paraId="56D859C7" w14:textId="77777777" w:rsidR="00193D3E" w:rsidRPr="00EE7994" w:rsidRDefault="00193D3E" w:rsidP="00193D3E">
      <w:r w:rsidRPr="00E6492C">
        <w:t xml:space="preserve">Time to improvement after worsening was faster </w:t>
      </w:r>
      <w:r>
        <w:t>in</w:t>
      </w:r>
      <w:r w:rsidRPr="00E6492C">
        <w:t xml:space="preserve"> the </w:t>
      </w:r>
      <w:r w:rsidRPr="00193D3E">
        <w:rPr>
          <w:vertAlign w:val="superscript"/>
        </w:rPr>
        <w:t>177</w:t>
      </w:r>
      <w:r>
        <w:t>Lu-PSMA-617</w:t>
      </w:r>
      <w:r w:rsidRPr="00E6492C">
        <w:t xml:space="preserve"> arm compared to ARPI arm</w:t>
      </w:r>
      <w:r>
        <w:t xml:space="preserve">. The mean time to improvement after worsening in BPI-SF scales was 6.70 months for patients treated with </w:t>
      </w:r>
      <w:r w:rsidRPr="00193D3E">
        <w:rPr>
          <w:vertAlign w:val="superscript"/>
        </w:rPr>
        <w:t>177</w:t>
      </w:r>
      <w:r>
        <w:t xml:space="preserve">Lu-PSMA-617 compared to 14.05 months for patients treated with ARPI. </w:t>
      </w:r>
    </w:p>
    <w:p w14:paraId="41F1D71D" w14:textId="09C291ED" w:rsidR="00D57AB3" w:rsidRPr="00B320A8" w:rsidRDefault="00926834" w:rsidP="00BD58F1">
      <w:pPr>
        <w:rPr>
          <w:u w:val="single"/>
        </w:rPr>
      </w:pPr>
      <w:r w:rsidRPr="00B320A8">
        <w:rPr>
          <w:u w:val="single"/>
        </w:rPr>
        <w:t>Health-related quality of life</w:t>
      </w:r>
    </w:p>
    <w:p w14:paraId="510B643E" w14:textId="3DF55AD7" w:rsidR="004A7B7D" w:rsidRDefault="00926834" w:rsidP="00BD58F1">
      <w:r w:rsidRPr="006A025A">
        <w:t>The</w:t>
      </w:r>
      <w:r>
        <w:t xml:space="preserve"> </w:t>
      </w:r>
      <w:r w:rsidRPr="00BD4C07">
        <w:t>EuroQoL-5 Dimension-5 Level</w:t>
      </w:r>
      <w:r w:rsidRPr="006A025A">
        <w:t xml:space="preserve"> </w:t>
      </w:r>
      <w:r>
        <w:t>(</w:t>
      </w:r>
      <w:r w:rsidRPr="006A025A">
        <w:t>EQ-5D-5L</w:t>
      </w:r>
      <w:r>
        <w:t>)</w:t>
      </w:r>
      <w:r w:rsidR="00145727">
        <w:t xml:space="preserve">, </w:t>
      </w:r>
      <w:r w:rsidRPr="006A025A">
        <w:t>a generic instrument for describing and valuing health</w:t>
      </w:r>
      <w:r w:rsidR="00145727">
        <w:t>, was administered to assess health-related quality of life</w:t>
      </w:r>
      <w:r>
        <w:t xml:space="preserve">. </w:t>
      </w:r>
      <w:r w:rsidR="00CA370B" w:rsidRPr="006A025A">
        <w:t>EQ-5D</w:t>
      </w:r>
      <w:r w:rsidR="00CA370B">
        <w:t xml:space="preserve"> is an international, validated, standardised, generic questionnaire </w:t>
      </w:r>
      <w:r w:rsidR="008A4490">
        <w:t xml:space="preserve">for describing and valuing </w:t>
      </w:r>
      <w:proofErr w:type="spellStart"/>
      <w:r w:rsidR="008A4490">
        <w:t>HRQoL</w:t>
      </w:r>
      <w:proofErr w:type="spellEnd"/>
      <w:r w:rsidR="008A4490">
        <w:t xml:space="preserve"> (</w:t>
      </w:r>
      <w:r w:rsidR="008A4490" w:rsidRPr="001C2E25">
        <w:t>Rabin</w:t>
      </w:r>
      <w:r w:rsidR="001C2E25" w:rsidRPr="001C2E25">
        <w:t xml:space="preserve"> &amp; de Charro</w:t>
      </w:r>
      <w:r w:rsidR="008A4490" w:rsidRPr="001C2E25">
        <w:t xml:space="preserve"> 2001</w:t>
      </w:r>
      <w:r w:rsidR="008A4490">
        <w:t xml:space="preserve">). </w:t>
      </w:r>
      <w:r w:rsidR="008A4490" w:rsidRPr="006A025A">
        <w:t>EQ-5D</w:t>
      </w:r>
      <w:r w:rsidR="008A4490">
        <w:t xml:space="preserve"> was developed by the </w:t>
      </w:r>
      <w:proofErr w:type="spellStart"/>
      <w:r w:rsidR="008A4490">
        <w:t>EuroQo</w:t>
      </w:r>
      <w:r w:rsidR="00D82617">
        <w:t>L</w:t>
      </w:r>
      <w:proofErr w:type="spellEnd"/>
      <w:r w:rsidR="008A4490">
        <w:t xml:space="preserve"> Group </w:t>
      </w:r>
      <w:proofErr w:type="gramStart"/>
      <w:r w:rsidR="008A4490">
        <w:t>in order to</w:t>
      </w:r>
      <w:proofErr w:type="gramEnd"/>
      <w:r w:rsidR="008A4490">
        <w:t xml:space="preserve"> </w:t>
      </w:r>
      <w:r w:rsidR="00634E0A">
        <w:t xml:space="preserve">provide a simple, generic measure of health for clinical and economic </w:t>
      </w:r>
      <w:r w:rsidR="00AB1DAF">
        <w:t>appraisal (</w:t>
      </w:r>
      <w:proofErr w:type="spellStart"/>
      <w:r w:rsidR="00AB1DAF" w:rsidRPr="001C2E25">
        <w:t>EuroQoL</w:t>
      </w:r>
      <w:proofErr w:type="spellEnd"/>
      <w:r w:rsidR="00AB1DAF" w:rsidRPr="001C2E25">
        <w:t>, 1990</w:t>
      </w:r>
      <w:r w:rsidR="00AB1DAF">
        <w:t>).</w:t>
      </w:r>
      <w:r w:rsidR="00AC045A" w:rsidRPr="00AC045A">
        <w:t xml:space="preserve"> </w:t>
      </w:r>
      <w:r w:rsidR="00AC045A" w:rsidRPr="006A025A">
        <w:t>EQ-5D-5L</w:t>
      </w:r>
      <w:r w:rsidR="00AC045A">
        <w:t xml:space="preserve"> is the mo</w:t>
      </w:r>
      <w:r w:rsidR="004A7B7D">
        <w:t xml:space="preserve">st recent version developed to improve the instrument’s sensitivity and to reduce ceiling effects. </w:t>
      </w:r>
    </w:p>
    <w:p w14:paraId="7AE8EC00" w14:textId="7FC45230" w:rsidR="00467FEA" w:rsidRPr="00B320A8" w:rsidRDefault="00467FEA" w:rsidP="00583AF9">
      <w:pPr>
        <w:rPr>
          <w:u w:val="single"/>
        </w:rPr>
      </w:pPr>
      <w:r w:rsidRPr="00B320A8">
        <w:rPr>
          <w:u w:val="single"/>
        </w:rPr>
        <w:t>Functional Assessment of Cancer Therapy-Prostate</w:t>
      </w:r>
    </w:p>
    <w:p w14:paraId="6D04AA2A" w14:textId="49A9B43E" w:rsidR="007E270C" w:rsidRDefault="007E270C" w:rsidP="007E270C">
      <w:r>
        <w:t xml:space="preserve">The </w:t>
      </w:r>
      <w:r w:rsidRPr="00A26782">
        <w:t>Functional Assessment of Cancer Therapy-Prostate</w:t>
      </w:r>
      <w:r>
        <w:t xml:space="preserve"> (FACT-P) </w:t>
      </w:r>
      <w:r w:rsidR="0030674D">
        <w:t xml:space="preserve">was administered to assess the </w:t>
      </w:r>
      <w:r>
        <w:t xml:space="preserve">prostate cancer specific </w:t>
      </w:r>
      <w:proofErr w:type="spellStart"/>
      <w:r>
        <w:t>HRQoL</w:t>
      </w:r>
      <w:proofErr w:type="spellEnd"/>
      <w:r>
        <w:t xml:space="preserve"> with higher scores representing better the quality of life. </w:t>
      </w:r>
      <w:r w:rsidR="000A60AD">
        <w:t>T</w:t>
      </w:r>
      <w:r w:rsidR="009C0A9D">
        <w:t>he FACT-P comprises 2 parts: general (G) and</w:t>
      </w:r>
      <w:r w:rsidR="00E52C68">
        <w:t xml:space="preserve"> </w:t>
      </w:r>
      <w:r w:rsidR="009C0A9D">
        <w:t>Prostate Cancer Subscale</w:t>
      </w:r>
      <w:r w:rsidR="00B65808">
        <w:t xml:space="preserve"> (PCS). FACT</w:t>
      </w:r>
      <w:r w:rsidR="004945A3">
        <w:t xml:space="preserve">-G is one of the most widely used </w:t>
      </w:r>
      <w:proofErr w:type="spellStart"/>
      <w:r w:rsidR="004945A3">
        <w:t>HRQoL</w:t>
      </w:r>
      <w:proofErr w:type="spellEnd"/>
      <w:r w:rsidR="004945A3">
        <w:t xml:space="preserve"> instruments measuring four domains – physical</w:t>
      </w:r>
      <w:r w:rsidR="0052483C">
        <w:t xml:space="preserve">, functional, emotional and social/family wellbeing. FACT-PCS is designed to specifically measure </w:t>
      </w:r>
      <w:r w:rsidR="006017FC">
        <w:t>prostate cancer-specific quality of life.</w:t>
      </w:r>
      <w:r w:rsidR="006E5E14">
        <w:t xml:space="preserve"> Each item </w:t>
      </w:r>
      <w:r w:rsidR="0043646D">
        <w:t>of the FACT-G and -PCS is rated on a 0 to 4 Likert-type scale and combined to produce subscale scores for each domain as well a global QoL score.</w:t>
      </w:r>
    </w:p>
    <w:p w14:paraId="26DCB241" w14:textId="39F6C5AF" w:rsidR="006B7FE5" w:rsidRPr="00422D0A" w:rsidRDefault="00422D0A" w:rsidP="007E270C">
      <w:pPr>
        <w:rPr>
          <w:i/>
          <w:iCs/>
        </w:rPr>
      </w:pPr>
      <w:r w:rsidRPr="00422D0A">
        <w:rPr>
          <w:i/>
          <w:iCs/>
        </w:rPr>
        <w:t>Results</w:t>
      </w:r>
    </w:p>
    <w:p w14:paraId="73BC77E2" w14:textId="3BAAEF89" w:rsidR="00422D0A" w:rsidRDefault="00422D0A" w:rsidP="007E270C">
      <w:r>
        <w:t>W</w:t>
      </w:r>
      <w:r w:rsidRPr="00422D0A">
        <w:t xml:space="preserve">hile on-treatment, </w:t>
      </w:r>
      <w:r w:rsidR="005C70C8">
        <w:t>patients</w:t>
      </w:r>
      <w:r w:rsidRPr="00422D0A">
        <w:t xml:space="preserve"> in the </w:t>
      </w:r>
      <w:r w:rsidRPr="00422D0A">
        <w:rPr>
          <w:vertAlign w:val="superscript"/>
        </w:rPr>
        <w:t>177</w:t>
      </w:r>
      <w:r w:rsidRPr="00422D0A">
        <w:t xml:space="preserve">Lu-PSMA-617 arm reported higher FACT-P </w:t>
      </w:r>
      <w:r>
        <w:t>total score</w:t>
      </w:r>
      <w:r w:rsidR="005C70C8">
        <w:t xml:space="preserve"> </w:t>
      </w:r>
      <w:r w:rsidRPr="00422D0A">
        <w:t>compared to</w:t>
      </w:r>
      <w:r w:rsidR="005C70C8">
        <w:t xml:space="preserve"> the</w:t>
      </w:r>
      <w:r w:rsidRPr="00422D0A">
        <w:t xml:space="preserve"> ARPI arm. Time to worsening </w:t>
      </w:r>
      <w:r w:rsidR="00861098">
        <w:t xml:space="preserve">(≥ </w:t>
      </w:r>
      <w:r w:rsidR="005E501B">
        <w:t>10-point</w:t>
      </w:r>
      <w:r w:rsidR="00861098">
        <w:t xml:space="preserve"> decrease) </w:t>
      </w:r>
      <w:r w:rsidRPr="00422D0A">
        <w:t xml:space="preserve">was delayed in the </w:t>
      </w:r>
      <w:r w:rsidRPr="005E501B">
        <w:rPr>
          <w:vertAlign w:val="superscript"/>
        </w:rPr>
        <w:t>177</w:t>
      </w:r>
      <w:r w:rsidRPr="00422D0A">
        <w:t xml:space="preserve">Lu-PSMA-617 arm (HR 0.61; 95% CI: 0.50, 0.75). The median time to deterioration was 7.46 months (95% CI: 6.08, 8.54) in the </w:t>
      </w:r>
      <w:r w:rsidRPr="005E501B">
        <w:rPr>
          <w:vertAlign w:val="superscript"/>
        </w:rPr>
        <w:t>177</w:t>
      </w:r>
      <w:r w:rsidRPr="00422D0A">
        <w:t>Lu-PSMA-617 arm vs. 4.27 months (95% CI: 3.45, 4.50) in ARPI arm.</w:t>
      </w:r>
    </w:p>
    <w:p w14:paraId="57E642BC" w14:textId="77777777" w:rsidR="00FA0531" w:rsidRDefault="00FA0531">
      <w:pPr>
        <w:spacing w:after="160" w:line="259" w:lineRule="auto"/>
        <w:rPr>
          <w:b/>
          <w:bCs/>
          <w:i/>
          <w:iCs/>
        </w:rPr>
      </w:pPr>
      <w:r>
        <w:rPr>
          <w:b/>
          <w:bCs/>
          <w:i/>
          <w:iCs/>
        </w:rPr>
        <w:br w:type="page"/>
      </w:r>
    </w:p>
    <w:p w14:paraId="5322E04A" w14:textId="5B6F4CE8" w:rsidR="00D718AE" w:rsidRPr="005466F8" w:rsidRDefault="00D718AE" w:rsidP="00E3373E">
      <w:pPr>
        <w:rPr>
          <w:b/>
          <w:bCs/>
          <w:i/>
          <w:iCs/>
        </w:rPr>
      </w:pPr>
      <w:r w:rsidRPr="005466F8">
        <w:rPr>
          <w:b/>
          <w:bCs/>
          <w:i/>
          <w:iCs/>
        </w:rPr>
        <w:lastRenderedPageBreak/>
        <w:t>Safety</w:t>
      </w:r>
    </w:p>
    <w:p w14:paraId="5474A04C" w14:textId="3B4F9252" w:rsidR="005466F8" w:rsidRDefault="000E02FD" w:rsidP="00E3373E">
      <w:r w:rsidRPr="00EC0A2F">
        <w:rPr>
          <w:vertAlign w:val="superscript"/>
        </w:rPr>
        <w:t>177</w:t>
      </w:r>
      <w:r>
        <w:t xml:space="preserve">Lu-PSMA-617 has been </w:t>
      </w:r>
      <w:r w:rsidR="0099106D">
        <w:t>assessed as</w:t>
      </w:r>
      <w:r w:rsidR="00EC0A2F">
        <w:t xml:space="preserve"> safe and tolerable based on</w:t>
      </w:r>
      <w:r w:rsidR="00F409CE">
        <w:t xml:space="preserve"> the</w:t>
      </w:r>
      <w:r w:rsidR="00C32290">
        <w:t xml:space="preserve"> </w:t>
      </w:r>
      <w:r w:rsidR="00EC0A2F">
        <w:t>VISION</w:t>
      </w:r>
      <w:r w:rsidR="00F409CE">
        <w:t xml:space="preserve"> trial</w:t>
      </w:r>
      <w:r w:rsidR="0010678F">
        <w:t xml:space="preserve"> (MSAC 1686.1 PSD April 2024 Meeting)</w:t>
      </w:r>
      <w:r w:rsidR="00F409CE">
        <w:t xml:space="preserve">. </w:t>
      </w:r>
      <w:proofErr w:type="spellStart"/>
      <w:r w:rsidR="002618E2">
        <w:t>PSMAfore</w:t>
      </w:r>
      <w:proofErr w:type="spellEnd"/>
      <w:r w:rsidR="002618E2">
        <w:t xml:space="preserve"> provides safety and tolerability data for the proposed population. </w:t>
      </w:r>
      <w:r w:rsidR="00F2247E">
        <w:t>Adverse events</w:t>
      </w:r>
      <w:r w:rsidR="00F2247E" w:rsidRPr="00F2247E">
        <w:t xml:space="preserve"> were classified according to the </w:t>
      </w:r>
      <w:r w:rsidR="00EC226C">
        <w:t>Common Toxicity Criteria Adverse Even (</w:t>
      </w:r>
      <w:r w:rsidR="008B0DCE">
        <w:t>CTCAE</w:t>
      </w:r>
      <w:r w:rsidR="00EC226C">
        <w:t>)</w:t>
      </w:r>
      <w:r w:rsidR="008B0DCE">
        <w:t xml:space="preserve"> version 5.0</w:t>
      </w:r>
      <w:r w:rsidR="009C5FA7">
        <w:t xml:space="preserve"> and severity </w:t>
      </w:r>
      <w:r w:rsidR="00EC226C">
        <w:t>was</w:t>
      </w:r>
      <w:r w:rsidR="009C5FA7">
        <w:t xml:space="preserve"> characterised as </w:t>
      </w:r>
      <w:r w:rsidR="00142727">
        <w:t>Grade 1 to 5</w:t>
      </w:r>
      <w:r w:rsidR="00F13CEB">
        <w:t xml:space="preserve">. </w:t>
      </w:r>
      <w:r w:rsidR="004D6513">
        <w:t xml:space="preserve">Adverse event monitoring </w:t>
      </w:r>
      <w:r w:rsidR="00327070">
        <w:t xml:space="preserve">continued for at least 30 days following the end of treatment visit (or </w:t>
      </w:r>
      <w:r w:rsidR="0010678F">
        <w:t xml:space="preserve">End of Treatment </w:t>
      </w:r>
      <w:r w:rsidR="00327070">
        <w:t>2 visit if crossover occurred).</w:t>
      </w:r>
    </w:p>
    <w:p w14:paraId="61DD7A9A" w14:textId="60A34BDE" w:rsidR="006A11B4" w:rsidRDefault="00F13CEB" w:rsidP="00E3373E">
      <w:r w:rsidRPr="00D5555A">
        <w:t>Safety outcomes were analysed in all randomised patients who</w:t>
      </w:r>
      <w:r>
        <w:t xml:space="preserve"> </w:t>
      </w:r>
      <w:r w:rsidR="00D5555A">
        <w:t xml:space="preserve">received at least one dose of study treatment. </w:t>
      </w:r>
      <w:r w:rsidR="006A11B4">
        <w:t xml:space="preserve">The Safety Set included all patients who received at least one dose to study treatment. The </w:t>
      </w:r>
      <w:r w:rsidR="005742BF">
        <w:rPr>
          <w:vertAlign w:val="superscript"/>
        </w:rPr>
        <w:t>177</w:t>
      </w:r>
      <w:r w:rsidR="006A11B4">
        <w:t xml:space="preserve">Lu-PSMA-617 Safety Set included all patients who received at least one dose of </w:t>
      </w:r>
      <w:r w:rsidR="006A11B4" w:rsidRPr="00293B1F">
        <w:rPr>
          <w:vertAlign w:val="superscript"/>
        </w:rPr>
        <w:t>177</w:t>
      </w:r>
      <w:r w:rsidR="006A11B4">
        <w:t>Lu-PSMA-617, dur</w:t>
      </w:r>
      <w:r w:rsidR="005C5177">
        <w:t xml:space="preserve">ing the randomised part of the protocol or after crossover. </w:t>
      </w:r>
    </w:p>
    <w:p w14:paraId="48527E00" w14:textId="049097B1" w:rsidR="0069196C" w:rsidRDefault="00EB06F5" w:rsidP="00E3373E">
      <w:r>
        <w:t xml:space="preserve">At the </w:t>
      </w:r>
      <w:r w:rsidR="00254D44">
        <w:t>final DCO (</w:t>
      </w:r>
      <w:r w:rsidR="00AE48C0">
        <w:t>1 January 2025</w:t>
      </w:r>
      <w:r w:rsidR="00254D44">
        <w:t xml:space="preserve">), the Safety Set consisted of </w:t>
      </w:r>
      <w:r w:rsidR="00293B1F">
        <w:t>227</w:t>
      </w:r>
      <w:r w:rsidR="00254D44">
        <w:t xml:space="preserve"> patients (</w:t>
      </w:r>
      <w:r w:rsidR="001A7D20">
        <w:t>97.0</w:t>
      </w:r>
      <w:r w:rsidR="00254D44">
        <w:t xml:space="preserve">% of the FAS) in the </w:t>
      </w:r>
      <w:r w:rsidR="00254D44" w:rsidRPr="00293B1F">
        <w:rPr>
          <w:vertAlign w:val="superscript"/>
        </w:rPr>
        <w:t>177</w:t>
      </w:r>
      <w:r w:rsidR="00254D44">
        <w:t xml:space="preserve">Lu-PSMA-617 </w:t>
      </w:r>
      <w:r w:rsidR="0087495C">
        <w:t xml:space="preserve">arm and </w:t>
      </w:r>
      <w:r w:rsidR="00293B1F">
        <w:t>232</w:t>
      </w:r>
      <w:r w:rsidR="0087495C">
        <w:t xml:space="preserve"> patients (</w:t>
      </w:r>
      <w:r w:rsidR="001A7D20">
        <w:t>99.1</w:t>
      </w:r>
      <w:r w:rsidR="0087495C">
        <w:t xml:space="preserve">% of the FAS) in the ARPI arm. </w:t>
      </w:r>
      <w:r w:rsidR="00FA00B1">
        <w:t xml:space="preserve">The </w:t>
      </w:r>
      <w:r w:rsidR="005742BF">
        <w:rPr>
          <w:vertAlign w:val="superscript"/>
        </w:rPr>
        <w:t>177</w:t>
      </w:r>
      <w:r w:rsidR="00FA00B1">
        <w:t>Lu-PSMA-617 Set consisted of 134 patients (</w:t>
      </w:r>
      <w:r w:rsidR="00AD4FE1">
        <w:t>57.3%) who crossed over from the ARPI arm.</w:t>
      </w:r>
    </w:p>
    <w:p w14:paraId="76675F81" w14:textId="0955C4E0" w:rsidR="00864D3D" w:rsidRPr="00467FEA" w:rsidRDefault="008A05BA" w:rsidP="00583AF9">
      <w:pPr>
        <w:rPr>
          <w:b/>
          <w:bCs/>
          <w:i/>
          <w:iCs/>
        </w:rPr>
      </w:pPr>
      <w:r w:rsidRPr="00467FEA">
        <w:rPr>
          <w:b/>
          <w:bCs/>
          <w:i/>
          <w:iCs/>
        </w:rPr>
        <w:t>Change in clinical management</w:t>
      </w:r>
    </w:p>
    <w:p w14:paraId="6BC3A534" w14:textId="76962466" w:rsidR="00C656AB" w:rsidRDefault="00B01D4B" w:rsidP="00C656AB">
      <w:r>
        <w:t xml:space="preserve">mCRPC is an incurable disease </w:t>
      </w:r>
      <w:r w:rsidR="001C499E">
        <w:t>associated with high morbidity and mortality.</w:t>
      </w:r>
      <w:r w:rsidR="0018607A">
        <w:t xml:space="preserve"> </w:t>
      </w:r>
      <w:r w:rsidR="00621272">
        <w:t>N</w:t>
      </w:r>
      <w:r w:rsidR="0018607A">
        <w:t>atural progression often involves worsening symptoms</w:t>
      </w:r>
      <w:r w:rsidR="004971EF">
        <w:t xml:space="preserve"> such as fatigue and bone pain which can have negative impacts on quality of life. </w:t>
      </w:r>
      <w:r w:rsidR="00CF07D2">
        <w:t>Improving survival and preserving quality of life</w:t>
      </w:r>
      <w:r w:rsidR="00352EC6">
        <w:t xml:space="preserve"> are key </w:t>
      </w:r>
      <w:r w:rsidR="00135AC3">
        <w:t>treatment goals for patients living with mCRPC</w:t>
      </w:r>
      <w:r w:rsidR="0079649D">
        <w:t xml:space="preserve"> (</w:t>
      </w:r>
      <w:proofErr w:type="spellStart"/>
      <w:r w:rsidR="00CF07D2">
        <w:t>Kulasegaran</w:t>
      </w:r>
      <w:proofErr w:type="spellEnd"/>
      <w:r w:rsidR="00CF07D2">
        <w:t xml:space="preserve"> &amp; Oliveira</w:t>
      </w:r>
      <w:r w:rsidR="002D1666">
        <w:t>,</w:t>
      </w:r>
      <w:r w:rsidR="00CF07D2">
        <w:t xml:space="preserve"> 2024</w:t>
      </w:r>
      <w:r w:rsidR="0079649D">
        <w:t>)</w:t>
      </w:r>
      <w:r w:rsidR="00135AC3">
        <w:t>.</w:t>
      </w:r>
      <w:r w:rsidR="0069196C">
        <w:t xml:space="preserve"> </w:t>
      </w:r>
      <w:r w:rsidR="00166AA3">
        <w:t xml:space="preserve">Treatment decisions can be impacted by various factors. </w:t>
      </w:r>
      <w:r w:rsidR="00EB6CE6" w:rsidRPr="00DA159A">
        <w:t>Up to 90% of patients develop bone metastases leading to severe bone pain</w:t>
      </w:r>
      <w:r w:rsidR="00166AA3">
        <w:t xml:space="preserve"> </w:t>
      </w:r>
      <w:r w:rsidR="00EB6CE6" w:rsidRPr="00DA159A">
        <w:t xml:space="preserve">from skeletal events like fractures and spinal cord compression (Leaning et al., 2023). </w:t>
      </w:r>
      <w:r w:rsidR="00166AA3">
        <w:t>S</w:t>
      </w:r>
      <w:r w:rsidR="0069196C">
        <w:t>tudies have found that controlling or reducing bone pain is an important factor for mCRPC patients when considering their treatment options (George et al., 2022).</w:t>
      </w:r>
    </w:p>
    <w:p w14:paraId="725EFB09" w14:textId="553CCBF3" w:rsidR="00EB2A0F" w:rsidRDefault="00EB2A0F" w:rsidP="00EB2A0F">
      <w:r>
        <w:t xml:space="preserve">In Australia, current treatment options for the proposed </w:t>
      </w:r>
      <w:proofErr w:type="spellStart"/>
      <w:r w:rsidR="00F551AF">
        <w:t>mCRCP</w:t>
      </w:r>
      <w:proofErr w:type="spellEnd"/>
      <w:r w:rsidR="00F551AF">
        <w:t xml:space="preserve"> </w:t>
      </w:r>
      <w:r>
        <w:t xml:space="preserve">patient population are docetaxel or palliative care. </w:t>
      </w:r>
      <w:r w:rsidR="008A62CE">
        <w:t>T</w:t>
      </w:r>
      <w:r>
        <w:t xml:space="preserve">axane-based </w:t>
      </w:r>
      <w:r>
        <w:rPr>
          <w:color w:val="000000"/>
        </w:rPr>
        <w:t xml:space="preserve">chemotherapy </w:t>
      </w:r>
      <w:r w:rsidRPr="009636C4">
        <w:rPr>
          <w:color w:val="000000"/>
        </w:rPr>
        <w:t>may be deferred or avoided due to concerns from either the patient or physician about severe side effects that reduce quality of life, a</w:t>
      </w:r>
      <w:r>
        <w:rPr>
          <w:color w:val="000000"/>
        </w:rPr>
        <w:t xml:space="preserve">n assessment </w:t>
      </w:r>
      <w:r w:rsidRPr="009636C4">
        <w:rPr>
          <w:color w:val="000000"/>
        </w:rPr>
        <w:t>that</w:t>
      </w:r>
      <w:r>
        <w:rPr>
          <w:color w:val="000000"/>
        </w:rPr>
        <w:t xml:space="preserve"> the</w:t>
      </w:r>
      <w:r w:rsidRPr="009636C4">
        <w:rPr>
          <w:color w:val="000000"/>
        </w:rPr>
        <w:t xml:space="preserve"> the</w:t>
      </w:r>
      <w:r>
        <w:rPr>
          <w:color w:val="000000"/>
        </w:rPr>
        <w:t>rapeutic</w:t>
      </w:r>
      <w:r w:rsidRPr="009636C4">
        <w:rPr>
          <w:color w:val="000000"/>
        </w:rPr>
        <w:t xml:space="preserve"> benefit</w:t>
      </w:r>
      <w:r>
        <w:rPr>
          <w:color w:val="000000"/>
        </w:rPr>
        <w:t>s</w:t>
      </w:r>
      <w:r w:rsidRPr="009636C4">
        <w:rPr>
          <w:color w:val="000000"/>
        </w:rPr>
        <w:t xml:space="preserve"> </w:t>
      </w:r>
      <w:r>
        <w:rPr>
          <w:color w:val="000000"/>
        </w:rPr>
        <w:t>do</w:t>
      </w:r>
      <w:r w:rsidRPr="002D1666">
        <w:rPr>
          <w:color w:val="000000"/>
        </w:rPr>
        <w:t xml:space="preserve"> not outweigh the </w:t>
      </w:r>
      <w:r>
        <w:rPr>
          <w:color w:val="000000"/>
        </w:rPr>
        <w:t>risk</w:t>
      </w:r>
      <w:r w:rsidRPr="009636C4">
        <w:rPr>
          <w:color w:val="000000"/>
        </w:rPr>
        <w:t>, or because the patient's health makes taxanes unsuitable (Al-</w:t>
      </w:r>
      <w:proofErr w:type="spellStart"/>
      <w:r w:rsidRPr="009636C4">
        <w:rPr>
          <w:color w:val="000000"/>
        </w:rPr>
        <w:t>Batran</w:t>
      </w:r>
      <w:proofErr w:type="spellEnd"/>
      <w:r w:rsidRPr="009636C4">
        <w:rPr>
          <w:color w:val="000000"/>
        </w:rPr>
        <w:t xml:space="preserve"> et al.</w:t>
      </w:r>
      <w:r>
        <w:rPr>
          <w:color w:val="000000"/>
        </w:rPr>
        <w:t>,</w:t>
      </w:r>
      <w:r w:rsidRPr="009636C4">
        <w:rPr>
          <w:color w:val="000000"/>
        </w:rPr>
        <w:t xml:space="preserve"> 2015; Singer &amp; Srinivasan, 2012).</w:t>
      </w:r>
      <w:r>
        <w:rPr>
          <w:color w:val="000000"/>
        </w:rPr>
        <w:t xml:space="preserve"> This is supported by DUSC data that indicates only 14% of patients </w:t>
      </w:r>
      <w:r w:rsidR="006B6356">
        <w:rPr>
          <w:color w:val="000000"/>
        </w:rPr>
        <w:t>receive docetaxel in the 18-24 months following treatment with an ARPI (</w:t>
      </w:r>
      <w:r w:rsidR="006B6356" w:rsidRPr="000B6061">
        <w:t>olaparib PSD, para 5.2, March 2021 PBAC Meeting</w:t>
      </w:r>
      <w:r w:rsidR="006B6356">
        <w:rPr>
          <w:color w:val="000000"/>
        </w:rPr>
        <w:t>).</w:t>
      </w:r>
    </w:p>
    <w:p w14:paraId="6C3E3888" w14:textId="6DACCFAB" w:rsidR="00EA3D5B" w:rsidRDefault="005B5298" w:rsidP="00BC0C43">
      <w:r>
        <w:t xml:space="preserve">Overall, </w:t>
      </w:r>
      <w:proofErr w:type="spellStart"/>
      <w:r>
        <w:t>PSMAfore</w:t>
      </w:r>
      <w:proofErr w:type="spellEnd"/>
      <w:r>
        <w:t xml:space="preserve"> demonstrates improved outcomes for taxane naïve mCRPC patients who have been treated with an ARPI compared to current standard of care. The results </w:t>
      </w:r>
      <w:r w:rsidR="006A3583">
        <w:t xml:space="preserve">show that patients treated with </w:t>
      </w:r>
      <w:r w:rsidR="006A3583" w:rsidRPr="00A16003">
        <w:rPr>
          <w:vertAlign w:val="superscript"/>
        </w:rPr>
        <w:t>177</w:t>
      </w:r>
      <w:r w:rsidR="006A3583">
        <w:t xml:space="preserve">Lu-PSMA-617 may experience improved survival through a significantly reduced risk of radiographic progression compared to standard of care. </w:t>
      </w:r>
      <w:r w:rsidR="008D13B7">
        <w:t>In addition,</w:t>
      </w:r>
      <w:r w:rsidR="00217855">
        <w:t xml:space="preserve"> patients treated with</w:t>
      </w:r>
      <w:r w:rsidR="008D13B7">
        <w:t xml:space="preserve"> </w:t>
      </w:r>
      <w:r w:rsidR="008D13B7" w:rsidRPr="00EB3496">
        <w:rPr>
          <w:vertAlign w:val="superscript"/>
        </w:rPr>
        <w:t>177</w:t>
      </w:r>
      <w:r w:rsidR="008D13B7">
        <w:t xml:space="preserve">Lu-PSMA-617 </w:t>
      </w:r>
      <w:r w:rsidR="00780DFE">
        <w:t xml:space="preserve">may experience </w:t>
      </w:r>
      <w:r w:rsidR="00A745A2">
        <w:t xml:space="preserve">better quality of life while on treatment </w:t>
      </w:r>
      <w:r w:rsidR="000146F5">
        <w:t xml:space="preserve">due to </w:t>
      </w:r>
      <w:r w:rsidR="00A745A2">
        <w:t xml:space="preserve">delayed </w:t>
      </w:r>
      <w:r w:rsidR="00780DFE">
        <w:t>worsening</w:t>
      </w:r>
      <w:r w:rsidR="000146F5">
        <w:t xml:space="preserve"> and longer time to deterioration</w:t>
      </w:r>
      <w:r w:rsidR="00780DFE">
        <w:t xml:space="preserve"> compared to current standard of care. </w:t>
      </w:r>
    </w:p>
    <w:p w14:paraId="5062C623" w14:textId="615D982C" w:rsidR="00AC02FB" w:rsidRDefault="00EA3D5B" w:rsidP="00BC0C43">
      <w:r>
        <w:t>Prolonging time to progression</w:t>
      </w:r>
      <w:r w:rsidR="00040F2D">
        <w:t xml:space="preserve"> and </w:t>
      </w:r>
      <w:r w:rsidR="00535C48">
        <w:t>symptomatic skelet</w:t>
      </w:r>
      <w:r w:rsidR="005974B8">
        <w:t>al event (SSE)</w:t>
      </w:r>
      <w:r w:rsidR="00040F2D">
        <w:t xml:space="preserve"> while maintaining </w:t>
      </w:r>
      <w:r w:rsidR="00627E6E">
        <w:t xml:space="preserve">quality of life are important </w:t>
      </w:r>
      <w:r w:rsidR="000A191B">
        <w:t xml:space="preserve">considerations for </w:t>
      </w:r>
      <w:r w:rsidR="00627E6E">
        <w:t>mCRPC patients</w:t>
      </w:r>
      <w:r w:rsidR="000A191B">
        <w:t xml:space="preserve">. </w:t>
      </w:r>
      <w:r w:rsidR="00517635" w:rsidRPr="00EB3496">
        <w:rPr>
          <w:vertAlign w:val="superscript"/>
        </w:rPr>
        <w:t>177</w:t>
      </w:r>
      <w:r w:rsidR="00517635">
        <w:t xml:space="preserve">Lu-PSMA-617 </w:t>
      </w:r>
      <w:r w:rsidR="000A191B">
        <w:t>provides clinicians and patients with an alternative effective and safe treatment option to docetaxel or palliative care in the first line mCR</w:t>
      </w:r>
      <w:r w:rsidR="00E478B8">
        <w:t>P</w:t>
      </w:r>
      <w:r w:rsidR="000A191B">
        <w:t>C setting following treatment with an ARPI</w:t>
      </w:r>
      <w:r w:rsidR="00517635">
        <w:t>.</w:t>
      </w:r>
    </w:p>
    <w:p w14:paraId="0C50C24C" w14:textId="77777777" w:rsidR="00C87879" w:rsidRPr="00EB16E8" w:rsidRDefault="00C87879" w:rsidP="00BC0C43"/>
    <w:p w14:paraId="7DABB9B6" w14:textId="77777777" w:rsidR="00E4687C" w:rsidRDefault="00E4687C">
      <w:pPr>
        <w:spacing w:after="160" w:line="259" w:lineRule="auto"/>
        <w:rPr>
          <w:b/>
          <w:bCs/>
          <w:color w:val="002060"/>
          <w:sz w:val="32"/>
          <w:szCs w:val="32"/>
        </w:rPr>
      </w:pPr>
      <w:r>
        <w:rPr>
          <w:color w:val="002060"/>
        </w:rPr>
        <w:br w:type="page"/>
      </w:r>
    </w:p>
    <w:p w14:paraId="51234613" w14:textId="07AC725B" w:rsidR="00566CF9" w:rsidRPr="00A84BCA" w:rsidRDefault="00566CF9" w:rsidP="00EA0AA0">
      <w:pPr>
        <w:pStyle w:val="Heading1"/>
        <w:rPr>
          <w:color w:val="002060"/>
        </w:rPr>
      </w:pPr>
      <w:r w:rsidRPr="00A84BCA">
        <w:rPr>
          <w:color w:val="002060"/>
        </w:rPr>
        <w:lastRenderedPageBreak/>
        <w:t>Proposed MBS items</w:t>
      </w:r>
    </w:p>
    <w:p w14:paraId="65E4A37C" w14:textId="17B967C3" w:rsidR="009C0554" w:rsidRPr="00D163F8" w:rsidRDefault="009C0554" w:rsidP="00562061">
      <w:pPr>
        <w:pStyle w:val="Heading2"/>
      </w:pPr>
      <w:r w:rsidRPr="00D163F8">
        <w:t>How is the technology/service funded at present? (</w:t>
      </w:r>
      <w:r w:rsidR="00EA0AA0" w:rsidRPr="00D163F8">
        <w:t>e.g.,</w:t>
      </w:r>
      <w:r w:rsidRPr="00D163F8">
        <w:t xml:space="preserve"> research funding; State-based funding; self-funded by patients; no funding or payments): </w:t>
      </w:r>
    </w:p>
    <w:p w14:paraId="79059C32" w14:textId="0A7B40DE" w:rsidR="00EB16E8" w:rsidRDefault="00F45E36" w:rsidP="002513E4">
      <w:r w:rsidRPr="008248B2">
        <w:rPr>
          <w:vertAlign w:val="superscript"/>
        </w:rPr>
        <w:t>177</w:t>
      </w:r>
      <w:r>
        <w:t>Lu-PSMA-617</w:t>
      </w:r>
      <w:r w:rsidR="00382D64">
        <w:t xml:space="preserve"> is not currently </w:t>
      </w:r>
      <w:r w:rsidR="007E48B8">
        <w:t>funded</w:t>
      </w:r>
      <w:r w:rsidR="00382D64">
        <w:t xml:space="preserve"> for patients with mCRPC who are taxane naïve.</w:t>
      </w:r>
      <w:r w:rsidR="00F9195B">
        <w:t xml:space="preserve"> TGA registration for the proposed population is expected mid-2026 and </w:t>
      </w:r>
      <w:r w:rsidR="0035627E">
        <w:t xml:space="preserve">without </w:t>
      </w:r>
      <w:r w:rsidR="00B7018F">
        <w:t>public</w:t>
      </w:r>
      <w:r w:rsidR="0035627E">
        <w:t xml:space="preserve"> funding </w:t>
      </w:r>
      <w:r w:rsidR="00F9195B">
        <w:t>will only be available via private pay (i.e., self-funded by the patient).</w:t>
      </w:r>
      <w:r w:rsidR="00DA462A">
        <w:t xml:space="preserve"> </w:t>
      </w:r>
      <w:r w:rsidRPr="008248B2">
        <w:rPr>
          <w:vertAlign w:val="superscript"/>
        </w:rPr>
        <w:t>177</w:t>
      </w:r>
      <w:r>
        <w:t xml:space="preserve">Lu-PSMA-617 </w:t>
      </w:r>
      <w:r w:rsidR="00EB16E8">
        <w:t xml:space="preserve">is currently </w:t>
      </w:r>
      <w:r w:rsidR="000365FE">
        <w:t>subsidised</w:t>
      </w:r>
      <w:r w:rsidR="00EB16E8">
        <w:t xml:space="preserve"> on the MBS for patients with mCRPC who have progressive disease following treatment with a</w:t>
      </w:r>
      <w:r w:rsidR="00382D64">
        <w:t>t least one</w:t>
      </w:r>
      <w:r w:rsidR="00D7035A">
        <w:t xml:space="preserve"> AR</w:t>
      </w:r>
      <w:r w:rsidR="00B37B12">
        <w:t>P</w:t>
      </w:r>
      <w:r w:rsidR="00D7035A">
        <w:t>I and at least once</w:t>
      </w:r>
      <w:r w:rsidR="00EB16E8">
        <w:t xml:space="preserve"> taxane-based therapy</w:t>
      </w:r>
      <w:r w:rsidR="00382D64">
        <w:t>.</w:t>
      </w:r>
    </w:p>
    <w:p w14:paraId="3F158DED" w14:textId="77777777" w:rsidR="00361BBE" w:rsidRDefault="00EA0AA0" w:rsidP="00562061">
      <w:pPr>
        <w:pStyle w:val="Heading2"/>
      </w:pPr>
      <w:r w:rsidRPr="00D163F8">
        <w:t>P</w:t>
      </w:r>
      <w:r w:rsidR="00566CF9" w:rsidRPr="00D163F8">
        <w:t xml:space="preserve">rovide at least one proposed item with their descriptor and associated costs, for each </w:t>
      </w:r>
      <w:r w:rsidRPr="00D163F8">
        <w:t>P</w:t>
      </w:r>
      <w:r w:rsidR="00566CF9" w:rsidRPr="00D163F8">
        <w:t xml:space="preserve">opulation/Intervention: </w:t>
      </w:r>
    </w:p>
    <w:p w14:paraId="5A9D87B5" w14:textId="3FF0C0BD" w:rsidR="00FC191B" w:rsidRDefault="00FC191B" w:rsidP="00F45E36">
      <w:r>
        <w:t>This application requests the following:</w:t>
      </w:r>
    </w:p>
    <w:p w14:paraId="6C837BAD" w14:textId="76B138A1" w:rsidR="00F45E36" w:rsidRDefault="00F45E36" w:rsidP="00F45E36">
      <w:pPr>
        <w:pStyle w:val="ListParagraph"/>
        <w:numPr>
          <w:ilvl w:val="0"/>
          <w:numId w:val="16"/>
        </w:numPr>
      </w:pPr>
      <w:r>
        <w:t>An amendment to the existing PSMA PET MBS item to determine eligibility for treatment</w:t>
      </w:r>
      <w:r w:rsidR="00805A4A">
        <w:t>,</w:t>
      </w:r>
    </w:p>
    <w:p w14:paraId="07E692DB" w14:textId="2C01397D" w:rsidR="00F45E36" w:rsidRPr="00F45EAC" w:rsidRDefault="00F45E36">
      <w:pPr>
        <w:pStyle w:val="ListParagraph"/>
        <w:numPr>
          <w:ilvl w:val="0"/>
          <w:numId w:val="16"/>
        </w:numPr>
        <w:rPr>
          <w:lang w:val="pt-PT"/>
        </w:rPr>
      </w:pPr>
      <w:r w:rsidRPr="00F45EAC">
        <w:rPr>
          <w:vertAlign w:val="superscript"/>
          <w:lang w:val="pt-PT"/>
        </w:rPr>
        <w:t>177</w:t>
      </w:r>
      <w:r w:rsidRPr="00F45EAC">
        <w:rPr>
          <w:lang w:val="pt-PT"/>
        </w:rPr>
        <w:t>Lu-PSMA-617 reimbursed via</w:t>
      </w:r>
      <w:r w:rsidR="00805A4A" w:rsidRPr="00F45EAC">
        <w:rPr>
          <w:lang w:val="pt-PT"/>
        </w:rPr>
        <w:t xml:space="preserve"> </w:t>
      </w:r>
      <w:r w:rsidR="00FA0531" w:rsidRPr="00FA0531">
        <w:t>the broader Medicare program.</w:t>
      </w:r>
      <w:r w:rsidR="00805A4A" w:rsidRPr="00F45EAC">
        <w:rPr>
          <w:lang w:val="pt-PT"/>
        </w:rPr>
        <w:t>,</w:t>
      </w:r>
    </w:p>
    <w:p w14:paraId="57268FFE" w14:textId="0A6AEF1B" w:rsidR="00653A03" w:rsidRDefault="00F45E36" w:rsidP="00653A03">
      <w:pPr>
        <w:pStyle w:val="ListParagraph"/>
        <w:numPr>
          <w:ilvl w:val="0"/>
          <w:numId w:val="16"/>
        </w:numPr>
      </w:pPr>
      <w:r>
        <w:t>Associated administrative costs subsided separately to treatment costs</w:t>
      </w:r>
      <w:r w:rsidR="00805A4A">
        <w:t>.</w:t>
      </w:r>
    </w:p>
    <w:p w14:paraId="781D4900" w14:textId="77777777" w:rsidR="00DB26ED" w:rsidRDefault="00DB26ED" w:rsidP="00DB26ED"/>
    <w:p w14:paraId="2B32238E" w14:textId="37B76C83" w:rsidR="00D1468E" w:rsidRDefault="006D0858" w:rsidP="00D1468E">
      <w:pPr>
        <w:pStyle w:val="Heading3"/>
      </w:pPr>
      <w:r>
        <w:t xml:space="preserve">Amendment to the existing </w:t>
      </w:r>
      <w:r w:rsidR="00D1468E">
        <w:t xml:space="preserve">PSMA PET </w:t>
      </w:r>
      <w:r>
        <w:t>MBS item</w:t>
      </w:r>
    </w:p>
    <w:p w14:paraId="4B037D62" w14:textId="247AB665" w:rsidR="00F45E36" w:rsidRDefault="00DB26ED" w:rsidP="00323E6A">
      <w:bookmarkStart w:id="9" w:name="_Hlk219470559"/>
      <w:r w:rsidRPr="00DB26ED">
        <w:t>MBS item 61528 is currently available for mCRPC patients who have progressed following treatment with at least one ARPI and at least one taxane-based chemotherapy. Th</w:t>
      </w:r>
      <w:r>
        <w:t>is application requests an</w:t>
      </w:r>
      <w:r w:rsidRPr="00DB26ED">
        <w:t xml:space="preserve"> amendment to expand the patient population under the existing item to include the proposed patient population to determine eligibility for treatment with </w:t>
      </w:r>
      <w:r w:rsidR="00F45E36" w:rsidRPr="00323E6A">
        <w:rPr>
          <w:vertAlign w:val="superscript"/>
        </w:rPr>
        <w:t>177</w:t>
      </w:r>
      <w:r w:rsidR="00F45E36">
        <w:t xml:space="preserve">Lu-PSMA-617 </w:t>
      </w:r>
      <w:r w:rsidR="00FD39F3">
        <w:t>in</w:t>
      </w:r>
      <w:r w:rsidR="00F45E36">
        <w:t xml:space="preserve"> the proposed patient population</w:t>
      </w:r>
      <w:r w:rsidR="00DA462A">
        <w:t xml:space="preserve"> </w:t>
      </w:r>
      <w:bookmarkEnd w:id="9"/>
      <w:r w:rsidR="00DA462A">
        <w:t>(</w:t>
      </w:r>
      <w:r w:rsidR="00DA462A" w:rsidRPr="005402FA">
        <w:t xml:space="preserve">Table </w:t>
      </w:r>
      <w:r w:rsidR="005402FA" w:rsidRPr="005402FA">
        <w:t>2</w:t>
      </w:r>
      <w:r w:rsidR="00DA462A">
        <w:t>)</w:t>
      </w:r>
      <w:r w:rsidR="00444B0A">
        <w:t>.</w:t>
      </w:r>
      <w:r w:rsidR="00347A46">
        <w:t xml:space="preserve"> </w:t>
      </w:r>
    </w:p>
    <w:p w14:paraId="53703089" w14:textId="4E981258" w:rsidR="00D274B7" w:rsidRPr="00F45E36" w:rsidRDefault="00D274B7" w:rsidP="00D274B7">
      <w:pPr>
        <w:pStyle w:val="Captions"/>
      </w:pPr>
      <w:r>
        <w:t xml:space="preserve">Table </w:t>
      </w:r>
      <w:r w:rsidR="005402FA">
        <w:t>2</w:t>
      </w:r>
      <w:r>
        <w:tab/>
      </w:r>
      <w:r>
        <w:tab/>
        <w:t xml:space="preserve">Proposed </w:t>
      </w:r>
      <w:r w:rsidRPr="00995D17">
        <w:rPr>
          <w:u w:val="single"/>
        </w:rPr>
        <w:t>amendment</w:t>
      </w:r>
      <w:r>
        <w:t xml:space="preserve"> to MBS item 61528 to include the proposed patient population</w:t>
      </w:r>
    </w:p>
    <w:tbl>
      <w:tblPr>
        <w:tblStyle w:val="TableGrid"/>
        <w:tblW w:w="0" w:type="auto"/>
        <w:tblLook w:val="04A0" w:firstRow="1" w:lastRow="0" w:firstColumn="1" w:lastColumn="0" w:noHBand="0" w:noVBand="1"/>
      </w:tblPr>
      <w:tblGrid>
        <w:gridCol w:w="3256"/>
        <w:gridCol w:w="6209"/>
      </w:tblGrid>
      <w:tr w:rsidR="00ED1D16" w:rsidRPr="002B64A4" w14:paraId="550CA6B5" w14:textId="77777777" w:rsidTr="00A05B4D">
        <w:tc>
          <w:tcPr>
            <w:tcW w:w="3256" w:type="dxa"/>
          </w:tcPr>
          <w:p w14:paraId="392E8065" w14:textId="5FC882CC" w:rsidR="00A05B4D" w:rsidRPr="002B64A4" w:rsidRDefault="00A05B4D" w:rsidP="00BC0C43">
            <w:pPr>
              <w:rPr>
                <w:rFonts w:ascii="Arial Narrow" w:hAnsi="Arial Narrow"/>
                <w:sz w:val="20"/>
                <w:szCs w:val="20"/>
              </w:rPr>
            </w:pPr>
            <w:bookmarkStart w:id="10" w:name="_Hlk121232719"/>
            <w:r w:rsidRPr="002B64A4">
              <w:rPr>
                <w:rFonts w:ascii="Arial Narrow" w:hAnsi="Arial Narrow"/>
                <w:sz w:val="20"/>
                <w:szCs w:val="20"/>
              </w:rPr>
              <w:t xml:space="preserve">MBS item number </w:t>
            </w:r>
          </w:p>
        </w:tc>
        <w:tc>
          <w:tcPr>
            <w:tcW w:w="6209" w:type="dxa"/>
          </w:tcPr>
          <w:p w14:paraId="4800781C" w14:textId="600283BD" w:rsidR="00A05B4D" w:rsidRPr="002B64A4" w:rsidRDefault="00F45E36" w:rsidP="00BC0C43">
            <w:pPr>
              <w:rPr>
                <w:rFonts w:ascii="Arial Narrow" w:hAnsi="Arial Narrow"/>
                <w:sz w:val="20"/>
                <w:szCs w:val="20"/>
              </w:rPr>
            </w:pPr>
            <w:r w:rsidRPr="002B64A4">
              <w:rPr>
                <w:rFonts w:ascii="Arial Narrow" w:hAnsi="Arial Narrow"/>
                <w:sz w:val="20"/>
                <w:szCs w:val="20"/>
              </w:rPr>
              <w:t>61528</w:t>
            </w:r>
          </w:p>
        </w:tc>
      </w:tr>
      <w:tr w:rsidR="00ED1D16" w:rsidRPr="002B64A4" w14:paraId="28C30EF6" w14:textId="77777777" w:rsidTr="00A05B4D">
        <w:tc>
          <w:tcPr>
            <w:tcW w:w="3256" w:type="dxa"/>
          </w:tcPr>
          <w:p w14:paraId="6164541B" w14:textId="67698528" w:rsidR="00A05B4D" w:rsidRPr="002B64A4" w:rsidRDefault="00A05B4D" w:rsidP="00BC0C43">
            <w:pPr>
              <w:rPr>
                <w:rFonts w:ascii="Arial Narrow" w:hAnsi="Arial Narrow"/>
                <w:sz w:val="20"/>
                <w:szCs w:val="20"/>
              </w:rPr>
            </w:pPr>
            <w:r w:rsidRPr="002B64A4">
              <w:rPr>
                <w:rFonts w:ascii="Arial Narrow" w:hAnsi="Arial Narrow"/>
                <w:sz w:val="20"/>
                <w:szCs w:val="20"/>
              </w:rPr>
              <w:t>Category number</w:t>
            </w:r>
          </w:p>
        </w:tc>
        <w:tc>
          <w:tcPr>
            <w:tcW w:w="6209" w:type="dxa"/>
          </w:tcPr>
          <w:p w14:paraId="60FB6E4B" w14:textId="3CADA890" w:rsidR="00A17E4E" w:rsidRPr="002B64A4" w:rsidRDefault="00A17E4E" w:rsidP="00BC0C43">
            <w:pPr>
              <w:rPr>
                <w:rFonts w:ascii="Arial Narrow" w:hAnsi="Arial Narrow"/>
                <w:sz w:val="20"/>
                <w:szCs w:val="20"/>
              </w:rPr>
            </w:pPr>
            <w:r w:rsidRPr="002B64A4">
              <w:rPr>
                <w:rFonts w:ascii="Arial Narrow" w:hAnsi="Arial Narrow"/>
                <w:sz w:val="20"/>
                <w:szCs w:val="20"/>
              </w:rPr>
              <w:t>5</w:t>
            </w:r>
          </w:p>
        </w:tc>
      </w:tr>
      <w:tr w:rsidR="00ED1D16" w:rsidRPr="002B64A4" w14:paraId="27CB821A" w14:textId="77777777" w:rsidTr="00A05B4D">
        <w:tc>
          <w:tcPr>
            <w:tcW w:w="3256" w:type="dxa"/>
          </w:tcPr>
          <w:p w14:paraId="5E21B36E" w14:textId="39749155" w:rsidR="00A05B4D" w:rsidRPr="002B64A4" w:rsidRDefault="00A05B4D" w:rsidP="00BC0C43">
            <w:pPr>
              <w:rPr>
                <w:rFonts w:ascii="Arial Narrow" w:hAnsi="Arial Narrow"/>
                <w:sz w:val="20"/>
                <w:szCs w:val="20"/>
              </w:rPr>
            </w:pPr>
            <w:r w:rsidRPr="002B64A4">
              <w:rPr>
                <w:rFonts w:ascii="Arial Narrow" w:hAnsi="Arial Narrow"/>
                <w:sz w:val="20"/>
                <w:szCs w:val="20"/>
              </w:rPr>
              <w:t>Category description</w:t>
            </w:r>
          </w:p>
        </w:tc>
        <w:tc>
          <w:tcPr>
            <w:tcW w:w="6209" w:type="dxa"/>
          </w:tcPr>
          <w:p w14:paraId="4DED686A" w14:textId="33147A87" w:rsidR="00A17E4E" w:rsidRPr="002B64A4" w:rsidRDefault="00A17E4E" w:rsidP="00BC0C43">
            <w:pPr>
              <w:rPr>
                <w:rFonts w:ascii="Arial Narrow" w:hAnsi="Arial Narrow"/>
                <w:sz w:val="20"/>
                <w:szCs w:val="20"/>
              </w:rPr>
            </w:pPr>
            <w:r w:rsidRPr="002B64A4">
              <w:rPr>
                <w:rFonts w:ascii="Arial Narrow" w:hAnsi="Arial Narrow"/>
                <w:sz w:val="20"/>
                <w:szCs w:val="20"/>
              </w:rPr>
              <w:t>Diagnostic Imaging Services</w:t>
            </w:r>
          </w:p>
        </w:tc>
      </w:tr>
      <w:tr w:rsidR="00ED1D16" w:rsidRPr="002B64A4" w14:paraId="7AF5F341" w14:textId="77777777" w:rsidTr="00A05B4D">
        <w:tc>
          <w:tcPr>
            <w:tcW w:w="3256" w:type="dxa"/>
          </w:tcPr>
          <w:p w14:paraId="454ADFE2" w14:textId="5F0060E6" w:rsidR="00A05B4D" w:rsidRPr="002B64A4" w:rsidRDefault="00A05B4D" w:rsidP="00BC0C43">
            <w:pPr>
              <w:rPr>
                <w:rFonts w:ascii="Arial Narrow" w:hAnsi="Arial Narrow"/>
                <w:sz w:val="20"/>
                <w:szCs w:val="20"/>
              </w:rPr>
            </w:pPr>
            <w:r w:rsidRPr="002B64A4">
              <w:rPr>
                <w:rFonts w:ascii="Arial Narrow" w:hAnsi="Arial Narrow"/>
                <w:sz w:val="20"/>
                <w:szCs w:val="20"/>
              </w:rPr>
              <w:t>Proposed item descriptor</w:t>
            </w:r>
          </w:p>
        </w:tc>
        <w:tc>
          <w:tcPr>
            <w:tcW w:w="6209" w:type="dxa"/>
          </w:tcPr>
          <w:p w14:paraId="24843940" w14:textId="72F0EC3D" w:rsidR="00A17E4E" w:rsidRPr="002B64A4" w:rsidRDefault="00A17E4E" w:rsidP="00BC0C43">
            <w:pPr>
              <w:rPr>
                <w:rFonts w:ascii="Arial Narrow" w:hAnsi="Arial Narrow"/>
                <w:sz w:val="20"/>
                <w:szCs w:val="20"/>
              </w:rPr>
            </w:pPr>
            <w:bookmarkStart w:id="11" w:name="_Hlk219470829"/>
            <w:r w:rsidRPr="002B64A4">
              <w:rPr>
                <w:rFonts w:ascii="Arial Narrow" w:hAnsi="Arial Narrow"/>
                <w:sz w:val="20"/>
                <w:szCs w:val="20"/>
              </w:rPr>
              <w:t>Whole body PSMA PET study, performed for the assessment of suitability for Lutetium 177 PSMA therapy in a patient with metastatic castrate resistant prostate cancer</w:t>
            </w:r>
            <w:r w:rsidR="00F45E36" w:rsidRPr="002B64A4">
              <w:rPr>
                <w:rFonts w:ascii="Arial Narrow" w:hAnsi="Arial Narrow"/>
                <w:sz w:val="20"/>
                <w:szCs w:val="20"/>
              </w:rPr>
              <w:t>,</w:t>
            </w:r>
          </w:p>
          <w:p w14:paraId="03B82764" w14:textId="230BDBF6" w:rsidR="00A17E4E" w:rsidRPr="002B64A4" w:rsidRDefault="00F45E36" w:rsidP="00A17E4E">
            <w:pPr>
              <w:pStyle w:val="ListParagraph"/>
              <w:numPr>
                <w:ilvl w:val="0"/>
                <w:numId w:val="2"/>
              </w:numPr>
              <w:rPr>
                <w:rFonts w:ascii="Arial Narrow" w:hAnsi="Arial Narrow"/>
                <w:b/>
                <w:bCs/>
                <w:i/>
                <w:iCs/>
                <w:sz w:val="20"/>
                <w:szCs w:val="20"/>
              </w:rPr>
            </w:pPr>
            <w:r w:rsidRPr="002B64A4">
              <w:rPr>
                <w:rFonts w:ascii="Arial Narrow" w:hAnsi="Arial Narrow"/>
                <w:b/>
                <w:bCs/>
                <w:i/>
                <w:iCs/>
                <w:sz w:val="20"/>
                <w:szCs w:val="20"/>
              </w:rPr>
              <w:t xml:space="preserve">after </w:t>
            </w:r>
            <w:r w:rsidR="00A17E4E" w:rsidRPr="002B64A4">
              <w:rPr>
                <w:rFonts w:ascii="Arial Narrow" w:hAnsi="Arial Narrow"/>
                <w:b/>
                <w:bCs/>
                <w:i/>
                <w:iCs/>
                <w:sz w:val="20"/>
                <w:szCs w:val="20"/>
              </w:rPr>
              <w:t xml:space="preserve">progressive disease has developed while undergoing prior treatment with at least one androgen receptor signalling inhibitor but no prior taxane chemotherapy, or </w:t>
            </w:r>
          </w:p>
          <w:p w14:paraId="647BC308" w14:textId="1409F6BE" w:rsidR="00D60D45" w:rsidRPr="00805A4A" w:rsidRDefault="00F45E36" w:rsidP="00805A4A">
            <w:pPr>
              <w:pStyle w:val="ListParagraph"/>
              <w:numPr>
                <w:ilvl w:val="0"/>
                <w:numId w:val="2"/>
              </w:numPr>
              <w:rPr>
                <w:rFonts w:ascii="Arial Narrow" w:hAnsi="Arial Narrow"/>
                <w:sz w:val="20"/>
                <w:szCs w:val="20"/>
              </w:rPr>
            </w:pPr>
            <w:r w:rsidRPr="002B64A4">
              <w:rPr>
                <w:rFonts w:ascii="Arial Narrow" w:hAnsi="Arial Narrow"/>
                <w:sz w:val="20"/>
                <w:szCs w:val="20"/>
              </w:rPr>
              <w:t xml:space="preserve">after </w:t>
            </w:r>
            <w:r w:rsidR="00A17E4E" w:rsidRPr="002B64A4">
              <w:rPr>
                <w:rFonts w:ascii="Arial Narrow" w:hAnsi="Arial Narrow"/>
                <w:sz w:val="20"/>
                <w:szCs w:val="20"/>
              </w:rPr>
              <w:t>progressive disease has developed while undergoing prior treatment with at least one taxane chemotherapy and at least one androgen receptor signalling inhibitor</w:t>
            </w:r>
            <w:bookmarkEnd w:id="11"/>
          </w:p>
        </w:tc>
      </w:tr>
      <w:tr w:rsidR="00ED1D16" w:rsidRPr="002B64A4" w14:paraId="2C0CA02D" w14:textId="77777777" w:rsidTr="00A05B4D">
        <w:tc>
          <w:tcPr>
            <w:tcW w:w="3256" w:type="dxa"/>
          </w:tcPr>
          <w:p w14:paraId="4881ED4A" w14:textId="6F25EF4B" w:rsidR="00A05B4D" w:rsidRPr="002B64A4" w:rsidRDefault="00A05B4D" w:rsidP="00BC0C43">
            <w:pPr>
              <w:rPr>
                <w:rFonts w:ascii="Arial Narrow" w:hAnsi="Arial Narrow"/>
                <w:sz w:val="20"/>
                <w:szCs w:val="20"/>
              </w:rPr>
            </w:pPr>
            <w:r w:rsidRPr="002B64A4">
              <w:rPr>
                <w:rFonts w:ascii="Arial Narrow" w:hAnsi="Arial Narrow"/>
                <w:sz w:val="20"/>
                <w:szCs w:val="20"/>
              </w:rPr>
              <w:t>Proposed MBS fee</w:t>
            </w:r>
          </w:p>
        </w:tc>
        <w:tc>
          <w:tcPr>
            <w:tcW w:w="6209" w:type="dxa"/>
          </w:tcPr>
          <w:p w14:paraId="3B790048" w14:textId="3220AF09" w:rsidR="00A05B4D" w:rsidRPr="002B64A4" w:rsidRDefault="00382D64" w:rsidP="00BC0C43">
            <w:pPr>
              <w:rPr>
                <w:rFonts w:ascii="Arial Narrow" w:hAnsi="Arial Narrow"/>
                <w:sz w:val="20"/>
                <w:szCs w:val="20"/>
              </w:rPr>
            </w:pPr>
            <w:r w:rsidRPr="002B64A4">
              <w:rPr>
                <w:rFonts w:ascii="Arial Narrow" w:hAnsi="Arial Narrow"/>
                <w:sz w:val="20"/>
                <w:szCs w:val="20"/>
              </w:rPr>
              <w:t>$1,300</w:t>
            </w:r>
          </w:p>
        </w:tc>
      </w:tr>
      <w:tr w:rsidR="00ED1D16" w:rsidRPr="002B64A4" w14:paraId="0984AD65" w14:textId="77777777" w:rsidTr="00A05B4D">
        <w:tc>
          <w:tcPr>
            <w:tcW w:w="3256" w:type="dxa"/>
          </w:tcPr>
          <w:p w14:paraId="7B69A5E7" w14:textId="0C7AED59" w:rsidR="00A05B4D" w:rsidRPr="002B64A4" w:rsidRDefault="00A05B4D" w:rsidP="00BC0C43">
            <w:pPr>
              <w:rPr>
                <w:rFonts w:ascii="Arial Narrow" w:hAnsi="Arial Narrow"/>
                <w:sz w:val="20"/>
                <w:szCs w:val="20"/>
              </w:rPr>
            </w:pPr>
            <w:r w:rsidRPr="002B64A4">
              <w:rPr>
                <w:rFonts w:ascii="Arial Narrow" w:hAnsi="Arial Narrow"/>
                <w:sz w:val="20"/>
                <w:szCs w:val="20"/>
              </w:rPr>
              <w:t>Indicate the overall cost per patient of providing the proposed health technology</w:t>
            </w:r>
          </w:p>
        </w:tc>
        <w:tc>
          <w:tcPr>
            <w:tcW w:w="6209" w:type="dxa"/>
          </w:tcPr>
          <w:p w14:paraId="1F0E7AAB" w14:textId="2E53E4E7" w:rsidR="00A17E4E" w:rsidRPr="002B64A4" w:rsidRDefault="00A17E4E" w:rsidP="00BC0C43">
            <w:pPr>
              <w:rPr>
                <w:rFonts w:ascii="Arial Narrow" w:hAnsi="Arial Narrow"/>
                <w:sz w:val="20"/>
                <w:szCs w:val="20"/>
              </w:rPr>
            </w:pPr>
            <w:bookmarkStart w:id="12" w:name="_Hlk219470951"/>
            <w:r w:rsidRPr="002B64A4">
              <w:rPr>
                <w:rFonts w:ascii="Arial Narrow" w:hAnsi="Arial Narrow"/>
                <w:sz w:val="20"/>
                <w:szCs w:val="20"/>
              </w:rPr>
              <w:t>75% = $975.00 85% = $1,195.50</w:t>
            </w:r>
            <w:bookmarkEnd w:id="12"/>
          </w:p>
        </w:tc>
      </w:tr>
      <w:tr w:rsidR="00ED1D16" w:rsidRPr="002B64A4" w14:paraId="273F94AE" w14:textId="77777777" w:rsidTr="00A05B4D">
        <w:tc>
          <w:tcPr>
            <w:tcW w:w="3256" w:type="dxa"/>
          </w:tcPr>
          <w:p w14:paraId="41FCA2CE" w14:textId="1F2EB5A8" w:rsidR="00A05B4D" w:rsidRPr="002B64A4" w:rsidRDefault="00A05B4D" w:rsidP="00BC0C43">
            <w:pPr>
              <w:rPr>
                <w:rFonts w:ascii="Arial Narrow" w:hAnsi="Arial Narrow"/>
                <w:sz w:val="20"/>
                <w:szCs w:val="20"/>
              </w:rPr>
            </w:pPr>
            <w:r w:rsidRPr="002B64A4">
              <w:rPr>
                <w:rFonts w:ascii="Arial Narrow" w:hAnsi="Arial Narrow"/>
                <w:sz w:val="20"/>
                <w:szCs w:val="20"/>
              </w:rPr>
              <w:t>Please specify any anticipated out of pocket expenses</w:t>
            </w:r>
          </w:p>
        </w:tc>
        <w:tc>
          <w:tcPr>
            <w:tcW w:w="6209" w:type="dxa"/>
          </w:tcPr>
          <w:p w14:paraId="13FE8BA2" w14:textId="63A72B03" w:rsidR="00A17E4E" w:rsidRPr="002B64A4" w:rsidRDefault="00A17E4E" w:rsidP="00BC0C43">
            <w:pPr>
              <w:rPr>
                <w:rFonts w:ascii="Arial Narrow" w:eastAsia="Segoe UI" w:hAnsi="Arial Narrow"/>
                <w:bCs/>
                <w:color w:val="000000"/>
                <w:sz w:val="20"/>
                <w:szCs w:val="20"/>
              </w:rPr>
            </w:pPr>
            <w:r w:rsidRPr="002B64A4">
              <w:rPr>
                <w:rFonts w:ascii="Arial Narrow" w:eastAsia="Segoe UI" w:hAnsi="Arial Narrow"/>
                <w:bCs/>
                <w:color w:val="000000"/>
                <w:sz w:val="20"/>
                <w:szCs w:val="20"/>
              </w:rPr>
              <w:t>75% = $325.00 85% = $104.50</w:t>
            </w:r>
          </w:p>
        </w:tc>
      </w:tr>
      <w:tr w:rsidR="00ED1D16" w:rsidRPr="002B64A4" w14:paraId="553E9440" w14:textId="77777777" w:rsidTr="00A05B4D">
        <w:tc>
          <w:tcPr>
            <w:tcW w:w="3256" w:type="dxa"/>
          </w:tcPr>
          <w:p w14:paraId="4D378DFC" w14:textId="4C67A6B8" w:rsidR="00A05B4D" w:rsidRPr="002B64A4" w:rsidRDefault="00A05B4D" w:rsidP="00BC0C43">
            <w:pPr>
              <w:rPr>
                <w:rFonts w:ascii="Arial Narrow" w:hAnsi="Arial Narrow"/>
                <w:sz w:val="20"/>
                <w:szCs w:val="20"/>
              </w:rPr>
            </w:pPr>
            <w:r w:rsidRPr="002B64A4">
              <w:rPr>
                <w:rFonts w:ascii="Arial Narrow" w:hAnsi="Arial Narrow"/>
                <w:sz w:val="20"/>
                <w:szCs w:val="20"/>
              </w:rPr>
              <w:t>Provide any further details and explain</w:t>
            </w:r>
          </w:p>
        </w:tc>
        <w:tc>
          <w:tcPr>
            <w:tcW w:w="6209" w:type="dxa"/>
          </w:tcPr>
          <w:p w14:paraId="674ECDEB" w14:textId="190220D2" w:rsidR="00A05B4D" w:rsidRPr="002B64A4" w:rsidRDefault="00A17E4E" w:rsidP="00BC0C43">
            <w:pPr>
              <w:rPr>
                <w:rFonts w:ascii="Arial Narrow" w:eastAsia="Segoe UI" w:hAnsi="Arial Narrow"/>
                <w:bCs/>
                <w:color w:val="000000"/>
                <w:sz w:val="20"/>
                <w:szCs w:val="20"/>
              </w:rPr>
            </w:pPr>
            <w:r w:rsidRPr="002B64A4">
              <w:rPr>
                <w:rFonts w:ascii="Arial Narrow" w:hAnsi="Arial Narrow"/>
                <w:sz w:val="20"/>
                <w:szCs w:val="20"/>
              </w:rPr>
              <w:t>Amendment to existing MBS item to include the proposed population</w:t>
            </w:r>
            <w:r w:rsidR="00F45E36" w:rsidRPr="002B64A4">
              <w:rPr>
                <w:rFonts w:ascii="Arial Narrow" w:hAnsi="Arial Narrow"/>
                <w:sz w:val="20"/>
                <w:szCs w:val="20"/>
              </w:rPr>
              <w:t>.</w:t>
            </w:r>
          </w:p>
        </w:tc>
      </w:tr>
    </w:tbl>
    <w:bookmarkEnd w:id="10"/>
    <w:p w14:paraId="42C77ADB" w14:textId="20D2DE6F" w:rsidR="00456CE4" w:rsidRDefault="003515D3" w:rsidP="003515D3">
      <w:pPr>
        <w:pStyle w:val="NovartisFootnotes"/>
        <w:rPr>
          <w:b/>
          <w:bCs/>
          <w:i/>
          <w:iCs/>
        </w:rPr>
      </w:pPr>
      <w:r>
        <w:t xml:space="preserve">Proposed changes in </w:t>
      </w:r>
      <w:r w:rsidRPr="003515D3">
        <w:rPr>
          <w:b/>
          <w:bCs/>
          <w:i/>
          <w:iCs/>
        </w:rPr>
        <w:t>bold italics</w:t>
      </w:r>
    </w:p>
    <w:p w14:paraId="675E5977" w14:textId="77777777" w:rsidR="00DB26ED" w:rsidRDefault="00DB26ED" w:rsidP="00DB26ED"/>
    <w:p w14:paraId="0AE7038A" w14:textId="6D3827BE" w:rsidR="00382D64" w:rsidRDefault="006E0F32" w:rsidP="00D0784D">
      <w:pPr>
        <w:pStyle w:val="Heading3"/>
      </w:pPr>
      <w:r>
        <w:lastRenderedPageBreak/>
        <w:t xml:space="preserve">Reimbursement via </w:t>
      </w:r>
      <w:r w:rsidR="00B37B12">
        <w:t>Medicare</w:t>
      </w:r>
    </w:p>
    <w:p w14:paraId="68988965" w14:textId="45995D07" w:rsidR="00CF2E66" w:rsidRDefault="00C47E6D" w:rsidP="00F45E36">
      <w:bookmarkStart w:id="13" w:name="_Hlk219471030"/>
      <w:r w:rsidRPr="001B7EBC">
        <w:t xml:space="preserve">This application requests </w:t>
      </w:r>
      <w:r w:rsidR="001B7EBC" w:rsidRPr="001B7EBC">
        <w:t xml:space="preserve">reimbursement via </w:t>
      </w:r>
      <w:r w:rsidR="00FA0531" w:rsidRPr="00FA0531">
        <w:t>the broader Medicare program.</w:t>
      </w:r>
      <w:r w:rsidRPr="001B7EBC">
        <w:t xml:space="preserve"> that will enable </w:t>
      </w:r>
      <w:r w:rsidR="00417703">
        <w:t xml:space="preserve">mCRPC </w:t>
      </w:r>
      <w:r w:rsidRPr="001B7EBC">
        <w:t>patients to</w:t>
      </w:r>
      <w:r w:rsidR="000F634A" w:rsidRPr="001B7EBC">
        <w:t xml:space="preserve"> access and</w:t>
      </w:r>
      <w:r w:rsidRPr="001B7EBC">
        <w:t xml:space="preserve"> receive treatment with </w:t>
      </w:r>
      <w:r w:rsidRPr="001B7EBC">
        <w:rPr>
          <w:vertAlign w:val="superscript"/>
        </w:rPr>
        <w:t>177</w:t>
      </w:r>
      <w:r w:rsidRPr="001B7EBC">
        <w:t>Lu-PSMA-617</w:t>
      </w:r>
      <w:bookmarkEnd w:id="13"/>
    </w:p>
    <w:p w14:paraId="14142985" w14:textId="65D2F37C" w:rsidR="00C27A32" w:rsidRDefault="00CF2E66" w:rsidP="00F45E36">
      <w:r>
        <w:t xml:space="preserve">The Applicant recommends </w:t>
      </w:r>
      <w:r w:rsidR="002A3F7A">
        <w:t xml:space="preserve">that patients </w:t>
      </w:r>
      <w:r w:rsidR="00414721">
        <w:t xml:space="preserve">must </w:t>
      </w:r>
      <w:r w:rsidR="002A3F7A">
        <w:t>meet specific criteria to qualify for treatment</w:t>
      </w:r>
      <w:r w:rsidR="00987C9E">
        <w:t xml:space="preserve">. It is recommended that </w:t>
      </w:r>
      <w:r w:rsidR="008C5B10">
        <w:t>the</w:t>
      </w:r>
      <w:r w:rsidR="00232DCB">
        <w:t xml:space="preserve"> </w:t>
      </w:r>
      <w:r w:rsidR="00987C9E">
        <w:t>criteria are met before receiving treatment to ensure</w:t>
      </w:r>
      <w:r w:rsidR="00987C9E" w:rsidRPr="00987C9E">
        <w:t xml:space="preserve"> </w:t>
      </w:r>
      <w:r w:rsidR="00987C9E">
        <w:t xml:space="preserve">the right patient receives treatment, minimise unnecessary treatment and appropriately manage government expenditure. </w:t>
      </w:r>
      <w:bookmarkStart w:id="14" w:name="_Hlk219471085"/>
      <w:r w:rsidR="00C27A32">
        <w:t xml:space="preserve">It </w:t>
      </w:r>
      <w:r w:rsidR="00C27A32" w:rsidRPr="00500AA4">
        <w:t xml:space="preserve">is recommended that prescribers obtain authority to confirm </w:t>
      </w:r>
      <w:r w:rsidR="000916AE" w:rsidRPr="00500AA4">
        <w:t xml:space="preserve">the patient meets </w:t>
      </w:r>
      <w:r w:rsidR="00500AA4" w:rsidRPr="00500AA4">
        <w:t>the criteria to receive treatment</w:t>
      </w:r>
      <w:r w:rsidR="00C27A32" w:rsidRPr="00500AA4">
        <w:t xml:space="preserve"> and minimise unnecessary</w:t>
      </w:r>
      <w:r w:rsidR="00860C09">
        <w:t xml:space="preserve"> and incorrect</w:t>
      </w:r>
      <w:r w:rsidR="00C27A32" w:rsidRPr="00500AA4">
        <w:t xml:space="preserve"> use. Authority could be obtained via Services Australia or an equivalent process.</w:t>
      </w:r>
      <w:r w:rsidR="00C27A32">
        <w:t xml:space="preserve"> </w:t>
      </w:r>
      <w:bookmarkEnd w:id="14"/>
    </w:p>
    <w:p w14:paraId="4B9D8E13" w14:textId="42B524E2" w:rsidR="00C27A32" w:rsidRDefault="00C033F2" w:rsidP="00F45E36">
      <w:r>
        <w:t xml:space="preserve">Recommended criteria </w:t>
      </w:r>
      <w:r w:rsidR="00925C9A">
        <w:t>are presented in Table 3 and are g</w:t>
      </w:r>
      <w:r>
        <w:t xml:space="preserve">uided by the clinical trial for </w:t>
      </w:r>
      <w:r w:rsidRPr="004E5D85">
        <w:rPr>
          <w:vertAlign w:val="superscript"/>
        </w:rPr>
        <w:t>177</w:t>
      </w:r>
      <w:r>
        <w:t>Lu-PSM</w:t>
      </w:r>
      <w:r w:rsidR="00B37B12">
        <w:t>A</w:t>
      </w:r>
      <w:r>
        <w:t>-617</w:t>
      </w:r>
      <w:r w:rsidR="00264E0B">
        <w:t xml:space="preserve">. Patients </w:t>
      </w:r>
      <w:r w:rsidR="009C55BE">
        <w:t xml:space="preserve">must </w:t>
      </w:r>
      <w:r w:rsidR="0006709C">
        <w:t xml:space="preserve">have </w:t>
      </w:r>
      <w:r w:rsidR="00A830BB">
        <w:t>PSMA-positive</w:t>
      </w:r>
      <w:r w:rsidR="00FE79E3">
        <w:t xml:space="preserve"> mCRPC</w:t>
      </w:r>
      <w:r w:rsidR="001B0F97">
        <w:t xml:space="preserve">, </w:t>
      </w:r>
      <w:r w:rsidR="00A830BB">
        <w:t>progressive disease following treatment with ARPI, and</w:t>
      </w:r>
      <w:r w:rsidR="00D516C9">
        <w:t xml:space="preserve"> have not been exposed to </w:t>
      </w:r>
      <w:r w:rsidR="009F6E73">
        <w:t xml:space="preserve">taxane-based chemotherapy in the </w:t>
      </w:r>
      <w:r w:rsidR="00574466">
        <w:t xml:space="preserve">hormone-sensitive or castration-resistant </w:t>
      </w:r>
      <w:r w:rsidR="00A12C8A">
        <w:t>setting.</w:t>
      </w:r>
      <w:r w:rsidR="00CE0BA0">
        <w:t xml:space="preserve"> </w:t>
      </w:r>
      <w:r w:rsidR="006246F2">
        <w:t xml:space="preserve">It is recommended PSMA-positive is defined in alignment with current MBS item </w:t>
      </w:r>
      <w:r w:rsidR="00185020">
        <w:t>16050</w:t>
      </w:r>
      <w:r w:rsidR="00F359C6">
        <w:t xml:space="preserve">: </w:t>
      </w:r>
      <w:proofErr w:type="spellStart"/>
      <w:r w:rsidR="00C34BF6" w:rsidRPr="00CD1128">
        <w:t>SUV</w:t>
      </w:r>
      <w:r w:rsidR="00C34BF6" w:rsidRPr="00CD1128">
        <w:rPr>
          <w:vertAlign w:val="subscript"/>
        </w:rPr>
        <w:t>max</w:t>
      </w:r>
      <w:proofErr w:type="spellEnd"/>
      <w:r w:rsidR="00C34BF6" w:rsidRPr="00CD1128">
        <w:t xml:space="preserve"> &gt;</w:t>
      </w:r>
      <w:r w:rsidR="00C34BF6">
        <w:t xml:space="preserve"> </w:t>
      </w:r>
      <w:r w:rsidR="00C34BF6" w:rsidRPr="00CD1128">
        <w:t xml:space="preserve">15 at a single site of disease and </w:t>
      </w:r>
      <w:proofErr w:type="spellStart"/>
      <w:r w:rsidR="00C34BF6" w:rsidRPr="00CD1128">
        <w:t>SUV</w:t>
      </w:r>
      <w:r w:rsidR="00C34BF6" w:rsidRPr="00CD1128">
        <w:rPr>
          <w:vertAlign w:val="subscript"/>
        </w:rPr>
        <w:t>max</w:t>
      </w:r>
      <w:proofErr w:type="spellEnd"/>
      <w:r w:rsidR="00C34BF6" w:rsidRPr="00CD1128">
        <w:t xml:space="preserve"> &gt;</w:t>
      </w:r>
      <w:r w:rsidR="00C34BF6">
        <w:t xml:space="preserve"> </w:t>
      </w:r>
      <w:r w:rsidR="00C34BF6" w:rsidRPr="00CD1128">
        <w:t>10 at all sites of measurable disease</w:t>
      </w:r>
      <w:r w:rsidR="00C34BF6">
        <w:t xml:space="preserve">. </w:t>
      </w:r>
    </w:p>
    <w:p w14:paraId="0B2CE52B" w14:textId="77777777" w:rsidR="00270084" w:rsidRDefault="00270084" w:rsidP="00F45E36">
      <w:r>
        <w:t>Disease progression is defined as:</w:t>
      </w:r>
    </w:p>
    <w:p w14:paraId="1C5CCB69" w14:textId="1BF1520E" w:rsidR="00573075" w:rsidRDefault="00270084" w:rsidP="00270084">
      <w:pPr>
        <w:pStyle w:val="ListParagraph"/>
        <w:numPr>
          <w:ilvl w:val="0"/>
          <w:numId w:val="29"/>
        </w:numPr>
      </w:pPr>
      <w:r>
        <w:t>a rise in PSA</w:t>
      </w:r>
      <w:r w:rsidR="00266D8B" w:rsidRPr="00266D8B">
        <w:t xml:space="preserve"> of &gt;</w:t>
      </w:r>
      <w:r w:rsidR="00266D8B">
        <w:t xml:space="preserve"> </w:t>
      </w:r>
      <w:r w:rsidR="00266D8B" w:rsidRPr="00266D8B">
        <w:t>2</w:t>
      </w:r>
      <w:r w:rsidR="00266D8B">
        <w:t xml:space="preserve"> </w:t>
      </w:r>
      <w:r w:rsidR="00266D8B" w:rsidRPr="00266D8B">
        <w:t>ng/mL confirmed by two tests a minimum of two weeks apart, and/or</w:t>
      </w:r>
    </w:p>
    <w:p w14:paraId="58B84254" w14:textId="469A46E8" w:rsidR="00266D8B" w:rsidRDefault="00821C0E" w:rsidP="00270084">
      <w:pPr>
        <w:pStyle w:val="ListParagraph"/>
        <w:numPr>
          <w:ilvl w:val="0"/>
          <w:numId w:val="29"/>
        </w:numPr>
      </w:pPr>
      <w:r w:rsidRPr="00821C0E">
        <w:t>evidence of new soft tissue or bone metastases on diagnostic imaging computed tomography as per established guidelines (such as the RECIST criteria, as published by the European Organisation for Research and Treatment of Cancer</w:t>
      </w:r>
      <w:r w:rsidR="00EE1DF2">
        <w:t>,</w:t>
      </w:r>
      <w:r w:rsidRPr="00821C0E">
        <w:t xml:space="preserve"> or the Response Evaluation Criteria in PSMA-Imaging Criteria</w:t>
      </w:r>
      <w:r w:rsidR="00421B5C">
        <w:t>)</w:t>
      </w:r>
      <w:r>
        <w:t>.</w:t>
      </w:r>
    </w:p>
    <w:p w14:paraId="0D537A02" w14:textId="5D4DF035" w:rsidR="00DB26ED" w:rsidRDefault="00821C0E" w:rsidP="00821C0E">
      <w:r>
        <w:t xml:space="preserve">This is </w:t>
      </w:r>
      <w:r w:rsidR="00CA46FC">
        <w:t xml:space="preserve">aligned with the current </w:t>
      </w:r>
      <w:r w:rsidR="006E37A2">
        <w:t xml:space="preserve">MBS </w:t>
      </w:r>
      <w:r w:rsidR="00227BC9">
        <w:t xml:space="preserve">definition of </w:t>
      </w:r>
      <w:r w:rsidR="006E37A2" w:rsidRPr="006E37A2">
        <w:t xml:space="preserve">disease progression for the continuation of </w:t>
      </w:r>
      <w:r w:rsidR="006E37A2" w:rsidRPr="005402FA">
        <w:rPr>
          <w:vertAlign w:val="superscript"/>
        </w:rPr>
        <w:t>177</w:t>
      </w:r>
      <w:r w:rsidR="006E37A2" w:rsidRPr="006E37A2">
        <w:t>Lu</w:t>
      </w:r>
      <w:r w:rsidR="00642AE6">
        <w:t>-</w:t>
      </w:r>
      <w:r w:rsidR="006E37A2" w:rsidRPr="006E37A2">
        <w:t>PSMA therapy (MBS Item 16055)</w:t>
      </w:r>
      <w:r w:rsidR="006E37A2">
        <w:t>.</w:t>
      </w:r>
      <w:r w:rsidR="00890807">
        <w:t xml:space="preserve"> The current</w:t>
      </w:r>
      <w:r w:rsidR="00FD3F5C">
        <w:t xml:space="preserve"> </w:t>
      </w:r>
      <w:r w:rsidR="00FD3F5C" w:rsidRPr="00BF0DC3">
        <w:t>MBS item descriptor include</w:t>
      </w:r>
      <w:r w:rsidR="00642AE6">
        <w:t>s</w:t>
      </w:r>
      <w:r w:rsidR="00FD3F5C" w:rsidRPr="00BF0DC3">
        <w:t xml:space="preserve"> follow-up SPECT scan within 36 hours. </w:t>
      </w:r>
      <w:r w:rsidR="00FD3F5C">
        <w:t xml:space="preserve">This was not a requirement in the pivotal clinical trials for </w:t>
      </w:r>
      <w:r w:rsidR="00FD3F5C" w:rsidRPr="00034FB3">
        <w:rPr>
          <w:vertAlign w:val="superscript"/>
        </w:rPr>
        <w:t>177</w:t>
      </w:r>
      <w:r w:rsidR="00FD3F5C">
        <w:t>Lu-PSMA-617 (</w:t>
      </w:r>
      <w:proofErr w:type="spellStart"/>
      <w:r w:rsidR="00FD3F5C">
        <w:t>PSMAfore</w:t>
      </w:r>
      <w:proofErr w:type="spellEnd"/>
      <w:r w:rsidR="00FD3F5C">
        <w:t xml:space="preserve"> and VISION)</w:t>
      </w:r>
      <w:r w:rsidR="008C0DC0">
        <w:t xml:space="preserve"> and is therefore not included in the proposed restriction criteria</w:t>
      </w:r>
      <w:r w:rsidR="00FD3F5C">
        <w:t xml:space="preserve">. </w:t>
      </w:r>
      <w:r w:rsidR="00FD3F5C" w:rsidRPr="00BF0DC3">
        <w:t xml:space="preserve">The requirement for post-treatment </w:t>
      </w:r>
      <w:r w:rsidR="00FD3F5C">
        <w:t>imaging</w:t>
      </w:r>
      <w:r w:rsidR="00FD3F5C" w:rsidRPr="00BF0DC3">
        <w:t xml:space="preserve"> should be based on clinical practice, need and feasibility</w:t>
      </w:r>
      <w:r w:rsidR="001325BB">
        <w:t>.</w:t>
      </w:r>
    </w:p>
    <w:p w14:paraId="37444E23" w14:textId="26F7BFEF" w:rsidR="00D274B7" w:rsidRDefault="00D274B7" w:rsidP="00D274B7">
      <w:pPr>
        <w:pStyle w:val="Captions"/>
      </w:pPr>
      <w:r>
        <w:t xml:space="preserve">Table </w:t>
      </w:r>
      <w:r w:rsidR="005402FA">
        <w:t>3</w:t>
      </w:r>
      <w:r>
        <w:tab/>
      </w:r>
      <w:r>
        <w:tab/>
        <w:t>Proposed criteria for</w:t>
      </w:r>
      <w:r w:rsidR="00182015">
        <w:t xml:space="preserve"> treatment with</w:t>
      </w:r>
      <w:r>
        <w:t xml:space="preserve"> </w:t>
      </w:r>
      <w:r w:rsidRPr="00D274B7">
        <w:rPr>
          <w:vertAlign w:val="superscript"/>
        </w:rPr>
        <w:t>177</w:t>
      </w:r>
      <w:r>
        <w:t>Lu-PSMA-617</w:t>
      </w:r>
      <w:r w:rsidR="00500AC6">
        <w:t xml:space="preserve"> for mCRPC</w:t>
      </w:r>
      <w:r w:rsidR="000C251D">
        <w:t>, taxane-naïve patients</w:t>
      </w:r>
    </w:p>
    <w:tbl>
      <w:tblPr>
        <w:tblStyle w:val="TableGrid"/>
        <w:tblW w:w="0" w:type="auto"/>
        <w:tblLook w:val="04A0" w:firstRow="1" w:lastRow="0" w:firstColumn="1" w:lastColumn="0" w:noHBand="0" w:noVBand="1"/>
      </w:tblPr>
      <w:tblGrid>
        <w:gridCol w:w="3256"/>
        <w:gridCol w:w="6209"/>
      </w:tblGrid>
      <w:tr w:rsidR="00ED1D16" w:rsidRPr="002B64A4" w14:paraId="71D5245F" w14:textId="77777777">
        <w:tc>
          <w:tcPr>
            <w:tcW w:w="3256" w:type="dxa"/>
          </w:tcPr>
          <w:p w14:paraId="26383467" w14:textId="722E99E3" w:rsidR="00805B16" w:rsidRPr="002B64A4" w:rsidRDefault="00805B16">
            <w:pPr>
              <w:rPr>
                <w:rFonts w:ascii="Arial Narrow" w:hAnsi="Arial Narrow"/>
                <w:sz w:val="20"/>
                <w:szCs w:val="20"/>
              </w:rPr>
            </w:pPr>
            <w:r w:rsidRPr="002B64A4">
              <w:rPr>
                <w:rFonts w:ascii="Arial Narrow" w:hAnsi="Arial Narrow"/>
                <w:sz w:val="20"/>
                <w:szCs w:val="20"/>
              </w:rPr>
              <w:t xml:space="preserve">Category </w:t>
            </w:r>
          </w:p>
        </w:tc>
        <w:tc>
          <w:tcPr>
            <w:tcW w:w="6209" w:type="dxa"/>
          </w:tcPr>
          <w:p w14:paraId="553F20AB" w14:textId="14340B70" w:rsidR="00805B16" w:rsidRPr="002B64A4" w:rsidRDefault="00805B16">
            <w:pPr>
              <w:rPr>
                <w:rFonts w:ascii="Arial Narrow" w:hAnsi="Arial Narrow"/>
                <w:sz w:val="20"/>
                <w:szCs w:val="20"/>
              </w:rPr>
            </w:pPr>
            <w:r w:rsidRPr="002B64A4">
              <w:rPr>
                <w:rFonts w:ascii="Arial Narrow" w:hAnsi="Arial Narrow"/>
                <w:sz w:val="20"/>
                <w:szCs w:val="20"/>
              </w:rPr>
              <w:t>Therapeutic medicine</w:t>
            </w:r>
          </w:p>
        </w:tc>
      </w:tr>
      <w:tr w:rsidR="00ED1D16" w:rsidRPr="002B64A4" w14:paraId="58A7938F" w14:textId="77777777">
        <w:tc>
          <w:tcPr>
            <w:tcW w:w="3256" w:type="dxa"/>
          </w:tcPr>
          <w:p w14:paraId="274846F9" w14:textId="41EA8B7D" w:rsidR="00805B16" w:rsidRPr="002B64A4" w:rsidRDefault="00805B16">
            <w:pPr>
              <w:rPr>
                <w:rFonts w:ascii="Arial Narrow" w:hAnsi="Arial Narrow"/>
                <w:sz w:val="20"/>
                <w:szCs w:val="20"/>
              </w:rPr>
            </w:pPr>
            <w:r w:rsidRPr="002B64A4">
              <w:rPr>
                <w:rFonts w:ascii="Arial Narrow" w:hAnsi="Arial Narrow"/>
                <w:sz w:val="20"/>
                <w:szCs w:val="20"/>
              </w:rPr>
              <w:t>Restriction</w:t>
            </w:r>
          </w:p>
        </w:tc>
        <w:tc>
          <w:tcPr>
            <w:tcW w:w="6209" w:type="dxa"/>
          </w:tcPr>
          <w:p w14:paraId="1AD7821F" w14:textId="43BBD232" w:rsidR="00805B16" w:rsidRPr="002B64A4" w:rsidRDefault="00C27A32">
            <w:pPr>
              <w:rPr>
                <w:rFonts w:ascii="Arial Narrow" w:hAnsi="Arial Narrow"/>
                <w:sz w:val="20"/>
                <w:szCs w:val="20"/>
              </w:rPr>
            </w:pPr>
            <w:r w:rsidRPr="00573075">
              <w:rPr>
                <w:rFonts w:ascii="Arial Narrow" w:hAnsi="Arial Narrow"/>
                <w:sz w:val="20"/>
                <w:szCs w:val="20"/>
              </w:rPr>
              <w:t>A</w:t>
            </w:r>
            <w:r w:rsidR="00805B16" w:rsidRPr="00573075">
              <w:rPr>
                <w:rFonts w:ascii="Arial Narrow" w:hAnsi="Arial Narrow"/>
                <w:sz w:val="20"/>
                <w:szCs w:val="20"/>
              </w:rPr>
              <w:t>uthority required</w:t>
            </w:r>
          </w:p>
        </w:tc>
      </w:tr>
      <w:tr w:rsidR="00ED1D16" w:rsidRPr="002B64A4" w14:paraId="63522EEA" w14:textId="77777777">
        <w:tc>
          <w:tcPr>
            <w:tcW w:w="3256" w:type="dxa"/>
          </w:tcPr>
          <w:p w14:paraId="688D37B9" w14:textId="3005DC4B" w:rsidR="00BC0F73" w:rsidRPr="002B64A4" w:rsidRDefault="00BC0F73">
            <w:pPr>
              <w:rPr>
                <w:rFonts w:ascii="Arial Narrow" w:hAnsi="Arial Narrow"/>
                <w:sz w:val="20"/>
                <w:szCs w:val="20"/>
              </w:rPr>
            </w:pPr>
            <w:r w:rsidRPr="002B64A4">
              <w:rPr>
                <w:rFonts w:ascii="Arial Narrow" w:hAnsi="Arial Narrow"/>
                <w:sz w:val="20"/>
                <w:szCs w:val="20"/>
              </w:rPr>
              <w:t>C</w:t>
            </w:r>
            <w:r w:rsidR="009F27ED" w:rsidRPr="002B64A4">
              <w:rPr>
                <w:rFonts w:ascii="Arial Narrow" w:hAnsi="Arial Narrow"/>
                <w:sz w:val="20"/>
                <w:szCs w:val="20"/>
              </w:rPr>
              <w:t>linical c</w:t>
            </w:r>
            <w:r w:rsidRPr="002B64A4">
              <w:rPr>
                <w:rFonts w:ascii="Arial Narrow" w:hAnsi="Arial Narrow"/>
                <w:sz w:val="20"/>
                <w:szCs w:val="20"/>
              </w:rPr>
              <w:t>riteria</w:t>
            </w:r>
          </w:p>
        </w:tc>
        <w:tc>
          <w:tcPr>
            <w:tcW w:w="6209" w:type="dxa"/>
          </w:tcPr>
          <w:p w14:paraId="0BE4A5C8" w14:textId="30D5684B" w:rsidR="009F27ED" w:rsidRPr="002B64A4" w:rsidRDefault="009F27ED" w:rsidP="009F27ED">
            <w:pPr>
              <w:rPr>
                <w:rFonts w:ascii="Arial Narrow" w:hAnsi="Arial Narrow"/>
                <w:sz w:val="20"/>
                <w:szCs w:val="20"/>
              </w:rPr>
            </w:pPr>
            <w:bookmarkStart w:id="15" w:name="_Hlk219471316"/>
            <w:r w:rsidRPr="002B64A4">
              <w:rPr>
                <w:rFonts w:ascii="Arial Narrow" w:hAnsi="Arial Narrow"/>
                <w:sz w:val="20"/>
                <w:szCs w:val="20"/>
              </w:rPr>
              <w:t xml:space="preserve">Patient must have confirmed metastatic </w:t>
            </w:r>
            <w:r w:rsidR="001D5B8E">
              <w:rPr>
                <w:rFonts w:ascii="Arial Narrow" w:hAnsi="Arial Narrow"/>
                <w:sz w:val="20"/>
                <w:szCs w:val="20"/>
              </w:rPr>
              <w:t>castration-</w:t>
            </w:r>
            <w:r w:rsidRPr="002B64A4">
              <w:rPr>
                <w:rFonts w:ascii="Arial Narrow" w:hAnsi="Arial Narrow"/>
                <w:sz w:val="20"/>
                <w:szCs w:val="20"/>
              </w:rPr>
              <w:t>resistant prostate cancer</w:t>
            </w:r>
            <w:r w:rsidR="00CD1128" w:rsidRPr="002B64A4">
              <w:rPr>
                <w:rFonts w:ascii="Arial Narrow" w:hAnsi="Arial Narrow"/>
                <w:sz w:val="20"/>
                <w:szCs w:val="20"/>
              </w:rPr>
              <w:t>.</w:t>
            </w:r>
          </w:p>
          <w:p w14:paraId="0CC1D2C9" w14:textId="78D5ED58" w:rsidR="00F819F9" w:rsidRPr="002B64A4" w:rsidRDefault="009F27ED" w:rsidP="009F27ED">
            <w:pPr>
              <w:rPr>
                <w:rFonts w:ascii="Arial Narrow" w:hAnsi="Arial Narrow"/>
                <w:sz w:val="20"/>
                <w:szCs w:val="20"/>
              </w:rPr>
            </w:pPr>
            <w:r w:rsidRPr="002B64A4">
              <w:rPr>
                <w:rFonts w:ascii="Arial Narrow" w:hAnsi="Arial Narrow"/>
                <w:sz w:val="20"/>
                <w:szCs w:val="20"/>
              </w:rPr>
              <w:t>Patient must be c</w:t>
            </w:r>
            <w:r w:rsidR="00F819F9" w:rsidRPr="002B64A4">
              <w:rPr>
                <w:rFonts w:ascii="Arial Narrow" w:hAnsi="Arial Narrow"/>
                <w:sz w:val="20"/>
                <w:szCs w:val="20"/>
              </w:rPr>
              <w:t xml:space="preserve">onfirmed </w:t>
            </w:r>
            <w:r w:rsidR="00C608FA">
              <w:rPr>
                <w:rFonts w:ascii="Arial Narrow" w:hAnsi="Arial Narrow"/>
                <w:sz w:val="20"/>
                <w:szCs w:val="20"/>
              </w:rPr>
              <w:t>prostate-specific membrane antigen (</w:t>
            </w:r>
            <w:r w:rsidR="00F819F9" w:rsidRPr="002B64A4">
              <w:rPr>
                <w:rFonts w:ascii="Arial Narrow" w:hAnsi="Arial Narrow"/>
                <w:sz w:val="20"/>
                <w:szCs w:val="20"/>
              </w:rPr>
              <w:t>PSMA</w:t>
            </w:r>
            <w:r w:rsidR="00C608FA">
              <w:rPr>
                <w:rFonts w:ascii="Arial Narrow" w:hAnsi="Arial Narrow"/>
                <w:sz w:val="20"/>
                <w:szCs w:val="20"/>
              </w:rPr>
              <w:t>)</w:t>
            </w:r>
            <w:r w:rsidR="00F819F9" w:rsidRPr="002B64A4">
              <w:rPr>
                <w:rFonts w:ascii="Arial Narrow" w:hAnsi="Arial Narrow"/>
                <w:sz w:val="20"/>
                <w:szCs w:val="20"/>
              </w:rPr>
              <w:t xml:space="preserve">-positive </w:t>
            </w:r>
            <w:r w:rsidRPr="002B64A4">
              <w:rPr>
                <w:rFonts w:ascii="Arial Narrow" w:hAnsi="Arial Narrow"/>
                <w:sz w:val="20"/>
                <w:szCs w:val="20"/>
              </w:rPr>
              <w:t>based on</w:t>
            </w:r>
            <w:r w:rsidR="00F819F9" w:rsidRPr="002B64A4">
              <w:rPr>
                <w:rFonts w:ascii="Arial Narrow" w:hAnsi="Arial Narrow"/>
                <w:sz w:val="20"/>
                <w:szCs w:val="20"/>
              </w:rPr>
              <w:t xml:space="preserve"> PSMA PET scan</w:t>
            </w:r>
            <w:r w:rsidR="00CD1128" w:rsidRPr="002B64A4">
              <w:rPr>
                <w:rFonts w:ascii="Arial Narrow" w:hAnsi="Arial Narrow"/>
                <w:sz w:val="20"/>
                <w:szCs w:val="20"/>
              </w:rPr>
              <w:t xml:space="preserve"> (defined as </w:t>
            </w:r>
            <w:proofErr w:type="spellStart"/>
            <w:r w:rsidR="00CD1128" w:rsidRPr="002B64A4">
              <w:rPr>
                <w:rFonts w:ascii="Arial Narrow" w:hAnsi="Arial Narrow"/>
                <w:sz w:val="20"/>
                <w:szCs w:val="20"/>
              </w:rPr>
              <w:t>SUV</w:t>
            </w:r>
            <w:r w:rsidR="00CD1128" w:rsidRPr="002B64A4">
              <w:rPr>
                <w:rFonts w:ascii="Arial Narrow" w:hAnsi="Arial Narrow"/>
                <w:sz w:val="20"/>
                <w:szCs w:val="20"/>
                <w:vertAlign w:val="subscript"/>
              </w:rPr>
              <w:t>max</w:t>
            </w:r>
            <w:proofErr w:type="spellEnd"/>
            <w:r w:rsidR="00CD1128" w:rsidRPr="002B64A4">
              <w:rPr>
                <w:rFonts w:ascii="Arial Narrow" w:hAnsi="Arial Narrow"/>
                <w:sz w:val="20"/>
                <w:szCs w:val="20"/>
              </w:rPr>
              <w:t xml:space="preserve"> &gt;15 at a single site of disease and </w:t>
            </w:r>
            <w:proofErr w:type="spellStart"/>
            <w:r w:rsidR="00CD1128" w:rsidRPr="002B64A4">
              <w:rPr>
                <w:rFonts w:ascii="Arial Narrow" w:hAnsi="Arial Narrow"/>
                <w:sz w:val="20"/>
                <w:szCs w:val="20"/>
              </w:rPr>
              <w:t>SUV</w:t>
            </w:r>
            <w:r w:rsidR="00CD1128" w:rsidRPr="002B64A4">
              <w:rPr>
                <w:rFonts w:ascii="Arial Narrow" w:hAnsi="Arial Narrow"/>
                <w:sz w:val="20"/>
                <w:szCs w:val="20"/>
                <w:vertAlign w:val="subscript"/>
              </w:rPr>
              <w:t>max</w:t>
            </w:r>
            <w:proofErr w:type="spellEnd"/>
            <w:r w:rsidR="00CD1128" w:rsidRPr="002B64A4">
              <w:rPr>
                <w:rFonts w:ascii="Arial Narrow" w:hAnsi="Arial Narrow"/>
                <w:sz w:val="20"/>
                <w:szCs w:val="20"/>
              </w:rPr>
              <w:t xml:space="preserve"> &gt;10 at all sites of measurable disease).</w:t>
            </w:r>
          </w:p>
          <w:p w14:paraId="391810F7" w14:textId="3064E955" w:rsidR="00F819F9" w:rsidRPr="002B64A4" w:rsidRDefault="009F27ED" w:rsidP="009F27ED">
            <w:pPr>
              <w:rPr>
                <w:rFonts w:ascii="Arial Narrow" w:hAnsi="Arial Narrow"/>
                <w:sz w:val="20"/>
                <w:szCs w:val="20"/>
              </w:rPr>
            </w:pPr>
            <w:r w:rsidRPr="002B64A4">
              <w:rPr>
                <w:rFonts w:ascii="Arial Narrow" w:hAnsi="Arial Narrow"/>
                <w:sz w:val="20"/>
                <w:szCs w:val="20"/>
              </w:rPr>
              <w:t>Patient must have p</w:t>
            </w:r>
            <w:r w:rsidR="00F819F9" w:rsidRPr="002B64A4">
              <w:rPr>
                <w:rFonts w:ascii="Arial Narrow" w:hAnsi="Arial Narrow"/>
                <w:sz w:val="20"/>
                <w:szCs w:val="20"/>
              </w:rPr>
              <w:t>rogressive disease following</w:t>
            </w:r>
            <w:r w:rsidRPr="002B64A4">
              <w:rPr>
                <w:rFonts w:ascii="Arial Narrow" w:hAnsi="Arial Narrow"/>
                <w:sz w:val="20"/>
                <w:szCs w:val="20"/>
              </w:rPr>
              <w:t xml:space="preserve"> a) treatment with at least one ARPI</w:t>
            </w:r>
            <w:r w:rsidR="0084274F">
              <w:rPr>
                <w:rFonts w:ascii="Arial Narrow" w:hAnsi="Arial Narrow"/>
                <w:sz w:val="20"/>
                <w:szCs w:val="20"/>
              </w:rPr>
              <w:t>, and b) have not been exposed to taxane-based chemotherapy in the hormone-sensitive or castration-resistant setting</w:t>
            </w:r>
            <w:r w:rsidR="00CD1128" w:rsidRPr="002B64A4">
              <w:rPr>
                <w:rFonts w:ascii="Arial Narrow" w:hAnsi="Arial Narrow"/>
                <w:sz w:val="20"/>
                <w:szCs w:val="20"/>
              </w:rPr>
              <w:t>.</w:t>
            </w:r>
          </w:p>
          <w:p w14:paraId="7D33B75B" w14:textId="3D847888" w:rsidR="00C47E6D" w:rsidRPr="002B64A4" w:rsidRDefault="00C47E6D" w:rsidP="00BC0F73">
            <w:pPr>
              <w:rPr>
                <w:rFonts w:ascii="Arial Narrow" w:hAnsi="Arial Narrow"/>
                <w:sz w:val="20"/>
                <w:szCs w:val="20"/>
              </w:rPr>
            </w:pPr>
            <w:r w:rsidRPr="002B64A4">
              <w:rPr>
                <w:rFonts w:ascii="Arial Narrow" w:hAnsi="Arial Narrow"/>
                <w:sz w:val="20"/>
                <w:szCs w:val="20"/>
              </w:rPr>
              <w:t xml:space="preserve">Patient </w:t>
            </w:r>
            <w:r w:rsidR="00CD1128" w:rsidRPr="002B64A4">
              <w:rPr>
                <w:rFonts w:ascii="Arial Narrow" w:hAnsi="Arial Narrow"/>
                <w:sz w:val="20"/>
                <w:szCs w:val="20"/>
              </w:rPr>
              <w:t xml:space="preserve">must not have received treatment with </w:t>
            </w:r>
            <w:r w:rsidR="00F70347" w:rsidRPr="002B64A4">
              <w:rPr>
                <w:rFonts w:ascii="Arial Narrow" w:hAnsi="Arial Narrow"/>
                <w:sz w:val="20"/>
                <w:szCs w:val="20"/>
              </w:rPr>
              <w:t>177Lu-PSMA-617 for prostate cancer.</w:t>
            </w:r>
          </w:p>
          <w:p w14:paraId="0C9FA38E" w14:textId="775DA063" w:rsidR="00F819F9" w:rsidRPr="002B64A4" w:rsidRDefault="009F27ED" w:rsidP="00BC0F73">
            <w:pPr>
              <w:rPr>
                <w:rFonts w:ascii="Arial Narrow" w:hAnsi="Arial Narrow"/>
                <w:sz w:val="20"/>
                <w:szCs w:val="20"/>
              </w:rPr>
            </w:pPr>
            <w:r w:rsidRPr="002B64A4">
              <w:rPr>
                <w:rFonts w:ascii="Arial Narrow" w:hAnsi="Arial Narrow"/>
                <w:sz w:val="20"/>
                <w:szCs w:val="20"/>
              </w:rPr>
              <w:t>Treatment is applicable</w:t>
            </w:r>
            <w:r w:rsidR="00F819F9" w:rsidRPr="002B64A4">
              <w:rPr>
                <w:rFonts w:ascii="Arial Narrow" w:hAnsi="Arial Narrow"/>
                <w:sz w:val="20"/>
                <w:szCs w:val="20"/>
              </w:rPr>
              <w:t xml:space="preserve"> once per cycle</w:t>
            </w:r>
            <w:r w:rsidRPr="002B64A4">
              <w:rPr>
                <w:rFonts w:ascii="Arial Narrow" w:hAnsi="Arial Narrow"/>
                <w:sz w:val="20"/>
                <w:szCs w:val="20"/>
              </w:rPr>
              <w:t xml:space="preserve"> and must not be subsidised beyond whichever comes first: </w:t>
            </w:r>
            <w:proofErr w:type="spellStart"/>
            <w:r w:rsidRPr="002B64A4">
              <w:rPr>
                <w:rFonts w:ascii="Arial Narrow" w:hAnsi="Arial Narrow"/>
                <w:sz w:val="20"/>
                <w:szCs w:val="20"/>
              </w:rPr>
              <w:t>i</w:t>
            </w:r>
            <w:proofErr w:type="spellEnd"/>
            <w:r w:rsidRPr="002B64A4">
              <w:rPr>
                <w:rFonts w:ascii="Arial Narrow" w:hAnsi="Arial Narrow"/>
                <w:sz w:val="20"/>
                <w:szCs w:val="20"/>
              </w:rPr>
              <w:t>)</w:t>
            </w:r>
            <w:r w:rsidR="00F819F9" w:rsidRPr="002B64A4">
              <w:rPr>
                <w:rFonts w:ascii="Arial Narrow" w:hAnsi="Arial Narrow"/>
                <w:sz w:val="20"/>
                <w:szCs w:val="20"/>
              </w:rPr>
              <w:t xml:space="preserve"> up to a maximum of 6 cycles</w:t>
            </w:r>
            <w:r w:rsidRPr="002B64A4">
              <w:rPr>
                <w:rFonts w:ascii="Arial Narrow" w:hAnsi="Arial Narrow"/>
                <w:sz w:val="20"/>
                <w:szCs w:val="20"/>
              </w:rPr>
              <w:t>, ii) disease recurrence/progression</w:t>
            </w:r>
            <w:bookmarkEnd w:id="15"/>
            <w:r w:rsidR="00421B5C">
              <w:rPr>
                <w:rFonts w:ascii="Arial Narrow" w:hAnsi="Arial Narrow"/>
                <w:sz w:val="20"/>
                <w:szCs w:val="20"/>
              </w:rPr>
              <w:t>.</w:t>
            </w:r>
          </w:p>
        </w:tc>
      </w:tr>
    </w:tbl>
    <w:p w14:paraId="6C27974F" w14:textId="77777777" w:rsidR="00E93BBF" w:rsidRDefault="00E93BBF" w:rsidP="00456CE4"/>
    <w:p w14:paraId="730A63BB" w14:textId="0986899E" w:rsidR="00382D64" w:rsidRDefault="00C47E6D" w:rsidP="00D0784D">
      <w:pPr>
        <w:pStyle w:val="Heading3"/>
      </w:pPr>
      <w:r>
        <w:t>Associated</w:t>
      </w:r>
      <w:r w:rsidR="00382D64">
        <w:t xml:space="preserve"> </w:t>
      </w:r>
      <w:r>
        <w:t>administration</w:t>
      </w:r>
      <w:r w:rsidR="001E1219">
        <w:t xml:space="preserve"> services</w:t>
      </w:r>
    </w:p>
    <w:p w14:paraId="387BFD2D" w14:textId="34B79C94" w:rsidR="00E4687C" w:rsidRDefault="00693EFF" w:rsidP="00456CE4">
      <w:r>
        <w:t xml:space="preserve">This </w:t>
      </w:r>
      <w:r w:rsidR="008C6CC7">
        <w:t>a</w:t>
      </w:r>
      <w:r>
        <w:t xml:space="preserve">pplication </w:t>
      </w:r>
      <w:r w:rsidR="00171F79">
        <w:t xml:space="preserve">seeks advice on the requirement </w:t>
      </w:r>
      <w:r w:rsidR="00430B01">
        <w:t xml:space="preserve">for a separate MBS item </w:t>
      </w:r>
      <w:r w:rsidR="000F563A">
        <w:t xml:space="preserve">number for the </w:t>
      </w:r>
      <w:r w:rsidR="002429F8">
        <w:t>associated</w:t>
      </w:r>
      <w:r w:rsidR="00FB1D6D">
        <w:t xml:space="preserve"> services required </w:t>
      </w:r>
      <w:r w:rsidR="00222B20">
        <w:t>to</w:t>
      </w:r>
      <w:r w:rsidR="00FB1D6D">
        <w:t xml:space="preserve"> </w:t>
      </w:r>
      <w:r w:rsidR="002429F8">
        <w:t>deliver</w:t>
      </w:r>
      <w:r w:rsidR="00222B20">
        <w:t xml:space="preserve"> </w:t>
      </w:r>
      <w:r w:rsidR="00261F6C" w:rsidRPr="00E0024D">
        <w:rPr>
          <w:vertAlign w:val="superscript"/>
        </w:rPr>
        <w:t>177</w:t>
      </w:r>
      <w:r w:rsidR="00261F6C">
        <w:t>Lu-PSMA-617.</w:t>
      </w:r>
      <w:r w:rsidR="00445989">
        <w:t xml:space="preserve"> </w:t>
      </w:r>
      <w:r w:rsidR="00445989" w:rsidRPr="00E0024D">
        <w:rPr>
          <w:vertAlign w:val="superscript"/>
        </w:rPr>
        <w:t>177</w:t>
      </w:r>
      <w:r w:rsidR="00445989">
        <w:t xml:space="preserve">Lu-PSMA-617 </w:t>
      </w:r>
      <w:r w:rsidR="00445989" w:rsidRPr="00860C09">
        <w:t xml:space="preserve">is administered intravenously </w:t>
      </w:r>
      <w:r w:rsidR="00351AF5" w:rsidRPr="00860C09">
        <w:t xml:space="preserve">every 6 weeks </w:t>
      </w:r>
      <w:r w:rsidR="00BB0C8C" w:rsidRPr="00860C09">
        <w:t xml:space="preserve">for </w:t>
      </w:r>
      <w:r w:rsidR="00F83711" w:rsidRPr="00860C09">
        <w:t>up to 6 doses</w:t>
      </w:r>
      <w:r w:rsidR="00BB0C8C" w:rsidRPr="00860C09">
        <w:t>.</w:t>
      </w:r>
      <w:r w:rsidR="00057368" w:rsidRPr="00860C09">
        <w:t xml:space="preserve"> </w:t>
      </w:r>
      <w:r w:rsidR="00CC7082" w:rsidRPr="00860C09">
        <w:t xml:space="preserve">Figure </w:t>
      </w:r>
      <w:r w:rsidR="00023E55" w:rsidRPr="00860C09">
        <w:t>4</w:t>
      </w:r>
      <w:r w:rsidR="00CC7082" w:rsidRPr="00860C09">
        <w:t xml:space="preserve"> outlines relevant administration services required for the proposed patient population receiving </w:t>
      </w:r>
      <w:r w:rsidR="00803835" w:rsidRPr="00860C09">
        <w:rPr>
          <w:vertAlign w:val="superscript"/>
        </w:rPr>
        <w:t>177</w:t>
      </w:r>
      <w:r w:rsidR="00803835" w:rsidRPr="00860C09">
        <w:t xml:space="preserve">Lu-PSMA-617 </w:t>
      </w:r>
      <w:r w:rsidR="00D245FE" w:rsidRPr="00860C09">
        <w:t>and docetaxel.</w:t>
      </w:r>
      <w:r w:rsidR="00D245FE">
        <w:t xml:space="preserve"> </w:t>
      </w:r>
    </w:p>
    <w:p w14:paraId="0ACF9111" w14:textId="731BAD19" w:rsidR="00642853" w:rsidRDefault="00C36147" w:rsidP="00642853">
      <w:pPr>
        <w:jc w:val="center"/>
      </w:pPr>
      <w:r>
        <w:rPr>
          <w:noProof/>
        </w:rPr>
        <w:lastRenderedPageBreak/>
        <w:drawing>
          <wp:inline distT="0" distB="0" distL="0" distR="0" wp14:anchorId="76628DB9" wp14:editId="5CB7BAC4">
            <wp:extent cx="5468381" cy="4371975"/>
            <wp:effectExtent l="0" t="0" r="0" b="0"/>
            <wp:docPr id="965037697" name="Picture 1" descr="flowcharts comparing administrative services required for lutetium and doce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37697" name="Picture 1" descr="flowcharts comparing administrative services required for lutetium and doceta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4099" cy="4376547"/>
                    </a:xfrm>
                    <a:prstGeom prst="rect">
                      <a:avLst/>
                    </a:prstGeom>
                    <a:noFill/>
                  </pic:spPr>
                </pic:pic>
              </a:graphicData>
            </a:graphic>
          </wp:inline>
        </w:drawing>
      </w:r>
    </w:p>
    <w:p w14:paraId="6C401FCE" w14:textId="1BF09BF8" w:rsidR="00642853" w:rsidRDefault="00642853" w:rsidP="005E659D">
      <w:pPr>
        <w:pStyle w:val="Captions"/>
      </w:pPr>
      <w:r>
        <w:t xml:space="preserve">Figure </w:t>
      </w:r>
      <w:r w:rsidR="00023E55">
        <w:t>4</w:t>
      </w:r>
      <w:r>
        <w:tab/>
      </w:r>
      <w:r w:rsidR="00963145">
        <w:t xml:space="preserve">Relevant </w:t>
      </w:r>
      <w:r w:rsidR="00E739A7">
        <w:t xml:space="preserve">administrative services required for the delivery of </w:t>
      </w:r>
      <w:r w:rsidR="00E739A7" w:rsidRPr="00E739A7">
        <w:rPr>
          <w:vertAlign w:val="superscript"/>
        </w:rPr>
        <w:t>177</w:t>
      </w:r>
      <w:r w:rsidR="00E739A7">
        <w:t xml:space="preserve">Lu-PSMA-617 and </w:t>
      </w:r>
      <w:r w:rsidR="00E739A7" w:rsidRPr="00860C09">
        <w:t>docetaxel</w:t>
      </w:r>
    </w:p>
    <w:p w14:paraId="12BC0773" w14:textId="61D97B71" w:rsidR="00C36147" w:rsidRDefault="00C36147" w:rsidP="005E659D">
      <w:pPr>
        <w:pStyle w:val="NovartisFootnotes"/>
      </w:pPr>
      <w:r>
        <w:t xml:space="preserve">*Blood tests are performed in the days or week prior to treatment. Results are reviewed on the day of infusion. </w:t>
      </w:r>
    </w:p>
    <w:p w14:paraId="36F12303" w14:textId="6E3C19F0" w:rsidR="00642853" w:rsidRDefault="00642853" w:rsidP="005E659D">
      <w:pPr>
        <w:pStyle w:val="NovartisFootnotes"/>
      </w:pPr>
      <w:r>
        <w:t>Abbreviations:</w:t>
      </w:r>
      <w:r w:rsidR="00C72296">
        <w:t xml:space="preserve"> </w:t>
      </w:r>
      <w:r w:rsidR="00AC58EB">
        <w:t xml:space="preserve">AE, adverse event; IV, intravenous; </w:t>
      </w:r>
      <w:r w:rsidR="00C72296">
        <w:t>NM, nuclear medicine</w:t>
      </w:r>
      <w:r w:rsidR="00F5075B">
        <w:t>; WBC, white blood cell</w:t>
      </w:r>
    </w:p>
    <w:p w14:paraId="3560877A" w14:textId="77777777" w:rsidR="00642853" w:rsidRDefault="00642853" w:rsidP="00456CE4"/>
    <w:p w14:paraId="352480EA" w14:textId="6C968AEA" w:rsidR="00604046" w:rsidRDefault="001F14B0" w:rsidP="00456CE4">
      <w:r>
        <w:t>As illustrated, t</w:t>
      </w:r>
      <w:r w:rsidR="000343D4">
        <w:t xml:space="preserve">here is </w:t>
      </w:r>
      <w:r w:rsidR="00077890">
        <w:t xml:space="preserve">very </w:t>
      </w:r>
      <w:r w:rsidR="00D021EA">
        <w:t xml:space="preserve">little difference between the administration of antineoplastic therapies such as PBS-listed docetaxel and </w:t>
      </w:r>
      <w:r w:rsidR="00012C1B" w:rsidRPr="00A95CE0">
        <w:rPr>
          <w:vertAlign w:val="superscript"/>
        </w:rPr>
        <w:t>177</w:t>
      </w:r>
      <w:r w:rsidR="00012C1B">
        <w:t>Lu-PSMA-617</w:t>
      </w:r>
      <w:r w:rsidR="0064794A">
        <w:t>.</w:t>
      </w:r>
      <w:r w:rsidR="00BE06C0">
        <w:t xml:space="preserve"> Patients treated with </w:t>
      </w:r>
      <w:r w:rsidR="00BE06C0" w:rsidRPr="00A95CE0">
        <w:rPr>
          <w:vertAlign w:val="superscript"/>
        </w:rPr>
        <w:t>177</w:t>
      </w:r>
      <w:r w:rsidR="00BE06C0">
        <w:t>Lu-PSMA-617</w:t>
      </w:r>
      <w:r w:rsidR="00206D2A">
        <w:t xml:space="preserve"> will have a consultation</w:t>
      </w:r>
      <w:r w:rsidR="00B66A19">
        <w:t xml:space="preserve"> with their specialist prior to receiving treatment</w:t>
      </w:r>
      <w:r w:rsidR="0044594D">
        <w:t>;</w:t>
      </w:r>
      <w:r w:rsidR="00F64FE3">
        <w:t xml:space="preserve"> review</w:t>
      </w:r>
      <w:r w:rsidR="00B66A19">
        <w:t xml:space="preserve"> </w:t>
      </w:r>
      <w:r w:rsidR="001E711F">
        <w:t xml:space="preserve">blood tests </w:t>
      </w:r>
      <w:r w:rsidR="00B66A19">
        <w:t xml:space="preserve">to </w:t>
      </w:r>
      <w:r w:rsidR="0044594D">
        <w:t>confirm they are</w:t>
      </w:r>
      <w:r w:rsidR="00620B0C">
        <w:t xml:space="preserve"> medically and physically </w:t>
      </w:r>
      <w:r w:rsidR="0044594D">
        <w:t xml:space="preserve">fit to receive treatment; </w:t>
      </w:r>
      <w:r w:rsidR="001E711F">
        <w:t>intravenous infusion</w:t>
      </w:r>
      <w:r w:rsidR="0044594D">
        <w:t xml:space="preserve"> of treatment</w:t>
      </w:r>
      <w:r w:rsidR="00BE06C0">
        <w:t>;</w:t>
      </w:r>
      <w:r w:rsidR="00637C20">
        <w:t xml:space="preserve"> and</w:t>
      </w:r>
      <w:r w:rsidR="00BE06C0">
        <w:t xml:space="preserve"> </w:t>
      </w:r>
      <w:r w:rsidR="00DC5908">
        <w:t>general monitoring following treatment</w:t>
      </w:r>
      <w:r w:rsidR="00637C20">
        <w:t xml:space="preserve"> before being discharged to go home</w:t>
      </w:r>
      <w:r w:rsidR="0044594D">
        <w:t xml:space="preserve">. </w:t>
      </w:r>
      <w:r w:rsidR="00637C20">
        <w:t>These are all</w:t>
      </w:r>
      <w:r w:rsidR="00F636D2">
        <w:t xml:space="preserve"> standard administrative services </w:t>
      </w:r>
      <w:r w:rsidR="00EF34C7">
        <w:t>required for delivery of antineoplastic treatment</w:t>
      </w:r>
      <w:r w:rsidR="00CB2B0C">
        <w:t xml:space="preserve">. </w:t>
      </w:r>
    </w:p>
    <w:p w14:paraId="0A346871" w14:textId="3869E83D" w:rsidR="00604046" w:rsidRDefault="008D0B0F" w:rsidP="00456CE4">
      <w:r>
        <w:t>Following treatment infusion, patients will remain isolated in the nuclear medicine facility until</w:t>
      </w:r>
      <w:r w:rsidRPr="008D0B0F">
        <w:t xml:space="preserve"> </w:t>
      </w:r>
      <w:r>
        <w:t xml:space="preserve">radiation levels reduce to the safe government limit for discharge (25uSv /hour at one metre). </w:t>
      </w:r>
      <w:r w:rsidR="0083332E" w:rsidRPr="006A598C">
        <w:t>Radiation</w:t>
      </w:r>
      <w:r w:rsidR="00946126" w:rsidRPr="006A598C">
        <w:t xml:space="preserve"> levels are</w:t>
      </w:r>
      <w:r w:rsidR="0083332E" w:rsidRPr="006A598C">
        <w:t xml:space="preserve"> monito</w:t>
      </w:r>
      <w:r w:rsidR="00946126" w:rsidRPr="006A598C">
        <w:t xml:space="preserve">red using </w:t>
      </w:r>
      <w:r w:rsidR="00454C90" w:rsidRPr="006A598C">
        <w:t>small</w:t>
      </w:r>
      <w:r w:rsidR="0054139F" w:rsidRPr="006A598C">
        <w:t xml:space="preserve"> devices</w:t>
      </w:r>
      <w:r w:rsidR="0083332E" w:rsidRPr="006A598C">
        <w:t>.</w:t>
      </w:r>
      <w:r w:rsidRPr="006A598C">
        <w:t xml:space="preserve"> </w:t>
      </w:r>
      <w:r w:rsidR="0054139F" w:rsidRPr="006A598C">
        <w:t xml:space="preserve">Such devices are </w:t>
      </w:r>
      <w:r w:rsidR="00F57371" w:rsidRPr="006A598C">
        <w:t xml:space="preserve">stocked in facilities where radiation levels are required to be monitored and are not </w:t>
      </w:r>
      <w:r w:rsidR="00454C90" w:rsidRPr="006A598C">
        <w:t>claimable MBS services</w:t>
      </w:r>
      <w:r w:rsidR="00454C90">
        <w:t xml:space="preserve">. </w:t>
      </w:r>
    </w:p>
    <w:p w14:paraId="7531C525" w14:textId="2B3F3A31" w:rsidR="00E87675" w:rsidRDefault="00803396" w:rsidP="00456CE4">
      <w:r>
        <w:t xml:space="preserve">The Applicant notes that there are already MBS item numbers for relevant administration services for </w:t>
      </w:r>
      <w:r w:rsidRPr="00E0024D">
        <w:rPr>
          <w:vertAlign w:val="superscript"/>
        </w:rPr>
        <w:t>177</w:t>
      </w:r>
      <w:r>
        <w:t xml:space="preserve">Lu-PSMA-617. </w:t>
      </w:r>
      <w:r w:rsidR="00E87675" w:rsidRPr="00AA0218">
        <w:t xml:space="preserve">Table </w:t>
      </w:r>
      <w:r w:rsidR="00AA0218">
        <w:t>4</w:t>
      </w:r>
      <w:r w:rsidR="00E87675">
        <w:t xml:space="preserve"> outlines the </w:t>
      </w:r>
      <w:r w:rsidR="00427F4D">
        <w:t xml:space="preserve">administrative services </w:t>
      </w:r>
      <w:r w:rsidR="0022285E">
        <w:t xml:space="preserve">required to deliver </w:t>
      </w:r>
      <w:r w:rsidR="004F3606">
        <w:t xml:space="preserve">treatment with </w:t>
      </w:r>
      <w:r w:rsidR="004F3606" w:rsidRPr="00BB555D">
        <w:rPr>
          <w:vertAlign w:val="superscript"/>
        </w:rPr>
        <w:t>17</w:t>
      </w:r>
      <w:r w:rsidR="00BB555D" w:rsidRPr="00BB555D">
        <w:rPr>
          <w:vertAlign w:val="superscript"/>
        </w:rPr>
        <w:t>7</w:t>
      </w:r>
      <w:r w:rsidR="00BB555D">
        <w:t>L</w:t>
      </w:r>
      <w:r w:rsidR="004F3606">
        <w:t>u-PSMA-617</w:t>
      </w:r>
      <w:r w:rsidR="00AA0218">
        <w:t xml:space="preserve"> an existing MBS item numbers</w:t>
      </w:r>
      <w:r w:rsidR="004F3606">
        <w:t>.</w:t>
      </w:r>
    </w:p>
    <w:p w14:paraId="6095BC41" w14:textId="563E75B1" w:rsidR="005676F2" w:rsidRDefault="005676F2" w:rsidP="00C3272D">
      <w:pPr>
        <w:pStyle w:val="Captions"/>
      </w:pPr>
      <w:r>
        <w:t xml:space="preserve">Table </w:t>
      </w:r>
      <w:r w:rsidR="00185020">
        <w:t>4</w:t>
      </w:r>
      <w:r w:rsidR="00185020">
        <w:tab/>
      </w:r>
      <w:r w:rsidR="00185020">
        <w:tab/>
      </w:r>
      <w:r w:rsidR="001463B4">
        <w:t xml:space="preserve">Required administrative services for treatment with </w:t>
      </w:r>
      <w:r w:rsidR="001463B4" w:rsidRPr="001463B4">
        <w:rPr>
          <w:vertAlign w:val="superscript"/>
        </w:rPr>
        <w:t>177</w:t>
      </w:r>
      <w:r w:rsidR="001463B4">
        <w:t>Lu-PSMA-617</w:t>
      </w:r>
    </w:p>
    <w:tbl>
      <w:tblPr>
        <w:tblStyle w:val="TableGrid"/>
        <w:tblW w:w="5000" w:type="pct"/>
        <w:tblLook w:val="04A0" w:firstRow="1" w:lastRow="0" w:firstColumn="1" w:lastColumn="0" w:noHBand="0" w:noVBand="1"/>
      </w:tblPr>
      <w:tblGrid>
        <w:gridCol w:w="3161"/>
        <w:gridCol w:w="3922"/>
        <w:gridCol w:w="2404"/>
      </w:tblGrid>
      <w:tr w:rsidR="005A0924" w:rsidRPr="00452F9C" w14:paraId="5834F94C" w14:textId="5F9DC447" w:rsidTr="00563C6E">
        <w:tc>
          <w:tcPr>
            <w:tcW w:w="1666" w:type="pct"/>
          </w:tcPr>
          <w:p w14:paraId="0FB2A968" w14:textId="77777777" w:rsidR="00A364A0" w:rsidRPr="0012122A" w:rsidRDefault="00A364A0" w:rsidP="004A1A5F">
            <w:pPr>
              <w:rPr>
                <w:rFonts w:ascii="Arial Narrow" w:hAnsi="Arial Narrow"/>
                <w:b/>
                <w:bCs/>
                <w:sz w:val="20"/>
                <w:szCs w:val="20"/>
              </w:rPr>
            </w:pPr>
            <w:r w:rsidRPr="0012122A">
              <w:rPr>
                <w:rFonts w:ascii="Arial Narrow" w:hAnsi="Arial Narrow"/>
                <w:b/>
                <w:bCs/>
                <w:sz w:val="20"/>
                <w:szCs w:val="20"/>
              </w:rPr>
              <w:t xml:space="preserve">Resource </w:t>
            </w:r>
          </w:p>
        </w:tc>
        <w:tc>
          <w:tcPr>
            <w:tcW w:w="2067" w:type="pct"/>
          </w:tcPr>
          <w:p w14:paraId="77281831" w14:textId="795A5CE2" w:rsidR="00A364A0" w:rsidRPr="0012122A" w:rsidRDefault="00746517" w:rsidP="004A1A5F">
            <w:pPr>
              <w:rPr>
                <w:rFonts w:ascii="Arial Narrow" w:hAnsi="Arial Narrow"/>
                <w:b/>
                <w:bCs/>
                <w:sz w:val="20"/>
                <w:szCs w:val="20"/>
              </w:rPr>
            </w:pPr>
            <w:r>
              <w:rPr>
                <w:rFonts w:ascii="Arial Narrow" w:hAnsi="Arial Narrow"/>
                <w:b/>
                <w:bCs/>
                <w:sz w:val="20"/>
                <w:szCs w:val="20"/>
              </w:rPr>
              <w:t>MBS item(s)</w:t>
            </w:r>
          </w:p>
        </w:tc>
        <w:tc>
          <w:tcPr>
            <w:tcW w:w="1267" w:type="pct"/>
          </w:tcPr>
          <w:p w14:paraId="427FD213" w14:textId="2BA3A4D8" w:rsidR="00A364A0" w:rsidRPr="0012122A" w:rsidRDefault="00A364A0" w:rsidP="004A1A5F">
            <w:pPr>
              <w:rPr>
                <w:rFonts w:ascii="Arial Narrow" w:hAnsi="Arial Narrow"/>
                <w:b/>
                <w:bCs/>
                <w:sz w:val="20"/>
                <w:szCs w:val="20"/>
              </w:rPr>
            </w:pPr>
            <w:r>
              <w:rPr>
                <w:rFonts w:ascii="Arial Narrow" w:hAnsi="Arial Narrow"/>
                <w:b/>
                <w:bCs/>
                <w:sz w:val="20"/>
                <w:szCs w:val="20"/>
              </w:rPr>
              <w:t>Fee</w:t>
            </w:r>
          </w:p>
        </w:tc>
      </w:tr>
      <w:tr w:rsidR="005A0924" w:rsidRPr="00452F9C" w14:paraId="7934D676" w14:textId="7A0BEB8F" w:rsidTr="00563C6E">
        <w:tc>
          <w:tcPr>
            <w:tcW w:w="1666" w:type="pct"/>
            <w:vMerge w:val="restart"/>
          </w:tcPr>
          <w:p w14:paraId="7253C993" w14:textId="72D44250" w:rsidR="00980061" w:rsidRDefault="00980061" w:rsidP="004A1A5F">
            <w:pPr>
              <w:rPr>
                <w:rFonts w:ascii="Arial Narrow" w:hAnsi="Arial Narrow"/>
                <w:sz w:val="20"/>
                <w:szCs w:val="20"/>
              </w:rPr>
            </w:pPr>
            <w:r>
              <w:rPr>
                <w:rFonts w:ascii="Arial Narrow" w:hAnsi="Arial Narrow"/>
                <w:sz w:val="20"/>
                <w:szCs w:val="20"/>
              </w:rPr>
              <w:t>Specialist consultation</w:t>
            </w:r>
          </w:p>
        </w:tc>
        <w:tc>
          <w:tcPr>
            <w:tcW w:w="2067" w:type="pct"/>
          </w:tcPr>
          <w:p w14:paraId="3CB14F1D" w14:textId="67996275" w:rsidR="00980061" w:rsidRDefault="00980061" w:rsidP="004A1A5F">
            <w:pPr>
              <w:rPr>
                <w:rFonts w:ascii="Arial Narrow" w:hAnsi="Arial Narrow"/>
                <w:sz w:val="20"/>
                <w:szCs w:val="20"/>
              </w:rPr>
            </w:pPr>
            <w:r>
              <w:rPr>
                <w:rFonts w:ascii="Arial Narrow" w:hAnsi="Arial Narrow"/>
                <w:sz w:val="20"/>
                <w:szCs w:val="20"/>
              </w:rPr>
              <w:t xml:space="preserve">MBS 110: </w:t>
            </w:r>
            <w:r w:rsidRPr="00553F08">
              <w:rPr>
                <w:rFonts w:ascii="Arial Narrow" w:hAnsi="Arial Narrow"/>
                <w:sz w:val="20"/>
                <w:szCs w:val="20"/>
              </w:rPr>
              <w:t xml:space="preserve">Professional attendance at consulting rooms or hospital, by a consultant physician in the practice of the consultant physician's specialty (other than psychiatry) following referral of the patient to the consultant physician by a referring </w:t>
            </w:r>
            <w:r w:rsidRPr="00553F08">
              <w:rPr>
                <w:rFonts w:ascii="Arial Narrow" w:hAnsi="Arial Narrow"/>
                <w:sz w:val="20"/>
                <w:szCs w:val="20"/>
              </w:rPr>
              <w:lastRenderedPageBreak/>
              <w:t>practitioner-initial attendance in a single course of treatment</w:t>
            </w:r>
          </w:p>
        </w:tc>
        <w:tc>
          <w:tcPr>
            <w:tcW w:w="1267" w:type="pct"/>
          </w:tcPr>
          <w:p w14:paraId="3658C8BB" w14:textId="6914964B" w:rsidR="00980061" w:rsidRDefault="00980061" w:rsidP="004A1A5F">
            <w:pPr>
              <w:rPr>
                <w:rFonts w:ascii="Arial Narrow" w:hAnsi="Arial Narrow"/>
                <w:sz w:val="20"/>
                <w:szCs w:val="20"/>
              </w:rPr>
            </w:pPr>
            <w:r>
              <w:rPr>
                <w:rFonts w:ascii="Arial Narrow" w:hAnsi="Arial Narrow"/>
                <w:sz w:val="20"/>
                <w:szCs w:val="20"/>
              </w:rPr>
              <w:lastRenderedPageBreak/>
              <w:t>$178.70</w:t>
            </w:r>
          </w:p>
        </w:tc>
      </w:tr>
      <w:tr w:rsidR="005A0924" w:rsidRPr="00452F9C" w14:paraId="44D58E16" w14:textId="77777777" w:rsidTr="00563C6E">
        <w:tc>
          <w:tcPr>
            <w:tcW w:w="1666" w:type="pct"/>
            <w:vMerge/>
          </w:tcPr>
          <w:p w14:paraId="28FDF2D4" w14:textId="77777777" w:rsidR="00980061" w:rsidRDefault="00980061" w:rsidP="004A1A5F">
            <w:pPr>
              <w:rPr>
                <w:rFonts w:ascii="Arial Narrow" w:hAnsi="Arial Narrow"/>
                <w:sz w:val="20"/>
                <w:szCs w:val="20"/>
              </w:rPr>
            </w:pPr>
          </w:p>
        </w:tc>
        <w:tc>
          <w:tcPr>
            <w:tcW w:w="2067" w:type="pct"/>
          </w:tcPr>
          <w:p w14:paraId="315985EF" w14:textId="3AF14B89" w:rsidR="00980061" w:rsidRDefault="00980061" w:rsidP="004A1A5F">
            <w:pPr>
              <w:rPr>
                <w:rFonts w:ascii="Arial Narrow" w:hAnsi="Arial Narrow"/>
                <w:sz w:val="20"/>
                <w:szCs w:val="20"/>
              </w:rPr>
            </w:pPr>
            <w:r>
              <w:rPr>
                <w:rFonts w:ascii="Arial Narrow" w:hAnsi="Arial Narrow"/>
                <w:sz w:val="20"/>
                <w:szCs w:val="20"/>
              </w:rPr>
              <w:t xml:space="preserve">MBS 116: </w:t>
            </w:r>
            <w:r w:rsidRPr="003F6222">
              <w:rPr>
                <w:rFonts w:ascii="Arial Narrow" w:hAnsi="Arial Narrow"/>
                <w:sz w:val="20"/>
                <w:szCs w:val="20"/>
              </w:rPr>
              <w:t>Professional attendance at consulting rooms or hospital, by a consultant physician in the practice of the consultant physician's specialty</w:t>
            </w:r>
            <w:r>
              <w:rPr>
                <w:rFonts w:ascii="Arial Narrow" w:hAnsi="Arial Narrow"/>
                <w:sz w:val="20"/>
                <w:szCs w:val="20"/>
              </w:rPr>
              <w:t>.</w:t>
            </w:r>
          </w:p>
        </w:tc>
        <w:tc>
          <w:tcPr>
            <w:tcW w:w="1267" w:type="pct"/>
          </w:tcPr>
          <w:p w14:paraId="5273F046" w14:textId="29F5DBC3" w:rsidR="00980061" w:rsidRDefault="00980061" w:rsidP="004A1A5F">
            <w:pPr>
              <w:rPr>
                <w:rFonts w:ascii="Arial Narrow" w:hAnsi="Arial Narrow"/>
                <w:sz w:val="20"/>
                <w:szCs w:val="20"/>
              </w:rPr>
            </w:pPr>
            <w:r>
              <w:rPr>
                <w:rFonts w:ascii="Arial Narrow" w:hAnsi="Arial Narrow"/>
                <w:sz w:val="20"/>
                <w:szCs w:val="20"/>
              </w:rPr>
              <w:t>$89.40</w:t>
            </w:r>
          </w:p>
        </w:tc>
      </w:tr>
      <w:tr w:rsidR="00AA0218" w:rsidRPr="00452F9C" w14:paraId="5ABF8EBB" w14:textId="6EBE3965" w:rsidTr="00563C6E">
        <w:tc>
          <w:tcPr>
            <w:tcW w:w="1666" w:type="pct"/>
            <w:vMerge w:val="restart"/>
          </w:tcPr>
          <w:p w14:paraId="0632702D" w14:textId="61C6DDFE" w:rsidR="00AA0218" w:rsidRDefault="00AA0218" w:rsidP="004A1A5F">
            <w:pPr>
              <w:rPr>
                <w:rFonts w:ascii="Arial Narrow" w:hAnsi="Arial Narrow"/>
                <w:sz w:val="20"/>
                <w:szCs w:val="20"/>
              </w:rPr>
            </w:pPr>
            <w:r>
              <w:rPr>
                <w:rFonts w:ascii="Arial Narrow" w:hAnsi="Arial Narrow"/>
                <w:sz w:val="20"/>
                <w:szCs w:val="20"/>
              </w:rPr>
              <w:t>Blood tests (haematology, kidney function, liver function)</w:t>
            </w:r>
          </w:p>
        </w:tc>
        <w:tc>
          <w:tcPr>
            <w:tcW w:w="2067" w:type="pct"/>
          </w:tcPr>
          <w:p w14:paraId="7F82DF5A" w14:textId="43DC0BC4" w:rsidR="00AA0218" w:rsidRDefault="00AA0218" w:rsidP="004A1A5F">
            <w:pPr>
              <w:rPr>
                <w:rFonts w:ascii="Arial Narrow" w:hAnsi="Arial Narrow"/>
                <w:sz w:val="20"/>
                <w:szCs w:val="20"/>
              </w:rPr>
            </w:pPr>
            <w:r>
              <w:rPr>
                <w:rFonts w:ascii="Arial Narrow" w:hAnsi="Arial Narrow"/>
                <w:sz w:val="20"/>
                <w:szCs w:val="20"/>
              </w:rPr>
              <w:t xml:space="preserve">MBS </w:t>
            </w:r>
            <w:r w:rsidRPr="0066740F">
              <w:rPr>
                <w:rFonts w:ascii="Arial Narrow" w:hAnsi="Arial Narrow"/>
                <w:sz w:val="20"/>
                <w:szCs w:val="20"/>
              </w:rPr>
              <w:t>65070</w:t>
            </w:r>
            <w:r>
              <w:rPr>
                <w:rFonts w:ascii="Arial Narrow" w:hAnsi="Arial Narrow"/>
                <w:sz w:val="20"/>
                <w:szCs w:val="20"/>
              </w:rPr>
              <w:t>: Full blood examination</w:t>
            </w:r>
          </w:p>
        </w:tc>
        <w:tc>
          <w:tcPr>
            <w:tcW w:w="1267" w:type="pct"/>
          </w:tcPr>
          <w:p w14:paraId="12ACD9D8" w14:textId="65BB4A44" w:rsidR="00AA0218" w:rsidRDefault="00AA0218" w:rsidP="004A1A5F">
            <w:pPr>
              <w:rPr>
                <w:rFonts w:ascii="Arial Narrow" w:hAnsi="Arial Narrow"/>
                <w:sz w:val="20"/>
                <w:szCs w:val="20"/>
              </w:rPr>
            </w:pPr>
            <w:r>
              <w:rPr>
                <w:rFonts w:ascii="Arial Narrow" w:hAnsi="Arial Narrow"/>
                <w:sz w:val="20"/>
                <w:szCs w:val="20"/>
              </w:rPr>
              <w:t>$17.35</w:t>
            </w:r>
          </w:p>
        </w:tc>
      </w:tr>
      <w:tr w:rsidR="00AA0218" w:rsidRPr="00452F9C" w14:paraId="3242CDEB" w14:textId="77777777" w:rsidTr="00563C6E">
        <w:tc>
          <w:tcPr>
            <w:tcW w:w="1666" w:type="pct"/>
            <w:vMerge/>
          </w:tcPr>
          <w:p w14:paraId="27B5122B" w14:textId="77777777" w:rsidR="00AA0218" w:rsidRDefault="00AA0218" w:rsidP="004A1A5F">
            <w:pPr>
              <w:rPr>
                <w:rFonts w:ascii="Arial Narrow" w:hAnsi="Arial Narrow"/>
                <w:sz w:val="20"/>
                <w:szCs w:val="20"/>
              </w:rPr>
            </w:pPr>
          </w:p>
        </w:tc>
        <w:tc>
          <w:tcPr>
            <w:tcW w:w="2067" w:type="pct"/>
          </w:tcPr>
          <w:p w14:paraId="6886BBD5" w14:textId="7A88D93E" w:rsidR="00AA0218" w:rsidRDefault="00AA0218" w:rsidP="004A1A5F">
            <w:pPr>
              <w:rPr>
                <w:rFonts w:ascii="Arial Narrow" w:hAnsi="Arial Narrow"/>
                <w:sz w:val="20"/>
                <w:szCs w:val="20"/>
              </w:rPr>
            </w:pPr>
            <w:r>
              <w:rPr>
                <w:rFonts w:ascii="Arial Narrow" w:hAnsi="Arial Narrow"/>
                <w:sz w:val="20"/>
                <w:szCs w:val="20"/>
              </w:rPr>
              <w:t>MBS 12524: Renal function test (without imaging procedure)</w:t>
            </w:r>
          </w:p>
        </w:tc>
        <w:tc>
          <w:tcPr>
            <w:tcW w:w="1267" w:type="pct"/>
          </w:tcPr>
          <w:p w14:paraId="13E0CDC6" w14:textId="5F0AE00C" w:rsidR="00AA0218" w:rsidRDefault="00AA0218" w:rsidP="004A1A5F">
            <w:pPr>
              <w:rPr>
                <w:rFonts w:ascii="Arial Narrow" w:hAnsi="Arial Narrow"/>
                <w:sz w:val="20"/>
                <w:szCs w:val="20"/>
              </w:rPr>
            </w:pPr>
            <w:r>
              <w:rPr>
                <w:rFonts w:ascii="Arial Narrow" w:hAnsi="Arial Narrow"/>
                <w:sz w:val="20"/>
                <w:szCs w:val="20"/>
              </w:rPr>
              <w:t>$184.75</w:t>
            </w:r>
          </w:p>
        </w:tc>
      </w:tr>
      <w:tr w:rsidR="00AA0218" w:rsidRPr="00452F9C" w14:paraId="222B32E9" w14:textId="77777777" w:rsidTr="00563C6E">
        <w:tc>
          <w:tcPr>
            <w:tcW w:w="1666" w:type="pct"/>
            <w:vMerge/>
          </w:tcPr>
          <w:p w14:paraId="57EABE76" w14:textId="77777777" w:rsidR="00AA0218" w:rsidRDefault="00AA0218" w:rsidP="004A1A5F">
            <w:pPr>
              <w:rPr>
                <w:rFonts w:ascii="Arial Narrow" w:hAnsi="Arial Narrow"/>
                <w:sz w:val="20"/>
                <w:szCs w:val="20"/>
              </w:rPr>
            </w:pPr>
          </w:p>
        </w:tc>
        <w:tc>
          <w:tcPr>
            <w:tcW w:w="2067" w:type="pct"/>
          </w:tcPr>
          <w:p w14:paraId="6399AC3A" w14:textId="23716B5C" w:rsidR="00AA0218" w:rsidRDefault="00AA0218" w:rsidP="004A1A5F">
            <w:pPr>
              <w:rPr>
                <w:rFonts w:ascii="Arial Narrow" w:hAnsi="Arial Narrow"/>
                <w:sz w:val="20"/>
                <w:szCs w:val="20"/>
              </w:rPr>
            </w:pPr>
            <w:r>
              <w:rPr>
                <w:rFonts w:ascii="Arial Narrow" w:hAnsi="Arial Narrow"/>
                <w:sz w:val="20"/>
                <w:szCs w:val="20"/>
              </w:rPr>
              <w:t>MBS 66512: Liver function test</w:t>
            </w:r>
          </w:p>
        </w:tc>
        <w:tc>
          <w:tcPr>
            <w:tcW w:w="1267" w:type="pct"/>
          </w:tcPr>
          <w:p w14:paraId="19711479" w14:textId="264FD99D" w:rsidR="00AA0218" w:rsidRDefault="00AA0218" w:rsidP="004A1A5F">
            <w:pPr>
              <w:rPr>
                <w:rFonts w:ascii="Arial Narrow" w:hAnsi="Arial Narrow"/>
                <w:sz w:val="20"/>
                <w:szCs w:val="20"/>
              </w:rPr>
            </w:pPr>
            <w:r>
              <w:rPr>
                <w:rFonts w:ascii="Arial Narrow" w:hAnsi="Arial Narrow"/>
                <w:sz w:val="20"/>
                <w:szCs w:val="20"/>
              </w:rPr>
              <w:t>$17.70</w:t>
            </w:r>
          </w:p>
        </w:tc>
      </w:tr>
      <w:tr w:rsidR="005A0924" w:rsidRPr="00452F9C" w14:paraId="66943DBC" w14:textId="2DFDEA3D" w:rsidTr="00563C6E">
        <w:tc>
          <w:tcPr>
            <w:tcW w:w="1666" w:type="pct"/>
          </w:tcPr>
          <w:p w14:paraId="01D392B3" w14:textId="14D7B27C" w:rsidR="00A364A0" w:rsidRDefault="00A364A0" w:rsidP="004A1A5F">
            <w:pPr>
              <w:rPr>
                <w:rFonts w:ascii="Arial Narrow" w:hAnsi="Arial Narrow"/>
                <w:sz w:val="20"/>
                <w:szCs w:val="20"/>
              </w:rPr>
            </w:pPr>
            <w:r>
              <w:rPr>
                <w:rFonts w:ascii="Arial Narrow" w:hAnsi="Arial Narrow"/>
                <w:sz w:val="20"/>
                <w:szCs w:val="20"/>
              </w:rPr>
              <w:t>IV infusion of treatment</w:t>
            </w:r>
          </w:p>
        </w:tc>
        <w:tc>
          <w:tcPr>
            <w:tcW w:w="2067" w:type="pct"/>
          </w:tcPr>
          <w:p w14:paraId="65B4DD22" w14:textId="4713BD80" w:rsidR="00EB201F" w:rsidRDefault="00A364A0" w:rsidP="004C38C3">
            <w:pPr>
              <w:rPr>
                <w:rFonts w:ascii="Arial Narrow" w:hAnsi="Arial Narrow"/>
                <w:sz w:val="20"/>
                <w:szCs w:val="20"/>
              </w:rPr>
            </w:pPr>
            <w:r>
              <w:rPr>
                <w:rFonts w:ascii="Arial Narrow" w:hAnsi="Arial Narrow"/>
                <w:sz w:val="20"/>
                <w:szCs w:val="20"/>
              </w:rPr>
              <w:t>MBS 13950</w:t>
            </w:r>
            <w:r w:rsidR="004C38C3">
              <w:rPr>
                <w:rFonts w:ascii="Arial Narrow" w:hAnsi="Arial Narrow"/>
                <w:sz w:val="20"/>
                <w:szCs w:val="20"/>
              </w:rPr>
              <w:t xml:space="preserve">: </w:t>
            </w:r>
            <w:r w:rsidR="004C38C3" w:rsidRPr="004C38C3">
              <w:rPr>
                <w:rFonts w:ascii="Arial Narrow" w:hAnsi="Arial Narrow"/>
                <w:sz w:val="20"/>
                <w:szCs w:val="20"/>
              </w:rPr>
              <w:t>Parenteral administration of one or more antineoplastic agents</w:t>
            </w:r>
          </w:p>
        </w:tc>
        <w:tc>
          <w:tcPr>
            <w:tcW w:w="1267" w:type="pct"/>
          </w:tcPr>
          <w:p w14:paraId="010FE375" w14:textId="43AD5996" w:rsidR="00A364A0" w:rsidRDefault="00A364A0" w:rsidP="004A1A5F">
            <w:pPr>
              <w:rPr>
                <w:rFonts w:ascii="Arial Narrow" w:hAnsi="Arial Narrow"/>
                <w:sz w:val="20"/>
                <w:szCs w:val="20"/>
              </w:rPr>
            </w:pPr>
            <w:r>
              <w:rPr>
                <w:rFonts w:ascii="Arial Narrow" w:hAnsi="Arial Narrow"/>
                <w:sz w:val="20"/>
                <w:szCs w:val="20"/>
              </w:rPr>
              <w:t>$126.00</w:t>
            </w:r>
          </w:p>
        </w:tc>
      </w:tr>
    </w:tbl>
    <w:p w14:paraId="026DF3DA" w14:textId="30331BDF" w:rsidR="00EE02EC" w:rsidRDefault="005676F2" w:rsidP="00C3272D">
      <w:pPr>
        <w:pStyle w:val="NovartisFootnotes"/>
      </w:pPr>
      <w:r>
        <w:t xml:space="preserve">Abbreviations: </w:t>
      </w:r>
      <w:r w:rsidR="00C3272D">
        <w:t>IV, intravenous; MBS, Medicare Benefits Schedule</w:t>
      </w:r>
    </w:p>
    <w:p w14:paraId="36815E3F" w14:textId="60BF24BB" w:rsidR="00605B66" w:rsidRDefault="00605B66" w:rsidP="00C3272D">
      <w:pPr>
        <w:pStyle w:val="NovartisFootnotes"/>
      </w:pPr>
      <w:r>
        <w:t>Source: www.mbs.gov.au</w:t>
      </w:r>
    </w:p>
    <w:p w14:paraId="45BB9450" w14:textId="77777777" w:rsidR="00EE02EC" w:rsidRDefault="00EE02EC" w:rsidP="00456CE4"/>
    <w:p w14:paraId="054AAF62" w14:textId="6A6C25CD" w:rsidR="006453A8" w:rsidRDefault="003E6783" w:rsidP="00456CE4">
      <w:r>
        <w:t xml:space="preserve">This </w:t>
      </w:r>
      <w:r w:rsidR="008C6CC7">
        <w:t>a</w:t>
      </w:r>
      <w:r>
        <w:t>pplication requests that a</w:t>
      </w:r>
      <w:r w:rsidRPr="003E6783">
        <w:t xml:space="preserve">ssociated administrative </w:t>
      </w:r>
      <w:r w:rsidR="00960E73">
        <w:t>services</w:t>
      </w:r>
      <w:r w:rsidRPr="003E6783">
        <w:t xml:space="preserve"> </w:t>
      </w:r>
      <w:r w:rsidR="00960E73">
        <w:t xml:space="preserve">necessary </w:t>
      </w:r>
      <w:r w:rsidR="006453A8">
        <w:t xml:space="preserve">for </w:t>
      </w:r>
      <w:r w:rsidR="00960E73">
        <w:t xml:space="preserve">the administration of </w:t>
      </w:r>
      <w:r w:rsidR="00960E73" w:rsidRPr="008248B2">
        <w:rPr>
          <w:vertAlign w:val="superscript"/>
        </w:rPr>
        <w:t>177</w:t>
      </w:r>
      <w:r w:rsidR="00960E73">
        <w:t xml:space="preserve">Lu-PSMA-617 </w:t>
      </w:r>
      <w:r>
        <w:t xml:space="preserve">are </w:t>
      </w:r>
      <w:r w:rsidRPr="003E6783">
        <w:t>subsided separately</w:t>
      </w:r>
      <w:r w:rsidR="00BC4671">
        <w:t xml:space="preserve"> </w:t>
      </w:r>
      <w:r w:rsidR="00214DCC">
        <w:t>utilising existing MBS items</w:t>
      </w:r>
      <w:r>
        <w:t>.</w:t>
      </w:r>
      <w:r w:rsidR="00960E73">
        <w:t xml:space="preserve"> This aligns with </w:t>
      </w:r>
      <w:r w:rsidR="001E1219">
        <w:t xml:space="preserve">the administration of other </w:t>
      </w:r>
      <w:r w:rsidR="00384D58">
        <w:t xml:space="preserve">antineoplastic </w:t>
      </w:r>
      <w:r w:rsidR="001E1219">
        <w:t>treatments</w:t>
      </w:r>
      <w:r w:rsidR="00960E73">
        <w:t xml:space="preserve"> delivered</w:t>
      </w:r>
      <w:r w:rsidR="001E1219">
        <w:t xml:space="preserve"> in the outpatient setting (e.g., chemotherapy)</w:t>
      </w:r>
      <w:r w:rsidR="00BC4671">
        <w:t xml:space="preserve"> and </w:t>
      </w:r>
      <w:r w:rsidR="00384D58">
        <w:t xml:space="preserve">would reduce </w:t>
      </w:r>
      <w:r w:rsidR="00395C07">
        <w:t>the risk of duplicated claims for services</w:t>
      </w:r>
      <w:r w:rsidR="00464994">
        <w:t xml:space="preserve">. </w:t>
      </w:r>
      <w:r w:rsidR="00395C07">
        <w:t xml:space="preserve"> </w:t>
      </w:r>
      <w:r w:rsidR="00960E73">
        <w:t xml:space="preserve"> </w:t>
      </w:r>
    </w:p>
    <w:p w14:paraId="74B1441E" w14:textId="77777777" w:rsidR="00605B66" w:rsidRDefault="00605B66" w:rsidP="00456CE4"/>
    <w:p w14:paraId="321449D0" w14:textId="12B3F78B" w:rsidR="005E1CFB" w:rsidRPr="00A84BCA" w:rsidRDefault="0090168B" w:rsidP="00EA0AA0">
      <w:pPr>
        <w:pStyle w:val="Heading1"/>
        <w:rPr>
          <w:color w:val="002060"/>
        </w:rPr>
      </w:pPr>
      <w:r w:rsidRPr="00A84BCA">
        <w:rPr>
          <w:color w:val="002060"/>
        </w:rPr>
        <w:t>Algorithms</w:t>
      </w:r>
    </w:p>
    <w:p w14:paraId="7EDD3EB5" w14:textId="76582628" w:rsidR="0090168B" w:rsidRPr="0089269F" w:rsidRDefault="00EA0AA0" w:rsidP="00BC0C43">
      <w:pPr>
        <w:pStyle w:val="Heading2"/>
        <w:rPr>
          <w:sz w:val="24"/>
          <w:szCs w:val="24"/>
          <w:u w:val="single"/>
        </w:rPr>
      </w:pPr>
      <w:r w:rsidRPr="0089269F">
        <w:rPr>
          <w:sz w:val="24"/>
          <w:szCs w:val="24"/>
          <w:u w:val="single"/>
        </w:rPr>
        <w:t>PREPARATION FOR USING THE HEALTH TECHNOLOGY</w:t>
      </w:r>
    </w:p>
    <w:p w14:paraId="463FDC5D" w14:textId="5634DB9D" w:rsidR="005E1CFB" w:rsidRPr="00D163F8" w:rsidRDefault="0090168B" w:rsidP="002D2EB5">
      <w:pPr>
        <w:pStyle w:val="Heading2"/>
      </w:pPr>
      <w:r w:rsidRPr="00D163F8">
        <w:t>Define and summarise the clinical management algorithm, including any required tests or healthcare resources, before patients would be eligible for the proposed health technology</w:t>
      </w:r>
      <w:r w:rsidR="005E1CFB" w:rsidRPr="00D163F8">
        <w:t>:</w:t>
      </w:r>
    </w:p>
    <w:p w14:paraId="6B8295CB" w14:textId="3BFA2BBB" w:rsidR="009F3D1A" w:rsidRDefault="009F3D1A" w:rsidP="00FD0D06">
      <w:r>
        <w:t>A prostate cancer diagnosis is made following thorough work-up including patient history, physical examination, digital rectal examination, PSA testing, biopsy, and genomic testing</w:t>
      </w:r>
      <w:r w:rsidR="00836933">
        <w:t xml:space="preserve">. Where appropriate, a </w:t>
      </w:r>
      <w:r w:rsidR="00781177">
        <w:t>clinician</w:t>
      </w:r>
      <w:r w:rsidR="00836933">
        <w:t xml:space="preserve"> may request diagnostic and staging </w:t>
      </w:r>
      <w:r w:rsidR="006F4660">
        <w:t xml:space="preserve">PSMA </w:t>
      </w:r>
      <w:r w:rsidR="00836933">
        <w:t>PET</w:t>
      </w:r>
      <w:r w:rsidR="00D7035A">
        <w:t>/CT</w:t>
      </w:r>
      <w:r w:rsidR="00836933">
        <w:t xml:space="preserve"> scan(s)</w:t>
      </w:r>
      <w:r w:rsidR="00F9195B">
        <w:t xml:space="preserve"> which may </w:t>
      </w:r>
      <w:r>
        <w:t>inform appropriate clinical management.</w:t>
      </w:r>
    </w:p>
    <w:p w14:paraId="2AA545CB" w14:textId="24351B33" w:rsidR="007647A6" w:rsidRDefault="00F16D18" w:rsidP="00311240">
      <w:r w:rsidRPr="0066587C">
        <w:t xml:space="preserve">Figure </w:t>
      </w:r>
      <w:r w:rsidR="0066587C">
        <w:t>5</w:t>
      </w:r>
      <w:r w:rsidRPr="00444B0A">
        <w:t xml:space="preserve"> ill</w:t>
      </w:r>
      <w:r>
        <w:t>ustrates the current clinical management algorithm for mCR</w:t>
      </w:r>
      <w:r w:rsidR="00E478B8">
        <w:t>P</w:t>
      </w:r>
      <w:r>
        <w:t>C patients i</w:t>
      </w:r>
      <w:r w:rsidR="0087019E">
        <w:t>n Australia</w:t>
      </w:r>
      <w:r>
        <w:t xml:space="preserve">, </w:t>
      </w:r>
      <w:r w:rsidR="005E0EE2">
        <w:t xml:space="preserve">which </w:t>
      </w:r>
      <w:r>
        <w:t>align</w:t>
      </w:r>
      <w:r w:rsidR="00990E02">
        <w:t>s</w:t>
      </w:r>
      <w:r>
        <w:t xml:space="preserve"> with</w:t>
      </w:r>
      <w:r w:rsidR="0087019E">
        <w:t xml:space="preserve"> international guidelines</w:t>
      </w:r>
      <w:r w:rsidR="00990E02">
        <w:t xml:space="preserve"> and Australian evidence-based protocols</w:t>
      </w:r>
      <w:r w:rsidR="0087019E">
        <w:t xml:space="preserve">. </w:t>
      </w:r>
      <w:r w:rsidR="007647A6">
        <w:t xml:space="preserve">For </w:t>
      </w:r>
      <w:r w:rsidR="002B7054">
        <w:t xml:space="preserve">patients </w:t>
      </w:r>
      <w:r w:rsidR="00990E02">
        <w:t xml:space="preserve">with mCRPC </w:t>
      </w:r>
      <w:r w:rsidR="00CE128D">
        <w:t>who have</w:t>
      </w:r>
      <w:r w:rsidR="007647A6">
        <w:t xml:space="preserve"> progressive disease following</w:t>
      </w:r>
      <w:r w:rsidR="00311240">
        <w:t xml:space="preserve"> </w:t>
      </w:r>
      <w:r w:rsidR="008D1E21">
        <w:t xml:space="preserve">an </w:t>
      </w:r>
      <w:r>
        <w:t>ARPI</w:t>
      </w:r>
      <w:r w:rsidR="00311240">
        <w:t xml:space="preserve"> </w:t>
      </w:r>
      <w:r w:rsidR="002B7054">
        <w:t xml:space="preserve">and </w:t>
      </w:r>
      <w:r w:rsidR="00CE128D">
        <w:t xml:space="preserve">have had </w:t>
      </w:r>
      <w:r w:rsidR="002B7054">
        <w:t xml:space="preserve">no prior taxane therapy, </w:t>
      </w:r>
      <w:bookmarkStart w:id="16" w:name="_Hlk213163511"/>
      <w:r w:rsidR="002B7054">
        <w:t>the NCCN Guidelines recommend</w:t>
      </w:r>
      <w:r w:rsidR="00311240">
        <w:t xml:space="preserve"> c</w:t>
      </w:r>
      <w:r w:rsidR="002B7054">
        <w:t xml:space="preserve">ontinued </w:t>
      </w:r>
      <w:r>
        <w:t>ADT</w:t>
      </w:r>
      <w:r w:rsidR="002B7054">
        <w:t xml:space="preserve"> to maintain castrate levels of serum testosterone (&lt; 50 ng/dL)</w:t>
      </w:r>
      <w:bookmarkEnd w:id="16"/>
      <w:r w:rsidR="00311240">
        <w:t xml:space="preserve"> and systemic treatment with docetaxel</w:t>
      </w:r>
      <w:r w:rsidR="007647A6">
        <w:t xml:space="preserve">, </w:t>
      </w:r>
      <w:r w:rsidR="00311240">
        <w:t xml:space="preserve">or </w:t>
      </w:r>
      <w:r w:rsidR="003A2D2D">
        <w:t>o</w:t>
      </w:r>
      <w:r>
        <w:t xml:space="preserve">laparib </w:t>
      </w:r>
      <w:r w:rsidR="00311240">
        <w:t>/</w:t>
      </w:r>
      <w:r>
        <w:t xml:space="preserve"> </w:t>
      </w:r>
      <w:r w:rsidR="003A2D2D">
        <w:t>r</w:t>
      </w:r>
      <w:r w:rsidR="00311240">
        <w:t xml:space="preserve">ucaparib </w:t>
      </w:r>
      <w:r w:rsidR="007647A6">
        <w:t>if presence of</w:t>
      </w:r>
      <w:r w:rsidR="00311240">
        <w:t xml:space="preserve"> BRCA mutation</w:t>
      </w:r>
      <w:r w:rsidR="00C461BC">
        <w:t>.</w:t>
      </w:r>
      <w:r w:rsidR="007647A6">
        <w:t xml:space="preserve"> Similarly, the ESMO Guidelines </w:t>
      </w:r>
      <w:r w:rsidR="00836933">
        <w:t>recommend docetaxel for patients with progressive mCRPC following ARPI.</w:t>
      </w:r>
      <w:r w:rsidR="006D497E">
        <w:t xml:space="preserve"> PBS </w:t>
      </w:r>
      <w:r w:rsidR="008643DB">
        <w:t>restricts the use of AR</w:t>
      </w:r>
      <w:r w:rsidR="00B37B12">
        <w:t>P</w:t>
      </w:r>
      <w:r w:rsidR="008643DB">
        <w:t>Is to once per lifetime.</w:t>
      </w:r>
      <w:r w:rsidR="00AE29CB">
        <w:t xml:space="preserve"> </w:t>
      </w:r>
    </w:p>
    <w:p w14:paraId="596BC5F3" w14:textId="398DE908" w:rsidR="00836933" w:rsidRDefault="00836933" w:rsidP="00311240">
      <w:r>
        <w:t>The NCCN Guidelines recommend m</w:t>
      </w:r>
      <w:r w:rsidRPr="00836933">
        <w:t>etastatic lesion biopsy, somatic testing and tumour mutational burden</w:t>
      </w:r>
      <w:r w:rsidR="00F16D18">
        <w:t xml:space="preserve">, </w:t>
      </w:r>
      <w:r w:rsidRPr="00836933">
        <w:t xml:space="preserve">if </w:t>
      </w:r>
      <w:r w:rsidR="00F16D18">
        <w:t xml:space="preserve">considered </w:t>
      </w:r>
      <w:r w:rsidRPr="00836933">
        <w:t>appropriat</w:t>
      </w:r>
      <w:r>
        <w:t>e. Routine testing of PSA levels may be required to monitor disease progression.</w:t>
      </w:r>
    </w:p>
    <w:p w14:paraId="4131E93D" w14:textId="44D9E7B5" w:rsidR="005E1CFB" w:rsidRPr="00A86A86" w:rsidRDefault="0090168B" w:rsidP="002D2EB5">
      <w:pPr>
        <w:pStyle w:val="Heading2"/>
      </w:pPr>
      <w:r w:rsidRPr="00A86A86">
        <w:t>Is there any expectation that the clinical management algorithm before the health technology is used will change due to the introduction of the proposed health technology</w:t>
      </w:r>
      <w:r w:rsidR="005E1CFB" w:rsidRPr="00A86A86">
        <w:t xml:space="preserve">? </w:t>
      </w:r>
    </w:p>
    <w:p w14:paraId="735D74D5" w14:textId="489C57A8" w:rsidR="00962337" w:rsidRPr="00EB16E8" w:rsidRDefault="00EB16E8" w:rsidP="00BC0C43">
      <w:r w:rsidRPr="00EB16E8">
        <w:t>Yes</w:t>
      </w:r>
      <w:r w:rsidR="00444B0A">
        <w:t>.</w:t>
      </w:r>
    </w:p>
    <w:p w14:paraId="0EA69E70" w14:textId="2F8BA449" w:rsidR="005E1CFB" w:rsidRPr="00A86A86" w:rsidRDefault="0090168B" w:rsidP="002D2EB5">
      <w:pPr>
        <w:pStyle w:val="Heading2"/>
      </w:pPr>
      <w:r w:rsidRPr="001B5BE7">
        <w:t>Describe and explain any differences in the clinical management algorithm prior to the use of the proposed health technology vs. the comparator health technology</w:t>
      </w:r>
      <w:r w:rsidR="005E1CFB" w:rsidRPr="001B5BE7">
        <w:t>:</w:t>
      </w:r>
    </w:p>
    <w:p w14:paraId="2453A264" w14:textId="55AA089D" w:rsidR="00950459" w:rsidRPr="00EB16E8" w:rsidRDefault="00781177" w:rsidP="00BC0C43">
      <w:r>
        <w:lastRenderedPageBreak/>
        <w:t>Currently, mCRPC patients who have progressive disease following treatment with an AR</w:t>
      </w:r>
      <w:r w:rsidR="00B37B12">
        <w:t>P</w:t>
      </w:r>
      <w:r>
        <w:t xml:space="preserve">I will receive </w:t>
      </w:r>
      <w:r w:rsidR="00AE29CB">
        <w:t xml:space="preserve">either </w:t>
      </w:r>
      <w:r>
        <w:t>taxane</w:t>
      </w:r>
      <w:r w:rsidR="008643DB">
        <w:t>-based</w:t>
      </w:r>
      <w:r>
        <w:t xml:space="preserve"> chemotherapy</w:t>
      </w:r>
      <w:r w:rsidR="00AE29CB">
        <w:t xml:space="preserve"> or palliative care</w:t>
      </w:r>
      <w:r>
        <w:t xml:space="preserve">. Following reimbursement of </w:t>
      </w:r>
      <w:r w:rsidRPr="008248B2">
        <w:rPr>
          <w:vertAlign w:val="superscript"/>
        </w:rPr>
        <w:t>177</w:t>
      </w:r>
      <w:r>
        <w:t>Lu-PSMA-617</w:t>
      </w:r>
      <w:r w:rsidR="00C0052B">
        <w:t xml:space="preserve"> in the patient population</w:t>
      </w:r>
      <w:r>
        <w:t xml:space="preserve">, physicians will refer patients they consider potential candidates for treatment for a PSMA PET scan at an accredited site. Patients determined PSMA-positive and suitable for treatment will be given the option to receive </w:t>
      </w:r>
      <w:r w:rsidRPr="008248B2">
        <w:rPr>
          <w:vertAlign w:val="superscript"/>
        </w:rPr>
        <w:t>177</w:t>
      </w:r>
      <w:r>
        <w:t xml:space="preserve">Lu-PSMA-617. </w:t>
      </w:r>
      <w:r w:rsidR="001448F7">
        <w:t>D</w:t>
      </w:r>
      <w:r>
        <w:t xml:space="preserve">ocetaxel will become a </w:t>
      </w:r>
      <w:r w:rsidR="001448F7">
        <w:t>subsequent</w:t>
      </w:r>
      <w:r w:rsidR="00C0052B">
        <w:t xml:space="preserve"> </w:t>
      </w:r>
      <w:r w:rsidR="001448F7">
        <w:t>treatment</w:t>
      </w:r>
      <w:r>
        <w:t xml:space="preserve"> option for patients</w:t>
      </w:r>
      <w:r w:rsidR="00722F01">
        <w:t xml:space="preserve"> who progress following treatment with </w:t>
      </w:r>
      <w:r w:rsidR="00722F01" w:rsidRPr="00722F01">
        <w:rPr>
          <w:vertAlign w:val="superscript"/>
        </w:rPr>
        <w:t>177</w:t>
      </w:r>
      <w:r w:rsidR="00722F01">
        <w:t>Lu-PSMA-617</w:t>
      </w:r>
      <w:r>
        <w:t>.</w:t>
      </w:r>
      <w:r w:rsidR="00F16D18">
        <w:t xml:space="preserve"> Docetaxel</w:t>
      </w:r>
      <w:r w:rsidR="00AE29CB">
        <w:t xml:space="preserve"> or palliative care</w:t>
      </w:r>
      <w:r w:rsidR="00F16D18">
        <w:t xml:space="preserve"> will remain standard of care for patients who are not PSMA-positive.</w:t>
      </w:r>
      <w:r w:rsidR="00212D73">
        <w:t xml:space="preserve"> The </w:t>
      </w:r>
      <w:r w:rsidR="00045687">
        <w:t xml:space="preserve">current and </w:t>
      </w:r>
      <w:r w:rsidR="00212D73">
        <w:t>proposed clinical management algorithm</w:t>
      </w:r>
      <w:r w:rsidR="00045687">
        <w:t>s</w:t>
      </w:r>
      <w:r w:rsidR="00212D73">
        <w:t xml:space="preserve"> </w:t>
      </w:r>
      <w:r w:rsidR="00045687">
        <w:t>are</w:t>
      </w:r>
      <w:r w:rsidR="00212D73">
        <w:t xml:space="preserve"> presented in Figure </w:t>
      </w:r>
      <w:r w:rsidR="0066587C">
        <w:t>5</w:t>
      </w:r>
      <w:r w:rsidR="00045687">
        <w:t xml:space="preserve"> and Figure </w:t>
      </w:r>
      <w:r w:rsidR="0066587C">
        <w:t>6</w:t>
      </w:r>
      <w:r w:rsidR="00045687">
        <w:t>, respectively</w:t>
      </w:r>
      <w:r w:rsidR="00212D73">
        <w:t>.</w:t>
      </w:r>
    </w:p>
    <w:p w14:paraId="2AEB8C28" w14:textId="17DF89E6" w:rsidR="00F16239" w:rsidRPr="0089269F" w:rsidRDefault="00EA0AA0" w:rsidP="00BC0C43">
      <w:pPr>
        <w:pStyle w:val="Heading2"/>
        <w:rPr>
          <w:sz w:val="24"/>
          <w:szCs w:val="24"/>
          <w:u w:val="single"/>
        </w:rPr>
      </w:pPr>
      <w:r w:rsidRPr="0089269F">
        <w:rPr>
          <w:sz w:val="24"/>
          <w:szCs w:val="24"/>
          <w:u w:val="single"/>
        </w:rPr>
        <w:t>USE OF THE HEALTH TECHNOLOGY</w:t>
      </w:r>
    </w:p>
    <w:p w14:paraId="7C130FEF" w14:textId="04FF653C" w:rsidR="0090168B" w:rsidRPr="00A86A86" w:rsidRDefault="00F16239" w:rsidP="002D2EB5">
      <w:pPr>
        <w:pStyle w:val="Heading2"/>
      </w:pPr>
      <w:r w:rsidRPr="00A86A86">
        <w:t>Explain what other healthcare resources are used in conjunction with delivering the proposed health technology</w:t>
      </w:r>
      <w:r w:rsidR="0090168B" w:rsidRPr="00A86A86">
        <w:t>:</w:t>
      </w:r>
    </w:p>
    <w:p w14:paraId="51AF27B0" w14:textId="4DA79A1E" w:rsidR="007E0226" w:rsidRDefault="00F16D18" w:rsidP="00F16D18">
      <w:r>
        <w:t xml:space="preserve">All potential candidates will undergo PSMA PET imaging to assess eligibility for treatment with </w:t>
      </w:r>
      <w:r w:rsidRPr="00F16D18">
        <w:rPr>
          <w:vertAlign w:val="superscript"/>
        </w:rPr>
        <w:t>177</w:t>
      </w:r>
      <w:r>
        <w:t xml:space="preserve">Lu-PSMA-617. </w:t>
      </w:r>
      <w:r w:rsidR="007E0226">
        <w:t>Access to PSMA PET imaging is well established in Australia and is already being utilised by mCRPC patients.</w:t>
      </w:r>
    </w:p>
    <w:p w14:paraId="1C1B21E1" w14:textId="3F869300" w:rsidR="007E0226" w:rsidRPr="00C03CBC" w:rsidRDefault="007E0226" w:rsidP="00F16D18">
      <w:r>
        <w:t>PSMA-positive mCR</w:t>
      </w:r>
      <w:r w:rsidR="00E478B8">
        <w:t>P</w:t>
      </w:r>
      <w:r>
        <w:t>C patients</w:t>
      </w:r>
      <w:r w:rsidR="00F16D18">
        <w:t xml:space="preserve"> </w:t>
      </w:r>
      <w:r>
        <w:t>who have progressive disease following an AR</w:t>
      </w:r>
      <w:r w:rsidR="00B37B12">
        <w:t>P</w:t>
      </w:r>
      <w:r>
        <w:t xml:space="preserve">I, are taxane-naïve </w:t>
      </w:r>
      <w:r w:rsidR="00F16D18">
        <w:t>and</w:t>
      </w:r>
      <w:r>
        <w:t xml:space="preserve"> </w:t>
      </w:r>
      <w:r w:rsidR="00AE29CB">
        <w:t xml:space="preserve">are </w:t>
      </w:r>
      <w:r>
        <w:t>considered</w:t>
      </w:r>
      <w:r w:rsidR="00F16D18">
        <w:t xml:space="preserve"> suitable for treatment </w:t>
      </w:r>
      <w:r>
        <w:t xml:space="preserve">with </w:t>
      </w:r>
      <w:r w:rsidRPr="00F16D18">
        <w:rPr>
          <w:vertAlign w:val="superscript"/>
        </w:rPr>
        <w:t>177</w:t>
      </w:r>
      <w:r>
        <w:t xml:space="preserve">Lu-PSMA-617 </w:t>
      </w:r>
      <w:r w:rsidR="00F16D18">
        <w:t xml:space="preserve">will be treated with </w:t>
      </w:r>
      <w:r w:rsidR="00F16D18" w:rsidRPr="00F16D18">
        <w:rPr>
          <w:vertAlign w:val="superscript"/>
        </w:rPr>
        <w:t>177</w:t>
      </w:r>
      <w:r w:rsidR="00F16D18">
        <w:t>Lu-PSMA-</w:t>
      </w:r>
      <w:r>
        <w:t>617</w:t>
      </w:r>
      <w:r w:rsidR="00F16D18">
        <w:t xml:space="preserve"> as standard of care</w:t>
      </w:r>
      <w:r>
        <w:t xml:space="preserve">. This will decrease the number of patients treated with docetaxel in the </w:t>
      </w:r>
      <w:r w:rsidR="00045687" w:rsidRPr="00C03CBC">
        <w:t xml:space="preserve">first </w:t>
      </w:r>
      <w:r w:rsidRPr="00C03CBC">
        <w:t>line setting</w:t>
      </w:r>
      <w:r w:rsidR="00AE29CB" w:rsidRPr="00C03CBC">
        <w:t xml:space="preserve"> </w:t>
      </w:r>
      <w:r w:rsidR="00C03CBC" w:rsidRPr="00C03CBC">
        <w:t>by providing</w:t>
      </w:r>
      <w:r w:rsidR="00AE29CB" w:rsidRPr="00C03CBC">
        <w:t xml:space="preserve"> an alternative treatment option to patients who choose not to receive docetaxel.</w:t>
      </w:r>
    </w:p>
    <w:p w14:paraId="467BB28A" w14:textId="3A0BD43E" w:rsidR="007E0226" w:rsidRDefault="007E0226" w:rsidP="00F16D18">
      <w:r w:rsidRPr="00C03CBC">
        <w:t xml:space="preserve">Access to, and delivery of, </w:t>
      </w:r>
      <w:r w:rsidRPr="00C03CBC">
        <w:rPr>
          <w:vertAlign w:val="superscript"/>
        </w:rPr>
        <w:t>177</w:t>
      </w:r>
      <w:r w:rsidRPr="00C03CBC">
        <w:t xml:space="preserve">Lu-PSMA-617 is established in Australia with mCRPC patients meeting specific criteria receiving treatment in the </w:t>
      </w:r>
      <w:r w:rsidR="00C03CBC" w:rsidRPr="00C03CBC">
        <w:t xml:space="preserve">second </w:t>
      </w:r>
      <w:r w:rsidRPr="00C03CBC">
        <w:t xml:space="preserve">line setting in accredited facilities. Expanding reimbursement of </w:t>
      </w:r>
      <w:r w:rsidRPr="00C03CBC">
        <w:rPr>
          <w:vertAlign w:val="superscript"/>
        </w:rPr>
        <w:t>177</w:t>
      </w:r>
      <w:r w:rsidRPr="00C03CBC">
        <w:t xml:space="preserve">Lu-PSMA-617 to </w:t>
      </w:r>
      <w:r w:rsidR="00C03CBC" w:rsidRPr="00C03CBC">
        <w:t xml:space="preserve">include </w:t>
      </w:r>
      <w:r w:rsidRPr="00C03CBC">
        <w:t xml:space="preserve">the </w:t>
      </w:r>
      <w:r w:rsidR="00C03CBC" w:rsidRPr="00C03CBC">
        <w:t>first</w:t>
      </w:r>
      <w:r w:rsidRPr="00C03CBC">
        <w:t xml:space="preserve">-line setting will change clinical management </w:t>
      </w:r>
      <w:r w:rsidR="00AE29CB" w:rsidRPr="00C03CBC">
        <w:t xml:space="preserve">and outcomes </w:t>
      </w:r>
      <w:r w:rsidRPr="00C03CBC">
        <w:t>for more mCRPC patients.</w:t>
      </w:r>
    </w:p>
    <w:p w14:paraId="38D2ADE7" w14:textId="00333F26" w:rsidR="0090168B" w:rsidRPr="00A86A86" w:rsidRDefault="00F16239" w:rsidP="002D2EB5">
      <w:pPr>
        <w:pStyle w:val="Heading2"/>
      </w:pPr>
      <w:r w:rsidRPr="00A86A86">
        <w:t>Explain what other healthcare resources are used in conjunction with the comparator health technology</w:t>
      </w:r>
      <w:r w:rsidR="0090168B" w:rsidRPr="00A86A86">
        <w:t>:</w:t>
      </w:r>
    </w:p>
    <w:p w14:paraId="15873D09" w14:textId="77777777" w:rsidR="009043BD" w:rsidRDefault="00F16D18" w:rsidP="00781177">
      <w:r>
        <w:t xml:space="preserve">Patients who are not PSMA-positive or </w:t>
      </w:r>
      <w:r w:rsidR="00C03CBC">
        <w:t xml:space="preserve">are </w:t>
      </w:r>
      <w:r w:rsidR="00A3310F">
        <w:t xml:space="preserve">not </w:t>
      </w:r>
      <w:r>
        <w:t xml:space="preserve">considered suitable for treatment with </w:t>
      </w:r>
      <w:r w:rsidRPr="00F16D18">
        <w:rPr>
          <w:vertAlign w:val="superscript"/>
        </w:rPr>
        <w:t>177</w:t>
      </w:r>
      <w:r>
        <w:t xml:space="preserve">Lu-PSMA-617 will </w:t>
      </w:r>
      <w:r w:rsidR="007E0226">
        <w:t xml:space="preserve">continue to </w:t>
      </w:r>
      <w:r>
        <w:t>receive docetaxel</w:t>
      </w:r>
      <w:r w:rsidR="00AE29CB">
        <w:t xml:space="preserve"> or palliative care</w:t>
      </w:r>
      <w:r>
        <w:t xml:space="preserve">. </w:t>
      </w:r>
    </w:p>
    <w:p w14:paraId="118D1C5E" w14:textId="68516471" w:rsidR="00781177" w:rsidRDefault="00781177" w:rsidP="00781177">
      <w:r>
        <w:t>Docetaxel is</w:t>
      </w:r>
      <w:r w:rsidR="00AE29CB">
        <w:t xml:space="preserve"> a cytotoxic drug</w:t>
      </w:r>
      <w:r w:rsidRPr="00781177">
        <w:t xml:space="preserve"> administ</w:t>
      </w:r>
      <w:r>
        <w:t xml:space="preserve">ered </w:t>
      </w:r>
      <w:r w:rsidRPr="00781177">
        <w:t>in the outpatient setting</w:t>
      </w:r>
      <w:r>
        <w:t>. A</w:t>
      </w:r>
      <w:r w:rsidRPr="00781177">
        <w:t xml:space="preserve">ssociated </w:t>
      </w:r>
      <w:r>
        <w:t xml:space="preserve">healthcare </w:t>
      </w:r>
      <w:r w:rsidRPr="00781177">
        <w:t xml:space="preserve">services </w:t>
      </w:r>
      <w:r>
        <w:t xml:space="preserve">are </w:t>
      </w:r>
      <w:r w:rsidRPr="00781177">
        <w:t>required</w:t>
      </w:r>
      <w:r>
        <w:t xml:space="preserve"> </w:t>
      </w:r>
      <w:r w:rsidRPr="00781177">
        <w:t>includ</w:t>
      </w:r>
      <w:r>
        <w:t>ing</w:t>
      </w:r>
      <w:r w:rsidRPr="00781177">
        <w:t xml:space="preserve">, but is not limited to, </w:t>
      </w:r>
      <w:r>
        <w:t xml:space="preserve">appropriately trained medical professionals </w:t>
      </w:r>
      <w:r w:rsidRPr="00781177">
        <w:t>to deliver treatment, infusion chair</w:t>
      </w:r>
      <w:r w:rsidR="00AE29CB">
        <w:t xml:space="preserve"> and </w:t>
      </w:r>
      <w:r w:rsidRPr="00781177">
        <w:t>post-treatment monitoring</w:t>
      </w:r>
      <w:r>
        <w:t>.</w:t>
      </w:r>
    </w:p>
    <w:p w14:paraId="652316A1" w14:textId="5B0411A7" w:rsidR="00C12A65" w:rsidRPr="00EB16E8" w:rsidRDefault="00463716" w:rsidP="00781177">
      <w:r>
        <w:t>Palliative care involves a wide range of services</w:t>
      </w:r>
      <w:r w:rsidR="009043BD">
        <w:t xml:space="preserve"> delivered</w:t>
      </w:r>
      <w:r>
        <w:t xml:space="preserve"> in the hospital and community setting. </w:t>
      </w:r>
      <w:r w:rsidR="000107E9">
        <w:t>Significant healthcare resources are required to deliver p</w:t>
      </w:r>
      <w:r w:rsidR="00C12A65">
        <w:t>alliative care</w:t>
      </w:r>
      <w:r w:rsidR="00CE1030">
        <w:t xml:space="preserve"> including hospital admission,</w:t>
      </w:r>
      <w:r w:rsidR="00DA5D7F">
        <w:t xml:space="preserve"> pharmaceuticals, and</w:t>
      </w:r>
      <w:r w:rsidR="00CE1030">
        <w:t xml:space="preserve"> </w:t>
      </w:r>
      <w:r w:rsidR="00DA5D7F">
        <w:t>a palliative care workforce</w:t>
      </w:r>
      <w:r>
        <w:t>.</w:t>
      </w:r>
    </w:p>
    <w:p w14:paraId="378F78D9" w14:textId="28E2F695" w:rsidR="00F16239" w:rsidRPr="00A86A86" w:rsidRDefault="00F16239" w:rsidP="002D2EB5">
      <w:pPr>
        <w:pStyle w:val="Heading2"/>
      </w:pPr>
      <w:r w:rsidRPr="00A86A86">
        <w:t>Describe and explain any differences in the healthcare resources used in conjunction with the proposed health technology vs. the comparator health technology:</w:t>
      </w:r>
    </w:p>
    <w:p w14:paraId="5F36C890" w14:textId="25641285" w:rsidR="00AE29CB" w:rsidRPr="00444B0A" w:rsidRDefault="00A3310F" w:rsidP="005E6C20">
      <w:r>
        <w:t xml:space="preserve">As illustrated </w:t>
      </w:r>
      <w:r w:rsidRPr="00444B0A">
        <w:t xml:space="preserve">in Figure </w:t>
      </w:r>
      <w:r w:rsidR="0066587C">
        <w:t>6</w:t>
      </w:r>
      <w:r w:rsidRPr="00444B0A">
        <w:t xml:space="preserve">, PSMA PET will be performed for all potential candidates following progression on </w:t>
      </w:r>
      <w:r w:rsidR="00D91C4B">
        <w:t xml:space="preserve">an </w:t>
      </w:r>
      <w:r w:rsidRPr="00444B0A">
        <w:t xml:space="preserve">ARPI. Those patients </w:t>
      </w:r>
      <w:r w:rsidR="00D91C4B">
        <w:t xml:space="preserve">with mCRPC </w:t>
      </w:r>
      <w:r w:rsidRPr="00444B0A">
        <w:t xml:space="preserve">considered suitable will receive </w:t>
      </w:r>
      <w:r w:rsidRPr="00444B0A">
        <w:rPr>
          <w:vertAlign w:val="superscript"/>
        </w:rPr>
        <w:t>177</w:t>
      </w:r>
      <w:r w:rsidRPr="00444B0A">
        <w:t xml:space="preserve">Lu-PSMA-617 as standard of care. Those </w:t>
      </w:r>
      <w:r w:rsidR="00AE29CB" w:rsidRPr="00444B0A">
        <w:t xml:space="preserve">who are </w:t>
      </w:r>
      <w:r w:rsidRPr="00444B0A">
        <w:t xml:space="preserve">not PSMA-positive or </w:t>
      </w:r>
      <w:r w:rsidR="00D91C4B">
        <w:t xml:space="preserve">are not considered </w:t>
      </w:r>
      <w:r w:rsidRPr="00444B0A">
        <w:t>suitable for treatment will receive docetaxel</w:t>
      </w:r>
      <w:r w:rsidR="00AE29CB" w:rsidRPr="00444B0A">
        <w:t xml:space="preserve"> or palliative care</w:t>
      </w:r>
      <w:r w:rsidRPr="00444B0A">
        <w:t xml:space="preserve">. </w:t>
      </w:r>
    </w:p>
    <w:p w14:paraId="0C1CDB46" w14:textId="0907BADB" w:rsidR="00967F5B" w:rsidRPr="00444B0A" w:rsidRDefault="005E6C20" w:rsidP="005E6C20">
      <w:r w:rsidRPr="00444B0A">
        <w:t>Both</w:t>
      </w:r>
      <w:r w:rsidR="00AE29CB" w:rsidRPr="00444B0A">
        <w:t xml:space="preserve"> </w:t>
      </w:r>
      <w:r w:rsidR="00AE29CB" w:rsidRPr="00444B0A">
        <w:rPr>
          <w:vertAlign w:val="superscript"/>
        </w:rPr>
        <w:t>177</w:t>
      </w:r>
      <w:r w:rsidR="00AE29CB" w:rsidRPr="00444B0A">
        <w:t xml:space="preserve">Lu-PSMA-617 and docetaxel </w:t>
      </w:r>
      <w:r w:rsidRPr="00444B0A">
        <w:t xml:space="preserve">are administered in the outpatient setting, however, administration of </w:t>
      </w:r>
      <w:r w:rsidRPr="00444B0A">
        <w:rPr>
          <w:vertAlign w:val="superscript"/>
        </w:rPr>
        <w:t>177</w:t>
      </w:r>
      <w:r w:rsidRPr="00444B0A">
        <w:t xml:space="preserve">Lu-PSMA-617 </w:t>
      </w:r>
      <w:r w:rsidR="00AE29CB" w:rsidRPr="00444B0A">
        <w:t>takes</w:t>
      </w:r>
      <w:r w:rsidRPr="00444B0A">
        <w:t xml:space="preserve"> longer compared to docetaxel and patients are required to remain isolated until radiation levels reach safe levels. </w:t>
      </w:r>
      <w:r w:rsidR="00AE29CB" w:rsidRPr="00444B0A">
        <w:t>Both treatments require appropriate safe handling and waste management.</w:t>
      </w:r>
      <w:r w:rsidR="00F10C71" w:rsidRPr="00444B0A">
        <w:t xml:space="preserve"> </w:t>
      </w:r>
      <w:r w:rsidR="00967F5B" w:rsidRPr="00444B0A">
        <w:t xml:space="preserve">Palliative care is resource heavy, </w:t>
      </w:r>
      <w:r w:rsidR="00D91C4B">
        <w:t xml:space="preserve">requiring </w:t>
      </w:r>
      <w:r w:rsidR="00967F5B" w:rsidRPr="00444B0A">
        <w:t>in-patient and</w:t>
      </w:r>
      <w:r w:rsidR="00F10C71" w:rsidRPr="00444B0A">
        <w:t>/or</w:t>
      </w:r>
      <w:r w:rsidR="00967F5B" w:rsidRPr="00444B0A">
        <w:t xml:space="preserve"> out-patient support</w:t>
      </w:r>
      <w:r w:rsidR="00F10C71" w:rsidRPr="00444B0A">
        <w:t xml:space="preserve"> from a diverse workforce.</w:t>
      </w:r>
      <w:r w:rsidR="00967F5B" w:rsidRPr="00444B0A">
        <w:t xml:space="preserve"> </w:t>
      </w:r>
    </w:p>
    <w:p w14:paraId="443152A5" w14:textId="50CBF843" w:rsidR="00000861" w:rsidRDefault="00A3310F" w:rsidP="00000861">
      <w:r w:rsidRPr="00444B0A">
        <w:lastRenderedPageBreak/>
        <w:t xml:space="preserve">Table </w:t>
      </w:r>
      <w:r w:rsidR="00E23602">
        <w:t>5</w:t>
      </w:r>
      <w:r w:rsidR="00781177" w:rsidRPr="00444B0A">
        <w:t xml:space="preserve"> summarises</w:t>
      </w:r>
      <w:r w:rsidR="00347FD5" w:rsidRPr="00444B0A">
        <w:t xml:space="preserve"> key</w:t>
      </w:r>
      <w:r w:rsidR="00347FD5">
        <w:t xml:space="preserve"> differences in healthcare resources between </w:t>
      </w:r>
      <w:r w:rsidR="00347FD5" w:rsidRPr="008248B2">
        <w:rPr>
          <w:vertAlign w:val="superscript"/>
        </w:rPr>
        <w:t>177</w:t>
      </w:r>
      <w:r w:rsidR="00347FD5">
        <w:t>Lu-PSMA-617</w:t>
      </w:r>
      <w:r w:rsidR="00447CFF">
        <w:t>,</w:t>
      </w:r>
      <w:r w:rsidR="00347FD5">
        <w:t xml:space="preserve"> </w:t>
      </w:r>
      <w:r w:rsidR="00781177">
        <w:t>docetaxel</w:t>
      </w:r>
      <w:r w:rsidR="00447CFF">
        <w:t xml:space="preserve"> and palliative care</w:t>
      </w:r>
      <w:r w:rsidR="00781177">
        <w:t>.</w:t>
      </w:r>
    </w:p>
    <w:p w14:paraId="1E09A475" w14:textId="6A2917F6" w:rsidR="00D274B7" w:rsidRDefault="00D274B7" w:rsidP="00D274B7">
      <w:pPr>
        <w:pStyle w:val="Captions"/>
      </w:pPr>
      <w:r>
        <w:t xml:space="preserve">Table </w:t>
      </w:r>
      <w:r w:rsidR="00E23602">
        <w:t>5</w:t>
      </w:r>
      <w:r>
        <w:tab/>
      </w:r>
      <w:r>
        <w:tab/>
      </w:r>
      <w:r w:rsidR="00A3310F">
        <w:t xml:space="preserve">Healthcare resources required for </w:t>
      </w:r>
      <w:r w:rsidR="00A3310F" w:rsidRPr="00A3310F">
        <w:rPr>
          <w:vertAlign w:val="superscript"/>
        </w:rPr>
        <w:t>177</w:t>
      </w:r>
      <w:r w:rsidR="00A3310F">
        <w:t>Lu-PSMA-617</w:t>
      </w:r>
      <w:r w:rsidR="00AE29CB">
        <w:t xml:space="preserve">, </w:t>
      </w:r>
      <w:r w:rsidR="00A3310F">
        <w:t>docetaxel</w:t>
      </w:r>
      <w:r w:rsidR="00AE29CB">
        <w:t xml:space="preserve"> and palliative care</w:t>
      </w:r>
    </w:p>
    <w:tbl>
      <w:tblPr>
        <w:tblStyle w:val="TableGrid"/>
        <w:tblW w:w="0" w:type="auto"/>
        <w:tblLook w:val="04A0" w:firstRow="1" w:lastRow="0" w:firstColumn="1" w:lastColumn="0" w:noHBand="0" w:noVBand="1"/>
      </w:tblPr>
      <w:tblGrid>
        <w:gridCol w:w="1905"/>
        <w:gridCol w:w="2527"/>
        <w:gridCol w:w="53"/>
        <w:gridCol w:w="2193"/>
        <w:gridCol w:w="281"/>
        <w:gridCol w:w="2528"/>
      </w:tblGrid>
      <w:tr w:rsidR="00554EC2" w:rsidRPr="00A3310F" w14:paraId="53D519FE" w14:textId="77777777" w:rsidTr="00AE29CB">
        <w:tc>
          <w:tcPr>
            <w:tcW w:w="1905" w:type="dxa"/>
          </w:tcPr>
          <w:p w14:paraId="7882770E" w14:textId="77777777" w:rsidR="00AE29CB" w:rsidRPr="00A3310F" w:rsidRDefault="00AE29CB" w:rsidP="00A3310F">
            <w:pPr>
              <w:jc w:val="center"/>
              <w:rPr>
                <w:rFonts w:ascii="Arial Narrow" w:hAnsi="Arial Narrow"/>
                <w:b/>
                <w:bCs/>
                <w:sz w:val="20"/>
                <w:szCs w:val="20"/>
              </w:rPr>
            </w:pPr>
          </w:p>
        </w:tc>
        <w:tc>
          <w:tcPr>
            <w:tcW w:w="2580" w:type="dxa"/>
            <w:gridSpan w:val="2"/>
          </w:tcPr>
          <w:p w14:paraId="401E430E" w14:textId="5B30BA83" w:rsidR="00AE29CB" w:rsidRPr="00A3310F" w:rsidRDefault="00AE29CB" w:rsidP="00A3310F">
            <w:pPr>
              <w:jc w:val="center"/>
              <w:rPr>
                <w:rFonts w:ascii="Arial Narrow" w:hAnsi="Arial Narrow"/>
                <w:b/>
                <w:bCs/>
                <w:sz w:val="20"/>
                <w:szCs w:val="20"/>
              </w:rPr>
            </w:pPr>
            <w:r w:rsidRPr="00034FB3">
              <w:rPr>
                <w:rFonts w:ascii="Arial Narrow" w:hAnsi="Arial Narrow"/>
                <w:b/>
                <w:bCs/>
                <w:sz w:val="20"/>
                <w:szCs w:val="20"/>
                <w:vertAlign w:val="superscript"/>
              </w:rPr>
              <w:t>177</w:t>
            </w:r>
            <w:r w:rsidRPr="00A3310F">
              <w:rPr>
                <w:rFonts w:ascii="Arial Narrow" w:hAnsi="Arial Narrow"/>
                <w:b/>
                <w:bCs/>
                <w:sz w:val="20"/>
                <w:szCs w:val="20"/>
              </w:rPr>
              <w:t>Lu-PSMA-617</w:t>
            </w:r>
          </w:p>
        </w:tc>
        <w:tc>
          <w:tcPr>
            <w:tcW w:w="2193" w:type="dxa"/>
          </w:tcPr>
          <w:p w14:paraId="3EE630C3" w14:textId="27BB469E" w:rsidR="00AE29CB" w:rsidRPr="00A3310F" w:rsidRDefault="00AE29CB" w:rsidP="00A3310F">
            <w:pPr>
              <w:jc w:val="center"/>
              <w:rPr>
                <w:rFonts w:ascii="Arial Narrow" w:hAnsi="Arial Narrow"/>
                <w:b/>
                <w:bCs/>
                <w:sz w:val="20"/>
                <w:szCs w:val="20"/>
              </w:rPr>
            </w:pPr>
            <w:r>
              <w:rPr>
                <w:rFonts w:ascii="Arial Narrow" w:hAnsi="Arial Narrow"/>
                <w:b/>
                <w:bCs/>
                <w:sz w:val="20"/>
                <w:szCs w:val="20"/>
              </w:rPr>
              <w:t>Docetaxel</w:t>
            </w:r>
          </w:p>
        </w:tc>
        <w:tc>
          <w:tcPr>
            <w:tcW w:w="2809" w:type="dxa"/>
            <w:gridSpan w:val="2"/>
          </w:tcPr>
          <w:p w14:paraId="63FF4A5F" w14:textId="0FA019F4" w:rsidR="00AE29CB" w:rsidRPr="00A3310F" w:rsidRDefault="00AE29CB" w:rsidP="00A3310F">
            <w:pPr>
              <w:jc w:val="center"/>
              <w:rPr>
                <w:rFonts w:ascii="Arial Narrow" w:hAnsi="Arial Narrow"/>
                <w:b/>
                <w:bCs/>
                <w:sz w:val="20"/>
                <w:szCs w:val="20"/>
              </w:rPr>
            </w:pPr>
            <w:r>
              <w:rPr>
                <w:rFonts w:ascii="Arial Narrow" w:hAnsi="Arial Narrow"/>
                <w:b/>
                <w:bCs/>
                <w:sz w:val="20"/>
                <w:szCs w:val="20"/>
              </w:rPr>
              <w:t>Palliative care</w:t>
            </w:r>
          </w:p>
        </w:tc>
      </w:tr>
      <w:tr w:rsidR="00554EC2" w:rsidRPr="00A3310F" w14:paraId="105E3569" w14:textId="77777777">
        <w:tc>
          <w:tcPr>
            <w:tcW w:w="1905" w:type="dxa"/>
          </w:tcPr>
          <w:p w14:paraId="626A1CA2" w14:textId="25AC9EC4" w:rsidR="00AE29CB" w:rsidRPr="00A3310F" w:rsidRDefault="00AE29CB" w:rsidP="00000861">
            <w:pPr>
              <w:rPr>
                <w:rFonts w:ascii="Arial Narrow" w:hAnsi="Arial Narrow"/>
                <w:sz w:val="20"/>
                <w:szCs w:val="20"/>
              </w:rPr>
            </w:pPr>
            <w:r w:rsidRPr="00A3310F">
              <w:rPr>
                <w:rFonts w:ascii="Arial Narrow" w:hAnsi="Arial Narrow"/>
                <w:sz w:val="20"/>
                <w:szCs w:val="20"/>
              </w:rPr>
              <w:t>Referral</w:t>
            </w:r>
          </w:p>
        </w:tc>
        <w:tc>
          <w:tcPr>
            <w:tcW w:w="7582" w:type="dxa"/>
            <w:gridSpan w:val="5"/>
          </w:tcPr>
          <w:p w14:paraId="7EA162F4" w14:textId="45AE8300" w:rsidR="006D693E" w:rsidRPr="00A3310F" w:rsidRDefault="00AE29CB" w:rsidP="00000861">
            <w:pPr>
              <w:rPr>
                <w:rFonts w:ascii="Arial Narrow" w:hAnsi="Arial Narrow"/>
                <w:sz w:val="20"/>
                <w:szCs w:val="20"/>
              </w:rPr>
            </w:pPr>
            <w:r w:rsidRPr="00A3310F">
              <w:rPr>
                <w:rFonts w:ascii="Arial Narrow" w:hAnsi="Arial Narrow"/>
                <w:sz w:val="20"/>
                <w:szCs w:val="20"/>
              </w:rPr>
              <w:t xml:space="preserve">Written referral </w:t>
            </w:r>
            <w:r>
              <w:rPr>
                <w:rFonts w:ascii="Arial Narrow" w:hAnsi="Arial Narrow"/>
                <w:sz w:val="20"/>
                <w:szCs w:val="20"/>
              </w:rPr>
              <w:t xml:space="preserve">from managing physicians </w:t>
            </w:r>
            <w:r w:rsidRPr="00A3310F">
              <w:rPr>
                <w:rFonts w:ascii="Arial Narrow" w:hAnsi="Arial Narrow"/>
                <w:sz w:val="20"/>
                <w:szCs w:val="20"/>
              </w:rPr>
              <w:t xml:space="preserve">for </w:t>
            </w:r>
            <w:r>
              <w:rPr>
                <w:rFonts w:ascii="Arial Narrow" w:hAnsi="Arial Narrow"/>
                <w:sz w:val="20"/>
                <w:szCs w:val="20"/>
              </w:rPr>
              <w:t>all</w:t>
            </w:r>
            <w:r w:rsidRPr="00A3310F">
              <w:rPr>
                <w:rFonts w:ascii="Arial Narrow" w:hAnsi="Arial Narrow"/>
                <w:sz w:val="20"/>
                <w:szCs w:val="20"/>
              </w:rPr>
              <w:t xml:space="preserve"> mCRPC patients considered potential candidates for treatment. </w:t>
            </w:r>
          </w:p>
        </w:tc>
      </w:tr>
      <w:tr w:rsidR="00554EC2" w:rsidRPr="00A3310F" w14:paraId="097902DB" w14:textId="77777777">
        <w:tc>
          <w:tcPr>
            <w:tcW w:w="1905" w:type="dxa"/>
            <w:vMerge w:val="restart"/>
          </w:tcPr>
          <w:p w14:paraId="31530C4D" w14:textId="755112E5" w:rsidR="00CB732A" w:rsidRPr="00A3310F" w:rsidRDefault="00CB732A" w:rsidP="00000861">
            <w:pPr>
              <w:rPr>
                <w:rFonts w:ascii="Arial Narrow" w:hAnsi="Arial Narrow"/>
                <w:sz w:val="20"/>
                <w:szCs w:val="20"/>
              </w:rPr>
            </w:pPr>
            <w:r w:rsidRPr="00A3310F">
              <w:rPr>
                <w:rFonts w:ascii="Arial Narrow" w:hAnsi="Arial Narrow"/>
                <w:sz w:val="20"/>
                <w:szCs w:val="20"/>
              </w:rPr>
              <w:t>Diagnostic</w:t>
            </w:r>
          </w:p>
        </w:tc>
        <w:tc>
          <w:tcPr>
            <w:tcW w:w="7582" w:type="dxa"/>
            <w:gridSpan w:val="5"/>
          </w:tcPr>
          <w:p w14:paraId="0E631067" w14:textId="3977863D" w:rsidR="00CB732A" w:rsidRPr="00A3310F" w:rsidRDefault="00CB732A" w:rsidP="00000861">
            <w:pPr>
              <w:rPr>
                <w:rFonts w:ascii="Arial Narrow" w:hAnsi="Arial Narrow"/>
                <w:sz w:val="20"/>
                <w:szCs w:val="20"/>
              </w:rPr>
            </w:pPr>
            <w:r w:rsidRPr="00A3310F">
              <w:rPr>
                <w:rFonts w:ascii="Arial Narrow" w:hAnsi="Arial Narrow"/>
                <w:sz w:val="20"/>
                <w:szCs w:val="20"/>
              </w:rPr>
              <w:t xml:space="preserve">Amendment to existing MBS item </w:t>
            </w:r>
            <w:r w:rsidRPr="00A6408E">
              <w:rPr>
                <w:rFonts w:ascii="Arial Narrow" w:hAnsi="Arial Narrow"/>
                <w:sz w:val="20"/>
                <w:szCs w:val="20"/>
              </w:rPr>
              <w:t>61528</w:t>
            </w:r>
            <w:r>
              <w:rPr>
                <w:rFonts w:ascii="Arial Narrow" w:hAnsi="Arial Narrow"/>
                <w:sz w:val="20"/>
                <w:szCs w:val="20"/>
              </w:rPr>
              <w:t xml:space="preserve"> </w:t>
            </w:r>
            <w:r w:rsidRPr="00A3310F">
              <w:rPr>
                <w:rFonts w:ascii="Arial Narrow" w:hAnsi="Arial Narrow"/>
                <w:sz w:val="20"/>
                <w:szCs w:val="20"/>
              </w:rPr>
              <w:t>to include proposed patient population to assess eligibility for treatment.</w:t>
            </w:r>
          </w:p>
        </w:tc>
      </w:tr>
      <w:tr w:rsidR="00892813" w:rsidRPr="00A3310F" w14:paraId="3694FA58" w14:textId="77777777">
        <w:tc>
          <w:tcPr>
            <w:tcW w:w="1905" w:type="dxa"/>
            <w:vMerge/>
          </w:tcPr>
          <w:p w14:paraId="2A7A1BF1" w14:textId="29FE7E48" w:rsidR="00CB732A" w:rsidRPr="00A3310F" w:rsidRDefault="00CB732A" w:rsidP="00AE29CB">
            <w:pPr>
              <w:rPr>
                <w:rFonts w:ascii="Arial Narrow" w:hAnsi="Arial Narrow"/>
                <w:sz w:val="20"/>
                <w:szCs w:val="20"/>
              </w:rPr>
            </w:pPr>
          </w:p>
        </w:tc>
        <w:tc>
          <w:tcPr>
            <w:tcW w:w="2527" w:type="dxa"/>
          </w:tcPr>
          <w:p w14:paraId="298EC45E" w14:textId="31F49157" w:rsidR="00CB732A" w:rsidRPr="00A3310F" w:rsidRDefault="00CB732A" w:rsidP="00AE29CB">
            <w:pPr>
              <w:rPr>
                <w:rFonts w:ascii="Arial Narrow" w:hAnsi="Arial Narrow"/>
                <w:sz w:val="20"/>
                <w:szCs w:val="20"/>
              </w:rPr>
            </w:pPr>
            <w:r w:rsidRPr="00A3310F">
              <w:rPr>
                <w:rFonts w:ascii="Arial Narrow" w:hAnsi="Arial Narrow"/>
                <w:sz w:val="20"/>
                <w:szCs w:val="20"/>
              </w:rPr>
              <w:t>mCRPC patients confirmed PSMA-positive</w:t>
            </w:r>
            <w:r>
              <w:rPr>
                <w:rFonts w:ascii="Arial Narrow" w:hAnsi="Arial Narrow"/>
                <w:sz w:val="20"/>
                <w:szCs w:val="20"/>
              </w:rPr>
              <w:t xml:space="preserve"> and suitable to</w:t>
            </w:r>
            <w:r w:rsidRPr="00A3310F">
              <w:rPr>
                <w:rFonts w:ascii="Arial Narrow" w:hAnsi="Arial Narrow"/>
                <w:sz w:val="20"/>
                <w:szCs w:val="20"/>
              </w:rPr>
              <w:t xml:space="preserve"> receive </w:t>
            </w:r>
            <w:r w:rsidRPr="00A3310F">
              <w:rPr>
                <w:rFonts w:ascii="Arial Narrow" w:hAnsi="Arial Narrow"/>
                <w:sz w:val="20"/>
                <w:szCs w:val="20"/>
                <w:vertAlign w:val="superscript"/>
              </w:rPr>
              <w:t>177</w:t>
            </w:r>
            <w:r w:rsidRPr="00A3310F">
              <w:rPr>
                <w:rFonts w:ascii="Arial Narrow" w:hAnsi="Arial Narrow"/>
                <w:sz w:val="20"/>
                <w:szCs w:val="20"/>
              </w:rPr>
              <w:t>Lu-PSMA-617.</w:t>
            </w:r>
          </w:p>
        </w:tc>
        <w:tc>
          <w:tcPr>
            <w:tcW w:w="5055" w:type="dxa"/>
            <w:gridSpan w:val="4"/>
          </w:tcPr>
          <w:p w14:paraId="65101F7D" w14:textId="4948BB4E" w:rsidR="00CB732A" w:rsidRPr="00A3310F" w:rsidRDefault="00CB732A" w:rsidP="00AE29CB">
            <w:pPr>
              <w:rPr>
                <w:rFonts w:ascii="Arial Narrow" w:hAnsi="Arial Narrow"/>
                <w:sz w:val="20"/>
                <w:szCs w:val="20"/>
              </w:rPr>
            </w:pPr>
            <w:r w:rsidRPr="00A3310F">
              <w:rPr>
                <w:rFonts w:ascii="Arial Narrow" w:hAnsi="Arial Narrow"/>
                <w:sz w:val="20"/>
                <w:szCs w:val="20"/>
              </w:rPr>
              <w:t xml:space="preserve">mCRPC patients who are not PSMA-positive </w:t>
            </w:r>
            <w:r>
              <w:rPr>
                <w:rFonts w:ascii="Arial Narrow" w:hAnsi="Arial Narrow"/>
                <w:sz w:val="20"/>
                <w:szCs w:val="20"/>
              </w:rPr>
              <w:t xml:space="preserve">or suitable for </w:t>
            </w:r>
            <w:r w:rsidRPr="00A3310F">
              <w:rPr>
                <w:rFonts w:ascii="Arial Narrow" w:hAnsi="Arial Narrow"/>
                <w:sz w:val="20"/>
                <w:szCs w:val="20"/>
                <w:vertAlign w:val="superscript"/>
              </w:rPr>
              <w:t>177</w:t>
            </w:r>
            <w:r>
              <w:rPr>
                <w:rFonts w:ascii="Arial Narrow" w:hAnsi="Arial Narrow"/>
                <w:sz w:val="20"/>
                <w:szCs w:val="20"/>
              </w:rPr>
              <w:t xml:space="preserve">Lu-PSMA-617 </w:t>
            </w:r>
            <w:r w:rsidRPr="00A3310F">
              <w:rPr>
                <w:rFonts w:ascii="Arial Narrow" w:hAnsi="Arial Narrow"/>
                <w:sz w:val="20"/>
                <w:szCs w:val="20"/>
              </w:rPr>
              <w:t>receive docetaxel</w:t>
            </w:r>
            <w:r>
              <w:rPr>
                <w:rFonts w:ascii="Arial Narrow" w:hAnsi="Arial Narrow"/>
                <w:sz w:val="20"/>
                <w:szCs w:val="20"/>
              </w:rPr>
              <w:t xml:space="preserve"> or palliative care</w:t>
            </w:r>
            <w:r w:rsidRPr="00A3310F">
              <w:rPr>
                <w:rFonts w:ascii="Arial Narrow" w:hAnsi="Arial Narrow"/>
                <w:sz w:val="20"/>
                <w:szCs w:val="20"/>
              </w:rPr>
              <w:t>.</w:t>
            </w:r>
          </w:p>
        </w:tc>
      </w:tr>
      <w:tr w:rsidR="00892813" w:rsidRPr="00A3310F" w14:paraId="72DAE88E" w14:textId="77777777">
        <w:tc>
          <w:tcPr>
            <w:tcW w:w="1905" w:type="dxa"/>
            <w:vMerge w:val="restart"/>
          </w:tcPr>
          <w:p w14:paraId="7546F19B" w14:textId="6F765742" w:rsidR="00CB732A" w:rsidRPr="00A3310F" w:rsidRDefault="00CB732A" w:rsidP="00AE29CB">
            <w:pPr>
              <w:rPr>
                <w:rFonts w:ascii="Arial Narrow" w:hAnsi="Arial Narrow"/>
                <w:sz w:val="20"/>
                <w:szCs w:val="20"/>
              </w:rPr>
            </w:pPr>
            <w:r>
              <w:rPr>
                <w:rFonts w:ascii="Arial Narrow" w:hAnsi="Arial Narrow"/>
                <w:sz w:val="20"/>
                <w:szCs w:val="20"/>
              </w:rPr>
              <w:t xml:space="preserve">Treatment </w:t>
            </w:r>
          </w:p>
        </w:tc>
        <w:tc>
          <w:tcPr>
            <w:tcW w:w="2527" w:type="dxa"/>
          </w:tcPr>
          <w:p w14:paraId="3DAFC9AF" w14:textId="503192C5" w:rsidR="00CB732A" w:rsidRPr="00A3310F" w:rsidRDefault="00CB732A" w:rsidP="00AE29CB">
            <w:pPr>
              <w:rPr>
                <w:rFonts w:ascii="Arial Narrow" w:hAnsi="Arial Narrow"/>
                <w:sz w:val="20"/>
                <w:szCs w:val="20"/>
              </w:rPr>
            </w:pPr>
            <w:r w:rsidRPr="00A17A2E">
              <w:rPr>
                <w:rFonts w:ascii="Arial Narrow" w:hAnsi="Arial Narrow"/>
                <w:sz w:val="20"/>
                <w:szCs w:val="20"/>
                <w:vertAlign w:val="superscript"/>
              </w:rPr>
              <w:t>177</w:t>
            </w:r>
            <w:r>
              <w:rPr>
                <w:rFonts w:ascii="Arial Narrow" w:hAnsi="Arial Narrow"/>
                <w:sz w:val="20"/>
                <w:szCs w:val="20"/>
              </w:rPr>
              <w:t xml:space="preserve">Lu-PSMA-617 reimbursed via a radiopharmaceutical fund that is </w:t>
            </w:r>
            <w:r w:rsidRPr="00A3310F">
              <w:rPr>
                <w:rFonts w:ascii="Arial Narrow" w:hAnsi="Arial Narrow"/>
                <w:sz w:val="20"/>
                <w:szCs w:val="20"/>
              </w:rPr>
              <w:t>independent of MBS</w:t>
            </w:r>
            <w:r>
              <w:rPr>
                <w:rFonts w:ascii="Arial Narrow" w:hAnsi="Arial Narrow"/>
                <w:sz w:val="20"/>
                <w:szCs w:val="20"/>
              </w:rPr>
              <w:t>.</w:t>
            </w:r>
          </w:p>
        </w:tc>
        <w:tc>
          <w:tcPr>
            <w:tcW w:w="5055" w:type="dxa"/>
            <w:gridSpan w:val="4"/>
          </w:tcPr>
          <w:p w14:paraId="1BD91A84" w14:textId="12BC787C" w:rsidR="00CB732A" w:rsidRPr="00A3310F" w:rsidRDefault="00CB732A" w:rsidP="00AE29CB">
            <w:pPr>
              <w:rPr>
                <w:rFonts w:ascii="Arial Narrow" w:hAnsi="Arial Narrow"/>
                <w:sz w:val="20"/>
                <w:szCs w:val="20"/>
              </w:rPr>
            </w:pPr>
            <w:r w:rsidRPr="00A3310F">
              <w:rPr>
                <w:rFonts w:ascii="Arial Narrow" w:hAnsi="Arial Narrow"/>
                <w:sz w:val="20"/>
                <w:szCs w:val="20"/>
              </w:rPr>
              <w:t>No change to existing</w:t>
            </w:r>
            <w:r>
              <w:rPr>
                <w:rFonts w:ascii="Arial Narrow" w:hAnsi="Arial Narrow"/>
                <w:sz w:val="20"/>
                <w:szCs w:val="20"/>
              </w:rPr>
              <w:t xml:space="preserve"> MBS/PBS</w:t>
            </w:r>
            <w:r w:rsidRPr="00A3310F">
              <w:rPr>
                <w:rFonts w:ascii="Arial Narrow" w:hAnsi="Arial Narrow"/>
                <w:sz w:val="20"/>
                <w:szCs w:val="20"/>
              </w:rPr>
              <w:t xml:space="preserve"> </w:t>
            </w:r>
            <w:r>
              <w:rPr>
                <w:rFonts w:ascii="Arial Narrow" w:hAnsi="Arial Narrow"/>
                <w:sz w:val="20"/>
                <w:szCs w:val="20"/>
              </w:rPr>
              <w:t>funded access for docetaxel or palliative care.</w:t>
            </w:r>
          </w:p>
        </w:tc>
      </w:tr>
      <w:tr w:rsidR="005A0924" w:rsidRPr="0036577E" w14:paraId="28D0959B" w14:textId="77777777" w:rsidTr="00AE29CB">
        <w:tc>
          <w:tcPr>
            <w:tcW w:w="1905" w:type="dxa"/>
            <w:vMerge/>
          </w:tcPr>
          <w:p w14:paraId="2DED3E0A" w14:textId="0F92459E" w:rsidR="00CB732A" w:rsidRPr="0036577E" w:rsidRDefault="00CB732A" w:rsidP="00AE29CB">
            <w:pPr>
              <w:rPr>
                <w:rFonts w:ascii="Arial Narrow" w:hAnsi="Arial Narrow"/>
                <w:sz w:val="20"/>
                <w:szCs w:val="20"/>
              </w:rPr>
            </w:pPr>
          </w:p>
        </w:tc>
        <w:tc>
          <w:tcPr>
            <w:tcW w:w="2527" w:type="dxa"/>
          </w:tcPr>
          <w:p w14:paraId="0171CF37" w14:textId="11E03342" w:rsidR="00CB732A" w:rsidRPr="0036577E" w:rsidRDefault="00CB732A" w:rsidP="00AE29CB">
            <w:pPr>
              <w:rPr>
                <w:rFonts w:ascii="Arial Narrow" w:hAnsi="Arial Narrow"/>
                <w:sz w:val="20"/>
                <w:szCs w:val="20"/>
              </w:rPr>
            </w:pPr>
            <w:r w:rsidRPr="0036577E">
              <w:rPr>
                <w:rFonts w:ascii="Arial Narrow" w:hAnsi="Arial Narrow"/>
                <w:sz w:val="20"/>
                <w:szCs w:val="20"/>
              </w:rPr>
              <w:t xml:space="preserve">An increased number of mCRPC patients treated with </w:t>
            </w:r>
            <w:r w:rsidRPr="0036577E">
              <w:rPr>
                <w:rFonts w:ascii="Arial Narrow" w:hAnsi="Arial Narrow"/>
                <w:sz w:val="20"/>
                <w:szCs w:val="20"/>
                <w:vertAlign w:val="superscript"/>
              </w:rPr>
              <w:t>177</w:t>
            </w:r>
            <w:r w:rsidRPr="0036577E">
              <w:rPr>
                <w:rFonts w:ascii="Arial Narrow" w:hAnsi="Arial Narrow"/>
                <w:sz w:val="20"/>
                <w:szCs w:val="20"/>
              </w:rPr>
              <w:t>Lu-PSMA-617 in the first line setting.</w:t>
            </w:r>
          </w:p>
        </w:tc>
        <w:tc>
          <w:tcPr>
            <w:tcW w:w="2527" w:type="dxa"/>
            <w:gridSpan w:val="3"/>
          </w:tcPr>
          <w:p w14:paraId="12048D9B" w14:textId="611B3634" w:rsidR="00CB732A" w:rsidRPr="0036577E" w:rsidRDefault="00CB732A" w:rsidP="00AE29CB">
            <w:pPr>
              <w:rPr>
                <w:rFonts w:ascii="Arial Narrow" w:hAnsi="Arial Narrow"/>
                <w:sz w:val="20"/>
                <w:szCs w:val="20"/>
              </w:rPr>
            </w:pPr>
            <w:r w:rsidRPr="0036577E">
              <w:rPr>
                <w:rFonts w:ascii="Arial Narrow" w:hAnsi="Arial Narrow"/>
                <w:sz w:val="20"/>
                <w:szCs w:val="20"/>
              </w:rPr>
              <w:t>Fewer patients treated with docetaxel in the first line.</w:t>
            </w:r>
          </w:p>
        </w:tc>
        <w:tc>
          <w:tcPr>
            <w:tcW w:w="2528" w:type="dxa"/>
          </w:tcPr>
          <w:p w14:paraId="062732B2" w14:textId="6BFB50D0" w:rsidR="00CB732A" w:rsidRPr="0036577E" w:rsidRDefault="00CB732A" w:rsidP="00AE29CB">
            <w:pPr>
              <w:rPr>
                <w:rFonts w:ascii="Arial Narrow" w:hAnsi="Arial Narrow"/>
                <w:sz w:val="20"/>
                <w:szCs w:val="20"/>
              </w:rPr>
            </w:pPr>
            <w:r w:rsidRPr="0036577E">
              <w:rPr>
                <w:rFonts w:ascii="Arial Narrow" w:hAnsi="Arial Narrow"/>
                <w:sz w:val="20"/>
                <w:szCs w:val="20"/>
              </w:rPr>
              <w:t>Fewer patients receive palliative care in the first line.</w:t>
            </w:r>
          </w:p>
        </w:tc>
      </w:tr>
    </w:tbl>
    <w:p w14:paraId="555A43E4" w14:textId="77777777" w:rsidR="00347FD5" w:rsidRDefault="00347FD5" w:rsidP="00347FD5"/>
    <w:p w14:paraId="224DB191" w14:textId="77777777" w:rsidR="00DB26ED" w:rsidRDefault="00DB26ED" w:rsidP="00347FD5"/>
    <w:p w14:paraId="2BE17ED5" w14:textId="0F1E92FD" w:rsidR="00F16239" w:rsidRPr="0089269F" w:rsidRDefault="00EA0AA0" w:rsidP="00BF4BAA">
      <w:pPr>
        <w:pStyle w:val="Heading2"/>
        <w:rPr>
          <w:sz w:val="24"/>
          <w:szCs w:val="24"/>
          <w:u w:val="single"/>
        </w:rPr>
      </w:pPr>
      <w:r w:rsidRPr="0089269F">
        <w:rPr>
          <w:sz w:val="24"/>
          <w:szCs w:val="24"/>
          <w:u w:val="single"/>
        </w:rPr>
        <w:t>CLINICAL MANAGEMENT AFTER THE USE OF HEALTH TECHNOLOGY</w:t>
      </w:r>
    </w:p>
    <w:p w14:paraId="3017C87B" w14:textId="631F5EC6" w:rsidR="00F16239" w:rsidRPr="00A86A86" w:rsidRDefault="00F16239" w:rsidP="002D2EB5">
      <w:pPr>
        <w:pStyle w:val="Heading2"/>
      </w:pPr>
      <w:r w:rsidRPr="00A86A86">
        <w:t>Define and summarise the clinical management algorithm, including any required tests or healthcare resources, after the use of the proposed health technology:</w:t>
      </w:r>
    </w:p>
    <w:p w14:paraId="5C0DF097" w14:textId="075842A2" w:rsidR="00791293" w:rsidRDefault="001526CF" w:rsidP="001526CF">
      <w:r>
        <w:t xml:space="preserve">Patients will be informed about the necessary precautions to take following treatment with </w:t>
      </w:r>
      <w:r w:rsidRPr="001526CF">
        <w:rPr>
          <w:vertAlign w:val="superscript"/>
        </w:rPr>
        <w:t>177</w:t>
      </w:r>
      <w:r>
        <w:t xml:space="preserve">Lu-PSMA-617 in line with the </w:t>
      </w:r>
      <w:r w:rsidRPr="0036577E">
        <w:t>Product Information</w:t>
      </w:r>
      <w:r>
        <w:t xml:space="preserve">. The </w:t>
      </w:r>
      <w:r w:rsidR="00A45D94">
        <w:t>patient’s managing</w:t>
      </w:r>
      <w:r>
        <w:t xml:space="preserve"> </w:t>
      </w:r>
      <w:r w:rsidR="00135661">
        <w:t>physicians</w:t>
      </w:r>
      <w:r w:rsidR="00A45D94">
        <w:t>(s) will closely monitor and follow-up with the patient to assess toxicity and disease progression. This may include imaging and laboratory testing to assess PSA levels</w:t>
      </w:r>
      <w:r w:rsidR="00F05320">
        <w:t xml:space="preserve"> or radiographic progression</w:t>
      </w:r>
      <w:r w:rsidR="00BF0DC3">
        <w:t xml:space="preserve">. </w:t>
      </w:r>
      <w:r w:rsidR="00BF0DC3" w:rsidRPr="00BF0DC3">
        <w:t xml:space="preserve">Quantitative post-treatment imaging (e.g., </w:t>
      </w:r>
      <w:r w:rsidR="00F05320">
        <w:t xml:space="preserve">PET/CT, </w:t>
      </w:r>
      <w:r w:rsidR="00C01A16">
        <w:t>single-photon emission computed tomography</w:t>
      </w:r>
      <w:r w:rsidR="00C01A16" w:rsidRPr="00BF0DC3">
        <w:t xml:space="preserve"> </w:t>
      </w:r>
      <w:r w:rsidR="00C01A16">
        <w:t>[</w:t>
      </w:r>
      <w:r w:rsidR="00BF0DC3" w:rsidRPr="00BF0DC3">
        <w:t>SPECT</w:t>
      </w:r>
      <w:r w:rsidR="00890807">
        <w:t>]</w:t>
      </w:r>
      <w:r w:rsidR="00BF0DC3" w:rsidRPr="00BF0DC3">
        <w:t xml:space="preserve">) may be used by clinicians to assess response to treatment. The current MBS item descriptors for treatment with </w:t>
      </w:r>
      <w:r w:rsidR="00BF0DC3" w:rsidRPr="00BF0DC3">
        <w:rPr>
          <w:vertAlign w:val="superscript"/>
        </w:rPr>
        <w:t>177</w:t>
      </w:r>
      <w:r w:rsidR="00BF0DC3" w:rsidRPr="00BF0DC3">
        <w:t xml:space="preserve">Lu-PSMA-617 include follow-up SPECT scan within 36 hours (16050 and 16055). </w:t>
      </w:r>
      <w:r w:rsidR="0036577E">
        <w:t xml:space="preserve">This was not a requirement in the pivotal </w:t>
      </w:r>
      <w:r w:rsidR="00BA08C7">
        <w:t xml:space="preserve">clinical trials for </w:t>
      </w:r>
      <w:r w:rsidR="00BA08C7" w:rsidRPr="00034FB3">
        <w:rPr>
          <w:vertAlign w:val="superscript"/>
        </w:rPr>
        <w:t>177</w:t>
      </w:r>
      <w:r w:rsidR="00BA08C7">
        <w:t>Lu-PSMA-617 (</w:t>
      </w:r>
      <w:proofErr w:type="spellStart"/>
      <w:r w:rsidR="00BA08C7">
        <w:t>PSMAfore</w:t>
      </w:r>
      <w:proofErr w:type="spellEnd"/>
      <w:r w:rsidR="00BA08C7">
        <w:t xml:space="preserve"> and VISION). </w:t>
      </w:r>
      <w:r w:rsidR="00BF0DC3" w:rsidRPr="00BF0DC3">
        <w:t xml:space="preserve">The requirement for post-treatment </w:t>
      </w:r>
      <w:r w:rsidR="00BF0DC3">
        <w:t>imaging</w:t>
      </w:r>
      <w:r w:rsidR="00BF0DC3" w:rsidRPr="00BF0DC3">
        <w:t xml:space="preserve"> should be based on clinical practice, need and feasibility.</w:t>
      </w:r>
      <w:r w:rsidR="006D693E">
        <w:t xml:space="preserve"> </w:t>
      </w:r>
    </w:p>
    <w:p w14:paraId="6C2ADE15" w14:textId="13695027" w:rsidR="00962337" w:rsidRPr="00EB16E8" w:rsidRDefault="006D693E" w:rsidP="001526CF">
      <w:r>
        <w:t>Disease progression is defined as</w:t>
      </w:r>
      <w:r w:rsidR="0013662A">
        <w:t xml:space="preserve"> </w:t>
      </w:r>
      <w:r w:rsidR="005032B7">
        <w:t>a rise in PSA of &gt; 2 ng/mL confirmed by two tests a minimum of two weeks apart, and/or evidence of new soft tissue or bone metastases on diagnostic imaging as per established guidelines.</w:t>
      </w:r>
      <w:r w:rsidR="0013662A">
        <w:t xml:space="preserve"> </w:t>
      </w:r>
      <w:r w:rsidR="001928B8">
        <w:t>As such, p</w:t>
      </w:r>
      <w:r w:rsidR="00B106A9">
        <w:t xml:space="preserve">athology </w:t>
      </w:r>
      <w:r w:rsidR="001928B8">
        <w:t xml:space="preserve">and/or imaging </w:t>
      </w:r>
      <w:r w:rsidR="00B106A9">
        <w:t xml:space="preserve">would be required to determine eligibility for subsequent treatment with </w:t>
      </w:r>
      <w:r w:rsidR="00B106A9" w:rsidRPr="00B106A9">
        <w:rPr>
          <w:vertAlign w:val="superscript"/>
        </w:rPr>
        <w:t>177</w:t>
      </w:r>
      <w:r w:rsidR="00B106A9">
        <w:t>Lu-PSMA-617.</w:t>
      </w:r>
    </w:p>
    <w:p w14:paraId="09165252" w14:textId="69360128" w:rsidR="00F16239" w:rsidRPr="00A86A86" w:rsidRDefault="00F16239" w:rsidP="002D2EB5">
      <w:pPr>
        <w:pStyle w:val="Heading2"/>
      </w:pPr>
      <w:r w:rsidRPr="00A86A86">
        <w:t>Define and summarise the clinical management algorithm, including any required tests or healthcare resources, after the use of the comparator health technology:</w:t>
      </w:r>
    </w:p>
    <w:p w14:paraId="0A502521" w14:textId="199F1211" w:rsidR="00962337" w:rsidRDefault="00BF0DC3" w:rsidP="00BC0C43">
      <w:r>
        <w:t xml:space="preserve">Patients </w:t>
      </w:r>
      <w:r w:rsidR="00F10C71">
        <w:t xml:space="preserve">treated with docetaxel </w:t>
      </w:r>
      <w:r>
        <w:t xml:space="preserve">will be informed about the necessary precautions </w:t>
      </w:r>
      <w:r w:rsidR="00157764">
        <w:t>that must be taken</w:t>
      </w:r>
      <w:r>
        <w:t xml:space="preserve"> following treatment</w:t>
      </w:r>
      <w:r w:rsidR="00F10C71">
        <w:t xml:space="preserve">, </w:t>
      </w:r>
      <w:r>
        <w:t>in line with chemotherapy safety and Product Information. The patient’s managing physician(s) will closely monitor and follow-up with the patient to assess toxicity and disease progression. This may include laboratory testing to monitor blood cell count and PSA levels.</w:t>
      </w:r>
    </w:p>
    <w:p w14:paraId="20DE55DA" w14:textId="447C615B" w:rsidR="00F10C71" w:rsidRPr="00EB16E8" w:rsidRDefault="00F10C71" w:rsidP="00BC0C43">
      <w:r>
        <w:t xml:space="preserve">Patients receiving palliative care will be supported by a </w:t>
      </w:r>
      <w:r w:rsidR="00A72EFB">
        <w:t>MDT</w:t>
      </w:r>
      <w:r>
        <w:t xml:space="preserve"> of professionals including but not limited to medical professionals, support workers and volunteers.</w:t>
      </w:r>
    </w:p>
    <w:p w14:paraId="5C871695" w14:textId="78E78F7F" w:rsidR="00F16239" w:rsidRPr="00A86A86" w:rsidRDefault="00F16239" w:rsidP="002D2EB5">
      <w:pPr>
        <w:pStyle w:val="Heading2"/>
      </w:pPr>
      <w:r w:rsidRPr="00A86A86">
        <w:lastRenderedPageBreak/>
        <w:t>Describe and explain any differences in the healthcare resources used after the proposed health technology vs. the comparator health technology:</w:t>
      </w:r>
    </w:p>
    <w:p w14:paraId="5A560FEC" w14:textId="170CBEE9" w:rsidR="00671840" w:rsidRDefault="00F10C71" w:rsidP="00BC0C43">
      <w:r w:rsidRPr="00F10C71">
        <w:rPr>
          <w:vertAlign w:val="superscript"/>
        </w:rPr>
        <w:t>177</w:t>
      </w:r>
      <w:r>
        <w:t xml:space="preserve">Lu-PSMA-617, docetaxel and palliative care require routine follow-up and monitoring from </w:t>
      </w:r>
      <w:r w:rsidR="005E6C20">
        <w:t xml:space="preserve">various healthcare professionals (e.g., laboratory tests, follow-up appointments, imaging, </w:t>
      </w:r>
      <w:r>
        <w:t xml:space="preserve">pain management, </w:t>
      </w:r>
      <w:r w:rsidR="00DB3BB8">
        <w:t xml:space="preserve">wellbeing support, </w:t>
      </w:r>
      <w:r w:rsidR="005E6C20">
        <w:t xml:space="preserve">etc.). </w:t>
      </w:r>
      <w:r w:rsidR="00671840">
        <w:t xml:space="preserve">Patients treated with </w:t>
      </w:r>
      <w:r w:rsidR="00671840" w:rsidRPr="00671840">
        <w:rPr>
          <w:vertAlign w:val="superscript"/>
        </w:rPr>
        <w:t>177</w:t>
      </w:r>
      <w:r w:rsidR="00671840">
        <w:t xml:space="preserve">Lu-PSMA-617 may </w:t>
      </w:r>
      <w:r w:rsidR="005E6C20">
        <w:t xml:space="preserve">also </w:t>
      </w:r>
      <w:r w:rsidR="00671840">
        <w:t>have q</w:t>
      </w:r>
      <w:r w:rsidR="00671840" w:rsidRPr="00BF0DC3">
        <w:t>uantitative post-treatment imaging (e.g., SPECT/CT)</w:t>
      </w:r>
      <w:r w:rsidR="00671840">
        <w:t xml:space="preserve"> to evaluate response to treatment.</w:t>
      </w:r>
    </w:p>
    <w:p w14:paraId="5574CCE6" w14:textId="562A47EE" w:rsidR="003B5CCD" w:rsidRPr="00A86A86" w:rsidRDefault="00364572" w:rsidP="002D2EB5">
      <w:pPr>
        <w:pStyle w:val="Heading2"/>
      </w:pPr>
      <w:r w:rsidRPr="00A86A86">
        <w:t xml:space="preserve">Insert </w:t>
      </w:r>
      <w:r w:rsidR="00545A4C" w:rsidRPr="00A86A86">
        <w:t>diagrams demonstrating the clinical management algorithm with and without the proposed health technology:</w:t>
      </w:r>
    </w:p>
    <w:p w14:paraId="16B26D7F" w14:textId="1C197B90" w:rsidR="005E6C20" w:rsidRDefault="00F45552" w:rsidP="00BC0C43">
      <w:r w:rsidRPr="00444B0A">
        <w:t xml:space="preserve">Figure </w:t>
      </w:r>
      <w:r w:rsidR="0066587C">
        <w:t>5</w:t>
      </w:r>
      <w:r w:rsidRPr="00444B0A">
        <w:t xml:space="preserve"> illustrates the current clinical management algorithm for patients with mCRPC without</w:t>
      </w:r>
      <w:r w:rsidR="00DB3BB8" w:rsidRPr="00444B0A">
        <w:t xml:space="preserve"> the</w:t>
      </w:r>
      <w:r w:rsidRPr="00444B0A">
        <w:t xml:space="preserve"> proposed treatment. Figure </w:t>
      </w:r>
      <w:r w:rsidR="0066587C">
        <w:t>6</w:t>
      </w:r>
      <w:r w:rsidRPr="00444B0A">
        <w:t xml:space="preserve"> illustrates</w:t>
      </w:r>
      <w:r>
        <w:t xml:space="preserve"> the proposed clinical management algorithm for patients with mCRPC with the proposed treatment.</w:t>
      </w:r>
    </w:p>
    <w:p w14:paraId="2127353D" w14:textId="77777777" w:rsidR="00F75E29" w:rsidRPr="00EB16E8" w:rsidRDefault="00F75E29" w:rsidP="00BC0C43"/>
    <w:p w14:paraId="2893A3BD" w14:textId="5B22B123" w:rsidR="00A44C47" w:rsidRPr="00EB16E8" w:rsidRDefault="00644F8D" w:rsidP="00DB3F08">
      <w:pPr>
        <w:jc w:val="center"/>
      </w:pPr>
      <w:r>
        <w:rPr>
          <w:noProof/>
        </w:rPr>
        <w:drawing>
          <wp:inline distT="0" distB="0" distL="0" distR="0" wp14:anchorId="71330EDD" wp14:editId="311D2A15">
            <wp:extent cx="5467350" cy="3363756"/>
            <wp:effectExtent l="0" t="0" r="0" b="8255"/>
            <wp:docPr id="1748675714" name="Picture 2" descr="flow chart showing treatment algorithm for patients with mCRP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75714" name="Picture 2" descr="flow chart showing treatment algorithm for patients with mCRPC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8861" cy="3370838"/>
                    </a:xfrm>
                    <a:prstGeom prst="rect">
                      <a:avLst/>
                    </a:prstGeom>
                    <a:noFill/>
                  </pic:spPr>
                </pic:pic>
              </a:graphicData>
            </a:graphic>
          </wp:inline>
        </w:drawing>
      </w:r>
    </w:p>
    <w:p w14:paraId="3CCE4805" w14:textId="4EABDF61" w:rsidR="00D274B7" w:rsidRPr="00F45E36" w:rsidRDefault="00D274B7" w:rsidP="00D274B7">
      <w:pPr>
        <w:pStyle w:val="Captions"/>
      </w:pPr>
      <w:r w:rsidRPr="00F03AF3">
        <w:t xml:space="preserve">Figure </w:t>
      </w:r>
      <w:r w:rsidR="00023E55">
        <w:t>5</w:t>
      </w:r>
      <w:r>
        <w:tab/>
      </w:r>
      <w:r>
        <w:tab/>
        <w:t>Current treatment algorithm for mCRPC</w:t>
      </w:r>
    </w:p>
    <w:p w14:paraId="0FCB6FB6" w14:textId="37234879" w:rsidR="00A44C47" w:rsidRPr="00EB16E8" w:rsidRDefault="00A72EFB" w:rsidP="00C37E81">
      <w:pPr>
        <w:pStyle w:val="NovartisFootnotes"/>
      </w:pPr>
      <w:r>
        <w:t>Abbreviations:</w:t>
      </w:r>
      <w:r w:rsidR="002D76AD">
        <w:t xml:space="preserve"> ADT, androgen deprivation therapy;</w:t>
      </w:r>
      <w:r w:rsidR="00C37E81">
        <w:t xml:space="preserve"> ARPI, androgen receptor pathway inhibitor;</w:t>
      </w:r>
      <w:r>
        <w:t xml:space="preserve"> mCRPC, metastatic castration-resistant prostate cancer; PSMA, prostate-specific membrane antigen; PET, pos</w:t>
      </w:r>
      <w:r w:rsidR="002D76AD">
        <w:t>itron emission tomography</w:t>
      </w:r>
    </w:p>
    <w:p w14:paraId="4E9D084A" w14:textId="77777777" w:rsidR="00A44C47" w:rsidRDefault="00A44C47" w:rsidP="00BC0C43"/>
    <w:p w14:paraId="6F78579A" w14:textId="77777777" w:rsidR="00DB26ED" w:rsidRPr="00EB16E8" w:rsidRDefault="00DB26ED" w:rsidP="00BC0C43"/>
    <w:p w14:paraId="156155FD" w14:textId="44449AE7" w:rsidR="00A44C47" w:rsidRPr="00EB16E8" w:rsidRDefault="000E0946" w:rsidP="00644F8D">
      <w:r>
        <w:rPr>
          <w:noProof/>
        </w:rPr>
        <w:lastRenderedPageBreak/>
        <w:drawing>
          <wp:inline distT="0" distB="0" distL="0" distR="0" wp14:anchorId="24CCDA7B" wp14:editId="6CF0A817">
            <wp:extent cx="6257238" cy="2952750"/>
            <wp:effectExtent l="0" t="0" r="0" b="0"/>
            <wp:docPr id="605135153" name="Picture 1" descr="flow chart showing treatment algorithm for patients with mCRPC including lutetium as an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35153" name="Picture 1" descr="flow chart showing treatment algorithm for patients with mCRPC including lutetium as an op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63532" cy="2955720"/>
                    </a:xfrm>
                    <a:prstGeom prst="rect">
                      <a:avLst/>
                    </a:prstGeom>
                    <a:noFill/>
                  </pic:spPr>
                </pic:pic>
              </a:graphicData>
            </a:graphic>
          </wp:inline>
        </w:drawing>
      </w:r>
    </w:p>
    <w:p w14:paraId="776A79B4" w14:textId="0D2D4BBF" w:rsidR="00D274B7" w:rsidRPr="00F45E36" w:rsidRDefault="00D274B7" w:rsidP="00D274B7">
      <w:pPr>
        <w:pStyle w:val="Captions"/>
      </w:pPr>
      <w:r w:rsidRPr="00F03AF3">
        <w:t xml:space="preserve">Figure </w:t>
      </w:r>
      <w:r w:rsidR="00023E55">
        <w:t>6</w:t>
      </w:r>
      <w:r>
        <w:tab/>
      </w:r>
      <w:r>
        <w:tab/>
        <w:t>Proposed treatment algorithm for mCRPC</w:t>
      </w:r>
    </w:p>
    <w:p w14:paraId="3BFF46AB" w14:textId="77777777" w:rsidR="00C37E81" w:rsidRPr="00EB16E8" w:rsidRDefault="00C37E81" w:rsidP="00C37E81">
      <w:pPr>
        <w:pStyle w:val="NovartisFootnotes"/>
      </w:pPr>
      <w:r>
        <w:t>Abbreviations: ADT, androgen deprivation therapy; ARPI, androgen receptor pathway inhibitor; mCRPC, metastatic castration-resistant prostate cancer; PSMA, prostate-specific membrane antigen; PET, positron emission tomography</w:t>
      </w:r>
    </w:p>
    <w:p w14:paraId="003F10CA" w14:textId="77777777" w:rsidR="00A44C47" w:rsidRPr="00EB16E8" w:rsidRDefault="00A44C47" w:rsidP="00BC0C43"/>
    <w:p w14:paraId="154DDFA0" w14:textId="77777777" w:rsidR="00DB26ED" w:rsidRDefault="00DB26ED">
      <w:pPr>
        <w:spacing w:after="160" w:line="259" w:lineRule="auto"/>
        <w:rPr>
          <w:b/>
          <w:bCs/>
          <w:color w:val="002060"/>
          <w:sz w:val="32"/>
          <w:szCs w:val="32"/>
        </w:rPr>
      </w:pPr>
      <w:r>
        <w:rPr>
          <w:color w:val="002060"/>
        </w:rPr>
        <w:br w:type="page"/>
      </w:r>
    </w:p>
    <w:p w14:paraId="5C94C69B" w14:textId="76C59764" w:rsidR="004A45BE" w:rsidRPr="00A84BCA" w:rsidRDefault="004A45BE" w:rsidP="00EA0AA0">
      <w:pPr>
        <w:pStyle w:val="Heading1"/>
        <w:rPr>
          <w:color w:val="002060"/>
        </w:rPr>
      </w:pPr>
      <w:r w:rsidRPr="00A84BCA">
        <w:rPr>
          <w:color w:val="002060"/>
        </w:rPr>
        <w:lastRenderedPageBreak/>
        <w:t>Claims</w:t>
      </w:r>
    </w:p>
    <w:p w14:paraId="022C40EC" w14:textId="77777777" w:rsidR="00361BBE" w:rsidRDefault="004A45BE" w:rsidP="002D2EB5">
      <w:pPr>
        <w:pStyle w:val="Heading2"/>
      </w:pPr>
      <w:bookmarkStart w:id="17" w:name="_Hlk121218597"/>
      <w:r w:rsidRPr="00A86A86">
        <w:t xml:space="preserve">In terms of health outcomes (comparative benefits and harms), is the proposed technology claimed to be superior, non-inferior or inferior to the comparator(s)? </w:t>
      </w:r>
    </w:p>
    <w:p w14:paraId="4074C125" w14:textId="4C4B98E8" w:rsidR="003A19C9" w:rsidRPr="003A19C9" w:rsidRDefault="003A19C9" w:rsidP="003A19C9">
      <w:pPr>
        <w:rPr>
          <w:b/>
          <w:bCs/>
        </w:rPr>
      </w:pPr>
      <w:r w:rsidRPr="003A19C9">
        <w:rPr>
          <w:b/>
          <w:bCs/>
        </w:rPr>
        <w:t>Efficacy</w:t>
      </w:r>
      <w:r>
        <w:rPr>
          <w:b/>
          <w:bCs/>
        </w:rPr>
        <w:t>:</w:t>
      </w:r>
    </w:p>
    <w:p w14:paraId="4457EC74" w14:textId="77777777" w:rsidR="003A19C9" w:rsidRPr="0089269F" w:rsidRDefault="003A19C9" w:rsidP="003A19C9">
      <w:pPr>
        <w:pStyle w:val="Tickboxes"/>
        <w:rPr>
          <w:sz w:val="24"/>
          <w:szCs w:val="24"/>
        </w:rPr>
      </w:pPr>
      <w:r>
        <w:rPr>
          <w:sz w:val="24"/>
          <w:szCs w:val="24"/>
        </w:rPr>
        <w:fldChar w:fldCharType="begin">
          <w:ffData>
            <w:name w:val="Check1"/>
            <w:enabled/>
            <w:calcOnExit w:val="0"/>
            <w:statusText w:type="text" w:val="Health outcomes superior"/>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89269F">
        <w:rPr>
          <w:sz w:val="24"/>
          <w:szCs w:val="24"/>
        </w:rPr>
        <w:t xml:space="preserve"> Superior </w:t>
      </w:r>
    </w:p>
    <w:p w14:paraId="7C170012" w14:textId="77777777" w:rsidR="003A19C9" w:rsidRPr="0089269F" w:rsidRDefault="003A19C9" w:rsidP="003A19C9">
      <w:pPr>
        <w:pStyle w:val="Tickboxes"/>
        <w:rPr>
          <w:sz w:val="24"/>
          <w:szCs w:val="24"/>
        </w:rPr>
      </w:pPr>
      <w:r>
        <w:rPr>
          <w:sz w:val="24"/>
          <w:szCs w:val="24"/>
        </w:rPr>
        <w:fldChar w:fldCharType="begin">
          <w:ffData>
            <w:name w:val="Check2"/>
            <w:enabled/>
            <w:calcOnExit w:val="0"/>
            <w:statusText w:type="text" w:val="Health outcomes non-inferi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89269F">
        <w:rPr>
          <w:sz w:val="24"/>
          <w:szCs w:val="24"/>
        </w:rPr>
        <w:t xml:space="preserve"> Non-inferior</w:t>
      </w:r>
    </w:p>
    <w:p w14:paraId="196A9BE4" w14:textId="77777777" w:rsidR="003A19C9" w:rsidRPr="0089269F" w:rsidRDefault="003A19C9" w:rsidP="003A19C9">
      <w:pPr>
        <w:pStyle w:val="Tickboxes"/>
        <w:rPr>
          <w:sz w:val="24"/>
          <w:szCs w:val="24"/>
        </w:rPr>
      </w:pPr>
      <w:r>
        <w:rPr>
          <w:sz w:val="24"/>
          <w:szCs w:val="24"/>
        </w:rPr>
        <w:fldChar w:fldCharType="begin">
          <w:ffData>
            <w:name w:val=""/>
            <w:enabled/>
            <w:calcOnExit w:val="0"/>
            <w:statusText w:type="text" w:val="Health outcomes inferi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89269F">
        <w:rPr>
          <w:sz w:val="24"/>
          <w:szCs w:val="24"/>
        </w:rPr>
        <w:t xml:space="preserve"> Inferior </w:t>
      </w:r>
    </w:p>
    <w:p w14:paraId="2782F16C" w14:textId="0B35D633" w:rsidR="003A19C9" w:rsidRPr="003A19C9" w:rsidRDefault="003A19C9" w:rsidP="003A19C9">
      <w:pPr>
        <w:rPr>
          <w:b/>
          <w:bCs/>
        </w:rPr>
      </w:pPr>
      <w:r w:rsidRPr="003A19C9">
        <w:rPr>
          <w:b/>
          <w:bCs/>
        </w:rPr>
        <w:t>Safety</w:t>
      </w:r>
      <w:r>
        <w:rPr>
          <w:b/>
          <w:bCs/>
        </w:rPr>
        <w:t>:</w:t>
      </w:r>
    </w:p>
    <w:p w14:paraId="137243BD" w14:textId="58F50EF4" w:rsidR="004209FC" w:rsidRPr="0089269F" w:rsidRDefault="003A19C9" w:rsidP="00582377">
      <w:pPr>
        <w:pStyle w:val="Tickboxes"/>
        <w:rPr>
          <w:sz w:val="24"/>
          <w:szCs w:val="24"/>
        </w:rPr>
      </w:pPr>
      <w:r>
        <w:rPr>
          <w:sz w:val="24"/>
          <w:szCs w:val="24"/>
        </w:rPr>
        <w:fldChar w:fldCharType="begin">
          <w:ffData>
            <w:name w:val="Check1"/>
            <w:enabled/>
            <w:calcOnExit w:val="0"/>
            <w:statusText w:type="text" w:val="Health outcomes superior"/>
            <w:checkBox>
              <w:sizeAuto/>
              <w:default w:val="0"/>
            </w:checkBox>
          </w:ffData>
        </w:fldChar>
      </w:r>
      <w:bookmarkStart w:id="18"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8"/>
      <w:r w:rsidR="004209FC" w:rsidRPr="0089269F">
        <w:rPr>
          <w:sz w:val="24"/>
          <w:szCs w:val="24"/>
        </w:rPr>
        <w:t xml:space="preserve"> Superior </w:t>
      </w:r>
    </w:p>
    <w:p w14:paraId="219D6AC6" w14:textId="04090403" w:rsidR="004209FC" w:rsidRPr="0089269F" w:rsidRDefault="003A19C9" w:rsidP="00582377">
      <w:pPr>
        <w:pStyle w:val="Tickboxes"/>
        <w:rPr>
          <w:sz w:val="24"/>
          <w:szCs w:val="24"/>
        </w:rPr>
      </w:pPr>
      <w:r>
        <w:rPr>
          <w:sz w:val="24"/>
          <w:szCs w:val="24"/>
        </w:rPr>
        <w:fldChar w:fldCharType="begin">
          <w:ffData>
            <w:name w:val="Check2"/>
            <w:enabled/>
            <w:calcOnExit w:val="0"/>
            <w:statusText w:type="text" w:val="Health outcomes non-inferior"/>
            <w:checkBox>
              <w:sizeAuto/>
              <w:default w:val="1"/>
            </w:checkBox>
          </w:ffData>
        </w:fldChar>
      </w:r>
      <w:bookmarkStart w:id="19"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9"/>
      <w:r w:rsidR="004209FC" w:rsidRPr="0089269F">
        <w:rPr>
          <w:sz w:val="24"/>
          <w:szCs w:val="24"/>
        </w:rPr>
        <w:t xml:space="preserve"> Non-inferior</w:t>
      </w:r>
    </w:p>
    <w:p w14:paraId="1E1E7FC3" w14:textId="243BEEB3" w:rsidR="00364572" w:rsidRPr="0089269F" w:rsidRDefault="007F165F" w:rsidP="00582377">
      <w:pPr>
        <w:pStyle w:val="Tickboxes"/>
        <w:rPr>
          <w:sz w:val="24"/>
          <w:szCs w:val="24"/>
        </w:rPr>
      </w:pPr>
      <w:r>
        <w:rPr>
          <w:sz w:val="24"/>
          <w:szCs w:val="24"/>
        </w:rPr>
        <w:fldChar w:fldCharType="begin">
          <w:ffData>
            <w:name w:val=""/>
            <w:enabled/>
            <w:calcOnExit w:val="0"/>
            <w:statusText w:type="text" w:val="Health outcomes inferi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209FC" w:rsidRPr="0089269F">
        <w:rPr>
          <w:sz w:val="24"/>
          <w:szCs w:val="24"/>
        </w:rPr>
        <w:t xml:space="preserve"> Inferior </w:t>
      </w:r>
    </w:p>
    <w:p w14:paraId="12D880D8" w14:textId="573EC961" w:rsidR="004A45BE" w:rsidRPr="00A86A86" w:rsidRDefault="00364572" w:rsidP="002D2EB5">
      <w:pPr>
        <w:pStyle w:val="Heading2"/>
      </w:pPr>
      <w:r w:rsidRPr="00A86A86">
        <w:t>Please state what the overall claim is, and provide a rationale:</w:t>
      </w:r>
    </w:p>
    <w:bookmarkEnd w:id="17"/>
    <w:p w14:paraId="30A5857F" w14:textId="334D2280" w:rsidR="00962337" w:rsidRDefault="00666E65" w:rsidP="00BC0C43">
      <w:r w:rsidRPr="00666E65">
        <w:t xml:space="preserve">The therapeutic conclusion is that </w:t>
      </w:r>
      <w:r w:rsidRPr="00666E65">
        <w:rPr>
          <w:vertAlign w:val="superscript"/>
        </w:rPr>
        <w:t>177</w:t>
      </w:r>
      <w:r w:rsidRPr="00666E65">
        <w:t xml:space="preserve">Lu-PSMA-617 is superior to </w:t>
      </w:r>
      <w:r w:rsidR="002C7798">
        <w:t xml:space="preserve">current </w:t>
      </w:r>
      <w:r w:rsidRPr="00666E65">
        <w:t xml:space="preserve">standard of care in terms of clinical efficacy, and </w:t>
      </w:r>
      <w:r w:rsidR="00407524">
        <w:t>non-</w:t>
      </w:r>
      <w:r w:rsidRPr="00666E65">
        <w:t xml:space="preserve">inferior in terms of safety. </w:t>
      </w:r>
    </w:p>
    <w:p w14:paraId="32094549" w14:textId="07FB10C5" w:rsidR="00E2324E" w:rsidRDefault="00540B77" w:rsidP="00DE58A6">
      <w:r>
        <w:t xml:space="preserve">Currently, patients with mCRPC who have progressed following treatment with </w:t>
      </w:r>
      <w:r w:rsidR="00AE4DD6">
        <w:t>an ARPI and are taxane-naïve have limited treatment options</w:t>
      </w:r>
      <w:r w:rsidR="0037467F">
        <w:t>,</w:t>
      </w:r>
      <w:r w:rsidR="00AE4DD6">
        <w:t xml:space="preserve"> highlighting an unmet need for this population. </w:t>
      </w:r>
      <w:r w:rsidR="00E2324E" w:rsidRPr="00381905">
        <w:t xml:space="preserve">The pivotal trial, </w:t>
      </w:r>
      <w:proofErr w:type="spellStart"/>
      <w:r w:rsidR="00E2324E" w:rsidRPr="00381905">
        <w:t>PSMAfore</w:t>
      </w:r>
      <w:proofErr w:type="spellEnd"/>
      <w:r w:rsidR="00E2324E">
        <w:t xml:space="preserve">, assessed the efficacy of </w:t>
      </w:r>
      <w:r w:rsidR="00E2324E" w:rsidRPr="001C47E9">
        <w:rPr>
          <w:vertAlign w:val="superscript"/>
        </w:rPr>
        <w:t>177</w:t>
      </w:r>
      <w:r w:rsidR="00E2324E">
        <w:t xml:space="preserve">Lu-PSMA-617 </w:t>
      </w:r>
      <w:r w:rsidR="002C7798">
        <w:t xml:space="preserve">compared </w:t>
      </w:r>
      <w:r w:rsidR="00E2324E">
        <w:t xml:space="preserve">to </w:t>
      </w:r>
      <w:r w:rsidR="00F624F8">
        <w:t xml:space="preserve">ARPI. </w:t>
      </w:r>
      <w:r w:rsidR="001C47E9">
        <w:t>In Australia</w:t>
      </w:r>
      <w:r w:rsidR="00F624F8">
        <w:t>, PBS criteria restrict treatment with an ARPI to once per lifetime, leaving docetaxel or palliative care as the only available treatment options for patients</w:t>
      </w:r>
      <w:r w:rsidR="00D05B57">
        <w:t xml:space="preserve"> (i.e., current standard of care)</w:t>
      </w:r>
      <w:r w:rsidR="00F624F8">
        <w:t xml:space="preserve">. There are no head-to-head studies comparing </w:t>
      </w:r>
      <w:r w:rsidR="00F624F8" w:rsidRPr="001C47E9">
        <w:rPr>
          <w:vertAlign w:val="superscript"/>
        </w:rPr>
        <w:t>177</w:t>
      </w:r>
      <w:r w:rsidR="00F624F8">
        <w:t xml:space="preserve">Lu-PSMA-617 </w:t>
      </w:r>
      <w:r w:rsidR="002C7798">
        <w:t>to</w:t>
      </w:r>
      <w:r w:rsidR="00F624F8">
        <w:t xml:space="preserve"> docetaxel or palliative care. Data indicates that most patients (71%) do not receive any subsequent treatment following an ARPI (</w:t>
      </w:r>
      <w:r w:rsidR="003F0460" w:rsidRPr="000B6061">
        <w:t>olaparib PSD, para 5.2, March 2021 PBAC Meeting</w:t>
      </w:r>
      <w:r w:rsidR="00F624F8">
        <w:t>).</w:t>
      </w:r>
      <w:r w:rsidR="000C76D9">
        <w:t xml:space="preserve"> Given this, the </w:t>
      </w:r>
      <w:r w:rsidR="00D05B57">
        <w:t>clinical da</w:t>
      </w:r>
      <w:r w:rsidR="00C54EB8">
        <w:t>t</w:t>
      </w:r>
      <w:r w:rsidR="00D05B57">
        <w:t xml:space="preserve">a from the </w:t>
      </w:r>
      <w:proofErr w:type="spellStart"/>
      <w:r w:rsidR="000C76D9">
        <w:t>PSMAfore</w:t>
      </w:r>
      <w:proofErr w:type="spellEnd"/>
      <w:r w:rsidR="000C76D9">
        <w:t xml:space="preserve"> </w:t>
      </w:r>
      <w:r w:rsidR="00D05B57">
        <w:t>ARPI arm is used as a proxy for current standard of care.</w:t>
      </w:r>
    </w:p>
    <w:p w14:paraId="3AA09127" w14:textId="75C3B4C0" w:rsidR="000A5943" w:rsidRDefault="00F0768D" w:rsidP="00C54EB8">
      <w:r w:rsidRPr="00F0768D">
        <w:t xml:space="preserve">The clinical claim is based on </w:t>
      </w:r>
      <w:proofErr w:type="spellStart"/>
      <w:r>
        <w:t>rPFS</w:t>
      </w:r>
      <w:proofErr w:type="spellEnd"/>
      <w:r w:rsidRPr="00F0768D">
        <w:t xml:space="preserve">, the primary outcome of </w:t>
      </w:r>
      <w:proofErr w:type="spellStart"/>
      <w:r>
        <w:t>PSMAfore</w:t>
      </w:r>
      <w:proofErr w:type="spellEnd"/>
      <w:r w:rsidRPr="00F0768D">
        <w:t xml:space="preserve">, supported by secondary outcomes </w:t>
      </w:r>
      <w:r>
        <w:t>including TTSSE</w:t>
      </w:r>
      <w:r w:rsidR="00757254">
        <w:t xml:space="preserve"> and </w:t>
      </w:r>
      <w:r w:rsidR="001C47E9">
        <w:t>PROs</w:t>
      </w:r>
      <w:r w:rsidR="00E125D2">
        <w:t xml:space="preserve">, and </w:t>
      </w:r>
      <w:r w:rsidR="00FC20A9">
        <w:t>adverse events</w:t>
      </w:r>
      <w:r w:rsidR="00757254">
        <w:t>.</w:t>
      </w:r>
      <w:r w:rsidR="00AD69BB">
        <w:t xml:space="preserve"> The clinical data demonstrates </w:t>
      </w:r>
      <w:r w:rsidR="00735CFF">
        <w:t xml:space="preserve">that </w:t>
      </w:r>
      <w:r w:rsidR="00CB28AB" w:rsidRPr="00B413CE">
        <w:rPr>
          <w:vertAlign w:val="superscript"/>
        </w:rPr>
        <w:t>177</w:t>
      </w:r>
      <w:r w:rsidR="00CB28AB">
        <w:t xml:space="preserve">Lu-PSMA-617 </w:t>
      </w:r>
      <w:r w:rsidR="00C97728">
        <w:t xml:space="preserve">improves </w:t>
      </w:r>
      <w:r w:rsidR="001A6D45">
        <w:t>outcomes for taxane naïve mCRPC patients who have been treated with an ARPI compared to current standard of care</w:t>
      </w:r>
      <w:r w:rsidR="0079161A">
        <w:t>:</w:t>
      </w:r>
    </w:p>
    <w:p w14:paraId="28CC0522" w14:textId="6D2F7B92" w:rsidR="0046631F" w:rsidRDefault="0046631F" w:rsidP="00B664D0">
      <w:pPr>
        <w:pStyle w:val="ListParagraph"/>
        <w:numPr>
          <w:ilvl w:val="0"/>
          <w:numId w:val="22"/>
        </w:numPr>
      </w:pPr>
      <w:r w:rsidRPr="00353D0E">
        <w:rPr>
          <w:b/>
          <w:bCs/>
        </w:rPr>
        <w:t>R</w:t>
      </w:r>
      <w:r w:rsidR="00CB28AB" w:rsidRPr="00353D0E">
        <w:rPr>
          <w:b/>
          <w:bCs/>
        </w:rPr>
        <w:t xml:space="preserve">educed </w:t>
      </w:r>
      <w:r w:rsidR="00684B56" w:rsidRPr="00353D0E">
        <w:rPr>
          <w:b/>
          <w:bCs/>
        </w:rPr>
        <w:t>risk of progression</w:t>
      </w:r>
      <w:r w:rsidR="00C47E2C">
        <w:br/>
        <w:t>P</w:t>
      </w:r>
      <w:r w:rsidR="00B664D0">
        <w:t xml:space="preserve">atients treated with </w:t>
      </w:r>
      <w:r w:rsidR="00B664D0" w:rsidRPr="00FD589D">
        <w:rPr>
          <w:vertAlign w:val="superscript"/>
        </w:rPr>
        <w:t>177</w:t>
      </w:r>
      <w:r w:rsidR="00B664D0">
        <w:t xml:space="preserve">Lu-PSMA-617 had a statistically significant </w:t>
      </w:r>
      <w:r w:rsidR="00353D0E">
        <w:t>59% reduced risk of radiographic progression</w:t>
      </w:r>
      <w:r w:rsidR="00353D0E" w:rsidRPr="00623A2F">
        <w:t xml:space="preserve"> or death</w:t>
      </w:r>
      <w:r w:rsidR="00353D0E">
        <w:t xml:space="preserve"> compared to ARPI (</w:t>
      </w:r>
      <w:r w:rsidR="00353D0E" w:rsidRPr="00353D0E">
        <w:t>HR 0.41; 95% CI: 0.29, 0.56; p &lt;0.0001</w:t>
      </w:r>
      <w:r w:rsidR="00353D0E">
        <w:t>).</w:t>
      </w:r>
    </w:p>
    <w:p w14:paraId="6F5A1925" w14:textId="506C1D2F" w:rsidR="0046631F" w:rsidRDefault="0046631F" w:rsidP="00B664D0">
      <w:pPr>
        <w:pStyle w:val="ListParagraph"/>
        <w:numPr>
          <w:ilvl w:val="0"/>
          <w:numId w:val="22"/>
        </w:numPr>
      </w:pPr>
      <w:r w:rsidRPr="00F90B8E">
        <w:rPr>
          <w:b/>
          <w:bCs/>
        </w:rPr>
        <w:t xml:space="preserve">Reduced risk of </w:t>
      </w:r>
      <w:r w:rsidR="00E31255" w:rsidRPr="00F90B8E">
        <w:rPr>
          <w:b/>
          <w:bCs/>
        </w:rPr>
        <w:t>symptomatic skeletal events</w:t>
      </w:r>
      <w:r w:rsidR="00E31255">
        <w:br/>
      </w:r>
      <w:r w:rsidR="00F90B8E">
        <w:t xml:space="preserve">Patients treated with </w:t>
      </w:r>
      <w:r w:rsidR="00F90B8E" w:rsidRPr="00A636D6">
        <w:rPr>
          <w:vertAlign w:val="superscript"/>
        </w:rPr>
        <w:t>177</w:t>
      </w:r>
      <w:r w:rsidR="00F90B8E">
        <w:t>Lu-PSMA-617 had a</w:t>
      </w:r>
      <w:r w:rsidR="00684B56">
        <w:t xml:space="preserve"> </w:t>
      </w:r>
      <w:r w:rsidR="00F90B8E" w:rsidRPr="00F90B8E">
        <w:t xml:space="preserve">59% risk reduction of SSE or death </w:t>
      </w:r>
      <w:r w:rsidR="00A636D6">
        <w:t xml:space="preserve">compared to </w:t>
      </w:r>
      <w:r w:rsidR="00671220">
        <w:t xml:space="preserve">ARPI </w:t>
      </w:r>
      <w:r w:rsidR="00F90B8E" w:rsidRPr="00F90B8E">
        <w:t>(HR: 0.41; 95% CI: 0.26, 0.63)</w:t>
      </w:r>
      <w:r w:rsidR="00671220">
        <w:t>.</w:t>
      </w:r>
    </w:p>
    <w:p w14:paraId="4422C348" w14:textId="4D4F1305" w:rsidR="00187EE9" w:rsidRDefault="006A6F78" w:rsidP="00187EE9">
      <w:pPr>
        <w:pStyle w:val="ListParagraph"/>
        <w:numPr>
          <w:ilvl w:val="0"/>
          <w:numId w:val="22"/>
        </w:numPr>
      </w:pPr>
      <w:r w:rsidRPr="006A6F78">
        <w:rPr>
          <w:b/>
          <w:bCs/>
        </w:rPr>
        <w:t>Delayed worsening of pain</w:t>
      </w:r>
      <w:r w:rsidR="00187EE9" w:rsidRPr="006A6F78">
        <w:br/>
        <w:t xml:space="preserve">While on-treatment, patients treated with </w:t>
      </w:r>
      <w:r w:rsidR="00187EE9" w:rsidRPr="006A6F78">
        <w:rPr>
          <w:vertAlign w:val="superscript"/>
        </w:rPr>
        <w:t>177</w:t>
      </w:r>
      <w:r w:rsidR="00187EE9" w:rsidRPr="006A6F78">
        <w:t xml:space="preserve">Lu-PSMA-617 </w:t>
      </w:r>
      <w:r w:rsidRPr="006A6F78">
        <w:t>appeared to be more stable with less pain compared to ARPI. Time to worsening</w:t>
      </w:r>
      <w:r>
        <w:t xml:space="preserve"> of pain</w:t>
      </w:r>
      <w:r w:rsidRPr="006A6F78">
        <w:t xml:space="preserve"> was delayed in the </w:t>
      </w:r>
      <w:r w:rsidRPr="006A6F78">
        <w:rPr>
          <w:vertAlign w:val="superscript"/>
        </w:rPr>
        <w:t>177</w:t>
      </w:r>
      <w:r w:rsidRPr="006A6F78">
        <w:t>Lu-PSMA-617 arm compared to the ARPI arm (HR 0.72; 95% CI: 0.59, 0.88).</w:t>
      </w:r>
    </w:p>
    <w:p w14:paraId="38242E82" w14:textId="03A642AA" w:rsidR="00B664D0" w:rsidRDefault="00CE320F" w:rsidP="00B664D0">
      <w:pPr>
        <w:pStyle w:val="ListParagraph"/>
        <w:numPr>
          <w:ilvl w:val="0"/>
          <w:numId w:val="22"/>
        </w:numPr>
      </w:pPr>
      <w:r w:rsidRPr="00A636D6">
        <w:rPr>
          <w:b/>
          <w:bCs/>
        </w:rPr>
        <w:t>Improvement in quality of life</w:t>
      </w:r>
      <w:r>
        <w:br/>
      </w:r>
      <w:r w:rsidR="00F90B8E">
        <w:t>W</w:t>
      </w:r>
      <w:r w:rsidR="00F90B8E" w:rsidRPr="00F90B8E">
        <w:t xml:space="preserve">hile on-treatment, </w:t>
      </w:r>
      <w:r w:rsidR="00F90B8E">
        <w:t xml:space="preserve">patients treated with </w:t>
      </w:r>
      <w:r w:rsidR="00F90B8E" w:rsidRPr="00F90B8E">
        <w:rPr>
          <w:vertAlign w:val="superscript"/>
        </w:rPr>
        <w:t>177</w:t>
      </w:r>
      <w:r w:rsidR="00F90B8E" w:rsidRPr="00F90B8E">
        <w:t xml:space="preserve">Lu-PSMA-617 </w:t>
      </w:r>
      <w:r w:rsidR="00A636D6">
        <w:t>experienced a</w:t>
      </w:r>
      <w:r w:rsidR="00F90B8E">
        <w:t xml:space="preserve"> higher quality of life and delayed time to deterioration</w:t>
      </w:r>
      <w:r w:rsidR="00F90B8E" w:rsidRPr="00F90B8E">
        <w:t xml:space="preserve"> compared to ARPI.</w:t>
      </w:r>
    </w:p>
    <w:p w14:paraId="3EC6714A" w14:textId="0BD85752" w:rsidR="00E46BA2" w:rsidRPr="00B82D54" w:rsidRDefault="00CD6E5E" w:rsidP="00B82D54">
      <w:pPr>
        <w:pStyle w:val="ListParagraph"/>
        <w:numPr>
          <w:ilvl w:val="0"/>
          <w:numId w:val="22"/>
        </w:numPr>
      </w:pPr>
      <w:r w:rsidRPr="00B82D54">
        <w:rPr>
          <w:b/>
          <w:bCs/>
        </w:rPr>
        <w:t xml:space="preserve">Favourable </w:t>
      </w:r>
      <w:r w:rsidR="00E55521" w:rsidRPr="00B82D54">
        <w:rPr>
          <w:b/>
          <w:bCs/>
        </w:rPr>
        <w:t>safety profile</w:t>
      </w:r>
      <w:r w:rsidR="00E55521" w:rsidRPr="00B82D54">
        <w:rPr>
          <w:b/>
          <w:bCs/>
        </w:rPr>
        <w:br/>
      </w:r>
      <w:r w:rsidR="00B82D54" w:rsidRPr="00B82D54">
        <w:t xml:space="preserve">There was fewer grade 3 or higher treatment-related adverse events reported among patients receiving </w:t>
      </w:r>
      <w:r w:rsidR="00B82D54" w:rsidRPr="00B82D54">
        <w:rPr>
          <w:vertAlign w:val="superscript"/>
        </w:rPr>
        <w:t>177</w:t>
      </w:r>
      <w:r w:rsidR="00B82D54" w:rsidRPr="00B82D54">
        <w:t xml:space="preserve">Lu-PSMA-617 compared to ARPI (36% and 48%, respectively). </w:t>
      </w:r>
      <w:r w:rsidRPr="00B82D54">
        <w:rPr>
          <w:vertAlign w:val="superscript"/>
        </w:rPr>
        <w:t>177</w:t>
      </w:r>
      <w:r w:rsidRPr="00B82D54">
        <w:t>Lu-PSMA-617 exhibits high PSMA binding affinity and internalisation, prolonged tumour retention and rapid kidney clearance (</w:t>
      </w:r>
      <w:proofErr w:type="spellStart"/>
      <w:r w:rsidRPr="001C2E25">
        <w:t>Benesova</w:t>
      </w:r>
      <w:proofErr w:type="spellEnd"/>
      <w:r w:rsidRPr="001C2E25">
        <w:t xml:space="preserve"> et al., 2015</w:t>
      </w:r>
      <w:r w:rsidRPr="00B82D54">
        <w:t xml:space="preserve">). To date, nephrotoxicity has not been notable in any </w:t>
      </w:r>
      <w:r w:rsidRPr="00B82D54">
        <w:lastRenderedPageBreak/>
        <w:t>safety series and there are no reports of Grade 3 or 4 nephrotoxicity in the literature. The exposure to normal bone marrow tissue is predictably low as it does not express PSMA and corresponds with normal plasma clearance.</w:t>
      </w:r>
      <w:r w:rsidR="00D24E3B" w:rsidRPr="00B82D54">
        <w:t xml:space="preserve"> </w:t>
      </w:r>
    </w:p>
    <w:p w14:paraId="7DA52ED3" w14:textId="638918F2" w:rsidR="00DE58A6" w:rsidRDefault="00DE58A6" w:rsidP="00DE58A6">
      <w:r>
        <w:t xml:space="preserve">The results show that patients treated with </w:t>
      </w:r>
      <w:r w:rsidRPr="00287CFA">
        <w:rPr>
          <w:vertAlign w:val="superscript"/>
        </w:rPr>
        <w:t>177</w:t>
      </w:r>
      <w:r>
        <w:t xml:space="preserve">Lu-PSMA-617 may experience improved survival through a significantly reduced risk of radiographic progression and a reduced risk of experiencing SSEs compared to standard of care. In addition, patients treated with </w:t>
      </w:r>
      <w:r w:rsidRPr="00287CFA">
        <w:rPr>
          <w:vertAlign w:val="superscript"/>
        </w:rPr>
        <w:t>177</w:t>
      </w:r>
      <w:r>
        <w:t xml:space="preserve">Lu-PSMA-617 experienced favourable quality of life compared to ARPI (proxy for current standard of care). In addition, patients treated with </w:t>
      </w:r>
      <w:r w:rsidRPr="00287CFA">
        <w:rPr>
          <w:vertAlign w:val="superscript"/>
        </w:rPr>
        <w:t>177</w:t>
      </w:r>
      <w:r>
        <w:t xml:space="preserve">Lu-PSMA-617 may experience better quality of life while on treatment due to delayed worsening and longer time to deterioration compared to current standard of care. </w:t>
      </w:r>
    </w:p>
    <w:p w14:paraId="00D6A265" w14:textId="47C58330" w:rsidR="00426DC6" w:rsidRDefault="00DE58A6" w:rsidP="00DE58A6">
      <w:r>
        <w:t xml:space="preserve">Prolonging time to progression and SSE while maintaining quality of life are important considerations for mCRPC patients. </w:t>
      </w:r>
      <w:r w:rsidRPr="00287CFA">
        <w:rPr>
          <w:vertAlign w:val="superscript"/>
        </w:rPr>
        <w:t>177</w:t>
      </w:r>
      <w:r>
        <w:t>Lu-PSMA-617 provides clinicians and patients with an alternative effective and safe treatment option to docetaxel or palliative care in the first line mCR</w:t>
      </w:r>
      <w:r w:rsidR="00E478B8">
        <w:t>P</w:t>
      </w:r>
      <w:r>
        <w:t>C setting following treatment with an ARPI.</w:t>
      </w:r>
    </w:p>
    <w:p w14:paraId="43670E9E" w14:textId="3DAE6738" w:rsidR="004A45BE" w:rsidRPr="00A86A86" w:rsidRDefault="004A45BE" w:rsidP="002D2EB5">
      <w:pPr>
        <w:pStyle w:val="Heading2"/>
      </w:pPr>
      <w:r w:rsidRPr="00A86A86">
        <w:t>Why would the requestor seek to use the proposed investigative technology rather than the comparator(s)?</w:t>
      </w:r>
    </w:p>
    <w:p w14:paraId="2D731E59" w14:textId="14FAD1AE" w:rsidR="00DF4E66" w:rsidRDefault="00AE4CFE" w:rsidP="00BC0C43">
      <w:r>
        <w:t>The key treatment goals for patients with mCRPC is extended survival and improved quality of life</w:t>
      </w:r>
      <w:r w:rsidR="0060579A">
        <w:t>, particularly pain, and t</w:t>
      </w:r>
      <w:r>
        <w:t xml:space="preserve">reatment </w:t>
      </w:r>
      <w:r w:rsidR="00625075">
        <w:t xml:space="preserve">decisions are </w:t>
      </w:r>
      <w:r w:rsidR="0039224B">
        <w:t>influenced</w:t>
      </w:r>
      <w:r w:rsidR="00625075">
        <w:t xml:space="preserve"> by various factors. </w:t>
      </w:r>
      <w:r w:rsidR="00D826AC">
        <w:t>F</w:t>
      </w:r>
      <w:r w:rsidR="00DF4E66">
        <w:t>or mCRPC patients who have progressed following treatment with an AR</w:t>
      </w:r>
      <w:r w:rsidR="00B37B12">
        <w:t>P</w:t>
      </w:r>
      <w:r w:rsidR="00DF4E66">
        <w:t>I and are taxane naïve</w:t>
      </w:r>
      <w:r w:rsidR="00D826AC">
        <w:t>, current treatment options</w:t>
      </w:r>
      <w:r w:rsidR="00DF4E66">
        <w:t xml:space="preserve"> </w:t>
      </w:r>
      <w:r w:rsidR="00D826AC">
        <w:t>are limited to</w:t>
      </w:r>
      <w:r w:rsidR="00DF4E66">
        <w:t xml:space="preserve"> docetaxel or palliative care. </w:t>
      </w:r>
      <w:r w:rsidR="002D4D3B">
        <w:t>However, t</w:t>
      </w:r>
      <w:r w:rsidR="00D826AC">
        <w:t xml:space="preserve">axane-based chemotherapy </w:t>
      </w:r>
      <w:r w:rsidR="00117886">
        <w:t xml:space="preserve">comes with significant side effects and impact on quality of life, </w:t>
      </w:r>
      <w:r w:rsidR="00117886" w:rsidRPr="0047207E">
        <w:t xml:space="preserve">including </w:t>
      </w:r>
      <w:r w:rsidR="002C2959" w:rsidRPr="0047207E">
        <w:t>haematological toxicity that almost always requires hospitalisation</w:t>
      </w:r>
      <w:r w:rsidR="002C2959">
        <w:t xml:space="preserve"> (</w:t>
      </w:r>
      <w:proofErr w:type="spellStart"/>
      <w:r w:rsidR="00771361" w:rsidRPr="001B5BE7">
        <w:t>Crombag</w:t>
      </w:r>
      <w:proofErr w:type="spellEnd"/>
      <w:r w:rsidR="00771361" w:rsidRPr="001B5BE7">
        <w:t xml:space="preserve"> et al., 2019; </w:t>
      </w:r>
      <w:proofErr w:type="spellStart"/>
      <w:r w:rsidR="00771361" w:rsidRPr="001B5BE7">
        <w:t>Peltekian</w:t>
      </w:r>
      <w:proofErr w:type="spellEnd"/>
      <w:r w:rsidR="00771361" w:rsidRPr="001B5BE7">
        <w:t xml:space="preserve"> et al., 2023</w:t>
      </w:r>
      <w:r w:rsidR="002C2959">
        <w:t>)</w:t>
      </w:r>
      <w:r w:rsidR="002F23D9">
        <w:t xml:space="preserve">. </w:t>
      </w:r>
      <w:r w:rsidR="00D24022" w:rsidRPr="00D24022">
        <w:t>The preference of alternative therapies over docetaxel is consistently observed in prostate cancer, including no further treatment</w:t>
      </w:r>
      <w:r w:rsidR="00D24022">
        <w:t xml:space="preserve">.  </w:t>
      </w:r>
    </w:p>
    <w:p w14:paraId="11A107B9" w14:textId="209E91A3" w:rsidR="00C87C72" w:rsidRDefault="003F2DBE" w:rsidP="00BC0C43">
      <w:r w:rsidRPr="0066138C">
        <w:rPr>
          <w:vertAlign w:val="superscript"/>
        </w:rPr>
        <w:t>177</w:t>
      </w:r>
      <w:r>
        <w:t xml:space="preserve">Lu-PSMA-617 </w:t>
      </w:r>
      <w:r w:rsidR="003246ED">
        <w:t>provides</w:t>
      </w:r>
      <w:r>
        <w:t xml:space="preserve"> clinicians and patients </w:t>
      </w:r>
      <w:r w:rsidR="002853E1">
        <w:t xml:space="preserve">with </w:t>
      </w:r>
      <w:r w:rsidR="00FD1420">
        <w:t>a</w:t>
      </w:r>
      <w:r>
        <w:t>n</w:t>
      </w:r>
      <w:r w:rsidR="00FD1420">
        <w:t xml:space="preserve"> alternative</w:t>
      </w:r>
      <w:r>
        <w:t xml:space="preserve"> effective and safe treatment option</w:t>
      </w:r>
      <w:r w:rsidR="00B15E82">
        <w:t xml:space="preserve"> to current standard of care</w:t>
      </w:r>
      <w:r>
        <w:t xml:space="preserve">. Clinical data demonstrates </w:t>
      </w:r>
      <w:r w:rsidR="00B15E82">
        <w:t xml:space="preserve">that </w:t>
      </w:r>
      <w:r w:rsidR="00BC793E">
        <w:t xml:space="preserve">patients </w:t>
      </w:r>
      <w:r w:rsidR="00B15E82">
        <w:t xml:space="preserve">treated with </w:t>
      </w:r>
      <w:r w:rsidR="00B15E82" w:rsidRPr="00C44566">
        <w:rPr>
          <w:vertAlign w:val="superscript"/>
        </w:rPr>
        <w:t>177</w:t>
      </w:r>
      <w:r w:rsidR="00B15E82">
        <w:t xml:space="preserve">Lu-PSMA-617 </w:t>
      </w:r>
      <w:r w:rsidR="00BC793E">
        <w:t xml:space="preserve">may experience reduced risk of radiographic progression and reduced risk of SSE, outcomes which </w:t>
      </w:r>
      <w:r w:rsidR="007A0B7A">
        <w:t>indicate</w:t>
      </w:r>
      <w:r w:rsidR="00BC793E">
        <w:t xml:space="preserve"> </w:t>
      </w:r>
      <w:r w:rsidR="0066138C">
        <w:t>longer</w:t>
      </w:r>
      <w:r w:rsidR="00BC793E">
        <w:t xml:space="preserve"> survival</w:t>
      </w:r>
      <w:r w:rsidR="00C87C72">
        <w:t>.</w:t>
      </w:r>
      <w:r w:rsidR="007A0B7A">
        <w:t xml:space="preserve"> </w:t>
      </w:r>
      <w:r w:rsidR="00343E96">
        <w:t xml:space="preserve">Given this is a key treatment goal, </w:t>
      </w:r>
      <w:r w:rsidR="007C6C91">
        <w:t xml:space="preserve">some </w:t>
      </w:r>
      <w:r w:rsidR="00B46976">
        <w:t xml:space="preserve">clinicians and patients would </w:t>
      </w:r>
      <w:r w:rsidR="007C6C91">
        <w:t xml:space="preserve">prefer treatment with </w:t>
      </w:r>
      <w:r w:rsidR="007C6C91" w:rsidRPr="000F49B3">
        <w:rPr>
          <w:vertAlign w:val="superscript"/>
        </w:rPr>
        <w:t>177</w:t>
      </w:r>
      <w:r w:rsidR="007C6C91">
        <w:t xml:space="preserve">Lu-PSMA-617 </w:t>
      </w:r>
      <w:r w:rsidR="00A96653">
        <w:t>over current standard of care if it meant better patient outcomes.</w:t>
      </w:r>
    </w:p>
    <w:p w14:paraId="391976D5" w14:textId="584E2EE9" w:rsidR="00354FCC" w:rsidRDefault="00106E95" w:rsidP="00BC0C43">
      <w:r>
        <w:t xml:space="preserve">Patients </w:t>
      </w:r>
      <w:r w:rsidR="00FD1420">
        <w:t>treated with</w:t>
      </w:r>
      <w:r w:rsidR="007A0B7A">
        <w:t xml:space="preserve"> </w:t>
      </w:r>
      <w:r w:rsidR="007A0B7A" w:rsidRPr="00BB5F30">
        <w:rPr>
          <w:vertAlign w:val="superscript"/>
        </w:rPr>
        <w:t>177</w:t>
      </w:r>
      <w:r w:rsidR="007A0B7A">
        <w:t>Lu-PSMA-617</w:t>
      </w:r>
      <w:r w:rsidR="00BB5F30">
        <w:t xml:space="preserve"> may experience </w:t>
      </w:r>
      <w:r w:rsidR="00EF7ADB">
        <w:t>delayed worsening and delayed time to deterioration, indicating an improved</w:t>
      </w:r>
      <w:r w:rsidR="00D62A12">
        <w:t xml:space="preserve"> overall</w:t>
      </w:r>
      <w:r w:rsidR="00EF7ADB">
        <w:t xml:space="preserve"> quality of life while on-treatment.</w:t>
      </w:r>
      <w:r w:rsidR="00A6671D">
        <w:t xml:space="preserve"> </w:t>
      </w:r>
      <w:r w:rsidR="00550178" w:rsidRPr="00550178">
        <w:rPr>
          <w:color w:val="000000"/>
        </w:rPr>
        <w:t>Up to 90% of patients develop bone metastases, leading to significant morbidity and severe bone pain, either from the metastases themselves or from skeletal events like fractures and spinal cord compression</w:t>
      </w:r>
      <w:r w:rsidR="00550178">
        <w:rPr>
          <w:color w:val="000000"/>
        </w:rPr>
        <w:t xml:space="preserve"> (Leaning et al., 2023). </w:t>
      </w:r>
      <w:r w:rsidR="00354FCC">
        <w:t xml:space="preserve">Studies have found that controlling or reducing bone pain is an important factor for mCRPC patients (George et al., 2022). </w:t>
      </w:r>
      <w:r w:rsidR="00FF5981">
        <w:t>Data shows that p</w:t>
      </w:r>
      <w:r w:rsidR="00354FCC">
        <w:t xml:space="preserve">atients treated with </w:t>
      </w:r>
      <w:r w:rsidR="00354FCC" w:rsidRPr="00BB5F30">
        <w:rPr>
          <w:vertAlign w:val="superscript"/>
        </w:rPr>
        <w:t>177</w:t>
      </w:r>
      <w:r w:rsidR="00354FCC">
        <w:t>Lu-PSMA-617 may experience delayed worsening of pain compared to standard of care</w:t>
      </w:r>
      <w:r w:rsidR="00FF5981">
        <w:t>.</w:t>
      </w:r>
      <w:r w:rsidR="00A96653">
        <w:t xml:space="preserve"> mCRPC is a </w:t>
      </w:r>
      <w:r w:rsidR="00B24035">
        <w:t xml:space="preserve">life-limiting disease and maximising quality of life is a key factor when considering treatment options. </w:t>
      </w:r>
      <w:r w:rsidR="00F95D88">
        <w:t xml:space="preserve">It is likely that patients, and clinicians, would favour a treatment option that </w:t>
      </w:r>
      <w:r w:rsidR="00285809">
        <w:t xml:space="preserve">has </w:t>
      </w:r>
      <w:r w:rsidR="00C76A77">
        <w:t>a less of an</w:t>
      </w:r>
      <w:r w:rsidR="00285809">
        <w:t xml:space="preserve"> impact </w:t>
      </w:r>
      <w:r w:rsidR="00C00BA1">
        <w:t>daily activity</w:t>
      </w:r>
      <w:r w:rsidR="00285809">
        <w:t>.</w:t>
      </w:r>
    </w:p>
    <w:p w14:paraId="565FDC9D" w14:textId="6788C02F" w:rsidR="00D62A12" w:rsidRDefault="00A45C95" w:rsidP="00BC0C43">
      <w:r>
        <w:t xml:space="preserve">The safety profile of </w:t>
      </w:r>
      <w:r w:rsidRPr="00595DC0">
        <w:rPr>
          <w:vertAlign w:val="superscript"/>
        </w:rPr>
        <w:t>177</w:t>
      </w:r>
      <w:r>
        <w:t xml:space="preserve">Lu-PSMA-617 is </w:t>
      </w:r>
      <w:r w:rsidR="00595DC0">
        <w:t>manageable and p</w:t>
      </w:r>
      <w:r w:rsidR="00256326">
        <w:t xml:space="preserve">atients treated with </w:t>
      </w:r>
      <w:r w:rsidR="00B82D54" w:rsidRPr="00595DC0">
        <w:rPr>
          <w:vertAlign w:val="superscript"/>
        </w:rPr>
        <w:t>177</w:t>
      </w:r>
      <w:r w:rsidR="00B82D54">
        <w:t xml:space="preserve">Lu-PSMA-617 </w:t>
      </w:r>
      <w:r>
        <w:t xml:space="preserve">may experience less grade 3 or higher treatment-related adverse events compared to standard of care. </w:t>
      </w:r>
      <w:r w:rsidR="0071348E">
        <w:t xml:space="preserve">Studies suggest that patients may forego treatment with taxane-based chemotherapy due to </w:t>
      </w:r>
      <w:r w:rsidR="000C58D4">
        <w:t>its toxicity profile</w:t>
      </w:r>
      <w:r w:rsidR="00A444E3">
        <w:t xml:space="preserve"> (</w:t>
      </w:r>
      <w:r w:rsidR="00A444E3" w:rsidRPr="00A444E3">
        <w:t>Al-</w:t>
      </w:r>
      <w:proofErr w:type="spellStart"/>
      <w:r w:rsidR="00A444E3" w:rsidRPr="00A444E3">
        <w:t>Batran</w:t>
      </w:r>
      <w:proofErr w:type="spellEnd"/>
      <w:r w:rsidR="00A444E3" w:rsidRPr="00A444E3">
        <w:t xml:space="preserve"> et al., 2015; Singer &amp; Srinivasan, 2012</w:t>
      </w:r>
      <w:r w:rsidR="00A444E3">
        <w:t>)</w:t>
      </w:r>
      <w:r w:rsidR="000C58D4">
        <w:t xml:space="preserve">. As such, </w:t>
      </w:r>
      <w:r w:rsidR="000C58D4" w:rsidRPr="00A444E3">
        <w:rPr>
          <w:vertAlign w:val="superscript"/>
        </w:rPr>
        <w:t>177</w:t>
      </w:r>
      <w:r w:rsidR="000C58D4">
        <w:t>Lu-PSMA-617</w:t>
      </w:r>
      <w:r w:rsidR="00A444E3">
        <w:t xml:space="preserve"> gives clinicians and patients </w:t>
      </w:r>
      <w:r w:rsidR="000C58D4">
        <w:t>a safe and effective treatment option</w:t>
      </w:r>
      <w:r w:rsidR="00A444E3">
        <w:t xml:space="preserve">. </w:t>
      </w:r>
    </w:p>
    <w:p w14:paraId="67792CDE" w14:textId="20F96D42" w:rsidR="004A45BE" w:rsidRPr="00A86A86" w:rsidRDefault="004A45BE" w:rsidP="002D2EB5">
      <w:pPr>
        <w:pStyle w:val="Heading2"/>
      </w:pPr>
      <w:r w:rsidRPr="00A86A86">
        <w:t>Identify how the proposed technology achieves the intended patient outcomes:</w:t>
      </w:r>
    </w:p>
    <w:p w14:paraId="1AB816B0" w14:textId="15496ABC" w:rsidR="00FF40F0" w:rsidRPr="00EB16E8" w:rsidRDefault="00F0481E" w:rsidP="00BC0C43">
      <w:r>
        <w:t>H</w:t>
      </w:r>
      <w:r w:rsidRPr="00F0481E">
        <w:t>igh PSMA-expression correlates with disease progression and is an independent prognostic biomarker of poorer clinical outcomes</w:t>
      </w:r>
      <w:r>
        <w:t xml:space="preserve"> (</w:t>
      </w:r>
      <w:r w:rsidR="00FF40F0" w:rsidRPr="001B5BE7">
        <w:t>Hupe</w:t>
      </w:r>
      <w:r w:rsidR="001B5BE7" w:rsidRPr="001B5BE7">
        <w:t xml:space="preserve"> </w:t>
      </w:r>
      <w:r w:rsidR="00FF40F0" w:rsidRPr="001B5BE7">
        <w:t>et al.</w:t>
      </w:r>
      <w:r w:rsidR="001B5BE7" w:rsidRPr="001B5BE7">
        <w:t>,</w:t>
      </w:r>
      <w:r w:rsidR="00FF40F0" w:rsidRPr="001B5BE7">
        <w:t xml:space="preserve"> 2018</w:t>
      </w:r>
      <w:r w:rsidR="001B5BE7" w:rsidRPr="001B5BE7">
        <w:t>;</w:t>
      </w:r>
      <w:r w:rsidR="001B5BE7">
        <w:t xml:space="preserve"> Nagaya et al., 2020;</w:t>
      </w:r>
      <w:r w:rsidR="00FF40F0" w:rsidRPr="001B5BE7">
        <w:t xml:space="preserve"> Paschalis</w:t>
      </w:r>
      <w:r w:rsidR="001B5BE7" w:rsidRPr="001B5BE7">
        <w:t xml:space="preserve"> </w:t>
      </w:r>
      <w:r w:rsidR="00FF40F0" w:rsidRPr="001B5BE7">
        <w:t>et al.</w:t>
      </w:r>
      <w:r w:rsidR="001B5BE7" w:rsidRPr="001B5BE7">
        <w:t>,</w:t>
      </w:r>
      <w:r w:rsidR="00FF40F0" w:rsidRPr="001B5BE7">
        <w:t xml:space="preserve"> 2019</w:t>
      </w:r>
      <w:r w:rsidR="00FF40F0">
        <w:t xml:space="preserve">). </w:t>
      </w:r>
      <w:r w:rsidR="00FF40F0" w:rsidRPr="00A560C7">
        <w:rPr>
          <w:vertAlign w:val="superscript"/>
        </w:rPr>
        <w:lastRenderedPageBreak/>
        <w:t>177</w:t>
      </w:r>
      <w:r w:rsidR="00FF40F0">
        <w:t>Lu-PSMA-617 is a</w:t>
      </w:r>
      <w:r w:rsidR="003E5D32">
        <w:t xml:space="preserve"> novel treatment that</w:t>
      </w:r>
      <w:r w:rsidR="00FF40F0">
        <w:t xml:space="preserve"> binds with high affinity to PSMA</w:t>
      </w:r>
      <w:r w:rsidR="007C067F">
        <w:t>.</w:t>
      </w:r>
      <w:r w:rsidR="00922B5E">
        <w:t xml:space="preserve"> The radioactive atom </w:t>
      </w:r>
      <w:r w:rsidR="00922B5E" w:rsidRPr="00A560C7">
        <w:rPr>
          <w:vertAlign w:val="superscript"/>
        </w:rPr>
        <w:t>177</w:t>
      </w:r>
      <w:r w:rsidR="00922B5E">
        <w:t xml:space="preserve">Lu delivers </w:t>
      </w:r>
      <w:r w:rsidR="00994D9E">
        <w:t>cytotoxic</w:t>
      </w:r>
      <w:r w:rsidR="00922B5E">
        <w:t xml:space="preserve"> radiation </w:t>
      </w:r>
      <w:r w:rsidR="00DC6BBF">
        <w:t>specifically t</w:t>
      </w:r>
      <w:r w:rsidR="000E2222">
        <w:t>o prostate cancer lesions expressing PSMA</w:t>
      </w:r>
      <w:r w:rsidR="00CF3561">
        <w:t xml:space="preserve">, </w:t>
      </w:r>
      <w:r w:rsidR="000E2222">
        <w:t>maximis</w:t>
      </w:r>
      <w:r w:rsidR="00CF3561">
        <w:t>ing</w:t>
      </w:r>
      <w:r w:rsidR="000E2222">
        <w:t xml:space="preserve"> the therapeutic effect while minimising off-target effects</w:t>
      </w:r>
      <w:r w:rsidR="008D25AA">
        <w:t xml:space="preserve">. </w:t>
      </w:r>
      <w:r w:rsidR="0036138B">
        <w:t>T</w:t>
      </w:r>
      <w:r w:rsidR="00D2227D">
        <w:t xml:space="preserve">reatment with </w:t>
      </w:r>
      <w:r w:rsidR="00D2227D" w:rsidRPr="00A560C7">
        <w:rPr>
          <w:vertAlign w:val="superscript"/>
        </w:rPr>
        <w:t>177</w:t>
      </w:r>
      <w:r w:rsidR="00D2227D">
        <w:t xml:space="preserve">Lu-PSMA-617 improves survival and patient outcomes by significantly reducing risk of radiographic progression, reducing risk of TTSSE and improving quality of life. </w:t>
      </w:r>
    </w:p>
    <w:p w14:paraId="0C2BEC69" w14:textId="2C345F79" w:rsidR="004A45BE" w:rsidRPr="00A86A86" w:rsidRDefault="004A45BE" w:rsidP="002D2EB5">
      <w:pPr>
        <w:pStyle w:val="Heading2"/>
      </w:pPr>
      <w:r w:rsidRPr="00A86A86">
        <w:t xml:space="preserve">For some people, compared with the comparator(s), does the test information result in: </w:t>
      </w:r>
    </w:p>
    <w:p w14:paraId="67DE36BA" w14:textId="67912DD4" w:rsidR="004A45BE" w:rsidRPr="0089269F" w:rsidRDefault="004A45BE" w:rsidP="00361BBE">
      <w:pPr>
        <w:spacing w:before="120"/>
        <w:rPr>
          <w:bCs/>
          <w:sz w:val="24"/>
          <w:szCs w:val="24"/>
        </w:rPr>
      </w:pPr>
      <w:r w:rsidRPr="002D2EB5">
        <w:rPr>
          <w:rStyle w:val="Heading2Char"/>
        </w:rPr>
        <w:t>A change in clinical management?</w:t>
      </w:r>
      <w:r w:rsidRPr="0089269F">
        <w:rPr>
          <w:bCs/>
          <w:sz w:val="24"/>
          <w:szCs w:val="24"/>
        </w:rPr>
        <w:tab/>
      </w:r>
      <w:r w:rsidR="002D2EB5">
        <w:rPr>
          <w:bCs/>
          <w:sz w:val="24"/>
          <w:szCs w:val="24"/>
        </w:rPr>
        <w:tab/>
      </w:r>
      <w:r w:rsidR="002D2EB5" w:rsidRPr="002D2EB5">
        <w:rPr>
          <w:bCs/>
        </w:rPr>
        <w:t>Yes</w:t>
      </w:r>
    </w:p>
    <w:p w14:paraId="6C54CA8D" w14:textId="6529EE61" w:rsidR="004A45BE" w:rsidRPr="0089269F" w:rsidRDefault="004A45BE" w:rsidP="00BC0C43">
      <w:pPr>
        <w:rPr>
          <w:bCs/>
          <w:sz w:val="24"/>
          <w:szCs w:val="24"/>
        </w:rPr>
      </w:pPr>
      <w:r w:rsidRPr="002D2EB5">
        <w:rPr>
          <w:rStyle w:val="Heading2Char"/>
        </w:rPr>
        <w:t>A change in health outcome?</w:t>
      </w:r>
      <w:r w:rsidRPr="0089269F">
        <w:rPr>
          <w:bCs/>
          <w:sz w:val="24"/>
          <w:szCs w:val="24"/>
        </w:rPr>
        <w:tab/>
      </w:r>
      <w:r w:rsidR="002D2EB5">
        <w:rPr>
          <w:bCs/>
          <w:sz w:val="24"/>
          <w:szCs w:val="24"/>
        </w:rPr>
        <w:tab/>
      </w:r>
      <w:r w:rsidR="002D2EB5" w:rsidRPr="002D2EB5">
        <w:rPr>
          <w:bCs/>
        </w:rPr>
        <w:t>Yes</w:t>
      </w:r>
    </w:p>
    <w:p w14:paraId="0434A6A4" w14:textId="756FD246" w:rsidR="004A45BE" w:rsidRDefault="004A45BE" w:rsidP="00962337">
      <w:pPr>
        <w:tabs>
          <w:tab w:val="left" w:pos="720"/>
          <w:tab w:val="left" w:pos="1440"/>
          <w:tab w:val="left" w:pos="2160"/>
          <w:tab w:val="left" w:pos="2880"/>
          <w:tab w:val="left" w:pos="3600"/>
          <w:tab w:val="left" w:pos="4320"/>
          <w:tab w:val="left" w:pos="5355"/>
        </w:tabs>
        <w:rPr>
          <w:bCs/>
          <w:sz w:val="24"/>
          <w:szCs w:val="24"/>
        </w:rPr>
      </w:pPr>
      <w:r w:rsidRPr="002D2EB5">
        <w:rPr>
          <w:rStyle w:val="Heading2Char"/>
        </w:rPr>
        <w:t>Other benefits?</w:t>
      </w:r>
      <w:r w:rsidRPr="0089269F">
        <w:rPr>
          <w:b/>
          <w:bCs/>
          <w:sz w:val="24"/>
          <w:szCs w:val="24"/>
        </w:rPr>
        <w:tab/>
      </w:r>
      <w:r w:rsidRPr="0089269F">
        <w:rPr>
          <w:bCs/>
          <w:sz w:val="24"/>
          <w:szCs w:val="24"/>
        </w:rPr>
        <w:tab/>
      </w:r>
      <w:r w:rsidRPr="0089269F">
        <w:rPr>
          <w:bCs/>
          <w:sz w:val="24"/>
          <w:szCs w:val="24"/>
        </w:rPr>
        <w:tab/>
      </w:r>
      <w:r w:rsidR="002D2EB5">
        <w:rPr>
          <w:bCs/>
          <w:sz w:val="24"/>
          <w:szCs w:val="24"/>
        </w:rPr>
        <w:tab/>
      </w:r>
      <w:r w:rsidR="00815B8F">
        <w:rPr>
          <w:bCs/>
        </w:rPr>
        <w:t>No</w:t>
      </w:r>
    </w:p>
    <w:p w14:paraId="0AF9A95C" w14:textId="77777777" w:rsidR="00962337" w:rsidRPr="00EB16E8" w:rsidRDefault="00962337" w:rsidP="00EB16E8"/>
    <w:p w14:paraId="04716397" w14:textId="0FE58BC1" w:rsidR="004A45BE" w:rsidRPr="008D1A34" w:rsidRDefault="009D5D20" w:rsidP="002D2EB5">
      <w:pPr>
        <w:pStyle w:val="Heading2"/>
      </w:pPr>
      <w:r w:rsidRPr="008D1A34">
        <w:t>Please provide a rationale, and information on other benefits if relevant</w:t>
      </w:r>
      <w:r w:rsidR="004A45BE" w:rsidRPr="008D1A34">
        <w:t>:</w:t>
      </w:r>
    </w:p>
    <w:p w14:paraId="22722A8D" w14:textId="4CD24320" w:rsidR="007D7E19" w:rsidRPr="00964273" w:rsidRDefault="00B106A9" w:rsidP="00BC0C43">
      <w:r>
        <w:t>None.</w:t>
      </w:r>
    </w:p>
    <w:p w14:paraId="387EB1A7" w14:textId="77777777" w:rsidR="00361BBE" w:rsidRPr="008D1A34" w:rsidRDefault="009D5D20" w:rsidP="002D2EB5">
      <w:pPr>
        <w:pStyle w:val="Heading2"/>
      </w:pPr>
      <w:r w:rsidRPr="008D1A34">
        <w:t>In terms of the immediate costs of the proposed technology (and immediate cost consequences, such as procedural costs, testing costs etc.), is the proposed technology claimed to be more costly, the same cost or less costly than the comparator?</w:t>
      </w:r>
      <w:r w:rsidR="004A45BE" w:rsidRPr="008D1A34">
        <w:t xml:space="preserve"> </w:t>
      </w:r>
    </w:p>
    <w:p w14:paraId="0EB954C3" w14:textId="02517A3E" w:rsidR="006437E6" w:rsidRPr="0089269F" w:rsidRDefault="00B03610" w:rsidP="00582377">
      <w:pPr>
        <w:pStyle w:val="Tickboxes"/>
        <w:rPr>
          <w:sz w:val="24"/>
          <w:szCs w:val="24"/>
        </w:rPr>
      </w:pPr>
      <w:r>
        <w:rPr>
          <w:sz w:val="24"/>
          <w:szCs w:val="24"/>
        </w:rPr>
        <w:fldChar w:fldCharType="begin">
          <w:ffData>
            <w:name w:val=""/>
            <w:enabled/>
            <w:calcOnExit w:val="0"/>
            <w:statusText w:type="text" w:val="Costs of the proposed technology More costly"/>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More costly </w:t>
      </w:r>
    </w:p>
    <w:p w14:paraId="76F56838" w14:textId="69217CA6" w:rsidR="006437E6"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Same cos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Same cost</w:t>
      </w:r>
    </w:p>
    <w:p w14:paraId="7925F574" w14:textId="74BB1124" w:rsidR="00025969"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Less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Less costly </w:t>
      </w:r>
    </w:p>
    <w:p w14:paraId="3797314E" w14:textId="321C0DC3" w:rsidR="004A45BE" w:rsidRPr="008D1A34" w:rsidRDefault="009D5D20" w:rsidP="002D2EB5">
      <w:pPr>
        <w:pStyle w:val="Heading2"/>
      </w:pPr>
      <w:r w:rsidRPr="008D1A34">
        <w:t>Provide a brief rationale for the claim</w:t>
      </w:r>
      <w:r w:rsidR="004A45BE" w:rsidRPr="008D1A34">
        <w:t>:</w:t>
      </w:r>
    </w:p>
    <w:p w14:paraId="45B88419" w14:textId="70009781" w:rsidR="00962337" w:rsidRPr="00EB16E8" w:rsidRDefault="00C773DF" w:rsidP="00BC0C43">
      <w:r w:rsidRPr="00D54D8B">
        <w:rPr>
          <w:vertAlign w:val="superscript"/>
        </w:rPr>
        <w:t>177</w:t>
      </w:r>
      <w:r>
        <w:t xml:space="preserve">Lu-PSMA-617 is an innovative </w:t>
      </w:r>
      <w:r w:rsidR="00B1535C">
        <w:t>radiopharmaceutical</w:t>
      </w:r>
      <w:r>
        <w:t xml:space="preserve"> and as such will result in higher costs </w:t>
      </w:r>
      <w:r w:rsidR="006F1BA7">
        <w:t>than</w:t>
      </w:r>
      <w:r>
        <w:t xml:space="preserve"> currently available treatments for mCRPC. </w:t>
      </w:r>
      <w:r w:rsidR="002E4B83">
        <w:t>There are significant risks and investment from industry to develop innovative pharmaceuticals, with development times ranging from 5 to 20 years</w:t>
      </w:r>
      <w:r w:rsidR="000C2879">
        <w:t xml:space="preserve"> across multiple indications</w:t>
      </w:r>
      <w:r w:rsidR="002E4B83">
        <w:t>. Yet w</w:t>
      </w:r>
      <w:r>
        <w:t xml:space="preserve">ithout investment from government </w:t>
      </w:r>
      <w:r w:rsidR="00B1535C">
        <w:t xml:space="preserve">to ensure </w:t>
      </w:r>
      <w:r>
        <w:t xml:space="preserve">reimbursement, we </w:t>
      </w:r>
      <w:r w:rsidR="001D4E81">
        <w:t>miss the opportunity to secure</w:t>
      </w:r>
      <w:r w:rsidR="00B1535C">
        <w:t xml:space="preserve"> </w:t>
      </w:r>
      <w:r w:rsidR="002853E1">
        <w:t xml:space="preserve">timely and </w:t>
      </w:r>
      <w:r w:rsidR="00B1535C">
        <w:t>equitable</w:t>
      </w:r>
      <w:r w:rsidR="001D4E81">
        <w:t xml:space="preserve"> access for patients and </w:t>
      </w:r>
      <w:r w:rsidR="002E4B83">
        <w:t>risk</w:t>
      </w:r>
      <w:r>
        <w:t xml:space="preserve"> future investments</w:t>
      </w:r>
      <w:r w:rsidR="002E4B83">
        <w:t xml:space="preserve"> for innovation</w:t>
      </w:r>
      <w:r w:rsidR="001D4E81">
        <w:t>.</w:t>
      </w:r>
    </w:p>
    <w:p w14:paraId="7988E8B6" w14:textId="69C88183" w:rsidR="007316E0" w:rsidRPr="0089269F" w:rsidRDefault="007316E0" w:rsidP="002D2EB5">
      <w:pPr>
        <w:pStyle w:val="Heading2"/>
        <w:rPr>
          <w:lang w:eastAsia="en-AU"/>
        </w:rPr>
      </w:pPr>
      <w:r w:rsidRPr="0089269F">
        <w:rPr>
          <w:lang w:eastAsia="en-AU"/>
        </w:rPr>
        <w:t xml:space="preserve">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 </w:t>
      </w:r>
    </w:p>
    <w:p w14:paraId="5A6140CF" w14:textId="3FDFDBAC" w:rsidR="001D4E81" w:rsidRPr="003F4E49" w:rsidRDefault="001D4E81" w:rsidP="00BC0C43">
      <w:r>
        <w:t>This application is in relation to a radiopharmaceutical product that is listed on the ARTG. As such, this application is not required to provide any additional information.</w:t>
      </w:r>
      <w:r w:rsidR="00F144D2">
        <w:t xml:space="preserve"> </w:t>
      </w:r>
      <w:r>
        <w:t>The clinical claim in this application is not dependent upon another radiopharmaceutical product(s).</w:t>
      </w:r>
    </w:p>
    <w:p w14:paraId="797B3B37" w14:textId="77777777" w:rsidR="00BC0C43" w:rsidRPr="003F4E49" w:rsidRDefault="00BC0C43">
      <w:pPr>
        <w:spacing w:after="160" w:line="259" w:lineRule="auto"/>
      </w:pPr>
      <w:bookmarkStart w:id="20" w:name="_Hlk122532620"/>
      <w:r w:rsidRPr="003F4E49">
        <w:br w:type="page"/>
      </w:r>
    </w:p>
    <w:p w14:paraId="3F215402" w14:textId="77777777" w:rsidR="00BF4BAA" w:rsidRPr="003F4E49" w:rsidRDefault="00BF4BAA" w:rsidP="00EA0AA0">
      <w:pPr>
        <w:pStyle w:val="Heading1"/>
        <w:sectPr w:rsidR="00BF4BAA" w:rsidRPr="003F4E49" w:rsidSect="002662E5">
          <w:headerReference w:type="even" r:id="rId18"/>
          <w:footerReference w:type="even" r:id="rId19"/>
          <w:footerReference w:type="default" r:id="rId20"/>
          <w:pgSz w:w="11906" w:h="16838"/>
          <w:pgMar w:top="1418" w:right="1133" w:bottom="993" w:left="1276" w:header="426" w:footer="252" w:gutter="0"/>
          <w:pgNumType w:start="0"/>
          <w:cols w:space="708"/>
          <w:titlePg/>
          <w:docGrid w:linePitch="360"/>
        </w:sectPr>
      </w:pPr>
    </w:p>
    <w:p w14:paraId="78D9C328" w14:textId="6740661F" w:rsidR="0030566C" w:rsidRPr="00A84BCA" w:rsidRDefault="0030566C" w:rsidP="00EA0AA0">
      <w:pPr>
        <w:pStyle w:val="Heading1"/>
        <w:rPr>
          <w:color w:val="002060"/>
        </w:rPr>
      </w:pPr>
      <w:r w:rsidRPr="00A84BCA">
        <w:rPr>
          <w:color w:val="002060"/>
        </w:rPr>
        <w:lastRenderedPageBreak/>
        <w:t>Summary of Evidence</w:t>
      </w:r>
    </w:p>
    <w:p w14:paraId="30B8B45A" w14:textId="77F7CE07" w:rsidR="0030566C" w:rsidRPr="00613708" w:rsidRDefault="0030566C" w:rsidP="00613708">
      <w:pPr>
        <w:rPr>
          <w:b/>
          <w:bCs/>
          <w:sz w:val="24"/>
          <w:szCs w:val="24"/>
        </w:rPr>
      </w:pPr>
      <w:r w:rsidRPr="008D1A34">
        <w:rPr>
          <w:b/>
          <w:bCs/>
          <w:sz w:val="24"/>
          <w:szCs w:val="24"/>
        </w:rPr>
        <w:t xml:space="preserve">Provide one or more recent (published) high quality clinical studies that support use of the proposed health service/technology. At ‘Application Form lodgement’, </w:t>
      </w:r>
    </w:p>
    <w:tbl>
      <w:tblPr>
        <w:tblStyle w:val="TableGrid"/>
        <w:tblW w:w="5000" w:type="pct"/>
        <w:tblLook w:val="04A0" w:firstRow="1" w:lastRow="0" w:firstColumn="1" w:lastColumn="0" w:noHBand="0" w:noVBand="1"/>
        <w:tblCaption w:val="Summary of Evidence - Published"/>
      </w:tblPr>
      <w:tblGrid>
        <w:gridCol w:w="414"/>
        <w:gridCol w:w="1582"/>
        <w:gridCol w:w="3298"/>
        <w:gridCol w:w="2588"/>
        <w:gridCol w:w="4581"/>
        <w:gridCol w:w="1790"/>
      </w:tblGrid>
      <w:tr w:rsidR="005A0924" w:rsidRPr="00EC44E5" w14:paraId="7D7CFBCF" w14:textId="77777777" w:rsidTr="00F95E1D">
        <w:trPr>
          <w:cantSplit/>
          <w:tblHeader/>
        </w:trPr>
        <w:tc>
          <w:tcPr>
            <w:tcW w:w="145" w:type="pct"/>
          </w:tcPr>
          <w:p w14:paraId="3C303F90" w14:textId="77777777" w:rsidR="002B3774" w:rsidRPr="00EC44E5" w:rsidRDefault="002B3774">
            <w:pPr>
              <w:rPr>
                <w:sz w:val="24"/>
                <w:szCs w:val="24"/>
              </w:rPr>
            </w:pPr>
          </w:p>
        </w:tc>
        <w:tc>
          <w:tcPr>
            <w:tcW w:w="555" w:type="pct"/>
          </w:tcPr>
          <w:p w14:paraId="22034637" w14:textId="4327D1F1" w:rsidR="002B3774" w:rsidRPr="00EC44E5" w:rsidRDefault="002B3774">
            <w:pPr>
              <w:rPr>
                <w:b/>
                <w:bCs/>
                <w:sz w:val="24"/>
                <w:szCs w:val="24"/>
              </w:rPr>
            </w:pPr>
            <w:r w:rsidRPr="00EC44E5">
              <w:rPr>
                <w:b/>
                <w:bCs/>
                <w:sz w:val="24"/>
                <w:szCs w:val="24"/>
              </w:rPr>
              <w:t>Type of study design</w:t>
            </w:r>
          </w:p>
        </w:tc>
        <w:tc>
          <w:tcPr>
            <w:tcW w:w="1157" w:type="pct"/>
          </w:tcPr>
          <w:p w14:paraId="72A969B8" w14:textId="5BFD47C5" w:rsidR="002B3774" w:rsidRPr="00EC44E5" w:rsidRDefault="002B3774">
            <w:pPr>
              <w:rPr>
                <w:b/>
                <w:bCs/>
                <w:sz w:val="24"/>
                <w:szCs w:val="24"/>
              </w:rPr>
            </w:pPr>
            <w:r w:rsidRPr="00EC44E5">
              <w:rPr>
                <w:b/>
                <w:bCs/>
                <w:sz w:val="24"/>
                <w:szCs w:val="24"/>
              </w:rPr>
              <w:t>Title of journal article or research project</w:t>
            </w:r>
          </w:p>
        </w:tc>
        <w:tc>
          <w:tcPr>
            <w:tcW w:w="908" w:type="pct"/>
          </w:tcPr>
          <w:p w14:paraId="6849AB75" w14:textId="79A4FCA9" w:rsidR="002B3774" w:rsidRPr="00EC44E5" w:rsidRDefault="002B3774">
            <w:pPr>
              <w:rPr>
                <w:b/>
                <w:bCs/>
                <w:sz w:val="24"/>
                <w:szCs w:val="24"/>
              </w:rPr>
            </w:pPr>
            <w:r w:rsidRPr="00EC44E5">
              <w:rPr>
                <w:b/>
                <w:bCs/>
                <w:sz w:val="24"/>
                <w:szCs w:val="24"/>
              </w:rPr>
              <w:t>Short description of research</w:t>
            </w:r>
          </w:p>
        </w:tc>
        <w:tc>
          <w:tcPr>
            <w:tcW w:w="1607" w:type="pct"/>
          </w:tcPr>
          <w:p w14:paraId="6D438BD5" w14:textId="7C230BE5" w:rsidR="002B3774" w:rsidRPr="00EC44E5" w:rsidRDefault="002B3774">
            <w:pPr>
              <w:rPr>
                <w:b/>
                <w:bCs/>
                <w:sz w:val="24"/>
                <w:szCs w:val="24"/>
              </w:rPr>
            </w:pPr>
            <w:r w:rsidRPr="00EC44E5">
              <w:rPr>
                <w:b/>
                <w:bCs/>
                <w:sz w:val="24"/>
                <w:szCs w:val="24"/>
              </w:rPr>
              <w:t>Website link to journal article or research</w:t>
            </w:r>
          </w:p>
        </w:tc>
        <w:tc>
          <w:tcPr>
            <w:tcW w:w="629" w:type="pct"/>
          </w:tcPr>
          <w:p w14:paraId="53584C89" w14:textId="757C7881" w:rsidR="002B3774" w:rsidRPr="00EC44E5" w:rsidRDefault="002B3774">
            <w:pPr>
              <w:rPr>
                <w:b/>
                <w:bCs/>
                <w:sz w:val="24"/>
                <w:szCs w:val="24"/>
              </w:rPr>
            </w:pPr>
            <w:r w:rsidRPr="00EC44E5">
              <w:rPr>
                <w:b/>
                <w:bCs/>
                <w:sz w:val="24"/>
                <w:szCs w:val="24"/>
              </w:rPr>
              <w:t>Date of publication</w:t>
            </w:r>
          </w:p>
        </w:tc>
      </w:tr>
      <w:tr w:rsidR="000D7D91" w:rsidRPr="00EC44E5" w14:paraId="2DB72D2B" w14:textId="77777777" w:rsidTr="00F95E1D">
        <w:trPr>
          <w:cantSplit/>
        </w:trPr>
        <w:tc>
          <w:tcPr>
            <w:tcW w:w="145" w:type="pct"/>
          </w:tcPr>
          <w:p w14:paraId="24BC872D" w14:textId="45DD635A" w:rsidR="000D7D91" w:rsidRPr="00EC44E5" w:rsidRDefault="000D7D91" w:rsidP="000D7D91">
            <w:pPr>
              <w:rPr>
                <w:sz w:val="24"/>
                <w:szCs w:val="24"/>
              </w:rPr>
            </w:pPr>
            <w:r>
              <w:rPr>
                <w:szCs w:val="20"/>
              </w:rPr>
              <w:t>1.</w:t>
            </w:r>
          </w:p>
        </w:tc>
        <w:tc>
          <w:tcPr>
            <w:tcW w:w="555" w:type="pct"/>
          </w:tcPr>
          <w:p w14:paraId="6F9A9EC3" w14:textId="593949F0" w:rsidR="000D7D91" w:rsidRPr="00EC44E5" w:rsidRDefault="000D7D91" w:rsidP="000D7D91">
            <w:pPr>
              <w:rPr>
                <w:sz w:val="24"/>
                <w:szCs w:val="24"/>
              </w:rPr>
            </w:pPr>
            <w:r>
              <w:t>Phase III RCT</w:t>
            </w:r>
          </w:p>
        </w:tc>
        <w:tc>
          <w:tcPr>
            <w:tcW w:w="1157" w:type="pct"/>
          </w:tcPr>
          <w:p w14:paraId="05D658A7" w14:textId="77777777" w:rsidR="000D7D91" w:rsidRDefault="000D7D91" w:rsidP="000D7D91">
            <w:r>
              <w:t>Morris et al., 2024</w:t>
            </w:r>
          </w:p>
          <w:p w14:paraId="19C9A1BE" w14:textId="0B13B7B1" w:rsidR="000D7D91" w:rsidRPr="00EC44E5" w:rsidRDefault="000D7D91" w:rsidP="000D7D91">
            <w:pPr>
              <w:rPr>
                <w:sz w:val="24"/>
                <w:szCs w:val="24"/>
              </w:rPr>
            </w:pPr>
            <w:r w:rsidRPr="00A5372F">
              <w:t>177Lu-PSMA-617 versus a change of androgen receptor pathway inhibitor therapy for taxane-naive patients with progressive metastatic castration-resistant prostate cancer (</w:t>
            </w:r>
            <w:proofErr w:type="spellStart"/>
            <w:r w:rsidRPr="00A5372F">
              <w:t>PSMAfore</w:t>
            </w:r>
            <w:proofErr w:type="spellEnd"/>
            <w:r w:rsidRPr="00A5372F">
              <w:t>): a phase 3, randomised, controlled trial</w:t>
            </w:r>
            <w:r>
              <w:t>.</w:t>
            </w:r>
          </w:p>
        </w:tc>
        <w:tc>
          <w:tcPr>
            <w:tcW w:w="908" w:type="pct"/>
          </w:tcPr>
          <w:p w14:paraId="0E7ABD8C" w14:textId="77777777" w:rsidR="000D7D91" w:rsidRDefault="000D7D91" w:rsidP="000D7D91">
            <w:pPr>
              <w:rPr>
                <w:bCs/>
                <w:szCs w:val="20"/>
              </w:rPr>
            </w:pPr>
            <w:r w:rsidRPr="0032075F">
              <w:rPr>
                <w:bCs/>
                <w:szCs w:val="20"/>
              </w:rPr>
              <w:t xml:space="preserve">468 </w:t>
            </w:r>
            <w:r>
              <w:rPr>
                <w:bCs/>
                <w:szCs w:val="20"/>
              </w:rPr>
              <w:t xml:space="preserve">taxane-naïve, PSMA-positive mCRPC patients with progressive disease following ARPI were randomly allocated to 177Lu-PSMA-617 or change in ARPI. </w:t>
            </w:r>
            <w:proofErr w:type="spellStart"/>
            <w:r>
              <w:rPr>
                <w:bCs/>
                <w:szCs w:val="20"/>
              </w:rPr>
              <w:t>rPFS</w:t>
            </w:r>
            <w:proofErr w:type="spellEnd"/>
            <w:r>
              <w:rPr>
                <w:bCs/>
                <w:szCs w:val="20"/>
              </w:rPr>
              <w:t xml:space="preserve"> was the primary endpoint.</w:t>
            </w:r>
          </w:p>
          <w:p w14:paraId="674EB616" w14:textId="15C658D6" w:rsidR="000D7D91" w:rsidRPr="00EC44E5" w:rsidRDefault="000D7D91" w:rsidP="000D7D91">
            <w:pPr>
              <w:rPr>
                <w:sz w:val="24"/>
                <w:szCs w:val="24"/>
              </w:rPr>
            </w:pPr>
            <w:r>
              <w:rPr>
                <w:bCs/>
                <w:szCs w:val="20"/>
              </w:rPr>
              <w:t xml:space="preserve">Primary analysis showed a </w:t>
            </w:r>
            <w:r w:rsidRPr="001D2521">
              <w:rPr>
                <w:bCs/>
                <w:szCs w:val="20"/>
              </w:rPr>
              <w:t xml:space="preserve">statistically significant </w:t>
            </w:r>
            <w:r>
              <w:rPr>
                <w:bCs/>
                <w:szCs w:val="20"/>
              </w:rPr>
              <w:t>reduced</w:t>
            </w:r>
            <w:r w:rsidRPr="001D2521">
              <w:rPr>
                <w:bCs/>
                <w:szCs w:val="20"/>
              </w:rPr>
              <w:t xml:space="preserve"> risk of radiographic progression or death </w:t>
            </w:r>
            <w:r>
              <w:rPr>
                <w:bCs/>
                <w:szCs w:val="20"/>
              </w:rPr>
              <w:t>in the 177Lu-PSMA-617 arm</w:t>
            </w:r>
            <w:r w:rsidRPr="001D2521">
              <w:rPr>
                <w:bCs/>
                <w:szCs w:val="20"/>
              </w:rPr>
              <w:t xml:space="preserve"> (HR 0.41; 95% CI: 0.29, 0.56; p &lt;0.0001).</w:t>
            </w:r>
          </w:p>
        </w:tc>
        <w:tc>
          <w:tcPr>
            <w:tcW w:w="1607" w:type="pct"/>
          </w:tcPr>
          <w:p w14:paraId="51AC4F72" w14:textId="754ACD53" w:rsidR="000D7D91" w:rsidRPr="00EC44E5" w:rsidRDefault="000D7D91" w:rsidP="000D7D91">
            <w:pPr>
              <w:rPr>
                <w:sz w:val="24"/>
                <w:szCs w:val="24"/>
              </w:rPr>
            </w:pPr>
            <w:hyperlink r:id="rId21" w:history="1">
              <w:r w:rsidRPr="00A83F9A">
                <w:rPr>
                  <w:rStyle w:val="Hyperlink"/>
                </w:rPr>
                <w:t>https://doi.org/10.1016/S0140-6736(24)01653-2</w:t>
              </w:r>
            </w:hyperlink>
          </w:p>
        </w:tc>
        <w:tc>
          <w:tcPr>
            <w:tcW w:w="629" w:type="pct"/>
          </w:tcPr>
          <w:p w14:paraId="5A70A001" w14:textId="51B3E336" w:rsidR="000D7D91" w:rsidRPr="00EC44E5" w:rsidRDefault="000D7D91" w:rsidP="000D7D91">
            <w:pPr>
              <w:rPr>
                <w:sz w:val="24"/>
                <w:szCs w:val="24"/>
              </w:rPr>
            </w:pPr>
            <w:r>
              <w:t>2024</w:t>
            </w:r>
          </w:p>
        </w:tc>
      </w:tr>
      <w:tr w:rsidR="00434D6B" w:rsidRPr="00EC44E5" w14:paraId="13AA3206" w14:textId="77777777" w:rsidTr="00F95E1D">
        <w:trPr>
          <w:cantSplit/>
        </w:trPr>
        <w:tc>
          <w:tcPr>
            <w:tcW w:w="145" w:type="pct"/>
          </w:tcPr>
          <w:p w14:paraId="7E036800" w14:textId="5B0FA1EA" w:rsidR="00434D6B" w:rsidRPr="00EC44E5" w:rsidRDefault="00434D6B" w:rsidP="00434D6B">
            <w:pPr>
              <w:rPr>
                <w:sz w:val="24"/>
                <w:szCs w:val="24"/>
              </w:rPr>
            </w:pPr>
            <w:r w:rsidRPr="00EC44E5">
              <w:rPr>
                <w:sz w:val="24"/>
                <w:szCs w:val="24"/>
              </w:rPr>
              <w:lastRenderedPageBreak/>
              <w:t>2.</w:t>
            </w:r>
          </w:p>
        </w:tc>
        <w:tc>
          <w:tcPr>
            <w:tcW w:w="555" w:type="pct"/>
          </w:tcPr>
          <w:p w14:paraId="63B9BDA3" w14:textId="30E43A44" w:rsidR="00434D6B" w:rsidRPr="00EC44E5" w:rsidRDefault="00434D6B" w:rsidP="00434D6B">
            <w:pPr>
              <w:rPr>
                <w:sz w:val="24"/>
                <w:szCs w:val="24"/>
              </w:rPr>
            </w:pPr>
            <w:r>
              <w:t>Phase III RCT</w:t>
            </w:r>
          </w:p>
        </w:tc>
        <w:tc>
          <w:tcPr>
            <w:tcW w:w="1157" w:type="pct"/>
          </w:tcPr>
          <w:p w14:paraId="3E9C04A4" w14:textId="77777777" w:rsidR="00434D6B" w:rsidRDefault="00434D6B" w:rsidP="00434D6B">
            <w:proofErr w:type="spellStart"/>
            <w:r>
              <w:t>Fizazi</w:t>
            </w:r>
            <w:proofErr w:type="spellEnd"/>
            <w:r>
              <w:t xml:space="preserve"> et al., 2025</w:t>
            </w:r>
          </w:p>
          <w:p w14:paraId="67ACF6F2" w14:textId="026ADB6D" w:rsidR="00434D6B" w:rsidRPr="00EC44E5" w:rsidRDefault="00434D6B" w:rsidP="00434D6B">
            <w:pPr>
              <w:rPr>
                <w:sz w:val="24"/>
                <w:szCs w:val="24"/>
              </w:rPr>
            </w:pPr>
            <w:r w:rsidRPr="00DB64B9">
              <w:t>Health-related quality of life, pain, and symptomatic skeletal events with [177</w:t>
            </w:r>
            <w:proofErr w:type="gramStart"/>
            <w:r w:rsidRPr="00DB64B9">
              <w:t>Lu]Lu</w:t>
            </w:r>
            <w:proofErr w:type="gramEnd"/>
            <w:r w:rsidRPr="00DB64B9">
              <w:t>-PSMA-617 in patients with progressive metastatic castration-resistant prostate cancer (</w:t>
            </w:r>
            <w:proofErr w:type="spellStart"/>
            <w:r w:rsidRPr="00DB64B9">
              <w:t>PSMAfore</w:t>
            </w:r>
            <w:proofErr w:type="spellEnd"/>
            <w:r w:rsidRPr="00DB64B9">
              <w:t>): an open-label, randomised, phase 3 trial</w:t>
            </w:r>
            <w:r>
              <w:t>.</w:t>
            </w:r>
          </w:p>
        </w:tc>
        <w:tc>
          <w:tcPr>
            <w:tcW w:w="908" w:type="pct"/>
          </w:tcPr>
          <w:p w14:paraId="5870A1E3" w14:textId="77777777" w:rsidR="00434D6B" w:rsidRDefault="00434D6B" w:rsidP="00434D6B">
            <w:pPr>
              <w:rPr>
                <w:bCs/>
                <w:szCs w:val="20"/>
              </w:rPr>
            </w:pPr>
            <w:r w:rsidRPr="0032075F">
              <w:rPr>
                <w:bCs/>
                <w:szCs w:val="20"/>
              </w:rPr>
              <w:t xml:space="preserve">468 </w:t>
            </w:r>
            <w:r>
              <w:rPr>
                <w:bCs/>
                <w:szCs w:val="20"/>
              </w:rPr>
              <w:t>taxane-naïve, PSMA-positive mCRPC patients with progressive disease following ARPI were randomly allocated to 177Lu-PSMA-617 or change in ARPI. Patient-relevant outcomes were secondary endpoints.</w:t>
            </w:r>
            <w:r w:rsidRPr="004909E2">
              <w:rPr>
                <w:bCs/>
                <w:szCs w:val="20"/>
              </w:rPr>
              <w:t xml:space="preserve"> </w:t>
            </w:r>
          </w:p>
          <w:p w14:paraId="718A8EDB" w14:textId="4DA2BB32" w:rsidR="00434D6B" w:rsidRPr="00EC44E5" w:rsidRDefault="00434D6B" w:rsidP="00434D6B">
            <w:pPr>
              <w:rPr>
                <w:sz w:val="24"/>
                <w:szCs w:val="24"/>
              </w:rPr>
            </w:pPr>
            <w:r>
              <w:rPr>
                <w:bCs/>
                <w:szCs w:val="20"/>
              </w:rPr>
              <w:t>177Lu-PSMA-617 delayed time to worsening in all assessed FACT-P, EQ-5D-5L and BPI-SF scales and subscales compared to change in AR</w:t>
            </w:r>
            <w:r w:rsidR="00B37B12">
              <w:rPr>
                <w:bCs/>
                <w:szCs w:val="20"/>
              </w:rPr>
              <w:t>P</w:t>
            </w:r>
            <w:r>
              <w:rPr>
                <w:bCs/>
                <w:szCs w:val="20"/>
              </w:rPr>
              <w:t>I</w:t>
            </w:r>
            <w:r w:rsidRPr="001D2521">
              <w:rPr>
                <w:bCs/>
                <w:szCs w:val="20"/>
              </w:rPr>
              <w:t>.</w:t>
            </w:r>
          </w:p>
        </w:tc>
        <w:tc>
          <w:tcPr>
            <w:tcW w:w="1607" w:type="pct"/>
          </w:tcPr>
          <w:p w14:paraId="6B976BCE" w14:textId="29B74179" w:rsidR="00434D6B" w:rsidRPr="00EC44E5" w:rsidRDefault="00434D6B" w:rsidP="00434D6B">
            <w:pPr>
              <w:rPr>
                <w:sz w:val="24"/>
                <w:szCs w:val="24"/>
              </w:rPr>
            </w:pPr>
            <w:hyperlink r:id="rId22" w:history="1">
              <w:r w:rsidRPr="001A3F5F">
                <w:rPr>
                  <w:rStyle w:val="Hyperlink"/>
                </w:rPr>
                <w:t>https://doi.org/10.1016/S1470-2045(25)00189-5</w:t>
              </w:r>
            </w:hyperlink>
            <w:r>
              <w:t xml:space="preserve"> </w:t>
            </w:r>
          </w:p>
        </w:tc>
        <w:tc>
          <w:tcPr>
            <w:tcW w:w="629" w:type="pct"/>
          </w:tcPr>
          <w:p w14:paraId="2B0FAE9B" w14:textId="76578EE7" w:rsidR="00434D6B" w:rsidRPr="00EC44E5" w:rsidRDefault="00434D6B" w:rsidP="00434D6B">
            <w:pPr>
              <w:rPr>
                <w:sz w:val="24"/>
                <w:szCs w:val="24"/>
              </w:rPr>
            </w:pPr>
            <w:r>
              <w:t>2025</w:t>
            </w:r>
          </w:p>
        </w:tc>
      </w:tr>
      <w:tr w:rsidR="00F95E1D" w:rsidRPr="00EC44E5" w14:paraId="51DDDAD3" w14:textId="77777777" w:rsidTr="00F95E1D">
        <w:trPr>
          <w:cantSplit/>
        </w:trPr>
        <w:tc>
          <w:tcPr>
            <w:tcW w:w="145" w:type="pct"/>
          </w:tcPr>
          <w:p w14:paraId="531C52AD" w14:textId="4BE47DCA" w:rsidR="00F95E1D" w:rsidRPr="00EC44E5" w:rsidRDefault="00F95E1D" w:rsidP="00F95E1D">
            <w:pPr>
              <w:rPr>
                <w:sz w:val="24"/>
                <w:szCs w:val="24"/>
              </w:rPr>
            </w:pPr>
            <w:r w:rsidRPr="00EC44E5">
              <w:rPr>
                <w:sz w:val="24"/>
                <w:szCs w:val="24"/>
              </w:rPr>
              <w:lastRenderedPageBreak/>
              <w:t>3.</w:t>
            </w:r>
          </w:p>
        </w:tc>
        <w:tc>
          <w:tcPr>
            <w:tcW w:w="555" w:type="pct"/>
          </w:tcPr>
          <w:p w14:paraId="009C8826" w14:textId="136B787D" w:rsidR="00F95E1D" w:rsidRPr="00EC44E5" w:rsidRDefault="00F95E1D" w:rsidP="00F95E1D">
            <w:pPr>
              <w:rPr>
                <w:sz w:val="24"/>
                <w:szCs w:val="24"/>
              </w:rPr>
            </w:pPr>
            <w:r>
              <w:t>Phase III RCT</w:t>
            </w:r>
          </w:p>
        </w:tc>
        <w:tc>
          <w:tcPr>
            <w:tcW w:w="1157" w:type="pct"/>
          </w:tcPr>
          <w:p w14:paraId="1CFA0B29" w14:textId="084084C6" w:rsidR="00F95E1D" w:rsidRDefault="00F95E1D" w:rsidP="00F95E1D">
            <w:proofErr w:type="spellStart"/>
            <w:r>
              <w:t>Fizazi</w:t>
            </w:r>
            <w:proofErr w:type="spellEnd"/>
            <w:r>
              <w:t xml:space="preserve"> et al., 2025</w:t>
            </w:r>
          </w:p>
          <w:p w14:paraId="101FD05B" w14:textId="3F8ADCC4" w:rsidR="00F95E1D" w:rsidRPr="00EC44E5" w:rsidRDefault="00F95E1D" w:rsidP="00F95E1D">
            <w:pPr>
              <w:rPr>
                <w:sz w:val="24"/>
                <w:szCs w:val="24"/>
              </w:rPr>
            </w:pPr>
            <w:r w:rsidRPr="00B75168">
              <w:t xml:space="preserve">Final overall survival and safety analyses of the phase III </w:t>
            </w:r>
            <w:proofErr w:type="spellStart"/>
            <w:r w:rsidRPr="00B75168">
              <w:t>PSMAfore</w:t>
            </w:r>
            <w:proofErr w:type="spellEnd"/>
            <w:r w:rsidRPr="00B75168">
              <w:t xml:space="preserve"> trial of [177</w:t>
            </w:r>
            <w:proofErr w:type="gramStart"/>
            <w:r w:rsidRPr="00B75168">
              <w:t>Lu]Lu</w:t>
            </w:r>
            <w:proofErr w:type="gramEnd"/>
            <w:r w:rsidRPr="00B75168">
              <w:t>-PSMA-617 versus change of androgen receptor pathway inhibitor in taxane-naive patients with metastatic castration-resistant prostate cancer</w:t>
            </w:r>
            <w:r>
              <w:t>.</w:t>
            </w:r>
          </w:p>
        </w:tc>
        <w:tc>
          <w:tcPr>
            <w:tcW w:w="908" w:type="pct"/>
          </w:tcPr>
          <w:p w14:paraId="4D441FDF" w14:textId="77777777" w:rsidR="00F95E1D" w:rsidRDefault="00F95E1D" w:rsidP="00F95E1D">
            <w:pPr>
              <w:rPr>
                <w:bCs/>
                <w:szCs w:val="20"/>
              </w:rPr>
            </w:pPr>
            <w:r w:rsidRPr="0032075F">
              <w:rPr>
                <w:bCs/>
                <w:szCs w:val="20"/>
              </w:rPr>
              <w:t xml:space="preserve">468 </w:t>
            </w:r>
            <w:r>
              <w:rPr>
                <w:bCs/>
                <w:szCs w:val="20"/>
              </w:rPr>
              <w:t>taxane-naïve, PSMA-positive mCRPC patients with progressive disease following ARPI were randomly allocated to 177Lu-PSMA-617 or change in ARPI. Crossover from ARPI to 177Lu-PSMA-617 was allowed after confirmed progression. The key secondary endpoint was OS.</w:t>
            </w:r>
          </w:p>
          <w:p w14:paraId="2F88EF87" w14:textId="49879197" w:rsidR="00F95E1D" w:rsidRPr="00EC44E5" w:rsidRDefault="00F95E1D" w:rsidP="00F95E1D">
            <w:pPr>
              <w:rPr>
                <w:sz w:val="24"/>
                <w:szCs w:val="24"/>
              </w:rPr>
            </w:pPr>
            <w:r>
              <w:rPr>
                <w:bCs/>
                <w:szCs w:val="20"/>
              </w:rPr>
              <w:t>M</w:t>
            </w:r>
            <w:r w:rsidRPr="004C0DEE">
              <w:rPr>
                <w:bCs/>
                <w:szCs w:val="20"/>
              </w:rPr>
              <w:t xml:space="preserve">edian OS was 24.48 months with 177Lu-PSMA-617 versus 23.13 months with ARPI </w:t>
            </w:r>
            <w:r>
              <w:rPr>
                <w:bCs/>
                <w:szCs w:val="20"/>
              </w:rPr>
              <w:t>(</w:t>
            </w:r>
            <w:r w:rsidRPr="004C0DEE">
              <w:rPr>
                <w:bCs/>
                <w:szCs w:val="20"/>
              </w:rPr>
              <w:t>HR 0.91</w:t>
            </w:r>
            <w:r>
              <w:rPr>
                <w:bCs/>
                <w:szCs w:val="20"/>
              </w:rPr>
              <w:t>,</w:t>
            </w:r>
            <w:r w:rsidRPr="004C0DEE">
              <w:rPr>
                <w:bCs/>
                <w:szCs w:val="20"/>
              </w:rPr>
              <w:t xml:space="preserve"> P = 0.20</w:t>
            </w:r>
            <w:r>
              <w:rPr>
                <w:bCs/>
                <w:szCs w:val="20"/>
              </w:rPr>
              <w:t>)</w:t>
            </w:r>
            <w:r w:rsidRPr="004C0DEE">
              <w:rPr>
                <w:bCs/>
                <w:szCs w:val="20"/>
              </w:rPr>
              <w:t xml:space="preserve"> based on the ITT principle</w:t>
            </w:r>
            <w:r>
              <w:rPr>
                <w:bCs/>
                <w:szCs w:val="20"/>
              </w:rPr>
              <w:t>. C</w:t>
            </w:r>
            <w:r w:rsidRPr="004C0DEE">
              <w:rPr>
                <w:bCs/>
                <w:szCs w:val="20"/>
              </w:rPr>
              <w:t>rossover-adjusted OS HR by inverse probability of censoring weighting modelling was 0.59</w:t>
            </w:r>
            <w:r>
              <w:rPr>
                <w:bCs/>
                <w:szCs w:val="20"/>
              </w:rPr>
              <w:t>.</w:t>
            </w:r>
          </w:p>
        </w:tc>
        <w:tc>
          <w:tcPr>
            <w:tcW w:w="1607" w:type="pct"/>
          </w:tcPr>
          <w:p w14:paraId="3359E36D" w14:textId="70E9370D" w:rsidR="00F95E1D" w:rsidRPr="00EC44E5" w:rsidRDefault="00F95E1D" w:rsidP="00F95E1D">
            <w:pPr>
              <w:rPr>
                <w:sz w:val="24"/>
                <w:szCs w:val="24"/>
              </w:rPr>
            </w:pPr>
            <w:hyperlink r:id="rId23" w:history="1">
              <w:r w:rsidRPr="001A3F5F">
                <w:rPr>
                  <w:rStyle w:val="Hyperlink"/>
                </w:rPr>
                <w:t>https://doi.org/10.1016/j.annonc.2025.07.003</w:t>
              </w:r>
            </w:hyperlink>
            <w:r>
              <w:t xml:space="preserve"> </w:t>
            </w:r>
          </w:p>
        </w:tc>
        <w:tc>
          <w:tcPr>
            <w:tcW w:w="629" w:type="pct"/>
          </w:tcPr>
          <w:p w14:paraId="1A769279" w14:textId="3DF1EED3" w:rsidR="00F95E1D" w:rsidRPr="00EC44E5" w:rsidRDefault="00F95E1D" w:rsidP="00F95E1D">
            <w:pPr>
              <w:rPr>
                <w:sz w:val="24"/>
                <w:szCs w:val="24"/>
              </w:rPr>
            </w:pPr>
            <w:r>
              <w:t>2025</w:t>
            </w:r>
          </w:p>
        </w:tc>
      </w:tr>
    </w:tbl>
    <w:p w14:paraId="5E811926" w14:textId="77777777" w:rsidR="00613708" w:rsidRPr="00EC44E5" w:rsidRDefault="00613708" w:rsidP="00613708"/>
    <w:p w14:paraId="6CE4F0CD" w14:textId="110D1334" w:rsidR="00BC0C43" w:rsidRPr="00EC44E5" w:rsidRDefault="0030566C" w:rsidP="00BC0C43">
      <w:pPr>
        <w:rPr>
          <w:sz w:val="24"/>
          <w:szCs w:val="24"/>
        </w:rPr>
      </w:pPr>
      <w:r w:rsidRPr="00EC44E5">
        <w:rPr>
          <w:rStyle w:val="Heading2Char"/>
          <w:sz w:val="24"/>
          <w:szCs w:val="24"/>
        </w:rPr>
        <w:t xml:space="preserve">Identify yet-to-be-published research that may have results available </w:t>
      </w:r>
      <w:proofErr w:type="gramStart"/>
      <w:r w:rsidRPr="00EC44E5">
        <w:rPr>
          <w:rStyle w:val="Heading2Char"/>
          <w:sz w:val="24"/>
          <w:szCs w:val="24"/>
        </w:rPr>
        <w:t>in the near future</w:t>
      </w:r>
      <w:proofErr w:type="gramEnd"/>
      <w:r w:rsidRPr="00EC44E5">
        <w:rPr>
          <w:rStyle w:val="Heading2Char"/>
          <w:sz w:val="24"/>
          <w:szCs w:val="24"/>
        </w:rPr>
        <w:t xml:space="preserve"> (that could be relevant to your application).</w:t>
      </w:r>
      <w:r w:rsidRPr="00EC44E5">
        <w:rPr>
          <w:sz w:val="24"/>
          <w:szCs w:val="24"/>
        </w:rPr>
        <w:t xml:space="preserve"> </w:t>
      </w:r>
    </w:p>
    <w:p w14:paraId="3A47E654" w14:textId="172DB081" w:rsidR="0030566C" w:rsidRDefault="00613708" w:rsidP="00BC0C43">
      <w:pPr>
        <w:rPr>
          <w:color w:val="538135" w:themeColor="accent6" w:themeShade="BF"/>
          <w:sz w:val="20"/>
          <w:szCs w:val="20"/>
        </w:rPr>
      </w:pPr>
      <w:r>
        <w:t>None.</w:t>
      </w:r>
      <w:r w:rsidR="003C2446" w:rsidRPr="00EC44E5">
        <w:rPr>
          <w:i/>
          <w:iCs/>
          <w:color w:val="538135" w:themeColor="accent6" w:themeShade="BF"/>
          <w:sz w:val="20"/>
          <w:szCs w:val="20"/>
        </w:rPr>
        <w:t xml:space="preserve"> </w:t>
      </w:r>
      <w:bookmarkEnd w:id="20"/>
    </w:p>
    <w:p w14:paraId="70F64A59" w14:textId="77777777" w:rsidR="001B5BE7" w:rsidRDefault="001B5BE7" w:rsidP="00BC0C43">
      <w:pPr>
        <w:sectPr w:rsidR="001B5BE7" w:rsidSect="00BF4BAA">
          <w:pgSz w:w="16838" w:h="11906" w:orient="landscape"/>
          <w:pgMar w:top="1440" w:right="1440" w:bottom="991" w:left="1135" w:header="426" w:footer="252" w:gutter="0"/>
          <w:cols w:space="708"/>
          <w:docGrid w:linePitch="360"/>
        </w:sectPr>
      </w:pPr>
    </w:p>
    <w:p w14:paraId="61A9061B" w14:textId="068DE168" w:rsidR="001B5BE7" w:rsidRDefault="001B5BE7" w:rsidP="00CD3394">
      <w:pPr>
        <w:pStyle w:val="Heading1"/>
      </w:pPr>
      <w:r>
        <w:lastRenderedPageBreak/>
        <w:t>References</w:t>
      </w:r>
    </w:p>
    <w:p w14:paraId="38ECEACE" w14:textId="448F1240" w:rsidR="001F6B7E" w:rsidRPr="006245BF" w:rsidRDefault="00B37B12" w:rsidP="001F6B7E">
      <w:r w:rsidRPr="00B37B12">
        <w:t xml:space="preserve">AIHW 2025. Cancer data in Australia. </w:t>
      </w:r>
      <w:hyperlink r:id="rId24" w:history="1">
        <w:r w:rsidRPr="00B37B12">
          <w:rPr>
            <w:rStyle w:val="Hyperlink"/>
          </w:rPr>
          <w:t>https://www.aihw.gov.au/reports/cancer/cancer-data-in-australia/contents/summary-dashboard</w:t>
        </w:r>
      </w:hyperlink>
      <w:r w:rsidR="001F6B7E" w:rsidRPr="006245BF">
        <w:t>.</w:t>
      </w:r>
    </w:p>
    <w:p w14:paraId="73F8B3B4" w14:textId="77777777" w:rsidR="001F6B7E" w:rsidRDefault="001F6B7E" w:rsidP="001F6B7E">
      <w:r w:rsidRPr="00745FAB">
        <w:t>Al-</w:t>
      </w:r>
      <w:proofErr w:type="spellStart"/>
      <w:r w:rsidRPr="00745FAB">
        <w:t>Batran</w:t>
      </w:r>
      <w:proofErr w:type="spellEnd"/>
      <w:r w:rsidRPr="00745FAB">
        <w:t xml:space="preserve"> S. E., </w:t>
      </w:r>
      <w:proofErr w:type="spellStart"/>
      <w:r>
        <w:t>H</w:t>
      </w:r>
      <w:r w:rsidRPr="00745FAB">
        <w:t>ozaeel</w:t>
      </w:r>
      <w:proofErr w:type="spellEnd"/>
      <w:r>
        <w:t xml:space="preserve"> W., </w:t>
      </w:r>
      <w:proofErr w:type="spellStart"/>
      <w:r>
        <w:t>Tauchert</w:t>
      </w:r>
      <w:proofErr w:type="spellEnd"/>
      <w:r>
        <w:t xml:space="preserve"> F. K., Hofheinz R. D., Hinke A., </w:t>
      </w:r>
      <w:proofErr w:type="spellStart"/>
      <w:r>
        <w:t>Windemuth-Kieselback</w:t>
      </w:r>
      <w:proofErr w:type="spellEnd"/>
      <w:r>
        <w:t xml:space="preserve"> C., et al. 2015. The impact of docetaxel-related toxicities on health-related quality of life in patients with metastatic cancer (</w:t>
      </w:r>
      <w:proofErr w:type="spellStart"/>
      <w:r>
        <w:t>QoliTax</w:t>
      </w:r>
      <w:proofErr w:type="spellEnd"/>
      <w:r>
        <w:t>). Annals of Oncology 26, 1244-1248.  doi</w:t>
      </w:r>
      <w:r w:rsidRPr="00745FAB">
        <w:t>:10.1093/</w:t>
      </w:r>
      <w:proofErr w:type="spellStart"/>
      <w:r w:rsidRPr="00745FAB">
        <w:t>annonc</w:t>
      </w:r>
      <w:proofErr w:type="spellEnd"/>
      <w:r w:rsidRPr="00745FAB">
        <w:t>/mdv129</w:t>
      </w:r>
    </w:p>
    <w:p w14:paraId="2712FC8C" w14:textId="77777777" w:rsidR="001F6B7E" w:rsidRDefault="001F6B7E" w:rsidP="001F6B7E">
      <w:r>
        <w:t xml:space="preserve">Beltran H., Calais J., Emmett L., Kuo P. H. and Logothetis C. J. 2025. Biomarkers to optimize PSMA-targeted radioligand therapy for metastatic castration-resistant prostate cancer. Frontiers in Oncology 15:1583168. </w:t>
      </w:r>
      <w:proofErr w:type="spellStart"/>
      <w:r>
        <w:t>doi</w:t>
      </w:r>
      <w:proofErr w:type="spellEnd"/>
      <w:r>
        <w:t>: 10.3389/fonc.2025.1583168</w:t>
      </w:r>
    </w:p>
    <w:p w14:paraId="1E6F5FF4" w14:textId="77777777" w:rsidR="001F6B7E" w:rsidRDefault="001F6B7E" w:rsidP="001F6B7E">
      <w:proofErr w:type="spellStart"/>
      <w:r>
        <w:t>Benesova</w:t>
      </w:r>
      <w:proofErr w:type="spellEnd"/>
      <w:r>
        <w:t xml:space="preserve"> M., Schafer M., Bauder-Wust U., Afshar-</w:t>
      </w:r>
      <w:proofErr w:type="spellStart"/>
      <w:r>
        <w:t>Oromieh</w:t>
      </w:r>
      <w:proofErr w:type="spellEnd"/>
      <w:r>
        <w:t xml:space="preserve"> A., Kratochwil C., Meir W., Haberkorn U., et al. 2015. Preclinical evaluation of a tailor-made DOTA-conjugated PSMA inhibitor with optimized linker moiety for imaging and </w:t>
      </w:r>
      <w:proofErr w:type="spellStart"/>
      <w:r>
        <w:t>endoradiotherapy</w:t>
      </w:r>
      <w:proofErr w:type="spellEnd"/>
      <w:r>
        <w:t xml:space="preserve"> of prostate cancer. Journal of Nuclear Medicine 56, 914-920. </w:t>
      </w:r>
      <w:proofErr w:type="spellStart"/>
      <w:r>
        <w:t>doi</w:t>
      </w:r>
      <w:proofErr w:type="spellEnd"/>
      <w:r w:rsidRPr="00745FAB">
        <w:t>: 10.2967/jnumed.114.147413</w:t>
      </w:r>
    </w:p>
    <w:p w14:paraId="31C0C5FE" w14:textId="77777777" w:rsidR="001F6B7E" w:rsidRDefault="001F6B7E" w:rsidP="001F6B7E">
      <w:r>
        <w:t xml:space="preserve">Chambers S. K., Hyde M. K., Laurie K., Legg M., Frydenberg M., Davis I. D., et al. 2018. Experiences of Australian men diagnosed with advanced prostate cancer: a qualitative study. BMJ Open </w:t>
      </w:r>
      <w:proofErr w:type="gramStart"/>
      <w:r>
        <w:t>8:e</w:t>
      </w:r>
      <w:proofErr w:type="gramEnd"/>
      <w:r>
        <w:t>019917. doi:10.1136/bmjopen-2017-019917</w:t>
      </w:r>
    </w:p>
    <w:p w14:paraId="4B787D83" w14:textId="77777777" w:rsidR="001F6B7E" w:rsidRDefault="001F6B7E" w:rsidP="001F6B7E">
      <w:r w:rsidRPr="006245BF">
        <w:t xml:space="preserve">Chowdhury S., </w:t>
      </w:r>
      <w:proofErr w:type="spellStart"/>
      <w:r w:rsidRPr="006245BF">
        <w:t>Bjartell</w:t>
      </w:r>
      <w:proofErr w:type="spellEnd"/>
      <w:r w:rsidRPr="006245BF">
        <w:t xml:space="preserve"> A., Lumen N., Maroto P., </w:t>
      </w:r>
      <w:proofErr w:type="spellStart"/>
      <w:r w:rsidRPr="006245BF">
        <w:t>Paiss</w:t>
      </w:r>
      <w:proofErr w:type="spellEnd"/>
      <w:r w:rsidRPr="006245BF">
        <w:t xml:space="preserve"> T., Gomez-Veiga F., et al. 2020. </w:t>
      </w:r>
      <w:r w:rsidRPr="00A14303">
        <w:t>Real-world outcomes in first-line treatment of metastatic castration-</w:t>
      </w:r>
      <w:r>
        <w:t xml:space="preserve">resistant prostate cancer: the prostate cancer registry. Targeted Oncology 15, 301-315. </w:t>
      </w:r>
      <w:r w:rsidRPr="00A14303">
        <w:t>doi.org/10.1007/s11523-020-00720-2</w:t>
      </w:r>
    </w:p>
    <w:p w14:paraId="6873D511" w14:textId="77777777" w:rsidR="001F6B7E" w:rsidRDefault="001F6B7E" w:rsidP="001F6B7E">
      <w:proofErr w:type="spellStart"/>
      <w:r w:rsidRPr="00A14303">
        <w:t>Crombag</w:t>
      </w:r>
      <w:proofErr w:type="spellEnd"/>
      <w:r w:rsidRPr="00A14303">
        <w:t xml:space="preserve"> MR. B. S., de Vries </w:t>
      </w:r>
      <w:proofErr w:type="spellStart"/>
      <w:r w:rsidRPr="00A14303">
        <w:t>Sch</w:t>
      </w:r>
      <w:r>
        <w:t>eultink</w:t>
      </w:r>
      <w:proofErr w:type="spellEnd"/>
      <w:r>
        <w:t xml:space="preserve"> A. H. M., van </w:t>
      </w:r>
      <w:proofErr w:type="spellStart"/>
      <w:r>
        <w:t>Doremalen</w:t>
      </w:r>
      <w:proofErr w:type="spellEnd"/>
      <w:r>
        <w:t xml:space="preserve"> J. G. C., Otten HM., Bergman A.M, </w:t>
      </w:r>
      <w:proofErr w:type="spellStart"/>
      <w:r>
        <w:t>Schellens</w:t>
      </w:r>
      <w:proofErr w:type="spellEnd"/>
      <w:r>
        <w:t xml:space="preserve"> J. H. M., et al. 2019. Age-associated </w:t>
      </w:r>
      <w:proofErr w:type="spellStart"/>
      <w:r>
        <w:t>hematological</w:t>
      </w:r>
      <w:proofErr w:type="spellEnd"/>
      <w:r>
        <w:t xml:space="preserve"> toxicity in patients with metastatic castration-resistant prostate cancer treated with docetaxel in clinical practice. Drugs &amp; Aging 36, 379-385. </w:t>
      </w:r>
      <w:r w:rsidRPr="00A14303">
        <w:t>doi.org/10.1007/s40266-019-00643-2</w:t>
      </w:r>
    </w:p>
    <w:p w14:paraId="3EC1DC25" w14:textId="77777777" w:rsidR="001F6B7E" w:rsidRDefault="001F6B7E" w:rsidP="001F6B7E">
      <w:r w:rsidRPr="00A14303">
        <w:t xml:space="preserve">European Association of Urology (EAU). Guidelines on Prostate Cancer (2025). </w:t>
      </w:r>
      <w:hyperlink r:id="rId25" w:history="1">
        <w:r w:rsidRPr="003433EA">
          <w:rPr>
            <w:rStyle w:val="Hyperlink"/>
          </w:rPr>
          <w:t>https://uroweb.org/guidelines/prostate-cancer</w:t>
        </w:r>
      </w:hyperlink>
      <w:r w:rsidRPr="00A14303">
        <w:t>.</w:t>
      </w:r>
    </w:p>
    <w:p w14:paraId="2E2751A8" w14:textId="77777777" w:rsidR="001F6B7E" w:rsidRDefault="001F6B7E" w:rsidP="001F6B7E">
      <w:proofErr w:type="spellStart"/>
      <w:r>
        <w:t>EuroQol</w:t>
      </w:r>
      <w:proofErr w:type="spellEnd"/>
      <w:r>
        <w:t xml:space="preserve"> Group 1990. </w:t>
      </w:r>
      <w:proofErr w:type="spellStart"/>
      <w:r>
        <w:t>EuroQol</w:t>
      </w:r>
      <w:proofErr w:type="spellEnd"/>
      <w:r>
        <w:t xml:space="preserve"> – a new facility for the measurement of health-related quality of life. Health Policy 16, 199-208.</w:t>
      </w:r>
    </w:p>
    <w:p w14:paraId="3574682F" w14:textId="77777777" w:rsidR="001F6B7E" w:rsidRDefault="001F6B7E" w:rsidP="001F6B7E">
      <w:proofErr w:type="spellStart"/>
      <w:r w:rsidRPr="00A14303">
        <w:t>Fizazi</w:t>
      </w:r>
      <w:proofErr w:type="spellEnd"/>
      <w:r w:rsidRPr="00A14303">
        <w:t xml:space="preserve"> K. &amp; </w:t>
      </w:r>
      <w:proofErr w:type="spellStart"/>
      <w:r w:rsidRPr="00A14303">
        <w:t>Gillessen</w:t>
      </w:r>
      <w:proofErr w:type="spellEnd"/>
      <w:r w:rsidRPr="00A14303">
        <w:t xml:space="preserve"> S. on behalf of the ESMO Guidelines Committee. (2023). Updated treatment recommendations for prostate cancer from the ESMO Clinical Practice Guideline considering treatment intensification and use of novel systemic agents. Annals of Oncology, 34(6), 557-563.</w:t>
      </w:r>
    </w:p>
    <w:p w14:paraId="4DCD97DC" w14:textId="77777777" w:rsidR="001F6B7E" w:rsidRDefault="001F6B7E" w:rsidP="001F6B7E">
      <w:proofErr w:type="spellStart"/>
      <w:r w:rsidRPr="00A14303">
        <w:t>Fizazi</w:t>
      </w:r>
      <w:proofErr w:type="spellEnd"/>
      <w:r w:rsidRPr="00A14303">
        <w:t xml:space="preserve"> K., Chi K. N., Shore N. D., Hermann K., de Bono J. S., Castellano D., et al. 2025. Final overall survival and safety analyses of the phase III </w:t>
      </w:r>
      <w:proofErr w:type="spellStart"/>
      <w:r w:rsidRPr="00A14303">
        <w:t>PSMAfore</w:t>
      </w:r>
      <w:proofErr w:type="spellEnd"/>
      <w:r w:rsidRPr="00A14303">
        <w:t xml:space="preserve"> trial of</w:t>
      </w:r>
      <w:r>
        <w:t xml:space="preserve"> </w:t>
      </w:r>
      <w:r w:rsidRPr="00A14303">
        <w:t xml:space="preserve">[ 177 </w:t>
      </w:r>
      <w:proofErr w:type="gramStart"/>
      <w:r w:rsidRPr="00A14303">
        <w:t>Lu]Lu</w:t>
      </w:r>
      <w:proofErr w:type="gramEnd"/>
      <w:r w:rsidRPr="00A14303">
        <w:t>-PSMA-617 versus change of androgen receptor pathway</w:t>
      </w:r>
      <w:r>
        <w:t xml:space="preserve"> </w:t>
      </w:r>
      <w:r w:rsidRPr="00A14303">
        <w:t>inhibitor in taxane-naive patients with metastatic castration-resistant</w:t>
      </w:r>
      <w:r>
        <w:t xml:space="preserve"> </w:t>
      </w:r>
      <w:r w:rsidRPr="00A14303">
        <w:t xml:space="preserve">prostate cancer. </w:t>
      </w:r>
      <w:r>
        <w:t xml:space="preserve">Annals of Oncology 36(11), 1319-1330. </w:t>
      </w:r>
      <w:r w:rsidRPr="00CA30A3">
        <w:t>doi.org/10.1016/j.annonc.2025.07.003</w:t>
      </w:r>
    </w:p>
    <w:p w14:paraId="6347A305" w14:textId="77777777" w:rsidR="001F6B7E" w:rsidRPr="00CA30A3" w:rsidRDefault="001F6B7E" w:rsidP="001F6B7E">
      <w:proofErr w:type="spellStart"/>
      <w:r w:rsidRPr="00CA30A3">
        <w:t>Fizazi</w:t>
      </w:r>
      <w:proofErr w:type="spellEnd"/>
      <w:r w:rsidRPr="00CA30A3">
        <w:t xml:space="preserve"> K., Morris M. J., Shore N. D., Chi K. N., Crosby M., de Bono J. S., et al.</w:t>
      </w:r>
      <w:r>
        <w:t xml:space="preserve"> 2025</w:t>
      </w:r>
      <w:r w:rsidRPr="00CA30A3">
        <w:t xml:space="preserve"> Health-related quality of life, pain, and symptomatic skeletal events with [177</w:t>
      </w:r>
      <w:proofErr w:type="gramStart"/>
      <w:r w:rsidRPr="00CA30A3">
        <w:t>Lu]Lu</w:t>
      </w:r>
      <w:proofErr w:type="gramEnd"/>
      <w:r w:rsidRPr="00CA30A3">
        <w:t>-PSMA-617 in patients with progressive metastatic castration-resistant prostate cancer (</w:t>
      </w:r>
      <w:proofErr w:type="spellStart"/>
      <w:r w:rsidRPr="00CA30A3">
        <w:t>PSMAfore</w:t>
      </w:r>
      <w:proofErr w:type="spellEnd"/>
      <w:r w:rsidRPr="00CA30A3">
        <w:t>): an open-label, randomised, phase 3 trial</w:t>
      </w:r>
      <w:r>
        <w:t>. Lancet Oncology. doi.org/10.1016/S1470-2045(25)00189-5</w:t>
      </w:r>
    </w:p>
    <w:p w14:paraId="4E45D753" w14:textId="77777777" w:rsidR="001F6B7E" w:rsidRDefault="001F6B7E" w:rsidP="001F6B7E">
      <w:proofErr w:type="spellStart"/>
      <w:r w:rsidRPr="00A14303">
        <w:t>Fizazi</w:t>
      </w:r>
      <w:proofErr w:type="spellEnd"/>
      <w:r w:rsidRPr="00A14303">
        <w:t xml:space="preserve"> K., Attard G., Azad A. A., et al. on behalf of the ESMO Guidelines Committee. (2026). Advanced and metastatic prostate cancer: ESMO Clinical Practice Guideline for diagnosis, treatment and follow-up. Annals of Oncology.</w:t>
      </w:r>
    </w:p>
    <w:p w14:paraId="68626331" w14:textId="77777777" w:rsidR="001F6B7E" w:rsidRDefault="001F6B7E" w:rsidP="001F6B7E">
      <w:r>
        <w:t xml:space="preserve">Francini E., Gray K. P., Shaw G. K., Evan C. P., Hamid A. A., Perry C. E., et al. 2019. Impact of new systemic therapies on overall survival of patients with metastatic castration resistant prostate cancer in a hospital-based registry. Prostate Cancer </w:t>
      </w:r>
      <w:proofErr w:type="spellStart"/>
      <w:r>
        <w:t>Prostiatic</w:t>
      </w:r>
      <w:proofErr w:type="spellEnd"/>
      <w:r>
        <w:t xml:space="preserve"> Dis. 22(3), 420-427. </w:t>
      </w:r>
      <w:r w:rsidRPr="00CA30A3">
        <w:t>doi:10.1038/s41391-018-0121-2</w:t>
      </w:r>
    </w:p>
    <w:p w14:paraId="2184390D" w14:textId="77777777" w:rsidR="001F6B7E" w:rsidRDefault="001F6B7E" w:rsidP="001F6B7E">
      <w:r>
        <w:lastRenderedPageBreak/>
        <w:t xml:space="preserve">George D. J., Mohamed A. F., Tsai JH., Karimi M., Ning N., </w:t>
      </w:r>
      <w:proofErr w:type="spellStart"/>
      <w:r>
        <w:t>Jayade</w:t>
      </w:r>
      <w:proofErr w:type="spellEnd"/>
      <w:r>
        <w:t xml:space="preserve"> S., et al. 2022. Understanding what matters to metastatic castration-resistant prostate cancer (mCRPC) patients when considering treatment options: A US patient preference survey. Cancer Medicine 1</w:t>
      </w:r>
      <w:r w:rsidRPr="00CA30A3">
        <w:t>2:6040–6055.</w:t>
      </w:r>
      <w:r>
        <w:t xml:space="preserve"> </w:t>
      </w:r>
      <w:proofErr w:type="spellStart"/>
      <w:r>
        <w:t>doi</w:t>
      </w:r>
      <w:proofErr w:type="spellEnd"/>
      <w:r w:rsidRPr="00CA30A3">
        <w:t>: 10.1002/cam4.5313</w:t>
      </w:r>
    </w:p>
    <w:p w14:paraId="688D70ED" w14:textId="77777777" w:rsidR="001F6B7E" w:rsidRDefault="001F6B7E" w:rsidP="001F6B7E">
      <w:r>
        <w:t>Hofman M. S., Emmett L., Sandhu S., Iravani A., Buteau J. P., Joshua A. M., et al. 2024. Overall survival with [¹77</w:t>
      </w:r>
      <w:proofErr w:type="gramStart"/>
      <w:r>
        <w:t>Lu]Lu</w:t>
      </w:r>
      <w:proofErr w:type="gramEnd"/>
      <w:r>
        <w:t xml:space="preserve">-PSMA-617 versus </w:t>
      </w:r>
      <w:proofErr w:type="spellStart"/>
      <w:r>
        <w:t>cabazitaxel</w:t>
      </w:r>
      <w:proofErr w:type="spellEnd"/>
      <w:r>
        <w:t xml:space="preserve"> in metastatic castration-resistant prostate cancer (</w:t>
      </w:r>
      <w:proofErr w:type="spellStart"/>
      <w:r>
        <w:t>TheraP</w:t>
      </w:r>
      <w:proofErr w:type="spellEnd"/>
      <w:r>
        <w:t>): secondary outcomes of a randomised, open-label, phase 2 trial. Lancet Oncology 25, 99-107. doi.org/10.1016/S1470-2045(23)00529-6</w:t>
      </w:r>
    </w:p>
    <w:p w14:paraId="15321FB3" w14:textId="77777777" w:rsidR="001F6B7E" w:rsidRDefault="001F6B7E" w:rsidP="001F6B7E">
      <w:r>
        <w:t>Holstrom S., Naidoo S., Turnbull J., Hawryluk E., Paty J. and Morlock R. 2018. Symptoms and impacts in metastatic castration-resistant prostate cancer: qualitative findings from patient and physician interviews. The Patient – Patient-</w:t>
      </w:r>
      <w:proofErr w:type="spellStart"/>
      <w:r>
        <w:t>Centered</w:t>
      </w:r>
      <w:proofErr w:type="spellEnd"/>
      <w:r>
        <w:t xml:space="preserve"> Outcomes Research 12, 57-67. doi.org/10.1007/s40271-018-0349-x</w:t>
      </w:r>
    </w:p>
    <w:p w14:paraId="3EF6C336" w14:textId="77777777" w:rsidR="001F6B7E" w:rsidRDefault="001F6B7E" w:rsidP="001F6B7E">
      <w:r>
        <w:t xml:space="preserve">Hupe M. C., Philippi C., Roth D., </w:t>
      </w:r>
      <w:proofErr w:type="spellStart"/>
      <w:r>
        <w:t>Kumpers</w:t>
      </w:r>
      <w:proofErr w:type="spellEnd"/>
      <w:r>
        <w:t xml:space="preserve"> C., </w:t>
      </w:r>
      <w:proofErr w:type="spellStart"/>
      <w:r>
        <w:t>Ribbat</w:t>
      </w:r>
      <w:proofErr w:type="spellEnd"/>
      <w:r>
        <w:t xml:space="preserve">-Idel J., Becker F., et al. 2018. Expression of prostate-specific membrane antigen (PSMA) on biopsies is an independent risk </w:t>
      </w:r>
      <w:proofErr w:type="spellStart"/>
      <w:r>
        <w:t>stratifier</w:t>
      </w:r>
      <w:proofErr w:type="spellEnd"/>
      <w:r>
        <w:t xml:space="preserve"> of prostate cancer patients at time of initial diagnosis. Frontiers in Oncology 8:623. </w:t>
      </w:r>
      <w:proofErr w:type="spellStart"/>
      <w:r w:rsidRPr="00104D25">
        <w:t>doi</w:t>
      </w:r>
      <w:proofErr w:type="spellEnd"/>
      <w:r w:rsidRPr="00104D25">
        <w:t>: 10.3389/fonc.2018.00623</w:t>
      </w:r>
    </w:p>
    <w:p w14:paraId="1BABB667" w14:textId="77777777" w:rsidR="001F6B7E" w:rsidRDefault="001F6B7E" w:rsidP="001F6B7E">
      <w:r>
        <w:t xml:space="preserve">Kirby M., Hirst C. and Crawford E. D. 2011. Characterising the castration resistant prostate cancer population: a systematic review. The International Journal of Clinical Practice 65, 11, 1180–1192. 1180 </w:t>
      </w:r>
      <w:proofErr w:type="spellStart"/>
      <w:r>
        <w:t>doi</w:t>
      </w:r>
      <w:proofErr w:type="spellEnd"/>
      <w:r>
        <w:t>: 10.1111/j.1742-1241.</w:t>
      </w:r>
      <w:proofErr w:type="gramStart"/>
      <w:r>
        <w:t>2011.02799.x</w:t>
      </w:r>
      <w:proofErr w:type="gramEnd"/>
    </w:p>
    <w:p w14:paraId="25814158" w14:textId="77777777" w:rsidR="001F6B7E" w:rsidRDefault="001F6B7E" w:rsidP="001F6B7E">
      <w:r>
        <w:t xml:space="preserve">Kratochwil C., Fendler W. P., </w:t>
      </w:r>
      <w:proofErr w:type="spellStart"/>
      <w:r>
        <w:t>Eiber</w:t>
      </w:r>
      <w:proofErr w:type="spellEnd"/>
      <w:r>
        <w:t xml:space="preserve"> M., Hofman M. S., Emmett L., Calais J., et al. 2023. Joint EANM/SNMMI procedure guideline for the use of 177Lu-labeled PSMA-targeted radioligand-therapy (177Lu-PSMA-RLT). European Journal of Nuclear Medicine and Molecular Imaging 50, 2830-2845. </w:t>
      </w:r>
      <w:r w:rsidRPr="00104D25">
        <w:t>doi.org/10.1007/s00259-023-06255-8</w:t>
      </w:r>
    </w:p>
    <w:p w14:paraId="6AB4A216" w14:textId="77777777" w:rsidR="001F6B7E" w:rsidRDefault="001F6B7E" w:rsidP="001F6B7E">
      <w:proofErr w:type="spellStart"/>
      <w:r w:rsidRPr="006245BF">
        <w:t>Kulasegaran</w:t>
      </w:r>
      <w:proofErr w:type="spellEnd"/>
      <w:r w:rsidRPr="006245BF">
        <w:t xml:space="preserve"> T. and Oliveira N. 2024. </w:t>
      </w:r>
      <w:r w:rsidRPr="00104D25">
        <w:t>Metastatic castration-resistant prostate cancer:</w:t>
      </w:r>
      <w:r>
        <w:t xml:space="preserve"> advances in treatment and symptom management. Current Treatment Options in Oncology 25, 914-931. </w:t>
      </w:r>
      <w:proofErr w:type="spellStart"/>
      <w:r>
        <w:t>doi</w:t>
      </w:r>
      <w:proofErr w:type="spellEnd"/>
      <w:r w:rsidRPr="00104D25">
        <w:t xml:space="preserve"> 10.1007/s11864-024-01215-2</w:t>
      </w:r>
    </w:p>
    <w:p w14:paraId="2EBB0D05" w14:textId="77777777" w:rsidR="001F6B7E" w:rsidRDefault="001F6B7E" w:rsidP="001F6B7E">
      <w:r>
        <w:t xml:space="preserve">Leaning D., Kaur G., Morgans A. K., Ghouse R., Mirante O. and Chowdhury S. 2023. Treatment landscape and burden of disease in metastatic castration-resistant prostate cancer: systematic and structured literature reviews. Frontiers in Oncology 13:1240864. </w:t>
      </w:r>
      <w:proofErr w:type="spellStart"/>
      <w:r>
        <w:t>doi</w:t>
      </w:r>
      <w:proofErr w:type="spellEnd"/>
      <w:r>
        <w:t>: 10.3389/fonc.2023.1240864</w:t>
      </w:r>
    </w:p>
    <w:p w14:paraId="58EF494A" w14:textId="77777777" w:rsidR="001F6B7E" w:rsidRDefault="001F6B7E" w:rsidP="001F6B7E">
      <w:r>
        <w:t xml:space="preserve">Lowrance W., </w:t>
      </w:r>
      <w:proofErr w:type="spellStart"/>
      <w:r>
        <w:t>Dreicer</w:t>
      </w:r>
      <w:proofErr w:type="spellEnd"/>
      <w:r>
        <w:t xml:space="preserve"> R., Jarrard D. F., Scarpato K. R., Kim S. K., Kirkby E., et al. 2023. Updates to Advanced Prostate Cancer: AUA/SUO Guideline (2023). </w:t>
      </w:r>
      <w:r w:rsidRPr="0045050A">
        <w:t>The Journal of Urology, 209(6), 1082-1090</w:t>
      </w:r>
      <w:r>
        <w:t xml:space="preserve">. </w:t>
      </w:r>
      <w:r w:rsidRPr="0045050A">
        <w:t>doi.org/10.1097/JU.0000000000003452</w:t>
      </w:r>
    </w:p>
    <w:p w14:paraId="6EDB78DE" w14:textId="77777777" w:rsidR="001F6B7E" w:rsidRPr="006245BF" w:rsidRDefault="001F6B7E" w:rsidP="001F6B7E">
      <w:r>
        <w:t xml:space="preserve">Malone S., Wallis C. J. D., Lee-Ying R., </w:t>
      </w:r>
      <w:proofErr w:type="spellStart"/>
      <w:r>
        <w:t>Basappa</w:t>
      </w:r>
      <w:proofErr w:type="spellEnd"/>
      <w:r>
        <w:t xml:space="preserve"> N. S., </w:t>
      </w:r>
      <w:proofErr w:type="spellStart"/>
      <w:r>
        <w:t>Cagiannos</w:t>
      </w:r>
      <w:proofErr w:type="spellEnd"/>
      <w:r>
        <w:t xml:space="preserve"> I., Hamilton R. J., et al. 2022. Patterns of care for non-metastatic castration-resistant prostate cancer: A population-based study. </w:t>
      </w:r>
      <w:r w:rsidRPr="006245BF">
        <w:t xml:space="preserve">BJUI Compass 3, 383-391. </w:t>
      </w:r>
      <w:proofErr w:type="spellStart"/>
      <w:r w:rsidRPr="006245BF">
        <w:t>doi</w:t>
      </w:r>
      <w:proofErr w:type="spellEnd"/>
      <w:r w:rsidRPr="006245BF">
        <w:t>: 10.1002/bco2.158</w:t>
      </w:r>
    </w:p>
    <w:p w14:paraId="74B8C672" w14:textId="77777777" w:rsidR="001F6B7E" w:rsidRPr="006245BF" w:rsidRDefault="001F6B7E" w:rsidP="001F6B7E">
      <w:r w:rsidRPr="006245BF">
        <w:t xml:space="preserve">Morris M. J., Castellano D., Hermann K., de Bono J. S., Shore N. D., Chi K. N., et al. 2024. </w:t>
      </w:r>
      <w:r w:rsidRPr="0045050A">
        <w:t>177Lu-PSMA-617 versus a change of androgen receptor pathway inhibitor therapy for taxane-naive patients with</w:t>
      </w:r>
      <w:r>
        <w:t xml:space="preserve"> </w:t>
      </w:r>
      <w:r w:rsidRPr="0045050A">
        <w:t>progressive metastatic castration-resistant prostate cancer</w:t>
      </w:r>
      <w:r>
        <w:t xml:space="preserve"> </w:t>
      </w:r>
      <w:r w:rsidRPr="0045050A">
        <w:t>(</w:t>
      </w:r>
      <w:proofErr w:type="spellStart"/>
      <w:r w:rsidRPr="0045050A">
        <w:t>PSMAfore</w:t>
      </w:r>
      <w:proofErr w:type="spellEnd"/>
      <w:r w:rsidRPr="0045050A">
        <w:t>): a phase 3, randomised, controlled trial</w:t>
      </w:r>
      <w:r>
        <w:t xml:space="preserve">. Lancet 404, 1227-1239. </w:t>
      </w:r>
      <w:hyperlink r:id="rId26" w:history="1">
        <w:r w:rsidRPr="006245BF">
          <w:rPr>
            <w:rStyle w:val="Hyperlink"/>
          </w:rPr>
          <w:t>https://doi.org/10.1016/S0140-6736(24)01653-2</w:t>
        </w:r>
      </w:hyperlink>
    </w:p>
    <w:p w14:paraId="6FA1EF88" w14:textId="77777777" w:rsidR="001F6B7E" w:rsidRPr="006245BF" w:rsidRDefault="001F6B7E" w:rsidP="001F6B7E">
      <w:r w:rsidRPr="006245BF">
        <w:t>MSAC 1632. PSD. July 2021 Meeting.</w:t>
      </w:r>
    </w:p>
    <w:p w14:paraId="326F38CE" w14:textId="77777777" w:rsidR="001F6B7E" w:rsidRPr="006245BF" w:rsidRDefault="001F6B7E" w:rsidP="001F6B7E">
      <w:r w:rsidRPr="006245BF">
        <w:t>MSAC 1686.1. PSD. April 2024 Meeting.</w:t>
      </w:r>
    </w:p>
    <w:p w14:paraId="6FE30F2C" w14:textId="77777777" w:rsidR="001F6B7E" w:rsidRPr="0045050A" w:rsidRDefault="001F6B7E" w:rsidP="001F6B7E">
      <w:r w:rsidRPr="006245BF">
        <w:t xml:space="preserve">Nagaya N., Nagata M., Lu Y., Kanayama M., Hou Q., Hotta Z., et al. 2020. </w:t>
      </w:r>
      <w:r w:rsidRPr="0045050A">
        <w:t>Prostate-specific membrane antigen in</w:t>
      </w:r>
      <w:r>
        <w:t xml:space="preserve"> </w:t>
      </w:r>
      <w:r w:rsidRPr="0045050A">
        <w:t xml:space="preserve">circulating </w:t>
      </w:r>
      <w:proofErr w:type="spellStart"/>
      <w:r w:rsidRPr="0045050A">
        <w:t>tumor</w:t>
      </w:r>
      <w:proofErr w:type="spellEnd"/>
      <w:r w:rsidRPr="0045050A">
        <w:t xml:space="preserve"> cells is a new poor</w:t>
      </w:r>
      <w:r>
        <w:t xml:space="preserve"> </w:t>
      </w:r>
      <w:r w:rsidRPr="0045050A">
        <w:t>prognostic marker for castration-resistant</w:t>
      </w:r>
      <w:r>
        <w:t xml:space="preserve"> </w:t>
      </w:r>
      <w:r w:rsidRPr="0045050A">
        <w:t>prostate cancer</w:t>
      </w:r>
      <w:r>
        <w:t xml:space="preserve">. </w:t>
      </w:r>
      <w:proofErr w:type="spellStart"/>
      <w:r>
        <w:t>PLoS</w:t>
      </w:r>
      <w:proofErr w:type="spellEnd"/>
      <w:r>
        <w:t xml:space="preserve"> ONE 15(1), e0226219. doi.org/10.1371/journal.pone.0226219</w:t>
      </w:r>
    </w:p>
    <w:p w14:paraId="74CA111A" w14:textId="77777777" w:rsidR="001F6B7E" w:rsidRDefault="001F6B7E" w:rsidP="001F6B7E">
      <w:r w:rsidRPr="0045050A">
        <w:lastRenderedPageBreak/>
        <w:t>National Comprehensive Cancer Network (NCCN). Prostate Cancer. Version 2.2026 – September 15, 2025</w:t>
      </w:r>
    </w:p>
    <w:p w14:paraId="06FF180C" w14:textId="77777777" w:rsidR="001F6B7E" w:rsidRPr="0045050A" w:rsidRDefault="001F6B7E" w:rsidP="001F6B7E">
      <w:r>
        <w:t>Olaparib PSD, March 2021 PBAC Meeting.</w:t>
      </w:r>
    </w:p>
    <w:p w14:paraId="034A32BE" w14:textId="77777777" w:rsidR="001F6B7E" w:rsidRDefault="001F6B7E" w:rsidP="001F6B7E">
      <w:r w:rsidRPr="001C6D32">
        <w:t xml:space="preserve">Parker, C., Castro, E., </w:t>
      </w:r>
      <w:proofErr w:type="spellStart"/>
      <w:r w:rsidRPr="001C6D32">
        <w:t>Fizazi</w:t>
      </w:r>
      <w:proofErr w:type="spellEnd"/>
      <w:r w:rsidRPr="001C6D32">
        <w:t xml:space="preserve">, K., Heidenreich, A., Ost, P., Procopio, G., &amp; </w:t>
      </w:r>
      <w:proofErr w:type="spellStart"/>
      <w:r w:rsidRPr="001C6D32">
        <w:t>Gillessen</w:t>
      </w:r>
      <w:proofErr w:type="spellEnd"/>
      <w:r w:rsidRPr="001C6D32">
        <w:t>, S. (2020). Prostate cancer: ESMO Clinical Practice Guidelines for diagnosis, treatment and follow-up. Annals of Oncology, 31(9), 1119-1134.</w:t>
      </w:r>
    </w:p>
    <w:p w14:paraId="50896735" w14:textId="77777777" w:rsidR="001F6B7E" w:rsidRDefault="001F6B7E" w:rsidP="001F6B7E">
      <w:r>
        <w:t xml:space="preserve">Paschalis A., Sheehan B., </w:t>
      </w:r>
      <w:proofErr w:type="spellStart"/>
      <w:r>
        <w:t>Riisnaes</w:t>
      </w:r>
      <w:proofErr w:type="spellEnd"/>
      <w:r>
        <w:t xml:space="preserve"> </w:t>
      </w:r>
      <w:proofErr w:type="spellStart"/>
      <w:r>
        <w:t>R.a</w:t>
      </w:r>
      <w:proofErr w:type="spellEnd"/>
      <w:r>
        <w:t xml:space="preserve">, Rodrigues D. N., Gurel B., Bertan C., et al. 2019. Prostate-specific membrane antigen heterogeneity and DNA repair defects in prostate cancer. European Urology 76, 469-478. </w:t>
      </w:r>
      <w:r w:rsidRPr="001C6D32">
        <w:t>doi.org/10.1016/j.eururo.2019.06.030</w:t>
      </w:r>
    </w:p>
    <w:p w14:paraId="42494156" w14:textId="77777777" w:rsidR="001F6B7E" w:rsidRDefault="001F6B7E" w:rsidP="001F6B7E">
      <w:proofErr w:type="spellStart"/>
      <w:r w:rsidRPr="001C6D32">
        <w:t>Peltekian</w:t>
      </w:r>
      <w:proofErr w:type="spellEnd"/>
      <w:r>
        <w:t xml:space="preserve"> S., </w:t>
      </w:r>
      <w:proofErr w:type="spellStart"/>
      <w:r w:rsidRPr="001C6D32">
        <w:t>Sajwani</w:t>
      </w:r>
      <w:proofErr w:type="spellEnd"/>
      <w:r>
        <w:t xml:space="preserve"> S.,</w:t>
      </w:r>
      <w:r w:rsidRPr="001C6D32">
        <w:t xml:space="preserve"> Wang</w:t>
      </w:r>
      <w:r>
        <w:t xml:space="preserve"> X. and </w:t>
      </w:r>
      <w:r w:rsidRPr="001C6D32">
        <w:t>Kanji</w:t>
      </w:r>
      <w:r>
        <w:t xml:space="preserve"> S. 2023. Incidence, predictors, and outcomes of febrile neutropenia and neutropenia in patients with metastatic castrate</w:t>
      </w:r>
      <w:r>
        <w:rPr>
          <w:rFonts w:ascii="Cambria Math" w:hAnsi="Cambria Math" w:cs="Cambria Math"/>
        </w:rPr>
        <w:t>‑</w:t>
      </w:r>
      <w:r>
        <w:t xml:space="preserve">resistant prostate cancer receiving docetaxel. Supportive Care in Cancer 31, 311. </w:t>
      </w:r>
      <w:r w:rsidRPr="001C6D32">
        <w:t>doi.org/10.1007/s00520-023-07776-6</w:t>
      </w:r>
    </w:p>
    <w:p w14:paraId="0F5C4BFF" w14:textId="77777777" w:rsidR="001F6B7E" w:rsidRDefault="001F6B7E" w:rsidP="001F6B7E">
      <w:r>
        <w:t xml:space="preserve">Rabin R. and de Charro F. 2001. EQ-SD: a measure of health status from the </w:t>
      </w:r>
      <w:proofErr w:type="spellStart"/>
      <w:r>
        <w:t>EuroQol</w:t>
      </w:r>
      <w:proofErr w:type="spellEnd"/>
      <w:r>
        <w:t xml:space="preserve"> Group. Annals of Medicine 33(5), 337-343. </w:t>
      </w:r>
      <w:proofErr w:type="spellStart"/>
      <w:r>
        <w:t>doi</w:t>
      </w:r>
      <w:proofErr w:type="spellEnd"/>
      <w:r w:rsidRPr="001C6D32">
        <w:t>: 10.3109/07853890109002087</w:t>
      </w:r>
    </w:p>
    <w:p w14:paraId="62DC419D" w14:textId="77777777" w:rsidR="001F6B7E" w:rsidRDefault="001F6B7E" w:rsidP="001F6B7E">
      <w:r w:rsidRPr="001C6D32">
        <w:t>Rosar</w:t>
      </w:r>
      <w:r>
        <w:t xml:space="preserve"> F.,</w:t>
      </w:r>
      <w:r w:rsidRPr="001C6D32">
        <w:t xml:space="preserve"> Schuler</w:t>
      </w:r>
      <w:r>
        <w:t xml:space="preserve"> J.,</w:t>
      </w:r>
      <w:r w:rsidRPr="001C6D32">
        <w:t xml:space="preserve"> Burgard</w:t>
      </w:r>
      <w:r>
        <w:t xml:space="preserve"> C., </w:t>
      </w:r>
      <w:r w:rsidRPr="001C6D32">
        <w:t>Blickle</w:t>
      </w:r>
      <w:r>
        <w:t xml:space="preserve"> A.,</w:t>
      </w:r>
      <w:r w:rsidRPr="001C6D32">
        <w:t xml:space="preserve"> </w:t>
      </w:r>
      <w:proofErr w:type="spellStart"/>
      <w:r w:rsidRPr="001C6D32">
        <w:t>Bartholomä</w:t>
      </w:r>
      <w:proofErr w:type="spellEnd"/>
      <w:r>
        <w:t xml:space="preserve"> M.,</w:t>
      </w:r>
      <w:r w:rsidRPr="001C6D32">
        <w:t xml:space="preserve"> Maus</w:t>
      </w:r>
      <w:r>
        <w:t xml:space="preserve"> S., et al. 2024. Efficacy and safety of rechallenge [177</w:t>
      </w:r>
      <w:proofErr w:type="gramStart"/>
      <w:r>
        <w:t>Lu]Lu</w:t>
      </w:r>
      <w:proofErr w:type="gramEnd"/>
      <w:r>
        <w:t xml:space="preserve">-PSMA-617 RLT after initial partial remission in patients with mCRPC: evaluation of a prospective registry (REALITY study). European Journal of Nuclear Medicine and Molecular Imaging 51, 4151-4162. </w:t>
      </w:r>
      <w:r w:rsidRPr="001C6D32">
        <w:t>doi.org/10.1007/s00259-024-06825-4</w:t>
      </w:r>
    </w:p>
    <w:p w14:paraId="36CE04EB" w14:textId="77777777" w:rsidR="001F6B7E" w:rsidRDefault="001F6B7E" w:rsidP="001F6B7E">
      <w:r w:rsidRPr="001C6D32">
        <w:t>Scher</w:t>
      </w:r>
      <w:r>
        <w:t xml:space="preserve"> H., Morris M. J., Stadler W. M., </w:t>
      </w:r>
      <w:proofErr w:type="spellStart"/>
      <w:r>
        <w:t>Higano</w:t>
      </w:r>
      <w:proofErr w:type="spellEnd"/>
      <w:r>
        <w:t xml:space="preserve"> C., Basch E., </w:t>
      </w:r>
      <w:proofErr w:type="spellStart"/>
      <w:r>
        <w:t>Fizazi</w:t>
      </w:r>
      <w:proofErr w:type="spellEnd"/>
      <w:r>
        <w:t xml:space="preserve"> K., et al. 2016. Trial design and objectives for castration-resistant prostate cancer: updated recommendations from the Prostate Cancer Clinical Trials Working Group 3. Journal of Clinical Oncology 34(12), 1402-1418. </w:t>
      </w:r>
      <w:proofErr w:type="spellStart"/>
      <w:r>
        <w:t>doi</w:t>
      </w:r>
      <w:proofErr w:type="spellEnd"/>
      <w:r w:rsidRPr="002D2882">
        <w:t>: 10.1200/JCO.2015.64.2702</w:t>
      </w:r>
    </w:p>
    <w:p w14:paraId="3D559FC3" w14:textId="27259176" w:rsidR="00B37B12" w:rsidRDefault="00B37B12" w:rsidP="001F6B7E">
      <w:r w:rsidRPr="00B37B12">
        <w:t xml:space="preserve">Scott A.M. 2001. </w:t>
      </w:r>
      <w:proofErr w:type="gramStart"/>
      <w:r w:rsidRPr="00B37B12">
        <w:t>Current status</w:t>
      </w:r>
      <w:proofErr w:type="gramEnd"/>
      <w:r w:rsidRPr="00B37B12">
        <w:t xml:space="preserve"> of positron emission tomography in oncology. Internal Medicine Journal, 31: 27-36. https://doi.org/10.1046/j.1445-5994.2001.00015.x</w:t>
      </w:r>
    </w:p>
    <w:p w14:paraId="189F7FE5" w14:textId="28C2341A" w:rsidR="001F6B7E" w:rsidRDefault="001F6B7E" w:rsidP="001F6B7E">
      <w:r>
        <w:t xml:space="preserve">Singer E. A. and </w:t>
      </w:r>
      <w:proofErr w:type="spellStart"/>
      <w:r>
        <w:t>Srnivasan</w:t>
      </w:r>
      <w:proofErr w:type="spellEnd"/>
      <w:r>
        <w:t xml:space="preserve"> R. 2012. Intravenous therapies for castration-resistant prostate cancer: toxicities and adverse events. Urologic Oncology: </w:t>
      </w:r>
      <w:r w:rsidRPr="002D2882">
        <w:t>Seminars and Original Investigations</w:t>
      </w:r>
      <w:r>
        <w:t xml:space="preserve"> 30, S15-S19. </w:t>
      </w:r>
      <w:proofErr w:type="spellStart"/>
      <w:r w:rsidRPr="002D2882">
        <w:t>doi</w:t>
      </w:r>
      <w:proofErr w:type="spellEnd"/>
      <w:r w:rsidRPr="002D2882">
        <w:t>:</w:t>
      </w:r>
      <w:r>
        <w:t xml:space="preserve"> </w:t>
      </w:r>
      <w:r w:rsidRPr="002D2882">
        <w:t>10.1016/j.urolonc.2011.09.003</w:t>
      </w:r>
    </w:p>
    <w:p w14:paraId="39FA2379" w14:textId="77777777" w:rsidR="001F6B7E" w:rsidRDefault="001F6B7E" w:rsidP="001F6B7E">
      <w:proofErr w:type="spellStart"/>
      <w:r>
        <w:t>Westgeest</w:t>
      </w:r>
      <w:proofErr w:type="spellEnd"/>
      <w:r>
        <w:t xml:space="preserve"> H. M., </w:t>
      </w:r>
      <w:proofErr w:type="spellStart"/>
      <w:r>
        <w:t>Kuppen</w:t>
      </w:r>
      <w:proofErr w:type="spellEnd"/>
      <w:r>
        <w:t xml:space="preserve"> M. C. P., van den </w:t>
      </w:r>
      <w:proofErr w:type="spellStart"/>
      <w:r>
        <w:t>Eertwegh</w:t>
      </w:r>
      <w:proofErr w:type="spellEnd"/>
      <w:r>
        <w:t xml:space="preserve"> A. J. M., de Wit R., Bergman A. M., van </w:t>
      </w:r>
      <w:proofErr w:type="spellStart"/>
      <w:r>
        <w:t>Moorselaar</w:t>
      </w:r>
      <w:proofErr w:type="spellEnd"/>
      <w:r>
        <w:t xml:space="preserve"> R. J. A., et al. 2021. The effects of new life-prolonging drugs for metastatic castration-resistant prostate cancer (mCRPC) patients in a real-world population. Prostate Cancer and Prostatic Diseases. </w:t>
      </w:r>
      <w:r w:rsidRPr="002D2882">
        <w:t>doi.org/10.1038/s41391-021-00344-1</w:t>
      </w:r>
    </w:p>
    <w:p w14:paraId="4C2FA409" w14:textId="77777777" w:rsidR="001F6B7E" w:rsidRDefault="001F6B7E" w:rsidP="001F6B7E">
      <w:r>
        <w:t xml:space="preserve">Williams C., </w:t>
      </w:r>
      <w:proofErr w:type="spellStart"/>
      <w:r>
        <w:t>Inderjeeth</w:t>
      </w:r>
      <w:proofErr w:type="spellEnd"/>
      <w:r>
        <w:t xml:space="preserve"> AJ., Hong W., McKenzie J., Anton A., </w:t>
      </w:r>
      <w:proofErr w:type="spellStart"/>
      <w:r>
        <w:t>Weickhardt</w:t>
      </w:r>
      <w:proofErr w:type="spellEnd"/>
      <w:r>
        <w:t xml:space="preserve"> A., et al. 2025.</w:t>
      </w:r>
      <w:r w:rsidRPr="002D2882">
        <w:t xml:space="preserve"> Treatment patterns and outcomes for younger patients with metastatic castration-resistant prostate cancer (mCRPC); An Australian prospective registry study</w:t>
      </w:r>
      <w:r>
        <w:t xml:space="preserve">. Clinical Genitourinary Cancer 23(3), 102345. </w:t>
      </w:r>
      <w:r w:rsidRPr="002D2882">
        <w:t>doi.org/10.1016/j.clgc.2025.102345</w:t>
      </w:r>
    </w:p>
    <w:p w14:paraId="69DE4D58" w14:textId="77777777" w:rsidR="001B5BE7" w:rsidRPr="001B5BE7" w:rsidRDefault="001B5BE7" w:rsidP="00BC0C43"/>
    <w:sectPr w:rsidR="001B5BE7" w:rsidRPr="001B5BE7" w:rsidSect="001B5BE7">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35E7" w14:textId="77777777" w:rsidR="007125B5" w:rsidRDefault="007125B5" w:rsidP="00BC0C43">
      <w:r>
        <w:separator/>
      </w:r>
    </w:p>
  </w:endnote>
  <w:endnote w:type="continuationSeparator" w:id="0">
    <w:p w14:paraId="43F50F25" w14:textId="77777777" w:rsidR="007125B5" w:rsidRDefault="007125B5" w:rsidP="00BC0C43">
      <w:r>
        <w:continuationSeparator/>
      </w:r>
    </w:p>
  </w:endnote>
  <w:endnote w:type="continuationNotice" w:id="1">
    <w:p w14:paraId="22012DB2" w14:textId="77777777" w:rsidR="007125B5" w:rsidRDefault="007125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AE52" w14:textId="31B44AFC" w:rsidR="00BD6FAD" w:rsidRDefault="00BD6FAD">
    <w:pPr>
      <w:pStyle w:val="Footer"/>
    </w:pPr>
    <w:r>
      <w:rPr>
        <w:noProof/>
      </w:rPr>
      <mc:AlternateContent>
        <mc:Choice Requires="wps">
          <w:drawing>
            <wp:anchor distT="0" distB="0" distL="0" distR="0" simplePos="0" relativeHeight="251663360" behindDoc="0" locked="0" layoutInCell="1" allowOverlap="1" wp14:anchorId="6CAD72DF" wp14:editId="55C39C1F">
              <wp:simplePos x="635" y="635"/>
              <wp:positionH relativeFrom="page">
                <wp:align>center</wp:align>
              </wp:positionH>
              <wp:positionV relativeFrom="page">
                <wp:align>bottom</wp:align>
              </wp:positionV>
              <wp:extent cx="622300" cy="376555"/>
              <wp:effectExtent l="0" t="0" r="6350" b="0"/>
              <wp:wrapNone/>
              <wp:docPr id="2138242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E99E8A" w14:textId="29740ECB" w:rsidR="00BD6FAD" w:rsidRPr="00BD6FAD" w:rsidRDefault="00BD6FAD" w:rsidP="00BD6FAD">
                          <w:pPr>
                            <w:spacing w:after="0"/>
                            <w:rPr>
                              <w:rFonts w:eastAsia="Aptos" w:cs="Aptos"/>
                              <w:noProof/>
                              <w:color w:val="FF0000"/>
                              <w:sz w:val="24"/>
                              <w:szCs w:val="24"/>
                            </w:rPr>
                          </w:pPr>
                          <w:r w:rsidRPr="00BD6FAD">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D72DF"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7CE99E8A" w14:textId="29740ECB" w:rsidR="00BD6FAD" w:rsidRPr="00BD6FAD" w:rsidRDefault="00BD6FAD" w:rsidP="00BD6FAD">
                    <w:pPr>
                      <w:spacing w:after="0"/>
                      <w:rPr>
                        <w:rFonts w:eastAsia="Aptos" w:cs="Aptos"/>
                        <w:noProof/>
                        <w:color w:val="FF0000"/>
                        <w:sz w:val="24"/>
                        <w:szCs w:val="24"/>
                      </w:rPr>
                    </w:pPr>
                    <w:r w:rsidRPr="00BD6FAD">
                      <w:rPr>
                        <w:rFont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1EA15108" w:rsidR="0090168B" w:rsidRDefault="00E64858"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F89B" w14:textId="77777777" w:rsidR="007125B5" w:rsidRDefault="007125B5" w:rsidP="00BC0C43">
      <w:r>
        <w:separator/>
      </w:r>
    </w:p>
  </w:footnote>
  <w:footnote w:type="continuationSeparator" w:id="0">
    <w:p w14:paraId="5768A8F9" w14:textId="77777777" w:rsidR="007125B5" w:rsidRDefault="007125B5" w:rsidP="00BC0C43">
      <w:r>
        <w:continuationSeparator/>
      </w:r>
    </w:p>
  </w:footnote>
  <w:footnote w:type="continuationNotice" w:id="1">
    <w:p w14:paraId="2D764BA0" w14:textId="77777777" w:rsidR="007125B5" w:rsidRDefault="007125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6289" w14:textId="7AAC5C12" w:rsidR="00BD6FAD" w:rsidRDefault="00BD6FAD">
    <w:pPr>
      <w:pStyle w:val="Header"/>
    </w:pPr>
    <w:r>
      <w:rPr>
        <w:noProof/>
      </w:rPr>
      <mc:AlternateContent>
        <mc:Choice Requires="wps">
          <w:drawing>
            <wp:anchor distT="0" distB="0" distL="0" distR="0" simplePos="0" relativeHeight="251660288" behindDoc="0" locked="0" layoutInCell="1" allowOverlap="1" wp14:anchorId="41550BC9" wp14:editId="386FC2D3">
              <wp:simplePos x="635" y="635"/>
              <wp:positionH relativeFrom="page">
                <wp:align>center</wp:align>
              </wp:positionH>
              <wp:positionV relativeFrom="page">
                <wp:align>top</wp:align>
              </wp:positionV>
              <wp:extent cx="622300" cy="376555"/>
              <wp:effectExtent l="0" t="0" r="6350" b="4445"/>
              <wp:wrapNone/>
              <wp:docPr id="4394001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96D5F0" w14:textId="369A619B" w:rsidR="00BD6FAD" w:rsidRPr="00BD6FAD" w:rsidRDefault="00BD6FAD" w:rsidP="00BD6FAD">
                          <w:pPr>
                            <w:spacing w:after="0"/>
                            <w:rPr>
                              <w:rFonts w:eastAsia="Aptos" w:cs="Aptos"/>
                              <w:noProof/>
                              <w:color w:val="FF0000"/>
                              <w:sz w:val="24"/>
                              <w:szCs w:val="24"/>
                            </w:rPr>
                          </w:pPr>
                          <w:r w:rsidRPr="00BD6FAD">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50BC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596D5F0" w14:textId="369A619B" w:rsidR="00BD6FAD" w:rsidRPr="00BD6FAD" w:rsidRDefault="00BD6FAD" w:rsidP="00BD6FAD">
                    <w:pPr>
                      <w:spacing w:after="0"/>
                      <w:rPr>
                        <w:rFonts w:eastAsia="Aptos" w:cs="Aptos"/>
                        <w:noProof/>
                        <w:color w:val="FF0000"/>
                        <w:sz w:val="24"/>
                        <w:szCs w:val="24"/>
                      </w:rPr>
                    </w:pPr>
                    <w:r w:rsidRPr="00BD6FAD">
                      <w:rPr>
                        <w:rFont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A1A"/>
    <w:multiLevelType w:val="hybridMultilevel"/>
    <w:tmpl w:val="A8FA2A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6912B1A"/>
    <w:multiLevelType w:val="hybridMultilevel"/>
    <w:tmpl w:val="6C5A3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E6834"/>
    <w:multiLevelType w:val="hybridMultilevel"/>
    <w:tmpl w:val="929CD5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D4E41"/>
    <w:multiLevelType w:val="hybridMultilevel"/>
    <w:tmpl w:val="902C75A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06056B"/>
    <w:multiLevelType w:val="hybridMultilevel"/>
    <w:tmpl w:val="18B41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927161"/>
    <w:multiLevelType w:val="hybridMultilevel"/>
    <w:tmpl w:val="E4A63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501FB"/>
    <w:multiLevelType w:val="hybridMultilevel"/>
    <w:tmpl w:val="32B84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B31A99"/>
    <w:multiLevelType w:val="hybridMultilevel"/>
    <w:tmpl w:val="A99E94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5721BC"/>
    <w:multiLevelType w:val="hybridMultilevel"/>
    <w:tmpl w:val="DBF4B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022F8D"/>
    <w:multiLevelType w:val="hybridMultilevel"/>
    <w:tmpl w:val="F07A2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51198B"/>
    <w:multiLevelType w:val="hybridMultilevel"/>
    <w:tmpl w:val="3B28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435B6B"/>
    <w:multiLevelType w:val="hybridMultilevel"/>
    <w:tmpl w:val="D3C02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DB6CFC"/>
    <w:multiLevelType w:val="hybridMultilevel"/>
    <w:tmpl w:val="3A58A8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2F5F02"/>
    <w:multiLevelType w:val="hybridMultilevel"/>
    <w:tmpl w:val="B0903A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71745E"/>
    <w:multiLevelType w:val="hybridMultilevel"/>
    <w:tmpl w:val="3C3C2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F04F3"/>
    <w:multiLevelType w:val="hybridMultilevel"/>
    <w:tmpl w:val="33EC2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34746A"/>
    <w:multiLevelType w:val="hybridMultilevel"/>
    <w:tmpl w:val="D47635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4E416A45"/>
    <w:multiLevelType w:val="hybridMultilevel"/>
    <w:tmpl w:val="929CD5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980BE2"/>
    <w:multiLevelType w:val="hybridMultilevel"/>
    <w:tmpl w:val="43129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DC738E"/>
    <w:multiLevelType w:val="hybridMultilevel"/>
    <w:tmpl w:val="D77EBA06"/>
    <w:lvl w:ilvl="0" w:tplc="EDCEAFAA">
      <w:start w:val="1"/>
      <w:numFmt w:val="bullet"/>
      <w:lvlText w:val=""/>
      <w:lvlJc w:val="left"/>
      <w:pPr>
        <w:ind w:left="720" w:hanging="360"/>
      </w:pPr>
      <w:rPr>
        <w:rFonts w:ascii="Symbol" w:hAnsi="Symbol"/>
      </w:rPr>
    </w:lvl>
    <w:lvl w:ilvl="1" w:tplc="BFA48ECE">
      <w:start w:val="1"/>
      <w:numFmt w:val="bullet"/>
      <w:lvlText w:val=""/>
      <w:lvlJc w:val="left"/>
      <w:pPr>
        <w:ind w:left="720" w:hanging="360"/>
      </w:pPr>
      <w:rPr>
        <w:rFonts w:ascii="Symbol" w:hAnsi="Symbol"/>
      </w:rPr>
    </w:lvl>
    <w:lvl w:ilvl="2" w:tplc="0F4C57D0">
      <w:start w:val="1"/>
      <w:numFmt w:val="bullet"/>
      <w:lvlText w:val=""/>
      <w:lvlJc w:val="left"/>
      <w:pPr>
        <w:ind w:left="720" w:hanging="360"/>
      </w:pPr>
      <w:rPr>
        <w:rFonts w:ascii="Symbol" w:hAnsi="Symbol"/>
      </w:rPr>
    </w:lvl>
    <w:lvl w:ilvl="3" w:tplc="4C42EC1C">
      <w:start w:val="1"/>
      <w:numFmt w:val="bullet"/>
      <w:lvlText w:val=""/>
      <w:lvlJc w:val="left"/>
      <w:pPr>
        <w:ind w:left="720" w:hanging="360"/>
      </w:pPr>
      <w:rPr>
        <w:rFonts w:ascii="Symbol" w:hAnsi="Symbol"/>
      </w:rPr>
    </w:lvl>
    <w:lvl w:ilvl="4" w:tplc="6DB2A9FC">
      <w:start w:val="1"/>
      <w:numFmt w:val="bullet"/>
      <w:lvlText w:val=""/>
      <w:lvlJc w:val="left"/>
      <w:pPr>
        <w:ind w:left="720" w:hanging="360"/>
      </w:pPr>
      <w:rPr>
        <w:rFonts w:ascii="Symbol" w:hAnsi="Symbol"/>
      </w:rPr>
    </w:lvl>
    <w:lvl w:ilvl="5" w:tplc="CB88C3D6">
      <w:start w:val="1"/>
      <w:numFmt w:val="bullet"/>
      <w:lvlText w:val=""/>
      <w:lvlJc w:val="left"/>
      <w:pPr>
        <w:ind w:left="720" w:hanging="360"/>
      </w:pPr>
      <w:rPr>
        <w:rFonts w:ascii="Symbol" w:hAnsi="Symbol"/>
      </w:rPr>
    </w:lvl>
    <w:lvl w:ilvl="6" w:tplc="5EA66A5C">
      <w:start w:val="1"/>
      <w:numFmt w:val="bullet"/>
      <w:lvlText w:val=""/>
      <w:lvlJc w:val="left"/>
      <w:pPr>
        <w:ind w:left="720" w:hanging="360"/>
      </w:pPr>
      <w:rPr>
        <w:rFonts w:ascii="Symbol" w:hAnsi="Symbol"/>
      </w:rPr>
    </w:lvl>
    <w:lvl w:ilvl="7" w:tplc="CE425646">
      <w:start w:val="1"/>
      <w:numFmt w:val="bullet"/>
      <w:lvlText w:val=""/>
      <w:lvlJc w:val="left"/>
      <w:pPr>
        <w:ind w:left="720" w:hanging="360"/>
      </w:pPr>
      <w:rPr>
        <w:rFonts w:ascii="Symbol" w:hAnsi="Symbol"/>
      </w:rPr>
    </w:lvl>
    <w:lvl w:ilvl="8" w:tplc="3B66245A">
      <w:start w:val="1"/>
      <w:numFmt w:val="bullet"/>
      <w:lvlText w:val=""/>
      <w:lvlJc w:val="left"/>
      <w:pPr>
        <w:ind w:left="720" w:hanging="360"/>
      </w:pPr>
      <w:rPr>
        <w:rFonts w:ascii="Symbol" w:hAnsi="Symbol"/>
      </w:rPr>
    </w:lvl>
  </w:abstractNum>
  <w:abstractNum w:abstractNumId="20" w15:restartNumberingAfterBreak="0">
    <w:nsid w:val="5F214620"/>
    <w:multiLevelType w:val="hybridMultilevel"/>
    <w:tmpl w:val="DBC4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E81A09"/>
    <w:multiLevelType w:val="hybridMultilevel"/>
    <w:tmpl w:val="9F6ECE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7E4B28"/>
    <w:multiLevelType w:val="hybridMultilevel"/>
    <w:tmpl w:val="3948E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973A8A"/>
    <w:multiLevelType w:val="hybridMultilevel"/>
    <w:tmpl w:val="F1F4B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353FE5"/>
    <w:multiLevelType w:val="hybridMultilevel"/>
    <w:tmpl w:val="E6C6F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0E3A93"/>
    <w:multiLevelType w:val="hybridMultilevel"/>
    <w:tmpl w:val="9E70A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C42864"/>
    <w:multiLevelType w:val="hybridMultilevel"/>
    <w:tmpl w:val="902C75A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8000DC"/>
    <w:multiLevelType w:val="hybridMultilevel"/>
    <w:tmpl w:val="929CD5E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EC436E"/>
    <w:multiLevelType w:val="hybridMultilevel"/>
    <w:tmpl w:val="3948E4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8190454">
    <w:abstractNumId w:val="14"/>
  </w:num>
  <w:num w:numId="2" w16cid:durableId="2099792051">
    <w:abstractNumId w:val="27"/>
  </w:num>
  <w:num w:numId="3" w16cid:durableId="1796408702">
    <w:abstractNumId w:val="7"/>
  </w:num>
  <w:num w:numId="4" w16cid:durableId="1414818778">
    <w:abstractNumId w:val="21"/>
  </w:num>
  <w:num w:numId="5" w16cid:durableId="1482229440">
    <w:abstractNumId w:val="5"/>
  </w:num>
  <w:num w:numId="6" w16cid:durableId="1693649564">
    <w:abstractNumId w:val="8"/>
  </w:num>
  <w:num w:numId="7" w16cid:durableId="199322409">
    <w:abstractNumId w:val="15"/>
  </w:num>
  <w:num w:numId="8" w16cid:durableId="1063718190">
    <w:abstractNumId w:val="18"/>
  </w:num>
  <w:num w:numId="9" w16cid:durableId="1409690265">
    <w:abstractNumId w:val="24"/>
  </w:num>
  <w:num w:numId="10" w16cid:durableId="1851260993">
    <w:abstractNumId w:val="20"/>
  </w:num>
  <w:num w:numId="11" w16cid:durableId="170803984">
    <w:abstractNumId w:val="1"/>
  </w:num>
  <w:num w:numId="12" w16cid:durableId="2029601574">
    <w:abstractNumId w:val="11"/>
  </w:num>
  <w:num w:numId="13" w16cid:durableId="1101952348">
    <w:abstractNumId w:val="6"/>
  </w:num>
  <w:num w:numId="14" w16cid:durableId="1042900643">
    <w:abstractNumId w:val="26"/>
  </w:num>
  <w:num w:numId="15" w16cid:durableId="1382167011">
    <w:abstractNumId w:val="0"/>
  </w:num>
  <w:num w:numId="16" w16cid:durableId="1646083565">
    <w:abstractNumId w:val="3"/>
  </w:num>
  <w:num w:numId="17" w16cid:durableId="803693695">
    <w:abstractNumId w:val="12"/>
  </w:num>
  <w:num w:numId="18" w16cid:durableId="69424049">
    <w:abstractNumId w:val="23"/>
  </w:num>
  <w:num w:numId="19" w16cid:durableId="966203583">
    <w:abstractNumId w:val="28"/>
  </w:num>
  <w:num w:numId="20" w16cid:durableId="2123458544">
    <w:abstractNumId w:val="22"/>
  </w:num>
  <w:num w:numId="21" w16cid:durableId="1183126675">
    <w:abstractNumId w:val="25"/>
  </w:num>
  <w:num w:numId="22" w16cid:durableId="252710459">
    <w:abstractNumId w:val="9"/>
  </w:num>
  <w:num w:numId="23" w16cid:durableId="1374302911">
    <w:abstractNumId w:val="2"/>
  </w:num>
  <w:num w:numId="24" w16cid:durableId="1817527081">
    <w:abstractNumId w:val="19"/>
  </w:num>
  <w:num w:numId="25" w16cid:durableId="1523471509">
    <w:abstractNumId w:val="4"/>
  </w:num>
  <w:num w:numId="26" w16cid:durableId="1395808914">
    <w:abstractNumId w:val="13"/>
  </w:num>
  <w:num w:numId="27" w16cid:durableId="1170368783">
    <w:abstractNumId w:val="10"/>
  </w:num>
  <w:num w:numId="28" w16cid:durableId="787240888">
    <w:abstractNumId w:val="17"/>
  </w:num>
  <w:num w:numId="29" w16cid:durableId="123080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00861"/>
    <w:rsid w:val="00002EEE"/>
    <w:rsid w:val="0000479E"/>
    <w:rsid w:val="00004BBE"/>
    <w:rsid w:val="00005968"/>
    <w:rsid w:val="000061C6"/>
    <w:rsid w:val="00006516"/>
    <w:rsid w:val="0000707D"/>
    <w:rsid w:val="00007390"/>
    <w:rsid w:val="00010489"/>
    <w:rsid w:val="00010518"/>
    <w:rsid w:val="000107E9"/>
    <w:rsid w:val="00010AAA"/>
    <w:rsid w:val="00011336"/>
    <w:rsid w:val="0001133B"/>
    <w:rsid w:val="00011389"/>
    <w:rsid w:val="00011AD9"/>
    <w:rsid w:val="0001228B"/>
    <w:rsid w:val="00012C1B"/>
    <w:rsid w:val="00012D56"/>
    <w:rsid w:val="00013DD5"/>
    <w:rsid w:val="000146F5"/>
    <w:rsid w:val="00014B74"/>
    <w:rsid w:val="00014E6B"/>
    <w:rsid w:val="00015EB8"/>
    <w:rsid w:val="000200E3"/>
    <w:rsid w:val="000210AC"/>
    <w:rsid w:val="000222DB"/>
    <w:rsid w:val="00022CE4"/>
    <w:rsid w:val="00022F3A"/>
    <w:rsid w:val="000231CA"/>
    <w:rsid w:val="0002344C"/>
    <w:rsid w:val="00023E55"/>
    <w:rsid w:val="0002414D"/>
    <w:rsid w:val="0002464C"/>
    <w:rsid w:val="0002499B"/>
    <w:rsid w:val="000256E8"/>
    <w:rsid w:val="00025969"/>
    <w:rsid w:val="000264CF"/>
    <w:rsid w:val="0002680B"/>
    <w:rsid w:val="0002683E"/>
    <w:rsid w:val="000272A9"/>
    <w:rsid w:val="00027A0C"/>
    <w:rsid w:val="00027CC0"/>
    <w:rsid w:val="00030663"/>
    <w:rsid w:val="00031534"/>
    <w:rsid w:val="00031E25"/>
    <w:rsid w:val="00032521"/>
    <w:rsid w:val="0003295E"/>
    <w:rsid w:val="00032B12"/>
    <w:rsid w:val="00032F5A"/>
    <w:rsid w:val="0003346D"/>
    <w:rsid w:val="000343D4"/>
    <w:rsid w:val="00034473"/>
    <w:rsid w:val="00034FB3"/>
    <w:rsid w:val="000350BD"/>
    <w:rsid w:val="00035DA7"/>
    <w:rsid w:val="000365FE"/>
    <w:rsid w:val="00036F47"/>
    <w:rsid w:val="000406C9"/>
    <w:rsid w:val="00040844"/>
    <w:rsid w:val="00040C24"/>
    <w:rsid w:val="00040D2F"/>
    <w:rsid w:val="00040F2D"/>
    <w:rsid w:val="0004183C"/>
    <w:rsid w:val="00042230"/>
    <w:rsid w:val="00042512"/>
    <w:rsid w:val="00042A40"/>
    <w:rsid w:val="00042BC1"/>
    <w:rsid w:val="0004307B"/>
    <w:rsid w:val="00043106"/>
    <w:rsid w:val="000439CB"/>
    <w:rsid w:val="000442C2"/>
    <w:rsid w:val="00045687"/>
    <w:rsid w:val="00046373"/>
    <w:rsid w:val="000464F8"/>
    <w:rsid w:val="00046C78"/>
    <w:rsid w:val="00046CC4"/>
    <w:rsid w:val="00047340"/>
    <w:rsid w:val="000479B3"/>
    <w:rsid w:val="000503FD"/>
    <w:rsid w:val="00050409"/>
    <w:rsid w:val="00050D96"/>
    <w:rsid w:val="00050FCA"/>
    <w:rsid w:val="00051843"/>
    <w:rsid w:val="00051938"/>
    <w:rsid w:val="00051A83"/>
    <w:rsid w:val="00051D15"/>
    <w:rsid w:val="000520E7"/>
    <w:rsid w:val="0005261D"/>
    <w:rsid w:val="000537B6"/>
    <w:rsid w:val="00054047"/>
    <w:rsid w:val="000542CD"/>
    <w:rsid w:val="00054554"/>
    <w:rsid w:val="00054B2F"/>
    <w:rsid w:val="00054D88"/>
    <w:rsid w:val="00055654"/>
    <w:rsid w:val="00055F0A"/>
    <w:rsid w:val="00056039"/>
    <w:rsid w:val="000562E1"/>
    <w:rsid w:val="00056ACE"/>
    <w:rsid w:val="00056D07"/>
    <w:rsid w:val="00056E7A"/>
    <w:rsid w:val="00056E98"/>
    <w:rsid w:val="00057368"/>
    <w:rsid w:val="0005751D"/>
    <w:rsid w:val="00057D43"/>
    <w:rsid w:val="0006002F"/>
    <w:rsid w:val="0006008D"/>
    <w:rsid w:val="000602CB"/>
    <w:rsid w:val="00060D5A"/>
    <w:rsid w:val="00060DC3"/>
    <w:rsid w:val="00061233"/>
    <w:rsid w:val="00061433"/>
    <w:rsid w:val="00061637"/>
    <w:rsid w:val="00061BC3"/>
    <w:rsid w:val="00061CD6"/>
    <w:rsid w:val="000627EF"/>
    <w:rsid w:val="00062A71"/>
    <w:rsid w:val="00062B61"/>
    <w:rsid w:val="00062D07"/>
    <w:rsid w:val="0006328A"/>
    <w:rsid w:val="00063609"/>
    <w:rsid w:val="00064390"/>
    <w:rsid w:val="00064C91"/>
    <w:rsid w:val="000650FE"/>
    <w:rsid w:val="00065C40"/>
    <w:rsid w:val="000661D2"/>
    <w:rsid w:val="00066AB5"/>
    <w:rsid w:val="0006709C"/>
    <w:rsid w:val="00067303"/>
    <w:rsid w:val="000675B4"/>
    <w:rsid w:val="00067D92"/>
    <w:rsid w:val="00070746"/>
    <w:rsid w:val="00070792"/>
    <w:rsid w:val="00071617"/>
    <w:rsid w:val="0007181D"/>
    <w:rsid w:val="00071A26"/>
    <w:rsid w:val="00072923"/>
    <w:rsid w:val="00073147"/>
    <w:rsid w:val="00073754"/>
    <w:rsid w:val="000744AF"/>
    <w:rsid w:val="000751EC"/>
    <w:rsid w:val="00075698"/>
    <w:rsid w:val="0007571A"/>
    <w:rsid w:val="000766EF"/>
    <w:rsid w:val="0007767A"/>
    <w:rsid w:val="00077890"/>
    <w:rsid w:val="0008093D"/>
    <w:rsid w:val="000811E7"/>
    <w:rsid w:val="00081D16"/>
    <w:rsid w:val="00082937"/>
    <w:rsid w:val="00082F2C"/>
    <w:rsid w:val="00083CC4"/>
    <w:rsid w:val="000840F7"/>
    <w:rsid w:val="00084523"/>
    <w:rsid w:val="00084E8D"/>
    <w:rsid w:val="000855C9"/>
    <w:rsid w:val="00085E27"/>
    <w:rsid w:val="00086531"/>
    <w:rsid w:val="00086782"/>
    <w:rsid w:val="00086A40"/>
    <w:rsid w:val="00086C06"/>
    <w:rsid w:val="00087017"/>
    <w:rsid w:val="00087717"/>
    <w:rsid w:val="000906B4"/>
    <w:rsid w:val="0009097A"/>
    <w:rsid w:val="00090E31"/>
    <w:rsid w:val="000916AE"/>
    <w:rsid w:val="000921CF"/>
    <w:rsid w:val="000923DA"/>
    <w:rsid w:val="00092705"/>
    <w:rsid w:val="00092EC4"/>
    <w:rsid w:val="000934AF"/>
    <w:rsid w:val="000937C6"/>
    <w:rsid w:val="00093D9C"/>
    <w:rsid w:val="00093DAE"/>
    <w:rsid w:val="00096FA2"/>
    <w:rsid w:val="00097771"/>
    <w:rsid w:val="00097A2E"/>
    <w:rsid w:val="000A0689"/>
    <w:rsid w:val="000A1242"/>
    <w:rsid w:val="000A15A0"/>
    <w:rsid w:val="000A18B6"/>
    <w:rsid w:val="000A191B"/>
    <w:rsid w:val="000A20C5"/>
    <w:rsid w:val="000A21CE"/>
    <w:rsid w:val="000A2311"/>
    <w:rsid w:val="000A2E62"/>
    <w:rsid w:val="000A3775"/>
    <w:rsid w:val="000A3C42"/>
    <w:rsid w:val="000A4FD2"/>
    <w:rsid w:val="000A5943"/>
    <w:rsid w:val="000A60AD"/>
    <w:rsid w:val="000A64E6"/>
    <w:rsid w:val="000A6AF0"/>
    <w:rsid w:val="000A6DA9"/>
    <w:rsid w:val="000A6DB7"/>
    <w:rsid w:val="000A770D"/>
    <w:rsid w:val="000A7753"/>
    <w:rsid w:val="000A7767"/>
    <w:rsid w:val="000A7E33"/>
    <w:rsid w:val="000B1331"/>
    <w:rsid w:val="000B1A85"/>
    <w:rsid w:val="000B1AC0"/>
    <w:rsid w:val="000B275B"/>
    <w:rsid w:val="000B31FD"/>
    <w:rsid w:val="000B3DAE"/>
    <w:rsid w:val="000B4277"/>
    <w:rsid w:val="000B4B94"/>
    <w:rsid w:val="000B5DDC"/>
    <w:rsid w:val="000B6061"/>
    <w:rsid w:val="000B6AB8"/>
    <w:rsid w:val="000B72CC"/>
    <w:rsid w:val="000B750A"/>
    <w:rsid w:val="000C0F7E"/>
    <w:rsid w:val="000C1481"/>
    <w:rsid w:val="000C14AD"/>
    <w:rsid w:val="000C251D"/>
    <w:rsid w:val="000C2879"/>
    <w:rsid w:val="000C313B"/>
    <w:rsid w:val="000C3217"/>
    <w:rsid w:val="000C3859"/>
    <w:rsid w:val="000C3C3F"/>
    <w:rsid w:val="000C43E5"/>
    <w:rsid w:val="000C49CD"/>
    <w:rsid w:val="000C4ACA"/>
    <w:rsid w:val="000C4EE8"/>
    <w:rsid w:val="000C58D4"/>
    <w:rsid w:val="000C656B"/>
    <w:rsid w:val="000C666F"/>
    <w:rsid w:val="000C705E"/>
    <w:rsid w:val="000C76D9"/>
    <w:rsid w:val="000C7D26"/>
    <w:rsid w:val="000C7D90"/>
    <w:rsid w:val="000C7EBA"/>
    <w:rsid w:val="000D0BF6"/>
    <w:rsid w:val="000D2318"/>
    <w:rsid w:val="000D292A"/>
    <w:rsid w:val="000D2E9F"/>
    <w:rsid w:val="000D30B6"/>
    <w:rsid w:val="000D3827"/>
    <w:rsid w:val="000D3ADA"/>
    <w:rsid w:val="000D3BE6"/>
    <w:rsid w:val="000D4852"/>
    <w:rsid w:val="000D60D1"/>
    <w:rsid w:val="000D6A0D"/>
    <w:rsid w:val="000D6B5C"/>
    <w:rsid w:val="000D7881"/>
    <w:rsid w:val="000D7D91"/>
    <w:rsid w:val="000E02D8"/>
    <w:rsid w:val="000E02FD"/>
    <w:rsid w:val="000E035E"/>
    <w:rsid w:val="000E03AD"/>
    <w:rsid w:val="000E049A"/>
    <w:rsid w:val="000E0946"/>
    <w:rsid w:val="000E1275"/>
    <w:rsid w:val="000E1590"/>
    <w:rsid w:val="000E17D9"/>
    <w:rsid w:val="000E2222"/>
    <w:rsid w:val="000E2734"/>
    <w:rsid w:val="000E393C"/>
    <w:rsid w:val="000E3D9C"/>
    <w:rsid w:val="000E40A2"/>
    <w:rsid w:val="000E5CA1"/>
    <w:rsid w:val="000E7099"/>
    <w:rsid w:val="000E7B06"/>
    <w:rsid w:val="000E7F69"/>
    <w:rsid w:val="000F0700"/>
    <w:rsid w:val="000F1069"/>
    <w:rsid w:val="000F1215"/>
    <w:rsid w:val="000F16FF"/>
    <w:rsid w:val="000F1AD9"/>
    <w:rsid w:val="000F1DBD"/>
    <w:rsid w:val="000F2925"/>
    <w:rsid w:val="000F2977"/>
    <w:rsid w:val="000F2FE0"/>
    <w:rsid w:val="000F3030"/>
    <w:rsid w:val="000F49B3"/>
    <w:rsid w:val="000F52A8"/>
    <w:rsid w:val="000F563A"/>
    <w:rsid w:val="000F59AF"/>
    <w:rsid w:val="000F5BB8"/>
    <w:rsid w:val="000F5C10"/>
    <w:rsid w:val="000F5EDB"/>
    <w:rsid w:val="000F6167"/>
    <w:rsid w:val="000F634A"/>
    <w:rsid w:val="000F64B7"/>
    <w:rsid w:val="000F7B5F"/>
    <w:rsid w:val="001007ED"/>
    <w:rsid w:val="001017C2"/>
    <w:rsid w:val="001019F2"/>
    <w:rsid w:val="00102664"/>
    <w:rsid w:val="00102853"/>
    <w:rsid w:val="00103270"/>
    <w:rsid w:val="00103926"/>
    <w:rsid w:val="00103D6E"/>
    <w:rsid w:val="00103E2A"/>
    <w:rsid w:val="00103E30"/>
    <w:rsid w:val="0010414A"/>
    <w:rsid w:val="001045E4"/>
    <w:rsid w:val="001050E3"/>
    <w:rsid w:val="00105904"/>
    <w:rsid w:val="0010678F"/>
    <w:rsid w:val="00106E95"/>
    <w:rsid w:val="00107B17"/>
    <w:rsid w:val="001103E9"/>
    <w:rsid w:val="0011088C"/>
    <w:rsid w:val="00110D11"/>
    <w:rsid w:val="00111443"/>
    <w:rsid w:val="001125AA"/>
    <w:rsid w:val="00112809"/>
    <w:rsid w:val="00112EE6"/>
    <w:rsid w:val="00113299"/>
    <w:rsid w:val="001134FC"/>
    <w:rsid w:val="0011477F"/>
    <w:rsid w:val="0011488E"/>
    <w:rsid w:val="00115396"/>
    <w:rsid w:val="001154D0"/>
    <w:rsid w:val="001156C9"/>
    <w:rsid w:val="00115D06"/>
    <w:rsid w:val="00116BA7"/>
    <w:rsid w:val="00116C2E"/>
    <w:rsid w:val="00117886"/>
    <w:rsid w:val="00120108"/>
    <w:rsid w:val="0012024E"/>
    <w:rsid w:val="00120946"/>
    <w:rsid w:val="00120F63"/>
    <w:rsid w:val="0012122A"/>
    <w:rsid w:val="00121784"/>
    <w:rsid w:val="00121BA1"/>
    <w:rsid w:val="0012278E"/>
    <w:rsid w:val="00124084"/>
    <w:rsid w:val="00124710"/>
    <w:rsid w:val="0012592D"/>
    <w:rsid w:val="00125DD9"/>
    <w:rsid w:val="00125EEB"/>
    <w:rsid w:val="00126264"/>
    <w:rsid w:val="00126F19"/>
    <w:rsid w:val="00130387"/>
    <w:rsid w:val="00130517"/>
    <w:rsid w:val="001306E8"/>
    <w:rsid w:val="00130894"/>
    <w:rsid w:val="0013171F"/>
    <w:rsid w:val="001323A4"/>
    <w:rsid w:val="001325BB"/>
    <w:rsid w:val="00132D93"/>
    <w:rsid w:val="001336C7"/>
    <w:rsid w:val="00133BDC"/>
    <w:rsid w:val="001341AE"/>
    <w:rsid w:val="00134373"/>
    <w:rsid w:val="0013507B"/>
    <w:rsid w:val="00135661"/>
    <w:rsid w:val="00135818"/>
    <w:rsid w:val="00135825"/>
    <w:rsid w:val="00135AC3"/>
    <w:rsid w:val="00135F1C"/>
    <w:rsid w:val="0013662A"/>
    <w:rsid w:val="001377AD"/>
    <w:rsid w:val="00137D22"/>
    <w:rsid w:val="0014060C"/>
    <w:rsid w:val="00140B75"/>
    <w:rsid w:val="00142727"/>
    <w:rsid w:val="00142CD1"/>
    <w:rsid w:val="001434E6"/>
    <w:rsid w:val="001445D5"/>
    <w:rsid w:val="001448F7"/>
    <w:rsid w:val="00145727"/>
    <w:rsid w:val="00145D02"/>
    <w:rsid w:val="001463B4"/>
    <w:rsid w:val="00147218"/>
    <w:rsid w:val="00147953"/>
    <w:rsid w:val="00147A40"/>
    <w:rsid w:val="00147DED"/>
    <w:rsid w:val="00147E5E"/>
    <w:rsid w:val="00147EDA"/>
    <w:rsid w:val="001505CE"/>
    <w:rsid w:val="00150BA5"/>
    <w:rsid w:val="00150C1C"/>
    <w:rsid w:val="0015104A"/>
    <w:rsid w:val="00151532"/>
    <w:rsid w:val="00151F00"/>
    <w:rsid w:val="00152529"/>
    <w:rsid w:val="001526CF"/>
    <w:rsid w:val="001529FB"/>
    <w:rsid w:val="00152C24"/>
    <w:rsid w:val="001540B7"/>
    <w:rsid w:val="00154F91"/>
    <w:rsid w:val="00156225"/>
    <w:rsid w:val="0015659B"/>
    <w:rsid w:val="0015698A"/>
    <w:rsid w:val="00156A4B"/>
    <w:rsid w:val="00156E1B"/>
    <w:rsid w:val="00157496"/>
    <w:rsid w:val="00157764"/>
    <w:rsid w:val="0016026C"/>
    <w:rsid w:val="0016065A"/>
    <w:rsid w:val="00160696"/>
    <w:rsid w:val="00160DAC"/>
    <w:rsid w:val="00160DFA"/>
    <w:rsid w:val="0016154A"/>
    <w:rsid w:val="00161BB5"/>
    <w:rsid w:val="001627DB"/>
    <w:rsid w:val="0016437C"/>
    <w:rsid w:val="001645B5"/>
    <w:rsid w:val="00164EEF"/>
    <w:rsid w:val="00164F69"/>
    <w:rsid w:val="0016547C"/>
    <w:rsid w:val="00165B77"/>
    <w:rsid w:val="00165DA0"/>
    <w:rsid w:val="00166AA3"/>
    <w:rsid w:val="00167248"/>
    <w:rsid w:val="001675B1"/>
    <w:rsid w:val="00170133"/>
    <w:rsid w:val="001701A8"/>
    <w:rsid w:val="00170232"/>
    <w:rsid w:val="0017071D"/>
    <w:rsid w:val="00170E7A"/>
    <w:rsid w:val="00171B67"/>
    <w:rsid w:val="00171F79"/>
    <w:rsid w:val="00172446"/>
    <w:rsid w:val="00172602"/>
    <w:rsid w:val="001729D5"/>
    <w:rsid w:val="00173CD0"/>
    <w:rsid w:val="001741C6"/>
    <w:rsid w:val="001749CA"/>
    <w:rsid w:val="00175D1E"/>
    <w:rsid w:val="00177480"/>
    <w:rsid w:val="00181D26"/>
    <w:rsid w:val="00182015"/>
    <w:rsid w:val="00183BFA"/>
    <w:rsid w:val="00184695"/>
    <w:rsid w:val="001847B5"/>
    <w:rsid w:val="00184ACD"/>
    <w:rsid w:val="00184D18"/>
    <w:rsid w:val="00185020"/>
    <w:rsid w:val="00185900"/>
    <w:rsid w:val="001859D4"/>
    <w:rsid w:val="0018607A"/>
    <w:rsid w:val="001867CC"/>
    <w:rsid w:val="001868BD"/>
    <w:rsid w:val="00186E45"/>
    <w:rsid w:val="00187DBD"/>
    <w:rsid w:val="00187EE9"/>
    <w:rsid w:val="001907B4"/>
    <w:rsid w:val="00190E40"/>
    <w:rsid w:val="001910B6"/>
    <w:rsid w:val="001910E1"/>
    <w:rsid w:val="00191513"/>
    <w:rsid w:val="001924FC"/>
    <w:rsid w:val="001927E6"/>
    <w:rsid w:val="001928B8"/>
    <w:rsid w:val="00192AAE"/>
    <w:rsid w:val="00192BF7"/>
    <w:rsid w:val="00193D3E"/>
    <w:rsid w:val="00193F8C"/>
    <w:rsid w:val="00194856"/>
    <w:rsid w:val="00194CC9"/>
    <w:rsid w:val="00195704"/>
    <w:rsid w:val="00195D5E"/>
    <w:rsid w:val="0019644C"/>
    <w:rsid w:val="00196CA0"/>
    <w:rsid w:val="00196D6E"/>
    <w:rsid w:val="00196EE9"/>
    <w:rsid w:val="00197094"/>
    <w:rsid w:val="00197295"/>
    <w:rsid w:val="0019743F"/>
    <w:rsid w:val="001977AE"/>
    <w:rsid w:val="00197915"/>
    <w:rsid w:val="001A0A03"/>
    <w:rsid w:val="001A0B4B"/>
    <w:rsid w:val="001A11FA"/>
    <w:rsid w:val="001A1267"/>
    <w:rsid w:val="001A132E"/>
    <w:rsid w:val="001A14C9"/>
    <w:rsid w:val="001A159F"/>
    <w:rsid w:val="001A1B6E"/>
    <w:rsid w:val="001A39C0"/>
    <w:rsid w:val="001A4C90"/>
    <w:rsid w:val="001A558F"/>
    <w:rsid w:val="001A578F"/>
    <w:rsid w:val="001A5BD1"/>
    <w:rsid w:val="001A6171"/>
    <w:rsid w:val="001A6D45"/>
    <w:rsid w:val="001A75BF"/>
    <w:rsid w:val="001A780B"/>
    <w:rsid w:val="001A7D20"/>
    <w:rsid w:val="001B0F97"/>
    <w:rsid w:val="001B1D1A"/>
    <w:rsid w:val="001B2086"/>
    <w:rsid w:val="001B29DC"/>
    <w:rsid w:val="001B2EAA"/>
    <w:rsid w:val="001B3300"/>
    <w:rsid w:val="001B34FC"/>
    <w:rsid w:val="001B3629"/>
    <w:rsid w:val="001B37C0"/>
    <w:rsid w:val="001B3AD5"/>
    <w:rsid w:val="001B47A5"/>
    <w:rsid w:val="001B4CC5"/>
    <w:rsid w:val="001B4E82"/>
    <w:rsid w:val="001B5219"/>
    <w:rsid w:val="001B55BD"/>
    <w:rsid w:val="001B5BE7"/>
    <w:rsid w:val="001B6982"/>
    <w:rsid w:val="001B7801"/>
    <w:rsid w:val="001B7E25"/>
    <w:rsid w:val="001B7EBC"/>
    <w:rsid w:val="001C0179"/>
    <w:rsid w:val="001C09E5"/>
    <w:rsid w:val="001C109E"/>
    <w:rsid w:val="001C17C3"/>
    <w:rsid w:val="001C20F8"/>
    <w:rsid w:val="001C2C2B"/>
    <w:rsid w:val="001C2E25"/>
    <w:rsid w:val="001C2F67"/>
    <w:rsid w:val="001C311A"/>
    <w:rsid w:val="001C356E"/>
    <w:rsid w:val="001C427E"/>
    <w:rsid w:val="001C450D"/>
    <w:rsid w:val="001C47E9"/>
    <w:rsid w:val="001C499E"/>
    <w:rsid w:val="001C4AC6"/>
    <w:rsid w:val="001C4D38"/>
    <w:rsid w:val="001C5C9B"/>
    <w:rsid w:val="001C5CE7"/>
    <w:rsid w:val="001C6598"/>
    <w:rsid w:val="001C71B6"/>
    <w:rsid w:val="001C72F3"/>
    <w:rsid w:val="001C749F"/>
    <w:rsid w:val="001C78A3"/>
    <w:rsid w:val="001C7A61"/>
    <w:rsid w:val="001C7DDA"/>
    <w:rsid w:val="001C7F33"/>
    <w:rsid w:val="001D0CC4"/>
    <w:rsid w:val="001D1C8B"/>
    <w:rsid w:val="001D1DB7"/>
    <w:rsid w:val="001D25C9"/>
    <w:rsid w:val="001D26B7"/>
    <w:rsid w:val="001D3072"/>
    <w:rsid w:val="001D35E4"/>
    <w:rsid w:val="001D4409"/>
    <w:rsid w:val="001D47CE"/>
    <w:rsid w:val="001D4E81"/>
    <w:rsid w:val="001D4F9C"/>
    <w:rsid w:val="001D5173"/>
    <w:rsid w:val="001D556E"/>
    <w:rsid w:val="001D5B8E"/>
    <w:rsid w:val="001D5E92"/>
    <w:rsid w:val="001D6988"/>
    <w:rsid w:val="001E0F13"/>
    <w:rsid w:val="001E1219"/>
    <w:rsid w:val="001E24A3"/>
    <w:rsid w:val="001E24C2"/>
    <w:rsid w:val="001E2F25"/>
    <w:rsid w:val="001E5713"/>
    <w:rsid w:val="001E6359"/>
    <w:rsid w:val="001E6AF2"/>
    <w:rsid w:val="001E6FC7"/>
    <w:rsid w:val="001E6FF7"/>
    <w:rsid w:val="001E70BD"/>
    <w:rsid w:val="001E711F"/>
    <w:rsid w:val="001E790B"/>
    <w:rsid w:val="001E7946"/>
    <w:rsid w:val="001F03C3"/>
    <w:rsid w:val="001F0A10"/>
    <w:rsid w:val="001F0DE2"/>
    <w:rsid w:val="001F1239"/>
    <w:rsid w:val="001F12BB"/>
    <w:rsid w:val="001F14B0"/>
    <w:rsid w:val="001F15CA"/>
    <w:rsid w:val="001F2051"/>
    <w:rsid w:val="001F2D69"/>
    <w:rsid w:val="001F3D94"/>
    <w:rsid w:val="001F47CD"/>
    <w:rsid w:val="001F4992"/>
    <w:rsid w:val="001F4B08"/>
    <w:rsid w:val="001F4BED"/>
    <w:rsid w:val="001F4D63"/>
    <w:rsid w:val="001F52F3"/>
    <w:rsid w:val="001F6096"/>
    <w:rsid w:val="001F6B7E"/>
    <w:rsid w:val="001F78D5"/>
    <w:rsid w:val="0020072B"/>
    <w:rsid w:val="00200C77"/>
    <w:rsid w:val="00200F6F"/>
    <w:rsid w:val="00201013"/>
    <w:rsid w:val="00202515"/>
    <w:rsid w:val="00203844"/>
    <w:rsid w:val="00204AA8"/>
    <w:rsid w:val="0020553C"/>
    <w:rsid w:val="00205695"/>
    <w:rsid w:val="00205AC0"/>
    <w:rsid w:val="00205E39"/>
    <w:rsid w:val="00206BBA"/>
    <w:rsid w:val="00206C3C"/>
    <w:rsid w:val="00206D2A"/>
    <w:rsid w:val="00207509"/>
    <w:rsid w:val="00207F5F"/>
    <w:rsid w:val="0021001C"/>
    <w:rsid w:val="00211610"/>
    <w:rsid w:val="0021222F"/>
    <w:rsid w:val="002125F2"/>
    <w:rsid w:val="002129FC"/>
    <w:rsid w:val="00212D73"/>
    <w:rsid w:val="00213837"/>
    <w:rsid w:val="00213B4D"/>
    <w:rsid w:val="00213E4C"/>
    <w:rsid w:val="0021429D"/>
    <w:rsid w:val="00214DCC"/>
    <w:rsid w:val="002153D3"/>
    <w:rsid w:val="00217855"/>
    <w:rsid w:val="00217B0A"/>
    <w:rsid w:val="00220187"/>
    <w:rsid w:val="00220386"/>
    <w:rsid w:val="00220F7A"/>
    <w:rsid w:val="00221BEE"/>
    <w:rsid w:val="00222820"/>
    <w:rsid w:val="0022285E"/>
    <w:rsid w:val="00222B20"/>
    <w:rsid w:val="002231B4"/>
    <w:rsid w:val="0022338F"/>
    <w:rsid w:val="00223D83"/>
    <w:rsid w:val="0022494A"/>
    <w:rsid w:val="00224B2A"/>
    <w:rsid w:val="00224DA8"/>
    <w:rsid w:val="00225089"/>
    <w:rsid w:val="002261DB"/>
    <w:rsid w:val="002267BE"/>
    <w:rsid w:val="00227323"/>
    <w:rsid w:val="00227BC9"/>
    <w:rsid w:val="002302BE"/>
    <w:rsid w:val="00230425"/>
    <w:rsid w:val="00230F1D"/>
    <w:rsid w:val="002317B2"/>
    <w:rsid w:val="00231C04"/>
    <w:rsid w:val="00232391"/>
    <w:rsid w:val="0023250C"/>
    <w:rsid w:val="002326D5"/>
    <w:rsid w:val="00232A80"/>
    <w:rsid w:val="00232D0F"/>
    <w:rsid w:val="00232DCB"/>
    <w:rsid w:val="002336A4"/>
    <w:rsid w:val="00233869"/>
    <w:rsid w:val="00233F11"/>
    <w:rsid w:val="002342EA"/>
    <w:rsid w:val="00234FBF"/>
    <w:rsid w:val="00235613"/>
    <w:rsid w:val="0023635A"/>
    <w:rsid w:val="0023661B"/>
    <w:rsid w:val="0023692B"/>
    <w:rsid w:val="00236EDD"/>
    <w:rsid w:val="002370B6"/>
    <w:rsid w:val="002373AA"/>
    <w:rsid w:val="00237907"/>
    <w:rsid w:val="00237A5F"/>
    <w:rsid w:val="0024083F"/>
    <w:rsid w:val="00240CE4"/>
    <w:rsid w:val="002418D3"/>
    <w:rsid w:val="00241914"/>
    <w:rsid w:val="00241D28"/>
    <w:rsid w:val="00241DC6"/>
    <w:rsid w:val="00242399"/>
    <w:rsid w:val="002429F8"/>
    <w:rsid w:val="002430A2"/>
    <w:rsid w:val="002437DF"/>
    <w:rsid w:val="0024455D"/>
    <w:rsid w:val="00244B47"/>
    <w:rsid w:val="00244F94"/>
    <w:rsid w:val="002463A2"/>
    <w:rsid w:val="00246FBE"/>
    <w:rsid w:val="00247389"/>
    <w:rsid w:val="002508A7"/>
    <w:rsid w:val="00250FF4"/>
    <w:rsid w:val="002513E4"/>
    <w:rsid w:val="0025325E"/>
    <w:rsid w:val="002532CC"/>
    <w:rsid w:val="00254D44"/>
    <w:rsid w:val="002550C4"/>
    <w:rsid w:val="00255141"/>
    <w:rsid w:val="00255220"/>
    <w:rsid w:val="002553D8"/>
    <w:rsid w:val="00256326"/>
    <w:rsid w:val="002566E2"/>
    <w:rsid w:val="00256DDF"/>
    <w:rsid w:val="00257087"/>
    <w:rsid w:val="002576F6"/>
    <w:rsid w:val="00260618"/>
    <w:rsid w:val="002611AB"/>
    <w:rsid w:val="002618E2"/>
    <w:rsid w:val="00261F6C"/>
    <w:rsid w:val="002623F5"/>
    <w:rsid w:val="00262A1A"/>
    <w:rsid w:val="00262BE7"/>
    <w:rsid w:val="0026306F"/>
    <w:rsid w:val="0026362E"/>
    <w:rsid w:val="002638F1"/>
    <w:rsid w:val="00263CCD"/>
    <w:rsid w:val="002640BD"/>
    <w:rsid w:val="002640C3"/>
    <w:rsid w:val="00264511"/>
    <w:rsid w:val="00264E0B"/>
    <w:rsid w:val="0026592E"/>
    <w:rsid w:val="0026595E"/>
    <w:rsid w:val="00265E38"/>
    <w:rsid w:val="002662E5"/>
    <w:rsid w:val="002667EF"/>
    <w:rsid w:val="002669D5"/>
    <w:rsid w:val="00266BD7"/>
    <w:rsid w:val="00266D8B"/>
    <w:rsid w:val="00266ED3"/>
    <w:rsid w:val="00266F42"/>
    <w:rsid w:val="0026747C"/>
    <w:rsid w:val="00267C39"/>
    <w:rsid w:val="00267CAA"/>
    <w:rsid w:val="00270084"/>
    <w:rsid w:val="002701D4"/>
    <w:rsid w:val="00270237"/>
    <w:rsid w:val="00270D48"/>
    <w:rsid w:val="00272241"/>
    <w:rsid w:val="00272FE0"/>
    <w:rsid w:val="00273ACD"/>
    <w:rsid w:val="00274017"/>
    <w:rsid w:val="002741A1"/>
    <w:rsid w:val="00274B4C"/>
    <w:rsid w:val="002756C4"/>
    <w:rsid w:val="002760B6"/>
    <w:rsid w:val="00276479"/>
    <w:rsid w:val="002768FE"/>
    <w:rsid w:val="002771F7"/>
    <w:rsid w:val="00277902"/>
    <w:rsid w:val="00280050"/>
    <w:rsid w:val="0028124A"/>
    <w:rsid w:val="00281766"/>
    <w:rsid w:val="00282129"/>
    <w:rsid w:val="00282D0C"/>
    <w:rsid w:val="002837EE"/>
    <w:rsid w:val="00283AF3"/>
    <w:rsid w:val="002852AA"/>
    <w:rsid w:val="002853E1"/>
    <w:rsid w:val="0028561C"/>
    <w:rsid w:val="00285809"/>
    <w:rsid w:val="00285A6C"/>
    <w:rsid w:val="002868C3"/>
    <w:rsid w:val="00287532"/>
    <w:rsid w:val="00287CFA"/>
    <w:rsid w:val="002902B5"/>
    <w:rsid w:val="00291235"/>
    <w:rsid w:val="0029168E"/>
    <w:rsid w:val="002917D3"/>
    <w:rsid w:val="00291E29"/>
    <w:rsid w:val="00291EB4"/>
    <w:rsid w:val="00293B1F"/>
    <w:rsid w:val="00293C15"/>
    <w:rsid w:val="0029410F"/>
    <w:rsid w:val="00294993"/>
    <w:rsid w:val="00294A0B"/>
    <w:rsid w:val="002950C5"/>
    <w:rsid w:val="00295145"/>
    <w:rsid w:val="002951FE"/>
    <w:rsid w:val="0029605D"/>
    <w:rsid w:val="0029682F"/>
    <w:rsid w:val="002969F5"/>
    <w:rsid w:val="002973F9"/>
    <w:rsid w:val="00297646"/>
    <w:rsid w:val="00297676"/>
    <w:rsid w:val="002979CC"/>
    <w:rsid w:val="00297FF8"/>
    <w:rsid w:val="002A078D"/>
    <w:rsid w:val="002A0A94"/>
    <w:rsid w:val="002A116C"/>
    <w:rsid w:val="002A13DA"/>
    <w:rsid w:val="002A2189"/>
    <w:rsid w:val="002A2501"/>
    <w:rsid w:val="002A268C"/>
    <w:rsid w:val="002A2820"/>
    <w:rsid w:val="002A33C8"/>
    <w:rsid w:val="002A3EDB"/>
    <w:rsid w:val="002A3F7A"/>
    <w:rsid w:val="002A4729"/>
    <w:rsid w:val="002A4AE5"/>
    <w:rsid w:val="002A595F"/>
    <w:rsid w:val="002A663F"/>
    <w:rsid w:val="002B0E5E"/>
    <w:rsid w:val="002B0F34"/>
    <w:rsid w:val="002B11EA"/>
    <w:rsid w:val="002B1204"/>
    <w:rsid w:val="002B342E"/>
    <w:rsid w:val="002B3774"/>
    <w:rsid w:val="002B378F"/>
    <w:rsid w:val="002B3B82"/>
    <w:rsid w:val="002B493B"/>
    <w:rsid w:val="002B5055"/>
    <w:rsid w:val="002B512C"/>
    <w:rsid w:val="002B52A2"/>
    <w:rsid w:val="002B64A4"/>
    <w:rsid w:val="002B6EFB"/>
    <w:rsid w:val="002B7054"/>
    <w:rsid w:val="002B79BD"/>
    <w:rsid w:val="002B7A14"/>
    <w:rsid w:val="002B7B2B"/>
    <w:rsid w:val="002C01C9"/>
    <w:rsid w:val="002C07FD"/>
    <w:rsid w:val="002C1139"/>
    <w:rsid w:val="002C1787"/>
    <w:rsid w:val="002C199B"/>
    <w:rsid w:val="002C1A17"/>
    <w:rsid w:val="002C1DE5"/>
    <w:rsid w:val="002C225F"/>
    <w:rsid w:val="002C2568"/>
    <w:rsid w:val="002C2959"/>
    <w:rsid w:val="002C2F49"/>
    <w:rsid w:val="002C2F76"/>
    <w:rsid w:val="002C3817"/>
    <w:rsid w:val="002C406F"/>
    <w:rsid w:val="002C40F1"/>
    <w:rsid w:val="002C4232"/>
    <w:rsid w:val="002C4FA8"/>
    <w:rsid w:val="002C5619"/>
    <w:rsid w:val="002C6049"/>
    <w:rsid w:val="002C7798"/>
    <w:rsid w:val="002D0608"/>
    <w:rsid w:val="002D0C84"/>
    <w:rsid w:val="002D1666"/>
    <w:rsid w:val="002D1889"/>
    <w:rsid w:val="002D1FD3"/>
    <w:rsid w:val="002D2344"/>
    <w:rsid w:val="002D2737"/>
    <w:rsid w:val="002D289F"/>
    <w:rsid w:val="002D29A1"/>
    <w:rsid w:val="002D29D3"/>
    <w:rsid w:val="002D2DE2"/>
    <w:rsid w:val="002D2EB5"/>
    <w:rsid w:val="002D3FBF"/>
    <w:rsid w:val="002D4D3B"/>
    <w:rsid w:val="002D6129"/>
    <w:rsid w:val="002D6D59"/>
    <w:rsid w:val="002D7216"/>
    <w:rsid w:val="002D76AD"/>
    <w:rsid w:val="002E0D79"/>
    <w:rsid w:val="002E1B13"/>
    <w:rsid w:val="002E1D89"/>
    <w:rsid w:val="002E22CE"/>
    <w:rsid w:val="002E2687"/>
    <w:rsid w:val="002E29C2"/>
    <w:rsid w:val="002E2BE3"/>
    <w:rsid w:val="002E357C"/>
    <w:rsid w:val="002E4187"/>
    <w:rsid w:val="002E4413"/>
    <w:rsid w:val="002E4B83"/>
    <w:rsid w:val="002E5EA0"/>
    <w:rsid w:val="002E63FD"/>
    <w:rsid w:val="002E6927"/>
    <w:rsid w:val="002E6C70"/>
    <w:rsid w:val="002E7129"/>
    <w:rsid w:val="002E7187"/>
    <w:rsid w:val="002E799B"/>
    <w:rsid w:val="002E7BAD"/>
    <w:rsid w:val="002E7D25"/>
    <w:rsid w:val="002F053B"/>
    <w:rsid w:val="002F0E0B"/>
    <w:rsid w:val="002F1419"/>
    <w:rsid w:val="002F14D5"/>
    <w:rsid w:val="002F1565"/>
    <w:rsid w:val="002F1641"/>
    <w:rsid w:val="002F2067"/>
    <w:rsid w:val="002F23D9"/>
    <w:rsid w:val="002F23E7"/>
    <w:rsid w:val="002F42C7"/>
    <w:rsid w:val="002F45E0"/>
    <w:rsid w:val="002F4852"/>
    <w:rsid w:val="002F55C5"/>
    <w:rsid w:val="002F5A72"/>
    <w:rsid w:val="002F5B92"/>
    <w:rsid w:val="002F5EE7"/>
    <w:rsid w:val="002F61D3"/>
    <w:rsid w:val="002F6A3F"/>
    <w:rsid w:val="002F7824"/>
    <w:rsid w:val="002F7A49"/>
    <w:rsid w:val="002F7EEF"/>
    <w:rsid w:val="00302840"/>
    <w:rsid w:val="003039BB"/>
    <w:rsid w:val="00304125"/>
    <w:rsid w:val="003047DE"/>
    <w:rsid w:val="00304995"/>
    <w:rsid w:val="00304FC5"/>
    <w:rsid w:val="003052F9"/>
    <w:rsid w:val="0030566C"/>
    <w:rsid w:val="00305881"/>
    <w:rsid w:val="0030674D"/>
    <w:rsid w:val="0030705E"/>
    <w:rsid w:val="00307671"/>
    <w:rsid w:val="00307904"/>
    <w:rsid w:val="00307DAF"/>
    <w:rsid w:val="003103D3"/>
    <w:rsid w:val="0031119A"/>
    <w:rsid w:val="00311240"/>
    <w:rsid w:val="00311363"/>
    <w:rsid w:val="00311FDE"/>
    <w:rsid w:val="0031233C"/>
    <w:rsid w:val="003133C3"/>
    <w:rsid w:val="00313AD2"/>
    <w:rsid w:val="003141F0"/>
    <w:rsid w:val="003146D3"/>
    <w:rsid w:val="00315C5F"/>
    <w:rsid w:val="00316064"/>
    <w:rsid w:val="003160AF"/>
    <w:rsid w:val="00316141"/>
    <w:rsid w:val="003165AB"/>
    <w:rsid w:val="00317608"/>
    <w:rsid w:val="00321B9D"/>
    <w:rsid w:val="0032257B"/>
    <w:rsid w:val="00322798"/>
    <w:rsid w:val="003233F2"/>
    <w:rsid w:val="00323A15"/>
    <w:rsid w:val="00323E6A"/>
    <w:rsid w:val="003242BA"/>
    <w:rsid w:val="003246ED"/>
    <w:rsid w:val="00324F17"/>
    <w:rsid w:val="00325E9B"/>
    <w:rsid w:val="00325ED5"/>
    <w:rsid w:val="003264DF"/>
    <w:rsid w:val="00327070"/>
    <w:rsid w:val="0032785B"/>
    <w:rsid w:val="00330415"/>
    <w:rsid w:val="00331A68"/>
    <w:rsid w:val="00331FA6"/>
    <w:rsid w:val="00332390"/>
    <w:rsid w:val="00332665"/>
    <w:rsid w:val="003334A5"/>
    <w:rsid w:val="00333A64"/>
    <w:rsid w:val="0033400A"/>
    <w:rsid w:val="00334556"/>
    <w:rsid w:val="00334D7A"/>
    <w:rsid w:val="00335949"/>
    <w:rsid w:val="00335A2A"/>
    <w:rsid w:val="00335CFB"/>
    <w:rsid w:val="00336967"/>
    <w:rsid w:val="00336FC8"/>
    <w:rsid w:val="00337947"/>
    <w:rsid w:val="00340811"/>
    <w:rsid w:val="00340DA6"/>
    <w:rsid w:val="00341E01"/>
    <w:rsid w:val="0034229E"/>
    <w:rsid w:val="00342E69"/>
    <w:rsid w:val="00343D0B"/>
    <w:rsid w:val="00343E96"/>
    <w:rsid w:val="0034453F"/>
    <w:rsid w:val="00345AF4"/>
    <w:rsid w:val="00347A46"/>
    <w:rsid w:val="00347FD5"/>
    <w:rsid w:val="00350277"/>
    <w:rsid w:val="00350B3F"/>
    <w:rsid w:val="00351465"/>
    <w:rsid w:val="003515D3"/>
    <w:rsid w:val="00351AF5"/>
    <w:rsid w:val="003525CD"/>
    <w:rsid w:val="003529F4"/>
    <w:rsid w:val="00352DB3"/>
    <w:rsid w:val="00352DFD"/>
    <w:rsid w:val="00352EC6"/>
    <w:rsid w:val="00353A17"/>
    <w:rsid w:val="00353D0E"/>
    <w:rsid w:val="00354672"/>
    <w:rsid w:val="00354BB1"/>
    <w:rsid w:val="00354C03"/>
    <w:rsid w:val="00354ED8"/>
    <w:rsid w:val="00354FCC"/>
    <w:rsid w:val="00355139"/>
    <w:rsid w:val="00355AAA"/>
    <w:rsid w:val="00355D2C"/>
    <w:rsid w:val="0035627E"/>
    <w:rsid w:val="00356C77"/>
    <w:rsid w:val="00356C99"/>
    <w:rsid w:val="00357DC4"/>
    <w:rsid w:val="00360331"/>
    <w:rsid w:val="00360563"/>
    <w:rsid w:val="0036138B"/>
    <w:rsid w:val="00361BA4"/>
    <w:rsid w:val="00361BBE"/>
    <w:rsid w:val="00361D1F"/>
    <w:rsid w:val="003632D3"/>
    <w:rsid w:val="003637C9"/>
    <w:rsid w:val="00363A81"/>
    <w:rsid w:val="00363B7F"/>
    <w:rsid w:val="00363C62"/>
    <w:rsid w:val="003641AC"/>
    <w:rsid w:val="00364572"/>
    <w:rsid w:val="003650ED"/>
    <w:rsid w:val="00365127"/>
    <w:rsid w:val="003653CF"/>
    <w:rsid w:val="0036577E"/>
    <w:rsid w:val="00366BB4"/>
    <w:rsid w:val="00366D2A"/>
    <w:rsid w:val="003674C2"/>
    <w:rsid w:val="003702A9"/>
    <w:rsid w:val="00371D91"/>
    <w:rsid w:val="00372926"/>
    <w:rsid w:val="00372A96"/>
    <w:rsid w:val="00373105"/>
    <w:rsid w:val="00373A90"/>
    <w:rsid w:val="00373E8D"/>
    <w:rsid w:val="00374595"/>
    <w:rsid w:val="0037467F"/>
    <w:rsid w:val="00374DB9"/>
    <w:rsid w:val="00374E3B"/>
    <w:rsid w:val="00375245"/>
    <w:rsid w:val="00375326"/>
    <w:rsid w:val="00375538"/>
    <w:rsid w:val="00375BCB"/>
    <w:rsid w:val="003769B7"/>
    <w:rsid w:val="00376DC9"/>
    <w:rsid w:val="00376E4F"/>
    <w:rsid w:val="00380066"/>
    <w:rsid w:val="00380AA2"/>
    <w:rsid w:val="00380C41"/>
    <w:rsid w:val="00380C71"/>
    <w:rsid w:val="00380F6A"/>
    <w:rsid w:val="00381905"/>
    <w:rsid w:val="00381F11"/>
    <w:rsid w:val="00382D64"/>
    <w:rsid w:val="00383760"/>
    <w:rsid w:val="0038464A"/>
    <w:rsid w:val="00384D58"/>
    <w:rsid w:val="003853B8"/>
    <w:rsid w:val="0038542F"/>
    <w:rsid w:val="00385AE4"/>
    <w:rsid w:val="00386499"/>
    <w:rsid w:val="003867B5"/>
    <w:rsid w:val="00386D05"/>
    <w:rsid w:val="003870C5"/>
    <w:rsid w:val="00387B9D"/>
    <w:rsid w:val="00387E71"/>
    <w:rsid w:val="00390CE4"/>
    <w:rsid w:val="0039154F"/>
    <w:rsid w:val="0039224B"/>
    <w:rsid w:val="003925C1"/>
    <w:rsid w:val="003927F5"/>
    <w:rsid w:val="0039379C"/>
    <w:rsid w:val="00393A25"/>
    <w:rsid w:val="003946AD"/>
    <w:rsid w:val="00394DE3"/>
    <w:rsid w:val="003958E6"/>
    <w:rsid w:val="00395C07"/>
    <w:rsid w:val="0039609D"/>
    <w:rsid w:val="00396A48"/>
    <w:rsid w:val="003975AA"/>
    <w:rsid w:val="00397F59"/>
    <w:rsid w:val="003A16D1"/>
    <w:rsid w:val="003A19C9"/>
    <w:rsid w:val="003A1C5E"/>
    <w:rsid w:val="003A297A"/>
    <w:rsid w:val="003A2D2D"/>
    <w:rsid w:val="003A3BAF"/>
    <w:rsid w:val="003A3F24"/>
    <w:rsid w:val="003A61D0"/>
    <w:rsid w:val="003A6841"/>
    <w:rsid w:val="003A6C3F"/>
    <w:rsid w:val="003A6EAA"/>
    <w:rsid w:val="003A7356"/>
    <w:rsid w:val="003A73C3"/>
    <w:rsid w:val="003B06A8"/>
    <w:rsid w:val="003B1307"/>
    <w:rsid w:val="003B13DC"/>
    <w:rsid w:val="003B1DCA"/>
    <w:rsid w:val="003B2139"/>
    <w:rsid w:val="003B277E"/>
    <w:rsid w:val="003B2A5D"/>
    <w:rsid w:val="003B2B4E"/>
    <w:rsid w:val="003B2F51"/>
    <w:rsid w:val="003B33A6"/>
    <w:rsid w:val="003B391D"/>
    <w:rsid w:val="003B3BEB"/>
    <w:rsid w:val="003B4A8A"/>
    <w:rsid w:val="003B5315"/>
    <w:rsid w:val="003B5829"/>
    <w:rsid w:val="003B5CCD"/>
    <w:rsid w:val="003B62F7"/>
    <w:rsid w:val="003B6A6F"/>
    <w:rsid w:val="003B6FC7"/>
    <w:rsid w:val="003B70EC"/>
    <w:rsid w:val="003C0F20"/>
    <w:rsid w:val="003C13AF"/>
    <w:rsid w:val="003C2446"/>
    <w:rsid w:val="003C24BB"/>
    <w:rsid w:val="003C2CD7"/>
    <w:rsid w:val="003C2EF2"/>
    <w:rsid w:val="003C38A5"/>
    <w:rsid w:val="003C4EE5"/>
    <w:rsid w:val="003C6E6A"/>
    <w:rsid w:val="003C7465"/>
    <w:rsid w:val="003C78D6"/>
    <w:rsid w:val="003C7C9F"/>
    <w:rsid w:val="003D054A"/>
    <w:rsid w:val="003D0706"/>
    <w:rsid w:val="003D0DE6"/>
    <w:rsid w:val="003D1473"/>
    <w:rsid w:val="003D1642"/>
    <w:rsid w:val="003D1D80"/>
    <w:rsid w:val="003D2A74"/>
    <w:rsid w:val="003D2D5C"/>
    <w:rsid w:val="003D37C0"/>
    <w:rsid w:val="003D49FD"/>
    <w:rsid w:val="003D4E77"/>
    <w:rsid w:val="003D753B"/>
    <w:rsid w:val="003E01FC"/>
    <w:rsid w:val="003E1741"/>
    <w:rsid w:val="003E20FC"/>
    <w:rsid w:val="003E266B"/>
    <w:rsid w:val="003E37F9"/>
    <w:rsid w:val="003E3C43"/>
    <w:rsid w:val="003E3FBD"/>
    <w:rsid w:val="003E515E"/>
    <w:rsid w:val="003E5D32"/>
    <w:rsid w:val="003E5D40"/>
    <w:rsid w:val="003E6328"/>
    <w:rsid w:val="003E6783"/>
    <w:rsid w:val="003E67B2"/>
    <w:rsid w:val="003E68C5"/>
    <w:rsid w:val="003E6CFC"/>
    <w:rsid w:val="003E6E54"/>
    <w:rsid w:val="003E75B4"/>
    <w:rsid w:val="003F0460"/>
    <w:rsid w:val="003F0469"/>
    <w:rsid w:val="003F11E6"/>
    <w:rsid w:val="003F1B6B"/>
    <w:rsid w:val="003F1C6D"/>
    <w:rsid w:val="003F1E29"/>
    <w:rsid w:val="003F2024"/>
    <w:rsid w:val="003F24CB"/>
    <w:rsid w:val="003F2B0F"/>
    <w:rsid w:val="003F2DBE"/>
    <w:rsid w:val="003F2F5E"/>
    <w:rsid w:val="003F39D1"/>
    <w:rsid w:val="003F4C84"/>
    <w:rsid w:val="003F4E49"/>
    <w:rsid w:val="003F54A4"/>
    <w:rsid w:val="003F6222"/>
    <w:rsid w:val="003F6505"/>
    <w:rsid w:val="003F77CE"/>
    <w:rsid w:val="004009AF"/>
    <w:rsid w:val="00400D90"/>
    <w:rsid w:val="00400DEF"/>
    <w:rsid w:val="00400FC3"/>
    <w:rsid w:val="00401589"/>
    <w:rsid w:val="00402EE8"/>
    <w:rsid w:val="00403305"/>
    <w:rsid w:val="0040345B"/>
    <w:rsid w:val="00404299"/>
    <w:rsid w:val="004047B3"/>
    <w:rsid w:val="00404EDB"/>
    <w:rsid w:val="00405916"/>
    <w:rsid w:val="004059D6"/>
    <w:rsid w:val="00405B35"/>
    <w:rsid w:val="004061E3"/>
    <w:rsid w:val="00407524"/>
    <w:rsid w:val="004107CA"/>
    <w:rsid w:val="00410AF5"/>
    <w:rsid w:val="00410CA6"/>
    <w:rsid w:val="00411B5C"/>
    <w:rsid w:val="00411B74"/>
    <w:rsid w:val="00411C7A"/>
    <w:rsid w:val="00412182"/>
    <w:rsid w:val="00412B8E"/>
    <w:rsid w:val="00412D90"/>
    <w:rsid w:val="00412DFE"/>
    <w:rsid w:val="004131B1"/>
    <w:rsid w:val="004134FF"/>
    <w:rsid w:val="004141FB"/>
    <w:rsid w:val="004145B8"/>
    <w:rsid w:val="00414721"/>
    <w:rsid w:val="0041483F"/>
    <w:rsid w:val="00414B7B"/>
    <w:rsid w:val="00415707"/>
    <w:rsid w:val="0041582D"/>
    <w:rsid w:val="0041605B"/>
    <w:rsid w:val="004160F8"/>
    <w:rsid w:val="00416A28"/>
    <w:rsid w:val="00416DDC"/>
    <w:rsid w:val="00416DF2"/>
    <w:rsid w:val="004170EA"/>
    <w:rsid w:val="00417441"/>
    <w:rsid w:val="00417703"/>
    <w:rsid w:val="00417BF7"/>
    <w:rsid w:val="0042056E"/>
    <w:rsid w:val="004205C1"/>
    <w:rsid w:val="004209FC"/>
    <w:rsid w:val="004209FE"/>
    <w:rsid w:val="004211DF"/>
    <w:rsid w:val="00421272"/>
    <w:rsid w:val="0042174E"/>
    <w:rsid w:val="0042180F"/>
    <w:rsid w:val="00421B5C"/>
    <w:rsid w:val="00422C3B"/>
    <w:rsid w:val="00422D0A"/>
    <w:rsid w:val="00424817"/>
    <w:rsid w:val="00424A57"/>
    <w:rsid w:val="00424D9C"/>
    <w:rsid w:val="004254AC"/>
    <w:rsid w:val="004254D1"/>
    <w:rsid w:val="0042592E"/>
    <w:rsid w:val="00425A1F"/>
    <w:rsid w:val="004261F8"/>
    <w:rsid w:val="0042669D"/>
    <w:rsid w:val="00426DC6"/>
    <w:rsid w:val="00426F25"/>
    <w:rsid w:val="00426F2B"/>
    <w:rsid w:val="004272D2"/>
    <w:rsid w:val="00427535"/>
    <w:rsid w:val="00427C88"/>
    <w:rsid w:val="00427F4D"/>
    <w:rsid w:val="004301EB"/>
    <w:rsid w:val="00430B01"/>
    <w:rsid w:val="00430CA4"/>
    <w:rsid w:val="00430E73"/>
    <w:rsid w:val="00431A4B"/>
    <w:rsid w:val="00431B79"/>
    <w:rsid w:val="00431E26"/>
    <w:rsid w:val="0043251D"/>
    <w:rsid w:val="004327E1"/>
    <w:rsid w:val="00432952"/>
    <w:rsid w:val="00433002"/>
    <w:rsid w:val="004330B0"/>
    <w:rsid w:val="00433232"/>
    <w:rsid w:val="00433665"/>
    <w:rsid w:val="00434D6B"/>
    <w:rsid w:val="00435263"/>
    <w:rsid w:val="00435BB4"/>
    <w:rsid w:val="00435C0E"/>
    <w:rsid w:val="00435E84"/>
    <w:rsid w:val="0043646D"/>
    <w:rsid w:val="0043664C"/>
    <w:rsid w:val="004367CC"/>
    <w:rsid w:val="0043703A"/>
    <w:rsid w:val="0043711D"/>
    <w:rsid w:val="004377A2"/>
    <w:rsid w:val="004377FF"/>
    <w:rsid w:val="004379E2"/>
    <w:rsid w:val="00437C5F"/>
    <w:rsid w:val="004400C4"/>
    <w:rsid w:val="00440442"/>
    <w:rsid w:val="0044166E"/>
    <w:rsid w:val="00442D1A"/>
    <w:rsid w:val="0044356F"/>
    <w:rsid w:val="004435FD"/>
    <w:rsid w:val="00443D7C"/>
    <w:rsid w:val="00443E2C"/>
    <w:rsid w:val="00444274"/>
    <w:rsid w:val="00444B0A"/>
    <w:rsid w:val="00444D2A"/>
    <w:rsid w:val="0044594D"/>
    <w:rsid w:val="00445989"/>
    <w:rsid w:val="00445A49"/>
    <w:rsid w:val="00445D7D"/>
    <w:rsid w:val="00445F2C"/>
    <w:rsid w:val="00446E10"/>
    <w:rsid w:val="0044722A"/>
    <w:rsid w:val="00447CFF"/>
    <w:rsid w:val="00447FC8"/>
    <w:rsid w:val="00450775"/>
    <w:rsid w:val="0045145F"/>
    <w:rsid w:val="0045149A"/>
    <w:rsid w:val="00451ADF"/>
    <w:rsid w:val="00452657"/>
    <w:rsid w:val="004527B1"/>
    <w:rsid w:val="00452A33"/>
    <w:rsid w:val="00452F9C"/>
    <w:rsid w:val="0045310B"/>
    <w:rsid w:val="00453BB1"/>
    <w:rsid w:val="00453BFF"/>
    <w:rsid w:val="004540ED"/>
    <w:rsid w:val="00454C90"/>
    <w:rsid w:val="00454C9E"/>
    <w:rsid w:val="00454D61"/>
    <w:rsid w:val="00455731"/>
    <w:rsid w:val="00456591"/>
    <w:rsid w:val="00456B28"/>
    <w:rsid w:val="00456CE4"/>
    <w:rsid w:val="00457DEB"/>
    <w:rsid w:val="00460FB5"/>
    <w:rsid w:val="0046170C"/>
    <w:rsid w:val="00462BAC"/>
    <w:rsid w:val="004636FA"/>
    <w:rsid w:val="00463716"/>
    <w:rsid w:val="004638EC"/>
    <w:rsid w:val="00464994"/>
    <w:rsid w:val="004649C0"/>
    <w:rsid w:val="00464AF9"/>
    <w:rsid w:val="004651ED"/>
    <w:rsid w:val="00465B86"/>
    <w:rsid w:val="0046631F"/>
    <w:rsid w:val="004667AB"/>
    <w:rsid w:val="00466EC8"/>
    <w:rsid w:val="00467135"/>
    <w:rsid w:val="00467C5F"/>
    <w:rsid w:val="00467D8B"/>
    <w:rsid w:val="00467FEA"/>
    <w:rsid w:val="004701F0"/>
    <w:rsid w:val="004709FD"/>
    <w:rsid w:val="0047103A"/>
    <w:rsid w:val="0047110D"/>
    <w:rsid w:val="004712DD"/>
    <w:rsid w:val="0047207E"/>
    <w:rsid w:val="004741E9"/>
    <w:rsid w:val="0047421E"/>
    <w:rsid w:val="00474A4E"/>
    <w:rsid w:val="00474A64"/>
    <w:rsid w:val="00474B57"/>
    <w:rsid w:val="004756C6"/>
    <w:rsid w:val="00475788"/>
    <w:rsid w:val="0047593F"/>
    <w:rsid w:val="004760BA"/>
    <w:rsid w:val="004762DD"/>
    <w:rsid w:val="00476A07"/>
    <w:rsid w:val="00476B94"/>
    <w:rsid w:val="00476B9E"/>
    <w:rsid w:val="00477DF1"/>
    <w:rsid w:val="00480FEA"/>
    <w:rsid w:val="004820CB"/>
    <w:rsid w:val="00482120"/>
    <w:rsid w:val="00482981"/>
    <w:rsid w:val="00482C1C"/>
    <w:rsid w:val="00482F3A"/>
    <w:rsid w:val="00483332"/>
    <w:rsid w:val="00484B2E"/>
    <w:rsid w:val="00484D74"/>
    <w:rsid w:val="00485366"/>
    <w:rsid w:val="00486BEC"/>
    <w:rsid w:val="00487D23"/>
    <w:rsid w:val="00490260"/>
    <w:rsid w:val="004908D1"/>
    <w:rsid w:val="00490C44"/>
    <w:rsid w:val="00492E25"/>
    <w:rsid w:val="004945A3"/>
    <w:rsid w:val="0049528F"/>
    <w:rsid w:val="004967E4"/>
    <w:rsid w:val="00496C3C"/>
    <w:rsid w:val="00496EE5"/>
    <w:rsid w:val="004971EF"/>
    <w:rsid w:val="0049795F"/>
    <w:rsid w:val="004A0371"/>
    <w:rsid w:val="004A05A8"/>
    <w:rsid w:val="004A1129"/>
    <w:rsid w:val="004A1385"/>
    <w:rsid w:val="004A17ED"/>
    <w:rsid w:val="004A1E8B"/>
    <w:rsid w:val="004A2B13"/>
    <w:rsid w:val="004A3C0A"/>
    <w:rsid w:val="004A4028"/>
    <w:rsid w:val="004A45BE"/>
    <w:rsid w:val="004A5558"/>
    <w:rsid w:val="004A6E3A"/>
    <w:rsid w:val="004A76FC"/>
    <w:rsid w:val="004A79DD"/>
    <w:rsid w:val="004A7B7D"/>
    <w:rsid w:val="004A7E16"/>
    <w:rsid w:val="004B0C31"/>
    <w:rsid w:val="004B0CDF"/>
    <w:rsid w:val="004B12E7"/>
    <w:rsid w:val="004B1507"/>
    <w:rsid w:val="004B21BD"/>
    <w:rsid w:val="004B2306"/>
    <w:rsid w:val="004B27C6"/>
    <w:rsid w:val="004B3DCD"/>
    <w:rsid w:val="004B3EBD"/>
    <w:rsid w:val="004B4535"/>
    <w:rsid w:val="004B548B"/>
    <w:rsid w:val="004C02B7"/>
    <w:rsid w:val="004C15F9"/>
    <w:rsid w:val="004C1641"/>
    <w:rsid w:val="004C1B55"/>
    <w:rsid w:val="004C216C"/>
    <w:rsid w:val="004C274A"/>
    <w:rsid w:val="004C27A4"/>
    <w:rsid w:val="004C30CA"/>
    <w:rsid w:val="004C3630"/>
    <w:rsid w:val="004C38C3"/>
    <w:rsid w:val="004C3EB3"/>
    <w:rsid w:val="004C476D"/>
    <w:rsid w:val="004C5161"/>
    <w:rsid w:val="004C5944"/>
    <w:rsid w:val="004C6D48"/>
    <w:rsid w:val="004C6E9F"/>
    <w:rsid w:val="004C6FD5"/>
    <w:rsid w:val="004C7034"/>
    <w:rsid w:val="004C74C8"/>
    <w:rsid w:val="004C75D1"/>
    <w:rsid w:val="004C7646"/>
    <w:rsid w:val="004D0096"/>
    <w:rsid w:val="004D00E9"/>
    <w:rsid w:val="004D049E"/>
    <w:rsid w:val="004D05F1"/>
    <w:rsid w:val="004D11FB"/>
    <w:rsid w:val="004D13AE"/>
    <w:rsid w:val="004D1A50"/>
    <w:rsid w:val="004D1CB4"/>
    <w:rsid w:val="004D1D28"/>
    <w:rsid w:val="004D247C"/>
    <w:rsid w:val="004D2DF6"/>
    <w:rsid w:val="004D31D8"/>
    <w:rsid w:val="004D3329"/>
    <w:rsid w:val="004D3712"/>
    <w:rsid w:val="004D3998"/>
    <w:rsid w:val="004D3E4C"/>
    <w:rsid w:val="004D4591"/>
    <w:rsid w:val="004D4D31"/>
    <w:rsid w:val="004D4ECF"/>
    <w:rsid w:val="004D5073"/>
    <w:rsid w:val="004D54E9"/>
    <w:rsid w:val="004D5C47"/>
    <w:rsid w:val="004D5E61"/>
    <w:rsid w:val="004D6513"/>
    <w:rsid w:val="004D669F"/>
    <w:rsid w:val="004D7360"/>
    <w:rsid w:val="004D7DED"/>
    <w:rsid w:val="004E0279"/>
    <w:rsid w:val="004E10E0"/>
    <w:rsid w:val="004E2498"/>
    <w:rsid w:val="004E27F7"/>
    <w:rsid w:val="004E2FB5"/>
    <w:rsid w:val="004E3741"/>
    <w:rsid w:val="004E4D30"/>
    <w:rsid w:val="004E54F3"/>
    <w:rsid w:val="004E56B0"/>
    <w:rsid w:val="004E5D85"/>
    <w:rsid w:val="004E6051"/>
    <w:rsid w:val="004E6115"/>
    <w:rsid w:val="004E756D"/>
    <w:rsid w:val="004F0297"/>
    <w:rsid w:val="004F09DD"/>
    <w:rsid w:val="004F18D0"/>
    <w:rsid w:val="004F219C"/>
    <w:rsid w:val="004F25D7"/>
    <w:rsid w:val="004F3606"/>
    <w:rsid w:val="004F4295"/>
    <w:rsid w:val="004F4364"/>
    <w:rsid w:val="004F456D"/>
    <w:rsid w:val="004F4794"/>
    <w:rsid w:val="004F4DD1"/>
    <w:rsid w:val="004F4E84"/>
    <w:rsid w:val="004F51DE"/>
    <w:rsid w:val="004F54A3"/>
    <w:rsid w:val="004F55E5"/>
    <w:rsid w:val="004F69F0"/>
    <w:rsid w:val="004F6C1A"/>
    <w:rsid w:val="004F706A"/>
    <w:rsid w:val="004F79A0"/>
    <w:rsid w:val="00500063"/>
    <w:rsid w:val="00500AA4"/>
    <w:rsid w:val="00500AC6"/>
    <w:rsid w:val="00502573"/>
    <w:rsid w:val="00502CB6"/>
    <w:rsid w:val="005032B7"/>
    <w:rsid w:val="005039A8"/>
    <w:rsid w:val="00503A12"/>
    <w:rsid w:val="00503AC2"/>
    <w:rsid w:val="0050517A"/>
    <w:rsid w:val="00505DF7"/>
    <w:rsid w:val="005067CC"/>
    <w:rsid w:val="00506933"/>
    <w:rsid w:val="00506A9F"/>
    <w:rsid w:val="00506E1E"/>
    <w:rsid w:val="00507088"/>
    <w:rsid w:val="005071D0"/>
    <w:rsid w:val="0050761E"/>
    <w:rsid w:val="00507AEA"/>
    <w:rsid w:val="00510068"/>
    <w:rsid w:val="005105FF"/>
    <w:rsid w:val="00510875"/>
    <w:rsid w:val="00510D42"/>
    <w:rsid w:val="00511FB9"/>
    <w:rsid w:val="005123E1"/>
    <w:rsid w:val="005125DF"/>
    <w:rsid w:val="0051262A"/>
    <w:rsid w:val="005129CE"/>
    <w:rsid w:val="0051300F"/>
    <w:rsid w:val="00513E54"/>
    <w:rsid w:val="00515410"/>
    <w:rsid w:val="0051617A"/>
    <w:rsid w:val="00517635"/>
    <w:rsid w:val="00520108"/>
    <w:rsid w:val="0052014C"/>
    <w:rsid w:val="005201DB"/>
    <w:rsid w:val="00520678"/>
    <w:rsid w:val="00520B8D"/>
    <w:rsid w:val="00520C15"/>
    <w:rsid w:val="00520F94"/>
    <w:rsid w:val="0052234C"/>
    <w:rsid w:val="00522465"/>
    <w:rsid w:val="0052274F"/>
    <w:rsid w:val="005227FB"/>
    <w:rsid w:val="00522842"/>
    <w:rsid w:val="00523510"/>
    <w:rsid w:val="0052370B"/>
    <w:rsid w:val="00524115"/>
    <w:rsid w:val="0052483C"/>
    <w:rsid w:val="00524C64"/>
    <w:rsid w:val="005250ED"/>
    <w:rsid w:val="005255C8"/>
    <w:rsid w:val="005255CD"/>
    <w:rsid w:val="00527566"/>
    <w:rsid w:val="005277F5"/>
    <w:rsid w:val="0053028A"/>
    <w:rsid w:val="005308E0"/>
    <w:rsid w:val="00530D74"/>
    <w:rsid w:val="005311FF"/>
    <w:rsid w:val="005326E6"/>
    <w:rsid w:val="00532DEF"/>
    <w:rsid w:val="005332F0"/>
    <w:rsid w:val="00534825"/>
    <w:rsid w:val="00534A9B"/>
    <w:rsid w:val="005352FE"/>
    <w:rsid w:val="005357FD"/>
    <w:rsid w:val="005358AB"/>
    <w:rsid w:val="00535C48"/>
    <w:rsid w:val="0053647A"/>
    <w:rsid w:val="00536769"/>
    <w:rsid w:val="005367C7"/>
    <w:rsid w:val="00536926"/>
    <w:rsid w:val="00536DBC"/>
    <w:rsid w:val="00536ECD"/>
    <w:rsid w:val="00537073"/>
    <w:rsid w:val="0053756B"/>
    <w:rsid w:val="005377A8"/>
    <w:rsid w:val="00537BAC"/>
    <w:rsid w:val="00537F74"/>
    <w:rsid w:val="0054009C"/>
    <w:rsid w:val="00540120"/>
    <w:rsid w:val="005402FA"/>
    <w:rsid w:val="00540B77"/>
    <w:rsid w:val="0054139F"/>
    <w:rsid w:val="0054144E"/>
    <w:rsid w:val="00541F09"/>
    <w:rsid w:val="00543EE1"/>
    <w:rsid w:val="00544041"/>
    <w:rsid w:val="00544073"/>
    <w:rsid w:val="005441A6"/>
    <w:rsid w:val="00544735"/>
    <w:rsid w:val="00544ACC"/>
    <w:rsid w:val="005451C9"/>
    <w:rsid w:val="005452A5"/>
    <w:rsid w:val="00545A4C"/>
    <w:rsid w:val="00546321"/>
    <w:rsid w:val="005466F8"/>
    <w:rsid w:val="00546B4F"/>
    <w:rsid w:val="00546E53"/>
    <w:rsid w:val="00550178"/>
    <w:rsid w:val="00550E05"/>
    <w:rsid w:val="005510CF"/>
    <w:rsid w:val="005527D9"/>
    <w:rsid w:val="00552E5A"/>
    <w:rsid w:val="0055332F"/>
    <w:rsid w:val="00553F08"/>
    <w:rsid w:val="0055464B"/>
    <w:rsid w:val="00554B83"/>
    <w:rsid w:val="00554EC2"/>
    <w:rsid w:val="005555B4"/>
    <w:rsid w:val="00555893"/>
    <w:rsid w:val="005574DA"/>
    <w:rsid w:val="00557EC5"/>
    <w:rsid w:val="005610BF"/>
    <w:rsid w:val="00562061"/>
    <w:rsid w:val="005624DD"/>
    <w:rsid w:val="00562695"/>
    <w:rsid w:val="00562E0E"/>
    <w:rsid w:val="0056363B"/>
    <w:rsid w:val="00563C6E"/>
    <w:rsid w:val="0056403A"/>
    <w:rsid w:val="00565490"/>
    <w:rsid w:val="005654A8"/>
    <w:rsid w:val="00566CF9"/>
    <w:rsid w:val="005676F2"/>
    <w:rsid w:val="005709C1"/>
    <w:rsid w:val="00570A93"/>
    <w:rsid w:val="005718E5"/>
    <w:rsid w:val="005718F6"/>
    <w:rsid w:val="005722CE"/>
    <w:rsid w:val="0057283B"/>
    <w:rsid w:val="00572CA8"/>
    <w:rsid w:val="00572CC7"/>
    <w:rsid w:val="00573075"/>
    <w:rsid w:val="005742BF"/>
    <w:rsid w:val="00574466"/>
    <w:rsid w:val="00574B47"/>
    <w:rsid w:val="0057536B"/>
    <w:rsid w:val="00575683"/>
    <w:rsid w:val="005759D5"/>
    <w:rsid w:val="00575ABC"/>
    <w:rsid w:val="00575C03"/>
    <w:rsid w:val="00575C60"/>
    <w:rsid w:val="00576217"/>
    <w:rsid w:val="005777FA"/>
    <w:rsid w:val="0057791E"/>
    <w:rsid w:val="00577BB2"/>
    <w:rsid w:val="00581412"/>
    <w:rsid w:val="00581772"/>
    <w:rsid w:val="00582377"/>
    <w:rsid w:val="00582DAF"/>
    <w:rsid w:val="00583080"/>
    <w:rsid w:val="00583358"/>
    <w:rsid w:val="0058367C"/>
    <w:rsid w:val="005837E9"/>
    <w:rsid w:val="00583826"/>
    <w:rsid w:val="00583AF9"/>
    <w:rsid w:val="00583C03"/>
    <w:rsid w:val="005842D9"/>
    <w:rsid w:val="0058450B"/>
    <w:rsid w:val="00584C78"/>
    <w:rsid w:val="00585883"/>
    <w:rsid w:val="00585BB6"/>
    <w:rsid w:val="00586FD1"/>
    <w:rsid w:val="005875E9"/>
    <w:rsid w:val="00590D73"/>
    <w:rsid w:val="00591A56"/>
    <w:rsid w:val="00592747"/>
    <w:rsid w:val="00592C97"/>
    <w:rsid w:val="0059425A"/>
    <w:rsid w:val="00594588"/>
    <w:rsid w:val="005949AE"/>
    <w:rsid w:val="00594C53"/>
    <w:rsid w:val="00595380"/>
    <w:rsid w:val="00595530"/>
    <w:rsid w:val="00595DC0"/>
    <w:rsid w:val="005966B5"/>
    <w:rsid w:val="005969DE"/>
    <w:rsid w:val="00596DA2"/>
    <w:rsid w:val="005974B8"/>
    <w:rsid w:val="0059762E"/>
    <w:rsid w:val="005976A5"/>
    <w:rsid w:val="0059796D"/>
    <w:rsid w:val="00597BBB"/>
    <w:rsid w:val="005A0044"/>
    <w:rsid w:val="005A0924"/>
    <w:rsid w:val="005A1475"/>
    <w:rsid w:val="005A16A2"/>
    <w:rsid w:val="005A1727"/>
    <w:rsid w:val="005A352B"/>
    <w:rsid w:val="005A36CA"/>
    <w:rsid w:val="005A40AD"/>
    <w:rsid w:val="005A4E08"/>
    <w:rsid w:val="005A55F9"/>
    <w:rsid w:val="005A5DBF"/>
    <w:rsid w:val="005A5E05"/>
    <w:rsid w:val="005A64B7"/>
    <w:rsid w:val="005A679B"/>
    <w:rsid w:val="005A698C"/>
    <w:rsid w:val="005A70A7"/>
    <w:rsid w:val="005A793E"/>
    <w:rsid w:val="005B209C"/>
    <w:rsid w:val="005B2552"/>
    <w:rsid w:val="005B274A"/>
    <w:rsid w:val="005B3027"/>
    <w:rsid w:val="005B467F"/>
    <w:rsid w:val="005B5298"/>
    <w:rsid w:val="005B5729"/>
    <w:rsid w:val="005B5A58"/>
    <w:rsid w:val="005B67A9"/>
    <w:rsid w:val="005B6AB1"/>
    <w:rsid w:val="005B712B"/>
    <w:rsid w:val="005C0D24"/>
    <w:rsid w:val="005C0EAC"/>
    <w:rsid w:val="005C1216"/>
    <w:rsid w:val="005C1A83"/>
    <w:rsid w:val="005C2004"/>
    <w:rsid w:val="005C2A21"/>
    <w:rsid w:val="005C2C65"/>
    <w:rsid w:val="005C2D6A"/>
    <w:rsid w:val="005C3363"/>
    <w:rsid w:val="005C3CBB"/>
    <w:rsid w:val="005C4D6A"/>
    <w:rsid w:val="005C5088"/>
    <w:rsid w:val="005C5177"/>
    <w:rsid w:val="005C5D3E"/>
    <w:rsid w:val="005C5E26"/>
    <w:rsid w:val="005C6900"/>
    <w:rsid w:val="005C70C8"/>
    <w:rsid w:val="005C717F"/>
    <w:rsid w:val="005C7B07"/>
    <w:rsid w:val="005D05FC"/>
    <w:rsid w:val="005D088E"/>
    <w:rsid w:val="005D23BC"/>
    <w:rsid w:val="005D2825"/>
    <w:rsid w:val="005D28EB"/>
    <w:rsid w:val="005D29D3"/>
    <w:rsid w:val="005D2A82"/>
    <w:rsid w:val="005D3732"/>
    <w:rsid w:val="005D37A8"/>
    <w:rsid w:val="005D383E"/>
    <w:rsid w:val="005D38AA"/>
    <w:rsid w:val="005D3F35"/>
    <w:rsid w:val="005D4F23"/>
    <w:rsid w:val="005D59D8"/>
    <w:rsid w:val="005D6B1A"/>
    <w:rsid w:val="005D6FB8"/>
    <w:rsid w:val="005D72A2"/>
    <w:rsid w:val="005D7480"/>
    <w:rsid w:val="005D79CA"/>
    <w:rsid w:val="005D7BA2"/>
    <w:rsid w:val="005D7DEB"/>
    <w:rsid w:val="005E019C"/>
    <w:rsid w:val="005E02F5"/>
    <w:rsid w:val="005E0683"/>
    <w:rsid w:val="005E0EE2"/>
    <w:rsid w:val="005E1C83"/>
    <w:rsid w:val="005E1CFB"/>
    <w:rsid w:val="005E2211"/>
    <w:rsid w:val="005E2376"/>
    <w:rsid w:val="005E2991"/>
    <w:rsid w:val="005E2A39"/>
    <w:rsid w:val="005E30F8"/>
    <w:rsid w:val="005E337E"/>
    <w:rsid w:val="005E38EE"/>
    <w:rsid w:val="005E3920"/>
    <w:rsid w:val="005E3CE2"/>
    <w:rsid w:val="005E5011"/>
    <w:rsid w:val="005E501B"/>
    <w:rsid w:val="005E52F0"/>
    <w:rsid w:val="005E543C"/>
    <w:rsid w:val="005E569D"/>
    <w:rsid w:val="005E5AD8"/>
    <w:rsid w:val="005E659D"/>
    <w:rsid w:val="005E6764"/>
    <w:rsid w:val="005E6867"/>
    <w:rsid w:val="005E6C20"/>
    <w:rsid w:val="005E7136"/>
    <w:rsid w:val="005E78DA"/>
    <w:rsid w:val="005E7A89"/>
    <w:rsid w:val="005F0616"/>
    <w:rsid w:val="005F0808"/>
    <w:rsid w:val="005F0AF8"/>
    <w:rsid w:val="005F0D79"/>
    <w:rsid w:val="005F121D"/>
    <w:rsid w:val="005F2710"/>
    <w:rsid w:val="005F2E78"/>
    <w:rsid w:val="005F53E1"/>
    <w:rsid w:val="005F5467"/>
    <w:rsid w:val="005F54A8"/>
    <w:rsid w:val="005F58E0"/>
    <w:rsid w:val="005F613D"/>
    <w:rsid w:val="00600BE5"/>
    <w:rsid w:val="00600CD4"/>
    <w:rsid w:val="0060163F"/>
    <w:rsid w:val="00601709"/>
    <w:rsid w:val="006017FC"/>
    <w:rsid w:val="0060182C"/>
    <w:rsid w:val="00604046"/>
    <w:rsid w:val="0060579A"/>
    <w:rsid w:val="00605AFB"/>
    <w:rsid w:val="00605B66"/>
    <w:rsid w:val="006077A0"/>
    <w:rsid w:val="006124E4"/>
    <w:rsid w:val="006128D9"/>
    <w:rsid w:val="00612C8D"/>
    <w:rsid w:val="00613048"/>
    <w:rsid w:val="006130EE"/>
    <w:rsid w:val="00613708"/>
    <w:rsid w:val="006140CD"/>
    <w:rsid w:val="006142C7"/>
    <w:rsid w:val="00614C9F"/>
    <w:rsid w:val="00614D65"/>
    <w:rsid w:val="006150D3"/>
    <w:rsid w:val="00615220"/>
    <w:rsid w:val="00615C91"/>
    <w:rsid w:val="00615FB0"/>
    <w:rsid w:val="006163AC"/>
    <w:rsid w:val="00617877"/>
    <w:rsid w:val="00620B0C"/>
    <w:rsid w:val="006211A0"/>
    <w:rsid w:val="00621272"/>
    <w:rsid w:val="00621635"/>
    <w:rsid w:val="006227EF"/>
    <w:rsid w:val="0062283F"/>
    <w:rsid w:val="00623A2F"/>
    <w:rsid w:val="00623A36"/>
    <w:rsid w:val="006246F2"/>
    <w:rsid w:val="00625075"/>
    <w:rsid w:val="0062509E"/>
    <w:rsid w:val="00625128"/>
    <w:rsid w:val="00625D36"/>
    <w:rsid w:val="00625FFF"/>
    <w:rsid w:val="006262A6"/>
    <w:rsid w:val="00626B9C"/>
    <w:rsid w:val="00627241"/>
    <w:rsid w:val="00627E6E"/>
    <w:rsid w:val="00630915"/>
    <w:rsid w:val="00630C6A"/>
    <w:rsid w:val="006312FA"/>
    <w:rsid w:val="00632979"/>
    <w:rsid w:val="0063307F"/>
    <w:rsid w:val="00633480"/>
    <w:rsid w:val="0063351B"/>
    <w:rsid w:val="0063373E"/>
    <w:rsid w:val="00633826"/>
    <w:rsid w:val="0063414B"/>
    <w:rsid w:val="00634965"/>
    <w:rsid w:val="00634A38"/>
    <w:rsid w:val="00634E0A"/>
    <w:rsid w:val="00634E10"/>
    <w:rsid w:val="006356BB"/>
    <w:rsid w:val="00635D23"/>
    <w:rsid w:val="00635E53"/>
    <w:rsid w:val="0063742F"/>
    <w:rsid w:val="006377F5"/>
    <w:rsid w:val="00637C20"/>
    <w:rsid w:val="00637EF9"/>
    <w:rsid w:val="0064085A"/>
    <w:rsid w:val="00640895"/>
    <w:rsid w:val="0064099A"/>
    <w:rsid w:val="006409E3"/>
    <w:rsid w:val="00641DAC"/>
    <w:rsid w:val="00642853"/>
    <w:rsid w:val="00642908"/>
    <w:rsid w:val="006429A1"/>
    <w:rsid w:val="00642AE6"/>
    <w:rsid w:val="006437E6"/>
    <w:rsid w:val="00644090"/>
    <w:rsid w:val="00644F8D"/>
    <w:rsid w:val="006453A8"/>
    <w:rsid w:val="0064565A"/>
    <w:rsid w:val="00645954"/>
    <w:rsid w:val="00645F55"/>
    <w:rsid w:val="00646B9E"/>
    <w:rsid w:val="0064738E"/>
    <w:rsid w:val="0064739A"/>
    <w:rsid w:val="0064742F"/>
    <w:rsid w:val="00647636"/>
    <w:rsid w:val="0064794A"/>
    <w:rsid w:val="00647B11"/>
    <w:rsid w:val="006500EB"/>
    <w:rsid w:val="00650B02"/>
    <w:rsid w:val="00650C50"/>
    <w:rsid w:val="006511B0"/>
    <w:rsid w:val="0065271A"/>
    <w:rsid w:val="00652CE0"/>
    <w:rsid w:val="0065334B"/>
    <w:rsid w:val="006534B0"/>
    <w:rsid w:val="00653592"/>
    <w:rsid w:val="00653626"/>
    <w:rsid w:val="0065398E"/>
    <w:rsid w:val="00653A03"/>
    <w:rsid w:val="00654BF9"/>
    <w:rsid w:val="006552AD"/>
    <w:rsid w:val="006556AE"/>
    <w:rsid w:val="00655904"/>
    <w:rsid w:val="00655934"/>
    <w:rsid w:val="006567FF"/>
    <w:rsid w:val="00656AD5"/>
    <w:rsid w:val="00656E8D"/>
    <w:rsid w:val="00657978"/>
    <w:rsid w:val="0066015D"/>
    <w:rsid w:val="0066138C"/>
    <w:rsid w:val="00661A7F"/>
    <w:rsid w:val="006629B7"/>
    <w:rsid w:val="00663787"/>
    <w:rsid w:val="0066385E"/>
    <w:rsid w:val="006644B3"/>
    <w:rsid w:val="00664532"/>
    <w:rsid w:val="006646AB"/>
    <w:rsid w:val="00664EDE"/>
    <w:rsid w:val="00665487"/>
    <w:rsid w:val="0066587C"/>
    <w:rsid w:val="006668E2"/>
    <w:rsid w:val="00666E65"/>
    <w:rsid w:val="0066740F"/>
    <w:rsid w:val="00667531"/>
    <w:rsid w:val="00667ED7"/>
    <w:rsid w:val="00670775"/>
    <w:rsid w:val="006709D0"/>
    <w:rsid w:val="00671220"/>
    <w:rsid w:val="00671840"/>
    <w:rsid w:val="00671D5E"/>
    <w:rsid w:val="00671D6B"/>
    <w:rsid w:val="00671E39"/>
    <w:rsid w:val="006721B5"/>
    <w:rsid w:val="0067228B"/>
    <w:rsid w:val="0067241A"/>
    <w:rsid w:val="006724F4"/>
    <w:rsid w:val="00672A1E"/>
    <w:rsid w:val="00672CC2"/>
    <w:rsid w:val="00673334"/>
    <w:rsid w:val="006744A4"/>
    <w:rsid w:val="006749AD"/>
    <w:rsid w:val="0067548B"/>
    <w:rsid w:val="006754B8"/>
    <w:rsid w:val="006755F2"/>
    <w:rsid w:val="00675E09"/>
    <w:rsid w:val="0067624F"/>
    <w:rsid w:val="006772E1"/>
    <w:rsid w:val="00677A07"/>
    <w:rsid w:val="0068025F"/>
    <w:rsid w:val="00680327"/>
    <w:rsid w:val="00680AA6"/>
    <w:rsid w:val="0068168B"/>
    <w:rsid w:val="0068237A"/>
    <w:rsid w:val="0068334A"/>
    <w:rsid w:val="00683DCF"/>
    <w:rsid w:val="006841AD"/>
    <w:rsid w:val="006842B1"/>
    <w:rsid w:val="00684B56"/>
    <w:rsid w:val="00685389"/>
    <w:rsid w:val="00686093"/>
    <w:rsid w:val="0068611E"/>
    <w:rsid w:val="006868B1"/>
    <w:rsid w:val="00687134"/>
    <w:rsid w:val="006901F5"/>
    <w:rsid w:val="0069134D"/>
    <w:rsid w:val="0069196C"/>
    <w:rsid w:val="00691B0C"/>
    <w:rsid w:val="006923E7"/>
    <w:rsid w:val="0069255C"/>
    <w:rsid w:val="00692F9A"/>
    <w:rsid w:val="006931F0"/>
    <w:rsid w:val="00693C06"/>
    <w:rsid w:val="00693EFF"/>
    <w:rsid w:val="00694461"/>
    <w:rsid w:val="00694728"/>
    <w:rsid w:val="00694ECA"/>
    <w:rsid w:val="0069511E"/>
    <w:rsid w:val="00695327"/>
    <w:rsid w:val="00695C15"/>
    <w:rsid w:val="00696EDF"/>
    <w:rsid w:val="0069735E"/>
    <w:rsid w:val="00697972"/>
    <w:rsid w:val="006A025A"/>
    <w:rsid w:val="006A0994"/>
    <w:rsid w:val="006A0F82"/>
    <w:rsid w:val="006A105F"/>
    <w:rsid w:val="006A11B4"/>
    <w:rsid w:val="006A1B84"/>
    <w:rsid w:val="006A2430"/>
    <w:rsid w:val="006A30E3"/>
    <w:rsid w:val="006A34CD"/>
    <w:rsid w:val="006A3583"/>
    <w:rsid w:val="006A36A0"/>
    <w:rsid w:val="006A4F46"/>
    <w:rsid w:val="006A5372"/>
    <w:rsid w:val="006A57F2"/>
    <w:rsid w:val="006A5890"/>
    <w:rsid w:val="006A598C"/>
    <w:rsid w:val="006A6047"/>
    <w:rsid w:val="006A6E57"/>
    <w:rsid w:val="006A6F78"/>
    <w:rsid w:val="006A74C3"/>
    <w:rsid w:val="006A77F2"/>
    <w:rsid w:val="006A7BD3"/>
    <w:rsid w:val="006A7F20"/>
    <w:rsid w:val="006B1118"/>
    <w:rsid w:val="006B1614"/>
    <w:rsid w:val="006B226E"/>
    <w:rsid w:val="006B2437"/>
    <w:rsid w:val="006B3E1A"/>
    <w:rsid w:val="006B3FE7"/>
    <w:rsid w:val="006B54CA"/>
    <w:rsid w:val="006B58C4"/>
    <w:rsid w:val="006B6092"/>
    <w:rsid w:val="006B6100"/>
    <w:rsid w:val="006B61D4"/>
    <w:rsid w:val="006B6356"/>
    <w:rsid w:val="006B6700"/>
    <w:rsid w:val="006B67E2"/>
    <w:rsid w:val="006B7081"/>
    <w:rsid w:val="006B7570"/>
    <w:rsid w:val="006B7F6C"/>
    <w:rsid w:val="006B7FE5"/>
    <w:rsid w:val="006C0252"/>
    <w:rsid w:val="006C13BC"/>
    <w:rsid w:val="006C292A"/>
    <w:rsid w:val="006C35F1"/>
    <w:rsid w:val="006C47E2"/>
    <w:rsid w:val="006C4B52"/>
    <w:rsid w:val="006C5034"/>
    <w:rsid w:val="006C5039"/>
    <w:rsid w:val="006C542E"/>
    <w:rsid w:val="006C5D71"/>
    <w:rsid w:val="006C5DE1"/>
    <w:rsid w:val="006C6F9F"/>
    <w:rsid w:val="006C73DA"/>
    <w:rsid w:val="006C77CB"/>
    <w:rsid w:val="006C7D84"/>
    <w:rsid w:val="006D0100"/>
    <w:rsid w:val="006D019B"/>
    <w:rsid w:val="006D04E0"/>
    <w:rsid w:val="006D0858"/>
    <w:rsid w:val="006D0C03"/>
    <w:rsid w:val="006D1D1C"/>
    <w:rsid w:val="006D1E8E"/>
    <w:rsid w:val="006D2D58"/>
    <w:rsid w:val="006D497E"/>
    <w:rsid w:val="006D55AE"/>
    <w:rsid w:val="006D5692"/>
    <w:rsid w:val="006D57CD"/>
    <w:rsid w:val="006D693E"/>
    <w:rsid w:val="006D6B26"/>
    <w:rsid w:val="006D6DFF"/>
    <w:rsid w:val="006D71E1"/>
    <w:rsid w:val="006D7B2E"/>
    <w:rsid w:val="006D7D14"/>
    <w:rsid w:val="006E0CE0"/>
    <w:rsid w:val="006E0F32"/>
    <w:rsid w:val="006E0FA7"/>
    <w:rsid w:val="006E102B"/>
    <w:rsid w:val="006E24D3"/>
    <w:rsid w:val="006E2D9C"/>
    <w:rsid w:val="006E2DB1"/>
    <w:rsid w:val="006E2E1D"/>
    <w:rsid w:val="006E332F"/>
    <w:rsid w:val="006E35BA"/>
    <w:rsid w:val="006E37A2"/>
    <w:rsid w:val="006E4A88"/>
    <w:rsid w:val="006E4D70"/>
    <w:rsid w:val="006E50B4"/>
    <w:rsid w:val="006E5E14"/>
    <w:rsid w:val="006E5FDA"/>
    <w:rsid w:val="006E65E5"/>
    <w:rsid w:val="006E6729"/>
    <w:rsid w:val="006E67A7"/>
    <w:rsid w:val="006E7D88"/>
    <w:rsid w:val="006E7F61"/>
    <w:rsid w:val="006F0C9C"/>
    <w:rsid w:val="006F0F59"/>
    <w:rsid w:val="006F1238"/>
    <w:rsid w:val="006F1BA7"/>
    <w:rsid w:val="006F31D9"/>
    <w:rsid w:val="006F33AE"/>
    <w:rsid w:val="006F41C2"/>
    <w:rsid w:val="006F4660"/>
    <w:rsid w:val="006F469D"/>
    <w:rsid w:val="006F4E49"/>
    <w:rsid w:val="006F5A02"/>
    <w:rsid w:val="006F5A9B"/>
    <w:rsid w:val="006F5BA8"/>
    <w:rsid w:val="006F6426"/>
    <w:rsid w:val="007003DF"/>
    <w:rsid w:val="0070068A"/>
    <w:rsid w:val="0070069A"/>
    <w:rsid w:val="00700F5E"/>
    <w:rsid w:val="00701032"/>
    <w:rsid w:val="00701150"/>
    <w:rsid w:val="00701251"/>
    <w:rsid w:val="007016CF"/>
    <w:rsid w:val="007016DB"/>
    <w:rsid w:val="0070229C"/>
    <w:rsid w:val="0070316A"/>
    <w:rsid w:val="00704443"/>
    <w:rsid w:val="00704F8B"/>
    <w:rsid w:val="007068F8"/>
    <w:rsid w:val="00707E4E"/>
    <w:rsid w:val="00710D5E"/>
    <w:rsid w:val="00710DAA"/>
    <w:rsid w:val="00711110"/>
    <w:rsid w:val="007112DE"/>
    <w:rsid w:val="0071132C"/>
    <w:rsid w:val="007113E5"/>
    <w:rsid w:val="007115A9"/>
    <w:rsid w:val="007119A6"/>
    <w:rsid w:val="00711D88"/>
    <w:rsid w:val="00712444"/>
    <w:rsid w:val="007125B5"/>
    <w:rsid w:val="00712615"/>
    <w:rsid w:val="00712DD6"/>
    <w:rsid w:val="00713161"/>
    <w:rsid w:val="0071348E"/>
    <w:rsid w:val="00714606"/>
    <w:rsid w:val="00714D0B"/>
    <w:rsid w:val="00715201"/>
    <w:rsid w:val="007167C4"/>
    <w:rsid w:val="0071685D"/>
    <w:rsid w:val="007168B2"/>
    <w:rsid w:val="00716E5D"/>
    <w:rsid w:val="0071792B"/>
    <w:rsid w:val="00717E42"/>
    <w:rsid w:val="00720CB7"/>
    <w:rsid w:val="00720FB1"/>
    <w:rsid w:val="00721347"/>
    <w:rsid w:val="00721A09"/>
    <w:rsid w:val="00721B8B"/>
    <w:rsid w:val="00722C2F"/>
    <w:rsid w:val="00722E05"/>
    <w:rsid w:val="00722F01"/>
    <w:rsid w:val="00722F43"/>
    <w:rsid w:val="007232C2"/>
    <w:rsid w:val="00723B25"/>
    <w:rsid w:val="00724973"/>
    <w:rsid w:val="0072514B"/>
    <w:rsid w:val="007252EC"/>
    <w:rsid w:val="007259DB"/>
    <w:rsid w:val="00725B94"/>
    <w:rsid w:val="007262B7"/>
    <w:rsid w:val="00727CDF"/>
    <w:rsid w:val="007309F1"/>
    <w:rsid w:val="00730BA4"/>
    <w:rsid w:val="00730FA9"/>
    <w:rsid w:val="00731458"/>
    <w:rsid w:val="0073165D"/>
    <w:rsid w:val="007316E0"/>
    <w:rsid w:val="00731C84"/>
    <w:rsid w:val="0073200F"/>
    <w:rsid w:val="00732590"/>
    <w:rsid w:val="007335DB"/>
    <w:rsid w:val="00733F89"/>
    <w:rsid w:val="00735CFF"/>
    <w:rsid w:val="00735E72"/>
    <w:rsid w:val="00735F7C"/>
    <w:rsid w:val="0073640E"/>
    <w:rsid w:val="007366AB"/>
    <w:rsid w:val="00736E25"/>
    <w:rsid w:val="00736F12"/>
    <w:rsid w:val="00737864"/>
    <w:rsid w:val="007402A8"/>
    <w:rsid w:val="00741027"/>
    <w:rsid w:val="00741567"/>
    <w:rsid w:val="0074190B"/>
    <w:rsid w:val="007420E0"/>
    <w:rsid w:val="007420FF"/>
    <w:rsid w:val="007426C3"/>
    <w:rsid w:val="00742977"/>
    <w:rsid w:val="007429FA"/>
    <w:rsid w:val="00743ED6"/>
    <w:rsid w:val="007442E2"/>
    <w:rsid w:val="00745E4B"/>
    <w:rsid w:val="00746517"/>
    <w:rsid w:val="00746D05"/>
    <w:rsid w:val="00746FC7"/>
    <w:rsid w:val="00747EFF"/>
    <w:rsid w:val="00750B80"/>
    <w:rsid w:val="00750B84"/>
    <w:rsid w:val="00750E90"/>
    <w:rsid w:val="007519B9"/>
    <w:rsid w:val="007519FD"/>
    <w:rsid w:val="00752CDB"/>
    <w:rsid w:val="00752FF0"/>
    <w:rsid w:val="0075342D"/>
    <w:rsid w:val="007548EA"/>
    <w:rsid w:val="00755639"/>
    <w:rsid w:val="00756142"/>
    <w:rsid w:val="00756672"/>
    <w:rsid w:val="0075679B"/>
    <w:rsid w:val="0075693E"/>
    <w:rsid w:val="00757254"/>
    <w:rsid w:val="007605A1"/>
    <w:rsid w:val="00760E4C"/>
    <w:rsid w:val="00761337"/>
    <w:rsid w:val="00761683"/>
    <w:rsid w:val="0076248D"/>
    <w:rsid w:val="007635A6"/>
    <w:rsid w:val="00763EE8"/>
    <w:rsid w:val="00764731"/>
    <w:rsid w:val="00764772"/>
    <w:rsid w:val="007647A6"/>
    <w:rsid w:val="007650CF"/>
    <w:rsid w:val="007651DA"/>
    <w:rsid w:val="0076537E"/>
    <w:rsid w:val="0076583F"/>
    <w:rsid w:val="00765B2C"/>
    <w:rsid w:val="00767237"/>
    <w:rsid w:val="007676E8"/>
    <w:rsid w:val="00767938"/>
    <w:rsid w:val="00770CDD"/>
    <w:rsid w:val="00770E8E"/>
    <w:rsid w:val="00770FA6"/>
    <w:rsid w:val="007710C2"/>
    <w:rsid w:val="00771361"/>
    <w:rsid w:val="00771A5C"/>
    <w:rsid w:val="00772352"/>
    <w:rsid w:val="00772B17"/>
    <w:rsid w:val="00775857"/>
    <w:rsid w:val="00775E78"/>
    <w:rsid w:val="007761FC"/>
    <w:rsid w:val="00776445"/>
    <w:rsid w:val="00776656"/>
    <w:rsid w:val="007805C2"/>
    <w:rsid w:val="007806E2"/>
    <w:rsid w:val="007806E7"/>
    <w:rsid w:val="00780DFE"/>
    <w:rsid w:val="00780E1C"/>
    <w:rsid w:val="00781177"/>
    <w:rsid w:val="00781630"/>
    <w:rsid w:val="00781B67"/>
    <w:rsid w:val="00782785"/>
    <w:rsid w:val="00782B35"/>
    <w:rsid w:val="0078424D"/>
    <w:rsid w:val="007848B8"/>
    <w:rsid w:val="00785DFB"/>
    <w:rsid w:val="00786153"/>
    <w:rsid w:val="0078671D"/>
    <w:rsid w:val="00786FE6"/>
    <w:rsid w:val="00787194"/>
    <w:rsid w:val="00787685"/>
    <w:rsid w:val="0078791F"/>
    <w:rsid w:val="00787B1A"/>
    <w:rsid w:val="00787B46"/>
    <w:rsid w:val="00787B4B"/>
    <w:rsid w:val="0079051D"/>
    <w:rsid w:val="00791293"/>
    <w:rsid w:val="0079161A"/>
    <w:rsid w:val="00791AF8"/>
    <w:rsid w:val="00792142"/>
    <w:rsid w:val="0079259E"/>
    <w:rsid w:val="00792813"/>
    <w:rsid w:val="0079291B"/>
    <w:rsid w:val="00792B3A"/>
    <w:rsid w:val="0079368B"/>
    <w:rsid w:val="0079456F"/>
    <w:rsid w:val="00794A52"/>
    <w:rsid w:val="00794DCD"/>
    <w:rsid w:val="00796497"/>
    <w:rsid w:val="0079649D"/>
    <w:rsid w:val="00796C2B"/>
    <w:rsid w:val="00796E12"/>
    <w:rsid w:val="00797766"/>
    <w:rsid w:val="00797F11"/>
    <w:rsid w:val="007A0256"/>
    <w:rsid w:val="007A0351"/>
    <w:rsid w:val="007A0946"/>
    <w:rsid w:val="007A0B7A"/>
    <w:rsid w:val="007A0D55"/>
    <w:rsid w:val="007A4EA7"/>
    <w:rsid w:val="007A57AE"/>
    <w:rsid w:val="007A5C49"/>
    <w:rsid w:val="007A6AF2"/>
    <w:rsid w:val="007A714A"/>
    <w:rsid w:val="007B0AC7"/>
    <w:rsid w:val="007B13DB"/>
    <w:rsid w:val="007B2329"/>
    <w:rsid w:val="007B2B03"/>
    <w:rsid w:val="007B2E19"/>
    <w:rsid w:val="007B33CF"/>
    <w:rsid w:val="007B4652"/>
    <w:rsid w:val="007B73F8"/>
    <w:rsid w:val="007B7540"/>
    <w:rsid w:val="007C067F"/>
    <w:rsid w:val="007C0BBB"/>
    <w:rsid w:val="007C137D"/>
    <w:rsid w:val="007C1DEB"/>
    <w:rsid w:val="007C2258"/>
    <w:rsid w:val="007C2403"/>
    <w:rsid w:val="007C27A8"/>
    <w:rsid w:val="007C2CB2"/>
    <w:rsid w:val="007C2D2E"/>
    <w:rsid w:val="007C3571"/>
    <w:rsid w:val="007C39E0"/>
    <w:rsid w:val="007C6C91"/>
    <w:rsid w:val="007D0068"/>
    <w:rsid w:val="007D01DA"/>
    <w:rsid w:val="007D06F0"/>
    <w:rsid w:val="007D0C5E"/>
    <w:rsid w:val="007D1171"/>
    <w:rsid w:val="007D1635"/>
    <w:rsid w:val="007D285E"/>
    <w:rsid w:val="007D4AD6"/>
    <w:rsid w:val="007D5D6D"/>
    <w:rsid w:val="007D5E6E"/>
    <w:rsid w:val="007D6D02"/>
    <w:rsid w:val="007D7094"/>
    <w:rsid w:val="007D7950"/>
    <w:rsid w:val="007D7E19"/>
    <w:rsid w:val="007E0226"/>
    <w:rsid w:val="007E0700"/>
    <w:rsid w:val="007E125B"/>
    <w:rsid w:val="007E12EF"/>
    <w:rsid w:val="007E17C4"/>
    <w:rsid w:val="007E19E7"/>
    <w:rsid w:val="007E2209"/>
    <w:rsid w:val="007E23F3"/>
    <w:rsid w:val="007E24C9"/>
    <w:rsid w:val="007E270C"/>
    <w:rsid w:val="007E2827"/>
    <w:rsid w:val="007E2B80"/>
    <w:rsid w:val="007E3240"/>
    <w:rsid w:val="007E3963"/>
    <w:rsid w:val="007E46FC"/>
    <w:rsid w:val="007E48B8"/>
    <w:rsid w:val="007E4E6D"/>
    <w:rsid w:val="007E5398"/>
    <w:rsid w:val="007E5903"/>
    <w:rsid w:val="007E5F97"/>
    <w:rsid w:val="007E6AA6"/>
    <w:rsid w:val="007E7197"/>
    <w:rsid w:val="007E77C4"/>
    <w:rsid w:val="007E7A88"/>
    <w:rsid w:val="007E7B89"/>
    <w:rsid w:val="007F0497"/>
    <w:rsid w:val="007F165F"/>
    <w:rsid w:val="007F2020"/>
    <w:rsid w:val="007F2088"/>
    <w:rsid w:val="007F260B"/>
    <w:rsid w:val="007F26E3"/>
    <w:rsid w:val="007F2BCA"/>
    <w:rsid w:val="007F3C63"/>
    <w:rsid w:val="007F3D17"/>
    <w:rsid w:val="007F40E5"/>
    <w:rsid w:val="007F5719"/>
    <w:rsid w:val="007F5DF7"/>
    <w:rsid w:val="007F606E"/>
    <w:rsid w:val="007F612C"/>
    <w:rsid w:val="007F791E"/>
    <w:rsid w:val="008012D7"/>
    <w:rsid w:val="00801C82"/>
    <w:rsid w:val="00803396"/>
    <w:rsid w:val="00803835"/>
    <w:rsid w:val="00803FA0"/>
    <w:rsid w:val="0080430D"/>
    <w:rsid w:val="00804511"/>
    <w:rsid w:val="00804579"/>
    <w:rsid w:val="008045DF"/>
    <w:rsid w:val="00805861"/>
    <w:rsid w:val="00805A4A"/>
    <w:rsid w:val="00805B16"/>
    <w:rsid w:val="00805CF2"/>
    <w:rsid w:val="0080744C"/>
    <w:rsid w:val="00807FBD"/>
    <w:rsid w:val="00810178"/>
    <w:rsid w:val="00810BED"/>
    <w:rsid w:val="00810C96"/>
    <w:rsid w:val="008113EF"/>
    <w:rsid w:val="00811C5B"/>
    <w:rsid w:val="0081263A"/>
    <w:rsid w:val="00812D79"/>
    <w:rsid w:val="00813B3A"/>
    <w:rsid w:val="00813E31"/>
    <w:rsid w:val="008145D8"/>
    <w:rsid w:val="00814953"/>
    <w:rsid w:val="008154E7"/>
    <w:rsid w:val="00815B8F"/>
    <w:rsid w:val="008165FE"/>
    <w:rsid w:val="008167A1"/>
    <w:rsid w:val="0081687E"/>
    <w:rsid w:val="00817F66"/>
    <w:rsid w:val="00820063"/>
    <w:rsid w:val="00820C59"/>
    <w:rsid w:val="0082115A"/>
    <w:rsid w:val="00821C0E"/>
    <w:rsid w:val="00823486"/>
    <w:rsid w:val="0082360E"/>
    <w:rsid w:val="0082399F"/>
    <w:rsid w:val="00824009"/>
    <w:rsid w:val="008248B2"/>
    <w:rsid w:val="0082513D"/>
    <w:rsid w:val="00825D83"/>
    <w:rsid w:val="008266C3"/>
    <w:rsid w:val="00826970"/>
    <w:rsid w:val="00826C82"/>
    <w:rsid w:val="0082752A"/>
    <w:rsid w:val="00827E4B"/>
    <w:rsid w:val="008304A4"/>
    <w:rsid w:val="00831E16"/>
    <w:rsid w:val="008324AA"/>
    <w:rsid w:val="0083332E"/>
    <w:rsid w:val="008333D3"/>
    <w:rsid w:val="008334A7"/>
    <w:rsid w:val="00833C4C"/>
    <w:rsid w:val="00833D08"/>
    <w:rsid w:val="00833E4C"/>
    <w:rsid w:val="00834DCB"/>
    <w:rsid w:val="008356EE"/>
    <w:rsid w:val="0083578F"/>
    <w:rsid w:val="00836933"/>
    <w:rsid w:val="00836A15"/>
    <w:rsid w:val="00836A9B"/>
    <w:rsid w:val="00836C4D"/>
    <w:rsid w:val="00836F78"/>
    <w:rsid w:val="00837533"/>
    <w:rsid w:val="008375B6"/>
    <w:rsid w:val="008378FD"/>
    <w:rsid w:val="008402E4"/>
    <w:rsid w:val="0084166C"/>
    <w:rsid w:val="00841C76"/>
    <w:rsid w:val="008423A6"/>
    <w:rsid w:val="0084274F"/>
    <w:rsid w:val="00842DC3"/>
    <w:rsid w:val="00843355"/>
    <w:rsid w:val="008459E2"/>
    <w:rsid w:val="00845B7E"/>
    <w:rsid w:val="00845B8C"/>
    <w:rsid w:val="008463F9"/>
    <w:rsid w:val="00846D1B"/>
    <w:rsid w:val="00847BDD"/>
    <w:rsid w:val="008512B6"/>
    <w:rsid w:val="008514DA"/>
    <w:rsid w:val="00851D35"/>
    <w:rsid w:val="008522C1"/>
    <w:rsid w:val="008526B9"/>
    <w:rsid w:val="00852B02"/>
    <w:rsid w:val="00852CF5"/>
    <w:rsid w:val="00852E9C"/>
    <w:rsid w:val="00852FEE"/>
    <w:rsid w:val="00853C30"/>
    <w:rsid w:val="00854657"/>
    <w:rsid w:val="00855B27"/>
    <w:rsid w:val="00855D39"/>
    <w:rsid w:val="00856532"/>
    <w:rsid w:val="00856979"/>
    <w:rsid w:val="008606A1"/>
    <w:rsid w:val="00860C09"/>
    <w:rsid w:val="00861098"/>
    <w:rsid w:val="00862535"/>
    <w:rsid w:val="00862D4B"/>
    <w:rsid w:val="008630AF"/>
    <w:rsid w:val="00863452"/>
    <w:rsid w:val="00863619"/>
    <w:rsid w:val="00864121"/>
    <w:rsid w:val="0086414B"/>
    <w:rsid w:val="008643DB"/>
    <w:rsid w:val="00864D3D"/>
    <w:rsid w:val="0086559B"/>
    <w:rsid w:val="008659A3"/>
    <w:rsid w:val="00865DE9"/>
    <w:rsid w:val="008660D0"/>
    <w:rsid w:val="00866420"/>
    <w:rsid w:val="00866C04"/>
    <w:rsid w:val="00866E2B"/>
    <w:rsid w:val="00867439"/>
    <w:rsid w:val="0086762D"/>
    <w:rsid w:val="0087011B"/>
    <w:rsid w:val="0087019E"/>
    <w:rsid w:val="008705B0"/>
    <w:rsid w:val="008711B6"/>
    <w:rsid w:val="00871C73"/>
    <w:rsid w:val="00871DBA"/>
    <w:rsid w:val="00872330"/>
    <w:rsid w:val="00872584"/>
    <w:rsid w:val="00872879"/>
    <w:rsid w:val="0087348B"/>
    <w:rsid w:val="00873926"/>
    <w:rsid w:val="00873DAB"/>
    <w:rsid w:val="00873DD4"/>
    <w:rsid w:val="0087495C"/>
    <w:rsid w:val="008755BD"/>
    <w:rsid w:val="00875F8F"/>
    <w:rsid w:val="0087619D"/>
    <w:rsid w:val="00876987"/>
    <w:rsid w:val="0087734B"/>
    <w:rsid w:val="008806CD"/>
    <w:rsid w:val="00880A63"/>
    <w:rsid w:val="00880F01"/>
    <w:rsid w:val="00881501"/>
    <w:rsid w:val="008820D8"/>
    <w:rsid w:val="00882C23"/>
    <w:rsid w:val="008836CB"/>
    <w:rsid w:val="00883D25"/>
    <w:rsid w:val="00884DDF"/>
    <w:rsid w:val="00884F92"/>
    <w:rsid w:val="008851EC"/>
    <w:rsid w:val="00885D79"/>
    <w:rsid w:val="00886031"/>
    <w:rsid w:val="0088630C"/>
    <w:rsid w:val="00887397"/>
    <w:rsid w:val="008875DD"/>
    <w:rsid w:val="008877B7"/>
    <w:rsid w:val="00890718"/>
    <w:rsid w:val="00890807"/>
    <w:rsid w:val="00891D46"/>
    <w:rsid w:val="00892162"/>
    <w:rsid w:val="0089269F"/>
    <w:rsid w:val="00892813"/>
    <w:rsid w:val="00892AF0"/>
    <w:rsid w:val="0089300B"/>
    <w:rsid w:val="00893A5E"/>
    <w:rsid w:val="008946F9"/>
    <w:rsid w:val="00894A68"/>
    <w:rsid w:val="00894C49"/>
    <w:rsid w:val="00894C98"/>
    <w:rsid w:val="00894DB4"/>
    <w:rsid w:val="0089579F"/>
    <w:rsid w:val="00896371"/>
    <w:rsid w:val="00896D63"/>
    <w:rsid w:val="00897697"/>
    <w:rsid w:val="008A02A6"/>
    <w:rsid w:val="008A05BA"/>
    <w:rsid w:val="008A05EB"/>
    <w:rsid w:val="008A0BDF"/>
    <w:rsid w:val="008A158D"/>
    <w:rsid w:val="008A1E43"/>
    <w:rsid w:val="008A20EA"/>
    <w:rsid w:val="008A3B95"/>
    <w:rsid w:val="008A4490"/>
    <w:rsid w:val="008A4B0D"/>
    <w:rsid w:val="008A4E90"/>
    <w:rsid w:val="008A51E6"/>
    <w:rsid w:val="008A57C0"/>
    <w:rsid w:val="008A5FF6"/>
    <w:rsid w:val="008A62CE"/>
    <w:rsid w:val="008A63B1"/>
    <w:rsid w:val="008A649F"/>
    <w:rsid w:val="008A67ED"/>
    <w:rsid w:val="008A697E"/>
    <w:rsid w:val="008A751D"/>
    <w:rsid w:val="008A7A4D"/>
    <w:rsid w:val="008A7A5A"/>
    <w:rsid w:val="008A7A74"/>
    <w:rsid w:val="008B00D2"/>
    <w:rsid w:val="008B054A"/>
    <w:rsid w:val="008B0D47"/>
    <w:rsid w:val="008B0DCE"/>
    <w:rsid w:val="008B10A6"/>
    <w:rsid w:val="008B1534"/>
    <w:rsid w:val="008B1A1A"/>
    <w:rsid w:val="008B1A85"/>
    <w:rsid w:val="008B1ECB"/>
    <w:rsid w:val="008B1F47"/>
    <w:rsid w:val="008B1F51"/>
    <w:rsid w:val="008B20F8"/>
    <w:rsid w:val="008B2409"/>
    <w:rsid w:val="008B242E"/>
    <w:rsid w:val="008B24A5"/>
    <w:rsid w:val="008B2EE5"/>
    <w:rsid w:val="008B44FC"/>
    <w:rsid w:val="008B47AE"/>
    <w:rsid w:val="008B6219"/>
    <w:rsid w:val="008B7316"/>
    <w:rsid w:val="008B7FDB"/>
    <w:rsid w:val="008C028B"/>
    <w:rsid w:val="008C0440"/>
    <w:rsid w:val="008C0886"/>
    <w:rsid w:val="008C0DC0"/>
    <w:rsid w:val="008C0EB8"/>
    <w:rsid w:val="008C0EC8"/>
    <w:rsid w:val="008C1894"/>
    <w:rsid w:val="008C1CC6"/>
    <w:rsid w:val="008C29F8"/>
    <w:rsid w:val="008C3862"/>
    <w:rsid w:val="008C4381"/>
    <w:rsid w:val="008C5263"/>
    <w:rsid w:val="008C5B10"/>
    <w:rsid w:val="008C5B11"/>
    <w:rsid w:val="008C5CAB"/>
    <w:rsid w:val="008C5EC5"/>
    <w:rsid w:val="008C60E6"/>
    <w:rsid w:val="008C6CC7"/>
    <w:rsid w:val="008C77DB"/>
    <w:rsid w:val="008D0913"/>
    <w:rsid w:val="008D0B0F"/>
    <w:rsid w:val="008D0C69"/>
    <w:rsid w:val="008D0FFE"/>
    <w:rsid w:val="008D13B7"/>
    <w:rsid w:val="008D1A34"/>
    <w:rsid w:val="008D1A74"/>
    <w:rsid w:val="008D1E21"/>
    <w:rsid w:val="008D2088"/>
    <w:rsid w:val="008D25AA"/>
    <w:rsid w:val="008D2B7B"/>
    <w:rsid w:val="008D5435"/>
    <w:rsid w:val="008D5E6A"/>
    <w:rsid w:val="008D67A4"/>
    <w:rsid w:val="008E042D"/>
    <w:rsid w:val="008E18C6"/>
    <w:rsid w:val="008E2C5F"/>
    <w:rsid w:val="008E2D90"/>
    <w:rsid w:val="008E4447"/>
    <w:rsid w:val="008E4DAC"/>
    <w:rsid w:val="008E556B"/>
    <w:rsid w:val="008E5666"/>
    <w:rsid w:val="008E5C8C"/>
    <w:rsid w:val="008E6AF9"/>
    <w:rsid w:val="008E71D1"/>
    <w:rsid w:val="008E7296"/>
    <w:rsid w:val="008E7E02"/>
    <w:rsid w:val="008F0D4B"/>
    <w:rsid w:val="008F0D5D"/>
    <w:rsid w:val="008F158C"/>
    <w:rsid w:val="008F2760"/>
    <w:rsid w:val="008F3731"/>
    <w:rsid w:val="008F3B55"/>
    <w:rsid w:val="008F43CA"/>
    <w:rsid w:val="008F5233"/>
    <w:rsid w:val="008F5A4A"/>
    <w:rsid w:val="008F65FD"/>
    <w:rsid w:val="008F66B6"/>
    <w:rsid w:val="008F7245"/>
    <w:rsid w:val="00900169"/>
    <w:rsid w:val="0090034A"/>
    <w:rsid w:val="00900406"/>
    <w:rsid w:val="009005F0"/>
    <w:rsid w:val="00900C04"/>
    <w:rsid w:val="00900C6E"/>
    <w:rsid w:val="0090168B"/>
    <w:rsid w:val="00902C1D"/>
    <w:rsid w:val="00903A03"/>
    <w:rsid w:val="009041CA"/>
    <w:rsid w:val="009043BD"/>
    <w:rsid w:val="0090461C"/>
    <w:rsid w:val="009048E7"/>
    <w:rsid w:val="009050BB"/>
    <w:rsid w:val="0090545A"/>
    <w:rsid w:val="00906238"/>
    <w:rsid w:val="009069EF"/>
    <w:rsid w:val="00906BDD"/>
    <w:rsid w:val="00906E2D"/>
    <w:rsid w:val="00906F21"/>
    <w:rsid w:val="0090760E"/>
    <w:rsid w:val="009076AF"/>
    <w:rsid w:val="009077E1"/>
    <w:rsid w:val="0091045C"/>
    <w:rsid w:val="00911543"/>
    <w:rsid w:val="0091157E"/>
    <w:rsid w:val="00912456"/>
    <w:rsid w:val="009124E7"/>
    <w:rsid w:val="00912ED3"/>
    <w:rsid w:val="00913606"/>
    <w:rsid w:val="009139B7"/>
    <w:rsid w:val="00914817"/>
    <w:rsid w:val="00916491"/>
    <w:rsid w:val="00916A1D"/>
    <w:rsid w:val="00916AEA"/>
    <w:rsid w:val="0091716A"/>
    <w:rsid w:val="00920691"/>
    <w:rsid w:val="00921662"/>
    <w:rsid w:val="00921917"/>
    <w:rsid w:val="0092282B"/>
    <w:rsid w:val="00922B5E"/>
    <w:rsid w:val="00923363"/>
    <w:rsid w:val="009235E5"/>
    <w:rsid w:val="00923A35"/>
    <w:rsid w:val="00923E47"/>
    <w:rsid w:val="0092455F"/>
    <w:rsid w:val="00925C9A"/>
    <w:rsid w:val="0092623C"/>
    <w:rsid w:val="00926834"/>
    <w:rsid w:val="00930344"/>
    <w:rsid w:val="0093052A"/>
    <w:rsid w:val="0093067F"/>
    <w:rsid w:val="009311F7"/>
    <w:rsid w:val="0093134E"/>
    <w:rsid w:val="00933EA4"/>
    <w:rsid w:val="00934845"/>
    <w:rsid w:val="00934A2E"/>
    <w:rsid w:val="009355F2"/>
    <w:rsid w:val="00936003"/>
    <w:rsid w:val="0093600A"/>
    <w:rsid w:val="00937972"/>
    <w:rsid w:val="00940965"/>
    <w:rsid w:val="009409C2"/>
    <w:rsid w:val="00940A7E"/>
    <w:rsid w:val="00940E73"/>
    <w:rsid w:val="00941CD1"/>
    <w:rsid w:val="00942B19"/>
    <w:rsid w:val="00942B46"/>
    <w:rsid w:val="00943045"/>
    <w:rsid w:val="009433CF"/>
    <w:rsid w:val="009434DD"/>
    <w:rsid w:val="00943A0B"/>
    <w:rsid w:val="00943A55"/>
    <w:rsid w:val="00943E9E"/>
    <w:rsid w:val="00944905"/>
    <w:rsid w:val="0094581C"/>
    <w:rsid w:val="00945E2C"/>
    <w:rsid w:val="00946126"/>
    <w:rsid w:val="00946D83"/>
    <w:rsid w:val="0095014D"/>
    <w:rsid w:val="00950459"/>
    <w:rsid w:val="00950560"/>
    <w:rsid w:val="00950E55"/>
    <w:rsid w:val="0095114E"/>
    <w:rsid w:val="00951774"/>
    <w:rsid w:val="00951C7B"/>
    <w:rsid w:val="00953382"/>
    <w:rsid w:val="00953529"/>
    <w:rsid w:val="0095571D"/>
    <w:rsid w:val="00955904"/>
    <w:rsid w:val="00955ABB"/>
    <w:rsid w:val="009563F1"/>
    <w:rsid w:val="00956C29"/>
    <w:rsid w:val="00956EDD"/>
    <w:rsid w:val="009578E7"/>
    <w:rsid w:val="00960E73"/>
    <w:rsid w:val="00961603"/>
    <w:rsid w:val="00962329"/>
    <w:rsid w:val="00962337"/>
    <w:rsid w:val="00963145"/>
    <w:rsid w:val="009636C4"/>
    <w:rsid w:val="00964273"/>
    <w:rsid w:val="00964B55"/>
    <w:rsid w:val="00964C72"/>
    <w:rsid w:val="00964F3D"/>
    <w:rsid w:val="009650F6"/>
    <w:rsid w:val="00967F5B"/>
    <w:rsid w:val="009717E1"/>
    <w:rsid w:val="00971A2A"/>
    <w:rsid w:val="0097224D"/>
    <w:rsid w:val="00972918"/>
    <w:rsid w:val="00972A99"/>
    <w:rsid w:val="00972BF6"/>
    <w:rsid w:val="00972E3D"/>
    <w:rsid w:val="00973750"/>
    <w:rsid w:val="009739E9"/>
    <w:rsid w:val="009748B7"/>
    <w:rsid w:val="0097510A"/>
    <w:rsid w:val="009757A9"/>
    <w:rsid w:val="00975B6D"/>
    <w:rsid w:val="00975C7E"/>
    <w:rsid w:val="00976452"/>
    <w:rsid w:val="00976FC5"/>
    <w:rsid w:val="00977090"/>
    <w:rsid w:val="00977B8B"/>
    <w:rsid w:val="00980061"/>
    <w:rsid w:val="0098090C"/>
    <w:rsid w:val="00981A77"/>
    <w:rsid w:val="0098258A"/>
    <w:rsid w:val="009829E0"/>
    <w:rsid w:val="00983232"/>
    <w:rsid w:val="0098345D"/>
    <w:rsid w:val="00983516"/>
    <w:rsid w:val="009835BD"/>
    <w:rsid w:val="00983B2E"/>
    <w:rsid w:val="00983D13"/>
    <w:rsid w:val="00983D64"/>
    <w:rsid w:val="009866CF"/>
    <w:rsid w:val="009868DE"/>
    <w:rsid w:val="00986B8E"/>
    <w:rsid w:val="00986FF9"/>
    <w:rsid w:val="0098707A"/>
    <w:rsid w:val="00987157"/>
    <w:rsid w:val="0098773D"/>
    <w:rsid w:val="00987933"/>
    <w:rsid w:val="00987C9E"/>
    <w:rsid w:val="009903C4"/>
    <w:rsid w:val="0099096F"/>
    <w:rsid w:val="00990AC7"/>
    <w:rsid w:val="00990E02"/>
    <w:rsid w:val="0099106D"/>
    <w:rsid w:val="00991BEC"/>
    <w:rsid w:val="00991C99"/>
    <w:rsid w:val="009924E3"/>
    <w:rsid w:val="009925F5"/>
    <w:rsid w:val="00992B1F"/>
    <w:rsid w:val="00993252"/>
    <w:rsid w:val="009932DA"/>
    <w:rsid w:val="00994925"/>
    <w:rsid w:val="00994AA3"/>
    <w:rsid w:val="00994B17"/>
    <w:rsid w:val="00994D9E"/>
    <w:rsid w:val="00994F5F"/>
    <w:rsid w:val="00995D17"/>
    <w:rsid w:val="00996066"/>
    <w:rsid w:val="0099620C"/>
    <w:rsid w:val="009962E1"/>
    <w:rsid w:val="00996423"/>
    <w:rsid w:val="009968B3"/>
    <w:rsid w:val="00996A98"/>
    <w:rsid w:val="00997007"/>
    <w:rsid w:val="009970B0"/>
    <w:rsid w:val="00997123"/>
    <w:rsid w:val="00997DDF"/>
    <w:rsid w:val="009A00A7"/>
    <w:rsid w:val="009A013C"/>
    <w:rsid w:val="009A2E89"/>
    <w:rsid w:val="009A3928"/>
    <w:rsid w:val="009A3A9F"/>
    <w:rsid w:val="009A5989"/>
    <w:rsid w:val="009A61B7"/>
    <w:rsid w:val="009A699E"/>
    <w:rsid w:val="009A76DB"/>
    <w:rsid w:val="009A7794"/>
    <w:rsid w:val="009A7AB4"/>
    <w:rsid w:val="009A7E90"/>
    <w:rsid w:val="009B01D5"/>
    <w:rsid w:val="009B0604"/>
    <w:rsid w:val="009B0772"/>
    <w:rsid w:val="009B08B8"/>
    <w:rsid w:val="009B0E72"/>
    <w:rsid w:val="009B24A4"/>
    <w:rsid w:val="009B37FE"/>
    <w:rsid w:val="009B3B05"/>
    <w:rsid w:val="009B4251"/>
    <w:rsid w:val="009B49B4"/>
    <w:rsid w:val="009B5332"/>
    <w:rsid w:val="009B581F"/>
    <w:rsid w:val="009B62A1"/>
    <w:rsid w:val="009B62DC"/>
    <w:rsid w:val="009B6319"/>
    <w:rsid w:val="009B6AF4"/>
    <w:rsid w:val="009B6E12"/>
    <w:rsid w:val="009B7430"/>
    <w:rsid w:val="009B7769"/>
    <w:rsid w:val="009B7B7E"/>
    <w:rsid w:val="009B7C3D"/>
    <w:rsid w:val="009C016A"/>
    <w:rsid w:val="009C0554"/>
    <w:rsid w:val="009C06A3"/>
    <w:rsid w:val="009C09AE"/>
    <w:rsid w:val="009C0A9D"/>
    <w:rsid w:val="009C1CC0"/>
    <w:rsid w:val="009C2C04"/>
    <w:rsid w:val="009C2F92"/>
    <w:rsid w:val="009C3334"/>
    <w:rsid w:val="009C4537"/>
    <w:rsid w:val="009C50B6"/>
    <w:rsid w:val="009C54EC"/>
    <w:rsid w:val="009C5574"/>
    <w:rsid w:val="009C55BE"/>
    <w:rsid w:val="009C580A"/>
    <w:rsid w:val="009C5FA7"/>
    <w:rsid w:val="009C6196"/>
    <w:rsid w:val="009C6C50"/>
    <w:rsid w:val="009C7075"/>
    <w:rsid w:val="009C7E50"/>
    <w:rsid w:val="009D06FD"/>
    <w:rsid w:val="009D0ADE"/>
    <w:rsid w:val="009D120A"/>
    <w:rsid w:val="009D156A"/>
    <w:rsid w:val="009D1956"/>
    <w:rsid w:val="009D1D18"/>
    <w:rsid w:val="009D3A97"/>
    <w:rsid w:val="009D447B"/>
    <w:rsid w:val="009D4B32"/>
    <w:rsid w:val="009D4E5E"/>
    <w:rsid w:val="009D4E88"/>
    <w:rsid w:val="009D5D20"/>
    <w:rsid w:val="009D60BC"/>
    <w:rsid w:val="009D6B4E"/>
    <w:rsid w:val="009D700B"/>
    <w:rsid w:val="009D73ED"/>
    <w:rsid w:val="009E050C"/>
    <w:rsid w:val="009E0AB4"/>
    <w:rsid w:val="009E10A3"/>
    <w:rsid w:val="009E11E4"/>
    <w:rsid w:val="009E26BC"/>
    <w:rsid w:val="009E2B11"/>
    <w:rsid w:val="009E34F3"/>
    <w:rsid w:val="009E3555"/>
    <w:rsid w:val="009E3C5D"/>
    <w:rsid w:val="009E3E92"/>
    <w:rsid w:val="009E4AAF"/>
    <w:rsid w:val="009E4C74"/>
    <w:rsid w:val="009E509B"/>
    <w:rsid w:val="009E562B"/>
    <w:rsid w:val="009E5D16"/>
    <w:rsid w:val="009E72C6"/>
    <w:rsid w:val="009E7845"/>
    <w:rsid w:val="009E7DC9"/>
    <w:rsid w:val="009F02FE"/>
    <w:rsid w:val="009F13A0"/>
    <w:rsid w:val="009F1773"/>
    <w:rsid w:val="009F2396"/>
    <w:rsid w:val="009F2630"/>
    <w:rsid w:val="009F27ED"/>
    <w:rsid w:val="009F2D1E"/>
    <w:rsid w:val="009F36A8"/>
    <w:rsid w:val="009F3D1A"/>
    <w:rsid w:val="009F3D22"/>
    <w:rsid w:val="009F4242"/>
    <w:rsid w:val="009F4382"/>
    <w:rsid w:val="009F4E8F"/>
    <w:rsid w:val="009F5EF7"/>
    <w:rsid w:val="009F6328"/>
    <w:rsid w:val="009F6E73"/>
    <w:rsid w:val="00A00D66"/>
    <w:rsid w:val="00A01D3B"/>
    <w:rsid w:val="00A01E02"/>
    <w:rsid w:val="00A0269D"/>
    <w:rsid w:val="00A036D7"/>
    <w:rsid w:val="00A043F6"/>
    <w:rsid w:val="00A04507"/>
    <w:rsid w:val="00A04600"/>
    <w:rsid w:val="00A04A19"/>
    <w:rsid w:val="00A04D03"/>
    <w:rsid w:val="00A058F4"/>
    <w:rsid w:val="00A05B4D"/>
    <w:rsid w:val="00A05B94"/>
    <w:rsid w:val="00A05D38"/>
    <w:rsid w:val="00A0622C"/>
    <w:rsid w:val="00A06399"/>
    <w:rsid w:val="00A07144"/>
    <w:rsid w:val="00A07442"/>
    <w:rsid w:val="00A078C8"/>
    <w:rsid w:val="00A079E2"/>
    <w:rsid w:val="00A1019D"/>
    <w:rsid w:val="00A10344"/>
    <w:rsid w:val="00A10647"/>
    <w:rsid w:val="00A107C1"/>
    <w:rsid w:val="00A109D9"/>
    <w:rsid w:val="00A10CBD"/>
    <w:rsid w:val="00A11AB2"/>
    <w:rsid w:val="00A122C9"/>
    <w:rsid w:val="00A12C8A"/>
    <w:rsid w:val="00A1392A"/>
    <w:rsid w:val="00A13B52"/>
    <w:rsid w:val="00A14509"/>
    <w:rsid w:val="00A150E4"/>
    <w:rsid w:val="00A16003"/>
    <w:rsid w:val="00A16636"/>
    <w:rsid w:val="00A170F4"/>
    <w:rsid w:val="00A17A2E"/>
    <w:rsid w:val="00A17E4E"/>
    <w:rsid w:val="00A17E68"/>
    <w:rsid w:val="00A204E6"/>
    <w:rsid w:val="00A212CF"/>
    <w:rsid w:val="00A22BD2"/>
    <w:rsid w:val="00A22C51"/>
    <w:rsid w:val="00A22DB2"/>
    <w:rsid w:val="00A23D35"/>
    <w:rsid w:val="00A24167"/>
    <w:rsid w:val="00A245B6"/>
    <w:rsid w:val="00A248D6"/>
    <w:rsid w:val="00A24A54"/>
    <w:rsid w:val="00A25359"/>
    <w:rsid w:val="00A26782"/>
    <w:rsid w:val="00A269E1"/>
    <w:rsid w:val="00A27697"/>
    <w:rsid w:val="00A27EA7"/>
    <w:rsid w:val="00A301FB"/>
    <w:rsid w:val="00A3084C"/>
    <w:rsid w:val="00A308DF"/>
    <w:rsid w:val="00A30D04"/>
    <w:rsid w:val="00A30F81"/>
    <w:rsid w:val="00A31B00"/>
    <w:rsid w:val="00A320D9"/>
    <w:rsid w:val="00A32A72"/>
    <w:rsid w:val="00A330BE"/>
    <w:rsid w:val="00A3310F"/>
    <w:rsid w:val="00A33430"/>
    <w:rsid w:val="00A33579"/>
    <w:rsid w:val="00A33727"/>
    <w:rsid w:val="00A33C3C"/>
    <w:rsid w:val="00A33F92"/>
    <w:rsid w:val="00A3438A"/>
    <w:rsid w:val="00A354FF"/>
    <w:rsid w:val="00A3605C"/>
    <w:rsid w:val="00A361CB"/>
    <w:rsid w:val="00A364A0"/>
    <w:rsid w:val="00A36EAB"/>
    <w:rsid w:val="00A37590"/>
    <w:rsid w:val="00A37B00"/>
    <w:rsid w:val="00A37BB0"/>
    <w:rsid w:val="00A40209"/>
    <w:rsid w:val="00A40B2C"/>
    <w:rsid w:val="00A410F7"/>
    <w:rsid w:val="00A422AB"/>
    <w:rsid w:val="00A42303"/>
    <w:rsid w:val="00A4325F"/>
    <w:rsid w:val="00A435D2"/>
    <w:rsid w:val="00A437C3"/>
    <w:rsid w:val="00A438C7"/>
    <w:rsid w:val="00A444E3"/>
    <w:rsid w:val="00A44500"/>
    <w:rsid w:val="00A44C47"/>
    <w:rsid w:val="00A454AC"/>
    <w:rsid w:val="00A456ED"/>
    <w:rsid w:val="00A45820"/>
    <w:rsid w:val="00A45C95"/>
    <w:rsid w:val="00A45D94"/>
    <w:rsid w:val="00A45ECE"/>
    <w:rsid w:val="00A463A8"/>
    <w:rsid w:val="00A46D13"/>
    <w:rsid w:val="00A47D58"/>
    <w:rsid w:val="00A500A7"/>
    <w:rsid w:val="00A52815"/>
    <w:rsid w:val="00A53137"/>
    <w:rsid w:val="00A5315E"/>
    <w:rsid w:val="00A54761"/>
    <w:rsid w:val="00A550F7"/>
    <w:rsid w:val="00A55345"/>
    <w:rsid w:val="00A560C7"/>
    <w:rsid w:val="00A567F5"/>
    <w:rsid w:val="00A56EBA"/>
    <w:rsid w:val="00A56EE0"/>
    <w:rsid w:val="00A573CD"/>
    <w:rsid w:val="00A600D2"/>
    <w:rsid w:val="00A60470"/>
    <w:rsid w:val="00A60B78"/>
    <w:rsid w:val="00A615B5"/>
    <w:rsid w:val="00A6304B"/>
    <w:rsid w:val="00A636D6"/>
    <w:rsid w:val="00A63A06"/>
    <w:rsid w:val="00A6408E"/>
    <w:rsid w:val="00A641D3"/>
    <w:rsid w:val="00A6477A"/>
    <w:rsid w:val="00A64B40"/>
    <w:rsid w:val="00A64EEA"/>
    <w:rsid w:val="00A652ED"/>
    <w:rsid w:val="00A659AC"/>
    <w:rsid w:val="00A659BD"/>
    <w:rsid w:val="00A66638"/>
    <w:rsid w:val="00A66717"/>
    <w:rsid w:val="00A6671D"/>
    <w:rsid w:val="00A66B93"/>
    <w:rsid w:val="00A6724C"/>
    <w:rsid w:val="00A672AB"/>
    <w:rsid w:val="00A672E3"/>
    <w:rsid w:val="00A67315"/>
    <w:rsid w:val="00A7017B"/>
    <w:rsid w:val="00A708F9"/>
    <w:rsid w:val="00A70965"/>
    <w:rsid w:val="00A7130F"/>
    <w:rsid w:val="00A71410"/>
    <w:rsid w:val="00A71EE2"/>
    <w:rsid w:val="00A7288A"/>
    <w:rsid w:val="00A72EFB"/>
    <w:rsid w:val="00A730A9"/>
    <w:rsid w:val="00A7356D"/>
    <w:rsid w:val="00A73A6A"/>
    <w:rsid w:val="00A7432D"/>
    <w:rsid w:val="00A745A2"/>
    <w:rsid w:val="00A746ED"/>
    <w:rsid w:val="00A74FA2"/>
    <w:rsid w:val="00A7511F"/>
    <w:rsid w:val="00A7540A"/>
    <w:rsid w:val="00A75DC3"/>
    <w:rsid w:val="00A7682B"/>
    <w:rsid w:val="00A775B2"/>
    <w:rsid w:val="00A77700"/>
    <w:rsid w:val="00A77B7F"/>
    <w:rsid w:val="00A77D59"/>
    <w:rsid w:val="00A8020D"/>
    <w:rsid w:val="00A80599"/>
    <w:rsid w:val="00A80889"/>
    <w:rsid w:val="00A80E84"/>
    <w:rsid w:val="00A80F8E"/>
    <w:rsid w:val="00A8217A"/>
    <w:rsid w:val="00A82757"/>
    <w:rsid w:val="00A82C5B"/>
    <w:rsid w:val="00A830BB"/>
    <w:rsid w:val="00A832AD"/>
    <w:rsid w:val="00A83E6C"/>
    <w:rsid w:val="00A8423B"/>
    <w:rsid w:val="00A8429A"/>
    <w:rsid w:val="00A84447"/>
    <w:rsid w:val="00A844BD"/>
    <w:rsid w:val="00A8498A"/>
    <w:rsid w:val="00A84B58"/>
    <w:rsid w:val="00A84BCA"/>
    <w:rsid w:val="00A862C9"/>
    <w:rsid w:val="00A869C8"/>
    <w:rsid w:val="00A86A86"/>
    <w:rsid w:val="00A87136"/>
    <w:rsid w:val="00A87848"/>
    <w:rsid w:val="00A8798A"/>
    <w:rsid w:val="00A902C6"/>
    <w:rsid w:val="00A903AA"/>
    <w:rsid w:val="00A90664"/>
    <w:rsid w:val="00A90A5E"/>
    <w:rsid w:val="00A92ACD"/>
    <w:rsid w:val="00A93501"/>
    <w:rsid w:val="00A941F6"/>
    <w:rsid w:val="00A94B13"/>
    <w:rsid w:val="00A94D90"/>
    <w:rsid w:val="00A95532"/>
    <w:rsid w:val="00A9555D"/>
    <w:rsid w:val="00A9573F"/>
    <w:rsid w:val="00A95CC9"/>
    <w:rsid w:val="00A95CE0"/>
    <w:rsid w:val="00A95E94"/>
    <w:rsid w:val="00A9638E"/>
    <w:rsid w:val="00A96653"/>
    <w:rsid w:val="00A96E67"/>
    <w:rsid w:val="00A9727F"/>
    <w:rsid w:val="00A974CC"/>
    <w:rsid w:val="00A974D3"/>
    <w:rsid w:val="00A97BED"/>
    <w:rsid w:val="00AA0218"/>
    <w:rsid w:val="00AA04F3"/>
    <w:rsid w:val="00AA0823"/>
    <w:rsid w:val="00AA3B1B"/>
    <w:rsid w:val="00AA3FF8"/>
    <w:rsid w:val="00AA49FD"/>
    <w:rsid w:val="00AA4AEF"/>
    <w:rsid w:val="00AA4C12"/>
    <w:rsid w:val="00AA53A9"/>
    <w:rsid w:val="00AA5B8B"/>
    <w:rsid w:val="00AA6105"/>
    <w:rsid w:val="00AA62F8"/>
    <w:rsid w:val="00AA68AB"/>
    <w:rsid w:val="00AA6B0F"/>
    <w:rsid w:val="00AA6F06"/>
    <w:rsid w:val="00AA6FA2"/>
    <w:rsid w:val="00AA74BC"/>
    <w:rsid w:val="00AA79E5"/>
    <w:rsid w:val="00AA7D22"/>
    <w:rsid w:val="00AA7F84"/>
    <w:rsid w:val="00AB0131"/>
    <w:rsid w:val="00AB0C1D"/>
    <w:rsid w:val="00AB137E"/>
    <w:rsid w:val="00AB1433"/>
    <w:rsid w:val="00AB1DAF"/>
    <w:rsid w:val="00AB2566"/>
    <w:rsid w:val="00AB2810"/>
    <w:rsid w:val="00AB33B8"/>
    <w:rsid w:val="00AB4321"/>
    <w:rsid w:val="00AB4AA5"/>
    <w:rsid w:val="00AB4C02"/>
    <w:rsid w:val="00AB516D"/>
    <w:rsid w:val="00AB53B6"/>
    <w:rsid w:val="00AB56CD"/>
    <w:rsid w:val="00AB5D18"/>
    <w:rsid w:val="00AB5D91"/>
    <w:rsid w:val="00AB605D"/>
    <w:rsid w:val="00AB6CE3"/>
    <w:rsid w:val="00AB6E07"/>
    <w:rsid w:val="00AB6E95"/>
    <w:rsid w:val="00AB799E"/>
    <w:rsid w:val="00AB7C11"/>
    <w:rsid w:val="00AB7DDE"/>
    <w:rsid w:val="00AB7F2F"/>
    <w:rsid w:val="00AC0263"/>
    <w:rsid w:val="00AC02FB"/>
    <w:rsid w:val="00AC045A"/>
    <w:rsid w:val="00AC050E"/>
    <w:rsid w:val="00AC0ECE"/>
    <w:rsid w:val="00AC15E6"/>
    <w:rsid w:val="00AC1D00"/>
    <w:rsid w:val="00AC3AFE"/>
    <w:rsid w:val="00AC3B9C"/>
    <w:rsid w:val="00AC438A"/>
    <w:rsid w:val="00AC4B4A"/>
    <w:rsid w:val="00AC4D71"/>
    <w:rsid w:val="00AC4D91"/>
    <w:rsid w:val="00AC4DFB"/>
    <w:rsid w:val="00AC54C2"/>
    <w:rsid w:val="00AC56CA"/>
    <w:rsid w:val="00AC58EB"/>
    <w:rsid w:val="00AC638E"/>
    <w:rsid w:val="00AC71DA"/>
    <w:rsid w:val="00AC7567"/>
    <w:rsid w:val="00AC7DAE"/>
    <w:rsid w:val="00AD036F"/>
    <w:rsid w:val="00AD0D3D"/>
    <w:rsid w:val="00AD0E82"/>
    <w:rsid w:val="00AD192F"/>
    <w:rsid w:val="00AD2291"/>
    <w:rsid w:val="00AD26FA"/>
    <w:rsid w:val="00AD3233"/>
    <w:rsid w:val="00AD4100"/>
    <w:rsid w:val="00AD4247"/>
    <w:rsid w:val="00AD46EB"/>
    <w:rsid w:val="00AD4A02"/>
    <w:rsid w:val="00AD4FE1"/>
    <w:rsid w:val="00AD5543"/>
    <w:rsid w:val="00AD59CB"/>
    <w:rsid w:val="00AD5DDF"/>
    <w:rsid w:val="00AD6040"/>
    <w:rsid w:val="00AD69BB"/>
    <w:rsid w:val="00AD7195"/>
    <w:rsid w:val="00AD7436"/>
    <w:rsid w:val="00AD77EB"/>
    <w:rsid w:val="00AD7E3C"/>
    <w:rsid w:val="00AE0E13"/>
    <w:rsid w:val="00AE1719"/>
    <w:rsid w:val="00AE1BFF"/>
    <w:rsid w:val="00AE2066"/>
    <w:rsid w:val="00AE29CB"/>
    <w:rsid w:val="00AE2E75"/>
    <w:rsid w:val="00AE33AB"/>
    <w:rsid w:val="00AE3C61"/>
    <w:rsid w:val="00AE48C0"/>
    <w:rsid w:val="00AE4908"/>
    <w:rsid w:val="00AE4CFE"/>
    <w:rsid w:val="00AE4DB3"/>
    <w:rsid w:val="00AE4DD6"/>
    <w:rsid w:val="00AE5427"/>
    <w:rsid w:val="00AE5925"/>
    <w:rsid w:val="00AE5A69"/>
    <w:rsid w:val="00AE6448"/>
    <w:rsid w:val="00AE78B6"/>
    <w:rsid w:val="00AE7C3D"/>
    <w:rsid w:val="00AF08F4"/>
    <w:rsid w:val="00AF0FD7"/>
    <w:rsid w:val="00AF1A82"/>
    <w:rsid w:val="00AF215A"/>
    <w:rsid w:val="00AF25A8"/>
    <w:rsid w:val="00AF2B26"/>
    <w:rsid w:val="00AF3049"/>
    <w:rsid w:val="00AF381C"/>
    <w:rsid w:val="00AF3A32"/>
    <w:rsid w:val="00AF4280"/>
    <w:rsid w:val="00AF4F98"/>
    <w:rsid w:val="00AF5E91"/>
    <w:rsid w:val="00AF631C"/>
    <w:rsid w:val="00AF6455"/>
    <w:rsid w:val="00AF6A9E"/>
    <w:rsid w:val="00AF7020"/>
    <w:rsid w:val="00AF7917"/>
    <w:rsid w:val="00AF79DE"/>
    <w:rsid w:val="00B001A2"/>
    <w:rsid w:val="00B00749"/>
    <w:rsid w:val="00B007D2"/>
    <w:rsid w:val="00B00B78"/>
    <w:rsid w:val="00B01539"/>
    <w:rsid w:val="00B018B5"/>
    <w:rsid w:val="00B01D4B"/>
    <w:rsid w:val="00B025A2"/>
    <w:rsid w:val="00B02713"/>
    <w:rsid w:val="00B03610"/>
    <w:rsid w:val="00B036C1"/>
    <w:rsid w:val="00B0408F"/>
    <w:rsid w:val="00B04D57"/>
    <w:rsid w:val="00B0521D"/>
    <w:rsid w:val="00B05351"/>
    <w:rsid w:val="00B05A12"/>
    <w:rsid w:val="00B05BCA"/>
    <w:rsid w:val="00B068DF"/>
    <w:rsid w:val="00B06C6B"/>
    <w:rsid w:val="00B06F4F"/>
    <w:rsid w:val="00B0791B"/>
    <w:rsid w:val="00B106A9"/>
    <w:rsid w:val="00B10A36"/>
    <w:rsid w:val="00B114A0"/>
    <w:rsid w:val="00B1159B"/>
    <w:rsid w:val="00B120B4"/>
    <w:rsid w:val="00B12AF0"/>
    <w:rsid w:val="00B137A9"/>
    <w:rsid w:val="00B13A49"/>
    <w:rsid w:val="00B14C2B"/>
    <w:rsid w:val="00B1535C"/>
    <w:rsid w:val="00B15BF2"/>
    <w:rsid w:val="00B15E82"/>
    <w:rsid w:val="00B16534"/>
    <w:rsid w:val="00B16718"/>
    <w:rsid w:val="00B17A5E"/>
    <w:rsid w:val="00B17ED3"/>
    <w:rsid w:val="00B21966"/>
    <w:rsid w:val="00B21CDF"/>
    <w:rsid w:val="00B2236C"/>
    <w:rsid w:val="00B231CE"/>
    <w:rsid w:val="00B23443"/>
    <w:rsid w:val="00B237C4"/>
    <w:rsid w:val="00B23D47"/>
    <w:rsid w:val="00B2400D"/>
    <w:rsid w:val="00B24035"/>
    <w:rsid w:val="00B24455"/>
    <w:rsid w:val="00B24B08"/>
    <w:rsid w:val="00B26027"/>
    <w:rsid w:val="00B26154"/>
    <w:rsid w:val="00B2658D"/>
    <w:rsid w:val="00B26F62"/>
    <w:rsid w:val="00B309D9"/>
    <w:rsid w:val="00B30B1C"/>
    <w:rsid w:val="00B30E74"/>
    <w:rsid w:val="00B320A8"/>
    <w:rsid w:val="00B323F4"/>
    <w:rsid w:val="00B33ECB"/>
    <w:rsid w:val="00B35BAD"/>
    <w:rsid w:val="00B36E0A"/>
    <w:rsid w:val="00B36E4F"/>
    <w:rsid w:val="00B36EB9"/>
    <w:rsid w:val="00B372DF"/>
    <w:rsid w:val="00B37B12"/>
    <w:rsid w:val="00B40455"/>
    <w:rsid w:val="00B40B8C"/>
    <w:rsid w:val="00B40DC4"/>
    <w:rsid w:val="00B413CE"/>
    <w:rsid w:val="00B41CF2"/>
    <w:rsid w:val="00B41E5E"/>
    <w:rsid w:val="00B437E3"/>
    <w:rsid w:val="00B438D5"/>
    <w:rsid w:val="00B44113"/>
    <w:rsid w:val="00B44146"/>
    <w:rsid w:val="00B4508A"/>
    <w:rsid w:val="00B45F02"/>
    <w:rsid w:val="00B45F8B"/>
    <w:rsid w:val="00B45FBE"/>
    <w:rsid w:val="00B4609D"/>
    <w:rsid w:val="00B46976"/>
    <w:rsid w:val="00B46B5F"/>
    <w:rsid w:val="00B507F2"/>
    <w:rsid w:val="00B51533"/>
    <w:rsid w:val="00B516E9"/>
    <w:rsid w:val="00B51B1C"/>
    <w:rsid w:val="00B51DFC"/>
    <w:rsid w:val="00B520BC"/>
    <w:rsid w:val="00B528A8"/>
    <w:rsid w:val="00B53529"/>
    <w:rsid w:val="00B53C29"/>
    <w:rsid w:val="00B54B4C"/>
    <w:rsid w:val="00B56183"/>
    <w:rsid w:val="00B56453"/>
    <w:rsid w:val="00B56749"/>
    <w:rsid w:val="00B57352"/>
    <w:rsid w:val="00B5769F"/>
    <w:rsid w:val="00B57780"/>
    <w:rsid w:val="00B57C92"/>
    <w:rsid w:val="00B57D6C"/>
    <w:rsid w:val="00B602F3"/>
    <w:rsid w:val="00B60526"/>
    <w:rsid w:val="00B60E2C"/>
    <w:rsid w:val="00B60EBC"/>
    <w:rsid w:val="00B610FF"/>
    <w:rsid w:val="00B617EA"/>
    <w:rsid w:val="00B61E1E"/>
    <w:rsid w:val="00B6202D"/>
    <w:rsid w:val="00B62CC7"/>
    <w:rsid w:val="00B637B6"/>
    <w:rsid w:val="00B639A3"/>
    <w:rsid w:val="00B63AF1"/>
    <w:rsid w:val="00B640C5"/>
    <w:rsid w:val="00B646C6"/>
    <w:rsid w:val="00B65419"/>
    <w:rsid w:val="00B65465"/>
    <w:rsid w:val="00B65808"/>
    <w:rsid w:val="00B6628F"/>
    <w:rsid w:val="00B664D0"/>
    <w:rsid w:val="00B665CD"/>
    <w:rsid w:val="00B66A19"/>
    <w:rsid w:val="00B66E28"/>
    <w:rsid w:val="00B6782F"/>
    <w:rsid w:val="00B7018F"/>
    <w:rsid w:val="00B70715"/>
    <w:rsid w:val="00B709DE"/>
    <w:rsid w:val="00B70AE0"/>
    <w:rsid w:val="00B7159D"/>
    <w:rsid w:val="00B71C17"/>
    <w:rsid w:val="00B71C95"/>
    <w:rsid w:val="00B71FE6"/>
    <w:rsid w:val="00B7233C"/>
    <w:rsid w:val="00B7364F"/>
    <w:rsid w:val="00B73AE8"/>
    <w:rsid w:val="00B73D99"/>
    <w:rsid w:val="00B7452B"/>
    <w:rsid w:val="00B755ED"/>
    <w:rsid w:val="00B759D1"/>
    <w:rsid w:val="00B75EA2"/>
    <w:rsid w:val="00B776D3"/>
    <w:rsid w:val="00B77CFA"/>
    <w:rsid w:val="00B77E44"/>
    <w:rsid w:val="00B803AA"/>
    <w:rsid w:val="00B806C4"/>
    <w:rsid w:val="00B809ED"/>
    <w:rsid w:val="00B81D54"/>
    <w:rsid w:val="00B821E6"/>
    <w:rsid w:val="00B82A18"/>
    <w:rsid w:val="00B82D54"/>
    <w:rsid w:val="00B83525"/>
    <w:rsid w:val="00B83A3B"/>
    <w:rsid w:val="00B849DF"/>
    <w:rsid w:val="00B84CD1"/>
    <w:rsid w:val="00B85335"/>
    <w:rsid w:val="00B85ABB"/>
    <w:rsid w:val="00B85F95"/>
    <w:rsid w:val="00B86796"/>
    <w:rsid w:val="00B8685D"/>
    <w:rsid w:val="00B877C5"/>
    <w:rsid w:val="00B879A0"/>
    <w:rsid w:val="00B904C5"/>
    <w:rsid w:val="00B9132B"/>
    <w:rsid w:val="00B91D92"/>
    <w:rsid w:val="00B91EEA"/>
    <w:rsid w:val="00B92259"/>
    <w:rsid w:val="00B936AF"/>
    <w:rsid w:val="00B93EE6"/>
    <w:rsid w:val="00B94634"/>
    <w:rsid w:val="00B9484A"/>
    <w:rsid w:val="00B948B7"/>
    <w:rsid w:val="00B94DE5"/>
    <w:rsid w:val="00B94F3C"/>
    <w:rsid w:val="00B9534C"/>
    <w:rsid w:val="00B95757"/>
    <w:rsid w:val="00B95937"/>
    <w:rsid w:val="00B96CCF"/>
    <w:rsid w:val="00B96CE0"/>
    <w:rsid w:val="00BA038D"/>
    <w:rsid w:val="00BA08C7"/>
    <w:rsid w:val="00BA0BBA"/>
    <w:rsid w:val="00BA13BC"/>
    <w:rsid w:val="00BA171E"/>
    <w:rsid w:val="00BA18D3"/>
    <w:rsid w:val="00BA1A83"/>
    <w:rsid w:val="00BA1AF5"/>
    <w:rsid w:val="00BA3091"/>
    <w:rsid w:val="00BA3309"/>
    <w:rsid w:val="00BA331F"/>
    <w:rsid w:val="00BA34FD"/>
    <w:rsid w:val="00BA3AB3"/>
    <w:rsid w:val="00BA4094"/>
    <w:rsid w:val="00BA4CA5"/>
    <w:rsid w:val="00BA51C3"/>
    <w:rsid w:val="00BA5F9E"/>
    <w:rsid w:val="00BA6BFA"/>
    <w:rsid w:val="00BA6CC6"/>
    <w:rsid w:val="00BA7AF0"/>
    <w:rsid w:val="00BB0C55"/>
    <w:rsid w:val="00BB0C7A"/>
    <w:rsid w:val="00BB0C8C"/>
    <w:rsid w:val="00BB11E4"/>
    <w:rsid w:val="00BB1387"/>
    <w:rsid w:val="00BB183E"/>
    <w:rsid w:val="00BB1BB5"/>
    <w:rsid w:val="00BB1C00"/>
    <w:rsid w:val="00BB1DC2"/>
    <w:rsid w:val="00BB2EA0"/>
    <w:rsid w:val="00BB3720"/>
    <w:rsid w:val="00BB3F28"/>
    <w:rsid w:val="00BB4006"/>
    <w:rsid w:val="00BB494A"/>
    <w:rsid w:val="00BB541D"/>
    <w:rsid w:val="00BB555D"/>
    <w:rsid w:val="00BB5DFB"/>
    <w:rsid w:val="00BB5F30"/>
    <w:rsid w:val="00BB7117"/>
    <w:rsid w:val="00BC0412"/>
    <w:rsid w:val="00BC0C43"/>
    <w:rsid w:val="00BC0F73"/>
    <w:rsid w:val="00BC1AA9"/>
    <w:rsid w:val="00BC1B3E"/>
    <w:rsid w:val="00BC1F78"/>
    <w:rsid w:val="00BC22F6"/>
    <w:rsid w:val="00BC2E0B"/>
    <w:rsid w:val="00BC3099"/>
    <w:rsid w:val="00BC37EC"/>
    <w:rsid w:val="00BC38C2"/>
    <w:rsid w:val="00BC3E14"/>
    <w:rsid w:val="00BC4671"/>
    <w:rsid w:val="00BC6635"/>
    <w:rsid w:val="00BC793E"/>
    <w:rsid w:val="00BC7D51"/>
    <w:rsid w:val="00BC7DEE"/>
    <w:rsid w:val="00BD04AD"/>
    <w:rsid w:val="00BD057A"/>
    <w:rsid w:val="00BD06CC"/>
    <w:rsid w:val="00BD1D77"/>
    <w:rsid w:val="00BD2C8F"/>
    <w:rsid w:val="00BD3CC3"/>
    <w:rsid w:val="00BD4C07"/>
    <w:rsid w:val="00BD528A"/>
    <w:rsid w:val="00BD560D"/>
    <w:rsid w:val="00BD58F1"/>
    <w:rsid w:val="00BD5B01"/>
    <w:rsid w:val="00BD5FD1"/>
    <w:rsid w:val="00BD63AD"/>
    <w:rsid w:val="00BD6FAD"/>
    <w:rsid w:val="00BD7DA1"/>
    <w:rsid w:val="00BD7EC8"/>
    <w:rsid w:val="00BE000F"/>
    <w:rsid w:val="00BE0612"/>
    <w:rsid w:val="00BE06C0"/>
    <w:rsid w:val="00BE10B0"/>
    <w:rsid w:val="00BE136F"/>
    <w:rsid w:val="00BE2449"/>
    <w:rsid w:val="00BE268C"/>
    <w:rsid w:val="00BE3CB5"/>
    <w:rsid w:val="00BE52C2"/>
    <w:rsid w:val="00BE54EC"/>
    <w:rsid w:val="00BE559B"/>
    <w:rsid w:val="00BE5727"/>
    <w:rsid w:val="00BE6971"/>
    <w:rsid w:val="00BE6B22"/>
    <w:rsid w:val="00BE7929"/>
    <w:rsid w:val="00BE7BAD"/>
    <w:rsid w:val="00BF079D"/>
    <w:rsid w:val="00BF0D66"/>
    <w:rsid w:val="00BF0DC3"/>
    <w:rsid w:val="00BF0DD8"/>
    <w:rsid w:val="00BF1005"/>
    <w:rsid w:val="00BF1773"/>
    <w:rsid w:val="00BF2916"/>
    <w:rsid w:val="00BF2AF5"/>
    <w:rsid w:val="00BF30FD"/>
    <w:rsid w:val="00BF31D7"/>
    <w:rsid w:val="00BF334D"/>
    <w:rsid w:val="00BF33FE"/>
    <w:rsid w:val="00BF34F0"/>
    <w:rsid w:val="00BF3AD8"/>
    <w:rsid w:val="00BF4BAA"/>
    <w:rsid w:val="00BF5A58"/>
    <w:rsid w:val="00BF5A89"/>
    <w:rsid w:val="00BF5FEA"/>
    <w:rsid w:val="00BF6334"/>
    <w:rsid w:val="00BF644A"/>
    <w:rsid w:val="00BF688A"/>
    <w:rsid w:val="00BF69CA"/>
    <w:rsid w:val="00BF6A85"/>
    <w:rsid w:val="00BF6D47"/>
    <w:rsid w:val="00BF766F"/>
    <w:rsid w:val="00C0052B"/>
    <w:rsid w:val="00C0092F"/>
    <w:rsid w:val="00C00A98"/>
    <w:rsid w:val="00C00BA1"/>
    <w:rsid w:val="00C011C5"/>
    <w:rsid w:val="00C01A16"/>
    <w:rsid w:val="00C022C7"/>
    <w:rsid w:val="00C02E1C"/>
    <w:rsid w:val="00C030D7"/>
    <w:rsid w:val="00C0312E"/>
    <w:rsid w:val="00C03200"/>
    <w:rsid w:val="00C033F2"/>
    <w:rsid w:val="00C033FC"/>
    <w:rsid w:val="00C03670"/>
    <w:rsid w:val="00C03CBC"/>
    <w:rsid w:val="00C04013"/>
    <w:rsid w:val="00C04457"/>
    <w:rsid w:val="00C0459C"/>
    <w:rsid w:val="00C04878"/>
    <w:rsid w:val="00C04C37"/>
    <w:rsid w:val="00C05338"/>
    <w:rsid w:val="00C06613"/>
    <w:rsid w:val="00C06AA5"/>
    <w:rsid w:val="00C06F86"/>
    <w:rsid w:val="00C07AAE"/>
    <w:rsid w:val="00C11296"/>
    <w:rsid w:val="00C11F07"/>
    <w:rsid w:val="00C120F7"/>
    <w:rsid w:val="00C12A65"/>
    <w:rsid w:val="00C14A3E"/>
    <w:rsid w:val="00C14AB0"/>
    <w:rsid w:val="00C14F19"/>
    <w:rsid w:val="00C1714A"/>
    <w:rsid w:val="00C17A2F"/>
    <w:rsid w:val="00C17A81"/>
    <w:rsid w:val="00C17D9A"/>
    <w:rsid w:val="00C20614"/>
    <w:rsid w:val="00C20AD2"/>
    <w:rsid w:val="00C213B7"/>
    <w:rsid w:val="00C21E74"/>
    <w:rsid w:val="00C225AF"/>
    <w:rsid w:val="00C22964"/>
    <w:rsid w:val="00C22F11"/>
    <w:rsid w:val="00C24505"/>
    <w:rsid w:val="00C2512C"/>
    <w:rsid w:val="00C2544F"/>
    <w:rsid w:val="00C25C47"/>
    <w:rsid w:val="00C26870"/>
    <w:rsid w:val="00C27A32"/>
    <w:rsid w:val="00C301CF"/>
    <w:rsid w:val="00C3080F"/>
    <w:rsid w:val="00C30A75"/>
    <w:rsid w:val="00C30E6E"/>
    <w:rsid w:val="00C30F5C"/>
    <w:rsid w:val="00C31C17"/>
    <w:rsid w:val="00C320A4"/>
    <w:rsid w:val="00C32290"/>
    <w:rsid w:val="00C322D5"/>
    <w:rsid w:val="00C3272D"/>
    <w:rsid w:val="00C32A18"/>
    <w:rsid w:val="00C32F1C"/>
    <w:rsid w:val="00C3308F"/>
    <w:rsid w:val="00C3395B"/>
    <w:rsid w:val="00C33A02"/>
    <w:rsid w:val="00C349DC"/>
    <w:rsid w:val="00C34BF6"/>
    <w:rsid w:val="00C35818"/>
    <w:rsid w:val="00C35A04"/>
    <w:rsid w:val="00C36147"/>
    <w:rsid w:val="00C36762"/>
    <w:rsid w:val="00C37BAA"/>
    <w:rsid w:val="00C37D65"/>
    <w:rsid w:val="00C37E81"/>
    <w:rsid w:val="00C400B7"/>
    <w:rsid w:val="00C40647"/>
    <w:rsid w:val="00C408F5"/>
    <w:rsid w:val="00C40B12"/>
    <w:rsid w:val="00C41243"/>
    <w:rsid w:val="00C414B6"/>
    <w:rsid w:val="00C4247B"/>
    <w:rsid w:val="00C42573"/>
    <w:rsid w:val="00C43A1D"/>
    <w:rsid w:val="00C44128"/>
    <w:rsid w:val="00C44566"/>
    <w:rsid w:val="00C44E25"/>
    <w:rsid w:val="00C45AEB"/>
    <w:rsid w:val="00C461BC"/>
    <w:rsid w:val="00C46360"/>
    <w:rsid w:val="00C464C1"/>
    <w:rsid w:val="00C46878"/>
    <w:rsid w:val="00C46E77"/>
    <w:rsid w:val="00C4777F"/>
    <w:rsid w:val="00C47C9C"/>
    <w:rsid w:val="00C47E2C"/>
    <w:rsid w:val="00C47E6D"/>
    <w:rsid w:val="00C47EF1"/>
    <w:rsid w:val="00C47F92"/>
    <w:rsid w:val="00C502BB"/>
    <w:rsid w:val="00C50B0A"/>
    <w:rsid w:val="00C512C6"/>
    <w:rsid w:val="00C51723"/>
    <w:rsid w:val="00C51996"/>
    <w:rsid w:val="00C521D6"/>
    <w:rsid w:val="00C52BAE"/>
    <w:rsid w:val="00C5343B"/>
    <w:rsid w:val="00C53A44"/>
    <w:rsid w:val="00C54135"/>
    <w:rsid w:val="00C5464A"/>
    <w:rsid w:val="00C54DE3"/>
    <w:rsid w:val="00C54EB8"/>
    <w:rsid w:val="00C55369"/>
    <w:rsid w:val="00C55514"/>
    <w:rsid w:val="00C55B2D"/>
    <w:rsid w:val="00C563EB"/>
    <w:rsid w:val="00C56E9F"/>
    <w:rsid w:val="00C575C8"/>
    <w:rsid w:val="00C57631"/>
    <w:rsid w:val="00C57FFC"/>
    <w:rsid w:val="00C608FA"/>
    <w:rsid w:val="00C60978"/>
    <w:rsid w:val="00C614B3"/>
    <w:rsid w:val="00C6192C"/>
    <w:rsid w:val="00C62524"/>
    <w:rsid w:val="00C62AEA"/>
    <w:rsid w:val="00C63521"/>
    <w:rsid w:val="00C63F78"/>
    <w:rsid w:val="00C643F9"/>
    <w:rsid w:val="00C648F7"/>
    <w:rsid w:val="00C64AD2"/>
    <w:rsid w:val="00C64CF1"/>
    <w:rsid w:val="00C6507B"/>
    <w:rsid w:val="00C656AB"/>
    <w:rsid w:val="00C66722"/>
    <w:rsid w:val="00C66A4C"/>
    <w:rsid w:val="00C67E48"/>
    <w:rsid w:val="00C7097D"/>
    <w:rsid w:val="00C7166B"/>
    <w:rsid w:val="00C72296"/>
    <w:rsid w:val="00C727CE"/>
    <w:rsid w:val="00C757B2"/>
    <w:rsid w:val="00C757FA"/>
    <w:rsid w:val="00C76A77"/>
    <w:rsid w:val="00C773DF"/>
    <w:rsid w:val="00C77687"/>
    <w:rsid w:val="00C80392"/>
    <w:rsid w:val="00C80B1A"/>
    <w:rsid w:val="00C817D5"/>
    <w:rsid w:val="00C81F36"/>
    <w:rsid w:val="00C820CC"/>
    <w:rsid w:val="00C82707"/>
    <w:rsid w:val="00C833E5"/>
    <w:rsid w:val="00C840ED"/>
    <w:rsid w:val="00C8426C"/>
    <w:rsid w:val="00C843C5"/>
    <w:rsid w:val="00C845E0"/>
    <w:rsid w:val="00C84A59"/>
    <w:rsid w:val="00C85329"/>
    <w:rsid w:val="00C85937"/>
    <w:rsid w:val="00C859E3"/>
    <w:rsid w:val="00C85CD9"/>
    <w:rsid w:val="00C869BC"/>
    <w:rsid w:val="00C86EF3"/>
    <w:rsid w:val="00C8724C"/>
    <w:rsid w:val="00C87879"/>
    <w:rsid w:val="00C878FF"/>
    <w:rsid w:val="00C87C72"/>
    <w:rsid w:val="00C87EE6"/>
    <w:rsid w:val="00C90CF8"/>
    <w:rsid w:val="00C90E06"/>
    <w:rsid w:val="00C91D8E"/>
    <w:rsid w:val="00C91F5A"/>
    <w:rsid w:val="00C92B37"/>
    <w:rsid w:val="00C92F9D"/>
    <w:rsid w:val="00C947D7"/>
    <w:rsid w:val="00C94ACA"/>
    <w:rsid w:val="00C94B63"/>
    <w:rsid w:val="00C956E4"/>
    <w:rsid w:val="00C95744"/>
    <w:rsid w:val="00C95BBF"/>
    <w:rsid w:val="00C96E92"/>
    <w:rsid w:val="00C97728"/>
    <w:rsid w:val="00C97833"/>
    <w:rsid w:val="00C97881"/>
    <w:rsid w:val="00CA0DC5"/>
    <w:rsid w:val="00CA10FB"/>
    <w:rsid w:val="00CA15DB"/>
    <w:rsid w:val="00CA3689"/>
    <w:rsid w:val="00CA370B"/>
    <w:rsid w:val="00CA46FC"/>
    <w:rsid w:val="00CA4788"/>
    <w:rsid w:val="00CA5411"/>
    <w:rsid w:val="00CA5452"/>
    <w:rsid w:val="00CA5CB0"/>
    <w:rsid w:val="00CA6077"/>
    <w:rsid w:val="00CA6BBD"/>
    <w:rsid w:val="00CA75DA"/>
    <w:rsid w:val="00CA7622"/>
    <w:rsid w:val="00CA78FD"/>
    <w:rsid w:val="00CA7BE6"/>
    <w:rsid w:val="00CA7EC7"/>
    <w:rsid w:val="00CB0691"/>
    <w:rsid w:val="00CB0D54"/>
    <w:rsid w:val="00CB16C1"/>
    <w:rsid w:val="00CB18C3"/>
    <w:rsid w:val="00CB1F01"/>
    <w:rsid w:val="00CB278A"/>
    <w:rsid w:val="00CB28AB"/>
    <w:rsid w:val="00CB299B"/>
    <w:rsid w:val="00CB2B0C"/>
    <w:rsid w:val="00CB2D03"/>
    <w:rsid w:val="00CB2F02"/>
    <w:rsid w:val="00CB30A8"/>
    <w:rsid w:val="00CB3CF2"/>
    <w:rsid w:val="00CB4E77"/>
    <w:rsid w:val="00CB5480"/>
    <w:rsid w:val="00CB565B"/>
    <w:rsid w:val="00CB59E7"/>
    <w:rsid w:val="00CB5B95"/>
    <w:rsid w:val="00CB61CA"/>
    <w:rsid w:val="00CB6A1A"/>
    <w:rsid w:val="00CB6C5F"/>
    <w:rsid w:val="00CB6D1C"/>
    <w:rsid w:val="00CB6E98"/>
    <w:rsid w:val="00CB71B6"/>
    <w:rsid w:val="00CB732A"/>
    <w:rsid w:val="00CB7AC4"/>
    <w:rsid w:val="00CB7F9F"/>
    <w:rsid w:val="00CC1A09"/>
    <w:rsid w:val="00CC1AFF"/>
    <w:rsid w:val="00CC1D82"/>
    <w:rsid w:val="00CC253C"/>
    <w:rsid w:val="00CC2FC7"/>
    <w:rsid w:val="00CC41F6"/>
    <w:rsid w:val="00CC4B89"/>
    <w:rsid w:val="00CC4DDD"/>
    <w:rsid w:val="00CC4F50"/>
    <w:rsid w:val="00CC5A94"/>
    <w:rsid w:val="00CC6475"/>
    <w:rsid w:val="00CC6BAC"/>
    <w:rsid w:val="00CC6FCF"/>
    <w:rsid w:val="00CC7082"/>
    <w:rsid w:val="00CD0AED"/>
    <w:rsid w:val="00CD0C34"/>
    <w:rsid w:val="00CD1116"/>
    <w:rsid w:val="00CD1128"/>
    <w:rsid w:val="00CD153D"/>
    <w:rsid w:val="00CD18DC"/>
    <w:rsid w:val="00CD20F2"/>
    <w:rsid w:val="00CD2860"/>
    <w:rsid w:val="00CD30EA"/>
    <w:rsid w:val="00CD3394"/>
    <w:rsid w:val="00CD3A27"/>
    <w:rsid w:val="00CD3A83"/>
    <w:rsid w:val="00CD4181"/>
    <w:rsid w:val="00CD4C0E"/>
    <w:rsid w:val="00CD57BB"/>
    <w:rsid w:val="00CD5CA4"/>
    <w:rsid w:val="00CD5FD5"/>
    <w:rsid w:val="00CD6238"/>
    <w:rsid w:val="00CD68BB"/>
    <w:rsid w:val="00CD6E5E"/>
    <w:rsid w:val="00CE0184"/>
    <w:rsid w:val="00CE0201"/>
    <w:rsid w:val="00CE0956"/>
    <w:rsid w:val="00CE0BA0"/>
    <w:rsid w:val="00CE1030"/>
    <w:rsid w:val="00CE128D"/>
    <w:rsid w:val="00CE175D"/>
    <w:rsid w:val="00CE1ED4"/>
    <w:rsid w:val="00CE2FE6"/>
    <w:rsid w:val="00CE320F"/>
    <w:rsid w:val="00CE3338"/>
    <w:rsid w:val="00CE44D5"/>
    <w:rsid w:val="00CE4FC8"/>
    <w:rsid w:val="00CE516B"/>
    <w:rsid w:val="00CE5C8A"/>
    <w:rsid w:val="00CE5DDA"/>
    <w:rsid w:val="00CE660F"/>
    <w:rsid w:val="00CE74ED"/>
    <w:rsid w:val="00CE7E4F"/>
    <w:rsid w:val="00CE7EBF"/>
    <w:rsid w:val="00CF07D2"/>
    <w:rsid w:val="00CF0C20"/>
    <w:rsid w:val="00CF107B"/>
    <w:rsid w:val="00CF17CA"/>
    <w:rsid w:val="00CF1938"/>
    <w:rsid w:val="00CF1C2A"/>
    <w:rsid w:val="00CF2C0A"/>
    <w:rsid w:val="00CF2E66"/>
    <w:rsid w:val="00CF3561"/>
    <w:rsid w:val="00CF45E3"/>
    <w:rsid w:val="00CF72B8"/>
    <w:rsid w:val="00CF7A2A"/>
    <w:rsid w:val="00D00C9D"/>
    <w:rsid w:val="00D00F68"/>
    <w:rsid w:val="00D019D4"/>
    <w:rsid w:val="00D01A89"/>
    <w:rsid w:val="00D01ADC"/>
    <w:rsid w:val="00D021EA"/>
    <w:rsid w:val="00D0270C"/>
    <w:rsid w:val="00D0340C"/>
    <w:rsid w:val="00D034AB"/>
    <w:rsid w:val="00D03ACF"/>
    <w:rsid w:val="00D03C5F"/>
    <w:rsid w:val="00D03EF3"/>
    <w:rsid w:val="00D044E0"/>
    <w:rsid w:val="00D04523"/>
    <w:rsid w:val="00D04FE7"/>
    <w:rsid w:val="00D0504C"/>
    <w:rsid w:val="00D050FE"/>
    <w:rsid w:val="00D059F1"/>
    <w:rsid w:val="00D05B57"/>
    <w:rsid w:val="00D06587"/>
    <w:rsid w:val="00D06A8F"/>
    <w:rsid w:val="00D06AC6"/>
    <w:rsid w:val="00D0784D"/>
    <w:rsid w:val="00D07A57"/>
    <w:rsid w:val="00D07C13"/>
    <w:rsid w:val="00D100D1"/>
    <w:rsid w:val="00D10DA0"/>
    <w:rsid w:val="00D11B90"/>
    <w:rsid w:val="00D11FAB"/>
    <w:rsid w:val="00D12042"/>
    <w:rsid w:val="00D12369"/>
    <w:rsid w:val="00D12571"/>
    <w:rsid w:val="00D13F4C"/>
    <w:rsid w:val="00D14679"/>
    <w:rsid w:val="00D1468E"/>
    <w:rsid w:val="00D14753"/>
    <w:rsid w:val="00D14D89"/>
    <w:rsid w:val="00D15C58"/>
    <w:rsid w:val="00D163F8"/>
    <w:rsid w:val="00D16805"/>
    <w:rsid w:val="00D16D9D"/>
    <w:rsid w:val="00D16DCD"/>
    <w:rsid w:val="00D20118"/>
    <w:rsid w:val="00D205D5"/>
    <w:rsid w:val="00D21451"/>
    <w:rsid w:val="00D21599"/>
    <w:rsid w:val="00D21C59"/>
    <w:rsid w:val="00D21C62"/>
    <w:rsid w:val="00D2227D"/>
    <w:rsid w:val="00D22C8D"/>
    <w:rsid w:val="00D233C1"/>
    <w:rsid w:val="00D2358B"/>
    <w:rsid w:val="00D24022"/>
    <w:rsid w:val="00D245FE"/>
    <w:rsid w:val="00D24DD2"/>
    <w:rsid w:val="00D24E3B"/>
    <w:rsid w:val="00D25174"/>
    <w:rsid w:val="00D257CF"/>
    <w:rsid w:val="00D262B4"/>
    <w:rsid w:val="00D269F6"/>
    <w:rsid w:val="00D26CD3"/>
    <w:rsid w:val="00D274B7"/>
    <w:rsid w:val="00D27B94"/>
    <w:rsid w:val="00D30D55"/>
    <w:rsid w:val="00D326A5"/>
    <w:rsid w:val="00D32DD1"/>
    <w:rsid w:val="00D32F91"/>
    <w:rsid w:val="00D33161"/>
    <w:rsid w:val="00D33397"/>
    <w:rsid w:val="00D333BD"/>
    <w:rsid w:val="00D33412"/>
    <w:rsid w:val="00D3610E"/>
    <w:rsid w:val="00D36A72"/>
    <w:rsid w:val="00D36BCB"/>
    <w:rsid w:val="00D36CE0"/>
    <w:rsid w:val="00D40042"/>
    <w:rsid w:val="00D4025E"/>
    <w:rsid w:val="00D404B5"/>
    <w:rsid w:val="00D40751"/>
    <w:rsid w:val="00D40BDA"/>
    <w:rsid w:val="00D4127D"/>
    <w:rsid w:val="00D412B5"/>
    <w:rsid w:val="00D42274"/>
    <w:rsid w:val="00D42C36"/>
    <w:rsid w:val="00D42CB5"/>
    <w:rsid w:val="00D4331A"/>
    <w:rsid w:val="00D434B3"/>
    <w:rsid w:val="00D4377D"/>
    <w:rsid w:val="00D43B1B"/>
    <w:rsid w:val="00D43C52"/>
    <w:rsid w:val="00D4405F"/>
    <w:rsid w:val="00D4449C"/>
    <w:rsid w:val="00D459C1"/>
    <w:rsid w:val="00D462C2"/>
    <w:rsid w:val="00D4694D"/>
    <w:rsid w:val="00D46FFF"/>
    <w:rsid w:val="00D470E8"/>
    <w:rsid w:val="00D51515"/>
    <w:rsid w:val="00D516C9"/>
    <w:rsid w:val="00D51A97"/>
    <w:rsid w:val="00D51CA5"/>
    <w:rsid w:val="00D520DF"/>
    <w:rsid w:val="00D5222A"/>
    <w:rsid w:val="00D53714"/>
    <w:rsid w:val="00D545E1"/>
    <w:rsid w:val="00D54D8B"/>
    <w:rsid w:val="00D5555A"/>
    <w:rsid w:val="00D557BE"/>
    <w:rsid w:val="00D55957"/>
    <w:rsid w:val="00D572D7"/>
    <w:rsid w:val="00D57AB3"/>
    <w:rsid w:val="00D57D68"/>
    <w:rsid w:val="00D608F2"/>
    <w:rsid w:val="00D60D45"/>
    <w:rsid w:val="00D61174"/>
    <w:rsid w:val="00D61487"/>
    <w:rsid w:val="00D61747"/>
    <w:rsid w:val="00D61BDF"/>
    <w:rsid w:val="00D61E57"/>
    <w:rsid w:val="00D62533"/>
    <w:rsid w:val="00D626F7"/>
    <w:rsid w:val="00D62A12"/>
    <w:rsid w:val="00D630AA"/>
    <w:rsid w:val="00D6343E"/>
    <w:rsid w:val="00D63BDC"/>
    <w:rsid w:val="00D641B6"/>
    <w:rsid w:val="00D64310"/>
    <w:rsid w:val="00D64784"/>
    <w:rsid w:val="00D64860"/>
    <w:rsid w:val="00D64DDC"/>
    <w:rsid w:val="00D659A7"/>
    <w:rsid w:val="00D6651F"/>
    <w:rsid w:val="00D668C7"/>
    <w:rsid w:val="00D6750B"/>
    <w:rsid w:val="00D67744"/>
    <w:rsid w:val="00D7035A"/>
    <w:rsid w:val="00D70F42"/>
    <w:rsid w:val="00D70F47"/>
    <w:rsid w:val="00D71160"/>
    <w:rsid w:val="00D718AE"/>
    <w:rsid w:val="00D71AF8"/>
    <w:rsid w:val="00D72899"/>
    <w:rsid w:val="00D733E2"/>
    <w:rsid w:val="00D73699"/>
    <w:rsid w:val="00D74972"/>
    <w:rsid w:val="00D7657F"/>
    <w:rsid w:val="00D768F4"/>
    <w:rsid w:val="00D77738"/>
    <w:rsid w:val="00D80F1E"/>
    <w:rsid w:val="00D8105F"/>
    <w:rsid w:val="00D815D8"/>
    <w:rsid w:val="00D8206D"/>
    <w:rsid w:val="00D8255F"/>
    <w:rsid w:val="00D82617"/>
    <w:rsid w:val="00D826AC"/>
    <w:rsid w:val="00D83402"/>
    <w:rsid w:val="00D8341C"/>
    <w:rsid w:val="00D8498B"/>
    <w:rsid w:val="00D84A57"/>
    <w:rsid w:val="00D853FA"/>
    <w:rsid w:val="00D86340"/>
    <w:rsid w:val="00D8646F"/>
    <w:rsid w:val="00D86ADF"/>
    <w:rsid w:val="00D86B5A"/>
    <w:rsid w:val="00D87626"/>
    <w:rsid w:val="00D87771"/>
    <w:rsid w:val="00D9025B"/>
    <w:rsid w:val="00D91C4B"/>
    <w:rsid w:val="00D91E29"/>
    <w:rsid w:val="00D92EC1"/>
    <w:rsid w:val="00D92F72"/>
    <w:rsid w:val="00D932EA"/>
    <w:rsid w:val="00D937BF"/>
    <w:rsid w:val="00D93BCA"/>
    <w:rsid w:val="00D94487"/>
    <w:rsid w:val="00D946C7"/>
    <w:rsid w:val="00D94BA6"/>
    <w:rsid w:val="00D94CF0"/>
    <w:rsid w:val="00D95049"/>
    <w:rsid w:val="00D95121"/>
    <w:rsid w:val="00D9537B"/>
    <w:rsid w:val="00D95B60"/>
    <w:rsid w:val="00D96E3C"/>
    <w:rsid w:val="00D972E0"/>
    <w:rsid w:val="00D97924"/>
    <w:rsid w:val="00D97DEC"/>
    <w:rsid w:val="00DA159A"/>
    <w:rsid w:val="00DA1717"/>
    <w:rsid w:val="00DA1D63"/>
    <w:rsid w:val="00DA3762"/>
    <w:rsid w:val="00DA40E5"/>
    <w:rsid w:val="00DA462A"/>
    <w:rsid w:val="00DA4736"/>
    <w:rsid w:val="00DA4854"/>
    <w:rsid w:val="00DA4F69"/>
    <w:rsid w:val="00DA51A3"/>
    <w:rsid w:val="00DA539E"/>
    <w:rsid w:val="00DA53C5"/>
    <w:rsid w:val="00DA59B4"/>
    <w:rsid w:val="00DA59D8"/>
    <w:rsid w:val="00DA5BB8"/>
    <w:rsid w:val="00DA5D7F"/>
    <w:rsid w:val="00DA6A8C"/>
    <w:rsid w:val="00DA6A93"/>
    <w:rsid w:val="00DA6DCD"/>
    <w:rsid w:val="00DA742D"/>
    <w:rsid w:val="00DB0578"/>
    <w:rsid w:val="00DB0786"/>
    <w:rsid w:val="00DB0F6A"/>
    <w:rsid w:val="00DB1316"/>
    <w:rsid w:val="00DB1744"/>
    <w:rsid w:val="00DB26ED"/>
    <w:rsid w:val="00DB2AB9"/>
    <w:rsid w:val="00DB2D53"/>
    <w:rsid w:val="00DB3141"/>
    <w:rsid w:val="00DB32F4"/>
    <w:rsid w:val="00DB3BB8"/>
    <w:rsid w:val="00DB3F08"/>
    <w:rsid w:val="00DB4A8A"/>
    <w:rsid w:val="00DB5F48"/>
    <w:rsid w:val="00DB5FCC"/>
    <w:rsid w:val="00DB661A"/>
    <w:rsid w:val="00DB70B3"/>
    <w:rsid w:val="00DB751B"/>
    <w:rsid w:val="00DB78C2"/>
    <w:rsid w:val="00DC06E7"/>
    <w:rsid w:val="00DC1543"/>
    <w:rsid w:val="00DC2BB8"/>
    <w:rsid w:val="00DC2C19"/>
    <w:rsid w:val="00DC303A"/>
    <w:rsid w:val="00DC40CE"/>
    <w:rsid w:val="00DC53FE"/>
    <w:rsid w:val="00DC5908"/>
    <w:rsid w:val="00DC6BBF"/>
    <w:rsid w:val="00DC6BC6"/>
    <w:rsid w:val="00DC7D15"/>
    <w:rsid w:val="00DD0A06"/>
    <w:rsid w:val="00DD0A88"/>
    <w:rsid w:val="00DD0C58"/>
    <w:rsid w:val="00DD1AFB"/>
    <w:rsid w:val="00DD2572"/>
    <w:rsid w:val="00DD322B"/>
    <w:rsid w:val="00DD3878"/>
    <w:rsid w:val="00DD4126"/>
    <w:rsid w:val="00DD4708"/>
    <w:rsid w:val="00DD47AD"/>
    <w:rsid w:val="00DD7EC7"/>
    <w:rsid w:val="00DE045C"/>
    <w:rsid w:val="00DE12CE"/>
    <w:rsid w:val="00DE1770"/>
    <w:rsid w:val="00DE1791"/>
    <w:rsid w:val="00DE1C53"/>
    <w:rsid w:val="00DE22F5"/>
    <w:rsid w:val="00DE30E5"/>
    <w:rsid w:val="00DE3417"/>
    <w:rsid w:val="00DE392E"/>
    <w:rsid w:val="00DE3D97"/>
    <w:rsid w:val="00DE41BB"/>
    <w:rsid w:val="00DE58A6"/>
    <w:rsid w:val="00DE58C6"/>
    <w:rsid w:val="00DE5C45"/>
    <w:rsid w:val="00DE6B07"/>
    <w:rsid w:val="00DE7597"/>
    <w:rsid w:val="00DE7F8C"/>
    <w:rsid w:val="00DE7FB7"/>
    <w:rsid w:val="00DF005D"/>
    <w:rsid w:val="00DF02DA"/>
    <w:rsid w:val="00DF0B2F"/>
    <w:rsid w:val="00DF0F02"/>
    <w:rsid w:val="00DF1456"/>
    <w:rsid w:val="00DF1A12"/>
    <w:rsid w:val="00DF203F"/>
    <w:rsid w:val="00DF231C"/>
    <w:rsid w:val="00DF2DFD"/>
    <w:rsid w:val="00DF30A9"/>
    <w:rsid w:val="00DF3DC5"/>
    <w:rsid w:val="00DF4034"/>
    <w:rsid w:val="00DF4BFF"/>
    <w:rsid w:val="00DF4C43"/>
    <w:rsid w:val="00DF4E66"/>
    <w:rsid w:val="00DF63E8"/>
    <w:rsid w:val="00DF74F6"/>
    <w:rsid w:val="00DF76BA"/>
    <w:rsid w:val="00DF79D1"/>
    <w:rsid w:val="00DF7A1B"/>
    <w:rsid w:val="00DF7BAD"/>
    <w:rsid w:val="00E0024D"/>
    <w:rsid w:val="00E003E0"/>
    <w:rsid w:val="00E00CD3"/>
    <w:rsid w:val="00E018A1"/>
    <w:rsid w:val="00E01B98"/>
    <w:rsid w:val="00E02615"/>
    <w:rsid w:val="00E02A35"/>
    <w:rsid w:val="00E03A71"/>
    <w:rsid w:val="00E049E3"/>
    <w:rsid w:val="00E04F69"/>
    <w:rsid w:val="00E071A4"/>
    <w:rsid w:val="00E10950"/>
    <w:rsid w:val="00E10D2D"/>
    <w:rsid w:val="00E11D0B"/>
    <w:rsid w:val="00E11E67"/>
    <w:rsid w:val="00E1204E"/>
    <w:rsid w:val="00E1229F"/>
    <w:rsid w:val="00E1252A"/>
    <w:rsid w:val="00E125D2"/>
    <w:rsid w:val="00E14235"/>
    <w:rsid w:val="00E1469E"/>
    <w:rsid w:val="00E14954"/>
    <w:rsid w:val="00E14AAD"/>
    <w:rsid w:val="00E14D1D"/>
    <w:rsid w:val="00E154E1"/>
    <w:rsid w:val="00E161EF"/>
    <w:rsid w:val="00E17035"/>
    <w:rsid w:val="00E176EC"/>
    <w:rsid w:val="00E17AE0"/>
    <w:rsid w:val="00E21601"/>
    <w:rsid w:val="00E21F32"/>
    <w:rsid w:val="00E2324E"/>
    <w:rsid w:val="00E234F7"/>
    <w:rsid w:val="00E23548"/>
    <w:rsid w:val="00E23602"/>
    <w:rsid w:val="00E23CCB"/>
    <w:rsid w:val="00E23F90"/>
    <w:rsid w:val="00E2406F"/>
    <w:rsid w:val="00E25794"/>
    <w:rsid w:val="00E31255"/>
    <w:rsid w:val="00E3291F"/>
    <w:rsid w:val="00E330E8"/>
    <w:rsid w:val="00E3373E"/>
    <w:rsid w:val="00E3467A"/>
    <w:rsid w:val="00E34A0C"/>
    <w:rsid w:val="00E34E1B"/>
    <w:rsid w:val="00E34E9A"/>
    <w:rsid w:val="00E34FB3"/>
    <w:rsid w:val="00E351A2"/>
    <w:rsid w:val="00E355FB"/>
    <w:rsid w:val="00E35AA8"/>
    <w:rsid w:val="00E35DED"/>
    <w:rsid w:val="00E36EC9"/>
    <w:rsid w:val="00E37715"/>
    <w:rsid w:val="00E37BB2"/>
    <w:rsid w:val="00E37FCB"/>
    <w:rsid w:val="00E405F6"/>
    <w:rsid w:val="00E40F86"/>
    <w:rsid w:val="00E40F9D"/>
    <w:rsid w:val="00E410BF"/>
    <w:rsid w:val="00E42039"/>
    <w:rsid w:val="00E430CC"/>
    <w:rsid w:val="00E4376B"/>
    <w:rsid w:val="00E43AC7"/>
    <w:rsid w:val="00E44B6E"/>
    <w:rsid w:val="00E45142"/>
    <w:rsid w:val="00E46027"/>
    <w:rsid w:val="00E461AE"/>
    <w:rsid w:val="00E4687C"/>
    <w:rsid w:val="00E46BA2"/>
    <w:rsid w:val="00E46CD0"/>
    <w:rsid w:val="00E478B8"/>
    <w:rsid w:val="00E479A6"/>
    <w:rsid w:val="00E50B41"/>
    <w:rsid w:val="00E520BA"/>
    <w:rsid w:val="00E523A2"/>
    <w:rsid w:val="00E52743"/>
    <w:rsid w:val="00E52C68"/>
    <w:rsid w:val="00E532C4"/>
    <w:rsid w:val="00E5347E"/>
    <w:rsid w:val="00E539EE"/>
    <w:rsid w:val="00E542BD"/>
    <w:rsid w:val="00E55521"/>
    <w:rsid w:val="00E5616D"/>
    <w:rsid w:val="00E601C5"/>
    <w:rsid w:val="00E60350"/>
    <w:rsid w:val="00E61AEB"/>
    <w:rsid w:val="00E627B9"/>
    <w:rsid w:val="00E6296C"/>
    <w:rsid w:val="00E62F6B"/>
    <w:rsid w:val="00E638B7"/>
    <w:rsid w:val="00E64858"/>
    <w:rsid w:val="00E6492C"/>
    <w:rsid w:val="00E64E38"/>
    <w:rsid w:val="00E656CA"/>
    <w:rsid w:val="00E65D60"/>
    <w:rsid w:val="00E65DAB"/>
    <w:rsid w:val="00E6607B"/>
    <w:rsid w:val="00E66629"/>
    <w:rsid w:val="00E66902"/>
    <w:rsid w:val="00E66C35"/>
    <w:rsid w:val="00E66D56"/>
    <w:rsid w:val="00E6740F"/>
    <w:rsid w:val="00E704BE"/>
    <w:rsid w:val="00E71120"/>
    <w:rsid w:val="00E713EB"/>
    <w:rsid w:val="00E7155F"/>
    <w:rsid w:val="00E71C2B"/>
    <w:rsid w:val="00E726D2"/>
    <w:rsid w:val="00E72AC6"/>
    <w:rsid w:val="00E72BFC"/>
    <w:rsid w:val="00E73180"/>
    <w:rsid w:val="00E739A7"/>
    <w:rsid w:val="00E73A7D"/>
    <w:rsid w:val="00E73C12"/>
    <w:rsid w:val="00E73FDB"/>
    <w:rsid w:val="00E74142"/>
    <w:rsid w:val="00E744E8"/>
    <w:rsid w:val="00E74E6C"/>
    <w:rsid w:val="00E80029"/>
    <w:rsid w:val="00E80CCE"/>
    <w:rsid w:val="00E81423"/>
    <w:rsid w:val="00E81AE0"/>
    <w:rsid w:val="00E81BFD"/>
    <w:rsid w:val="00E82BFE"/>
    <w:rsid w:val="00E82DA9"/>
    <w:rsid w:val="00E83634"/>
    <w:rsid w:val="00E8439D"/>
    <w:rsid w:val="00E858FD"/>
    <w:rsid w:val="00E86240"/>
    <w:rsid w:val="00E86BC4"/>
    <w:rsid w:val="00E87675"/>
    <w:rsid w:val="00E90904"/>
    <w:rsid w:val="00E90A02"/>
    <w:rsid w:val="00E90DBD"/>
    <w:rsid w:val="00E927AA"/>
    <w:rsid w:val="00E92A5C"/>
    <w:rsid w:val="00E9306F"/>
    <w:rsid w:val="00E93BBF"/>
    <w:rsid w:val="00E942BC"/>
    <w:rsid w:val="00E961A6"/>
    <w:rsid w:val="00E96DD8"/>
    <w:rsid w:val="00E97EDA"/>
    <w:rsid w:val="00EA0333"/>
    <w:rsid w:val="00EA0900"/>
    <w:rsid w:val="00EA0AA0"/>
    <w:rsid w:val="00EA0D07"/>
    <w:rsid w:val="00EA186E"/>
    <w:rsid w:val="00EA21AC"/>
    <w:rsid w:val="00EA32C2"/>
    <w:rsid w:val="00EA399E"/>
    <w:rsid w:val="00EA3A7C"/>
    <w:rsid w:val="00EA3D5B"/>
    <w:rsid w:val="00EA4971"/>
    <w:rsid w:val="00EA5010"/>
    <w:rsid w:val="00EA61E6"/>
    <w:rsid w:val="00EA7412"/>
    <w:rsid w:val="00EA7B42"/>
    <w:rsid w:val="00EB06F5"/>
    <w:rsid w:val="00EB080A"/>
    <w:rsid w:val="00EB0D76"/>
    <w:rsid w:val="00EB16E8"/>
    <w:rsid w:val="00EB18DB"/>
    <w:rsid w:val="00EB201F"/>
    <w:rsid w:val="00EB2073"/>
    <w:rsid w:val="00EB2877"/>
    <w:rsid w:val="00EB2A0F"/>
    <w:rsid w:val="00EB2C80"/>
    <w:rsid w:val="00EB3496"/>
    <w:rsid w:val="00EB3573"/>
    <w:rsid w:val="00EB388E"/>
    <w:rsid w:val="00EB39DE"/>
    <w:rsid w:val="00EB39F4"/>
    <w:rsid w:val="00EB424B"/>
    <w:rsid w:val="00EB47E1"/>
    <w:rsid w:val="00EB4E2A"/>
    <w:rsid w:val="00EB504E"/>
    <w:rsid w:val="00EB52BF"/>
    <w:rsid w:val="00EB5A17"/>
    <w:rsid w:val="00EB5E04"/>
    <w:rsid w:val="00EB62C0"/>
    <w:rsid w:val="00EB6CE6"/>
    <w:rsid w:val="00EC01E4"/>
    <w:rsid w:val="00EC01FA"/>
    <w:rsid w:val="00EC06D2"/>
    <w:rsid w:val="00EC0A2F"/>
    <w:rsid w:val="00EC0FF7"/>
    <w:rsid w:val="00EC107D"/>
    <w:rsid w:val="00EC1E48"/>
    <w:rsid w:val="00EC226C"/>
    <w:rsid w:val="00EC44E5"/>
    <w:rsid w:val="00EC493A"/>
    <w:rsid w:val="00EC684E"/>
    <w:rsid w:val="00EC69EC"/>
    <w:rsid w:val="00EC6DC7"/>
    <w:rsid w:val="00EC70B5"/>
    <w:rsid w:val="00EC753F"/>
    <w:rsid w:val="00EC788D"/>
    <w:rsid w:val="00ED125B"/>
    <w:rsid w:val="00ED1D16"/>
    <w:rsid w:val="00ED2654"/>
    <w:rsid w:val="00ED3478"/>
    <w:rsid w:val="00ED3A9D"/>
    <w:rsid w:val="00ED50F9"/>
    <w:rsid w:val="00ED530B"/>
    <w:rsid w:val="00ED62EF"/>
    <w:rsid w:val="00ED637F"/>
    <w:rsid w:val="00ED6DD7"/>
    <w:rsid w:val="00ED6EBD"/>
    <w:rsid w:val="00ED71EA"/>
    <w:rsid w:val="00ED7523"/>
    <w:rsid w:val="00ED7D7C"/>
    <w:rsid w:val="00EE02EC"/>
    <w:rsid w:val="00EE14A6"/>
    <w:rsid w:val="00EE1DF2"/>
    <w:rsid w:val="00EE26E1"/>
    <w:rsid w:val="00EE3957"/>
    <w:rsid w:val="00EE3BB9"/>
    <w:rsid w:val="00EE707D"/>
    <w:rsid w:val="00EE72D5"/>
    <w:rsid w:val="00EE72E7"/>
    <w:rsid w:val="00EE7706"/>
    <w:rsid w:val="00EE77A3"/>
    <w:rsid w:val="00EE7994"/>
    <w:rsid w:val="00EE7B57"/>
    <w:rsid w:val="00EF01CF"/>
    <w:rsid w:val="00EF05AD"/>
    <w:rsid w:val="00EF0699"/>
    <w:rsid w:val="00EF0E78"/>
    <w:rsid w:val="00EF0FB9"/>
    <w:rsid w:val="00EF1002"/>
    <w:rsid w:val="00EF12E1"/>
    <w:rsid w:val="00EF20D1"/>
    <w:rsid w:val="00EF2D86"/>
    <w:rsid w:val="00EF34C7"/>
    <w:rsid w:val="00EF3D18"/>
    <w:rsid w:val="00EF3F2D"/>
    <w:rsid w:val="00EF5519"/>
    <w:rsid w:val="00EF55CD"/>
    <w:rsid w:val="00EF66AA"/>
    <w:rsid w:val="00EF6A21"/>
    <w:rsid w:val="00EF6E7D"/>
    <w:rsid w:val="00EF6FC6"/>
    <w:rsid w:val="00EF72E2"/>
    <w:rsid w:val="00EF7A6B"/>
    <w:rsid w:val="00EF7ADB"/>
    <w:rsid w:val="00EF7E5A"/>
    <w:rsid w:val="00F01E5C"/>
    <w:rsid w:val="00F0338D"/>
    <w:rsid w:val="00F03ABC"/>
    <w:rsid w:val="00F03AF3"/>
    <w:rsid w:val="00F03EEF"/>
    <w:rsid w:val="00F04286"/>
    <w:rsid w:val="00F0481E"/>
    <w:rsid w:val="00F051B4"/>
    <w:rsid w:val="00F051D4"/>
    <w:rsid w:val="00F05320"/>
    <w:rsid w:val="00F05D23"/>
    <w:rsid w:val="00F073CE"/>
    <w:rsid w:val="00F0742D"/>
    <w:rsid w:val="00F0768D"/>
    <w:rsid w:val="00F103AC"/>
    <w:rsid w:val="00F107B5"/>
    <w:rsid w:val="00F10B92"/>
    <w:rsid w:val="00F10C71"/>
    <w:rsid w:val="00F110A6"/>
    <w:rsid w:val="00F113A3"/>
    <w:rsid w:val="00F11B54"/>
    <w:rsid w:val="00F11B6D"/>
    <w:rsid w:val="00F13704"/>
    <w:rsid w:val="00F1381A"/>
    <w:rsid w:val="00F13CEB"/>
    <w:rsid w:val="00F13CF1"/>
    <w:rsid w:val="00F144D2"/>
    <w:rsid w:val="00F149F5"/>
    <w:rsid w:val="00F14D6C"/>
    <w:rsid w:val="00F16239"/>
    <w:rsid w:val="00F16D18"/>
    <w:rsid w:val="00F2247E"/>
    <w:rsid w:val="00F2256C"/>
    <w:rsid w:val="00F2279C"/>
    <w:rsid w:val="00F22DB3"/>
    <w:rsid w:val="00F22E6A"/>
    <w:rsid w:val="00F235E3"/>
    <w:rsid w:val="00F236BF"/>
    <w:rsid w:val="00F2392C"/>
    <w:rsid w:val="00F24403"/>
    <w:rsid w:val="00F24453"/>
    <w:rsid w:val="00F24D78"/>
    <w:rsid w:val="00F250DC"/>
    <w:rsid w:val="00F25474"/>
    <w:rsid w:val="00F25F9C"/>
    <w:rsid w:val="00F26485"/>
    <w:rsid w:val="00F2661E"/>
    <w:rsid w:val="00F26980"/>
    <w:rsid w:val="00F27A88"/>
    <w:rsid w:val="00F30098"/>
    <w:rsid w:val="00F3090B"/>
    <w:rsid w:val="00F30A12"/>
    <w:rsid w:val="00F31BE5"/>
    <w:rsid w:val="00F31E5B"/>
    <w:rsid w:val="00F34E98"/>
    <w:rsid w:val="00F359C6"/>
    <w:rsid w:val="00F36638"/>
    <w:rsid w:val="00F3663F"/>
    <w:rsid w:val="00F3669F"/>
    <w:rsid w:val="00F36B91"/>
    <w:rsid w:val="00F36EC4"/>
    <w:rsid w:val="00F3746C"/>
    <w:rsid w:val="00F37F07"/>
    <w:rsid w:val="00F4029D"/>
    <w:rsid w:val="00F40572"/>
    <w:rsid w:val="00F409CE"/>
    <w:rsid w:val="00F41132"/>
    <w:rsid w:val="00F416B8"/>
    <w:rsid w:val="00F41F75"/>
    <w:rsid w:val="00F422CC"/>
    <w:rsid w:val="00F42596"/>
    <w:rsid w:val="00F4384C"/>
    <w:rsid w:val="00F43A7C"/>
    <w:rsid w:val="00F43FBA"/>
    <w:rsid w:val="00F443B7"/>
    <w:rsid w:val="00F45281"/>
    <w:rsid w:val="00F452BB"/>
    <w:rsid w:val="00F45552"/>
    <w:rsid w:val="00F45E36"/>
    <w:rsid w:val="00F45EAC"/>
    <w:rsid w:val="00F465FF"/>
    <w:rsid w:val="00F46789"/>
    <w:rsid w:val="00F46AE4"/>
    <w:rsid w:val="00F471BF"/>
    <w:rsid w:val="00F474F5"/>
    <w:rsid w:val="00F47AD7"/>
    <w:rsid w:val="00F47E56"/>
    <w:rsid w:val="00F501A7"/>
    <w:rsid w:val="00F5075B"/>
    <w:rsid w:val="00F50B72"/>
    <w:rsid w:val="00F51CA9"/>
    <w:rsid w:val="00F52079"/>
    <w:rsid w:val="00F52C58"/>
    <w:rsid w:val="00F52DAF"/>
    <w:rsid w:val="00F539D9"/>
    <w:rsid w:val="00F5496B"/>
    <w:rsid w:val="00F551AF"/>
    <w:rsid w:val="00F55847"/>
    <w:rsid w:val="00F55B65"/>
    <w:rsid w:val="00F55FA9"/>
    <w:rsid w:val="00F560F2"/>
    <w:rsid w:val="00F571AE"/>
    <w:rsid w:val="00F5727F"/>
    <w:rsid w:val="00F57371"/>
    <w:rsid w:val="00F57980"/>
    <w:rsid w:val="00F579B2"/>
    <w:rsid w:val="00F57C91"/>
    <w:rsid w:val="00F605FD"/>
    <w:rsid w:val="00F6080D"/>
    <w:rsid w:val="00F609BE"/>
    <w:rsid w:val="00F613E1"/>
    <w:rsid w:val="00F61433"/>
    <w:rsid w:val="00F61BF7"/>
    <w:rsid w:val="00F6222B"/>
    <w:rsid w:val="00F624F8"/>
    <w:rsid w:val="00F625B0"/>
    <w:rsid w:val="00F63446"/>
    <w:rsid w:val="00F636D2"/>
    <w:rsid w:val="00F6408B"/>
    <w:rsid w:val="00F6445C"/>
    <w:rsid w:val="00F64D14"/>
    <w:rsid w:val="00F64F16"/>
    <w:rsid w:val="00F64FE3"/>
    <w:rsid w:val="00F65949"/>
    <w:rsid w:val="00F66521"/>
    <w:rsid w:val="00F66994"/>
    <w:rsid w:val="00F66EFF"/>
    <w:rsid w:val="00F66F7A"/>
    <w:rsid w:val="00F70000"/>
    <w:rsid w:val="00F70064"/>
    <w:rsid w:val="00F70347"/>
    <w:rsid w:val="00F70B8A"/>
    <w:rsid w:val="00F70CD4"/>
    <w:rsid w:val="00F7123A"/>
    <w:rsid w:val="00F71BD3"/>
    <w:rsid w:val="00F723E8"/>
    <w:rsid w:val="00F72438"/>
    <w:rsid w:val="00F72728"/>
    <w:rsid w:val="00F72EFB"/>
    <w:rsid w:val="00F730B4"/>
    <w:rsid w:val="00F73999"/>
    <w:rsid w:val="00F74311"/>
    <w:rsid w:val="00F7495A"/>
    <w:rsid w:val="00F74D6A"/>
    <w:rsid w:val="00F74D76"/>
    <w:rsid w:val="00F754F4"/>
    <w:rsid w:val="00F75519"/>
    <w:rsid w:val="00F75E29"/>
    <w:rsid w:val="00F76533"/>
    <w:rsid w:val="00F76A0F"/>
    <w:rsid w:val="00F77573"/>
    <w:rsid w:val="00F80718"/>
    <w:rsid w:val="00F813A5"/>
    <w:rsid w:val="00F819F9"/>
    <w:rsid w:val="00F81CBB"/>
    <w:rsid w:val="00F81F1C"/>
    <w:rsid w:val="00F820DC"/>
    <w:rsid w:val="00F82841"/>
    <w:rsid w:val="00F8298C"/>
    <w:rsid w:val="00F8359B"/>
    <w:rsid w:val="00F83711"/>
    <w:rsid w:val="00F839E6"/>
    <w:rsid w:val="00F83B54"/>
    <w:rsid w:val="00F869C8"/>
    <w:rsid w:val="00F907BE"/>
    <w:rsid w:val="00F90A19"/>
    <w:rsid w:val="00F90AD1"/>
    <w:rsid w:val="00F90B8E"/>
    <w:rsid w:val="00F90B96"/>
    <w:rsid w:val="00F91251"/>
    <w:rsid w:val="00F9195B"/>
    <w:rsid w:val="00F91FA4"/>
    <w:rsid w:val="00F9201C"/>
    <w:rsid w:val="00F93C79"/>
    <w:rsid w:val="00F94539"/>
    <w:rsid w:val="00F946FF"/>
    <w:rsid w:val="00F95D88"/>
    <w:rsid w:val="00F95E1D"/>
    <w:rsid w:val="00F96EE1"/>
    <w:rsid w:val="00F971BC"/>
    <w:rsid w:val="00F9778C"/>
    <w:rsid w:val="00FA00B1"/>
    <w:rsid w:val="00FA0531"/>
    <w:rsid w:val="00FA12D4"/>
    <w:rsid w:val="00FA1901"/>
    <w:rsid w:val="00FA23EE"/>
    <w:rsid w:val="00FA2905"/>
    <w:rsid w:val="00FA29DC"/>
    <w:rsid w:val="00FA31B7"/>
    <w:rsid w:val="00FA3752"/>
    <w:rsid w:val="00FA385E"/>
    <w:rsid w:val="00FA459F"/>
    <w:rsid w:val="00FA45F8"/>
    <w:rsid w:val="00FA473A"/>
    <w:rsid w:val="00FA4E5F"/>
    <w:rsid w:val="00FA4FBF"/>
    <w:rsid w:val="00FA5677"/>
    <w:rsid w:val="00FA60FA"/>
    <w:rsid w:val="00FA6B8B"/>
    <w:rsid w:val="00FA6D44"/>
    <w:rsid w:val="00FA6D97"/>
    <w:rsid w:val="00FA6ECF"/>
    <w:rsid w:val="00FA6FAD"/>
    <w:rsid w:val="00FA75A0"/>
    <w:rsid w:val="00FB07A2"/>
    <w:rsid w:val="00FB0874"/>
    <w:rsid w:val="00FB147A"/>
    <w:rsid w:val="00FB1D6D"/>
    <w:rsid w:val="00FB2794"/>
    <w:rsid w:val="00FB28D4"/>
    <w:rsid w:val="00FB2C40"/>
    <w:rsid w:val="00FB2FE6"/>
    <w:rsid w:val="00FB34CA"/>
    <w:rsid w:val="00FB4D56"/>
    <w:rsid w:val="00FB5538"/>
    <w:rsid w:val="00FB5AF0"/>
    <w:rsid w:val="00FB5BC9"/>
    <w:rsid w:val="00FB5EF8"/>
    <w:rsid w:val="00FB5F5F"/>
    <w:rsid w:val="00FB605B"/>
    <w:rsid w:val="00FB620A"/>
    <w:rsid w:val="00FB63D7"/>
    <w:rsid w:val="00FB69E1"/>
    <w:rsid w:val="00FB6C55"/>
    <w:rsid w:val="00FB7947"/>
    <w:rsid w:val="00FB7C19"/>
    <w:rsid w:val="00FB7F3D"/>
    <w:rsid w:val="00FC0264"/>
    <w:rsid w:val="00FC0606"/>
    <w:rsid w:val="00FC0F7B"/>
    <w:rsid w:val="00FC127C"/>
    <w:rsid w:val="00FC191B"/>
    <w:rsid w:val="00FC20A9"/>
    <w:rsid w:val="00FC2F6E"/>
    <w:rsid w:val="00FC306B"/>
    <w:rsid w:val="00FC43DB"/>
    <w:rsid w:val="00FC4D41"/>
    <w:rsid w:val="00FC4E42"/>
    <w:rsid w:val="00FC5368"/>
    <w:rsid w:val="00FC546E"/>
    <w:rsid w:val="00FC5927"/>
    <w:rsid w:val="00FC5F45"/>
    <w:rsid w:val="00FC62DD"/>
    <w:rsid w:val="00FC6461"/>
    <w:rsid w:val="00FC6478"/>
    <w:rsid w:val="00FC6E2D"/>
    <w:rsid w:val="00FC7425"/>
    <w:rsid w:val="00FC78E0"/>
    <w:rsid w:val="00FD02A7"/>
    <w:rsid w:val="00FD02CF"/>
    <w:rsid w:val="00FD02FB"/>
    <w:rsid w:val="00FD0C56"/>
    <w:rsid w:val="00FD0D06"/>
    <w:rsid w:val="00FD1420"/>
    <w:rsid w:val="00FD1829"/>
    <w:rsid w:val="00FD1933"/>
    <w:rsid w:val="00FD275F"/>
    <w:rsid w:val="00FD2944"/>
    <w:rsid w:val="00FD34A7"/>
    <w:rsid w:val="00FD36C6"/>
    <w:rsid w:val="00FD39F3"/>
    <w:rsid w:val="00FD3BF7"/>
    <w:rsid w:val="00FD3E6F"/>
    <w:rsid w:val="00FD3F12"/>
    <w:rsid w:val="00FD3F5C"/>
    <w:rsid w:val="00FD43D0"/>
    <w:rsid w:val="00FD441A"/>
    <w:rsid w:val="00FD4FE5"/>
    <w:rsid w:val="00FD545A"/>
    <w:rsid w:val="00FD589D"/>
    <w:rsid w:val="00FD6A9A"/>
    <w:rsid w:val="00FD6BA9"/>
    <w:rsid w:val="00FD6D4A"/>
    <w:rsid w:val="00FD7887"/>
    <w:rsid w:val="00FE10DD"/>
    <w:rsid w:val="00FE1913"/>
    <w:rsid w:val="00FE1E89"/>
    <w:rsid w:val="00FE257E"/>
    <w:rsid w:val="00FE2B2E"/>
    <w:rsid w:val="00FE2B32"/>
    <w:rsid w:val="00FE469F"/>
    <w:rsid w:val="00FE48A9"/>
    <w:rsid w:val="00FE4B9F"/>
    <w:rsid w:val="00FE4CC4"/>
    <w:rsid w:val="00FE550C"/>
    <w:rsid w:val="00FE55CB"/>
    <w:rsid w:val="00FE79E3"/>
    <w:rsid w:val="00FF07B9"/>
    <w:rsid w:val="00FF10D1"/>
    <w:rsid w:val="00FF16F2"/>
    <w:rsid w:val="00FF1ECB"/>
    <w:rsid w:val="00FF27CC"/>
    <w:rsid w:val="00FF315F"/>
    <w:rsid w:val="00FF3560"/>
    <w:rsid w:val="00FF3BF4"/>
    <w:rsid w:val="00FF3E4E"/>
    <w:rsid w:val="00FF40F0"/>
    <w:rsid w:val="00FF4A42"/>
    <w:rsid w:val="00FF4F45"/>
    <w:rsid w:val="00FF5710"/>
    <w:rsid w:val="00FF5981"/>
    <w:rsid w:val="00FF69D2"/>
    <w:rsid w:val="00FF6AA1"/>
    <w:rsid w:val="00FF77BA"/>
    <w:rsid w:val="0185AA6A"/>
    <w:rsid w:val="08598382"/>
    <w:rsid w:val="0D07AF56"/>
    <w:rsid w:val="0D3BC2B7"/>
    <w:rsid w:val="135B9877"/>
    <w:rsid w:val="135BF387"/>
    <w:rsid w:val="1BD7DCE4"/>
    <w:rsid w:val="1BF7C667"/>
    <w:rsid w:val="1C3EAD3A"/>
    <w:rsid w:val="2231B511"/>
    <w:rsid w:val="25C9BE3D"/>
    <w:rsid w:val="261AF3FC"/>
    <w:rsid w:val="27823206"/>
    <w:rsid w:val="2D47ED45"/>
    <w:rsid w:val="337D8DA5"/>
    <w:rsid w:val="38A9AD79"/>
    <w:rsid w:val="39CFFBEB"/>
    <w:rsid w:val="3A47DE62"/>
    <w:rsid w:val="3E09C82D"/>
    <w:rsid w:val="40521184"/>
    <w:rsid w:val="409B911E"/>
    <w:rsid w:val="44569C21"/>
    <w:rsid w:val="45DD95E4"/>
    <w:rsid w:val="4F75CA22"/>
    <w:rsid w:val="5305292F"/>
    <w:rsid w:val="5463A513"/>
    <w:rsid w:val="574EB0DC"/>
    <w:rsid w:val="5BB02D4A"/>
    <w:rsid w:val="6003B08B"/>
    <w:rsid w:val="6D64CF51"/>
    <w:rsid w:val="6D873197"/>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15:docId w15:val="{C0D81A80-786E-4555-B3C8-19F2389B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02"/>
    <w:pPr>
      <w:spacing w:after="120" w:line="240" w:lineRule="auto"/>
    </w:pPr>
    <w:rPr>
      <w:rFonts w:ascii="Aptos" w:hAnsi="Aptos" w:cs="Segoe UI"/>
      <w:sz w:val="22"/>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C25C47"/>
    <w:pPr>
      <w:spacing w:before="240" w:after="240"/>
      <w:outlineLvl w:val="1"/>
    </w:pPr>
    <w:rPr>
      <w:b/>
      <w:bCs/>
    </w:rPr>
  </w:style>
  <w:style w:type="paragraph" w:styleId="Heading3">
    <w:name w:val="heading 3"/>
    <w:basedOn w:val="Normal"/>
    <w:next w:val="Normal"/>
    <w:link w:val="Heading3Char"/>
    <w:uiPriority w:val="9"/>
    <w:unhideWhenUsed/>
    <w:qFormat/>
    <w:rsid w:val="00433232"/>
    <w:pPr>
      <w:keepNext/>
      <w:keepLines/>
      <w:spacing w:before="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4F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C25C47"/>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rsid w:val="0043323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04FC5"/>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0906B4"/>
    <w:pPr>
      <w:ind w:left="720"/>
      <w:contextualSpacing/>
    </w:pPr>
  </w:style>
  <w:style w:type="character" w:styleId="Hyperlink">
    <w:name w:val="Hyperlink"/>
    <w:basedOn w:val="DefaultParagraphFont"/>
    <w:uiPriority w:val="99"/>
    <w:unhideWhenUsed/>
    <w:rsid w:val="00E97EDA"/>
    <w:rPr>
      <w:color w:val="0563C1" w:themeColor="hyperlink"/>
      <w:u w:val="single"/>
    </w:rPr>
  </w:style>
  <w:style w:type="character" w:styleId="UnresolvedMention">
    <w:name w:val="Unresolved Mention"/>
    <w:basedOn w:val="DefaultParagraphFont"/>
    <w:uiPriority w:val="99"/>
    <w:semiHidden/>
    <w:unhideWhenUsed/>
    <w:rsid w:val="00E97EDA"/>
    <w:rPr>
      <w:color w:val="605E5C"/>
      <w:shd w:val="clear" w:color="auto" w:fill="E1DFDD"/>
    </w:rPr>
  </w:style>
  <w:style w:type="paragraph" w:customStyle="1" w:styleId="Captions">
    <w:name w:val="Captions"/>
    <w:basedOn w:val="Normal"/>
    <w:link w:val="CaptionsChar"/>
    <w:qFormat/>
    <w:rsid w:val="00A3310F"/>
    <w:rPr>
      <w:b/>
    </w:rPr>
  </w:style>
  <w:style w:type="character" w:customStyle="1" w:styleId="CaptionsChar">
    <w:name w:val="Captions Char"/>
    <w:basedOn w:val="DefaultParagraphFont"/>
    <w:link w:val="Captions"/>
    <w:rsid w:val="00A3310F"/>
    <w:rPr>
      <w:rFonts w:ascii="Aptos" w:hAnsi="Aptos" w:cs="Segoe UI"/>
      <w:b/>
      <w:sz w:val="22"/>
      <w:szCs w:val="22"/>
    </w:rPr>
  </w:style>
  <w:style w:type="paragraph" w:customStyle="1" w:styleId="NovartisFootnotes">
    <w:name w:val="Novartis Footnotes"/>
    <w:basedOn w:val="Normal"/>
    <w:link w:val="NovartisFootnotesChar"/>
    <w:qFormat/>
    <w:rsid w:val="008248B2"/>
    <w:pPr>
      <w:spacing w:after="0"/>
    </w:pPr>
    <w:rPr>
      <w:sz w:val="16"/>
      <w:lang w:val="en-US"/>
    </w:rPr>
  </w:style>
  <w:style w:type="character" w:customStyle="1" w:styleId="NovartisFootnotesChar">
    <w:name w:val="Novartis Footnotes Char"/>
    <w:basedOn w:val="DefaultParagraphFont"/>
    <w:link w:val="NovartisFootnotes"/>
    <w:rsid w:val="008248B2"/>
    <w:rPr>
      <w:rFonts w:ascii="Aptos" w:hAnsi="Aptos" w:cs="Segoe UI"/>
      <w:sz w:val="16"/>
      <w:szCs w:val="22"/>
      <w:lang w:val="en-US"/>
    </w:rPr>
  </w:style>
  <w:style w:type="character" w:styleId="FollowedHyperlink">
    <w:name w:val="FollowedHyperlink"/>
    <w:basedOn w:val="DefaultParagraphFont"/>
    <w:uiPriority w:val="99"/>
    <w:semiHidden/>
    <w:unhideWhenUsed/>
    <w:rsid w:val="00334D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iq.org.au/medical-oncology/urogenital/prostate" TargetMode="External"/><Relationship Id="rId18" Type="http://schemas.openxmlformats.org/officeDocument/2006/relationships/header" Target="header1.xml"/><Relationship Id="rId26" Type="http://schemas.openxmlformats.org/officeDocument/2006/relationships/hyperlink" Target="https://doi.org/10.1016/S0140-6736(24)01653-2" TargetMode="External"/><Relationship Id="rId3" Type="http://schemas.openxmlformats.org/officeDocument/2006/relationships/customXml" Target="../customXml/item3.xml"/><Relationship Id="rId21" Type="http://schemas.openxmlformats.org/officeDocument/2006/relationships/hyperlink" Target="https://doi.org/10.1016/S0140-6736(24)01653-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uroweb.org/guidelines/prostate-cance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ihw.gov.au/reports/cancer/cancer-data-in-australia/contents/summary-dashboard"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016/j.annonc.2025.07.003"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16/S1470-2045(25)00189-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14F842AFE02B44878DAEE4B27F961F" ma:contentTypeVersion="16" ma:contentTypeDescription="Create a new document." ma:contentTypeScope="" ma:versionID="8b73b0bc05e91b90ffe4deb95e1d5bae">
  <xsd:schema xmlns:xsd="http://www.w3.org/2001/XMLSchema" xmlns:xs="http://www.w3.org/2001/XMLSchema" xmlns:p="http://schemas.microsoft.com/office/2006/metadata/properties" xmlns:ns2="54fb6eec-6680-4f37-8c19-bc565727b83c" xmlns:ns3="5e6c165d-1334-4e3d-ac4c-cda196070297" targetNamespace="http://schemas.microsoft.com/office/2006/metadata/properties" ma:root="true" ma:fieldsID="d9f8de2df40d8d0c3c839f6283dfca19" ns2:_="" ns3:_="">
    <xsd:import namespace="54fb6eec-6680-4f37-8c19-bc565727b83c"/>
    <xsd:import namespace="5e6c165d-1334-4e3d-ac4c-cda196070297"/>
    <xsd:element name="properties">
      <xsd:complexType>
        <xsd:sequence>
          <xsd:element name="documentManagement">
            <xsd:complexType>
              <xsd:all>
                <xsd:element ref="ns2:Application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6eec-6680-4f37-8c19-bc565727b83c" elementFormDefault="qualified">
    <xsd:import namespace="http://schemas.microsoft.com/office/2006/documentManagement/types"/>
    <xsd:import namespace="http://schemas.microsoft.com/office/infopath/2007/PartnerControls"/>
    <xsd:element name="Application_x0020_type" ma:index="8" nillable="true" ma:displayName="Application type" ma:internalName="Application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Application_x0020_type xmlns="54fb6eec-6680-4f37-8c19-bc565727b83c" xsi:nil="true"/>
    <lcf76f155ced4ddcb4097134ff3c332f xmlns="54fb6eec-6680-4f37-8c19-bc565727b8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customXml/itemProps2.xml><?xml version="1.0" encoding="utf-8"?>
<ds:datastoreItem xmlns:ds="http://schemas.openxmlformats.org/officeDocument/2006/customXml" ds:itemID="{C93ABB7A-4AD7-45D4-B8DD-C1E79885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6eec-6680-4f37-8c19-bc565727b83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BAE48-B111-41A9-971E-B9D0B3941AC9}">
  <ds:schemaRefs>
    <ds:schemaRef ds:uri="http://schemas.microsoft.com/office/2006/metadata/properties"/>
    <ds:schemaRef ds:uri="http://schemas.microsoft.com/office/infopath/2007/PartnerControls"/>
    <ds:schemaRef ds:uri="5e6c165d-1334-4e3d-ac4c-cda196070297"/>
    <ds:schemaRef ds:uri="54fb6eec-6680-4f37-8c19-bc565727b83c"/>
  </ds:schemaRefs>
</ds:datastoreItem>
</file>

<file path=customXml/itemProps4.xml><?xml version="1.0" encoding="utf-8"?>
<ds:datastoreItem xmlns:ds="http://schemas.openxmlformats.org/officeDocument/2006/customXml" ds:itemID="{0A331352-D265-4C94-9AFF-A56FCF0033A4}">
  <ds:schemaRefs>
    <ds:schemaRef ds:uri="http://schemas.microsoft.com/sharepoint/v3/contenttype/forms"/>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200</TotalTime>
  <Pages>33</Pages>
  <Words>12496</Words>
  <Characters>75104</Characters>
  <Application>Microsoft Office Word</Application>
  <DocSecurity>0</DocSecurity>
  <Lines>1341</Lines>
  <Paragraphs>537</Paragraphs>
  <ScaleCrop>false</ScaleCrop>
  <HeadingPairs>
    <vt:vector size="2" baseType="variant">
      <vt:variant>
        <vt:lpstr>Title</vt:lpstr>
      </vt:variant>
      <vt:variant>
        <vt:i4>1</vt:i4>
      </vt:variant>
    </vt:vector>
  </HeadingPairs>
  <TitlesOfParts>
    <vt:vector size="1" baseType="lpstr">
      <vt:lpstr>MBS PICO Set template</vt:lpstr>
    </vt:vector>
  </TitlesOfParts>
  <Company/>
  <LinksUpToDate>false</LinksUpToDate>
  <CharactersWithSpaces>87063</CharactersWithSpaces>
  <SharedDoc>false</SharedDoc>
  <HLinks>
    <vt:vector size="6" baseType="variant">
      <vt:variant>
        <vt:i4>196633</vt:i4>
      </vt:variant>
      <vt:variant>
        <vt:i4>33</vt:i4>
      </vt:variant>
      <vt:variant>
        <vt:i4>0</vt:i4>
      </vt:variant>
      <vt:variant>
        <vt:i4>5</vt:i4>
      </vt:variant>
      <vt:variant>
        <vt:lpwstr>https://www.eviq.org.au/medical-oncology/urogenital/prostate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PICO Set template</dc:title>
  <dc:subject/>
  <dc:creator>Adams, Jane</dc:creator>
  <cp:keywords/>
  <dc:description/>
  <cp:lastModifiedBy>SWASBRICK, Bronwyn</cp:lastModifiedBy>
  <cp:revision>17</cp:revision>
  <dcterms:created xsi:type="dcterms:W3CDTF">2026-03-19T04:29:00Z</dcterms:created>
  <dcterms:modified xsi:type="dcterms:W3CDTF">2026-05-12T04:25:00Z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0x0101003314F842AFE02B44878DAEE4B27F961F</vt:lpwstr>
  </property>
  <property fmtid="{D5CDD505-2E9C-101B-9397-08002B2CF9AE}" pid="3" name="HPPTrimRecordId">
    <vt:lpwstr>D26-1462543</vt:lpwstr>
  </property>
  <property fmtid="{D5CDD505-2E9C-101B-9397-08002B2CF9AE}" pid="4" name="MediaServiceImageTags">
    <vt:lpwstr/>
  </property>
  <property fmtid="{D5CDD505-2E9C-101B-9397-08002B2CF9AE}" pid="5" name="TrimRecordURI">
    <vt:lpwstr>265804772</vt:lpwstr>
  </property>
  <property fmtid="{D5CDD505-2E9C-101B-9397-08002B2CF9AE}" pid="6" name="HPPTrimContainerId">
    <vt:lpwstr>E26-180525</vt:lpwstr>
  </property>
  <property fmtid="{D5CDD505-2E9C-101B-9397-08002B2CF9AE}" pid="7" name="HPPArchived">
    <vt:lpwstr>Archived</vt:lpwstr>
  </property>
  <property fmtid="{D5CDD505-2E9C-101B-9397-08002B2CF9AE}" pid="8" name="HPPTrimLink">
    <vt:lpwstr>https://auc-common-prd-app-as-trim.azurewebsites.net/Api/DownloadTrimFile/HPP/D26-1462543</vt:lpwstr>
  </property>
  <property fmtid="{D5CDD505-2E9C-101B-9397-08002B2CF9AE}" pid="9" name="docLang">
    <vt:lpwstr>en</vt:lpwstr>
  </property>
  <property fmtid="{D5CDD505-2E9C-101B-9397-08002B2CF9AE}" pid="10" name="ClassificationContentMarkingHeaderShapeIds">
    <vt:lpwstr>7d7ee38a,1a30b6cc,1df70b2b</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5a15c65,cbeb32a,7c19f1bd</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2026-05-07T05:06:09Z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1b5d7012-a553-4040-ba9d-ff7df6e3ca57</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