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119B76D8" w:rsidR="00133449" w:rsidRPr="0065027C" w:rsidRDefault="00A67EA6"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182</w:t>
      </w:r>
      <w:r w:rsidR="006756E6">
        <w:rPr>
          <w:rFonts w:ascii="Segoe UI" w:eastAsiaTheme="minorHAnsi" w:hAnsi="Segoe UI" w:cs="Segoe UI"/>
          <w:b/>
          <w:bCs/>
          <w:lang w:eastAsia="en-US"/>
        </w:rPr>
        <w:t>1</w:t>
      </w:r>
    </w:p>
    <w:p w14:paraId="084637DB" w14:textId="099E0B01" w:rsidR="00133449" w:rsidRPr="005B57C1" w:rsidRDefault="00A67EA6" w:rsidP="00133449">
      <w:pPr>
        <w:pStyle w:val="Subtitle"/>
        <w:jc w:val="center"/>
        <w:rPr>
          <w:rFonts w:ascii="Segoe UI" w:eastAsiaTheme="minorHAnsi" w:hAnsi="Segoe UI" w:cs="Segoe UI"/>
          <w:b/>
          <w:bCs/>
          <w:color w:val="153D63" w:themeColor="text2" w:themeTint="E6"/>
          <w:sz w:val="48"/>
          <w:szCs w:val="48"/>
          <w:lang w:eastAsia="en-US"/>
        </w:rPr>
      </w:pPr>
      <w:r w:rsidRPr="00A67EA6">
        <w:rPr>
          <w:rFonts w:ascii="Segoe UI" w:eastAsiaTheme="minorHAnsi" w:hAnsi="Segoe UI" w:cs="Segoe UI"/>
          <w:b/>
          <w:bCs/>
          <w:color w:val="153D63" w:themeColor="text2" w:themeTint="E6"/>
          <w:sz w:val="48"/>
          <w:szCs w:val="48"/>
          <w:lang w:eastAsia="en-US"/>
        </w:rPr>
        <w:t>Testing for Chromogranin A in patients with neuroendocrine neoplasms</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HPP200375</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Chromogranin A (</w:t>
      </w:r>
      <w:proofErr w:type="spellStart"/>
      <w:r w:rsidRPr="005B57C1">
        <w:rPr>
          <w:rFonts w:ascii="Segoe UI" w:eastAsia="Segoe UI" w:hAnsi="Segoe UI" w:cs="Segoe UI"/>
          <w:color w:val="000000"/>
        </w:rPr>
        <w:t>CgA</w:t>
      </w:r>
      <w:proofErr w:type="spellEnd"/>
      <w:r w:rsidRPr="005B57C1">
        <w:rPr>
          <w:rFonts w:ascii="Segoe UI" w:eastAsia="Segoe UI" w:hAnsi="Segoe UI" w:cs="Segoe UI"/>
          <w:color w:val="000000"/>
        </w:rPr>
        <w:t>) for monitoring well differentiated neuroendocrine neoplasms (NENs)</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THE ROYAL COLLEGE OF PATHOLOGISTS OF AUSTRALASIA</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52000173231</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Metastatic neuroendocrine tumours (NETs) are cancers that arise from neuroendocrine cells found throughout the body, most commonly in the gastrointestinal tract, pancreas, and lungs. In metastatic disease, the cancer has spread beyond its original site and usually requires long-term monitoring to assess whether it is stable or progressing, and whether treatment remains effective.</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Chromogranin A (</w:t>
      </w:r>
      <w:proofErr w:type="spellStart"/>
      <w:r w:rsidRPr="00DA3592">
        <w:rPr>
          <w:rFonts w:ascii="Segoe UI" w:eastAsia="Segoe UI" w:hAnsi="Segoe UI" w:cs="Segoe UI"/>
          <w:color w:val="000000"/>
        </w:rPr>
        <w:t>CgA</w:t>
      </w:r>
      <w:proofErr w:type="spellEnd"/>
      <w:r w:rsidRPr="00DA3592">
        <w:rPr>
          <w:rFonts w:ascii="Segoe UI" w:eastAsia="Segoe UI" w:hAnsi="Segoe UI" w:cs="Segoe UI"/>
          <w:color w:val="000000"/>
        </w:rPr>
        <w:t>) testing is a laboratory blood test used to help monitor patients with metastatic NETs over time. It is used in addition to imaging, clinical assessment, and other investigations, and provides a relatively simple and minimally invasive way to detect changes that may indicate disease progression or response to treatment. This can help clinicians decide when closer review, further imaging, or a change in management may be needed.</w:t>
      </w:r>
    </w:p>
    <w:p w14:paraId="6B61DA55" w14:textId="77777777" w:rsidR="00133449" w:rsidRPr="0010048D" w:rsidRDefault="00133449" w:rsidP="00133449">
      <w:pPr>
        <w:pStyle w:val="Heading1"/>
        <w:rPr>
          <w:rFonts w:cs="Segoe UI"/>
        </w:rPr>
      </w:pPr>
      <w:r w:rsidRPr="0010048D">
        <w:rPr>
          <w:rFonts w:cs="Segoe UI"/>
        </w:rPr>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lastRenderedPageBreak/>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THE ROYAL COLLEGE OF PATHOLOGISTS OF AUSTRALASIA</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15CA45CC" w14:textId="22DD3C58" w:rsidR="00133449" w:rsidRPr="009755EC"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r w:rsidR="006756E6">
        <w:rPr>
          <w:rFonts w:ascii="Segoe UI" w:eastAsia="Segoe UI" w:hAnsi="Segoe UI" w:cs="Segoe UI"/>
          <w:b/>
          <w:color w:val="000000"/>
        </w:rPr>
        <w:br/>
      </w:r>
      <w:r w:rsidRPr="009755EC">
        <w:rPr>
          <w:rFonts w:ascii="Segoe UI" w:eastAsia="Segoe UI" w:hAnsi="Segoe UI" w:cs="Segoe UI"/>
          <w:color w:val="000000"/>
        </w:rPr>
        <w:t>No</w:t>
      </w:r>
    </w:p>
    <w:p w14:paraId="7FD1C6AA" w14:textId="44349A37" w:rsidR="00133449" w:rsidRPr="009755EC" w:rsidRDefault="00133449" w:rsidP="00133449">
      <w:pPr>
        <w:rPr>
          <w:rFonts w:ascii="Segoe UI" w:eastAsia="Segoe UI" w:hAnsi="Segoe UI" w:cs="Segoe UI"/>
          <w:color w:val="000000"/>
        </w:rPr>
      </w:pPr>
      <w:r w:rsidRPr="0010048D">
        <w:rPr>
          <w:rFonts w:ascii="Segoe UI" w:eastAsia="Segoe UI" w:hAnsi="Segoe UI" w:cs="Segoe UI"/>
          <w:b/>
          <w:color w:val="000000"/>
        </w:rPr>
        <w:t>Is the application for a new service or health technology, or an amendment to an existing listed service or health technology?</w:t>
      </w:r>
      <w:r w:rsidR="006756E6">
        <w:rPr>
          <w:rFonts w:ascii="Segoe UI" w:eastAsia="Segoe UI" w:hAnsi="Segoe UI" w:cs="Segoe UI"/>
          <w:b/>
          <w:color w:val="000000"/>
        </w:rPr>
        <w:br/>
      </w:r>
      <w:r w:rsidRPr="009755EC">
        <w:rPr>
          <w:rFonts w:ascii="Segoe UI" w:eastAsia="Segoe UI" w:hAnsi="Segoe UI" w:cs="Segoe UI"/>
          <w:color w:val="000000"/>
        </w:rPr>
        <w:t>New</w:t>
      </w:r>
    </w:p>
    <w:p w14:paraId="05E01124" w14:textId="5CCB689F" w:rsidR="00133449" w:rsidRPr="005B57C1" w:rsidRDefault="00133449" w:rsidP="006756E6">
      <w:pPr>
        <w:spacing w:before="360"/>
        <w:rPr>
          <w:rFonts w:ascii="Segoe UI" w:eastAsia="Segoe UI" w:hAnsi="Segoe UI" w:cs="Segoe UI"/>
          <w:color w:val="000000"/>
        </w:rPr>
      </w:pPr>
      <w:r w:rsidRPr="0010048D">
        <w:rPr>
          <w:rFonts w:ascii="Segoe UI" w:eastAsia="Segoe UI" w:hAnsi="Segoe UI" w:cs="Segoe UI"/>
          <w:b/>
          <w:color w:val="000000"/>
        </w:rPr>
        <w:t>What is the type of service or health technology?</w:t>
      </w:r>
      <w:r w:rsidR="006756E6">
        <w:rPr>
          <w:rFonts w:ascii="Segoe UI" w:eastAsia="Segoe UI" w:hAnsi="Segoe UI" w:cs="Segoe UI"/>
          <w:b/>
          <w:color w:val="000000"/>
        </w:rPr>
        <w:br/>
      </w:r>
      <w:r w:rsidRPr="005B57C1">
        <w:rPr>
          <w:rFonts w:ascii="Segoe UI" w:eastAsia="Segoe UI" w:hAnsi="Segoe UI" w:cs="Segoe UI"/>
          <w:color w:val="000000"/>
        </w:rPr>
        <w:t>Investigative</w:t>
      </w:r>
    </w:p>
    <w:p w14:paraId="5688E3BC" w14:textId="0CCBD6A4"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 xml:space="preserve">Please select the type of investigative health technology: </w:t>
      </w:r>
      <w:r w:rsidR="006756E6">
        <w:rPr>
          <w:rFonts w:ascii="Segoe UI" w:eastAsia="Segoe UI" w:hAnsi="Segoe UI" w:cs="Segoe UI"/>
          <w:b/>
          <w:color w:val="000000"/>
        </w:rPr>
        <w:br/>
      </w:r>
      <w:r w:rsidRPr="005B57C1">
        <w:rPr>
          <w:rFonts w:ascii="Segoe UI" w:eastAsia="Segoe UI" w:hAnsi="Segoe UI" w:cs="Segoe UI"/>
          <w:color w:val="000000"/>
        </w:rPr>
        <w:t>Clinical biochemistry</w:t>
      </w:r>
    </w:p>
    <w:p w14:paraId="16E68CEB" w14:textId="77777777" w:rsidR="00133449" w:rsidRPr="0010048D" w:rsidRDefault="00133449" w:rsidP="00133449">
      <w:pPr>
        <w:pStyle w:val="Heading1"/>
        <w:rPr>
          <w:rFonts w:cs="Segoe UI"/>
        </w:rPr>
      </w:pPr>
      <w:r w:rsidRPr="0010048D">
        <w:rPr>
          <w:rFonts w:cs="Segoe UI"/>
        </w:rPr>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0" w:type="auto"/>
        <w:tblLook w:val="0620" w:firstRow="1" w:lastRow="0" w:firstColumn="0" w:lastColumn="0" w:noHBand="1" w:noVBand="1"/>
      </w:tblPr>
      <w:tblGrid>
        <w:gridCol w:w="8217"/>
      </w:tblGrid>
      <w:tr w:rsidR="00133449" w:rsidRPr="0010048D" w14:paraId="13374401" w14:textId="77777777" w:rsidTr="00A67EA6">
        <w:trPr>
          <w:tblHeader/>
        </w:trPr>
        <w:tc>
          <w:tcPr>
            <w:tcW w:w="8217" w:type="dxa"/>
            <w:tcMar>
              <w:top w:w="113" w:type="dxa"/>
              <w:bottom w:w="113" w:type="dxa"/>
            </w:tcMar>
          </w:tcPr>
          <w:p w14:paraId="3C834693" w14:textId="77777777" w:rsidR="00133449" w:rsidRPr="0010048D" w:rsidRDefault="00133449" w:rsidP="0065027C">
            <w:pPr>
              <w:rPr>
                <w:rFonts w:ascii="Segoe UI" w:hAnsi="Segoe UI" w:cs="Segoe UI"/>
                <w:b/>
              </w:rPr>
            </w:pPr>
            <w:r w:rsidRPr="0010048D">
              <w:rPr>
                <w:rFonts w:ascii="Segoe UI" w:hAnsi="Segoe UI" w:cs="Segoe UI"/>
                <w:b/>
              </w:rPr>
              <w:t>PICO set name</w:t>
            </w:r>
          </w:p>
        </w:tc>
      </w:tr>
      <w:tr w:rsidR="00133449" w:rsidRPr="0010048D" w14:paraId="79C27EF3" w14:textId="77777777" w:rsidTr="00A67EA6">
        <w:tc>
          <w:tcPr>
            <w:tcW w:w="8217" w:type="dxa"/>
            <w:tcMar>
              <w:top w:w="113" w:type="dxa"/>
              <w:bottom w:w="113" w:type="dxa"/>
            </w:tcMar>
          </w:tcPr>
          <w:p w14:paraId="4A38A298" w14:textId="77777777" w:rsidR="00133449" w:rsidRPr="0010048D" w:rsidRDefault="00133449" w:rsidP="0065027C">
            <w:pPr>
              <w:rPr>
                <w:rFonts w:ascii="Segoe UI" w:hAnsi="Segoe UI" w:cs="Segoe UI"/>
                <w:bCs/>
              </w:rPr>
            </w:pPr>
            <w:r>
              <w:rPr>
                <w:rFonts w:ascii="Segoe UI" w:hAnsi="Segoe UI" w:cs="Segoe UI"/>
                <w:bCs/>
              </w:rPr>
              <w:t>Chromogranin A (</w:t>
            </w:r>
            <w:proofErr w:type="spellStart"/>
            <w:r>
              <w:rPr>
                <w:rFonts w:ascii="Segoe UI" w:hAnsi="Segoe UI" w:cs="Segoe UI"/>
                <w:bCs/>
              </w:rPr>
              <w:t>CgA</w:t>
            </w:r>
            <w:proofErr w:type="spellEnd"/>
            <w:r>
              <w:rPr>
                <w:rFonts w:ascii="Segoe UI" w:hAnsi="Segoe UI" w:cs="Segoe UI"/>
                <w:bCs/>
              </w:rPr>
              <w:t>) for monitoring well differentiated neuroendocrine neoplasms (NENs)</w:t>
            </w:r>
          </w:p>
        </w:tc>
      </w:tr>
    </w:tbl>
    <w:p w14:paraId="358D3966" w14:textId="77777777" w:rsidR="00133449" w:rsidRDefault="00133449" w:rsidP="00133449">
      <w:pPr>
        <w:rPr>
          <w:rFonts w:ascii="Segoe UI" w:hAnsi="Segoe UI" w:cs="Segoe UI"/>
        </w:rPr>
      </w:pPr>
    </w:p>
    <w:p w14:paraId="42458292" w14:textId="4FF22954" w:rsidR="006756E6" w:rsidRPr="006756E6" w:rsidRDefault="006756E6" w:rsidP="006756E6">
      <w:pPr>
        <w:rPr>
          <w:rFonts w:ascii="Segoe UI" w:hAnsi="Segoe UI" w:cs="Segoe UI"/>
        </w:rPr>
      </w:pPr>
      <w:r w:rsidRPr="006756E6">
        <w:rPr>
          <w:rFonts w:ascii="Segoe UI" w:hAnsi="Segoe UI" w:cs="Segoe UI"/>
          <w:b/>
          <w:bCs/>
        </w:rPr>
        <w:t>State the purpose(s) of the health technology for this PICO set and provide a rationale:</w:t>
      </w:r>
      <w:r w:rsidRPr="006756E6">
        <w:rPr>
          <w:rFonts w:ascii="Segoe UI" w:hAnsi="Segoe UI" w:cs="Segoe UI"/>
        </w:rPr>
        <w:t xml:space="preserve"> </w:t>
      </w:r>
    </w:p>
    <w:p w14:paraId="7FAEF506" w14:textId="77777777" w:rsidR="006756E6" w:rsidRPr="006756E6" w:rsidRDefault="006756E6" w:rsidP="006756E6">
      <w:pPr>
        <w:rPr>
          <w:rFonts w:ascii="Segoe UI" w:hAnsi="Segoe UI" w:cs="Segoe UI"/>
          <w:b/>
          <w:bCs/>
        </w:rPr>
      </w:pPr>
      <w:r w:rsidRPr="006756E6">
        <w:rPr>
          <w:rFonts w:ascii="Segoe UI" w:hAnsi="Segoe UI" w:cs="Segoe UI"/>
          <w:b/>
          <w:bCs/>
        </w:rPr>
        <w:t xml:space="preserve">Purpose category: </w:t>
      </w:r>
    </w:p>
    <w:p w14:paraId="60593EF8" w14:textId="77777777" w:rsidR="006756E6" w:rsidRPr="006756E6" w:rsidRDefault="006756E6" w:rsidP="006756E6">
      <w:pPr>
        <w:rPr>
          <w:rFonts w:ascii="Segoe UI" w:hAnsi="Segoe UI" w:cs="Segoe UI"/>
        </w:rPr>
      </w:pPr>
      <w:r w:rsidRPr="006756E6">
        <w:rPr>
          <w:rFonts w:ascii="Segoe UI" w:hAnsi="Segoe UI" w:cs="Segoe UI"/>
        </w:rPr>
        <w:t>Monitoring</w:t>
      </w:r>
    </w:p>
    <w:p w14:paraId="3668C251" w14:textId="77777777" w:rsidR="006756E6" w:rsidRDefault="006756E6" w:rsidP="006756E6">
      <w:pPr>
        <w:rPr>
          <w:rFonts w:ascii="Segoe UI" w:hAnsi="Segoe UI" w:cs="Segoe UI"/>
          <w:b/>
          <w:bCs/>
        </w:rPr>
      </w:pPr>
      <w:r w:rsidRPr="006756E6">
        <w:rPr>
          <w:rFonts w:ascii="Segoe UI" w:hAnsi="Segoe UI" w:cs="Segoe UI"/>
          <w:b/>
          <w:bCs/>
        </w:rPr>
        <w:t xml:space="preserve">Purpose description: </w:t>
      </w:r>
    </w:p>
    <w:p w14:paraId="3E89CDC9" w14:textId="77777777" w:rsidR="006756E6" w:rsidRPr="006756E6" w:rsidRDefault="006756E6" w:rsidP="006756E6">
      <w:pPr>
        <w:rPr>
          <w:rFonts w:ascii="Segoe UI" w:hAnsi="Segoe UI" w:cs="Segoe UI"/>
        </w:rPr>
      </w:pPr>
      <w:r w:rsidRPr="006756E6">
        <w:rPr>
          <w:rFonts w:ascii="Segoe UI" w:hAnsi="Segoe UI" w:cs="Segoe UI"/>
        </w:rPr>
        <w:t>To monitor a condition over time.</w:t>
      </w:r>
    </w:p>
    <w:p w14:paraId="4940528C" w14:textId="77777777" w:rsidR="006756E6" w:rsidRPr="006756E6" w:rsidRDefault="006756E6" w:rsidP="006756E6">
      <w:pPr>
        <w:rPr>
          <w:rFonts w:ascii="Segoe UI" w:hAnsi="Segoe UI" w:cs="Segoe UI"/>
          <w:b/>
          <w:bCs/>
        </w:rPr>
      </w:pPr>
      <w:r w:rsidRPr="006756E6">
        <w:rPr>
          <w:rFonts w:ascii="Segoe UI" w:hAnsi="Segoe UI" w:cs="Segoe UI"/>
          <w:b/>
          <w:bCs/>
        </w:rPr>
        <w:t xml:space="preserve">Purpose category: </w:t>
      </w:r>
    </w:p>
    <w:p w14:paraId="4D166979" w14:textId="77777777" w:rsidR="006756E6" w:rsidRDefault="006756E6" w:rsidP="006756E6">
      <w:pPr>
        <w:rPr>
          <w:rFonts w:ascii="Segoe UI" w:hAnsi="Segoe UI" w:cs="Segoe UI"/>
        </w:rPr>
      </w:pPr>
      <w:r w:rsidRPr="006756E6">
        <w:rPr>
          <w:rFonts w:ascii="Segoe UI" w:hAnsi="Segoe UI" w:cs="Segoe UI"/>
        </w:rPr>
        <w:t>Outcome / response assessment</w:t>
      </w:r>
    </w:p>
    <w:p w14:paraId="28E8B6BA" w14:textId="3375E672" w:rsidR="006756E6" w:rsidRPr="006756E6" w:rsidRDefault="006756E6" w:rsidP="006756E6">
      <w:pPr>
        <w:rPr>
          <w:rFonts w:ascii="Segoe UI" w:hAnsi="Segoe UI" w:cs="Segoe UI"/>
          <w:b/>
          <w:bCs/>
        </w:rPr>
      </w:pPr>
      <w:r w:rsidRPr="006756E6">
        <w:rPr>
          <w:rFonts w:ascii="Segoe UI" w:hAnsi="Segoe UI" w:cs="Segoe UI"/>
          <w:b/>
          <w:bCs/>
        </w:rPr>
        <w:t xml:space="preserve">Purpose description: </w:t>
      </w:r>
    </w:p>
    <w:p w14:paraId="2404E33B" w14:textId="77777777" w:rsidR="006756E6" w:rsidRDefault="006756E6" w:rsidP="006756E6">
      <w:pPr>
        <w:rPr>
          <w:rFonts w:ascii="Segoe UI" w:hAnsi="Segoe UI" w:cs="Segoe UI"/>
        </w:rPr>
      </w:pPr>
      <w:r w:rsidRPr="006756E6">
        <w:rPr>
          <w:rFonts w:ascii="Segoe UI" w:hAnsi="Segoe UI" w:cs="Segoe UI"/>
        </w:rPr>
        <w:t>To assess an outcome or response following an intervention or treatment</w:t>
      </w:r>
    </w:p>
    <w:p w14:paraId="24A58F0F" w14:textId="77777777" w:rsidR="006756E6" w:rsidRPr="006756E6" w:rsidRDefault="006756E6" w:rsidP="006756E6">
      <w:pPr>
        <w:pStyle w:val="Heading1"/>
      </w:pPr>
      <w:r w:rsidRPr="006756E6">
        <w:t>Population</w:t>
      </w:r>
    </w:p>
    <w:p w14:paraId="7E6DFAD4" w14:textId="77777777" w:rsidR="006756E6" w:rsidRPr="006756E6" w:rsidRDefault="006756E6" w:rsidP="006756E6">
      <w:pPr>
        <w:rPr>
          <w:rFonts w:ascii="Segoe UI" w:hAnsi="Segoe UI" w:cs="Segoe UI"/>
          <w:b/>
          <w:bCs/>
        </w:rPr>
      </w:pPr>
      <w:r w:rsidRPr="006756E6">
        <w:rPr>
          <w:rFonts w:ascii="Segoe UI" w:hAnsi="Segoe UI" w:cs="Segoe UI"/>
          <w:b/>
          <w:bCs/>
        </w:rPr>
        <w:t>Describe the population in which the proposed health technology is intended to be used:</w:t>
      </w:r>
    </w:p>
    <w:p w14:paraId="5C3C82B0" w14:textId="4D1B27B8" w:rsidR="006756E6" w:rsidRPr="006756E6" w:rsidRDefault="006756E6" w:rsidP="006756E6">
      <w:pPr>
        <w:rPr>
          <w:rFonts w:ascii="Segoe UI" w:hAnsi="Segoe UI" w:cs="Segoe UI"/>
        </w:rPr>
      </w:pPr>
      <w:r w:rsidRPr="006756E6">
        <w:rPr>
          <w:rFonts w:ascii="Segoe UI" w:hAnsi="Segoe UI" w:cs="Segoe UI"/>
        </w:rPr>
        <w:t>The proposed health technology (serum chromogranin A [</w:t>
      </w:r>
      <w:proofErr w:type="spellStart"/>
      <w:r w:rsidRPr="006756E6">
        <w:rPr>
          <w:rFonts w:ascii="Segoe UI" w:hAnsi="Segoe UI" w:cs="Segoe UI"/>
        </w:rPr>
        <w:t>CgA</w:t>
      </w:r>
      <w:proofErr w:type="spellEnd"/>
      <w:r w:rsidRPr="006756E6">
        <w:rPr>
          <w:rFonts w:ascii="Segoe UI" w:hAnsi="Segoe UI" w:cs="Segoe UI"/>
        </w:rPr>
        <w:t xml:space="preserve">] monitoring) is intended for patients with confirmed neuroendocrine tumours (NETs) who have advanced/metastatic disease and are undergoing ongoing surveillance during treatment or active follow-up, where there is a clinical need to monitor for disease progression or recurrence. The technology is primarily intended for patients in whom </w:t>
      </w:r>
      <w:proofErr w:type="spellStart"/>
      <w:r w:rsidRPr="006756E6">
        <w:rPr>
          <w:rFonts w:ascii="Segoe UI" w:hAnsi="Segoe UI" w:cs="Segoe UI"/>
        </w:rPr>
        <w:t>CgA</w:t>
      </w:r>
      <w:proofErr w:type="spellEnd"/>
      <w:r w:rsidRPr="006756E6">
        <w:rPr>
          <w:rFonts w:ascii="Segoe UI" w:hAnsi="Segoe UI" w:cs="Segoe UI"/>
        </w:rPr>
        <w:t xml:space="preserve"> is clinically “trackable” (i.e., elevated at baseline and/or previously shown to correlate with tumour activity for that individual) so that serial measurements can be interpreted as a longitudinal marker of progression.</w:t>
      </w:r>
      <w:r w:rsidRPr="006756E6">
        <w:rPr>
          <w:rFonts w:ascii="Segoe UI" w:hAnsi="Segoe UI" w:cs="Segoe UI"/>
        </w:rPr>
        <w:br/>
        <w:t xml:space="preserve">NETs are a subset of a broader category of neuroendocrine neoplasms (NEN)–a heterogeneous group with varying prognoses. These include well-differentiated NETs (graded G1–G3 by proliferation) and poorly differentiated neuroendocrine carcinomas (NECs) (high-grade, biologically aggressive). They most commonly arise in gastro-entero-pancreatic (GEP) sites (small intestine, rectum, pancreas) and </w:t>
      </w:r>
      <w:proofErr w:type="gramStart"/>
      <w:r w:rsidRPr="006756E6">
        <w:rPr>
          <w:rFonts w:ascii="Segoe UI" w:hAnsi="Segoe UI" w:cs="Segoe UI"/>
        </w:rPr>
        <w:t>lung, and</w:t>
      </w:r>
      <w:proofErr w:type="gramEnd"/>
      <w:r w:rsidRPr="006756E6">
        <w:rPr>
          <w:rFonts w:ascii="Segoe UI" w:hAnsi="Segoe UI" w:cs="Segoe UI"/>
        </w:rPr>
        <w:t xml:space="preserve"> may be described clinically as functional (hormone-secreting) vs non-functional.</w:t>
      </w:r>
    </w:p>
    <w:p w14:paraId="186E7487" w14:textId="77777777" w:rsidR="006756E6" w:rsidRPr="006756E6" w:rsidRDefault="006756E6" w:rsidP="006756E6">
      <w:pPr>
        <w:rPr>
          <w:rFonts w:ascii="Segoe UI" w:hAnsi="Segoe UI" w:cs="Segoe UI"/>
          <w:b/>
          <w:bCs/>
        </w:rPr>
      </w:pPr>
      <w:r w:rsidRPr="006756E6">
        <w:rPr>
          <w:rFonts w:ascii="Segoe UI" w:hAnsi="Segoe UI" w:cs="Segoe UI"/>
          <w:b/>
          <w:bCs/>
        </w:rPr>
        <w:t xml:space="preserve">Select the most applicable </w:t>
      </w:r>
      <w:proofErr w:type="gramStart"/>
      <w:r w:rsidRPr="006756E6">
        <w:rPr>
          <w:rFonts w:ascii="Segoe UI" w:hAnsi="Segoe UI" w:cs="Segoe UI"/>
          <w:b/>
          <w:bCs/>
        </w:rPr>
        <w:t>Medical</w:t>
      </w:r>
      <w:proofErr w:type="gramEnd"/>
      <w:r w:rsidRPr="006756E6">
        <w:rPr>
          <w:rFonts w:ascii="Segoe UI" w:hAnsi="Segoe UI" w:cs="Segoe UI"/>
          <w:b/>
          <w:bCs/>
        </w:rPr>
        <w:t xml:space="preserve"> condition terminology (SNOMED CT):</w:t>
      </w:r>
    </w:p>
    <w:p w14:paraId="607929AB" w14:textId="77777777" w:rsidR="006756E6" w:rsidRPr="006756E6" w:rsidRDefault="006756E6" w:rsidP="006756E6">
      <w:pPr>
        <w:rPr>
          <w:rFonts w:ascii="Segoe UI" w:hAnsi="Segoe UI" w:cs="Segoe UI"/>
        </w:rPr>
      </w:pPr>
      <w:r w:rsidRPr="006756E6">
        <w:rPr>
          <w:rFonts w:ascii="Segoe UI" w:hAnsi="Segoe UI" w:cs="Segoe UI"/>
        </w:rPr>
        <w:t>Malignant neuroendocrine tumour</w:t>
      </w:r>
    </w:p>
    <w:p w14:paraId="23408207" w14:textId="77777777" w:rsidR="006756E6" w:rsidRPr="006756E6" w:rsidRDefault="006756E6" w:rsidP="006756E6">
      <w:pPr>
        <w:pStyle w:val="Heading1"/>
      </w:pPr>
      <w:r w:rsidRPr="006756E6">
        <w:t>Intervention</w:t>
      </w:r>
    </w:p>
    <w:p w14:paraId="7CC91883" w14:textId="77777777" w:rsidR="006756E6" w:rsidRPr="006756E6" w:rsidRDefault="006756E6" w:rsidP="006756E6">
      <w:pPr>
        <w:rPr>
          <w:rFonts w:ascii="Segoe UI" w:hAnsi="Segoe UI" w:cs="Segoe UI"/>
          <w:b/>
          <w:bCs/>
        </w:rPr>
      </w:pPr>
      <w:r w:rsidRPr="006756E6">
        <w:rPr>
          <w:rFonts w:ascii="Segoe UI" w:hAnsi="Segoe UI" w:cs="Segoe UI"/>
          <w:b/>
          <w:bCs/>
        </w:rPr>
        <w:t>Name of the proposed health technology:</w:t>
      </w:r>
    </w:p>
    <w:p w14:paraId="49BE4EDA" w14:textId="77777777" w:rsidR="006756E6" w:rsidRPr="006756E6" w:rsidRDefault="006756E6" w:rsidP="006756E6">
      <w:pPr>
        <w:rPr>
          <w:rFonts w:ascii="Segoe UI" w:hAnsi="Segoe UI" w:cs="Segoe UI"/>
        </w:rPr>
      </w:pPr>
      <w:r w:rsidRPr="006756E6">
        <w:rPr>
          <w:rFonts w:ascii="Segoe UI" w:hAnsi="Segoe UI" w:cs="Segoe UI"/>
        </w:rPr>
        <w:t>Chromogranin A (</w:t>
      </w:r>
      <w:proofErr w:type="spellStart"/>
      <w:r w:rsidRPr="006756E6">
        <w:rPr>
          <w:rFonts w:ascii="Segoe UI" w:hAnsi="Segoe UI" w:cs="Segoe UI"/>
        </w:rPr>
        <w:t>CgA</w:t>
      </w:r>
      <w:proofErr w:type="spellEnd"/>
      <w:r w:rsidRPr="006756E6">
        <w:rPr>
          <w:rFonts w:ascii="Segoe UI" w:hAnsi="Segoe UI" w:cs="Segoe UI"/>
        </w:rPr>
        <w:t>) testing</w:t>
      </w:r>
    </w:p>
    <w:p w14:paraId="0EE0D937" w14:textId="77777777" w:rsidR="006756E6" w:rsidRDefault="006756E6">
      <w:pPr>
        <w:rPr>
          <w:rFonts w:ascii="Segoe UI" w:eastAsia="Segoe UI" w:hAnsi="Segoe UI" w:cs="Times New Roman"/>
          <w:b/>
          <w:color w:val="213E60"/>
          <w:kern w:val="0"/>
          <w:sz w:val="32"/>
          <w:szCs w:val="20"/>
          <w14:ligatures w14:val="none"/>
        </w:rPr>
      </w:pPr>
      <w:r>
        <w:br w:type="page"/>
      </w:r>
    </w:p>
    <w:p w14:paraId="24E3E560" w14:textId="77DDB11F" w:rsidR="006756E6" w:rsidRPr="006756E6" w:rsidRDefault="006756E6" w:rsidP="006756E6">
      <w:pPr>
        <w:pStyle w:val="Heading1"/>
      </w:pPr>
      <w:r w:rsidRPr="006756E6">
        <w:t>Comparator</w:t>
      </w:r>
    </w:p>
    <w:p w14:paraId="55E36818" w14:textId="77777777" w:rsidR="006756E6" w:rsidRPr="006756E6" w:rsidRDefault="006756E6" w:rsidP="006756E6">
      <w:pPr>
        <w:rPr>
          <w:rFonts w:ascii="Segoe UI" w:hAnsi="Segoe UI" w:cs="Segoe UI"/>
          <w:b/>
          <w:bCs/>
        </w:rPr>
      </w:pPr>
      <w:r w:rsidRPr="006756E6">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101D40DB" w14:textId="77777777" w:rsidR="006756E6" w:rsidRPr="006756E6" w:rsidRDefault="006756E6" w:rsidP="006756E6">
      <w:pPr>
        <w:rPr>
          <w:rFonts w:ascii="Segoe UI" w:hAnsi="Segoe UI" w:cs="Segoe UI"/>
        </w:rPr>
      </w:pPr>
      <w:r w:rsidRPr="006756E6">
        <w:rPr>
          <w:rFonts w:ascii="Segoe UI" w:hAnsi="Segoe UI" w:cs="Segoe UI"/>
        </w:rPr>
        <w:t xml:space="preserve">For the proposed population, the appropriate comparator is current practice without serial </w:t>
      </w:r>
      <w:proofErr w:type="spellStart"/>
      <w:r w:rsidRPr="006756E6">
        <w:rPr>
          <w:rFonts w:ascii="Segoe UI" w:hAnsi="Segoe UI" w:cs="Segoe UI"/>
        </w:rPr>
        <w:t>CgA</w:t>
      </w:r>
      <w:proofErr w:type="spellEnd"/>
      <w:r w:rsidRPr="006756E6">
        <w:rPr>
          <w:rFonts w:ascii="Segoe UI" w:hAnsi="Segoe UI" w:cs="Segoe UI"/>
        </w:rPr>
        <w:t xml:space="preserve"> monitoring (“no </w:t>
      </w:r>
      <w:proofErr w:type="spellStart"/>
      <w:r w:rsidRPr="006756E6">
        <w:rPr>
          <w:rFonts w:ascii="Segoe UI" w:hAnsi="Segoe UI" w:cs="Segoe UI"/>
        </w:rPr>
        <w:t>CgA</w:t>
      </w:r>
      <w:proofErr w:type="spellEnd"/>
      <w:r w:rsidRPr="006756E6">
        <w:rPr>
          <w:rFonts w:ascii="Segoe UI" w:hAnsi="Segoe UI" w:cs="Segoe UI"/>
        </w:rPr>
        <w:t xml:space="preserve"> monitoring”), in which disease status is assessed using clinical review plus scheduled imaging, with selective use of other biochemistry depending on tumour functionality and symptoms.</w:t>
      </w:r>
      <w:r w:rsidRPr="006756E6">
        <w:rPr>
          <w:rFonts w:ascii="Segoe UI" w:hAnsi="Segoe UI" w:cs="Segoe UI"/>
        </w:rPr>
        <w:br/>
        <w:t>In routine Australian practice, metastatic NET follow-up relies on regular clinician visits (usually specialist-led) for symptom review, treatment toxicity assessment, and physical examination, combined with planned cross-sectional imaging, typically CT or MRI at defined intervals (often ~3–12 monthly depending on grade, site, burden and treatment), to assess stability versus progression. When CT/MRI is equivocal, when there is clinical suspicion of progression, or when results are likely to alter management, patients may undergo somatostatin-receptor imaging (e.g. 68Ga DOTA-peptide PET/CT) and, in selected higher-grade cases, 18F-FDG PET.</w:t>
      </w:r>
      <w:r w:rsidRPr="006756E6">
        <w:rPr>
          <w:rFonts w:ascii="Segoe UI" w:hAnsi="Segoe UI" w:cs="Segoe UI"/>
        </w:rPr>
        <w:br/>
        <w:t xml:space="preserve">While imperfect, </w:t>
      </w:r>
      <w:proofErr w:type="spellStart"/>
      <w:r w:rsidRPr="006756E6">
        <w:rPr>
          <w:rFonts w:ascii="Segoe UI" w:hAnsi="Segoe UI" w:cs="Segoe UI"/>
        </w:rPr>
        <w:t>CgA</w:t>
      </w:r>
      <w:proofErr w:type="spellEnd"/>
      <w:r w:rsidRPr="006756E6">
        <w:rPr>
          <w:rFonts w:ascii="Segoe UI" w:hAnsi="Segoe UI" w:cs="Segoe UI"/>
        </w:rPr>
        <w:t xml:space="preserve"> remains the most accessible and widely used biochemical marker for NETs, superior in performance to alternatives like </w:t>
      </w:r>
      <w:proofErr w:type="spellStart"/>
      <w:r w:rsidRPr="006756E6">
        <w:rPr>
          <w:rFonts w:ascii="Segoe UI" w:hAnsi="Segoe UI" w:cs="Segoe UI"/>
        </w:rPr>
        <w:t>pancreastatin</w:t>
      </w:r>
      <w:proofErr w:type="spellEnd"/>
      <w:r w:rsidRPr="006756E6">
        <w:rPr>
          <w:rFonts w:ascii="Segoe UI" w:hAnsi="Segoe UI" w:cs="Segoe UI"/>
        </w:rPr>
        <w:t xml:space="preserve"> or neuron-specific enolase, which are either less validated or less available in Australia. These additional markers are not commonly used in practice in </w:t>
      </w:r>
      <w:proofErr w:type="gramStart"/>
      <w:r w:rsidRPr="006756E6">
        <w:rPr>
          <w:rFonts w:ascii="Segoe UI" w:hAnsi="Segoe UI" w:cs="Segoe UI"/>
        </w:rPr>
        <w:t>Australia, and</w:t>
      </w:r>
      <w:proofErr w:type="gramEnd"/>
      <w:r w:rsidRPr="006756E6">
        <w:rPr>
          <w:rFonts w:ascii="Segoe UI" w:hAnsi="Segoe UI" w:cs="Segoe UI"/>
        </w:rPr>
        <w:t xml:space="preserve"> are therefore not considered to be relevant comparator tests to </w:t>
      </w:r>
      <w:proofErr w:type="spellStart"/>
      <w:r w:rsidRPr="006756E6">
        <w:rPr>
          <w:rFonts w:ascii="Segoe UI" w:hAnsi="Segoe UI" w:cs="Segoe UI"/>
        </w:rPr>
        <w:t>CgA</w:t>
      </w:r>
      <w:proofErr w:type="spellEnd"/>
      <w:r w:rsidRPr="006756E6">
        <w:rPr>
          <w:rFonts w:ascii="Segoe UI" w:hAnsi="Segoe UI" w:cs="Segoe UI"/>
        </w:rPr>
        <w:t xml:space="preserve"> testing.</w:t>
      </w:r>
    </w:p>
    <w:p w14:paraId="4D4DC6C2" w14:textId="77777777" w:rsidR="006756E6" w:rsidRPr="006756E6" w:rsidRDefault="006756E6" w:rsidP="006756E6">
      <w:pPr>
        <w:pStyle w:val="Heading1"/>
      </w:pPr>
      <w:r w:rsidRPr="006756E6">
        <w:t>Outcomes</w:t>
      </w:r>
    </w:p>
    <w:p w14:paraId="3BCED8F8" w14:textId="77777777" w:rsidR="006756E6" w:rsidRPr="006756E6" w:rsidRDefault="006756E6" w:rsidP="006756E6">
      <w:pPr>
        <w:rPr>
          <w:rFonts w:ascii="Segoe UI" w:hAnsi="Segoe UI" w:cs="Segoe UI"/>
          <w:b/>
          <w:bCs/>
        </w:rPr>
      </w:pPr>
      <w:r w:rsidRPr="006756E6">
        <w:rPr>
          <w:rFonts w:ascii="Segoe UI" w:hAnsi="Segoe UI" w:cs="Segoe UI"/>
          <w:b/>
          <w:bCs/>
        </w:rPr>
        <w:t xml:space="preserve">Outcome description – please include information about whether a change in patient management, or prognosis, occurs </w:t>
      </w:r>
      <w:proofErr w:type="gramStart"/>
      <w:r w:rsidRPr="006756E6">
        <w:rPr>
          <w:rFonts w:ascii="Segoe UI" w:hAnsi="Segoe UI" w:cs="Segoe UI"/>
          <w:b/>
          <w:bCs/>
        </w:rPr>
        <w:t>as a result of</w:t>
      </w:r>
      <w:proofErr w:type="gramEnd"/>
      <w:r w:rsidRPr="006756E6">
        <w:rPr>
          <w:rFonts w:ascii="Segoe UI" w:hAnsi="Segoe UI" w:cs="Segoe UI"/>
          <w:b/>
          <w:bCs/>
        </w:rPr>
        <w:t xml:space="preserve"> the test information:</w:t>
      </w:r>
    </w:p>
    <w:p w14:paraId="0966696E" w14:textId="4ABE60B8" w:rsidR="006756E6" w:rsidRPr="006756E6" w:rsidRDefault="006756E6" w:rsidP="006756E6">
      <w:pPr>
        <w:rPr>
          <w:rFonts w:ascii="Segoe UI" w:hAnsi="Segoe UI" w:cs="Segoe UI"/>
        </w:rPr>
      </w:pPr>
      <w:proofErr w:type="spellStart"/>
      <w:r w:rsidRPr="006756E6">
        <w:rPr>
          <w:rFonts w:ascii="Segoe UI" w:hAnsi="Segoe UI" w:cs="Segoe UI"/>
        </w:rPr>
        <w:t>CgA</w:t>
      </w:r>
      <w:proofErr w:type="spellEnd"/>
      <w:r w:rsidRPr="006756E6">
        <w:rPr>
          <w:rFonts w:ascii="Segoe UI" w:hAnsi="Segoe UI" w:cs="Segoe UI"/>
        </w:rPr>
        <w:t xml:space="preserve"> is a valuable biomarker for predicting relapse and assessing prognosis in patients with metastatic NENs, as it correlates with tumour burden, stage, and treatment response. The predictive and prognostic value of </w:t>
      </w:r>
      <w:proofErr w:type="spellStart"/>
      <w:r w:rsidRPr="006756E6">
        <w:rPr>
          <w:rFonts w:ascii="Segoe UI" w:hAnsi="Segoe UI" w:cs="Segoe UI"/>
        </w:rPr>
        <w:t>CgA</w:t>
      </w:r>
      <w:proofErr w:type="spellEnd"/>
      <w:r w:rsidRPr="006756E6">
        <w:rPr>
          <w:rFonts w:ascii="Segoe UI" w:hAnsi="Segoe UI" w:cs="Segoe UI"/>
        </w:rPr>
        <w:t xml:space="preserve"> for monitoring treatment response and relapse in patients with NENs is well-supported by clinical evidence.</w:t>
      </w:r>
      <w:r w:rsidRPr="006756E6">
        <w:rPr>
          <w:rFonts w:ascii="Segoe UI" w:hAnsi="Segoe UI" w:cs="Segoe UI"/>
        </w:rPr>
        <w:br/>
      </w:r>
      <w:r w:rsidRPr="006756E6">
        <w:rPr>
          <w:rFonts w:ascii="Segoe UI" w:hAnsi="Segoe UI" w:cs="Segoe UI"/>
        </w:rPr>
        <w:br/>
      </w:r>
      <w:proofErr w:type="spellStart"/>
      <w:r w:rsidRPr="006756E6">
        <w:rPr>
          <w:rFonts w:ascii="Segoe UI" w:hAnsi="Segoe UI" w:cs="Segoe UI"/>
        </w:rPr>
        <w:t>CgA</w:t>
      </w:r>
      <w:proofErr w:type="spellEnd"/>
      <w:r w:rsidRPr="006756E6">
        <w:rPr>
          <w:rFonts w:ascii="Segoe UI" w:hAnsi="Segoe UI" w:cs="Segoe UI"/>
        </w:rPr>
        <w:t xml:space="preserve"> levels are useful for early detection of recurrence post-treatment. In patients with completely resected disease, an increase in </w:t>
      </w:r>
      <w:proofErr w:type="spellStart"/>
      <w:r w:rsidRPr="006756E6">
        <w:rPr>
          <w:rFonts w:ascii="Segoe UI" w:hAnsi="Segoe UI" w:cs="Segoe UI"/>
        </w:rPr>
        <w:t>CgA</w:t>
      </w:r>
      <w:proofErr w:type="spellEnd"/>
      <w:r w:rsidRPr="006756E6">
        <w:rPr>
          <w:rFonts w:ascii="Segoe UI" w:hAnsi="Segoe UI" w:cs="Segoe UI"/>
        </w:rPr>
        <w:t xml:space="preserve"> levels can precede clinical and radiological evidence of relapse by several months. For instance, an increase in </w:t>
      </w:r>
      <w:proofErr w:type="spellStart"/>
      <w:r w:rsidRPr="006756E6">
        <w:rPr>
          <w:rFonts w:ascii="Segoe UI" w:hAnsi="Segoe UI" w:cs="Segoe UI"/>
        </w:rPr>
        <w:t>CgA</w:t>
      </w:r>
      <w:proofErr w:type="spellEnd"/>
      <w:r w:rsidRPr="006756E6">
        <w:rPr>
          <w:rFonts w:ascii="Segoe UI" w:hAnsi="Segoe UI" w:cs="Segoe UI"/>
        </w:rPr>
        <w:t xml:space="preserve"> values can anticipate clinical and objective disease recurrence after a period of 9-12 months. Additionally, a ≥40% increase in </w:t>
      </w:r>
      <w:proofErr w:type="spellStart"/>
      <w:r w:rsidRPr="006756E6">
        <w:rPr>
          <w:rFonts w:ascii="Segoe UI" w:hAnsi="Segoe UI" w:cs="Segoe UI"/>
        </w:rPr>
        <w:t>CgA</w:t>
      </w:r>
      <w:proofErr w:type="spellEnd"/>
      <w:r w:rsidRPr="006756E6">
        <w:rPr>
          <w:rFonts w:ascii="Segoe UI" w:hAnsi="Segoe UI" w:cs="Segoe UI"/>
        </w:rPr>
        <w:t xml:space="preserve"> levels during follow-up is associated with a higher probability of tumour progression or recurrence.</w:t>
      </w:r>
      <w:r w:rsidRPr="006756E6">
        <w:rPr>
          <w:rFonts w:ascii="Segoe UI" w:hAnsi="Segoe UI" w:cs="Segoe UI"/>
        </w:rPr>
        <w:br/>
      </w:r>
      <w:r w:rsidRPr="006756E6">
        <w:rPr>
          <w:rFonts w:ascii="Segoe UI" w:hAnsi="Segoe UI" w:cs="Segoe UI"/>
        </w:rPr>
        <w:br/>
        <w:t xml:space="preserve">Baseline </w:t>
      </w:r>
      <w:proofErr w:type="spellStart"/>
      <w:r w:rsidRPr="006756E6">
        <w:rPr>
          <w:rFonts w:ascii="Segoe UI" w:hAnsi="Segoe UI" w:cs="Segoe UI"/>
        </w:rPr>
        <w:t>CgA</w:t>
      </w:r>
      <w:proofErr w:type="spellEnd"/>
      <w:r w:rsidRPr="006756E6">
        <w:rPr>
          <w:rFonts w:ascii="Segoe UI" w:hAnsi="Segoe UI" w:cs="Segoe UI"/>
        </w:rPr>
        <w:t xml:space="preserve"> levels correlate with tumour burden, stage, and grade, making it a valuable prognostic marker. Higher baseline </w:t>
      </w:r>
      <w:proofErr w:type="spellStart"/>
      <w:r w:rsidRPr="006756E6">
        <w:rPr>
          <w:rFonts w:ascii="Segoe UI" w:hAnsi="Segoe UI" w:cs="Segoe UI"/>
        </w:rPr>
        <w:t>CgA</w:t>
      </w:r>
      <w:proofErr w:type="spellEnd"/>
      <w:r w:rsidRPr="006756E6">
        <w:rPr>
          <w:rFonts w:ascii="Segoe UI" w:hAnsi="Segoe UI" w:cs="Segoe UI"/>
        </w:rPr>
        <w:t xml:space="preserve"> levels are associated with more advanced disease stages and poorer overall survival (OS). For example, patients with higher baseline </w:t>
      </w:r>
      <w:proofErr w:type="spellStart"/>
      <w:r w:rsidRPr="006756E6">
        <w:rPr>
          <w:rFonts w:ascii="Segoe UI" w:hAnsi="Segoe UI" w:cs="Segoe UI"/>
        </w:rPr>
        <w:t>CgA</w:t>
      </w:r>
      <w:proofErr w:type="spellEnd"/>
      <w:r w:rsidRPr="006756E6">
        <w:rPr>
          <w:rFonts w:ascii="Segoe UI" w:hAnsi="Segoe UI" w:cs="Segoe UI"/>
        </w:rPr>
        <w:t xml:space="preserve"> levels had significantly worse OS after adjusting for other factors. Furthermore, a decrease in </w:t>
      </w:r>
      <w:proofErr w:type="spellStart"/>
      <w:r w:rsidRPr="006756E6">
        <w:rPr>
          <w:rFonts w:ascii="Segoe UI" w:hAnsi="Segoe UI" w:cs="Segoe UI"/>
        </w:rPr>
        <w:t>CgA</w:t>
      </w:r>
      <w:proofErr w:type="spellEnd"/>
      <w:r w:rsidRPr="006756E6">
        <w:rPr>
          <w:rFonts w:ascii="Segoe UI" w:hAnsi="Segoe UI" w:cs="Segoe UI"/>
        </w:rPr>
        <w:t xml:space="preserve"> levels post-treatment is positively correlated with improved survival rates.</w:t>
      </w:r>
      <w:r w:rsidRPr="006756E6">
        <w:rPr>
          <w:rFonts w:ascii="Segoe UI" w:hAnsi="Segoe UI" w:cs="Segoe UI"/>
        </w:rPr>
        <w:br/>
      </w:r>
      <w:r w:rsidRPr="006756E6">
        <w:rPr>
          <w:rFonts w:ascii="Segoe UI" w:hAnsi="Segoe UI" w:cs="Segoe UI"/>
        </w:rPr>
        <w:br/>
        <w:t xml:space="preserve">Serial measurements of </w:t>
      </w:r>
      <w:proofErr w:type="spellStart"/>
      <w:r w:rsidRPr="006756E6">
        <w:rPr>
          <w:rFonts w:ascii="Segoe UI" w:hAnsi="Segoe UI" w:cs="Segoe UI"/>
        </w:rPr>
        <w:t>CgA</w:t>
      </w:r>
      <w:proofErr w:type="spellEnd"/>
      <w:r w:rsidRPr="006756E6">
        <w:rPr>
          <w:rFonts w:ascii="Segoe UI" w:hAnsi="Segoe UI" w:cs="Segoe UI"/>
        </w:rPr>
        <w:t xml:space="preserve"> can help assess treatment efficacy and disease progression. Changes in </w:t>
      </w:r>
      <w:proofErr w:type="spellStart"/>
      <w:r w:rsidRPr="006756E6">
        <w:rPr>
          <w:rFonts w:ascii="Segoe UI" w:hAnsi="Segoe UI" w:cs="Segoe UI"/>
        </w:rPr>
        <w:t>CgA</w:t>
      </w:r>
      <w:proofErr w:type="spellEnd"/>
      <w:r w:rsidRPr="006756E6">
        <w:rPr>
          <w:rFonts w:ascii="Segoe UI" w:hAnsi="Segoe UI" w:cs="Segoe UI"/>
        </w:rPr>
        <w:t xml:space="preserve"> levels, such as normalisation or a ≥30% decrease, suggest a positive therapeutic response. Conversely, patients with serum </w:t>
      </w:r>
      <w:proofErr w:type="spellStart"/>
      <w:r w:rsidRPr="006756E6">
        <w:rPr>
          <w:rFonts w:ascii="Segoe UI" w:hAnsi="Segoe UI" w:cs="Segoe UI"/>
        </w:rPr>
        <w:t>CgA</w:t>
      </w:r>
      <w:proofErr w:type="spellEnd"/>
      <w:r w:rsidRPr="006756E6">
        <w:rPr>
          <w:rFonts w:ascii="Segoe UI" w:hAnsi="Segoe UI" w:cs="Segoe UI"/>
        </w:rPr>
        <w:t xml:space="preserve"> levels higher than 95 ng/mL have significantly shorter survival compared to those with lower levels.</w:t>
      </w:r>
      <w:r w:rsidRPr="006756E6">
        <w:rPr>
          <w:rFonts w:ascii="Segoe UI" w:hAnsi="Segoe UI" w:cs="Segoe UI"/>
        </w:rPr>
        <w:br/>
      </w:r>
    </w:p>
    <w:p w14:paraId="38E75171" w14:textId="77777777" w:rsidR="006756E6" w:rsidRPr="006756E6" w:rsidRDefault="006756E6" w:rsidP="006756E6">
      <w:pPr>
        <w:pStyle w:val="Heading1"/>
      </w:pPr>
      <w:r w:rsidRPr="006756E6">
        <w:t>Proposed MBS items</w:t>
      </w:r>
    </w:p>
    <w:tbl>
      <w:tblPr>
        <w:tblStyle w:val="TableGrid"/>
        <w:tblW w:w="0" w:type="auto"/>
        <w:tblLook w:val="04A0" w:firstRow="1" w:lastRow="0" w:firstColumn="1" w:lastColumn="0" w:noHBand="0" w:noVBand="1"/>
      </w:tblPr>
      <w:tblGrid>
        <w:gridCol w:w="9015"/>
      </w:tblGrid>
      <w:tr w:rsidR="006756E6" w:rsidRPr="006756E6" w14:paraId="42B6A57A" w14:textId="77777777">
        <w:tc>
          <w:tcPr>
            <w:tcW w:w="9628" w:type="dxa"/>
            <w:tcBorders>
              <w:top w:val="single" w:sz="4" w:space="0" w:color="auto"/>
              <w:left w:val="single" w:sz="4" w:space="0" w:color="auto"/>
              <w:bottom w:val="single" w:sz="4" w:space="0" w:color="auto"/>
              <w:right w:val="single" w:sz="4" w:space="0" w:color="auto"/>
            </w:tcBorders>
          </w:tcPr>
          <w:p w14:paraId="010CD9AE" w14:textId="568DB7DB" w:rsidR="006756E6" w:rsidRPr="006756E6" w:rsidRDefault="006756E6" w:rsidP="006756E6">
            <w:pPr>
              <w:spacing w:after="160" w:line="278" w:lineRule="auto"/>
              <w:rPr>
                <w:rFonts w:ascii="Segoe UI" w:hAnsi="Segoe UI" w:cs="Segoe UI"/>
                <w:bCs/>
                <w:sz w:val="24"/>
                <w:szCs w:val="24"/>
              </w:rPr>
            </w:pPr>
            <w:r w:rsidRPr="006756E6">
              <w:rPr>
                <w:rFonts w:ascii="Segoe UI" w:hAnsi="Segoe UI" w:cs="Segoe UI"/>
                <w:b/>
                <w:sz w:val="24"/>
                <w:szCs w:val="24"/>
              </w:rPr>
              <w:t>Proposed item:</w:t>
            </w:r>
            <w:r>
              <w:rPr>
                <w:rFonts w:ascii="Segoe UI" w:hAnsi="Segoe UI" w:cs="Segoe UI"/>
                <w:b/>
                <w:sz w:val="24"/>
                <w:szCs w:val="24"/>
              </w:rPr>
              <w:t xml:space="preserve"> </w:t>
            </w:r>
            <w:r w:rsidRPr="006756E6">
              <w:rPr>
                <w:rFonts w:ascii="Segoe UI" w:hAnsi="Segoe UI" w:cs="Segoe UI"/>
                <w:bCs/>
                <w:sz w:val="24"/>
                <w:szCs w:val="24"/>
              </w:rPr>
              <w:t>AAAAA</w:t>
            </w:r>
          </w:p>
          <w:p w14:paraId="573D7208" w14:textId="61A2BB25" w:rsidR="006756E6" w:rsidRPr="006756E6" w:rsidRDefault="006756E6" w:rsidP="006756E6">
            <w:pPr>
              <w:spacing w:after="160" w:line="278" w:lineRule="auto"/>
              <w:rPr>
                <w:rFonts w:ascii="Segoe UI" w:hAnsi="Segoe UI" w:cs="Segoe UI"/>
                <w:bCs/>
                <w:sz w:val="24"/>
                <w:szCs w:val="24"/>
              </w:rPr>
            </w:pPr>
            <w:r w:rsidRPr="006756E6">
              <w:rPr>
                <w:rFonts w:ascii="Segoe UI" w:hAnsi="Segoe UI" w:cs="Segoe UI"/>
                <w:b/>
                <w:sz w:val="24"/>
                <w:szCs w:val="24"/>
              </w:rPr>
              <w:t>Category number:</w:t>
            </w:r>
            <w:r>
              <w:rPr>
                <w:rFonts w:ascii="Segoe UI" w:hAnsi="Segoe UI" w:cs="Segoe UI"/>
                <w:b/>
                <w:sz w:val="24"/>
                <w:szCs w:val="24"/>
              </w:rPr>
              <w:br/>
            </w:r>
            <w:r w:rsidRPr="006756E6">
              <w:rPr>
                <w:rFonts w:ascii="Segoe UI" w:hAnsi="Segoe UI" w:cs="Segoe UI"/>
                <w:bCs/>
                <w:sz w:val="24"/>
                <w:szCs w:val="24"/>
              </w:rPr>
              <w:t>P2</w:t>
            </w:r>
          </w:p>
          <w:p w14:paraId="70D5DF26" w14:textId="01AB90E3" w:rsidR="006756E6" w:rsidRPr="006756E6" w:rsidRDefault="006756E6" w:rsidP="006756E6">
            <w:pPr>
              <w:spacing w:after="160" w:line="278" w:lineRule="auto"/>
              <w:rPr>
                <w:rFonts w:ascii="Segoe UI" w:hAnsi="Segoe UI" w:cs="Segoe UI"/>
                <w:bCs/>
                <w:sz w:val="24"/>
                <w:szCs w:val="24"/>
              </w:rPr>
            </w:pPr>
            <w:r w:rsidRPr="006756E6">
              <w:rPr>
                <w:rFonts w:ascii="Segoe UI" w:hAnsi="Segoe UI" w:cs="Segoe UI"/>
                <w:b/>
                <w:sz w:val="24"/>
                <w:szCs w:val="24"/>
              </w:rPr>
              <w:t>Category description:</w:t>
            </w:r>
            <w:r>
              <w:rPr>
                <w:rFonts w:ascii="Segoe UI" w:hAnsi="Segoe UI" w:cs="Segoe UI"/>
                <w:b/>
                <w:sz w:val="24"/>
                <w:szCs w:val="24"/>
              </w:rPr>
              <w:br/>
            </w:r>
            <w:r w:rsidRPr="006756E6">
              <w:rPr>
                <w:rFonts w:ascii="Segoe UI" w:hAnsi="Segoe UI" w:cs="Segoe UI"/>
                <w:bCs/>
                <w:sz w:val="24"/>
                <w:szCs w:val="24"/>
              </w:rPr>
              <w:t>Chemical</w:t>
            </w:r>
          </w:p>
          <w:p w14:paraId="148B2E38" w14:textId="534EDA9D" w:rsidR="006756E6" w:rsidRPr="006756E6" w:rsidRDefault="006756E6" w:rsidP="006756E6">
            <w:pPr>
              <w:spacing w:after="160" w:line="278" w:lineRule="auto"/>
              <w:rPr>
                <w:rFonts w:ascii="Segoe UI" w:hAnsi="Segoe UI" w:cs="Segoe UI"/>
                <w:bCs/>
                <w:sz w:val="24"/>
                <w:szCs w:val="24"/>
              </w:rPr>
            </w:pPr>
            <w:r w:rsidRPr="006756E6">
              <w:rPr>
                <w:rFonts w:ascii="Segoe UI" w:hAnsi="Segoe UI" w:cs="Segoe UI"/>
                <w:b/>
                <w:sz w:val="24"/>
                <w:szCs w:val="24"/>
              </w:rPr>
              <w:t>Proposed item descriptor:</w:t>
            </w:r>
            <w:r>
              <w:rPr>
                <w:rFonts w:ascii="Segoe UI" w:hAnsi="Segoe UI" w:cs="Segoe UI"/>
                <w:b/>
                <w:sz w:val="24"/>
                <w:szCs w:val="24"/>
              </w:rPr>
              <w:br/>
            </w:r>
            <w:r w:rsidRPr="006756E6">
              <w:rPr>
                <w:rFonts w:ascii="Segoe UI" w:hAnsi="Segoe UI" w:cs="Segoe UI"/>
                <w:bCs/>
                <w:sz w:val="24"/>
                <w:szCs w:val="24"/>
              </w:rPr>
              <w:t>Quantitation of chromogranin A (</w:t>
            </w:r>
            <w:proofErr w:type="spellStart"/>
            <w:r w:rsidRPr="006756E6">
              <w:rPr>
                <w:rFonts w:ascii="Segoe UI" w:hAnsi="Segoe UI" w:cs="Segoe UI"/>
                <w:bCs/>
                <w:sz w:val="24"/>
                <w:szCs w:val="24"/>
              </w:rPr>
              <w:t>CgA</w:t>
            </w:r>
            <w:proofErr w:type="spellEnd"/>
            <w:r w:rsidRPr="006756E6">
              <w:rPr>
                <w:rFonts w:ascii="Segoe UI" w:hAnsi="Segoe UI" w:cs="Segoe UI"/>
                <w:bCs/>
                <w:sz w:val="24"/>
                <w:szCs w:val="24"/>
              </w:rPr>
              <w:t>) for a patient with a diagnosed neuroendocrine tumour, performed to establish a baseline and for serial monitoring of disease activity, to assist in identifying relapse/progression and in assessing response to treatment, where the patient has known metastatic disease, and the service is requested by a specialist or consultant physician.</w:t>
            </w:r>
            <w:r w:rsidRPr="006756E6">
              <w:rPr>
                <w:rFonts w:ascii="Segoe UI" w:hAnsi="Segoe UI" w:cs="Segoe UI"/>
                <w:bCs/>
                <w:sz w:val="24"/>
                <w:szCs w:val="24"/>
              </w:rPr>
              <w:br/>
              <w:t>Maximum 4 tests per year.</w:t>
            </w:r>
          </w:p>
          <w:p w14:paraId="49E1076A" w14:textId="22FC32FF" w:rsidR="006756E6" w:rsidRPr="006756E6" w:rsidRDefault="006756E6" w:rsidP="006756E6">
            <w:pPr>
              <w:spacing w:after="160" w:line="278" w:lineRule="auto"/>
              <w:rPr>
                <w:rFonts w:ascii="Segoe UI" w:hAnsi="Segoe UI" w:cs="Segoe UI"/>
                <w:bCs/>
                <w:sz w:val="24"/>
                <w:szCs w:val="24"/>
              </w:rPr>
            </w:pPr>
            <w:r w:rsidRPr="006756E6">
              <w:rPr>
                <w:rFonts w:ascii="Segoe UI" w:hAnsi="Segoe UI" w:cs="Segoe UI"/>
                <w:b/>
                <w:sz w:val="24"/>
                <w:szCs w:val="24"/>
              </w:rPr>
              <w:t>Proposed MBS fee:</w:t>
            </w:r>
            <w:r>
              <w:rPr>
                <w:rFonts w:ascii="Segoe UI" w:hAnsi="Segoe UI" w:cs="Segoe UI"/>
                <w:b/>
                <w:sz w:val="24"/>
                <w:szCs w:val="24"/>
              </w:rPr>
              <w:br/>
            </w:r>
            <w:r w:rsidRPr="006756E6">
              <w:rPr>
                <w:rFonts w:ascii="Segoe UI" w:hAnsi="Segoe UI" w:cs="Segoe UI"/>
                <w:bCs/>
                <w:sz w:val="24"/>
                <w:szCs w:val="24"/>
              </w:rPr>
              <w:t>$65.00</w:t>
            </w:r>
          </w:p>
          <w:p w14:paraId="15EA0BE5" w14:textId="0791B0A7" w:rsidR="006756E6" w:rsidRPr="006756E6" w:rsidRDefault="006756E6" w:rsidP="006756E6">
            <w:pPr>
              <w:spacing w:after="160" w:line="278" w:lineRule="auto"/>
              <w:rPr>
                <w:rFonts w:ascii="Segoe UI" w:hAnsi="Segoe UI" w:cs="Segoe UI"/>
                <w:bCs/>
                <w:sz w:val="24"/>
                <w:szCs w:val="24"/>
              </w:rPr>
            </w:pPr>
            <w:r w:rsidRPr="006756E6">
              <w:rPr>
                <w:rFonts w:ascii="Segoe UI" w:hAnsi="Segoe UI" w:cs="Segoe UI"/>
                <w:b/>
                <w:sz w:val="24"/>
                <w:szCs w:val="24"/>
              </w:rPr>
              <w:t>Indicate the overall cost per patient of providing the proposed health technology:</w:t>
            </w:r>
            <w:r>
              <w:rPr>
                <w:rFonts w:ascii="Segoe UI" w:hAnsi="Segoe UI" w:cs="Segoe UI"/>
                <w:b/>
                <w:sz w:val="24"/>
                <w:szCs w:val="24"/>
              </w:rPr>
              <w:br/>
            </w:r>
            <w:r w:rsidRPr="006756E6">
              <w:rPr>
                <w:rFonts w:ascii="Segoe UI" w:hAnsi="Segoe UI" w:cs="Segoe UI"/>
                <w:bCs/>
                <w:sz w:val="24"/>
                <w:szCs w:val="24"/>
              </w:rPr>
              <w:t>$65.00</w:t>
            </w:r>
          </w:p>
          <w:p w14:paraId="2A2A637E" w14:textId="60E168AF" w:rsidR="006756E6" w:rsidRPr="006756E6" w:rsidRDefault="006756E6" w:rsidP="006756E6">
            <w:pPr>
              <w:spacing w:after="160" w:line="278" w:lineRule="auto"/>
              <w:rPr>
                <w:rFonts w:ascii="Segoe UI" w:hAnsi="Segoe UI" w:cs="Segoe UI"/>
                <w:bCs/>
                <w:sz w:val="24"/>
                <w:szCs w:val="24"/>
              </w:rPr>
            </w:pPr>
            <w:r w:rsidRPr="006756E6">
              <w:rPr>
                <w:rFonts w:ascii="Segoe UI" w:hAnsi="Segoe UI" w:cs="Segoe UI"/>
                <w:b/>
                <w:sz w:val="24"/>
                <w:szCs w:val="24"/>
              </w:rPr>
              <w:t>Please specify any anticipated out of pocket expenses:</w:t>
            </w:r>
            <w:r>
              <w:rPr>
                <w:rFonts w:ascii="Segoe UI" w:hAnsi="Segoe UI" w:cs="Segoe UI"/>
                <w:b/>
                <w:sz w:val="24"/>
                <w:szCs w:val="24"/>
              </w:rPr>
              <w:br/>
            </w:r>
            <w:r w:rsidRPr="006756E6">
              <w:rPr>
                <w:rFonts w:ascii="Segoe UI" w:hAnsi="Segoe UI" w:cs="Segoe UI"/>
                <w:bCs/>
                <w:sz w:val="24"/>
                <w:szCs w:val="24"/>
              </w:rPr>
              <w:t>$0.00</w:t>
            </w:r>
          </w:p>
          <w:p w14:paraId="62FA986E" w14:textId="7BC7D899" w:rsidR="006756E6" w:rsidRPr="006756E6" w:rsidRDefault="006756E6" w:rsidP="006756E6">
            <w:pPr>
              <w:spacing w:after="160" w:line="278" w:lineRule="auto"/>
              <w:rPr>
                <w:rFonts w:ascii="Segoe UI" w:hAnsi="Segoe UI" w:cs="Segoe UI"/>
                <w:sz w:val="24"/>
                <w:szCs w:val="24"/>
              </w:rPr>
            </w:pPr>
            <w:r w:rsidRPr="006756E6">
              <w:rPr>
                <w:rFonts w:ascii="Segoe UI" w:hAnsi="Segoe UI" w:cs="Segoe UI"/>
                <w:b/>
                <w:sz w:val="24"/>
                <w:szCs w:val="24"/>
              </w:rPr>
              <w:t>Provide any further details and explain:</w:t>
            </w:r>
            <w:r>
              <w:rPr>
                <w:rFonts w:ascii="Segoe UI" w:hAnsi="Segoe UI" w:cs="Segoe UI"/>
                <w:b/>
                <w:sz w:val="24"/>
                <w:szCs w:val="24"/>
              </w:rPr>
              <w:br/>
            </w:r>
            <w:r w:rsidRPr="006756E6">
              <w:rPr>
                <w:rFonts w:ascii="Segoe UI" w:hAnsi="Segoe UI" w:cs="Segoe UI"/>
                <w:bCs/>
                <w:sz w:val="24"/>
                <w:szCs w:val="24"/>
              </w:rPr>
              <w:t>Draft practice notes:</w:t>
            </w:r>
            <w:r w:rsidRPr="006756E6">
              <w:rPr>
                <w:rFonts w:ascii="Segoe UI" w:hAnsi="Segoe UI" w:cs="Segoe UI"/>
                <w:bCs/>
                <w:sz w:val="24"/>
                <w:szCs w:val="24"/>
              </w:rPr>
              <w:br/>
              <w:t xml:space="preserve">1. </w:t>
            </w:r>
            <w:proofErr w:type="spellStart"/>
            <w:r w:rsidRPr="006756E6">
              <w:rPr>
                <w:rFonts w:ascii="Segoe UI" w:hAnsi="Segoe UI" w:cs="Segoe UI"/>
                <w:bCs/>
                <w:sz w:val="24"/>
                <w:szCs w:val="24"/>
              </w:rPr>
              <w:t>CgA</w:t>
            </w:r>
            <w:proofErr w:type="spellEnd"/>
            <w:r w:rsidRPr="006756E6">
              <w:rPr>
                <w:rFonts w:ascii="Segoe UI" w:hAnsi="Segoe UI" w:cs="Segoe UI"/>
                <w:bCs/>
                <w:sz w:val="24"/>
                <w:szCs w:val="24"/>
              </w:rPr>
              <w:t xml:space="preserve"> testing is confounded by proton pump inhibitors and, if testing is necessary, attempts should be made to interrupt therapy where safe prior to requesting </w:t>
            </w:r>
            <w:proofErr w:type="spellStart"/>
            <w:r w:rsidRPr="006756E6">
              <w:rPr>
                <w:rFonts w:ascii="Segoe UI" w:hAnsi="Segoe UI" w:cs="Segoe UI"/>
                <w:bCs/>
                <w:sz w:val="24"/>
                <w:szCs w:val="24"/>
              </w:rPr>
              <w:t>CgA</w:t>
            </w:r>
            <w:proofErr w:type="spellEnd"/>
            <w:r w:rsidRPr="006756E6">
              <w:rPr>
                <w:rFonts w:ascii="Segoe UI" w:hAnsi="Segoe UI" w:cs="Segoe UI"/>
                <w:bCs/>
                <w:sz w:val="24"/>
                <w:szCs w:val="24"/>
              </w:rPr>
              <w:t xml:space="preserve"> testing.</w:t>
            </w:r>
            <w:r w:rsidRPr="006756E6">
              <w:rPr>
                <w:rFonts w:ascii="Segoe UI" w:hAnsi="Segoe UI" w:cs="Segoe UI"/>
                <w:bCs/>
                <w:sz w:val="24"/>
                <w:szCs w:val="24"/>
              </w:rPr>
              <w:br/>
              <w:t xml:space="preserve">2. </w:t>
            </w:r>
            <w:proofErr w:type="spellStart"/>
            <w:r w:rsidRPr="006756E6">
              <w:rPr>
                <w:rFonts w:ascii="Segoe UI" w:hAnsi="Segoe UI" w:cs="Segoe UI"/>
                <w:bCs/>
                <w:sz w:val="24"/>
                <w:szCs w:val="24"/>
              </w:rPr>
              <w:t>CgA</w:t>
            </w:r>
            <w:proofErr w:type="spellEnd"/>
            <w:r w:rsidRPr="006756E6">
              <w:rPr>
                <w:rFonts w:ascii="Segoe UI" w:hAnsi="Segoe UI" w:cs="Segoe UI"/>
                <w:bCs/>
                <w:sz w:val="24"/>
                <w:szCs w:val="24"/>
              </w:rPr>
              <w:t xml:space="preserve"> levels can vary depending on the assay, and therefore the same assay should be used for the same patient for follow-up tests.</w:t>
            </w:r>
          </w:p>
        </w:tc>
      </w:tr>
    </w:tbl>
    <w:p w14:paraId="73F71A46" w14:textId="77777777" w:rsidR="006756E6" w:rsidRPr="006756E6" w:rsidRDefault="006756E6" w:rsidP="006756E6">
      <w:pPr>
        <w:rPr>
          <w:rFonts w:ascii="Segoe UI" w:hAnsi="Segoe UI" w:cs="Segoe UI"/>
        </w:rPr>
      </w:pPr>
    </w:p>
    <w:p w14:paraId="69B7F147" w14:textId="77777777" w:rsidR="006756E6" w:rsidRPr="006756E6" w:rsidRDefault="006756E6" w:rsidP="006756E6">
      <w:pPr>
        <w:rPr>
          <w:rFonts w:ascii="Segoe UI" w:hAnsi="Segoe UI" w:cs="Segoe UI"/>
          <w:b/>
        </w:rPr>
      </w:pPr>
      <w:r w:rsidRPr="006756E6">
        <w:rPr>
          <w:rFonts w:ascii="Segoe UI" w:hAnsi="Segoe UI" w:cs="Segoe UI"/>
          <w:b/>
        </w:rPr>
        <w:t>How is the technology / service funded at present? (For example: research funding; State-based funding; self-funded by patients; no funding or payments):</w:t>
      </w:r>
    </w:p>
    <w:p w14:paraId="50B028C1" w14:textId="77777777" w:rsidR="006756E6" w:rsidRPr="006756E6" w:rsidRDefault="006756E6" w:rsidP="006756E6">
      <w:pPr>
        <w:rPr>
          <w:rFonts w:ascii="Segoe UI" w:hAnsi="Segoe UI" w:cs="Segoe UI"/>
        </w:rPr>
      </w:pPr>
      <w:r w:rsidRPr="006756E6">
        <w:rPr>
          <w:rFonts w:ascii="Segoe UI" w:hAnsi="Segoe UI" w:cs="Segoe UI"/>
        </w:rPr>
        <w:t xml:space="preserve">Currently, </w:t>
      </w:r>
      <w:proofErr w:type="spellStart"/>
      <w:r w:rsidRPr="006756E6">
        <w:rPr>
          <w:rFonts w:ascii="Segoe UI" w:hAnsi="Segoe UI" w:cs="Segoe UI"/>
        </w:rPr>
        <w:t>CgA</w:t>
      </w:r>
      <w:proofErr w:type="spellEnd"/>
      <w:r w:rsidRPr="006756E6">
        <w:rPr>
          <w:rFonts w:ascii="Segoe UI" w:hAnsi="Segoe UI" w:cs="Segoe UI"/>
        </w:rPr>
        <w:t xml:space="preserve"> monitoring is funded predominantly on an out-of-pocket basis, with patients typically paying between $45 to $80 per test depending on the provider, with some patients undergoing up to four tests per year as part of disease surveillance. These funding arrangements create inequitable access to testing: uptake is currently contingent on a patient’s capacity to pay, and/or their proximity to services willing to absorb costs, which can disproportionately disadvantage people on lower incomes, those in regional and remote areas, and patients requiring more frequent monitoring due to clinical complexity. As a result, access is inconsistent across jurisdictions and providers.</w:t>
      </w:r>
    </w:p>
    <w:p w14:paraId="1118468A" w14:textId="77777777" w:rsidR="006756E6" w:rsidRPr="006756E6" w:rsidRDefault="006756E6" w:rsidP="006756E6">
      <w:pPr>
        <w:pStyle w:val="Heading1"/>
      </w:pPr>
      <w:r w:rsidRPr="006756E6">
        <w:t>Claims</w:t>
      </w:r>
    </w:p>
    <w:p w14:paraId="6B56C81D" w14:textId="77777777" w:rsidR="006756E6" w:rsidRPr="006756E6" w:rsidRDefault="006756E6" w:rsidP="006756E6">
      <w:pPr>
        <w:rPr>
          <w:rFonts w:ascii="Segoe UI" w:hAnsi="Segoe UI" w:cs="Segoe UI"/>
          <w:b/>
        </w:rPr>
      </w:pPr>
      <w:r w:rsidRPr="006756E6">
        <w:rPr>
          <w:rFonts w:ascii="Segoe UI" w:hAnsi="Segoe UI" w:cs="Segoe UI"/>
          <w:b/>
        </w:rPr>
        <w:t>In terms of health outcomes (comparative benefits and harms), is the proposed technology claimed to be superior, non-inferior or inferior to the comparator(s)?</w:t>
      </w:r>
    </w:p>
    <w:p w14:paraId="7B47F246" w14:textId="77777777" w:rsidR="006756E6" w:rsidRPr="006756E6" w:rsidRDefault="006756E6" w:rsidP="006756E6">
      <w:pPr>
        <w:rPr>
          <w:rFonts w:ascii="Segoe UI" w:hAnsi="Segoe UI" w:cs="Segoe UI"/>
        </w:rPr>
      </w:pPr>
      <w:r w:rsidRPr="006756E6">
        <w:rPr>
          <w:rFonts w:ascii="Segoe UI" w:hAnsi="Segoe UI" w:cs="Segoe UI"/>
        </w:rPr>
        <w:t>Superior</w:t>
      </w:r>
    </w:p>
    <w:p w14:paraId="097C96CC" w14:textId="77777777" w:rsidR="00014383" w:rsidRDefault="00014383">
      <w:pPr>
        <w:rPr>
          <w:rFonts w:ascii="Segoe UI" w:hAnsi="Segoe UI" w:cs="Segoe UI"/>
          <w:b/>
        </w:rPr>
      </w:pPr>
      <w:r>
        <w:rPr>
          <w:rFonts w:ascii="Segoe UI" w:hAnsi="Segoe UI" w:cs="Segoe UI"/>
          <w:b/>
        </w:rPr>
        <w:br w:type="page"/>
      </w:r>
    </w:p>
    <w:p w14:paraId="12265D72" w14:textId="353D3DE7" w:rsidR="006756E6" w:rsidRPr="006756E6" w:rsidRDefault="006756E6" w:rsidP="006756E6">
      <w:pPr>
        <w:rPr>
          <w:rFonts w:ascii="Segoe UI" w:hAnsi="Segoe UI" w:cs="Segoe UI"/>
          <w:b/>
        </w:rPr>
      </w:pPr>
      <w:r w:rsidRPr="006756E6">
        <w:rPr>
          <w:rFonts w:ascii="Segoe UI" w:hAnsi="Segoe UI" w:cs="Segoe UI"/>
          <w:b/>
        </w:rPr>
        <w:t>Please state what the overall claim is, and provide a rationale:</w:t>
      </w:r>
    </w:p>
    <w:p w14:paraId="64DB952F" w14:textId="77777777" w:rsidR="006756E6" w:rsidRPr="006756E6" w:rsidRDefault="006756E6" w:rsidP="006756E6">
      <w:pPr>
        <w:rPr>
          <w:rFonts w:ascii="Segoe UI" w:hAnsi="Segoe UI" w:cs="Segoe UI"/>
        </w:rPr>
      </w:pPr>
      <w:r w:rsidRPr="006756E6">
        <w:rPr>
          <w:rFonts w:ascii="Segoe UI" w:hAnsi="Segoe UI" w:cs="Segoe UI"/>
        </w:rPr>
        <w:t xml:space="preserve">Compared with no biomarker testing, serial </w:t>
      </w:r>
      <w:proofErr w:type="spellStart"/>
      <w:r w:rsidRPr="006756E6">
        <w:rPr>
          <w:rFonts w:ascii="Segoe UI" w:hAnsi="Segoe UI" w:cs="Segoe UI"/>
        </w:rPr>
        <w:t>CgA</w:t>
      </w:r>
      <w:proofErr w:type="spellEnd"/>
      <w:r w:rsidRPr="006756E6">
        <w:rPr>
          <w:rFonts w:ascii="Segoe UI" w:hAnsi="Segoe UI" w:cs="Segoe UI"/>
        </w:rPr>
        <w:t xml:space="preserve"> monitoring in patients with metastatic NETs who have a trackable (elevated) baseline provides an accessible longitudinal signal of increasing disease activity that can prompt earlier clinical review and confirmatory investigation (CT/MRI and, where appropriate, somatostatin-receptor imaging), thereby supporting timelier reassessment or treatment escalation.</w:t>
      </w:r>
      <w:r w:rsidRPr="006756E6">
        <w:rPr>
          <w:rFonts w:ascii="Segoe UI" w:hAnsi="Segoe UI" w:cs="Segoe UI"/>
        </w:rPr>
        <w:br/>
      </w:r>
      <w:r w:rsidRPr="006756E6">
        <w:rPr>
          <w:rFonts w:ascii="Segoe UI" w:hAnsi="Segoe UI" w:cs="Segoe UI"/>
        </w:rPr>
        <w:br/>
        <w:t xml:space="preserve">Rising </w:t>
      </w:r>
      <w:proofErr w:type="spellStart"/>
      <w:r w:rsidRPr="006756E6">
        <w:rPr>
          <w:rFonts w:ascii="Segoe UI" w:hAnsi="Segoe UI" w:cs="Segoe UI"/>
        </w:rPr>
        <w:t>CgA</w:t>
      </w:r>
      <w:proofErr w:type="spellEnd"/>
      <w:r w:rsidRPr="006756E6">
        <w:rPr>
          <w:rFonts w:ascii="Segoe UI" w:hAnsi="Segoe UI" w:cs="Segoe UI"/>
        </w:rPr>
        <w:t xml:space="preserve"> during follow-up is associated with recurrence/progression and can prompt further investigation before new symptoms become apparent (after accounting for confounding factors such as PPI treatment), or the next scheduled scan. In doing so, management changes (e.g. systemic therapy adjustment or locoregional control) may be enacted sooner, potentially improving symptom control, avoiding progression-related complications, and preserving quality of life. This is supported by evidence of the test’s performance (pooled sensitivity ~74.6%, specificity ~84.7%). The tests higher specificity but lower sensitivity for RECIST-defined progression supports its utility for triage/trigger rather than a stand-alone rule-out test.</w:t>
      </w:r>
      <w:r w:rsidRPr="006756E6">
        <w:rPr>
          <w:rFonts w:ascii="Segoe UI" w:hAnsi="Segoe UI" w:cs="Segoe UI"/>
        </w:rPr>
        <w:br/>
      </w:r>
    </w:p>
    <w:p w14:paraId="56F723CF" w14:textId="77777777" w:rsidR="006756E6" w:rsidRPr="006756E6" w:rsidRDefault="006756E6" w:rsidP="00014383">
      <w:pPr>
        <w:pStyle w:val="Heading1"/>
      </w:pPr>
      <w:r w:rsidRPr="006756E6">
        <w:t>Estimated utilisation</w:t>
      </w:r>
    </w:p>
    <w:p w14:paraId="6225A014" w14:textId="77777777" w:rsidR="006756E6" w:rsidRPr="006756E6" w:rsidRDefault="006756E6" w:rsidP="006756E6">
      <w:pPr>
        <w:rPr>
          <w:rFonts w:ascii="Segoe UI" w:hAnsi="Segoe UI" w:cs="Segoe UI"/>
          <w:b/>
        </w:rPr>
      </w:pPr>
      <w:r w:rsidRPr="006756E6">
        <w:rPr>
          <w:rFonts w:ascii="Segoe UI" w:hAnsi="Segoe UI" w:cs="Segoe UI"/>
          <w:b/>
        </w:rPr>
        <w:t>Estimate the prevalence and/or incidence of the proposed population:</w:t>
      </w:r>
    </w:p>
    <w:p w14:paraId="587AFDF9" w14:textId="77777777" w:rsidR="006756E6" w:rsidRPr="006756E6" w:rsidRDefault="006756E6" w:rsidP="006756E6">
      <w:pPr>
        <w:rPr>
          <w:rFonts w:ascii="Segoe UI" w:hAnsi="Segoe UI" w:cs="Segoe UI"/>
        </w:rPr>
      </w:pPr>
      <w:r w:rsidRPr="006756E6">
        <w:rPr>
          <w:rFonts w:ascii="Segoe UI" w:hAnsi="Segoe UI" w:cs="Segoe UI"/>
        </w:rPr>
        <w:t>Data from the AIHW indicate there were 4,832 new cases of NENs diagnosed in 2021 (18.8 per 100,000, crude rate), and 21,794 prevalent cases of people living with NENs that were diagnosed since 2012. A Victorian audit of NENs from 1982-2019 reported 58% of all NENs were well-differentiated. It is unclear how many of these are likely to have had metastatic disease, as TNM stage was not collected in the NEN dataset for this audit. Applying this percentage to the recent AIHW data yields an estimated 2,802 new cases, and 12,640 prevalence cases in the proposed population, noting that this is likely to be an over-estimate as it does not confirm if these patients had metastatic disease, or if they had a previously resected tumour (and would not be considered in the eligible population).</w:t>
      </w:r>
    </w:p>
    <w:p w14:paraId="50DC2297" w14:textId="77777777" w:rsidR="00014383" w:rsidRDefault="00014383">
      <w:pPr>
        <w:rPr>
          <w:rFonts w:ascii="Segoe UI" w:hAnsi="Segoe UI" w:cs="Segoe UI"/>
          <w:b/>
        </w:rPr>
      </w:pPr>
      <w:r>
        <w:rPr>
          <w:rFonts w:ascii="Segoe UI" w:hAnsi="Segoe UI" w:cs="Segoe UI"/>
          <w:b/>
        </w:rPr>
        <w:br w:type="page"/>
      </w:r>
    </w:p>
    <w:p w14:paraId="016E2A14" w14:textId="5A10C82C" w:rsidR="006756E6" w:rsidRPr="006756E6" w:rsidRDefault="006756E6" w:rsidP="006756E6">
      <w:pPr>
        <w:rPr>
          <w:rFonts w:ascii="Segoe UI" w:hAnsi="Segoe UI" w:cs="Segoe UI"/>
          <w:b/>
        </w:rPr>
      </w:pPr>
      <w:r w:rsidRPr="006756E6">
        <w:rPr>
          <w:rFonts w:ascii="Segoe UI" w:hAnsi="Segoe UI" w:cs="Segoe UI"/>
          <w:b/>
        </w:rPr>
        <w:t>Provide the percentage uptake of the proposed health technology by the proposed population:</w:t>
      </w:r>
    </w:p>
    <w:p w14:paraId="0ED28E50" w14:textId="1B50FFC0" w:rsidR="006756E6" w:rsidRPr="006756E6" w:rsidRDefault="006756E6" w:rsidP="006756E6">
      <w:pPr>
        <w:rPr>
          <w:rFonts w:ascii="Segoe UI" w:hAnsi="Segoe UI" w:cs="Segoe UI"/>
        </w:rPr>
      </w:pPr>
      <w:r w:rsidRPr="006756E6">
        <w:rPr>
          <w:rFonts w:ascii="Segoe UI" w:hAnsi="Segoe UI" w:cs="Segoe UI"/>
          <w:b/>
        </w:rPr>
        <w:t xml:space="preserve">Year 1 estimated uptake (%): </w:t>
      </w:r>
      <w:r w:rsidR="00014383">
        <w:rPr>
          <w:rFonts w:ascii="Segoe UI" w:hAnsi="Segoe UI" w:cs="Segoe UI"/>
          <w:b/>
        </w:rPr>
        <w:br/>
      </w:r>
      <w:r w:rsidRPr="006756E6">
        <w:rPr>
          <w:rFonts w:ascii="Segoe UI" w:hAnsi="Segoe UI" w:cs="Segoe UI"/>
        </w:rPr>
        <w:t>70</w:t>
      </w:r>
    </w:p>
    <w:p w14:paraId="2532EFE0" w14:textId="25CBB722" w:rsidR="006756E6" w:rsidRPr="006756E6" w:rsidRDefault="006756E6" w:rsidP="006756E6">
      <w:pPr>
        <w:rPr>
          <w:rFonts w:ascii="Segoe UI" w:hAnsi="Segoe UI" w:cs="Segoe UI"/>
        </w:rPr>
      </w:pPr>
      <w:r w:rsidRPr="006756E6">
        <w:rPr>
          <w:rFonts w:ascii="Segoe UI" w:hAnsi="Segoe UI" w:cs="Segoe UI"/>
          <w:b/>
        </w:rPr>
        <w:t xml:space="preserve">Year 2 estimated uptake (%): </w:t>
      </w:r>
      <w:r w:rsidR="00014383">
        <w:rPr>
          <w:rFonts w:ascii="Segoe UI" w:hAnsi="Segoe UI" w:cs="Segoe UI"/>
          <w:b/>
        </w:rPr>
        <w:br/>
      </w:r>
      <w:r w:rsidRPr="006756E6">
        <w:rPr>
          <w:rFonts w:ascii="Segoe UI" w:hAnsi="Segoe UI" w:cs="Segoe UI"/>
        </w:rPr>
        <w:t>80</w:t>
      </w:r>
    </w:p>
    <w:p w14:paraId="7D95690C" w14:textId="3567CFEC" w:rsidR="006756E6" w:rsidRPr="006756E6" w:rsidRDefault="006756E6" w:rsidP="006756E6">
      <w:pPr>
        <w:rPr>
          <w:rFonts w:ascii="Segoe UI" w:hAnsi="Segoe UI" w:cs="Segoe UI"/>
        </w:rPr>
      </w:pPr>
      <w:r w:rsidRPr="006756E6">
        <w:rPr>
          <w:rFonts w:ascii="Segoe UI" w:hAnsi="Segoe UI" w:cs="Segoe UI"/>
          <w:b/>
        </w:rPr>
        <w:t xml:space="preserve">Year 3 estimated uptake (%): </w:t>
      </w:r>
      <w:r w:rsidR="00014383">
        <w:rPr>
          <w:rFonts w:ascii="Segoe UI" w:hAnsi="Segoe UI" w:cs="Segoe UI"/>
          <w:b/>
        </w:rPr>
        <w:br/>
      </w:r>
      <w:r w:rsidRPr="006756E6">
        <w:rPr>
          <w:rFonts w:ascii="Segoe UI" w:hAnsi="Segoe UI" w:cs="Segoe UI"/>
        </w:rPr>
        <w:t>90</w:t>
      </w:r>
    </w:p>
    <w:p w14:paraId="62346C55" w14:textId="28111079" w:rsidR="006756E6" w:rsidRPr="006756E6" w:rsidRDefault="006756E6" w:rsidP="006756E6">
      <w:pPr>
        <w:rPr>
          <w:rFonts w:ascii="Segoe UI" w:hAnsi="Segoe UI" w:cs="Segoe UI"/>
        </w:rPr>
      </w:pPr>
      <w:r w:rsidRPr="006756E6">
        <w:rPr>
          <w:rFonts w:ascii="Segoe UI" w:hAnsi="Segoe UI" w:cs="Segoe UI"/>
          <w:b/>
        </w:rPr>
        <w:t xml:space="preserve">Year 4 estimated uptake (%): </w:t>
      </w:r>
      <w:r w:rsidR="00014383">
        <w:rPr>
          <w:rFonts w:ascii="Segoe UI" w:hAnsi="Segoe UI" w:cs="Segoe UI"/>
          <w:b/>
        </w:rPr>
        <w:br/>
      </w:r>
      <w:r w:rsidRPr="006756E6">
        <w:rPr>
          <w:rFonts w:ascii="Segoe UI" w:hAnsi="Segoe UI" w:cs="Segoe UI"/>
        </w:rPr>
        <w:t>90</w:t>
      </w:r>
    </w:p>
    <w:p w14:paraId="25F827D9" w14:textId="15239376" w:rsidR="006756E6" w:rsidRPr="006756E6" w:rsidRDefault="006756E6" w:rsidP="006756E6">
      <w:pPr>
        <w:rPr>
          <w:rFonts w:ascii="Segoe UI" w:hAnsi="Segoe UI" w:cs="Segoe UI"/>
        </w:rPr>
      </w:pPr>
      <w:r w:rsidRPr="006756E6">
        <w:rPr>
          <w:rFonts w:ascii="Segoe UI" w:hAnsi="Segoe UI" w:cs="Segoe UI"/>
          <w:b/>
        </w:rPr>
        <w:t xml:space="preserve">Estimate the number of patients who will utilise the proposed technology for the first full year: </w:t>
      </w:r>
      <w:r w:rsidR="00354B79">
        <w:rPr>
          <w:rFonts w:ascii="Segoe UI" w:hAnsi="Segoe UI" w:cs="Segoe UI"/>
          <w:b/>
        </w:rPr>
        <w:br/>
      </w:r>
      <w:r w:rsidRPr="006756E6">
        <w:rPr>
          <w:rFonts w:ascii="Segoe UI" w:hAnsi="Segoe UI" w:cs="Segoe UI"/>
        </w:rPr>
        <w:t>10,809</w:t>
      </w:r>
    </w:p>
    <w:p w14:paraId="5376C5D2" w14:textId="003C311F" w:rsidR="006756E6" w:rsidRPr="006756E6" w:rsidRDefault="006756E6" w:rsidP="006756E6">
      <w:pPr>
        <w:rPr>
          <w:rFonts w:ascii="Segoe UI" w:hAnsi="Segoe UI" w:cs="Segoe UI"/>
        </w:rPr>
      </w:pPr>
      <w:r w:rsidRPr="006756E6">
        <w:rPr>
          <w:rFonts w:ascii="Segoe UI" w:hAnsi="Segoe UI" w:cs="Segoe UI"/>
          <w:b/>
        </w:rPr>
        <w:t xml:space="preserve">Optionally, provide details: </w:t>
      </w:r>
      <w:r w:rsidR="00354B79">
        <w:rPr>
          <w:rFonts w:ascii="Segoe UI" w:hAnsi="Segoe UI" w:cs="Segoe UI"/>
          <w:b/>
        </w:rPr>
        <w:br/>
      </w:r>
      <w:r w:rsidRPr="006756E6">
        <w:rPr>
          <w:rFonts w:ascii="Segoe UI" w:hAnsi="Segoe UI" w:cs="Segoe UI"/>
        </w:rPr>
        <w:t xml:space="preserve">This estimate is based on the epidemiological estimate for prevalent + incident cases of well-differentiated NENs, multiplied by the expected uptake in year 1 (which often </w:t>
      </w:r>
      <w:proofErr w:type="gramStart"/>
      <w:r w:rsidRPr="006756E6">
        <w:rPr>
          <w:rFonts w:ascii="Segoe UI" w:hAnsi="Segoe UI" w:cs="Segoe UI"/>
        </w:rPr>
        <w:t>lags behind</w:t>
      </w:r>
      <w:proofErr w:type="gramEnd"/>
      <w:r w:rsidRPr="006756E6">
        <w:rPr>
          <w:rFonts w:ascii="Segoe UI" w:hAnsi="Segoe UI" w:cs="Segoe UI"/>
        </w:rPr>
        <w:t xml:space="preserve"> the availability of a new MBS item). We note, again, that this is likely an overestimate as it does not consider which of these patients had metastatic disease (inclusion criteria), nor if they had radically resected disease (exclusion criteria).</w:t>
      </w:r>
    </w:p>
    <w:p w14:paraId="421A4E60" w14:textId="302C89E6" w:rsidR="006756E6" w:rsidRPr="006756E6" w:rsidRDefault="006756E6" w:rsidP="006756E6">
      <w:pPr>
        <w:rPr>
          <w:rFonts w:ascii="Segoe UI" w:hAnsi="Segoe UI" w:cs="Segoe UI"/>
        </w:rPr>
      </w:pPr>
      <w:r w:rsidRPr="006756E6">
        <w:rPr>
          <w:rFonts w:ascii="Segoe UI" w:hAnsi="Segoe UI" w:cs="Segoe UI"/>
          <w:b/>
        </w:rPr>
        <w:t xml:space="preserve">Will the technology be needed more than once per patient? </w:t>
      </w:r>
      <w:r w:rsidR="00354B79">
        <w:rPr>
          <w:rFonts w:ascii="Segoe UI" w:hAnsi="Segoe UI" w:cs="Segoe UI"/>
          <w:b/>
        </w:rPr>
        <w:br/>
      </w:r>
      <w:r w:rsidRPr="006756E6">
        <w:rPr>
          <w:rFonts w:ascii="Segoe UI" w:hAnsi="Segoe UI" w:cs="Segoe UI"/>
        </w:rPr>
        <w:t>Yes, multiple times</w:t>
      </w:r>
    </w:p>
    <w:p w14:paraId="01F33683" w14:textId="693BB738" w:rsidR="006756E6" w:rsidRPr="006756E6" w:rsidRDefault="006756E6" w:rsidP="006756E6">
      <w:pPr>
        <w:rPr>
          <w:rFonts w:ascii="Segoe UI" w:hAnsi="Segoe UI" w:cs="Segoe UI"/>
        </w:rPr>
      </w:pPr>
      <w:r w:rsidRPr="006756E6">
        <w:rPr>
          <w:rFonts w:ascii="Segoe UI" w:hAnsi="Segoe UI" w:cs="Segoe UI"/>
          <w:b/>
        </w:rPr>
        <w:t xml:space="preserve">Over what duration will the health technology or service be provided for a patient? (preferably </w:t>
      </w:r>
      <w:proofErr w:type="gramStart"/>
      <w:r w:rsidRPr="006756E6">
        <w:rPr>
          <w:rFonts w:ascii="Segoe UI" w:hAnsi="Segoe UI" w:cs="Segoe UI"/>
          <w:b/>
        </w:rPr>
        <w:t>a number of</w:t>
      </w:r>
      <w:proofErr w:type="gramEnd"/>
      <w:r w:rsidRPr="006756E6">
        <w:rPr>
          <w:rFonts w:ascii="Segoe UI" w:hAnsi="Segoe UI" w:cs="Segoe UI"/>
          <w:b/>
        </w:rPr>
        <w:t xml:space="preserve"> years): </w:t>
      </w:r>
      <w:r w:rsidR="00354B79">
        <w:rPr>
          <w:rFonts w:ascii="Segoe UI" w:hAnsi="Segoe UI" w:cs="Segoe UI"/>
          <w:b/>
        </w:rPr>
        <w:br/>
      </w:r>
      <w:r w:rsidRPr="006756E6">
        <w:rPr>
          <w:rFonts w:ascii="Segoe UI" w:hAnsi="Segoe UI" w:cs="Segoe UI"/>
        </w:rPr>
        <w:t>Lifelong, 1-15+ years based on survival data</w:t>
      </w:r>
    </w:p>
    <w:p w14:paraId="22BE4AAC" w14:textId="5B7549C8" w:rsidR="006756E6" w:rsidRPr="006756E6" w:rsidRDefault="006756E6" w:rsidP="006756E6">
      <w:pPr>
        <w:rPr>
          <w:rFonts w:ascii="Segoe UI" w:hAnsi="Segoe UI" w:cs="Segoe UI"/>
        </w:rPr>
      </w:pPr>
      <w:r w:rsidRPr="006756E6">
        <w:rPr>
          <w:rFonts w:ascii="Segoe UI" w:hAnsi="Segoe UI" w:cs="Segoe UI"/>
          <w:b/>
        </w:rPr>
        <w:t xml:space="preserve">Optionally, provide details: </w:t>
      </w:r>
      <w:r w:rsidR="00354B79">
        <w:rPr>
          <w:rFonts w:ascii="Segoe UI" w:hAnsi="Segoe UI" w:cs="Segoe UI"/>
          <w:b/>
        </w:rPr>
        <w:br/>
      </w:r>
      <w:r w:rsidRPr="006756E6">
        <w:rPr>
          <w:rFonts w:ascii="Segoe UI" w:hAnsi="Segoe UI" w:cs="Segoe UI"/>
        </w:rPr>
        <w:t>For metastatic NENs, follow-up is generally ongoing/lifelong due to the chronic nature of the condition, and recurrence/progression can occur late in the disease. Of well-differentiated NENs reported in the Victorian audit, the 5-year survival was 86% (95% CI 84-88) and median overall survival was 15.5 years (14.5-NR). It is unclear how generalisable these data are to other States and Territories in the country, particularly those with greater geographical distances that limit access to imaging and other follow-up services compared to Victoria.</w:t>
      </w:r>
    </w:p>
    <w:p w14:paraId="79436C24" w14:textId="77777777" w:rsidR="006756E6" w:rsidRPr="006756E6" w:rsidRDefault="006756E6" w:rsidP="006756E6">
      <w:pPr>
        <w:rPr>
          <w:rFonts w:ascii="Segoe UI" w:hAnsi="Segoe UI" w:cs="Segoe UI"/>
          <w:b/>
        </w:rPr>
      </w:pPr>
      <w:r w:rsidRPr="006756E6">
        <w:rPr>
          <w:rFonts w:ascii="Segoe UI" w:hAnsi="Segoe UI" w:cs="Segoe UI"/>
          <w:b/>
        </w:rPr>
        <w:t xml:space="preserve">What frequency will the health technology or service be required by the patient over the duration? (range, preferably on an annual basis): </w:t>
      </w:r>
    </w:p>
    <w:p w14:paraId="2A98A21B" w14:textId="77777777" w:rsidR="006756E6" w:rsidRPr="006756E6" w:rsidRDefault="006756E6" w:rsidP="006756E6">
      <w:pPr>
        <w:rPr>
          <w:rFonts w:ascii="Segoe UI" w:hAnsi="Segoe UI" w:cs="Segoe UI"/>
        </w:rPr>
      </w:pPr>
      <w:r w:rsidRPr="006756E6">
        <w:rPr>
          <w:rFonts w:ascii="Segoe UI" w:hAnsi="Segoe UI" w:cs="Segoe UI"/>
        </w:rPr>
        <w:t>1-4 per year</w:t>
      </w:r>
    </w:p>
    <w:p w14:paraId="3C8FB78E" w14:textId="77777777" w:rsidR="006756E6" w:rsidRPr="006756E6" w:rsidRDefault="006756E6" w:rsidP="006756E6">
      <w:pPr>
        <w:rPr>
          <w:rFonts w:ascii="Segoe UI" w:hAnsi="Segoe UI" w:cs="Segoe UI"/>
          <w:b/>
        </w:rPr>
      </w:pPr>
      <w:r w:rsidRPr="006756E6">
        <w:rPr>
          <w:rFonts w:ascii="Segoe UI" w:hAnsi="Segoe UI" w:cs="Segoe UI"/>
          <w:b/>
        </w:rPr>
        <w:t xml:space="preserve">Optionally, provide details: </w:t>
      </w:r>
    </w:p>
    <w:p w14:paraId="7081A2F1" w14:textId="77777777" w:rsidR="006756E6" w:rsidRPr="006756E6" w:rsidRDefault="006756E6" w:rsidP="006756E6">
      <w:pPr>
        <w:rPr>
          <w:rFonts w:ascii="Segoe UI" w:hAnsi="Segoe UI" w:cs="Segoe UI"/>
        </w:rPr>
      </w:pPr>
      <w:r w:rsidRPr="006756E6">
        <w:rPr>
          <w:rFonts w:ascii="Segoe UI" w:hAnsi="Segoe UI" w:cs="Segoe UI"/>
        </w:rPr>
        <w:t xml:space="preserve">As noted previously, the COSA guideline recommends 3-monthly </w:t>
      </w:r>
      <w:proofErr w:type="spellStart"/>
      <w:r w:rsidRPr="006756E6">
        <w:rPr>
          <w:rFonts w:ascii="Segoe UI" w:hAnsi="Segoe UI" w:cs="Segoe UI"/>
        </w:rPr>
        <w:t>CgA</w:t>
      </w:r>
      <w:proofErr w:type="spellEnd"/>
      <w:r w:rsidRPr="006756E6">
        <w:rPr>
          <w:rFonts w:ascii="Segoe UI" w:hAnsi="Segoe UI" w:cs="Segoe UI"/>
        </w:rPr>
        <w:t xml:space="preserve"> testing initially, and then less frequently once stable. Based on available data from labs that currently conduct </w:t>
      </w:r>
      <w:proofErr w:type="spellStart"/>
      <w:r w:rsidRPr="006756E6">
        <w:rPr>
          <w:rFonts w:ascii="Segoe UI" w:hAnsi="Segoe UI" w:cs="Segoe UI"/>
        </w:rPr>
        <w:t>CgA</w:t>
      </w:r>
      <w:proofErr w:type="spellEnd"/>
      <w:r w:rsidRPr="006756E6">
        <w:rPr>
          <w:rFonts w:ascii="Segoe UI" w:hAnsi="Segoe UI" w:cs="Segoe UI"/>
        </w:rPr>
        <w:t xml:space="preserve"> monitoring in practice, only 7% of patients receive twice-yearly </w:t>
      </w:r>
      <w:proofErr w:type="spellStart"/>
      <w:r w:rsidRPr="006756E6">
        <w:rPr>
          <w:rFonts w:ascii="Segoe UI" w:hAnsi="Segoe UI" w:cs="Segoe UI"/>
        </w:rPr>
        <w:t>CgA</w:t>
      </w:r>
      <w:proofErr w:type="spellEnd"/>
      <w:r w:rsidRPr="006756E6">
        <w:rPr>
          <w:rFonts w:ascii="Segoe UI" w:hAnsi="Segoe UI" w:cs="Segoe UI"/>
        </w:rPr>
        <w:t xml:space="preserve"> testing, and even fewer patients have more than two </w:t>
      </w:r>
      <w:proofErr w:type="spellStart"/>
      <w:r w:rsidRPr="006756E6">
        <w:rPr>
          <w:rFonts w:ascii="Segoe UI" w:hAnsi="Segoe UI" w:cs="Segoe UI"/>
        </w:rPr>
        <w:t>CgA</w:t>
      </w:r>
      <w:proofErr w:type="spellEnd"/>
      <w:r w:rsidRPr="006756E6">
        <w:rPr>
          <w:rFonts w:ascii="Segoe UI" w:hAnsi="Segoe UI" w:cs="Segoe UI"/>
        </w:rPr>
        <w:t xml:space="preserve"> tests per year. This may reflect the cost barriers to testing.</w:t>
      </w:r>
    </w:p>
    <w:p w14:paraId="05DFC11F" w14:textId="77777777" w:rsidR="00133449" w:rsidRPr="0010048D" w:rsidRDefault="00133449" w:rsidP="00133449">
      <w:pPr>
        <w:pStyle w:val="Heading1"/>
        <w:rPr>
          <w:rFonts w:cs="Segoe UI"/>
        </w:rPr>
      </w:pPr>
      <w:r w:rsidRPr="0010048D">
        <w:rPr>
          <w:rFonts w:cs="Segoe UI"/>
        </w:rPr>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5B196D44" w14:textId="0D9E7534" w:rsidR="00014383" w:rsidRDefault="00014383" w:rsidP="00133449">
      <w:pPr>
        <w:rPr>
          <w:rFonts w:ascii="Segoe UI" w:hAnsi="Segoe UI" w:cs="Segoe UI"/>
          <w:b/>
        </w:rPr>
      </w:pPr>
      <w:r w:rsidRPr="00014383">
        <w:rPr>
          <w:rFonts w:ascii="Segoe UI" w:hAnsi="Segoe UI" w:cs="Segoe UI"/>
          <w:b/>
        </w:rPr>
        <w:t>Entit</w:t>
      </w:r>
      <w:r>
        <w:rPr>
          <w:rFonts w:ascii="Segoe UI" w:hAnsi="Segoe UI" w:cs="Segoe UI"/>
          <w:b/>
        </w:rPr>
        <w:t>ies</w:t>
      </w:r>
      <w:r w:rsidRPr="00014383">
        <w:rPr>
          <w:rFonts w:ascii="Segoe UI" w:hAnsi="Segoe UI" w:cs="Segoe UI"/>
          <w:b/>
        </w:rPr>
        <w:t xml:space="preserve"> who provide the health technology/service</w:t>
      </w:r>
      <w:r>
        <w:rPr>
          <w:rFonts w:ascii="Segoe UI" w:hAnsi="Segoe UI" w:cs="Segoe UI"/>
          <w:b/>
        </w:rPr>
        <w:t>:</w:t>
      </w:r>
    </w:p>
    <w:p w14:paraId="4855EC94" w14:textId="629C4563" w:rsidR="00014383" w:rsidRDefault="00014383" w:rsidP="00133449">
      <w:pPr>
        <w:rPr>
          <w:rFonts w:ascii="Segoe UI" w:hAnsi="Segoe UI" w:cs="Segoe UI"/>
          <w:bCs/>
        </w:rPr>
      </w:pPr>
      <w:r>
        <w:rPr>
          <w:rFonts w:ascii="Segoe UI" w:hAnsi="Segoe UI" w:cs="Segoe UI"/>
          <w:bCs/>
        </w:rPr>
        <w:t>PATHOLOGY AUSTRALIA LIMITED</w:t>
      </w:r>
    </w:p>
    <w:p w14:paraId="5CD30C85" w14:textId="77777777" w:rsidR="00014383" w:rsidRDefault="00014383" w:rsidP="00014383">
      <w:pPr>
        <w:rPr>
          <w:rFonts w:ascii="Segoe UI" w:hAnsi="Segoe UI" w:cs="Segoe UI"/>
          <w:bCs/>
        </w:rPr>
      </w:pPr>
      <w:r>
        <w:rPr>
          <w:rFonts w:ascii="Segoe UI" w:hAnsi="Segoe UI" w:cs="Segoe UI"/>
          <w:bCs/>
        </w:rPr>
        <w:t>THE ROYAL COLLEGE OF PATHOLOGISTS OF AUSTRALASIA</w:t>
      </w:r>
    </w:p>
    <w:p w14:paraId="791685E2" w14:textId="77777777" w:rsidR="00014383" w:rsidRDefault="00014383" w:rsidP="00014383">
      <w:pPr>
        <w:rPr>
          <w:rFonts w:ascii="Segoe UI" w:hAnsi="Segoe UI" w:cs="Segoe UI"/>
          <w:bCs/>
        </w:rPr>
      </w:pPr>
      <w:r>
        <w:rPr>
          <w:rFonts w:ascii="Segoe UI" w:hAnsi="Segoe UI" w:cs="Segoe UI"/>
          <w:bCs/>
        </w:rPr>
        <w:t>PUBLIC PATHOLOGY AUSTRALIA</w:t>
      </w:r>
    </w:p>
    <w:p w14:paraId="31171024" w14:textId="5A596FAD" w:rsidR="00014383" w:rsidRDefault="00014383" w:rsidP="00133449">
      <w:pPr>
        <w:rPr>
          <w:rFonts w:ascii="Segoe UI" w:hAnsi="Segoe UI" w:cs="Segoe UI"/>
          <w:b/>
        </w:rPr>
      </w:pPr>
      <w:r w:rsidRPr="00014383">
        <w:rPr>
          <w:rFonts w:ascii="Segoe UI" w:hAnsi="Segoe UI" w:cs="Segoe UI"/>
          <w:b/>
        </w:rPr>
        <w:t>Entit</w:t>
      </w:r>
      <w:r>
        <w:rPr>
          <w:rFonts w:ascii="Segoe UI" w:hAnsi="Segoe UI" w:cs="Segoe UI"/>
          <w:b/>
        </w:rPr>
        <w:t>ies</w:t>
      </w:r>
      <w:r w:rsidRPr="00014383">
        <w:rPr>
          <w:rFonts w:ascii="Segoe UI" w:hAnsi="Segoe UI" w:cs="Segoe UI"/>
          <w:b/>
        </w:rPr>
        <w:t xml:space="preserve"> who request the health technology/service:</w:t>
      </w:r>
    </w:p>
    <w:p w14:paraId="43F43230" w14:textId="77777777" w:rsidR="00014383" w:rsidRDefault="00014383" w:rsidP="00014383">
      <w:pPr>
        <w:rPr>
          <w:rFonts w:ascii="Segoe UI" w:hAnsi="Segoe UI" w:cs="Segoe UI"/>
          <w:bCs/>
        </w:rPr>
      </w:pPr>
      <w:r>
        <w:rPr>
          <w:rFonts w:ascii="Segoe UI" w:hAnsi="Segoe UI" w:cs="Segoe UI"/>
          <w:bCs/>
        </w:rPr>
        <w:t>MEDICAL ONCOLOGY GROUP OF AUSTRALIA</w:t>
      </w:r>
    </w:p>
    <w:p w14:paraId="5D7B785B" w14:textId="77777777" w:rsidR="00014383" w:rsidRDefault="00014383" w:rsidP="00014383">
      <w:pPr>
        <w:rPr>
          <w:rFonts w:ascii="Segoe UI" w:hAnsi="Segoe UI" w:cs="Segoe UI"/>
          <w:bCs/>
        </w:rPr>
      </w:pPr>
      <w:r>
        <w:rPr>
          <w:rFonts w:ascii="Segoe UI" w:hAnsi="Segoe UI" w:cs="Segoe UI"/>
          <w:bCs/>
        </w:rPr>
        <w:t>CLINICAL ONCOLOGY SOCIETY OF AUSTRALIA LIMITED</w:t>
      </w:r>
    </w:p>
    <w:p w14:paraId="7C853642" w14:textId="77777777" w:rsidR="00014383" w:rsidRDefault="00014383" w:rsidP="00014383">
      <w:pPr>
        <w:rPr>
          <w:rFonts w:ascii="Segoe UI" w:hAnsi="Segoe UI" w:cs="Segoe UI"/>
          <w:bCs/>
        </w:rPr>
      </w:pPr>
      <w:r>
        <w:rPr>
          <w:rFonts w:ascii="Segoe UI" w:hAnsi="Segoe UI" w:cs="Segoe UI"/>
          <w:bCs/>
        </w:rPr>
        <w:t>Private Cancer Physicians of Australia Limited</w:t>
      </w:r>
    </w:p>
    <w:p w14:paraId="7FC004E3" w14:textId="0BCF1CF5" w:rsidR="00014383" w:rsidRDefault="00014383" w:rsidP="00133449">
      <w:pPr>
        <w:rPr>
          <w:rFonts w:ascii="Segoe UI" w:hAnsi="Segoe UI" w:cs="Segoe UI"/>
          <w:b/>
        </w:rPr>
      </w:pPr>
      <w:r w:rsidRPr="00014383">
        <w:rPr>
          <w:rFonts w:ascii="Segoe UI" w:hAnsi="Segoe UI" w:cs="Segoe UI"/>
          <w:b/>
        </w:rPr>
        <w:t>Entity who may be impacted by the health technology/service</w:t>
      </w:r>
      <w:r>
        <w:rPr>
          <w:rFonts w:ascii="Segoe UI" w:hAnsi="Segoe UI" w:cs="Segoe UI"/>
          <w:b/>
        </w:rPr>
        <w:t>:</w:t>
      </w:r>
    </w:p>
    <w:p w14:paraId="413D4CA1" w14:textId="77777777" w:rsidR="00014383" w:rsidRDefault="00014383" w:rsidP="00014383">
      <w:pPr>
        <w:rPr>
          <w:rFonts w:ascii="Segoe UI" w:hAnsi="Segoe UI" w:cs="Segoe UI"/>
          <w:bCs/>
        </w:rPr>
      </w:pPr>
      <w:r>
        <w:rPr>
          <w:rFonts w:ascii="Segoe UI" w:hAnsi="Segoe UI" w:cs="Segoe UI"/>
          <w:bCs/>
        </w:rPr>
        <w:t>THE ROYAL AUSTRALASIAN COLLEGE OF PHYSICIANS</w:t>
      </w:r>
    </w:p>
    <w:p w14:paraId="62D5A154" w14:textId="26A8C525" w:rsidR="00014383" w:rsidRDefault="00014383" w:rsidP="00133449">
      <w:pPr>
        <w:rPr>
          <w:rFonts w:ascii="Segoe UI" w:hAnsi="Segoe UI" w:cs="Segoe UI"/>
          <w:b/>
        </w:rPr>
      </w:pPr>
      <w:r w:rsidRPr="00014383">
        <w:rPr>
          <w:rFonts w:ascii="Segoe UI" w:hAnsi="Segoe UI" w:cs="Segoe UI"/>
          <w:b/>
        </w:rPr>
        <w:t>Patient and consumer advocacy organisations relevant to the proposed service/health technology</w:t>
      </w:r>
      <w:r>
        <w:rPr>
          <w:rFonts w:ascii="Segoe UI" w:hAnsi="Segoe UI" w:cs="Segoe UI"/>
          <w:b/>
        </w:rPr>
        <w:t>:</w:t>
      </w:r>
    </w:p>
    <w:p w14:paraId="347FFA01" w14:textId="77777777" w:rsidR="00014383" w:rsidRDefault="00014383" w:rsidP="00014383">
      <w:pPr>
        <w:rPr>
          <w:rFonts w:ascii="Segoe UI" w:hAnsi="Segoe UI" w:cs="Segoe UI"/>
          <w:bCs/>
        </w:rPr>
      </w:pPr>
      <w:r>
        <w:rPr>
          <w:rFonts w:ascii="Segoe UI" w:hAnsi="Segoe UI" w:cs="Segoe UI"/>
          <w:bCs/>
        </w:rPr>
        <w:t>Cancer Australia</w:t>
      </w:r>
    </w:p>
    <w:p w14:paraId="15A194A9" w14:textId="77777777" w:rsidR="00014383" w:rsidRDefault="00014383" w:rsidP="00014383">
      <w:pPr>
        <w:rPr>
          <w:rFonts w:ascii="Segoe UI" w:hAnsi="Segoe UI" w:cs="Segoe UI"/>
          <w:bCs/>
        </w:rPr>
      </w:pPr>
      <w:r>
        <w:rPr>
          <w:rFonts w:ascii="Segoe UI" w:hAnsi="Segoe UI" w:cs="Segoe UI"/>
          <w:bCs/>
        </w:rPr>
        <w:t>Cancer Council Australia</w:t>
      </w:r>
    </w:p>
    <w:p w14:paraId="5305D083" w14:textId="77777777" w:rsidR="00014383" w:rsidRDefault="00014383" w:rsidP="00014383">
      <w:pPr>
        <w:rPr>
          <w:rFonts w:ascii="Segoe UI" w:hAnsi="Segoe UI" w:cs="Segoe UI"/>
          <w:bCs/>
        </w:rPr>
      </w:pPr>
      <w:r>
        <w:rPr>
          <w:rFonts w:ascii="Segoe UI" w:hAnsi="Segoe UI" w:cs="Segoe UI"/>
          <w:bCs/>
        </w:rPr>
        <w:t>Consumers Health Forum of Australia Ltd</w:t>
      </w:r>
    </w:p>
    <w:p w14:paraId="75FB2236" w14:textId="77777777" w:rsidR="00014383" w:rsidRDefault="00014383" w:rsidP="00014383">
      <w:pPr>
        <w:rPr>
          <w:rFonts w:ascii="Segoe UI" w:hAnsi="Segoe UI" w:cs="Segoe UI"/>
          <w:bCs/>
        </w:rPr>
      </w:pPr>
      <w:r>
        <w:rPr>
          <w:rFonts w:ascii="Segoe UI" w:hAnsi="Segoe UI" w:cs="Segoe UI"/>
          <w:bCs/>
        </w:rPr>
        <w:t>CANCER VOICES AUSTRALIA</w:t>
      </w:r>
    </w:p>
    <w:p w14:paraId="7A1D2754" w14:textId="77777777" w:rsidR="00014383" w:rsidRDefault="00014383" w:rsidP="00014383">
      <w:pPr>
        <w:rPr>
          <w:rFonts w:ascii="Segoe UI" w:hAnsi="Segoe UI" w:cs="Segoe UI"/>
          <w:bCs/>
        </w:rPr>
      </w:pPr>
      <w:r>
        <w:rPr>
          <w:rFonts w:ascii="Segoe UI" w:hAnsi="Segoe UI" w:cs="Segoe UI"/>
          <w:bCs/>
        </w:rPr>
        <w:t>Neuroendocrine Cancer Australia</w:t>
      </w:r>
    </w:p>
    <w:p w14:paraId="05BE94C6" w14:textId="77777777" w:rsidR="00133449" w:rsidRPr="0010048D" w:rsidRDefault="00133449" w:rsidP="00133449">
      <w:pPr>
        <w:pStyle w:val="Heading1"/>
        <w:rPr>
          <w:rFonts w:cs="Segoe UI"/>
        </w:rPr>
      </w:pPr>
      <w:r w:rsidRPr="0010048D">
        <w:rPr>
          <w:rFonts w:cs="Segoe UI"/>
        </w:rPr>
        <w:t>Regulatory information</w:t>
      </w:r>
    </w:p>
    <w:p w14:paraId="642B0DD7" w14:textId="33208AEE" w:rsidR="00133449" w:rsidRPr="0010048D" w:rsidRDefault="00133449" w:rsidP="00133449">
      <w:pPr>
        <w:rPr>
          <w:rFonts w:ascii="Segoe UI" w:eastAsia="Segoe UI" w:hAnsi="Segoe UI" w:cs="Segoe UI"/>
          <w:color w:val="000000"/>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r w:rsidR="00354B79">
        <w:rPr>
          <w:rFonts w:ascii="Segoe UI" w:eastAsia="Segoe UI" w:hAnsi="Segoe UI" w:cs="Segoe UI"/>
          <w:b/>
          <w:color w:val="000000"/>
        </w:rPr>
        <w:br/>
      </w:r>
      <w:r w:rsidRPr="00646B43">
        <w:rPr>
          <w:rFonts w:ascii="Segoe UI" w:eastAsia="Segoe UI" w:hAnsi="Segoe UI" w:cs="Segoe UI"/>
          <w:color w:val="000000"/>
        </w:rPr>
        <w:t>Yes</w:t>
      </w:r>
    </w:p>
    <w:p w14:paraId="50EEC45F" w14:textId="4D4EE5B5" w:rsidR="00133449" w:rsidRPr="007C5FA4"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r w:rsidR="00354B79">
        <w:rPr>
          <w:rFonts w:ascii="Segoe UI" w:eastAsia="Segoe UI" w:hAnsi="Segoe UI" w:cs="Segoe UI"/>
          <w:b/>
          <w:color w:val="000000"/>
        </w:rPr>
        <w:br/>
      </w:r>
      <w:r w:rsidRPr="007C5FA4">
        <w:rPr>
          <w:rFonts w:ascii="Segoe UI" w:eastAsia="Segoe UI" w:hAnsi="Segoe UI" w:cs="Segoe UI"/>
          <w:color w:val="000000"/>
        </w:rPr>
        <w:t>No</w:t>
      </w:r>
    </w:p>
    <w:p w14:paraId="09F652A0" w14:textId="3659BE1C" w:rsidR="00133449" w:rsidRPr="007C5FA4"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r w:rsidR="00354B79">
        <w:rPr>
          <w:rFonts w:ascii="Segoe UI" w:eastAsia="Segoe UI" w:hAnsi="Segoe UI" w:cs="Segoe UI"/>
          <w:b/>
          <w:color w:val="000000"/>
        </w:rPr>
        <w:br/>
      </w:r>
      <w:r w:rsidRPr="007C5FA4">
        <w:rPr>
          <w:rFonts w:ascii="Segoe UI" w:eastAsia="Segoe UI" w:hAnsi="Segoe UI" w:cs="Segoe UI"/>
          <w:color w:val="000000"/>
        </w:rPr>
        <w:t>Class III</w:t>
      </w:r>
    </w:p>
    <w:p w14:paraId="34D8C86C" w14:textId="23D4BC07" w:rsidR="00133449" w:rsidRPr="007C5FA4" w:rsidRDefault="00133449" w:rsidP="00354B79">
      <w:pPr>
        <w:spacing w:before="240"/>
        <w:rPr>
          <w:rFonts w:ascii="Segoe UI" w:eastAsia="Segoe UI" w:hAnsi="Segoe UI" w:cs="Segoe UI"/>
          <w:color w:val="000000"/>
        </w:rPr>
      </w:pPr>
      <w:r w:rsidRPr="0010048D">
        <w:rPr>
          <w:rFonts w:ascii="Segoe UI" w:eastAsia="Segoe UI" w:hAnsi="Segoe UI" w:cs="Segoe UI"/>
          <w:b/>
          <w:color w:val="000000"/>
        </w:rPr>
        <w:t>Is the therapeutic good to be used in the service exempt from the regulatory requirements of the Therapeutic Goods Act 1989?</w:t>
      </w:r>
      <w:r w:rsidR="00354B79">
        <w:rPr>
          <w:rFonts w:ascii="Segoe UI" w:eastAsia="Segoe UI" w:hAnsi="Segoe UI" w:cs="Segoe UI"/>
          <w:b/>
          <w:color w:val="000000"/>
        </w:rPr>
        <w:br/>
      </w:r>
      <w:r w:rsidRPr="007C5FA4">
        <w:rPr>
          <w:rFonts w:ascii="Segoe UI" w:eastAsia="Segoe UI" w:hAnsi="Segoe UI" w:cs="Segoe UI"/>
          <w:color w:val="000000"/>
        </w:rPr>
        <w:t>No</w:t>
      </w:r>
    </w:p>
    <w:p w14:paraId="042B4A76" w14:textId="71BE46B0" w:rsidR="00133449" w:rsidRPr="007C5FA4" w:rsidRDefault="00133449" w:rsidP="00133449">
      <w:pPr>
        <w:rPr>
          <w:rFonts w:ascii="Segoe UI" w:eastAsia="Segoe UI" w:hAnsi="Segoe UI" w:cs="Segoe UI"/>
          <w:color w:val="000000"/>
        </w:rPr>
      </w:pPr>
      <w:r w:rsidRPr="0010048D">
        <w:rPr>
          <w:rFonts w:ascii="Segoe UI" w:eastAsia="Segoe UI" w:hAnsi="Segoe UI" w:cs="Segoe UI"/>
          <w:b/>
          <w:color w:val="000000"/>
        </w:rPr>
        <w:t>Is the therapeutic good classified by the TGA as for Research Use Only (RUO)?</w:t>
      </w:r>
      <w:r w:rsidR="00354B79">
        <w:rPr>
          <w:rFonts w:ascii="Segoe UI" w:eastAsia="Segoe UI" w:hAnsi="Segoe UI" w:cs="Segoe UI"/>
          <w:b/>
          <w:color w:val="000000"/>
        </w:rPr>
        <w:br/>
      </w:r>
      <w:r w:rsidR="00354B79">
        <w:rPr>
          <w:rFonts w:ascii="Segoe UI" w:eastAsia="Segoe UI" w:hAnsi="Segoe UI" w:cs="Segoe UI"/>
          <w:color w:val="000000"/>
        </w:rPr>
        <w:t>No</w:t>
      </w:r>
    </w:p>
    <w:p w14:paraId="676BCB5E" w14:textId="51545C9A" w:rsidR="00133449" w:rsidRPr="007C5FA4" w:rsidRDefault="00133449" w:rsidP="00133449">
      <w:pPr>
        <w:rPr>
          <w:rFonts w:ascii="Segoe UI" w:eastAsia="Segoe UI" w:hAnsi="Segoe UI" w:cs="Segoe UI"/>
          <w:color w:val="000000"/>
        </w:rPr>
      </w:pPr>
      <w:r w:rsidRPr="0010048D">
        <w:rPr>
          <w:rFonts w:ascii="Segoe UI" w:eastAsia="Segoe UI" w:hAnsi="Segoe UI" w:cs="Segoe UI"/>
          <w:b/>
          <w:bCs/>
          <w:color w:val="000000"/>
        </w:rPr>
        <w:t>Is the therapeutic good in the process of being considered by the TGA?</w:t>
      </w:r>
      <w:r w:rsidRPr="0010048D">
        <w:rPr>
          <w:rFonts w:ascii="Segoe UI" w:eastAsia="Segoe UI" w:hAnsi="Segoe UI" w:cs="Segoe UI"/>
          <w:color w:val="000000"/>
        </w:rPr>
        <w:t xml:space="preserve"> </w:t>
      </w:r>
      <w:r w:rsidR="00354B79">
        <w:rPr>
          <w:rFonts w:ascii="Segoe UI" w:eastAsia="Segoe UI" w:hAnsi="Segoe UI" w:cs="Segoe UI"/>
          <w:color w:val="000000"/>
        </w:rPr>
        <w:br/>
      </w:r>
      <w:r w:rsidRPr="007C5FA4">
        <w:rPr>
          <w:rFonts w:ascii="Segoe UI" w:eastAsia="Segoe UI" w:hAnsi="Segoe UI" w:cs="Segoe UI"/>
          <w:color w:val="000000"/>
        </w:rPr>
        <w:t>No</w:t>
      </w:r>
    </w:p>
    <w:p w14:paraId="2D65B056" w14:textId="6E6FB9FA" w:rsidR="00133449" w:rsidRPr="0010048D" w:rsidRDefault="00133449" w:rsidP="00133449">
      <w:pPr>
        <w:rPr>
          <w:rFonts w:ascii="Segoe UI" w:eastAsia="Segoe UI" w:hAnsi="Segoe UI" w:cs="Segoe UI"/>
          <w:color w:val="000000"/>
        </w:rPr>
      </w:pPr>
      <w:r w:rsidRPr="0010048D">
        <w:rPr>
          <w:rFonts w:ascii="Segoe UI" w:eastAsia="Segoe UI" w:hAnsi="Segoe UI" w:cs="Segoe UI"/>
          <w:b/>
          <w:bCs/>
          <w:color w:val="000000"/>
        </w:rPr>
        <w:t>Please provide details of when you intend to lodge an ARTG inclusion application, or provide a rationale if you do not intend to lodge an ARTG inclusion application:</w:t>
      </w:r>
      <w:r w:rsidRPr="0010048D">
        <w:rPr>
          <w:rFonts w:ascii="Segoe UI" w:eastAsia="Segoe UI" w:hAnsi="Segoe UI" w:cs="Segoe UI"/>
          <w:color w:val="000000"/>
        </w:rPr>
        <w:t xml:space="preserve"> </w:t>
      </w:r>
    </w:p>
    <w:p w14:paraId="312AAF41" w14:textId="77777777" w:rsidR="00133449" w:rsidRPr="007C5FA4" w:rsidRDefault="00133449" w:rsidP="00133449">
      <w:pPr>
        <w:rPr>
          <w:rFonts w:ascii="Segoe UI" w:eastAsia="Segoe UI" w:hAnsi="Segoe UI" w:cs="Segoe UI"/>
          <w:color w:val="000000"/>
        </w:rPr>
      </w:pPr>
      <w:proofErr w:type="spellStart"/>
      <w:r w:rsidRPr="007C5FA4">
        <w:rPr>
          <w:rFonts w:ascii="Segoe UI" w:eastAsia="Segoe UI" w:hAnsi="Segoe UI" w:cs="Segoe UI"/>
          <w:color w:val="000000"/>
        </w:rPr>
        <w:t>CgA</w:t>
      </w:r>
      <w:proofErr w:type="spellEnd"/>
      <w:r w:rsidRPr="007C5FA4">
        <w:rPr>
          <w:rFonts w:ascii="Segoe UI" w:eastAsia="Segoe UI" w:hAnsi="Segoe UI" w:cs="Segoe UI"/>
          <w:color w:val="000000"/>
        </w:rPr>
        <w:t xml:space="preserve"> assays are currently regulated as Class III in-house IVDs, provided by laboratories that are NATA accredited within the scope of this application, for example, </w:t>
      </w:r>
      <w:proofErr w:type="spellStart"/>
      <w:r w:rsidRPr="007C5FA4">
        <w:rPr>
          <w:rFonts w:ascii="Segoe UI" w:eastAsia="Segoe UI" w:hAnsi="Segoe UI" w:cs="Segoe UI"/>
          <w:color w:val="000000"/>
        </w:rPr>
        <w:t>PathWest</w:t>
      </w:r>
      <w:proofErr w:type="spellEnd"/>
      <w:r w:rsidRPr="007C5FA4">
        <w:rPr>
          <w:rFonts w:ascii="Segoe UI" w:eastAsia="Segoe UI" w:hAnsi="Segoe UI" w:cs="Segoe UI"/>
          <w:color w:val="000000"/>
        </w:rPr>
        <w:t>, Sullivan Nicolaides Pathology, SA Pathology, and NSW Health Pathology. These are searchable via the NATA website, and are examples of accredited services, but please note this does not constitute an exhaustive list.</w:t>
      </w:r>
    </w:p>
    <w:bookmarkEnd w:id="0"/>
    <w:p w14:paraId="118D91EB" w14:textId="77777777" w:rsidR="00721914" w:rsidRDefault="00721914"/>
    <w:sectPr w:rsidR="00721914" w:rsidSect="00133449">
      <w:headerReference w:type="even" r:id="rId6"/>
      <w:headerReference w:type="default" r:id="rId7"/>
      <w:footerReference w:type="even" r:id="rId8"/>
      <w:footerReference w:type="default" r:id="rId9"/>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E31F" w14:textId="77777777" w:rsidR="00A67EA6" w:rsidRDefault="00A67EA6">
      <w:pPr>
        <w:spacing w:after="0" w:line="240" w:lineRule="auto"/>
      </w:pPr>
      <w:r>
        <w:separator/>
      </w:r>
    </w:p>
  </w:endnote>
  <w:endnote w:type="continuationSeparator" w:id="0">
    <w:p w14:paraId="54D01FC2" w14:textId="77777777" w:rsidR="00A67EA6" w:rsidRDefault="00A6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4483" w14:textId="6D9A366D" w:rsidR="00A67EA6" w:rsidRDefault="00C00F31">
    <w:pPr>
      <w:pStyle w:val="Footer"/>
    </w:pPr>
    <w:r>
      <w:rPr>
        <w:noProof/>
      </w:rPr>
      <mc:AlternateContent>
        <mc:Choice Requires="wps">
          <w:drawing>
            <wp:anchor distT="0" distB="0" distL="0" distR="0" simplePos="0" relativeHeight="251667456" behindDoc="0" locked="0" layoutInCell="1" allowOverlap="1" wp14:anchorId="5026DEAB" wp14:editId="4B18027D">
              <wp:simplePos x="635" y="635"/>
              <wp:positionH relativeFrom="page">
                <wp:align>center</wp:align>
              </wp:positionH>
              <wp:positionV relativeFrom="page">
                <wp:align>bottom</wp:align>
              </wp:positionV>
              <wp:extent cx="622300" cy="405765"/>
              <wp:effectExtent l="0" t="0" r="6350" b="0"/>
              <wp:wrapNone/>
              <wp:docPr id="294470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3CD8C88" w14:textId="2F953751" w:rsidR="00C00F31" w:rsidRPr="00C00F31" w:rsidRDefault="00C00F31" w:rsidP="00C00F31">
                          <w:pPr>
                            <w:spacing w:after="0"/>
                            <w:rPr>
                              <w:rFonts w:ascii="Aptos" w:eastAsia="Aptos" w:hAnsi="Aptos" w:cs="Aptos"/>
                              <w:noProof/>
                              <w:color w:val="FF0000"/>
                            </w:rPr>
                          </w:pPr>
                          <w:r w:rsidRPr="00C00F3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26DEAB"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73CD8C88" w14:textId="2F953751" w:rsidR="00C00F31" w:rsidRPr="00C00F31" w:rsidRDefault="00C00F31" w:rsidP="00C00F31">
                    <w:pPr>
                      <w:spacing w:after="0"/>
                      <w:rPr>
                        <w:rFonts w:ascii="Aptos" w:eastAsia="Aptos" w:hAnsi="Aptos" w:cs="Aptos"/>
                        <w:noProof/>
                        <w:color w:val="FF0000"/>
                      </w:rPr>
                    </w:pPr>
                    <w:r w:rsidRPr="00C00F31">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429E4DDD" w:rsidR="00721914" w:rsidRDefault="00CA0B89">
    <w:pPr>
      <w:pStyle w:val="Footer"/>
      <w:jc w:val="right"/>
    </w:pPr>
    <w:sdt>
      <w:sdtPr>
        <w:id w:val="1288928947"/>
        <w:docPartObj>
          <w:docPartGallery w:val="Page Numbers (Bottom of Page)"/>
          <w:docPartUnique/>
        </w:docPartObj>
      </w:sdtPr>
      <w:sdtEndPr>
        <w:rPr>
          <w:noProof/>
        </w:rPr>
      </w:sdtEndPr>
      <w:sdtContent>
        <w:r w:rsidR="00A67EA6">
          <w:fldChar w:fldCharType="begin"/>
        </w:r>
        <w:r w:rsidR="00A67EA6">
          <w:instrText xml:space="preserve"> PAGE   \* MERGEFORMAT </w:instrText>
        </w:r>
        <w:r w:rsidR="00A67EA6">
          <w:fldChar w:fldCharType="separate"/>
        </w:r>
        <w:r w:rsidR="00A67EA6">
          <w:rPr>
            <w:noProof/>
          </w:rPr>
          <w:t>2</w:t>
        </w:r>
        <w:r w:rsidR="00A67EA6">
          <w:rPr>
            <w:noProof/>
          </w:rPr>
          <w:fldChar w:fldCharType="end"/>
        </w:r>
      </w:sdtContent>
    </w:sdt>
  </w:p>
  <w:p w14:paraId="6552B54D" w14:textId="77777777" w:rsidR="00721914" w:rsidRDefault="00721914">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E1A0" w14:textId="77777777" w:rsidR="00A67EA6" w:rsidRDefault="00A67EA6">
      <w:pPr>
        <w:spacing w:after="0" w:line="240" w:lineRule="auto"/>
      </w:pPr>
      <w:r>
        <w:separator/>
      </w:r>
    </w:p>
  </w:footnote>
  <w:footnote w:type="continuationSeparator" w:id="0">
    <w:p w14:paraId="38F80653" w14:textId="77777777" w:rsidR="00A67EA6" w:rsidRDefault="00A67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A578" w14:textId="0B4F0F3C" w:rsidR="00A67EA6" w:rsidRDefault="00C00F31">
    <w:pPr>
      <w:pStyle w:val="Header"/>
    </w:pPr>
    <w:r>
      <w:rPr>
        <w:noProof/>
      </w:rPr>
      <mc:AlternateContent>
        <mc:Choice Requires="wps">
          <w:drawing>
            <wp:anchor distT="0" distB="0" distL="0" distR="0" simplePos="0" relativeHeight="251664384" behindDoc="0" locked="0" layoutInCell="1" allowOverlap="1" wp14:anchorId="73082877" wp14:editId="7657AF52">
              <wp:simplePos x="635" y="635"/>
              <wp:positionH relativeFrom="page">
                <wp:align>center</wp:align>
              </wp:positionH>
              <wp:positionV relativeFrom="page">
                <wp:align>top</wp:align>
              </wp:positionV>
              <wp:extent cx="622300" cy="405765"/>
              <wp:effectExtent l="0" t="0" r="6350" b="13335"/>
              <wp:wrapNone/>
              <wp:docPr id="810899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7A1DFDD" w14:textId="5815EC10" w:rsidR="00C00F31" w:rsidRPr="00C00F31" w:rsidRDefault="00C00F31" w:rsidP="00C00F31">
                          <w:pPr>
                            <w:spacing w:after="0"/>
                            <w:rPr>
                              <w:rFonts w:ascii="Aptos" w:eastAsia="Aptos" w:hAnsi="Aptos" w:cs="Aptos"/>
                              <w:noProof/>
                              <w:color w:val="FF0000"/>
                            </w:rPr>
                          </w:pPr>
                          <w:r w:rsidRPr="00C00F3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82877"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37A1DFDD" w14:textId="5815EC10" w:rsidR="00C00F31" w:rsidRPr="00C00F31" w:rsidRDefault="00C00F31" w:rsidP="00C00F31">
                    <w:pPr>
                      <w:spacing w:after="0"/>
                      <w:rPr>
                        <w:rFonts w:ascii="Aptos" w:eastAsia="Aptos" w:hAnsi="Aptos" w:cs="Aptos"/>
                        <w:noProof/>
                        <w:color w:val="FF0000"/>
                      </w:rPr>
                    </w:pPr>
                    <w:r w:rsidRPr="00C00F31">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4E1E019C" w:rsidR="00721914" w:rsidRDefault="00A67EA6">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14383"/>
    <w:rsid w:val="00133449"/>
    <w:rsid w:val="00354B79"/>
    <w:rsid w:val="006756E6"/>
    <w:rsid w:val="00721914"/>
    <w:rsid w:val="00A67EA6"/>
    <w:rsid w:val="00AD1FAF"/>
    <w:rsid w:val="00B10BF0"/>
    <w:rsid w:val="00B776D3"/>
    <w:rsid w:val="00C00F31"/>
    <w:rsid w:val="00CA0B89"/>
    <w:rsid w:val="00E65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6756E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A67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EA6"/>
  </w:style>
  <w:style w:type="character" w:customStyle="1" w:styleId="Heading2Char">
    <w:name w:val="Heading 2 Char"/>
    <w:basedOn w:val="DefaultParagraphFont"/>
    <w:link w:val="Heading2"/>
    <w:uiPriority w:val="9"/>
    <w:semiHidden/>
    <w:rsid w:val="006756E6"/>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2345</Words>
  <Characters>13859</Characters>
  <Application>Microsoft Office Word</Application>
  <DocSecurity>0</DocSecurity>
  <Lines>314</Lines>
  <Paragraphs>133</Paragraphs>
  <ScaleCrop>false</ScaleCrop>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2026-05-12T04:36:00Z</dcterms:created>
  <dcterms:modified xsi:type="dcterms:W3CDTF">2026-05-12T04:39:00Z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3ad039ef,305558e5,1ff11047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5489b7bf,1c153a3,61a231bd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2026-05-12T04:39:07Z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f3a5f571-b8b9-47af-8ad2-947920a44407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